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8A0D31">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8A0D31">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8A0D31">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8A0D31">
      <w:pPr>
        <w:widowControl/>
        <w:tabs>
          <w:tab w:val="left" w:pos="-720"/>
        </w:tabs>
        <w:suppressAutoHyphens/>
        <w:rPr>
          <w:sz w:val="26"/>
          <w:szCs w:val="26"/>
        </w:rPr>
      </w:pPr>
    </w:p>
    <w:p w:rsidR="00F514FB" w:rsidRPr="00F514FB" w:rsidRDefault="00F514FB" w:rsidP="008A0D3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8A0D31">
            <w:pPr>
              <w:widowControl/>
              <w:rPr>
                <w:sz w:val="26"/>
                <w:szCs w:val="26"/>
              </w:rPr>
            </w:pPr>
          </w:p>
        </w:tc>
        <w:tc>
          <w:tcPr>
            <w:tcW w:w="4428" w:type="dxa"/>
          </w:tcPr>
          <w:p w:rsidR="00F514FB" w:rsidRPr="00F514FB" w:rsidRDefault="001078C1" w:rsidP="008A0D31">
            <w:pPr>
              <w:widowControl/>
              <w:jc w:val="right"/>
              <w:rPr>
                <w:sz w:val="26"/>
                <w:szCs w:val="26"/>
              </w:rPr>
            </w:pPr>
            <w:r>
              <w:rPr>
                <w:sz w:val="26"/>
                <w:szCs w:val="26"/>
              </w:rPr>
              <w:t>Public Meeting held July 24</w:t>
            </w:r>
            <w:r w:rsidR="00D40369">
              <w:rPr>
                <w:sz w:val="26"/>
                <w:szCs w:val="26"/>
              </w:rPr>
              <w:t>, 2014</w:t>
            </w:r>
          </w:p>
          <w:p w:rsidR="00F514FB" w:rsidRPr="00F514FB" w:rsidRDefault="00F514FB" w:rsidP="008A0D31">
            <w:pPr>
              <w:widowControl/>
              <w:jc w:val="right"/>
              <w:rPr>
                <w:sz w:val="26"/>
                <w:szCs w:val="26"/>
              </w:rPr>
            </w:pPr>
          </w:p>
          <w:p w:rsidR="00F514FB" w:rsidRPr="00F514FB" w:rsidRDefault="00F514FB" w:rsidP="008A0D31">
            <w:pPr>
              <w:widowControl/>
              <w:jc w:val="right"/>
              <w:rPr>
                <w:sz w:val="26"/>
                <w:szCs w:val="26"/>
              </w:rPr>
            </w:pPr>
          </w:p>
        </w:tc>
      </w:tr>
      <w:tr w:rsidR="00F514FB" w:rsidRPr="00F514FB" w:rsidTr="00E871F2">
        <w:tc>
          <w:tcPr>
            <w:tcW w:w="5058" w:type="dxa"/>
          </w:tcPr>
          <w:p w:rsidR="00F514FB" w:rsidRPr="00F514FB" w:rsidRDefault="00F514FB" w:rsidP="008A0D31">
            <w:pPr>
              <w:widowControl/>
              <w:rPr>
                <w:sz w:val="26"/>
                <w:szCs w:val="26"/>
              </w:rPr>
            </w:pPr>
            <w:r w:rsidRPr="00F514FB">
              <w:rPr>
                <w:sz w:val="26"/>
                <w:szCs w:val="26"/>
              </w:rPr>
              <w:t>Commissioners Present:</w:t>
            </w:r>
          </w:p>
          <w:p w:rsidR="00F514FB" w:rsidRPr="00F514FB" w:rsidRDefault="00F514FB" w:rsidP="008A0D31">
            <w:pPr>
              <w:widowControl/>
              <w:rPr>
                <w:sz w:val="26"/>
                <w:szCs w:val="26"/>
              </w:rPr>
            </w:pPr>
          </w:p>
          <w:p w:rsidR="00731444" w:rsidRPr="008516FF" w:rsidRDefault="00731444" w:rsidP="008A0D31">
            <w:pPr>
              <w:widowControl/>
              <w:tabs>
                <w:tab w:val="left" w:pos="705"/>
              </w:tabs>
              <w:ind w:firstLine="720"/>
              <w:contextualSpacing/>
              <w:rPr>
                <w:sz w:val="26"/>
                <w:szCs w:val="26"/>
              </w:rPr>
            </w:pPr>
            <w:r w:rsidRPr="008516FF">
              <w:rPr>
                <w:sz w:val="26"/>
                <w:szCs w:val="26"/>
              </w:rPr>
              <w:t>Robert F. Powelson, Chairman</w:t>
            </w:r>
          </w:p>
          <w:p w:rsidR="00731444" w:rsidRPr="008516FF" w:rsidRDefault="00731444" w:rsidP="008A0D31">
            <w:pPr>
              <w:widowControl/>
              <w:tabs>
                <w:tab w:val="left" w:pos="705"/>
              </w:tabs>
              <w:ind w:firstLine="720"/>
              <w:contextualSpacing/>
              <w:rPr>
                <w:sz w:val="26"/>
                <w:szCs w:val="26"/>
              </w:rPr>
            </w:pPr>
            <w:r w:rsidRPr="008516FF">
              <w:rPr>
                <w:sz w:val="26"/>
                <w:szCs w:val="26"/>
              </w:rPr>
              <w:t>John F. Coleman, Jr., Vice Chairman</w:t>
            </w:r>
          </w:p>
          <w:p w:rsidR="00731444" w:rsidRPr="008516FF" w:rsidRDefault="00731444" w:rsidP="008A0D31">
            <w:pPr>
              <w:widowControl/>
              <w:tabs>
                <w:tab w:val="left" w:pos="705"/>
              </w:tabs>
              <w:ind w:firstLine="720"/>
              <w:contextualSpacing/>
              <w:rPr>
                <w:sz w:val="26"/>
                <w:szCs w:val="26"/>
              </w:rPr>
            </w:pPr>
            <w:r w:rsidRPr="008516FF">
              <w:rPr>
                <w:sz w:val="26"/>
                <w:szCs w:val="26"/>
              </w:rPr>
              <w:t>James H. Cawley</w:t>
            </w:r>
          </w:p>
          <w:p w:rsidR="00731444" w:rsidRDefault="00731444" w:rsidP="008A0D31">
            <w:pPr>
              <w:widowControl/>
              <w:tabs>
                <w:tab w:val="left" w:pos="705"/>
              </w:tabs>
              <w:ind w:firstLine="720"/>
              <w:contextualSpacing/>
              <w:rPr>
                <w:sz w:val="26"/>
                <w:szCs w:val="26"/>
              </w:rPr>
            </w:pPr>
            <w:r w:rsidRPr="008516FF">
              <w:rPr>
                <w:sz w:val="26"/>
                <w:szCs w:val="26"/>
              </w:rPr>
              <w:t>Pamela A. Witmer</w:t>
            </w:r>
          </w:p>
          <w:p w:rsidR="00731444" w:rsidRPr="008516FF" w:rsidRDefault="00731444" w:rsidP="008A0D31">
            <w:pPr>
              <w:widowControl/>
              <w:tabs>
                <w:tab w:val="left" w:pos="705"/>
              </w:tabs>
              <w:ind w:firstLine="720"/>
              <w:contextualSpacing/>
              <w:rPr>
                <w:sz w:val="26"/>
                <w:szCs w:val="26"/>
              </w:rPr>
            </w:pPr>
            <w:r>
              <w:rPr>
                <w:sz w:val="26"/>
                <w:szCs w:val="26"/>
              </w:rPr>
              <w:t>Gladys M. Brown</w:t>
            </w:r>
          </w:p>
          <w:p w:rsidR="00F514FB" w:rsidRPr="00F514FB" w:rsidRDefault="00F514FB" w:rsidP="008A0D31">
            <w:pPr>
              <w:widowControl/>
              <w:rPr>
                <w:sz w:val="26"/>
                <w:szCs w:val="26"/>
              </w:rPr>
            </w:pPr>
          </w:p>
          <w:p w:rsidR="00F514FB" w:rsidRPr="00F514FB" w:rsidRDefault="00F514FB" w:rsidP="008A0D31">
            <w:pPr>
              <w:widowControl/>
              <w:rPr>
                <w:sz w:val="26"/>
                <w:szCs w:val="26"/>
              </w:rPr>
            </w:pPr>
          </w:p>
        </w:tc>
        <w:tc>
          <w:tcPr>
            <w:tcW w:w="4428" w:type="dxa"/>
          </w:tcPr>
          <w:p w:rsidR="00F514FB" w:rsidRPr="00F514FB" w:rsidRDefault="00F514FB" w:rsidP="008A0D31">
            <w:pPr>
              <w:widowControl/>
              <w:jc w:val="right"/>
              <w:rPr>
                <w:sz w:val="26"/>
                <w:szCs w:val="26"/>
              </w:rPr>
            </w:pPr>
          </w:p>
          <w:p w:rsidR="00F514FB" w:rsidRPr="00F514FB" w:rsidRDefault="00F514FB" w:rsidP="008A0D31">
            <w:pPr>
              <w:widowControl/>
              <w:jc w:val="right"/>
              <w:rPr>
                <w:sz w:val="26"/>
                <w:szCs w:val="26"/>
              </w:rPr>
            </w:pPr>
          </w:p>
        </w:tc>
      </w:tr>
      <w:tr w:rsidR="00F514FB" w:rsidRPr="00F514FB" w:rsidTr="00DE25AC">
        <w:tc>
          <w:tcPr>
            <w:tcW w:w="5058" w:type="dxa"/>
          </w:tcPr>
          <w:p w:rsidR="00F514FB" w:rsidRPr="00F514FB" w:rsidRDefault="00D40369" w:rsidP="008A0D31">
            <w:pPr>
              <w:widowControl/>
              <w:rPr>
                <w:sz w:val="26"/>
                <w:szCs w:val="26"/>
              </w:rPr>
            </w:pPr>
            <w:r>
              <w:rPr>
                <w:sz w:val="26"/>
                <w:szCs w:val="26"/>
              </w:rPr>
              <w:t>Schenevelyn Samuel</w:t>
            </w:r>
          </w:p>
          <w:p w:rsidR="00F514FB" w:rsidRPr="00F514FB" w:rsidRDefault="00F514FB" w:rsidP="008A0D31">
            <w:pPr>
              <w:widowControl/>
              <w:rPr>
                <w:sz w:val="26"/>
                <w:szCs w:val="26"/>
              </w:rPr>
            </w:pPr>
          </w:p>
        </w:tc>
        <w:tc>
          <w:tcPr>
            <w:tcW w:w="4428" w:type="dxa"/>
          </w:tcPr>
          <w:p w:rsidR="00F514FB" w:rsidRPr="00F514FB" w:rsidRDefault="00D40369" w:rsidP="008A0D31">
            <w:pPr>
              <w:widowControl/>
              <w:jc w:val="right"/>
              <w:rPr>
                <w:sz w:val="26"/>
                <w:szCs w:val="26"/>
              </w:rPr>
            </w:pPr>
            <w:r>
              <w:rPr>
                <w:sz w:val="26"/>
                <w:szCs w:val="26"/>
              </w:rPr>
              <w:t>F-2013-2395646</w:t>
            </w:r>
          </w:p>
        </w:tc>
      </w:tr>
      <w:tr w:rsidR="00F514FB" w:rsidRPr="00F514FB" w:rsidTr="00DE25AC">
        <w:tc>
          <w:tcPr>
            <w:tcW w:w="5058" w:type="dxa"/>
          </w:tcPr>
          <w:p w:rsidR="00F514FB" w:rsidRPr="00F514FB" w:rsidRDefault="00F514FB" w:rsidP="008A0D31">
            <w:pPr>
              <w:widowControl/>
              <w:ind w:firstLine="1440"/>
              <w:rPr>
                <w:sz w:val="26"/>
                <w:szCs w:val="26"/>
              </w:rPr>
            </w:pPr>
            <w:proofErr w:type="gramStart"/>
            <w:r w:rsidRPr="00F514FB">
              <w:rPr>
                <w:sz w:val="26"/>
                <w:szCs w:val="26"/>
              </w:rPr>
              <w:t>v</w:t>
            </w:r>
            <w:proofErr w:type="gramEnd"/>
            <w:r w:rsidRPr="00F514FB">
              <w:rPr>
                <w:sz w:val="26"/>
                <w:szCs w:val="26"/>
              </w:rPr>
              <w:t>.</w:t>
            </w:r>
          </w:p>
          <w:p w:rsidR="00F514FB" w:rsidRPr="00F514FB" w:rsidRDefault="00F514FB" w:rsidP="008A0D31">
            <w:pPr>
              <w:widowControl/>
              <w:ind w:firstLine="1440"/>
              <w:rPr>
                <w:sz w:val="26"/>
                <w:szCs w:val="26"/>
              </w:rPr>
            </w:pPr>
          </w:p>
        </w:tc>
        <w:tc>
          <w:tcPr>
            <w:tcW w:w="4428" w:type="dxa"/>
          </w:tcPr>
          <w:p w:rsidR="00F514FB" w:rsidRPr="00F514FB" w:rsidRDefault="00F514FB" w:rsidP="008A0D31">
            <w:pPr>
              <w:widowControl/>
              <w:rPr>
                <w:sz w:val="26"/>
                <w:szCs w:val="26"/>
              </w:rPr>
            </w:pPr>
          </w:p>
        </w:tc>
      </w:tr>
      <w:tr w:rsidR="00F514FB" w:rsidRPr="00F514FB" w:rsidTr="00E871F2">
        <w:tc>
          <w:tcPr>
            <w:tcW w:w="5058" w:type="dxa"/>
          </w:tcPr>
          <w:p w:rsidR="00F514FB" w:rsidRPr="00F514FB" w:rsidRDefault="00D40369" w:rsidP="008A0D31">
            <w:pPr>
              <w:widowControl/>
              <w:rPr>
                <w:sz w:val="26"/>
                <w:szCs w:val="26"/>
              </w:rPr>
            </w:pPr>
            <w:r>
              <w:rPr>
                <w:sz w:val="26"/>
                <w:szCs w:val="26"/>
              </w:rPr>
              <w:t>PECO Energy Company</w:t>
            </w:r>
          </w:p>
        </w:tc>
        <w:tc>
          <w:tcPr>
            <w:tcW w:w="4428" w:type="dxa"/>
          </w:tcPr>
          <w:p w:rsidR="00F514FB" w:rsidRPr="00F514FB" w:rsidRDefault="00F514FB" w:rsidP="008A0D31">
            <w:pPr>
              <w:widowControl/>
              <w:rPr>
                <w:sz w:val="26"/>
                <w:szCs w:val="26"/>
              </w:rPr>
            </w:pPr>
          </w:p>
        </w:tc>
      </w:tr>
    </w:tbl>
    <w:p w:rsidR="00F514FB" w:rsidRPr="00F514FB" w:rsidRDefault="00F514FB" w:rsidP="008A0D31">
      <w:pPr>
        <w:widowControl/>
        <w:rPr>
          <w:sz w:val="26"/>
          <w:szCs w:val="26"/>
        </w:rPr>
      </w:pPr>
    </w:p>
    <w:p w:rsidR="00F514FB" w:rsidRPr="00F514FB" w:rsidRDefault="00F514FB" w:rsidP="008A0D31">
      <w:pPr>
        <w:widowControl/>
        <w:rPr>
          <w:sz w:val="26"/>
          <w:szCs w:val="26"/>
        </w:rPr>
      </w:pPr>
    </w:p>
    <w:p w:rsidR="00F514FB" w:rsidRPr="00F514FB" w:rsidRDefault="00F514FB" w:rsidP="008A0D31">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8A0D31">
      <w:pPr>
        <w:widowControl/>
        <w:jc w:val="center"/>
        <w:rPr>
          <w:b/>
          <w:sz w:val="26"/>
          <w:szCs w:val="26"/>
        </w:rPr>
      </w:pPr>
    </w:p>
    <w:p w:rsidR="00F514FB" w:rsidRPr="00F514FB" w:rsidRDefault="00F514FB" w:rsidP="008A0D31">
      <w:pPr>
        <w:widowControl/>
        <w:jc w:val="center"/>
        <w:rPr>
          <w:b/>
          <w:sz w:val="26"/>
          <w:szCs w:val="26"/>
        </w:rPr>
      </w:pPr>
    </w:p>
    <w:p w:rsidR="00F514FB" w:rsidRPr="00F514FB" w:rsidRDefault="00F514FB" w:rsidP="008A0D31">
      <w:pPr>
        <w:widowControl/>
        <w:rPr>
          <w:b/>
          <w:sz w:val="26"/>
          <w:szCs w:val="26"/>
        </w:rPr>
      </w:pPr>
      <w:r w:rsidRPr="00F514FB">
        <w:rPr>
          <w:b/>
          <w:sz w:val="26"/>
          <w:szCs w:val="26"/>
        </w:rPr>
        <w:t>BY THE COMMISSION:</w:t>
      </w:r>
    </w:p>
    <w:p w:rsidR="00F514FB" w:rsidRPr="00F514FB" w:rsidRDefault="00F514FB" w:rsidP="008A0D31">
      <w:pPr>
        <w:widowControl/>
        <w:rPr>
          <w:sz w:val="26"/>
          <w:szCs w:val="26"/>
        </w:rPr>
      </w:pPr>
    </w:p>
    <w:p w:rsidR="00F514FB" w:rsidRPr="00F514FB" w:rsidRDefault="00F514FB" w:rsidP="008A0D31">
      <w:pPr>
        <w:widowControl/>
        <w:rPr>
          <w:sz w:val="26"/>
          <w:szCs w:val="26"/>
        </w:rPr>
      </w:pPr>
    </w:p>
    <w:p w:rsidR="00CA43A5" w:rsidRPr="00CA43A5" w:rsidRDefault="00CA43A5" w:rsidP="008A0D31">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w:t>
      </w:r>
      <w:r w:rsidR="00F01688">
        <w:rPr>
          <w:color w:val="000000"/>
          <w:sz w:val="26"/>
        </w:rPr>
        <w:t xml:space="preserve"> (Exceptions) of Schenevelyn Samuel</w:t>
      </w:r>
      <w:r w:rsidR="00671E4C">
        <w:rPr>
          <w:color w:val="000000"/>
          <w:sz w:val="26"/>
        </w:rPr>
        <w:t xml:space="preserve"> </w:t>
      </w:r>
      <w:r w:rsidR="00F01688">
        <w:rPr>
          <w:color w:val="000000"/>
          <w:sz w:val="26"/>
        </w:rPr>
        <w:t>(Complainant) filed on June 16, 2014</w:t>
      </w:r>
      <w:r w:rsidR="00671E4C">
        <w:rPr>
          <w:color w:val="000000"/>
          <w:sz w:val="26"/>
        </w:rPr>
        <w:t xml:space="preserve">, to the Initial Decision (I.D.) of Administrative </w:t>
      </w:r>
      <w:r w:rsidR="00F01688">
        <w:rPr>
          <w:color w:val="000000"/>
          <w:sz w:val="26"/>
        </w:rPr>
        <w:t>Law Judge (ALJ) Darlene R. Davis Heep</w:t>
      </w:r>
      <w:r w:rsidR="00671E4C">
        <w:rPr>
          <w:color w:val="000000"/>
          <w:sz w:val="26"/>
        </w:rPr>
        <w:t>, w</w:t>
      </w:r>
      <w:r w:rsidR="00F01688">
        <w:rPr>
          <w:color w:val="000000"/>
          <w:sz w:val="26"/>
        </w:rPr>
        <w:t>hich was issued on June 2, 2014</w:t>
      </w:r>
      <w:r w:rsidR="00671E4C">
        <w:rPr>
          <w:color w:val="000000"/>
          <w:sz w:val="26"/>
        </w:rPr>
        <w:t>, in</w:t>
      </w:r>
      <w:r w:rsidR="0030295D">
        <w:rPr>
          <w:color w:val="000000"/>
          <w:sz w:val="26"/>
        </w:rPr>
        <w:t xml:space="preserve"> the above-captioned proceeding</w:t>
      </w:r>
      <w:r w:rsidR="00671E4C">
        <w:rPr>
          <w:color w:val="000000"/>
          <w:sz w:val="26"/>
        </w:rPr>
        <w:t>.  Replies to Exceptio</w:t>
      </w:r>
      <w:r w:rsidR="00F97059">
        <w:rPr>
          <w:color w:val="000000"/>
          <w:sz w:val="26"/>
        </w:rPr>
        <w:t>ns were filed by PECO Energy Company</w:t>
      </w:r>
      <w:r w:rsidR="00671E4C">
        <w:rPr>
          <w:color w:val="000000"/>
          <w:sz w:val="26"/>
        </w:rPr>
        <w:t xml:space="preserve"> </w:t>
      </w:r>
      <w:r w:rsidR="00F97059">
        <w:rPr>
          <w:color w:val="000000"/>
          <w:sz w:val="26"/>
        </w:rPr>
        <w:t>(PECO) on June 30, 2014</w:t>
      </w:r>
      <w:r w:rsidR="00671E4C">
        <w:rPr>
          <w:color w:val="000000"/>
          <w:sz w:val="26"/>
        </w:rPr>
        <w:t xml:space="preserve">.  </w:t>
      </w:r>
      <w:r w:rsidRPr="00CA43A5">
        <w:rPr>
          <w:sz w:val="26"/>
          <w:szCs w:val="26"/>
        </w:rPr>
        <w:t>For the reason</w:t>
      </w:r>
      <w:r w:rsidR="00F01688">
        <w:rPr>
          <w:sz w:val="26"/>
          <w:szCs w:val="26"/>
        </w:rPr>
        <w:t>s stated below, we will deny the Complainant’s Exceptions</w:t>
      </w:r>
      <w:r w:rsidRPr="00CA43A5">
        <w:rPr>
          <w:sz w:val="26"/>
          <w:szCs w:val="26"/>
        </w:rPr>
        <w:t>.</w:t>
      </w:r>
    </w:p>
    <w:p w:rsidR="00CA43A5" w:rsidRDefault="00CA43A5" w:rsidP="008A0D31">
      <w:pPr>
        <w:widowControl/>
        <w:spacing w:line="360" w:lineRule="auto"/>
        <w:rPr>
          <w:sz w:val="26"/>
          <w:szCs w:val="26"/>
        </w:rPr>
      </w:pPr>
    </w:p>
    <w:p w:rsidR="00CA43A5" w:rsidRDefault="00CA43A5" w:rsidP="008A0D31">
      <w:pPr>
        <w:keepNext/>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305B7C" w:rsidRDefault="00305B7C" w:rsidP="008A0D31">
      <w:pPr>
        <w:keepNext/>
        <w:widowControl/>
        <w:spacing w:line="360" w:lineRule="auto"/>
        <w:jc w:val="center"/>
        <w:rPr>
          <w:b/>
          <w:sz w:val="26"/>
          <w:szCs w:val="26"/>
        </w:rPr>
      </w:pPr>
    </w:p>
    <w:p w:rsidR="00305B7C" w:rsidRPr="00305B7C" w:rsidRDefault="00305B7C" w:rsidP="008A0D31">
      <w:pPr>
        <w:widowControl/>
        <w:spacing w:line="360" w:lineRule="auto"/>
        <w:rPr>
          <w:sz w:val="26"/>
          <w:szCs w:val="26"/>
        </w:rPr>
      </w:pPr>
      <w:r>
        <w:rPr>
          <w:sz w:val="26"/>
          <w:szCs w:val="26"/>
        </w:rPr>
        <w:tab/>
      </w:r>
      <w:r>
        <w:rPr>
          <w:sz w:val="26"/>
          <w:szCs w:val="26"/>
        </w:rPr>
        <w:tab/>
        <w:t>On November 27, 2013, the Complainant filed a F</w:t>
      </w:r>
      <w:r w:rsidRPr="00305B7C">
        <w:rPr>
          <w:sz w:val="26"/>
          <w:szCs w:val="26"/>
        </w:rPr>
        <w:t>ormal Complaint</w:t>
      </w:r>
      <w:r w:rsidR="003C1EF0">
        <w:rPr>
          <w:rStyle w:val="FootnoteReference"/>
          <w:sz w:val="26"/>
          <w:szCs w:val="26"/>
        </w:rPr>
        <w:footnoteReference w:id="1"/>
      </w:r>
      <w:r w:rsidRPr="00305B7C">
        <w:rPr>
          <w:sz w:val="26"/>
          <w:szCs w:val="26"/>
        </w:rPr>
        <w:t xml:space="preserve"> against </w:t>
      </w:r>
      <w:r w:rsidR="008E3F91">
        <w:rPr>
          <w:bCs/>
          <w:sz w:val="26"/>
          <w:szCs w:val="26"/>
        </w:rPr>
        <w:t>PECO Energy Company</w:t>
      </w:r>
      <w:r w:rsidR="00314697">
        <w:rPr>
          <w:bCs/>
          <w:sz w:val="26"/>
          <w:szCs w:val="26"/>
        </w:rPr>
        <w:t xml:space="preserve"> (PECO or Company)</w:t>
      </w:r>
      <w:r w:rsidRPr="00305B7C">
        <w:rPr>
          <w:sz w:val="26"/>
          <w:szCs w:val="26"/>
        </w:rPr>
        <w:t xml:space="preserve">.  </w:t>
      </w:r>
      <w:r w:rsidR="008E3F91">
        <w:rPr>
          <w:sz w:val="26"/>
          <w:szCs w:val="26"/>
        </w:rPr>
        <w:t>Although the Complainant did not make any allegations regarding her service, she requested that the Commission issue a</w:t>
      </w:r>
      <w:r w:rsidRPr="00305B7C">
        <w:rPr>
          <w:sz w:val="26"/>
          <w:szCs w:val="26"/>
        </w:rPr>
        <w:t xml:space="preserve"> payment arrangement.  </w:t>
      </w:r>
      <w:r w:rsidR="00314697">
        <w:rPr>
          <w:sz w:val="26"/>
          <w:szCs w:val="26"/>
        </w:rPr>
        <w:t xml:space="preserve">PECO filed an Answer on </w:t>
      </w:r>
      <w:r w:rsidR="00B76D14">
        <w:rPr>
          <w:sz w:val="26"/>
          <w:szCs w:val="26"/>
        </w:rPr>
        <w:t>December 12, 2013</w:t>
      </w:r>
      <w:r w:rsidR="008A0D31">
        <w:rPr>
          <w:sz w:val="26"/>
          <w:szCs w:val="26"/>
        </w:rPr>
        <w:t>,</w:t>
      </w:r>
      <w:r w:rsidR="00B76D14">
        <w:rPr>
          <w:sz w:val="26"/>
          <w:szCs w:val="26"/>
        </w:rPr>
        <w:t xml:space="preserve"> and contended that </w:t>
      </w:r>
      <w:r w:rsidR="0017179A">
        <w:rPr>
          <w:sz w:val="26"/>
          <w:szCs w:val="26"/>
        </w:rPr>
        <w:t xml:space="preserve">the </w:t>
      </w:r>
      <w:r w:rsidR="00B76D14">
        <w:rPr>
          <w:sz w:val="26"/>
          <w:szCs w:val="26"/>
        </w:rPr>
        <w:t>Complainant was</w:t>
      </w:r>
      <w:r w:rsidRPr="00305B7C">
        <w:rPr>
          <w:sz w:val="26"/>
          <w:szCs w:val="26"/>
        </w:rPr>
        <w:t xml:space="preserve"> not entitled to a payment arrangement beca</w:t>
      </w:r>
      <w:r w:rsidR="00B418EF">
        <w:rPr>
          <w:sz w:val="26"/>
          <w:szCs w:val="26"/>
        </w:rPr>
        <w:t>use her balance was</w:t>
      </w:r>
      <w:r w:rsidRPr="00305B7C">
        <w:rPr>
          <w:sz w:val="26"/>
          <w:szCs w:val="26"/>
        </w:rPr>
        <w:t xml:space="preserve"> compr</w:t>
      </w:r>
      <w:r w:rsidR="00B4069B">
        <w:rPr>
          <w:sz w:val="26"/>
          <w:szCs w:val="26"/>
        </w:rPr>
        <w:t>ised of c</w:t>
      </w:r>
      <w:r w:rsidRPr="00305B7C">
        <w:rPr>
          <w:sz w:val="26"/>
          <w:szCs w:val="26"/>
        </w:rPr>
        <w:t>us</w:t>
      </w:r>
      <w:r w:rsidR="00B4069B">
        <w:rPr>
          <w:sz w:val="26"/>
          <w:szCs w:val="26"/>
        </w:rPr>
        <w:t>tomer assistance p</w:t>
      </w:r>
      <w:r w:rsidR="00B76D14">
        <w:rPr>
          <w:sz w:val="26"/>
          <w:szCs w:val="26"/>
        </w:rPr>
        <w:t>rogram arrearages</w:t>
      </w:r>
      <w:r w:rsidRPr="00305B7C">
        <w:rPr>
          <w:sz w:val="26"/>
          <w:szCs w:val="26"/>
        </w:rPr>
        <w:t xml:space="preserve"> and because she</w:t>
      </w:r>
      <w:r w:rsidR="00B4069B">
        <w:rPr>
          <w:sz w:val="26"/>
          <w:szCs w:val="26"/>
        </w:rPr>
        <w:t xml:space="preserve"> had defaulted on a </w:t>
      </w:r>
      <w:r w:rsidR="00314697">
        <w:rPr>
          <w:sz w:val="26"/>
          <w:szCs w:val="26"/>
        </w:rPr>
        <w:t>prior Commission</w:t>
      </w:r>
      <w:r w:rsidR="008A0D31">
        <w:rPr>
          <w:sz w:val="26"/>
          <w:szCs w:val="26"/>
        </w:rPr>
        <w:t>-</w:t>
      </w:r>
      <w:r w:rsidR="00B4069B">
        <w:rPr>
          <w:sz w:val="26"/>
          <w:szCs w:val="26"/>
        </w:rPr>
        <w:t xml:space="preserve">issued </w:t>
      </w:r>
      <w:r w:rsidR="00B4069B" w:rsidRPr="00305B7C">
        <w:rPr>
          <w:sz w:val="26"/>
          <w:szCs w:val="26"/>
        </w:rPr>
        <w:t>payment</w:t>
      </w:r>
      <w:r w:rsidRPr="00305B7C">
        <w:rPr>
          <w:sz w:val="26"/>
          <w:szCs w:val="26"/>
        </w:rPr>
        <w:t xml:space="preserve"> arrangement</w:t>
      </w:r>
      <w:r w:rsidR="00314697">
        <w:rPr>
          <w:sz w:val="26"/>
          <w:szCs w:val="26"/>
        </w:rPr>
        <w:t>.  The Company</w:t>
      </w:r>
      <w:r w:rsidR="00B4069B">
        <w:rPr>
          <w:sz w:val="26"/>
          <w:szCs w:val="26"/>
        </w:rPr>
        <w:t xml:space="preserve"> further alleged that she </w:t>
      </w:r>
      <w:r w:rsidR="008A0D31">
        <w:rPr>
          <w:sz w:val="26"/>
          <w:szCs w:val="26"/>
        </w:rPr>
        <w:t>f</w:t>
      </w:r>
      <w:r w:rsidRPr="00305B7C">
        <w:rPr>
          <w:sz w:val="26"/>
          <w:szCs w:val="26"/>
        </w:rPr>
        <w:t xml:space="preserve">ailed to comply with five </w:t>
      </w:r>
      <w:r w:rsidR="008A0D31">
        <w:rPr>
          <w:sz w:val="26"/>
          <w:szCs w:val="26"/>
        </w:rPr>
        <w:t xml:space="preserve">prior </w:t>
      </w:r>
      <w:r w:rsidRPr="00305B7C">
        <w:rPr>
          <w:sz w:val="26"/>
          <w:szCs w:val="26"/>
        </w:rPr>
        <w:t xml:space="preserve">Company-issued payment arrangements. </w:t>
      </w:r>
    </w:p>
    <w:p w:rsidR="00305B7C" w:rsidRPr="00305B7C" w:rsidRDefault="00305B7C" w:rsidP="008A0D31">
      <w:pPr>
        <w:widowControl/>
        <w:spacing w:line="360" w:lineRule="auto"/>
        <w:rPr>
          <w:sz w:val="26"/>
          <w:szCs w:val="26"/>
        </w:rPr>
      </w:pPr>
    </w:p>
    <w:p w:rsidR="00305B7C" w:rsidRDefault="00314697" w:rsidP="008A0D31">
      <w:pPr>
        <w:widowControl/>
        <w:spacing w:line="360" w:lineRule="auto"/>
        <w:rPr>
          <w:sz w:val="26"/>
          <w:szCs w:val="26"/>
        </w:rPr>
      </w:pPr>
      <w:r>
        <w:rPr>
          <w:sz w:val="26"/>
          <w:szCs w:val="26"/>
        </w:rPr>
        <w:tab/>
      </w:r>
      <w:r>
        <w:rPr>
          <w:sz w:val="26"/>
          <w:szCs w:val="26"/>
        </w:rPr>
        <w:tab/>
        <w:t>On February 20, 2014, t</w:t>
      </w:r>
      <w:r w:rsidR="00ED2C94">
        <w:rPr>
          <w:sz w:val="26"/>
          <w:szCs w:val="26"/>
        </w:rPr>
        <w:t>he</w:t>
      </w:r>
      <w:r>
        <w:rPr>
          <w:sz w:val="26"/>
          <w:szCs w:val="26"/>
        </w:rPr>
        <w:t xml:space="preserve"> Initial H</w:t>
      </w:r>
      <w:r w:rsidR="00ED2C94">
        <w:rPr>
          <w:sz w:val="26"/>
          <w:szCs w:val="26"/>
        </w:rPr>
        <w:t xml:space="preserve">earing convened </w:t>
      </w:r>
      <w:r w:rsidR="00305B7C" w:rsidRPr="00305B7C">
        <w:rPr>
          <w:sz w:val="26"/>
          <w:szCs w:val="26"/>
        </w:rPr>
        <w:t xml:space="preserve">as scheduled.  </w:t>
      </w:r>
      <w:r w:rsidR="00ED2C94">
        <w:rPr>
          <w:sz w:val="26"/>
          <w:szCs w:val="26"/>
        </w:rPr>
        <w:t xml:space="preserve">The </w:t>
      </w:r>
      <w:r w:rsidR="00305B7C" w:rsidRPr="00305B7C">
        <w:rPr>
          <w:sz w:val="26"/>
          <w:szCs w:val="26"/>
        </w:rPr>
        <w:t>Complainant appea</w:t>
      </w:r>
      <w:r w:rsidR="00ED2C94">
        <w:rPr>
          <w:sz w:val="26"/>
          <w:szCs w:val="26"/>
        </w:rPr>
        <w:t xml:space="preserve">red </w:t>
      </w:r>
      <w:r w:rsidR="00ED2C94" w:rsidRPr="00314697">
        <w:rPr>
          <w:i/>
          <w:sz w:val="26"/>
          <w:szCs w:val="26"/>
        </w:rPr>
        <w:t>pro se</w:t>
      </w:r>
      <w:r w:rsidR="00ED2C94">
        <w:rPr>
          <w:sz w:val="26"/>
          <w:szCs w:val="26"/>
        </w:rPr>
        <w:t xml:space="preserve"> and presented testimony.  PECO appeared represented and presented one witness and nine exhibits.  </w:t>
      </w:r>
      <w:r w:rsidR="00305B7C" w:rsidRPr="00305B7C">
        <w:rPr>
          <w:sz w:val="26"/>
          <w:szCs w:val="26"/>
        </w:rPr>
        <w:t>The r</w:t>
      </w:r>
      <w:r w:rsidR="008A0D31">
        <w:rPr>
          <w:sz w:val="26"/>
          <w:szCs w:val="26"/>
        </w:rPr>
        <w:t>ecord closed on March 12, 2014.</w:t>
      </w:r>
    </w:p>
    <w:p w:rsidR="000E3760" w:rsidRDefault="000E3760" w:rsidP="008A0D31">
      <w:pPr>
        <w:widowControl/>
        <w:spacing w:line="360" w:lineRule="auto"/>
        <w:rPr>
          <w:sz w:val="26"/>
          <w:szCs w:val="26"/>
        </w:rPr>
      </w:pPr>
    </w:p>
    <w:p w:rsidR="000E3760" w:rsidRPr="00305B7C" w:rsidRDefault="000E3760" w:rsidP="008A0D31">
      <w:pPr>
        <w:widowControl/>
        <w:spacing w:line="360" w:lineRule="auto"/>
        <w:rPr>
          <w:sz w:val="26"/>
          <w:szCs w:val="26"/>
        </w:rPr>
      </w:pPr>
      <w:r>
        <w:rPr>
          <w:sz w:val="26"/>
          <w:szCs w:val="26"/>
        </w:rPr>
        <w:tab/>
      </w:r>
      <w:r>
        <w:rPr>
          <w:sz w:val="26"/>
          <w:szCs w:val="26"/>
        </w:rPr>
        <w:tab/>
        <w:t>On June 2, 2014, the ALJ issued an Initial Decision in which she found that the Complainant was ineligible for a payment arrangement and dismissed the</w:t>
      </w:r>
      <w:r w:rsidR="003C1EF0">
        <w:rPr>
          <w:sz w:val="26"/>
          <w:szCs w:val="26"/>
        </w:rPr>
        <w:t xml:space="preserve"> Complaint.  As previously indicated</w:t>
      </w:r>
      <w:r>
        <w:rPr>
          <w:sz w:val="26"/>
          <w:szCs w:val="26"/>
        </w:rPr>
        <w:t>, the Complainant filed Ex</w:t>
      </w:r>
      <w:r w:rsidR="00721AF3">
        <w:rPr>
          <w:sz w:val="26"/>
          <w:szCs w:val="26"/>
        </w:rPr>
        <w:t>ceptions on June 16, 2014</w:t>
      </w:r>
      <w:r w:rsidR="00290596">
        <w:rPr>
          <w:rStyle w:val="FootnoteReference"/>
          <w:sz w:val="26"/>
          <w:szCs w:val="26"/>
        </w:rPr>
        <w:footnoteReference w:id="2"/>
      </w:r>
      <w:r w:rsidR="00721AF3">
        <w:rPr>
          <w:sz w:val="26"/>
          <w:szCs w:val="26"/>
        </w:rPr>
        <w:t xml:space="preserve"> and PECO filed Replies to Exceptions on June 30, 2014</w:t>
      </w:r>
      <w:r w:rsidR="00EE7949">
        <w:rPr>
          <w:sz w:val="26"/>
          <w:szCs w:val="26"/>
        </w:rPr>
        <w:t>.</w:t>
      </w:r>
    </w:p>
    <w:bookmarkEnd w:id="0"/>
    <w:bookmarkEnd w:id="1"/>
    <w:p w:rsidR="00CA43A5" w:rsidRDefault="00CA43A5" w:rsidP="008A0D31">
      <w:pPr>
        <w:widowControl/>
        <w:spacing w:line="360" w:lineRule="auto"/>
        <w:jc w:val="center"/>
        <w:rPr>
          <w:b/>
          <w:sz w:val="26"/>
          <w:szCs w:val="26"/>
          <w:u w:val="single"/>
        </w:rPr>
      </w:pPr>
    </w:p>
    <w:p w:rsidR="00CA43A5" w:rsidRDefault="00CA43A5" w:rsidP="008A0D31">
      <w:pPr>
        <w:keepNext/>
        <w:widowControl/>
        <w:spacing w:line="360" w:lineRule="auto"/>
        <w:jc w:val="center"/>
        <w:rPr>
          <w:b/>
          <w:sz w:val="26"/>
          <w:szCs w:val="26"/>
        </w:rPr>
      </w:pPr>
      <w:r w:rsidRPr="00CA43A5">
        <w:rPr>
          <w:b/>
          <w:sz w:val="26"/>
          <w:szCs w:val="26"/>
        </w:rPr>
        <w:lastRenderedPageBreak/>
        <w:t>Discussion</w:t>
      </w:r>
    </w:p>
    <w:p w:rsidR="00EE7949" w:rsidRPr="00CA43A5" w:rsidRDefault="00EE7949" w:rsidP="008A0D31">
      <w:pPr>
        <w:keepNext/>
        <w:widowControl/>
        <w:spacing w:line="360" w:lineRule="auto"/>
        <w:jc w:val="center"/>
        <w:rPr>
          <w:sz w:val="26"/>
          <w:szCs w:val="26"/>
        </w:rPr>
      </w:pPr>
    </w:p>
    <w:p w:rsidR="0043592C" w:rsidRDefault="007F7270" w:rsidP="008A0D31">
      <w:pPr>
        <w:keepNext/>
        <w:widowControl/>
        <w:spacing w:line="360" w:lineRule="auto"/>
        <w:contextualSpacing/>
        <w:rPr>
          <w:b/>
          <w:sz w:val="26"/>
          <w:szCs w:val="26"/>
        </w:rPr>
      </w:pPr>
      <w:r w:rsidRPr="00D36748">
        <w:rPr>
          <w:b/>
          <w:sz w:val="26"/>
          <w:szCs w:val="26"/>
        </w:rPr>
        <w:t>Legal Standards</w:t>
      </w:r>
    </w:p>
    <w:p w:rsidR="00EE7949" w:rsidRPr="00EE7949" w:rsidRDefault="00EE7949" w:rsidP="008A0D31">
      <w:pPr>
        <w:keepNext/>
        <w:widowControl/>
        <w:spacing w:line="360" w:lineRule="auto"/>
        <w:contextualSpacing/>
        <w:rPr>
          <w:b/>
          <w:sz w:val="26"/>
          <w:szCs w:val="26"/>
        </w:rPr>
      </w:pPr>
    </w:p>
    <w:p w:rsidR="004A0DDA" w:rsidRPr="004A0DDA" w:rsidRDefault="004A0DDA" w:rsidP="008A0D31">
      <w:pPr>
        <w:widowControl/>
        <w:spacing w:line="360" w:lineRule="auto"/>
        <w:ind w:firstLine="1440"/>
        <w:rPr>
          <w:sz w:val="26"/>
          <w:szCs w:val="26"/>
        </w:rPr>
      </w:pPr>
      <w:r w:rsidRPr="004A0DDA">
        <w:rPr>
          <w:sz w:val="26"/>
          <w:szCs w:val="26"/>
        </w:rPr>
        <w:t xml:space="preserve">As the proponent of a rule or order, the Complainant in this proceeding bears the burden of proof pursuant to Section 332(a) of the Public Utility Code (Code).  </w:t>
      </w:r>
      <w:proofErr w:type="gramStart"/>
      <w:r w:rsidRPr="004A0DDA">
        <w:rPr>
          <w:sz w:val="26"/>
          <w:szCs w:val="26"/>
        </w:rPr>
        <w:t>66 Pa. C.S. § 332(a).</w:t>
      </w:r>
      <w:proofErr w:type="gramEnd"/>
      <w:r w:rsidRPr="004A0DDA">
        <w:rPr>
          <w:sz w:val="26"/>
          <w:szCs w:val="26"/>
        </w:rPr>
        <w:t xml:space="preserve">  To establish a sufficient case and satisfy the burden of proof, the Complainant must show that the Respondent is responsible or accountable for the problem described in the Complaint.  </w:t>
      </w:r>
      <w:proofErr w:type="gramStart"/>
      <w:r w:rsidRPr="004A0DDA">
        <w:rPr>
          <w:i/>
          <w:sz w:val="26"/>
          <w:szCs w:val="26"/>
        </w:rPr>
        <w:t>Patterson v.</w:t>
      </w:r>
      <w:proofErr w:type="gramEnd"/>
      <w:r w:rsidRPr="004A0DDA">
        <w:rPr>
          <w:i/>
          <w:sz w:val="26"/>
          <w:szCs w:val="26"/>
        </w:rPr>
        <w:t xml:space="preserve"> </w:t>
      </w:r>
      <w:proofErr w:type="gramStart"/>
      <w:r w:rsidRPr="004A0DDA">
        <w:rPr>
          <w:i/>
          <w:sz w:val="26"/>
          <w:szCs w:val="26"/>
        </w:rPr>
        <w:t>The Bell Telephone Company of Pennsylvania</w:t>
      </w:r>
      <w:r w:rsidRPr="004A0DDA">
        <w:rPr>
          <w:sz w:val="26"/>
          <w:szCs w:val="26"/>
        </w:rPr>
        <w:t>, 72 Pa. P.U.C. 196 (1990).</w:t>
      </w:r>
      <w:proofErr w:type="gramEnd"/>
      <w:r w:rsidRPr="004A0DDA">
        <w:rPr>
          <w:sz w:val="26"/>
          <w:szCs w:val="26"/>
        </w:rPr>
        <w:t xml:space="preserve">  Such a showing must be by a preponderance of the evidence.  </w:t>
      </w:r>
      <w:proofErr w:type="gramStart"/>
      <w:r w:rsidRPr="004A0DDA">
        <w:rPr>
          <w:i/>
          <w:iCs/>
          <w:sz w:val="26"/>
          <w:szCs w:val="26"/>
        </w:rPr>
        <w:t>Samuel J. Lansberry, Inc. v. Pa. PUC</w:t>
      </w:r>
      <w:r w:rsidRPr="004A0DDA">
        <w:rPr>
          <w:sz w:val="26"/>
          <w:szCs w:val="26"/>
        </w:rPr>
        <w:t xml:space="preserve">, 578 A.2d 600 (Pa. Cmwlth. 1990), </w:t>
      </w:r>
      <w:r w:rsidRPr="004A0DDA">
        <w:rPr>
          <w:i/>
          <w:sz w:val="26"/>
          <w:szCs w:val="26"/>
        </w:rPr>
        <w:t>alloc.</w:t>
      </w:r>
      <w:proofErr w:type="gramEnd"/>
      <w:r w:rsidRPr="004A0DDA">
        <w:rPr>
          <w:i/>
          <w:sz w:val="26"/>
          <w:szCs w:val="26"/>
        </w:rPr>
        <w:t xml:space="preserve"> </w:t>
      </w:r>
      <w:proofErr w:type="gramStart"/>
      <w:r w:rsidRPr="004A0DDA">
        <w:rPr>
          <w:i/>
          <w:sz w:val="26"/>
          <w:szCs w:val="26"/>
        </w:rPr>
        <w:t>denied</w:t>
      </w:r>
      <w:proofErr w:type="gramEnd"/>
      <w:r w:rsidRPr="004A0DDA">
        <w:rPr>
          <w:i/>
          <w:sz w:val="26"/>
          <w:szCs w:val="26"/>
        </w:rPr>
        <w:t>,</w:t>
      </w:r>
      <w:r w:rsidRPr="004A0DDA">
        <w:rPr>
          <w:sz w:val="26"/>
          <w:szCs w:val="26"/>
        </w:rPr>
        <w:t xml:space="preserve"> 529 Pa. 654, 602 A.2d 863 (1992).  That is, the Complainant’s evidence must be more convincing, by even the smallest amount, than that presented by the Respondent.  </w:t>
      </w:r>
      <w:proofErr w:type="gramStart"/>
      <w:r w:rsidRPr="004A0DDA">
        <w:rPr>
          <w:i/>
          <w:sz w:val="26"/>
          <w:szCs w:val="26"/>
        </w:rPr>
        <w:t>Se-Ling Hosiery, Inc. v. Margulies</w:t>
      </w:r>
      <w:r w:rsidRPr="004A0DDA">
        <w:rPr>
          <w:sz w:val="26"/>
          <w:szCs w:val="26"/>
        </w:rPr>
        <w:t>, 364 Pa. 45, 70 A.2d 854 (1950).</w:t>
      </w:r>
      <w:proofErr w:type="gramEnd"/>
      <w:r w:rsidRPr="004A0DDA">
        <w:rPr>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4A0DDA">
        <w:rPr>
          <w:i/>
          <w:sz w:val="26"/>
          <w:szCs w:val="26"/>
        </w:rPr>
        <w:t xml:space="preserve">Norfolk &amp; Western Ry. Co. v. Pa. PUC, </w:t>
      </w:r>
      <w:r w:rsidRPr="004A0DDA">
        <w:rPr>
          <w:sz w:val="26"/>
          <w:szCs w:val="26"/>
        </w:rPr>
        <w:t>489 Pa. 109, 413 A.2d 1037 (1980).</w:t>
      </w:r>
      <w:proofErr w:type="gramEnd"/>
    </w:p>
    <w:p w:rsidR="004A0DDA" w:rsidRPr="004A0DDA" w:rsidRDefault="004A0DDA" w:rsidP="008A0D31">
      <w:pPr>
        <w:widowControl/>
        <w:spacing w:line="360" w:lineRule="auto"/>
        <w:ind w:firstLine="1440"/>
        <w:rPr>
          <w:sz w:val="26"/>
          <w:szCs w:val="26"/>
        </w:rPr>
      </w:pPr>
    </w:p>
    <w:p w:rsidR="004A0DDA" w:rsidRPr="004A0DDA" w:rsidRDefault="004A0DDA" w:rsidP="008A0D31">
      <w:pPr>
        <w:widowControl/>
        <w:spacing w:line="360" w:lineRule="auto"/>
        <w:ind w:firstLine="1440"/>
        <w:rPr>
          <w:i/>
          <w:sz w:val="26"/>
          <w:szCs w:val="26"/>
        </w:rPr>
      </w:pPr>
      <w:r w:rsidRPr="004A0DDA">
        <w:rPr>
          <w:sz w:val="26"/>
          <w:szCs w:val="26"/>
        </w:rPr>
        <w:t>Upon the presentation by the Complainant of evidence sufficient to initially satisfy the burden of proof, the burden of going forward with the evidence to reb</w:t>
      </w:r>
      <w:r w:rsidR="00925D9E">
        <w:rPr>
          <w:sz w:val="26"/>
          <w:szCs w:val="26"/>
        </w:rPr>
        <w:t>ut the evidence of the C</w:t>
      </w:r>
      <w:r w:rsidRPr="004A0DDA">
        <w:rPr>
          <w:sz w:val="26"/>
          <w:szCs w:val="26"/>
        </w:rPr>
        <w:t xml:space="preserve">omplainant shifts to the Respondent.  If the evidence presented by the Respondent is of co-equal value or “weight,” the burden of proof has not been satisfied. The Complainant now has to provide some additional evidence to rebut that of the Respondent. </w:t>
      </w:r>
      <w:r w:rsidRPr="004A0DDA">
        <w:rPr>
          <w:iCs/>
          <w:sz w:val="26"/>
          <w:szCs w:val="26"/>
        </w:rPr>
        <w:t xml:space="preserve"> </w:t>
      </w:r>
      <w:r w:rsidRPr="00CF692A">
        <w:rPr>
          <w:i/>
          <w:iCs/>
          <w:sz w:val="26"/>
          <w:szCs w:val="26"/>
        </w:rPr>
        <w:t>Burleson v. Pa. PUC,</w:t>
      </w:r>
      <w:r w:rsidRPr="00CF692A">
        <w:rPr>
          <w:iCs/>
          <w:sz w:val="26"/>
          <w:szCs w:val="26"/>
        </w:rPr>
        <w:t xml:space="preserve"> 443 A.2d 1373 (Pa. Cmwlth. 1982), </w:t>
      </w:r>
      <w:r w:rsidRPr="00CF692A">
        <w:rPr>
          <w:i/>
          <w:iCs/>
          <w:sz w:val="26"/>
          <w:szCs w:val="26"/>
        </w:rPr>
        <w:t>aff’d,</w:t>
      </w:r>
      <w:r w:rsidRPr="00CF692A">
        <w:rPr>
          <w:iCs/>
          <w:sz w:val="26"/>
          <w:szCs w:val="26"/>
        </w:rPr>
        <w:t xml:space="preserve"> 501 Pa. 433, 461 A.2d 1234 (1983).</w:t>
      </w:r>
    </w:p>
    <w:p w:rsidR="004A0DDA" w:rsidRPr="004A0DDA" w:rsidRDefault="004A0DDA" w:rsidP="008A0D31">
      <w:pPr>
        <w:widowControl/>
        <w:spacing w:line="360" w:lineRule="auto"/>
        <w:ind w:firstLine="1440"/>
        <w:rPr>
          <w:sz w:val="26"/>
          <w:szCs w:val="26"/>
        </w:rPr>
      </w:pPr>
    </w:p>
    <w:p w:rsidR="004A0DDA" w:rsidRDefault="004A0DDA" w:rsidP="008A0D31">
      <w:pPr>
        <w:widowControl/>
        <w:spacing w:line="360" w:lineRule="auto"/>
        <w:ind w:firstLine="1440"/>
        <w:rPr>
          <w:sz w:val="26"/>
          <w:szCs w:val="26"/>
        </w:rPr>
      </w:pPr>
      <w:r w:rsidRPr="004A0DDA">
        <w:rPr>
          <w:sz w:val="26"/>
          <w:szCs w:val="26"/>
        </w:rPr>
        <w:t xml:space="preserve">While the burden of going forward with the evidence may shift back and forth during a proceeding, the burden of proof never shifts. The burden of proof always </w:t>
      </w:r>
      <w:r w:rsidRPr="004A0DDA">
        <w:rPr>
          <w:sz w:val="26"/>
          <w:szCs w:val="26"/>
        </w:rPr>
        <w:lastRenderedPageBreak/>
        <w:t xml:space="preserve">remains on the party seeking affirmative relief from the Commission.  </w:t>
      </w:r>
      <w:proofErr w:type="gramStart"/>
      <w:r w:rsidRPr="004A0DDA">
        <w:rPr>
          <w:i/>
          <w:sz w:val="26"/>
          <w:szCs w:val="26"/>
        </w:rPr>
        <w:t xml:space="preserve">Milkie v. Pa. PUC, </w:t>
      </w:r>
      <w:r w:rsidRPr="004A0DDA">
        <w:rPr>
          <w:sz w:val="26"/>
          <w:szCs w:val="26"/>
        </w:rPr>
        <w:t>768 A.2d 1217 (Pa. Cmwlth. 2001).</w:t>
      </w:r>
      <w:proofErr w:type="gramEnd"/>
    </w:p>
    <w:p w:rsidR="000E1DC5" w:rsidRPr="00CE002A" w:rsidRDefault="000E1DC5" w:rsidP="008A0D31">
      <w:pPr>
        <w:widowControl/>
        <w:spacing w:line="360" w:lineRule="auto"/>
        <w:ind w:firstLine="1440"/>
        <w:rPr>
          <w:i/>
          <w:sz w:val="26"/>
          <w:szCs w:val="26"/>
        </w:rPr>
      </w:pPr>
    </w:p>
    <w:p w:rsidR="001F6FFF" w:rsidRDefault="004A0DDA" w:rsidP="008A0D31">
      <w:pPr>
        <w:widowControl/>
        <w:spacing w:line="360" w:lineRule="auto"/>
        <w:ind w:firstLine="1440"/>
        <w:rPr>
          <w:sz w:val="26"/>
          <w:szCs w:val="26"/>
        </w:rPr>
      </w:pPr>
      <w:r w:rsidRPr="004A0DDA">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proofErr w:type="gramStart"/>
      <w:r w:rsidRPr="00CF692A">
        <w:rPr>
          <w:i/>
          <w:iCs/>
          <w:sz w:val="26"/>
          <w:szCs w:val="26"/>
        </w:rPr>
        <w:t xml:space="preserve">Consolidated Rail Corp. v. Pa. PUC, </w:t>
      </w:r>
      <w:r w:rsidRPr="00CF692A">
        <w:rPr>
          <w:sz w:val="26"/>
          <w:szCs w:val="26"/>
        </w:rPr>
        <w:t>625 A.2d 741 (Pa. Cmwlth. 1993);</w:t>
      </w:r>
      <w:r w:rsidRPr="004A0DDA">
        <w:rPr>
          <w:sz w:val="26"/>
          <w:szCs w:val="26"/>
        </w:rPr>
        <w:t xml:space="preserve"> </w:t>
      </w:r>
      <w:r w:rsidRPr="004A0DDA">
        <w:rPr>
          <w:i/>
          <w:sz w:val="26"/>
          <w:szCs w:val="26"/>
        </w:rPr>
        <w:t xml:space="preserve">also </w:t>
      </w:r>
      <w:r w:rsidRPr="004A0DDA">
        <w:rPr>
          <w:i/>
          <w:iCs/>
          <w:sz w:val="26"/>
          <w:szCs w:val="26"/>
        </w:rPr>
        <w:t xml:space="preserve">see, generally, </w:t>
      </w:r>
      <w:r w:rsidRPr="00CF692A">
        <w:rPr>
          <w:i/>
          <w:iCs/>
          <w:sz w:val="26"/>
          <w:szCs w:val="26"/>
        </w:rPr>
        <w:t>University of Pennsylvania v. Pa. PUC</w:t>
      </w:r>
      <w:r w:rsidRPr="00CF692A">
        <w:rPr>
          <w:sz w:val="26"/>
          <w:szCs w:val="26"/>
        </w:rPr>
        <w:t>, 485 A.2d 1217 (Pa. Cmwlth. 1984).</w:t>
      </w:r>
      <w:proofErr w:type="gramEnd"/>
      <w:r w:rsidRPr="004A0DDA">
        <w:rPr>
          <w:sz w:val="26"/>
          <w:szCs w:val="26"/>
        </w:rPr>
        <w:t xml:space="preserve"> </w:t>
      </w:r>
    </w:p>
    <w:p w:rsidR="00006F35" w:rsidRDefault="00006F35" w:rsidP="008A0D31">
      <w:pPr>
        <w:widowControl/>
        <w:spacing w:line="360" w:lineRule="auto"/>
        <w:ind w:firstLine="1440"/>
        <w:rPr>
          <w:sz w:val="26"/>
          <w:szCs w:val="26"/>
        </w:rPr>
      </w:pPr>
    </w:p>
    <w:p w:rsidR="00006F35" w:rsidRDefault="00802E4F" w:rsidP="008A0D31">
      <w:pPr>
        <w:widowControl/>
        <w:spacing w:line="360" w:lineRule="auto"/>
        <w:rPr>
          <w:b/>
          <w:sz w:val="26"/>
          <w:szCs w:val="26"/>
        </w:rPr>
      </w:pPr>
      <w:r>
        <w:rPr>
          <w:b/>
          <w:sz w:val="26"/>
          <w:szCs w:val="26"/>
        </w:rPr>
        <w:t>ALJ’s Initial Decision</w:t>
      </w:r>
    </w:p>
    <w:p w:rsidR="00802E4F" w:rsidRDefault="00802E4F" w:rsidP="008A0D31">
      <w:pPr>
        <w:widowControl/>
        <w:spacing w:line="360" w:lineRule="auto"/>
        <w:ind w:firstLine="1440"/>
        <w:rPr>
          <w:b/>
          <w:sz w:val="26"/>
          <w:szCs w:val="26"/>
        </w:rPr>
      </w:pPr>
    </w:p>
    <w:p w:rsidR="00802E4F" w:rsidRDefault="00EF6CF1" w:rsidP="008A0D31">
      <w:pPr>
        <w:widowControl/>
        <w:spacing w:line="360" w:lineRule="auto"/>
        <w:ind w:firstLine="1440"/>
        <w:rPr>
          <w:sz w:val="26"/>
          <w:szCs w:val="26"/>
        </w:rPr>
      </w:pPr>
      <w:r>
        <w:rPr>
          <w:sz w:val="26"/>
          <w:szCs w:val="26"/>
        </w:rPr>
        <w:t>ALJ Davis Heep made eight</w:t>
      </w:r>
      <w:r w:rsidR="00802E4F" w:rsidRPr="00CA43A5">
        <w:rPr>
          <w:sz w:val="26"/>
          <w:szCs w:val="26"/>
        </w:rPr>
        <w:t xml:space="preserve"> Find</w:t>
      </w:r>
      <w:r>
        <w:rPr>
          <w:sz w:val="26"/>
          <w:szCs w:val="26"/>
        </w:rPr>
        <w:t>ings of Fact and reached two</w:t>
      </w:r>
      <w:r w:rsidR="00802E4F" w:rsidRPr="00CA43A5">
        <w:rPr>
          <w:sz w:val="26"/>
          <w:szCs w:val="26"/>
        </w:rPr>
        <w:t xml:space="preserve"> Conclusions of Law.  </w:t>
      </w:r>
      <w:proofErr w:type="gramStart"/>
      <w:r>
        <w:rPr>
          <w:sz w:val="26"/>
          <w:szCs w:val="26"/>
        </w:rPr>
        <w:t>I.D. at 2-3 and 5.</w:t>
      </w:r>
      <w:proofErr w:type="gramEnd"/>
      <w:r>
        <w:rPr>
          <w:sz w:val="26"/>
          <w:szCs w:val="26"/>
        </w:rPr>
        <w:t xml:space="preserve">  </w:t>
      </w:r>
      <w:r w:rsidR="00802E4F"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D226A2" w:rsidRDefault="00D226A2" w:rsidP="008A0D31">
      <w:pPr>
        <w:widowControl/>
        <w:spacing w:line="360" w:lineRule="auto"/>
        <w:ind w:firstLine="1440"/>
        <w:rPr>
          <w:sz w:val="26"/>
          <w:szCs w:val="26"/>
        </w:rPr>
      </w:pPr>
    </w:p>
    <w:p w:rsidR="00D226A2" w:rsidRPr="00CA43A5" w:rsidRDefault="00464B97" w:rsidP="008A0D31">
      <w:pPr>
        <w:widowControl/>
        <w:spacing w:line="360" w:lineRule="auto"/>
        <w:ind w:firstLine="1440"/>
        <w:rPr>
          <w:sz w:val="26"/>
          <w:szCs w:val="26"/>
        </w:rPr>
      </w:pPr>
      <w:r>
        <w:rPr>
          <w:sz w:val="26"/>
          <w:szCs w:val="26"/>
        </w:rPr>
        <w:t>The ALJ noted that the Complainant did not dispute PECO’s charges but rather requested a payment arrangement on her past due balance of $5,452.37</w:t>
      </w:r>
      <w:r w:rsidR="00314697">
        <w:rPr>
          <w:sz w:val="26"/>
          <w:szCs w:val="26"/>
        </w:rPr>
        <w:t xml:space="preserve">.  </w:t>
      </w:r>
      <w:proofErr w:type="gramStart"/>
      <w:r w:rsidR="00314697">
        <w:rPr>
          <w:sz w:val="26"/>
          <w:szCs w:val="26"/>
        </w:rPr>
        <w:t>I.D. at 3.</w:t>
      </w:r>
      <w:proofErr w:type="gramEnd"/>
      <w:r w:rsidR="00314697">
        <w:rPr>
          <w:sz w:val="26"/>
          <w:szCs w:val="26"/>
        </w:rPr>
        <w:t xml:space="preserve">  She</w:t>
      </w:r>
      <w:r w:rsidR="002D3751">
        <w:rPr>
          <w:sz w:val="26"/>
          <w:szCs w:val="26"/>
        </w:rPr>
        <w:t xml:space="preserve"> found that the Complainant was ineligible for a payment arrangement because she had defaulted on a previously issued payment arrangement and h</w:t>
      </w:r>
      <w:r w:rsidR="00F802F0">
        <w:rPr>
          <w:sz w:val="26"/>
          <w:szCs w:val="26"/>
        </w:rPr>
        <w:t>ad not experienced a</w:t>
      </w:r>
      <w:r w:rsidR="002D3751">
        <w:rPr>
          <w:sz w:val="26"/>
          <w:szCs w:val="26"/>
        </w:rPr>
        <w:t xml:space="preserve"> change in income</w:t>
      </w:r>
      <w:r w:rsidR="00F802F0">
        <w:rPr>
          <w:sz w:val="26"/>
          <w:szCs w:val="26"/>
        </w:rPr>
        <w:t xml:space="preserve"> as defined by 66 Pa. C.S § 1403</w:t>
      </w:r>
      <w:r w:rsidR="002D3751">
        <w:rPr>
          <w:sz w:val="26"/>
          <w:szCs w:val="26"/>
        </w:rPr>
        <w:t>.  The ALJ further found that the Complainant had demonstrated a very poor payment</w:t>
      </w:r>
      <w:r w:rsidR="00314697">
        <w:rPr>
          <w:sz w:val="26"/>
          <w:szCs w:val="26"/>
        </w:rPr>
        <w:t xml:space="preserve"> history by defaulting on five </w:t>
      </w:r>
      <w:proofErr w:type="gramStart"/>
      <w:r w:rsidR="00314697">
        <w:rPr>
          <w:sz w:val="26"/>
          <w:szCs w:val="26"/>
        </w:rPr>
        <w:t>C</w:t>
      </w:r>
      <w:r w:rsidR="002D3751">
        <w:rPr>
          <w:sz w:val="26"/>
          <w:szCs w:val="26"/>
        </w:rPr>
        <w:t>ompany</w:t>
      </w:r>
      <w:proofErr w:type="gramEnd"/>
      <w:r w:rsidR="002D3751">
        <w:rPr>
          <w:sz w:val="26"/>
          <w:szCs w:val="26"/>
        </w:rPr>
        <w:t xml:space="preserve"> issued paym</w:t>
      </w:r>
      <w:r w:rsidR="00314697">
        <w:rPr>
          <w:sz w:val="26"/>
          <w:szCs w:val="26"/>
        </w:rPr>
        <w:t>ent arrangements in three years</w:t>
      </w:r>
      <w:r w:rsidR="0046698E">
        <w:rPr>
          <w:sz w:val="26"/>
          <w:szCs w:val="26"/>
        </w:rPr>
        <w:t xml:space="preserve"> and </w:t>
      </w:r>
      <w:r w:rsidR="00314697">
        <w:rPr>
          <w:sz w:val="26"/>
          <w:szCs w:val="26"/>
        </w:rPr>
        <w:t>that</w:t>
      </w:r>
      <w:r w:rsidR="002D3751">
        <w:rPr>
          <w:sz w:val="26"/>
          <w:szCs w:val="26"/>
        </w:rPr>
        <w:t xml:space="preserve"> some of the arrearages</w:t>
      </w:r>
      <w:r w:rsidR="0046698E">
        <w:rPr>
          <w:sz w:val="26"/>
          <w:szCs w:val="26"/>
        </w:rPr>
        <w:t>, which</w:t>
      </w:r>
      <w:r w:rsidR="002D3751">
        <w:rPr>
          <w:sz w:val="26"/>
          <w:szCs w:val="26"/>
        </w:rPr>
        <w:t xml:space="preserve"> were accrued while she was in PECO’s customer assistance program</w:t>
      </w:r>
      <w:r w:rsidR="0046698E">
        <w:rPr>
          <w:sz w:val="26"/>
          <w:szCs w:val="26"/>
        </w:rPr>
        <w:t xml:space="preserve">, </w:t>
      </w:r>
      <w:r w:rsidR="002D3751">
        <w:rPr>
          <w:sz w:val="26"/>
          <w:szCs w:val="26"/>
        </w:rPr>
        <w:t>were ineligible for a payment arrangement</w:t>
      </w:r>
      <w:r w:rsidR="0046698E">
        <w:rPr>
          <w:sz w:val="26"/>
          <w:szCs w:val="26"/>
        </w:rPr>
        <w:t>.</w:t>
      </w:r>
      <w:r w:rsidR="002D3751">
        <w:rPr>
          <w:sz w:val="26"/>
          <w:szCs w:val="26"/>
        </w:rPr>
        <w:t xml:space="preserve">  I.D. at 4-5. </w:t>
      </w:r>
    </w:p>
    <w:p w:rsidR="00802E4F" w:rsidRDefault="00802E4F" w:rsidP="008A0D31">
      <w:pPr>
        <w:widowControl/>
        <w:spacing w:line="360" w:lineRule="auto"/>
        <w:ind w:firstLine="1440"/>
        <w:rPr>
          <w:b/>
          <w:sz w:val="26"/>
          <w:szCs w:val="26"/>
        </w:rPr>
      </w:pPr>
    </w:p>
    <w:p w:rsidR="00006F35" w:rsidRDefault="00804BE4" w:rsidP="008A0D31">
      <w:pPr>
        <w:keepNext/>
        <w:widowControl/>
        <w:spacing w:line="360" w:lineRule="auto"/>
        <w:contextualSpacing/>
        <w:rPr>
          <w:b/>
          <w:sz w:val="26"/>
          <w:szCs w:val="26"/>
        </w:rPr>
      </w:pPr>
      <w:r>
        <w:rPr>
          <w:b/>
          <w:sz w:val="26"/>
          <w:szCs w:val="26"/>
        </w:rPr>
        <w:lastRenderedPageBreak/>
        <w:t>Exceptions, Replies and Disposition</w:t>
      </w:r>
    </w:p>
    <w:p w:rsidR="00D85D06" w:rsidRDefault="00D85D06" w:rsidP="008A0D31">
      <w:pPr>
        <w:keepNext/>
        <w:widowControl/>
        <w:spacing w:line="360" w:lineRule="auto"/>
        <w:contextualSpacing/>
        <w:rPr>
          <w:b/>
          <w:sz w:val="26"/>
          <w:szCs w:val="26"/>
        </w:rPr>
      </w:pPr>
    </w:p>
    <w:p w:rsidR="00D85D06" w:rsidRDefault="00D85D06" w:rsidP="008A0D31">
      <w:pPr>
        <w:keepNext/>
        <w:widowControl/>
        <w:spacing w:line="360" w:lineRule="auto"/>
        <w:contextualSpacing/>
        <w:rPr>
          <w:sz w:val="26"/>
          <w:szCs w:val="26"/>
        </w:rPr>
      </w:pPr>
      <w:r>
        <w:rPr>
          <w:sz w:val="26"/>
          <w:szCs w:val="26"/>
        </w:rPr>
        <w:tab/>
      </w:r>
      <w:r>
        <w:rPr>
          <w:sz w:val="26"/>
          <w:szCs w:val="26"/>
        </w:rPr>
        <w:tab/>
      </w:r>
      <w:r w:rsidR="004375B6">
        <w:rPr>
          <w:sz w:val="26"/>
          <w:szCs w:val="26"/>
        </w:rPr>
        <w:t>In her Exceptions, the Complainant states that she disagrees with the decision and again requests a payment arrangement.  She</w:t>
      </w:r>
      <w:r w:rsidR="00855ADE">
        <w:rPr>
          <w:sz w:val="26"/>
          <w:szCs w:val="26"/>
        </w:rPr>
        <w:t xml:space="preserve"> further</w:t>
      </w:r>
      <w:r w:rsidR="004375B6">
        <w:rPr>
          <w:sz w:val="26"/>
          <w:szCs w:val="26"/>
        </w:rPr>
        <w:t xml:space="preserve"> states that she does not dispute the past due balance but believes that she has a back balance because</w:t>
      </w:r>
      <w:r w:rsidR="007F60C7">
        <w:rPr>
          <w:sz w:val="26"/>
          <w:szCs w:val="26"/>
        </w:rPr>
        <w:t xml:space="preserve"> of</w:t>
      </w:r>
      <w:r w:rsidR="004375B6">
        <w:rPr>
          <w:sz w:val="26"/>
          <w:szCs w:val="26"/>
        </w:rPr>
        <w:t xml:space="preserve"> the high payment plans she was put on. </w:t>
      </w:r>
      <w:r w:rsidR="002B44D8">
        <w:rPr>
          <w:sz w:val="26"/>
          <w:szCs w:val="26"/>
        </w:rPr>
        <w:t xml:space="preserve">  </w:t>
      </w:r>
      <w:proofErr w:type="gramStart"/>
      <w:r w:rsidR="002B44D8">
        <w:rPr>
          <w:sz w:val="26"/>
          <w:szCs w:val="26"/>
        </w:rPr>
        <w:t>Exc. at 1.</w:t>
      </w:r>
      <w:proofErr w:type="gramEnd"/>
      <w:r w:rsidR="002B44D8">
        <w:rPr>
          <w:sz w:val="26"/>
          <w:szCs w:val="26"/>
        </w:rPr>
        <w:t xml:space="preserve"> </w:t>
      </w:r>
      <w:r w:rsidR="005D01EA">
        <w:rPr>
          <w:sz w:val="26"/>
          <w:szCs w:val="26"/>
        </w:rPr>
        <w:t xml:space="preserve"> </w:t>
      </w:r>
      <w:r w:rsidR="000415AC">
        <w:rPr>
          <w:sz w:val="26"/>
          <w:szCs w:val="26"/>
        </w:rPr>
        <w:t xml:space="preserve"> </w:t>
      </w:r>
      <w:r w:rsidR="00071818">
        <w:rPr>
          <w:sz w:val="26"/>
          <w:szCs w:val="26"/>
        </w:rPr>
        <w:t>In its Replies, PECO argues that the ALJ’s determination is correct and that the Commission cannot issue a payment arrangement for the Complainant.  PECO notes that she is ineligible for a Commission</w:t>
      </w:r>
      <w:r w:rsidR="006C7C13">
        <w:rPr>
          <w:sz w:val="26"/>
          <w:szCs w:val="26"/>
        </w:rPr>
        <w:t>-</w:t>
      </w:r>
      <w:r w:rsidR="00071818">
        <w:rPr>
          <w:sz w:val="26"/>
          <w:szCs w:val="26"/>
        </w:rPr>
        <w:t>issued payment arrangement because part of her arrearages were accrued under customer assistan</w:t>
      </w:r>
      <w:r w:rsidR="007F60C7">
        <w:rPr>
          <w:sz w:val="26"/>
          <w:szCs w:val="26"/>
        </w:rPr>
        <w:t>ce</w:t>
      </w:r>
      <w:r w:rsidR="00071818">
        <w:rPr>
          <w:sz w:val="26"/>
          <w:szCs w:val="26"/>
        </w:rPr>
        <w:t xml:space="preserve"> pro</w:t>
      </w:r>
      <w:r w:rsidR="00AD3FB8">
        <w:rPr>
          <w:sz w:val="26"/>
          <w:szCs w:val="26"/>
        </w:rPr>
        <w:t>gram rates,</w:t>
      </w:r>
      <w:r w:rsidR="00071818">
        <w:rPr>
          <w:sz w:val="26"/>
          <w:szCs w:val="26"/>
        </w:rPr>
        <w:t xml:space="preserve"> because she has previously defaulted on a Commission</w:t>
      </w:r>
      <w:r w:rsidR="006C7C13">
        <w:rPr>
          <w:sz w:val="26"/>
          <w:szCs w:val="26"/>
        </w:rPr>
        <w:t>-</w:t>
      </w:r>
      <w:r w:rsidR="00071818">
        <w:rPr>
          <w:sz w:val="26"/>
          <w:szCs w:val="26"/>
        </w:rPr>
        <w:t>issued payment arrangement</w:t>
      </w:r>
      <w:r w:rsidR="00AD3FB8">
        <w:rPr>
          <w:sz w:val="26"/>
          <w:szCs w:val="26"/>
        </w:rPr>
        <w:t>, and she has not experienced a sufficient decrease in income.  Finally, PECO avers that although the Complainant included a statement regarding a billing dispute in her Exceptions</w:t>
      </w:r>
      <w:r w:rsidR="00CE002A">
        <w:rPr>
          <w:sz w:val="26"/>
          <w:szCs w:val="26"/>
        </w:rPr>
        <w:t>, she</w:t>
      </w:r>
      <w:r w:rsidR="00AD3FB8">
        <w:rPr>
          <w:sz w:val="26"/>
          <w:szCs w:val="26"/>
        </w:rPr>
        <w:t xml:space="preserve"> did not allege this in her complaint or at the hearing and never disputed her balance.  R. Exc. at 2-3. </w:t>
      </w:r>
    </w:p>
    <w:p w:rsidR="00F4060C" w:rsidRDefault="00F4060C" w:rsidP="008A0D31">
      <w:pPr>
        <w:widowControl/>
        <w:spacing w:line="360" w:lineRule="auto"/>
        <w:contextualSpacing/>
        <w:rPr>
          <w:sz w:val="26"/>
          <w:szCs w:val="26"/>
        </w:rPr>
      </w:pPr>
    </w:p>
    <w:p w:rsidR="00CE002A" w:rsidRPr="00D85D06" w:rsidRDefault="00F4060C" w:rsidP="008A0D31">
      <w:pPr>
        <w:widowControl/>
        <w:spacing w:line="360" w:lineRule="auto"/>
        <w:contextualSpacing/>
        <w:rPr>
          <w:sz w:val="26"/>
          <w:szCs w:val="26"/>
        </w:rPr>
      </w:pPr>
      <w:r>
        <w:rPr>
          <w:sz w:val="26"/>
          <w:szCs w:val="26"/>
        </w:rPr>
        <w:tab/>
      </w:r>
      <w:r>
        <w:rPr>
          <w:sz w:val="26"/>
          <w:szCs w:val="26"/>
        </w:rPr>
        <w:tab/>
      </w:r>
      <w:r w:rsidR="002B44D8">
        <w:rPr>
          <w:sz w:val="26"/>
          <w:szCs w:val="26"/>
        </w:rPr>
        <w:t>We find that the Complainant is ineligible for a Commission-issued payment arrangement and will deny her Exceptions.  Absent a change in income, the Commission cannot</w:t>
      </w:r>
      <w:r w:rsidR="00C017D5">
        <w:rPr>
          <w:sz w:val="26"/>
          <w:szCs w:val="26"/>
        </w:rPr>
        <w:t xml:space="preserve"> establish a payment arrangement for a customer who has already defaulted on a previous payment arrangement.  </w:t>
      </w:r>
      <w:proofErr w:type="gramStart"/>
      <w:r w:rsidR="00C017D5">
        <w:rPr>
          <w:sz w:val="26"/>
          <w:szCs w:val="26"/>
        </w:rPr>
        <w:t>66 Pa. C.S. § 1405(d).</w:t>
      </w:r>
      <w:proofErr w:type="gramEnd"/>
      <w:r w:rsidR="00C017D5">
        <w:rPr>
          <w:sz w:val="26"/>
          <w:szCs w:val="26"/>
        </w:rPr>
        <w:t xml:space="preserve">  A change in income is defined as a decrease in household income of at least 10% for a customer whose income is 200% or less of the federal poverty level.  </w:t>
      </w:r>
      <w:proofErr w:type="gramStart"/>
      <w:r w:rsidR="00C017D5">
        <w:rPr>
          <w:sz w:val="26"/>
          <w:szCs w:val="26"/>
        </w:rPr>
        <w:t>66 Pa. C.S. § 1403.</w:t>
      </w:r>
      <w:proofErr w:type="gramEnd"/>
      <w:r w:rsidR="006A47AA">
        <w:rPr>
          <w:sz w:val="26"/>
          <w:szCs w:val="26"/>
        </w:rPr>
        <w:t xml:space="preserve">   Here, the Complainant defaulted on a payment arrangement </w:t>
      </w:r>
      <w:r w:rsidR="0046698E">
        <w:rPr>
          <w:sz w:val="26"/>
          <w:szCs w:val="26"/>
        </w:rPr>
        <w:t>that</w:t>
      </w:r>
      <w:r w:rsidR="006A47AA">
        <w:rPr>
          <w:sz w:val="26"/>
          <w:szCs w:val="26"/>
        </w:rPr>
        <w:t xml:space="preserve"> was issued by the Commission on September 25, 2008.  </w:t>
      </w:r>
      <w:proofErr w:type="gramStart"/>
      <w:r w:rsidR="006A47AA">
        <w:rPr>
          <w:sz w:val="26"/>
          <w:szCs w:val="26"/>
        </w:rPr>
        <w:t>Tr. at 18.</w:t>
      </w:r>
      <w:proofErr w:type="gramEnd"/>
      <w:r w:rsidR="006A47AA">
        <w:rPr>
          <w:sz w:val="26"/>
          <w:szCs w:val="26"/>
        </w:rPr>
        <w:t xml:space="preserve">  Although she</w:t>
      </w:r>
      <w:r w:rsidR="00F802F0">
        <w:rPr>
          <w:sz w:val="26"/>
          <w:szCs w:val="26"/>
        </w:rPr>
        <w:t xml:space="preserve"> has</w:t>
      </w:r>
      <w:r w:rsidR="006A47AA">
        <w:rPr>
          <w:sz w:val="26"/>
          <w:szCs w:val="26"/>
        </w:rPr>
        <w:t xml:space="preserve"> experienced </w:t>
      </w:r>
      <w:r w:rsidR="00F802F0">
        <w:rPr>
          <w:sz w:val="26"/>
          <w:szCs w:val="26"/>
        </w:rPr>
        <w:t>a decrease in income, it is only a 1.5% decrease, I.D. at 5, not the</w:t>
      </w:r>
      <w:r w:rsidR="003131BE">
        <w:rPr>
          <w:sz w:val="26"/>
          <w:szCs w:val="26"/>
        </w:rPr>
        <w:t xml:space="preserve"> 10% needed to be eligible for an award of</w:t>
      </w:r>
      <w:r w:rsidR="00F802F0">
        <w:rPr>
          <w:sz w:val="26"/>
          <w:szCs w:val="26"/>
        </w:rPr>
        <w:t xml:space="preserve"> a second payment arrangement. </w:t>
      </w:r>
      <w:r w:rsidR="0046698E">
        <w:rPr>
          <w:sz w:val="26"/>
          <w:szCs w:val="26"/>
        </w:rPr>
        <w:t xml:space="preserve"> With r</w:t>
      </w:r>
      <w:r w:rsidR="00461B42">
        <w:rPr>
          <w:sz w:val="26"/>
          <w:szCs w:val="26"/>
        </w:rPr>
        <w:t>egard</w:t>
      </w:r>
      <w:r w:rsidR="0046698E">
        <w:rPr>
          <w:sz w:val="26"/>
          <w:szCs w:val="26"/>
        </w:rPr>
        <w:t xml:space="preserve"> to</w:t>
      </w:r>
      <w:r w:rsidR="00461B42">
        <w:rPr>
          <w:sz w:val="26"/>
          <w:szCs w:val="26"/>
        </w:rPr>
        <w:t xml:space="preserve"> the Complainant’s assertions </w:t>
      </w:r>
      <w:r w:rsidR="0046698E">
        <w:rPr>
          <w:sz w:val="26"/>
          <w:szCs w:val="26"/>
        </w:rPr>
        <w:t xml:space="preserve">in her Exceptions </w:t>
      </w:r>
      <w:r w:rsidR="00461B42">
        <w:rPr>
          <w:sz w:val="26"/>
          <w:szCs w:val="26"/>
        </w:rPr>
        <w:t>about high bills</w:t>
      </w:r>
      <w:r w:rsidR="0046698E">
        <w:rPr>
          <w:sz w:val="26"/>
          <w:szCs w:val="26"/>
        </w:rPr>
        <w:t>,</w:t>
      </w:r>
      <w:r w:rsidR="00461B42">
        <w:rPr>
          <w:sz w:val="26"/>
          <w:szCs w:val="26"/>
        </w:rPr>
        <w:t xml:space="preserve"> we will not address th</w:t>
      </w:r>
      <w:r w:rsidR="00A62FE8">
        <w:rPr>
          <w:sz w:val="26"/>
          <w:szCs w:val="26"/>
        </w:rPr>
        <w:t>ese</w:t>
      </w:r>
      <w:r w:rsidR="00461B42">
        <w:rPr>
          <w:sz w:val="26"/>
          <w:szCs w:val="26"/>
        </w:rPr>
        <w:t xml:space="preserve"> averment</w:t>
      </w:r>
      <w:r w:rsidR="00A62FE8">
        <w:rPr>
          <w:sz w:val="26"/>
          <w:szCs w:val="26"/>
        </w:rPr>
        <w:t>s</w:t>
      </w:r>
      <w:r w:rsidR="00461B42">
        <w:rPr>
          <w:sz w:val="26"/>
          <w:szCs w:val="26"/>
        </w:rPr>
        <w:t xml:space="preserve"> at this juncture in the proceeding as she did not allege this issue in her Complaint or at the hearing. </w:t>
      </w:r>
    </w:p>
    <w:p w:rsidR="00006F35" w:rsidRDefault="00006F35" w:rsidP="0046698E">
      <w:pPr>
        <w:widowControl/>
        <w:spacing w:line="360" w:lineRule="auto"/>
        <w:rPr>
          <w:b/>
          <w:sz w:val="26"/>
          <w:szCs w:val="26"/>
        </w:rPr>
      </w:pPr>
    </w:p>
    <w:p w:rsidR="00CA43A5" w:rsidRPr="00CA43A5" w:rsidRDefault="00CA43A5" w:rsidP="008A0D31">
      <w:pPr>
        <w:keepNext/>
        <w:widowControl/>
        <w:spacing w:line="360" w:lineRule="auto"/>
        <w:jc w:val="center"/>
        <w:rPr>
          <w:b/>
          <w:sz w:val="26"/>
          <w:szCs w:val="26"/>
        </w:rPr>
      </w:pPr>
      <w:r w:rsidRPr="00CA43A5">
        <w:rPr>
          <w:b/>
          <w:sz w:val="26"/>
          <w:szCs w:val="26"/>
        </w:rPr>
        <w:lastRenderedPageBreak/>
        <w:t>Conclusion</w:t>
      </w:r>
    </w:p>
    <w:p w:rsidR="00CA43A5" w:rsidRPr="00CA43A5" w:rsidRDefault="00CA43A5" w:rsidP="008A0D31">
      <w:pPr>
        <w:keepNext/>
        <w:widowControl/>
        <w:spacing w:line="360" w:lineRule="auto"/>
        <w:ind w:firstLine="1440"/>
        <w:rPr>
          <w:sz w:val="26"/>
          <w:szCs w:val="26"/>
        </w:rPr>
      </w:pPr>
    </w:p>
    <w:p w:rsidR="00CA43A5" w:rsidRDefault="00A62FE8" w:rsidP="008A0D31">
      <w:pPr>
        <w:keepNext/>
        <w:widowControl/>
        <w:spacing w:line="360" w:lineRule="auto"/>
        <w:ind w:firstLine="1440"/>
        <w:rPr>
          <w:sz w:val="26"/>
          <w:szCs w:val="26"/>
        </w:rPr>
      </w:pPr>
      <w:r>
        <w:rPr>
          <w:sz w:val="26"/>
          <w:szCs w:val="26"/>
        </w:rPr>
        <w:t>C</w:t>
      </w:r>
      <w:r w:rsidRPr="00CA43A5">
        <w:rPr>
          <w:sz w:val="26"/>
          <w:szCs w:val="26"/>
        </w:rPr>
        <w:t>onsistent with the foregoing discussion</w:t>
      </w:r>
      <w:r>
        <w:rPr>
          <w:sz w:val="26"/>
          <w:szCs w:val="26"/>
        </w:rPr>
        <w:t>, w</w:t>
      </w:r>
      <w:r w:rsidR="003F1B8F">
        <w:rPr>
          <w:sz w:val="26"/>
          <w:szCs w:val="26"/>
        </w:rPr>
        <w:t>e shall deny the Complainant’s Exceptions</w:t>
      </w:r>
      <w:r>
        <w:rPr>
          <w:sz w:val="26"/>
          <w:szCs w:val="26"/>
        </w:rPr>
        <w:t>, and adopt the ALJ’s Initial Decision</w:t>
      </w:r>
      <w:r w:rsidR="00CA43A5" w:rsidRPr="00CA43A5">
        <w:rPr>
          <w:sz w:val="26"/>
          <w:szCs w:val="26"/>
        </w:rPr>
        <w:t xml:space="preserve">; </w:t>
      </w:r>
      <w:r w:rsidR="00CA43A5" w:rsidRPr="00CA43A5">
        <w:rPr>
          <w:b/>
          <w:sz w:val="26"/>
          <w:szCs w:val="26"/>
        </w:rPr>
        <w:t>THEREFORE,</w:t>
      </w:r>
      <w:r w:rsidR="00CA43A5" w:rsidRPr="00CA43A5">
        <w:rPr>
          <w:sz w:val="26"/>
          <w:szCs w:val="26"/>
        </w:rPr>
        <w:t xml:space="preserve"> </w:t>
      </w:r>
    </w:p>
    <w:p w:rsidR="00461B42" w:rsidRPr="00CA43A5" w:rsidRDefault="00461B42" w:rsidP="008A0D31">
      <w:pPr>
        <w:widowControl/>
        <w:spacing w:line="360" w:lineRule="auto"/>
        <w:ind w:firstLine="1440"/>
        <w:rPr>
          <w:sz w:val="26"/>
          <w:szCs w:val="26"/>
        </w:rPr>
      </w:pPr>
    </w:p>
    <w:p w:rsidR="00CA43A5" w:rsidRPr="00CA43A5" w:rsidRDefault="00CA43A5" w:rsidP="008A0D31">
      <w:pPr>
        <w:widowControl/>
        <w:rPr>
          <w:sz w:val="26"/>
          <w:szCs w:val="26"/>
        </w:rPr>
      </w:pPr>
    </w:p>
    <w:p w:rsidR="00CA43A5" w:rsidRPr="00CA43A5" w:rsidRDefault="00CA43A5" w:rsidP="008A0D31">
      <w:pPr>
        <w:widowControl/>
        <w:ind w:firstLine="1440"/>
        <w:rPr>
          <w:b/>
          <w:sz w:val="26"/>
          <w:szCs w:val="26"/>
        </w:rPr>
      </w:pPr>
      <w:r w:rsidRPr="00CA43A5">
        <w:rPr>
          <w:b/>
          <w:sz w:val="26"/>
          <w:szCs w:val="26"/>
        </w:rPr>
        <w:t>IT IS ORDERED:</w:t>
      </w:r>
    </w:p>
    <w:p w:rsidR="00CA43A5" w:rsidRPr="00CA43A5" w:rsidRDefault="00CA43A5" w:rsidP="008A0D31">
      <w:pPr>
        <w:widowControl/>
        <w:rPr>
          <w:sz w:val="26"/>
          <w:szCs w:val="26"/>
        </w:rPr>
      </w:pPr>
    </w:p>
    <w:p w:rsidR="0090521D" w:rsidRPr="00461B42" w:rsidRDefault="003F1B8F" w:rsidP="008A0D31">
      <w:pPr>
        <w:widowControl/>
        <w:numPr>
          <w:ilvl w:val="0"/>
          <w:numId w:val="1"/>
        </w:numPr>
        <w:tabs>
          <w:tab w:val="clear" w:pos="2160"/>
          <w:tab w:val="num" w:pos="0"/>
        </w:tabs>
        <w:spacing w:line="360" w:lineRule="auto"/>
        <w:ind w:left="0" w:firstLine="1440"/>
        <w:rPr>
          <w:sz w:val="26"/>
          <w:szCs w:val="26"/>
        </w:rPr>
      </w:pPr>
      <w:r>
        <w:rPr>
          <w:sz w:val="26"/>
          <w:szCs w:val="26"/>
        </w:rPr>
        <w:t xml:space="preserve">That the Exceptions of </w:t>
      </w:r>
      <w:r w:rsidRPr="003F1B8F">
        <w:rPr>
          <w:sz w:val="26"/>
          <w:szCs w:val="26"/>
        </w:rPr>
        <w:t>Schenevelyn Samuel</w:t>
      </w:r>
      <w:r>
        <w:rPr>
          <w:sz w:val="26"/>
          <w:szCs w:val="26"/>
        </w:rPr>
        <w:t xml:space="preserve"> are denied</w:t>
      </w:r>
      <w:r w:rsidR="003F51F4" w:rsidRPr="003F1B8F">
        <w:rPr>
          <w:sz w:val="26"/>
          <w:szCs w:val="26"/>
        </w:rPr>
        <w:t xml:space="preserve">, consistent with this Opinion </w:t>
      </w:r>
      <w:r w:rsidR="00B80C43" w:rsidRPr="003F1B8F">
        <w:rPr>
          <w:sz w:val="26"/>
          <w:szCs w:val="26"/>
        </w:rPr>
        <w:t>and Order</w:t>
      </w:r>
      <w:r w:rsidR="009155F7" w:rsidRPr="003F1B8F">
        <w:rPr>
          <w:sz w:val="26"/>
          <w:szCs w:val="26"/>
        </w:rPr>
        <w:t>.</w:t>
      </w:r>
    </w:p>
    <w:p w:rsidR="003F51F4" w:rsidRPr="00B80C43" w:rsidRDefault="003F51F4" w:rsidP="008A0D31">
      <w:pPr>
        <w:widowControl/>
        <w:spacing w:line="360" w:lineRule="auto"/>
        <w:ind w:left="1440"/>
        <w:rPr>
          <w:sz w:val="26"/>
          <w:szCs w:val="26"/>
        </w:rPr>
      </w:pPr>
    </w:p>
    <w:p w:rsidR="00CA43A5" w:rsidRPr="003F1B8F" w:rsidRDefault="00CA43A5" w:rsidP="008A0D31">
      <w:pPr>
        <w:widowControl/>
        <w:numPr>
          <w:ilvl w:val="0"/>
          <w:numId w:val="1"/>
        </w:numPr>
        <w:tabs>
          <w:tab w:val="clear" w:pos="2160"/>
          <w:tab w:val="num" w:pos="0"/>
        </w:tabs>
        <w:spacing w:line="360" w:lineRule="auto"/>
        <w:ind w:left="0" w:firstLine="1440"/>
        <w:rPr>
          <w:sz w:val="26"/>
          <w:szCs w:val="26"/>
        </w:rPr>
      </w:pPr>
      <w:r w:rsidRPr="00CA43A5">
        <w:rPr>
          <w:sz w:val="26"/>
          <w:szCs w:val="26"/>
        </w:rPr>
        <w:t>That the Initial Decision of Adm</w:t>
      </w:r>
      <w:r w:rsidR="003F1B8F">
        <w:rPr>
          <w:sz w:val="26"/>
          <w:szCs w:val="26"/>
        </w:rPr>
        <w:t>inistrative Law Judge Darlene R. Davis Heep is adopted</w:t>
      </w:r>
      <w:r w:rsidRPr="00CA43A5">
        <w:rPr>
          <w:sz w:val="26"/>
          <w:szCs w:val="26"/>
        </w:rPr>
        <w:t>, consistent with this Opinion and Order.</w:t>
      </w:r>
    </w:p>
    <w:p w:rsidR="00CA43A5" w:rsidRPr="00CA43A5" w:rsidRDefault="00CA43A5" w:rsidP="008A0D31">
      <w:pPr>
        <w:widowControl/>
        <w:rPr>
          <w:sz w:val="26"/>
          <w:szCs w:val="26"/>
        </w:rPr>
      </w:pPr>
    </w:p>
    <w:p w:rsidR="00CA43A5" w:rsidRPr="00CA43A5" w:rsidRDefault="00CA43A5" w:rsidP="008A0D31">
      <w:pPr>
        <w:widowControl/>
        <w:rPr>
          <w:sz w:val="26"/>
          <w:szCs w:val="26"/>
        </w:rPr>
      </w:pPr>
    </w:p>
    <w:p w:rsidR="00CA43A5" w:rsidRPr="00CA43A5" w:rsidRDefault="00845C39" w:rsidP="008A0D31">
      <w:pPr>
        <w:widowControl/>
        <w:tabs>
          <w:tab w:val="left" w:pos="-720"/>
        </w:tabs>
        <w:ind w:firstLine="5040"/>
        <w:rPr>
          <w:sz w:val="26"/>
          <w:szCs w:val="26"/>
        </w:rPr>
      </w:pPr>
      <w:bookmarkStart w:id="2" w:name="_GoBack"/>
      <w:r w:rsidRPr="00B17BB3">
        <w:rPr>
          <w:noProof/>
        </w:rPr>
        <w:drawing>
          <wp:anchor distT="0" distB="0" distL="114300" distR="114300" simplePos="0" relativeHeight="251659264" behindDoc="1" locked="0" layoutInCell="1" allowOverlap="1" wp14:anchorId="4B453419" wp14:editId="38EC7D85">
            <wp:simplePos x="0" y="0"/>
            <wp:positionH relativeFrom="column">
              <wp:posOffset>2764790</wp:posOffset>
            </wp:positionH>
            <wp:positionV relativeFrom="paragraph">
              <wp:posOffset>125095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CA43A5" w:rsidRPr="00CA43A5">
        <w:rPr>
          <w:b/>
          <w:sz w:val="26"/>
          <w:szCs w:val="26"/>
        </w:rPr>
        <w:t>BY THE COMMISSION,</w:t>
      </w:r>
    </w:p>
    <w:p w:rsidR="00CA43A5" w:rsidRPr="00CA43A5" w:rsidRDefault="00CA43A5" w:rsidP="008A0D31">
      <w:pPr>
        <w:widowControl/>
        <w:tabs>
          <w:tab w:val="left" w:pos="-720"/>
        </w:tabs>
        <w:rPr>
          <w:sz w:val="26"/>
          <w:szCs w:val="26"/>
        </w:rPr>
      </w:pPr>
    </w:p>
    <w:p w:rsidR="00CA43A5" w:rsidRPr="00CA43A5" w:rsidRDefault="00CA43A5" w:rsidP="008A0D31">
      <w:pPr>
        <w:widowControl/>
        <w:tabs>
          <w:tab w:val="left" w:pos="-720"/>
        </w:tabs>
        <w:rPr>
          <w:sz w:val="26"/>
          <w:szCs w:val="26"/>
        </w:rPr>
      </w:pPr>
    </w:p>
    <w:p w:rsidR="00CA43A5" w:rsidRPr="00CA43A5" w:rsidRDefault="00CA43A5" w:rsidP="008A0D31">
      <w:pPr>
        <w:widowControl/>
        <w:tabs>
          <w:tab w:val="left" w:pos="-720"/>
        </w:tabs>
        <w:rPr>
          <w:sz w:val="26"/>
          <w:szCs w:val="26"/>
        </w:rPr>
      </w:pPr>
    </w:p>
    <w:p w:rsidR="00CA43A5" w:rsidRPr="00CA43A5" w:rsidRDefault="00564565" w:rsidP="008A0D31">
      <w:pPr>
        <w:widowControl/>
        <w:tabs>
          <w:tab w:val="left" w:pos="-720"/>
        </w:tabs>
        <w:ind w:firstLine="5040"/>
        <w:rPr>
          <w:b/>
          <w:sz w:val="26"/>
          <w:szCs w:val="26"/>
        </w:rPr>
      </w:pPr>
      <w:r>
        <w:rPr>
          <w:sz w:val="26"/>
          <w:szCs w:val="26"/>
        </w:rPr>
        <w:t>Rosemary Chiavetta</w:t>
      </w:r>
    </w:p>
    <w:p w:rsidR="00CA43A5" w:rsidRPr="00CA43A5" w:rsidRDefault="00CA43A5" w:rsidP="008A0D31">
      <w:pPr>
        <w:widowControl/>
        <w:tabs>
          <w:tab w:val="left" w:pos="-720"/>
        </w:tabs>
        <w:ind w:firstLine="5040"/>
        <w:rPr>
          <w:sz w:val="26"/>
          <w:szCs w:val="26"/>
        </w:rPr>
      </w:pPr>
      <w:r w:rsidRPr="00CA43A5">
        <w:rPr>
          <w:sz w:val="26"/>
          <w:szCs w:val="26"/>
        </w:rPr>
        <w:t>Secretary</w:t>
      </w:r>
    </w:p>
    <w:p w:rsidR="00CA43A5" w:rsidRPr="00CA43A5" w:rsidRDefault="00CA43A5" w:rsidP="008A0D31">
      <w:pPr>
        <w:widowControl/>
        <w:tabs>
          <w:tab w:val="left" w:pos="-720"/>
        </w:tabs>
        <w:rPr>
          <w:sz w:val="26"/>
          <w:szCs w:val="26"/>
        </w:rPr>
      </w:pPr>
    </w:p>
    <w:p w:rsidR="00CA43A5" w:rsidRPr="00CA43A5" w:rsidRDefault="00CA43A5" w:rsidP="008A0D31">
      <w:pPr>
        <w:widowControl/>
        <w:tabs>
          <w:tab w:val="left" w:pos="-720"/>
        </w:tabs>
        <w:rPr>
          <w:sz w:val="26"/>
          <w:szCs w:val="26"/>
        </w:rPr>
      </w:pPr>
      <w:r w:rsidRPr="00CA43A5">
        <w:rPr>
          <w:sz w:val="26"/>
          <w:szCs w:val="26"/>
        </w:rPr>
        <w:t>(SEAL)</w:t>
      </w:r>
    </w:p>
    <w:p w:rsidR="00CA43A5" w:rsidRPr="00CA43A5" w:rsidRDefault="00CA43A5" w:rsidP="008A0D31">
      <w:pPr>
        <w:widowControl/>
        <w:tabs>
          <w:tab w:val="left" w:pos="-720"/>
        </w:tabs>
        <w:rPr>
          <w:sz w:val="26"/>
          <w:szCs w:val="26"/>
        </w:rPr>
      </w:pPr>
    </w:p>
    <w:p w:rsidR="00857172" w:rsidRDefault="00CA43A5" w:rsidP="008A0D31">
      <w:pPr>
        <w:widowControl/>
        <w:tabs>
          <w:tab w:val="left" w:pos="-720"/>
        </w:tabs>
        <w:rPr>
          <w:sz w:val="26"/>
          <w:szCs w:val="26"/>
        </w:rPr>
      </w:pPr>
      <w:r w:rsidRPr="00CA43A5">
        <w:rPr>
          <w:sz w:val="26"/>
          <w:szCs w:val="26"/>
        </w:rPr>
        <w:t xml:space="preserve">ORDER ADOPTED: </w:t>
      </w:r>
      <w:r w:rsidR="002C3FFA" w:rsidRPr="002C3FFA">
        <w:rPr>
          <w:sz w:val="26"/>
          <w:szCs w:val="26"/>
        </w:rPr>
        <w:t xml:space="preserve">July 24, 2014 </w:t>
      </w:r>
    </w:p>
    <w:p w:rsidR="002C3FFA" w:rsidRDefault="002C3FFA" w:rsidP="008A0D31">
      <w:pPr>
        <w:widowControl/>
        <w:tabs>
          <w:tab w:val="left" w:pos="-720"/>
        </w:tabs>
        <w:rPr>
          <w:sz w:val="26"/>
          <w:szCs w:val="26"/>
        </w:rPr>
      </w:pPr>
    </w:p>
    <w:p w:rsidR="00CA43A5" w:rsidRPr="00CA43A5" w:rsidRDefault="00CA43A5" w:rsidP="008A0D31">
      <w:pPr>
        <w:widowControl/>
        <w:tabs>
          <w:tab w:val="left" w:pos="-720"/>
        </w:tabs>
        <w:rPr>
          <w:sz w:val="26"/>
          <w:szCs w:val="26"/>
        </w:rPr>
      </w:pPr>
      <w:r w:rsidRPr="00CA43A5">
        <w:rPr>
          <w:sz w:val="26"/>
          <w:szCs w:val="26"/>
        </w:rPr>
        <w:t xml:space="preserve">ORDER ENTERED: </w:t>
      </w:r>
      <w:r w:rsidR="00845C39">
        <w:rPr>
          <w:sz w:val="26"/>
          <w:szCs w:val="26"/>
        </w:rPr>
        <w:t>July 24, 2014</w:t>
      </w:r>
      <w:r w:rsidRPr="00CA43A5">
        <w:rPr>
          <w:sz w:val="26"/>
          <w:szCs w:val="26"/>
        </w:rPr>
        <w:t xml:space="preserve"> </w:t>
      </w:r>
    </w:p>
    <w:p w:rsidR="00344804" w:rsidRPr="00CA43A5" w:rsidRDefault="00344804" w:rsidP="008A0D31">
      <w:pPr>
        <w:widowControl/>
        <w:ind w:right="360"/>
        <w:rPr>
          <w:sz w:val="26"/>
          <w:szCs w:val="26"/>
        </w:rPr>
      </w:pPr>
    </w:p>
    <w:sectPr w:rsidR="00344804" w:rsidRPr="00CA43A5" w:rsidSect="0031469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F0" w:rsidRDefault="00C549F0" w:rsidP="00305B7C">
      <w:r>
        <w:separator/>
      </w:r>
    </w:p>
  </w:endnote>
  <w:endnote w:type="continuationSeparator" w:id="0">
    <w:p w:rsidR="00C549F0" w:rsidRDefault="00C549F0" w:rsidP="0030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12804"/>
      <w:docPartObj>
        <w:docPartGallery w:val="Page Numbers (Bottom of Page)"/>
        <w:docPartUnique/>
      </w:docPartObj>
    </w:sdtPr>
    <w:sdtEndPr>
      <w:rPr>
        <w:noProof/>
      </w:rPr>
    </w:sdtEndPr>
    <w:sdtContent>
      <w:p w:rsidR="00314697" w:rsidRDefault="00314697">
        <w:pPr>
          <w:pStyle w:val="Footer"/>
          <w:jc w:val="center"/>
        </w:pPr>
        <w:r>
          <w:fldChar w:fldCharType="begin"/>
        </w:r>
        <w:r>
          <w:instrText xml:space="preserve"> PAGE   \* MERGEFORMAT </w:instrText>
        </w:r>
        <w:r>
          <w:fldChar w:fldCharType="separate"/>
        </w:r>
        <w:r w:rsidR="00845C39">
          <w:rPr>
            <w:noProof/>
          </w:rPr>
          <w:t>6</w:t>
        </w:r>
        <w:r>
          <w:rPr>
            <w:noProof/>
          </w:rPr>
          <w:fldChar w:fldCharType="end"/>
        </w:r>
      </w:p>
    </w:sdtContent>
  </w:sdt>
  <w:p w:rsidR="00314697" w:rsidRDefault="00314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F0" w:rsidRDefault="00C549F0" w:rsidP="00305B7C">
      <w:r>
        <w:separator/>
      </w:r>
    </w:p>
  </w:footnote>
  <w:footnote w:type="continuationSeparator" w:id="0">
    <w:p w:rsidR="00C549F0" w:rsidRDefault="00C549F0" w:rsidP="00305B7C">
      <w:r>
        <w:continuationSeparator/>
      </w:r>
    </w:p>
  </w:footnote>
  <w:footnote w:id="1">
    <w:p w:rsidR="003C1EF0" w:rsidRDefault="003C1EF0" w:rsidP="008A0D31">
      <w:pPr>
        <w:pStyle w:val="FootnoteText"/>
        <w:keepLines/>
        <w:spacing w:before="120"/>
      </w:pPr>
      <w:r>
        <w:tab/>
      </w:r>
      <w:r w:rsidRPr="003C1EF0">
        <w:rPr>
          <w:rStyle w:val="FootnoteReference"/>
          <w:sz w:val="26"/>
          <w:szCs w:val="26"/>
        </w:rPr>
        <w:footnoteRef/>
      </w:r>
      <w:r w:rsidRPr="003C1EF0">
        <w:rPr>
          <w:sz w:val="26"/>
          <w:szCs w:val="26"/>
        </w:rPr>
        <w:tab/>
        <w:t xml:space="preserve">The Complaint is a timely appeal of the Commission’s Bureau of Consumer Services </w:t>
      </w:r>
      <w:r>
        <w:rPr>
          <w:sz w:val="26"/>
          <w:szCs w:val="26"/>
        </w:rPr>
        <w:t>decision, dated November 1, 2013, at BCS No. 3129305</w:t>
      </w:r>
      <w:r w:rsidRPr="003C1EF0">
        <w:rPr>
          <w:sz w:val="26"/>
          <w:szCs w:val="26"/>
        </w:rPr>
        <w:t>.</w:t>
      </w:r>
    </w:p>
  </w:footnote>
  <w:footnote w:id="2">
    <w:p w:rsidR="00290596" w:rsidRDefault="00290596" w:rsidP="008A0D31">
      <w:pPr>
        <w:pStyle w:val="FootnoteText"/>
        <w:keepLines/>
        <w:spacing w:before="120"/>
      </w:pPr>
      <w:r>
        <w:tab/>
      </w:r>
      <w:r w:rsidRPr="00290596">
        <w:rPr>
          <w:rStyle w:val="FootnoteReference"/>
          <w:sz w:val="26"/>
          <w:szCs w:val="26"/>
        </w:rPr>
        <w:footnoteRef/>
      </w:r>
      <w:r w:rsidRPr="00290596">
        <w:rPr>
          <w:sz w:val="26"/>
          <w:szCs w:val="26"/>
        </w:rPr>
        <w:tab/>
        <w:t>We acknowledge that the format of the Complainant’s Exceptions does not strictly comply with Section 5.533(b) of our Regulations, 52 Pa. Code § 5.533(b), which requires that exceptions be numbered, the finding of fact and conclusion of law to which exception is taken</w:t>
      </w:r>
      <w:r w:rsidR="008A0D31">
        <w:rPr>
          <w:sz w:val="26"/>
          <w:szCs w:val="26"/>
        </w:rPr>
        <w:t xml:space="preserve"> be </w:t>
      </w:r>
      <w:r w:rsidR="008A0D31" w:rsidRPr="00290596">
        <w:rPr>
          <w:sz w:val="26"/>
          <w:szCs w:val="26"/>
        </w:rPr>
        <w:t>identif</w:t>
      </w:r>
      <w:r w:rsidR="008A0D31">
        <w:rPr>
          <w:sz w:val="26"/>
          <w:szCs w:val="26"/>
        </w:rPr>
        <w:t>ied</w:t>
      </w:r>
      <w:r w:rsidRPr="00290596">
        <w:rPr>
          <w:sz w:val="26"/>
          <w:szCs w:val="26"/>
        </w:rPr>
        <w:t xml:space="preserve">, and </w:t>
      </w:r>
      <w:r w:rsidR="008A0D31">
        <w:rPr>
          <w:sz w:val="26"/>
          <w:szCs w:val="26"/>
        </w:rPr>
        <w:t xml:space="preserve">that </w:t>
      </w:r>
      <w:r w:rsidRPr="00290596">
        <w:rPr>
          <w:sz w:val="26"/>
          <w:szCs w:val="26"/>
        </w:rPr>
        <w:t>relevant pages of the Initial Decision</w:t>
      </w:r>
      <w:r w:rsidR="008A0D31">
        <w:rPr>
          <w:sz w:val="26"/>
          <w:szCs w:val="26"/>
        </w:rPr>
        <w:t xml:space="preserve"> be cited</w:t>
      </w:r>
      <w:r w:rsidRPr="00290596">
        <w:rPr>
          <w:sz w:val="26"/>
          <w:szCs w:val="26"/>
        </w:rPr>
        <w:t xml:space="preserve">.  Nevertheless, particularly because the Complainant is appearing </w:t>
      </w:r>
      <w:r w:rsidRPr="00290596">
        <w:rPr>
          <w:i/>
          <w:sz w:val="26"/>
          <w:szCs w:val="26"/>
        </w:rPr>
        <w:t>pro se</w:t>
      </w:r>
      <w:r w:rsidRPr="00290596">
        <w:rPr>
          <w:sz w:val="26"/>
          <w:szCs w:val="26"/>
        </w:rPr>
        <w:t>, we will accept the Exceptions as filed pursuant to Section 1.2(a) of our Regulations, 52 Pa. Code § 1.2(a), in order to secure a just, speedy, and inexpensive determination in this proceeding.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049"/>
    <w:rsid w:val="00006685"/>
    <w:rsid w:val="00006F35"/>
    <w:rsid w:val="00016D57"/>
    <w:rsid w:val="00017852"/>
    <w:rsid w:val="00021E46"/>
    <w:rsid w:val="00022B74"/>
    <w:rsid w:val="0002524C"/>
    <w:rsid w:val="00025F3F"/>
    <w:rsid w:val="00026CD2"/>
    <w:rsid w:val="00040A8E"/>
    <w:rsid w:val="00040AEA"/>
    <w:rsid w:val="000415AC"/>
    <w:rsid w:val="00047874"/>
    <w:rsid w:val="00047F4A"/>
    <w:rsid w:val="000523D1"/>
    <w:rsid w:val="00052B8F"/>
    <w:rsid w:val="00054612"/>
    <w:rsid w:val="0005572E"/>
    <w:rsid w:val="000559B0"/>
    <w:rsid w:val="00056286"/>
    <w:rsid w:val="000612FD"/>
    <w:rsid w:val="000642AA"/>
    <w:rsid w:val="000649EC"/>
    <w:rsid w:val="00066EE5"/>
    <w:rsid w:val="00067260"/>
    <w:rsid w:val="00071818"/>
    <w:rsid w:val="00072808"/>
    <w:rsid w:val="00076F35"/>
    <w:rsid w:val="00084573"/>
    <w:rsid w:val="00084AF9"/>
    <w:rsid w:val="00091639"/>
    <w:rsid w:val="000918D4"/>
    <w:rsid w:val="00093164"/>
    <w:rsid w:val="0009612D"/>
    <w:rsid w:val="00097504"/>
    <w:rsid w:val="000A365D"/>
    <w:rsid w:val="000B216D"/>
    <w:rsid w:val="000B2755"/>
    <w:rsid w:val="000B4EAE"/>
    <w:rsid w:val="000B5238"/>
    <w:rsid w:val="000B607A"/>
    <w:rsid w:val="000B6B15"/>
    <w:rsid w:val="000C2AE3"/>
    <w:rsid w:val="000C709A"/>
    <w:rsid w:val="000E1DC5"/>
    <w:rsid w:val="000E3760"/>
    <w:rsid w:val="000F179E"/>
    <w:rsid w:val="000F4307"/>
    <w:rsid w:val="0010158F"/>
    <w:rsid w:val="00101F51"/>
    <w:rsid w:val="001026CA"/>
    <w:rsid w:val="00104D9B"/>
    <w:rsid w:val="001078C1"/>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1269"/>
    <w:rsid w:val="0015380A"/>
    <w:rsid w:val="00154CB6"/>
    <w:rsid w:val="00164DA4"/>
    <w:rsid w:val="00166298"/>
    <w:rsid w:val="001663C8"/>
    <w:rsid w:val="0017179A"/>
    <w:rsid w:val="00174D3D"/>
    <w:rsid w:val="00182478"/>
    <w:rsid w:val="00186A97"/>
    <w:rsid w:val="0019530E"/>
    <w:rsid w:val="00195F2E"/>
    <w:rsid w:val="001B1DB4"/>
    <w:rsid w:val="001C4978"/>
    <w:rsid w:val="001C784D"/>
    <w:rsid w:val="001D0ED2"/>
    <w:rsid w:val="001E0B61"/>
    <w:rsid w:val="001E1276"/>
    <w:rsid w:val="001F285E"/>
    <w:rsid w:val="001F6FFF"/>
    <w:rsid w:val="00202524"/>
    <w:rsid w:val="00210736"/>
    <w:rsid w:val="00210F81"/>
    <w:rsid w:val="00211622"/>
    <w:rsid w:val="00214B3E"/>
    <w:rsid w:val="0022698E"/>
    <w:rsid w:val="00227912"/>
    <w:rsid w:val="002311EE"/>
    <w:rsid w:val="002370F5"/>
    <w:rsid w:val="00240ACA"/>
    <w:rsid w:val="00240D7B"/>
    <w:rsid w:val="00241299"/>
    <w:rsid w:val="00255462"/>
    <w:rsid w:val="00260957"/>
    <w:rsid w:val="00264646"/>
    <w:rsid w:val="0027232D"/>
    <w:rsid w:val="00274D0F"/>
    <w:rsid w:val="00276B1F"/>
    <w:rsid w:val="00277500"/>
    <w:rsid w:val="00281A5F"/>
    <w:rsid w:val="00290596"/>
    <w:rsid w:val="00291F68"/>
    <w:rsid w:val="002A060A"/>
    <w:rsid w:val="002A4450"/>
    <w:rsid w:val="002A6750"/>
    <w:rsid w:val="002B2296"/>
    <w:rsid w:val="002B4407"/>
    <w:rsid w:val="002B44D8"/>
    <w:rsid w:val="002B67B7"/>
    <w:rsid w:val="002C0429"/>
    <w:rsid w:val="002C19E4"/>
    <w:rsid w:val="002C3FFA"/>
    <w:rsid w:val="002C6CC4"/>
    <w:rsid w:val="002C7683"/>
    <w:rsid w:val="002D13C4"/>
    <w:rsid w:val="002D275E"/>
    <w:rsid w:val="002D3751"/>
    <w:rsid w:val="002D6357"/>
    <w:rsid w:val="002D7584"/>
    <w:rsid w:val="002E3026"/>
    <w:rsid w:val="002E3F06"/>
    <w:rsid w:val="002E6FFA"/>
    <w:rsid w:val="002E7F8F"/>
    <w:rsid w:val="002F3F04"/>
    <w:rsid w:val="002F41BA"/>
    <w:rsid w:val="003018AA"/>
    <w:rsid w:val="0030295D"/>
    <w:rsid w:val="00303B99"/>
    <w:rsid w:val="00305B7C"/>
    <w:rsid w:val="0030714F"/>
    <w:rsid w:val="003073E2"/>
    <w:rsid w:val="00307DDF"/>
    <w:rsid w:val="003131BE"/>
    <w:rsid w:val="00314697"/>
    <w:rsid w:val="00314A43"/>
    <w:rsid w:val="00322040"/>
    <w:rsid w:val="003240B8"/>
    <w:rsid w:val="00325422"/>
    <w:rsid w:val="00333FDA"/>
    <w:rsid w:val="003340DE"/>
    <w:rsid w:val="00340D19"/>
    <w:rsid w:val="00344804"/>
    <w:rsid w:val="003518C8"/>
    <w:rsid w:val="003533B5"/>
    <w:rsid w:val="003622CA"/>
    <w:rsid w:val="00363030"/>
    <w:rsid w:val="0036462C"/>
    <w:rsid w:val="00364A42"/>
    <w:rsid w:val="003755FB"/>
    <w:rsid w:val="0037577C"/>
    <w:rsid w:val="00385502"/>
    <w:rsid w:val="00391A43"/>
    <w:rsid w:val="003B0611"/>
    <w:rsid w:val="003B42D9"/>
    <w:rsid w:val="003C1EF0"/>
    <w:rsid w:val="003C3140"/>
    <w:rsid w:val="003C3E02"/>
    <w:rsid w:val="003C3FE8"/>
    <w:rsid w:val="003C73F9"/>
    <w:rsid w:val="003D5F07"/>
    <w:rsid w:val="003D6AB5"/>
    <w:rsid w:val="003E3FF5"/>
    <w:rsid w:val="003E5354"/>
    <w:rsid w:val="003F1B8F"/>
    <w:rsid w:val="003F51F4"/>
    <w:rsid w:val="003F52C6"/>
    <w:rsid w:val="003F558E"/>
    <w:rsid w:val="00403D6E"/>
    <w:rsid w:val="00407AC0"/>
    <w:rsid w:val="00412E30"/>
    <w:rsid w:val="004170AF"/>
    <w:rsid w:val="00424644"/>
    <w:rsid w:val="00432BB7"/>
    <w:rsid w:val="004331E9"/>
    <w:rsid w:val="00433E8D"/>
    <w:rsid w:val="0043592C"/>
    <w:rsid w:val="004375B6"/>
    <w:rsid w:val="004411B9"/>
    <w:rsid w:val="00441207"/>
    <w:rsid w:val="004422CA"/>
    <w:rsid w:val="00443807"/>
    <w:rsid w:val="004462F7"/>
    <w:rsid w:val="0046019D"/>
    <w:rsid w:val="00461B42"/>
    <w:rsid w:val="00464536"/>
    <w:rsid w:val="00464B97"/>
    <w:rsid w:val="0046514E"/>
    <w:rsid w:val="0046623C"/>
    <w:rsid w:val="0046698E"/>
    <w:rsid w:val="00467739"/>
    <w:rsid w:val="00470D0C"/>
    <w:rsid w:val="00474E22"/>
    <w:rsid w:val="0047608F"/>
    <w:rsid w:val="00476554"/>
    <w:rsid w:val="004813D4"/>
    <w:rsid w:val="00491D91"/>
    <w:rsid w:val="0049580C"/>
    <w:rsid w:val="0049768F"/>
    <w:rsid w:val="004A04E5"/>
    <w:rsid w:val="004A0DDA"/>
    <w:rsid w:val="004A1495"/>
    <w:rsid w:val="004A2165"/>
    <w:rsid w:val="004A5F74"/>
    <w:rsid w:val="004B1052"/>
    <w:rsid w:val="004B6B14"/>
    <w:rsid w:val="004E47EC"/>
    <w:rsid w:val="004E514F"/>
    <w:rsid w:val="004E737F"/>
    <w:rsid w:val="004F03DE"/>
    <w:rsid w:val="004F22DA"/>
    <w:rsid w:val="00502165"/>
    <w:rsid w:val="00504834"/>
    <w:rsid w:val="00504C7A"/>
    <w:rsid w:val="00505AEE"/>
    <w:rsid w:val="0050632E"/>
    <w:rsid w:val="0050752D"/>
    <w:rsid w:val="00511EF3"/>
    <w:rsid w:val="00514507"/>
    <w:rsid w:val="00521350"/>
    <w:rsid w:val="005351B9"/>
    <w:rsid w:val="00536011"/>
    <w:rsid w:val="00550B79"/>
    <w:rsid w:val="0055150B"/>
    <w:rsid w:val="005532F9"/>
    <w:rsid w:val="0055440B"/>
    <w:rsid w:val="0055708D"/>
    <w:rsid w:val="005574C6"/>
    <w:rsid w:val="00561CA6"/>
    <w:rsid w:val="00564565"/>
    <w:rsid w:val="005647BE"/>
    <w:rsid w:val="00566299"/>
    <w:rsid w:val="005725F6"/>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B2874"/>
    <w:rsid w:val="005C2FD5"/>
    <w:rsid w:val="005C5378"/>
    <w:rsid w:val="005D01EA"/>
    <w:rsid w:val="005D2AB9"/>
    <w:rsid w:val="005D34E2"/>
    <w:rsid w:val="005D496E"/>
    <w:rsid w:val="005D7C20"/>
    <w:rsid w:val="005E6960"/>
    <w:rsid w:val="005E7EB8"/>
    <w:rsid w:val="005F18D6"/>
    <w:rsid w:val="00603024"/>
    <w:rsid w:val="006116E3"/>
    <w:rsid w:val="00624400"/>
    <w:rsid w:val="00624E51"/>
    <w:rsid w:val="00626162"/>
    <w:rsid w:val="00634719"/>
    <w:rsid w:val="00636F6C"/>
    <w:rsid w:val="006503E8"/>
    <w:rsid w:val="00654A4A"/>
    <w:rsid w:val="0065545A"/>
    <w:rsid w:val="006661CF"/>
    <w:rsid w:val="00670BFD"/>
    <w:rsid w:val="00671E4C"/>
    <w:rsid w:val="00674295"/>
    <w:rsid w:val="006818A8"/>
    <w:rsid w:val="00681A51"/>
    <w:rsid w:val="00682469"/>
    <w:rsid w:val="00683D97"/>
    <w:rsid w:val="00684FCA"/>
    <w:rsid w:val="00686B5C"/>
    <w:rsid w:val="00696997"/>
    <w:rsid w:val="006A47AA"/>
    <w:rsid w:val="006A758C"/>
    <w:rsid w:val="006C1EEC"/>
    <w:rsid w:val="006C3FEA"/>
    <w:rsid w:val="006C69E7"/>
    <w:rsid w:val="006C7C13"/>
    <w:rsid w:val="006D10AE"/>
    <w:rsid w:val="006D29F2"/>
    <w:rsid w:val="006D7CA2"/>
    <w:rsid w:val="006E065B"/>
    <w:rsid w:val="006E09D3"/>
    <w:rsid w:val="006E1E6C"/>
    <w:rsid w:val="006E5505"/>
    <w:rsid w:val="006F240A"/>
    <w:rsid w:val="006F2FB3"/>
    <w:rsid w:val="006F531B"/>
    <w:rsid w:val="006F62BC"/>
    <w:rsid w:val="00702493"/>
    <w:rsid w:val="00705B15"/>
    <w:rsid w:val="00714F3B"/>
    <w:rsid w:val="007166F7"/>
    <w:rsid w:val="00716AEF"/>
    <w:rsid w:val="00717076"/>
    <w:rsid w:val="00717296"/>
    <w:rsid w:val="00721AF3"/>
    <w:rsid w:val="00727370"/>
    <w:rsid w:val="00731444"/>
    <w:rsid w:val="00735D9E"/>
    <w:rsid w:val="0074109C"/>
    <w:rsid w:val="00742335"/>
    <w:rsid w:val="00742842"/>
    <w:rsid w:val="00753376"/>
    <w:rsid w:val="007543B0"/>
    <w:rsid w:val="007568A9"/>
    <w:rsid w:val="00761514"/>
    <w:rsid w:val="00763CE7"/>
    <w:rsid w:val="00772177"/>
    <w:rsid w:val="00775C65"/>
    <w:rsid w:val="0077639A"/>
    <w:rsid w:val="0078100C"/>
    <w:rsid w:val="0078157F"/>
    <w:rsid w:val="00786F48"/>
    <w:rsid w:val="0078772C"/>
    <w:rsid w:val="007878E4"/>
    <w:rsid w:val="007963BD"/>
    <w:rsid w:val="007A4783"/>
    <w:rsid w:val="007A5191"/>
    <w:rsid w:val="007B0500"/>
    <w:rsid w:val="007B111B"/>
    <w:rsid w:val="007B3AE8"/>
    <w:rsid w:val="007B4418"/>
    <w:rsid w:val="007B5A7D"/>
    <w:rsid w:val="007B5F62"/>
    <w:rsid w:val="007B66B3"/>
    <w:rsid w:val="007B7077"/>
    <w:rsid w:val="007B71A5"/>
    <w:rsid w:val="007C3003"/>
    <w:rsid w:val="007C6B60"/>
    <w:rsid w:val="007C6F85"/>
    <w:rsid w:val="007D3AA0"/>
    <w:rsid w:val="007D3FE2"/>
    <w:rsid w:val="007D5690"/>
    <w:rsid w:val="007D69FA"/>
    <w:rsid w:val="007E1600"/>
    <w:rsid w:val="007F60C7"/>
    <w:rsid w:val="007F7270"/>
    <w:rsid w:val="00802E4F"/>
    <w:rsid w:val="00804BE4"/>
    <w:rsid w:val="00810603"/>
    <w:rsid w:val="00814283"/>
    <w:rsid w:val="00820209"/>
    <w:rsid w:val="00820F35"/>
    <w:rsid w:val="00820FEC"/>
    <w:rsid w:val="0082393D"/>
    <w:rsid w:val="0083324D"/>
    <w:rsid w:val="00841733"/>
    <w:rsid w:val="00844D38"/>
    <w:rsid w:val="00844D85"/>
    <w:rsid w:val="00845C39"/>
    <w:rsid w:val="008524BE"/>
    <w:rsid w:val="00853BC2"/>
    <w:rsid w:val="00854278"/>
    <w:rsid w:val="00855ADE"/>
    <w:rsid w:val="00856063"/>
    <w:rsid w:val="00857172"/>
    <w:rsid w:val="0086236A"/>
    <w:rsid w:val="0087035A"/>
    <w:rsid w:val="0087347D"/>
    <w:rsid w:val="00882DAD"/>
    <w:rsid w:val="00885263"/>
    <w:rsid w:val="00892DA5"/>
    <w:rsid w:val="008949B1"/>
    <w:rsid w:val="0089713E"/>
    <w:rsid w:val="008A0D31"/>
    <w:rsid w:val="008A10F3"/>
    <w:rsid w:val="008A5C0F"/>
    <w:rsid w:val="008B1596"/>
    <w:rsid w:val="008B1874"/>
    <w:rsid w:val="008C09C4"/>
    <w:rsid w:val="008C1F44"/>
    <w:rsid w:val="008C646F"/>
    <w:rsid w:val="008E3E4B"/>
    <w:rsid w:val="008E3F91"/>
    <w:rsid w:val="008E4EF9"/>
    <w:rsid w:val="008E6DFC"/>
    <w:rsid w:val="008E7710"/>
    <w:rsid w:val="00900D4D"/>
    <w:rsid w:val="00903F34"/>
    <w:rsid w:val="0090521D"/>
    <w:rsid w:val="00905C0A"/>
    <w:rsid w:val="009122F8"/>
    <w:rsid w:val="00915520"/>
    <w:rsid w:val="009155F7"/>
    <w:rsid w:val="00921131"/>
    <w:rsid w:val="009247F5"/>
    <w:rsid w:val="00925D9E"/>
    <w:rsid w:val="00926AB2"/>
    <w:rsid w:val="009407FE"/>
    <w:rsid w:val="00942436"/>
    <w:rsid w:val="00957603"/>
    <w:rsid w:val="00957A1D"/>
    <w:rsid w:val="00957BC0"/>
    <w:rsid w:val="0096487B"/>
    <w:rsid w:val="009757D1"/>
    <w:rsid w:val="00980754"/>
    <w:rsid w:val="00981535"/>
    <w:rsid w:val="009825C8"/>
    <w:rsid w:val="0098409F"/>
    <w:rsid w:val="00985537"/>
    <w:rsid w:val="00991698"/>
    <w:rsid w:val="00991C17"/>
    <w:rsid w:val="00992D1E"/>
    <w:rsid w:val="00997EB2"/>
    <w:rsid w:val="009A0557"/>
    <w:rsid w:val="009A06F5"/>
    <w:rsid w:val="009A0788"/>
    <w:rsid w:val="009A0E92"/>
    <w:rsid w:val="009A17EC"/>
    <w:rsid w:val="009A5580"/>
    <w:rsid w:val="009B03DF"/>
    <w:rsid w:val="009B6AF0"/>
    <w:rsid w:val="009C292D"/>
    <w:rsid w:val="009C5F0C"/>
    <w:rsid w:val="009C67C0"/>
    <w:rsid w:val="009D1035"/>
    <w:rsid w:val="009D13D0"/>
    <w:rsid w:val="009D2068"/>
    <w:rsid w:val="009D2515"/>
    <w:rsid w:val="009D7D33"/>
    <w:rsid w:val="009E4DD4"/>
    <w:rsid w:val="009E4E3F"/>
    <w:rsid w:val="009E698B"/>
    <w:rsid w:val="009F1547"/>
    <w:rsid w:val="009F4ABA"/>
    <w:rsid w:val="00A066AE"/>
    <w:rsid w:val="00A10DD9"/>
    <w:rsid w:val="00A12C6B"/>
    <w:rsid w:val="00A14117"/>
    <w:rsid w:val="00A149FA"/>
    <w:rsid w:val="00A17DF0"/>
    <w:rsid w:val="00A20F78"/>
    <w:rsid w:val="00A218F1"/>
    <w:rsid w:val="00A27DEE"/>
    <w:rsid w:val="00A31B93"/>
    <w:rsid w:val="00A375EF"/>
    <w:rsid w:val="00A528C2"/>
    <w:rsid w:val="00A54AFD"/>
    <w:rsid w:val="00A54E69"/>
    <w:rsid w:val="00A61B06"/>
    <w:rsid w:val="00A62113"/>
    <w:rsid w:val="00A62FE8"/>
    <w:rsid w:val="00A6759C"/>
    <w:rsid w:val="00A67923"/>
    <w:rsid w:val="00A713ED"/>
    <w:rsid w:val="00A714B8"/>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D039F"/>
    <w:rsid w:val="00AD3902"/>
    <w:rsid w:val="00AD3FB8"/>
    <w:rsid w:val="00AD6010"/>
    <w:rsid w:val="00AE33FF"/>
    <w:rsid w:val="00AF06D5"/>
    <w:rsid w:val="00AF09DD"/>
    <w:rsid w:val="00B02655"/>
    <w:rsid w:val="00B05102"/>
    <w:rsid w:val="00B16A34"/>
    <w:rsid w:val="00B25453"/>
    <w:rsid w:val="00B31B9C"/>
    <w:rsid w:val="00B34D6C"/>
    <w:rsid w:val="00B4069B"/>
    <w:rsid w:val="00B418EF"/>
    <w:rsid w:val="00B44811"/>
    <w:rsid w:val="00B5544F"/>
    <w:rsid w:val="00B55E5D"/>
    <w:rsid w:val="00B60A36"/>
    <w:rsid w:val="00B66867"/>
    <w:rsid w:val="00B66994"/>
    <w:rsid w:val="00B71AFB"/>
    <w:rsid w:val="00B71F3A"/>
    <w:rsid w:val="00B73C97"/>
    <w:rsid w:val="00B76340"/>
    <w:rsid w:val="00B76D14"/>
    <w:rsid w:val="00B80C43"/>
    <w:rsid w:val="00B879EF"/>
    <w:rsid w:val="00B94786"/>
    <w:rsid w:val="00BA78B6"/>
    <w:rsid w:val="00BB26AD"/>
    <w:rsid w:val="00BB79BD"/>
    <w:rsid w:val="00BC7208"/>
    <w:rsid w:val="00BD0B48"/>
    <w:rsid w:val="00BD2A0A"/>
    <w:rsid w:val="00BD5D0F"/>
    <w:rsid w:val="00BD7C68"/>
    <w:rsid w:val="00BE1CBC"/>
    <w:rsid w:val="00BE29DC"/>
    <w:rsid w:val="00BF697A"/>
    <w:rsid w:val="00BF6ADB"/>
    <w:rsid w:val="00C017D5"/>
    <w:rsid w:val="00C03776"/>
    <w:rsid w:val="00C13821"/>
    <w:rsid w:val="00C14051"/>
    <w:rsid w:val="00C15F73"/>
    <w:rsid w:val="00C2037B"/>
    <w:rsid w:val="00C22FF7"/>
    <w:rsid w:val="00C27F76"/>
    <w:rsid w:val="00C30DA4"/>
    <w:rsid w:val="00C37C74"/>
    <w:rsid w:val="00C44719"/>
    <w:rsid w:val="00C50108"/>
    <w:rsid w:val="00C549F0"/>
    <w:rsid w:val="00C6572C"/>
    <w:rsid w:val="00C70CFF"/>
    <w:rsid w:val="00C75655"/>
    <w:rsid w:val="00C837C3"/>
    <w:rsid w:val="00C84497"/>
    <w:rsid w:val="00C868F6"/>
    <w:rsid w:val="00C9137C"/>
    <w:rsid w:val="00C91644"/>
    <w:rsid w:val="00C9663B"/>
    <w:rsid w:val="00CA43A5"/>
    <w:rsid w:val="00CA7C0B"/>
    <w:rsid w:val="00CB6E2B"/>
    <w:rsid w:val="00CB6FF7"/>
    <w:rsid w:val="00CB7302"/>
    <w:rsid w:val="00CC1E9F"/>
    <w:rsid w:val="00CC5896"/>
    <w:rsid w:val="00CE002A"/>
    <w:rsid w:val="00CE0C35"/>
    <w:rsid w:val="00CE3810"/>
    <w:rsid w:val="00CE52B4"/>
    <w:rsid w:val="00CE5DCD"/>
    <w:rsid w:val="00CE701C"/>
    <w:rsid w:val="00CE7599"/>
    <w:rsid w:val="00CF414A"/>
    <w:rsid w:val="00CF4FF0"/>
    <w:rsid w:val="00CF5B47"/>
    <w:rsid w:val="00CF692A"/>
    <w:rsid w:val="00D104F9"/>
    <w:rsid w:val="00D14323"/>
    <w:rsid w:val="00D16008"/>
    <w:rsid w:val="00D166D4"/>
    <w:rsid w:val="00D226A2"/>
    <w:rsid w:val="00D30254"/>
    <w:rsid w:val="00D3164A"/>
    <w:rsid w:val="00D33768"/>
    <w:rsid w:val="00D33D87"/>
    <w:rsid w:val="00D35077"/>
    <w:rsid w:val="00D35A6E"/>
    <w:rsid w:val="00D40369"/>
    <w:rsid w:val="00D408A8"/>
    <w:rsid w:val="00D46DAE"/>
    <w:rsid w:val="00D51C8F"/>
    <w:rsid w:val="00D5204B"/>
    <w:rsid w:val="00D54C10"/>
    <w:rsid w:val="00D55191"/>
    <w:rsid w:val="00D55CD0"/>
    <w:rsid w:val="00D57544"/>
    <w:rsid w:val="00D57973"/>
    <w:rsid w:val="00D60CE2"/>
    <w:rsid w:val="00D612EC"/>
    <w:rsid w:val="00D6153E"/>
    <w:rsid w:val="00D623C4"/>
    <w:rsid w:val="00D722DF"/>
    <w:rsid w:val="00D84675"/>
    <w:rsid w:val="00D8526A"/>
    <w:rsid w:val="00D85D06"/>
    <w:rsid w:val="00D86252"/>
    <w:rsid w:val="00D917F3"/>
    <w:rsid w:val="00D97BAA"/>
    <w:rsid w:val="00DA3AF3"/>
    <w:rsid w:val="00DA5455"/>
    <w:rsid w:val="00DA5C2B"/>
    <w:rsid w:val="00DB5EFB"/>
    <w:rsid w:val="00DB6EF1"/>
    <w:rsid w:val="00DC19BB"/>
    <w:rsid w:val="00DC5624"/>
    <w:rsid w:val="00DC6404"/>
    <w:rsid w:val="00DD7FDF"/>
    <w:rsid w:val="00DE1703"/>
    <w:rsid w:val="00DE25AC"/>
    <w:rsid w:val="00DE7AA1"/>
    <w:rsid w:val="00DF568D"/>
    <w:rsid w:val="00E00CCB"/>
    <w:rsid w:val="00E042C7"/>
    <w:rsid w:val="00E0781A"/>
    <w:rsid w:val="00E11475"/>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6B66"/>
    <w:rsid w:val="00E579AF"/>
    <w:rsid w:val="00E705B7"/>
    <w:rsid w:val="00E7086E"/>
    <w:rsid w:val="00E70ECC"/>
    <w:rsid w:val="00E71A89"/>
    <w:rsid w:val="00E77197"/>
    <w:rsid w:val="00E81B1A"/>
    <w:rsid w:val="00E84FB3"/>
    <w:rsid w:val="00E87037"/>
    <w:rsid w:val="00EA0F03"/>
    <w:rsid w:val="00EA1EF9"/>
    <w:rsid w:val="00EA2CA0"/>
    <w:rsid w:val="00EA7237"/>
    <w:rsid w:val="00EB055B"/>
    <w:rsid w:val="00EB112A"/>
    <w:rsid w:val="00EC1212"/>
    <w:rsid w:val="00EC1D3D"/>
    <w:rsid w:val="00EC3331"/>
    <w:rsid w:val="00EC677E"/>
    <w:rsid w:val="00EC7E67"/>
    <w:rsid w:val="00ED2C94"/>
    <w:rsid w:val="00ED5B5C"/>
    <w:rsid w:val="00ED70BD"/>
    <w:rsid w:val="00EE0B3E"/>
    <w:rsid w:val="00EE37BB"/>
    <w:rsid w:val="00EE7949"/>
    <w:rsid w:val="00EF08EC"/>
    <w:rsid w:val="00EF4099"/>
    <w:rsid w:val="00EF6BDC"/>
    <w:rsid w:val="00EF6CF1"/>
    <w:rsid w:val="00EF6EAF"/>
    <w:rsid w:val="00F01688"/>
    <w:rsid w:val="00F01C4C"/>
    <w:rsid w:val="00F02786"/>
    <w:rsid w:val="00F0434F"/>
    <w:rsid w:val="00F0670F"/>
    <w:rsid w:val="00F07FA6"/>
    <w:rsid w:val="00F11BB3"/>
    <w:rsid w:val="00F13036"/>
    <w:rsid w:val="00F21D1A"/>
    <w:rsid w:val="00F22865"/>
    <w:rsid w:val="00F24D75"/>
    <w:rsid w:val="00F261E3"/>
    <w:rsid w:val="00F34B2F"/>
    <w:rsid w:val="00F34F33"/>
    <w:rsid w:val="00F36D1F"/>
    <w:rsid w:val="00F3769E"/>
    <w:rsid w:val="00F4060C"/>
    <w:rsid w:val="00F40F06"/>
    <w:rsid w:val="00F42669"/>
    <w:rsid w:val="00F4749B"/>
    <w:rsid w:val="00F514FB"/>
    <w:rsid w:val="00F56CE9"/>
    <w:rsid w:val="00F61151"/>
    <w:rsid w:val="00F64ECE"/>
    <w:rsid w:val="00F67B6E"/>
    <w:rsid w:val="00F77765"/>
    <w:rsid w:val="00F77EC3"/>
    <w:rsid w:val="00F802F0"/>
    <w:rsid w:val="00F85E98"/>
    <w:rsid w:val="00F97059"/>
    <w:rsid w:val="00FA7C8B"/>
    <w:rsid w:val="00FB0249"/>
    <w:rsid w:val="00FB793A"/>
    <w:rsid w:val="00FC5915"/>
    <w:rsid w:val="00FC5D6D"/>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B7C"/>
  </w:style>
  <w:style w:type="character" w:customStyle="1" w:styleId="FootnoteTextChar">
    <w:name w:val="Footnote Text Char"/>
    <w:basedOn w:val="DefaultParagraphFont"/>
    <w:link w:val="FootnoteText"/>
    <w:uiPriority w:val="99"/>
    <w:semiHidden/>
    <w:rsid w:val="00305B7C"/>
    <w:rPr>
      <w:rFonts w:ascii="Times New Roman" w:eastAsia="Times New Roman" w:hAnsi="Times New Roman" w:cs="Times New Roman"/>
      <w:sz w:val="20"/>
      <w:szCs w:val="20"/>
    </w:rPr>
  </w:style>
  <w:style w:type="paragraph" w:styleId="NoSpacing">
    <w:name w:val="No Spacing"/>
    <w:uiPriority w:val="1"/>
    <w:qFormat/>
    <w:rsid w:val="00305B7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14697"/>
    <w:pPr>
      <w:tabs>
        <w:tab w:val="center" w:pos="4680"/>
        <w:tab w:val="right" w:pos="9360"/>
      </w:tabs>
    </w:pPr>
  </w:style>
  <w:style w:type="character" w:customStyle="1" w:styleId="HeaderChar">
    <w:name w:val="Header Char"/>
    <w:basedOn w:val="DefaultParagraphFont"/>
    <w:link w:val="Header"/>
    <w:uiPriority w:val="99"/>
    <w:rsid w:val="003146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4697"/>
    <w:pPr>
      <w:tabs>
        <w:tab w:val="center" w:pos="4680"/>
        <w:tab w:val="right" w:pos="9360"/>
      </w:tabs>
    </w:pPr>
  </w:style>
  <w:style w:type="character" w:customStyle="1" w:styleId="FooterChar">
    <w:name w:val="Footer Char"/>
    <w:basedOn w:val="DefaultParagraphFont"/>
    <w:link w:val="Footer"/>
    <w:uiPriority w:val="99"/>
    <w:rsid w:val="0031469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05B7C"/>
  </w:style>
  <w:style w:type="character" w:customStyle="1" w:styleId="FootnoteTextChar">
    <w:name w:val="Footnote Text Char"/>
    <w:basedOn w:val="DefaultParagraphFont"/>
    <w:link w:val="FootnoteText"/>
    <w:uiPriority w:val="99"/>
    <w:semiHidden/>
    <w:rsid w:val="00305B7C"/>
    <w:rPr>
      <w:rFonts w:ascii="Times New Roman" w:eastAsia="Times New Roman" w:hAnsi="Times New Roman" w:cs="Times New Roman"/>
      <w:sz w:val="20"/>
      <w:szCs w:val="20"/>
    </w:rPr>
  </w:style>
  <w:style w:type="paragraph" w:styleId="NoSpacing">
    <w:name w:val="No Spacing"/>
    <w:uiPriority w:val="1"/>
    <w:qFormat/>
    <w:rsid w:val="00305B7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14697"/>
    <w:pPr>
      <w:tabs>
        <w:tab w:val="center" w:pos="4680"/>
        <w:tab w:val="right" w:pos="9360"/>
      </w:tabs>
    </w:pPr>
  </w:style>
  <w:style w:type="character" w:customStyle="1" w:styleId="HeaderChar">
    <w:name w:val="Header Char"/>
    <w:basedOn w:val="DefaultParagraphFont"/>
    <w:link w:val="Header"/>
    <w:uiPriority w:val="99"/>
    <w:rsid w:val="003146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4697"/>
    <w:pPr>
      <w:tabs>
        <w:tab w:val="center" w:pos="4680"/>
        <w:tab w:val="right" w:pos="9360"/>
      </w:tabs>
    </w:pPr>
  </w:style>
  <w:style w:type="character" w:customStyle="1" w:styleId="FooterChar">
    <w:name w:val="Footer Char"/>
    <w:basedOn w:val="DefaultParagraphFont"/>
    <w:link w:val="Footer"/>
    <w:uiPriority w:val="99"/>
    <w:rsid w:val="0031469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2E9EF-8E2E-41E5-8011-231CB609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Farner, Joyce</cp:lastModifiedBy>
  <cp:revision>3</cp:revision>
  <cp:lastPrinted>2014-07-24T12:38:00Z</cp:lastPrinted>
  <dcterms:created xsi:type="dcterms:W3CDTF">2014-07-21T14:12:00Z</dcterms:created>
  <dcterms:modified xsi:type="dcterms:W3CDTF">2014-07-24T12:38:00Z</dcterms:modified>
</cp:coreProperties>
</file>