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DC5" w:rsidRPr="00D87D7A" w:rsidRDefault="00DA0DC5" w:rsidP="009144E8">
      <w:pPr>
        <w:pStyle w:val="Title"/>
        <w:tabs>
          <w:tab w:val="clear" w:pos="360"/>
          <w:tab w:val="left" w:pos="0"/>
        </w:tabs>
        <w:rPr>
          <w:szCs w:val="24"/>
        </w:rPr>
      </w:pPr>
      <w:r w:rsidRPr="00D87D7A">
        <w:rPr>
          <w:szCs w:val="24"/>
        </w:rPr>
        <w:t>BEFORE THE</w:t>
      </w:r>
    </w:p>
    <w:p w:rsidR="00DA0DC5" w:rsidRPr="00D87D7A" w:rsidRDefault="00DA0DC5" w:rsidP="009144E8">
      <w:pPr>
        <w:tabs>
          <w:tab w:val="left" w:pos="0"/>
        </w:tabs>
        <w:spacing w:after="0" w:line="233" w:lineRule="auto"/>
        <w:jc w:val="center"/>
        <w:rPr>
          <w:b/>
          <w:szCs w:val="24"/>
        </w:rPr>
      </w:pPr>
      <w:r w:rsidRPr="00D87D7A">
        <w:rPr>
          <w:b/>
          <w:szCs w:val="24"/>
        </w:rPr>
        <w:t>PENNSYLVANIA PUBLIC UTILITY COMMISSION</w:t>
      </w:r>
    </w:p>
    <w:p w:rsidR="00DA0DC5" w:rsidRPr="00D87D7A" w:rsidRDefault="00DA0DC5" w:rsidP="009144E8">
      <w:pPr>
        <w:tabs>
          <w:tab w:val="left" w:pos="0"/>
        </w:tabs>
        <w:spacing w:after="0" w:line="233" w:lineRule="auto"/>
        <w:jc w:val="both"/>
        <w:rPr>
          <w:b/>
          <w:szCs w:val="24"/>
        </w:rPr>
      </w:pPr>
    </w:p>
    <w:p w:rsidR="009144E8" w:rsidRPr="00D87D7A" w:rsidRDefault="009144E8" w:rsidP="009144E8">
      <w:pPr>
        <w:tabs>
          <w:tab w:val="left" w:pos="0"/>
        </w:tabs>
        <w:spacing w:after="0" w:line="240" w:lineRule="auto"/>
        <w:jc w:val="both"/>
        <w:rPr>
          <w:szCs w:val="24"/>
        </w:rPr>
      </w:pPr>
    </w:p>
    <w:p w:rsidR="009144E8" w:rsidRPr="00D87D7A" w:rsidRDefault="009144E8" w:rsidP="009144E8">
      <w:pPr>
        <w:tabs>
          <w:tab w:val="left" w:pos="0"/>
        </w:tabs>
        <w:spacing w:after="0" w:line="240" w:lineRule="auto"/>
        <w:jc w:val="both"/>
        <w:rPr>
          <w:szCs w:val="24"/>
        </w:rPr>
      </w:pPr>
    </w:p>
    <w:p w:rsidR="00DA0DC5" w:rsidRPr="00D87D7A" w:rsidRDefault="00DA0DC5" w:rsidP="009144E8">
      <w:pPr>
        <w:tabs>
          <w:tab w:val="left" w:pos="0"/>
        </w:tabs>
        <w:spacing w:after="0" w:line="240" w:lineRule="auto"/>
        <w:jc w:val="both"/>
        <w:rPr>
          <w:b/>
          <w:szCs w:val="24"/>
        </w:rPr>
      </w:pPr>
      <w:r w:rsidRPr="00D87D7A">
        <w:rPr>
          <w:szCs w:val="24"/>
        </w:rPr>
        <w:t>Loretta Warren</w:t>
      </w:r>
      <w:r w:rsidRPr="00D87D7A">
        <w:rPr>
          <w:szCs w:val="24"/>
        </w:rPr>
        <w:tab/>
      </w:r>
      <w:r w:rsidRPr="00D87D7A">
        <w:rPr>
          <w:szCs w:val="24"/>
        </w:rPr>
        <w:tab/>
      </w:r>
      <w:r w:rsidRPr="00D87D7A">
        <w:rPr>
          <w:szCs w:val="24"/>
        </w:rPr>
        <w:tab/>
      </w:r>
      <w:r w:rsidRPr="00D87D7A">
        <w:rPr>
          <w:szCs w:val="24"/>
        </w:rPr>
        <w:tab/>
      </w:r>
      <w:r w:rsidRPr="00D87D7A">
        <w:rPr>
          <w:szCs w:val="24"/>
        </w:rPr>
        <w:tab/>
        <w:t>:</w:t>
      </w:r>
    </w:p>
    <w:p w:rsidR="00DA0DC5" w:rsidRPr="00D87D7A" w:rsidRDefault="00DA0DC5" w:rsidP="009144E8">
      <w:pPr>
        <w:tabs>
          <w:tab w:val="left" w:pos="0"/>
        </w:tabs>
        <w:spacing w:after="0" w:line="240" w:lineRule="auto"/>
        <w:jc w:val="both"/>
        <w:rPr>
          <w:szCs w:val="24"/>
        </w:rPr>
      </w:pPr>
      <w:r w:rsidRPr="00D87D7A">
        <w:rPr>
          <w:b/>
          <w:szCs w:val="24"/>
        </w:rPr>
        <w:tab/>
      </w:r>
      <w:r w:rsidRPr="00D87D7A">
        <w:rPr>
          <w:b/>
          <w:szCs w:val="24"/>
        </w:rPr>
        <w:tab/>
      </w:r>
      <w:r w:rsidRPr="00D87D7A">
        <w:rPr>
          <w:b/>
          <w:szCs w:val="24"/>
        </w:rPr>
        <w:tab/>
      </w:r>
      <w:r w:rsidRPr="00D87D7A">
        <w:rPr>
          <w:b/>
          <w:szCs w:val="24"/>
        </w:rPr>
        <w:tab/>
      </w:r>
      <w:r w:rsidRPr="00D87D7A">
        <w:rPr>
          <w:b/>
          <w:szCs w:val="24"/>
        </w:rPr>
        <w:tab/>
      </w:r>
      <w:r w:rsidRPr="00D87D7A">
        <w:rPr>
          <w:b/>
          <w:szCs w:val="24"/>
        </w:rPr>
        <w:tab/>
      </w:r>
      <w:r w:rsidRPr="00D87D7A">
        <w:rPr>
          <w:szCs w:val="24"/>
        </w:rPr>
        <w:t>:</w:t>
      </w:r>
    </w:p>
    <w:p w:rsidR="00DA0DC5" w:rsidRPr="00D87D7A" w:rsidRDefault="00DA0DC5" w:rsidP="009144E8">
      <w:pPr>
        <w:tabs>
          <w:tab w:val="left" w:pos="0"/>
        </w:tabs>
        <w:spacing w:after="0" w:line="240" w:lineRule="auto"/>
        <w:ind w:firstLine="720"/>
        <w:jc w:val="both"/>
        <w:rPr>
          <w:szCs w:val="24"/>
        </w:rPr>
      </w:pPr>
      <w:r w:rsidRPr="00D87D7A">
        <w:rPr>
          <w:szCs w:val="24"/>
        </w:rPr>
        <w:t>v.</w:t>
      </w:r>
      <w:r w:rsidRPr="00D87D7A">
        <w:rPr>
          <w:szCs w:val="24"/>
        </w:rPr>
        <w:tab/>
      </w:r>
      <w:r w:rsidRPr="00D87D7A">
        <w:rPr>
          <w:szCs w:val="24"/>
        </w:rPr>
        <w:tab/>
      </w:r>
      <w:r w:rsidRPr="00D87D7A">
        <w:rPr>
          <w:szCs w:val="24"/>
        </w:rPr>
        <w:tab/>
      </w:r>
      <w:r w:rsidRPr="00D87D7A">
        <w:rPr>
          <w:szCs w:val="24"/>
        </w:rPr>
        <w:tab/>
      </w:r>
      <w:r w:rsidRPr="00D87D7A">
        <w:rPr>
          <w:szCs w:val="24"/>
        </w:rPr>
        <w:tab/>
      </w:r>
      <w:r w:rsidR="009144E8" w:rsidRPr="00D87D7A">
        <w:rPr>
          <w:szCs w:val="24"/>
        </w:rPr>
        <w:tab/>
      </w:r>
      <w:r w:rsidRPr="00D87D7A">
        <w:rPr>
          <w:szCs w:val="24"/>
        </w:rPr>
        <w:t>:</w:t>
      </w:r>
      <w:r w:rsidRPr="00D87D7A">
        <w:rPr>
          <w:b/>
          <w:szCs w:val="24"/>
        </w:rPr>
        <w:tab/>
      </w:r>
      <w:r w:rsidRPr="00D87D7A">
        <w:rPr>
          <w:b/>
          <w:szCs w:val="24"/>
        </w:rPr>
        <w:tab/>
      </w:r>
      <w:r w:rsidRPr="00D87D7A">
        <w:rPr>
          <w:szCs w:val="24"/>
        </w:rPr>
        <w:t>F-2014-2399085</w:t>
      </w:r>
    </w:p>
    <w:p w:rsidR="00DA0DC5" w:rsidRPr="00D87D7A" w:rsidRDefault="00DA0DC5" w:rsidP="009144E8">
      <w:pPr>
        <w:tabs>
          <w:tab w:val="left" w:pos="0"/>
        </w:tabs>
        <w:spacing w:after="0" w:line="240" w:lineRule="auto"/>
        <w:jc w:val="both"/>
        <w:rPr>
          <w:szCs w:val="24"/>
        </w:rPr>
      </w:pPr>
      <w:r w:rsidRPr="00D87D7A">
        <w:rPr>
          <w:szCs w:val="24"/>
        </w:rPr>
        <w:tab/>
      </w:r>
      <w:r w:rsidRPr="00D87D7A">
        <w:rPr>
          <w:szCs w:val="24"/>
        </w:rPr>
        <w:tab/>
      </w:r>
      <w:r w:rsidRPr="00D87D7A">
        <w:rPr>
          <w:szCs w:val="24"/>
        </w:rPr>
        <w:tab/>
      </w:r>
      <w:r w:rsidRPr="00D87D7A">
        <w:rPr>
          <w:szCs w:val="24"/>
        </w:rPr>
        <w:tab/>
      </w:r>
      <w:r w:rsidRPr="00D87D7A">
        <w:rPr>
          <w:szCs w:val="24"/>
        </w:rPr>
        <w:tab/>
      </w:r>
      <w:r w:rsidRPr="00D87D7A">
        <w:rPr>
          <w:szCs w:val="24"/>
        </w:rPr>
        <w:tab/>
        <w:t>:</w:t>
      </w:r>
    </w:p>
    <w:p w:rsidR="00DA0DC5" w:rsidRPr="00D87D7A" w:rsidRDefault="00DA0DC5" w:rsidP="009144E8">
      <w:pPr>
        <w:tabs>
          <w:tab w:val="left" w:pos="0"/>
        </w:tabs>
        <w:spacing w:after="0" w:line="240" w:lineRule="auto"/>
        <w:jc w:val="both"/>
        <w:rPr>
          <w:szCs w:val="24"/>
        </w:rPr>
      </w:pPr>
      <w:r w:rsidRPr="00D87D7A">
        <w:rPr>
          <w:szCs w:val="24"/>
        </w:rPr>
        <w:t>Duquesne Light Company</w:t>
      </w:r>
      <w:r w:rsidRPr="00D87D7A">
        <w:rPr>
          <w:szCs w:val="24"/>
        </w:rPr>
        <w:tab/>
      </w:r>
      <w:r w:rsidRPr="00D87D7A">
        <w:rPr>
          <w:szCs w:val="24"/>
        </w:rPr>
        <w:tab/>
      </w:r>
      <w:r w:rsidRPr="00D87D7A">
        <w:rPr>
          <w:szCs w:val="24"/>
        </w:rPr>
        <w:tab/>
      </w:r>
      <w:r w:rsidRPr="00D87D7A">
        <w:rPr>
          <w:szCs w:val="24"/>
        </w:rPr>
        <w:tab/>
        <w:t>:</w:t>
      </w:r>
    </w:p>
    <w:p w:rsidR="00DA0DC5" w:rsidRPr="00D87D7A" w:rsidRDefault="00DA0DC5" w:rsidP="009144E8">
      <w:pPr>
        <w:tabs>
          <w:tab w:val="left" w:pos="0"/>
        </w:tabs>
        <w:spacing w:after="0" w:line="240" w:lineRule="auto"/>
        <w:jc w:val="both"/>
        <w:rPr>
          <w:szCs w:val="24"/>
        </w:rPr>
      </w:pPr>
    </w:p>
    <w:p w:rsidR="00DA0DC5" w:rsidRPr="00D87D7A" w:rsidRDefault="00DA0DC5" w:rsidP="009144E8">
      <w:pPr>
        <w:tabs>
          <w:tab w:val="left" w:pos="0"/>
        </w:tabs>
        <w:spacing w:after="0" w:line="233" w:lineRule="auto"/>
        <w:jc w:val="both"/>
        <w:rPr>
          <w:b/>
          <w:szCs w:val="24"/>
        </w:rPr>
      </w:pPr>
    </w:p>
    <w:p w:rsidR="00DA0DC5" w:rsidRPr="00D87D7A" w:rsidRDefault="00DA0DC5" w:rsidP="009144E8">
      <w:pPr>
        <w:tabs>
          <w:tab w:val="left" w:pos="0"/>
        </w:tabs>
        <w:spacing w:after="0" w:line="233" w:lineRule="auto"/>
        <w:jc w:val="both"/>
        <w:rPr>
          <w:b/>
          <w:szCs w:val="24"/>
        </w:rPr>
      </w:pPr>
    </w:p>
    <w:p w:rsidR="00792796" w:rsidRPr="00D87D7A" w:rsidRDefault="00DA0DC5" w:rsidP="009144E8">
      <w:pPr>
        <w:spacing w:after="0" w:line="240" w:lineRule="auto"/>
        <w:jc w:val="center"/>
        <w:rPr>
          <w:b/>
          <w:szCs w:val="24"/>
          <w:u w:val="single"/>
        </w:rPr>
      </w:pPr>
      <w:r w:rsidRPr="00D87D7A">
        <w:rPr>
          <w:b/>
          <w:szCs w:val="24"/>
          <w:u w:val="single"/>
        </w:rPr>
        <w:t>INITIAL DECISION</w:t>
      </w:r>
    </w:p>
    <w:p w:rsidR="009144E8" w:rsidRPr="00D87D7A" w:rsidRDefault="009144E8" w:rsidP="009144E8">
      <w:pPr>
        <w:spacing w:after="0" w:line="240" w:lineRule="auto"/>
        <w:jc w:val="center"/>
        <w:rPr>
          <w:szCs w:val="24"/>
        </w:rPr>
      </w:pPr>
    </w:p>
    <w:p w:rsidR="009144E8" w:rsidRPr="00D87D7A" w:rsidRDefault="009144E8" w:rsidP="009144E8">
      <w:pPr>
        <w:spacing w:after="0" w:line="240" w:lineRule="auto"/>
        <w:jc w:val="center"/>
        <w:rPr>
          <w:szCs w:val="24"/>
        </w:rPr>
      </w:pPr>
    </w:p>
    <w:p w:rsidR="00DA0DC5" w:rsidRPr="00D87D7A" w:rsidRDefault="00DA0DC5" w:rsidP="009144E8">
      <w:pPr>
        <w:spacing w:after="0" w:line="240" w:lineRule="auto"/>
        <w:jc w:val="center"/>
        <w:rPr>
          <w:szCs w:val="24"/>
        </w:rPr>
      </w:pPr>
      <w:r w:rsidRPr="00D87D7A">
        <w:rPr>
          <w:szCs w:val="24"/>
        </w:rPr>
        <w:t>Before</w:t>
      </w:r>
    </w:p>
    <w:p w:rsidR="00DA0DC5" w:rsidRPr="00D87D7A" w:rsidRDefault="00DA0DC5" w:rsidP="009144E8">
      <w:pPr>
        <w:spacing w:after="0" w:line="240" w:lineRule="auto"/>
        <w:jc w:val="center"/>
        <w:rPr>
          <w:szCs w:val="24"/>
        </w:rPr>
      </w:pPr>
      <w:r w:rsidRPr="00D87D7A">
        <w:rPr>
          <w:szCs w:val="24"/>
        </w:rPr>
        <w:t>Mary D. Long</w:t>
      </w:r>
    </w:p>
    <w:p w:rsidR="00DA0DC5" w:rsidRPr="00D87D7A" w:rsidRDefault="00DA0DC5" w:rsidP="009144E8">
      <w:pPr>
        <w:spacing w:after="0" w:line="240" w:lineRule="auto"/>
        <w:jc w:val="center"/>
        <w:rPr>
          <w:szCs w:val="24"/>
        </w:rPr>
      </w:pPr>
      <w:r w:rsidRPr="00D87D7A">
        <w:rPr>
          <w:szCs w:val="24"/>
        </w:rPr>
        <w:t>Administrative Law Judge</w:t>
      </w:r>
    </w:p>
    <w:p w:rsidR="00CE60AE" w:rsidRPr="00D87D7A" w:rsidRDefault="00CE60AE" w:rsidP="009144E8">
      <w:pPr>
        <w:spacing w:after="0" w:line="240" w:lineRule="auto"/>
        <w:jc w:val="center"/>
        <w:rPr>
          <w:szCs w:val="24"/>
        </w:rPr>
      </w:pPr>
    </w:p>
    <w:p w:rsidR="00CE60AE" w:rsidRPr="00D87D7A" w:rsidRDefault="00CE60AE" w:rsidP="009144E8">
      <w:pPr>
        <w:spacing w:after="0" w:line="240" w:lineRule="auto"/>
        <w:jc w:val="center"/>
        <w:rPr>
          <w:szCs w:val="24"/>
        </w:rPr>
      </w:pPr>
    </w:p>
    <w:p w:rsidR="00CE60AE" w:rsidRPr="00D87D7A" w:rsidRDefault="00CE60AE" w:rsidP="00CE60AE">
      <w:pPr>
        <w:spacing w:after="0"/>
        <w:ind w:firstLine="1440"/>
        <w:rPr>
          <w:szCs w:val="24"/>
        </w:rPr>
      </w:pPr>
      <w:r w:rsidRPr="00D87D7A">
        <w:rPr>
          <w:szCs w:val="24"/>
        </w:rPr>
        <w:t xml:space="preserve">The complaint of a property owner is </w:t>
      </w:r>
      <w:r w:rsidR="00C36DA4" w:rsidRPr="00D87D7A">
        <w:rPr>
          <w:szCs w:val="24"/>
        </w:rPr>
        <w:t xml:space="preserve">sustained because a </w:t>
      </w:r>
      <w:r w:rsidRPr="00D87D7A">
        <w:rPr>
          <w:szCs w:val="24"/>
        </w:rPr>
        <w:t xml:space="preserve">utility improperly required her to pay fees for damage to the meter on her </w:t>
      </w:r>
      <w:r w:rsidR="003764E3" w:rsidRPr="00D87D7A">
        <w:rPr>
          <w:szCs w:val="24"/>
        </w:rPr>
        <w:t xml:space="preserve">rental </w:t>
      </w:r>
      <w:r w:rsidRPr="00D87D7A">
        <w:rPr>
          <w:szCs w:val="24"/>
        </w:rPr>
        <w:t>property and for reconnection of service.</w:t>
      </w:r>
    </w:p>
    <w:p w:rsidR="00DA0DC5" w:rsidRPr="00D87D7A" w:rsidRDefault="00DA0DC5" w:rsidP="00CE60AE">
      <w:pPr>
        <w:spacing w:after="0"/>
        <w:rPr>
          <w:szCs w:val="24"/>
        </w:rPr>
      </w:pPr>
    </w:p>
    <w:p w:rsidR="00DA0DC5" w:rsidRPr="00D87D7A" w:rsidRDefault="00DA0DC5" w:rsidP="00CE60AE">
      <w:pPr>
        <w:spacing w:after="0"/>
        <w:jc w:val="center"/>
        <w:rPr>
          <w:szCs w:val="24"/>
          <w:u w:val="single"/>
        </w:rPr>
      </w:pPr>
      <w:r w:rsidRPr="00D87D7A">
        <w:rPr>
          <w:szCs w:val="24"/>
          <w:u w:val="single"/>
        </w:rPr>
        <w:t>HISTORY OF THE PROCEEDINGS</w:t>
      </w:r>
    </w:p>
    <w:p w:rsidR="009144E8" w:rsidRPr="00D87D7A" w:rsidRDefault="009144E8" w:rsidP="009144E8">
      <w:pPr>
        <w:spacing w:after="0"/>
        <w:jc w:val="center"/>
        <w:rPr>
          <w:szCs w:val="24"/>
          <w:u w:val="single"/>
        </w:rPr>
      </w:pPr>
    </w:p>
    <w:p w:rsidR="00DA0DC5" w:rsidRPr="00D87D7A" w:rsidRDefault="00DA0DC5" w:rsidP="009144E8">
      <w:pPr>
        <w:spacing w:after="0"/>
        <w:rPr>
          <w:szCs w:val="24"/>
        </w:rPr>
      </w:pPr>
      <w:r w:rsidRPr="00D87D7A">
        <w:rPr>
          <w:szCs w:val="24"/>
        </w:rPr>
        <w:tab/>
        <w:t>Loretta Warren (Complainant) filed a formal complaint against Duquesne Light Company (Duquesne Light) on December 23, 201</w:t>
      </w:r>
      <w:r w:rsidR="00AC4487" w:rsidRPr="00D87D7A">
        <w:rPr>
          <w:szCs w:val="24"/>
        </w:rPr>
        <w:t>3</w:t>
      </w:r>
      <w:r w:rsidRPr="00D87D7A">
        <w:rPr>
          <w:szCs w:val="24"/>
        </w:rPr>
        <w:t>.  She stated that there were incorrect charges on her bill</w:t>
      </w:r>
      <w:r w:rsidR="00DC7D85" w:rsidRPr="00D87D7A">
        <w:rPr>
          <w:szCs w:val="24"/>
        </w:rPr>
        <w:t xml:space="preserve"> </w:t>
      </w:r>
      <w:r w:rsidRPr="00D87D7A">
        <w:rPr>
          <w:szCs w:val="24"/>
        </w:rPr>
        <w:t>and that a tenant had stolen electricity and damaged the box on the outside of the house.  Duquesne Light filed an answer on January 20, 2014, stating that it had correctly charged the Complainant fees related to reconnection of electricity to her rental property after damage to the meter box and discovery of an unauthorized reconnection of service.</w:t>
      </w:r>
    </w:p>
    <w:p w:rsidR="009144E8" w:rsidRPr="00D87D7A" w:rsidRDefault="009144E8" w:rsidP="009144E8">
      <w:pPr>
        <w:spacing w:after="0"/>
        <w:rPr>
          <w:szCs w:val="24"/>
        </w:rPr>
      </w:pPr>
    </w:p>
    <w:p w:rsidR="00DA0DC5" w:rsidRPr="00D87D7A" w:rsidRDefault="00DA0DC5" w:rsidP="009144E8">
      <w:pPr>
        <w:spacing w:after="0"/>
        <w:rPr>
          <w:szCs w:val="24"/>
        </w:rPr>
      </w:pPr>
      <w:r w:rsidRPr="00D87D7A">
        <w:rPr>
          <w:szCs w:val="24"/>
        </w:rPr>
        <w:tab/>
        <w:t xml:space="preserve">By hearing notice dated February 19, </w:t>
      </w:r>
      <w:proofErr w:type="gramStart"/>
      <w:r w:rsidRPr="00D87D7A">
        <w:rPr>
          <w:szCs w:val="24"/>
        </w:rPr>
        <w:t>2014,</w:t>
      </w:r>
      <w:proofErr w:type="gramEnd"/>
      <w:r w:rsidRPr="00D87D7A">
        <w:rPr>
          <w:szCs w:val="24"/>
        </w:rPr>
        <w:t xml:space="preserve"> this matter was assigned to me and scheduled for hearing on March 31,</w:t>
      </w:r>
      <w:r w:rsidR="005D0613" w:rsidRPr="00D87D7A">
        <w:rPr>
          <w:szCs w:val="24"/>
        </w:rPr>
        <w:t xml:space="preserve"> 2014.  The parties requested a continuance of the hearing which was granted.  The hearing was rescheduled for Thursday, April 10, 2014, and was held on that date.</w:t>
      </w:r>
    </w:p>
    <w:p w:rsidR="005D0613" w:rsidRPr="00D87D7A" w:rsidRDefault="005D0613" w:rsidP="009144E8">
      <w:pPr>
        <w:spacing w:after="0"/>
        <w:rPr>
          <w:szCs w:val="24"/>
        </w:rPr>
      </w:pPr>
      <w:r w:rsidRPr="00D87D7A">
        <w:rPr>
          <w:szCs w:val="24"/>
        </w:rPr>
        <w:lastRenderedPageBreak/>
        <w:tab/>
        <w:t xml:space="preserve">Loretta Warren appeared and represented herself, testifying on her own behalf.  Kenneth G. </w:t>
      </w:r>
      <w:proofErr w:type="spellStart"/>
      <w:r w:rsidRPr="00D87D7A">
        <w:rPr>
          <w:szCs w:val="24"/>
        </w:rPr>
        <w:t>Scholtz</w:t>
      </w:r>
      <w:proofErr w:type="spellEnd"/>
      <w:r w:rsidRPr="00D87D7A">
        <w:rPr>
          <w:szCs w:val="24"/>
        </w:rPr>
        <w:t>, Esquire appeared on behalf of Duquesne Light and presented the testimony of one witness, Roxanne Morris.  Duquesne Light offered three exhibits which were admitted into evidence.  The hearing generated a transcript of 47 pages.  The record closed by order dated May 6, 2014.</w:t>
      </w:r>
    </w:p>
    <w:p w:rsidR="009144E8" w:rsidRPr="00D87D7A" w:rsidRDefault="009144E8" w:rsidP="009144E8">
      <w:pPr>
        <w:spacing w:after="0"/>
        <w:rPr>
          <w:szCs w:val="24"/>
        </w:rPr>
      </w:pPr>
    </w:p>
    <w:p w:rsidR="005D0613" w:rsidRPr="00D87D7A" w:rsidRDefault="005D0613" w:rsidP="009144E8">
      <w:pPr>
        <w:spacing w:after="0"/>
        <w:jc w:val="center"/>
        <w:rPr>
          <w:szCs w:val="24"/>
          <w:u w:val="single"/>
        </w:rPr>
      </w:pPr>
      <w:r w:rsidRPr="00D87D7A">
        <w:rPr>
          <w:szCs w:val="24"/>
          <w:u w:val="single"/>
        </w:rPr>
        <w:t>FINDINGS OF FACT</w:t>
      </w:r>
    </w:p>
    <w:p w:rsidR="009144E8" w:rsidRPr="00D87D7A" w:rsidRDefault="009144E8" w:rsidP="009144E8">
      <w:pPr>
        <w:spacing w:after="0"/>
        <w:jc w:val="center"/>
        <w:rPr>
          <w:szCs w:val="24"/>
          <w:u w:val="single"/>
        </w:rPr>
      </w:pPr>
    </w:p>
    <w:p w:rsidR="005D0613" w:rsidRPr="00D87D7A" w:rsidRDefault="00186892" w:rsidP="009144E8">
      <w:pPr>
        <w:pStyle w:val="ListParagraph"/>
        <w:spacing w:after="0"/>
        <w:ind w:firstLine="1440"/>
        <w:rPr>
          <w:szCs w:val="24"/>
        </w:rPr>
      </w:pPr>
      <w:r w:rsidRPr="00D87D7A">
        <w:rPr>
          <w:szCs w:val="24"/>
        </w:rPr>
        <w:t>The Complainant, Loretta Warren</w:t>
      </w:r>
      <w:r w:rsidR="00DC7D85" w:rsidRPr="00D87D7A">
        <w:rPr>
          <w:szCs w:val="24"/>
        </w:rPr>
        <w:t>,</w:t>
      </w:r>
      <w:r w:rsidRPr="00D87D7A">
        <w:rPr>
          <w:szCs w:val="24"/>
        </w:rPr>
        <w:t xml:space="preserve"> owns a </w:t>
      </w:r>
      <w:r w:rsidR="00DD1641" w:rsidRPr="00D87D7A">
        <w:rPr>
          <w:szCs w:val="24"/>
        </w:rPr>
        <w:t xml:space="preserve">rental </w:t>
      </w:r>
      <w:r w:rsidRPr="00D87D7A">
        <w:rPr>
          <w:szCs w:val="24"/>
        </w:rPr>
        <w:t xml:space="preserve">property at 6626 </w:t>
      </w:r>
      <w:proofErr w:type="spellStart"/>
      <w:r w:rsidRPr="00D87D7A">
        <w:rPr>
          <w:szCs w:val="24"/>
        </w:rPr>
        <w:t>Brainard</w:t>
      </w:r>
      <w:proofErr w:type="spellEnd"/>
      <w:r w:rsidRPr="00D87D7A">
        <w:rPr>
          <w:szCs w:val="24"/>
        </w:rPr>
        <w:t xml:space="preserve"> Street, Pittsburgh, Pennsylvania which receives residential electricity service from Duquesne Light. (N.T. 8)</w:t>
      </w:r>
    </w:p>
    <w:p w:rsidR="009144E8" w:rsidRPr="00D87D7A" w:rsidRDefault="009144E8" w:rsidP="009144E8">
      <w:pPr>
        <w:pStyle w:val="ListParagraph"/>
        <w:numPr>
          <w:ilvl w:val="0"/>
          <w:numId w:val="0"/>
        </w:numPr>
        <w:spacing w:after="0"/>
        <w:ind w:left="720" w:firstLine="1440"/>
        <w:rPr>
          <w:szCs w:val="24"/>
        </w:rPr>
      </w:pPr>
    </w:p>
    <w:p w:rsidR="00186892" w:rsidRPr="00D87D7A" w:rsidRDefault="00E56973" w:rsidP="009144E8">
      <w:pPr>
        <w:pStyle w:val="ListParagraph"/>
        <w:spacing w:after="0"/>
        <w:ind w:firstLine="1440"/>
        <w:rPr>
          <w:szCs w:val="24"/>
        </w:rPr>
      </w:pPr>
      <w:r w:rsidRPr="00D87D7A">
        <w:rPr>
          <w:szCs w:val="24"/>
        </w:rPr>
        <w:t xml:space="preserve">In the spring of 2014, </w:t>
      </w:r>
      <w:r w:rsidR="00186892" w:rsidRPr="00D87D7A">
        <w:rPr>
          <w:szCs w:val="24"/>
        </w:rPr>
        <w:t>the Complainant contacted Duquesne Light in order to obtain electricity s</w:t>
      </w:r>
      <w:r w:rsidRPr="00D87D7A">
        <w:rPr>
          <w:szCs w:val="24"/>
        </w:rPr>
        <w:t xml:space="preserve">ervice for 6626 </w:t>
      </w:r>
      <w:proofErr w:type="spellStart"/>
      <w:r w:rsidRPr="00D87D7A">
        <w:rPr>
          <w:szCs w:val="24"/>
        </w:rPr>
        <w:t>Brainard</w:t>
      </w:r>
      <w:proofErr w:type="spellEnd"/>
      <w:r w:rsidRPr="00D87D7A">
        <w:rPr>
          <w:szCs w:val="24"/>
        </w:rPr>
        <w:t xml:space="preserve"> Street.  Duquesne Light informed her </w:t>
      </w:r>
      <w:r w:rsidR="00186892" w:rsidRPr="00D87D7A">
        <w:rPr>
          <w:szCs w:val="24"/>
        </w:rPr>
        <w:t>that the meter had been tampered w</w:t>
      </w:r>
      <w:r w:rsidR="00BC03E6" w:rsidRPr="00D87D7A">
        <w:rPr>
          <w:szCs w:val="24"/>
        </w:rPr>
        <w:t>ith and that it would cost $400</w:t>
      </w:r>
      <w:r w:rsidR="00186892" w:rsidRPr="00D87D7A">
        <w:rPr>
          <w:szCs w:val="24"/>
        </w:rPr>
        <w:t xml:space="preserve"> to restore service. (N.T. 9-10</w:t>
      </w:r>
      <w:r w:rsidR="00BC03E6" w:rsidRPr="00D87D7A">
        <w:rPr>
          <w:szCs w:val="24"/>
        </w:rPr>
        <w:t>, 40</w:t>
      </w:r>
      <w:r w:rsidR="00186892" w:rsidRPr="00D87D7A">
        <w:rPr>
          <w:szCs w:val="24"/>
        </w:rPr>
        <w:t>)</w:t>
      </w:r>
    </w:p>
    <w:p w:rsidR="009144E8" w:rsidRPr="00D87D7A" w:rsidRDefault="009144E8" w:rsidP="009144E8">
      <w:pPr>
        <w:pStyle w:val="ListParagraph"/>
        <w:numPr>
          <w:ilvl w:val="0"/>
          <w:numId w:val="0"/>
        </w:numPr>
        <w:spacing w:after="0"/>
        <w:ind w:left="720" w:firstLine="1440"/>
        <w:rPr>
          <w:szCs w:val="24"/>
        </w:rPr>
      </w:pPr>
    </w:p>
    <w:p w:rsidR="00186892" w:rsidRPr="00D87D7A" w:rsidRDefault="00E56973" w:rsidP="009144E8">
      <w:pPr>
        <w:pStyle w:val="ListParagraph"/>
        <w:spacing w:after="0"/>
        <w:ind w:firstLine="1440"/>
        <w:rPr>
          <w:szCs w:val="24"/>
        </w:rPr>
      </w:pPr>
      <w:r w:rsidRPr="00D87D7A">
        <w:rPr>
          <w:szCs w:val="24"/>
        </w:rPr>
        <w:t>The Complainant reported the tampering to the police, but never picked up the police report. (N.T. 18)</w:t>
      </w:r>
    </w:p>
    <w:p w:rsidR="009144E8" w:rsidRPr="00D87D7A" w:rsidRDefault="009144E8" w:rsidP="009144E8">
      <w:pPr>
        <w:pStyle w:val="ListParagraph"/>
        <w:numPr>
          <w:ilvl w:val="0"/>
          <w:numId w:val="0"/>
        </w:numPr>
        <w:spacing w:after="0"/>
        <w:ind w:left="720" w:firstLine="1440"/>
        <w:rPr>
          <w:szCs w:val="24"/>
        </w:rPr>
      </w:pPr>
    </w:p>
    <w:p w:rsidR="00384C9C" w:rsidRPr="00D87D7A" w:rsidRDefault="00384C9C" w:rsidP="009144E8">
      <w:pPr>
        <w:pStyle w:val="ListParagraph"/>
        <w:spacing w:after="0"/>
        <w:ind w:firstLine="1440"/>
        <w:rPr>
          <w:szCs w:val="24"/>
        </w:rPr>
      </w:pPr>
      <w:r w:rsidRPr="00D87D7A">
        <w:rPr>
          <w:szCs w:val="24"/>
        </w:rPr>
        <w:t xml:space="preserve">Electricity service was disconnected at 6626 </w:t>
      </w:r>
      <w:proofErr w:type="spellStart"/>
      <w:r w:rsidRPr="00D87D7A">
        <w:rPr>
          <w:szCs w:val="24"/>
        </w:rPr>
        <w:t>Brainard</w:t>
      </w:r>
      <w:proofErr w:type="spellEnd"/>
      <w:r w:rsidRPr="00D87D7A">
        <w:rPr>
          <w:szCs w:val="24"/>
        </w:rPr>
        <w:t xml:space="preserve"> Street on July 9, 2013, at the request of the customer, Antwan Johnson. (N.T. 26)</w:t>
      </w:r>
    </w:p>
    <w:p w:rsidR="009144E8" w:rsidRPr="00D87D7A" w:rsidRDefault="009144E8" w:rsidP="009144E8">
      <w:pPr>
        <w:pStyle w:val="ListParagraph"/>
        <w:numPr>
          <w:ilvl w:val="0"/>
          <w:numId w:val="0"/>
        </w:numPr>
        <w:spacing w:after="0"/>
        <w:ind w:left="720" w:firstLine="1440"/>
        <w:rPr>
          <w:szCs w:val="24"/>
        </w:rPr>
      </w:pPr>
    </w:p>
    <w:p w:rsidR="00384C9C" w:rsidRPr="00D87D7A" w:rsidRDefault="00384C9C" w:rsidP="009144E8">
      <w:pPr>
        <w:pStyle w:val="ListParagraph"/>
        <w:spacing w:after="0"/>
        <w:ind w:firstLine="1440"/>
        <w:rPr>
          <w:szCs w:val="24"/>
        </w:rPr>
      </w:pPr>
      <w:r w:rsidRPr="00D87D7A">
        <w:rPr>
          <w:szCs w:val="24"/>
        </w:rPr>
        <w:t>Duquesne Light did a field visit because the meter was registering usage in November 2013. (N.T. 26)</w:t>
      </w:r>
    </w:p>
    <w:p w:rsidR="009144E8" w:rsidRPr="00D87D7A" w:rsidRDefault="009144E8" w:rsidP="009144E8">
      <w:pPr>
        <w:pStyle w:val="ListParagraph"/>
        <w:numPr>
          <w:ilvl w:val="0"/>
          <w:numId w:val="0"/>
        </w:numPr>
        <w:spacing w:after="0"/>
        <w:ind w:left="720" w:firstLine="1440"/>
        <w:rPr>
          <w:szCs w:val="24"/>
        </w:rPr>
      </w:pPr>
    </w:p>
    <w:p w:rsidR="00384C9C" w:rsidRDefault="00384C9C" w:rsidP="009144E8">
      <w:pPr>
        <w:pStyle w:val="ListParagraph"/>
        <w:spacing w:after="0"/>
        <w:ind w:firstLine="1440"/>
        <w:rPr>
          <w:szCs w:val="24"/>
        </w:rPr>
      </w:pPr>
      <w:r w:rsidRPr="00D87D7A">
        <w:rPr>
          <w:szCs w:val="24"/>
        </w:rPr>
        <w:t>The result of the field visit was the determination that the meter had been tampered with, and Duquesne Light shut off the power at the pole on November 11, 2013. (N.T. 27)</w:t>
      </w:r>
    </w:p>
    <w:p w:rsidR="001F6286" w:rsidRPr="001F6286" w:rsidRDefault="001F6286" w:rsidP="001F6286">
      <w:pPr>
        <w:pStyle w:val="ListParagraph"/>
        <w:numPr>
          <w:ilvl w:val="0"/>
          <w:numId w:val="0"/>
        </w:numPr>
        <w:ind w:left="720"/>
        <w:rPr>
          <w:szCs w:val="24"/>
        </w:rPr>
      </w:pPr>
    </w:p>
    <w:p w:rsidR="001F6286" w:rsidRPr="001F6286" w:rsidRDefault="001F6286" w:rsidP="001F6286">
      <w:pPr>
        <w:spacing w:after="0"/>
        <w:rPr>
          <w:szCs w:val="24"/>
        </w:rPr>
      </w:pPr>
    </w:p>
    <w:p w:rsidR="00384C9C" w:rsidRPr="00D87D7A" w:rsidRDefault="00384C9C" w:rsidP="009144E8">
      <w:pPr>
        <w:pStyle w:val="ListParagraph"/>
        <w:spacing w:after="0"/>
        <w:ind w:firstLine="1440"/>
        <w:rPr>
          <w:szCs w:val="24"/>
        </w:rPr>
      </w:pPr>
      <w:r w:rsidRPr="00D87D7A">
        <w:rPr>
          <w:szCs w:val="24"/>
        </w:rPr>
        <w:t xml:space="preserve">The Complainant contacted Duquesne Light later that day.  Duquesne Light informed her that in order to establish service at 6626 </w:t>
      </w:r>
      <w:proofErr w:type="spellStart"/>
      <w:r w:rsidRPr="00D87D7A">
        <w:rPr>
          <w:szCs w:val="24"/>
        </w:rPr>
        <w:t>Brainard</w:t>
      </w:r>
      <w:proofErr w:type="spellEnd"/>
      <w:r w:rsidRPr="00D87D7A">
        <w:rPr>
          <w:szCs w:val="24"/>
        </w:rPr>
        <w:t xml:space="preserve"> Street, she would have to pay</w:t>
      </w:r>
      <w:r w:rsidR="00C534BA">
        <w:rPr>
          <w:szCs w:val="24"/>
        </w:rPr>
        <w:t xml:space="preserve"> for</w:t>
      </w:r>
      <w:bookmarkStart w:id="0" w:name="_GoBack"/>
      <w:bookmarkEnd w:id="0"/>
      <w:r w:rsidRPr="00D87D7A">
        <w:rPr>
          <w:szCs w:val="24"/>
        </w:rPr>
        <w:t xml:space="preserve"> wiring approval and fees of $400, which included $100 for the meter, $50 for </w:t>
      </w:r>
      <w:r w:rsidR="00F111C1" w:rsidRPr="00D87D7A">
        <w:rPr>
          <w:szCs w:val="24"/>
        </w:rPr>
        <w:t xml:space="preserve">the investigation, and $250 as </w:t>
      </w:r>
      <w:r w:rsidRPr="00D87D7A">
        <w:rPr>
          <w:szCs w:val="24"/>
        </w:rPr>
        <w:t>a reconnect fee. (N.T. 29, 32)</w:t>
      </w:r>
    </w:p>
    <w:p w:rsidR="009144E8" w:rsidRPr="00D87D7A" w:rsidRDefault="009144E8" w:rsidP="009144E8">
      <w:pPr>
        <w:pStyle w:val="ListParagraph"/>
        <w:numPr>
          <w:ilvl w:val="0"/>
          <w:numId w:val="0"/>
        </w:numPr>
        <w:spacing w:after="0"/>
        <w:ind w:left="720" w:firstLine="1440"/>
        <w:rPr>
          <w:szCs w:val="24"/>
        </w:rPr>
      </w:pPr>
    </w:p>
    <w:p w:rsidR="00384C9C" w:rsidRPr="00D87D7A" w:rsidRDefault="00434EAE" w:rsidP="009144E8">
      <w:pPr>
        <w:pStyle w:val="ListParagraph"/>
        <w:spacing w:after="0"/>
        <w:ind w:firstLine="1440"/>
        <w:rPr>
          <w:szCs w:val="24"/>
        </w:rPr>
      </w:pPr>
      <w:r w:rsidRPr="00D87D7A">
        <w:rPr>
          <w:szCs w:val="24"/>
        </w:rPr>
        <w:t>These fees are list</w:t>
      </w:r>
      <w:r w:rsidR="00F63AEE" w:rsidRPr="00D87D7A">
        <w:rPr>
          <w:szCs w:val="24"/>
        </w:rPr>
        <w:t xml:space="preserve">ed in Duquesne Light’s tariff. </w:t>
      </w:r>
      <w:r w:rsidRPr="00D87D7A">
        <w:rPr>
          <w:szCs w:val="24"/>
        </w:rPr>
        <w:t>(N.T. 33-34; Duquesne Light Ex. 3)</w:t>
      </w:r>
    </w:p>
    <w:p w:rsidR="009144E8" w:rsidRPr="00D87D7A" w:rsidRDefault="009144E8" w:rsidP="009144E8">
      <w:pPr>
        <w:pStyle w:val="ListParagraph"/>
        <w:numPr>
          <w:ilvl w:val="0"/>
          <w:numId w:val="0"/>
        </w:numPr>
        <w:spacing w:after="0"/>
        <w:ind w:left="720" w:firstLine="1440"/>
        <w:rPr>
          <w:szCs w:val="24"/>
        </w:rPr>
      </w:pPr>
    </w:p>
    <w:p w:rsidR="00434EAE" w:rsidRPr="00D87D7A" w:rsidRDefault="00434EAE" w:rsidP="009144E8">
      <w:pPr>
        <w:pStyle w:val="ListParagraph"/>
        <w:spacing w:after="0"/>
        <w:ind w:firstLine="1440"/>
        <w:rPr>
          <w:szCs w:val="24"/>
        </w:rPr>
      </w:pPr>
      <w:r w:rsidRPr="00D87D7A">
        <w:rPr>
          <w:szCs w:val="24"/>
        </w:rPr>
        <w:t xml:space="preserve">At the time of the hearing, service had been restored to 6626 </w:t>
      </w:r>
      <w:proofErr w:type="spellStart"/>
      <w:r w:rsidRPr="00D87D7A">
        <w:rPr>
          <w:szCs w:val="24"/>
        </w:rPr>
        <w:t>Brainard</w:t>
      </w:r>
      <w:proofErr w:type="spellEnd"/>
      <w:r w:rsidRPr="00D87D7A">
        <w:rPr>
          <w:szCs w:val="24"/>
        </w:rPr>
        <w:t xml:space="preserve"> Street because the Complainant paid the $400 fee. (N.T. 35-36)</w:t>
      </w:r>
    </w:p>
    <w:p w:rsidR="009144E8" w:rsidRPr="00D87D7A" w:rsidRDefault="009144E8" w:rsidP="009144E8">
      <w:pPr>
        <w:pStyle w:val="ListParagraph"/>
        <w:numPr>
          <w:ilvl w:val="0"/>
          <w:numId w:val="0"/>
        </w:numPr>
        <w:spacing w:after="0"/>
        <w:ind w:left="720" w:firstLine="1440"/>
        <w:rPr>
          <w:szCs w:val="24"/>
        </w:rPr>
      </w:pPr>
    </w:p>
    <w:p w:rsidR="00E3347D" w:rsidRPr="00D87D7A" w:rsidRDefault="00E3347D" w:rsidP="009144E8">
      <w:pPr>
        <w:pStyle w:val="ListParagraph"/>
        <w:spacing w:after="0"/>
        <w:ind w:firstLine="1440"/>
        <w:rPr>
          <w:szCs w:val="24"/>
        </w:rPr>
      </w:pPr>
      <w:r w:rsidRPr="00D87D7A">
        <w:rPr>
          <w:szCs w:val="24"/>
        </w:rPr>
        <w:t>The Complainant also had to pay her electrician $160 for wiring approval. (N.T. 40)</w:t>
      </w:r>
    </w:p>
    <w:p w:rsidR="009144E8" w:rsidRPr="00D87D7A" w:rsidRDefault="009144E8" w:rsidP="009144E8">
      <w:pPr>
        <w:pStyle w:val="ListParagraph"/>
        <w:numPr>
          <w:ilvl w:val="0"/>
          <w:numId w:val="0"/>
        </w:numPr>
        <w:spacing w:after="0"/>
        <w:ind w:left="720" w:firstLine="1440"/>
        <w:rPr>
          <w:szCs w:val="24"/>
        </w:rPr>
      </w:pPr>
    </w:p>
    <w:p w:rsidR="00E3347D" w:rsidRPr="00D87D7A" w:rsidRDefault="00BC03E6" w:rsidP="00D87D7A">
      <w:pPr>
        <w:pStyle w:val="ListParagraph"/>
        <w:spacing w:after="0"/>
        <w:ind w:firstLine="1440"/>
        <w:rPr>
          <w:szCs w:val="24"/>
        </w:rPr>
      </w:pPr>
      <w:r w:rsidRPr="00D87D7A">
        <w:rPr>
          <w:szCs w:val="24"/>
        </w:rPr>
        <w:t>In cases of tampering, Duque</w:t>
      </w:r>
      <w:r w:rsidR="00E3347D" w:rsidRPr="00D87D7A">
        <w:rPr>
          <w:szCs w:val="24"/>
        </w:rPr>
        <w:t>s</w:t>
      </w:r>
      <w:r w:rsidRPr="00D87D7A">
        <w:rPr>
          <w:szCs w:val="24"/>
        </w:rPr>
        <w:t>n</w:t>
      </w:r>
      <w:r w:rsidR="00E3347D" w:rsidRPr="00D87D7A">
        <w:rPr>
          <w:szCs w:val="24"/>
        </w:rPr>
        <w:t>e Light holds the l</w:t>
      </w:r>
      <w:r w:rsidR="00F63AEE" w:rsidRPr="00D87D7A">
        <w:rPr>
          <w:szCs w:val="24"/>
        </w:rPr>
        <w:t>andlord responsible for damage.</w:t>
      </w:r>
      <w:r w:rsidR="00E3347D" w:rsidRPr="00D87D7A">
        <w:rPr>
          <w:szCs w:val="24"/>
        </w:rPr>
        <w:t xml:space="preserve"> (N.T. 39)</w:t>
      </w:r>
    </w:p>
    <w:p w:rsidR="009144E8" w:rsidRPr="00D87D7A" w:rsidRDefault="009144E8" w:rsidP="00D87D7A">
      <w:pPr>
        <w:pStyle w:val="ListParagraph"/>
        <w:numPr>
          <w:ilvl w:val="0"/>
          <w:numId w:val="0"/>
        </w:numPr>
        <w:spacing w:after="0"/>
        <w:ind w:left="720"/>
        <w:rPr>
          <w:szCs w:val="24"/>
        </w:rPr>
      </w:pPr>
    </w:p>
    <w:p w:rsidR="007F1217" w:rsidRPr="00D87D7A" w:rsidRDefault="007F1217" w:rsidP="00D87D7A">
      <w:pPr>
        <w:spacing w:after="0"/>
        <w:jc w:val="center"/>
        <w:rPr>
          <w:szCs w:val="24"/>
          <w:u w:val="single"/>
        </w:rPr>
      </w:pPr>
      <w:r w:rsidRPr="00D87D7A">
        <w:rPr>
          <w:szCs w:val="24"/>
          <w:u w:val="single"/>
        </w:rPr>
        <w:t>DISCUSSION</w:t>
      </w:r>
    </w:p>
    <w:p w:rsidR="009144E8" w:rsidRPr="00D87D7A" w:rsidRDefault="009144E8" w:rsidP="00D87D7A">
      <w:pPr>
        <w:spacing w:after="0"/>
        <w:jc w:val="center"/>
        <w:rPr>
          <w:szCs w:val="24"/>
          <w:u w:val="single"/>
        </w:rPr>
      </w:pPr>
    </w:p>
    <w:p w:rsidR="00E13D4C" w:rsidRPr="00D87D7A" w:rsidRDefault="00E13D4C" w:rsidP="00D87D7A">
      <w:pPr>
        <w:tabs>
          <w:tab w:val="left" w:pos="7290"/>
        </w:tabs>
        <w:spacing w:after="0"/>
        <w:ind w:firstLine="1440"/>
        <w:rPr>
          <w:szCs w:val="24"/>
        </w:rPr>
      </w:pPr>
      <w:r w:rsidRPr="00D87D7A">
        <w:rPr>
          <w:szCs w:val="24"/>
        </w:rPr>
        <w:t>Section 701 of the Public Utility Code (Code), provides that any person may complain, in writing, about any act or thing done or omitted to be done by a public utility in violation, or claimed violation, of any law which the Commission has the jurisdiction to administer, or of any regulation or order of the Commission.</w:t>
      </w:r>
      <w:r w:rsidRPr="00D87D7A">
        <w:rPr>
          <w:rStyle w:val="FootnoteReference"/>
          <w:szCs w:val="24"/>
        </w:rPr>
        <w:footnoteReference w:id="1"/>
      </w:r>
      <w:r w:rsidRPr="00D87D7A">
        <w:rPr>
          <w:szCs w:val="24"/>
        </w:rPr>
        <w:t xml:space="preserve">  A person seeking affirmative relief from the Commission has the burden of proof.</w:t>
      </w:r>
      <w:r w:rsidRPr="00D87D7A">
        <w:rPr>
          <w:rStyle w:val="FootnoteReference"/>
          <w:szCs w:val="24"/>
        </w:rPr>
        <w:footnoteReference w:id="2"/>
      </w:r>
    </w:p>
    <w:p w:rsidR="009144E8" w:rsidRPr="00D87D7A" w:rsidRDefault="009144E8" w:rsidP="009144E8">
      <w:pPr>
        <w:tabs>
          <w:tab w:val="left" w:pos="7290"/>
        </w:tabs>
        <w:spacing w:after="0"/>
        <w:ind w:firstLine="1440"/>
        <w:rPr>
          <w:szCs w:val="24"/>
        </w:rPr>
      </w:pPr>
    </w:p>
    <w:p w:rsidR="00E13D4C" w:rsidRPr="00D87D7A" w:rsidRDefault="00E13D4C" w:rsidP="009144E8">
      <w:pPr>
        <w:tabs>
          <w:tab w:val="left" w:pos="7290"/>
        </w:tabs>
        <w:spacing w:after="0"/>
        <w:ind w:firstLine="1440"/>
        <w:rPr>
          <w:szCs w:val="24"/>
        </w:rPr>
      </w:pPr>
      <w:r w:rsidRPr="00D87D7A">
        <w:rPr>
          <w:szCs w:val="24"/>
        </w:rPr>
        <w:t>In this matter, the Complainant is the party seeking affirma</w:t>
      </w:r>
      <w:r w:rsidR="00A51A0A" w:rsidRPr="00D87D7A">
        <w:rPr>
          <w:szCs w:val="24"/>
        </w:rPr>
        <w:t xml:space="preserve">tive relief from the </w:t>
      </w:r>
      <w:proofErr w:type="gramStart"/>
      <w:r w:rsidR="00A51A0A" w:rsidRPr="00D87D7A">
        <w:rPr>
          <w:szCs w:val="24"/>
        </w:rPr>
        <w:t>Commission,</w:t>
      </w:r>
      <w:proofErr w:type="gramEnd"/>
      <w:r w:rsidRPr="00D87D7A">
        <w:rPr>
          <w:szCs w:val="24"/>
        </w:rPr>
        <w:t xml:space="preserve"> therefore she has the burden of proof.  This means that she has the duty to establish a fact by a preponderance of the evidence, and must show that Duquesne Light has violated the Public Utility Code or Commission regulations.</w:t>
      </w:r>
      <w:r w:rsidRPr="00D87D7A">
        <w:rPr>
          <w:rStyle w:val="FootnoteReference"/>
          <w:szCs w:val="24"/>
        </w:rPr>
        <w:footnoteReference w:id="3"/>
      </w:r>
      <w:r w:rsidRPr="00D87D7A">
        <w:rPr>
          <w:szCs w:val="24"/>
        </w:rPr>
        <w:t xml:space="preserve"> After a full review of the evidence, I conclude that the Compl</w:t>
      </w:r>
      <w:r w:rsidR="00D74070" w:rsidRPr="00D87D7A">
        <w:rPr>
          <w:szCs w:val="24"/>
        </w:rPr>
        <w:t xml:space="preserve">ainant </w:t>
      </w:r>
      <w:r w:rsidR="00D80B49" w:rsidRPr="00D87D7A">
        <w:rPr>
          <w:szCs w:val="24"/>
        </w:rPr>
        <w:t>successfully demonstrated th</w:t>
      </w:r>
      <w:r w:rsidR="00D87D7A" w:rsidRPr="00D87D7A">
        <w:rPr>
          <w:szCs w:val="24"/>
        </w:rPr>
        <w:t>at</w:t>
      </w:r>
      <w:r w:rsidR="00D80B49" w:rsidRPr="00D87D7A">
        <w:rPr>
          <w:szCs w:val="24"/>
        </w:rPr>
        <w:t xml:space="preserve"> Duquesne Light improperly required her to pay meter tampering and reconnection fees as a condition of establishing an account in her name</w:t>
      </w:r>
      <w:r w:rsidR="003764E3" w:rsidRPr="00D87D7A">
        <w:rPr>
          <w:szCs w:val="24"/>
        </w:rPr>
        <w:t xml:space="preserve"> at a rental property that she owns</w:t>
      </w:r>
      <w:r w:rsidR="00BE1CE4" w:rsidRPr="00D87D7A">
        <w:rPr>
          <w:szCs w:val="24"/>
        </w:rPr>
        <w:t>.</w:t>
      </w:r>
    </w:p>
    <w:p w:rsidR="009144E8" w:rsidRPr="00D87D7A" w:rsidRDefault="009144E8" w:rsidP="009144E8">
      <w:pPr>
        <w:tabs>
          <w:tab w:val="left" w:pos="7290"/>
        </w:tabs>
        <w:spacing w:after="0"/>
        <w:ind w:firstLine="1440"/>
        <w:rPr>
          <w:szCs w:val="24"/>
        </w:rPr>
      </w:pPr>
    </w:p>
    <w:p w:rsidR="00BE1CE4" w:rsidRPr="00D87D7A" w:rsidRDefault="00BE1CE4" w:rsidP="009144E8">
      <w:pPr>
        <w:tabs>
          <w:tab w:val="left" w:pos="7290"/>
        </w:tabs>
        <w:spacing w:after="0"/>
        <w:ind w:firstLine="1440"/>
        <w:rPr>
          <w:szCs w:val="24"/>
        </w:rPr>
      </w:pPr>
      <w:r w:rsidRPr="00D87D7A">
        <w:rPr>
          <w:szCs w:val="24"/>
        </w:rPr>
        <w:t xml:space="preserve">The Complainant does not dispute the conclusion by Duquesne Light that the meter at her rental property was tampered with. </w:t>
      </w:r>
      <w:r w:rsidR="006A34E1" w:rsidRPr="00D87D7A">
        <w:rPr>
          <w:szCs w:val="24"/>
        </w:rPr>
        <w:t xml:space="preserve"> Nor does she challenge the amounts of the fees charged.</w:t>
      </w:r>
      <w:r w:rsidRPr="00D87D7A">
        <w:rPr>
          <w:szCs w:val="24"/>
        </w:rPr>
        <w:t xml:space="preserve"> </w:t>
      </w:r>
      <w:r w:rsidR="00DC7D85" w:rsidRPr="00D87D7A">
        <w:rPr>
          <w:szCs w:val="24"/>
        </w:rPr>
        <w:t xml:space="preserve"> </w:t>
      </w:r>
      <w:r w:rsidRPr="00D87D7A">
        <w:rPr>
          <w:szCs w:val="24"/>
        </w:rPr>
        <w:t>She simply contends that she did not tamper with the meter and therefore she should not be held responsible for the fees required to restore service to the premises.</w:t>
      </w:r>
    </w:p>
    <w:p w:rsidR="009144E8" w:rsidRPr="00D87D7A" w:rsidRDefault="009144E8" w:rsidP="009144E8">
      <w:pPr>
        <w:tabs>
          <w:tab w:val="left" w:pos="7290"/>
        </w:tabs>
        <w:spacing w:after="0"/>
        <w:ind w:firstLine="1440"/>
        <w:rPr>
          <w:szCs w:val="24"/>
        </w:rPr>
      </w:pPr>
    </w:p>
    <w:p w:rsidR="00FA4806" w:rsidRPr="00D87D7A" w:rsidRDefault="00FA4806" w:rsidP="009144E8">
      <w:pPr>
        <w:tabs>
          <w:tab w:val="left" w:pos="7290"/>
        </w:tabs>
        <w:spacing w:after="0"/>
        <w:ind w:firstLine="1440"/>
        <w:rPr>
          <w:szCs w:val="24"/>
        </w:rPr>
      </w:pPr>
      <w:r w:rsidRPr="00D87D7A">
        <w:rPr>
          <w:szCs w:val="24"/>
        </w:rPr>
        <w:t>Duquesne Light’s tariff provides that where tampering is found, the customer must pay costs and fees for the investigation and to repair the damage:</w:t>
      </w:r>
    </w:p>
    <w:p w:rsidR="009144E8" w:rsidRPr="00D87D7A" w:rsidRDefault="009144E8" w:rsidP="009144E8">
      <w:pPr>
        <w:tabs>
          <w:tab w:val="left" w:pos="7290"/>
        </w:tabs>
        <w:spacing w:after="0"/>
        <w:ind w:firstLine="1440"/>
        <w:rPr>
          <w:szCs w:val="24"/>
        </w:rPr>
      </w:pPr>
    </w:p>
    <w:p w:rsidR="00FA4806" w:rsidRPr="00D87D7A" w:rsidRDefault="00FA4806" w:rsidP="009144E8">
      <w:pPr>
        <w:tabs>
          <w:tab w:val="left" w:pos="7290"/>
        </w:tabs>
        <w:spacing w:after="0" w:line="240" w:lineRule="auto"/>
        <w:ind w:left="1440" w:right="1440"/>
        <w:rPr>
          <w:szCs w:val="24"/>
        </w:rPr>
      </w:pPr>
      <w:r w:rsidRPr="00D87D7A">
        <w:rPr>
          <w:szCs w:val="24"/>
        </w:rPr>
        <w:t>Where evidence is found that the service wires, meters, switch box or other appurtenances on the customer’s premises have been tampered with, the customer shall be required to bear all costs incurred by the Company for investigations and inspections, and for such protective equipment as, in the judgment of the Company, may be necessary . . . .</w:t>
      </w:r>
      <w:r w:rsidR="00F85270" w:rsidRPr="00D87D7A">
        <w:rPr>
          <w:rStyle w:val="FootnoteReference"/>
          <w:szCs w:val="24"/>
        </w:rPr>
        <w:footnoteReference w:id="4"/>
      </w:r>
    </w:p>
    <w:p w:rsidR="009740D4" w:rsidRPr="00D87D7A" w:rsidRDefault="009740D4" w:rsidP="00D87D7A">
      <w:pPr>
        <w:spacing w:after="0"/>
        <w:ind w:firstLine="1440"/>
        <w:rPr>
          <w:szCs w:val="24"/>
        </w:rPr>
      </w:pPr>
    </w:p>
    <w:p w:rsidR="006D4815" w:rsidRPr="00D87D7A" w:rsidRDefault="006D4815" w:rsidP="00D87D7A">
      <w:pPr>
        <w:spacing w:after="0"/>
        <w:rPr>
          <w:szCs w:val="24"/>
        </w:rPr>
      </w:pPr>
      <w:r w:rsidRPr="00D87D7A">
        <w:rPr>
          <w:szCs w:val="24"/>
        </w:rPr>
        <w:t>The tariff also details reconnection charges when service has been discontinued due to meter tampering:</w:t>
      </w:r>
    </w:p>
    <w:p w:rsidR="00D87D7A" w:rsidRPr="00D87D7A" w:rsidRDefault="00D87D7A" w:rsidP="006D4815">
      <w:pPr>
        <w:spacing w:after="0" w:line="240" w:lineRule="auto"/>
        <w:ind w:left="1440" w:right="810"/>
        <w:rPr>
          <w:szCs w:val="24"/>
        </w:rPr>
      </w:pPr>
    </w:p>
    <w:p w:rsidR="006D4815" w:rsidRPr="00D87D7A" w:rsidRDefault="006D4815" w:rsidP="003A2CD1">
      <w:pPr>
        <w:spacing w:after="0" w:line="240" w:lineRule="auto"/>
        <w:ind w:left="1440" w:right="1440"/>
        <w:rPr>
          <w:szCs w:val="24"/>
        </w:rPr>
      </w:pPr>
      <w:r w:rsidRPr="00D87D7A">
        <w:rPr>
          <w:szCs w:val="24"/>
        </w:rPr>
        <w:t>Where service has been discontinued … the Company reserved the right as a condition precedent to the reconnection of service to require . . . the payment of the following appropriate reconnection charge:</w:t>
      </w:r>
    </w:p>
    <w:p w:rsidR="006D4815" w:rsidRPr="00D87D7A" w:rsidRDefault="006D4815" w:rsidP="003A2CD1">
      <w:pPr>
        <w:spacing w:after="0" w:line="240" w:lineRule="auto"/>
        <w:ind w:left="1440" w:right="1440"/>
        <w:rPr>
          <w:szCs w:val="24"/>
        </w:rPr>
      </w:pPr>
    </w:p>
    <w:p w:rsidR="006D4815" w:rsidRPr="00D87D7A" w:rsidRDefault="006D4815" w:rsidP="003A2CD1">
      <w:pPr>
        <w:spacing w:after="0" w:line="240" w:lineRule="auto"/>
        <w:ind w:left="1440" w:right="1440"/>
        <w:rPr>
          <w:szCs w:val="24"/>
        </w:rPr>
      </w:pPr>
      <w:r w:rsidRPr="00D87D7A">
        <w:rPr>
          <w:szCs w:val="24"/>
        </w:rPr>
        <w:tab/>
      </w:r>
      <w:proofErr w:type="gramStart"/>
      <w:r w:rsidRPr="00D87D7A">
        <w:rPr>
          <w:szCs w:val="24"/>
        </w:rPr>
        <w:t>A.</w:t>
      </w:r>
      <w:r w:rsidRPr="00D87D7A">
        <w:rPr>
          <w:szCs w:val="24"/>
        </w:rPr>
        <w:tab/>
        <w:t>$50 for resumption of electric service to the same customer within a year of the service disconnection or termination where service has been disconnected at the meter.</w:t>
      </w:r>
      <w:proofErr w:type="gramEnd"/>
    </w:p>
    <w:p w:rsidR="006D4815" w:rsidRPr="00D87D7A" w:rsidRDefault="006D4815" w:rsidP="006D4815">
      <w:pPr>
        <w:spacing w:after="0" w:line="240" w:lineRule="auto"/>
        <w:ind w:left="1440" w:right="810"/>
        <w:rPr>
          <w:szCs w:val="24"/>
        </w:rPr>
      </w:pPr>
    </w:p>
    <w:p w:rsidR="006D4815" w:rsidRPr="00D87D7A" w:rsidRDefault="006D4815" w:rsidP="003A2CD1">
      <w:pPr>
        <w:spacing w:after="0" w:line="240" w:lineRule="auto"/>
        <w:ind w:left="1440" w:right="1440"/>
        <w:rPr>
          <w:szCs w:val="24"/>
        </w:rPr>
      </w:pPr>
      <w:r w:rsidRPr="00D87D7A">
        <w:rPr>
          <w:szCs w:val="24"/>
        </w:rPr>
        <w:tab/>
      </w:r>
      <w:proofErr w:type="gramStart"/>
      <w:r w:rsidRPr="00D87D7A">
        <w:rPr>
          <w:szCs w:val="24"/>
        </w:rPr>
        <w:t>B.</w:t>
      </w:r>
      <w:r w:rsidRPr="00D87D7A">
        <w:rPr>
          <w:szCs w:val="24"/>
        </w:rPr>
        <w:tab/>
        <w:t>$250 for resumption of electric service to the same customer within a year of the service disconnection or termination where service has been disconnected at the pole.</w:t>
      </w:r>
      <w:proofErr w:type="gramEnd"/>
    </w:p>
    <w:p w:rsidR="006D4815" w:rsidRPr="00D87D7A" w:rsidRDefault="006D4815" w:rsidP="003A2CD1">
      <w:pPr>
        <w:spacing w:after="0" w:line="240" w:lineRule="auto"/>
        <w:ind w:left="1440" w:right="1440"/>
        <w:rPr>
          <w:szCs w:val="24"/>
        </w:rPr>
      </w:pPr>
    </w:p>
    <w:p w:rsidR="006D4815" w:rsidRPr="00D87D7A" w:rsidRDefault="006D4815" w:rsidP="003A2CD1">
      <w:pPr>
        <w:spacing w:after="0" w:line="240" w:lineRule="auto"/>
        <w:ind w:left="1440" w:right="1440"/>
        <w:rPr>
          <w:szCs w:val="24"/>
        </w:rPr>
      </w:pPr>
      <w:r w:rsidRPr="00D87D7A">
        <w:rPr>
          <w:szCs w:val="24"/>
        </w:rPr>
        <w:t xml:space="preserve">. . . . </w:t>
      </w:r>
      <w:r w:rsidRPr="00D87D7A">
        <w:rPr>
          <w:rStyle w:val="FootnoteReference"/>
          <w:szCs w:val="24"/>
        </w:rPr>
        <w:footnoteReference w:id="5"/>
      </w:r>
    </w:p>
    <w:p w:rsidR="006D4815" w:rsidRPr="00D87D7A" w:rsidRDefault="006D4815" w:rsidP="00D87D7A">
      <w:pPr>
        <w:spacing w:after="0"/>
        <w:ind w:left="1440" w:right="810"/>
        <w:rPr>
          <w:szCs w:val="24"/>
        </w:rPr>
      </w:pPr>
    </w:p>
    <w:p w:rsidR="009144E8" w:rsidRPr="00D87D7A" w:rsidRDefault="009740D4" w:rsidP="00D87D7A">
      <w:pPr>
        <w:spacing w:after="0"/>
        <w:ind w:firstLine="1440"/>
        <w:rPr>
          <w:szCs w:val="24"/>
        </w:rPr>
      </w:pPr>
      <w:r w:rsidRPr="00D87D7A">
        <w:rPr>
          <w:szCs w:val="24"/>
        </w:rPr>
        <w:t xml:space="preserve">Commission-approved tariffs have the force of law.  Tariff provisions previously approved by the Commission are </w:t>
      </w:r>
      <w:r w:rsidRPr="00D87D7A">
        <w:rPr>
          <w:i/>
          <w:szCs w:val="24"/>
        </w:rPr>
        <w:t>prima facie</w:t>
      </w:r>
      <w:r w:rsidRPr="00D87D7A">
        <w:rPr>
          <w:szCs w:val="24"/>
        </w:rPr>
        <w:t xml:space="preserve"> reasonable.</w:t>
      </w:r>
      <w:r w:rsidR="003764E3" w:rsidRPr="00D87D7A">
        <w:rPr>
          <w:rStyle w:val="FootnoteReference"/>
          <w:szCs w:val="24"/>
        </w:rPr>
        <w:t xml:space="preserve"> </w:t>
      </w:r>
      <w:r w:rsidR="003764E3" w:rsidRPr="00D87D7A">
        <w:rPr>
          <w:rStyle w:val="FootnoteReference"/>
          <w:szCs w:val="24"/>
        </w:rPr>
        <w:footnoteReference w:id="6"/>
      </w:r>
      <w:r w:rsidR="003764E3" w:rsidRPr="00D87D7A">
        <w:rPr>
          <w:szCs w:val="24"/>
        </w:rPr>
        <w:t xml:space="preserve"> </w:t>
      </w:r>
      <w:r w:rsidRPr="00D87D7A">
        <w:rPr>
          <w:szCs w:val="24"/>
        </w:rPr>
        <w:t xml:space="preserve"> </w:t>
      </w:r>
    </w:p>
    <w:p w:rsidR="009740D4" w:rsidRPr="00D87D7A" w:rsidRDefault="009740D4" w:rsidP="009144E8">
      <w:pPr>
        <w:spacing w:after="0"/>
        <w:ind w:firstLine="1440"/>
        <w:rPr>
          <w:szCs w:val="24"/>
        </w:rPr>
      </w:pPr>
      <w:r w:rsidRPr="00D87D7A">
        <w:rPr>
          <w:szCs w:val="24"/>
        </w:rPr>
        <w:t xml:space="preserve"> </w:t>
      </w:r>
    </w:p>
    <w:p w:rsidR="003D656A" w:rsidRPr="00D87D7A" w:rsidRDefault="00D80B49" w:rsidP="009144E8">
      <w:pPr>
        <w:spacing w:after="0"/>
        <w:ind w:firstLine="1440"/>
        <w:rPr>
          <w:szCs w:val="24"/>
        </w:rPr>
      </w:pPr>
      <w:r w:rsidRPr="00D87D7A">
        <w:rPr>
          <w:szCs w:val="24"/>
        </w:rPr>
        <w:t>Duquesne Light did not correctly apply its tariff when the Complainant called to establish service in her name.  T</w:t>
      </w:r>
      <w:r w:rsidR="00862F12" w:rsidRPr="00D87D7A">
        <w:rPr>
          <w:szCs w:val="24"/>
        </w:rPr>
        <w:t xml:space="preserve">here is no dispute that the Complainant owns the property.  </w:t>
      </w:r>
      <w:r w:rsidRPr="00D87D7A">
        <w:rPr>
          <w:szCs w:val="24"/>
        </w:rPr>
        <w:t xml:space="preserve">However, </w:t>
      </w:r>
      <w:r w:rsidR="0001653E" w:rsidRPr="00D87D7A">
        <w:rPr>
          <w:szCs w:val="24"/>
        </w:rPr>
        <w:t>Duquesne Light’s tariff provide</w:t>
      </w:r>
      <w:r w:rsidRPr="00D87D7A">
        <w:rPr>
          <w:szCs w:val="24"/>
        </w:rPr>
        <w:t>s</w:t>
      </w:r>
      <w:r w:rsidR="0001653E" w:rsidRPr="00D87D7A">
        <w:rPr>
          <w:szCs w:val="24"/>
        </w:rPr>
        <w:t xml:space="preserve"> that a </w:t>
      </w:r>
      <w:r w:rsidR="0001653E" w:rsidRPr="00D87D7A">
        <w:rPr>
          <w:i/>
          <w:szCs w:val="24"/>
        </w:rPr>
        <w:t>customer</w:t>
      </w:r>
      <w:r w:rsidR="0001653E" w:rsidRPr="00D87D7A">
        <w:rPr>
          <w:szCs w:val="24"/>
        </w:rPr>
        <w:t xml:space="preserve"> has a duty to “protect the property of the Company on the premises and shall not permit access thereto except by authorized representatives of the Company.”</w:t>
      </w:r>
      <w:r w:rsidR="0001653E" w:rsidRPr="00D87D7A">
        <w:rPr>
          <w:rStyle w:val="FootnoteReference"/>
          <w:szCs w:val="24"/>
        </w:rPr>
        <w:footnoteReference w:id="7"/>
      </w:r>
      <w:r w:rsidR="003D656A" w:rsidRPr="00D87D7A">
        <w:rPr>
          <w:szCs w:val="24"/>
        </w:rPr>
        <w:t xml:space="preserve">  The tariff’s definition of a customer is consistent with the definition found in </w:t>
      </w:r>
      <w:r w:rsidR="00DC7D85" w:rsidRPr="00D87D7A">
        <w:rPr>
          <w:szCs w:val="24"/>
        </w:rPr>
        <w:t xml:space="preserve">the </w:t>
      </w:r>
      <w:r w:rsidR="003D656A" w:rsidRPr="00D87D7A">
        <w:rPr>
          <w:szCs w:val="24"/>
        </w:rPr>
        <w:t>Public Utility Code:</w:t>
      </w:r>
    </w:p>
    <w:p w:rsidR="009144E8" w:rsidRPr="00D87D7A" w:rsidRDefault="009144E8" w:rsidP="009144E8">
      <w:pPr>
        <w:spacing w:after="0"/>
        <w:ind w:firstLine="1440"/>
        <w:rPr>
          <w:szCs w:val="24"/>
        </w:rPr>
      </w:pPr>
    </w:p>
    <w:p w:rsidR="003D656A" w:rsidRPr="00D87D7A" w:rsidRDefault="003D656A" w:rsidP="009144E8">
      <w:pPr>
        <w:spacing w:after="0" w:line="240" w:lineRule="auto"/>
        <w:ind w:left="1440" w:right="1440"/>
        <w:rPr>
          <w:szCs w:val="24"/>
        </w:rPr>
      </w:pPr>
      <w:r w:rsidRPr="00D87D7A">
        <w:rPr>
          <w:szCs w:val="24"/>
        </w:rPr>
        <w:t>Customer – A retail electric customer or potential customer of retail electricity service who are direct purchasers of electric power for use at their facility. . . . A residential customer is a natural person in whose name a residential service account is listed and who is primarily responsible for payment of bills rendered for the service or any adult occupant whose name appears on the mortgage, deed or lease of the property of which the residential utility service is requested.</w:t>
      </w:r>
      <w:r w:rsidRPr="00D87D7A">
        <w:rPr>
          <w:rStyle w:val="FootnoteReference"/>
          <w:szCs w:val="24"/>
        </w:rPr>
        <w:footnoteReference w:id="8"/>
      </w:r>
    </w:p>
    <w:p w:rsidR="003D656A" w:rsidRPr="00D87D7A" w:rsidRDefault="003D656A" w:rsidP="009144E8">
      <w:pPr>
        <w:spacing w:after="0"/>
        <w:rPr>
          <w:szCs w:val="24"/>
        </w:rPr>
      </w:pPr>
    </w:p>
    <w:p w:rsidR="007A6ACC" w:rsidRDefault="006739BF" w:rsidP="009144E8">
      <w:pPr>
        <w:spacing w:after="0"/>
        <w:ind w:firstLine="1440"/>
        <w:rPr>
          <w:szCs w:val="24"/>
        </w:rPr>
      </w:pPr>
      <w:r w:rsidRPr="00D87D7A">
        <w:rPr>
          <w:szCs w:val="24"/>
        </w:rPr>
        <w:t xml:space="preserve">There is no evidence that the Complainant is a “customer” at this service address.  The record is devoid of evidence that she has had an electricity account at 6626 </w:t>
      </w:r>
      <w:proofErr w:type="spellStart"/>
      <w:r w:rsidRPr="00D87D7A">
        <w:rPr>
          <w:szCs w:val="24"/>
        </w:rPr>
        <w:t>Brainard</w:t>
      </w:r>
      <w:proofErr w:type="spellEnd"/>
      <w:r w:rsidRPr="00D87D7A">
        <w:rPr>
          <w:szCs w:val="24"/>
        </w:rPr>
        <w:t xml:space="preserve"> Street.  There is no evidence that the Complainant ever resided at the property or otherwise received </w:t>
      </w:r>
      <w:r w:rsidR="001F6286">
        <w:rPr>
          <w:szCs w:val="24"/>
        </w:rPr>
        <w:t xml:space="preserve">the </w:t>
      </w:r>
      <w:r w:rsidRPr="00D87D7A">
        <w:rPr>
          <w:szCs w:val="24"/>
        </w:rPr>
        <w:t>benefit of service which would require her to be responsible for any bills related to the property.</w:t>
      </w:r>
      <w:r w:rsidRPr="00D87D7A">
        <w:rPr>
          <w:rStyle w:val="FootnoteReference"/>
          <w:szCs w:val="24"/>
        </w:rPr>
        <w:footnoteReference w:id="9"/>
      </w:r>
      <w:r w:rsidR="007A6ACC" w:rsidRPr="00D87D7A">
        <w:rPr>
          <w:szCs w:val="24"/>
        </w:rPr>
        <w:t xml:space="preserve">  Accordingly, she is not “the same customer” requesting reconnection “within a year of the service disconnection” under </w:t>
      </w:r>
      <w:r w:rsidR="003764E3" w:rsidRPr="00D87D7A">
        <w:rPr>
          <w:szCs w:val="24"/>
        </w:rPr>
        <w:t xml:space="preserve">Tariff </w:t>
      </w:r>
      <w:r w:rsidR="007A6ACC" w:rsidRPr="00D87D7A">
        <w:rPr>
          <w:szCs w:val="24"/>
        </w:rPr>
        <w:t>Rule 40.</w:t>
      </w:r>
      <w:r w:rsidR="003764E3" w:rsidRPr="00D87D7A">
        <w:rPr>
          <w:rStyle w:val="FootnoteReference"/>
          <w:szCs w:val="24"/>
        </w:rPr>
        <w:footnoteReference w:id="10"/>
      </w:r>
    </w:p>
    <w:p w:rsidR="00D87D7A" w:rsidRPr="00D87D7A" w:rsidRDefault="00D87D7A" w:rsidP="009144E8">
      <w:pPr>
        <w:spacing w:after="0"/>
        <w:ind w:firstLine="1440"/>
        <w:rPr>
          <w:szCs w:val="24"/>
        </w:rPr>
      </w:pPr>
    </w:p>
    <w:p w:rsidR="009144E8" w:rsidRPr="00D87D7A" w:rsidRDefault="007A6ACC" w:rsidP="00D87D7A">
      <w:pPr>
        <w:spacing w:after="0"/>
        <w:ind w:firstLine="1440"/>
        <w:rPr>
          <w:szCs w:val="24"/>
        </w:rPr>
      </w:pPr>
      <w:r w:rsidRPr="00D87D7A">
        <w:rPr>
          <w:szCs w:val="24"/>
        </w:rPr>
        <w:t>Instead</w:t>
      </w:r>
      <w:r w:rsidR="004B1156" w:rsidRPr="00D87D7A">
        <w:rPr>
          <w:szCs w:val="24"/>
        </w:rPr>
        <w:t>, t</w:t>
      </w:r>
      <w:r w:rsidR="006D4815" w:rsidRPr="00D87D7A">
        <w:rPr>
          <w:szCs w:val="24"/>
        </w:rPr>
        <w:t>he record</w:t>
      </w:r>
      <w:r w:rsidR="006739BF" w:rsidRPr="00D87D7A">
        <w:rPr>
          <w:szCs w:val="24"/>
        </w:rPr>
        <w:t xml:space="preserve"> reflect</w:t>
      </w:r>
      <w:r w:rsidR="006D4815" w:rsidRPr="00D87D7A">
        <w:rPr>
          <w:szCs w:val="24"/>
        </w:rPr>
        <w:t>s</w:t>
      </w:r>
      <w:r w:rsidR="006739BF" w:rsidRPr="00D87D7A">
        <w:rPr>
          <w:szCs w:val="24"/>
        </w:rPr>
        <w:t xml:space="preserve"> that service</w:t>
      </w:r>
      <w:r w:rsidR="009740D4" w:rsidRPr="00D87D7A">
        <w:rPr>
          <w:szCs w:val="24"/>
        </w:rPr>
        <w:t xml:space="preserve"> had been terminated at the property at the request of the last customer of record.  Duquesne Light’s records did not reflect that service had been established for another person until the Complainant called them to reconnect electric service</w:t>
      </w:r>
      <w:r w:rsidR="0001653E" w:rsidRPr="00D87D7A">
        <w:rPr>
          <w:szCs w:val="24"/>
        </w:rPr>
        <w:t xml:space="preserve"> after </w:t>
      </w:r>
      <w:r w:rsidR="00F63AEE" w:rsidRPr="00D87D7A">
        <w:rPr>
          <w:szCs w:val="24"/>
        </w:rPr>
        <w:t xml:space="preserve">the </w:t>
      </w:r>
      <w:r w:rsidR="003764E3" w:rsidRPr="00D87D7A">
        <w:rPr>
          <w:szCs w:val="24"/>
        </w:rPr>
        <w:t xml:space="preserve">Complainant discovered that the </w:t>
      </w:r>
      <w:r w:rsidR="0001653E" w:rsidRPr="00D87D7A">
        <w:rPr>
          <w:szCs w:val="24"/>
        </w:rPr>
        <w:t>electricity was disconnected at the pole</w:t>
      </w:r>
      <w:r w:rsidR="009740D4" w:rsidRPr="00D87D7A">
        <w:rPr>
          <w:szCs w:val="24"/>
        </w:rPr>
        <w:t>.</w:t>
      </w:r>
      <w:r w:rsidR="00D87D7A" w:rsidRPr="00D87D7A">
        <w:rPr>
          <w:szCs w:val="24"/>
        </w:rPr>
        <w:t xml:space="preserve"> </w:t>
      </w:r>
      <w:r w:rsidR="009740D4" w:rsidRPr="00D87D7A">
        <w:rPr>
          <w:szCs w:val="24"/>
        </w:rPr>
        <w:t xml:space="preserve"> </w:t>
      </w:r>
      <w:r w:rsidR="00DC1853" w:rsidRPr="00D87D7A">
        <w:rPr>
          <w:szCs w:val="24"/>
        </w:rPr>
        <w:t>There does not appear to be a tariff provision which permits Duquesne Light to hold a property owner liable for meter tampering and reconnection charges simply by virtue of her ownership of the property.</w:t>
      </w:r>
      <w:r w:rsidR="00DC1853" w:rsidRPr="00D87D7A">
        <w:rPr>
          <w:rStyle w:val="FootnoteReference"/>
          <w:szCs w:val="24"/>
        </w:rPr>
        <w:footnoteReference w:id="11"/>
      </w:r>
    </w:p>
    <w:p w:rsidR="00661D45" w:rsidRPr="00D87D7A" w:rsidRDefault="009740D4" w:rsidP="00D87D7A">
      <w:pPr>
        <w:spacing w:after="0"/>
        <w:ind w:firstLine="1440"/>
        <w:rPr>
          <w:szCs w:val="24"/>
        </w:rPr>
      </w:pPr>
      <w:r w:rsidRPr="00D87D7A">
        <w:rPr>
          <w:szCs w:val="24"/>
        </w:rPr>
        <w:t xml:space="preserve"> </w:t>
      </w:r>
    </w:p>
    <w:p w:rsidR="009740D4" w:rsidRPr="00D87D7A" w:rsidRDefault="0001653E" w:rsidP="00D87D7A">
      <w:pPr>
        <w:spacing w:after="0"/>
        <w:ind w:firstLine="1440"/>
        <w:rPr>
          <w:szCs w:val="24"/>
        </w:rPr>
      </w:pPr>
      <w:r w:rsidRPr="00D87D7A">
        <w:rPr>
          <w:szCs w:val="24"/>
        </w:rPr>
        <w:t>In th</w:t>
      </w:r>
      <w:r w:rsidR="00A809AA" w:rsidRPr="00D87D7A">
        <w:rPr>
          <w:szCs w:val="24"/>
        </w:rPr>
        <w:t xml:space="preserve">ese circumstances, it was not </w:t>
      </w:r>
      <w:r w:rsidRPr="00D87D7A">
        <w:rPr>
          <w:szCs w:val="24"/>
        </w:rPr>
        <w:t>appropriate for Duquesne Light to hold the Complainant</w:t>
      </w:r>
      <w:r w:rsidR="003764E3" w:rsidRPr="00D87D7A">
        <w:rPr>
          <w:szCs w:val="24"/>
        </w:rPr>
        <w:t xml:space="preserve"> responsible for meter tampering</w:t>
      </w:r>
      <w:r w:rsidRPr="00D87D7A">
        <w:rPr>
          <w:szCs w:val="24"/>
        </w:rPr>
        <w:t xml:space="preserve">, </w:t>
      </w:r>
      <w:r w:rsidR="00A809AA" w:rsidRPr="00D87D7A">
        <w:rPr>
          <w:szCs w:val="24"/>
        </w:rPr>
        <w:t xml:space="preserve">solely because she is the owner of the property and she called to apply for service in her name. </w:t>
      </w:r>
      <w:r w:rsidR="003764E3" w:rsidRPr="00D87D7A">
        <w:rPr>
          <w:szCs w:val="24"/>
        </w:rPr>
        <w:t xml:space="preserve">  Duquesne Light did not present any evidence to establish that the Complainant was responsible for the tampering.</w:t>
      </w:r>
      <w:r w:rsidR="00A809AA" w:rsidRPr="00D87D7A">
        <w:rPr>
          <w:szCs w:val="24"/>
        </w:rPr>
        <w:t xml:space="preserve"> Accordingly, the Complainant sustained her burden of proof and Duquesne Light shall refund to her the amounts that were improperly charged.</w:t>
      </w:r>
    </w:p>
    <w:p w:rsidR="00A809AA" w:rsidRPr="00D87D7A" w:rsidRDefault="00A809AA" w:rsidP="00D87D7A">
      <w:pPr>
        <w:spacing w:after="0"/>
        <w:ind w:firstLine="1440"/>
        <w:rPr>
          <w:szCs w:val="24"/>
        </w:rPr>
      </w:pPr>
    </w:p>
    <w:p w:rsidR="00311581" w:rsidRPr="00D87D7A" w:rsidRDefault="00311581" w:rsidP="00D87D7A">
      <w:pPr>
        <w:spacing w:after="0"/>
        <w:jc w:val="center"/>
        <w:rPr>
          <w:szCs w:val="24"/>
          <w:u w:val="single"/>
        </w:rPr>
      </w:pPr>
      <w:r w:rsidRPr="00D87D7A">
        <w:rPr>
          <w:szCs w:val="24"/>
          <w:u w:val="single"/>
        </w:rPr>
        <w:t>CONCLUSIONS OF LAW</w:t>
      </w:r>
    </w:p>
    <w:p w:rsidR="009144E8" w:rsidRPr="00D87D7A" w:rsidRDefault="009144E8" w:rsidP="00D87D7A">
      <w:pPr>
        <w:spacing w:after="0"/>
        <w:jc w:val="center"/>
        <w:rPr>
          <w:szCs w:val="24"/>
          <w:u w:val="single"/>
        </w:rPr>
      </w:pPr>
    </w:p>
    <w:p w:rsidR="00311581" w:rsidRPr="00D87D7A" w:rsidRDefault="00311581" w:rsidP="00D87D7A">
      <w:pPr>
        <w:spacing w:after="0"/>
        <w:rPr>
          <w:szCs w:val="24"/>
        </w:rPr>
      </w:pPr>
      <w:r w:rsidRPr="00D87D7A">
        <w:rPr>
          <w:szCs w:val="24"/>
        </w:rPr>
        <w:tab/>
        <w:t>1.</w:t>
      </w:r>
      <w:r w:rsidRPr="00D87D7A">
        <w:rPr>
          <w:szCs w:val="24"/>
        </w:rPr>
        <w:tab/>
        <w:t xml:space="preserve">The Commission has jurisdiction over the subject matter and parties to this dispute.  </w:t>
      </w:r>
      <w:proofErr w:type="gramStart"/>
      <w:r w:rsidRPr="00D87D7A">
        <w:rPr>
          <w:szCs w:val="24"/>
        </w:rPr>
        <w:t>66 Pa.C.S.</w:t>
      </w:r>
      <w:proofErr w:type="gramEnd"/>
      <w:r w:rsidRPr="00D87D7A">
        <w:rPr>
          <w:szCs w:val="24"/>
        </w:rPr>
        <w:t xml:space="preserve"> § 701.</w:t>
      </w:r>
    </w:p>
    <w:p w:rsidR="009144E8" w:rsidRPr="00D87D7A" w:rsidRDefault="00311581" w:rsidP="009144E8">
      <w:pPr>
        <w:spacing w:after="0"/>
        <w:rPr>
          <w:szCs w:val="24"/>
        </w:rPr>
      </w:pPr>
      <w:r w:rsidRPr="00D87D7A">
        <w:rPr>
          <w:szCs w:val="24"/>
        </w:rPr>
        <w:tab/>
      </w:r>
    </w:p>
    <w:p w:rsidR="00311581" w:rsidRDefault="00311581" w:rsidP="009144E8">
      <w:pPr>
        <w:spacing w:after="0"/>
        <w:ind w:firstLine="1440"/>
        <w:rPr>
          <w:szCs w:val="24"/>
        </w:rPr>
      </w:pPr>
      <w:r w:rsidRPr="00D87D7A">
        <w:rPr>
          <w:szCs w:val="24"/>
        </w:rPr>
        <w:t>2.</w:t>
      </w:r>
      <w:r w:rsidRPr="00D87D7A">
        <w:rPr>
          <w:szCs w:val="24"/>
        </w:rPr>
        <w:tab/>
        <w:t xml:space="preserve">As a party seeking affirmative relief from the Commission, the Complainant bears the burden of proof.  </w:t>
      </w:r>
      <w:proofErr w:type="gramStart"/>
      <w:r w:rsidRPr="00D87D7A">
        <w:rPr>
          <w:szCs w:val="24"/>
        </w:rPr>
        <w:t>66 Pa.C.S.</w:t>
      </w:r>
      <w:proofErr w:type="gramEnd"/>
      <w:r w:rsidRPr="00D87D7A">
        <w:rPr>
          <w:szCs w:val="24"/>
        </w:rPr>
        <w:t xml:space="preserve"> § 332(a).</w:t>
      </w:r>
    </w:p>
    <w:p w:rsidR="001F6286" w:rsidRPr="00D87D7A" w:rsidRDefault="001F6286" w:rsidP="009144E8">
      <w:pPr>
        <w:spacing w:after="0"/>
        <w:ind w:firstLine="1440"/>
        <w:rPr>
          <w:szCs w:val="24"/>
        </w:rPr>
      </w:pPr>
    </w:p>
    <w:p w:rsidR="00311581" w:rsidRPr="00D87D7A" w:rsidRDefault="00311581" w:rsidP="00D87D7A">
      <w:pPr>
        <w:spacing w:after="0"/>
        <w:rPr>
          <w:szCs w:val="24"/>
        </w:rPr>
      </w:pPr>
      <w:r w:rsidRPr="00D87D7A">
        <w:rPr>
          <w:szCs w:val="24"/>
        </w:rPr>
        <w:tab/>
        <w:t>3.</w:t>
      </w:r>
      <w:r w:rsidRPr="00D87D7A">
        <w:rPr>
          <w:szCs w:val="24"/>
        </w:rPr>
        <w:tab/>
        <w:t xml:space="preserve">A Commission-approved tariff has the force of law.  </w:t>
      </w:r>
      <w:proofErr w:type="spellStart"/>
      <w:proofErr w:type="gramStart"/>
      <w:r w:rsidRPr="00D87D7A">
        <w:rPr>
          <w:i/>
          <w:szCs w:val="24"/>
        </w:rPr>
        <w:t>Shenango</w:t>
      </w:r>
      <w:proofErr w:type="spellEnd"/>
      <w:r w:rsidRPr="00D87D7A">
        <w:rPr>
          <w:i/>
          <w:szCs w:val="24"/>
        </w:rPr>
        <w:t xml:space="preserve"> Township Board </w:t>
      </w:r>
      <w:r w:rsidR="001F6286">
        <w:rPr>
          <w:i/>
          <w:szCs w:val="24"/>
        </w:rPr>
        <w:t>of Supervisors v. Pa. Pub</w:t>
      </w:r>
      <w:r w:rsidRPr="00D87D7A">
        <w:rPr>
          <w:i/>
          <w:szCs w:val="24"/>
        </w:rPr>
        <w:t>.</w:t>
      </w:r>
      <w:proofErr w:type="gramEnd"/>
      <w:r w:rsidRPr="00D87D7A">
        <w:rPr>
          <w:i/>
          <w:szCs w:val="24"/>
        </w:rPr>
        <w:t xml:space="preserve"> </w:t>
      </w:r>
      <w:proofErr w:type="gramStart"/>
      <w:r w:rsidRPr="00D87D7A">
        <w:rPr>
          <w:i/>
          <w:szCs w:val="24"/>
        </w:rPr>
        <w:t>Util. Comm’n</w:t>
      </w:r>
      <w:r w:rsidR="00DC7D85" w:rsidRPr="00D87D7A">
        <w:rPr>
          <w:szCs w:val="24"/>
        </w:rPr>
        <w:t>, 606 A.2d 910, 913 (</w:t>
      </w:r>
      <w:proofErr w:type="spellStart"/>
      <w:r w:rsidR="00DC7D85" w:rsidRPr="00D87D7A">
        <w:rPr>
          <w:szCs w:val="24"/>
        </w:rPr>
        <w:t>Pa.</w:t>
      </w:r>
      <w:r w:rsidRPr="00D87D7A">
        <w:rPr>
          <w:szCs w:val="24"/>
        </w:rPr>
        <w:t>Cmwlth</w:t>
      </w:r>
      <w:proofErr w:type="spellEnd"/>
      <w:r w:rsidRPr="00D87D7A">
        <w:rPr>
          <w:szCs w:val="24"/>
        </w:rPr>
        <w:t>. 1996).</w:t>
      </w:r>
      <w:proofErr w:type="gramEnd"/>
    </w:p>
    <w:p w:rsidR="009144E8" w:rsidRPr="00D87D7A" w:rsidRDefault="009144E8" w:rsidP="009144E8">
      <w:pPr>
        <w:spacing w:after="0"/>
        <w:ind w:firstLine="1440"/>
        <w:rPr>
          <w:szCs w:val="24"/>
        </w:rPr>
      </w:pPr>
    </w:p>
    <w:p w:rsidR="009144E8" w:rsidRPr="00D87D7A" w:rsidRDefault="00311581" w:rsidP="00A809AA">
      <w:pPr>
        <w:spacing w:after="0"/>
        <w:rPr>
          <w:szCs w:val="24"/>
          <w:u w:val="single"/>
        </w:rPr>
      </w:pPr>
      <w:r w:rsidRPr="00D87D7A">
        <w:rPr>
          <w:szCs w:val="24"/>
        </w:rPr>
        <w:tab/>
        <w:t>4.</w:t>
      </w:r>
      <w:r w:rsidRPr="00D87D7A">
        <w:rPr>
          <w:szCs w:val="24"/>
        </w:rPr>
        <w:tab/>
        <w:t xml:space="preserve">The Complainant </w:t>
      </w:r>
      <w:r w:rsidR="00A809AA" w:rsidRPr="00D87D7A">
        <w:rPr>
          <w:szCs w:val="24"/>
        </w:rPr>
        <w:t>proved</w:t>
      </w:r>
      <w:r w:rsidRPr="00D87D7A">
        <w:rPr>
          <w:szCs w:val="24"/>
        </w:rPr>
        <w:t xml:space="preserve"> that the utility </w:t>
      </w:r>
      <w:r w:rsidR="00A809AA" w:rsidRPr="00D87D7A">
        <w:rPr>
          <w:szCs w:val="24"/>
        </w:rPr>
        <w:t>improperly applied its tariff.</w:t>
      </w:r>
    </w:p>
    <w:p w:rsidR="009144E8" w:rsidRPr="00D87D7A" w:rsidRDefault="009144E8" w:rsidP="009144E8">
      <w:pPr>
        <w:spacing w:after="0"/>
        <w:jc w:val="center"/>
        <w:rPr>
          <w:szCs w:val="24"/>
          <w:u w:val="single"/>
        </w:rPr>
      </w:pPr>
    </w:p>
    <w:p w:rsidR="00D87D7A" w:rsidRDefault="00D87D7A" w:rsidP="009144E8">
      <w:pPr>
        <w:spacing w:after="0"/>
        <w:jc w:val="center"/>
        <w:rPr>
          <w:szCs w:val="24"/>
          <w:u w:val="single"/>
        </w:rPr>
      </w:pPr>
    </w:p>
    <w:p w:rsidR="00311581" w:rsidRPr="00D87D7A" w:rsidRDefault="00311581" w:rsidP="009144E8">
      <w:pPr>
        <w:spacing w:after="0"/>
        <w:jc w:val="center"/>
        <w:rPr>
          <w:szCs w:val="24"/>
          <w:u w:val="single"/>
        </w:rPr>
      </w:pPr>
      <w:r w:rsidRPr="00D87D7A">
        <w:rPr>
          <w:szCs w:val="24"/>
          <w:u w:val="single"/>
        </w:rPr>
        <w:t>ORDER</w:t>
      </w:r>
    </w:p>
    <w:p w:rsidR="009144E8" w:rsidRPr="00D87D7A" w:rsidRDefault="009144E8" w:rsidP="009144E8">
      <w:pPr>
        <w:spacing w:after="0"/>
        <w:rPr>
          <w:szCs w:val="24"/>
        </w:rPr>
      </w:pPr>
    </w:p>
    <w:p w:rsidR="009144E8" w:rsidRPr="00D87D7A" w:rsidRDefault="009144E8" w:rsidP="009144E8">
      <w:pPr>
        <w:spacing w:after="0"/>
        <w:rPr>
          <w:szCs w:val="24"/>
        </w:rPr>
      </w:pPr>
    </w:p>
    <w:p w:rsidR="00311581" w:rsidRPr="00D87D7A" w:rsidRDefault="00311581" w:rsidP="009144E8">
      <w:pPr>
        <w:spacing w:after="0"/>
        <w:ind w:firstLine="1440"/>
        <w:rPr>
          <w:szCs w:val="24"/>
        </w:rPr>
      </w:pPr>
      <w:r w:rsidRPr="00D87D7A">
        <w:rPr>
          <w:szCs w:val="24"/>
        </w:rPr>
        <w:t>THEREFORE,</w:t>
      </w:r>
    </w:p>
    <w:p w:rsidR="009144E8" w:rsidRPr="00D87D7A" w:rsidRDefault="009144E8" w:rsidP="009144E8">
      <w:pPr>
        <w:spacing w:after="0"/>
        <w:ind w:firstLine="1440"/>
        <w:rPr>
          <w:szCs w:val="24"/>
        </w:rPr>
      </w:pPr>
    </w:p>
    <w:p w:rsidR="00311581" w:rsidRPr="00D87D7A" w:rsidRDefault="00311581" w:rsidP="009144E8">
      <w:pPr>
        <w:spacing w:after="0"/>
        <w:ind w:firstLine="1440"/>
        <w:rPr>
          <w:szCs w:val="24"/>
        </w:rPr>
      </w:pPr>
      <w:r w:rsidRPr="00D87D7A">
        <w:rPr>
          <w:szCs w:val="24"/>
        </w:rPr>
        <w:t>IT IS ORDERED:</w:t>
      </w:r>
    </w:p>
    <w:p w:rsidR="009144E8" w:rsidRPr="00D87D7A" w:rsidRDefault="009144E8" w:rsidP="009144E8">
      <w:pPr>
        <w:spacing w:after="0"/>
        <w:ind w:firstLine="1440"/>
        <w:rPr>
          <w:szCs w:val="24"/>
        </w:rPr>
      </w:pPr>
    </w:p>
    <w:p w:rsidR="00311581" w:rsidRPr="00D87D7A" w:rsidRDefault="00311581" w:rsidP="009144E8">
      <w:pPr>
        <w:spacing w:after="0"/>
        <w:rPr>
          <w:szCs w:val="24"/>
        </w:rPr>
      </w:pPr>
      <w:r w:rsidRPr="00D87D7A">
        <w:rPr>
          <w:szCs w:val="24"/>
        </w:rPr>
        <w:tab/>
        <w:t>1.</w:t>
      </w:r>
      <w:r w:rsidRPr="00D87D7A">
        <w:rPr>
          <w:szCs w:val="24"/>
        </w:rPr>
        <w:tab/>
        <w:t>That the complaint of Loretta Warren at PUC Docket No. F-2014-</w:t>
      </w:r>
      <w:proofErr w:type="gramStart"/>
      <w:r w:rsidRPr="00D87D7A">
        <w:rPr>
          <w:szCs w:val="24"/>
        </w:rPr>
        <w:t>2399085,</w:t>
      </w:r>
      <w:proofErr w:type="gramEnd"/>
      <w:r w:rsidRPr="00D87D7A">
        <w:rPr>
          <w:szCs w:val="24"/>
        </w:rPr>
        <w:t xml:space="preserve"> is </w:t>
      </w:r>
      <w:r w:rsidR="00A809AA" w:rsidRPr="00D87D7A">
        <w:rPr>
          <w:szCs w:val="24"/>
        </w:rPr>
        <w:t>sustained.</w:t>
      </w:r>
    </w:p>
    <w:p w:rsidR="00A809AA" w:rsidRPr="00D87D7A" w:rsidRDefault="00A809AA" w:rsidP="009144E8">
      <w:pPr>
        <w:spacing w:after="0"/>
        <w:rPr>
          <w:szCs w:val="24"/>
        </w:rPr>
      </w:pPr>
    </w:p>
    <w:p w:rsidR="00A809AA" w:rsidRPr="00D87D7A" w:rsidRDefault="00A809AA" w:rsidP="009144E8">
      <w:pPr>
        <w:spacing w:after="0"/>
        <w:rPr>
          <w:szCs w:val="24"/>
        </w:rPr>
      </w:pPr>
      <w:r w:rsidRPr="00D87D7A">
        <w:rPr>
          <w:szCs w:val="24"/>
        </w:rPr>
        <w:tab/>
        <w:t>2.</w:t>
      </w:r>
      <w:r w:rsidRPr="00D87D7A">
        <w:rPr>
          <w:szCs w:val="24"/>
        </w:rPr>
        <w:tab/>
        <w:t xml:space="preserve">That Duquesne Light Company </w:t>
      </w:r>
      <w:r w:rsidR="003764E3" w:rsidRPr="00D87D7A">
        <w:rPr>
          <w:szCs w:val="24"/>
        </w:rPr>
        <w:t>shall</w:t>
      </w:r>
      <w:r w:rsidRPr="00D87D7A">
        <w:rPr>
          <w:szCs w:val="24"/>
        </w:rPr>
        <w:t xml:space="preserve"> refund the charges associated with meter tampering and the reconnection of service at 6626 </w:t>
      </w:r>
      <w:proofErr w:type="spellStart"/>
      <w:r w:rsidRPr="00D87D7A">
        <w:rPr>
          <w:szCs w:val="24"/>
        </w:rPr>
        <w:t>Brainard</w:t>
      </w:r>
      <w:proofErr w:type="spellEnd"/>
      <w:r w:rsidRPr="00D87D7A">
        <w:rPr>
          <w:szCs w:val="24"/>
        </w:rPr>
        <w:t xml:space="preserve"> Street, Pittsburgh, Pennsylvania</w:t>
      </w:r>
      <w:r w:rsidR="003764E3" w:rsidRPr="00D87D7A">
        <w:rPr>
          <w:szCs w:val="24"/>
        </w:rPr>
        <w:t xml:space="preserve"> within 10 days of entry of the final order of the Commission</w:t>
      </w:r>
      <w:r w:rsidRPr="00D87D7A">
        <w:rPr>
          <w:szCs w:val="24"/>
        </w:rPr>
        <w:t>.</w:t>
      </w:r>
    </w:p>
    <w:p w:rsidR="009144E8" w:rsidRPr="00D87D7A" w:rsidRDefault="00311581" w:rsidP="009144E8">
      <w:pPr>
        <w:spacing w:after="0"/>
        <w:rPr>
          <w:szCs w:val="24"/>
        </w:rPr>
      </w:pPr>
      <w:r w:rsidRPr="00D87D7A">
        <w:rPr>
          <w:szCs w:val="24"/>
        </w:rPr>
        <w:tab/>
      </w:r>
    </w:p>
    <w:p w:rsidR="007F1217" w:rsidRPr="00D87D7A" w:rsidRDefault="00585858" w:rsidP="009144E8">
      <w:pPr>
        <w:spacing w:after="0"/>
        <w:ind w:firstLine="1440"/>
        <w:rPr>
          <w:szCs w:val="24"/>
        </w:rPr>
      </w:pPr>
      <w:r>
        <w:rPr>
          <w:szCs w:val="24"/>
        </w:rPr>
        <w:t>3</w:t>
      </w:r>
      <w:r w:rsidR="00311581" w:rsidRPr="00D87D7A">
        <w:rPr>
          <w:szCs w:val="24"/>
        </w:rPr>
        <w:t>.</w:t>
      </w:r>
      <w:r w:rsidR="00311581" w:rsidRPr="00D87D7A">
        <w:rPr>
          <w:szCs w:val="24"/>
        </w:rPr>
        <w:tab/>
        <w:t>That the Secretary shall mark the docket closed.</w:t>
      </w:r>
    </w:p>
    <w:p w:rsidR="00CE60AE" w:rsidRPr="00D87D7A" w:rsidRDefault="00CE60AE" w:rsidP="009144E8">
      <w:pPr>
        <w:spacing w:after="0"/>
        <w:ind w:firstLine="1440"/>
        <w:rPr>
          <w:szCs w:val="24"/>
        </w:rPr>
      </w:pPr>
    </w:p>
    <w:p w:rsidR="00CE60AE" w:rsidRPr="00D87D7A" w:rsidRDefault="00CE60AE" w:rsidP="00CE60AE">
      <w:pPr>
        <w:spacing w:after="0" w:line="240" w:lineRule="auto"/>
        <w:ind w:firstLine="1440"/>
        <w:rPr>
          <w:szCs w:val="24"/>
        </w:rPr>
      </w:pPr>
    </w:p>
    <w:p w:rsidR="00CE60AE" w:rsidRPr="00D87D7A" w:rsidRDefault="00CE60AE" w:rsidP="00CE60AE">
      <w:pPr>
        <w:tabs>
          <w:tab w:val="left" w:pos="0"/>
        </w:tabs>
        <w:spacing w:after="0" w:line="240" w:lineRule="auto"/>
        <w:jc w:val="both"/>
        <w:rPr>
          <w:szCs w:val="24"/>
          <w:u w:val="single"/>
        </w:rPr>
      </w:pPr>
      <w:r w:rsidRPr="00D87D7A">
        <w:rPr>
          <w:szCs w:val="24"/>
        </w:rPr>
        <w:t xml:space="preserve">Date:  </w:t>
      </w:r>
      <w:r w:rsidR="00A809AA" w:rsidRPr="00D87D7A">
        <w:rPr>
          <w:szCs w:val="24"/>
          <w:u w:val="single"/>
        </w:rPr>
        <w:t>July 15</w:t>
      </w:r>
      <w:r w:rsidRPr="00D87D7A">
        <w:rPr>
          <w:szCs w:val="24"/>
          <w:u w:val="single"/>
        </w:rPr>
        <w:t>, 2014</w:t>
      </w:r>
      <w:r w:rsidRPr="00D87D7A">
        <w:rPr>
          <w:szCs w:val="24"/>
        </w:rPr>
        <w:tab/>
      </w:r>
      <w:r w:rsidRPr="00D87D7A">
        <w:rPr>
          <w:szCs w:val="24"/>
        </w:rPr>
        <w:tab/>
      </w:r>
      <w:r w:rsidRPr="00D87D7A">
        <w:rPr>
          <w:szCs w:val="24"/>
        </w:rPr>
        <w:tab/>
      </w:r>
      <w:r w:rsidRPr="00D87D7A">
        <w:rPr>
          <w:szCs w:val="24"/>
        </w:rPr>
        <w:tab/>
      </w:r>
      <w:r w:rsidRPr="00D87D7A">
        <w:rPr>
          <w:szCs w:val="24"/>
        </w:rPr>
        <w:tab/>
      </w:r>
      <w:r w:rsidRPr="00D87D7A">
        <w:rPr>
          <w:szCs w:val="24"/>
        </w:rPr>
        <w:tab/>
      </w:r>
      <w:r w:rsidRPr="00D87D7A">
        <w:rPr>
          <w:szCs w:val="24"/>
          <w:u w:val="single"/>
        </w:rPr>
        <w:tab/>
      </w:r>
      <w:r w:rsidRPr="00D87D7A">
        <w:rPr>
          <w:szCs w:val="24"/>
          <w:u w:val="single"/>
        </w:rPr>
        <w:tab/>
        <w:t>/s/</w:t>
      </w:r>
      <w:r w:rsidRPr="00D87D7A">
        <w:rPr>
          <w:szCs w:val="24"/>
          <w:u w:val="single"/>
        </w:rPr>
        <w:tab/>
      </w:r>
      <w:r w:rsidRPr="00D87D7A">
        <w:rPr>
          <w:szCs w:val="24"/>
          <w:u w:val="single"/>
        </w:rPr>
        <w:tab/>
      </w:r>
      <w:r w:rsidRPr="00D87D7A">
        <w:rPr>
          <w:szCs w:val="24"/>
          <w:u w:val="single"/>
        </w:rPr>
        <w:tab/>
      </w:r>
    </w:p>
    <w:p w:rsidR="00CE60AE" w:rsidRPr="00D87D7A" w:rsidRDefault="00CE60AE" w:rsidP="00CE60AE">
      <w:pPr>
        <w:tabs>
          <w:tab w:val="left" w:pos="0"/>
        </w:tabs>
        <w:spacing w:after="0" w:line="240" w:lineRule="auto"/>
        <w:jc w:val="both"/>
        <w:rPr>
          <w:szCs w:val="24"/>
        </w:rPr>
      </w:pPr>
      <w:r w:rsidRPr="00D87D7A">
        <w:rPr>
          <w:szCs w:val="24"/>
        </w:rPr>
        <w:tab/>
      </w:r>
      <w:r w:rsidRPr="00D87D7A">
        <w:rPr>
          <w:szCs w:val="24"/>
        </w:rPr>
        <w:tab/>
      </w:r>
      <w:r w:rsidRPr="00D87D7A">
        <w:rPr>
          <w:szCs w:val="24"/>
        </w:rPr>
        <w:tab/>
      </w:r>
      <w:r w:rsidRPr="00D87D7A">
        <w:rPr>
          <w:szCs w:val="24"/>
        </w:rPr>
        <w:tab/>
      </w:r>
      <w:r w:rsidRPr="00D87D7A">
        <w:rPr>
          <w:szCs w:val="24"/>
        </w:rPr>
        <w:tab/>
      </w:r>
      <w:r w:rsidRPr="00D87D7A">
        <w:rPr>
          <w:szCs w:val="24"/>
        </w:rPr>
        <w:tab/>
      </w:r>
      <w:r w:rsidRPr="00D87D7A">
        <w:rPr>
          <w:szCs w:val="24"/>
        </w:rPr>
        <w:tab/>
        <w:t>Mary D. Long</w:t>
      </w:r>
    </w:p>
    <w:p w:rsidR="00CE60AE" w:rsidRPr="00D87D7A" w:rsidRDefault="00CE60AE" w:rsidP="00CE60AE">
      <w:pPr>
        <w:tabs>
          <w:tab w:val="left" w:pos="0"/>
        </w:tabs>
        <w:spacing w:after="0" w:line="240" w:lineRule="auto"/>
        <w:jc w:val="both"/>
        <w:rPr>
          <w:szCs w:val="24"/>
        </w:rPr>
      </w:pPr>
      <w:r w:rsidRPr="00D87D7A">
        <w:rPr>
          <w:szCs w:val="24"/>
        </w:rPr>
        <w:tab/>
      </w:r>
      <w:r w:rsidRPr="00D87D7A">
        <w:rPr>
          <w:szCs w:val="24"/>
        </w:rPr>
        <w:tab/>
      </w:r>
      <w:r w:rsidRPr="00D87D7A">
        <w:rPr>
          <w:szCs w:val="24"/>
        </w:rPr>
        <w:tab/>
      </w:r>
      <w:r w:rsidRPr="00D87D7A">
        <w:rPr>
          <w:szCs w:val="24"/>
        </w:rPr>
        <w:tab/>
      </w:r>
      <w:r w:rsidRPr="00D87D7A">
        <w:rPr>
          <w:szCs w:val="24"/>
        </w:rPr>
        <w:tab/>
      </w:r>
      <w:r w:rsidRPr="00D87D7A">
        <w:rPr>
          <w:szCs w:val="24"/>
        </w:rPr>
        <w:tab/>
      </w:r>
      <w:r w:rsidRPr="00D87D7A">
        <w:rPr>
          <w:szCs w:val="24"/>
        </w:rPr>
        <w:tab/>
        <w:t>Administrative Law Judge</w:t>
      </w:r>
    </w:p>
    <w:p w:rsidR="00CE60AE" w:rsidRPr="00D87D7A" w:rsidRDefault="00CE60AE" w:rsidP="00CE60AE">
      <w:pPr>
        <w:tabs>
          <w:tab w:val="left" w:pos="0"/>
        </w:tabs>
        <w:jc w:val="both"/>
        <w:rPr>
          <w:szCs w:val="24"/>
        </w:rPr>
      </w:pPr>
    </w:p>
    <w:p w:rsidR="00CE60AE" w:rsidRPr="00D87D7A" w:rsidRDefault="00CE60AE" w:rsidP="00CE60AE">
      <w:pPr>
        <w:spacing w:after="0"/>
        <w:ind w:hanging="90"/>
        <w:rPr>
          <w:szCs w:val="24"/>
        </w:rPr>
      </w:pPr>
    </w:p>
    <w:sectPr w:rsidR="00CE60AE" w:rsidRPr="00D87D7A" w:rsidSect="00D87D7A">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77D" w:rsidRDefault="001C277D" w:rsidP="007F1217">
      <w:pPr>
        <w:spacing w:after="0" w:line="240" w:lineRule="auto"/>
      </w:pPr>
      <w:r>
        <w:separator/>
      </w:r>
    </w:p>
  </w:endnote>
  <w:endnote w:type="continuationSeparator" w:id="0">
    <w:p w:rsidR="001C277D" w:rsidRDefault="001C277D" w:rsidP="007F1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4155826"/>
      <w:docPartObj>
        <w:docPartGallery w:val="Page Numbers (Bottom of Page)"/>
        <w:docPartUnique/>
      </w:docPartObj>
    </w:sdtPr>
    <w:sdtEndPr>
      <w:rPr>
        <w:noProof/>
        <w:sz w:val="20"/>
      </w:rPr>
    </w:sdtEndPr>
    <w:sdtContent>
      <w:p w:rsidR="007F1217" w:rsidRPr="009144E8" w:rsidRDefault="007F1217">
        <w:pPr>
          <w:pStyle w:val="Footer"/>
          <w:jc w:val="center"/>
          <w:rPr>
            <w:sz w:val="20"/>
          </w:rPr>
        </w:pPr>
        <w:r w:rsidRPr="009144E8">
          <w:rPr>
            <w:sz w:val="20"/>
          </w:rPr>
          <w:fldChar w:fldCharType="begin"/>
        </w:r>
        <w:r w:rsidRPr="009144E8">
          <w:rPr>
            <w:sz w:val="20"/>
          </w:rPr>
          <w:instrText xml:space="preserve"> PAGE   \* MERGEFORMAT </w:instrText>
        </w:r>
        <w:r w:rsidRPr="009144E8">
          <w:rPr>
            <w:sz w:val="20"/>
          </w:rPr>
          <w:fldChar w:fldCharType="separate"/>
        </w:r>
        <w:r w:rsidR="00C534BA">
          <w:rPr>
            <w:noProof/>
            <w:sz w:val="20"/>
          </w:rPr>
          <w:t>7</w:t>
        </w:r>
        <w:r w:rsidRPr="009144E8">
          <w:rPr>
            <w:noProof/>
            <w:sz w:val="20"/>
          </w:rPr>
          <w:fldChar w:fldCharType="end"/>
        </w:r>
      </w:p>
    </w:sdtContent>
  </w:sdt>
  <w:p w:rsidR="007F1217" w:rsidRDefault="007F12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77D" w:rsidRDefault="001C277D" w:rsidP="007F1217">
      <w:pPr>
        <w:spacing w:after="0" w:line="240" w:lineRule="auto"/>
      </w:pPr>
      <w:r>
        <w:separator/>
      </w:r>
    </w:p>
  </w:footnote>
  <w:footnote w:type="continuationSeparator" w:id="0">
    <w:p w:rsidR="001C277D" w:rsidRDefault="001C277D" w:rsidP="007F1217">
      <w:pPr>
        <w:spacing w:after="0" w:line="240" w:lineRule="auto"/>
      </w:pPr>
      <w:r>
        <w:continuationSeparator/>
      </w:r>
    </w:p>
  </w:footnote>
  <w:footnote w:id="1">
    <w:p w:rsidR="00E13D4C" w:rsidRDefault="00E13D4C" w:rsidP="009144E8">
      <w:pPr>
        <w:pStyle w:val="FootnoteText"/>
        <w:spacing w:after="0"/>
        <w:ind w:firstLine="720"/>
      </w:pPr>
      <w:r>
        <w:rPr>
          <w:rStyle w:val="FootnoteReference"/>
        </w:rPr>
        <w:footnoteRef/>
      </w:r>
      <w:r>
        <w:t xml:space="preserve"> </w:t>
      </w:r>
      <w:r>
        <w:tab/>
      </w:r>
      <w:proofErr w:type="gramStart"/>
      <w:r>
        <w:t>66 Pa.C.S.</w:t>
      </w:r>
      <w:proofErr w:type="gramEnd"/>
      <w:r>
        <w:t xml:space="preserve"> § 701.</w:t>
      </w:r>
    </w:p>
    <w:p w:rsidR="009144E8" w:rsidRDefault="009144E8" w:rsidP="009144E8">
      <w:pPr>
        <w:pStyle w:val="FootnoteText"/>
        <w:spacing w:after="0"/>
        <w:ind w:firstLine="720"/>
      </w:pPr>
    </w:p>
  </w:footnote>
  <w:footnote w:id="2">
    <w:p w:rsidR="00E13D4C" w:rsidRDefault="00E13D4C" w:rsidP="009144E8">
      <w:pPr>
        <w:pStyle w:val="FootnoteText"/>
        <w:spacing w:after="0"/>
        <w:ind w:firstLine="720"/>
      </w:pPr>
      <w:r>
        <w:rPr>
          <w:rStyle w:val="FootnoteReference"/>
        </w:rPr>
        <w:footnoteRef/>
      </w:r>
      <w:r>
        <w:t xml:space="preserve"> </w:t>
      </w:r>
      <w:r>
        <w:tab/>
      </w:r>
      <w:proofErr w:type="gramStart"/>
      <w:r>
        <w:t>66 Pa.C.S.</w:t>
      </w:r>
      <w:proofErr w:type="gramEnd"/>
      <w:r>
        <w:t xml:space="preserve"> § 332(a).</w:t>
      </w:r>
    </w:p>
    <w:p w:rsidR="00CE60AE" w:rsidRDefault="00CE60AE" w:rsidP="009144E8">
      <w:pPr>
        <w:pStyle w:val="FootnoteText"/>
        <w:spacing w:after="0"/>
        <w:ind w:firstLine="720"/>
      </w:pPr>
    </w:p>
  </w:footnote>
  <w:footnote w:id="3">
    <w:p w:rsidR="00E13D4C" w:rsidRDefault="00E13D4C" w:rsidP="001F6286">
      <w:pPr>
        <w:pStyle w:val="FootnoteText"/>
        <w:spacing w:after="0"/>
        <w:ind w:firstLine="720"/>
      </w:pPr>
      <w:r>
        <w:rPr>
          <w:rStyle w:val="FootnoteReference"/>
        </w:rPr>
        <w:footnoteRef/>
      </w:r>
      <w:r>
        <w:t xml:space="preserve"> </w:t>
      </w:r>
      <w:r>
        <w:tab/>
      </w:r>
      <w:proofErr w:type="gramStart"/>
      <w:r>
        <w:rPr>
          <w:i/>
        </w:rPr>
        <w:t>Se-Ling Hosiery, Inc. v. Margulies</w:t>
      </w:r>
      <w:r>
        <w:t xml:space="preserve">, 70 A.2d 854 (Pa. 1950); </w:t>
      </w:r>
      <w:r>
        <w:rPr>
          <w:i/>
        </w:rPr>
        <w:t>Feinstein v. Philadelphia Suburban Water Company</w:t>
      </w:r>
      <w:r>
        <w:t>, 50 Pa. PUC 300 (1976).</w:t>
      </w:r>
      <w:proofErr w:type="gramEnd"/>
    </w:p>
    <w:p w:rsidR="001F6286" w:rsidRDefault="001F6286" w:rsidP="001F6286">
      <w:pPr>
        <w:pStyle w:val="FootnoteText"/>
        <w:spacing w:after="0"/>
        <w:ind w:firstLine="720"/>
      </w:pPr>
    </w:p>
  </w:footnote>
  <w:footnote w:id="4">
    <w:p w:rsidR="00F85270" w:rsidRDefault="00F85270" w:rsidP="009144E8">
      <w:pPr>
        <w:pStyle w:val="FootnoteText"/>
        <w:spacing w:after="0"/>
        <w:ind w:firstLine="720"/>
      </w:pPr>
      <w:r>
        <w:rPr>
          <w:rStyle w:val="FootnoteReference"/>
        </w:rPr>
        <w:footnoteRef/>
      </w:r>
      <w:r>
        <w:t xml:space="preserve">  </w:t>
      </w:r>
      <w:r>
        <w:tab/>
      </w:r>
      <w:proofErr w:type="gramStart"/>
      <w:r>
        <w:t>Duquesne Light Ex. 6 at ¶ 24.</w:t>
      </w:r>
      <w:proofErr w:type="gramEnd"/>
    </w:p>
    <w:p w:rsidR="009144E8" w:rsidRDefault="009144E8" w:rsidP="009144E8">
      <w:pPr>
        <w:pStyle w:val="FootnoteText"/>
        <w:spacing w:after="0"/>
        <w:ind w:firstLine="720"/>
      </w:pPr>
    </w:p>
  </w:footnote>
  <w:footnote w:id="5">
    <w:p w:rsidR="006D4815" w:rsidRDefault="006D4815" w:rsidP="00D87D7A">
      <w:pPr>
        <w:pStyle w:val="FootnoteText"/>
        <w:spacing w:after="0"/>
        <w:ind w:firstLine="720"/>
      </w:pPr>
      <w:r>
        <w:rPr>
          <w:rStyle w:val="FootnoteReference"/>
        </w:rPr>
        <w:footnoteRef/>
      </w:r>
      <w:r>
        <w:t xml:space="preserve">  </w:t>
      </w:r>
      <w:r>
        <w:tab/>
      </w:r>
      <w:proofErr w:type="gramStart"/>
      <w:r>
        <w:t>Duquesne Light Ex. 6 at ¶ 40.</w:t>
      </w:r>
      <w:proofErr w:type="gramEnd"/>
    </w:p>
    <w:p w:rsidR="00D87D7A" w:rsidRDefault="00D87D7A" w:rsidP="00D87D7A">
      <w:pPr>
        <w:pStyle w:val="FootnoteText"/>
        <w:spacing w:after="0"/>
        <w:ind w:firstLine="720"/>
      </w:pPr>
    </w:p>
  </w:footnote>
  <w:footnote w:id="6">
    <w:p w:rsidR="003764E3" w:rsidRDefault="003764E3" w:rsidP="00D87D7A">
      <w:pPr>
        <w:pStyle w:val="FootnoteText"/>
        <w:spacing w:after="0"/>
        <w:ind w:firstLine="720"/>
      </w:pPr>
      <w:r>
        <w:rPr>
          <w:rStyle w:val="FootnoteReference"/>
        </w:rPr>
        <w:footnoteRef/>
      </w:r>
      <w:r>
        <w:t xml:space="preserve"> </w:t>
      </w:r>
      <w:r>
        <w:tab/>
      </w:r>
      <w:proofErr w:type="spellStart"/>
      <w:proofErr w:type="gramStart"/>
      <w:r w:rsidRPr="000637F9">
        <w:rPr>
          <w:i/>
        </w:rPr>
        <w:t>Shenango</w:t>
      </w:r>
      <w:proofErr w:type="spellEnd"/>
      <w:r w:rsidRPr="000637F9">
        <w:rPr>
          <w:i/>
        </w:rPr>
        <w:t xml:space="preserve"> Township Bo</w:t>
      </w:r>
      <w:r>
        <w:rPr>
          <w:i/>
        </w:rPr>
        <w:t>ard of Supervisors v. Pa. Pub.</w:t>
      </w:r>
      <w:proofErr w:type="gramEnd"/>
      <w:r w:rsidRPr="000637F9">
        <w:rPr>
          <w:i/>
        </w:rPr>
        <w:t xml:space="preserve"> </w:t>
      </w:r>
      <w:proofErr w:type="gramStart"/>
      <w:r w:rsidRPr="000637F9">
        <w:rPr>
          <w:i/>
        </w:rPr>
        <w:t>Util. Comm’n</w:t>
      </w:r>
      <w:r>
        <w:t>, 606 A.2d 910, 913 (Pa. Cmwlth. 1996).</w:t>
      </w:r>
      <w:proofErr w:type="gramEnd"/>
    </w:p>
    <w:p w:rsidR="003764E3" w:rsidRPr="00A95553" w:rsidRDefault="003764E3" w:rsidP="00D87D7A">
      <w:pPr>
        <w:pStyle w:val="FootnoteText"/>
        <w:spacing w:after="0"/>
      </w:pPr>
    </w:p>
  </w:footnote>
  <w:footnote w:id="7">
    <w:p w:rsidR="0001653E" w:rsidRDefault="0001653E" w:rsidP="00D87D7A">
      <w:pPr>
        <w:pStyle w:val="FootnoteText"/>
        <w:spacing w:after="0"/>
        <w:ind w:firstLine="720"/>
      </w:pPr>
      <w:r>
        <w:rPr>
          <w:rStyle w:val="FootnoteReference"/>
        </w:rPr>
        <w:footnoteRef/>
      </w:r>
      <w:r>
        <w:t xml:space="preserve">  </w:t>
      </w:r>
      <w:r>
        <w:tab/>
      </w:r>
      <w:proofErr w:type="gramStart"/>
      <w:r>
        <w:t>Duquesne Light Ex. 6 at ¶ 23.</w:t>
      </w:r>
      <w:proofErr w:type="gramEnd"/>
    </w:p>
    <w:p w:rsidR="009144E8" w:rsidRDefault="009144E8" w:rsidP="00D87D7A">
      <w:pPr>
        <w:pStyle w:val="FootnoteText"/>
        <w:spacing w:after="0"/>
        <w:ind w:firstLine="720"/>
      </w:pPr>
    </w:p>
  </w:footnote>
  <w:footnote w:id="8">
    <w:p w:rsidR="003D656A" w:rsidRDefault="003D656A" w:rsidP="00D87D7A">
      <w:pPr>
        <w:pStyle w:val="FootnoteText"/>
        <w:spacing w:after="0"/>
        <w:ind w:firstLine="720"/>
      </w:pPr>
      <w:r>
        <w:rPr>
          <w:rStyle w:val="FootnoteReference"/>
        </w:rPr>
        <w:footnoteRef/>
      </w:r>
      <w:r>
        <w:t xml:space="preserve">  </w:t>
      </w:r>
      <w:r>
        <w:tab/>
      </w:r>
      <w:r w:rsidR="004D351F">
        <w:t>Duquesne</w:t>
      </w:r>
      <w:r>
        <w:t xml:space="preserve"> Light Tariff Supplement No. 35 to Electric – PA PUC No. 24 at Rule 3.1(6)</w:t>
      </w:r>
      <w:r w:rsidR="00DC7D85">
        <w:t xml:space="preserve"> </w:t>
      </w:r>
      <w:r>
        <w:t xml:space="preserve">(effective April 21, 2011).  </w:t>
      </w:r>
      <w:r>
        <w:rPr>
          <w:i/>
        </w:rPr>
        <w:t>See also</w:t>
      </w:r>
      <w:r>
        <w:t xml:space="preserve"> 66 Pa.C.S. § 1403.</w:t>
      </w:r>
    </w:p>
    <w:p w:rsidR="00DC7D85" w:rsidRPr="003D656A" w:rsidRDefault="00DC7D85" w:rsidP="00D87D7A">
      <w:pPr>
        <w:pStyle w:val="FootnoteText"/>
        <w:spacing w:after="0"/>
        <w:ind w:firstLine="720"/>
      </w:pPr>
    </w:p>
  </w:footnote>
  <w:footnote w:id="9">
    <w:p w:rsidR="006739BF" w:rsidRDefault="006739BF" w:rsidP="00D87D7A">
      <w:pPr>
        <w:pStyle w:val="FootnoteText"/>
        <w:spacing w:after="0"/>
        <w:ind w:firstLine="720"/>
      </w:pPr>
      <w:r>
        <w:rPr>
          <w:rStyle w:val="FootnoteReference"/>
        </w:rPr>
        <w:footnoteRef/>
      </w:r>
      <w:r>
        <w:t xml:space="preserve">  </w:t>
      </w:r>
      <w:r>
        <w:tab/>
      </w:r>
      <w:r>
        <w:rPr>
          <w:i/>
        </w:rPr>
        <w:t xml:space="preserve">See </w:t>
      </w:r>
      <w:r>
        <w:t>52 Pa.Code § 56.283.</w:t>
      </w:r>
    </w:p>
    <w:p w:rsidR="00D87D7A" w:rsidRPr="006739BF" w:rsidRDefault="00D87D7A" w:rsidP="00D87D7A">
      <w:pPr>
        <w:pStyle w:val="FootnoteText"/>
        <w:spacing w:after="0"/>
        <w:ind w:firstLine="720"/>
      </w:pPr>
    </w:p>
  </w:footnote>
  <w:footnote w:id="10">
    <w:p w:rsidR="003764E3" w:rsidRDefault="003764E3" w:rsidP="00D87D7A">
      <w:pPr>
        <w:pStyle w:val="FootnoteText"/>
        <w:spacing w:after="0"/>
        <w:ind w:firstLine="720"/>
      </w:pPr>
      <w:r>
        <w:rPr>
          <w:rStyle w:val="FootnoteReference"/>
        </w:rPr>
        <w:footnoteRef/>
      </w:r>
      <w:r>
        <w:t xml:space="preserve">  </w:t>
      </w:r>
      <w:r>
        <w:tab/>
      </w:r>
      <w:proofErr w:type="gramStart"/>
      <w:r>
        <w:t>Duquesne Light Ex. 6 at ¶ 40.</w:t>
      </w:r>
      <w:proofErr w:type="gramEnd"/>
    </w:p>
    <w:p w:rsidR="00D87D7A" w:rsidRDefault="00D87D7A" w:rsidP="00D87D7A">
      <w:pPr>
        <w:pStyle w:val="FootnoteText"/>
        <w:spacing w:after="0"/>
        <w:ind w:firstLine="720"/>
      </w:pPr>
    </w:p>
  </w:footnote>
  <w:footnote w:id="11">
    <w:p w:rsidR="00DC1853" w:rsidRPr="00DC1853" w:rsidRDefault="00DC1853" w:rsidP="002F7719">
      <w:pPr>
        <w:pStyle w:val="FootnoteText"/>
        <w:ind w:firstLine="720"/>
      </w:pPr>
      <w:r>
        <w:rPr>
          <w:rStyle w:val="FootnoteReference"/>
        </w:rPr>
        <w:footnoteRef/>
      </w:r>
      <w:r>
        <w:t xml:space="preserve">  </w:t>
      </w:r>
      <w:r>
        <w:tab/>
      </w:r>
      <w:proofErr w:type="gramStart"/>
      <w:r>
        <w:rPr>
          <w:i/>
        </w:rPr>
        <w:t>Cf. Penny v. Equitable Gas Company</w:t>
      </w:r>
      <w:r w:rsidR="00D87D7A">
        <w:t>, PUC</w:t>
      </w:r>
      <w:r>
        <w:t xml:space="preserve"> Docket No.</w:t>
      </w:r>
      <w:proofErr w:type="gramEnd"/>
      <w:r>
        <w:t xml:space="preserve"> C-2012-2289787 (Initial Decision served November 6, 2012, Final Order entered December 7, 2012)</w:t>
      </w:r>
      <w:r w:rsidR="00D87D7A">
        <w:t xml:space="preserve"> (</w:t>
      </w:r>
      <w:r w:rsidR="00D87D7A" w:rsidRPr="00DC1853">
        <w:rPr>
          <w:szCs w:val="24"/>
        </w:rPr>
        <w:t>utility</w:t>
      </w:r>
      <w:r>
        <w:rPr>
          <w:szCs w:val="24"/>
        </w:rPr>
        <w:t xml:space="preserve"> had no basis to deny service to a landowner because she does not wish to evict her tenant who owed the utility money from the premises.)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B844926"/>
    <w:lvl w:ilvl="0">
      <w:start w:val="1"/>
      <w:numFmt w:val="decimal"/>
      <w:lvlText w:val="%1."/>
      <w:lvlJc w:val="left"/>
      <w:pPr>
        <w:tabs>
          <w:tab w:val="num" w:pos="1800"/>
        </w:tabs>
        <w:ind w:left="1800" w:hanging="360"/>
      </w:pPr>
    </w:lvl>
  </w:abstractNum>
  <w:abstractNum w:abstractNumId="1">
    <w:nsid w:val="FFFFFF7D"/>
    <w:multiLevelType w:val="singleLevel"/>
    <w:tmpl w:val="30F0BB10"/>
    <w:lvl w:ilvl="0">
      <w:start w:val="1"/>
      <w:numFmt w:val="decimal"/>
      <w:lvlText w:val="%1."/>
      <w:lvlJc w:val="left"/>
      <w:pPr>
        <w:tabs>
          <w:tab w:val="num" w:pos="1440"/>
        </w:tabs>
        <w:ind w:left="1440" w:hanging="360"/>
      </w:pPr>
    </w:lvl>
  </w:abstractNum>
  <w:abstractNum w:abstractNumId="2">
    <w:nsid w:val="FFFFFF7E"/>
    <w:multiLevelType w:val="singleLevel"/>
    <w:tmpl w:val="8482FD5A"/>
    <w:lvl w:ilvl="0">
      <w:start w:val="1"/>
      <w:numFmt w:val="decimal"/>
      <w:lvlText w:val="%1."/>
      <w:lvlJc w:val="left"/>
      <w:pPr>
        <w:tabs>
          <w:tab w:val="num" w:pos="1080"/>
        </w:tabs>
        <w:ind w:left="1080" w:hanging="360"/>
      </w:pPr>
    </w:lvl>
  </w:abstractNum>
  <w:abstractNum w:abstractNumId="3">
    <w:nsid w:val="FFFFFF7F"/>
    <w:multiLevelType w:val="singleLevel"/>
    <w:tmpl w:val="178819F6"/>
    <w:lvl w:ilvl="0">
      <w:start w:val="1"/>
      <w:numFmt w:val="decimal"/>
      <w:lvlText w:val="%1."/>
      <w:lvlJc w:val="left"/>
      <w:pPr>
        <w:tabs>
          <w:tab w:val="num" w:pos="720"/>
        </w:tabs>
        <w:ind w:left="720" w:hanging="360"/>
      </w:pPr>
    </w:lvl>
  </w:abstractNum>
  <w:abstractNum w:abstractNumId="4">
    <w:nsid w:val="FFFFFF80"/>
    <w:multiLevelType w:val="singleLevel"/>
    <w:tmpl w:val="96FA8A1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D04C94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240EF1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84EE48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04E9A3A"/>
    <w:lvl w:ilvl="0">
      <w:start w:val="1"/>
      <w:numFmt w:val="decimal"/>
      <w:lvlText w:val="%1."/>
      <w:lvlJc w:val="left"/>
      <w:pPr>
        <w:tabs>
          <w:tab w:val="num" w:pos="360"/>
        </w:tabs>
        <w:ind w:left="360" w:hanging="360"/>
      </w:pPr>
    </w:lvl>
  </w:abstractNum>
  <w:abstractNum w:abstractNumId="9">
    <w:nsid w:val="FFFFFF89"/>
    <w:multiLevelType w:val="singleLevel"/>
    <w:tmpl w:val="00BC9028"/>
    <w:lvl w:ilvl="0">
      <w:start w:val="1"/>
      <w:numFmt w:val="bullet"/>
      <w:lvlText w:val=""/>
      <w:lvlJc w:val="left"/>
      <w:pPr>
        <w:tabs>
          <w:tab w:val="num" w:pos="360"/>
        </w:tabs>
        <w:ind w:left="360" w:hanging="360"/>
      </w:pPr>
      <w:rPr>
        <w:rFonts w:ascii="Symbol" w:hAnsi="Symbol" w:hint="default"/>
      </w:rPr>
    </w:lvl>
  </w:abstractNum>
  <w:abstractNum w:abstractNumId="10">
    <w:nsid w:val="243425B8"/>
    <w:multiLevelType w:val="hybridMultilevel"/>
    <w:tmpl w:val="B4AC9A52"/>
    <w:lvl w:ilvl="0" w:tplc="A982804A">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4"/>
  </w:num>
  <w:num w:numId="2">
    <w:abstractNumId w:val="12"/>
  </w:num>
  <w:num w:numId="3">
    <w:abstractNumId w:val="13"/>
  </w:num>
  <w:num w:numId="4">
    <w:abstractNumId w:val="15"/>
  </w:num>
  <w:num w:numId="5">
    <w:abstractNumId w:val="11"/>
  </w:num>
  <w:num w:numId="6">
    <w:abstractNumId w:val="10"/>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DC5"/>
    <w:rsid w:val="00004C37"/>
    <w:rsid w:val="00012A94"/>
    <w:rsid w:val="0001653E"/>
    <w:rsid w:val="00021CE6"/>
    <w:rsid w:val="00061527"/>
    <w:rsid w:val="00097085"/>
    <w:rsid w:val="000D182E"/>
    <w:rsid w:val="00186892"/>
    <w:rsid w:val="001B1CBA"/>
    <w:rsid w:val="001C277D"/>
    <w:rsid w:val="001F3A7B"/>
    <w:rsid w:val="001F6286"/>
    <w:rsid w:val="00213167"/>
    <w:rsid w:val="002811FA"/>
    <w:rsid w:val="002C287F"/>
    <w:rsid w:val="002F7719"/>
    <w:rsid w:val="00311581"/>
    <w:rsid w:val="00335129"/>
    <w:rsid w:val="003764E3"/>
    <w:rsid w:val="00384C9C"/>
    <w:rsid w:val="00393C92"/>
    <w:rsid w:val="003A2CD1"/>
    <w:rsid w:val="003B7172"/>
    <w:rsid w:val="003D656A"/>
    <w:rsid w:val="003E3268"/>
    <w:rsid w:val="00434EAE"/>
    <w:rsid w:val="004B1156"/>
    <w:rsid w:val="004D351F"/>
    <w:rsid w:val="004D523C"/>
    <w:rsid w:val="0053548F"/>
    <w:rsid w:val="00551DF2"/>
    <w:rsid w:val="00567047"/>
    <w:rsid w:val="00585858"/>
    <w:rsid w:val="005D0613"/>
    <w:rsid w:val="005E5274"/>
    <w:rsid w:val="0061049A"/>
    <w:rsid w:val="0061775F"/>
    <w:rsid w:val="00631ECA"/>
    <w:rsid w:val="006566A4"/>
    <w:rsid w:val="00661D45"/>
    <w:rsid w:val="006739BF"/>
    <w:rsid w:val="006A34E1"/>
    <w:rsid w:val="006D4815"/>
    <w:rsid w:val="006E7184"/>
    <w:rsid w:val="00751342"/>
    <w:rsid w:val="00792796"/>
    <w:rsid w:val="007A6ACC"/>
    <w:rsid w:val="007E6779"/>
    <w:rsid w:val="007F1217"/>
    <w:rsid w:val="008529D2"/>
    <w:rsid w:val="00862F12"/>
    <w:rsid w:val="009144E8"/>
    <w:rsid w:val="00916690"/>
    <w:rsid w:val="009740D4"/>
    <w:rsid w:val="00995A6D"/>
    <w:rsid w:val="009B6DC7"/>
    <w:rsid w:val="009C5C83"/>
    <w:rsid w:val="009E241E"/>
    <w:rsid w:val="00A51A0A"/>
    <w:rsid w:val="00A75538"/>
    <w:rsid w:val="00A809AA"/>
    <w:rsid w:val="00AA2EC5"/>
    <w:rsid w:val="00AB4C73"/>
    <w:rsid w:val="00AC4487"/>
    <w:rsid w:val="00AE6F47"/>
    <w:rsid w:val="00B84F6F"/>
    <w:rsid w:val="00BC03E6"/>
    <w:rsid w:val="00BC13F5"/>
    <w:rsid w:val="00BE1CE4"/>
    <w:rsid w:val="00C36DA4"/>
    <w:rsid w:val="00C534BA"/>
    <w:rsid w:val="00C923DC"/>
    <w:rsid w:val="00CE60AE"/>
    <w:rsid w:val="00D74070"/>
    <w:rsid w:val="00D80B49"/>
    <w:rsid w:val="00D87D7A"/>
    <w:rsid w:val="00DA0DC5"/>
    <w:rsid w:val="00DC1853"/>
    <w:rsid w:val="00DC7D85"/>
    <w:rsid w:val="00DD1641"/>
    <w:rsid w:val="00DD5C37"/>
    <w:rsid w:val="00E13D4C"/>
    <w:rsid w:val="00E3347D"/>
    <w:rsid w:val="00E47B8B"/>
    <w:rsid w:val="00E56973"/>
    <w:rsid w:val="00E85A4E"/>
    <w:rsid w:val="00E90EEC"/>
    <w:rsid w:val="00E94813"/>
    <w:rsid w:val="00EC1CBA"/>
    <w:rsid w:val="00F111C1"/>
    <w:rsid w:val="00F544E1"/>
    <w:rsid w:val="00F63AEE"/>
    <w:rsid w:val="00F85270"/>
    <w:rsid w:val="00FA4806"/>
    <w:rsid w:val="00FE2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EC5"/>
    <w:pPr>
      <w:tabs>
        <w:tab w:val="left" w:pos="1440"/>
      </w:tabs>
      <w:spacing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F111C1"/>
    <w:pPr>
      <w:numPr>
        <w:numId w:val="6"/>
      </w:numPr>
      <w:ind w:left="0" w:firstLine="720"/>
    </w:pPr>
  </w:style>
  <w:style w:type="paragraph" w:styleId="FootnoteText">
    <w:name w:val="footnote text"/>
    <w:aliases w:val="Car,fn,ALTS FOOTNOTE,Footnote Text 2,Footnote text,FOOTNOTE,fn Char Char,fn Char,Footnote Text Char1 Char,Footnote Text Char Char Char,ALTS FOOTNOTE Char Char Char,Footnote Text Char2 Char Char Char"/>
    <w:link w:val="FootnoteTextChar"/>
    <w:unhideWhenUsed/>
    <w:qFormat/>
    <w:rsid w:val="007E6779"/>
    <w:pPr>
      <w:spacing w:after="120" w:line="240" w:lineRule="auto"/>
    </w:pPr>
    <w:rPr>
      <w:rFonts w:ascii="Times New Roman" w:hAnsi="Times New Roman" w:cs="Times New Roman"/>
      <w:sz w:val="20"/>
      <w:szCs w:val="20"/>
    </w:rPr>
  </w:style>
  <w:style w:type="character" w:customStyle="1" w:styleId="FootnoteTextChar">
    <w:name w:val="Footnote Text Char"/>
    <w:aliases w:val="Car Char,fn Char1,ALTS FOOTNOTE Char,Footnote Text 2 Char,Footnote text Char,FOOTNOTE Char,fn Char Char Char,fn Char Char1,Footnote Text Char1 Char Char,Footnote Text Char Char Char Char,ALTS FOOTNOTE Char Char Char Char"/>
    <w:basedOn w:val="DefaultParagraphFont"/>
    <w:link w:val="FootnoteText"/>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after="0" w:line="240" w:lineRule="auto"/>
    </w:pPr>
    <w:rPr>
      <w:rFonts w:asciiTheme="majorHAnsi" w:eastAsiaTheme="majorEastAsia" w:hAnsiTheme="majorHAnsi" w:cstheme="majorBidi"/>
      <w:sz w:val="20"/>
    </w:rPr>
  </w:style>
  <w:style w:type="paragraph" w:styleId="Title">
    <w:name w:val="Title"/>
    <w:basedOn w:val="Normal"/>
    <w:link w:val="TitleChar"/>
    <w:qFormat/>
    <w:rsid w:val="00DA0DC5"/>
    <w:pPr>
      <w:tabs>
        <w:tab w:val="clear" w:pos="1440"/>
        <w:tab w:val="left" w:pos="360"/>
      </w:tabs>
      <w:spacing w:after="0" w:line="233" w:lineRule="auto"/>
      <w:jc w:val="center"/>
    </w:pPr>
    <w:rPr>
      <w:b/>
    </w:rPr>
  </w:style>
  <w:style w:type="character" w:customStyle="1" w:styleId="TitleChar">
    <w:name w:val="Title Char"/>
    <w:basedOn w:val="DefaultParagraphFont"/>
    <w:link w:val="Title"/>
    <w:rsid w:val="00DA0DC5"/>
    <w:rPr>
      <w:rFonts w:ascii="Times New Roman" w:hAnsi="Times New Roman" w:cs="Times New Roman"/>
      <w:b/>
      <w:sz w:val="24"/>
      <w:szCs w:val="20"/>
    </w:rPr>
  </w:style>
  <w:style w:type="paragraph" w:styleId="Header">
    <w:name w:val="header"/>
    <w:basedOn w:val="Normal"/>
    <w:link w:val="HeaderChar"/>
    <w:uiPriority w:val="99"/>
    <w:unhideWhenUsed/>
    <w:rsid w:val="007F1217"/>
    <w:pPr>
      <w:tabs>
        <w:tab w:val="clear" w:pos="1440"/>
        <w:tab w:val="center" w:pos="4680"/>
        <w:tab w:val="right" w:pos="9360"/>
      </w:tabs>
      <w:spacing w:after="0" w:line="240" w:lineRule="auto"/>
    </w:pPr>
  </w:style>
  <w:style w:type="character" w:customStyle="1" w:styleId="HeaderChar">
    <w:name w:val="Header Char"/>
    <w:basedOn w:val="DefaultParagraphFont"/>
    <w:link w:val="Header"/>
    <w:uiPriority w:val="99"/>
    <w:rsid w:val="007F1217"/>
    <w:rPr>
      <w:rFonts w:ascii="Times New Roman" w:hAnsi="Times New Roman" w:cs="Times New Roman"/>
      <w:sz w:val="24"/>
      <w:szCs w:val="20"/>
    </w:rPr>
  </w:style>
  <w:style w:type="paragraph" w:styleId="Footer">
    <w:name w:val="footer"/>
    <w:basedOn w:val="Normal"/>
    <w:link w:val="FooterChar"/>
    <w:uiPriority w:val="99"/>
    <w:unhideWhenUsed/>
    <w:rsid w:val="007F1217"/>
    <w:pPr>
      <w:tabs>
        <w:tab w:val="clear" w:pos="1440"/>
        <w:tab w:val="center" w:pos="4680"/>
        <w:tab w:val="right" w:pos="9360"/>
      </w:tabs>
      <w:spacing w:after="0" w:line="240" w:lineRule="auto"/>
    </w:pPr>
  </w:style>
  <w:style w:type="character" w:customStyle="1" w:styleId="FooterChar">
    <w:name w:val="Footer Char"/>
    <w:basedOn w:val="DefaultParagraphFont"/>
    <w:link w:val="Footer"/>
    <w:uiPriority w:val="99"/>
    <w:rsid w:val="007F1217"/>
    <w:rPr>
      <w:rFonts w:ascii="Times New Roman" w:hAnsi="Times New Roman" w:cs="Times New Roman"/>
      <w:sz w:val="24"/>
      <w:szCs w:val="20"/>
    </w:rPr>
  </w:style>
  <w:style w:type="character" w:styleId="FootnoteReference">
    <w:name w:val="footnote reference"/>
    <w:aliases w:val="o,fr"/>
    <w:basedOn w:val="DefaultParagraphFont"/>
    <w:uiPriority w:val="99"/>
    <w:unhideWhenUsed/>
    <w:rsid w:val="00E13D4C"/>
    <w:rPr>
      <w:rFonts w:ascii="Times New Roman" w:hAnsi="Times New Roman" w:cs="Times New Roman" w:hint="default"/>
      <w:vertAlign w:val="superscript"/>
    </w:rPr>
  </w:style>
  <w:style w:type="paragraph" w:styleId="BalloonText">
    <w:name w:val="Balloon Text"/>
    <w:basedOn w:val="Normal"/>
    <w:link w:val="BalloonTextChar"/>
    <w:uiPriority w:val="99"/>
    <w:semiHidden/>
    <w:unhideWhenUsed/>
    <w:rsid w:val="002C28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8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EC5"/>
    <w:pPr>
      <w:tabs>
        <w:tab w:val="left" w:pos="1440"/>
      </w:tabs>
      <w:spacing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F111C1"/>
    <w:pPr>
      <w:numPr>
        <w:numId w:val="6"/>
      </w:numPr>
      <w:ind w:left="0" w:firstLine="720"/>
    </w:pPr>
  </w:style>
  <w:style w:type="paragraph" w:styleId="FootnoteText">
    <w:name w:val="footnote text"/>
    <w:aliases w:val="Car,fn,ALTS FOOTNOTE,Footnote Text 2,Footnote text,FOOTNOTE,fn Char Char,fn Char,Footnote Text Char1 Char,Footnote Text Char Char Char,ALTS FOOTNOTE Char Char Char,Footnote Text Char2 Char Char Char"/>
    <w:link w:val="FootnoteTextChar"/>
    <w:unhideWhenUsed/>
    <w:qFormat/>
    <w:rsid w:val="007E6779"/>
    <w:pPr>
      <w:spacing w:after="120" w:line="240" w:lineRule="auto"/>
    </w:pPr>
    <w:rPr>
      <w:rFonts w:ascii="Times New Roman" w:hAnsi="Times New Roman" w:cs="Times New Roman"/>
      <w:sz w:val="20"/>
      <w:szCs w:val="20"/>
    </w:rPr>
  </w:style>
  <w:style w:type="character" w:customStyle="1" w:styleId="FootnoteTextChar">
    <w:name w:val="Footnote Text Char"/>
    <w:aliases w:val="Car Char,fn Char1,ALTS FOOTNOTE Char,Footnote Text 2 Char,Footnote text Char,FOOTNOTE Char,fn Char Char Char,fn Char Char1,Footnote Text Char1 Char Char,Footnote Text Char Char Char Char,ALTS FOOTNOTE Char Char Char Char"/>
    <w:basedOn w:val="DefaultParagraphFont"/>
    <w:link w:val="FootnoteText"/>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after="0" w:line="240" w:lineRule="auto"/>
    </w:pPr>
    <w:rPr>
      <w:rFonts w:asciiTheme="majorHAnsi" w:eastAsiaTheme="majorEastAsia" w:hAnsiTheme="majorHAnsi" w:cstheme="majorBidi"/>
      <w:sz w:val="20"/>
    </w:rPr>
  </w:style>
  <w:style w:type="paragraph" w:styleId="Title">
    <w:name w:val="Title"/>
    <w:basedOn w:val="Normal"/>
    <w:link w:val="TitleChar"/>
    <w:qFormat/>
    <w:rsid w:val="00DA0DC5"/>
    <w:pPr>
      <w:tabs>
        <w:tab w:val="clear" w:pos="1440"/>
        <w:tab w:val="left" w:pos="360"/>
      </w:tabs>
      <w:spacing w:after="0" w:line="233" w:lineRule="auto"/>
      <w:jc w:val="center"/>
    </w:pPr>
    <w:rPr>
      <w:b/>
    </w:rPr>
  </w:style>
  <w:style w:type="character" w:customStyle="1" w:styleId="TitleChar">
    <w:name w:val="Title Char"/>
    <w:basedOn w:val="DefaultParagraphFont"/>
    <w:link w:val="Title"/>
    <w:rsid w:val="00DA0DC5"/>
    <w:rPr>
      <w:rFonts w:ascii="Times New Roman" w:hAnsi="Times New Roman" w:cs="Times New Roman"/>
      <w:b/>
      <w:sz w:val="24"/>
      <w:szCs w:val="20"/>
    </w:rPr>
  </w:style>
  <w:style w:type="paragraph" w:styleId="Header">
    <w:name w:val="header"/>
    <w:basedOn w:val="Normal"/>
    <w:link w:val="HeaderChar"/>
    <w:uiPriority w:val="99"/>
    <w:unhideWhenUsed/>
    <w:rsid w:val="007F1217"/>
    <w:pPr>
      <w:tabs>
        <w:tab w:val="clear" w:pos="1440"/>
        <w:tab w:val="center" w:pos="4680"/>
        <w:tab w:val="right" w:pos="9360"/>
      </w:tabs>
      <w:spacing w:after="0" w:line="240" w:lineRule="auto"/>
    </w:pPr>
  </w:style>
  <w:style w:type="character" w:customStyle="1" w:styleId="HeaderChar">
    <w:name w:val="Header Char"/>
    <w:basedOn w:val="DefaultParagraphFont"/>
    <w:link w:val="Header"/>
    <w:uiPriority w:val="99"/>
    <w:rsid w:val="007F1217"/>
    <w:rPr>
      <w:rFonts w:ascii="Times New Roman" w:hAnsi="Times New Roman" w:cs="Times New Roman"/>
      <w:sz w:val="24"/>
      <w:szCs w:val="20"/>
    </w:rPr>
  </w:style>
  <w:style w:type="paragraph" w:styleId="Footer">
    <w:name w:val="footer"/>
    <w:basedOn w:val="Normal"/>
    <w:link w:val="FooterChar"/>
    <w:uiPriority w:val="99"/>
    <w:unhideWhenUsed/>
    <w:rsid w:val="007F1217"/>
    <w:pPr>
      <w:tabs>
        <w:tab w:val="clear" w:pos="1440"/>
        <w:tab w:val="center" w:pos="4680"/>
        <w:tab w:val="right" w:pos="9360"/>
      </w:tabs>
      <w:spacing w:after="0" w:line="240" w:lineRule="auto"/>
    </w:pPr>
  </w:style>
  <w:style w:type="character" w:customStyle="1" w:styleId="FooterChar">
    <w:name w:val="Footer Char"/>
    <w:basedOn w:val="DefaultParagraphFont"/>
    <w:link w:val="Footer"/>
    <w:uiPriority w:val="99"/>
    <w:rsid w:val="007F1217"/>
    <w:rPr>
      <w:rFonts w:ascii="Times New Roman" w:hAnsi="Times New Roman" w:cs="Times New Roman"/>
      <w:sz w:val="24"/>
      <w:szCs w:val="20"/>
    </w:rPr>
  </w:style>
  <w:style w:type="character" w:styleId="FootnoteReference">
    <w:name w:val="footnote reference"/>
    <w:aliases w:val="o,fr"/>
    <w:basedOn w:val="DefaultParagraphFont"/>
    <w:uiPriority w:val="99"/>
    <w:unhideWhenUsed/>
    <w:rsid w:val="00E13D4C"/>
    <w:rPr>
      <w:rFonts w:ascii="Times New Roman" w:hAnsi="Times New Roman" w:cs="Times New Roman" w:hint="default"/>
      <w:vertAlign w:val="superscript"/>
    </w:rPr>
  </w:style>
  <w:style w:type="paragraph" w:styleId="BalloonText">
    <w:name w:val="Balloon Text"/>
    <w:basedOn w:val="Normal"/>
    <w:link w:val="BalloonTextChar"/>
    <w:uiPriority w:val="99"/>
    <w:semiHidden/>
    <w:unhideWhenUsed/>
    <w:rsid w:val="002C28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8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772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128042-5FEC-4FCB-9017-37E6AFB34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1422</Words>
  <Characters>8106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shoffner</cp:lastModifiedBy>
  <cp:revision>8</cp:revision>
  <cp:lastPrinted>2014-07-30T19:59:00Z</cp:lastPrinted>
  <dcterms:created xsi:type="dcterms:W3CDTF">2014-07-15T18:27:00Z</dcterms:created>
  <dcterms:modified xsi:type="dcterms:W3CDTF">2014-07-30T19:59:00Z</dcterms:modified>
</cp:coreProperties>
</file>