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0F6118" w:rsidP="00391BD5">
      <w:pPr>
        <w:tabs>
          <w:tab w:val="left" w:pos="-720"/>
        </w:tabs>
        <w:suppressAutoHyphens/>
      </w:pPr>
      <w:r w:rsidRPr="000F6118">
        <w:rPr>
          <w:sz w:val="24"/>
          <w:szCs w:val="24"/>
        </w:rPr>
        <w:t>Vincent Diodad</w:t>
      </w:r>
      <w:r w:rsidR="00526B2A">
        <w:tab/>
      </w:r>
      <w:r w:rsidR="00526B2A">
        <w:tab/>
      </w:r>
      <w:r w:rsidR="009A475D">
        <w:tab/>
      </w:r>
      <w:r w:rsidR="002E0985" w:rsidRPr="002E0985">
        <w:tab/>
      </w:r>
      <w:r w:rsidR="00391BD5">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391BD5">
        <w:rPr>
          <w:spacing w:val="-3"/>
          <w:sz w:val="24"/>
          <w:szCs w:val="20"/>
        </w:rPr>
        <w:tab/>
      </w:r>
      <w:r>
        <w:rPr>
          <w:spacing w:val="-3"/>
          <w:sz w:val="24"/>
          <w:szCs w:val="20"/>
        </w:rPr>
        <w:t xml:space="preserve">: </w:t>
      </w:r>
      <w:r>
        <w:rPr>
          <w:spacing w:val="-3"/>
          <w:sz w:val="24"/>
          <w:szCs w:val="20"/>
        </w:rPr>
        <w:tab/>
      </w:r>
      <w:r w:rsidR="00391BD5">
        <w:rPr>
          <w:spacing w:val="-3"/>
          <w:sz w:val="24"/>
          <w:szCs w:val="20"/>
        </w:rPr>
        <w:tab/>
      </w:r>
      <w:r w:rsidR="000D2CE8">
        <w:rPr>
          <w:spacing w:val="-3"/>
          <w:sz w:val="24"/>
          <w:szCs w:val="20"/>
        </w:rPr>
        <w:t>C-2014-2416521</w:t>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sidR="00391BD5">
        <w:rPr>
          <w:spacing w:val="-3"/>
          <w:sz w:val="24"/>
          <w:szCs w:val="20"/>
        </w:rPr>
        <w:tab/>
      </w:r>
      <w:r w:rsidR="00391BD5">
        <w:rPr>
          <w:spacing w:val="-3"/>
          <w:sz w:val="24"/>
          <w:szCs w:val="20"/>
        </w:rPr>
        <w:tab/>
      </w:r>
      <w:r w:rsidR="00391BD5">
        <w:rPr>
          <w:spacing w:val="-3"/>
          <w:sz w:val="24"/>
          <w:szCs w:val="20"/>
        </w:rPr>
        <w:tab/>
      </w:r>
      <w:r w:rsidRPr="002E0985">
        <w:rPr>
          <w:spacing w:val="-3"/>
          <w:sz w:val="24"/>
          <w:szCs w:val="20"/>
        </w:rPr>
        <w:t>:</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391BD5">
        <w:rPr>
          <w:spacing w:val="-3"/>
          <w:sz w:val="24"/>
          <w:szCs w:val="20"/>
        </w:rPr>
        <w:tab/>
      </w:r>
      <w:r>
        <w:rPr>
          <w:spacing w:val="-3"/>
          <w:sz w:val="24"/>
          <w:szCs w:val="20"/>
        </w:rPr>
        <w:t>:</w:t>
      </w:r>
    </w:p>
    <w:p w:rsidR="005E3007" w:rsidRDefault="000D2CE8" w:rsidP="00CE43B4">
      <w:pPr>
        <w:tabs>
          <w:tab w:val="left" w:pos="-720"/>
        </w:tabs>
        <w:suppressAutoHyphens/>
        <w:rPr>
          <w:spacing w:val="-3"/>
          <w:sz w:val="24"/>
          <w:szCs w:val="24"/>
        </w:rPr>
      </w:pPr>
      <w:r>
        <w:rPr>
          <w:spacing w:val="-3"/>
          <w:sz w:val="24"/>
          <w:szCs w:val="20"/>
        </w:rPr>
        <w:t>PECO Energy Company</w:t>
      </w:r>
      <w:r w:rsidR="00526B2A">
        <w:rPr>
          <w:spacing w:val="-3"/>
          <w:sz w:val="24"/>
          <w:szCs w:val="20"/>
        </w:rPr>
        <w:tab/>
      </w:r>
      <w:r w:rsidR="002E0985" w:rsidRPr="002E0985">
        <w:rPr>
          <w:spacing w:val="-3"/>
          <w:sz w:val="24"/>
          <w:szCs w:val="20"/>
        </w:rPr>
        <w:tab/>
      </w:r>
      <w:r w:rsidR="002E0985" w:rsidRPr="002E0985">
        <w:rPr>
          <w:spacing w:val="-3"/>
          <w:sz w:val="24"/>
          <w:szCs w:val="20"/>
        </w:rPr>
        <w:tab/>
      </w:r>
      <w:r w:rsidR="00391BD5">
        <w:rPr>
          <w:spacing w:val="-3"/>
          <w:sz w:val="24"/>
          <w:szCs w:val="20"/>
        </w:rPr>
        <w:tab/>
      </w:r>
      <w:r w:rsidR="002E0985" w:rsidRPr="002E0985">
        <w:rPr>
          <w:spacing w:val="-3"/>
          <w:sz w:val="24"/>
          <w:szCs w:val="20"/>
        </w:rPr>
        <w:t>:</w:t>
      </w:r>
      <w:r w:rsidR="005E3007">
        <w:rPr>
          <w:spacing w:val="-3"/>
          <w:sz w:val="24"/>
          <w:szCs w:val="24"/>
        </w:rPr>
        <w:tab/>
      </w:r>
      <w:bookmarkStart w:id="0" w:name="_GoBack"/>
      <w:bookmarkEnd w:id="0"/>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391BD5" w:rsidRPr="006A21C2" w:rsidRDefault="00391BD5"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7255F"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w:t>
      </w:r>
      <w:r w:rsidR="000D2CE8">
        <w:rPr>
          <w:sz w:val="24"/>
          <w:szCs w:val="24"/>
        </w:rPr>
        <w:t>April 10, 2014</w:t>
      </w:r>
      <w:r w:rsidR="007965B0" w:rsidRPr="007965B0">
        <w:rPr>
          <w:sz w:val="24"/>
          <w:szCs w:val="24"/>
        </w:rPr>
        <w:t xml:space="preserve">, </w:t>
      </w:r>
      <w:r w:rsidR="000D2CE8">
        <w:rPr>
          <w:sz w:val="24"/>
          <w:szCs w:val="24"/>
        </w:rPr>
        <w:t>Vincent Diodad</w:t>
      </w:r>
      <w:r w:rsidR="007965B0" w:rsidRPr="007965B0">
        <w:rPr>
          <w:sz w:val="24"/>
          <w:szCs w:val="24"/>
        </w:rPr>
        <w:t xml:space="preserve"> (Complainant) filed a Formal Complaint with the Pennsylvania Public Utility Commission against </w:t>
      </w:r>
      <w:r w:rsidR="000D2CE8">
        <w:rPr>
          <w:sz w:val="24"/>
          <w:szCs w:val="24"/>
        </w:rPr>
        <w:t>PECO Energy Company</w:t>
      </w:r>
      <w:r w:rsidR="00495B88">
        <w:rPr>
          <w:sz w:val="24"/>
          <w:szCs w:val="24"/>
        </w:rPr>
        <w:t xml:space="preserve"> (</w:t>
      </w:r>
      <w:r w:rsidR="007965B0" w:rsidRPr="007965B0">
        <w:rPr>
          <w:sz w:val="24"/>
          <w:szCs w:val="24"/>
        </w:rPr>
        <w:t xml:space="preserve">Respondent) alleging </w:t>
      </w:r>
      <w:r w:rsidR="000D2CE8">
        <w:rPr>
          <w:sz w:val="24"/>
          <w:szCs w:val="24"/>
        </w:rPr>
        <w:t xml:space="preserve">that he was being held responsible for a gas leak </w:t>
      </w:r>
      <w:r w:rsidR="00576EDE">
        <w:rPr>
          <w:sz w:val="24"/>
          <w:szCs w:val="24"/>
        </w:rPr>
        <w:t xml:space="preserve">that occurred </w:t>
      </w:r>
      <w:r w:rsidR="000D2CE8">
        <w:rPr>
          <w:sz w:val="24"/>
          <w:szCs w:val="24"/>
        </w:rPr>
        <w:t>while</w:t>
      </w:r>
      <w:r w:rsidR="00576EDE">
        <w:rPr>
          <w:sz w:val="24"/>
          <w:szCs w:val="24"/>
        </w:rPr>
        <w:t xml:space="preserve"> he was</w:t>
      </w:r>
      <w:r w:rsidR="000D2CE8">
        <w:rPr>
          <w:sz w:val="24"/>
          <w:szCs w:val="24"/>
        </w:rPr>
        <w:t xml:space="preserve"> replacing a mailbox</w:t>
      </w:r>
      <w:r w:rsidR="00495B88">
        <w:rPr>
          <w:sz w:val="24"/>
          <w:szCs w:val="24"/>
        </w:rPr>
        <w:t>.</w:t>
      </w:r>
      <w:r w:rsidR="000D2CE8">
        <w:rPr>
          <w:sz w:val="24"/>
          <w:szCs w:val="24"/>
        </w:rPr>
        <w:t xml:space="preserve">  He is asking not to be held responsible for the damage and leak.</w:t>
      </w:r>
      <w:r w:rsidR="007965B0" w:rsidRPr="007965B0">
        <w:rPr>
          <w:sz w:val="24"/>
          <w:szCs w:val="24"/>
        </w:rPr>
        <w:t xml:space="preserve">  </w:t>
      </w:r>
    </w:p>
    <w:p w:rsidR="0077255F" w:rsidRDefault="0077255F" w:rsidP="007965B0">
      <w:pPr>
        <w:tabs>
          <w:tab w:val="left" w:pos="-1440"/>
          <w:tab w:val="left" w:pos="-720"/>
        </w:tabs>
        <w:suppressAutoHyphens/>
        <w:spacing w:line="360" w:lineRule="auto"/>
        <w:ind w:firstLine="1440"/>
        <w:rPr>
          <w:sz w:val="24"/>
          <w:szCs w:val="24"/>
        </w:rPr>
      </w:pPr>
    </w:p>
    <w:p w:rsidR="007965B0" w:rsidRDefault="0042193A" w:rsidP="007965B0">
      <w:pPr>
        <w:tabs>
          <w:tab w:val="left" w:pos="-1440"/>
          <w:tab w:val="left" w:pos="-720"/>
        </w:tabs>
        <w:suppressAutoHyphens/>
        <w:spacing w:line="360" w:lineRule="auto"/>
        <w:ind w:firstLine="1440"/>
        <w:rPr>
          <w:spacing w:val="-3"/>
          <w:sz w:val="24"/>
          <w:szCs w:val="24"/>
        </w:rPr>
      </w:pPr>
      <w:r>
        <w:rPr>
          <w:sz w:val="24"/>
          <w:szCs w:val="24"/>
        </w:rPr>
        <w:t xml:space="preserve">On </w:t>
      </w:r>
      <w:r w:rsidR="000D2CE8">
        <w:rPr>
          <w:sz w:val="24"/>
          <w:szCs w:val="24"/>
        </w:rPr>
        <w:t>April 29, 2014</w:t>
      </w:r>
      <w:r>
        <w:rPr>
          <w:sz w:val="24"/>
          <w:szCs w:val="24"/>
        </w:rPr>
        <w:t xml:space="preserve">, the </w:t>
      </w:r>
      <w:r w:rsidR="007965B0" w:rsidRPr="007965B0">
        <w:rPr>
          <w:sz w:val="24"/>
          <w:szCs w:val="24"/>
        </w:rPr>
        <w:t xml:space="preserve">Respondent filed an </w:t>
      </w:r>
      <w:r w:rsidR="007965B0" w:rsidRPr="007965B0">
        <w:rPr>
          <w:spacing w:val="-3"/>
          <w:sz w:val="24"/>
          <w:szCs w:val="24"/>
        </w:rPr>
        <w:t>Answer</w:t>
      </w:r>
      <w:r w:rsidR="000D2CE8">
        <w:rPr>
          <w:spacing w:val="-3"/>
          <w:sz w:val="24"/>
          <w:szCs w:val="24"/>
        </w:rPr>
        <w:t xml:space="preserve"> denying the material allegation in the Formal Complaint.  The Respondent affirms that the Complainant is responsible for the damage and leak.</w:t>
      </w:r>
    </w:p>
    <w:p w:rsidR="00003ED9" w:rsidRDefault="00003ED9" w:rsidP="00003ED9">
      <w:pPr>
        <w:tabs>
          <w:tab w:val="left" w:pos="2160"/>
        </w:tabs>
        <w:spacing w:line="360" w:lineRule="auto"/>
        <w:ind w:firstLine="1440"/>
        <w:rPr>
          <w:sz w:val="24"/>
          <w:szCs w:val="24"/>
        </w:rPr>
      </w:pPr>
    </w:p>
    <w:p w:rsidR="00003ED9" w:rsidRPr="00003ED9" w:rsidRDefault="00003ED9" w:rsidP="00003ED9">
      <w:pPr>
        <w:tabs>
          <w:tab w:val="left" w:pos="2160"/>
        </w:tabs>
        <w:spacing w:line="360" w:lineRule="auto"/>
        <w:ind w:firstLine="1440"/>
        <w:rPr>
          <w:sz w:val="24"/>
          <w:szCs w:val="24"/>
        </w:rPr>
      </w:pPr>
      <w:r w:rsidRPr="00003ED9">
        <w:rPr>
          <w:sz w:val="24"/>
          <w:szCs w:val="24"/>
        </w:rPr>
        <w:t xml:space="preserve">By Hearing Notice dated </w:t>
      </w:r>
      <w:r w:rsidR="000D2CE8">
        <w:rPr>
          <w:sz w:val="24"/>
          <w:szCs w:val="24"/>
        </w:rPr>
        <w:t>May 6, 2014</w:t>
      </w:r>
      <w:r w:rsidRPr="00003ED9">
        <w:rPr>
          <w:sz w:val="24"/>
          <w:szCs w:val="24"/>
        </w:rPr>
        <w:t xml:space="preserve">, the parties were notified that a </w:t>
      </w:r>
      <w:r w:rsidR="000D2CE8">
        <w:rPr>
          <w:sz w:val="24"/>
          <w:szCs w:val="24"/>
        </w:rPr>
        <w:t>Telephonic</w:t>
      </w:r>
      <w:r w:rsidRPr="00003ED9">
        <w:rPr>
          <w:sz w:val="24"/>
          <w:szCs w:val="24"/>
        </w:rPr>
        <w:t xml:space="preserve"> Hearing in this case was scheduled for the morning of </w:t>
      </w:r>
      <w:r w:rsidR="000D2CE8">
        <w:rPr>
          <w:sz w:val="24"/>
          <w:szCs w:val="24"/>
        </w:rPr>
        <w:t>June 19, 2014</w:t>
      </w:r>
      <w:r w:rsidRPr="00003ED9">
        <w:rPr>
          <w:sz w:val="24"/>
          <w:szCs w:val="24"/>
        </w:rPr>
        <w:t xml:space="preserve">.  A Prehearing Order was issued on </w:t>
      </w:r>
      <w:r w:rsidR="000D2CE8">
        <w:rPr>
          <w:sz w:val="24"/>
          <w:szCs w:val="24"/>
        </w:rPr>
        <w:t>May 12, 2014</w:t>
      </w:r>
      <w:r w:rsidRPr="00003ED9">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003ED9" w:rsidRPr="00003ED9" w:rsidRDefault="00003ED9" w:rsidP="00003ED9">
      <w:pPr>
        <w:spacing w:line="360" w:lineRule="auto"/>
        <w:ind w:firstLine="1440"/>
        <w:rPr>
          <w:sz w:val="24"/>
          <w:szCs w:val="24"/>
        </w:rPr>
      </w:pPr>
    </w:p>
    <w:p w:rsidR="000D2CE8" w:rsidRDefault="00003ED9" w:rsidP="00003ED9">
      <w:pPr>
        <w:tabs>
          <w:tab w:val="left" w:pos="-1440"/>
          <w:tab w:val="left" w:pos="-720"/>
        </w:tabs>
        <w:suppressAutoHyphens/>
        <w:spacing w:line="360" w:lineRule="auto"/>
        <w:ind w:firstLine="1440"/>
        <w:rPr>
          <w:sz w:val="24"/>
          <w:szCs w:val="24"/>
        </w:rPr>
      </w:pPr>
      <w:r w:rsidRPr="00003ED9">
        <w:rPr>
          <w:sz w:val="24"/>
          <w:szCs w:val="24"/>
        </w:rPr>
        <w:lastRenderedPageBreak/>
        <w:t>The hearing convened as scheduled.</w:t>
      </w:r>
      <w:r w:rsidR="000D2CE8">
        <w:rPr>
          <w:sz w:val="24"/>
          <w:szCs w:val="24"/>
        </w:rPr>
        <w:t xml:space="preserve">  The Complainant appeared on his own behalf.  The Respondent was represented by counsel.  The Respondent had two witnesses present and </w:t>
      </w:r>
      <w:r w:rsidR="00FC4D6F">
        <w:rPr>
          <w:sz w:val="24"/>
          <w:szCs w:val="24"/>
        </w:rPr>
        <w:t xml:space="preserve">was </w:t>
      </w:r>
      <w:r w:rsidR="000D2CE8">
        <w:rPr>
          <w:sz w:val="24"/>
          <w:szCs w:val="24"/>
        </w:rPr>
        <w:t>prepared to proceed with the telephonic hearing.</w:t>
      </w:r>
    </w:p>
    <w:p w:rsidR="00DD0C69" w:rsidRDefault="00DD0C69" w:rsidP="00003ED9">
      <w:pPr>
        <w:tabs>
          <w:tab w:val="left" w:pos="-1440"/>
          <w:tab w:val="left" w:pos="-720"/>
        </w:tabs>
        <w:suppressAutoHyphens/>
        <w:spacing w:line="360" w:lineRule="auto"/>
        <w:ind w:firstLine="1440"/>
        <w:rPr>
          <w:sz w:val="24"/>
          <w:szCs w:val="24"/>
        </w:rPr>
      </w:pPr>
    </w:p>
    <w:p w:rsidR="00DD0C69" w:rsidRDefault="00DD0C69" w:rsidP="00003ED9">
      <w:pPr>
        <w:tabs>
          <w:tab w:val="left" w:pos="-1440"/>
          <w:tab w:val="left" w:pos="-720"/>
        </w:tabs>
        <w:suppressAutoHyphens/>
        <w:spacing w:line="360" w:lineRule="auto"/>
        <w:ind w:firstLine="1440"/>
        <w:rPr>
          <w:sz w:val="24"/>
          <w:szCs w:val="24"/>
        </w:rPr>
      </w:pPr>
      <w:r>
        <w:rPr>
          <w:sz w:val="24"/>
          <w:szCs w:val="24"/>
        </w:rPr>
        <w:t xml:space="preserve">As soon as the hearing began, the Complainant expressed annoyance and indicated that he was driving and did not have the time for the hearing.  I reminded the Complainant that it was his hearing and that he had notice of the hearing </w:t>
      </w:r>
      <w:r w:rsidR="00825A71">
        <w:rPr>
          <w:sz w:val="24"/>
          <w:szCs w:val="24"/>
        </w:rPr>
        <w:t>for some time</w:t>
      </w:r>
      <w:r>
        <w:rPr>
          <w:sz w:val="24"/>
          <w:szCs w:val="24"/>
        </w:rPr>
        <w:t>.  The Complainant became abusive and hung up.</w:t>
      </w:r>
      <w:r w:rsidR="00DB50CF">
        <w:rPr>
          <w:sz w:val="24"/>
          <w:szCs w:val="24"/>
        </w:rPr>
        <w:t xml:space="preserve">  </w:t>
      </w:r>
      <w:r w:rsidR="00825A71">
        <w:rPr>
          <w:sz w:val="24"/>
          <w:szCs w:val="24"/>
        </w:rPr>
        <w:t xml:space="preserve">(The transcript is not particularly reflective of the high emotion exhibited by the Complainant.)  </w:t>
      </w:r>
      <w:r w:rsidR="00DB50CF">
        <w:rPr>
          <w:sz w:val="24"/>
          <w:szCs w:val="24"/>
        </w:rPr>
        <w:t xml:space="preserve">The Respondent made a motion for dismissal and followed up with a written copy of its motion </w:t>
      </w:r>
      <w:r w:rsidR="00FC4D6F">
        <w:rPr>
          <w:sz w:val="24"/>
          <w:szCs w:val="24"/>
        </w:rPr>
        <w:t xml:space="preserve">requesting </w:t>
      </w:r>
      <w:r w:rsidR="00DB50CF">
        <w:rPr>
          <w:sz w:val="24"/>
          <w:szCs w:val="24"/>
        </w:rPr>
        <w:t>dismiss</w:t>
      </w:r>
      <w:r w:rsidR="00FC4D6F">
        <w:rPr>
          <w:sz w:val="24"/>
          <w:szCs w:val="24"/>
        </w:rPr>
        <w:t>al</w:t>
      </w:r>
      <w:r w:rsidR="00DB50CF">
        <w:rPr>
          <w:sz w:val="24"/>
          <w:szCs w:val="24"/>
        </w:rPr>
        <w:t xml:space="preserve"> with prejudice.</w:t>
      </w:r>
    </w:p>
    <w:p w:rsidR="00DD0C69" w:rsidRDefault="00DD0C69" w:rsidP="00003ED9">
      <w:pPr>
        <w:tabs>
          <w:tab w:val="left" w:pos="-1440"/>
          <w:tab w:val="left" w:pos="-720"/>
        </w:tabs>
        <w:suppressAutoHyphens/>
        <w:spacing w:line="360" w:lineRule="auto"/>
        <w:ind w:firstLine="1440"/>
        <w:rPr>
          <w:sz w:val="24"/>
          <w:szCs w:val="24"/>
        </w:rPr>
      </w:pPr>
    </w:p>
    <w:p w:rsidR="00DB50CF" w:rsidRDefault="00825A71" w:rsidP="00003ED9">
      <w:pPr>
        <w:tabs>
          <w:tab w:val="left" w:pos="-1440"/>
          <w:tab w:val="left" w:pos="-720"/>
        </w:tabs>
        <w:suppressAutoHyphens/>
        <w:spacing w:line="360" w:lineRule="auto"/>
        <w:ind w:firstLine="1440"/>
        <w:rPr>
          <w:sz w:val="24"/>
          <w:szCs w:val="24"/>
        </w:rPr>
      </w:pPr>
      <w:r>
        <w:rPr>
          <w:sz w:val="24"/>
          <w:szCs w:val="24"/>
        </w:rPr>
        <w:t>A transcript of six (6)</w:t>
      </w:r>
      <w:r w:rsidR="00576EDE">
        <w:rPr>
          <w:sz w:val="24"/>
          <w:szCs w:val="24"/>
        </w:rPr>
        <w:t xml:space="preserve"> pages was prepared.  The r</w:t>
      </w:r>
      <w:r w:rsidR="00DD0C69">
        <w:rPr>
          <w:sz w:val="24"/>
          <w:szCs w:val="24"/>
        </w:rPr>
        <w:t>ecord closed on</w:t>
      </w:r>
      <w:r>
        <w:rPr>
          <w:sz w:val="24"/>
          <w:szCs w:val="24"/>
        </w:rPr>
        <w:t xml:space="preserve"> July 8, 2014, </w:t>
      </w:r>
      <w:r w:rsidR="00DD0C69">
        <w:rPr>
          <w:sz w:val="24"/>
          <w:szCs w:val="24"/>
        </w:rPr>
        <w:t>with receipt of the transcript.  This matter is ripe for disposition.</w:t>
      </w:r>
    </w:p>
    <w:p w:rsidR="00003ED9" w:rsidRPr="007965B0" w:rsidRDefault="000D2CE8" w:rsidP="00003ED9">
      <w:pPr>
        <w:tabs>
          <w:tab w:val="left" w:pos="-1440"/>
          <w:tab w:val="left" w:pos="-720"/>
        </w:tabs>
        <w:suppressAutoHyphens/>
        <w:spacing w:line="360" w:lineRule="auto"/>
        <w:ind w:firstLine="1440"/>
        <w:rPr>
          <w:sz w:val="24"/>
          <w:szCs w:val="24"/>
        </w:rPr>
      </w:pPr>
      <w:r>
        <w:rPr>
          <w:sz w:val="24"/>
          <w:szCs w:val="24"/>
        </w:rPr>
        <w:t xml:space="preserve"> </w:t>
      </w:r>
    </w:p>
    <w:p w:rsidR="00223E7E" w:rsidRDefault="00A7050E" w:rsidP="00A7050E">
      <w:pPr>
        <w:spacing w:line="360" w:lineRule="auto"/>
        <w:jc w:val="center"/>
        <w:rPr>
          <w:sz w:val="24"/>
          <w:szCs w:val="24"/>
          <w:u w:val="single"/>
        </w:rPr>
      </w:pPr>
      <w:r w:rsidRPr="00A7050E">
        <w:rPr>
          <w:sz w:val="24"/>
          <w:szCs w:val="24"/>
          <w:u w:val="single"/>
        </w:rPr>
        <w:t>FINDINGS OF FACT</w:t>
      </w:r>
    </w:p>
    <w:p w:rsidR="0077255F" w:rsidRDefault="0077255F" w:rsidP="0077255F">
      <w:pPr>
        <w:spacing w:line="360" w:lineRule="auto"/>
        <w:rPr>
          <w:sz w:val="24"/>
          <w:szCs w:val="24"/>
          <w:u w:val="single"/>
        </w:rPr>
      </w:pPr>
    </w:p>
    <w:p w:rsidR="0077255F" w:rsidRPr="00DB50CF" w:rsidRDefault="00DB50CF" w:rsidP="0077255F">
      <w:pPr>
        <w:pStyle w:val="ListParagraph"/>
        <w:numPr>
          <w:ilvl w:val="0"/>
          <w:numId w:val="22"/>
        </w:numPr>
        <w:spacing w:line="360" w:lineRule="auto"/>
        <w:ind w:left="0" w:firstLine="1440"/>
        <w:rPr>
          <w:sz w:val="24"/>
          <w:szCs w:val="24"/>
          <w:u w:val="single"/>
        </w:rPr>
      </w:pPr>
      <w:r>
        <w:rPr>
          <w:sz w:val="24"/>
          <w:szCs w:val="24"/>
        </w:rPr>
        <w:t>Complainant is Vincent Diodad, 4908 Bockboard Lane, Pipersville, Pennsylvania 18947.</w:t>
      </w:r>
    </w:p>
    <w:p w:rsidR="00DB50CF" w:rsidRPr="00DB50CF" w:rsidRDefault="00DB50CF" w:rsidP="00DB50CF">
      <w:pPr>
        <w:pStyle w:val="ListParagraph"/>
        <w:spacing w:line="360" w:lineRule="auto"/>
        <w:ind w:left="1440"/>
        <w:rPr>
          <w:sz w:val="24"/>
          <w:szCs w:val="24"/>
          <w:u w:val="single"/>
        </w:rPr>
      </w:pPr>
      <w:r>
        <w:rPr>
          <w:sz w:val="24"/>
          <w:szCs w:val="24"/>
        </w:rPr>
        <w:t xml:space="preserve"> </w:t>
      </w:r>
    </w:p>
    <w:p w:rsidR="00DB50CF" w:rsidRDefault="00DB50CF" w:rsidP="0077255F">
      <w:pPr>
        <w:pStyle w:val="ListParagraph"/>
        <w:numPr>
          <w:ilvl w:val="0"/>
          <w:numId w:val="22"/>
        </w:numPr>
        <w:spacing w:line="360" w:lineRule="auto"/>
        <w:ind w:left="0" w:firstLine="1440"/>
        <w:rPr>
          <w:sz w:val="24"/>
          <w:szCs w:val="24"/>
        </w:rPr>
      </w:pPr>
      <w:r w:rsidRPr="00DB50CF">
        <w:rPr>
          <w:sz w:val="24"/>
          <w:szCs w:val="24"/>
        </w:rPr>
        <w:t>Respondent is PECO Energy Company, a jurisdictional public utility providing</w:t>
      </w:r>
      <w:r>
        <w:rPr>
          <w:sz w:val="24"/>
          <w:szCs w:val="24"/>
        </w:rPr>
        <w:t xml:space="preserve"> residential and commercial gas and electric distribution service in the Commonwealth of Pennsylvania.</w:t>
      </w:r>
    </w:p>
    <w:p w:rsidR="00DB50CF" w:rsidRPr="00DB50CF" w:rsidRDefault="00DB50CF" w:rsidP="00101F65">
      <w:pPr>
        <w:pStyle w:val="ListParagraph"/>
        <w:spacing w:line="360" w:lineRule="auto"/>
        <w:rPr>
          <w:sz w:val="24"/>
          <w:szCs w:val="24"/>
        </w:rPr>
      </w:pPr>
    </w:p>
    <w:p w:rsidR="00DB50CF" w:rsidRDefault="00DB50CF" w:rsidP="0077255F">
      <w:pPr>
        <w:pStyle w:val="ListParagraph"/>
        <w:numPr>
          <w:ilvl w:val="0"/>
          <w:numId w:val="22"/>
        </w:numPr>
        <w:spacing w:line="360" w:lineRule="auto"/>
        <w:ind w:left="0" w:firstLine="1440"/>
        <w:rPr>
          <w:sz w:val="24"/>
          <w:szCs w:val="24"/>
        </w:rPr>
      </w:pPr>
      <w:r>
        <w:rPr>
          <w:sz w:val="24"/>
          <w:szCs w:val="24"/>
        </w:rPr>
        <w:t>On April 10, 2014</w:t>
      </w:r>
      <w:r w:rsidRPr="007965B0">
        <w:rPr>
          <w:sz w:val="24"/>
          <w:szCs w:val="24"/>
        </w:rPr>
        <w:t>,</w:t>
      </w:r>
      <w:r>
        <w:rPr>
          <w:sz w:val="24"/>
          <w:szCs w:val="24"/>
        </w:rPr>
        <w:t xml:space="preserve"> the Complainant</w:t>
      </w:r>
      <w:r w:rsidRPr="007965B0">
        <w:rPr>
          <w:sz w:val="24"/>
          <w:szCs w:val="24"/>
        </w:rPr>
        <w:t xml:space="preserve"> filed a Formal Complaint with the Pennsylvania Public Utility Commission against Respondent alleging </w:t>
      </w:r>
      <w:r>
        <w:rPr>
          <w:sz w:val="24"/>
          <w:szCs w:val="24"/>
        </w:rPr>
        <w:t>that he was being held responsible for a gas leak</w:t>
      </w:r>
      <w:r w:rsidR="00576EDE">
        <w:rPr>
          <w:sz w:val="24"/>
          <w:szCs w:val="24"/>
        </w:rPr>
        <w:t xml:space="preserve"> that occurred </w:t>
      </w:r>
      <w:r>
        <w:rPr>
          <w:sz w:val="24"/>
          <w:szCs w:val="24"/>
        </w:rPr>
        <w:t>while</w:t>
      </w:r>
      <w:r w:rsidR="00576EDE">
        <w:rPr>
          <w:sz w:val="24"/>
          <w:szCs w:val="24"/>
        </w:rPr>
        <w:t xml:space="preserve"> he was</w:t>
      </w:r>
      <w:r>
        <w:rPr>
          <w:sz w:val="24"/>
          <w:szCs w:val="24"/>
        </w:rPr>
        <w:t xml:space="preserve"> replacing a mailbox.</w:t>
      </w:r>
    </w:p>
    <w:p w:rsidR="00DB50CF" w:rsidRPr="00DB50CF" w:rsidRDefault="00DB50CF" w:rsidP="00101F65">
      <w:pPr>
        <w:pStyle w:val="ListParagraph"/>
        <w:spacing w:line="360" w:lineRule="auto"/>
        <w:rPr>
          <w:sz w:val="24"/>
          <w:szCs w:val="24"/>
        </w:rPr>
      </w:pPr>
    </w:p>
    <w:p w:rsidR="00DB50CF" w:rsidRPr="00DB50CF" w:rsidRDefault="00DB50CF" w:rsidP="0077255F">
      <w:pPr>
        <w:pStyle w:val="ListParagraph"/>
        <w:numPr>
          <w:ilvl w:val="0"/>
          <w:numId w:val="22"/>
        </w:numPr>
        <w:spacing w:line="360" w:lineRule="auto"/>
        <w:ind w:left="0" w:firstLine="1440"/>
        <w:rPr>
          <w:sz w:val="24"/>
          <w:szCs w:val="24"/>
        </w:rPr>
      </w:pPr>
      <w:r>
        <w:rPr>
          <w:sz w:val="24"/>
          <w:szCs w:val="24"/>
        </w:rPr>
        <w:t xml:space="preserve">On April 29, 2014, the </w:t>
      </w:r>
      <w:r w:rsidRPr="007965B0">
        <w:rPr>
          <w:sz w:val="24"/>
          <w:szCs w:val="24"/>
        </w:rPr>
        <w:t xml:space="preserve">Respondent filed an </w:t>
      </w:r>
      <w:r w:rsidRPr="007965B0">
        <w:rPr>
          <w:spacing w:val="-3"/>
          <w:sz w:val="24"/>
          <w:szCs w:val="24"/>
        </w:rPr>
        <w:t>Answer</w:t>
      </w:r>
      <w:r>
        <w:rPr>
          <w:spacing w:val="-3"/>
          <w:sz w:val="24"/>
          <w:szCs w:val="24"/>
        </w:rPr>
        <w:t xml:space="preserve"> denying the material allegation in the Formal Complaint.  </w:t>
      </w:r>
    </w:p>
    <w:p w:rsidR="00DB50CF" w:rsidRPr="00DB50CF" w:rsidRDefault="00DB50CF" w:rsidP="000223E0">
      <w:pPr>
        <w:pStyle w:val="ListParagraph"/>
        <w:spacing w:line="360" w:lineRule="auto"/>
        <w:rPr>
          <w:sz w:val="24"/>
          <w:szCs w:val="24"/>
        </w:rPr>
      </w:pPr>
    </w:p>
    <w:p w:rsidR="00DB50CF" w:rsidRDefault="00DB50CF" w:rsidP="0077255F">
      <w:pPr>
        <w:pStyle w:val="ListParagraph"/>
        <w:numPr>
          <w:ilvl w:val="0"/>
          <w:numId w:val="22"/>
        </w:numPr>
        <w:spacing w:line="360" w:lineRule="auto"/>
        <w:ind w:left="0" w:firstLine="1440"/>
        <w:rPr>
          <w:sz w:val="24"/>
          <w:szCs w:val="24"/>
        </w:rPr>
      </w:pPr>
      <w:r>
        <w:rPr>
          <w:sz w:val="24"/>
          <w:szCs w:val="24"/>
        </w:rPr>
        <w:t>On June 19, 2014, the hearing convened by telephone as scheduled.</w:t>
      </w:r>
    </w:p>
    <w:p w:rsidR="00DB50CF" w:rsidRDefault="00DB50CF" w:rsidP="0077255F">
      <w:pPr>
        <w:pStyle w:val="ListParagraph"/>
        <w:numPr>
          <w:ilvl w:val="0"/>
          <w:numId w:val="22"/>
        </w:numPr>
        <w:spacing w:line="360" w:lineRule="auto"/>
        <w:ind w:left="0" w:firstLine="1440"/>
        <w:rPr>
          <w:sz w:val="24"/>
          <w:szCs w:val="24"/>
        </w:rPr>
      </w:pPr>
      <w:r>
        <w:rPr>
          <w:sz w:val="24"/>
          <w:szCs w:val="24"/>
        </w:rPr>
        <w:t>Complainant engaged in inappropriate and abusive behavior and hung up.</w:t>
      </w:r>
    </w:p>
    <w:p w:rsidR="00DB50CF" w:rsidRPr="00DB50CF" w:rsidRDefault="00DB50CF" w:rsidP="008C567D">
      <w:pPr>
        <w:pStyle w:val="ListParagraph"/>
        <w:spacing w:line="360" w:lineRule="auto"/>
        <w:rPr>
          <w:sz w:val="24"/>
          <w:szCs w:val="24"/>
        </w:rPr>
      </w:pPr>
    </w:p>
    <w:p w:rsidR="007B40A2" w:rsidRDefault="00DB50CF" w:rsidP="0077255F">
      <w:pPr>
        <w:pStyle w:val="ListParagraph"/>
        <w:numPr>
          <w:ilvl w:val="0"/>
          <w:numId w:val="22"/>
        </w:numPr>
        <w:spacing w:line="360" w:lineRule="auto"/>
        <w:ind w:left="0" w:firstLine="1440"/>
        <w:rPr>
          <w:sz w:val="24"/>
          <w:szCs w:val="24"/>
        </w:rPr>
      </w:pPr>
      <w:r>
        <w:rPr>
          <w:sz w:val="24"/>
          <w:szCs w:val="24"/>
        </w:rPr>
        <w:t>The Respondent was prepared for the hearing and was ready to present two witnesses.</w:t>
      </w:r>
    </w:p>
    <w:p w:rsidR="007B40A2" w:rsidRPr="007B40A2" w:rsidRDefault="007B40A2" w:rsidP="008C567D">
      <w:pPr>
        <w:pStyle w:val="ListParagraph"/>
        <w:spacing w:line="360" w:lineRule="auto"/>
        <w:rPr>
          <w:sz w:val="24"/>
          <w:szCs w:val="24"/>
        </w:rPr>
      </w:pPr>
    </w:p>
    <w:p w:rsidR="00DB50CF" w:rsidRPr="00DB50CF" w:rsidRDefault="007B40A2" w:rsidP="0077255F">
      <w:pPr>
        <w:pStyle w:val="ListParagraph"/>
        <w:numPr>
          <w:ilvl w:val="0"/>
          <w:numId w:val="22"/>
        </w:numPr>
        <w:spacing w:line="360" w:lineRule="auto"/>
        <w:ind w:left="0" w:firstLine="1440"/>
        <w:rPr>
          <w:sz w:val="24"/>
          <w:szCs w:val="24"/>
        </w:rPr>
      </w:pPr>
      <w:r>
        <w:rPr>
          <w:sz w:val="24"/>
          <w:szCs w:val="24"/>
        </w:rPr>
        <w:t>The Respondent moved for dismissal of the Formal Complaint with prejudice.</w:t>
      </w:r>
      <w:r w:rsidR="00DB50CF">
        <w:rPr>
          <w:sz w:val="24"/>
          <w:szCs w:val="24"/>
        </w:rPr>
        <w:t xml:space="preserve"> </w:t>
      </w:r>
    </w:p>
    <w:p w:rsidR="007B40A2" w:rsidRDefault="007B40A2" w:rsidP="00DE2348">
      <w:pPr>
        <w:spacing w:line="360" w:lineRule="auto"/>
        <w:jc w:val="center"/>
        <w:rPr>
          <w:sz w:val="24"/>
          <w:szCs w:val="24"/>
          <w:u w:val="single"/>
        </w:rPr>
      </w:pPr>
    </w:p>
    <w:p w:rsidR="00C419F9" w:rsidRDefault="00C419F9" w:rsidP="00DE2348">
      <w:pPr>
        <w:spacing w:line="360" w:lineRule="auto"/>
        <w:jc w:val="center"/>
        <w:rPr>
          <w:sz w:val="24"/>
          <w:szCs w:val="24"/>
          <w:u w:val="single"/>
        </w:rPr>
      </w:pPr>
      <w:r>
        <w:rPr>
          <w:sz w:val="24"/>
          <w:szCs w:val="24"/>
          <w:u w:val="single"/>
        </w:rPr>
        <w:t>DISCUSSION</w:t>
      </w:r>
    </w:p>
    <w:p w:rsidR="004D65F3" w:rsidRDefault="004D65F3" w:rsidP="004D65F3">
      <w:pPr>
        <w:tabs>
          <w:tab w:val="left" w:pos="-1440"/>
          <w:tab w:val="left" w:pos="-720"/>
        </w:tabs>
        <w:suppressAutoHyphens/>
        <w:spacing w:line="360" w:lineRule="auto"/>
        <w:ind w:firstLine="1440"/>
        <w:rPr>
          <w:sz w:val="24"/>
          <w:szCs w:val="24"/>
        </w:rPr>
      </w:pPr>
    </w:p>
    <w:p w:rsidR="007B40A2" w:rsidRDefault="004D65F3" w:rsidP="004D65F3">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000573C2">
        <w:rPr>
          <w:sz w:val="24"/>
          <w:szCs w:val="24"/>
        </w:rPr>
        <w:t xml:space="preserve"> the burden of proof.  66 Pa.</w:t>
      </w:r>
      <w:r w:rsidRPr="00A941C5">
        <w:rPr>
          <w:sz w:val="24"/>
          <w:szCs w:val="24"/>
        </w:rPr>
        <w:t>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00BB7304">
        <w:rPr>
          <w:spacing w:val="-3"/>
          <w:sz w:val="24"/>
          <w:szCs w:val="24"/>
        </w:rPr>
        <w:t>1990);</w:t>
      </w:r>
      <w:r w:rsidRPr="00614336">
        <w:rPr>
          <w:spacing w:val="-3"/>
          <w:sz w:val="24"/>
          <w:szCs w:val="24"/>
        </w:rPr>
        <w:t xml:space="preserve">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 xml:space="preserve">Samuel J. Lansberry, Inc. v. Pa. </w:t>
      </w:r>
      <w:r>
        <w:rPr>
          <w:spacing w:val="-3"/>
          <w:sz w:val="24"/>
          <w:szCs w:val="24"/>
          <w:u w:val="single"/>
        </w:rPr>
        <w:t>P</w:t>
      </w:r>
      <w:r w:rsidR="00A23501">
        <w:rPr>
          <w:spacing w:val="-3"/>
          <w:sz w:val="24"/>
          <w:szCs w:val="24"/>
          <w:u w:val="single"/>
        </w:rPr>
        <w:t>ub. Util. Comm’n</w:t>
      </w:r>
      <w:r w:rsidRPr="00614336">
        <w:rPr>
          <w:spacing w:val="-3"/>
          <w:sz w:val="24"/>
          <w:szCs w:val="24"/>
        </w:rPr>
        <w:t>, 134 Pa.C</w:t>
      </w:r>
      <w:r w:rsidR="00AC0968">
        <w:rPr>
          <w:spacing w:val="-3"/>
          <w:sz w:val="24"/>
          <w:szCs w:val="24"/>
        </w:rPr>
        <w:t>mwlth</w:t>
      </w:r>
      <w:r w:rsidR="00825A71">
        <w:rPr>
          <w:spacing w:val="-3"/>
          <w:sz w:val="24"/>
          <w:szCs w:val="24"/>
        </w:rPr>
        <w:t xml:space="preserve">. 218, </w:t>
      </w:r>
      <w:r w:rsidR="00FC4D6F">
        <w:rPr>
          <w:spacing w:val="-3"/>
          <w:sz w:val="24"/>
          <w:szCs w:val="24"/>
        </w:rPr>
        <w:t>221-222, 578 A.2d 600,</w:t>
      </w:r>
      <w:r w:rsidRPr="00614336">
        <w:rPr>
          <w:spacing w:val="-3"/>
          <w:sz w:val="24"/>
          <w:szCs w:val="24"/>
        </w:rPr>
        <w:t xml:space="preserve">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w:t>
      </w:r>
    </w:p>
    <w:p w:rsidR="007B40A2" w:rsidRDefault="007B40A2" w:rsidP="004D65F3">
      <w:pPr>
        <w:tabs>
          <w:tab w:val="left" w:pos="-1440"/>
          <w:tab w:val="left" w:pos="-720"/>
        </w:tabs>
        <w:suppressAutoHyphens/>
        <w:spacing w:line="360" w:lineRule="auto"/>
        <w:ind w:firstLine="1440"/>
        <w:rPr>
          <w:spacing w:val="-3"/>
          <w:sz w:val="24"/>
          <w:szCs w:val="24"/>
        </w:rPr>
      </w:pPr>
    </w:p>
    <w:p w:rsidR="004D65F3" w:rsidRDefault="004D65F3" w:rsidP="004D65F3">
      <w:pPr>
        <w:tabs>
          <w:tab w:val="left" w:pos="-1440"/>
          <w:tab w:val="left" w:pos="-720"/>
        </w:tabs>
        <w:suppressAutoHyphens/>
        <w:spacing w:line="360" w:lineRule="auto"/>
        <w:ind w:firstLine="1440"/>
        <w:rPr>
          <w:spacing w:val="-3"/>
          <w:sz w:val="24"/>
          <w:szCs w:val="24"/>
        </w:rPr>
      </w:pPr>
      <w:r w:rsidRPr="00614336">
        <w:rPr>
          <w:spacing w:val="-3"/>
          <w:sz w:val="24"/>
          <w:szCs w:val="24"/>
        </w:rPr>
        <w:t xml:space="preserve">Additionally, any finding of fact necessary to support the Commission’s adjudication must be based upon substantial evidence.  </w:t>
      </w:r>
      <w:r w:rsidR="000573C2">
        <w:rPr>
          <w:spacing w:val="-3"/>
          <w:sz w:val="24"/>
          <w:szCs w:val="24"/>
          <w:u w:val="single"/>
        </w:rPr>
        <w:t xml:space="preserve">Mill v. Pa. </w:t>
      </w:r>
      <w:r>
        <w:rPr>
          <w:spacing w:val="-3"/>
          <w:sz w:val="24"/>
          <w:szCs w:val="24"/>
          <w:u w:val="single"/>
        </w:rPr>
        <w:t>P</w:t>
      </w:r>
      <w:r w:rsidR="00681961">
        <w:rPr>
          <w:spacing w:val="-3"/>
          <w:sz w:val="24"/>
          <w:szCs w:val="24"/>
          <w:u w:val="single"/>
        </w:rPr>
        <w:t>ub. Util. Comm’n</w:t>
      </w:r>
      <w:r w:rsidRPr="009D011B">
        <w:rPr>
          <w:spacing w:val="-3"/>
          <w:sz w:val="24"/>
          <w:szCs w:val="24"/>
        </w:rPr>
        <w:t>,</w:t>
      </w:r>
      <w:r w:rsidR="00681961">
        <w:rPr>
          <w:spacing w:val="-3"/>
          <w:sz w:val="24"/>
          <w:szCs w:val="24"/>
        </w:rPr>
        <w:t xml:space="preserve"> </w:t>
      </w:r>
      <w:r w:rsidRPr="00614336">
        <w:rPr>
          <w:spacing w:val="-3"/>
          <w:sz w:val="24"/>
          <w:szCs w:val="24"/>
        </w:rPr>
        <w:t>67</w:t>
      </w:r>
      <w:r w:rsidR="00681961">
        <w:rPr>
          <w:spacing w:val="-3"/>
          <w:sz w:val="24"/>
          <w:szCs w:val="24"/>
        </w:rPr>
        <w:t> </w:t>
      </w:r>
      <w:r w:rsidRPr="00614336">
        <w:rPr>
          <w:spacing w:val="-3"/>
          <w:sz w:val="24"/>
          <w:szCs w:val="24"/>
        </w:rPr>
        <w:t>Pa.Cmw</w:t>
      </w:r>
      <w:r w:rsidR="00681961">
        <w:rPr>
          <w:spacing w:val="-3"/>
          <w:sz w:val="24"/>
          <w:szCs w:val="24"/>
        </w:rPr>
        <w:t>lth</w:t>
      </w:r>
      <w:r w:rsidRPr="00614336">
        <w:rPr>
          <w:spacing w:val="-3"/>
          <w:sz w:val="24"/>
          <w:szCs w:val="24"/>
        </w:rPr>
        <w:t>. 597, 447 A.2d 1100</w:t>
      </w:r>
      <w:r>
        <w:rPr>
          <w:spacing w:val="-3"/>
          <w:sz w:val="24"/>
          <w:szCs w:val="24"/>
        </w:rPr>
        <w:t xml:space="preserve"> </w:t>
      </w:r>
      <w:r w:rsidR="00BB7304">
        <w:rPr>
          <w:spacing w:val="-3"/>
          <w:sz w:val="24"/>
          <w:szCs w:val="24"/>
        </w:rPr>
        <w:t>(1982);</w:t>
      </w:r>
      <w:r w:rsidRPr="00614336">
        <w:rPr>
          <w:spacing w:val="-3"/>
          <w:sz w:val="24"/>
          <w:szCs w:val="24"/>
        </w:rPr>
        <w:t xml:space="preserve"> </w:t>
      </w:r>
      <w:r>
        <w:rPr>
          <w:spacing w:val="-3"/>
          <w:sz w:val="24"/>
          <w:szCs w:val="24"/>
          <w:u w:val="single"/>
        </w:rPr>
        <w:t>Edan Transportation Corp. v. Pa. P</w:t>
      </w:r>
      <w:r w:rsidR="00681961">
        <w:rPr>
          <w:spacing w:val="-3"/>
          <w:sz w:val="24"/>
          <w:szCs w:val="24"/>
          <w:u w:val="single"/>
        </w:rPr>
        <w:t>ub. Util. Comm’n</w:t>
      </w:r>
      <w:r w:rsidRPr="00614336">
        <w:rPr>
          <w:spacing w:val="-3"/>
          <w:sz w:val="24"/>
          <w:szCs w:val="24"/>
        </w:rPr>
        <w:t>, 154 Pa.C</w:t>
      </w:r>
      <w:r w:rsidR="00266237">
        <w:rPr>
          <w:spacing w:val="-3"/>
          <w:sz w:val="24"/>
          <w:szCs w:val="24"/>
        </w:rPr>
        <w:t>m</w:t>
      </w:r>
      <w:r w:rsidRPr="00614336">
        <w:rPr>
          <w:spacing w:val="-3"/>
          <w:sz w:val="24"/>
          <w:szCs w:val="24"/>
        </w:rPr>
        <w:t>w</w:t>
      </w:r>
      <w:r w:rsidR="00266237">
        <w:rPr>
          <w:spacing w:val="-3"/>
          <w:sz w:val="24"/>
          <w:szCs w:val="24"/>
        </w:rPr>
        <w:t>lth</w:t>
      </w:r>
      <w:r w:rsidRPr="00614336">
        <w:rPr>
          <w:spacing w:val="-3"/>
          <w:sz w:val="24"/>
          <w:szCs w:val="24"/>
        </w:rPr>
        <w:t>. 21, 623 A.2d 6</w:t>
      </w:r>
      <w:r>
        <w:rPr>
          <w:spacing w:val="-3"/>
          <w:sz w:val="24"/>
          <w:szCs w:val="24"/>
        </w:rPr>
        <w:t xml:space="preserve"> </w:t>
      </w:r>
      <w:r w:rsidR="00576EDE">
        <w:rPr>
          <w:spacing w:val="-3"/>
          <w:sz w:val="24"/>
          <w:szCs w:val="24"/>
        </w:rPr>
        <w:t>(1993);</w:t>
      </w:r>
      <w:r w:rsidRPr="00614336">
        <w:rPr>
          <w:spacing w:val="-3"/>
          <w:sz w:val="24"/>
          <w:szCs w:val="24"/>
        </w:rPr>
        <w:t xml:space="preserve"> 2</w:t>
      </w:r>
      <w:r w:rsidR="00E60E26">
        <w:rPr>
          <w:spacing w:val="-3"/>
          <w:sz w:val="24"/>
          <w:szCs w:val="24"/>
        </w:rPr>
        <w:t> </w:t>
      </w:r>
      <w:r w:rsidRPr="00614336">
        <w:rPr>
          <w:spacing w:val="-3"/>
          <w:sz w:val="24"/>
          <w:szCs w:val="24"/>
        </w:rPr>
        <w:t>Pa.C.S. §</w:t>
      </w:r>
      <w:r w:rsidR="00BB7304">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 and Western Ry.</w:t>
      </w:r>
      <w:r w:rsidR="00C9672C">
        <w:rPr>
          <w:spacing w:val="-3"/>
          <w:sz w:val="24"/>
          <w:szCs w:val="24"/>
          <w:u w:val="single"/>
        </w:rPr>
        <w:t> </w:t>
      </w:r>
      <w:r w:rsidRPr="00614336">
        <w:rPr>
          <w:spacing w:val="-3"/>
          <w:sz w:val="24"/>
          <w:szCs w:val="24"/>
          <w:u w:val="single"/>
        </w:rPr>
        <w:t>v. Pa.</w:t>
      </w:r>
      <w:r w:rsidR="007B40A2">
        <w:rPr>
          <w:spacing w:val="-3"/>
          <w:sz w:val="24"/>
          <w:szCs w:val="24"/>
          <w:u w:val="single"/>
        </w:rPr>
        <w:t xml:space="preserve"> </w:t>
      </w:r>
      <w:r>
        <w:rPr>
          <w:spacing w:val="-3"/>
          <w:sz w:val="24"/>
          <w:szCs w:val="24"/>
          <w:u w:val="single"/>
        </w:rPr>
        <w:t>P</w:t>
      </w:r>
      <w:r w:rsidR="00266237">
        <w:rPr>
          <w:spacing w:val="-3"/>
          <w:sz w:val="24"/>
          <w:szCs w:val="24"/>
          <w:u w:val="single"/>
        </w:rPr>
        <w:t xml:space="preserve">ub. </w:t>
      </w:r>
      <w:r>
        <w:rPr>
          <w:spacing w:val="-3"/>
          <w:sz w:val="24"/>
          <w:szCs w:val="24"/>
          <w:u w:val="single"/>
        </w:rPr>
        <w:t>U</w:t>
      </w:r>
      <w:r w:rsidR="00266237">
        <w:rPr>
          <w:spacing w:val="-3"/>
          <w:sz w:val="24"/>
          <w:szCs w:val="24"/>
          <w:u w:val="single"/>
        </w:rPr>
        <w:t xml:space="preserve">til. </w:t>
      </w:r>
      <w:r>
        <w:rPr>
          <w:spacing w:val="-3"/>
          <w:sz w:val="24"/>
          <w:szCs w:val="24"/>
          <w:u w:val="single"/>
        </w:rPr>
        <w:t>C</w:t>
      </w:r>
      <w:r w:rsidR="00266237">
        <w:rPr>
          <w:spacing w:val="-3"/>
          <w:sz w:val="24"/>
          <w:szCs w:val="24"/>
          <w:u w:val="single"/>
        </w:rPr>
        <w:t>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194</w:t>
      </w:r>
      <w:r w:rsidR="00E60E26">
        <w:rPr>
          <w:spacing w:val="-3"/>
          <w:sz w:val="24"/>
          <w:szCs w:val="24"/>
        </w:rPr>
        <w:t> </w:t>
      </w:r>
      <w:r w:rsidRPr="00614336">
        <w:rPr>
          <w:spacing w:val="-3"/>
          <w:sz w:val="24"/>
          <w:szCs w:val="24"/>
        </w:rPr>
        <w:t>Pa.Super.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85 Pa.C</w:t>
      </w:r>
      <w:r w:rsidR="00B4409B">
        <w:rPr>
          <w:spacing w:val="-3"/>
          <w:sz w:val="24"/>
          <w:szCs w:val="24"/>
        </w:rPr>
        <w:t>mwlth</w:t>
      </w:r>
      <w:r w:rsidRPr="00614336">
        <w:rPr>
          <w:spacing w:val="-3"/>
          <w:sz w:val="24"/>
          <w:szCs w:val="24"/>
        </w:rPr>
        <w:t>. 23, 480 A.2d 382</w:t>
      </w:r>
      <w:r>
        <w:rPr>
          <w:spacing w:val="-3"/>
          <w:sz w:val="24"/>
          <w:szCs w:val="24"/>
        </w:rPr>
        <w:t xml:space="preserve"> </w:t>
      </w:r>
      <w:r w:rsidRPr="00614336">
        <w:rPr>
          <w:spacing w:val="-3"/>
          <w:sz w:val="24"/>
          <w:szCs w:val="24"/>
        </w:rPr>
        <w:t>(1984).</w:t>
      </w:r>
    </w:p>
    <w:p w:rsidR="00681961" w:rsidRDefault="00681961" w:rsidP="004D65F3">
      <w:pPr>
        <w:tabs>
          <w:tab w:val="left" w:pos="-1440"/>
          <w:tab w:val="left" w:pos="-720"/>
        </w:tabs>
        <w:suppressAutoHyphens/>
        <w:spacing w:line="360" w:lineRule="auto"/>
        <w:ind w:firstLine="1440"/>
        <w:rPr>
          <w:spacing w:val="-3"/>
          <w:sz w:val="24"/>
          <w:szCs w:val="24"/>
        </w:rPr>
      </w:pPr>
    </w:p>
    <w:p w:rsidR="007B40A2" w:rsidRDefault="007B40A2" w:rsidP="004D65F3">
      <w:pPr>
        <w:tabs>
          <w:tab w:val="left" w:pos="-1440"/>
          <w:tab w:val="left" w:pos="-720"/>
        </w:tabs>
        <w:suppressAutoHyphens/>
        <w:spacing w:line="360" w:lineRule="auto"/>
        <w:ind w:firstLine="1440"/>
        <w:rPr>
          <w:spacing w:val="-3"/>
          <w:sz w:val="24"/>
          <w:szCs w:val="24"/>
        </w:rPr>
      </w:pPr>
      <w:r>
        <w:rPr>
          <w:spacing w:val="-3"/>
          <w:sz w:val="24"/>
          <w:szCs w:val="24"/>
        </w:rPr>
        <w:t>The Commission is required to provide due process to the parties appearing before them.  This requirement is satisfied when the parties are afforded notice and the opportunity to appear and be heard</w:t>
      </w:r>
      <w:r w:rsidRPr="00275E80">
        <w:rPr>
          <w:spacing w:val="-3"/>
          <w:sz w:val="24"/>
          <w:szCs w:val="24"/>
        </w:rPr>
        <w:t xml:space="preserve">.  </w:t>
      </w:r>
      <w:r w:rsidRPr="007B40A2">
        <w:rPr>
          <w:spacing w:val="-3"/>
          <w:sz w:val="24"/>
          <w:szCs w:val="24"/>
          <w:u w:val="single"/>
        </w:rPr>
        <w:t>Schneider v. Pa. P</w:t>
      </w:r>
      <w:r w:rsidR="00260F51">
        <w:rPr>
          <w:spacing w:val="-3"/>
          <w:sz w:val="24"/>
          <w:szCs w:val="24"/>
          <w:u w:val="single"/>
        </w:rPr>
        <w:t>ub. Util. Comm’n</w:t>
      </w:r>
      <w:r>
        <w:rPr>
          <w:spacing w:val="-3"/>
          <w:sz w:val="24"/>
          <w:szCs w:val="24"/>
        </w:rPr>
        <w:t xml:space="preserve">, 479 A.2d 10 (Pa. Cmwlth. 1984).  Once notice of a hearing and the opportunity to be heard has been provided, it is the responsibility of the parties to appear and participate in the hearing.  </w:t>
      </w:r>
      <w:r w:rsidRPr="007B40A2">
        <w:rPr>
          <w:spacing w:val="-3"/>
          <w:sz w:val="24"/>
          <w:szCs w:val="24"/>
          <w:u w:val="single"/>
        </w:rPr>
        <w:t>Sentner v. Bell Tel. Co. of PA</w:t>
      </w:r>
      <w:r>
        <w:rPr>
          <w:spacing w:val="-3"/>
          <w:sz w:val="24"/>
          <w:szCs w:val="24"/>
        </w:rPr>
        <w:t xml:space="preserve">, </w:t>
      </w:r>
      <w:r w:rsidR="00CE3A30">
        <w:rPr>
          <w:spacing w:val="-3"/>
          <w:sz w:val="24"/>
          <w:szCs w:val="24"/>
        </w:rPr>
        <w:t>Docket No. F</w:t>
      </w:r>
      <w:r w:rsidR="00236F69">
        <w:rPr>
          <w:spacing w:val="-3"/>
          <w:sz w:val="24"/>
          <w:szCs w:val="24"/>
        </w:rPr>
        <w:noBreakHyphen/>
      </w:r>
      <w:r w:rsidR="00CE3A30">
        <w:rPr>
          <w:spacing w:val="-3"/>
          <w:sz w:val="24"/>
          <w:szCs w:val="24"/>
        </w:rPr>
        <w:t>00161106 (Opinio</w:t>
      </w:r>
      <w:r>
        <w:rPr>
          <w:spacing w:val="-3"/>
          <w:sz w:val="24"/>
          <w:szCs w:val="24"/>
        </w:rPr>
        <w:t>n and Order entered October 25, 2003).</w:t>
      </w:r>
    </w:p>
    <w:p w:rsidR="007B40A2" w:rsidRDefault="007B40A2" w:rsidP="004D65F3">
      <w:pPr>
        <w:tabs>
          <w:tab w:val="left" w:pos="-1440"/>
          <w:tab w:val="left" w:pos="-720"/>
        </w:tabs>
        <w:suppressAutoHyphens/>
        <w:spacing w:line="360" w:lineRule="auto"/>
        <w:ind w:firstLine="1440"/>
        <w:rPr>
          <w:spacing w:val="-3"/>
          <w:sz w:val="24"/>
          <w:szCs w:val="24"/>
        </w:rPr>
      </w:pPr>
    </w:p>
    <w:p w:rsidR="00833110" w:rsidRDefault="007B40A2" w:rsidP="004D65F3">
      <w:pPr>
        <w:tabs>
          <w:tab w:val="left" w:pos="-1440"/>
          <w:tab w:val="left" w:pos="-720"/>
        </w:tabs>
        <w:suppressAutoHyphens/>
        <w:spacing w:line="360" w:lineRule="auto"/>
        <w:ind w:firstLine="1440"/>
        <w:rPr>
          <w:spacing w:val="-3"/>
          <w:sz w:val="24"/>
          <w:szCs w:val="24"/>
        </w:rPr>
      </w:pPr>
      <w:r>
        <w:rPr>
          <w:spacing w:val="-3"/>
          <w:sz w:val="24"/>
          <w:szCs w:val="24"/>
        </w:rPr>
        <w:t xml:space="preserve">Parties appearing before the Commission must make a good faith effort to comply with its procedures. </w:t>
      </w:r>
      <w:r w:rsidR="00F92CD5">
        <w:rPr>
          <w:spacing w:val="-3"/>
          <w:sz w:val="24"/>
          <w:szCs w:val="24"/>
        </w:rPr>
        <w:t xml:space="preserve"> </w:t>
      </w:r>
      <w:r w:rsidRPr="007B40A2">
        <w:rPr>
          <w:spacing w:val="-3"/>
          <w:sz w:val="24"/>
          <w:szCs w:val="24"/>
          <w:u w:val="single"/>
        </w:rPr>
        <w:t>Dushawn King v. Verizon Pennsylvania Inc.</w:t>
      </w:r>
      <w:r>
        <w:rPr>
          <w:spacing w:val="-3"/>
          <w:sz w:val="24"/>
          <w:szCs w:val="24"/>
        </w:rPr>
        <w:t xml:space="preserve"> Docket No. C-20054799 (Order entered March 21, 2006), 2006 Pa. PUC LEXIS 26.  The Complainant in this case had notice since early May of the scheduling of this hearing.  He had more than a month to arrange to be available for the hearing or request a continuance.  Moreover, this Complainant’s behavior fell short </w:t>
      </w:r>
      <w:r w:rsidR="00833110">
        <w:rPr>
          <w:spacing w:val="-3"/>
          <w:sz w:val="24"/>
          <w:szCs w:val="24"/>
        </w:rPr>
        <w:t>of making a good faith effort to comply with Commission procedures.</w:t>
      </w:r>
    </w:p>
    <w:p w:rsidR="00833110" w:rsidRDefault="00833110" w:rsidP="004D65F3">
      <w:pPr>
        <w:tabs>
          <w:tab w:val="left" w:pos="-1440"/>
          <w:tab w:val="left" w:pos="-720"/>
        </w:tabs>
        <w:suppressAutoHyphens/>
        <w:spacing w:line="360" w:lineRule="auto"/>
        <w:ind w:firstLine="1440"/>
        <w:rPr>
          <w:spacing w:val="-3"/>
          <w:sz w:val="24"/>
          <w:szCs w:val="24"/>
        </w:rPr>
      </w:pPr>
    </w:p>
    <w:p w:rsidR="007B40A2" w:rsidRDefault="00833110" w:rsidP="004D65F3">
      <w:pPr>
        <w:tabs>
          <w:tab w:val="left" w:pos="-1440"/>
          <w:tab w:val="left" w:pos="-720"/>
        </w:tabs>
        <w:suppressAutoHyphens/>
        <w:spacing w:line="360" w:lineRule="auto"/>
        <w:ind w:firstLine="1440"/>
        <w:rPr>
          <w:spacing w:val="-3"/>
          <w:sz w:val="24"/>
          <w:szCs w:val="24"/>
        </w:rPr>
      </w:pPr>
      <w:r>
        <w:rPr>
          <w:spacing w:val="-3"/>
          <w:sz w:val="24"/>
          <w:szCs w:val="24"/>
        </w:rPr>
        <w:t xml:space="preserve"> Complainant was afforded an opportunity for a fair hearing on his Formal Complaint and he failed to take advantage of it and failed to request a continuance.</w:t>
      </w:r>
      <w:r w:rsidR="007B40A2">
        <w:rPr>
          <w:spacing w:val="-3"/>
          <w:sz w:val="24"/>
          <w:szCs w:val="24"/>
        </w:rPr>
        <w:t xml:space="preserve"> </w:t>
      </w:r>
    </w:p>
    <w:p w:rsidR="00275E80" w:rsidRDefault="00275E80" w:rsidP="004D65F3">
      <w:pPr>
        <w:tabs>
          <w:tab w:val="left" w:pos="-1440"/>
          <w:tab w:val="left" w:pos="-720"/>
        </w:tabs>
        <w:suppressAutoHyphens/>
        <w:spacing w:line="360" w:lineRule="auto"/>
        <w:ind w:firstLine="1440"/>
        <w:rPr>
          <w:spacing w:val="-3"/>
          <w:sz w:val="24"/>
          <w:szCs w:val="24"/>
        </w:rPr>
      </w:pPr>
    </w:p>
    <w:p w:rsidR="00275E80" w:rsidRDefault="00275E80" w:rsidP="00CF32A6">
      <w:pPr>
        <w:tabs>
          <w:tab w:val="left" w:pos="-1440"/>
          <w:tab w:val="left" w:pos="-720"/>
        </w:tabs>
        <w:suppressAutoHyphens/>
        <w:spacing w:line="360" w:lineRule="auto"/>
        <w:ind w:firstLine="1440"/>
        <w:rPr>
          <w:spacing w:val="-3"/>
          <w:sz w:val="24"/>
          <w:szCs w:val="24"/>
        </w:rPr>
      </w:pPr>
      <w:r>
        <w:rPr>
          <w:spacing w:val="-3"/>
          <w:sz w:val="24"/>
          <w:szCs w:val="24"/>
        </w:rPr>
        <w:t>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the complainant, applicant, or petitioner.  52 Pa.Code § 5.245(c).</w:t>
      </w:r>
    </w:p>
    <w:p w:rsidR="00CE3A30" w:rsidRDefault="00CE3A30" w:rsidP="00275E80">
      <w:pPr>
        <w:tabs>
          <w:tab w:val="left" w:pos="-1440"/>
          <w:tab w:val="left" w:pos="-720"/>
        </w:tabs>
        <w:suppressAutoHyphens/>
        <w:spacing w:line="360" w:lineRule="auto"/>
        <w:ind w:left="2160" w:right="1440"/>
        <w:rPr>
          <w:spacing w:val="-3"/>
          <w:sz w:val="24"/>
          <w:szCs w:val="24"/>
        </w:rPr>
      </w:pPr>
    </w:p>
    <w:p w:rsidR="00CE3A30" w:rsidRDefault="0073430E" w:rsidP="00CE3A30">
      <w:pPr>
        <w:tabs>
          <w:tab w:val="left" w:pos="-1440"/>
          <w:tab w:val="left" w:pos="-720"/>
        </w:tabs>
        <w:suppressAutoHyphens/>
        <w:spacing w:line="360" w:lineRule="auto"/>
        <w:ind w:firstLine="1440"/>
        <w:rPr>
          <w:spacing w:val="-3"/>
          <w:sz w:val="24"/>
          <w:szCs w:val="24"/>
        </w:rPr>
      </w:pPr>
      <w:r>
        <w:rPr>
          <w:spacing w:val="-3"/>
          <w:sz w:val="24"/>
          <w:szCs w:val="24"/>
        </w:rPr>
        <w:t>The Co</w:t>
      </w:r>
      <w:r w:rsidR="00542416">
        <w:rPr>
          <w:spacing w:val="-3"/>
          <w:sz w:val="24"/>
          <w:szCs w:val="24"/>
        </w:rPr>
        <w:t>m</w:t>
      </w:r>
      <w:r>
        <w:rPr>
          <w:spacing w:val="-3"/>
          <w:sz w:val="24"/>
          <w:szCs w:val="24"/>
        </w:rPr>
        <w:t xml:space="preserve">mission </w:t>
      </w:r>
      <w:r w:rsidR="00542416">
        <w:rPr>
          <w:spacing w:val="-3"/>
          <w:sz w:val="24"/>
          <w:szCs w:val="24"/>
        </w:rPr>
        <w:t>h</w:t>
      </w:r>
      <w:r>
        <w:rPr>
          <w:spacing w:val="-3"/>
          <w:sz w:val="24"/>
          <w:szCs w:val="24"/>
        </w:rPr>
        <w:t xml:space="preserve">as repeatedly found that striking complaints for the contemptuous failure to respond to discovery, rather than prohibiting the introduction of evidence at a hearing, is the appropriate sanction to be imposed.  </w:t>
      </w:r>
      <w:r w:rsidRPr="00FC4D6F">
        <w:rPr>
          <w:spacing w:val="-3"/>
          <w:sz w:val="24"/>
          <w:szCs w:val="24"/>
          <w:u w:val="single"/>
        </w:rPr>
        <w:t>Merchant v. Bell Tel. Co. of PA</w:t>
      </w:r>
      <w:r>
        <w:rPr>
          <w:spacing w:val="-3"/>
          <w:sz w:val="24"/>
          <w:szCs w:val="24"/>
        </w:rPr>
        <w:t xml:space="preserve">, Docket No. C-00935253.  Commission Order entered June 20, 1994; </w:t>
      </w:r>
      <w:r w:rsidRPr="006D067F">
        <w:rPr>
          <w:spacing w:val="-3"/>
          <w:sz w:val="24"/>
          <w:szCs w:val="24"/>
          <w:u w:val="single"/>
        </w:rPr>
        <w:t>Application of Tyrone E. Hartley t/d/b/a/ T’s Automotive Service</w:t>
      </w:r>
      <w:r>
        <w:rPr>
          <w:spacing w:val="-3"/>
          <w:sz w:val="24"/>
          <w:szCs w:val="24"/>
        </w:rPr>
        <w:t>, Docket No. A-00112575, (Commission Final Order en</w:t>
      </w:r>
      <w:r w:rsidR="007E37E5">
        <w:rPr>
          <w:spacing w:val="-3"/>
          <w:sz w:val="24"/>
          <w:szCs w:val="24"/>
        </w:rPr>
        <w:t>t</w:t>
      </w:r>
      <w:r>
        <w:rPr>
          <w:spacing w:val="-3"/>
          <w:sz w:val="24"/>
          <w:szCs w:val="24"/>
        </w:rPr>
        <w:t xml:space="preserve">ered August 6, 1996); </w:t>
      </w:r>
      <w:r w:rsidRPr="00FC4D6F">
        <w:rPr>
          <w:spacing w:val="-3"/>
          <w:sz w:val="24"/>
          <w:szCs w:val="24"/>
          <w:u w:val="single"/>
        </w:rPr>
        <w:t>Application of Karen Lee Miller</w:t>
      </w:r>
      <w:r>
        <w:rPr>
          <w:spacing w:val="-3"/>
          <w:sz w:val="24"/>
          <w:szCs w:val="24"/>
        </w:rPr>
        <w:t xml:space="preserve">, Docket No. A-00116067 (Commission Final Order entered March 27, 2000; </w:t>
      </w:r>
      <w:r w:rsidR="00FC4D6F">
        <w:rPr>
          <w:spacing w:val="-3"/>
          <w:sz w:val="24"/>
          <w:szCs w:val="24"/>
          <w:u w:val="single"/>
        </w:rPr>
        <w:t>Application of Patrick M</w:t>
      </w:r>
      <w:r w:rsidRPr="00FC4D6F">
        <w:rPr>
          <w:spacing w:val="-3"/>
          <w:sz w:val="24"/>
          <w:szCs w:val="24"/>
          <w:u w:val="single"/>
        </w:rPr>
        <w:t>. Kelsey</w:t>
      </w:r>
      <w:r>
        <w:rPr>
          <w:spacing w:val="-3"/>
          <w:sz w:val="24"/>
          <w:szCs w:val="24"/>
        </w:rPr>
        <w:t>, Docket No. A-00116366 (Commission Final Order entered May</w:t>
      </w:r>
      <w:r w:rsidR="00EF75B3">
        <w:rPr>
          <w:spacing w:val="-3"/>
          <w:sz w:val="24"/>
          <w:szCs w:val="24"/>
        </w:rPr>
        <w:t> </w:t>
      </w:r>
      <w:r>
        <w:rPr>
          <w:spacing w:val="-3"/>
          <w:sz w:val="24"/>
          <w:szCs w:val="24"/>
        </w:rPr>
        <w:t>18, 2000)</w:t>
      </w:r>
      <w:r w:rsidR="007071D5">
        <w:rPr>
          <w:spacing w:val="-3"/>
          <w:sz w:val="24"/>
          <w:szCs w:val="24"/>
        </w:rPr>
        <w:t>.  Failure to comply with the rules of discovery directly affects the due process rights of the promulgating party, thus preventing orderly and fair litigation.  Dismissal here is appropriate for the same reason.  Complainant’s inappropriate behavior prevented fair and orderly litigation and prevented the Respondent from receiving due process.</w:t>
      </w:r>
    </w:p>
    <w:p w:rsidR="0077255F" w:rsidRDefault="0077255F" w:rsidP="0077255F">
      <w:pPr>
        <w:spacing w:line="360" w:lineRule="auto"/>
        <w:ind w:firstLine="1440"/>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542416">
      <w:pPr>
        <w:tabs>
          <w:tab w:val="left" w:pos="2160"/>
        </w:tabs>
        <w:spacing w:line="360" w:lineRule="auto"/>
        <w:ind w:firstLine="1440"/>
        <w:jc w:val="center"/>
        <w:rPr>
          <w:sz w:val="24"/>
          <w:szCs w:val="24"/>
          <w:u w:val="single"/>
        </w:rPr>
      </w:pPr>
    </w:p>
    <w:p w:rsidR="00382B1A" w:rsidRPr="00542416" w:rsidRDefault="00382B1A" w:rsidP="00542416">
      <w:pPr>
        <w:pStyle w:val="ListParagraph"/>
        <w:numPr>
          <w:ilvl w:val="0"/>
          <w:numId w:val="23"/>
        </w:numPr>
        <w:tabs>
          <w:tab w:val="left" w:pos="2160"/>
        </w:tabs>
        <w:spacing w:line="360" w:lineRule="auto"/>
        <w:ind w:left="0" w:firstLine="1440"/>
        <w:rPr>
          <w:sz w:val="24"/>
          <w:szCs w:val="24"/>
        </w:rPr>
      </w:pPr>
      <w:r w:rsidRPr="00542416">
        <w:rPr>
          <w:sz w:val="24"/>
          <w:szCs w:val="24"/>
        </w:rPr>
        <w:t>The Commission has jurisdiction over the subject matter and parties to this Complaint.  66 Pa.C.S. § 701.</w:t>
      </w:r>
    </w:p>
    <w:p w:rsidR="00382B1A" w:rsidRPr="007934E4" w:rsidRDefault="00382B1A" w:rsidP="00542416">
      <w:pPr>
        <w:tabs>
          <w:tab w:val="left" w:pos="2160"/>
        </w:tabs>
        <w:spacing w:line="360" w:lineRule="auto"/>
        <w:ind w:firstLine="1440"/>
        <w:rPr>
          <w:sz w:val="24"/>
          <w:szCs w:val="24"/>
        </w:rPr>
      </w:pPr>
    </w:p>
    <w:p w:rsidR="00382B1A" w:rsidRPr="00542416" w:rsidRDefault="00382B1A" w:rsidP="00542416">
      <w:pPr>
        <w:pStyle w:val="ListParagraph"/>
        <w:numPr>
          <w:ilvl w:val="0"/>
          <w:numId w:val="23"/>
        </w:numPr>
        <w:tabs>
          <w:tab w:val="left" w:pos="2160"/>
        </w:tabs>
        <w:spacing w:line="360" w:lineRule="auto"/>
        <w:ind w:left="0" w:firstLine="1440"/>
        <w:rPr>
          <w:sz w:val="24"/>
          <w:szCs w:val="24"/>
        </w:rPr>
      </w:pPr>
      <w:r w:rsidRPr="00542416">
        <w:rPr>
          <w:sz w:val="24"/>
          <w:szCs w:val="24"/>
        </w:rPr>
        <w:t xml:space="preserve">As the party seeking affirmative relief from the Commission, </w:t>
      </w:r>
      <w:r w:rsidR="00C1140C" w:rsidRPr="00542416">
        <w:rPr>
          <w:sz w:val="24"/>
          <w:szCs w:val="24"/>
        </w:rPr>
        <w:t>Complainant</w:t>
      </w:r>
      <w:r w:rsidRPr="00542416">
        <w:rPr>
          <w:sz w:val="24"/>
          <w:szCs w:val="24"/>
        </w:rPr>
        <w:t xml:space="preserve"> bears the burden of proof.  66 Pa.C.S. § 332(a).</w:t>
      </w:r>
    </w:p>
    <w:p w:rsidR="00382B1A" w:rsidRPr="007934E4" w:rsidRDefault="00382B1A" w:rsidP="00542416">
      <w:pPr>
        <w:tabs>
          <w:tab w:val="left" w:pos="2160"/>
        </w:tabs>
        <w:spacing w:line="360" w:lineRule="auto"/>
        <w:ind w:firstLine="1440"/>
        <w:rPr>
          <w:sz w:val="24"/>
          <w:szCs w:val="24"/>
        </w:rPr>
      </w:pPr>
    </w:p>
    <w:p w:rsidR="00382B1A" w:rsidRPr="00542416" w:rsidRDefault="00382B1A" w:rsidP="00542416">
      <w:pPr>
        <w:pStyle w:val="ListParagraph"/>
        <w:numPr>
          <w:ilvl w:val="0"/>
          <w:numId w:val="23"/>
        </w:numPr>
        <w:tabs>
          <w:tab w:val="left" w:pos="2160"/>
        </w:tabs>
        <w:spacing w:line="360" w:lineRule="auto"/>
        <w:ind w:left="0" w:firstLine="1440"/>
        <w:rPr>
          <w:spacing w:val="-3"/>
          <w:sz w:val="24"/>
          <w:szCs w:val="24"/>
        </w:rPr>
      </w:pPr>
      <w:r w:rsidRPr="00542416">
        <w:rPr>
          <w:spacing w:val="-3"/>
          <w:sz w:val="24"/>
          <w:szCs w:val="24"/>
        </w:rPr>
        <w:t xml:space="preserve">As a matter of general principle, a complainant must show that the named utility is responsible or accountable for the problem described in the Complaint in order to prevail.  </w:t>
      </w:r>
      <w:r w:rsidRPr="00FC4D6F">
        <w:rPr>
          <w:spacing w:val="-3"/>
          <w:sz w:val="24"/>
          <w:szCs w:val="24"/>
          <w:u w:val="single"/>
        </w:rPr>
        <w:t>Patterson v. Bell Telephone Company of Pennsylvania</w:t>
      </w:r>
      <w:r w:rsidR="00251D19" w:rsidRPr="00542416">
        <w:rPr>
          <w:spacing w:val="-3"/>
          <w:sz w:val="24"/>
          <w:szCs w:val="24"/>
        </w:rPr>
        <w:t>, 72 Pa.</w:t>
      </w:r>
      <w:r w:rsidR="00825A71">
        <w:rPr>
          <w:spacing w:val="-3"/>
          <w:sz w:val="24"/>
          <w:szCs w:val="24"/>
        </w:rPr>
        <w:t xml:space="preserve"> </w:t>
      </w:r>
      <w:r w:rsidR="00251D19" w:rsidRPr="00542416">
        <w:rPr>
          <w:spacing w:val="-3"/>
          <w:sz w:val="24"/>
          <w:szCs w:val="24"/>
        </w:rPr>
        <w:t>PUC</w:t>
      </w:r>
      <w:r w:rsidRPr="00542416">
        <w:rPr>
          <w:spacing w:val="-3"/>
          <w:sz w:val="24"/>
          <w:szCs w:val="24"/>
        </w:rPr>
        <w:t xml:space="preserve"> 196 (1990); </w:t>
      </w:r>
      <w:r w:rsidRPr="00FC4D6F">
        <w:rPr>
          <w:spacing w:val="-3"/>
          <w:sz w:val="24"/>
          <w:szCs w:val="24"/>
          <w:u w:val="single"/>
        </w:rPr>
        <w:t>Feinstein v. Philadelphia Suburban Water Company</w:t>
      </w:r>
      <w:r w:rsidRPr="00542416">
        <w:rPr>
          <w:spacing w:val="-3"/>
          <w:sz w:val="24"/>
          <w:szCs w:val="24"/>
        </w:rPr>
        <w:t>, 50 Pa.</w:t>
      </w:r>
      <w:r w:rsidR="00825A71">
        <w:rPr>
          <w:spacing w:val="-3"/>
          <w:sz w:val="24"/>
          <w:szCs w:val="24"/>
        </w:rPr>
        <w:t xml:space="preserve"> </w:t>
      </w:r>
      <w:r w:rsidR="00251D19" w:rsidRPr="00542416">
        <w:rPr>
          <w:spacing w:val="-3"/>
          <w:sz w:val="24"/>
          <w:szCs w:val="24"/>
        </w:rPr>
        <w:t xml:space="preserve">PUC </w:t>
      </w:r>
      <w:r w:rsidRPr="00542416">
        <w:rPr>
          <w:spacing w:val="-3"/>
          <w:sz w:val="24"/>
          <w:szCs w:val="24"/>
        </w:rPr>
        <w:t xml:space="preserve">300 (1976).  This must be shown by a preponderance of the evidence.  </w:t>
      </w:r>
      <w:r w:rsidR="003E594B" w:rsidRPr="00FC4D6F">
        <w:rPr>
          <w:spacing w:val="-3"/>
          <w:sz w:val="24"/>
          <w:szCs w:val="24"/>
          <w:u w:val="single"/>
        </w:rPr>
        <w:t>Samuel J. Lansberry, Inc. v. Pa.</w:t>
      </w:r>
      <w:r w:rsidR="00825A71">
        <w:rPr>
          <w:spacing w:val="-3"/>
          <w:sz w:val="24"/>
          <w:szCs w:val="24"/>
          <w:u w:val="single"/>
        </w:rPr>
        <w:t xml:space="preserve"> </w:t>
      </w:r>
      <w:r w:rsidR="00251D19" w:rsidRPr="00FC4D6F">
        <w:rPr>
          <w:spacing w:val="-3"/>
          <w:sz w:val="24"/>
          <w:szCs w:val="24"/>
          <w:u w:val="single"/>
        </w:rPr>
        <w:t>P</w:t>
      </w:r>
      <w:r w:rsidR="006D0773">
        <w:rPr>
          <w:spacing w:val="-3"/>
          <w:sz w:val="24"/>
          <w:szCs w:val="24"/>
          <w:u w:val="single"/>
        </w:rPr>
        <w:t>ub. Util. Comm’n</w:t>
      </w:r>
      <w:r w:rsidRPr="00542416">
        <w:rPr>
          <w:spacing w:val="-3"/>
          <w:sz w:val="24"/>
          <w:szCs w:val="24"/>
        </w:rPr>
        <w:t xml:space="preserve">, 578 A.2d 600 (1990), </w:t>
      </w:r>
      <w:r w:rsidRPr="00542416">
        <w:rPr>
          <w:i/>
          <w:spacing w:val="-3"/>
          <w:sz w:val="24"/>
          <w:szCs w:val="24"/>
        </w:rPr>
        <w:t>alloc. den.</w:t>
      </w:r>
      <w:r w:rsidR="003E594B" w:rsidRPr="00542416">
        <w:rPr>
          <w:spacing w:val="-3"/>
          <w:sz w:val="24"/>
          <w:szCs w:val="24"/>
        </w:rPr>
        <w:t xml:space="preserve">, 602 A.2d </w:t>
      </w:r>
      <w:r w:rsidRPr="00542416">
        <w:rPr>
          <w:spacing w:val="-3"/>
          <w:sz w:val="24"/>
          <w:szCs w:val="24"/>
        </w:rPr>
        <w:t>863 (1992).</w:t>
      </w:r>
    </w:p>
    <w:p w:rsidR="0042193A" w:rsidRPr="007934E4" w:rsidRDefault="0042193A" w:rsidP="00542416">
      <w:pPr>
        <w:tabs>
          <w:tab w:val="left" w:pos="2160"/>
        </w:tabs>
        <w:spacing w:line="360" w:lineRule="auto"/>
        <w:ind w:firstLine="1440"/>
        <w:rPr>
          <w:spacing w:val="-3"/>
          <w:sz w:val="24"/>
          <w:szCs w:val="24"/>
        </w:rPr>
      </w:pPr>
    </w:p>
    <w:p w:rsidR="0042193A" w:rsidRDefault="007071D5" w:rsidP="00542416">
      <w:pPr>
        <w:pStyle w:val="ListParagraph"/>
        <w:numPr>
          <w:ilvl w:val="0"/>
          <w:numId w:val="23"/>
        </w:numPr>
        <w:tabs>
          <w:tab w:val="left" w:pos="2160"/>
        </w:tabs>
        <w:spacing w:line="360" w:lineRule="auto"/>
        <w:ind w:left="0" w:right="-36" w:firstLine="1440"/>
        <w:rPr>
          <w:sz w:val="24"/>
          <w:szCs w:val="24"/>
        </w:rPr>
      </w:pPr>
      <w:r w:rsidRPr="00542416">
        <w:rPr>
          <w:sz w:val="24"/>
          <w:szCs w:val="24"/>
        </w:rPr>
        <w:t xml:space="preserve">Due process is provided when the parties are afforded notice and the opportunity to appear and be heard.  </w:t>
      </w:r>
      <w:r w:rsidRPr="00542416">
        <w:rPr>
          <w:sz w:val="24"/>
          <w:szCs w:val="24"/>
          <w:u w:val="single"/>
        </w:rPr>
        <w:t>Schneider v. Pa. P</w:t>
      </w:r>
      <w:r w:rsidR="006D0773">
        <w:rPr>
          <w:sz w:val="24"/>
          <w:szCs w:val="24"/>
          <w:u w:val="single"/>
        </w:rPr>
        <w:t>ub. Util. Comm’n</w:t>
      </w:r>
      <w:r w:rsidRPr="00542416">
        <w:rPr>
          <w:sz w:val="24"/>
          <w:szCs w:val="24"/>
        </w:rPr>
        <w:t>, 479 A.2d 10 (Pa.Cmwlth.</w:t>
      </w:r>
      <w:r w:rsidR="00C86A5B">
        <w:rPr>
          <w:sz w:val="24"/>
          <w:szCs w:val="24"/>
        </w:rPr>
        <w:t xml:space="preserve"> </w:t>
      </w:r>
      <w:r w:rsidRPr="00542416">
        <w:rPr>
          <w:sz w:val="24"/>
          <w:szCs w:val="24"/>
        </w:rPr>
        <w:t>1984).</w:t>
      </w:r>
    </w:p>
    <w:p w:rsidR="00542416" w:rsidRPr="00542416" w:rsidRDefault="00542416" w:rsidP="003616E3">
      <w:pPr>
        <w:pStyle w:val="ListParagraph"/>
        <w:spacing w:line="360" w:lineRule="auto"/>
        <w:rPr>
          <w:sz w:val="24"/>
          <w:szCs w:val="24"/>
        </w:rPr>
      </w:pPr>
    </w:p>
    <w:p w:rsidR="00542416" w:rsidRPr="00542416" w:rsidRDefault="00542416" w:rsidP="00542416">
      <w:pPr>
        <w:pStyle w:val="ListParagraph"/>
        <w:numPr>
          <w:ilvl w:val="0"/>
          <w:numId w:val="23"/>
        </w:numPr>
        <w:tabs>
          <w:tab w:val="left" w:pos="2160"/>
        </w:tabs>
        <w:spacing w:line="360" w:lineRule="auto"/>
        <w:ind w:left="0" w:right="-36" w:firstLine="1440"/>
        <w:rPr>
          <w:sz w:val="24"/>
          <w:szCs w:val="24"/>
        </w:rPr>
      </w:pPr>
      <w:r>
        <w:rPr>
          <w:sz w:val="24"/>
          <w:szCs w:val="24"/>
        </w:rPr>
        <w:t>Complainant was afforded notice and an opportunity to be heard.</w:t>
      </w:r>
    </w:p>
    <w:p w:rsidR="007071D5" w:rsidRDefault="007071D5" w:rsidP="00542416">
      <w:pPr>
        <w:tabs>
          <w:tab w:val="left" w:pos="2160"/>
        </w:tabs>
        <w:spacing w:line="360" w:lineRule="auto"/>
        <w:ind w:right="-36" w:firstLine="1440"/>
        <w:rPr>
          <w:sz w:val="24"/>
          <w:szCs w:val="24"/>
        </w:rPr>
      </w:pPr>
    </w:p>
    <w:p w:rsidR="007071D5" w:rsidRPr="00542416" w:rsidRDefault="007071D5" w:rsidP="00542416">
      <w:pPr>
        <w:pStyle w:val="ListParagraph"/>
        <w:numPr>
          <w:ilvl w:val="0"/>
          <w:numId w:val="23"/>
        </w:numPr>
        <w:tabs>
          <w:tab w:val="left" w:pos="2160"/>
        </w:tabs>
        <w:spacing w:line="360" w:lineRule="auto"/>
        <w:ind w:left="0" w:right="-36" w:firstLine="1440"/>
        <w:rPr>
          <w:sz w:val="24"/>
          <w:szCs w:val="24"/>
        </w:rPr>
      </w:pPr>
      <w:r w:rsidRPr="00542416">
        <w:rPr>
          <w:sz w:val="24"/>
          <w:szCs w:val="24"/>
        </w:rPr>
        <w:t>Complainant was provided due process.</w:t>
      </w:r>
    </w:p>
    <w:p w:rsidR="007071D5" w:rsidRDefault="007071D5" w:rsidP="00542416">
      <w:pPr>
        <w:tabs>
          <w:tab w:val="left" w:pos="2160"/>
        </w:tabs>
        <w:spacing w:line="360" w:lineRule="auto"/>
        <w:ind w:right="-36" w:firstLine="1440"/>
        <w:rPr>
          <w:sz w:val="24"/>
          <w:szCs w:val="24"/>
        </w:rPr>
      </w:pPr>
    </w:p>
    <w:p w:rsidR="00542416" w:rsidRPr="00542416" w:rsidRDefault="007071D5" w:rsidP="00542416">
      <w:pPr>
        <w:pStyle w:val="ListParagraph"/>
        <w:numPr>
          <w:ilvl w:val="0"/>
          <w:numId w:val="23"/>
        </w:numPr>
        <w:tabs>
          <w:tab w:val="left" w:pos="2160"/>
        </w:tabs>
        <w:spacing w:line="360" w:lineRule="auto"/>
        <w:ind w:left="0" w:right="-36" w:firstLine="1440"/>
        <w:rPr>
          <w:sz w:val="24"/>
          <w:szCs w:val="24"/>
        </w:rPr>
      </w:pPr>
      <w:r w:rsidRPr="00542416">
        <w:rPr>
          <w:sz w:val="24"/>
          <w:szCs w:val="24"/>
        </w:rPr>
        <w:t xml:space="preserve">Parties appearing before the Commission must at least make a good faith effort to comply with its procedures. </w:t>
      </w:r>
      <w:r w:rsidR="00136A1E">
        <w:rPr>
          <w:sz w:val="24"/>
          <w:szCs w:val="24"/>
        </w:rPr>
        <w:t xml:space="preserve"> </w:t>
      </w:r>
      <w:r w:rsidRPr="00542416">
        <w:rPr>
          <w:spacing w:val="-3"/>
          <w:sz w:val="24"/>
          <w:szCs w:val="24"/>
          <w:u w:val="single"/>
        </w:rPr>
        <w:t>Dushawn King v. Verizon Pennsylvania Inc.</w:t>
      </w:r>
      <w:r w:rsidRPr="00542416">
        <w:rPr>
          <w:spacing w:val="-3"/>
          <w:sz w:val="24"/>
          <w:szCs w:val="24"/>
        </w:rPr>
        <w:t xml:space="preserve"> Docket No. C</w:t>
      </w:r>
      <w:r w:rsidR="00136A1E">
        <w:rPr>
          <w:spacing w:val="-3"/>
          <w:sz w:val="24"/>
          <w:szCs w:val="24"/>
        </w:rPr>
        <w:noBreakHyphen/>
      </w:r>
      <w:r w:rsidRPr="00542416">
        <w:rPr>
          <w:spacing w:val="-3"/>
          <w:sz w:val="24"/>
          <w:szCs w:val="24"/>
        </w:rPr>
        <w:t xml:space="preserve">20054799 (Order entered March 21, 2006), 2006 Pa. PUC LEXIS 26.  </w:t>
      </w:r>
    </w:p>
    <w:p w:rsidR="00542416" w:rsidRPr="00542416" w:rsidRDefault="00542416" w:rsidP="00542416">
      <w:pPr>
        <w:pStyle w:val="ListParagraph"/>
        <w:rPr>
          <w:sz w:val="24"/>
          <w:szCs w:val="24"/>
        </w:rPr>
      </w:pPr>
    </w:p>
    <w:p w:rsidR="00542416" w:rsidRDefault="00542416" w:rsidP="00542416">
      <w:pPr>
        <w:pStyle w:val="ListParagraph"/>
        <w:numPr>
          <w:ilvl w:val="0"/>
          <w:numId w:val="23"/>
        </w:numPr>
        <w:tabs>
          <w:tab w:val="left" w:pos="2160"/>
        </w:tabs>
        <w:spacing w:line="360" w:lineRule="auto"/>
        <w:ind w:left="0" w:right="-36" w:firstLine="1440"/>
        <w:rPr>
          <w:sz w:val="24"/>
          <w:szCs w:val="24"/>
        </w:rPr>
      </w:pPr>
      <w:r>
        <w:rPr>
          <w:sz w:val="24"/>
          <w:szCs w:val="24"/>
        </w:rPr>
        <w:t xml:space="preserve"> Complainant’s actions obstructed the orderly conduct of the proceeding and were inimical to the public interest, and justify dismissal of the Formal Complaint under 52</w:t>
      </w:r>
      <w:r w:rsidR="00385E5F">
        <w:rPr>
          <w:sz w:val="24"/>
          <w:szCs w:val="24"/>
        </w:rPr>
        <w:t> </w:t>
      </w:r>
      <w:r>
        <w:rPr>
          <w:sz w:val="24"/>
          <w:szCs w:val="24"/>
        </w:rPr>
        <w:t>Pa.Code § 5.245.</w:t>
      </w:r>
    </w:p>
    <w:p w:rsidR="00542416" w:rsidRPr="00542416" w:rsidRDefault="00542416" w:rsidP="00562F20">
      <w:pPr>
        <w:pStyle w:val="ListParagraph"/>
        <w:tabs>
          <w:tab w:val="left" w:pos="2160"/>
        </w:tabs>
        <w:spacing w:line="360" w:lineRule="auto"/>
        <w:ind w:left="0" w:firstLine="1440"/>
        <w:rPr>
          <w:sz w:val="24"/>
          <w:szCs w:val="24"/>
        </w:rPr>
      </w:pPr>
    </w:p>
    <w:p w:rsidR="007071D5" w:rsidRPr="00542416" w:rsidRDefault="007071D5" w:rsidP="00542416">
      <w:pPr>
        <w:pStyle w:val="ListParagraph"/>
        <w:numPr>
          <w:ilvl w:val="0"/>
          <w:numId w:val="23"/>
        </w:numPr>
        <w:tabs>
          <w:tab w:val="left" w:pos="2160"/>
        </w:tabs>
        <w:spacing w:line="360" w:lineRule="auto"/>
        <w:ind w:left="0" w:right="-36" w:firstLine="1440"/>
        <w:rPr>
          <w:sz w:val="24"/>
          <w:szCs w:val="24"/>
        </w:rPr>
      </w:pPr>
      <w:r w:rsidRPr="00542416">
        <w:rPr>
          <w:sz w:val="24"/>
          <w:szCs w:val="24"/>
        </w:rPr>
        <w:t xml:space="preserve"> </w:t>
      </w:r>
      <w:r w:rsidR="00542416">
        <w:rPr>
          <w:spacing w:val="-3"/>
          <w:sz w:val="24"/>
          <w:szCs w:val="24"/>
        </w:rPr>
        <w:t>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the complainant, applicant, or petitioner.  52 Pa.Code § 5.245(c).</w:t>
      </w:r>
    </w:p>
    <w:p w:rsidR="00542416" w:rsidRPr="00542416" w:rsidRDefault="00542416" w:rsidP="00562F20">
      <w:pPr>
        <w:pStyle w:val="ListParagraph"/>
        <w:spacing w:line="360" w:lineRule="auto"/>
        <w:rPr>
          <w:sz w:val="24"/>
          <w:szCs w:val="24"/>
        </w:rPr>
      </w:pPr>
    </w:p>
    <w:p w:rsidR="00542416" w:rsidRPr="00542416" w:rsidRDefault="00542416" w:rsidP="00542416">
      <w:pPr>
        <w:pStyle w:val="ListParagraph"/>
        <w:numPr>
          <w:ilvl w:val="0"/>
          <w:numId w:val="23"/>
        </w:numPr>
        <w:tabs>
          <w:tab w:val="left" w:pos="2160"/>
        </w:tabs>
        <w:spacing w:line="360" w:lineRule="auto"/>
        <w:ind w:left="0" w:right="-36" w:firstLine="1440"/>
        <w:rPr>
          <w:sz w:val="24"/>
          <w:szCs w:val="24"/>
        </w:rPr>
      </w:pPr>
      <w:r>
        <w:rPr>
          <w:spacing w:val="-3"/>
          <w:sz w:val="24"/>
          <w:szCs w:val="24"/>
        </w:rPr>
        <w:t xml:space="preserve">The Commission has repeatedly found that striking complaints for the contemptuous failure to respond to discovery, rather than prohibiting the introduction of evidence at a hearing, is the appropriate sanction to be imposed.  </w:t>
      </w:r>
      <w:r w:rsidRPr="00FC4D6F">
        <w:rPr>
          <w:spacing w:val="-3"/>
          <w:sz w:val="24"/>
          <w:szCs w:val="24"/>
          <w:u w:val="single"/>
        </w:rPr>
        <w:t>Merchant v. Bell Tel. Co. of PA</w:t>
      </w:r>
      <w:r>
        <w:rPr>
          <w:spacing w:val="-3"/>
          <w:sz w:val="24"/>
          <w:szCs w:val="24"/>
        </w:rPr>
        <w:t xml:space="preserve">, Docket No. C-00935253.  Commission Order entered June 20, 1994; </w:t>
      </w:r>
      <w:r w:rsidRPr="00FC4D6F">
        <w:rPr>
          <w:spacing w:val="-3"/>
          <w:sz w:val="24"/>
          <w:szCs w:val="24"/>
          <w:u w:val="single"/>
        </w:rPr>
        <w:t>Application of Tyrone E. Hartley t/d/b/a/ T’s Automotive Service</w:t>
      </w:r>
      <w:r>
        <w:rPr>
          <w:spacing w:val="-3"/>
          <w:sz w:val="24"/>
          <w:szCs w:val="24"/>
        </w:rPr>
        <w:t>, Docket No. A-00112575, (Comm</w:t>
      </w:r>
      <w:r w:rsidR="00FC4D6F">
        <w:rPr>
          <w:spacing w:val="-3"/>
          <w:sz w:val="24"/>
          <w:szCs w:val="24"/>
        </w:rPr>
        <w:t>ission Final Order entered Augus</w:t>
      </w:r>
      <w:r>
        <w:rPr>
          <w:spacing w:val="-3"/>
          <w:sz w:val="24"/>
          <w:szCs w:val="24"/>
        </w:rPr>
        <w:t xml:space="preserve">t 6, 1996); </w:t>
      </w:r>
      <w:r w:rsidRPr="00FC4D6F">
        <w:rPr>
          <w:spacing w:val="-3"/>
          <w:sz w:val="24"/>
          <w:szCs w:val="24"/>
          <w:u w:val="single"/>
        </w:rPr>
        <w:t>Application of Karen Lee Miller</w:t>
      </w:r>
      <w:r>
        <w:rPr>
          <w:spacing w:val="-3"/>
          <w:sz w:val="24"/>
          <w:szCs w:val="24"/>
        </w:rPr>
        <w:t xml:space="preserve">, Docket No. A-00116067 (Commission Final Order entered March 27, 2000; </w:t>
      </w:r>
      <w:r w:rsidR="00FC4D6F">
        <w:rPr>
          <w:spacing w:val="-3"/>
          <w:sz w:val="24"/>
          <w:szCs w:val="24"/>
          <w:u w:val="single"/>
        </w:rPr>
        <w:t>Application of Patrick M</w:t>
      </w:r>
      <w:r w:rsidRPr="00FC4D6F">
        <w:rPr>
          <w:spacing w:val="-3"/>
          <w:sz w:val="24"/>
          <w:szCs w:val="24"/>
          <w:u w:val="single"/>
        </w:rPr>
        <w:t>. Kelsey</w:t>
      </w:r>
      <w:r>
        <w:rPr>
          <w:spacing w:val="-3"/>
          <w:sz w:val="24"/>
          <w:szCs w:val="24"/>
        </w:rPr>
        <w:t>, Docket No. A-00116366 (Commission Final Order entered May 18, 2000).</w:t>
      </w:r>
    </w:p>
    <w:p w:rsidR="00542416" w:rsidRPr="00542416" w:rsidRDefault="00542416" w:rsidP="00562F20">
      <w:pPr>
        <w:pStyle w:val="ListParagraph"/>
        <w:spacing w:line="360" w:lineRule="auto"/>
        <w:rPr>
          <w:sz w:val="24"/>
          <w:szCs w:val="24"/>
        </w:rPr>
      </w:pPr>
    </w:p>
    <w:p w:rsidR="00542416" w:rsidRPr="00542416" w:rsidRDefault="00542416" w:rsidP="00542416">
      <w:pPr>
        <w:pStyle w:val="ListParagraph"/>
        <w:numPr>
          <w:ilvl w:val="0"/>
          <w:numId w:val="23"/>
        </w:numPr>
        <w:tabs>
          <w:tab w:val="left" w:pos="2160"/>
        </w:tabs>
        <w:spacing w:line="360" w:lineRule="auto"/>
        <w:ind w:left="0" w:right="-36" w:firstLine="1440"/>
        <w:rPr>
          <w:sz w:val="24"/>
          <w:szCs w:val="24"/>
        </w:rPr>
      </w:pPr>
      <w:r>
        <w:rPr>
          <w:sz w:val="24"/>
          <w:szCs w:val="24"/>
        </w:rPr>
        <w:t xml:space="preserve"> Complainant failed to provide sufficient evidence to support his Formal Complaint.</w:t>
      </w:r>
    </w:p>
    <w:p w:rsidR="005B3C00" w:rsidRDefault="005B3C00"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FC4D6F" w:rsidRDefault="00DE562E" w:rsidP="0081696C">
      <w:pPr>
        <w:spacing w:line="360" w:lineRule="auto"/>
        <w:ind w:firstLine="1440"/>
        <w:outlineLvl w:val="0"/>
        <w:rPr>
          <w:sz w:val="24"/>
          <w:szCs w:val="24"/>
        </w:rPr>
      </w:pPr>
      <w:r w:rsidRPr="00DE562E">
        <w:rPr>
          <w:sz w:val="24"/>
          <w:szCs w:val="24"/>
        </w:rPr>
        <w:t>IT IS ORDERED:</w:t>
      </w:r>
    </w:p>
    <w:p w:rsidR="00825A71" w:rsidRDefault="00825A71" w:rsidP="0081696C">
      <w:pPr>
        <w:spacing w:line="360" w:lineRule="auto"/>
        <w:ind w:firstLine="1440"/>
        <w:outlineLvl w:val="0"/>
        <w:rPr>
          <w:sz w:val="24"/>
          <w:szCs w:val="24"/>
        </w:rPr>
      </w:pPr>
    </w:p>
    <w:p w:rsidR="00DE562E" w:rsidRDefault="00FC4D6F" w:rsidP="00734F6B">
      <w:pPr>
        <w:pStyle w:val="ListParagraph"/>
        <w:numPr>
          <w:ilvl w:val="0"/>
          <w:numId w:val="27"/>
        </w:numPr>
        <w:spacing w:line="360" w:lineRule="auto"/>
        <w:ind w:firstLine="720"/>
        <w:outlineLvl w:val="0"/>
        <w:rPr>
          <w:sz w:val="24"/>
          <w:szCs w:val="24"/>
        </w:rPr>
      </w:pPr>
      <w:r>
        <w:rPr>
          <w:sz w:val="24"/>
          <w:szCs w:val="24"/>
        </w:rPr>
        <w:t>That the motion made by PECO Energy Company is granted.</w:t>
      </w:r>
    </w:p>
    <w:p w:rsidR="007E37E5" w:rsidRDefault="007E37E5" w:rsidP="007E37E5">
      <w:pPr>
        <w:pStyle w:val="ListParagraph"/>
        <w:spacing w:line="360" w:lineRule="auto"/>
        <w:outlineLvl w:val="0"/>
        <w:rPr>
          <w:sz w:val="24"/>
          <w:szCs w:val="24"/>
        </w:rPr>
      </w:pPr>
    </w:p>
    <w:p w:rsidR="00B93880" w:rsidRPr="00FC4D6F" w:rsidRDefault="00FC4D6F" w:rsidP="00734F6B">
      <w:pPr>
        <w:pStyle w:val="ListParagraph"/>
        <w:numPr>
          <w:ilvl w:val="0"/>
          <w:numId w:val="27"/>
        </w:numPr>
        <w:spacing w:line="360" w:lineRule="auto"/>
        <w:ind w:left="0" w:firstLine="1440"/>
        <w:outlineLvl w:val="0"/>
        <w:rPr>
          <w:sz w:val="24"/>
          <w:szCs w:val="24"/>
        </w:rPr>
      </w:pPr>
      <w:r w:rsidRPr="00FC4D6F">
        <w:rPr>
          <w:sz w:val="24"/>
          <w:szCs w:val="24"/>
        </w:rPr>
        <w:t xml:space="preserve"> </w:t>
      </w:r>
      <w:r w:rsidR="00542416" w:rsidRPr="00FC4D6F">
        <w:rPr>
          <w:sz w:val="24"/>
          <w:szCs w:val="24"/>
        </w:rPr>
        <w:t>That the Formal Complaint filed by Vincent Diodad at Docket No. C</w:t>
      </w:r>
      <w:r w:rsidR="00EB55FB">
        <w:rPr>
          <w:sz w:val="24"/>
          <w:szCs w:val="24"/>
        </w:rPr>
        <w:noBreakHyphen/>
      </w:r>
      <w:r w:rsidR="00542416" w:rsidRPr="00FC4D6F">
        <w:rPr>
          <w:sz w:val="24"/>
          <w:szCs w:val="24"/>
        </w:rPr>
        <w:t>2014-2416521</w:t>
      </w:r>
      <w:r w:rsidR="00B93880" w:rsidRPr="00FC4D6F">
        <w:rPr>
          <w:sz w:val="24"/>
          <w:szCs w:val="24"/>
        </w:rPr>
        <w:t xml:space="preserve"> is dismissed. </w:t>
      </w:r>
    </w:p>
    <w:p w:rsidR="00B93880" w:rsidRDefault="00B93880" w:rsidP="00B93880">
      <w:pPr>
        <w:pStyle w:val="ListParagraph"/>
        <w:spacing w:line="360" w:lineRule="auto"/>
        <w:ind w:left="1440"/>
        <w:outlineLvl w:val="0"/>
        <w:rPr>
          <w:sz w:val="24"/>
          <w:szCs w:val="24"/>
        </w:rPr>
      </w:pPr>
    </w:p>
    <w:p w:rsidR="00B93880" w:rsidRDefault="00B93880" w:rsidP="00734F6B">
      <w:pPr>
        <w:pStyle w:val="ListParagraph"/>
        <w:numPr>
          <w:ilvl w:val="0"/>
          <w:numId w:val="27"/>
        </w:numPr>
        <w:spacing w:line="360" w:lineRule="auto"/>
        <w:ind w:firstLine="720"/>
        <w:outlineLvl w:val="0"/>
        <w:rPr>
          <w:sz w:val="24"/>
          <w:szCs w:val="24"/>
        </w:rPr>
      </w:pPr>
      <w:r>
        <w:rPr>
          <w:sz w:val="24"/>
          <w:szCs w:val="24"/>
        </w:rPr>
        <w:t xml:space="preserve">That the Secretary </w:t>
      </w:r>
      <w:r w:rsidR="00FC4D6F">
        <w:rPr>
          <w:sz w:val="24"/>
          <w:szCs w:val="24"/>
        </w:rPr>
        <w:t xml:space="preserve">shall </w:t>
      </w:r>
      <w:r>
        <w:rPr>
          <w:sz w:val="24"/>
          <w:szCs w:val="24"/>
        </w:rPr>
        <w:t>mark this Docket closed.</w:t>
      </w:r>
    </w:p>
    <w:p w:rsidR="00BB3104" w:rsidRDefault="00BB3104" w:rsidP="00CE68C6">
      <w:pPr>
        <w:spacing w:line="360" w:lineRule="auto"/>
        <w:rPr>
          <w:sz w:val="24"/>
          <w:szCs w:val="24"/>
        </w:rPr>
      </w:pPr>
    </w:p>
    <w:p w:rsidR="00562F20" w:rsidRDefault="00562F20" w:rsidP="00CE68C6">
      <w:pPr>
        <w:spacing w:line="360" w:lineRule="auto"/>
        <w:rPr>
          <w:sz w:val="24"/>
          <w:szCs w:val="24"/>
        </w:rPr>
      </w:pPr>
    </w:p>
    <w:p w:rsidR="001F7F73" w:rsidRDefault="00DE562E" w:rsidP="004011F7">
      <w:pPr>
        <w:rPr>
          <w:sz w:val="24"/>
          <w:szCs w:val="24"/>
        </w:rPr>
      </w:pPr>
      <w:r w:rsidRPr="00DE562E">
        <w:rPr>
          <w:sz w:val="24"/>
          <w:szCs w:val="24"/>
        </w:rPr>
        <w:t>Date:</w:t>
      </w:r>
      <w:r w:rsidR="004011F7">
        <w:rPr>
          <w:sz w:val="24"/>
          <w:szCs w:val="24"/>
        </w:rPr>
        <w:t xml:space="preserve">  </w:t>
      </w:r>
      <w:r w:rsidR="00825A71">
        <w:rPr>
          <w:sz w:val="24"/>
          <w:szCs w:val="24"/>
          <w:u w:val="single"/>
        </w:rPr>
        <w:t>July 17, 2014</w:t>
      </w:r>
      <w:r w:rsidR="001F7F73">
        <w:rPr>
          <w:sz w:val="24"/>
          <w:szCs w:val="24"/>
        </w:rPr>
        <w:tab/>
      </w:r>
      <w:r w:rsidR="001F7F73">
        <w:rPr>
          <w:sz w:val="24"/>
          <w:szCs w:val="24"/>
        </w:rPr>
        <w:tab/>
      </w:r>
      <w:r w:rsidR="001F7F73">
        <w:rPr>
          <w:sz w:val="24"/>
          <w:szCs w:val="24"/>
        </w:rPr>
        <w:tab/>
      </w:r>
      <w:r w:rsidR="001F7F73">
        <w:rPr>
          <w:sz w:val="24"/>
          <w:szCs w:val="24"/>
        </w:rPr>
        <w:tab/>
      </w:r>
      <w:r w:rsidR="00562F20">
        <w:rPr>
          <w:sz w:val="24"/>
          <w:szCs w:val="24"/>
        </w:rPr>
        <w:tab/>
      </w:r>
      <w:r w:rsidR="00562F20">
        <w:rPr>
          <w:sz w:val="24"/>
          <w:szCs w:val="24"/>
        </w:rPr>
        <w:tab/>
      </w:r>
      <w:r w:rsidR="004011F7">
        <w:rPr>
          <w:u w:val="single"/>
        </w:rPr>
        <w:tab/>
      </w:r>
      <w:r w:rsidR="004011F7">
        <w:rPr>
          <w:u w:val="single"/>
        </w:rPr>
        <w:tab/>
      </w:r>
      <w:r w:rsidR="004011F7" w:rsidRPr="004011F7">
        <w:rPr>
          <w:sz w:val="24"/>
          <w:szCs w:val="24"/>
          <w:u w:val="single"/>
        </w:rPr>
        <w:t>/s/</w:t>
      </w:r>
      <w:r w:rsidR="004011F7" w:rsidRPr="004011F7">
        <w:rPr>
          <w:sz w:val="24"/>
          <w:szCs w:val="24"/>
          <w:u w:val="single"/>
        </w:rPr>
        <w:tab/>
      </w:r>
      <w:r w:rsidR="004011F7">
        <w:rPr>
          <w:u w:val="single"/>
        </w:rPr>
        <w:tab/>
      </w:r>
      <w:r w:rsidR="004011F7">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62F20">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62F20">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27" w:rsidRDefault="009E7127">
      <w:r>
        <w:separator/>
      </w:r>
    </w:p>
  </w:endnote>
  <w:endnote w:type="continuationSeparator" w:id="0">
    <w:p w:rsidR="009E7127" w:rsidRDefault="009E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666278">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27" w:rsidRDefault="009E7127">
      <w:r>
        <w:separator/>
      </w:r>
    </w:p>
  </w:footnote>
  <w:footnote w:type="continuationSeparator" w:id="0">
    <w:p w:rsidR="009E7127" w:rsidRDefault="009E7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E877E9D"/>
    <w:multiLevelType w:val="hybridMultilevel"/>
    <w:tmpl w:val="5F744EA0"/>
    <w:lvl w:ilvl="0" w:tplc="B880A41C">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DC31FB6"/>
    <w:multiLevelType w:val="hybridMultilevel"/>
    <w:tmpl w:val="F7EC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nsid w:val="4E6F2FCB"/>
    <w:multiLevelType w:val="hybridMultilevel"/>
    <w:tmpl w:val="5D90D0FE"/>
    <w:lvl w:ilvl="0" w:tplc="720CB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60666DFA"/>
    <w:multiLevelType w:val="hybridMultilevel"/>
    <w:tmpl w:val="4A5E5BA8"/>
    <w:lvl w:ilvl="0" w:tplc="E2789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D5DEF"/>
    <w:multiLevelType w:val="hybridMultilevel"/>
    <w:tmpl w:val="38CAE97E"/>
    <w:lvl w:ilvl="0" w:tplc="18304DD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F10FA"/>
    <w:multiLevelType w:val="hybridMultilevel"/>
    <w:tmpl w:val="DCAEB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7"/>
  </w:num>
  <w:num w:numId="4">
    <w:abstractNumId w:val="2"/>
  </w:num>
  <w:num w:numId="5">
    <w:abstractNumId w:val="13"/>
  </w:num>
  <w:num w:numId="6">
    <w:abstractNumId w:val="9"/>
  </w:num>
  <w:num w:numId="7">
    <w:abstractNumId w:val="7"/>
  </w:num>
  <w:num w:numId="8">
    <w:abstractNumId w:val="0"/>
  </w:num>
  <w:num w:numId="9">
    <w:abstractNumId w:val="14"/>
  </w:num>
  <w:num w:numId="10">
    <w:abstractNumId w:val="19"/>
  </w:num>
  <w:num w:numId="11">
    <w:abstractNumId w:val="16"/>
  </w:num>
  <w:num w:numId="12">
    <w:abstractNumId w:val="26"/>
  </w:num>
  <w:num w:numId="13">
    <w:abstractNumId w:val="1"/>
  </w:num>
  <w:num w:numId="14">
    <w:abstractNumId w:val="8"/>
  </w:num>
  <w:num w:numId="15">
    <w:abstractNumId w:val="22"/>
  </w:num>
  <w:num w:numId="16">
    <w:abstractNumId w:val="25"/>
  </w:num>
  <w:num w:numId="17">
    <w:abstractNumId w:val="10"/>
  </w:num>
  <w:num w:numId="18">
    <w:abstractNumId w:val="5"/>
  </w:num>
  <w:num w:numId="19">
    <w:abstractNumId w:val="20"/>
  </w:num>
  <w:num w:numId="20">
    <w:abstractNumId w:val="4"/>
  </w:num>
  <w:num w:numId="21">
    <w:abstractNumId w:val="6"/>
  </w:num>
  <w:num w:numId="22">
    <w:abstractNumId w:val="12"/>
  </w:num>
  <w:num w:numId="23">
    <w:abstractNumId w:val="15"/>
  </w:num>
  <w:num w:numId="24">
    <w:abstractNumId w:val="24"/>
  </w:num>
  <w:num w:numId="25">
    <w:abstractNumId w:val="23"/>
  </w:num>
  <w:num w:numId="26">
    <w:abstractNumId w:val="18"/>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3E0"/>
    <w:rsid w:val="00022997"/>
    <w:rsid w:val="00022D67"/>
    <w:rsid w:val="0002512E"/>
    <w:rsid w:val="00027195"/>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1C1A"/>
    <w:rsid w:val="00101F65"/>
    <w:rsid w:val="001027AA"/>
    <w:rsid w:val="00110C23"/>
    <w:rsid w:val="00111EA9"/>
    <w:rsid w:val="001122A9"/>
    <w:rsid w:val="001155B6"/>
    <w:rsid w:val="00116136"/>
    <w:rsid w:val="00125871"/>
    <w:rsid w:val="00126207"/>
    <w:rsid w:val="001312A6"/>
    <w:rsid w:val="00134E8D"/>
    <w:rsid w:val="00136A1E"/>
    <w:rsid w:val="001404C5"/>
    <w:rsid w:val="00141DF5"/>
    <w:rsid w:val="00143C49"/>
    <w:rsid w:val="00144488"/>
    <w:rsid w:val="00147DEE"/>
    <w:rsid w:val="00152C6B"/>
    <w:rsid w:val="0015646C"/>
    <w:rsid w:val="001620CA"/>
    <w:rsid w:val="00176F82"/>
    <w:rsid w:val="0018160C"/>
    <w:rsid w:val="00186CDC"/>
    <w:rsid w:val="00187B87"/>
    <w:rsid w:val="001930DE"/>
    <w:rsid w:val="00193B6C"/>
    <w:rsid w:val="001A4CC0"/>
    <w:rsid w:val="001A721E"/>
    <w:rsid w:val="001B123C"/>
    <w:rsid w:val="001B3235"/>
    <w:rsid w:val="001C20B7"/>
    <w:rsid w:val="001C715B"/>
    <w:rsid w:val="001D3206"/>
    <w:rsid w:val="001D6FCF"/>
    <w:rsid w:val="001E4D26"/>
    <w:rsid w:val="001E4FAC"/>
    <w:rsid w:val="001F0787"/>
    <w:rsid w:val="001F08B4"/>
    <w:rsid w:val="001F2116"/>
    <w:rsid w:val="001F6FC1"/>
    <w:rsid w:val="001F7F73"/>
    <w:rsid w:val="0020095D"/>
    <w:rsid w:val="00205FC3"/>
    <w:rsid w:val="00215221"/>
    <w:rsid w:val="00220C5E"/>
    <w:rsid w:val="00223E7E"/>
    <w:rsid w:val="00234619"/>
    <w:rsid w:val="0023520D"/>
    <w:rsid w:val="00235C44"/>
    <w:rsid w:val="00236F69"/>
    <w:rsid w:val="00236FF7"/>
    <w:rsid w:val="002416AB"/>
    <w:rsid w:val="0024496F"/>
    <w:rsid w:val="00244D86"/>
    <w:rsid w:val="00251D19"/>
    <w:rsid w:val="0025370D"/>
    <w:rsid w:val="00260D19"/>
    <w:rsid w:val="00260F51"/>
    <w:rsid w:val="00266237"/>
    <w:rsid w:val="002732DC"/>
    <w:rsid w:val="00275E80"/>
    <w:rsid w:val="0028114B"/>
    <w:rsid w:val="0028185A"/>
    <w:rsid w:val="00290918"/>
    <w:rsid w:val="002919C6"/>
    <w:rsid w:val="00293557"/>
    <w:rsid w:val="002959E3"/>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075C6"/>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16E3"/>
    <w:rsid w:val="003657A8"/>
    <w:rsid w:val="00380450"/>
    <w:rsid w:val="00380AD7"/>
    <w:rsid w:val="00382B1A"/>
    <w:rsid w:val="003857DF"/>
    <w:rsid w:val="00385E5F"/>
    <w:rsid w:val="00386CDC"/>
    <w:rsid w:val="00391BD5"/>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69BF"/>
    <w:rsid w:val="004011F7"/>
    <w:rsid w:val="00402359"/>
    <w:rsid w:val="004064A8"/>
    <w:rsid w:val="004107FD"/>
    <w:rsid w:val="00417087"/>
    <w:rsid w:val="0042160A"/>
    <w:rsid w:val="0042193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06A2"/>
    <w:rsid w:val="004A1805"/>
    <w:rsid w:val="004A5AD6"/>
    <w:rsid w:val="004C3EFA"/>
    <w:rsid w:val="004D1B54"/>
    <w:rsid w:val="004D3108"/>
    <w:rsid w:val="004D46FD"/>
    <w:rsid w:val="004D65F3"/>
    <w:rsid w:val="004E187E"/>
    <w:rsid w:val="004E20CB"/>
    <w:rsid w:val="004E2912"/>
    <w:rsid w:val="004E533F"/>
    <w:rsid w:val="004F2D3D"/>
    <w:rsid w:val="004F7BF3"/>
    <w:rsid w:val="005032B5"/>
    <w:rsid w:val="00515937"/>
    <w:rsid w:val="00517AD1"/>
    <w:rsid w:val="00523780"/>
    <w:rsid w:val="00526B2A"/>
    <w:rsid w:val="00530D1B"/>
    <w:rsid w:val="00531226"/>
    <w:rsid w:val="00531409"/>
    <w:rsid w:val="00535DF7"/>
    <w:rsid w:val="00542107"/>
    <w:rsid w:val="00542416"/>
    <w:rsid w:val="0054474E"/>
    <w:rsid w:val="00553EEB"/>
    <w:rsid w:val="00562F20"/>
    <w:rsid w:val="00564C41"/>
    <w:rsid w:val="0056706A"/>
    <w:rsid w:val="00576EDE"/>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66278"/>
    <w:rsid w:val="00675607"/>
    <w:rsid w:val="00675986"/>
    <w:rsid w:val="00681961"/>
    <w:rsid w:val="00695694"/>
    <w:rsid w:val="006A21C2"/>
    <w:rsid w:val="006A3B47"/>
    <w:rsid w:val="006A7A0A"/>
    <w:rsid w:val="006C1047"/>
    <w:rsid w:val="006C3226"/>
    <w:rsid w:val="006D067F"/>
    <w:rsid w:val="006D0773"/>
    <w:rsid w:val="006D4BB7"/>
    <w:rsid w:val="006D75BD"/>
    <w:rsid w:val="006E4407"/>
    <w:rsid w:val="006F44F9"/>
    <w:rsid w:val="007015FC"/>
    <w:rsid w:val="007071D5"/>
    <w:rsid w:val="007114E7"/>
    <w:rsid w:val="0071588F"/>
    <w:rsid w:val="0073239A"/>
    <w:rsid w:val="0073430E"/>
    <w:rsid w:val="00734F6B"/>
    <w:rsid w:val="0073727C"/>
    <w:rsid w:val="00744AF3"/>
    <w:rsid w:val="00747E56"/>
    <w:rsid w:val="00751672"/>
    <w:rsid w:val="0075510C"/>
    <w:rsid w:val="00766C8E"/>
    <w:rsid w:val="0077255F"/>
    <w:rsid w:val="00775593"/>
    <w:rsid w:val="00782A08"/>
    <w:rsid w:val="00786153"/>
    <w:rsid w:val="00790EF3"/>
    <w:rsid w:val="00792C70"/>
    <w:rsid w:val="007965B0"/>
    <w:rsid w:val="007A49B5"/>
    <w:rsid w:val="007A504A"/>
    <w:rsid w:val="007B1672"/>
    <w:rsid w:val="007B1D2D"/>
    <w:rsid w:val="007B40A2"/>
    <w:rsid w:val="007B46F9"/>
    <w:rsid w:val="007B6CFE"/>
    <w:rsid w:val="007C36CE"/>
    <w:rsid w:val="007C7254"/>
    <w:rsid w:val="007C74E3"/>
    <w:rsid w:val="007D3E3E"/>
    <w:rsid w:val="007D6063"/>
    <w:rsid w:val="007E09E5"/>
    <w:rsid w:val="007E31DB"/>
    <w:rsid w:val="007E37E5"/>
    <w:rsid w:val="007E7871"/>
    <w:rsid w:val="00801DEE"/>
    <w:rsid w:val="00803141"/>
    <w:rsid w:val="0081070B"/>
    <w:rsid w:val="008142EB"/>
    <w:rsid w:val="0081669B"/>
    <w:rsid w:val="0081696C"/>
    <w:rsid w:val="008228F3"/>
    <w:rsid w:val="00823F91"/>
    <w:rsid w:val="00824683"/>
    <w:rsid w:val="00825A71"/>
    <w:rsid w:val="00833110"/>
    <w:rsid w:val="008354C5"/>
    <w:rsid w:val="0083691D"/>
    <w:rsid w:val="008406A0"/>
    <w:rsid w:val="00840FD3"/>
    <w:rsid w:val="00841779"/>
    <w:rsid w:val="008506A0"/>
    <w:rsid w:val="00851A4F"/>
    <w:rsid w:val="00851DAA"/>
    <w:rsid w:val="00866264"/>
    <w:rsid w:val="008663C0"/>
    <w:rsid w:val="008746E1"/>
    <w:rsid w:val="0087572C"/>
    <w:rsid w:val="008803F7"/>
    <w:rsid w:val="00881C76"/>
    <w:rsid w:val="0088763C"/>
    <w:rsid w:val="00893B0E"/>
    <w:rsid w:val="00893F0B"/>
    <w:rsid w:val="00894839"/>
    <w:rsid w:val="0089761B"/>
    <w:rsid w:val="008A60E2"/>
    <w:rsid w:val="008B1A8B"/>
    <w:rsid w:val="008B282A"/>
    <w:rsid w:val="008B2B8B"/>
    <w:rsid w:val="008C567D"/>
    <w:rsid w:val="008C596C"/>
    <w:rsid w:val="008D6D09"/>
    <w:rsid w:val="008D761F"/>
    <w:rsid w:val="008E3BE1"/>
    <w:rsid w:val="008E5A53"/>
    <w:rsid w:val="008F013A"/>
    <w:rsid w:val="008F22F9"/>
    <w:rsid w:val="008F554F"/>
    <w:rsid w:val="008F6AC3"/>
    <w:rsid w:val="0090369B"/>
    <w:rsid w:val="009077E3"/>
    <w:rsid w:val="00910EF2"/>
    <w:rsid w:val="00913B17"/>
    <w:rsid w:val="009166DD"/>
    <w:rsid w:val="0091672D"/>
    <w:rsid w:val="00922FE6"/>
    <w:rsid w:val="00933BD8"/>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E7127"/>
    <w:rsid w:val="009F24FB"/>
    <w:rsid w:val="009F4939"/>
    <w:rsid w:val="009F620C"/>
    <w:rsid w:val="009F7BD8"/>
    <w:rsid w:val="00A003D3"/>
    <w:rsid w:val="00A022C7"/>
    <w:rsid w:val="00A02D20"/>
    <w:rsid w:val="00A0627A"/>
    <w:rsid w:val="00A22653"/>
    <w:rsid w:val="00A23501"/>
    <w:rsid w:val="00A23BC5"/>
    <w:rsid w:val="00A24F45"/>
    <w:rsid w:val="00A345AE"/>
    <w:rsid w:val="00A356EB"/>
    <w:rsid w:val="00A409B8"/>
    <w:rsid w:val="00A4383B"/>
    <w:rsid w:val="00A475EE"/>
    <w:rsid w:val="00A523A9"/>
    <w:rsid w:val="00A52E9C"/>
    <w:rsid w:val="00A67786"/>
    <w:rsid w:val="00A67C1E"/>
    <w:rsid w:val="00A7050E"/>
    <w:rsid w:val="00A7543A"/>
    <w:rsid w:val="00A761ED"/>
    <w:rsid w:val="00A76B1D"/>
    <w:rsid w:val="00A86505"/>
    <w:rsid w:val="00A97049"/>
    <w:rsid w:val="00AA00A9"/>
    <w:rsid w:val="00AA0438"/>
    <w:rsid w:val="00AA1DE2"/>
    <w:rsid w:val="00AA6434"/>
    <w:rsid w:val="00AA7B5D"/>
    <w:rsid w:val="00AB3A78"/>
    <w:rsid w:val="00AC0968"/>
    <w:rsid w:val="00AC4DB7"/>
    <w:rsid w:val="00AC7513"/>
    <w:rsid w:val="00AC7FED"/>
    <w:rsid w:val="00AD0497"/>
    <w:rsid w:val="00AD0503"/>
    <w:rsid w:val="00AD0929"/>
    <w:rsid w:val="00AD507E"/>
    <w:rsid w:val="00AE00BA"/>
    <w:rsid w:val="00AE3E93"/>
    <w:rsid w:val="00AE6D1F"/>
    <w:rsid w:val="00AE7780"/>
    <w:rsid w:val="00AF2068"/>
    <w:rsid w:val="00AF7EAE"/>
    <w:rsid w:val="00B03092"/>
    <w:rsid w:val="00B0541E"/>
    <w:rsid w:val="00B13849"/>
    <w:rsid w:val="00B23067"/>
    <w:rsid w:val="00B2590D"/>
    <w:rsid w:val="00B32E66"/>
    <w:rsid w:val="00B34848"/>
    <w:rsid w:val="00B40E21"/>
    <w:rsid w:val="00B4409B"/>
    <w:rsid w:val="00B45676"/>
    <w:rsid w:val="00B45F71"/>
    <w:rsid w:val="00B5018B"/>
    <w:rsid w:val="00B57687"/>
    <w:rsid w:val="00B625D9"/>
    <w:rsid w:val="00B665D7"/>
    <w:rsid w:val="00B70860"/>
    <w:rsid w:val="00B71D02"/>
    <w:rsid w:val="00B87994"/>
    <w:rsid w:val="00B922CF"/>
    <w:rsid w:val="00B93880"/>
    <w:rsid w:val="00B94E3D"/>
    <w:rsid w:val="00BA47D2"/>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86A5B"/>
    <w:rsid w:val="00C908AD"/>
    <w:rsid w:val="00C920E5"/>
    <w:rsid w:val="00C94BB9"/>
    <w:rsid w:val="00C95BEA"/>
    <w:rsid w:val="00C9672C"/>
    <w:rsid w:val="00CA1E0E"/>
    <w:rsid w:val="00CA5BA3"/>
    <w:rsid w:val="00CB0D2B"/>
    <w:rsid w:val="00CB4F5E"/>
    <w:rsid w:val="00CB6A72"/>
    <w:rsid w:val="00CC49DA"/>
    <w:rsid w:val="00CC5E96"/>
    <w:rsid w:val="00CD4A78"/>
    <w:rsid w:val="00CD6B6A"/>
    <w:rsid w:val="00CE3A30"/>
    <w:rsid w:val="00CE43B4"/>
    <w:rsid w:val="00CE68C6"/>
    <w:rsid w:val="00CF32A6"/>
    <w:rsid w:val="00CF3BB0"/>
    <w:rsid w:val="00CF7138"/>
    <w:rsid w:val="00D02084"/>
    <w:rsid w:val="00D050DE"/>
    <w:rsid w:val="00D077EC"/>
    <w:rsid w:val="00D13B06"/>
    <w:rsid w:val="00D1728D"/>
    <w:rsid w:val="00D21BFC"/>
    <w:rsid w:val="00D21D55"/>
    <w:rsid w:val="00D21EF9"/>
    <w:rsid w:val="00D22F4A"/>
    <w:rsid w:val="00D23330"/>
    <w:rsid w:val="00D32326"/>
    <w:rsid w:val="00D32EFF"/>
    <w:rsid w:val="00D34B76"/>
    <w:rsid w:val="00D35F74"/>
    <w:rsid w:val="00D4029A"/>
    <w:rsid w:val="00D416A5"/>
    <w:rsid w:val="00D50C56"/>
    <w:rsid w:val="00D5488B"/>
    <w:rsid w:val="00D55074"/>
    <w:rsid w:val="00D55AA4"/>
    <w:rsid w:val="00D5720C"/>
    <w:rsid w:val="00D6261D"/>
    <w:rsid w:val="00D6598A"/>
    <w:rsid w:val="00D65F4B"/>
    <w:rsid w:val="00D671F6"/>
    <w:rsid w:val="00D71199"/>
    <w:rsid w:val="00D71653"/>
    <w:rsid w:val="00D72436"/>
    <w:rsid w:val="00D8063C"/>
    <w:rsid w:val="00D926F9"/>
    <w:rsid w:val="00D93182"/>
    <w:rsid w:val="00D961B5"/>
    <w:rsid w:val="00DA7FD6"/>
    <w:rsid w:val="00DB1328"/>
    <w:rsid w:val="00DB50CF"/>
    <w:rsid w:val="00DB7EE0"/>
    <w:rsid w:val="00DD0C69"/>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0E26"/>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B55FB"/>
    <w:rsid w:val="00EC15BD"/>
    <w:rsid w:val="00EC38D5"/>
    <w:rsid w:val="00EC41CE"/>
    <w:rsid w:val="00EC477B"/>
    <w:rsid w:val="00ED0F47"/>
    <w:rsid w:val="00EE34BE"/>
    <w:rsid w:val="00EF6C7F"/>
    <w:rsid w:val="00EF75B3"/>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2CD5"/>
    <w:rsid w:val="00F95BD7"/>
    <w:rsid w:val="00FA1741"/>
    <w:rsid w:val="00FA6242"/>
    <w:rsid w:val="00FA643C"/>
    <w:rsid w:val="00FA7894"/>
    <w:rsid w:val="00FC4D6F"/>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6912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76AB-D797-4FEB-9D16-10D1EA63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2014-07-28T12:38:00Z</cp:lastPrinted>
  <dcterms:created xsi:type="dcterms:W3CDTF">2014-07-31T14:35:00Z</dcterms:created>
  <dcterms:modified xsi:type="dcterms:W3CDTF">2014-07-31T14:35:00Z</dcterms:modified>
</cp:coreProperties>
</file>