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34C" w:rsidRPr="00B20BE9" w:rsidRDefault="00E9634C" w:rsidP="00E9634C">
      <w:pPr>
        <w:tabs>
          <w:tab w:val="center" w:pos="4680"/>
        </w:tabs>
        <w:suppressAutoHyphens/>
        <w:autoSpaceDE w:val="0"/>
        <w:autoSpaceDN w:val="0"/>
        <w:spacing w:line="240" w:lineRule="auto"/>
        <w:jc w:val="center"/>
        <w:rPr>
          <w:b/>
          <w:bCs/>
          <w:spacing w:val="-3"/>
          <w:sz w:val="24"/>
          <w:szCs w:val="24"/>
        </w:rPr>
      </w:pPr>
      <w:r w:rsidRPr="00B20BE9">
        <w:rPr>
          <w:b/>
          <w:bCs/>
          <w:spacing w:val="-3"/>
          <w:sz w:val="24"/>
          <w:szCs w:val="24"/>
        </w:rPr>
        <w:t>BEFORE THE</w:t>
      </w:r>
    </w:p>
    <w:p w:rsidR="00E9634C" w:rsidRPr="00B20BE9" w:rsidRDefault="00E9634C" w:rsidP="00E9634C">
      <w:pPr>
        <w:tabs>
          <w:tab w:val="center" w:pos="4680"/>
        </w:tabs>
        <w:suppressAutoHyphens/>
        <w:autoSpaceDE w:val="0"/>
        <w:autoSpaceDN w:val="0"/>
        <w:spacing w:line="240" w:lineRule="auto"/>
        <w:jc w:val="center"/>
        <w:rPr>
          <w:b/>
          <w:bCs/>
          <w:spacing w:val="-3"/>
          <w:sz w:val="24"/>
          <w:szCs w:val="24"/>
        </w:rPr>
      </w:pPr>
      <w:r w:rsidRPr="00B20BE9">
        <w:rPr>
          <w:b/>
          <w:bCs/>
          <w:spacing w:val="-3"/>
          <w:sz w:val="24"/>
          <w:szCs w:val="24"/>
        </w:rPr>
        <w:t>PENNSYLVANIA PUBLIC UTILITY COMMISSION</w:t>
      </w:r>
    </w:p>
    <w:p w:rsidR="00E9634C" w:rsidRPr="00B20BE9" w:rsidRDefault="00E9634C" w:rsidP="00E9634C">
      <w:pPr>
        <w:tabs>
          <w:tab w:val="center" w:pos="4680"/>
        </w:tabs>
        <w:suppressAutoHyphens/>
        <w:autoSpaceDE w:val="0"/>
        <w:autoSpaceDN w:val="0"/>
        <w:spacing w:line="240" w:lineRule="auto"/>
        <w:rPr>
          <w:spacing w:val="-3"/>
          <w:sz w:val="24"/>
          <w:szCs w:val="24"/>
        </w:rPr>
      </w:pPr>
    </w:p>
    <w:p w:rsidR="00E9634C" w:rsidRPr="00B20BE9" w:rsidRDefault="00E9634C" w:rsidP="00E9634C">
      <w:pPr>
        <w:tabs>
          <w:tab w:val="center" w:pos="4680"/>
        </w:tabs>
        <w:suppressAutoHyphens/>
        <w:autoSpaceDE w:val="0"/>
        <w:autoSpaceDN w:val="0"/>
        <w:spacing w:line="240" w:lineRule="auto"/>
        <w:rPr>
          <w:spacing w:val="-3"/>
          <w:sz w:val="24"/>
          <w:szCs w:val="24"/>
        </w:rPr>
      </w:pPr>
    </w:p>
    <w:p w:rsidR="00E9634C" w:rsidRPr="00B20BE9" w:rsidRDefault="00E9634C" w:rsidP="00E9634C">
      <w:pPr>
        <w:tabs>
          <w:tab w:val="left" w:pos="-720"/>
        </w:tabs>
        <w:suppressAutoHyphens/>
        <w:autoSpaceDE w:val="0"/>
        <w:autoSpaceDN w:val="0"/>
        <w:spacing w:line="240" w:lineRule="auto"/>
        <w:rPr>
          <w:spacing w:val="-3"/>
          <w:sz w:val="24"/>
          <w:szCs w:val="24"/>
        </w:rPr>
      </w:pPr>
    </w:p>
    <w:p w:rsidR="00E9634C" w:rsidRPr="00B20BE9" w:rsidRDefault="00E9634C" w:rsidP="00E9634C">
      <w:pPr>
        <w:tabs>
          <w:tab w:val="left" w:pos="-720"/>
        </w:tabs>
        <w:suppressAutoHyphens/>
        <w:autoSpaceDE w:val="0"/>
        <w:autoSpaceDN w:val="0"/>
        <w:spacing w:line="240" w:lineRule="auto"/>
        <w:rPr>
          <w:spacing w:val="-3"/>
          <w:sz w:val="24"/>
          <w:szCs w:val="24"/>
        </w:rPr>
      </w:pPr>
      <w:r w:rsidRPr="00B20BE9">
        <w:rPr>
          <w:spacing w:val="-3"/>
          <w:sz w:val="24"/>
          <w:szCs w:val="24"/>
        </w:rPr>
        <w:t>Petition of PPL Electric Utilities Corporation</w:t>
      </w:r>
      <w:r w:rsidRPr="00B20BE9">
        <w:rPr>
          <w:spacing w:val="-3"/>
          <w:sz w:val="24"/>
          <w:szCs w:val="24"/>
        </w:rPr>
        <w:tab/>
      </w:r>
      <w:r w:rsidRPr="00B20BE9">
        <w:rPr>
          <w:spacing w:val="-3"/>
          <w:sz w:val="24"/>
          <w:szCs w:val="24"/>
        </w:rPr>
        <w:tab/>
        <w:t>:</w:t>
      </w:r>
      <w:r w:rsidRPr="00B20BE9">
        <w:rPr>
          <w:spacing w:val="-3"/>
          <w:sz w:val="24"/>
          <w:szCs w:val="24"/>
        </w:rPr>
        <w:tab/>
      </w:r>
      <w:r w:rsidRPr="00B20BE9">
        <w:rPr>
          <w:spacing w:val="-3"/>
          <w:sz w:val="24"/>
          <w:szCs w:val="24"/>
        </w:rPr>
        <w:tab/>
        <w:t>P-2012-2325034</w:t>
      </w:r>
    </w:p>
    <w:p w:rsidR="00E9634C" w:rsidRPr="00B20BE9" w:rsidRDefault="00E9634C" w:rsidP="00E9634C">
      <w:pPr>
        <w:tabs>
          <w:tab w:val="left" w:pos="-720"/>
        </w:tabs>
        <w:suppressAutoHyphens/>
        <w:autoSpaceDE w:val="0"/>
        <w:autoSpaceDN w:val="0"/>
        <w:spacing w:line="240" w:lineRule="auto"/>
        <w:rPr>
          <w:spacing w:val="-3"/>
          <w:sz w:val="24"/>
          <w:szCs w:val="24"/>
        </w:rPr>
      </w:pPr>
      <w:r w:rsidRPr="00B20BE9">
        <w:rPr>
          <w:spacing w:val="-3"/>
          <w:sz w:val="24"/>
          <w:szCs w:val="24"/>
        </w:rPr>
        <w:t xml:space="preserve">For Approval of a Distribution System </w:t>
      </w:r>
      <w:r w:rsidRPr="00B20BE9">
        <w:rPr>
          <w:spacing w:val="-3"/>
          <w:sz w:val="24"/>
          <w:szCs w:val="24"/>
        </w:rPr>
        <w:tab/>
      </w:r>
      <w:r w:rsidRPr="00B20BE9">
        <w:rPr>
          <w:spacing w:val="-3"/>
          <w:sz w:val="24"/>
          <w:szCs w:val="24"/>
        </w:rPr>
        <w:tab/>
        <w:t>:</w:t>
      </w:r>
    </w:p>
    <w:p w:rsidR="00E9634C" w:rsidRPr="00B20BE9" w:rsidRDefault="00E9634C" w:rsidP="00E9634C">
      <w:pPr>
        <w:tabs>
          <w:tab w:val="left" w:pos="-720"/>
        </w:tabs>
        <w:suppressAutoHyphens/>
        <w:autoSpaceDE w:val="0"/>
        <w:autoSpaceDN w:val="0"/>
        <w:spacing w:line="240" w:lineRule="auto"/>
        <w:rPr>
          <w:spacing w:val="-3"/>
          <w:sz w:val="24"/>
          <w:szCs w:val="24"/>
        </w:rPr>
      </w:pPr>
      <w:r w:rsidRPr="00B20BE9">
        <w:rPr>
          <w:spacing w:val="-3"/>
          <w:sz w:val="24"/>
          <w:szCs w:val="24"/>
        </w:rPr>
        <w:t>Improvement Charge</w:t>
      </w:r>
      <w:r w:rsidRPr="00B20BE9">
        <w:rPr>
          <w:spacing w:val="-3"/>
          <w:sz w:val="24"/>
          <w:szCs w:val="24"/>
        </w:rPr>
        <w:tab/>
      </w:r>
      <w:r w:rsidRPr="00B20BE9">
        <w:rPr>
          <w:spacing w:val="-3"/>
          <w:sz w:val="24"/>
          <w:szCs w:val="24"/>
        </w:rPr>
        <w:tab/>
      </w:r>
      <w:r w:rsidRPr="00B20BE9">
        <w:rPr>
          <w:spacing w:val="-3"/>
          <w:sz w:val="24"/>
          <w:szCs w:val="24"/>
        </w:rPr>
        <w:tab/>
      </w:r>
      <w:r w:rsidRPr="00B20BE9">
        <w:rPr>
          <w:spacing w:val="-3"/>
          <w:sz w:val="24"/>
          <w:szCs w:val="24"/>
        </w:rPr>
        <w:tab/>
      </w:r>
      <w:r w:rsidRPr="00B20BE9">
        <w:rPr>
          <w:spacing w:val="-3"/>
          <w:sz w:val="24"/>
          <w:szCs w:val="24"/>
        </w:rPr>
        <w:tab/>
        <w:t>:</w:t>
      </w:r>
    </w:p>
    <w:p w:rsidR="00E9634C" w:rsidRPr="00B20BE9" w:rsidRDefault="00E9634C" w:rsidP="00E9634C">
      <w:pPr>
        <w:tabs>
          <w:tab w:val="left" w:pos="-720"/>
        </w:tabs>
        <w:suppressAutoHyphens/>
        <w:autoSpaceDE w:val="0"/>
        <w:autoSpaceDN w:val="0"/>
        <w:spacing w:line="240" w:lineRule="auto"/>
        <w:rPr>
          <w:spacing w:val="-3"/>
          <w:sz w:val="24"/>
          <w:szCs w:val="24"/>
        </w:rPr>
      </w:pPr>
    </w:p>
    <w:p w:rsidR="00E9634C" w:rsidRPr="00B20BE9" w:rsidRDefault="00E9634C" w:rsidP="00E9634C">
      <w:pPr>
        <w:tabs>
          <w:tab w:val="left" w:pos="-720"/>
        </w:tabs>
        <w:suppressAutoHyphens/>
        <w:autoSpaceDE w:val="0"/>
        <w:autoSpaceDN w:val="0"/>
        <w:spacing w:line="240" w:lineRule="auto"/>
        <w:rPr>
          <w:spacing w:val="-3"/>
          <w:sz w:val="24"/>
          <w:szCs w:val="24"/>
        </w:rPr>
      </w:pPr>
      <w:r w:rsidRPr="00B20BE9">
        <w:rPr>
          <w:spacing w:val="-3"/>
          <w:sz w:val="24"/>
          <w:szCs w:val="24"/>
        </w:rPr>
        <w:t>Office of Consumer Advocate</w:t>
      </w:r>
      <w:r w:rsidRPr="00B20BE9">
        <w:rPr>
          <w:spacing w:val="-3"/>
          <w:sz w:val="24"/>
          <w:szCs w:val="24"/>
        </w:rPr>
        <w:tab/>
      </w:r>
      <w:r w:rsidRPr="00B20BE9">
        <w:rPr>
          <w:spacing w:val="-3"/>
          <w:sz w:val="24"/>
          <w:szCs w:val="24"/>
        </w:rPr>
        <w:tab/>
      </w:r>
      <w:r w:rsidRPr="00B20BE9">
        <w:rPr>
          <w:spacing w:val="-3"/>
          <w:sz w:val="24"/>
          <w:szCs w:val="24"/>
        </w:rPr>
        <w:tab/>
      </w:r>
      <w:r w:rsidRPr="00B20BE9">
        <w:rPr>
          <w:spacing w:val="-3"/>
          <w:sz w:val="24"/>
          <w:szCs w:val="24"/>
        </w:rPr>
        <w:tab/>
      </w:r>
      <w:r w:rsidR="00E02D82" w:rsidRPr="00B20BE9">
        <w:rPr>
          <w:spacing w:val="-3"/>
          <w:sz w:val="24"/>
          <w:szCs w:val="24"/>
        </w:rPr>
        <w:t>:</w:t>
      </w:r>
      <w:r w:rsidR="00E02D82" w:rsidRPr="00B20BE9">
        <w:rPr>
          <w:spacing w:val="-3"/>
          <w:sz w:val="24"/>
          <w:szCs w:val="24"/>
        </w:rPr>
        <w:tab/>
      </w:r>
      <w:r w:rsidR="00E02D82" w:rsidRPr="00B20BE9">
        <w:rPr>
          <w:spacing w:val="-3"/>
          <w:sz w:val="24"/>
          <w:szCs w:val="24"/>
        </w:rPr>
        <w:tab/>
        <w:t>C-2013</w:t>
      </w:r>
      <w:r w:rsidRPr="00B20BE9">
        <w:rPr>
          <w:spacing w:val="-3"/>
          <w:sz w:val="24"/>
          <w:szCs w:val="24"/>
        </w:rPr>
        <w:t>-2346390</w:t>
      </w:r>
    </w:p>
    <w:p w:rsidR="00E9634C" w:rsidRPr="00B20BE9" w:rsidRDefault="00E9634C" w:rsidP="00E9634C">
      <w:pPr>
        <w:tabs>
          <w:tab w:val="left" w:pos="-720"/>
        </w:tabs>
        <w:suppressAutoHyphens/>
        <w:autoSpaceDE w:val="0"/>
        <w:autoSpaceDN w:val="0"/>
        <w:spacing w:line="240" w:lineRule="auto"/>
        <w:rPr>
          <w:spacing w:val="-3"/>
          <w:sz w:val="24"/>
          <w:szCs w:val="24"/>
        </w:rPr>
      </w:pPr>
      <w:r w:rsidRPr="00B20BE9">
        <w:rPr>
          <w:spacing w:val="-3"/>
          <w:sz w:val="24"/>
          <w:szCs w:val="24"/>
        </w:rPr>
        <w:t>Alan D. Whitehouse</w:t>
      </w:r>
      <w:r w:rsidRPr="00B20BE9">
        <w:rPr>
          <w:spacing w:val="-3"/>
          <w:sz w:val="24"/>
          <w:szCs w:val="24"/>
        </w:rPr>
        <w:tab/>
      </w:r>
      <w:r w:rsidRPr="00B20BE9">
        <w:rPr>
          <w:spacing w:val="-3"/>
          <w:sz w:val="24"/>
          <w:szCs w:val="24"/>
        </w:rPr>
        <w:tab/>
      </w:r>
      <w:r w:rsidRPr="00B20BE9">
        <w:rPr>
          <w:spacing w:val="-3"/>
          <w:sz w:val="24"/>
          <w:szCs w:val="24"/>
        </w:rPr>
        <w:tab/>
      </w:r>
      <w:r w:rsidRPr="00B20BE9">
        <w:rPr>
          <w:spacing w:val="-3"/>
          <w:sz w:val="24"/>
          <w:szCs w:val="24"/>
        </w:rPr>
        <w:tab/>
      </w:r>
      <w:r w:rsidRPr="00B20BE9">
        <w:rPr>
          <w:spacing w:val="-3"/>
          <w:sz w:val="24"/>
          <w:szCs w:val="24"/>
        </w:rPr>
        <w:tab/>
        <w:t>:</w:t>
      </w:r>
      <w:r w:rsidRPr="00B20BE9">
        <w:rPr>
          <w:spacing w:val="-3"/>
          <w:sz w:val="24"/>
          <w:szCs w:val="24"/>
        </w:rPr>
        <w:tab/>
      </w:r>
      <w:r w:rsidRPr="00B20BE9">
        <w:rPr>
          <w:spacing w:val="-3"/>
          <w:sz w:val="24"/>
          <w:szCs w:val="24"/>
        </w:rPr>
        <w:tab/>
        <w:t>C-2013-2345750</w:t>
      </w:r>
    </w:p>
    <w:p w:rsidR="00E9634C" w:rsidRPr="00B20BE9" w:rsidRDefault="00E9634C" w:rsidP="00E9634C">
      <w:pPr>
        <w:tabs>
          <w:tab w:val="left" w:pos="-720"/>
        </w:tabs>
        <w:suppressAutoHyphens/>
        <w:autoSpaceDE w:val="0"/>
        <w:autoSpaceDN w:val="0"/>
        <w:spacing w:line="240" w:lineRule="auto"/>
        <w:rPr>
          <w:spacing w:val="-3"/>
          <w:sz w:val="24"/>
          <w:szCs w:val="24"/>
        </w:rPr>
      </w:pPr>
      <w:r w:rsidRPr="00B20BE9">
        <w:rPr>
          <w:spacing w:val="-3"/>
          <w:sz w:val="24"/>
          <w:szCs w:val="24"/>
        </w:rPr>
        <w:t>Pamela Mosconi</w:t>
      </w:r>
      <w:r w:rsidRPr="00B20BE9">
        <w:rPr>
          <w:spacing w:val="-3"/>
          <w:sz w:val="24"/>
          <w:szCs w:val="24"/>
        </w:rPr>
        <w:tab/>
      </w:r>
      <w:r w:rsidRPr="00B20BE9">
        <w:rPr>
          <w:spacing w:val="-3"/>
          <w:sz w:val="24"/>
          <w:szCs w:val="24"/>
        </w:rPr>
        <w:tab/>
      </w:r>
      <w:r w:rsidRPr="00B20BE9">
        <w:rPr>
          <w:spacing w:val="-3"/>
          <w:sz w:val="24"/>
          <w:szCs w:val="24"/>
        </w:rPr>
        <w:tab/>
      </w:r>
      <w:r w:rsidRPr="00B20BE9">
        <w:rPr>
          <w:spacing w:val="-3"/>
          <w:sz w:val="24"/>
          <w:szCs w:val="24"/>
        </w:rPr>
        <w:tab/>
      </w:r>
      <w:r w:rsidRPr="00B20BE9">
        <w:rPr>
          <w:spacing w:val="-3"/>
          <w:sz w:val="24"/>
          <w:szCs w:val="24"/>
        </w:rPr>
        <w:tab/>
        <w:t>:</w:t>
      </w:r>
      <w:r w:rsidRPr="00B20BE9">
        <w:rPr>
          <w:spacing w:val="-3"/>
          <w:sz w:val="24"/>
          <w:szCs w:val="24"/>
        </w:rPr>
        <w:tab/>
      </w:r>
      <w:r w:rsidRPr="00B20BE9">
        <w:rPr>
          <w:spacing w:val="-3"/>
          <w:sz w:val="24"/>
          <w:szCs w:val="24"/>
        </w:rPr>
        <w:tab/>
        <w:t>C-2013-2346375</w:t>
      </w:r>
    </w:p>
    <w:p w:rsidR="00E9634C" w:rsidRPr="00B20BE9" w:rsidRDefault="00E9634C" w:rsidP="00E9634C">
      <w:pPr>
        <w:tabs>
          <w:tab w:val="left" w:pos="-720"/>
        </w:tabs>
        <w:suppressAutoHyphens/>
        <w:autoSpaceDE w:val="0"/>
        <w:autoSpaceDN w:val="0"/>
        <w:spacing w:line="240" w:lineRule="auto"/>
        <w:rPr>
          <w:spacing w:val="-3"/>
          <w:sz w:val="24"/>
          <w:szCs w:val="24"/>
        </w:rPr>
      </w:pPr>
      <w:r w:rsidRPr="00B20BE9">
        <w:rPr>
          <w:spacing w:val="-3"/>
          <w:sz w:val="24"/>
          <w:szCs w:val="24"/>
        </w:rPr>
        <w:t>John E. Hoag</w:t>
      </w:r>
      <w:r w:rsidRPr="00B20BE9">
        <w:rPr>
          <w:spacing w:val="-3"/>
          <w:sz w:val="24"/>
          <w:szCs w:val="24"/>
        </w:rPr>
        <w:tab/>
      </w:r>
      <w:r w:rsidRPr="00B20BE9">
        <w:rPr>
          <w:spacing w:val="-3"/>
          <w:sz w:val="24"/>
          <w:szCs w:val="24"/>
        </w:rPr>
        <w:tab/>
      </w:r>
      <w:r w:rsidRPr="00B20BE9">
        <w:rPr>
          <w:spacing w:val="-3"/>
          <w:sz w:val="24"/>
          <w:szCs w:val="24"/>
        </w:rPr>
        <w:tab/>
      </w:r>
      <w:r w:rsidRPr="00B20BE9">
        <w:rPr>
          <w:spacing w:val="-3"/>
          <w:sz w:val="24"/>
          <w:szCs w:val="24"/>
        </w:rPr>
        <w:tab/>
      </w:r>
      <w:r w:rsidRPr="00B20BE9">
        <w:rPr>
          <w:spacing w:val="-3"/>
          <w:sz w:val="24"/>
          <w:szCs w:val="24"/>
        </w:rPr>
        <w:tab/>
      </w:r>
      <w:r w:rsidRPr="00B20BE9">
        <w:rPr>
          <w:spacing w:val="-3"/>
          <w:sz w:val="24"/>
          <w:szCs w:val="24"/>
        </w:rPr>
        <w:tab/>
        <w:t>:</w:t>
      </w:r>
      <w:r w:rsidRPr="00B20BE9">
        <w:rPr>
          <w:spacing w:val="-3"/>
          <w:sz w:val="24"/>
          <w:szCs w:val="24"/>
        </w:rPr>
        <w:tab/>
      </w:r>
      <w:r w:rsidRPr="00B20BE9">
        <w:rPr>
          <w:spacing w:val="-3"/>
          <w:sz w:val="24"/>
          <w:szCs w:val="24"/>
        </w:rPr>
        <w:tab/>
        <w:t>C-2013-2345729</w:t>
      </w:r>
    </w:p>
    <w:p w:rsidR="00E9634C" w:rsidRPr="00B20BE9" w:rsidRDefault="00E9634C" w:rsidP="00E9634C">
      <w:pPr>
        <w:tabs>
          <w:tab w:val="left" w:pos="-720"/>
        </w:tabs>
        <w:suppressAutoHyphens/>
        <w:autoSpaceDE w:val="0"/>
        <w:autoSpaceDN w:val="0"/>
        <w:spacing w:line="240" w:lineRule="auto"/>
        <w:rPr>
          <w:spacing w:val="-3"/>
          <w:sz w:val="24"/>
          <w:szCs w:val="24"/>
        </w:rPr>
      </w:pPr>
      <w:r w:rsidRPr="00B20BE9">
        <w:rPr>
          <w:spacing w:val="-3"/>
          <w:sz w:val="24"/>
          <w:szCs w:val="24"/>
        </w:rPr>
        <w:t>James</w:t>
      </w:r>
      <w:r w:rsidR="008A2D47">
        <w:rPr>
          <w:spacing w:val="-3"/>
          <w:sz w:val="24"/>
          <w:szCs w:val="24"/>
        </w:rPr>
        <w:t xml:space="preserve"> Weaver</w:t>
      </w:r>
      <w:r w:rsidR="008A2D47">
        <w:rPr>
          <w:spacing w:val="-3"/>
          <w:sz w:val="24"/>
          <w:szCs w:val="24"/>
        </w:rPr>
        <w:tab/>
      </w:r>
      <w:r w:rsidR="008A2D47">
        <w:rPr>
          <w:spacing w:val="-3"/>
          <w:sz w:val="24"/>
          <w:szCs w:val="24"/>
        </w:rPr>
        <w:tab/>
      </w:r>
      <w:r w:rsidR="008A2D47">
        <w:rPr>
          <w:spacing w:val="-3"/>
          <w:sz w:val="24"/>
          <w:szCs w:val="24"/>
        </w:rPr>
        <w:tab/>
      </w:r>
      <w:r w:rsidR="008A2D47">
        <w:rPr>
          <w:spacing w:val="-3"/>
          <w:sz w:val="24"/>
          <w:szCs w:val="24"/>
        </w:rPr>
        <w:tab/>
      </w:r>
      <w:r w:rsidR="008A2D47">
        <w:rPr>
          <w:spacing w:val="-3"/>
          <w:sz w:val="24"/>
          <w:szCs w:val="24"/>
        </w:rPr>
        <w:tab/>
      </w:r>
      <w:r w:rsidR="008A2D47">
        <w:rPr>
          <w:spacing w:val="-3"/>
          <w:sz w:val="24"/>
          <w:szCs w:val="24"/>
        </w:rPr>
        <w:tab/>
        <w:t>:</w:t>
      </w:r>
      <w:r w:rsidR="008A2D47">
        <w:rPr>
          <w:spacing w:val="-3"/>
          <w:sz w:val="24"/>
          <w:szCs w:val="24"/>
        </w:rPr>
        <w:tab/>
      </w:r>
      <w:r w:rsidR="008A2D47">
        <w:rPr>
          <w:spacing w:val="-3"/>
          <w:sz w:val="24"/>
          <w:szCs w:val="24"/>
        </w:rPr>
        <w:tab/>
        <w:t>C-2013-2351090</w:t>
      </w:r>
    </w:p>
    <w:p w:rsidR="00E9634C" w:rsidRPr="00B20BE9" w:rsidRDefault="00E9634C" w:rsidP="00E9634C">
      <w:pPr>
        <w:tabs>
          <w:tab w:val="left" w:pos="-720"/>
        </w:tabs>
        <w:suppressAutoHyphens/>
        <w:autoSpaceDE w:val="0"/>
        <w:autoSpaceDN w:val="0"/>
        <w:spacing w:line="240" w:lineRule="auto"/>
        <w:rPr>
          <w:spacing w:val="-3"/>
          <w:sz w:val="24"/>
          <w:szCs w:val="24"/>
        </w:rPr>
      </w:pPr>
    </w:p>
    <w:p w:rsidR="00676482" w:rsidRPr="00B20BE9" w:rsidRDefault="00676482" w:rsidP="00D62CF2">
      <w:pPr>
        <w:spacing w:line="240" w:lineRule="auto"/>
        <w:rPr>
          <w:sz w:val="24"/>
          <w:szCs w:val="24"/>
        </w:rPr>
      </w:pPr>
    </w:p>
    <w:p w:rsidR="00676482" w:rsidRPr="00B20BE9" w:rsidRDefault="00676482" w:rsidP="00D62CF2">
      <w:pPr>
        <w:spacing w:line="240" w:lineRule="auto"/>
        <w:rPr>
          <w:sz w:val="24"/>
          <w:szCs w:val="24"/>
        </w:rPr>
      </w:pPr>
    </w:p>
    <w:p w:rsidR="004D413E" w:rsidRPr="00B20BE9" w:rsidRDefault="007E0044" w:rsidP="00230058">
      <w:pPr>
        <w:spacing w:line="240" w:lineRule="auto"/>
        <w:jc w:val="center"/>
        <w:rPr>
          <w:b/>
          <w:sz w:val="24"/>
          <w:szCs w:val="24"/>
          <w:u w:val="single"/>
        </w:rPr>
      </w:pPr>
      <w:r w:rsidRPr="00B20BE9">
        <w:rPr>
          <w:b/>
          <w:sz w:val="24"/>
          <w:szCs w:val="24"/>
          <w:u w:val="single"/>
        </w:rPr>
        <w:t>RECOMMENDED DECISION</w:t>
      </w:r>
    </w:p>
    <w:p w:rsidR="00F93337" w:rsidRPr="00B20BE9" w:rsidRDefault="00F93337" w:rsidP="00230058">
      <w:pPr>
        <w:spacing w:line="240" w:lineRule="auto"/>
        <w:jc w:val="center"/>
        <w:rPr>
          <w:b/>
          <w:sz w:val="24"/>
          <w:szCs w:val="24"/>
          <w:u w:val="single"/>
        </w:rPr>
      </w:pPr>
    </w:p>
    <w:p w:rsidR="002A0839" w:rsidRPr="00B20BE9" w:rsidRDefault="002A0839" w:rsidP="002A0839">
      <w:pPr>
        <w:spacing w:line="240" w:lineRule="auto"/>
        <w:rPr>
          <w:sz w:val="24"/>
          <w:szCs w:val="24"/>
        </w:rPr>
      </w:pPr>
    </w:p>
    <w:p w:rsidR="00DF4E24" w:rsidRPr="00B20BE9" w:rsidRDefault="004E20F3" w:rsidP="00230058">
      <w:pPr>
        <w:spacing w:line="240" w:lineRule="auto"/>
        <w:jc w:val="center"/>
        <w:rPr>
          <w:sz w:val="24"/>
          <w:szCs w:val="24"/>
        </w:rPr>
      </w:pPr>
      <w:r w:rsidRPr="00B20BE9">
        <w:rPr>
          <w:sz w:val="24"/>
          <w:szCs w:val="24"/>
        </w:rPr>
        <w:t>Before</w:t>
      </w:r>
    </w:p>
    <w:p w:rsidR="004E20F3" w:rsidRPr="00B20BE9" w:rsidRDefault="004E20F3" w:rsidP="00230058">
      <w:pPr>
        <w:spacing w:line="240" w:lineRule="auto"/>
        <w:jc w:val="center"/>
        <w:rPr>
          <w:sz w:val="24"/>
          <w:szCs w:val="24"/>
        </w:rPr>
      </w:pPr>
      <w:r w:rsidRPr="00B20BE9">
        <w:rPr>
          <w:sz w:val="24"/>
          <w:szCs w:val="24"/>
        </w:rPr>
        <w:t>Kandace F. Melillo</w:t>
      </w:r>
    </w:p>
    <w:p w:rsidR="00B50947" w:rsidRPr="00B20BE9" w:rsidRDefault="004E20F3" w:rsidP="00230058">
      <w:pPr>
        <w:spacing w:line="240" w:lineRule="auto"/>
        <w:jc w:val="center"/>
        <w:rPr>
          <w:sz w:val="24"/>
          <w:szCs w:val="24"/>
        </w:rPr>
      </w:pPr>
      <w:r w:rsidRPr="00B20BE9">
        <w:rPr>
          <w:sz w:val="24"/>
          <w:szCs w:val="24"/>
        </w:rPr>
        <w:t>Administrative Law Judge</w:t>
      </w:r>
    </w:p>
    <w:p w:rsidR="008A2D47" w:rsidRDefault="008A2D47" w:rsidP="00230058">
      <w:pPr>
        <w:spacing w:line="240" w:lineRule="auto"/>
        <w:jc w:val="center"/>
        <w:rPr>
          <w:sz w:val="24"/>
          <w:szCs w:val="24"/>
        </w:rPr>
      </w:pPr>
    </w:p>
    <w:p w:rsidR="008A2D47" w:rsidRDefault="008A2D47" w:rsidP="00230058">
      <w:pPr>
        <w:spacing w:line="240" w:lineRule="auto"/>
        <w:jc w:val="center"/>
        <w:rPr>
          <w:sz w:val="24"/>
          <w:szCs w:val="24"/>
        </w:rPr>
      </w:pPr>
    </w:p>
    <w:p w:rsidR="008A2D47" w:rsidRDefault="008A2D47" w:rsidP="00230058">
      <w:pPr>
        <w:spacing w:line="240" w:lineRule="auto"/>
        <w:jc w:val="center"/>
        <w:rPr>
          <w:sz w:val="24"/>
          <w:szCs w:val="24"/>
        </w:rPr>
        <w:sectPr w:rsidR="008A2D47" w:rsidSect="00D62CF2">
          <w:footerReference w:type="even" r:id="rId9"/>
          <w:footerReference w:type="default" r:id="rId10"/>
          <w:pgSz w:w="12240" w:h="15840"/>
          <w:pgMar w:top="1440" w:right="1440" w:bottom="1440" w:left="1440" w:header="720" w:footer="720" w:gutter="0"/>
          <w:cols w:space="720"/>
          <w:titlePg/>
          <w:docGrid w:linePitch="360"/>
        </w:sectPr>
      </w:pPr>
    </w:p>
    <w:p w:rsidR="008A2D47" w:rsidRPr="0059457D" w:rsidRDefault="0013636C" w:rsidP="00230058">
      <w:pPr>
        <w:spacing w:line="240" w:lineRule="auto"/>
        <w:jc w:val="center"/>
        <w:rPr>
          <w:b/>
          <w:sz w:val="28"/>
          <w:szCs w:val="28"/>
        </w:rPr>
      </w:pPr>
      <w:r w:rsidRPr="0059457D">
        <w:rPr>
          <w:b/>
          <w:sz w:val="28"/>
          <w:szCs w:val="28"/>
        </w:rPr>
        <w:lastRenderedPageBreak/>
        <w:t>TABLE OF CONTENTS</w:t>
      </w:r>
    </w:p>
    <w:p w:rsidR="008A2D47" w:rsidRDefault="008A2D47" w:rsidP="00230058">
      <w:pPr>
        <w:spacing w:line="240" w:lineRule="auto"/>
        <w:jc w:val="center"/>
        <w:rPr>
          <w:sz w:val="24"/>
          <w:szCs w:val="24"/>
        </w:rPr>
      </w:pPr>
    </w:p>
    <w:p w:rsidR="008A2D47" w:rsidRDefault="008A2D47" w:rsidP="00230058">
      <w:pPr>
        <w:spacing w:line="240" w:lineRule="auto"/>
        <w:jc w:val="center"/>
        <w:rPr>
          <w:sz w:val="24"/>
          <w:szCs w:val="24"/>
        </w:rPr>
      </w:pPr>
    </w:p>
    <w:p w:rsidR="001D2324" w:rsidRDefault="001D2324" w:rsidP="001D2324">
      <w:pPr>
        <w:pStyle w:val="TOC1"/>
        <w:rPr>
          <w:noProof/>
        </w:rPr>
      </w:pPr>
      <w:r>
        <w:rPr>
          <w:sz w:val="24"/>
          <w:szCs w:val="24"/>
        </w:rPr>
        <w:fldChar w:fldCharType="begin"/>
      </w:r>
      <w:r>
        <w:rPr>
          <w:sz w:val="24"/>
          <w:szCs w:val="24"/>
        </w:rPr>
        <w:instrText xml:space="preserve"> TOC \f \h \z </w:instrText>
      </w:r>
      <w:r>
        <w:rPr>
          <w:sz w:val="24"/>
          <w:szCs w:val="24"/>
        </w:rPr>
        <w:fldChar w:fldCharType="separate"/>
      </w:r>
      <w:hyperlink w:anchor="_Toc394309029" w:history="1">
        <w:r w:rsidRPr="00C34018">
          <w:rPr>
            <w:rStyle w:val="Hyperlink"/>
            <w:noProof/>
          </w:rPr>
          <w:t>I.</w:t>
        </w:r>
        <w:r>
          <w:rPr>
            <w:noProof/>
          </w:rPr>
          <w:tab/>
        </w:r>
        <w:r w:rsidRPr="00C34018">
          <w:rPr>
            <w:rStyle w:val="Hyperlink"/>
            <w:noProof/>
          </w:rPr>
          <w:t>INTRODUCTION</w:t>
        </w:r>
        <w:r>
          <w:rPr>
            <w:noProof/>
            <w:webHidden/>
          </w:rPr>
          <w:tab/>
        </w:r>
        <w:r>
          <w:rPr>
            <w:noProof/>
            <w:webHidden/>
          </w:rPr>
          <w:fldChar w:fldCharType="begin"/>
        </w:r>
        <w:r>
          <w:rPr>
            <w:noProof/>
            <w:webHidden/>
          </w:rPr>
          <w:instrText xml:space="preserve"> PAGEREF _Toc394309029 \h </w:instrText>
        </w:r>
        <w:r>
          <w:rPr>
            <w:noProof/>
            <w:webHidden/>
          </w:rPr>
        </w:r>
        <w:r>
          <w:rPr>
            <w:noProof/>
            <w:webHidden/>
          </w:rPr>
          <w:fldChar w:fldCharType="separate"/>
        </w:r>
        <w:r w:rsidR="00D7561A">
          <w:rPr>
            <w:noProof/>
            <w:webHidden/>
          </w:rPr>
          <w:t>1</w:t>
        </w:r>
        <w:r>
          <w:rPr>
            <w:noProof/>
            <w:webHidden/>
          </w:rPr>
          <w:fldChar w:fldCharType="end"/>
        </w:r>
      </w:hyperlink>
    </w:p>
    <w:p w:rsidR="001D2324" w:rsidRDefault="00E52163" w:rsidP="001D2324">
      <w:pPr>
        <w:pStyle w:val="TOC1"/>
        <w:rPr>
          <w:noProof/>
        </w:rPr>
      </w:pPr>
      <w:hyperlink w:anchor="_Toc394309030" w:history="1">
        <w:r w:rsidR="001D2324" w:rsidRPr="00C34018">
          <w:rPr>
            <w:rStyle w:val="Hyperlink"/>
            <w:noProof/>
          </w:rPr>
          <w:t>II.</w:t>
        </w:r>
        <w:r w:rsidR="001D2324">
          <w:rPr>
            <w:noProof/>
          </w:rPr>
          <w:tab/>
        </w:r>
        <w:r w:rsidR="001D2324" w:rsidRPr="00C34018">
          <w:rPr>
            <w:rStyle w:val="Hyperlink"/>
            <w:noProof/>
          </w:rPr>
          <w:t>HISTORY OF THE PROCEEDINGS</w:t>
        </w:r>
        <w:r w:rsidR="001D2324">
          <w:rPr>
            <w:noProof/>
            <w:webHidden/>
          </w:rPr>
          <w:tab/>
        </w:r>
        <w:r w:rsidR="001D2324">
          <w:rPr>
            <w:noProof/>
            <w:webHidden/>
          </w:rPr>
          <w:fldChar w:fldCharType="begin"/>
        </w:r>
        <w:r w:rsidR="001D2324">
          <w:rPr>
            <w:noProof/>
            <w:webHidden/>
          </w:rPr>
          <w:instrText xml:space="preserve"> PAGEREF _Toc394309030 \h </w:instrText>
        </w:r>
        <w:r w:rsidR="001D2324">
          <w:rPr>
            <w:noProof/>
            <w:webHidden/>
          </w:rPr>
        </w:r>
        <w:r w:rsidR="001D2324">
          <w:rPr>
            <w:noProof/>
            <w:webHidden/>
          </w:rPr>
          <w:fldChar w:fldCharType="separate"/>
        </w:r>
        <w:r w:rsidR="00D7561A">
          <w:rPr>
            <w:noProof/>
            <w:webHidden/>
          </w:rPr>
          <w:t>1</w:t>
        </w:r>
        <w:r w:rsidR="001D2324">
          <w:rPr>
            <w:noProof/>
            <w:webHidden/>
          </w:rPr>
          <w:fldChar w:fldCharType="end"/>
        </w:r>
      </w:hyperlink>
    </w:p>
    <w:p w:rsidR="001D2324" w:rsidRDefault="00E52163" w:rsidP="001D2324">
      <w:pPr>
        <w:pStyle w:val="TOC1"/>
        <w:rPr>
          <w:noProof/>
        </w:rPr>
      </w:pPr>
      <w:hyperlink w:anchor="_Toc394309031" w:history="1">
        <w:r w:rsidR="001D2324" w:rsidRPr="00C34018">
          <w:rPr>
            <w:rStyle w:val="Hyperlink"/>
            <w:rFonts w:eastAsia="Calibri"/>
            <w:noProof/>
          </w:rPr>
          <w:t>III.</w:t>
        </w:r>
        <w:r w:rsidR="001D2324">
          <w:rPr>
            <w:noProof/>
          </w:rPr>
          <w:tab/>
        </w:r>
        <w:r w:rsidR="001D2324" w:rsidRPr="00C34018">
          <w:rPr>
            <w:rStyle w:val="Hyperlink"/>
            <w:rFonts w:eastAsia="Calibri"/>
            <w:noProof/>
          </w:rPr>
          <w:t>LEGAL STANDARDS</w:t>
        </w:r>
        <w:r w:rsidR="001D2324">
          <w:rPr>
            <w:noProof/>
            <w:webHidden/>
          </w:rPr>
          <w:tab/>
        </w:r>
        <w:r w:rsidR="001D2324">
          <w:rPr>
            <w:noProof/>
            <w:webHidden/>
          </w:rPr>
          <w:fldChar w:fldCharType="begin"/>
        </w:r>
        <w:r w:rsidR="001D2324">
          <w:rPr>
            <w:noProof/>
            <w:webHidden/>
          </w:rPr>
          <w:instrText xml:space="preserve"> PAGEREF _Toc394309031 \h </w:instrText>
        </w:r>
        <w:r w:rsidR="001D2324">
          <w:rPr>
            <w:noProof/>
            <w:webHidden/>
          </w:rPr>
        </w:r>
        <w:r w:rsidR="001D2324">
          <w:rPr>
            <w:noProof/>
            <w:webHidden/>
          </w:rPr>
          <w:fldChar w:fldCharType="separate"/>
        </w:r>
        <w:r w:rsidR="00D7561A">
          <w:rPr>
            <w:noProof/>
            <w:webHidden/>
          </w:rPr>
          <w:t>7</w:t>
        </w:r>
        <w:r w:rsidR="001D2324">
          <w:rPr>
            <w:noProof/>
            <w:webHidden/>
          </w:rPr>
          <w:fldChar w:fldCharType="end"/>
        </w:r>
      </w:hyperlink>
    </w:p>
    <w:p w:rsidR="001D2324" w:rsidRDefault="00E52163" w:rsidP="001D2324">
      <w:pPr>
        <w:pStyle w:val="TOC1"/>
        <w:rPr>
          <w:noProof/>
        </w:rPr>
      </w:pPr>
      <w:hyperlink w:anchor="_Toc394309032" w:history="1">
        <w:r w:rsidR="001D2324" w:rsidRPr="00C34018">
          <w:rPr>
            <w:rStyle w:val="Hyperlink"/>
            <w:rFonts w:eastAsia="Calibri"/>
            <w:noProof/>
          </w:rPr>
          <w:t>IV.</w:t>
        </w:r>
        <w:r w:rsidR="001D2324">
          <w:rPr>
            <w:noProof/>
          </w:rPr>
          <w:tab/>
        </w:r>
        <w:r w:rsidR="001D2324" w:rsidRPr="00C34018">
          <w:rPr>
            <w:rStyle w:val="Hyperlink"/>
            <w:rFonts w:eastAsia="Calibri"/>
            <w:noProof/>
          </w:rPr>
          <w:t>DISCUSSION</w:t>
        </w:r>
        <w:r w:rsidR="001D2324">
          <w:rPr>
            <w:noProof/>
            <w:webHidden/>
          </w:rPr>
          <w:tab/>
        </w:r>
        <w:r w:rsidR="001D2324">
          <w:rPr>
            <w:noProof/>
            <w:webHidden/>
          </w:rPr>
          <w:fldChar w:fldCharType="begin"/>
        </w:r>
        <w:r w:rsidR="001D2324">
          <w:rPr>
            <w:noProof/>
            <w:webHidden/>
          </w:rPr>
          <w:instrText xml:space="preserve"> PAGEREF _Toc394309032 \h </w:instrText>
        </w:r>
        <w:r w:rsidR="001D2324">
          <w:rPr>
            <w:noProof/>
            <w:webHidden/>
          </w:rPr>
        </w:r>
        <w:r w:rsidR="001D2324">
          <w:rPr>
            <w:noProof/>
            <w:webHidden/>
          </w:rPr>
          <w:fldChar w:fldCharType="separate"/>
        </w:r>
        <w:r w:rsidR="00D7561A">
          <w:rPr>
            <w:noProof/>
            <w:webHidden/>
          </w:rPr>
          <w:t>8</w:t>
        </w:r>
        <w:r w:rsidR="001D2324">
          <w:rPr>
            <w:noProof/>
            <w:webHidden/>
          </w:rPr>
          <w:fldChar w:fldCharType="end"/>
        </w:r>
      </w:hyperlink>
    </w:p>
    <w:p w:rsidR="001D2324" w:rsidRDefault="00E52163" w:rsidP="001D2324">
      <w:pPr>
        <w:pStyle w:val="TOC2"/>
        <w:rPr>
          <w:noProof/>
        </w:rPr>
      </w:pPr>
      <w:hyperlink w:anchor="_Toc394309033" w:history="1">
        <w:r w:rsidR="001D2324" w:rsidRPr="00C34018">
          <w:rPr>
            <w:rStyle w:val="Hyperlink"/>
            <w:noProof/>
          </w:rPr>
          <w:t>A.</w:t>
        </w:r>
        <w:r w:rsidR="001D2324">
          <w:rPr>
            <w:noProof/>
          </w:rPr>
          <w:tab/>
        </w:r>
        <w:r w:rsidR="001D2324" w:rsidRPr="00C34018">
          <w:rPr>
            <w:rStyle w:val="Hyperlink"/>
            <w:noProof/>
          </w:rPr>
          <w:t>DSIC Treatment of ADIT</w:t>
        </w:r>
        <w:r w:rsidR="001D2324">
          <w:rPr>
            <w:noProof/>
            <w:webHidden/>
          </w:rPr>
          <w:tab/>
        </w:r>
        <w:r w:rsidR="001D2324">
          <w:rPr>
            <w:noProof/>
            <w:webHidden/>
          </w:rPr>
          <w:fldChar w:fldCharType="begin"/>
        </w:r>
        <w:r w:rsidR="001D2324">
          <w:rPr>
            <w:noProof/>
            <w:webHidden/>
          </w:rPr>
          <w:instrText xml:space="preserve"> PAGEREF _Toc394309033 \h </w:instrText>
        </w:r>
        <w:r w:rsidR="001D2324">
          <w:rPr>
            <w:noProof/>
            <w:webHidden/>
          </w:rPr>
        </w:r>
        <w:r w:rsidR="001D2324">
          <w:rPr>
            <w:noProof/>
            <w:webHidden/>
          </w:rPr>
          <w:fldChar w:fldCharType="separate"/>
        </w:r>
        <w:r w:rsidR="00D7561A">
          <w:rPr>
            <w:noProof/>
            <w:webHidden/>
          </w:rPr>
          <w:t>9</w:t>
        </w:r>
        <w:r w:rsidR="001D2324">
          <w:rPr>
            <w:noProof/>
            <w:webHidden/>
          </w:rPr>
          <w:fldChar w:fldCharType="end"/>
        </w:r>
      </w:hyperlink>
    </w:p>
    <w:p w:rsidR="001D2324" w:rsidRDefault="00E52163" w:rsidP="001D2324">
      <w:pPr>
        <w:pStyle w:val="TOC3"/>
        <w:rPr>
          <w:noProof/>
        </w:rPr>
      </w:pPr>
      <w:hyperlink w:anchor="_Toc394309034" w:history="1">
        <w:r w:rsidR="001D2324" w:rsidRPr="00C34018">
          <w:rPr>
            <w:rStyle w:val="Hyperlink"/>
            <w:noProof/>
          </w:rPr>
          <w:t>1.</w:t>
        </w:r>
        <w:r w:rsidR="001D2324">
          <w:rPr>
            <w:noProof/>
          </w:rPr>
          <w:tab/>
        </w:r>
        <w:r w:rsidR="001D2324" w:rsidRPr="00C34018">
          <w:rPr>
            <w:rStyle w:val="Hyperlink"/>
            <w:noProof/>
          </w:rPr>
          <w:t>OCA Position</w:t>
        </w:r>
        <w:r w:rsidR="001D2324">
          <w:rPr>
            <w:noProof/>
            <w:webHidden/>
          </w:rPr>
          <w:tab/>
        </w:r>
        <w:r w:rsidR="001D2324">
          <w:rPr>
            <w:noProof/>
            <w:webHidden/>
          </w:rPr>
          <w:fldChar w:fldCharType="begin"/>
        </w:r>
        <w:r w:rsidR="001D2324">
          <w:rPr>
            <w:noProof/>
            <w:webHidden/>
          </w:rPr>
          <w:instrText xml:space="preserve"> PAGEREF _Toc394309034 \h </w:instrText>
        </w:r>
        <w:r w:rsidR="001D2324">
          <w:rPr>
            <w:noProof/>
            <w:webHidden/>
          </w:rPr>
        </w:r>
        <w:r w:rsidR="001D2324">
          <w:rPr>
            <w:noProof/>
            <w:webHidden/>
          </w:rPr>
          <w:fldChar w:fldCharType="separate"/>
        </w:r>
        <w:r w:rsidR="00D7561A">
          <w:rPr>
            <w:noProof/>
            <w:webHidden/>
          </w:rPr>
          <w:t>9</w:t>
        </w:r>
        <w:r w:rsidR="001D2324">
          <w:rPr>
            <w:noProof/>
            <w:webHidden/>
          </w:rPr>
          <w:fldChar w:fldCharType="end"/>
        </w:r>
      </w:hyperlink>
    </w:p>
    <w:p w:rsidR="001D2324" w:rsidRDefault="00E52163" w:rsidP="001D2324">
      <w:pPr>
        <w:pStyle w:val="TOC3"/>
        <w:rPr>
          <w:noProof/>
        </w:rPr>
      </w:pPr>
      <w:hyperlink w:anchor="_Toc394309035" w:history="1">
        <w:r w:rsidR="001D2324" w:rsidRPr="00C34018">
          <w:rPr>
            <w:rStyle w:val="Hyperlink"/>
            <w:rFonts w:eastAsia="Calibri"/>
            <w:noProof/>
          </w:rPr>
          <w:t>2.</w:t>
        </w:r>
        <w:r w:rsidR="001D2324">
          <w:rPr>
            <w:noProof/>
          </w:rPr>
          <w:tab/>
        </w:r>
        <w:r w:rsidR="001D2324" w:rsidRPr="00C34018">
          <w:rPr>
            <w:rStyle w:val="Hyperlink"/>
            <w:rFonts w:eastAsia="Calibri"/>
            <w:noProof/>
          </w:rPr>
          <w:t>PPL Position</w:t>
        </w:r>
        <w:r w:rsidR="001D2324">
          <w:rPr>
            <w:noProof/>
            <w:webHidden/>
          </w:rPr>
          <w:tab/>
        </w:r>
        <w:r w:rsidR="001D2324">
          <w:rPr>
            <w:noProof/>
            <w:webHidden/>
          </w:rPr>
          <w:fldChar w:fldCharType="begin"/>
        </w:r>
        <w:r w:rsidR="001D2324">
          <w:rPr>
            <w:noProof/>
            <w:webHidden/>
          </w:rPr>
          <w:instrText xml:space="preserve"> PAGEREF _Toc394309035 \h </w:instrText>
        </w:r>
        <w:r w:rsidR="001D2324">
          <w:rPr>
            <w:noProof/>
            <w:webHidden/>
          </w:rPr>
        </w:r>
        <w:r w:rsidR="001D2324">
          <w:rPr>
            <w:noProof/>
            <w:webHidden/>
          </w:rPr>
          <w:fldChar w:fldCharType="separate"/>
        </w:r>
        <w:r w:rsidR="00D7561A">
          <w:rPr>
            <w:noProof/>
            <w:webHidden/>
          </w:rPr>
          <w:t>20</w:t>
        </w:r>
        <w:r w:rsidR="001D2324">
          <w:rPr>
            <w:noProof/>
            <w:webHidden/>
          </w:rPr>
          <w:fldChar w:fldCharType="end"/>
        </w:r>
      </w:hyperlink>
    </w:p>
    <w:p w:rsidR="001D2324" w:rsidRDefault="00E52163" w:rsidP="001D2324">
      <w:pPr>
        <w:pStyle w:val="TOC3"/>
        <w:rPr>
          <w:noProof/>
        </w:rPr>
      </w:pPr>
      <w:hyperlink w:anchor="_Toc394309036" w:history="1">
        <w:r w:rsidR="001D2324" w:rsidRPr="00C34018">
          <w:rPr>
            <w:rStyle w:val="Hyperlink"/>
            <w:noProof/>
          </w:rPr>
          <w:t>3.</w:t>
        </w:r>
        <w:r w:rsidR="001D2324">
          <w:rPr>
            <w:noProof/>
          </w:rPr>
          <w:tab/>
        </w:r>
        <w:r w:rsidR="001D2324" w:rsidRPr="00C34018">
          <w:rPr>
            <w:rStyle w:val="Hyperlink"/>
            <w:noProof/>
          </w:rPr>
          <w:t>ALJ Ruling</w:t>
        </w:r>
        <w:r w:rsidR="001D2324">
          <w:rPr>
            <w:noProof/>
            <w:webHidden/>
          </w:rPr>
          <w:tab/>
        </w:r>
        <w:r w:rsidR="001D2324">
          <w:rPr>
            <w:noProof/>
            <w:webHidden/>
          </w:rPr>
          <w:fldChar w:fldCharType="begin"/>
        </w:r>
        <w:r w:rsidR="001D2324">
          <w:rPr>
            <w:noProof/>
            <w:webHidden/>
          </w:rPr>
          <w:instrText xml:space="preserve"> PAGEREF _Toc394309036 \h </w:instrText>
        </w:r>
        <w:r w:rsidR="001D2324">
          <w:rPr>
            <w:noProof/>
            <w:webHidden/>
          </w:rPr>
        </w:r>
        <w:r w:rsidR="001D2324">
          <w:rPr>
            <w:noProof/>
            <w:webHidden/>
          </w:rPr>
          <w:fldChar w:fldCharType="separate"/>
        </w:r>
        <w:r w:rsidR="00D7561A">
          <w:rPr>
            <w:noProof/>
            <w:webHidden/>
          </w:rPr>
          <w:t>26</w:t>
        </w:r>
        <w:r w:rsidR="001D2324">
          <w:rPr>
            <w:noProof/>
            <w:webHidden/>
          </w:rPr>
          <w:fldChar w:fldCharType="end"/>
        </w:r>
      </w:hyperlink>
    </w:p>
    <w:p w:rsidR="001D2324" w:rsidRDefault="00E52163" w:rsidP="001D2324">
      <w:pPr>
        <w:pStyle w:val="TOC4"/>
        <w:rPr>
          <w:noProof/>
        </w:rPr>
      </w:pPr>
      <w:hyperlink w:anchor="_Toc394309037" w:history="1">
        <w:r w:rsidR="001D2324" w:rsidRPr="00C34018">
          <w:rPr>
            <w:rStyle w:val="Hyperlink"/>
            <w:noProof/>
          </w:rPr>
          <w:t>a.</w:t>
        </w:r>
        <w:r w:rsidR="001D2324">
          <w:rPr>
            <w:noProof/>
          </w:rPr>
          <w:tab/>
        </w:r>
        <w:r w:rsidR="001D2324" w:rsidRPr="00C34018">
          <w:rPr>
            <w:rStyle w:val="Hyperlink"/>
            <w:noProof/>
          </w:rPr>
          <w:t>Legislative intent</w:t>
        </w:r>
        <w:r w:rsidR="001D2324">
          <w:rPr>
            <w:noProof/>
            <w:webHidden/>
          </w:rPr>
          <w:tab/>
        </w:r>
        <w:r w:rsidR="001D2324">
          <w:rPr>
            <w:noProof/>
            <w:webHidden/>
          </w:rPr>
          <w:fldChar w:fldCharType="begin"/>
        </w:r>
        <w:r w:rsidR="001D2324">
          <w:rPr>
            <w:noProof/>
            <w:webHidden/>
          </w:rPr>
          <w:instrText xml:space="preserve"> PAGEREF _Toc394309037 \h </w:instrText>
        </w:r>
        <w:r w:rsidR="001D2324">
          <w:rPr>
            <w:noProof/>
            <w:webHidden/>
          </w:rPr>
        </w:r>
        <w:r w:rsidR="001D2324">
          <w:rPr>
            <w:noProof/>
            <w:webHidden/>
          </w:rPr>
          <w:fldChar w:fldCharType="separate"/>
        </w:r>
        <w:r w:rsidR="00D7561A">
          <w:rPr>
            <w:noProof/>
            <w:webHidden/>
          </w:rPr>
          <w:t>26</w:t>
        </w:r>
        <w:r w:rsidR="001D2324">
          <w:rPr>
            <w:noProof/>
            <w:webHidden/>
          </w:rPr>
          <w:fldChar w:fldCharType="end"/>
        </w:r>
      </w:hyperlink>
    </w:p>
    <w:p w:rsidR="001D2324" w:rsidRDefault="00E52163" w:rsidP="001D2324">
      <w:pPr>
        <w:pStyle w:val="TOC4"/>
        <w:rPr>
          <w:noProof/>
        </w:rPr>
      </w:pPr>
      <w:hyperlink w:anchor="_Toc394309038" w:history="1">
        <w:r w:rsidR="001D2324" w:rsidRPr="00C34018">
          <w:rPr>
            <w:rStyle w:val="Hyperlink"/>
            <w:noProof/>
          </w:rPr>
          <w:t>b.</w:t>
        </w:r>
        <w:r w:rsidR="001D2324">
          <w:rPr>
            <w:noProof/>
          </w:rPr>
          <w:tab/>
        </w:r>
        <w:r w:rsidR="001D2324" w:rsidRPr="00C34018">
          <w:rPr>
            <w:rStyle w:val="Hyperlink"/>
            <w:noProof/>
          </w:rPr>
          <w:t>Complexity and necessity of ADIT adjustment</w:t>
        </w:r>
        <w:r w:rsidR="001D2324">
          <w:rPr>
            <w:noProof/>
            <w:webHidden/>
          </w:rPr>
          <w:tab/>
        </w:r>
        <w:r w:rsidR="001D2324">
          <w:rPr>
            <w:noProof/>
            <w:webHidden/>
          </w:rPr>
          <w:fldChar w:fldCharType="begin"/>
        </w:r>
        <w:r w:rsidR="001D2324">
          <w:rPr>
            <w:noProof/>
            <w:webHidden/>
          </w:rPr>
          <w:instrText xml:space="preserve"> PAGEREF _Toc394309038 \h </w:instrText>
        </w:r>
        <w:r w:rsidR="001D2324">
          <w:rPr>
            <w:noProof/>
            <w:webHidden/>
          </w:rPr>
        </w:r>
        <w:r w:rsidR="001D2324">
          <w:rPr>
            <w:noProof/>
            <w:webHidden/>
          </w:rPr>
          <w:fldChar w:fldCharType="separate"/>
        </w:r>
        <w:r w:rsidR="00D7561A">
          <w:rPr>
            <w:noProof/>
            <w:webHidden/>
          </w:rPr>
          <w:t>28</w:t>
        </w:r>
        <w:r w:rsidR="001D2324">
          <w:rPr>
            <w:noProof/>
            <w:webHidden/>
          </w:rPr>
          <w:fldChar w:fldCharType="end"/>
        </w:r>
      </w:hyperlink>
    </w:p>
    <w:p w:rsidR="001D2324" w:rsidRDefault="00E52163" w:rsidP="001D2324">
      <w:pPr>
        <w:pStyle w:val="TOC4"/>
        <w:rPr>
          <w:noProof/>
        </w:rPr>
      </w:pPr>
      <w:hyperlink w:anchor="_Toc394309039" w:history="1">
        <w:r w:rsidR="001D2324" w:rsidRPr="00C34018">
          <w:rPr>
            <w:rStyle w:val="Hyperlink"/>
            <w:noProof/>
          </w:rPr>
          <w:t>c.</w:t>
        </w:r>
        <w:r w:rsidR="001D2324">
          <w:rPr>
            <w:noProof/>
          </w:rPr>
          <w:tab/>
        </w:r>
        <w:r w:rsidR="001D2324" w:rsidRPr="00C34018">
          <w:rPr>
            <w:rStyle w:val="Hyperlink"/>
            <w:noProof/>
          </w:rPr>
          <w:t>Just and reasonable rates</w:t>
        </w:r>
        <w:r w:rsidR="001D2324">
          <w:rPr>
            <w:noProof/>
            <w:webHidden/>
          </w:rPr>
          <w:tab/>
        </w:r>
        <w:r w:rsidR="001D2324">
          <w:rPr>
            <w:noProof/>
            <w:webHidden/>
          </w:rPr>
          <w:fldChar w:fldCharType="begin"/>
        </w:r>
        <w:r w:rsidR="001D2324">
          <w:rPr>
            <w:noProof/>
            <w:webHidden/>
          </w:rPr>
          <w:instrText xml:space="preserve"> PAGEREF _Toc394309039 \h </w:instrText>
        </w:r>
        <w:r w:rsidR="001D2324">
          <w:rPr>
            <w:noProof/>
            <w:webHidden/>
          </w:rPr>
        </w:r>
        <w:r w:rsidR="001D2324">
          <w:rPr>
            <w:noProof/>
            <w:webHidden/>
          </w:rPr>
          <w:fldChar w:fldCharType="separate"/>
        </w:r>
        <w:r w:rsidR="00D7561A">
          <w:rPr>
            <w:noProof/>
            <w:webHidden/>
          </w:rPr>
          <w:t>29</w:t>
        </w:r>
        <w:r w:rsidR="001D2324">
          <w:rPr>
            <w:noProof/>
            <w:webHidden/>
          </w:rPr>
          <w:fldChar w:fldCharType="end"/>
        </w:r>
      </w:hyperlink>
    </w:p>
    <w:p w:rsidR="001D2324" w:rsidRDefault="00E52163" w:rsidP="001D2324">
      <w:pPr>
        <w:pStyle w:val="TOC2"/>
        <w:rPr>
          <w:noProof/>
        </w:rPr>
      </w:pPr>
      <w:hyperlink w:anchor="_Toc394309040" w:history="1">
        <w:r w:rsidR="001D2324" w:rsidRPr="00C34018">
          <w:rPr>
            <w:rStyle w:val="Hyperlink"/>
            <w:noProof/>
          </w:rPr>
          <w:t>B.</w:t>
        </w:r>
        <w:r w:rsidR="001D2324">
          <w:rPr>
            <w:noProof/>
          </w:rPr>
          <w:tab/>
        </w:r>
        <w:r w:rsidR="001D2324" w:rsidRPr="00C34018">
          <w:rPr>
            <w:rStyle w:val="Hyperlink"/>
            <w:noProof/>
          </w:rPr>
          <w:t>State Income Tax Gross-Up</w:t>
        </w:r>
        <w:r w:rsidR="001D2324">
          <w:rPr>
            <w:noProof/>
            <w:webHidden/>
          </w:rPr>
          <w:tab/>
        </w:r>
        <w:r w:rsidR="001D2324">
          <w:rPr>
            <w:noProof/>
            <w:webHidden/>
          </w:rPr>
          <w:fldChar w:fldCharType="begin"/>
        </w:r>
        <w:r w:rsidR="001D2324">
          <w:rPr>
            <w:noProof/>
            <w:webHidden/>
          </w:rPr>
          <w:instrText xml:space="preserve"> PAGEREF _Toc394309040 \h </w:instrText>
        </w:r>
        <w:r w:rsidR="001D2324">
          <w:rPr>
            <w:noProof/>
            <w:webHidden/>
          </w:rPr>
        </w:r>
        <w:r w:rsidR="001D2324">
          <w:rPr>
            <w:noProof/>
            <w:webHidden/>
          </w:rPr>
          <w:fldChar w:fldCharType="separate"/>
        </w:r>
        <w:r w:rsidR="00D7561A">
          <w:rPr>
            <w:noProof/>
            <w:webHidden/>
          </w:rPr>
          <w:t>30</w:t>
        </w:r>
        <w:r w:rsidR="001D2324">
          <w:rPr>
            <w:noProof/>
            <w:webHidden/>
          </w:rPr>
          <w:fldChar w:fldCharType="end"/>
        </w:r>
      </w:hyperlink>
    </w:p>
    <w:p w:rsidR="001D2324" w:rsidRDefault="00E52163" w:rsidP="001D2324">
      <w:pPr>
        <w:pStyle w:val="TOC3"/>
        <w:rPr>
          <w:noProof/>
        </w:rPr>
      </w:pPr>
      <w:hyperlink w:anchor="_Toc394309041" w:history="1">
        <w:r w:rsidR="001D2324" w:rsidRPr="00C34018">
          <w:rPr>
            <w:rStyle w:val="Hyperlink"/>
            <w:rFonts w:eastAsia="Calibri"/>
            <w:noProof/>
          </w:rPr>
          <w:t>1.</w:t>
        </w:r>
        <w:r w:rsidR="001D2324">
          <w:rPr>
            <w:noProof/>
          </w:rPr>
          <w:tab/>
        </w:r>
        <w:r w:rsidR="001D2324" w:rsidRPr="00C34018">
          <w:rPr>
            <w:rStyle w:val="Hyperlink"/>
            <w:rFonts w:eastAsia="Calibri"/>
            <w:noProof/>
          </w:rPr>
          <w:t>OCA Position</w:t>
        </w:r>
        <w:r w:rsidR="001D2324">
          <w:rPr>
            <w:noProof/>
            <w:webHidden/>
          </w:rPr>
          <w:tab/>
        </w:r>
        <w:r w:rsidR="001D2324">
          <w:rPr>
            <w:noProof/>
            <w:webHidden/>
          </w:rPr>
          <w:fldChar w:fldCharType="begin"/>
        </w:r>
        <w:r w:rsidR="001D2324">
          <w:rPr>
            <w:noProof/>
            <w:webHidden/>
          </w:rPr>
          <w:instrText xml:space="preserve"> PAGEREF _Toc394309041 \h </w:instrText>
        </w:r>
        <w:r w:rsidR="001D2324">
          <w:rPr>
            <w:noProof/>
            <w:webHidden/>
          </w:rPr>
        </w:r>
        <w:r w:rsidR="001D2324">
          <w:rPr>
            <w:noProof/>
            <w:webHidden/>
          </w:rPr>
          <w:fldChar w:fldCharType="separate"/>
        </w:r>
        <w:r w:rsidR="00D7561A">
          <w:rPr>
            <w:noProof/>
            <w:webHidden/>
          </w:rPr>
          <w:t>30</w:t>
        </w:r>
        <w:r w:rsidR="001D2324">
          <w:rPr>
            <w:noProof/>
            <w:webHidden/>
          </w:rPr>
          <w:fldChar w:fldCharType="end"/>
        </w:r>
      </w:hyperlink>
    </w:p>
    <w:p w:rsidR="001D2324" w:rsidRDefault="00E52163" w:rsidP="001D2324">
      <w:pPr>
        <w:pStyle w:val="TOC3"/>
        <w:rPr>
          <w:noProof/>
        </w:rPr>
      </w:pPr>
      <w:hyperlink w:anchor="_Toc394309042" w:history="1">
        <w:r w:rsidR="001D2324" w:rsidRPr="00C34018">
          <w:rPr>
            <w:rStyle w:val="Hyperlink"/>
            <w:rFonts w:eastAsia="Calibri"/>
            <w:noProof/>
          </w:rPr>
          <w:t>2.</w:t>
        </w:r>
        <w:r w:rsidR="001D2324">
          <w:rPr>
            <w:noProof/>
          </w:rPr>
          <w:tab/>
        </w:r>
        <w:r w:rsidR="001D2324" w:rsidRPr="00C34018">
          <w:rPr>
            <w:rStyle w:val="Hyperlink"/>
            <w:rFonts w:eastAsia="Calibri"/>
            <w:noProof/>
          </w:rPr>
          <w:t>PPL Position</w:t>
        </w:r>
        <w:r w:rsidR="001D2324">
          <w:rPr>
            <w:noProof/>
            <w:webHidden/>
          </w:rPr>
          <w:tab/>
        </w:r>
        <w:r w:rsidR="001D2324">
          <w:rPr>
            <w:noProof/>
            <w:webHidden/>
          </w:rPr>
          <w:fldChar w:fldCharType="begin"/>
        </w:r>
        <w:r w:rsidR="001D2324">
          <w:rPr>
            <w:noProof/>
            <w:webHidden/>
          </w:rPr>
          <w:instrText xml:space="preserve"> PAGEREF _Toc394309042 \h </w:instrText>
        </w:r>
        <w:r w:rsidR="001D2324">
          <w:rPr>
            <w:noProof/>
            <w:webHidden/>
          </w:rPr>
        </w:r>
        <w:r w:rsidR="001D2324">
          <w:rPr>
            <w:noProof/>
            <w:webHidden/>
          </w:rPr>
          <w:fldChar w:fldCharType="separate"/>
        </w:r>
        <w:r w:rsidR="00D7561A">
          <w:rPr>
            <w:noProof/>
            <w:webHidden/>
          </w:rPr>
          <w:t>32</w:t>
        </w:r>
        <w:r w:rsidR="001D2324">
          <w:rPr>
            <w:noProof/>
            <w:webHidden/>
          </w:rPr>
          <w:fldChar w:fldCharType="end"/>
        </w:r>
      </w:hyperlink>
    </w:p>
    <w:p w:rsidR="001D2324" w:rsidRDefault="00E52163" w:rsidP="001D2324">
      <w:pPr>
        <w:pStyle w:val="TOC3"/>
        <w:rPr>
          <w:noProof/>
        </w:rPr>
      </w:pPr>
      <w:hyperlink w:anchor="_Toc394309043" w:history="1">
        <w:r w:rsidR="001D2324" w:rsidRPr="00C34018">
          <w:rPr>
            <w:rStyle w:val="Hyperlink"/>
            <w:rFonts w:eastAsia="Calibri"/>
            <w:noProof/>
          </w:rPr>
          <w:t>3.</w:t>
        </w:r>
        <w:r w:rsidR="001D2324">
          <w:rPr>
            <w:noProof/>
          </w:rPr>
          <w:tab/>
        </w:r>
        <w:r w:rsidR="001D2324" w:rsidRPr="00C34018">
          <w:rPr>
            <w:rStyle w:val="Hyperlink"/>
            <w:rFonts w:eastAsia="Calibri"/>
            <w:noProof/>
          </w:rPr>
          <w:t>ALJ Ruling</w:t>
        </w:r>
        <w:r w:rsidR="001D2324">
          <w:rPr>
            <w:noProof/>
            <w:webHidden/>
          </w:rPr>
          <w:tab/>
        </w:r>
        <w:r w:rsidR="001D2324">
          <w:rPr>
            <w:noProof/>
            <w:webHidden/>
          </w:rPr>
          <w:fldChar w:fldCharType="begin"/>
        </w:r>
        <w:r w:rsidR="001D2324">
          <w:rPr>
            <w:noProof/>
            <w:webHidden/>
          </w:rPr>
          <w:instrText xml:space="preserve"> PAGEREF _Toc394309043 \h </w:instrText>
        </w:r>
        <w:r w:rsidR="001D2324">
          <w:rPr>
            <w:noProof/>
            <w:webHidden/>
          </w:rPr>
        </w:r>
        <w:r w:rsidR="001D2324">
          <w:rPr>
            <w:noProof/>
            <w:webHidden/>
          </w:rPr>
          <w:fldChar w:fldCharType="separate"/>
        </w:r>
        <w:r w:rsidR="00D7561A">
          <w:rPr>
            <w:noProof/>
            <w:webHidden/>
          </w:rPr>
          <w:t>34</w:t>
        </w:r>
        <w:r w:rsidR="001D2324">
          <w:rPr>
            <w:noProof/>
            <w:webHidden/>
          </w:rPr>
          <w:fldChar w:fldCharType="end"/>
        </w:r>
      </w:hyperlink>
    </w:p>
    <w:p w:rsidR="001D2324" w:rsidRDefault="00E52163" w:rsidP="001D2324">
      <w:pPr>
        <w:pStyle w:val="TOC2"/>
        <w:rPr>
          <w:noProof/>
        </w:rPr>
      </w:pPr>
      <w:hyperlink w:anchor="_Toc394309044" w:history="1">
        <w:r w:rsidR="001D2324" w:rsidRPr="00C34018">
          <w:rPr>
            <w:rStyle w:val="Hyperlink"/>
            <w:rFonts w:eastAsia="Calibri"/>
            <w:noProof/>
          </w:rPr>
          <w:t>C.</w:t>
        </w:r>
        <w:r w:rsidR="001D2324">
          <w:rPr>
            <w:noProof/>
          </w:rPr>
          <w:tab/>
        </w:r>
        <w:r w:rsidR="001D2324" w:rsidRPr="00C34018">
          <w:rPr>
            <w:rStyle w:val="Hyperlink"/>
            <w:rFonts w:eastAsia="Calibri"/>
            <w:noProof/>
          </w:rPr>
          <w:t>Application of the DSIC to Rate Schedule LP-5</w:t>
        </w:r>
        <w:r w:rsidR="001D2324">
          <w:rPr>
            <w:noProof/>
            <w:webHidden/>
          </w:rPr>
          <w:tab/>
        </w:r>
        <w:r w:rsidR="001D2324">
          <w:rPr>
            <w:noProof/>
            <w:webHidden/>
          </w:rPr>
          <w:fldChar w:fldCharType="begin"/>
        </w:r>
        <w:r w:rsidR="001D2324">
          <w:rPr>
            <w:noProof/>
            <w:webHidden/>
          </w:rPr>
          <w:instrText xml:space="preserve"> PAGEREF _Toc394309044 \h </w:instrText>
        </w:r>
        <w:r w:rsidR="001D2324">
          <w:rPr>
            <w:noProof/>
            <w:webHidden/>
          </w:rPr>
        </w:r>
        <w:r w:rsidR="001D2324">
          <w:rPr>
            <w:noProof/>
            <w:webHidden/>
          </w:rPr>
          <w:fldChar w:fldCharType="separate"/>
        </w:r>
        <w:r w:rsidR="00D7561A">
          <w:rPr>
            <w:noProof/>
            <w:webHidden/>
          </w:rPr>
          <w:t>35</w:t>
        </w:r>
        <w:r w:rsidR="001D2324">
          <w:rPr>
            <w:noProof/>
            <w:webHidden/>
          </w:rPr>
          <w:fldChar w:fldCharType="end"/>
        </w:r>
      </w:hyperlink>
    </w:p>
    <w:p w:rsidR="001D2324" w:rsidRDefault="00E52163" w:rsidP="001D2324">
      <w:pPr>
        <w:pStyle w:val="TOC3"/>
        <w:rPr>
          <w:noProof/>
        </w:rPr>
      </w:pPr>
      <w:hyperlink w:anchor="_Toc394309045" w:history="1">
        <w:r w:rsidR="001D2324" w:rsidRPr="00C34018">
          <w:rPr>
            <w:rStyle w:val="Hyperlink"/>
            <w:rFonts w:eastAsia="Calibri"/>
            <w:noProof/>
          </w:rPr>
          <w:t>1.</w:t>
        </w:r>
        <w:r w:rsidR="001D2324">
          <w:rPr>
            <w:noProof/>
          </w:rPr>
          <w:tab/>
        </w:r>
        <w:r w:rsidR="001D2324" w:rsidRPr="00C34018">
          <w:rPr>
            <w:rStyle w:val="Hyperlink"/>
            <w:rFonts w:eastAsia="Calibri"/>
            <w:noProof/>
          </w:rPr>
          <w:t>PPLICA Position</w:t>
        </w:r>
        <w:r w:rsidR="001D2324">
          <w:rPr>
            <w:noProof/>
            <w:webHidden/>
          </w:rPr>
          <w:tab/>
        </w:r>
        <w:r w:rsidR="001D2324">
          <w:rPr>
            <w:noProof/>
            <w:webHidden/>
          </w:rPr>
          <w:fldChar w:fldCharType="begin"/>
        </w:r>
        <w:r w:rsidR="001D2324">
          <w:rPr>
            <w:noProof/>
            <w:webHidden/>
          </w:rPr>
          <w:instrText xml:space="preserve"> PAGEREF _Toc394309045 \h </w:instrText>
        </w:r>
        <w:r w:rsidR="001D2324">
          <w:rPr>
            <w:noProof/>
            <w:webHidden/>
          </w:rPr>
        </w:r>
        <w:r w:rsidR="001D2324">
          <w:rPr>
            <w:noProof/>
            <w:webHidden/>
          </w:rPr>
          <w:fldChar w:fldCharType="separate"/>
        </w:r>
        <w:r w:rsidR="00D7561A">
          <w:rPr>
            <w:noProof/>
            <w:webHidden/>
          </w:rPr>
          <w:t>35</w:t>
        </w:r>
        <w:r w:rsidR="001D2324">
          <w:rPr>
            <w:noProof/>
            <w:webHidden/>
          </w:rPr>
          <w:fldChar w:fldCharType="end"/>
        </w:r>
      </w:hyperlink>
    </w:p>
    <w:p w:rsidR="001D2324" w:rsidRDefault="00E52163" w:rsidP="001D2324">
      <w:pPr>
        <w:pStyle w:val="TOC3"/>
        <w:rPr>
          <w:noProof/>
        </w:rPr>
      </w:pPr>
      <w:hyperlink w:anchor="_Toc394309046" w:history="1">
        <w:r w:rsidR="001D2324" w:rsidRPr="00C34018">
          <w:rPr>
            <w:rStyle w:val="Hyperlink"/>
            <w:noProof/>
          </w:rPr>
          <w:t>2.</w:t>
        </w:r>
        <w:r w:rsidR="001D2324">
          <w:rPr>
            <w:noProof/>
          </w:rPr>
          <w:tab/>
        </w:r>
        <w:r w:rsidR="001D2324" w:rsidRPr="00C34018">
          <w:rPr>
            <w:rStyle w:val="Hyperlink"/>
            <w:noProof/>
          </w:rPr>
          <w:t>PPL Position</w:t>
        </w:r>
        <w:r w:rsidR="001D2324">
          <w:rPr>
            <w:noProof/>
            <w:webHidden/>
          </w:rPr>
          <w:tab/>
        </w:r>
        <w:r w:rsidR="001D2324">
          <w:rPr>
            <w:noProof/>
            <w:webHidden/>
          </w:rPr>
          <w:fldChar w:fldCharType="begin"/>
        </w:r>
        <w:r w:rsidR="001D2324">
          <w:rPr>
            <w:noProof/>
            <w:webHidden/>
          </w:rPr>
          <w:instrText xml:space="preserve"> PAGEREF _Toc394309046 \h </w:instrText>
        </w:r>
        <w:r w:rsidR="001D2324">
          <w:rPr>
            <w:noProof/>
            <w:webHidden/>
          </w:rPr>
        </w:r>
        <w:r w:rsidR="001D2324">
          <w:rPr>
            <w:noProof/>
            <w:webHidden/>
          </w:rPr>
          <w:fldChar w:fldCharType="separate"/>
        </w:r>
        <w:r w:rsidR="00D7561A">
          <w:rPr>
            <w:noProof/>
            <w:webHidden/>
          </w:rPr>
          <w:t>42</w:t>
        </w:r>
        <w:r w:rsidR="001D2324">
          <w:rPr>
            <w:noProof/>
            <w:webHidden/>
          </w:rPr>
          <w:fldChar w:fldCharType="end"/>
        </w:r>
      </w:hyperlink>
    </w:p>
    <w:p w:rsidR="001D2324" w:rsidRDefault="00E52163" w:rsidP="001D2324">
      <w:pPr>
        <w:pStyle w:val="TOC3"/>
        <w:rPr>
          <w:noProof/>
        </w:rPr>
      </w:pPr>
      <w:hyperlink w:anchor="_Toc394309047" w:history="1">
        <w:r w:rsidR="001D2324" w:rsidRPr="00C34018">
          <w:rPr>
            <w:rStyle w:val="Hyperlink"/>
            <w:noProof/>
          </w:rPr>
          <w:t>3.</w:t>
        </w:r>
        <w:r w:rsidR="001D2324">
          <w:rPr>
            <w:noProof/>
          </w:rPr>
          <w:tab/>
        </w:r>
        <w:r w:rsidR="001D2324" w:rsidRPr="00C34018">
          <w:rPr>
            <w:rStyle w:val="Hyperlink"/>
            <w:noProof/>
          </w:rPr>
          <w:t>ALJ Ruling</w:t>
        </w:r>
        <w:r w:rsidR="001D2324">
          <w:rPr>
            <w:noProof/>
            <w:webHidden/>
          </w:rPr>
          <w:tab/>
        </w:r>
        <w:r w:rsidR="001D2324">
          <w:rPr>
            <w:noProof/>
            <w:webHidden/>
          </w:rPr>
          <w:fldChar w:fldCharType="begin"/>
        </w:r>
        <w:r w:rsidR="001D2324">
          <w:rPr>
            <w:noProof/>
            <w:webHidden/>
          </w:rPr>
          <w:instrText xml:space="preserve"> PAGEREF _Toc394309047 \h </w:instrText>
        </w:r>
        <w:r w:rsidR="001D2324">
          <w:rPr>
            <w:noProof/>
            <w:webHidden/>
          </w:rPr>
        </w:r>
        <w:r w:rsidR="001D2324">
          <w:rPr>
            <w:noProof/>
            <w:webHidden/>
          </w:rPr>
          <w:fldChar w:fldCharType="separate"/>
        </w:r>
        <w:r w:rsidR="00D7561A">
          <w:rPr>
            <w:noProof/>
            <w:webHidden/>
          </w:rPr>
          <w:t>44</w:t>
        </w:r>
        <w:r w:rsidR="001D2324">
          <w:rPr>
            <w:noProof/>
            <w:webHidden/>
          </w:rPr>
          <w:fldChar w:fldCharType="end"/>
        </w:r>
      </w:hyperlink>
    </w:p>
    <w:p w:rsidR="001D2324" w:rsidRDefault="00E52163" w:rsidP="001D2324">
      <w:pPr>
        <w:pStyle w:val="TOC2"/>
        <w:rPr>
          <w:noProof/>
        </w:rPr>
      </w:pPr>
      <w:hyperlink w:anchor="_Toc394309048" w:history="1">
        <w:r w:rsidR="001D2324" w:rsidRPr="00C34018">
          <w:rPr>
            <w:rStyle w:val="Hyperlink"/>
            <w:noProof/>
          </w:rPr>
          <w:t>D.</w:t>
        </w:r>
        <w:r w:rsidR="001D2324">
          <w:rPr>
            <w:noProof/>
          </w:rPr>
          <w:tab/>
        </w:r>
        <w:r w:rsidR="001D2324" w:rsidRPr="00C34018">
          <w:rPr>
            <w:rStyle w:val="Hyperlink"/>
            <w:noProof/>
          </w:rPr>
          <w:t>Inclusion of ACR and CER Revenue in the 5% DSIC Cap</w:t>
        </w:r>
        <w:r w:rsidR="001D2324">
          <w:rPr>
            <w:noProof/>
            <w:webHidden/>
          </w:rPr>
          <w:tab/>
        </w:r>
        <w:r w:rsidR="001D2324">
          <w:rPr>
            <w:noProof/>
            <w:webHidden/>
          </w:rPr>
          <w:fldChar w:fldCharType="begin"/>
        </w:r>
        <w:r w:rsidR="001D2324">
          <w:rPr>
            <w:noProof/>
            <w:webHidden/>
          </w:rPr>
          <w:instrText xml:space="preserve"> PAGEREF _Toc394309048 \h </w:instrText>
        </w:r>
        <w:r w:rsidR="001D2324">
          <w:rPr>
            <w:noProof/>
            <w:webHidden/>
          </w:rPr>
        </w:r>
        <w:r w:rsidR="001D2324">
          <w:rPr>
            <w:noProof/>
            <w:webHidden/>
          </w:rPr>
          <w:fldChar w:fldCharType="separate"/>
        </w:r>
        <w:r w:rsidR="00D7561A">
          <w:rPr>
            <w:noProof/>
            <w:webHidden/>
          </w:rPr>
          <w:t>48</w:t>
        </w:r>
        <w:r w:rsidR="001D2324">
          <w:rPr>
            <w:noProof/>
            <w:webHidden/>
          </w:rPr>
          <w:fldChar w:fldCharType="end"/>
        </w:r>
      </w:hyperlink>
    </w:p>
    <w:p w:rsidR="001D2324" w:rsidRDefault="00E52163" w:rsidP="001D2324">
      <w:pPr>
        <w:pStyle w:val="TOC3"/>
        <w:rPr>
          <w:noProof/>
        </w:rPr>
      </w:pPr>
      <w:hyperlink w:anchor="_Toc394309049" w:history="1">
        <w:r w:rsidR="001D2324" w:rsidRPr="00C34018">
          <w:rPr>
            <w:rStyle w:val="Hyperlink"/>
            <w:noProof/>
          </w:rPr>
          <w:t>1.</w:t>
        </w:r>
        <w:r w:rsidR="001D2324">
          <w:rPr>
            <w:noProof/>
          </w:rPr>
          <w:tab/>
        </w:r>
        <w:r w:rsidR="001D2324" w:rsidRPr="00C34018">
          <w:rPr>
            <w:rStyle w:val="Hyperlink"/>
            <w:noProof/>
          </w:rPr>
          <w:t>PPLICA Position</w:t>
        </w:r>
        <w:r w:rsidR="001D2324">
          <w:rPr>
            <w:noProof/>
            <w:webHidden/>
          </w:rPr>
          <w:tab/>
        </w:r>
        <w:r w:rsidR="001D2324">
          <w:rPr>
            <w:noProof/>
            <w:webHidden/>
          </w:rPr>
          <w:fldChar w:fldCharType="begin"/>
        </w:r>
        <w:r w:rsidR="001D2324">
          <w:rPr>
            <w:noProof/>
            <w:webHidden/>
          </w:rPr>
          <w:instrText xml:space="preserve"> PAGEREF _Toc394309049 \h </w:instrText>
        </w:r>
        <w:r w:rsidR="001D2324">
          <w:rPr>
            <w:noProof/>
            <w:webHidden/>
          </w:rPr>
        </w:r>
        <w:r w:rsidR="001D2324">
          <w:rPr>
            <w:noProof/>
            <w:webHidden/>
          </w:rPr>
          <w:fldChar w:fldCharType="separate"/>
        </w:r>
        <w:r w:rsidR="00D7561A">
          <w:rPr>
            <w:noProof/>
            <w:webHidden/>
          </w:rPr>
          <w:t>48</w:t>
        </w:r>
        <w:r w:rsidR="001D2324">
          <w:rPr>
            <w:noProof/>
            <w:webHidden/>
          </w:rPr>
          <w:fldChar w:fldCharType="end"/>
        </w:r>
      </w:hyperlink>
    </w:p>
    <w:p w:rsidR="001D2324" w:rsidRDefault="00E52163" w:rsidP="001D2324">
      <w:pPr>
        <w:pStyle w:val="TOC3"/>
        <w:rPr>
          <w:noProof/>
        </w:rPr>
      </w:pPr>
      <w:hyperlink w:anchor="_Toc394309050" w:history="1">
        <w:r w:rsidR="001D2324" w:rsidRPr="00C34018">
          <w:rPr>
            <w:rStyle w:val="Hyperlink"/>
            <w:noProof/>
          </w:rPr>
          <w:t>2.</w:t>
        </w:r>
        <w:r w:rsidR="001D2324">
          <w:rPr>
            <w:noProof/>
          </w:rPr>
          <w:tab/>
        </w:r>
        <w:r w:rsidR="001D2324" w:rsidRPr="00C34018">
          <w:rPr>
            <w:rStyle w:val="Hyperlink"/>
            <w:noProof/>
          </w:rPr>
          <w:t>PPL Position</w:t>
        </w:r>
        <w:r w:rsidR="001D2324">
          <w:rPr>
            <w:noProof/>
            <w:webHidden/>
          </w:rPr>
          <w:tab/>
        </w:r>
        <w:r w:rsidR="001D2324">
          <w:rPr>
            <w:noProof/>
            <w:webHidden/>
          </w:rPr>
          <w:fldChar w:fldCharType="begin"/>
        </w:r>
        <w:r w:rsidR="001D2324">
          <w:rPr>
            <w:noProof/>
            <w:webHidden/>
          </w:rPr>
          <w:instrText xml:space="preserve"> PAGEREF _Toc394309050 \h </w:instrText>
        </w:r>
        <w:r w:rsidR="001D2324">
          <w:rPr>
            <w:noProof/>
            <w:webHidden/>
          </w:rPr>
        </w:r>
        <w:r w:rsidR="001D2324">
          <w:rPr>
            <w:noProof/>
            <w:webHidden/>
          </w:rPr>
          <w:fldChar w:fldCharType="separate"/>
        </w:r>
        <w:r w:rsidR="00D7561A">
          <w:rPr>
            <w:noProof/>
            <w:webHidden/>
          </w:rPr>
          <w:t>54</w:t>
        </w:r>
        <w:r w:rsidR="001D2324">
          <w:rPr>
            <w:noProof/>
            <w:webHidden/>
          </w:rPr>
          <w:fldChar w:fldCharType="end"/>
        </w:r>
      </w:hyperlink>
    </w:p>
    <w:p w:rsidR="001D2324" w:rsidRDefault="00E52163" w:rsidP="001D2324">
      <w:pPr>
        <w:pStyle w:val="TOC3"/>
        <w:rPr>
          <w:noProof/>
        </w:rPr>
      </w:pPr>
      <w:hyperlink w:anchor="_Toc394309051" w:history="1">
        <w:r w:rsidR="001D2324" w:rsidRPr="00C34018">
          <w:rPr>
            <w:rStyle w:val="Hyperlink"/>
            <w:noProof/>
          </w:rPr>
          <w:t>3.</w:t>
        </w:r>
        <w:r w:rsidR="001D2324">
          <w:rPr>
            <w:noProof/>
          </w:rPr>
          <w:tab/>
        </w:r>
        <w:r w:rsidR="001D2324" w:rsidRPr="00C34018">
          <w:rPr>
            <w:rStyle w:val="Hyperlink"/>
            <w:noProof/>
          </w:rPr>
          <w:t>ALJ Ruling</w:t>
        </w:r>
        <w:r w:rsidR="001D2324">
          <w:rPr>
            <w:noProof/>
            <w:webHidden/>
          </w:rPr>
          <w:tab/>
        </w:r>
        <w:r w:rsidR="001D2324">
          <w:rPr>
            <w:noProof/>
            <w:webHidden/>
          </w:rPr>
          <w:fldChar w:fldCharType="begin"/>
        </w:r>
        <w:r w:rsidR="001D2324">
          <w:rPr>
            <w:noProof/>
            <w:webHidden/>
          </w:rPr>
          <w:instrText xml:space="preserve"> PAGEREF _Toc394309051 \h </w:instrText>
        </w:r>
        <w:r w:rsidR="001D2324">
          <w:rPr>
            <w:noProof/>
            <w:webHidden/>
          </w:rPr>
        </w:r>
        <w:r w:rsidR="001D2324">
          <w:rPr>
            <w:noProof/>
            <w:webHidden/>
          </w:rPr>
          <w:fldChar w:fldCharType="separate"/>
        </w:r>
        <w:r w:rsidR="00D7561A">
          <w:rPr>
            <w:noProof/>
            <w:webHidden/>
          </w:rPr>
          <w:t>57</w:t>
        </w:r>
        <w:r w:rsidR="001D2324">
          <w:rPr>
            <w:noProof/>
            <w:webHidden/>
          </w:rPr>
          <w:fldChar w:fldCharType="end"/>
        </w:r>
      </w:hyperlink>
    </w:p>
    <w:p w:rsidR="001D2324" w:rsidRDefault="00E52163" w:rsidP="001D2324">
      <w:pPr>
        <w:pStyle w:val="TOC1"/>
        <w:rPr>
          <w:noProof/>
        </w:rPr>
      </w:pPr>
      <w:hyperlink w:anchor="_Toc394309052" w:history="1">
        <w:r w:rsidR="001D2324" w:rsidRPr="00C34018">
          <w:rPr>
            <w:rStyle w:val="Hyperlink"/>
            <w:noProof/>
          </w:rPr>
          <w:t>V.</w:t>
        </w:r>
        <w:r w:rsidR="001D2324">
          <w:rPr>
            <w:noProof/>
          </w:rPr>
          <w:tab/>
        </w:r>
        <w:r w:rsidR="001D2324" w:rsidRPr="00C34018">
          <w:rPr>
            <w:rStyle w:val="Hyperlink"/>
            <w:noProof/>
          </w:rPr>
          <w:t>CONCLUSIONS OF LAW</w:t>
        </w:r>
        <w:r w:rsidR="001D2324">
          <w:rPr>
            <w:noProof/>
            <w:webHidden/>
          </w:rPr>
          <w:tab/>
        </w:r>
        <w:r w:rsidR="001D2324">
          <w:rPr>
            <w:noProof/>
            <w:webHidden/>
          </w:rPr>
          <w:fldChar w:fldCharType="begin"/>
        </w:r>
        <w:r w:rsidR="001D2324">
          <w:rPr>
            <w:noProof/>
            <w:webHidden/>
          </w:rPr>
          <w:instrText xml:space="preserve"> PAGEREF _Toc394309052 \h </w:instrText>
        </w:r>
        <w:r w:rsidR="001D2324">
          <w:rPr>
            <w:noProof/>
            <w:webHidden/>
          </w:rPr>
        </w:r>
        <w:r w:rsidR="001D2324">
          <w:rPr>
            <w:noProof/>
            <w:webHidden/>
          </w:rPr>
          <w:fldChar w:fldCharType="separate"/>
        </w:r>
        <w:r w:rsidR="00D7561A">
          <w:rPr>
            <w:noProof/>
            <w:webHidden/>
          </w:rPr>
          <w:t>59</w:t>
        </w:r>
        <w:r w:rsidR="001D2324">
          <w:rPr>
            <w:noProof/>
            <w:webHidden/>
          </w:rPr>
          <w:fldChar w:fldCharType="end"/>
        </w:r>
      </w:hyperlink>
    </w:p>
    <w:p w:rsidR="001D2324" w:rsidRDefault="00E52163" w:rsidP="001D2324">
      <w:pPr>
        <w:pStyle w:val="TOC1"/>
        <w:rPr>
          <w:noProof/>
        </w:rPr>
      </w:pPr>
      <w:hyperlink w:anchor="_Toc394309053" w:history="1">
        <w:r w:rsidR="001D2324" w:rsidRPr="00C34018">
          <w:rPr>
            <w:rStyle w:val="Hyperlink"/>
            <w:noProof/>
          </w:rPr>
          <w:t>VI.</w:t>
        </w:r>
        <w:r w:rsidR="001D2324">
          <w:rPr>
            <w:noProof/>
          </w:rPr>
          <w:tab/>
        </w:r>
        <w:r w:rsidR="001D2324" w:rsidRPr="00C34018">
          <w:rPr>
            <w:rStyle w:val="Hyperlink"/>
            <w:noProof/>
          </w:rPr>
          <w:t>ORDER</w:t>
        </w:r>
        <w:r w:rsidR="001D2324">
          <w:rPr>
            <w:noProof/>
            <w:webHidden/>
          </w:rPr>
          <w:tab/>
        </w:r>
        <w:r w:rsidR="001D2324">
          <w:rPr>
            <w:noProof/>
            <w:webHidden/>
          </w:rPr>
          <w:fldChar w:fldCharType="begin"/>
        </w:r>
        <w:r w:rsidR="001D2324">
          <w:rPr>
            <w:noProof/>
            <w:webHidden/>
          </w:rPr>
          <w:instrText xml:space="preserve"> PAGEREF _Toc394309053 \h </w:instrText>
        </w:r>
        <w:r w:rsidR="001D2324">
          <w:rPr>
            <w:noProof/>
            <w:webHidden/>
          </w:rPr>
        </w:r>
        <w:r w:rsidR="001D2324">
          <w:rPr>
            <w:noProof/>
            <w:webHidden/>
          </w:rPr>
          <w:fldChar w:fldCharType="separate"/>
        </w:r>
        <w:r w:rsidR="00D7561A">
          <w:rPr>
            <w:noProof/>
            <w:webHidden/>
          </w:rPr>
          <w:t>62</w:t>
        </w:r>
        <w:r w:rsidR="001D2324">
          <w:rPr>
            <w:noProof/>
            <w:webHidden/>
          </w:rPr>
          <w:fldChar w:fldCharType="end"/>
        </w:r>
      </w:hyperlink>
    </w:p>
    <w:p w:rsidR="008A2D47" w:rsidRDefault="001D2324" w:rsidP="001D2324">
      <w:pPr>
        <w:spacing w:line="240" w:lineRule="auto"/>
        <w:rPr>
          <w:sz w:val="24"/>
          <w:szCs w:val="24"/>
        </w:rPr>
      </w:pPr>
      <w:r>
        <w:rPr>
          <w:sz w:val="24"/>
          <w:szCs w:val="24"/>
        </w:rPr>
        <w:fldChar w:fldCharType="end"/>
      </w:r>
    </w:p>
    <w:p w:rsidR="0013636C" w:rsidRDefault="0013636C" w:rsidP="00230058">
      <w:pPr>
        <w:spacing w:line="240" w:lineRule="auto"/>
        <w:jc w:val="center"/>
        <w:rPr>
          <w:sz w:val="24"/>
          <w:szCs w:val="24"/>
        </w:rPr>
      </w:pPr>
    </w:p>
    <w:p w:rsidR="0013636C" w:rsidRDefault="0013636C" w:rsidP="00230058">
      <w:pPr>
        <w:spacing w:line="240" w:lineRule="auto"/>
        <w:jc w:val="center"/>
        <w:rPr>
          <w:sz w:val="24"/>
          <w:szCs w:val="24"/>
        </w:rPr>
        <w:sectPr w:rsidR="0013636C" w:rsidSect="0059457D">
          <w:footerReference w:type="first" r:id="rId11"/>
          <w:pgSz w:w="12240" w:h="15840"/>
          <w:pgMar w:top="1440" w:right="1440" w:bottom="1440" w:left="1440" w:header="720" w:footer="720" w:gutter="0"/>
          <w:pgNumType w:fmt="lowerRoman" w:start="1"/>
          <w:cols w:space="720"/>
          <w:titlePg/>
          <w:docGrid w:linePitch="360"/>
        </w:sectPr>
      </w:pPr>
    </w:p>
    <w:p w:rsidR="004E20F3" w:rsidRPr="00B20BE9" w:rsidRDefault="001931DC" w:rsidP="00230058">
      <w:pPr>
        <w:spacing w:line="240" w:lineRule="auto"/>
        <w:jc w:val="center"/>
        <w:rPr>
          <w:sz w:val="24"/>
          <w:szCs w:val="24"/>
        </w:rPr>
      </w:pPr>
      <w:r w:rsidRPr="00B20BE9">
        <w:rPr>
          <w:sz w:val="24"/>
          <w:szCs w:val="24"/>
        </w:rPr>
        <w:t>I.</w:t>
      </w:r>
      <w:r w:rsidRPr="00B20BE9">
        <w:rPr>
          <w:sz w:val="24"/>
          <w:szCs w:val="24"/>
        </w:rPr>
        <w:tab/>
      </w:r>
      <w:r w:rsidRPr="00B20BE9">
        <w:rPr>
          <w:sz w:val="24"/>
          <w:szCs w:val="24"/>
          <w:u w:val="single"/>
        </w:rPr>
        <w:t>INTRODUCTION</w:t>
      </w:r>
      <w:r w:rsidR="005351A1">
        <w:rPr>
          <w:sz w:val="24"/>
          <w:szCs w:val="24"/>
          <w:u w:val="single"/>
        </w:rPr>
        <w:fldChar w:fldCharType="begin"/>
      </w:r>
      <w:r w:rsidR="005351A1">
        <w:instrText xml:space="preserve"> TC "</w:instrText>
      </w:r>
      <w:bookmarkStart w:id="0" w:name="_Toc394309029"/>
      <w:r w:rsidR="005351A1" w:rsidRPr="008742F7">
        <w:rPr>
          <w:sz w:val="24"/>
          <w:szCs w:val="24"/>
        </w:rPr>
        <w:instrText>I.</w:instrText>
      </w:r>
      <w:r w:rsidR="005351A1" w:rsidRPr="008742F7">
        <w:rPr>
          <w:sz w:val="24"/>
          <w:szCs w:val="24"/>
        </w:rPr>
        <w:tab/>
      </w:r>
      <w:r w:rsidR="005351A1" w:rsidRPr="008742F7">
        <w:rPr>
          <w:sz w:val="24"/>
          <w:szCs w:val="24"/>
          <w:u w:val="single"/>
        </w:rPr>
        <w:instrText>INTRODUCTION</w:instrText>
      </w:r>
      <w:bookmarkEnd w:id="0"/>
      <w:r w:rsidR="005351A1">
        <w:instrText xml:space="preserve">" \f C \l "1" </w:instrText>
      </w:r>
      <w:r w:rsidR="005351A1">
        <w:rPr>
          <w:sz w:val="24"/>
          <w:szCs w:val="24"/>
          <w:u w:val="single"/>
        </w:rPr>
        <w:fldChar w:fldCharType="end"/>
      </w:r>
    </w:p>
    <w:p w:rsidR="001931DC" w:rsidRDefault="001931DC" w:rsidP="00230058">
      <w:pPr>
        <w:spacing w:line="240" w:lineRule="auto"/>
        <w:jc w:val="center"/>
        <w:rPr>
          <w:sz w:val="24"/>
          <w:szCs w:val="24"/>
        </w:rPr>
      </w:pPr>
    </w:p>
    <w:p w:rsidR="00B20BE9" w:rsidRPr="00B20BE9" w:rsidRDefault="00B20BE9" w:rsidP="00230058">
      <w:pPr>
        <w:spacing w:line="240" w:lineRule="auto"/>
        <w:jc w:val="center"/>
        <w:rPr>
          <w:sz w:val="24"/>
          <w:szCs w:val="24"/>
        </w:rPr>
      </w:pPr>
    </w:p>
    <w:p w:rsidR="00D04474" w:rsidRPr="00B20BE9" w:rsidRDefault="00D04474" w:rsidP="00D04474">
      <w:pPr>
        <w:rPr>
          <w:sz w:val="24"/>
          <w:szCs w:val="24"/>
        </w:rPr>
      </w:pPr>
      <w:r w:rsidRPr="00B20BE9">
        <w:rPr>
          <w:sz w:val="24"/>
          <w:szCs w:val="24"/>
        </w:rPr>
        <w:tab/>
      </w:r>
      <w:r w:rsidRPr="00B20BE9">
        <w:rPr>
          <w:sz w:val="24"/>
          <w:szCs w:val="24"/>
        </w:rPr>
        <w:tab/>
        <w:t xml:space="preserve">For the reasons set forth below, this Recommended Decision concludes that </w:t>
      </w:r>
    </w:p>
    <w:p w:rsidR="00D04474" w:rsidRPr="00B20BE9" w:rsidRDefault="00D04474" w:rsidP="00D04474">
      <w:pPr>
        <w:rPr>
          <w:sz w:val="24"/>
          <w:szCs w:val="24"/>
        </w:rPr>
      </w:pPr>
      <w:r w:rsidRPr="00B20BE9">
        <w:rPr>
          <w:sz w:val="24"/>
          <w:szCs w:val="24"/>
        </w:rPr>
        <w:t xml:space="preserve">PPL Electric Utilities Corporation (PPL or the Company) has met its burden of proof with respect to </w:t>
      </w:r>
      <w:r w:rsidR="00D70F72" w:rsidRPr="00B20BE9">
        <w:rPr>
          <w:sz w:val="24"/>
          <w:szCs w:val="24"/>
        </w:rPr>
        <w:t>treatment of Accumulated Deferred Income Tax (ADIT) and state income taxes in its Distribution Service Improvement Charge (DSIC).  However, the Company has not met its burden of proof with respect to inclusion of Rate Schedule LP-5 customers taking service at transmission voltage rates in its DSIC or with respect to inclusion of Act 129 Compliance Rider (ACR) or Competitive Enhancement Rider (CER) revenues</w:t>
      </w:r>
      <w:r w:rsidR="00CC4B4E" w:rsidRPr="00B20BE9">
        <w:rPr>
          <w:sz w:val="24"/>
          <w:szCs w:val="24"/>
        </w:rPr>
        <w:t xml:space="preserve"> in its DSIC.  PPL should be required to recalculate its DSIC with these adjustments </w:t>
      </w:r>
      <w:r w:rsidR="00C75CF5" w:rsidRPr="00B20BE9">
        <w:rPr>
          <w:sz w:val="24"/>
          <w:szCs w:val="24"/>
        </w:rPr>
        <w:t>and provide refunds as required, retroactive to July 1, 2013.</w:t>
      </w:r>
    </w:p>
    <w:p w:rsidR="008A2D47" w:rsidRDefault="008A2D47" w:rsidP="008A2D47">
      <w:pPr>
        <w:rPr>
          <w:sz w:val="24"/>
          <w:szCs w:val="24"/>
        </w:rPr>
      </w:pPr>
    </w:p>
    <w:p w:rsidR="004E20F3" w:rsidRPr="00B20BE9" w:rsidRDefault="00B50947" w:rsidP="008A2D47">
      <w:pPr>
        <w:jc w:val="center"/>
        <w:rPr>
          <w:sz w:val="24"/>
          <w:szCs w:val="24"/>
          <w:u w:val="single"/>
        </w:rPr>
      </w:pPr>
      <w:r w:rsidRPr="00B20BE9">
        <w:rPr>
          <w:sz w:val="24"/>
          <w:szCs w:val="24"/>
        </w:rPr>
        <w:t>I</w:t>
      </w:r>
      <w:r w:rsidR="001931DC" w:rsidRPr="00B20BE9">
        <w:rPr>
          <w:sz w:val="24"/>
          <w:szCs w:val="24"/>
        </w:rPr>
        <w:t>I</w:t>
      </w:r>
      <w:r w:rsidRPr="00B20BE9">
        <w:rPr>
          <w:sz w:val="24"/>
          <w:szCs w:val="24"/>
        </w:rPr>
        <w:t>.</w:t>
      </w:r>
      <w:r w:rsidRPr="00B20BE9">
        <w:rPr>
          <w:sz w:val="24"/>
          <w:szCs w:val="24"/>
        </w:rPr>
        <w:tab/>
      </w:r>
      <w:r w:rsidR="004E20F3" w:rsidRPr="00B20BE9">
        <w:rPr>
          <w:sz w:val="24"/>
          <w:szCs w:val="24"/>
          <w:u w:val="single"/>
        </w:rPr>
        <w:t>HISTORY OF THE PROCEEDINGS</w:t>
      </w:r>
      <w:r w:rsidR="005351A1">
        <w:rPr>
          <w:sz w:val="24"/>
          <w:szCs w:val="24"/>
          <w:u w:val="single"/>
        </w:rPr>
        <w:fldChar w:fldCharType="begin"/>
      </w:r>
      <w:r w:rsidR="005351A1">
        <w:instrText xml:space="preserve"> TC "</w:instrText>
      </w:r>
      <w:bookmarkStart w:id="1" w:name="_Toc394309030"/>
      <w:r w:rsidR="005351A1" w:rsidRPr="008742F7">
        <w:rPr>
          <w:sz w:val="24"/>
          <w:szCs w:val="24"/>
        </w:rPr>
        <w:instrText>II.</w:instrText>
      </w:r>
      <w:r w:rsidR="005351A1" w:rsidRPr="008742F7">
        <w:rPr>
          <w:sz w:val="24"/>
          <w:szCs w:val="24"/>
        </w:rPr>
        <w:tab/>
      </w:r>
      <w:r w:rsidR="005351A1" w:rsidRPr="008742F7">
        <w:rPr>
          <w:sz w:val="24"/>
          <w:szCs w:val="24"/>
          <w:u w:val="single"/>
        </w:rPr>
        <w:instrText>HISTORY OF THE PROCEEDINGS</w:instrText>
      </w:r>
      <w:bookmarkEnd w:id="1"/>
      <w:r w:rsidR="005351A1">
        <w:instrText xml:space="preserve">" \f C \l "1" </w:instrText>
      </w:r>
      <w:r w:rsidR="005351A1">
        <w:rPr>
          <w:sz w:val="24"/>
          <w:szCs w:val="24"/>
          <w:u w:val="single"/>
        </w:rPr>
        <w:fldChar w:fldCharType="end"/>
      </w:r>
    </w:p>
    <w:p w:rsidR="004E20F3" w:rsidRPr="00B20BE9" w:rsidRDefault="004E20F3" w:rsidP="008A2D47">
      <w:pPr>
        <w:rPr>
          <w:sz w:val="24"/>
          <w:szCs w:val="24"/>
        </w:rPr>
      </w:pPr>
    </w:p>
    <w:p w:rsidR="000454B7" w:rsidRPr="00B20BE9" w:rsidRDefault="004E20F3" w:rsidP="008A2D47">
      <w:pPr>
        <w:rPr>
          <w:sz w:val="24"/>
          <w:szCs w:val="24"/>
        </w:rPr>
      </w:pPr>
      <w:r w:rsidRPr="00B20BE9">
        <w:rPr>
          <w:sz w:val="24"/>
          <w:szCs w:val="24"/>
        </w:rPr>
        <w:tab/>
      </w:r>
      <w:r w:rsidRPr="00B20BE9">
        <w:rPr>
          <w:sz w:val="24"/>
          <w:szCs w:val="24"/>
        </w:rPr>
        <w:tab/>
        <w:t xml:space="preserve">On February 14, 2012, </w:t>
      </w:r>
      <w:r w:rsidR="008759F8" w:rsidRPr="00B20BE9">
        <w:rPr>
          <w:sz w:val="24"/>
          <w:szCs w:val="24"/>
        </w:rPr>
        <w:t>Governor Corbett signed i</w:t>
      </w:r>
      <w:r w:rsidR="00796A2F" w:rsidRPr="00B20BE9">
        <w:rPr>
          <w:sz w:val="24"/>
          <w:szCs w:val="24"/>
        </w:rPr>
        <w:t>nto law Act 11 of 2012 (Act 11</w:t>
      </w:r>
      <w:r w:rsidR="008759F8" w:rsidRPr="00B20BE9">
        <w:rPr>
          <w:sz w:val="24"/>
          <w:szCs w:val="24"/>
        </w:rPr>
        <w:t>), effective in sixty (60) days, which, among other things, amend</w:t>
      </w:r>
      <w:r w:rsidR="00EA7039" w:rsidRPr="00B20BE9">
        <w:rPr>
          <w:sz w:val="24"/>
          <w:szCs w:val="24"/>
        </w:rPr>
        <w:t>ed</w:t>
      </w:r>
      <w:r w:rsidR="008759F8" w:rsidRPr="00B20BE9">
        <w:rPr>
          <w:sz w:val="24"/>
          <w:szCs w:val="24"/>
        </w:rPr>
        <w:t xml:space="preserve"> Chapter 13 of Title 66 of the Public Util</w:t>
      </w:r>
      <w:r w:rsidR="00796A2F" w:rsidRPr="00B20BE9">
        <w:rPr>
          <w:sz w:val="24"/>
          <w:szCs w:val="24"/>
        </w:rPr>
        <w:t>ity Code (Code</w:t>
      </w:r>
      <w:r w:rsidR="00C75CF5" w:rsidRPr="00B20BE9">
        <w:rPr>
          <w:sz w:val="24"/>
          <w:szCs w:val="24"/>
        </w:rPr>
        <w:t xml:space="preserve">) to approve a </w:t>
      </w:r>
      <w:r w:rsidR="00796A2F" w:rsidRPr="00B20BE9">
        <w:rPr>
          <w:sz w:val="24"/>
          <w:szCs w:val="24"/>
        </w:rPr>
        <w:t>DSIC</w:t>
      </w:r>
      <w:r w:rsidR="00C75CF5" w:rsidRPr="00B20BE9">
        <w:rPr>
          <w:sz w:val="24"/>
          <w:szCs w:val="24"/>
        </w:rPr>
        <w:t xml:space="preserve"> </w:t>
      </w:r>
      <w:r w:rsidR="008759F8" w:rsidRPr="00B20BE9">
        <w:rPr>
          <w:sz w:val="24"/>
          <w:szCs w:val="24"/>
        </w:rPr>
        <w:t>for el</w:t>
      </w:r>
      <w:r w:rsidR="00796A2F" w:rsidRPr="00B20BE9">
        <w:rPr>
          <w:sz w:val="24"/>
          <w:szCs w:val="24"/>
        </w:rPr>
        <w:t>ectric distribution companies (EDCs</w:t>
      </w:r>
      <w:r w:rsidR="008759F8" w:rsidRPr="00B20BE9">
        <w:rPr>
          <w:sz w:val="24"/>
          <w:szCs w:val="24"/>
        </w:rPr>
        <w:t xml:space="preserve">).  </w:t>
      </w:r>
      <w:r w:rsidR="00124DDE" w:rsidRPr="00B20BE9">
        <w:rPr>
          <w:sz w:val="24"/>
          <w:szCs w:val="24"/>
          <w:u w:val="single"/>
        </w:rPr>
        <w:t>See</w:t>
      </w:r>
      <w:r w:rsidR="00AF50B1">
        <w:rPr>
          <w:sz w:val="24"/>
          <w:szCs w:val="24"/>
        </w:rPr>
        <w:t>, </w:t>
      </w:r>
      <w:r w:rsidR="00124DDE" w:rsidRPr="00B20BE9">
        <w:rPr>
          <w:sz w:val="24"/>
          <w:szCs w:val="24"/>
        </w:rPr>
        <w:t>66</w:t>
      </w:r>
      <w:r w:rsidR="00802DF6" w:rsidRPr="00B20BE9">
        <w:rPr>
          <w:sz w:val="24"/>
          <w:szCs w:val="24"/>
        </w:rPr>
        <w:t xml:space="preserve"> Pa.</w:t>
      </w:r>
      <w:r w:rsidR="00B154A5" w:rsidRPr="00B20BE9">
        <w:rPr>
          <w:sz w:val="24"/>
          <w:szCs w:val="24"/>
        </w:rPr>
        <w:t>C.S. §§</w:t>
      </w:r>
      <w:r w:rsidR="00124DDE" w:rsidRPr="00B20BE9">
        <w:rPr>
          <w:sz w:val="24"/>
          <w:szCs w:val="24"/>
        </w:rPr>
        <w:t xml:space="preserve"> 1350</w:t>
      </w:r>
      <w:r w:rsidR="00B154A5" w:rsidRPr="00B20BE9">
        <w:rPr>
          <w:sz w:val="24"/>
          <w:szCs w:val="24"/>
        </w:rPr>
        <w:t xml:space="preserve">-1360.  </w:t>
      </w:r>
      <w:r w:rsidRPr="00B20BE9">
        <w:rPr>
          <w:sz w:val="24"/>
          <w:szCs w:val="24"/>
        </w:rPr>
        <w:t xml:space="preserve">Act 11 provides utilities with the ability to implement a DSIC to recover reasonable and prudent costs incurred to repair, improve or replace certain eligible property that is part of the utility’s distribution system.  </w:t>
      </w:r>
      <w:r w:rsidR="007E5244" w:rsidRPr="00B20BE9">
        <w:rPr>
          <w:sz w:val="24"/>
          <w:szCs w:val="24"/>
        </w:rPr>
        <w:t>66 Pa.C.S. § 1353.</w:t>
      </w:r>
      <w:r w:rsidR="00222ECA" w:rsidRPr="00B20BE9">
        <w:rPr>
          <w:sz w:val="24"/>
          <w:szCs w:val="24"/>
        </w:rPr>
        <w:t xml:space="preserve">  Eligible property for EDCs is defined in Section 1351(1) of the Code, 66 Pa.C.S. § 1351(1).</w:t>
      </w:r>
    </w:p>
    <w:p w:rsidR="000454B7" w:rsidRPr="00B20BE9" w:rsidRDefault="000454B7" w:rsidP="004E20F3">
      <w:pPr>
        <w:rPr>
          <w:sz w:val="24"/>
          <w:szCs w:val="24"/>
        </w:rPr>
      </w:pPr>
    </w:p>
    <w:p w:rsidR="00E225F1" w:rsidRPr="00B20BE9" w:rsidRDefault="000454B7" w:rsidP="004E20F3">
      <w:pPr>
        <w:rPr>
          <w:sz w:val="24"/>
          <w:szCs w:val="24"/>
        </w:rPr>
      </w:pPr>
      <w:r w:rsidRPr="00B20BE9">
        <w:rPr>
          <w:sz w:val="24"/>
          <w:szCs w:val="24"/>
        </w:rPr>
        <w:tab/>
      </w:r>
      <w:r w:rsidRPr="00B20BE9">
        <w:rPr>
          <w:sz w:val="24"/>
          <w:szCs w:val="24"/>
        </w:rPr>
        <w:tab/>
      </w:r>
      <w:r w:rsidR="008114F5" w:rsidRPr="00B20BE9">
        <w:rPr>
          <w:sz w:val="24"/>
          <w:szCs w:val="24"/>
        </w:rPr>
        <w:t>As a precondition to the implementation of a DSIC, each utility is required to file a Long-Term Infrastructure Improvement Plan (LTIIP) with the Pennsylvania Public Utility Commission (Comm</w:t>
      </w:r>
      <w:r w:rsidR="00A3228F">
        <w:rPr>
          <w:sz w:val="24"/>
          <w:szCs w:val="24"/>
        </w:rPr>
        <w:t>ission), consistent with 66 Pa.</w:t>
      </w:r>
      <w:r w:rsidR="008114F5" w:rsidRPr="00B20BE9">
        <w:rPr>
          <w:sz w:val="24"/>
          <w:szCs w:val="24"/>
        </w:rPr>
        <w:t xml:space="preserve">C.S. § 1352.  </w:t>
      </w:r>
      <w:r w:rsidR="007E5244" w:rsidRPr="00B20BE9">
        <w:rPr>
          <w:sz w:val="24"/>
          <w:szCs w:val="24"/>
        </w:rPr>
        <w:t>Certain limitations are included in Act 11; specifically, the DSIC initia</w:t>
      </w:r>
      <w:r w:rsidR="00E225F1" w:rsidRPr="00B20BE9">
        <w:rPr>
          <w:sz w:val="24"/>
          <w:szCs w:val="24"/>
        </w:rPr>
        <w:t xml:space="preserve">lly may not exceed 5% of </w:t>
      </w:r>
      <w:r w:rsidR="007E5244" w:rsidRPr="00B20BE9">
        <w:rPr>
          <w:sz w:val="24"/>
          <w:szCs w:val="24"/>
        </w:rPr>
        <w:t>distribution rates</w:t>
      </w:r>
      <w:r w:rsidR="00E225F1" w:rsidRPr="00B20BE9">
        <w:rPr>
          <w:sz w:val="24"/>
          <w:szCs w:val="24"/>
        </w:rPr>
        <w:t xml:space="preserve">, and </w:t>
      </w:r>
      <w:r w:rsidRPr="00B20BE9">
        <w:rPr>
          <w:sz w:val="24"/>
          <w:szCs w:val="24"/>
        </w:rPr>
        <w:t xml:space="preserve">is to be </w:t>
      </w:r>
      <w:r w:rsidR="00E225F1" w:rsidRPr="00B20BE9">
        <w:rPr>
          <w:sz w:val="24"/>
          <w:szCs w:val="24"/>
        </w:rPr>
        <w:t>reset to zero upon the effective date of new base rates and if overearning is shown in any quarter.  66 Pa.C.S. §§ 1358(a)(1) and (b).  In addition, Act 11 sets out specific audit and reconciliation procedures, including refunds with interest to customers of any over-collections.</w:t>
      </w:r>
    </w:p>
    <w:p w:rsidR="00E225F1" w:rsidRPr="00B20BE9" w:rsidRDefault="00E225F1" w:rsidP="004E20F3">
      <w:pPr>
        <w:rPr>
          <w:sz w:val="24"/>
          <w:szCs w:val="24"/>
        </w:rPr>
      </w:pPr>
    </w:p>
    <w:p w:rsidR="004E20F3" w:rsidRPr="00B20BE9" w:rsidRDefault="00145C37" w:rsidP="004E20F3">
      <w:pPr>
        <w:rPr>
          <w:sz w:val="24"/>
          <w:szCs w:val="24"/>
        </w:rPr>
      </w:pPr>
      <w:r w:rsidRPr="00B20BE9">
        <w:rPr>
          <w:sz w:val="24"/>
          <w:szCs w:val="24"/>
        </w:rPr>
        <w:tab/>
      </w:r>
      <w:r w:rsidRPr="00B20BE9">
        <w:rPr>
          <w:sz w:val="24"/>
          <w:szCs w:val="24"/>
        </w:rPr>
        <w:tab/>
      </w:r>
      <w:r w:rsidR="004E20F3" w:rsidRPr="00B20BE9">
        <w:rPr>
          <w:sz w:val="24"/>
          <w:szCs w:val="24"/>
        </w:rPr>
        <w:t xml:space="preserve">On August 2, 2012, the Commission issued its </w:t>
      </w:r>
      <w:r w:rsidR="004E20F3" w:rsidRPr="00B20BE9">
        <w:rPr>
          <w:i/>
          <w:sz w:val="24"/>
          <w:szCs w:val="24"/>
        </w:rPr>
        <w:t>Final Implementation Order</w:t>
      </w:r>
      <w:r w:rsidR="004E20F3" w:rsidRPr="00B20BE9">
        <w:rPr>
          <w:sz w:val="24"/>
          <w:szCs w:val="24"/>
        </w:rPr>
        <w:t>, at Docket No. M-2012-2293611, establ</w:t>
      </w:r>
      <w:r w:rsidR="007B1027" w:rsidRPr="00B20BE9">
        <w:rPr>
          <w:sz w:val="24"/>
          <w:szCs w:val="24"/>
        </w:rPr>
        <w:t xml:space="preserve">ishing procedures </w:t>
      </w:r>
      <w:r w:rsidR="004E20F3" w:rsidRPr="00B20BE9">
        <w:rPr>
          <w:sz w:val="24"/>
          <w:szCs w:val="24"/>
        </w:rPr>
        <w:t>necessary to implement Act 11.</w:t>
      </w:r>
      <w:r w:rsidR="007B1027" w:rsidRPr="00B20BE9">
        <w:rPr>
          <w:sz w:val="24"/>
          <w:szCs w:val="24"/>
        </w:rPr>
        <w:t xml:space="preserve">  The</w:t>
      </w:r>
      <w:r w:rsidR="00BA2787" w:rsidRPr="00B20BE9">
        <w:rPr>
          <w:sz w:val="24"/>
          <w:szCs w:val="24"/>
        </w:rPr>
        <w:t xml:space="preserve"> </w:t>
      </w:r>
      <w:r w:rsidR="00BA2787" w:rsidRPr="00B20BE9">
        <w:rPr>
          <w:i/>
          <w:sz w:val="24"/>
          <w:szCs w:val="24"/>
        </w:rPr>
        <w:t xml:space="preserve">Final Implementation Order </w:t>
      </w:r>
      <w:r w:rsidR="008114F5" w:rsidRPr="00B20BE9">
        <w:rPr>
          <w:sz w:val="24"/>
          <w:szCs w:val="24"/>
        </w:rPr>
        <w:t>adopted the requirements established in Act 11, provided additional standards that each utility must meet in developing a LTIIP and DSIC, and gave guidance to utilities for meeting the Commission’s standards.</w:t>
      </w:r>
    </w:p>
    <w:p w:rsidR="004E20F3" w:rsidRPr="00B20BE9" w:rsidRDefault="004E20F3" w:rsidP="004E20F3">
      <w:pPr>
        <w:rPr>
          <w:sz w:val="24"/>
          <w:szCs w:val="24"/>
        </w:rPr>
      </w:pPr>
    </w:p>
    <w:p w:rsidR="000454B7" w:rsidRPr="00B20BE9" w:rsidRDefault="004E20F3" w:rsidP="00D62CF2">
      <w:pPr>
        <w:rPr>
          <w:sz w:val="24"/>
          <w:szCs w:val="24"/>
        </w:rPr>
      </w:pPr>
      <w:r w:rsidRPr="00B20BE9">
        <w:rPr>
          <w:sz w:val="24"/>
          <w:szCs w:val="24"/>
        </w:rPr>
        <w:tab/>
      </w:r>
      <w:r w:rsidRPr="00B20BE9">
        <w:rPr>
          <w:sz w:val="24"/>
          <w:szCs w:val="24"/>
        </w:rPr>
        <w:tab/>
      </w:r>
      <w:r w:rsidR="00BE0366" w:rsidRPr="00B20BE9">
        <w:rPr>
          <w:sz w:val="24"/>
          <w:szCs w:val="24"/>
        </w:rPr>
        <w:t>On Septem</w:t>
      </w:r>
      <w:r w:rsidR="00C75CF5" w:rsidRPr="00B20BE9">
        <w:rPr>
          <w:sz w:val="24"/>
          <w:szCs w:val="24"/>
        </w:rPr>
        <w:t xml:space="preserve">ber 18, 2012, PPL </w:t>
      </w:r>
      <w:r w:rsidR="00A24678" w:rsidRPr="00B20BE9">
        <w:rPr>
          <w:sz w:val="24"/>
          <w:szCs w:val="24"/>
        </w:rPr>
        <w:t xml:space="preserve">filed a LTIIP with the Commission, </w:t>
      </w:r>
      <w:r w:rsidR="000454B7" w:rsidRPr="00B20BE9">
        <w:rPr>
          <w:sz w:val="24"/>
          <w:szCs w:val="24"/>
        </w:rPr>
        <w:t>pursuant to Section 1352 of the Code, 66 Pa.C.S. § 1352.  PPL’s LTIIP was approved by the Commission on January 10, 2013.</w:t>
      </w:r>
    </w:p>
    <w:p w:rsidR="000454B7" w:rsidRPr="00B20BE9" w:rsidRDefault="000454B7" w:rsidP="00D62CF2">
      <w:pPr>
        <w:rPr>
          <w:sz w:val="24"/>
          <w:szCs w:val="24"/>
        </w:rPr>
      </w:pPr>
    </w:p>
    <w:p w:rsidR="00C83AA3" w:rsidRPr="00B20BE9" w:rsidRDefault="000454B7" w:rsidP="00D62CF2">
      <w:pPr>
        <w:rPr>
          <w:sz w:val="24"/>
          <w:szCs w:val="24"/>
        </w:rPr>
      </w:pPr>
      <w:r w:rsidRPr="00B20BE9">
        <w:rPr>
          <w:sz w:val="24"/>
          <w:szCs w:val="24"/>
        </w:rPr>
        <w:tab/>
      </w:r>
      <w:r w:rsidRPr="00B20BE9">
        <w:rPr>
          <w:sz w:val="24"/>
          <w:szCs w:val="24"/>
        </w:rPr>
        <w:tab/>
        <w:t xml:space="preserve">On </w:t>
      </w:r>
      <w:r w:rsidR="00A24678" w:rsidRPr="00B20BE9">
        <w:rPr>
          <w:sz w:val="24"/>
          <w:szCs w:val="24"/>
        </w:rPr>
        <w:t>Janua</w:t>
      </w:r>
      <w:r w:rsidR="00C83AA3" w:rsidRPr="00B20BE9">
        <w:rPr>
          <w:sz w:val="24"/>
          <w:szCs w:val="24"/>
        </w:rPr>
        <w:t xml:space="preserve">ry 15, 2013, </w:t>
      </w:r>
      <w:r w:rsidR="00A24678" w:rsidRPr="00B20BE9">
        <w:rPr>
          <w:sz w:val="24"/>
          <w:szCs w:val="24"/>
        </w:rPr>
        <w:t>PPL filed a Petition for App</w:t>
      </w:r>
      <w:r w:rsidR="00C75CF5" w:rsidRPr="00B20BE9">
        <w:rPr>
          <w:sz w:val="24"/>
          <w:szCs w:val="24"/>
        </w:rPr>
        <w:t>roval of a DSIC (DSIC Petition)</w:t>
      </w:r>
      <w:r w:rsidRPr="00B20BE9">
        <w:rPr>
          <w:sz w:val="24"/>
          <w:szCs w:val="24"/>
        </w:rPr>
        <w:t>, pursuant to 66 Pa.C.S. § 1353.  As part of its Petition, PPL included a form of DSIC tariff, along with supporting direct testimony.</w:t>
      </w:r>
    </w:p>
    <w:p w:rsidR="00C83AA3" w:rsidRPr="00B20BE9" w:rsidRDefault="00C83AA3" w:rsidP="00D62CF2">
      <w:pPr>
        <w:rPr>
          <w:sz w:val="24"/>
          <w:szCs w:val="24"/>
        </w:rPr>
      </w:pPr>
    </w:p>
    <w:p w:rsidR="00965974" w:rsidRPr="00B20BE9" w:rsidRDefault="00C83AA3" w:rsidP="00D62CF2">
      <w:pPr>
        <w:rPr>
          <w:sz w:val="24"/>
          <w:szCs w:val="24"/>
        </w:rPr>
      </w:pPr>
      <w:r w:rsidRPr="00B20BE9">
        <w:rPr>
          <w:sz w:val="24"/>
          <w:szCs w:val="24"/>
        </w:rPr>
        <w:tab/>
      </w:r>
      <w:r w:rsidRPr="00B20BE9">
        <w:rPr>
          <w:sz w:val="24"/>
          <w:szCs w:val="24"/>
        </w:rPr>
        <w:tab/>
      </w:r>
      <w:r w:rsidR="00A24678" w:rsidRPr="00B20BE9">
        <w:rPr>
          <w:sz w:val="24"/>
          <w:szCs w:val="24"/>
        </w:rPr>
        <w:t>On February 4, 2013, the PP&amp;L</w:t>
      </w:r>
      <w:r w:rsidR="005D5CED" w:rsidRPr="00B20BE9">
        <w:rPr>
          <w:sz w:val="24"/>
          <w:szCs w:val="24"/>
        </w:rPr>
        <w:t xml:space="preserve"> Industrial Customer Alliance (PPLICA</w:t>
      </w:r>
      <w:r w:rsidR="00A24678" w:rsidRPr="00B20BE9">
        <w:rPr>
          <w:sz w:val="24"/>
          <w:szCs w:val="24"/>
        </w:rPr>
        <w:t>) filed a Petition to Intervene and an Answer to the DSIC Petition.  Also, on February 4, 2013, th</w:t>
      </w:r>
      <w:r w:rsidR="005D5CED" w:rsidRPr="00B20BE9">
        <w:rPr>
          <w:sz w:val="24"/>
          <w:szCs w:val="24"/>
        </w:rPr>
        <w:t>e Office of Consumer Advocate (OCA</w:t>
      </w:r>
      <w:r w:rsidR="00A24678" w:rsidRPr="00B20BE9">
        <w:rPr>
          <w:sz w:val="24"/>
          <w:szCs w:val="24"/>
        </w:rPr>
        <w:t xml:space="preserve">) </w:t>
      </w:r>
      <w:r w:rsidR="00965974" w:rsidRPr="00B20BE9">
        <w:rPr>
          <w:sz w:val="24"/>
          <w:szCs w:val="24"/>
        </w:rPr>
        <w:t xml:space="preserve">filed an Answer, Notice of Intervention and Formal Complaint </w:t>
      </w:r>
      <w:r w:rsidR="00DC3CBD" w:rsidRPr="00B20BE9">
        <w:rPr>
          <w:sz w:val="24"/>
          <w:szCs w:val="24"/>
        </w:rPr>
        <w:t>(</w:t>
      </w:r>
      <w:r w:rsidR="00E02D82" w:rsidRPr="00B20BE9">
        <w:rPr>
          <w:spacing w:val="-3"/>
          <w:sz w:val="24"/>
          <w:szCs w:val="24"/>
        </w:rPr>
        <w:t>C-2013</w:t>
      </w:r>
      <w:r w:rsidR="00DC3CBD" w:rsidRPr="00B20BE9">
        <w:rPr>
          <w:spacing w:val="-3"/>
          <w:sz w:val="24"/>
          <w:szCs w:val="24"/>
        </w:rPr>
        <w:t xml:space="preserve">-2346390) </w:t>
      </w:r>
      <w:r w:rsidR="00965974" w:rsidRPr="00B20BE9">
        <w:rPr>
          <w:sz w:val="24"/>
          <w:szCs w:val="24"/>
        </w:rPr>
        <w:t>and Public Statement.  On February 8, 2013, a Petition to Intervene was filed by Eric Epstein.  On March 22, 2013, the Offi</w:t>
      </w:r>
      <w:r w:rsidR="005D5CED" w:rsidRPr="00B20BE9">
        <w:rPr>
          <w:sz w:val="24"/>
          <w:szCs w:val="24"/>
        </w:rPr>
        <w:t>ce of Small Business Advocate (OSBA</w:t>
      </w:r>
      <w:r w:rsidR="00965974" w:rsidRPr="00B20BE9">
        <w:rPr>
          <w:sz w:val="24"/>
          <w:szCs w:val="24"/>
        </w:rPr>
        <w:t>) filed an Answer, Notice of Intervention, Public Statement and Notice of Appearance.</w:t>
      </w:r>
      <w:r w:rsidRPr="00B20BE9">
        <w:rPr>
          <w:sz w:val="24"/>
          <w:szCs w:val="24"/>
        </w:rPr>
        <w:t xml:space="preserve">  </w:t>
      </w:r>
      <w:r w:rsidR="00965974" w:rsidRPr="00B20BE9">
        <w:rPr>
          <w:sz w:val="24"/>
          <w:szCs w:val="24"/>
        </w:rPr>
        <w:t xml:space="preserve">Formal Complaints were also filed against PPL’s DSIC by the following </w:t>
      </w:r>
      <w:r w:rsidR="00C17932" w:rsidRPr="00B20BE9">
        <w:rPr>
          <w:sz w:val="24"/>
          <w:szCs w:val="24"/>
        </w:rPr>
        <w:t xml:space="preserve">residential </w:t>
      </w:r>
      <w:r w:rsidR="00187C1A">
        <w:rPr>
          <w:sz w:val="24"/>
          <w:szCs w:val="24"/>
        </w:rPr>
        <w:t xml:space="preserve">customers: </w:t>
      </w:r>
      <w:r w:rsidR="00965974" w:rsidRPr="00B20BE9">
        <w:rPr>
          <w:sz w:val="24"/>
          <w:szCs w:val="24"/>
        </w:rPr>
        <w:t>Alan D. Whitehouse (C-2013-2345750); Pamela Mosconi (C-2013-2346375); John E. Hoag (C-2013-2345729); and James Weaver (C-2013-2351090).</w:t>
      </w:r>
    </w:p>
    <w:p w:rsidR="00965974" w:rsidRPr="00B20BE9" w:rsidRDefault="00965974" w:rsidP="00D62CF2">
      <w:pPr>
        <w:rPr>
          <w:sz w:val="24"/>
          <w:szCs w:val="24"/>
        </w:rPr>
      </w:pPr>
    </w:p>
    <w:p w:rsidR="004E20F3" w:rsidRPr="00B20BE9" w:rsidRDefault="00965974" w:rsidP="00D62CF2">
      <w:pPr>
        <w:rPr>
          <w:sz w:val="24"/>
          <w:szCs w:val="24"/>
        </w:rPr>
      </w:pPr>
      <w:r w:rsidRPr="00B20BE9">
        <w:rPr>
          <w:sz w:val="24"/>
          <w:szCs w:val="24"/>
        </w:rPr>
        <w:tab/>
      </w:r>
      <w:r w:rsidRPr="00B20BE9">
        <w:rPr>
          <w:sz w:val="24"/>
          <w:szCs w:val="24"/>
        </w:rPr>
        <w:tab/>
        <w:t>By Order entered May 23, 2013 (</w:t>
      </w:r>
      <w:r w:rsidRPr="00B20BE9">
        <w:rPr>
          <w:i/>
          <w:sz w:val="24"/>
          <w:szCs w:val="24"/>
        </w:rPr>
        <w:t>May 23 Order</w:t>
      </w:r>
      <w:r w:rsidRPr="00B20BE9">
        <w:rPr>
          <w:sz w:val="24"/>
          <w:szCs w:val="24"/>
        </w:rPr>
        <w:t>), the Commission approved PPL’s DSIC, subject to refund, pen</w:t>
      </w:r>
      <w:r w:rsidR="00775CF5" w:rsidRPr="00B20BE9">
        <w:rPr>
          <w:sz w:val="24"/>
          <w:szCs w:val="24"/>
        </w:rPr>
        <w:t>ding final resolution of four identified</w:t>
      </w:r>
      <w:r w:rsidRPr="00B20BE9">
        <w:rPr>
          <w:sz w:val="24"/>
          <w:szCs w:val="24"/>
        </w:rPr>
        <w:t xml:space="preserve"> issues.</w:t>
      </w:r>
      <w:r w:rsidR="00775CF5" w:rsidRPr="00B20BE9">
        <w:rPr>
          <w:sz w:val="24"/>
          <w:szCs w:val="24"/>
        </w:rPr>
        <w:t xml:space="preserve">  These four issues are as follows:</w:t>
      </w:r>
    </w:p>
    <w:p w:rsidR="00775CF5" w:rsidRPr="00B20BE9" w:rsidRDefault="00775CF5" w:rsidP="00D62CF2">
      <w:pPr>
        <w:rPr>
          <w:sz w:val="24"/>
          <w:szCs w:val="24"/>
        </w:rPr>
      </w:pPr>
    </w:p>
    <w:p w:rsidR="00775CF5" w:rsidRPr="00B20BE9" w:rsidRDefault="00775CF5" w:rsidP="008A2D47">
      <w:pPr>
        <w:spacing w:line="240" w:lineRule="auto"/>
        <w:ind w:left="2160" w:hanging="720"/>
        <w:rPr>
          <w:sz w:val="24"/>
          <w:szCs w:val="24"/>
        </w:rPr>
      </w:pPr>
      <w:r w:rsidRPr="00B20BE9">
        <w:rPr>
          <w:sz w:val="24"/>
          <w:szCs w:val="24"/>
        </w:rPr>
        <w:t>1.</w:t>
      </w:r>
      <w:r w:rsidRPr="00B20BE9">
        <w:rPr>
          <w:sz w:val="24"/>
          <w:szCs w:val="24"/>
        </w:rPr>
        <w:tab/>
        <w:t>Whether customers taking service under Rate Schedule LP-5 at</w:t>
      </w:r>
      <w:r w:rsidR="008A2D47">
        <w:rPr>
          <w:sz w:val="24"/>
          <w:szCs w:val="24"/>
        </w:rPr>
        <w:t xml:space="preserve"> </w:t>
      </w:r>
      <w:r w:rsidRPr="00B20BE9">
        <w:rPr>
          <w:sz w:val="24"/>
          <w:szCs w:val="24"/>
        </w:rPr>
        <w:t>transmission voltage rates should be included under the DSIC charge;</w:t>
      </w:r>
    </w:p>
    <w:p w:rsidR="00775CF5" w:rsidRPr="00B20BE9" w:rsidRDefault="00775CF5" w:rsidP="00775CF5">
      <w:pPr>
        <w:spacing w:line="240" w:lineRule="auto"/>
        <w:rPr>
          <w:sz w:val="24"/>
          <w:szCs w:val="24"/>
        </w:rPr>
      </w:pPr>
    </w:p>
    <w:p w:rsidR="00775CF5" w:rsidRPr="00B20BE9" w:rsidRDefault="00775CF5" w:rsidP="008A2D47">
      <w:pPr>
        <w:spacing w:line="240" w:lineRule="auto"/>
        <w:ind w:left="2160" w:hanging="720"/>
        <w:rPr>
          <w:sz w:val="24"/>
          <w:szCs w:val="24"/>
        </w:rPr>
      </w:pPr>
      <w:r w:rsidRPr="00B20BE9">
        <w:rPr>
          <w:sz w:val="24"/>
          <w:szCs w:val="24"/>
        </w:rPr>
        <w:t>2.</w:t>
      </w:r>
      <w:r w:rsidRPr="00B20BE9">
        <w:rPr>
          <w:sz w:val="24"/>
          <w:szCs w:val="24"/>
        </w:rPr>
        <w:tab/>
        <w:t>If revenues associated with the Company’s Act 129 Compliance Rider</w:t>
      </w:r>
      <w:r w:rsidR="008A2D47">
        <w:rPr>
          <w:sz w:val="24"/>
          <w:szCs w:val="24"/>
        </w:rPr>
        <w:t xml:space="preserve"> </w:t>
      </w:r>
      <w:r w:rsidRPr="00B20BE9">
        <w:rPr>
          <w:sz w:val="24"/>
          <w:szCs w:val="24"/>
        </w:rPr>
        <w:t>(ACR), Smart Meter Rider, Univer</w:t>
      </w:r>
      <w:r w:rsidR="008A2D47">
        <w:rPr>
          <w:sz w:val="24"/>
          <w:szCs w:val="24"/>
        </w:rPr>
        <w:t xml:space="preserve">sal Service Rider, Net Metering </w:t>
      </w:r>
      <w:r w:rsidRPr="00B20BE9">
        <w:rPr>
          <w:sz w:val="24"/>
          <w:szCs w:val="24"/>
        </w:rPr>
        <w:t>Rider, and Competitive Enhancement Rider riders in PPL Electric’s</w:t>
      </w:r>
      <w:r w:rsidR="008A2D47">
        <w:rPr>
          <w:sz w:val="24"/>
          <w:szCs w:val="24"/>
        </w:rPr>
        <w:t xml:space="preserve"> </w:t>
      </w:r>
      <w:r w:rsidR="00222ECA" w:rsidRPr="00B20BE9">
        <w:rPr>
          <w:sz w:val="24"/>
          <w:szCs w:val="24"/>
        </w:rPr>
        <w:t>tariffs are</w:t>
      </w:r>
      <w:r w:rsidRPr="00B20BE9">
        <w:rPr>
          <w:sz w:val="24"/>
          <w:szCs w:val="24"/>
        </w:rPr>
        <w:t xml:space="preserve"> properly included as distribution revenues;</w:t>
      </w:r>
    </w:p>
    <w:p w:rsidR="005D5CED" w:rsidRPr="00B20BE9" w:rsidRDefault="005D5CED" w:rsidP="00775CF5">
      <w:pPr>
        <w:spacing w:line="240" w:lineRule="auto"/>
        <w:rPr>
          <w:sz w:val="24"/>
          <w:szCs w:val="24"/>
        </w:rPr>
      </w:pPr>
    </w:p>
    <w:p w:rsidR="00775CF5" w:rsidRPr="00B20BE9" w:rsidRDefault="00775CF5" w:rsidP="008A2D47">
      <w:pPr>
        <w:spacing w:line="240" w:lineRule="auto"/>
        <w:ind w:left="2160" w:hanging="720"/>
        <w:rPr>
          <w:sz w:val="24"/>
          <w:szCs w:val="24"/>
        </w:rPr>
      </w:pPr>
      <w:r w:rsidRPr="00B20BE9">
        <w:rPr>
          <w:sz w:val="24"/>
          <w:szCs w:val="24"/>
        </w:rPr>
        <w:t>3.</w:t>
      </w:r>
      <w:r w:rsidRPr="00B20BE9">
        <w:rPr>
          <w:sz w:val="24"/>
          <w:szCs w:val="24"/>
        </w:rPr>
        <w:tab/>
        <w:t>Impact of accumulated deferred income taxes associated with DSIC investments;</w:t>
      </w:r>
    </w:p>
    <w:p w:rsidR="00796372" w:rsidRPr="00B20BE9" w:rsidRDefault="00796372" w:rsidP="00775CF5">
      <w:pPr>
        <w:spacing w:line="240" w:lineRule="auto"/>
        <w:rPr>
          <w:sz w:val="24"/>
          <w:szCs w:val="24"/>
        </w:rPr>
      </w:pPr>
    </w:p>
    <w:p w:rsidR="00796372" w:rsidRPr="00B20BE9" w:rsidRDefault="00796372" w:rsidP="008A2D47">
      <w:pPr>
        <w:spacing w:line="240" w:lineRule="auto"/>
        <w:ind w:left="2160" w:hanging="720"/>
        <w:rPr>
          <w:sz w:val="24"/>
          <w:szCs w:val="24"/>
        </w:rPr>
      </w:pPr>
      <w:r w:rsidRPr="00B20BE9">
        <w:rPr>
          <w:sz w:val="24"/>
          <w:szCs w:val="24"/>
        </w:rPr>
        <w:t>4.</w:t>
      </w:r>
      <w:r w:rsidRPr="00B20BE9">
        <w:rPr>
          <w:sz w:val="24"/>
          <w:szCs w:val="24"/>
        </w:rPr>
        <w:tab/>
        <w:t>Calculation of state income tax component of the DSIC revenue</w:t>
      </w:r>
      <w:r w:rsidR="008A2D47">
        <w:rPr>
          <w:sz w:val="24"/>
          <w:szCs w:val="24"/>
        </w:rPr>
        <w:t xml:space="preserve"> </w:t>
      </w:r>
      <w:r w:rsidRPr="00B20BE9">
        <w:rPr>
          <w:sz w:val="24"/>
          <w:szCs w:val="24"/>
        </w:rPr>
        <w:t>requirement.</w:t>
      </w:r>
    </w:p>
    <w:p w:rsidR="00796372" w:rsidRPr="00B20BE9" w:rsidRDefault="00796372" w:rsidP="00971593">
      <w:pPr>
        <w:rPr>
          <w:sz w:val="24"/>
          <w:szCs w:val="24"/>
        </w:rPr>
      </w:pPr>
    </w:p>
    <w:p w:rsidR="00796372" w:rsidRPr="00B20BE9" w:rsidRDefault="00796372" w:rsidP="00796372">
      <w:pPr>
        <w:rPr>
          <w:sz w:val="24"/>
          <w:szCs w:val="24"/>
        </w:rPr>
      </w:pPr>
      <w:r w:rsidRPr="00B20BE9">
        <w:rPr>
          <w:sz w:val="24"/>
          <w:szCs w:val="24"/>
        </w:rPr>
        <w:tab/>
      </w:r>
      <w:r w:rsidRPr="00B20BE9">
        <w:rPr>
          <w:sz w:val="24"/>
          <w:szCs w:val="24"/>
        </w:rPr>
        <w:tab/>
        <w:t>The above-stated issues were referred to the Office of A</w:t>
      </w:r>
      <w:r w:rsidR="000454B7" w:rsidRPr="00B20BE9">
        <w:rPr>
          <w:sz w:val="24"/>
          <w:szCs w:val="24"/>
        </w:rPr>
        <w:t xml:space="preserve">dministrative Law Judge (OALJ).  </w:t>
      </w:r>
      <w:r w:rsidRPr="00B20BE9">
        <w:rPr>
          <w:sz w:val="24"/>
          <w:szCs w:val="24"/>
        </w:rPr>
        <w:t xml:space="preserve">I was assigned as the presiding officer </w:t>
      </w:r>
      <w:r w:rsidR="000454B7" w:rsidRPr="00B20BE9">
        <w:rPr>
          <w:sz w:val="24"/>
          <w:szCs w:val="24"/>
        </w:rPr>
        <w:t xml:space="preserve">to hold hearings </w:t>
      </w:r>
      <w:r w:rsidR="00860DB0" w:rsidRPr="00B20BE9">
        <w:rPr>
          <w:sz w:val="24"/>
          <w:szCs w:val="24"/>
        </w:rPr>
        <w:t xml:space="preserve">as necessary and </w:t>
      </w:r>
      <w:r w:rsidR="000454B7" w:rsidRPr="00B20BE9">
        <w:rPr>
          <w:sz w:val="24"/>
          <w:szCs w:val="24"/>
        </w:rPr>
        <w:t xml:space="preserve">to issue a </w:t>
      </w:r>
      <w:r w:rsidR="00860DB0" w:rsidRPr="00B20BE9">
        <w:rPr>
          <w:sz w:val="24"/>
          <w:szCs w:val="24"/>
        </w:rPr>
        <w:t xml:space="preserve">recommended </w:t>
      </w:r>
      <w:r w:rsidRPr="00B20BE9">
        <w:rPr>
          <w:sz w:val="24"/>
          <w:szCs w:val="24"/>
        </w:rPr>
        <w:t>decision.</w:t>
      </w:r>
    </w:p>
    <w:p w:rsidR="00971593" w:rsidRPr="00B20BE9" w:rsidRDefault="00971593" w:rsidP="00796372">
      <w:pPr>
        <w:rPr>
          <w:sz w:val="24"/>
          <w:szCs w:val="24"/>
        </w:rPr>
      </w:pPr>
    </w:p>
    <w:p w:rsidR="00DA4A25" w:rsidRPr="00B20BE9" w:rsidRDefault="00971593" w:rsidP="00D62CF2">
      <w:pPr>
        <w:rPr>
          <w:sz w:val="24"/>
          <w:szCs w:val="24"/>
        </w:rPr>
      </w:pPr>
      <w:r w:rsidRPr="00B20BE9">
        <w:rPr>
          <w:sz w:val="24"/>
          <w:szCs w:val="24"/>
        </w:rPr>
        <w:tab/>
      </w:r>
      <w:r w:rsidRPr="00B20BE9">
        <w:rPr>
          <w:sz w:val="24"/>
          <w:szCs w:val="24"/>
        </w:rPr>
        <w:tab/>
      </w:r>
      <w:r w:rsidR="00DA4A25" w:rsidRPr="00B20BE9">
        <w:rPr>
          <w:sz w:val="24"/>
          <w:szCs w:val="24"/>
        </w:rPr>
        <w:t xml:space="preserve">On June 6, 2013, PPLICA filed a Motion for Judgment on the </w:t>
      </w:r>
      <w:r w:rsidR="005D5CED" w:rsidRPr="00B20BE9">
        <w:rPr>
          <w:sz w:val="24"/>
          <w:szCs w:val="24"/>
        </w:rPr>
        <w:t>Pleadings (PPLICA Motion</w:t>
      </w:r>
      <w:r w:rsidR="00DA4A25" w:rsidRPr="00B20BE9">
        <w:rPr>
          <w:sz w:val="24"/>
          <w:szCs w:val="24"/>
        </w:rPr>
        <w:t>).  PPLICA alleged that there was no genuine issue of material fact regarding the application of PPL’s DSIC to PPL’s Rate Schedule LP-5 customers, and that these customers should be excluded from PPL’s DSIC as a matter of law.</w:t>
      </w:r>
    </w:p>
    <w:p w:rsidR="002A043B" w:rsidRPr="00B20BE9" w:rsidRDefault="002A043B" w:rsidP="00D62CF2">
      <w:pPr>
        <w:rPr>
          <w:sz w:val="24"/>
          <w:szCs w:val="24"/>
        </w:rPr>
      </w:pPr>
    </w:p>
    <w:p w:rsidR="006A352B" w:rsidRPr="00B20BE9" w:rsidRDefault="002A043B" w:rsidP="00E2592B">
      <w:pPr>
        <w:rPr>
          <w:sz w:val="24"/>
          <w:szCs w:val="24"/>
        </w:rPr>
      </w:pPr>
      <w:r w:rsidRPr="00B20BE9">
        <w:rPr>
          <w:sz w:val="24"/>
          <w:szCs w:val="24"/>
        </w:rPr>
        <w:tab/>
      </w:r>
      <w:r w:rsidRPr="00B20BE9">
        <w:rPr>
          <w:sz w:val="24"/>
          <w:szCs w:val="24"/>
        </w:rPr>
        <w:tab/>
      </w:r>
      <w:r w:rsidR="00E2592B" w:rsidRPr="00B20BE9">
        <w:rPr>
          <w:sz w:val="24"/>
          <w:szCs w:val="24"/>
        </w:rPr>
        <w:t xml:space="preserve">On June 7, 2013, I issued a Prehearing Conference Order in this matter which, </w:t>
      </w:r>
      <w:r w:rsidR="00E2592B" w:rsidRPr="00B20BE9">
        <w:rPr>
          <w:sz w:val="24"/>
          <w:szCs w:val="24"/>
          <w:u w:val="single"/>
        </w:rPr>
        <w:t>inter alia</w:t>
      </w:r>
      <w:r w:rsidR="00E2592B" w:rsidRPr="00B20BE9">
        <w:rPr>
          <w:sz w:val="24"/>
          <w:szCs w:val="24"/>
        </w:rPr>
        <w:t>, set forth requirements</w:t>
      </w:r>
      <w:r w:rsidR="00860DB0" w:rsidRPr="00B20BE9">
        <w:rPr>
          <w:sz w:val="24"/>
          <w:szCs w:val="24"/>
        </w:rPr>
        <w:t xml:space="preserve"> for the upcoming Prehearing C</w:t>
      </w:r>
      <w:r w:rsidR="00E2592B" w:rsidRPr="00B20BE9">
        <w:rPr>
          <w:sz w:val="24"/>
          <w:szCs w:val="24"/>
        </w:rPr>
        <w:t>onference and consolidated the formal Complaints with the parent case at Docket No. P-2012-2325034</w:t>
      </w:r>
      <w:r w:rsidR="006A352B" w:rsidRPr="00B20BE9">
        <w:rPr>
          <w:sz w:val="24"/>
          <w:szCs w:val="24"/>
        </w:rPr>
        <w:t>,</w:t>
      </w:r>
      <w:r w:rsidR="00E2592B" w:rsidRPr="00B20BE9">
        <w:rPr>
          <w:sz w:val="24"/>
          <w:szCs w:val="24"/>
        </w:rPr>
        <w:t xml:space="preserve"> for </w:t>
      </w:r>
      <w:r w:rsidR="006A352B" w:rsidRPr="00B20BE9">
        <w:rPr>
          <w:sz w:val="24"/>
          <w:szCs w:val="24"/>
        </w:rPr>
        <w:t xml:space="preserve">the </w:t>
      </w:r>
      <w:r w:rsidR="00E2592B" w:rsidRPr="00B20BE9">
        <w:rPr>
          <w:sz w:val="24"/>
          <w:szCs w:val="24"/>
        </w:rPr>
        <w:t>purposes of hearing and decision.</w:t>
      </w:r>
    </w:p>
    <w:p w:rsidR="006A352B" w:rsidRPr="00B20BE9" w:rsidRDefault="006A352B" w:rsidP="00E2592B">
      <w:pPr>
        <w:rPr>
          <w:sz w:val="24"/>
          <w:szCs w:val="24"/>
        </w:rPr>
      </w:pPr>
    </w:p>
    <w:p w:rsidR="006A352B" w:rsidRPr="00B20BE9" w:rsidRDefault="006A352B" w:rsidP="00E2592B">
      <w:pPr>
        <w:rPr>
          <w:sz w:val="24"/>
          <w:szCs w:val="24"/>
        </w:rPr>
      </w:pPr>
      <w:r w:rsidRPr="00B20BE9">
        <w:rPr>
          <w:sz w:val="24"/>
          <w:szCs w:val="24"/>
        </w:rPr>
        <w:tab/>
      </w:r>
      <w:r w:rsidRPr="00B20BE9">
        <w:rPr>
          <w:sz w:val="24"/>
          <w:szCs w:val="24"/>
        </w:rPr>
        <w:tab/>
        <w:t xml:space="preserve">On June 20, 2013, PPL filed its compliance filing, as directed by the Commission in its </w:t>
      </w:r>
      <w:r w:rsidRPr="00B20BE9">
        <w:rPr>
          <w:i/>
          <w:sz w:val="24"/>
          <w:szCs w:val="24"/>
        </w:rPr>
        <w:t>May 23 Order.</w:t>
      </w:r>
      <w:r w:rsidRPr="00B20BE9">
        <w:rPr>
          <w:sz w:val="24"/>
          <w:szCs w:val="24"/>
        </w:rPr>
        <w:t xml:space="preserve">  The Company’s DSIC rate became effective as of July 1, 2013, subject to refund.</w:t>
      </w:r>
    </w:p>
    <w:p w:rsidR="00316C7D" w:rsidRPr="00B20BE9" w:rsidRDefault="00316C7D" w:rsidP="00D62CF2">
      <w:pPr>
        <w:rPr>
          <w:sz w:val="24"/>
          <w:szCs w:val="24"/>
        </w:rPr>
      </w:pPr>
    </w:p>
    <w:p w:rsidR="00DA4A25" w:rsidRPr="00B20BE9" w:rsidRDefault="00316C7D" w:rsidP="00D62CF2">
      <w:pPr>
        <w:rPr>
          <w:sz w:val="24"/>
          <w:szCs w:val="24"/>
        </w:rPr>
      </w:pPr>
      <w:r w:rsidRPr="00B20BE9">
        <w:rPr>
          <w:sz w:val="24"/>
          <w:szCs w:val="24"/>
        </w:rPr>
        <w:tab/>
      </w:r>
      <w:r w:rsidRPr="00B20BE9">
        <w:rPr>
          <w:sz w:val="24"/>
          <w:szCs w:val="24"/>
        </w:rPr>
        <w:tab/>
      </w:r>
      <w:r w:rsidR="00DA4A25" w:rsidRPr="00B20BE9">
        <w:rPr>
          <w:sz w:val="24"/>
          <w:szCs w:val="24"/>
        </w:rPr>
        <w:t>On June 26, 2013, PPL filed an Answer to the PPLICA Motion, request</w:t>
      </w:r>
      <w:r w:rsidR="00C17932" w:rsidRPr="00B20BE9">
        <w:rPr>
          <w:sz w:val="24"/>
          <w:szCs w:val="24"/>
        </w:rPr>
        <w:t>ing</w:t>
      </w:r>
      <w:r w:rsidR="00DA4A25" w:rsidRPr="00B20BE9">
        <w:rPr>
          <w:sz w:val="24"/>
          <w:szCs w:val="24"/>
        </w:rPr>
        <w:t xml:space="preserve"> that the Motion be denied.  PPL argued that PPLICA had not met the standards for granting judgment on the pleadings as a material fact continued to exist about the application of the </w:t>
      </w:r>
      <w:r w:rsidR="00D06597" w:rsidRPr="00B20BE9">
        <w:rPr>
          <w:sz w:val="24"/>
          <w:szCs w:val="24"/>
        </w:rPr>
        <w:t>DSIC to LP-5 customers.</w:t>
      </w:r>
    </w:p>
    <w:p w:rsidR="00F7698F" w:rsidRPr="00B20BE9" w:rsidRDefault="00F7698F" w:rsidP="00316C7D">
      <w:pPr>
        <w:rPr>
          <w:sz w:val="24"/>
          <w:szCs w:val="24"/>
        </w:rPr>
      </w:pPr>
    </w:p>
    <w:p w:rsidR="00316C7D" w:rsidRPr="00B20BE9" w:rsidRDefault="00F7698F" w:rsidP="00316C7D">
      <w:pPr>
        <w:rPr>
          <w:rFonts w:eastAsia="Calibri"/>
          <w:sz w:val="24"/>
          <w:szCs w:val="24"/>
        </w:rPr>
      </w:pPr>
      <w:r w:rsidRPr="00B20BE9">
        <w:rPr>
          <w:sz w:val="24"/>
          <w:szCs w:val="24"/>
        </w:rPr>
        <w:tab/>
      </w:r>
      <w:r w:rsidRPr="00B20BE9">
        <w:rPr>
          <w:sz w:val="24"/>
          <w:szCs w:val="24"/>
        </w:rPr>
        <w:tab/>
      </w:r>
      <w:r w:rsidR="00316C7D" w:rsidRPr="00B20BE9">
        <w:rPr>
          <w:rFonts w:eastAsia="Calibri"/>
          <w:sz w:val="24"/>
          <w:szCs w:val="24"/>
        </w:rPr>
        <w:t>A Prehearing Conference was held, as scheduled, on July 1, 2013, and was attended by PPL, OCA, OSBA, and PPLICA.  Various matters were discussed and the intervention requests of PPLICA and Eric Epstein were granted.</w:t>
      </w:r>
    </w:p>
    <w:p w:rsidR="00316C7D" w:rsidRPr="00B20BE9" w:rsidRDefault="00316C7D" w:rsidP="00D62CF2">
      <w:pPr>
        <w:rPr>
          <w:sz w:val="24"/>
          <w:szCs w:val="24"/>
        </w:rPr>
      </w:pPr>
    </w:p>
    <w:p w:rsidR="00316C7D" w:rsidRPr="00B20BE9" w:rsidRDefault="001E48FD" w:rsidP="00316C7D">
      <w:pPr>
        <w:rPr>
          <w:rFonts w:eastAsia="Calibri"/>
          <w:sz w:val="24"/>
          <w:szCs w:val="24"/>
        </w:rPr>
      </w:pPr>
      <w:r w:rsidRPr="00B20BE9">
        <w:rPr>
          <w:sz w:val="24"/>
          <w:szCs w:val="24"/>
        </w:rPr>
        <w:tab/>
      </w:r>
      <w:r w:rsidRPr="00B20BE9">
        <w:rPr>
          <w:sz w:val="24"/>
          <w:szCs w:val="24"/>
        </w:rPr>
        <w:tab/>
      </w:r>
      <w:r w:rsidR="00316C7D" w:rsidRPr="00B20BE9">
        <w:rPr>
          <w:sz w:val="24"/>
          <w:szCs w:val="24"/>
        </w:rPr>
        <w:t xml:space="preserve">On July 2, 2013, I issued a Procedural Order </w:t>
      </w:r>
      <w:r w:rsidR="00316C7D" w:rsidRPr="00B20BE9">
        <w:rPr>
          <w:rFonts w:eastAsia="Calibri"/>
          <w:sz w:val="24"/>
          <w:szCs w:val="24"/>
        </w:rPr>
        <w:t xml:space="preserve">which, </w:t>
      </w:r>
      <w:r w:rsidR="00316C7D" w:rsidRPr="00FD6F6C">
        <w:rPr>
          <w:rFonts w:eastAsia="Calibri"/>
          <w:sz w:val="24"/>
          <w:szCs w:val="24"/>
          <w:u w:val="single"/>
        </w:rPr>
        <w:t>inter alia</w:t>
      </w:r>
      <w:r w:rsidR="00316C7D" w:rsidRPr="00B20BE9">
        <w:rPr>
          <w:rFonts w:eastAsia="Calibri"/>
          <w:sz w:val="24"/>
          <w:szCs w:val="24"/>
        </w:rPr>
        <w:t>, confirmed the procedural schedule and other matters decided at the Prehearing Conference.  In accordance with the Procedural Order, a Hearin</w:t>
      </w:r>
      <w:r w:rsidR="00EF10BE" w:rsidRPr="00B20BE9">
        <w:rPr>
          <w:rFonts w:eastAsia="Calibri"/>
          <w:sz w:val="24"/>
          <w:szCs w:val="24"/>
        </w:rPr>
        <w:t>g Notice</w:t>
      </w:r>
      <w:r w:rsidR="00316C7D" w:rsidRPr="00B20BE9">
        <w:rPr>
          <w:rFonts w:eastAsia="Calibri"/>
          <w:sz w:val="24"/>
          <w:szCs w:val="24"/>
        </w:rPr>
        <w:t>,</w:t>
      </w:r>
      <w:r w:rsidR="00EF10BE" w:rsidRPr="00B20BE9">
        <w:rPr>
          <w:rFonts w:eastAsia="Calibri"/>
          <w:sz w:val="24"/>
          <w:szCs w:val="24"/>
        </w:rPr>
        <w:t xml:space="preserve"> dated July 2, 2013,</w:t>
      </w:r>
      <w:r w:rsidR="00316C7D" w:rsidRPr="00B20BE9">
        <w:rPr>
          <w:rFonts w:eastAsia="Calibri"/>
          <w:sz w:val="24"/>
          <w:szCs w:val="24"/>
        </w:rPr>
        <w:t xml:space="preserve"> was issued </w:t>
      </w:r>
      <w:r w:rsidRPr="00B20BE9">
        <w:rPr>
          <w:rFonts w:eastAsia="Calibri"/>
          <w:sz w:val="24"/>
          <w:szCs w:val="24"/>
        </w:rPr>
        <w:t xml:space="preserve">which notified the parties that </w:t>
      </w:r>
      <w:r w:rsidR="00316C7D" w:rsidRPr="00B20BE9">
        <w:rPr>
          <w:rFonts w:eastAsia="Calibri"/>
          <w:sz w:val="24"/>
          <w:szCs w:val="24"/>
        </w:rPr>
        <w:t xml:space="preserve">hearings were to be held on </w:t>
      </w:r>
      <w:r w:rsidRPr="00B20BE9">
        <w:rPr>
          <w:rFonts w:eastAsia="Calibri"/>
          <w:sz w:val="24"/>
          <w:szCs w:val="24"/>
        </w:rPr>
        <w:t>October 29-30, 2013, beginning at 10</w:t>
      </w:r>
      <w:r w:rsidR="00316C7D" w:rsidRPr="00B20BE9">
        <w:rPr>
          <w:rFonts w:eastAsia="Calibri"/>
          <w:sz w:val="24"/>
          <w:szCs w:val="24"/>
        </w:rPr>
        <w:t xml:space="preserve"> a.m. each day, in the Commonwealth Keystone Buildi</w:t>
      </w:r>
      <w:r w:rsidR="00EF10BE" w:rsidRPr="00B20BE9">
        <w:rPr>
          <w:rFonts w:eastAsia="Calibri"/>
          <w:sz w:val="24"/>
          <w:szCs w:val="24"/>
        </w:rPr>
        <w:t>ng, Hearing Room #3</w:t>
      </w:r>
      <w:r w:rsidR="005F64A5" w:rsidRPr="00B20BE9">
        <w:rPr>
          <w:rFonts w:eastAsia="Calibri"/>
          <w:sz w:val="24"/>
          <w:szCs w:val="24"/>
        </w:rPr>
        <w:t xml:space="preserve">, Harrisburg, </w:t>
      </w:r>
      <w:r w:rsidR="00316C7D" w:rsidRPr="00B20BE9">
        <w:rPr>
          <w:rFonts w:eastAsia="Calibri"/>
          <w:sz w:val="24"/>
          <w:szCs w:val="24"/>
        </w:rPr>
        <w:t>PA.</w:t>
      </w:r>
    </w:p>
    <w:p w:rsidR="00316C7D" w:rsidRPr="00B20BE9" w:rsidRDefault="00316C7D" w:rsidP="00D62CF2">
      <w:pPr>
        <w:rPr>
          <w:rFonts w:eastAsia="Calibri"/>
          <w:sz w:val="24"/>
          <w:szCs w:val="24"/>
        </w:rPr>
      </w:pPr>
    </w:p>
    <w:p w:rsidR="002A043B" w:rsidRPr="00B20BE9" w:rsidRDefault="00316C7D" w:rsidP="00D62CF2">
      <w:pPr>
        <w:rPr>
          <w:sz w:val="24"/>
          <w:szCs w:val="24"/>
        </w:rPr>
      </w:pPr>
      <w:r w:rsidRPr="00B20BE9">
        <w:rPr>
          <w:rFonts w:eastAsia="Calibri"/>
          <w:sz w:val="24"/>
          <w:szCs w:val="24"/>
        </w:rPr>
        <w:tab/>
      </w:r>
      <w:r w:rsidRPr="00B20BE9">
        <w:rPr>
          <w:rFonts w:eastAsia="Calibri"/>
          <w:sz w:val="24"/>
          <w:szCs w:val="24"/>
        </w:rPr>
        <w:tab/>
      </w:r>
      <w:r w:rsidR="002A043B" w:rsidRPr="00B20BE9">
        <w:rPr>
          <w:sz w:val="24"/>
          <w:szCs w:val="24"/>
        </w:rPr>
        <w:t xml:space="preserve">On July 5, 2013, I issued an Order Denying Motion for Judgment on the Pleadings, with respect to the PPLICA Motion. </w:t>
      </w:r>
      <w:r w:rsidR="00745D80">
        <w:rPr>
          <w:sz w:val="24"/>
          <w:szCs w:val="24"/>
        </w:rPr>
        <w:t xml:space="preserve"> </w:t>
      </w:r>
      <w:r w:rsidR="002A043B" w:rsidRPr="00B20BE9">
        <w:rPr>
          <w:sz w:val="24"/>
          <w:szCs w:val="24"/>
        </w:rPr>
        <w:t>I concluded that</w:t>
      </w:r>
      <w:r w:rsidR="005C3AE6" w:rsidRPr="00B20BE9">
        <w:rPr>
          <w:sz w:val="24"/>
          <w:szCs w:val="24"/>
        </w:rPr>
        <w:t xml:space="preserve"> PPLICA had not met the</w:t>
      </w:r>
      <w:r w:rsidR="002A043B" w:rsidRPr="00B20BE9">
        <w:rPr>
          <w:sz w:val="24"/>
          <w:szCs w:val="24"/>
        </w:rPr>
        <w:t xml:space="preserve"> heavy burden of showing </w:t>
      </w:r>
      <w:r w:rsidR="00856440" w:rsidRPr="00B20BE9">
        <w:rPr>
          <w:sz w:val="24"/>
          <w:szCs w:val="24"/>
        </w:rPr>
        <w:t>that no material factual disputes existed and that it was entitled</w:t>
      </w:r>
      <w:r w:rsidR="002A043B" w:rsidRPr="00B20BE9">
        <w:rPr>
          <w:sz w:val="24"/>
          <w:szCs w:val="24"/>
        </w:rPr>
        <w:t xml:space="preserve"> to judgment as </w:t>
      </w:r>
      <w:r w:rsidR="005C3AE6" w:rsidRPr="00B20BE9">
        <w:rPr>
          <w:sz w:val="24"/>
          <w:szCs w:val="24"/>
        </w:rPr>
        <w:t>a matter of law</w:t>
      </w:r>
      <w:r w:rsidR="002A043B" w:rsidRPr="00B20BE9">
        <w:rPr>
          <w:sz w:val="24"/>
          <w:szCs w:val="24"/>
        </w:rPr>
        <w:t>.</w:t>
      </w:r>
    </w:p>
    <w:p w:rsidR="00C721FF" w:rsidRPr="00B20BE9" w:rsidRDefault="00C721FF" w:rsidP="00D62CF2">
      <w:pPr>
        <w:rPr>
          <w:sz w:val="24"/>
          <w:szCs w:val="24"/>
        </w:rPr>
      </w:pPr>
    </w:p>
    <w:p w:rsidR="00084772" w:rsidRPr="00B20BE9" w:rsidRDefault="00C721FF" w:rsidP="00084772">
      <w:pPr>
        <w:rPr>
          <w:rFonts w:eastAsia="Calibri"/>
          <w:sz w:val="24"/>
          <w:szCs w:val="24"/>
        </w:rPr>
      </w:pPr>
      <w:r w:rsidRPr="00B20BE9">
        <w:rPr>
          <w:sz w:val="24"/>
          <w:szCs w:val="24"/>
        </w:rPr>
        <w:tab/>
      </w:r>
      <w:r w:rsidRPr="00B20BE9">
        <w:rPr>
          <w:sz w:val="24"/>
          <w:szCs w:val="24"/>
        </w:rPr>
        <w:tab/>
      </w:r>
      <w:r w:rsidR="00084772" w:rsidRPr="00B20BE9">
        <w:rPr>
          <w:rFonts w:eastAsia="Calibri"/>
          <w:sz w:val="24"/>
          <w:szCs w:val="24"/>
        </w:rPr>
        <w:t xml:space="preserve">In accordance with the procedural schedule established in this case, </w:t>
      </w:r>
      <w:r w:rsidR="00C36063" w:rsidRPr="00B20BE9">
        <w:rPr>
          <w:rFonts w:eastAsia="Calibri"/>
          <w:sz w:val="24"/>
          <w:szCs w:val="24"/>
        </w:rPr>
        <w:t>PPL, which had filed direct testimony with the D</w:t>
      </w:r>
      <w:r w:rsidR="00D04474" w:rsidRPr="00B20BE9">
        <w:rPr>
          <w:rFonts w:eastAsia="Calibri"/>
          <w:sz w:val="24"/>
          <w:szCs w:val="24"/>
        </w:rPr>
        <w:t>SI</w:t>
      </w:r>
      <w:r w:rsidR="00C36063" w:rsidRPr="00B20BE9">
        <w:rPr>
          <w:rFonts w:eastAsia="Calibri"/>
          <w:sz w:val="24"/>
          <w:szCs w:val="24"/>
        </w:rPr>
        <w:t>C Petition, served its prepared</w:t>
      </w:r>
      <w:r w:rsidR="00FF1D09" w:rsidRPr="00B20BE9">
        <w:rPr>
          <w:rFonts w:eastAsia="Calibri"/>
          <w:sz w:val="24"/>
          <w:szCs w:val="24"/>
        </w:rPr>
        <w:t xml:space="preserve"> s</w:t>
      </w:r>
      <w:r w:rsidR="00C36063" w:rsidRPr="00B20BE9">
        <w:rPr>
          <w:rFonts w:eastAsia="Calibri"/>
          <w:sz w:val="24"/>
          <w:szCs w:val="24"/>
        </w:rPr>
        <w:t>upplemen</w:t>
      </w:r>
      <w:r w:rsidR="00FF1D09" w:rsidRPr="00B20BE9">
        <w:rPr>
          <w:rFonts w:eastAsia="Calibri"/>
          <w:sz w:val="24"/>
          <w:szCs w:val="24"/>
        </w:rPr>
        <w:t>tal d</w:t>
      </w:r>
      <w:r w:rsidR="00C36063" w:rsidRPr="00B20BE9">
        <w:rPr>
          <w:rFonts w:eastAsia="Calibri"/>
          <w:sz w:val="24"/>
          <w:szCs w:val="24"/>
        </w:rPr>
        <w:t xml:space="preserve">irect, </w:t>
      </w:r>
      <w:r w:rsidR="00FF1D09" w:rsidRPr="00B20BE9">
        <w:rPr>
          <w:rFonts w:eastAsia="Calibri"/>
          <w:sz w:val="24"/>
          <w:szCs w:val="24"/>
        </w:rPr>
        <w:t>rebuttal, and r</w:t>
      </w:r>
      <w:r w:rsidR="00C36063" w:rsidRPr="00B20BE9">
        <w:rPr>
          <w:rFonts w:eastAsia="Calibri"/>
          <w:sz w:val="24"/>
          <w:szCs w:val="24"/>
        </w:rPr>
        <w:t xml:space="preserve">ejoinder testimonies and exhibits.  </w:t>
      </w:r>
      <w:r w:rsidR="00084772" w:rsidRPr="00B20BE9">
        <w:rPr>
          <w:rFonts w:eastAsia="Calibri"/>
          <w:sz w:val="24"/>
          <w:szCs w:val="24"/>
        </w:rPr>
        <w:t>OCA</w:t>
      </w:r>
      <w:r w:rsidR="00C36063" w:rsidRPr="00B20BE9">
        <w:rPr>
          <w:rFonts w:eastAsia="Calibri"/>
          <w:sz w:val="24"/>
          <w:szCs w:val="24"/>
        </w:rPr>
        <w:t xml:space="preserve"> and PPLICA served</w:t>
      </w:r>
      <w:r w:rsidR="00FF1D09" w:rsidRPr="00B20BE9">
        <w:rPr>
          <w:rFonts w:eastAsia="Calibri"/>
          <w:sz w:val="24"/>
          <w:szCs w:val="24"/>
        </w:rPr>
        <w:t xml:space="preserve"> d</w:t>
      </w:r>
      <w:r w:rsidR="00C36063" w:rsidRPr="00B20BE9">
        <w:rPr>
          <w:rFonts w:eastAsia="Calibri"/>
          <w:sz w:val="24"/>
          <w:szCs w:val="24"/>
        </w:rPr>
        <w:t xml:space="preserve">irect and </w:t>
      </w:r>
      <w:r w:rsidR="00FF1D09" w:rsidRPr="00B20BE9">
        <w:rPr>
          <w:rFonts w:eastAsia="Calibri"/>
          <w:sz w:val="24"/>
          <w:szCs w:val="24"/>
        </w:rPr>
        <w:t>s</w:t>
      </w:r>
      <w:r w:rsidR="00C36063" w:rsidRPr="00B20BE9">
        <w:rPr>
          <w:rFonts w:eastAsia="Calibri"/>
          <w:sz w:val="24"/>
          <w:szCs w:val="24"/>
        </w:rPr>
        <w:t>urrebuttal testimonies and exhibits.</w:t>
      </w:r>
    </w:p>
    <w:p w:rsidR="00D04474" w:rsidRPr="00B20BE9" w:rsidRDefault="00D04474" w:rsidP="00084772">
      <w:pPr>
        <w:rPr>
          <w:rFonts w:eastAsia="Calibri"/>
          <w:sz w:val="24"/>
          <w:szCs w:val="24"/>
        </w:rPr>
      </w:pPr>
    </w:p>
    <w:p w:rsidR="00084772" w:rsidRPr="00B20BE9" w:rsidRDefault="00D04474" w:rsidP="00084772">
      <w:pPr>
        <w:rPr>
          <w:rFonts w:eastAsia="Calibri"/>
          <w:sz w:val="24"/>
          <w:szCs w:val="24"/>
        </w:rPr>
      </w:pPr>
      <w:r w:rsidRPr="00B20BE9">
        <w:rPr>
          <w:rFonts w:eastAsia="Calibri"/>
          <w:sz w:val="24"/>
          <w:szCs w:val="24"/>
        </w:rPr>
        <w:tab/>
      </w:r>
      <w:r w:rsidRPr="00B20BE9">
        <w:rPr>
          <w:rFonts w:eastAsia="Calibri"/>
          <w:sz w:val="24"/>
          <w:szCs w:val="24"/>
        </w:rPr>
        <w:tab/>
      </w:r>
      <w:r w:rsidR="00084772" w:rsidRPr="00B20BE9">
        <w:rPr>
          <w:rFonts w:eastAsia="Calibri"/>
          <w:sz w:val="24"/>
          <w:szCs w:val="24"/>
        </w:rPr>
        <w:t xml:space="preserve">A hearing was held on Tuesday, </w:t>
      </w:r>
      <w:r w:rsidR="00B02931" w:rsidRPr="00B20BE9">
        <w:rPr>
          <w:rFonts w:eastAsia="Calibri"/>
          <w:sz w:val="24"/>
          <w:szCs w:val="24"/>
        </w:rPr>
        <w:t xml:space="preserve">October 29, 2013, </w:t>
      </w:r>
      <w:r w:rsidR="006B0EBE" w:rsidRPr="00B20BE9">
        <w:rPr>
          <w:rFonts w:eastAsia="Calibri"/>
          <w:sz w:val="24"/>
          <w:szCs w:val="24"/>
        </w:rPr>
        <w:t xml:space="preserve">for the purpose of admitting into the record the prepared testimony and exhibits of all parties by stipulation, with attached verifications.  The parties had previously </w:t>
      </w:r>
      <w:r w:rsidR="005F64A5" w:rsidRPr="00B20BE9">
        <w:rPr>
          <w:rFonts w:eastAsia="Calibri"/>
          <w:sz w:val="24"/>
          <w:szCs w:val="24"/>
        </w:rPr>
        <w:t xml:space="preserve">agreed to this procedure and </w:t>
      </w:r>
      <w:r w:rsidR="006B0EBE" w:rsidRPr="00B20BE9">
        <w:rPr>
          <w:rFonts w:eastAsia="Calibri"/>
          <w:sz w:val="24"/>
          <w:szCs w:val="24"/>
        </w:rPr>
        <w:t>waive</w:t>
      </w:r>
      <w:r w:rsidR="005F64A5" w:rsidRPr="00B20BE9">
        <w:rPr>
          <w:rFonts w:eastAsia="Calibri"/>
          <w:sz w:val="24"/>
          <w:szCs w:val="24"/>
        </w:rPr>
        <w:t>d</w:t>
      </w:r>
      <w:r w:rsidR="006B0EBE" w:rsidRPr="00B20BE9">
        <w:rPr>
          <w:rFonts w:eastAsia="Calibri"/>
          <w:sz w:val="24"/>
          <w:szCs w:val="24"/>
        </w:rPr>
        <w:t xml:space="preserve"> cross-examination.  The following statements and exhibits</w:t>
      </w:r>
      <w:r w:rsidR="00F93445">
        <w:rPr>
          <w:rFonts w:eastAsia="Calibri"/>
          <w:sz w:val="24"/>
          <w:szCs w:val="24"/>
        </w:rPr>
        <w:t xml:space="preserve"> were admitted into evidence: </w:t>
      </w:r>
      <w:r w:rsidR="006B0EBE" w:rsidRPr="00B20BE9">
        <w:rPr>
          <w:rFonts w:eastAsia="Calibri"/>
          <w:sz w:val="24"/>
          <w:szCs w:val="24"/>
        </w:rPr>
        <w:t xml:space="preserve">PPL Statement </w:t>
      </w:r>
      <w:r w:rsidR="004A3AA4" w:rsidRPr="00B20BE9">
        <w:rPr>
          <w:rFonts w:eastAsia="Calibri"/>
          <w:sz w:val="24"/>
          <w:szCs w:val="24"/>
        </w:rPr>
        <w:t xml:space="preserve">(St.) </w:t>
      </w:r>
      <w:r w:rsidR="006B0EBE" w:rsidRPr="00B20BE9">
        <w:rPr>
          <w:rFonts w:eastAsia="Calibri"/>
          <w:sz w:val="24"/>
          <w:szCs w:val="24"/>
        </w:rPr>
        <w:t>Numbers (Nos.) 1 (Urban direct)</w:t>
      </w:r>
      <w:r w:rsidR="00A111C0" w:rsidRPr="00B20BE9">
        <w:rPr>
          <w:rFonts w:eastAsia="Calibri"/>
          <w:sz w:val="24"/>
          <w:szCs w:val="24"/>
        </w:rPr>
        <w:t xml:space="preserve"> with attached exhibit</w:t>
      </w:r>
      <w:r w:rsidR="006B0EBE" w:rsidRPr="00B20BE9">
        <w:rPr>
          <w:rFonts w:eastAsia="Calibri"/>
          <w:sz w:val="24"/>
          <w:szCs w:val="24"/>
        </w:rPr>
        <w:t>, 2 (Gelatko direct)</w:t>
      </w:r>
      <w:r w:rsidR="00A111C0" w:rsidRPr="00B20BE9">
        <w:rPr>
          <w:rFonts w:eastAsia="Calibri"/>
          <w:sz w:val="24"/>
          <w:szCs w:val="24"/>
        </w:rPr>
        <w:t xml:space="preserve"> with attached exhibit</w:t>
      </w:r>
      <w:r w:rsidR="009809C7">
        <w:rPr>
          <w:rFonts w:eastAsia="Calibri"/>
          <w:sz w:val="24"/>
          <w:szCs w:val="24"/>
        </w:rPr>
        <w:t>, </w:t>
      </w:r>
      <w:r w:rsidR="006B0EBE" w:rsidRPr="00B20BE9">
        <w:rPr>
          <w:rFonts w:eastAsia="Calibri"/>
          <w:sz w:val="24"/>
          <w:szCs w:val="24"/>
        </w:rPr>
        <w:t>3</w:t>
      </w:r>
      <w:r w:rsidR="00734B4A" w:rsidRPr="00B20BE9">
        <w:rPr>
          <w:rFonts w:eastAsia="Calibri"/>
          <w:sz w:val="24"/>
          <w:szCs w:val="24"/>
        </w:rPr>
        <w:t xml:space="preserve"> (Johnson direct)</w:t>
      </w:r>
      <w:r w:rsidR="00A111C0" w:rsidRPr="00B20BE9">
        <w:rPr>
          <w:rFonts w:eastAsia="Calibri"/>
          <w:sz w:val="24"/>
          <w:szCs w:val="24"/>
        </w:rPr>
        <w:t xml:space="preserve"> with attached exhibit</w:t>
      </w:r>
      <w:r w:rsidR="00734B4A" w:rsidRPr="00B20BE9">
        <w:rPr>
          <w:rFonts w:eastAsia="Calibri"/>
          <w:sz w:val="24"/>
          <w:szCs w:val="24"/>
        </w:rPr>
        <w:t xml:space="preserve">, </w:t>
      </w:r>
      <w:r w:rsidR="00FF1D09" w:rsidRPr="00B20BE9">
        <w:rPr>
          <w:rFonts w:eastAsia="Calibri"/>
          <w:sz w:val="24"/>
          <w:szCs w:val="24"/>
        </w:rPr>
        <w:t xml:space="preserve">3-S (Johnson supplemental direct), </w:t>
      </w:r>
      <w:r w:rsidR="004A3AA4" w:rsidRPr="00B20BE9">
        <w:rPr>
          <w:rFonts w:eastAsia="Calibri"/>
          <w:sz w:val="24"/>
          <w:szCs w:val="24"/>
        </w:rPr>
        <w:t xml:space="preserve">3-R (Johnson rebuttal), 3-RJ (Johnson rejoinder), </w:t>
      </w:r>
      <w:r w:rsidR="00B05028" w:rsidRPr="00B20BE9">
        <w:rPr>
          <w:rFonts w:eastAsia="Calibri"/>
          <w:sz w:val="24"/>
          <w:szCs w:val="24"/>
        </w:rPr>
        <w:t xml:space="preserve">and </w:t>
      </w:r>
      <w:r w:rsidR="004A3AA4" w:rsidRPr="00B20BE9">
        <w:rPr>
          <w:rFonts w:eastAsia="Calibri"/>
          <w:sz w:val="24"/>
          <w:szCs w:val="24"/>
        </w:rPr>
        <w:t xml:space="preserve">4-R (Torok rebuttal), and PPL Exhibit (Ex.) Nos. </w:t>
      </w:r>
      <w:r w:rsidR="005F64A5" w:rsidRPr="00B20BE9">
        <w:rPr>
          <w:rFonts w:eastAsia="Calibri"/>
          <w:sz w:val="24"/>
          <w:szCs w:val="24"/>
        </w:rPr>
        <w:t>1 (DSIC Petition)</w:t>
      </w:r>
      <w:r w:rsidR="00C6411E" w:rsidRPr="00B20BE9">
        <w:rPr>
          <w:rFonts w:eastAsia="Calibri"/>
          <w:sz w:val="24"/>
          <w:szCs w:val="24"/>
        </w:rPr>
        <w:t>, BLJ-1, BLJ-2, BLJ-1R, BLJ-2R, BLJ-3R, BLJ-1-RJ (Johnson)</w:t>
      </w:r>
      <w:r w:rsidR="00812403" w:rsidRPr="00B20BE9">
        <w:rPr>
          <w:rFonts w:eastAsia="Calibri"/>
          <w:sz w:val="24"/>
          <w:szCs w:val="24"/>
        </w:rPr>
        <w:t xml:space="preserve"> (submitted after the hearing)</w:t>
      </w:r>
      <w:r w:rsidR="00C6411E" w:rsidRPr="00B20BE9">
        <w:rPr>
          <w:rFonts w:eastAsia="Calibri"/>
          <w:sz w:val="24"/>
          <w:szCs w:val="24"/>
        </w:rPr>
        <w:t>; OCA St. Nos. 1 (Catlin direct) and 1-S (Catlin surrebuttal); and PPLICA St. Nos. 1 (Baudino direct) and 1-SR (Baudino surrebuttal)</w:t>
      </w:r>
      <w:r w:rsidR="00B05028" w:rsidRPr="00B20BE9">
        <w:rPr>
          <w:rFonts w:eastAsia="Calibri"/>
          <w:sz w:val="24"/>
          <w:szCs w:val="24"/>
        </w:rPr>
        <w:t xml:space="preserve"> and PPLICA Hearing Ex. No. 1</w:t>
      </w:r>
      <w:r w:rsidR="00C6411E" w:rsidRPr="00B20BE9">
        <w:rPr>
          <w:rFonts w:eastAsia="Calibri"/>
          <w:sz w:val="24"/>
          <w:szCs w:val="24"/>
        </w:rPr>
        <w:t>.</w:t>
      </w:r>
    </w:p>
    <w:p w:rsidR="00084772" w:rsidRPr="00B20BE9" w:rsidRDefault="00084772" w:rsidP="00084772">
      <w:pPr>
        <w:rPr>
          <w:rFonts w:eastAsia="Calibri"/>
          <w:sz w:val="24"/>
          <w:szCs w:val="24"/>
        </w:rPr>
      </w:pPr>
    </w:p>
    <w:p w:rsidR="00084772" w:rsidRPr="00B20BE9" w:rsidRDefault="00084772" w:rsidP="00260ADE">
      <w:pPr>
        <w:rPr>
          <w:rFonts w:eastAsia="Calibri"/>
          <w:sz w:val="24"/>
          <w:szCs w:val="24"/>
        </w:rPr>
      </w:pPr>
      <w:r w:rsidRPr="00B20BE9">
        <w:rPr>
          <w:rFonts w:eastAsia="Calibri"/>
          <w:sz w:val="24"/>
          <w:szCs w:val="24"/>
        </w:rPr>
        <w:tab/>
      </w:r>
      <w:r w:rsidRPr="00B20BE9">
        <w:rPr>
          <w:rFonts w:eastAsia="Calibri"/>
          <w:sz w:val="24"/>
          <w:szCs w:val="24"/>
        </w:rPr>
        <w:tab/>
        <w:t xml:space="preserve">A Briefing Order was issued on </w:t>
      </w:r>
      <w:r w:rsidR="001230A8" w:rsidRPr="00B20BE9">
        <w:rPr>
          <w:rFonts w:eastAsia="Calibri"/>
          <w:sz w:val="24"/>
          <w:szCs w:val="24"/>
        </w:rPr>
        <w:t>October 29, 2013,</w:t>
      </w:r>
      <w:r w:rsidR="00260ADE" w:rsidRPr="00B20BE9">
        <w:rPr>
          <w:rFonts w:eastAsia="Calibri"/>
          <w:sz w:val="24"/>
          <w:szCs w:val="24"/>
        </w:rPr>
        <w:t xml:space="preserve"> which provided for the filing of Main Briefs by November 26, 2013, and Reply Briefs by December 20, 2013.  In accordance with this Briefing Order, </w:t>
      </w:r>
      <w:r w:rsidRPr="00B20BE9">
        <w:rPr>
          <w:rFonts w:eastAsia="Calibri"/>
          <w:sz w:val="24"/>
          <w:szCs w:val="24"/>
        </w:rPr>
        <w:t xml:space="preserve">Main Briefs </w:t>
      </w:r>
      <w:r w:rsidR="00260ADE" w:rsidRPr="00B20BE9">
        <w:rPr>
          <w:rFonts w:eastAsia="Calibri"/>
          <w:sz w:val="24"/>
          <w:szCs w:val="24"/>
        </w:rPr>
        <w:t xml:space="preserve">and Reply Briefs </w:t>
      </w:r>
      <w:r w:rsidRPr="00B20BE9">
        <w:rPr>
          <w:rFonts w:eastAsia="Calibri"/>
          <w:sz w:val="24"/>
          <w:szCs w:val="24"/>
        </w:rPr>
        <w:t xml:space="preserve">were </w:t>
      </w:r>
      <w:r w:rsidR="00260ADE" w:rsidRPr="00B20BE9">
        <w:rPr>
          <w:rFonts w:eastAsia="Calibri"/>
          <w:sz w:val="24"/>
          <w:szCs w:val="24"/>
        </w:rPr>
        <w:t xml:space="preserve">timely </w:t>
      </w:r>
      <w:r w:rsidRPr="00B20BE9">
        <w:rPr>
          <w:rFonts w:eastAsia="Calibri"/>
          <w:sz w:val="24"/>
          <w:szCs w:val="24"/>
        </w:rPr>
        <w:t xml:space="preserve">filed by </w:t>
      </w:r>
      <w:r w:rsidR="00260ADE" w:rsidRPr="00B20BE9">
        <w:rPr>
          <w:rFonts w:eastAsia="Calibri"/>
          <w:sz w:val="24"/>
          <w:szCs w:val="24"/>
        </w:rPr>
        <w:t>PPL, OCA and PPLICA.</w:t>
      </w:r>
    </w:p>
    <w:p w:rsidR="00084772" w:rsidRPr="00B20BE9" w:rsidRDefault="00084772" w:rsidP="00084772">
      <w:pPr>
        <w:rPr>
          <w:rFonts w:eastAsia="Calibri"/>
          <w:sz w:val="24"/>
          <w:szCs w:val="24"/>
        </w:rPr>
      </w:pPr>
    </w:p>
    <w:p w:rsidR="00CA17E1" w:rsidRPr="00B20BE9" w:rsidRDefault="00084772" w:rsidP="00084772">
      <w:pPr>
        <w:rPr>
          <w:rFonts w:eastAsia="Calibri"/>
          <w:sz w:val="24"/>
          <w:szCs w:val="24"/>
        </w:rPr>
      </w:pPr>
      <w:r w:rsidRPr="00B20BE9">
        <w:rPr>
          <w:rFonts w:eastAsia="Calibri"/>
          <w:sz w:val="24"/>
          <w:szCs w:val="24"/>
        </w:rPr>
        <w:tab/>
      </w:r>
      <w:r w:rsidRPr="00B20BE9">
        <w:rPr>
          <w:rFonts w:eastAsia="Calibri"/>
          <w:sz w:val="24"/>
          <w:szCs w:val="24"/>
        </w:rPr>
        <w:tab/>
        <w:t xml:space="preserve">The record </w:t>
      </w:r>
      <w:r w:rsidR="00812403" w:rsidRPr="00B20BE9">
        <w:rPr>
          <w:rFonts w:eastAsia="Calibri"/>
          <w:sz w:val="24"/>
          <w:szCs w:val="24"/>
        </w:rPr>
        <w:t xml:space="preserve">originally </w:t>
      </w:r>
      <w:r w:rsidRPr="00B20BE9">
        <w:rPr>
          <w:rFonts w:eastAsia="Calibri"/>
          <w:sz w:val="24"/>
          <w:szCs w:val="24"/>
        </w:rPr>
        <w:t xml:space="preserve">closed for decision writing on </w:t>
      </w:r>
      <w:r w:rsidR="00260ADE" w:rsidRPr="00B20BE9">
        <w:rPr>
          <w:rFonts w:eastAsia="Calibri"/>
          <w:sz w:val="24"/>
          <w:szCs w:val="24"/>
        </w:rPr>
        <w:t>January 2, 2014.</w:t>
      </w:r>
      <w:r w:rsidR="00812403" w:rsidRPr="00B20BE9">
        <w:rPr>
          <w:rFonts w:eastAsia="Calibri"/>
          <w:sz w:val="24"/>
          <w:szCs w:val="24"/>
        </w:rPr>
        <w:t xml:space="preserve">  However, I subsequently became aware th</w:t>
      </w:r>
      <w:r w:rsidR="0061697D" w:rsidRPr="00B20BE9">
        <w:rPr>
          <w:rFonts w:eastAsia="Calibri"/>
          <w:sz w:val="24"/>
          <w:szCs w:val="24"/>
        </w:rPr>
        <w:t xml:space="preserve">at the briefs of a party or parties </w:t>
      </w:r>
      <w:r w:rsidR="00812403" w:rsidRPr="00B20BE9">
        <w:rPr>
          <w:rFonts w:eastAsia="Calibri"/>
          <w:sz w:val="24"/>
          <w:szCs w:val="24"/>
        </w:rPr>
        <w:t xml:space="preserve">contained extra-record factual assertions regarding the Net Metering Rider issue, which was one of the issues assigned to OALJ for hearing and decision in the </w:t>
      </w:r>
      <w:r w:rsidR="00812403" w:rsidRPr="00B20BE9">
        <w:rPr>
          <w:rFonts w:eastAsia="Calibri"/>
          <w:i/>
          <w:sz w:val="24"/>
          <w:szCs w:val="24"/>
        </w:rPr>
        <w:t>May 23 Order</w:t>
      </w:r>
      <w:r w:rsidR="00812403" w:rsidRPr="00B20BE9">
        <w:rPr>
          <w:rFonts w:eastAsia="Calibri"/>
          <w:sz w:val="24"/>
          <w:szCs w:val="24"/>
        </w:rPr>
        <w:t>.</w:t>
      </w:r>
      <w:r w:rsidR="00AB62DB" w:rsidRPr="00B20BE9">
        <w:rPr>
          <w:rFonts w:eastAsia="Calibri"/>
          <w:sz w:val="24"/>
          <w:szCs w:val="24"/>
        </w:rPr>
        <w:t xml:space="preserve">  It appeared that this occurred because of confusion as to the meaning and scope of the term “Net Metering Rider.”  As a consequence, this issue was not </w:t>
      </w:r>
      <w:r w:rsidR="00DF3494" w:rsidRPr="00B20BE9">
        <w:rPr>
          <w:rFonts w:eastAsia="Calibri"/>
          <w:sz w:val="24"/>
          <w:szCs w:val="24"/>
        </w:rPr>
        <w:t xml:space="preserve">originally </w:t>
      </w:r>
      <w:r w:rsidR="00AB62DB" w:rsidRPr="00B20BE9">
        <w:rPr>
          <w:rFonts w:eastAsia="Calibri"/>
          <w:sz w:val="24"/>
          <w:szCs w:val="24"/>
        </w:rPr>
        <w:t>developed of record.  I therefore reopened the record, by Order dated March 6, 2014, to allow the parties an opportunity to place evidence in</w:t>
      </w:r>
      <w:r w:rsidR="00DF3494" w:rsidRPr="00B20BE9">
        <w:rPr>
          <w:rFonts w:eastAsia="Calibri"/>
          <w:sz w:val="24"/>
          <w:szCs w:val="24"/>
        </w:rPr>
        <w:t>to</w:t>
      </w:r>
      <w:r w:rsidR="00AB62DB" w:rsidRPr="00B20BE9">
        <w:rPr>
          <w:rFonts w:eastAsia="Calibri"/>
          <w:sz w:val="24"/>
          <w:szCs w:val="24"/>
        </w:rPr>
        <w:t xml:space="preserve"> the record in support of their briefing position.</w:t>
      </w:r>
    </w:p>
    <w:p w:rsidR="00CA17E1" w:rsidRPr="00B20BE9" w:rsidRDefault="00CA17E1" w:rsidP="00084772">
      <w:pPr>
        <w:rPr>
          <w:rFonts w:eastAsia="Calibri"/>
          <w:sz w:val="24"/>
          <w:szCs w:val="24"/>
        </w:rPr>
      </w:pPr>
    </w:p>
    <w:p w:rsidR="00DF3494" w:rsidRPr="00B20BE9" w:rsidRDefault="00CA17E1" w:rsidP="00084772">
      <w:pPr>
        <w:rPr>
          <w:rFonts w:eastAsia="Calibri"/>
          <w:sz w:val="24"/>
          <w:szCs w:val="24"/>
        </w:rPr>
      </w:pPr>
      <w:r w:rsidRPr="00B20BE9">
        <w:rPr>
          <w:rFonts w:eastAsia="Calibri"/>
          <w:sz w:val="24"/>
          <w:szCs w:val="24"/>
        </w:rPr>
        <w:tab/>
      </w:r>
      <w:r w:rsidRPr="00B20BE9">
        <w:rPr>
          <w:rFonts w:eastAsia="Calibri"/>
          <w:sz w:val="24"/>
          <w:szCs w:val="24"/>
        </w:rPr>
        <w:tab/>
        <w:t xml:space="preserve">PPLICA requested a telephonic conference with me and other parties for clarification of the Order Reopening the Record, and this conference was held on Thursday, March 13, 2014, at 2:30 p.m., with all parties except OSBA participating.  As a result of this telephonic conference, </w:t>
      </w:r>
      <w:r w:rsidR="00DF3494" w:rsidRPr="00B20BE9">
        <w:rPr>
          <w:rFonts w:eastAsia="Calibri"/>
          <w:sz w:val="24"/>
          <w:szCs w:val="24"/>
        </w:rPr>
        <w:t xml:space="preserve">and at the request of the parties, </w:t>
      </w:r>
      <w:r w:rsidRPr="00B20BE9">
        <w:rPr>
          <w:rFonts w:eastAsia="Calibri"/>
          <w:sz w:val="24"/>
          <w:szCs w:val="24"/>
        </w:rPr>
        <w:t xml:space="preserve">I granted additional time </w:t>
      </w:r>
      <w:r w:rsidR="00DF3494" w:rsidRPr="00B20BE9">
        <w:rPr>
          <w:rFonts w:eastAsia="Calibri"/>
          <w:sz w:val="24"/>
          <w:szCs w:val="24"/>
        </w:rPr>
        <w:t>for the completion of the record.</w:t>
      </w:r>
      <w:r w:rsidRPr="00B20BE9">
        <w:rPr>
          <w:rFonts w:eastAsia="Calibri"/>
          <w:sz w:val="24"/>
          <w:szCs w:val="24"/>
        </w:rPr>
        <w:t xml:space="preserve">  PPL was provided until March 21, 2014, to supplement the record, and PPLICA was given until April 3, 2014, to file its supplemental evidence and response, which could include modifications to its brief(s).  PPL </w:t>
      </w:r>
      <w:r w:rsidR="00DF3494" w:rsidRPr="00B20BE9">
        <w:rPr>
          <w:rFonts w:eastAsia="Calibri"/>
          <w:sz w:val="24"/>
          <w:szCs w:val="24"/>
        </w:rPr>
        <w:t xml:space="preserve">was then provided until </w:t>
      </w:r>
      <w:r w:rsidRPr="00B20BE9">
        <w:rPr>
          <w:rFonts w:eastAsia="Calibri"/>
          <w:sz w:val="24"/>
          <w:szCs w:val="24"/>
        </w:rPr>
        <w:t xml:space="preserve">April 10, 2014, to file a modified brief in response to </w:t>
      </w:r>
      <w:r w:rsidR="00CC49EC" w:rsidRPr="00B20BE9">
        <w:rPr>
          <w:rFonts w:eastAsia="Calibri"/>
          <w:sz w:val="24"/>
          <w:szCs w:val="24"/>
        </w:rPr>
        <w:t>PPLICA’</w:t>
      </w:r>
      <w:r w:rsidRPr="00B20BE9">
        <w:rPr>
          <w:rFonts w:eastAsia="Calibri"/>
          <w:sz w:val="24"/>
          <w:szCs w:val="24"/>
        </w:rPr>
        <w:t>s modifications.  No party requested further discove</w:t>
      </w:r>
      <w:r w:rsidR="00DF3494" w:rsidRPr="00B20BE9">
        <w:rPr>
          <w:rFonts w:eastAsia="Calibri"/>
          <w:sz w:val="24"/>
          <w:szCs w:val="24"/>
        </w:rPr>
        <w:t xml:space="preserve">ry </w:t>
      </w:r>
      <w:r w:rsidRPr="00B20BE9">
        <w:rPr>
          <w:rFonts w:eastAsia="Calibri"/>
          <w:sz w:val="24"/>
          <w:szCs w:val="24"/>
        </w:rPr>
        <w:t>or hearings.</w:t>
      </w:r>
    </w:p>
    <w:p w:rsidR="00DF3494" w:rsidRPr="00B20BE9" w:rsidRDefault="00DF3494" w:rsidP="00084772">
      <w:pPr>
        <w:rPr>
          <w:rFonts w:eastAsia="Calibri"/>
          <w:sz w:val="24"/>
          <w:szCs w:val="24"/>
        </w:rPr>
      </w:pPr>
    </w:p>
    <w:p w:rsidR="006C0607" w:rsidRPr="00B20BE9" w:rsidRDefault="00DF3494" w:rsidP="00084772">
      <w:pPr>
        <w:rPr>
          <w:rFonts w:eastAsia="Calibri"/>
          <w:sz w:val="24"/>
          <w:szCs w:val="24"/>
        </w:rPr>
      </w:pPr>
      <w:r w:rsidRPr="00B20BE9">
        <w:rPr>
          <w:rFonts w:eastAsia="Calibri"/>
          <w:sz w:val="24"/>
          <w:szCs w:val="24"/>
        </w:rPr>
        <w:tab/>
      </w:r>
      <w:r w:rsidRPr="00B20BE9">
        <w:rPr>
          <w:rFonts w:eastAsia="Calibri"/>
          <w:sz w:val="24"/>
          <w:szCs w:val="24"/>
        </w:rPr>
        <w:tab/>
        <w:t xml:space="preserve">On March 21, 2014, </w:t>
      </w:r>
      <w:r w:rsidR="00041D8C" w:rsidRPr="00B20BE9">
        <w:rPr>
          <w:rFonts w:eastAsia="Calibri"/>
          <w:sz w:val="24"/>
          <w:szCs w:val="24"/>
        </w:rPr>
        <w:t>PPL filed and served an Affidavit of Bethany L. Johnson</w:t>
      </w:r>
      <w:r w:rsidR="00D05F23" w:rsidRPr="00B20BE9">
        <w:rPr>
          <w:rFonts w:eastAsia="Calibri"/>
          <w:sz w:val="24"/>
          <w:szCs w:val="24"/>
        </w:rPr>
        <w:t xml:space="preserve"> (March 21 Affidavit)</w:t>
      </w:r>
      <w:r w:rsidR="00041D8C" w:rsidRPr="00B20BE9">
        <w:rPr>
          <w:rFonts w:eastAsia="Calibri"/>
          <w:sz w:val="24"/>
          <w:szCs w:val="24"/>
        </w:rPr>
        <w:t xml:space="preserve">, and </w:t>
      </w:r>
      <w:r w:rsidR="005F3529" w:rsidRPr="00B20BE9">
        <w:rPr>
          <w:rFonts w:eastAsia="Calibri"/>
          <w:sz w:val="24"/>
          <w:szCs w:val="24"/>
        </w:rPr>
        <w:t xml:space="preserve">subsequently </w:t>
      </w:r>
      <w:r w:rsidR="00041D8C" w:rsidRPr="00B20BE9">
        <w:rPr>
          <w:rFonts w:eastAsia="Calibri"/>
          <w:sz w:val="24"/>
          <w:szCs w:val="24"/>
        </w:rPr>
        <w:t xml:space="preserve">supplemented the </w:t>
      </w:r>
      <w:r w:rsidR="00752643" w:rsidRPr="00B20BE9">
        <w:rPr>
          <w:rFonts w:eastAsia="Calibri"/>
          <w:sz w:val="24"/>
          <w:szCs w:val="24"/>
        </w:rPr>
        <w:t xml:space="preserve">March 21 </w:t>
      </w:r>
      <w:r w:rsidR="00041D8C" w:rsidRPr="00B20BE9">
        <w:rPr>
          <w:rFonts w:eastAsia="Calibri"/>
          <w:sz w:val="24"/>
          <w:szCs w:val="24"/>
        </w:rPr>
        <w:t>Affidavit with a</w:t>
      </w:r>
      <w:r w:rsidR="005F3529" w:rsidRPr="00B20BE9">
        <w:rPr>
          <w:rFonts w:eastAsia="Calibri"/>
          <w:sz w:val="24"/>
          <w:szCs w:val="24"/>
        </w:rPr>
        <w:t>n exhibit (PPL Ex. No. BLJ-A1).</w:t>
      </w:r>
      <w:r w:rsidR="00D05F23" w:rsidRPr="00B20BE9">
        <w:rPr>
          <w:rFonts w:eastAsia="Calibri"/>
          <w:sz w:val="24"/>
          <w:szCs w:val="24"/>
        </w:rPr>
        <w:t xml:space="preserve">  The </w:t>
      </w:r>
      <w:r w:rsidR="00752643" w:rsidRPr="00B20BE9">
        <w:rPr>
          <w:rFonts w:eastAsia="Calibri"/>
          <w:sz w:val="24"/>
          <w:szCs w:val="24"/>
        </w:rPr>
        <w:t xml:space="preserve">March 21 </w:t>
      </w:r>
      <w:r w:rsidR="00D05F23" w:rsidRPr="00B20BE9">
        <w:rPr>
          <w:rFonts w:eastAsia="Calibri"/>
          <w:sz w:val="24"/>
          <w:szCs w:val="24"/>
        </w:rPr>
        <w:t>Affidavit</w:t>
      </w:r>
      <w:r w:rsidR="00FF3538" w:rsidRPr="00B20BE9">
        <w:rPr>
          <w:rFonts w:eastAsia="Calibri"/>
          <w:sz w:val="24"/>
          <w:szCs w:val="24"/>
        </w:rPr>
        <w:t xml:space="preserve"> clarified that the “Net Metering Rider” referenced in the </w:t>
      </w:r>
      <w:r w:rsidR="00FF3538" w:rsidRPr="00B20BE9">
        <w:rPr>
          <w:rFonts w:eastAsia="Calibri"/>
          <w:i/>
          <w:sz w:val="24"/>
          <w:szCs w:val="24"/>
        </w:rPr>
        <w:t>May 23 Order</w:t>
      </w:r>
      <w:r w:rsidR="00752643" w:rsidRPr="00B20BE9">
        <w:rPr>
          <w:rFonts w:eastAsia="Calibri"/>
          <w:sz w:val="24"/>
          <w:szCs w:val="24"/>
        </w:rPr>
        <w:t xml:space="preserve"> is apparently the tariff rider directed at Net Metering for renewable Customer-Generators.  It further explained that net metering customers use a bi-directional meter, which allows for customers to be charged for net usage.  The revenues generated from these charges are included in base distribution revenues, because the charges are calculated pursuant to the Company’s base distribution rates.</w:t>
      </w:r>
      <w:r w:rsidR="00712C47" w:rsidRPr="00B20BE9">
        <w:rPr>
          <w:rFonts w:eastAsia="Calibri"/>
          <w:sz w:val="24"/>
          <w:szCs w:val="24"/>
        </w:rPr>
        <w:t xml:space="preserve">  Excess generation and PPL’s payment for it are reflected in the Company’s applicable default service rates, including GSC-1 and TSC charges, and are not reflected in distribution rates.</w:t>
      </w:r>
    </w:p>
    <w:p w:rsidR="006C0607" w:rsidRPr="00B20BE9" w:rsidRDefault="006C0607" w:rsidP="00084772">
      <w:pPr>
        <w:rPr>
          <w:rFonts w:eastAsia="Calibri"/>
          <w:sz w:val="24"/>
          <w:szCs w:val="24"/>
        </w:rPr>
      </w:pPr>
    </w:p>
    <w:p w:rsidR="007A2282" w:rsidRPr="00B20BE9" w:rsidRDefault="006C0607" w:rsidP="00084772">
      <w:pPr>
        <w:rPr>
          <w:rFonts w:eastAsia="Calibri"/>
          <w:sz w:val="24"/>
          <w:szCs w:val="24"/>
        </w:rPr>
      </w:pPr>
      <w:r w:rsidRPr="00B20BE9">
        <w:rPr>
          <w:rFonts w:eastAsia="Calibri"/>
          <w:sz w:val="24"/>
          <w:szCs w:val="24"/>
        </w:rPr>
        <w:tab/>
      </w:r>
      <w:r w:rsidRPr="00B20BE9">
        <w:rPr>
          <w:rFonts w:eastAsia="Calibri"/>
          <w:sz w:val="24"/>
          <w:szCs w:val="24"/>
        </w:rPr>
        <w:tab/>
        <w:t xml:space="preserve">As a result of this clarification, </w:t>
      </w:r>
      <w:r w:rsidR="00765B55" w:rsidRPr="00B20BE9">
        <w:rPr>
          <w:rFonts w:eastAsia="Calibri"/>
          <w:sz w:val="24"/>
          <w:szCs w:val="24"/>
        </w:rPr>
        <w:t>PPLICA, which</w:t>
      </w:r>
      <w:r w:rsidR="00721DCC" w:rsidRPr="00B20BE9">
        <w:rPr>
          <w:rFonts w:eastAsia="Calibri"/>
          <w:sz w:val="24"/>
          <w:szCs w:val="24"/>
        </w:rPr>
        <w:t xml:space="preserve">, in its original briefs </w:t>
      </w:r>
      <w:r w:rsidR="00765B55" w:rsidRPr="00B20BE9">
        <w:rPr>
          <w:rFonts w:eastAsia="Calibri"/>
          <w:sz w:val="24"/>
          <w:szCs w:val="24"/>
        </w:rPr>
        <w:t xml:space="preserve">had initially opposed inclusion of Net Metering revenues in calculating PPL’s 5% DSIC cap, filed a revised Main Brief on April 3, 2014, and Affidavit of Richard A. Baudino, dated April 2, 2014.  In its revised Main Brief, PPLICA </w:t>
      </w:r>
      <w:r w:rsidR="003255FF" w:rsidRPr="00B20BE9">
        <w:rPr>
          <w:rFonts w:eastAsia="Calibri"/>
          <w:sz w:val="24"/>
          <w:szCs w:val="24"/>
        </w:rPr>
        <w:t>modified</w:t>
      </w:r>
      <w:r w:rsidR="00765B55" w:rsidRPr="00B20BE9">
        <w:rPr>
          <w:rFonts w:eastAsia="Calibri"/>
          <w:sz w:val="24"/>
          <w:szCs w:val="24"/>
        </w:rPr>
        <w:t xml:space="preserve"> its previous position and concluded that, based upon PPL’s March 21 Affidavit, inclusion of Net Metering revenues was appropriate.  </w:t>
      </w:r>
      <w:r w:rsidR="007A2282" w:rsidRPr="00B20BE9">
        <w:rPr>
          <w:rFonts w:eastAsia="Calibri"/>
          <w:sz w:val="24"/>
          <w:szCs w:val="24"/>
        </w:rPr>
        <w:t>Mr. Baudino’s Affidavit explained why the inclusion of these revenues had been originally opposed by PPLICA.</w:t>
      </w:r>
    </w:p>
    <w:p w:rsidR="00721DCC" w:rsidRPr="00B20BE9" w:rsidRDefault="00721DCC" w:rsidP="00084772">
      <w:pPr>
        <w:rPr>
          <w:rFonts w:eastAsia="Calibri"/>
          <w:sz w:val="24"/>
          <w:szCs w:val="24"/>
        </w:rPr>
      </w:pPr>
    </w:p>
    <w:p w:rsidR="00C92CA0" w:rsidRPr="00B20BE9" w:rsidRDefault="00721DCC" w:rsidP="00084772">
      <w:pPr>
        <w:rPr>
          <w:rFonts w:eastAsia="Calibri"/>
          <w:sz w:val="24"/>
          <w:szCs w:val="24"/>
        </w:rPr>
      </w:pPr>
      <w:r w:rsidRPr="00B20BE9">
        <w:rPr>
          <w:rFonts w:eastAsia="Calibri"/>
          <w:sz w:val="24"/>
          <w:szCs w:val="24"/>
        </w:rPr>
        <w:tab/>
      </w:r>
      <w:r w:rsidRPr="00B20BE9">
        <w:rPr>
          <w:rFonts w:eastAsia="Calibri"/>
          <w:sz w:val="24"/>
          <w:szCs w:val="24"/>
        </w:rPr>
        <w:tab/>
        <w:t xml:space="preserve">In response to PPLICA’s revised Main Brief, PPL filed a revised Reply Brief, on April 10, 2014.  In it, PPL explained the operation of its Net Metering for Renewable Customer-Generators tariff, in line with the March 21 Affidavit.  It referenced PPLICA’s revised position and </w:t>
      </w:r>
      <w:r w:rsidR="003255FF" w:rsidRPr="00B20BE9">
        <w:rPr>
          <w:rFonts w:eastAsia="Calibri"/>
          <w:sz w:val="24"/>
          <w:szCs w:val="24"/>
        </w:rPr>
        <w:t xml:space="preserve">noted </w:t>
      </w:r>
      <w:r w:rsidRPr="00B20BE9">
        <w:rPr>
          <w:rFonts w:eastAsia="Calibri"/>
          <w:sz w:val="24"/>
          <w:szCs w:val="24"/>
        </w:rPr>
        <w:t xml:space="preserve">that PPLICA does not </w:t>
      </w:r>
      <w:r w:rsidR="003255FF" w:rsidRPr="00B20BE9">
        <w:rPr>
          <w:rFonts w:eastAsia="Calibri"/>
          <w:sz w:val="24"/>
          <w:szCs w:val="24"/>
        </w:rPr>
        <w:t xml:space="preserve">now </w:t>
      </w:r>
      <w:r w:rsidRPr="00B20BE9">
        <w:rPr>
          <w:rFonts w:eastAsia="Calibri"/>
          <w:sz w:val="24"/>
          <w:szCs w:val="24"/>
        </w:rPr>
        <w:t xml:space="preserve">dispute that PPL has appropriately included the revenue effects </w:t>
      </w:r>
      <w:r w:rsidR="003255FF" w:rsidRPr="00B20BE9">
        <w:rPr>
          <w:rFonts w:eastAsia="Calibri"/>
          <w:sz w:val="24"/>
          <w:szCs w:val="24"/>
        </w:rPr>
        <w:t>of net metering in its calculation of the DSIC cap.</w:t>
      </w:r>
    </w:p>
    <w:p w:rsidR="00C92CA0" w:rsidRPr="00B20BE9" w:rsidRDefault="00C92CA0" w:rsidP="00084772">
      <w:pPr>
        <w:rPr>
          <w:rFonts w:eastAsia="Calibri"/>
          <w:sz w:val="24"/>
          <w:szCs w:val="24"/>
        </w:rPr>
      </w:pPr>
    </w:p>
    <w:p w:rsidR="00721DCC" w:rsidRPr="00B20BE9" w:rsidRDefault="00C92CA0" w:rsidP="00084772">
      <w:pPr>
        <w:rPr>
          <w:rFonts w:eastAsia="Calibri"/>
          <w:sz w:val="24"/>
          <w:szCs w:val="24"/>
        </w:rPr>
      </w:pPr>
      <w:r w:rsidRPr="00B20BE9">
        <w:rPr>
          <w:rFonts w:eastAsia="Calibri"/>
          <w:sz w:val="24"/>
          <w:szCs w:val="24"/>
        </w:rPr>
        <w:tab/>
      </w:r>
      <w:r w:rsidRPr="00B20BE9">
        <w:rPr>
          <w:rFonts w:eastAsia="Calibri"/>
          <w:sz w:val="24"/>
          <w:szCs w:val="24"/>
        </w:rPr>
        <w:tab/>
        <w:t>In order to reflect the changes in its revised Main Brief, PPLICA was given the opportunity to revise its Reply Brief, and did so on May 1, 2014.</w:t>
      </w:r>
    </w:p>
    <w:p w:rsidR="00C92CA0" w:rsidRPr="00B20BE9" w:rsidRDefault="00C92CA0" w:rsidP="00084772">
      <w:pPr>
        <w:rPr>
          <w:rFonts w:eastAsia="Calibri"/>
          <w:sz w:val="24"/>
          <w:szCs w:val="24"/>
        </w:rPr>
      </w:pPr>
    </w:p>
    <w:p w:rsidR="00C92CA0" w:rsidRPr="00B20BE9" w:rsidRDefault="00C92CA0" w:rsidP="00084772">
      <w:pPr>
        <w:rPr>
          <w:rFonts w:eastAsia="Calibri"/>
          <w:sz w:val="24"/>
          <w:szCs w:val="24"/>
        </w:rPr>
      </w:pPr>
      <w:r w:rsidRPr="00B20BE9">
        <w:rPr>
          <w:rFonts w:eastAsia="Calibri"/>
          <w:sz w:val="24"/>
          <w:szCs w:val="24"/>
        </w:rPr>
        <w:tab/>
      </w:r>
      <w:r w:rsidRPr="00B20BE9">
        <w:rPr>
          <w:rFonts w:eastAsia="Calibri"/>
          <w:sz w:val="24"/>
          <w:szCs w:val="24"/>
        </w:rPr>
        <w:tab/>
        <w:t>By Order dated May 6, 2014, I admitted the March 21 Affidavit, PPL Electric Ex</w:t>
      </w:r>
      <w:r w:rsidR="000F3BE9" w:rsidRPr="00B20BE9">
        <w:rPr>
          <w:rFonts w:eastAsia="Calibri"/>
          <w:sz w:val="24"/>
          <w:szCs w:val="24"/>
        </w:rPr>
        <w:t xml:space="preserve">. </w:t>
      </w:r>
      <w:r w:rsidRPr="00B20BE9">
        <w:rPr>
          <w:rFonts w:eastAsia="Calibri"/>
          <w:sz w:val="24"/>
          <w:szCs w:val="24"/>
        </w:rPr>
        <w:t>No. BLJ-A1, Affidavit of Richard A. Baudino, filed on April 3, 2014, and the above-mentioned revised Main and Reply Briefs into the record.  The record then was reclosed for decision writing on May 6, 2014.</w:t>
      </w:r>
    </w:p>
    <w:p w:rsidR="00D04474" w:rsidRPr="00B20BE9" w:rsidRDefault="00260ADE" w:rsidP="00084772">
      <w:pPr>
        <w:rPr>
          <w:rFonts w:eastAsia="Calibri"/>
          <w:sz w:val="24"/>
          <w:szCs w:val="24"/>
        </w:rPr>
      </w:pPr>
      <w:r w:rsidRPr="00B20BE9">
        <w:rPr>
          <w:rFonts w:eastAsia="Calibri"/>
          <w:sz w:val="24"/>
          <w:szCs w:val="24"/>
        </w:rPr>
        <w:t xml:space="preserve"> </w:t>
      </w:r>
    </w:p>
    <w:p w:rsidR="009517E4" w:rsidRPr="00B20BE9" w:rsidRDefault="00D04474" w:rsidP="00084772">
      <w:pPr>
        <w:rPr>
          <w:sz w:val="24"/>
          <w:szCs w:val="24"/>
        </w:rPr>
      </w:pPr>
      <w:r w:rsidRPr="00B20BE9">
        <w:rPr>
          <w:rFonts w:eastAsia="Calibri"/>
          <w:sz w:val="24"/>
          <w:szCs w:val="24"/>
        </w:rPr>
        <w:tab/>
      </w:r>
      <w:r w:rsidRPr="00B20BE9">
        <w:rPr>
          <w:rFonts w:eastAsia="Calibri"/>
          <w:sz w:val="24"/>
          <w:szCs w:val="24"/>
        </w:rPr>
        <w:tab/>
      </w:r>
      <w:r w:rsidR="00084772" w:rsidRPr="00B20BE9">
        <w:rPr>
          <w:rFonts w:eastAsia="Calibri"/>
          <w:sz w:val="24"/>
          <w:szCs w:val="24"/>
        </w:rPr>
        <w:t>In this Recommended Decision, I have considered all the positions of the parties and have discussed and ruled upon every issue raised in the Briefs</w:t>
      </w:r>
      <w:r w:rsidR="00237594" w:rsidRPr="00B20BE9">
        <w:rPr>
          <w:rFonts w:eastAsia="Calibri"/>
          <w:sz w:val="24"/>
          <w:szCs w:val="24"/>
        </w:rPr>
        <w:t>, as modified in the revised Briefs</w:t>
      </w:r>
      <w:r w:rsidR="00084772" w:rsidRPr="00B20BE9">
        <w:rPr>
          <w:rFonts w:eastAsia="Calibri"/>
          <w:sz w:val="24"/>
          <w:szCs w:val="24"/>
        </w:rPr>
        <w:t xml:space="preserve">.  I note that the Commission is not required to consider expressly and at length each contention and authority brought forth by a party to the proceeding.  </w:t>
      </w:r>
      <w:r w:rsidR="00084772" w:rsidRPr="00B20BE9">
        <w:rPr>
          <w:rFonts w:eastAsia="Calibri"/>
          <w:i/>
          <w:sz w:val="24"/>
          <w:szCs w:val="24"/>
        </w:rPr>
        <w:t>Uni</w:t>
      </w:r>
      <w:r w:rsidR="00C75CF5" w:rsidRPr="00B20BE9">
        <w:rPr>
          <w:rFonts w:eastAsia="Calibri"/>
          <w:i/>
          <w:sz w:val="24"/>
          <w:szCs w:val="24"/>
        </w:rPr>
        <w:t>versity of Pennsylvania v. Pa. Pub. Util. Comm’n</w:t>
      </w:r>
      <w:r w:rsidR="00084772" w:rsidRPr="00B20BE9">
        <w:rPr>
          <w:rFonts w:eastAsia="Calibri"/>
          <w:sz w:val="24"/>
          <w:szCs w:val="24"/>
        </w:rPr>
        <w:t>, 86 Pa. Commw. 410, 485 A.2d 1217 (1984).</w:t>
      </w:r>
      <w:r w:rsidR="00C75CF5" w:rsidRPr="00B20BE9">
        <w:rPr>
          <w:rFonts w:eastAsia="Calibri"/>
          <w:sz w:val="24"/>
          <w:szCs w:val="24"/>
        </w:rPr>
        <w:t xml:space="preserve">  </w:t>
      </w:r>
      <w:r w:rsidR="00C75CF5" w:rsidRPr="00B20BE9">
        <w:rPr>
          <w:sz w:val="24"/>
          <w:szCs w:val="24"/>
        </w:rPr>
        <w:t xml:space="preserve">When parties have been ordered to file briefs and fail to include all issues they wish to have reviewed, the unbriefed issues may properly be viewed as having been waived.  </w:t>
      </w:r>
      <w:r w:rsidR="00C75CF5" w:rsidRPr="00B20BE9">
        <w:rPr>
          <w:i/>
          <w:sz w:val="24"/>
          <w:szCs w:val="24"/>
        </w:rPr>
        <w:t>Jackson v. Kassab</w:t>
      </w:r>
      <w:r w:rsidR="00FB0745">
        <w:rPr>
          <w:sz w:val="24"/>
          <w:szCs w:val="24"/>
        </w:rPr>
        <w:t>, 2002 Pa. Super. 370, </w:t>
      </w:r>
      <w:r w:rsidR="00C75CF5" w:rsidRPr="00B20BE9">
        <w:rPr>
          <w:sz w:val="24"/>
          <w:szCs w:val="24"/>
        </w:rPr>
        <w:t xml:space="preserve">812 A.2d 1233 (2002), </w:t>
      </w:r>
      <w:r w:rsidR="00C75CF5" w:rsidRPr="00B20BE9">
        <w:rPr>
          <w:sz w:val="24"/>
          <w:szCs w:val="24"/>
          <w:u w:val="single"/>
        </w:rPr>
        <w:t>appeal denied</w:t>
      </w:r>
      <w:r w:rsidR="00C75CF5" w:rsidRPr="00B20BE9">
        <w:rPr>
          <w:sz w:val="24"/>
          <w:szCs w:val="24"/>
        </w:rPr>
        <w:t>, 825 A.2d</w:t>
      </w:r>
      <w:r w:rsidR="00FB0745">
        <w:rPr>
          <w:sz w:val="24"/>
          <w:szCs w:val="24"/>
        </w:rPr>
        <w:t xml:space="preserve"> 1261, 2003 Pa. LEXIS 1128 (Pa. </w:t>
      </w:r>
      <w:r w:rsidR="00C75CF5" w:rsidRPr="00B20BE9">
        <w:rPr>
          <w:sz w:val="24"/>
          <w:szCs w:val="24"/>
        </w:rPr>
        <w:t>2003).</w:t>
      </w:r>
    </w:p>
    <w:p w:rsidR="000725EE" w:rsidRPr="00B20BE9" w:rsidRDefault="000725EE" w:rsidP="008A2D47">
      <w:pPr>
        <w:rPr>
          <w:sz w:val="24"/>
          <w:szCs w:val="24"/>
        </w:rPr>
      </w:pPr>
    </w:p>
    <w:p w:rsidR="0059457D" w:rsidRDefault="0059457D" w:rsidP="001931DC">
      <w:pPr>
        <w:jc w:val="center"/>
        <w:rPr>
          <w:rFonts w:eastAsia="Calibri"/>
          <w:sz w:val="24"/>
          <w:szCs w:val="24"/>
        </w:rPr>
      </w:pPr>
      <w:r>
        <w:rPr>
          <w:rFonts w:eastAsia="Calibri"/>
          <w:sz w:val="24"/>
          <w:szCs w:val="24"/>
        </w:rPr>
        <w:br w:type="page"/>
      </w:r>
    </w:p>
    <w:p w:rsidR="00C04F17" w:rsidRPr="00B20BE9" w:rsidRDefault="00C04F17" w:rsidP="001931DC">
      <w:pPr>
        <w:jc w:val="center"/>
        <w:rPr>
          <w:rFonts w:eastAsia="Calibri"/>
          <w:sz w:val="24"/>
          <w:szCs w:val="24"/>
        </w:rPr>
      </w:pPr>
      <w:r w:rsidRPr="00B20BE9">
        <w:rPr>
          <w:rFonts w:eastAsia="Calibri"/>
          <w:sz w:val="24"/>
          <w:szCs w:val="24"/>
        </w:rPr>
        <w:t>II</w:t>
      </w:r>
      <w:r w:rsidR="001931DC" w:rsidRPr="00B20BE9">
        <w:rPr>
          <w:rFonts w:eastAsia="Calibri"/>
          <w:sz w:val="24"/>
          <w:szCs w:val="24"/>
        </w:rPr>
        <w:t>I</w:t>
      </w:r>
      <w:r w:rsidRPr="00B20BE9">
        <w:rPr>
          <w:rFonts w:eastAsia="Calibri"/>
          <w:sz w:val="24"/>
          <w:szCs w:val="24"/>
        </w:rPr>
        <w:t>.</w:t>
      </w:r>
      <w:r w:rsidRPr="00B20BE9">
        <w:rPr>
          <w:rFonts w:eastAsia="Calibri"/>
          <w:sz w:val="24"/>
          <w:szCs w:val="24"/>
        </w:rPr>
        <w:tab/>
      </w:r>
      <w:r w:rsidRPr="00B20BE9">
        <w:rPr>
          <w:rFonts w:eastAsia="Calibri"/>
          <w:sz w:val="24"/>
          <w:szCs w:val="24"/>
          <w:u w:val="single"/>
        </w:rPr>
        <w:t>LEGAL STANDARDS</w:t>
      </w:r>
      <w:r w:rsidR="005351A1">
        <w:rPr>
          <w:rFonts w:eastAsia="Calibri"/>
          <w:sz w:val="24"/>
          <w:szCs w:val="24"/>
          <w:u w:val="single"/>
        </w:rPr>
        <w:fldChar w:fldCharType="begin"/>
      </w:r>
      <w:r w:rsidR="005351A1">
        <w:instrText xml:space="preserve"> TC "</w:instrText>
      </w:r>
      <w:bookmarkStart w:id="2" w:name="_Toc394309031"/>
      <w:r w:rsidR="005351A1" w:rsidRPr="008742F7">
        <w:rPr>
          <w:rFonts w:eastAsia="Calibri"/>
          <w:sz w:val="24"/>
          <w:szCs w:val="24"/>
        </w:rPr>
        <w:instrText>III.</w:instrText>
      </w:r>
      <w:r w:rsidR="005351A1" w:rsidRPr="008742F7">
        <w:rPr>
          <w:rFonts w:eastAsia="Calibri"/>
          <w:sz w:val="24"/>
          <w:szCs w:val="24"/>
        </w:rPr>
        <w:tab/>
      </w:r>
      <w:r w:rsidR="005351A1" w:rsidRPr="008742F7">
        <w:rPr>
          <w:rFonts w:eastAsia="Calibri"/>
          <w:sz w:val="24"/>
          <w:szCs w:val="24"/>
          <w:u w:val="single"/>
        </w:rPr>
        <w:instrText>LEGAL STANDARDS</w:instrText>
      </w:r>
      <w:bookmarkEnd w:id="2"/>
      <w:r w:rsidR="005351A1">
        <w:instrText xml:space="preserve">" \f C \l "1" </w:instrText>
      </w:r>
      <w:r w:rsidR="005351A1">
        <w:rPr>
          <w:rFonts w:eastAsia="Calibri"/>
          <w:sz w:val="24"/>
          <w:szCs w:val="24"/>
          <w:u w:val="single"/>
        </w:rPr>
        <w:fldChar w:fldCharType="end"/>
      </w:r>
    </w:p>
    <w:p w:rsidR="00C04F17" w:rsidRPr="00B20BE9" w:rsidRDefault="00C04F17" w:rsidP="00084772">
      <w:pPr>
        <w:rPr>
          <w:rFonts w:eastAsia="Calibri"/>
          <w:sz w:val="24"/>
          <w:szCs w:val="24"/>
        </w:rPr>
      </w:pPr>
    </w:p>
    <w:p w:rsidR="00C04F17" w:rsidRPr="00B20BE9" w:rsidRDefault="00FD2DA4" w:rsidP="00C75CF5">
      <w:pPr>
        <w:rPr>
          <w:rFonts w:eastAsia="Calibri"/>
          <w:sz w:val="24"/>
          <w:szCs w:val="24"/>
        </w:rPr>
      </w:pPr>
      <w:r w:rsidRPr="00B20BE9">
        <w:rPr>
          <w:rFonts w:eastAsia="Calibri"/>
          <w:sz w:val="24"/>
          <w:szCs w:val="24"/>
        </w:rPr>
        <w:tab/>
      </w:r>
      <w:r w:rsidRPr="00B20BE9">
        <w:rPr>
          <w:rFonts w:eastAsia="Calibri"/>
          <w:sz w:val="24"/>
          <w:szCs w:val="24"/>
        </w:rPr>
        <w:tab/>
      </w:r>
      <w:r w:rsidR="00C75CF5" w:rsidRPr="00B20BE9">
        <w:rPr>
          <w:rFonts w:eastAsia="Calibri"/>
          <w:sz w:val="24"/>
          <w:szCs w:val="24"/>
        </w:rPr>
        <w:t>Section 315(a) of the Code, 66 Pa.C.S. §</w:t>
      </w:r>
      <w:r w:rsidR="0024548C" w:rsidRPr="00B20BE9">
        <w:rPr>
          <w:rFonts w:eastAsia="Calibri"/>
          <w:sz w:val="24"/>
          <w:szCs w:val="24"/>
        </w:rPr>
        <w:t xml:space="preserve"> </w:t>
      </w:r>
      <w:r w:rsidR="00C75CF5" w:rsidRPr="00B20BE9">
        <w:rPr>
          <w:rFonts w:eastAsia="Calibri"/>
          <w:sz w:val="24"/>
          <w:szCs w:val="24"/>
        </w:rPr>
        <w:t xml:space="preserve">315(a), </w:t>
      </w:r>
      <w:r w:rsidR="00C04F17" w:rsidRPr="00B20BE9">
        <w:rPr>
          <w:rFonts w:eastAsia="Calibri"/>
          <w:sz w:val="24"/>
          <w:szCs w:val="24"/>
        </w:rPr>
        <w:t xml:space="preserve">provides that the burden of establishing the justness and reasonableness of its </w:t>
      </w:r>
      <w:r w:rsidR="00C75CF5" w:rsidRPr="00B20BE9">
        <w:rPr>
          <w:rFonts w:eastAsia="Calibri"/>
          <w:sz w:val="24"/>
          <w:szCs w:val="24"/>
        </w:rPr>
        <w:t xml:space="preserve">DSIC </w:t>
      </w:r>
      <w:r w:rsidR="00C04F17" w:rsidRPr="00B20BE9">
        <w:rPr>
          <w:rFonts w:eastAsia="Calibri"/>
          <w:sz w:val="24"/>
          <w:szCs w:val="24"/>
        </w:rPr>
        <w:t xml:space="preserve">is clearly on </w:t>
      </w:r>
      <w:r w:rsidR="00C75CF5" w:rsidRPr="00B20BE9">
        <w:rPr>
          <w:rFonts w:eastAsia="Calibri"/>
          <w:sz w:val="24"/>
          <w:szCs w:val="24"/>
        </w:rPr>
        <w:t xml:space="preserve">PPL in this proceeding.  </w:t>
      </w:r>
      <w:r w:rsidR="00C04F17" w:rsidRPr="00B20BE9">
        <w:rPr>
          <w:rFonts w:eastAsia="Calibri"/>
          <w:sz w:val="24"/>
          <w:szCs w:val="24"/>
        </w:rPr>
        <w:t>The Pennsylvania Commonwealth Court has interpreted Section 315(a) of the Code as follows:</w:t>
      </w:r>
    </w:p>
    <w:p w:rsidR="00C04F17" w:rsidRPr="00B20BE9" w:rsidRDefault="00C04F17" w:rsidP="000725EE">
      <w:pPr>
        <w:rPr>
          <w:rFonts w:eastAsia="Calibri"/>
          <w:sz w:val="24"/>
          <w:szCs w:val="24"/>
        </w:rPr>
      </w:pPr>
    </w:p>
    <w:p w:rsidR="00C04F17" w:rsidRPr="00B20BE9" w:rsidRDefault="00C04F17" w:rsidP="00C04F17">
      <w:pPr>
        <w:spacing w:line="240" w:lineRule="auto"/>
        <w:ind w:left="1440" w:right="1440"/>
        <w:rPr>
          <w:rFonts w:eastAsia="Calibri"/>
          <w:sz w:val="24"/>
          <w:szCs w:val="24"/>
        </w:rPr>
      </w:pPr>
      <w:r w:rsidRPr="00B20BE9">
        <w:rPr>
          <w:rFonts w:eastAsia="Calibri"/>
          <w:sz w:val="24"/>
          <w:szCs w:val="24"/>
        </w:rPr>
        <w:t xml:space="preserve">Section 315(a) of </w:t>
      </w:r>
      <w:r w:rsidR="000725EE">
        <w:rPr>
          <w:rFonts w:eastAsia="Calibri"/>
          <w:sz w:val="24"/>
          <w:szCs w:val="24"/>
        </w:rPr>
        <w:t>the Public Utility Code, 66 Pa.</w:t>
      </w:r>
      <w:r w:rsidRPr="00B20BE9">
        <w:rPr>
          <w:rFonts w:eastAsia="Calibri"/>
          <w:sz w:val="24"/>
          <w:szCs w:val="24"/>
        </w:rPr>
        <w:t>C.S. §</w:t>
      </w:r>
      <w:r w:rsidR="0024548C" w:rsidRPr="00B20BE9">
        <w:rPr>
          <w:rFonts w:eastAsia="Calibri"/>
          <w:sz w:val="24"/>
          <w:szCs w:val="24"/>
        </w:rPr>
        <w:t xml:space="preserve"> </w:t>
      </w:r>
      <w:r w:rsidRPr="00B20BE9">
        <w:rPr>
          <w:rFonts w:eastAsia="Calibri"/>
          <w:sz w:val="24"/>
          <w:szCs w:val="24"/>
        </w:rPr>
        <w:t xml:space="preserve">315(a), places the burden of proving the justness and reasonableness of a proposed rate hike squarely on the public utility.  </w:t>
      </w:r>
      <w:r w:rsidRPr="00B20BE9">
        <w:rPr>
          <w:rFonts w:eastAsia="Calibri"/>
          <w:sz w:val="24"/>
          <w:szCs w:val="24"/>
          <w:u w:val="single"/>
        </w:rPr>
        <w:t>It is well established that the evidence adduced by a utility to meet this burden must be substantial.</w:t>
      </w:r>
    </w:p>
    <w:p w:rsidR="00C04F17" w:rsidRPr="00B20BE9" w:rsidRDefault="00C04F17" w:rsidP="00C75CF5">
      <w:pPr>
        <w:spacing w:line="240" w:lineRule="auto"/>
        <w:ind w:left="1440" w:right="1440"/>
        <w:rPr>
          <w:rFonts w:eastAsia="Calibri"/>
          <w:sz w:val="24"/>
          <w:szCs w:val="24"/>
        </w:rPr>
      </w:pPr>
    </w:p>
    <w:p w:rsidR="00C04F17" w:rsidRPr="00B20BE9" w:rsidRDefault="00045D42" w:rsidP="00C04F17">
      <w:pPr>
        <w:rPr>
          <w:rFonts w:eastAsia="Calibri"/>
          <w:sz w:val="24"/>
          <w:szCs w:val="24"/>
        </w:rPr>
      </w:pPr>
      <w:r w:rsidRPr="00B20BE9">
        <w:rPr>
          <w:rFonts w:eastAsia="Calibri"/>
          <w:i/>
          <w:sz w:val="24"/>
          <w:szCs w:val="24"/>
        </w:rPr>
        <w:t xml:space="preserve">Lower Frederick Twp. v. Pa. </w:t>
      </w:r>
      <w:r w:rsidR="00C04F17" w:rsidRPr="00B20BE9">
        <w:rPr>
          <w:rFonts w:eastAsia="Calibri"/>
          <w:i/>
          <w:sz w:val="24"/>
          <w:szCs w:val="24"/>
        </w:rPr>
        <w:t>P</w:t>
      </w:r>
      <w:r w:rsidR="00BF5A6D" w:rsidRPr="00B20BE9">
        <w:rPr>
          <w:rFonts w:eastAsia="Calibri"/>
          <w:i/>
          <w:sz w:val="24"/>
          <w:szCs w:val="24"/>
        </w:rPr>
        <w:t>ub</w:t>
      </w:r>
      <w:r w:rsidR="00C04F17" w:rsidRPr="00B20BE9">
        <w:rPr>
          <w:rFonts w:eastAsia="Calibri"/>
          <w:i/>
          <w:sz w:val="24"/>
          <w:szCs w:val="24"/>
        </w:rPr>
        <w:t>.</w:t>
      </w:r>
      <w:r w:rsidRPr="00B20BE9">
        <w:rPr>
          <w:rFonts w:eastAsia="Calibri"/>
          <w:i/>
          <w:sz w:val="24"/>
          <w:szCs w:val="24"/>
        </w:rPr>
        <w:t xml:space="preserve"> </w:t>
      </w:r>
      <w:r w:rsidR="00C04F17" w:rsidRPr="00B20BE9">
        <w:rPr>
          <w:rFonts w:eastAsia="Calibri"/>
          <w:i/>
          <w:sz w:val="24"/>
          <w:szCs w:val="24"/>
        </w:rPr>
        <w:t>U</w:t>
      </w:r>
      <w:r w:rsidR="00BF5A6D" w:rsidRPr="00B20BE9">
        <w:rPr>
          <w:rFonts w:eastAsia="Calibri"/>
          <w:i/>
          <w:sz w:val="24"/>
          <w:szCs w:val="24"/>
        </w:rPr>
        <w:t>til</w:t>
      </w:r>
      <w:r w:rsidRPr="00B20BE9">
        <w:rPr>
          <w:rFonts w:eastAsia="Calibri"/>
          <w:i/>
          <w:sz w:val="24"/>
          <w:szCs w:val="24"/>
        </w:rPr>
        <w:t xml:space="preserve">. </w:t>
      </w:r>
      <w:r w:rsidR="00C04F17" w:rsidRPr="00B20BE9">
        <w:rPr>
          <w:rFonts w:eastAsia="Calibri"/>
          <w:i/>
          <w:sz w:val="24"/>
          <w:szCs w:val="24"/>
        </w:rPr>
        <w:t>C</w:t>
      </w:r>
      <w:r w:rsidR="00BF5A6D" w:rsidRPr="00B20BE9">
        <w:rPr>
          <w:rFonts w:eastAsia="Calibri"/>
          <w:i/>
          <w:sz w:val="24"/>
          <w:szCs w:val="24"/>
        </w:rPr>
        <w:t>omm’n</w:t>
      </w:r>
      <w:r w:rsidR="00C04F17" w:rsidRPr="00B20BE9">
        <w:rPr>
          <w:rFonts w:eastAsia="Calibri"/>
          <w:sz w:val="24"/>
          <w:szCs w:val="24"/>
        </w:rPr>
        <w:t>, 48 Pa. Com</w:t>
      </w:r>
      <w:r w:rsidR="001173FD">
        <w:rPr>
          <w:rFonts w:eastAsia="Calibri"/>
          <w:sz w:val="24"/>
          <w:szCs w:val="24"/>
        </w:rPr>
        <w:t>mw. 222, 226-227, 409 A.2d 505, </w:t>
      </w:r>
      <w:r w:rsidR="00C04F17" w:rsidRPr="00B20BE9">
        <w:rPr>
          <w:rFonts w:eastAsia="Calibri"/>
          <w:sz w:val="24"/>
          <w:szCs w:val="24"/>
        </w:rPr>
        <w:t>507 (1980) (</w:t>
      </w:r>
      <w:r w:rsidR="00C04F17" w:rsidRPr="00B20BE9">
        <w:rPr>
          <w:rFonts w:eastAsia="Calibri"/>
          <w:sz w:val="24"/>
          <w:szCs w:val="24"/>
          <w:u w:val="single"/>
        </w:rPr>
        <w:t>emphasis supplied</w:t>
      </w:r>
      <w:r w:rsidR="00C04F17" w:rsidRPr="00B20BE9">
        <w:rPr>
          <w:rFonts w:eastAsia="Calibri"/>
          <w:sz w:val="24"/>
          <w:szCs w:val="24"/>
        </w:rPr>
        <w:t xml:space="preserve">).  </w:t>
      </w:r>
      <w:r w:rsidR="00C04F17" w:rsidRPr="00B20BE9">
        <w:rPr>
          <w:rFonts w:eastAsia="Calibri"/>
          <w:sz w:val="24"/>
          <w:szCs w:val="24"/>
          <w:u w:val="single"/>
        </w:rPr>
        <w:t>See also</w:t>
      </w:r>
      <w:r w:rsidR="00C04F17" w:rsidRPr="00B20BE9">
        <w:rPr>
          <w:rFonts w:eastAsia="Calibri"/>
          <w:sz w:val="24"/>
          <w:szCs w:val="24"/>
        </w:rPr>
        <w:t xml:space="preserve">, </w:t>
      </w:r>
      <w:r w:rsidRPr="00B20BE9">
        <w:rPr>
          <w:rFonts w:eastAsia="Calibri"/>
          <w:i/>
          <w:sz w:val="24"/>
          <w:szCs w:val="24"/>
        </w:rPr>
        <w:t xml:space="preserve">Brockway Glass v. Pa. </w:t>
      </w:r>
      <w:r w:rsidR="00C04F17" w:rsidRPr="00B20BE9">
        <w:rPr>
          <w:rFonts w:eastAsia="Calibri"/>
          <w:i/>
          <w:sz w:val="24"/>
          <w:szCs w:val="24"/>
        </w:rPr>
        <w:t>P</w:t>
      </w:r>
      <w:r w:rsidR="00C75CF5" w:rsidRPr="00B20BE9">
        <w:rPr>
          <w:rFonts w:eastAsia="Calibri"/>
          <w:i/>
          <w:sz w:val="24"/>
          <w:szCs w:val="24"/>
        </w:rPr>
        <w:t>ub</w:t>
      </w:r>
      <w:r w:rsidR="00C04F17" w:rsidRPr="00B20BE9">
        <w:rPr>
          <w:rFonts w:eastAsia="Calibri"/>
          <w:i/>
          <w:sz w:val="24"/>
          <w:szCs w:val="24"/>
        </w:rPr>
        <w:t>.</w:t>
      </w:r>
      <w:r w:rsidRPr="00B20BE9">
        <w:rPr>
          <w:rFonts w:eastAsia="Calibri"/>
          <w:i/>
          <w:sz w:val="24"/>
          <w:szCs w:val="24"/>
        </w:rPr>
        <w:t xml:space="preserve"> </w:t>
      </w:r>
      <w:r w:rsidR="00C04F17" w:rsidRPr="00B20BE9">
        <w:rPr>
          <w:rFonts w:eastAsia="Calibri"/>
          <w:i/>
          <w:sz w:val="24"/>
          <w:szCs w:val="24"/>
        </w:rPr>
        <w:t>U</w:t>
      </w:r>
      <w:r w:rsidR="00C75CF5" w:rsidRPr="00B20BE9">
        <w:rPr>
          <w:rFonts w:eastAsia="Calibri"/>
          <w:i/>
          <w:sz w:val="24"/>
          <w:szCs w:val="24"/>
        </w:rPr>
        <w:t>til</w:t>
      </w:r>
      <w:r w:rsidR="00C04F17" w:rsidRPr="00B20BE9">
        <w:rPr>
          <w:rFonts w:eastAsia="Calibri"/>
          <w:i/>
          <w:sz w:val="24"/>
          <w:szCs w:val="24"/>
        </w:rPr>
        <w:t>.</w:t>
      </w:r>
      <w:r w:rsidRPr="00B20BE9">
        <w:rPr>
          <w:rFonts w:eastAsia="Calibri"/>
          <w:i/>
          <w:sz w:val="24"/>
          <w:szCs w:val="24"/>
        </w:rPr>
        <w:t xml:space="preserve"> </w:t>
      </w:r>
      <w:r w:rsidR="00C04F17" w:rsidRPr="00B20BE9">
        <w:rPr>
          <w:rFonts w:eastAsia="Calibri"/>
          <w:i/>
          <w:sz w:val="24"/>
          <w:szCs w:val="24"/>
        </w:rPr>
        <w:t>C</w:t>
      </w:r>
      <w:r w:rsidR="00C75CF5" w:rsidRPr="00B20BE9">
        <w:rPr>
          <w:rFonts w:eastAsia="Calibri"/>
          <w:i/>
          <w:sz w:val="24"/>
          <w:szCs w:val="24"/>
        </w:rPr>
        <w:t>omm’n</w:t>
      </w:r>
      <w:r w:rsidR="001173FD">
        <w:rPr>
          <w:rFonts w:eastAsia="Calibri"/>
          <w:sz w:val="24"/>
          <w:szCs w:val="24"/>
        </w:rPr>
        <w:t>, </w:t>
      </w:r>
      <w:r w:rsidR="00C04F17" w:rsidRPr="00B20BE9">
        <w:rPr>
          <w:rFonts w:eastAsia="Calibri"/>
          <w:sz w:val="24"/>
          <w:szCs w:val="24"/>
        </w:rPr>
        <w:t>63 Pa. Commw. 238, 437 A.2d 1067 (1981).</w:t>
      </w:r>
    </w:p>
    <w:p w:rsidR="00C04F17" w:rsidRPr="00B20BE9" w:rsidRDefault="00C04F17" w:rsidP="00C04F17">
      <w:pPr>
        <w:rPr>
          <w:rFonts w:eastAsia="Calibri"/>
          <w:sz w:val="24"/>
          <w:szCs w:val="24"/>
        </w:rPr>
      </w:pPr>
    </w:p>
    <w:p w:rsidR="00C04F17" w:rsidRPr="00B20BE9" w:rsidRDefault="00C04F17" w:rsidP="00C04F17">
      <w:pPr>
        <w:rPr>
          <w:rFonts w:eastAsia="Calibri"/>
          <w:sz w:val="24"/>
          <w:szCs w:val="24"/>
        </w:rPr>
      </w:pPr>
      <w:r w:rsidRPr="00B20BE9">
        <w:rPr>
          <w:rFonts w:eastAsia="Calibri"/>
          <w:sz w:val="24"/>
          <w:szCs w:val="24"/>
        </w:rPr>
        <w:tab/>
      </w:r>
      <w:r w:rsidRPr="00B20BE9">
        <w:rPr>
          <w:rFonts w:eastAsia="Calibri"/>
          <w:sz w:val="24"/>
          <w:szCs w:val="24"/>
        </w:rPr>
        <w:tab/>
        <w:t xml:space="preserve">Substantial evidence </w:t>
      </w:r>
      <w:r w:rsidR="00C75CF5" w:rsidRPr="00B20BE9">
        <w:rPr>
          <w:rFonts w:eastAsia="Calibri"/>
          <w:sz w:val="24"/>
          <w:szCs w:val="24"/>
        </w:rPr>
        <w:t>is</w:t>
      </w:r>
      <w:r w:rsidRPr="00B20BE9">
        <w:rPr>
          <w:rFonts w:eastAsia="Calibri"/>
          <w:sz w:val="24"/>
          <w:szCs w:val="24"/>
        </w:rPr>
        <w:t xml:space="preserve"> such relevant evidence as a reasonable mind might accept as adequate to support a conclusion.  </w:t>
      </w:r>
      <w:r w:rsidRPr="00B20BE9">
        <w:rPr>
          <w:rFonts w:eastAsia="Calibri"/>
          <w:i/>
          <w:sz w:val="24"/>
          <w:szCs w:val="24"/>
        </w:rPr>
        <w:t>Dutchland Tours, Inc. v. Pa. P</w:t>
      </w:r>
      <w:r w:rsidR="00C75CF5" w:rsidRPr="00B20BE9">
        <w:rPr>
          <w:rFonts w:eastAsia="Calibri"/>
          <w:i/>
          <w:sz w:val="24"/>
          <w:szCs w:val="24"/>
        </w:rPr>
        <w:t>ub</w:t>
      </w:r>
      <w:r w:rsidRPr="00B20BE9">
        <w:rPr>
          <w:rFonts w:eastAsia="Calibri"/>
          <w:i/>
          <w:sz w:val="24"/>
          <w:szCs w:val="24"/>
        </w:rPr>
        <w:t>.</w:t>
      </w:r>
      <w:r w:rsidR="00C75CF5" w:rsidRPr="00B20BE9">
        <w:rPr>
          <w:rFonts w:eastAsia="Calibri"/>
          <w:i/>
          <w:sz w:val="24"/>
          <w:szCs w:val="24"/>
        </w:rPr>
        <w:t xml:space="preserve"> </w:t>
      </w:r>
      <w:r w:rsidRPr="00B20BE9">
        <w:rPr>
          <w:rFonts w:eastAsia="Calibri"/>
          <w:i/>
          <w:sz w:val="24"/>
          <w:szCs w:val="24"/>
        </w:rPr>
        <w:t>U</w:t>
      </w:r>
      <w:r w:rsidR="00C75CF5" w:rsidRPr="00B20BE9">
        <w:rPr>
          <w:rFonts w:eastAsia="Calibri"/>
          <w:i/>
          <w:sz w:val="24"/>
          <w:szCs w:val="24"/>
        </w:rPr>
        <w:t>til</w:t>
      </w:r>
      <w:r w:rsidRPr="00B20BE9">
        <w:rPr>
          <w:rFonts w:eastAsia="Calibri"/>
          <w:i/>
          <w:sz w:val="24"/>
          <w:szCs w:val="24"/>
        </w:rPr>
        <w:t>.</w:t>
      </w:r>
      <w:r w:rsidR="00C75CF5" w:rsidRPr="00B20BE9">
        <w:rPr>
          <w:rFonts w:eastAsia="Calibri"/>
          <w:i/>
          <w:sz w:val="24"/>
          <w:szCs w:val="24"/>
        </w:rPr>
        <w:t xml:space="preserve"> </w:t>
      </w:r>
      <w:r w:rsidRPr="00B20BE9">
        <w:rPr>
          <w:rFonts w:eastAsia="Calibri"/>
          <w:i/>
          <w:sz w:val="24"/>
          <w:szCs w:val="24"/>
        </w:rPr>
        <w:t>C</w:t>
      </w:r>
      <w:r w:rsidR="00C75CF5" w:rsidRPr="00B20BE9">
        <w:rPr>
          <w:rFonts w:eastAsia="Calibri"/>
          <w:i/>
          <w:sz w:val="24"/>
          <w:szCs w:val="24"/>
        </w:rPr>
        <w:t>omm’n</w:t>
      </w:r>
      <w:r w:rsidRPr="00B20BE9">
        <w:rPr>
          <w:rFonts w:eastAsia="Calibri"/>
          <w:sz w:val="24"/>
          <w:szCs w:val="24"/>
        </w:rPr>
        <w:t>, 19 Pa. Commw. 1, 337 A.2d 922 (1975).</w:t>
      </w:r>
    </w:p>
    <w:p w:rsidR="00C04F17" w:rsidRPr="00B20BE9" w:rsidRDefault="00C04F17" w:rsidP="00C04F17">
      <w:pPr>
        <w:rPr>
          <w:rFonts w:eastAsia="Calibri"/>
          <w:sz w:val="24"/>
          <w:szCs w:val="24"/>
        </w:rPr>
      </w:pPr>
    </w:p>
    <w:p w:rsidR="00C04F17" w:rsidRPr="00B20BE9" w:rsidRDefault="00C04F17" w:rsidP="00C04F17">
      <w:pPr>
        <w:rPr>
          <w:rFonts w:eastAsia="Calibri"/>
          <w:sz w:val="24"/>
          <w:szCs w:val="24"/>
        </w:rPr>
      </w:pPr>
      <w:r w:rsidRPr="00B20BE9">
        <w:rPr>
          <w:rFonts w:eastAsia="Calibri"/>
          <w:sz w:val="24"/>
          <w:szCs w:val="24"/>
        </w:rPr>
        <w:tab/>
      </w:r>
      <w:r w:rsidRPr="00B20BE9">
        <w:rPr>
          <w:rFonts w:eastAsia="Calibri"/>
          <w:sz w:val="24"/>
          <w:szCs w:val="24"/>
        </w:rPr>
        <w:tab/>
      </w:r>
      <w:r w:rsidR="0040182D" w:rsidRPr="00B20BE9">
        <w:rPr>
          <w:rFonts w:eastAsia="Calibri"/>
          <w:sz w:val="24"/>
          <w:szCs w:val="24"/>
        </w:rPr>
        <w:t xml:space="preserve">In </w:t>
      </w:r>
      <w:r w:rsidRPr="00B20BE9">
        <w:rPr>
          <w:rFonts w:eastAsia="Calibri"/>
          <w:i/>
          <w:sz w:val="24"/>
          <w:szCs w:val="24"/>
        </w:rPr>
        <w:t>Pa. P</w:t>
      </w:r>
      <w:r w:rsidR="0040182D" w:rsidRPr="00B20BE9">
        <w:rPr>
          <w:rFonts w:eastAsia="Calibri"/>
          <w:i/>
          <w:sz w:val="24"/>
          <w:szCs w:val="24"/>
        </w:rPr>
        <w:t>ub</w:t>
      </w:r>
      <w:r w:rsidRPr="00B20BE9">
        <w:rPr>
          <w:rFonts w:eastAsia="Calibri"/>
          <w:i/>
          <w:sz w:val="24"/>
          <w:szCs w:val="24"/>
        </w:rPr>
        <w:t>.</w:t>
      </w:r>
      <w:r w:rsidR="0040182D" w:rsidRPr="00B20BE9">
        <w:rPr>
          <w:rFonts w:eastAsia="Calibri"/>
          <w:i/>
          <w:sz w:val="24"/>
          <w:szCs w:val="24"/>
        </w:rPr>
        <w:t xml:space="preserve"> </w:t>
      </w:r>
      <w:r w:rsidRPr="00B20BE9">
        <w:rPr>
          <w:rFonts w:eastAsia="Calibri"/>
          <w:i/>
          <w:sz w:val="24"/>
          <w:szCs w:val="24"/>
        </w:rPr>
        <w:t>U</w:t>
      </w:r>
      <w:r w:rsidR="0040182D" w:rsidRPr="00B20BE9">
        <w:rPr>
          <w:rFonts w:eastAsia="Calibri"/>
          <w:i/>
          <w:sz w:val="24"/>
          <w:szCs w:val="24"/>
        </w:rPr>
        <w:t>til</w:t>
      </w:r>
      <w:r w:rsidRPr="00B20BE9">
        <w:rPr>
          <w:rFonts w:eastAsia="Calibri"/>
          <w:i/>
          <w:sz w:val="24"/>
          <w:szCs w:val="24"/>
        </w:rPr>
        <w:t>.</w:t>
      </w:r>
      <w:r w:rsidR="0040182D" w:rsidRPr="00B20BE9">
        <w:rPr>
          <w:rFonts w:eastAsia="Calibri"/>
          <w:i/>
          <w:sz w:val="24"/>
          <w:szCs w:val="24"/>
        </w:rPr>
        <w:t xml:space="preserve"> </w:t>
      </w:r>
      <w:r w:rsidRPr="00B20BE9">
        <w:rPr>
          <w:rFonts w:eastAsia="Calibri"/>
          <w:i/>
          <w:sz w:val="24"/>
          <w:szCs w:val="24"/>
        </w:rPr>
        <w:t>C</w:t>
      </w:r>
      <w:r w:rsidR="0040182D" w:rsidRPr="00B20BE9">
        <w:rPr>
          <w:rFonts w:eastAsia="Calibri"/>
          <w:i/>
          <w:sz w:val="24"/>
          <w:szCs w:val="24"/>
        </w:rPr>
        <w:t>omm’n</w:t>
      </w:r>
      <w:r w:rsidRPr="00B20BE9">
        <w:rPr>
          <w:rFonts w:eastAsia="Calibri"/>
          <w:i/>
          <w:sz w:val="24"/>
          <w:szCs w:val="24"/>
        </w:rPr>
        <w:t xml:space="preserve"> v. Breezewood Telephone Company (Breezewood)</w:t>
      </w:r>
      <w:r w:rsidR="0040182D" w:rsidRPr="00B20BE9">
        <w:rPr>
          <w:rFonts w:eastAsia="Calibri"/>
          <w:sz w:val="24"/>
          <w:szCs w:val="24"/>
        </w:rPr>
        <w:t>, 74 Pa.</w:t>
      </w:r>
      <w:r w:rsidRPr="00B20BE9">
        <w:rPr>
          <w:rFonts w:eastAsia="Calibri"/>
          <w:sz w:val="24"/>
          <w:szCs w:val="24"/>
        </w:rPr>
        <w:t xml:space="preserve"> PUC 431 (1991)</w:t>
      </w:r>
      <w:r w:rsidR="0040182D" w:rsidRPr="00B20BE9">
        <w:rPr>
          <w:rFonts w:eastAsia="Calibri"/>
          <w:sz w:val="24"/>
          <w:szCs w:val="24"/>
        </w:rPr>
        <w:t xml:space="preserve">, </w:t>
      </w:r>
      <w:r w:rsidRPr="00B20BE9">
        <w:rPr>
          <w:rFonts w:eastAsia="Calibri"/>
          <w:sz w:val="24"/>
          <w:szCs w:val="24"/>
        </w:rPr>
        <w:t>the Commission made the following ruling with respect to Breezewood Telephone Company’s (BTC) burden of proof:</w:t>
      </w:r>
    </w:p>
    <w:p w:rsidR="00C04F17" w:rsidRPr="00B20BE9" w:rsidRDefault="00C04F17" w:rsidP="00C04F17">
      <w:pPr>
        <w:rPr>
          <w:rFonts w:eastAsia="Calibri"/>
          <w:sz w:val="24"/>
          <w:szCs w:val="24"/>
        </w:rPr>
      </w:pPr>
    </w:p>
    <w:p w:rsidR="00C04F17" w:rsidRPr="00B20BE9" w:rsidRDefault="00C04F17" w:rsidP="00C04F17">
      <w:pPr>
        <w:spacing w:line="240" w:lineRule="auto"/>
        <w:ind w:left="1440" w:right="1440"/>
        <w:rPr>
          <w:rFonts w:eastAsia="Calibri"/>
          <w:sz w:val="24"/>
          <w:szCs w:val="24"/>
        </w:rPr>
      </w:pPr>
      <w:r w:rsidRPr="00B20BE9">
        <w:rPr>
          <w:rFonts w:eastAsia="Calibri"/>
          <w:sz w:val="24"/>
          <w:szCs w:val="24"/>
        </w:rPr>
        <w:t>Thus, where a party has raised a question concerning an element at issue, the affirmative burden of proving justness and reasonableness of its claim is upon BTC.</w:t>
      </w:r>
    </w:p>
    <w:p w:rsidR="00C04F17" w:rsidRPr="00B20BE9" w:rsidRDefault="00C04F17" w:rsidP="00473403">
      <w:pPr>
        <w:spacing w:line="240" w:lineRule="auto"/>
        <w:rPr>
          <w:rFonts w:eastAsia="Calibri"/>
          <w:sz w:val="24"/>
          <w:szCs w:val="24"/>
        </w:rPr>
      </w:pPr>
    </w:p>
    <w:p w:rsidR="00C04F17" w:rsidRPr="00B20BE9" w:rsidRDefault="0040182D" w:rsidP="00C04F17">
      <w:pPr>
        <w:rPr>
          <w:rFonts w:eastAsia="Calibri"/>
          <w:sz w:val="24"/>
          <w:szCs w:val="24"/>
        </w:rPr>
      </w:pPr>
      <w:r w:rsidRPr="00B20BE9">
        <w:rPr>
          <w:rFonts w:eastAsia="Calibri"/>
          <w:sz w:val="24"/>
          <w:szCs w:val="24"/>
        </w:rPr>
        <w:t>74 Pa.</w:t>
      </w:r>
      <w:r w:rsidR="00C04F17" w:rsidRPr="00B20BE9">
        <w:rPr>
          <w:rFonts w:eastAsia="Calibri"/>
          <w:sz w:val="24"/>
          <w:szCs w:val="24"/>
        </w:rPr>
        <w:t xml:space="preserve"> PUC at 442.</w:t>
      </w:r>
    </w:p>
    <w:p w:rsidR="00C04F17" w:rsidRPr="00B20BE9" w:rsidRDefault="00C04F17" w:rsidP="00C04F17">
      <w:pPr>
        <w:rPr>
          <w:rFonts w:eastAsia="Calibri"/>
          <w:sz w:val="24"/>
          <w:szCs w:val="24"/>
        </w:rPr>
      </w:pPr>
    </w:p>
    <w:p w:rsidR="00C04F17" w:rsidRPr="00B20BE9" w:rsidRDefault="00C04F17" w:rsidP="00C04F17">
      <w:pPr>
        <w:rPr>
          <w:rFonts w:eastAsia="Calibri"/>
          <w:sz w:val="24"/>
          <w:szCs w:val="24"/>
        </w:rPr>
      </w:pPr>
      <w:r w:rsidRPr="00B20BE9">
        <w:rPr>
          <w:rFonts w:eastAsia="Calibri"/>
          <w:sz w:val="24"/>
          <w:szCs w:val="24"/>
        </w:rPr>
        <w:tab/>
      </w:r>
      <w:r w:rsidRPr="00B20BE9">
        <w:rPr>
          <w:rFonts w:eastAsia="Calibri"/>
          <w:sz w:val="24"/>
          <w:szCs w:val="24"/>
        </w:rPr>
        <w:tab/>
        <w:t xml:space="preserve">It is also well-established that the burden of proof does not shift to </w:t>
      </w:r>
      <w:r w:rsidR="008F7FF9" w:rsidRPr="00B20BE9">
        <w:rPr>
          <w:rFonts w:eastAsia="Calibri"/>
          <w:sz w:val="24"/>
          <w:szCs w:val="24"/>
        </w:rPr>
        <w:t xml:space="preserve">parties challenging a </w:t>
      </w:r>
      <w:r w:rsidRPr="00B20BE9">
        <w:rPr>
          <w:rFonts w:eastAsia="Calibri"/>
          <w:sz w:val="24"/>
          <w:szCs w:val="24"/>
        </w:rPr>
        <w:t xml:space="preserve">rate </w:t>
      </w:r>
      <w:r w:rsidR="008F7FF9" w:rsidRPr="00B20BE9">
        <w:rPr>
          <w:rFonts w:eastAsia="Calibri"/>
          <w:sz w:val="24"/>
          <w:szCs w:val="24"/>
        </w:rPr>
        <w:t>request</w:t>
      </w:r>
      <w:r w:rsidRPr="00B20BE9">
        <w:rPr>
          <w:rFonts w:eastAsia="Calibri"/>
          <w:sz w:val="24"/>
          <w:szCs w:val="24"/>
        </w:rPr>
        <w:t xml:space="preserve">.  Instead, the utility’s burden of establishing the justness and reasonableness of every component of its rate request is an affirmative one and that burden remains with the public utility throughout the course of the rate proceeding.  </w:t>
      </w:r>
      <w:r w:rsidR="003974E6" w:rsidRPr="00B20BE9">
        <w:rPr>
          <w:rFonts w:eastAsia="Calibri"/>
          <w:sz w:val="24"/>
          <w:szCs w:val="24"/>
        </w:rPr>
        <w:t xml:space="preserve">66 Pa.C.S. § 1301.  </w:t>
      </w:r>
      <w:r w:rsidRPr="00B20BE9">
        <w:rPr>
          <w:rFonts w:eastAsia="Calibri"/>
          <w:sz w:val="24"/>
          <w:szCs w:val="24"/>
        </w:rPr>
        <w:t xml:space="preserve">There is no similar burden placed on parties which are challenging a proposed rate.  As stated by the Pennsylvania Supreme Court in </w:t>
      </w:r>
      <w:r w:rsidRPr="00B20BE9">
        <w:rPr>
          <w:rFonts w:eastAsia="Calibri"/>
          <w:i/>
          <w:sz w:val="24"/>
          <w:szCs w:val="24"/>
        </w:rPr>
        <w:t>Berner v. Pa. P</w:t>
      </w:r>
      <w:r w:rsidR="008F7FF9" w:rsidRPr="00B20BE9">
        <w:rPr>
          <w:rFonts w:eastAsia="Calibri"/>
          <w:i/>
          <w:sz w:val="24"/>
          <w:szCs w:val="24"/>
        </w:rPr>
        <w:t>ub</w:t>
      </w:r>
      <w:r w:rsidRPr="00B20BE9">
        <w:rPr>
          <w:rFonts w:eastAsia="Calibri"/>
          <w:i/>
          <w:sz w:val="24"/>
          <w:szCs w:val="24"/>
        </w:rPr>
        <w:t>.</w:t>
      </w:r>
      <w:r w:rsidR="008F7FF9" w:rsidRPr="00B20BE9">
        <w:rPr>
          <w:rFonts w:eastAsia="Calibri"/>
          <w:i/>
          <w:sz w:val="24"/>
          <w:szCs w:val="24"/>
        </w:rPr>
        <w:t xml:space="preserve"> </w:t>
      </w:r>
      <w:r w:rsidRPr="00B20BE9">
        <w:rPr>
          <w:rFonts w:eastAsia="Calibri"/>
          <w:i/>
          <w:sz w:val="24"/>
          <w:szCs w:val="24"/>
        </w:rPr>
        <w:t>U</w:t>
      </w:r>
      <w:r w:rsidR="008F7FF9" w:rsidRPr="00B20BE9">
        <w:rPr>
          <w:rFonts w:eastAsia="Calibri"/>
          <w:i/>
          <w:sz w:val="24"/>
          <w:szCs w:val="24"/>
        </w:rPr>
        <w:t>til</w:t>
      </w:r>
      <w:r w:rsidRPr="00B20BE9">
        <w:rPr>
          <w:rFonts w:eastAsia="Calibri"/>
          <w:i/>
          <w:sz w:val="24"/>
          <w:szCs w:val="24"/>
        </w:rPr>
        <w:t>.</w:t>
      </w:r>
      <w:r w:rsidR="008F7FF9" w:rsidRPr="00B20BE9">
        <w:rPr>
          <w:rFonts w:eastAsia="Calibri"/>
          <w:i/>
          <w:sz w:val="24"/>
          <w:szCs w:val="24"/>
        </w:rPr>
        <w:t xml:space="preserve"> </w:t>
      </w:r>
      <w:r w:rsidRPr="00B20BE9">
        <w:rPr>
          <w:rFonts w:eastAsia="Calibri"/>
          <w:i/>
          <w:sz w:val="24"/>
          <w:szCs w:val="24"/>
        </w:rPr>
        <w:t>C</w:t>
      </w:r>
      <w:r w:rsidR="008F7FF9" w:rsidRPr="00B20BE9">
        <w:rPr>
          <w:rFonts w:eastAsia="Calibri"/>
          <w:i/>
          <w:sz w:val="24"/>
          <w:szCs w:val="24"/>
        </w:rPr>
        <w:t>omm’n</w:t>
      </w:r>
      <w:r w:rsidRPr="00B20BE9">
        <w:rPr>
          <w:rFonts w:eastAsia="Calibri"/>
          <w:sz w:val="24"/>
          <w:szCs w:val="24"/>
        </w:rPr>
        <w:t>, 382 Pa. 622, 631, 116 A.2d 738, 744 (1955)</w:t>
      </w:r>
      <w:r w:rsidR="00F46B36" w:rsidRPr="00B20BE9">
        <w:rPr>
          <w:rFonts w:eastAsia="Calibri"/>
          <w:sz w:val="24"/>
          <w:szCs w:val="24"/>
        </w:rPr>
        <w:t xml:space="preserve"> (</w:t>
      </w:r>
      <w:r w:rsidR="00F46B36" w:rsidRPr="00B20BE9">
        <w:rPr>
          <w:rFonts w:eastAsia="Calibri"/>
          <w:i/>
          <w:sz w:val="24"/>
          <w:szCs w:val="24"/>
        </w:rPr>
        <w:t>Berner</w:t>
      </w:r>
      <w:r w:rsidR="00F46B36" w:rsidRPr="00B20BE9">
        <w:rPr>
          <w:rFonts w:eastAsia="Calibri"/>
          <w:sz w:val="24"/>
          <w:szCs w:val="24"/>
        </w:rPr>
        <w:t>)</w:t>
      </w:r>
      <w:r w:rsidRPr="00B20BE9">
        <w:rPr>
          <w:rFonts w:eastAsia="Calibri"/>
          <w:sz w:val="24"/>
          <w:szCs w:val="24"/>
        </w:rPr>
        <w:t>:</w:t>
      </w:r>
    </w:p>
    <w:p w:rsidR="00C04F17" w:rsidRPr="00B20BE9" w:rsidRDefault="00C04F17" w:rsidP="00C04F17">
      <w:pPr>
        <w:rPr>
          <w:rFonts w:eastAsia="Calibri"/>
          <w:sz w:val="24"/>
          <w:szCs w:val="24"/>
        </w:rPr>
      </w:pPr>
    </w:p>
    <w:p w:rsidR="00C04F17" w:rsidRPr="00B20BE9" w:rsidRDefault="00C04F17" w:rsidP="00C04F17">
      <w:pPr>
        <w:spacing w:line="240" w:lineRule="auto"/>
        <w:ind w:left="1440" w:right="1440"/>
        <w:rPr>
          <w:rFonts w:eastAsia="Calibri"/>
          <w:sz w:val="24"/>
          <w:szCs w:val="24"/>
        </w:rPr>
      </w:pPr>
      <w:r w:rsidRPr="00B20BE9">
        <w:rPr>
          <w:rFonts w:eastAsia="Calibri"/>
          <w:sz w:val="24"/>
          <w:szCs w:val="24"/>
        </w:rPr>
        <w:t>[T]he appellants did not have the burden of proving that the plant additions were improper, unnecessary or too costly; on the contrary, that burden is, by statute, on the utility to demonstrate the reasonable necessity and cost of the installations . . .   .</w:t>
      </w:r>
    </w:p>
    <w:p w:rsidR="00C04F17" w:rsidRPr="00B20BE9" w:rsidRDefault="00C04F17" w:rsidP="00C04F17">
      <w:pPr>
        <w:rPr>
          <w:rFonts w:eastAsia="Calibri"/>
          <w:sz w:val="24"/>
          <w:szCs w:val="24"/>
        </w:rPr>
      </w:pPr>
    </w:p>
    <w:p w:rsidR="00C04F17" w:rsidRPr="00B20BE9" w:rsidRDefault="00C04F17" w:rsidP="00C04F17">
      <w:pPr>
        <w:rPr>
          <w:rFonts w:eastAsia="Calibri"/>
          <w:sz w:val="24"/>
          <w:szCs w:val="24"/>
        </w:rPr>
      </w:pPr>
      <w:r w:rsidRPr="00B20BE9">
        <w:rPr>
          <w:rFonts w:eastAsia="Calibri"/>
          <w:sz w:val="24"/>
          <w:szCs w:val="24"/>
        </w:rPr>
        <w:t>This does not mean, however, that in proving its case, a public utility must affirmatively defend claims that no party has questioned.  As held by the Pennsylvania Commonwealth Court:</w:t>
      </w:r>
    </w:p>
    <w:p w:rsidR="00C04F17" w:rsidRPr="00B20BE9" w:rsidRDefault="00C04F17" w:rsidP="00C04F17">
      <w:pPr>
        <w:rPr>
          <w:rFonts w:eastAsia="Calibri"/>
          <w:sz w:val="24"/>
          <w:szCs w:val="24"/>
        </w:rPr>
      </w:pPr>
    </w:p>
    <w:p w:rsidR="00C04F17" w:rsidRPr="00B20BE9" w:rsidRDefault="00C04F17" w:rsidP="00C04F17">
      <w:pPr>
        <w:spacing w:line="240" w:lineRule="auto"/>
        <w:ind w:left="1440" w:right="1440"/>
        <w:rPr>
          <w:rFonts w:eastAsia="Calibri"/>
          <w:sz w:val="24"/>
          <w:szCs w:val="24"/>
        </w:rPr>
      </w:pPr>
      <w:r w:rsidRPr="00B20BE9">
        <w:rPr>
          <w:rFonts w:eastAsia="Calibri"/>
          <w:sz w:val="24"/>
          <w:szCs w:val="24"/>
        </w:rPr>
        <w:t>While it is axiomatic that a utility has the burden of proving the justness and reasonableness of its proposed rates, it cannot be called upon to account for every action absent prior notice that such action is to be challenged.</w:t>
      </w:r>
    </w:p>
    <w:p w:rsidR="00C04F17" w:rsidRPr="00B20BE9" w:rsidRDefault="00C04F17" w:rsidP="00473403">
      <w:pPr>
        <w:spacing w:line="240" w:lineRule="auto"/>
        <w:rPr>
          <w:rFonts w:eastAsia="Calibri"/>
          <w:sz w:val="24"/>
          <w:szCs w:val="24"/>
        </w:rPr>
      </w:pPr>
    </w:p>
    <w:p w:rsidR="00C04F17" w:rsidRPr="00B20BE9" w:rsidRDefault="00C04F17" w:rsidP="00C04F17">
      <w:pPr>
        <w:rPr>
          <w:rFonts w:eastAsia="Calibri"/>
          <w:sz w:val="24"/>
          <w:szCs w:val="24"/>
        </w:rPr>
      </w:pPr>
      <w:r w:rsidRPr="00B20BE9">
        <w:rPr>
          <w:rFonts w:eastAsia="Calibri"/>
          <w:i/>
          <w:sz w:val="24"/>
          <w:szCs w:val="24"/>
        </w:rPr>
        <w:t>Allegheny Center Assocs. v. Pa. P</w:t>
      </w:r>
      <w:r w:rsidR="00BC0602" w:rsidRPr="00B20BE9">
        <w:rPr>
          <w:rFonts w:eastAsia="Calibri"/>
          <w:i/>
          <w:sz w:val="24"/>
          <w:szCs w:val="24"/>
        </w:rPr>
        <w:t>ub</w:t>
      </w:r>
      <w:r w:rsidRPr="00B20BE9">
        <w:rPr>
          <w:rFonts w:eastAsia="Calibri"/>
          <w:i/>
          <w:sz w:val="24"/>
          <w:szCs w:val="24"/>
        </w:rPr>
        <w:t>.</w:t>
      </w:r>
      <w:r w:rsidR="00BC0602" w:rsidRPr="00B20BE9">
        <w:rPr>
          <w:rFonts w:eastAsia="Calibri"/>
          <w:i/>
          <w:sz w:val="24"/>
          <w:szCs w:val="24"/>
        </w:rPr>
        <w:t xml:space="preserve"> </w:t>
      </w:r>
      <w:r w:rsidRPr="00B20BE9">
        <w:rPr>
          <w:rFonts w:eastAsia="Calibri"/>
          <w:i/>
          <w:sz w:val="24"/>
          <w:szCs w:val="24"/>
        </w:rPr>
        <w:t>U</w:t>
      </w:r>
      <w:r w:rsidR="00BC0602" w:rsidRPr="00B20BE9">
        <w:rPr>
          <w:rFonts w:eastAsia="Calibri"/>
          <w:i/>
          <w:sz w:val="24"/>
          <w:szCs w:val="24"/>
        </w:rPr>
        <w:t>til</w:t>
      </w:r>
      <w:r w:rsidRPr="00B20BE9">
        <w:rPr>
          <w:rFonts w:eastAsia="Calibri"/>
          <w:i/>
          <w:sz w:val="24"/>
          <w:szCs w:val="24"/>
        </w:rPr>
        <w:t>.</w:t>
      </w:r>
      <w:r w:rsidR="00BC0602" w:rsidRPr="00B20BE9">
        <w:rPr>
          <w:rFonts w:eastAsia="Calibri"/>
          <w:i/>
          <w:sz w:val="24"/>
          <w:szCs w:val="24"/>
        </w:rPr>
        <w:t xml:space="preserve"> </w:t>
      </w:r>
      <w:r w:rsidRPr="00B20BE9">
        <w:rPr>
          <w:rFonts w:eastAsia="Calibri"/>
          <w:i/>
          <w:sz w:val="24"/>
          <w:szCs w:val="24"/>
        </w:rPr>
        <w:t>C</w:t>
      </w:r>
      <w:r w:rsidR="00BC0602" w:rsidRPr="00B20BE9">
        <w:rPr>
          <w:rFonts w:eastAsia="Calibri"/>
          <w:i/>
          <w:sz w:val="24"/>
          <w:szCs w:val="24"/>
        </w:rPr>
        <w:t>omm’n</w:t>
      </w:r>
      <w:r w:rsidRPr="00B20BE9">
        <w:rPr>
          <w:rFonts w:eastAsia="Calibri"/>
          <w:sz w:val="24"/>
          <w:szCs w:val="24"/>
        </w:rPr>
        <w:t xml:space="preserve">, 131 Pa. </w:t>
      </w:r>
      <w:r w:rsidR="00473403">
        <w:rPr>
          <w:rFonts w:eastAsia="Calibri"/>
          <w:sz w:val="24"/>
          <w:szCs w:val="24"/>
        </w:rPr>
        <w:t>Commw. 352, 359, 570 A.2d 149, </w:t>
      </w:r>
      <w:r w:rsidRPr="00B20BE9">
        <w:rPr>
          <w:rFonts w:eastAsia="Calibri"/>
          <w:sz w:val="24"/>
          <w:szCs w:val="24"/>
        </w:rPr>
        <w:t xml:space="preserve">53 (1990); </w:t>
      </w:r>
      <w:r w:rsidRPr="00B20BE9">
        <w:rPr>
          <w:rFonts w:eastAsia="Calibri"/>
          <w:sz w:val="24"/>
          <w:szCs w:val="24"/>
          <w:u w:val="single"/>
        </w:rPr>
        <w:t>see also</w:t>
      </w:r>
      <w:r w:rsidRPr="00B20BE9">
        <w:rPr>
          <w:rFonts w:eastAsia="Calibri"/>
          <w:sz w:val="24"/>
          <w:szCs w:val="24"/>
        </w:rPr>
        <w:t xml:space="preserve">, </w:t>
      </w:r>
      <w:r w:rsidRPr="00B20BE9">
        <w:rPr>
          <w:rFonts w:eastAsia="Calibri"/>
          <w:i/>
          <w:sz w:val="24"/>
          <w:szCs w:val="24"/>
        </w:rPr>
        <w:t>Pa. P</w:t>
      </w:r>
      <w:r w:rsidR="00BC0602" w:rsidRPr="00B20BE9">
        <w:rPr>
          <w:rFonts w:eastAsia="Calibri"/>
          <w:i/>
          <w:sz w:val="24"/>
          <w:szCs w:val="24"/>
        </w:rPr>
        <w:t>ub</w:t>
      </w:r>
      <w:r w:rsidRPr="00B20BE9">
        <w:rPr>
          <w:rFonts w:eastAsia="Calibri"/>
          <w:i/>
          <w:sz w:val="24"/>
          <w:szCs w:val="24"/>
        </w:rPr>
        <w:t>.</w:t>
      </w:r>
      <w:r w:rsidR="00BC0602" w:rsidRPr="00B20BE9">
        <w:rPr>
          <w:rFonts w:eastAsia="Calibri"/>
          <w:i/>
          <w:sz w:val="24"/>
          <w:szCs w:val="24"/>
        </w:rPr>
        <w:t xml:space="preserve"> </w:t>
      </w:r>
      <w:r w:rsidRPr="00B20BE9">
        <w:rPr>
          <w:rFonts w:eastAsia="Calibri"/>
          <w:i/>
          <w:sz w:val="24"/>
          <w:szCs w:val="24"/>
        </w:rPr>
        <w:t>U</w:t>
      </w:r>
      <w:r w:rsidR="00BC0602" w:rsidRPr="00B20BE9">
        <w:rPr>
          <w:rFonts w:eastAsia="Calibri"/>
          <w:i/>
          <w:sz w:val="24"/>
          <w:szCs w:val="24"/>
        </w:rPr>
        <w:t>til</w:t>
      </w:r>
      <w:r w:rsidRPr="00B20BE9">
        <w:rPr>
          <w:rFonts w:eastAsia="Calibri"/>
          <w:i/>
          <w:sz w:val="24"/>
          <w:szCs w:val="24"/>
        </w:rPr>
        <w:t>.</w:t>
      </w:r>
      <w:r w:rsidR="00BC0602" w:rsidRPr="00B20BE9">
        <w:rPr>
          <w:rFonts w:eastAsia="Calibri"/>
          <w:i/>
          <w:sz w:val="24"/>
          <w:szCs w:val="24"/>
        </w:rPr>
        <w:t xml:space="preserve"> </w:t>
      </w:r>
      <w:r w:rsidRPr="00B20BE9">
        <w:rPr>
          <w:rFonts w:eastAsia="Calibri"/>
          <w:i/>
          <w:sz w:val="24"/>
          <w:szCs w:val="24"/>
        </w:rPr>
        <w:t>C</w:t>
      </w:r>
      <w:r w:rsidR="00BC0602" w:rsidRPr="00B20BE9">
        <w:rPr>
          <w:rFonts w:eastAsia="Calibri"/>
          <w:i/>
          <w:sz w:val="24"/>
          <w:szCs w:val="24"/>
        </w:rPr>
        <w:t xml:space="preserve">omm’n </w:t>
      </w:r>
      <w:r w:rsidRPr="00B20BE9">
        <w:rPr>
          <w:rFonts w:eastAsia="Calibri"/>
          <w:i/>
          <w:sz w:val="24"/>
          <w:szCs w:val="24"/>
        </w:rPr>
        <w:t>v. Equitable Gas Co.</w:t>
      </w:r>
      <w:r w:rsidRPr="00B20BE9">
        <w:rPr>
          <w:rFonts w:eastAsia="Calibri"/>
          <w:sz w:val="24"/>
          <w:szCs w:val="24"/>
        </w:rPr>
        <w:t>, 73 P</w:t>
      </w:r>
      <w:r w:rsidR="00BC0602" w:rsidRPr="00B20BE9">
        <w:rPr>
          <w:rFonts w:eastAsia="Calibri"/>
          <w:sz w:val="24"/>
          <w:szCs w:val="24"/>
        </w:rPr>
        <w:t>a.</w:t>
      </w:r>
      <w:r w:rsidR="00473403">
        <w:rPr>
          <w:rFonts w:eastAsia="Calibri"/>
          <w:sz w:val="24"/>
          <w:szCs w:val="24"/>
        </w:rPr>
        <w:t xml:space="preserve"> PUC 310, </w:t>
      </w:r>
      <w:r w:rsidRPr="00B20BE9">
        <w:rPr>
          <w:rFonts w:eastAsia="Calibri"/>
          <w:sz w:val="24"/>
          <w:szCs w:val="24"/>
        </w:rPr>
        <w:t>359-60 (19</w:t>
      </w:r>
      <w:r w:rsidR="00762C00">
        <w:rPr>
          <w:rFonts w:eastAsia="Calibri"/>
          <w:sz w:val="24"/>
          <w:szCs w:val="24"/>
        </w:rPr>
        <w:t>90).</w:t>
      </w:r>
    </w:p>
    <w:p w:rsidR="003974E6" w:rsidRPr="00B20BE9" w:rsidRDefault="003974E6" w:rsidP="00C04F17">
      <w:pPr>
        <w:rPr>
          <w:rFonts w:eastAsia="Calibri"/>
          <w:sz w:val="24"/>
          <w:szCs w:val="24"/>
        </w:rPr>
      </w:pPr>
    </w:p>
    <w:p w:rsidR="003974E6" w:rsidRPr="00B20BE9" w:rsidRDefault="003974E6" w:rsidP="00C04F17">
      <w:pPr>
        <w:rPr>
          <w:rFonts w:eastAsia="Calibri"/>
          <w:sz w:val="24"/>
          <w:szCs w:val="24"/>
        </w:rPr>
      </w:pPr>
      <w:r w:rsidRPr="00B20BE9">
        <w:rPr>
          <w:rFonts w:eastAsia="Calibri"/>
          <w:sz w:val="24"/>
          <w:szCs w:val="24"/>
        </w:rPr>
        <w:tab/>
      </w:r>
      <w:r w:rsidRPr="00B20BE9">
        <w:rPr>
          <w:rFonts w:eastAsia="Calibri"/>
          <w:sz w:val="24"/>
          <w:szCs w:val="24"/>
        </w:rPr>
        <w:tab/>
        <w:t>In the final analysis, a utility’s rates must be just and reasonable, as required by Section 1301 of the Code, 66 Pa.C.S. § 1301, and it is PPL’s burden in this proceeding to demonstrate that, with respect to its DSIC.</w:t>
      </w:r>
    </w:p>
    <w:p w:rsidR="00D42813" w:rsidRPr="00B20BE9" w:rsidRDefault="00D42813" w:rsidP="00C04F17">
      <w:pPr>
        <w:rPr>
          <w:rFonts w:eastAsia="Calibri"/>
          <w:sz w:val="24"/>
          <w:szCs w:val="24"/>
        </w:rPr>
      </w:pPr>
    </w:p>
    <w:p w:rsidR="00D42813" w:rsidRPr="00B20BE9" w:rsidRDefault="00D42813" w:rsidP="00D42813">
      <w:pPr>
        <w:jc w:val="center"/>
        <w:rPr>
          <w:rFonts w:eastAsia="Calibri"/>
          <w:sz w:val="24"/>
          <w:szCs w:val="24"/>
          <w:u w:val="single"/>
        </w:rPr>
      </w:pPr>
      <w:r w:rsidRPr="00B20BE9">
        <w:rPr>
          <w:rFonts w:eastAsia="Calibri"/>
          <w:sz w:val="24"/>
          <w:szCs w:val="24"/>
        </w:rPr>
        <w:t>I</w:t>
      </w:r>
      <w:r w:rsidR="001931DC" w:rsidRPr="00B20BE9">
        <w:rPr>
          <w:rFonts w:eastAsia="Calibri"/>
          <w:sz w:val="24"/>
          <w:szCs w:val="24"/>
        </w:rPr>
        <w:t>V</w:t>
      </w:r>
      <w:r w:rsidRPr="00B20BE9">
        <w:rPr>
          <w:rFonts w:eastAsia="Calibri"/>
          <w:sz w:val="24"/>
          <w:szCs w:val="24"/>
        </w:rPr>
        <w:t>.</w:t>
      </w:r>
      <w:r w:rsidRPr="00B20BE9">
        <w:rPr>
          <w:rFonts w:eastAsia="Calibri"/>
          <w:sz w:val="24"/>
          <w:szCs w:val="24"/>
        </w:rPr>
        <w:tab/>
      </w:r>
      <w:r w:rsidRPr="00B20BE9">
        <w:rPr>
          <w:rFonts w:eastAsia="Calibri"/>
          <w:sz w:val="24"/>
          <w:szCs w:val="24"/>
          <w:u w:val="single"/>
        </w:rPr>
        <w:t>DISCUSSION</w:t>
      </w:r>
      <w:r w:rsidR="005351A1">
        <w:rPr>
          <w:rFonts w:eastAsia="Calibri"/>
          <w:sz w:val="24"/>
          <w:szCs w:val="24"/>
          <w:u w:val="single"/>
        </w:rPr>
        <w:fldChar w:fldCharType="begin"/>
      </w:r>
      <w:r w:rsidR="005351A1">
        <w:instrText xml:space="preserve"> TC "</w:instrText>
      </w:r>
      <w:bookmarkStart w:id="3" w:name="_Toc394309032"/>
      <w:r w:rsidR="005351A1" w:rsidRPr="008742F7">
        <w:rPr>
          <w:rFonts w:eastAsia="Calibri"/>
          <w:sz w:val="24"/>
          <w:szCs w:val="24"/>
        </w:rPr>
        <w:instrText>IV.</w:instrText>
      </w:r>
      <w:r w:rsidR="005351A1" w:rsidRPr="008742F7">
        <w:rPr>
          <w:rFonts w:eastAsia="Calibri"/>
          <w:sz w:val="24"/>
          <w:szCs w:val="24"/>
        </w:rPr>
        <w:tab/>
      </w:r>
      <w:r w:rsidR="005351A1" w:rsidRPr="008742F7">
        <w:rPr>
          <w:rFonts w:eastAsia="Calibri"/>
          <w:sz w:val="24"/>
          <w:szCs w:val="24"/>
          <w:u w:val="single"/>
        </w:rPr>
        <w:instrText>DISCUSSION</w:instrText>
      </w:r>
      <w:bookmarkEnd w:id="3"/>
      <w:r w:rsidR="005351A1">
        <w:instrText xml:space="preserve">" \f C \l "1" </w:instrText>
      </w:r>
      <w:r w:rsidR="005351A1">
        <w:rPr>
          <w:rFonts w:eastAsia="Calibri"/>
          <w:sz w:val="24"/>
          <w:szCs w:val="24"/>
          <w:u w:val="single"/>
        </w:rPr>
        <w:fldChar w:fldCharType="end"/>
      </w:r>
    </w:p>
    <w:p w:rsidR="00A34ADF" w:rsidRPr="00B20BE9" w:rsidRDefault="00A34ADF" w:rsidP="00D42813">
      <w:pPr>
        <w:jc w:val="center"/>
        <w:rPr>
          <w:rFonts w:eastAsia="Calibri"/>
          <w:sz w:val="24"/>
          <w:szCs w:val="24"/>
          <w:u w:val="single"/>
        </w:rPr>
      </w:pPr>
    </w:p>
    <w:p w:rsidR="00EC536F" w:rsidRPr="00B20BE9" w:rsidRDefault="00156668" w:rsidP="00084772">
      <w:pPr>
        <w:rPr>
          <w:sz w:val="24"/>
          <w:szCs w:val="24"/>
        </w:rPr>
      </w:pPr>
      <w:r w:rsidRPr="00B20BE9">
        <w:rPr>
          <w:rFonts w:eastAsia="Calibri"/>
          <w:sz w:val="24"/>
          <w:szCs w:val="24"/>
        </w:rPr>
        <w:tab/>
      </w:r>
      <w:r w:rsidRPr="00B20BE9">
        <w:rPr>
          <w:rFonts w:eastAsia="Calibri"/>
          <w:sz w:val="24"/>
          <w:szCs w:val="24"/>
        </w:rPr>
        <w:tab/>
        <w:t>Two parties to this proceeding, OCA and PPLICA, have raised issues with respect to PPL’s DSIC.  OCA objected to the Company’s treatment of ADIT and state income taxes in the DSIC calculation.  PPLICA opposed collection of the DSIC from</w:t>
      </w:r>
      <w:r w:rsidRPr="00B20BE9">
        <w:rPr>
          <w:sz w:val="24"/>
          <w:szCs w:val="24"/>
        </w:rPr>
        <w:t xml:space="preserve"> Rate Schedule LP-5 customers </w:t>
      </w:r>
      <w:r w:rsidR="00EC536F" w:rsidRPr="00B20BE9">
        <w:rPr>
          <w:sz w:val="24"/>
          <w:szCs w:val="24"/>
        </w:rPr>
        <w:t xml:space="preserve">which take </w:t>
      </w:r>
      <w:r w:rsidRPr="00B20BE9">
        <w:rPr>
          <w:sz w:val="24"/>
          <w:szCs w:val="24"/>
        </w:rPr>
        <w:t>service at transmission voltage rates, and also opposed inclusion of Ac</w:t>
      </w:r>
      <w:r w:rsidR="005F600F">
        <w:rPr>
          <w:sz w:val="24"/>
          <w:szCs w:val="24"/>
        </w:rPr>
        <w:t>t </w:t>
      </w:r>
      <w:r w:rsidR="000F3BE9" w:rsidRPr="00B20BE9">
        <w:rPr>
          <w:sz w:val="24"/>
          <w:szCs w:val="24"/>
        </w:rPr>
        <w:t xml:space="preserve">129 Compliance Rider (ACR) and </w:t>
      </w:r>
      <w:r w:rsidRPr="00B20BE9">
        <w:rPr>
          <w:sz w:val="24"/>
          <w:szCs w:val="24"/>
        </w:rPr>
        <w:t>Comp</w:t>
      </w:r>
      <w:r w:rsidR="00C465B1" w:rsidRPr="00B20BE9">
        <w:rPr>
          <w:sz w:val="24"/>
          <w:szCs w:val="24"/>
        </w:rPr>
        <w:t>etitive Enhancemen</w:t>
      </w:r>
      <w:r w:rsidR="000F3BE9" w:rsidRPr="00B20BE9">
        <w:rPr>
          <w:sz w:val="24"/>
          <w:szCs w:val="24"/>
        </w:rPr>
        <w:t xml:space="preserve">t Rider (CER) </w:t>
      </w:r>
      <w:r w:rsidR="00C465B1" w:rsidRPr="00B20BE9">
        <w:rPr>
          <w:sz w:val="24"/>
          <w:szCs w:val="24"/>
        </w:rPr>
        <w:t xml:space="preserve">associated </w:t>
      </w:r>
      <w:r w:rsidRPr="00B20BE9">
        <w:rPr>
          <w:sz w:val="24"/>
          <w:szCs w:val="24"/>
        </w:rPr>
        <w:t>revenues in the DSIC calculation.</w:t>
      </w:r>
      <w:r w:rsidR="00EC536F" w:rsidRPr="00B20BE9">
        <w:rPr>
          <w:sz w:val="24"/>
          <w:szCs w:val="24"/>
        </w:rPr>
        <w:t xml:space="preserve">  These issues will be addressed separately below.</w:t>
      </w:r>
    </w:p>
    <w:p w:rsidR="00EC536F" w:rsidRPr="00B20BE9" w:rsidRDefault="00EC536F" w:rsidP="00084772">
      <w:pPr>
        <w:rPr>
          <w:sz w:val="24"/>
          <w:szCs w:val="24"/>
        </w:rPr>
      </w:pPr>
    </w:p>
    <w:p w:rsidR="0059457D" w:rsidRDefault="0059457D" w:rsidP="00084772">
      <w:pPr>
        <w:rPr>
          <w:sz w:val="24"/>
          <w:szCs w:val="24"/>
        </w:rPr>
      </w:pPr>
      <w:r>
        <w:rPr>
          <w:sz w:val="24"/>
          <w:szCs w:val="24"/>
        </w:rPr>
        <w:br w:type="page"/>
      </w:r>
    </w:p>
    <w:p w:rsidR="00EC536F" w:rsidRPr="00B20BE9" w:rsidRDefault="00EC536F" w:rsidP="00084772">
      <w:pPr>
        <w:rPr>
          <w:sz w:val="24"/>
          <w:szCs w:val="24"/>
          <w:u w:val="single"/>
        </w:rPr>
      </w:pPr>
      <w:r w:rsidRPr="00B20BE9">
        <w:rPr>
          <w:sz w:val="24"/>
          <w:szCs w:val="24"/>
        </w:rPr>
        <w:t>A.</w:t>
      </w:r>
      <w:r w:rsidRPr="00B20BE9">
        <w:rPr>
          <w:sz w:val="24"/>
          <w:szCs w:val="24"/>
        </w:rPr>
        <w:tab/>
      </w:r>
      <w:r w:rsidRPr="00B20BE9">
        <w:rPr>
          <w:sz w:val="24"/>
          <w:szCs w:val="24"/>
          <w:u w:val="single"/>
        </w:rPr>
        <w:t>DSIC Treatment of ADIT</w:t>
      </w:r>
      <w:r w:rsidR="005351A1">
        <w:rPr>
          <w:sz w:val="24"/>
          <w:szCs w:val="24"/>
          <w:u w:val="single"/>
        </w:rPr>
        <w:fldChar w:fldCharType="begin"/>
      </w:r>
      <w:r w:rsidR="005351A1">
        <w:instrText xml:space="preserve"> TC "</w:instrText>
      </w:r>
      <w:bookmarkStart w:id="4" w:name="_Toc394309033"/>
      <w:r w:rsidR="005351A1" w:rsidRPr="008742F7">
        <w:rPr>
          <w:sz w:val="24"/>
          <w:szCs w:val="24"/>
        </w:rPr>
        <w:instrText>A.</w:instrText>
      </w:r>
      <w:r w:rsidR="005351A1" w:rsidRPr="008742F7">
        <w:rPr>
          <w:sz w:val="24"/>
          <w:szCs w:val="24"/>
        </w:rPr>
        <w:tab/>
      </w:r>
      <w:r w:rsidR="005351A1" w:rsidRPr="008742F7">
        <w:rPr>
          <w:sz w:val="24"/>
          <w:szCs w:val="24"/>
          <w:u w:val="single"/>
        </w:rPr>
        <w:instrText>DSIC Treatment of ADIT</w:instrText>
      </w:r>
      <w:bookmarkEnd w:id="4"/>
      <w:r w:rsidR="005351A1">
        <w:instrText xml:space="preserve">" \f C \l "2" </w:instrText>
      </w:r>
      <w:r w:rsidR="005351A1">
        <w:rPr>
          <w:sz w:val="24"/>
          <w:szCs w:val="24"/>
          <w:u w:val="single"/>
        </w:rPr>
        <w:fldChar w:fldCharType="end"/>
      </w:r>
    </w:p>
    <w:p w:rsidR="00EC536F" w:rsidRPr="00B20BE9" w:rsidRDefault="00EC536F" w:rsidP="00084772">
      <w:pPr>
        <w:rPr>
          <w:sz w:val="24"/>
          <w:szCs w:val="24"/>
          <w:u w:val="single"/>
        </w:rPr>
      </w:pPr>
    </w:p>
    <w:p w:rsidR="00EC536F" w:rsidRPr="00B20BE9" w:rsidRDefault="00EC536F" w:rsidP="005351A1">
      <w:pPr>
        <w:ind w:left="720"/>
        <w:rPr>
          <w:sz w:val="24"/>
          <w:szCs w:val="24"/>
          <w:u w:val="single"/>
        </w:rPr>
      </w:pPr>
      <w:r w:rsidRPr="00B20BE9">
        <w:rPr>
          <w:sz w:val="24"/>
          <w:szCs w:val="24"/>
        </w:rPr>
        <w:t>1.</w:t>
      </w:r>
      <w:r w:rsidRPr="00B20BE9">
        <w:rPr>
          <w:sz w:val="24"/>
          <w:szCs w:val="24"/>
        </w:rPr>
        <w:tab/>
      </w:r>
      <w:r w:rsidRPr="00B20BE9">
        <w:rPr>
          <w:sz w:val="24"/>
          <w:szCs w:val="24"/>
          <w:u w:val="single"/>
        </w:rPr>
        <w:t>OCA Position</w:t>
      </w:r>
      <w:r w:rsidR="005351A1">
        <w:rPr>
          <w:sz w:val="24"/>
          <w:szCs w:val="24"/>
          <w:u w:val="single"/>
        </w:rPr>
        <w:fldChar w:fldCharType="begin"/>
      </w:r>
      <w:r w:rsidR="005351A1">
        <w:instrText xml:space="preserve"> TC "</w:instrText>
      </w:r>
      <w:bookmarkStart w:id="5" w:name="_Toc394309034"/>
      <w:r w:rsidR="005351A1" w:rsidRPr="008742F7">
        <w:rPr>
          <w:sz w:val="24"/>
          <w:szCs w:val="24"/>
        </w:rPr>
        <w:instrText>1.</w:instrText>
      </w:r>
      <w:r w:rsidR="005351A1" w:rsidRPr="008742F7">
        <w:rPr>
          <w:sz w:val="24"/>
          <w:szCs w:val="24"/>
        </w:rPr>
        <w:tab/>
      </w:r>
      <w:r w:rsidR="005351A1" w:rsidRPr="008742F7">
        <w:rPr>
          <w:sz w:val="24"/>
          <w:szCs w:val="24"/>
          <w:u w:val="single"/>
        </w:rPr>
        <w:instrText>OCA Position</w:instrText>
      </w:r>
      <w:bookmarkEnd w:id="5"/>
      <w:r w:rsidR="005351A1">
        <w:instrText xml:space="preserve">" \f C \l "3" </w:instrText>
      </w:r>
      <w:r w:rsidR="005351A1">
        <w:rPr>
          <w:sz w:val="24"/>
          <w:szCs w:val="24"/>
          <w:u w:val="single"/>
        </w:rPr>
        <w:fldChar w:fldCharType="end"/>
      </w:r>
    </w:p>
    <w:p w:rsidR="00EC536F" w:rsidRPr="00B20BE9" w:rsidRDefault="00EC536F" w:rsidP="00084772">
      <w:pPr>
        <w:rPr>
          <w:sz w:val="24"/>
          <w:szCs w:val="24"/>
          <w:u w:val="single"/>
        </w:rPr>
      </w:pPr>
    </w:p>
    <w:p w:rsidR="00412A5F" w:rsidRPr="00B20BE9" w:rsidRDefault="00EC536F" w:rsidP="00084772">
      <w:pPr>
        <w:rPr>
          <w:sz w:val="24"/>
          <w:szCs w:val="24"/>
        </w:rPr>
      </w:pPr>
      <w:r w:rsidRPr="00B20BE9">
        <w:rPr>
          <w:sz w:val="24"/>
          <w:szCs w:val="24"/>
        </w:rPr>
        <w:tab/>
      </w:r>
      <w:r w:rsidRPr="00B20BE9">
        <w:rPr>
          <w:sz w:val="24"/>
          <w:szCs w:val="24"/>
        </w:rPr>
        <w:tab/>
        <w:t>In its Main Brief</w:t>
      </w:r>
      <w:r w:rsidR="000206BB" w:rsidRPr="00B20BE9">
        <w:rPr>
          <w:sz w:val="24"/>
          <w:szCs w:val="24"/>
        </w:rPr>
        <w:t xml:space="preserve"> (M.B.)</w:t>
      </w:r>
      <w:r w:rsidRPr="00B20BE9">
        <w:rPr>
          <w:sz w:val="24"/>
          <w:szCs w:val="24"/>
        </w:rPr>
        <w:t xml:space="preserve">, </w:t>
      </w:r>
      <w:r w:rsidR="00E74322" w:rsidRPr="00B20BE9">
        <w:rPr>
          <w:sz w:val="24"/>
          <w:szCs w:val="24"/>
        </w:rPr>
        <w:t>OC</w:t>
      </w:r>
      <w:r w:rsidR="00E331A2" w:rsidRPr="00B20BE9">
        <w:rPr>
          <w:sz w:val="24"/>
          <w:szCs w:val="24"/>
        </w:rPr>
        <w:t xml:space="preserve">A </w:t>
      </w:r>
      <w:r w:rsidR="004A1BBF" w:rsidRPr="00B20BE9">
        <w:rPr>
          <w:sz w:val="24"/>
          <w:szCs w:val="24"/>
        </w:rPr>
        <w:t>took issue with</w:t>
      </w:r>
      <w:r w:rsidR="0032552B" w:rsidRPr="00B20BE9">
        <w:rPr>
          <w:sz w:val="24"/>
          <w:szCs w:val="24"/>
        </w:rPr>
        <w:t xml:space="preserve"> PPL’</w:t>
      </w:r>
      <w:r w:rsidR="00E74322" w:rsidRPr="00B20BE9">
        <w:rPr>
          <w:sz w:val="24"/>
          <w:szCs w:val="24"/>
        </w:rPr>
        <w:t xml:space="preserve">s DSIC, which was allowed to go into effect subject to refund, </w:t>
      </w:r>
      <w:r w:rsidR="004A1BBF" w:rsidRPr="00B20BE9">
        <w:rPr>
          <w:sz w:val="24"/>
          <w:szCs w:val="24"/>
        </w:rPr>
        <w:t xml:space="preserve">as it </w:t>
      </w:r>
      <w:r w:rsidR="00E74322" w:rsidRPr="00B20BE9">
        <w:rPr>
          <w:sz w:val="24"/>
          <w:szCs w:val="24"/>
        </w:rPr>
        <w:t>does not deduct ADIT associated</w:t>
      </w:r>
      <w:r w:rsidR="00804494" w:rsidRPr="00B20BE9">
        <w:rPr>
          <w:sz w:val="24"/>
          <w:szCs w:val="24"/>
        </w:rPr>
        <w:t xml:space="preserve"> with DSIC-eligible plant as a rate base </w:t>
      </w:r>
      <w:r w:rsidR="00E74322" w:rsidRPr="00B20BE9">
        <w:rPr>
          <w:sz w:val="24"/>
          <w:szCs w:val="24"/>
        </w:rPr>
        <w:t xml:space="preserve">offset.  </w:t>
      </w:r>
      <w:r w:rsidR="000F3BE9" w:rsidRPr="00B20BE9">
        <w:rPr>
          <w:sz w:val="24"/>
          <w:szCs w:val="24"/>
        </w:rPr>
        <w:t xml:space="preserve">As explained by OCA, </w:t>
      </w:r>
      <w:r w:rsidR="00E74322" w:rsidRPr="00B20BE9">
        <w:rPr>
          <w:sz w:val="24"/>
          <w:szCs w:val="24"/>
        </w:rPr>
        <w:t xml:space="preserve">ADIT </w:t>
      </w:r>
      <w:r w:rsidR="00B770C5" w:rsidRPr="00B20BE9">
        <w:rPr>
          <w:sz w:val="24"/>
          <w:szCs w:val="24"/>
        </w:rPr>
        <w:t>is</w:t>
      </w:r>
      <w:r w:rsidR="00E74322" w:rsidRPr="00B20BE9">
        <w:rPr>
          <w:sz w:val="24"/>
          <w:szCs w:val="24"/>
        </w:rPr>
        <w:t xml:space="preserve"> generated by the difference between federal taxes actually paid by the Company and the federal taxes it records for ratemaking and represents a zero-cost of capital.  OCA St. </w:t>
      </w:r>
      <w:r w:rsidR="00B770C5" w:rsidRPr="00B20BE9">
        <w:rPr>
          <w:sz w:val="24"/>
          <w:szCs w:val="24"/>
        </w:rPr>
        <w:t xml:space="preserve">No. </w:t>
      </w:r>
      <w:r w:rsidR="00633FCE" w:rsidRPr="00B20BE9">
        <w:rPr>
          <w:sz w:val="24"/>
          <w:szCs w:val="24"/>
        </w:rPr>
        <w:t xml:space="preserve">1, pp. </w:t>
      </w:r>
      <w:r w:rsidR="00E74322" w:rsidRPr="00B20BE9">
        <w:rPr>
          <w:sz w:val="24"/>
          <w:szCs w:val="24"/>
        </w:rPr>
        <w:t>4-5; D</w:t>
      </w:r>
      <w:r w:rsidR="00DD55C4" w:rsidRPr="00B20BE9">
        <w:rPr>
          <w:sz w:val="24"/>
          <w:szCs w:val="24"/>
        </w:rPr>
        <w:t>SI</w:t>
      </w:r>
      <w:r w:rsidR="00E74322" w:rsidRPr="00B20BE9">
        <w:rPr>
          <w:sz w:val="24"/>
          <w:szCs w:val="24"/>
        </w:rPr>
        <w:t xml:space="preserve">C Petition at Tariff Supp. </w:t>
      </w:r>
      <w:r w:rsidR="00B770C5" w:rsidRPr="00B20BE9">
        <w:rPr>
          <w:sz w:val="24"/>
          <w:szCs w:val="24"/>
        </w:rPr>
        <w:t>127 O</w:t>
      </w:r>
      <w:r w:rsidR="00E74322" w:rsidRPr="00B20BE9">
        <w:rPr>
          <w:sz w:val="24"/>
          <w:szCs w:val="24"/>
        </w:rPr>
        <w:t>riginal Page No. 19Z.18</w:t>
      </w:r>
      <w:r w:rsidR="00DD55C4" w:rsidRPr="00B20BE9">
        <w:rPr>
          <w:sz w:val="24"/>
          <w:szCs w:val="24"/>
        </w:rPr>
        <w:t xml:space="preserve"> (PPL Ex. No. 1)</w:t>
      </w:r>
      <w:r w:rsidR="00E74322" w:rsidRPr="00B20BE9">
        <w:rPr>
          <w:sz w:val="24"/>
          <w:szCs w:val="24"/>
        </w:rPr>
        <w:t>.</w:t>
      </w:r>
      <w:r w:rsidR="00804494" w:rsidRPr="00B20BE9">
        <w:rPr>
          <w:sz w:val="24"/>
          <w:szCs w:val="24"/>
        </w:rPr>
        <w:t xml:space="preserve">  </w:t>
      </w:r>
      <w:r w:rsidR="00412A5F" w:rsidRPr="00B20BE9">
        <w:rPr>
          <w:sz w:val="24"/>
          <w:szCs w:val="24"/>
        </w:rPr>
        <w:t>A</w:t>
      </w:r>
      <w:r w:rsidR="00804494" w:rsidRPr="00B20BE9">
        <w:rPr>
          <w:sz w:val="24"/>
          <w:szCs w:val="24"/>
        </w:rPr>
        <w:t>ccording to OCA, by not deducting applicable ADIT, PPL’s formula assumes</w:t>
      </w:r>
      <w:r w:rsidR="00412A5F" w:rsidRPr="00B20BE9">
        <w:rPr>
          <w:sz w:val="24"/>
          <w:szCs w:val="24"/>
        </w:rPr>
        <w:t xml:space="preserve"> that all of the plant was paid for by investor-supplied capital, when it was partially paid for with zero-cost capital.  The result is that PPL is allowed to earn a return on an investment balance which is overstated, with resultant rates that are unjust and unreasonable.</w:t>
      </w:r>
    </w:p>
    <w:p w:rsidR="00412A5F" w:rsidRPr="00B20BE9" w:rsidRDefault="00412A5F" w:rsidP="00084772">
      <w:pPr>
        <w:rPr>
          <w:sz w:val="24"/>
          <w:szCs w:val="24"/>
        </w:rPr>
      </w:pPr>
    </w:p>
    <w:p w:rsidR="004D0462" w:rsidRPr="00B20BE9" w:rsidRDefault="00412A5F" w:rsidP="00084772">
      <w:pPr>
        <w:rPr>
          <w:sz w:val="24"/>
          <w:szCs w:val="24"/>
        </w:rPr>
      </w:pPr>
      <w:r w:rsidRPr="00B20BE9">
        <w:rPr>
          <w:sz w:val="24"/>
          <w:szCs w:val="24"/>
        </w:rPr>
        <w:tab/>
      </w:r>
      <w:r w:rsidRPr="00B20BE9">
        <w:rPr>
          <w:sz w:val="24"/>
          <w:szCs w:val="24"/>
        </w:rPr>
        <w:tab/>
        <w:t xml:space="preserve">OCA provided the following explanation </w:t>
      </w:r>
      <w:r w:rsidR="00184EFA" w:rsidRPr="00B20BE9">
        <w:rPr>
          <w:sz w:val="24"/>
          <w:szCs w:val="24"/>
        </w:rPr>
        <w:t>f</w:t>
      </w:r>
      <w:r w:rsidR="00B46B84" w:rsidRPr="00B20BE9">
        <w:rPr>
          <w:sz w:val="24"/>
          <w:szCs w:val="24"/>
        </w:rPr>
        <w:t>ro</w:t>
      </w:r>
      <w:r w:rsidR="00184EFA" w:rsidRPr="00B20BE9">
        <w:rPr>
          <w:sz w:val="24"/>
          <w:szCs w:val="24"/>
        </w:rPr>
        <w:t xml:space="preserve">m its witness Thomas Catlin </w:t>
      </w:r>
      <w:r w:rsidRPr="00B20BE9">
        <w:rPr>
          <w:sz w:val="24"/>
          <w:szCs w:val="24"/>
        </w:rPr>
        <w:t>of how the Internal Revenue Code</w:t>
      </w:r>
      <w:r w:rsidR="00184EFA" w:rsidRPr="00B20BE9">
        <w:rPr>
          <w:sz w:val="24"/>
          <w:szCs w:val="24"/>
        </w:rPr>
        <w:t xml:space="preserve"> creates ADIT</w:t>
      </w:r>
      <w:r w:rsidR="00C465B1" w:rsidRPr="00B20BE9">
        <w:rPr>
          <w:sz w:val="24"/>
          <w:szCs w:val="24"/>
        </w:rPr>
        <w:t>, and how it is traditionally treated for ratemaking purposes</w:t>
      </w:r>
      <w:r w:rsidR="00184EFA" w:rsidRPr="00B20BE9">
        <w:rPr>
          <w:sz w:val="24"/>
          <w:szCs w:val="24"/>
        </w:rPr>
        <w:t>:</w:t>
      </w:r>
    </w:p>
    <w:p w:rsidR="004D0462" w:rsidRPr="00B20BE9" w:rsidRDefault="004D0462" w:rsidP="00084772">
      <w:pPr>
        <w:rPr>
          <w:sz w:val="24"/>
          <w:szCs w:val="24"/>
        </w:rPr>
      </w:pPr>
    </w:p>
    <w:p w:rsidR="004D0462" w:rsidRPr="00B20BE9" w:rsidRDefault="004D0462" w:rsidP="004D0462">
      <w:pPr>
        <w:spacing w:line="240" w:lineRule="auto"/>
        <w:ind w:left="1440" w:right="1440"/>
        <w:rPr>
          <w:sz w:val="24"/>
          <w:szCs w:val="24"/>
        </w:rPr>
      </w:pPr>
      <w:r w:rsidRPr="00B20BE9">
        <w:rPr>
          <w:sz w:val="24"/>
          <w:szCs w:val="24"/>
        </w:rPr>
        <w:t>Accumulated deferred income taxes arise because certain income tax deductions such as accelerated tax depreciation and bonus tax depreciation must be normalized under the provisions of the United States Internal Revenue Code.  Tha</w:t>
      </w:r>
      <w:r w:rsidR="007A7307" w:rsidRPr="00B20BE9">
        <w:rPr>
          <w:sz w:val="24"/>
          <w:szCs w:val="24"/>
        </w:rPr>
        <w:t>t is, utilities such as PPL are</w:t>
      </w:r>
      <w:r w:rsidRPr="00B20BE9">
        <w:rPr>
          <w:sz w:val="24"/>
          <w:szCs w:val="24"/>
        </w:rPr>
        <w:t xml:space="preserve"> allowed to take tax deductions for accelerated and bonus depreciation that significantly reduce the income on which they must pay income taxes.  However, under the normalization provisions of the Internal Revenue Code, those tax reductions are not allowed to be flowed through in rates on a current basis.  Instead, income taxes for ratemaking purposes are calculated using book depreciation instead of tax depreciation as a deduction.</w:t>
      </w:r>
    </w:p>
    <w:p w:rsidR="004D0462" w:rsidRPr="00B20BE9" w:rsidRDefault="004D0462" w:rsidP="004D0462">
      <w:pPr>
        <w:spacing w:line="240" w:lineRule="auto"/>
        <w:ind w:left="1440" w:right="1440"/>
        <w:rPr>
          <w:sz w:val="24"/>
          <w:szCs w:val="24"/>
        </w:rPr>
      </w:pPr>
    </w:p>
    <w:p w:rsidR="004D0462" w:rsidRPr="00B20BE9" w:rsidRDefault="004D0462" w:rsidP="004D0462">
      <w:pPr>
        <w:spacing w:line="240" w:lineRule="auto"/>
        <w:ind w:left="1440" w:right="1440"/>
        <w:rPr>
          <w:sz w:val="24"/>
          <w:szCs w:val="24"/>
        </w:rPr>
      </w:pPr>
      <w:r w:rsidRPr="00B20BE9">
        <w:rPr>
          <w:sz w:val="24"/>
          <w:szCs w:val="24"/>
        </w:rPr>
        <w:t>The resulting difference between the taxes actually paid (taking into account accelerated and bonus deprecation) and the income taxes for ratemaking (taking into account book depreciation) generates what is known as deferred income taxes.  ADIT is simply the cumulative balance of the deferred taxes generated over time.  ADIT represents a source of zero cost capital because the utility has paid less in taxes to the federal government than it has collected in rates.  Under standard ratemaking practice, the balance of ADIT is recognized as a source of zero cost capital, as it is in Pennsylvania and most other states, or included in capital structure with a zero cost.</w:t>
      </w:r>
    </w:p>
    <w:p w:rsidR="004D0462" w:rsidRPr="00B20BE9" w:rsidRDefault="004D0462" w:rsidP="004D0462">
      <w:pPr>
        <w:spacing w:line="240" w:lineRule="auto"/>
        <w:ind w:left="1440" w:right="720"/>
        <w:jc w:val="both"/>
        <w:rPr>
          <w:sz w:val="24"/>
          <w:szCs w:val="24"/>
        </w:rPr>
      </w:pPr>
    </w:p>
    <w:p w:rsidR="004D0462" w:rsidRPr="00B20BE9" w:rsidRDefault="004D0462" w:rsidP="004D0462">
      <w:pPr>
        <w:rPr>
          <w:sz w:val="24"/>
          <w:szCs w:val="24"/>
        </w:rPr>
      </w:pPr>
      <w:r w:rsidRPr="00B20BE9">
        <w:rPr>
          <w:sz w:val="24"/>
          <w:szCs w:val="24"/>
        </w:rPr>
        <w:t xml:space="preserve">OCA St. No </w:t>
      </w:r>
      <w:r w:rsidR="00633FCE" w:rsidRPr="00B20BE9">
        <w:rPr>
          <w:sz w:val="24"/>
          <w:szCs w:val="24"/>
        </w:rPr>
        <w:t xml:space="preserve">1, pp. </w:t>
      </w:r>
      <w:r w:rsidRPr="00B20BE9">
        <w:rPr>
          <w:sz w:val="24"/>
          <w:szCs w:val="24"/>
        </w:rPr>
        <w:t>4-</w:t>
      </w:r>
      <w:r w:rsidR="00334FAF" w:rsidRPr="00B20BE9">
        <w:rPr>
          <w:sz w:val="24"/>
          <w:szCs w:val="24"/>
        </w:rPr>
        <w:t>5</w:t>
      </w:r>
      <w:r w:rsidRPr="00B20BE9">
        <w:rPr>
          <w:sz w:val="24"/>
          <w:szCs w:val="24"/>
        </w:rPr>
        <w:t xml:space="preserve">; </w:t>
      </w:r>
      <w:r w:rsidR="000206BB" w:rsidRPr="00B20BE9">
        <w:rPr>
          <w:sz w:val="24"/>
          <w:szCs w:val="24"/>
        </w:rPr>
        <w:t>OCA M.B., pp. 12</w:t>
      </w:r>
      <w:r w:rsidRPr="00B20BE9">
        <w:rPr>
          <w:sz w:val="24"/>
          <w:szCs w:val="24"/>
        </w:rPr>
        <w:t>-1</w:t>
      </w:r>
      <w:r w:rsidR="000206BB" w:rsidRPr="00B20BE9">
        <w:rPr>
          <w:sz w:val="24"/>
          <w:szCs w:val="24"/>
        </w:rPr>
        <w:t>3</w:t>
      </w:r>
      <w:r w:rsidRPr="00B20BE9">
        <w:rPr>
          <w:sz w:val="24"/>
          <w:szCs w:val="24"/>
        </w:rPr>
        <w:t>.</w:t>
      </w:r>
    </w:p>
    <w:p w:rsidR="00301E39" w:rsidRPr="00B20BE9" w:rsidRDefault="00301E39" w:rsidP="004D0462">
      <w:pPr>
        <w:rPr>
          <w:sz w:val="24"/>
          <w:szCs w:val="24"/>
        </w:rPr>
      </w:pPr>
    </w:p>
    <w:p w:rsidR="00001EA1" w:rsidRPr="00B20BE9" w:rsidRDefault="003F033E" w:rsidP="004D0462">
      <w:pPr>
        <w:rPr>
          <w:i/>
          <w:sz w:val="24"/>
          <w:szCs w:val="24"/>
        </w:rPr>
      </w:pPr>
      <w:r w:rsidRPr="00B20BE9">
        <w:rPr>
          <w:sz w:val="24"/>
          <w:szCs w:val="24"/>
        </w:rPr>
        <w:tab/>
      </w:r>
      <w:r w:rsidRPr="00B20BE9">
        <w:rPr>
          <w:sz w:val="24"/>
          <w:szCs w:val="24"/>
        </w:rPr>
        <w:tab/>
        <w:t xml:space="preserve">OCA emphasized that under standard ratemaking practice, in Pennsylvania and every other state and federal regulatory jurisdiction, the balance of ADIT is treated as a reduction to rate base or included in capital structure with a zero cost, so that customers do not pay a return on non-investor supplied capital.  OCA cited to several ratemaking treatises and Commission and other state regulatory cases in support of this </w:t>
      </w:r>
      <w:r w:rsidR="006A3CB2" w:rsidRPr="00B20BE9">
        <w:rPr>
          <w:sz w:val="24"/>
          <w:szCs w:val="24"/>
        </w:rPr>
        <w:t xml:space="preserve">statement, such as </w:t>
      </w:r>
      <w:r w:rsidR="006A3CB2" w:rsidRPr="00B20BE9">
        <w:rPr>
          <w:i/>
          <w:sz w:val="24"/>
          <w:szCs w:val="24"/>
        </w:rPr>
        <w:t>Pa. Pub. Util. Comm’n v. West Penn Power,</w:t>
      </w:r>
      <w:r w:rsidR="006A3CB2" w:rsidRPr="00B20BE9">
        <w:rPr>
          <w:sz w:val="24"/>
          <w:szCs w:val="24"/>
        </w:rPr>
        <w:t xml:space="preserve"> 32 PUR4th 245, 264-65, 53 Pa. PUC 410, 430-31 (1979) (</w:t>
      </w:r>
      <w:r w:rsidR="003B2C86" w:rsidRPr="00B20BE9">
        <w:rPr>
          <w:i/>
          <w:sz w:val="24"/>
          <w:szCs w:val="24"/>
        </w:rPr>
        <w:t>West Penn</w:t>
      </w:r>
      <w:r w:rsidR="003B2C86" w:rsidRPr="00B20BE9">
        <w:rPr>
          <w:sz w:val="24"/>
          <w:szCs w:val="24"/>
        </w:rPr>
        <w:t>)</w:t>
      </w:r>
      <w:r w:rsidR="006A3CB2" w:rsidRPr="00B20BE9">
        <w:rPr>
          <w:i/>
          <w:sz w:val="24"/>
          <w:szCs w:val="24"/>
        </w:rPr>
        <w:t>.</w:t>
      </w:r>
      <w:r w:rsidR="00001EA1" w:rsidRPr="00B20BE9">
        <w:rPr>
          <w:sz w:val="24"/>
          <w:szCs w:val="24"/>
        </w:rPr>
        <w:t xml:space="preserve">  OCA M.B., pp.</w:t>
      </w:r>
      <w:r w:rsidR="005351A1">
        <w:rPr>
          <w:sz w:val="24"/>
          <w:szCs w:val="24"/>
        </w:rPr>
        <w:t> </w:t>
      </w:r>
      <w:r w:rsidR="00001EA1" w:rsidRPr="00B20BE9">
        <w:rPr>
          <w:sz w:val="24"/>
          <w:szCs w:val="24"/>
        </w:rPr>
        <w:t>13</w:t>
      </w:r>
      <w:r w:rsidR="005351A1">
        <w:rPr>
          <w:sz w:val="24"/>
          <w:szCs w:val="24"/>
        </w:rPr>
        <w:noBreakHyphen/>
      </w:r>
      <w:r w:rsidR="00001EA1" w:rsidRPr="00B20BE9">
        <w:rPr>
          <w:sz w:val="24"/>
          <w:szCs w:val="24"/>
        </w:rPr>
        <w:t>15.</w:t>
      </w:r>
    </w:p>
    <w:p w:rsidR="003B2C86" w:rsidRPr="00B20BE9" w:rsidRDefault="003B2C86" w:rsidP="004D0462">
      <w:pPr>
        <w:rPr>
          <w:i/>
          <w:sz w:val="24"/>
          <w:szCs w:val="24"/>
        </w:rPr>
      </w:pPr>
    </w:p>
    <w:p w:rsidR="00FC74F9" w:rsidRPr="00B20BE9" w:rsidRDefault="003B2C86" w:rsidP="004D0462">
      <w:pPr>
        <w:rPr>
          <w:sz w:val="24"/>
          <w:szCs w:val="24"/>
        </w:rPr>
      </w:pPr>
      <w:r w:rsidRPr="00B20BE9">
        <w:rPr>
          <w:sz w:val="24"/>
          <w:szCs w:val="24"/>
        </w:rPr>
        <w:tab/>
      </w:r>
      <w:r w:rsidRPr="00B20BE9">
        <w:rPr>
          <w:sz w:val="24"/>
          <w:szCs w:val="24"/>
        </w:rPr>
        <w:tab/>
        <w:t xml:space="preserve">In OCA’s view, it is no more appropriate for ratepayers to pay a return on zero cost capital in rates established between base rate cases, as </w:t>
      </w:r>
      <w:r w:rsidR="008D641C" w:rsidRPr="00B20BE9">
        <w:rPr>
          <w:sz w:val="24"/>
          <w:szCs w:val="24"/>
        </w:rPr>
        <w:t>would occur with the</w:t>
      </w:r>
      <w:r w:rsidRPr="00B20BE9">
        <w:rPr>
          <w:sz w:val="24"/>
          <w:szCs w:val="24"/>
        </w:rPr>
        <w:t xml:space="preserve"> DSIC, than it is in rates established in a ba</w:t>
      </w:r>
      <w:r w:rsidR="00633FCE" w:rsidRPr="00B20BE9">
        <w:rPr>
          <w:sz w:val="24"/>
          <w:szCs w:val="24"/>
        </w:rPr>
        <w:t xml:space="preserve">se rate case.  OCA St. No. 1, p. </w:t>
      </w:r>
      <w:r w:rsidRPr="00B20BE9">
        <w:rPr>
          <w:sz w:val="24"/>
          <w:szCs w:val="24"/>
        </w:rPr>
        <w:t xml:space="preserve">5.  </w:t>
      </w:r>
      <w:r w:rsidR="007F4197" w:rsidRPr="00B20BE9">
        <w:rPr>
          <w:sz w:val="24"/>
          <w:szCs w:val="24"/>
        </w:rPr>
        <w:t>Therefore</w:t>
      </w:r>
      <w:r w:rsidRPr="00B20BE9">
        <w:rPr>
          <w:sz w:val="24"/>
          <w:szCs w:val="24"/>
        </w:rPr>
        <w:t>, consistent with standard ratemaking practice in base rate cases, ADIT must be recognized in calculating the rate base to which DSIC pre-tax return will apply</w:t>
      </w:r>
      <w:r w:rsidR="00FC74F9" w:rsidRPr="00B20BE9">
        <w:rPr>
          <w:sz w:val="24"/>
          <w:szCs w:val="24"/>
        </w:rPr>
        <w:t>, according to the OCA</w:t>
      </w:r>
      <w:r w:rsidRPr="00B20BE9">
        <w:rPr>
          <w:sz w:val="24"/>
          <w:szCs w:val="24"/>
        </w:rPr>
        <w:t>.</w:t>
      </w:r>
      <w:r w:rsidR="00D053EC" w:rsidRPr="00B20BE9">
        <w:rPr>
          <w:sz w:val="24"/>
          <w:szCs w:val="24"/>
        </w:rPr>
        <w:t xml:space="preserve">  This</w:t>
      </w:r>
      <w:r w:rsidR="00FC74F9" w:rsidRPr="00B20BE9">
        <w:rPr>
          <w:sz w:val="24"/>
          <w:szCs w:val="24"/>
        </w:rPr>
        <w:t xml:space="preserve"> is also consistent with </w:t>
      </w:r>
      <w:r w:rsidR="00D053EC" w:rsidRPr="00B20BE9">
        <w:rPr>
          <w:sz w:val="24"/>
          <w:szCs w:val="24"/>
        </w:rPr>
        <w:t>Section 1353 of the Code, which provides for the recovery of costs “incurred” by the utility.  66 Pa.C.S. § 1353.</w:t>
      </w:r>
      <w:r w:rsidR="00FC74F9" w:rsidRPr="00B20BE9">
        <w:rPr>
          <w:sz w:val="24"/>
          <w:szCs w:val="24"/>
        </w:rPr>
        <w:t xml:space="preserve">  To reflect this </w:t>
      </w:r>
      <w:r w:rsidR="00F850E5" w:rsidRPr="00B20BE9">
        <w:rPr>
          <w:sz w:val="24"/>
          <w:szCs w:val="24"/>
        </w:rPr>
        <w:t xml:space="preserve">ADIT </w:t>
      </w:r>
      <w:r w:rsidR="00FC74F9" w:rsidRPr="00B20BE9">
        <w:rPr>
          <w:sz w:val="24"/>
          <w:szCs w:val="24"/>
        </w:rPr>
        <w:t>recognition, the definition of DSI shown on PPL’s DSIC tariff shoul</w:t>
      </w:r>
      <w:r w:rsidR="00F850E5" w:rsidRPr="00B20BE9">
        <w:rPr>
          <w:sz w:val="24"/>
          <w:szCs w:val="24"/>
        </w:rPr>
        <w:t>d be modified to read as proposed by the OCA:</w:t>
      </w:r>
    </w:p>
    <w:p w:rsidR="00FC74F9" w:rsidRPr="00B20BE9" w:rsidRDefault="00FC74F9" w:rsidP="004D0462">
      <w:pPr>
        <w:rPr>
          <w:sz w:val="24"/>
          <w:szCs w:val="24"/>
        </w:rPr>
      </w:pPr>
    </w:p>
    <w:p w:rsidR="00FC74F9" w:rsidRPr="00B20BE9" w:rsidRDefault="00FC74F9" w:rsidP="004B723B">
      <w:pPr>
        <w:spacing w:line="240" w:lineRule="auto"/>
        <w:ind w:left="2160" w:right="1440"/>
        <w:rPr>
          <w:sz w:val="24"/>
          <w:szCs w:val="24"/>
        </w:rPr>
      </w:pPr>
      <w:r w:rsidRPr="00B20BE9">
        <w:rPr>
          <w:sz w:val="24"/>
          <w:szCs w:val="24"/>
        </w:rPr>
        <w:t xml:space="preserve">DS1 = Original cost of eligible distribution system improvement projects net of accrued depreciation </w:t>
      </w:r>
      <w:r w:rsidRPr="00B20BE9">
        <w:rPr>
          <w:sz w:val="24"/>
          <w:szCs w:val="24"/>
          <w:u w:val="single"/>
        </w:rPr>
        <w:t>and accumulated deferred income taxes</w:t>
      </w:r>
      <w:r w:rsidRPr="00B20BE9">
        <w:rPr>
          <w:sz w:val="24"/>
          <w:szCs w:val="24"/>
        </w:rPr>
        <w:t>.</w:t>
      </w:r>
    </w:p>
    <w:p w:rsidR="005E42A0" w:rsidRPr="00B20BE9" w:rsidRDefault="005E42A0" w:rsidP="00FC74F9">
      <w:pPr>
        <w:spacing w:line="240" w:lineRule="auto"/>
        <w:ind w:left="1440" w:right="1440"/>
        <w:rPr>
          <w:sz w:val="24"/>
          <w:szCs w:val="24"/>
        </w:rPr>
      </w:pPr>
    </w:p>
    <w:p w:rsidR="003B2C86" w:rsidRPr="00B20BE9" w:rsidRDefault="00633FCE" w:rsidP="005E42A0">
      <w:pPr>
        <w:spacing w:line="240" w:lineRule="auto"/>
        <w:rPr>
          <w:sz w:val="24"/>
          <w:szCs w:val="24"/>
        </w:rPr>
      </w:pPr>
      <w:r w:rsidRPr="00B20BE9">
        <w:rPr>
          <w:sz w:val="24"/>
          <w:szCs w:val="24"/>
        </w:rPr>
        <w:t xml:space="preserve">OCA St. No. 1, p. </w:t>
      </w:r>
      <w:r w:rsidR="00FC74F9" w:rsidRPr="00B20BE9">
        <w:rPr>
          <w:sz w:val="24"/>
          <w:szCs w:val="24"/>
        </w:rPr>
        <w:t>7 (Emphasis indicates new language).</w:t>
      </w:r>
    </w:p>
    <w:p w:rsidR="005E42A0" w:rsidRPr="00B20BE9" w:rsidRDefault="005E42A0" w:rsidP="0085709D">
      <w:pPr>
        <w:ind w:left="1440" w:right="1440"/>
        <w:rPr>
          <w:sz w:val="24"/>
          <w:szCs w:val="24"/>
        </w:rPr>
      </w:pPr>
    </w:p>
    <w:p w:rsidR="005E42A0" w:rsidRPr="00B20BE9" w:rsidRDefault="005E42A0" w:rsidP="005E42A0">
      <w:pPr>
        <w:rPr>
          <w:sz w:val="24"/>
          <w:szCs w:val="24"/>
        </w:rPr>
      </w:pPr>
      <w:r w:rsidRPr="00B20BE9">
        <w:rPr>
          <w:sz w:val="24"/>
          <w:szCs w:val="24"/>
        </w:rPr>
        <w:tab/>
      </w:r>
      <w:r w:rsidRPr="00B20BE9">
        <w:rPr>
          <w:sz w:val="24"/>
          <w:szCs w:val="24"/>
        </w:rPr>
        <w:tab/>
        <w:t xml:space="preserve">OCA witness Catlin summarized the OCA position that fixed cost recovery of eligible utility property in a DSIC should be consistent with recovery of those </w:t>
      </w:r>
      <w:r w:rsidR="002A5959">
        <w:rPr>
          <w:sz w:val="24"/>
          <w:szCs w:val="24"/>
        </w:rPr>
        <w:t>same costs in a base rate case:</w:t>
      </w:r>
    </w:p>
    <w:p w:rsidR="005E42A0" w:rsidRPr="00B20BE9" w:rsidRDefault="005E42A0" w:rsidP="005E42A0">
      <w:pPr>
        <w:rPr>
          <w:sz w:val="24"/>
          <w:szCs w:val="24"/>
        </w:rPr>
      </w:pPr>
    </w:p>
    <w:p w:rsidR="00334FAF" w:rsidRPr="00B20BE9" w:rsidRDefault="00334FAF" w:rsidP="005C79E7">
      <w:pPr>
        <w:spacing w:line="240" w:lineRule="auto"/>
        <w:ind w:left="1440" w:right="1440"/>
        <w:rPr>
          <w:rFonts w:eastAsia="Calibri"/>
          <w:sz w:val="24"/>
          <w:szCs w:val="24"/>
        </w:rPr>
      </w:pPr>
      <w:r w:rsidRPr="00B20BE9">
        <w:rPr>
          <w:rFonts w:eastAsia="Calibri"/>
          <w:sz w:val="24"/>
          <w:szCs w:val="24"/>
        </w:rPr>
        <w:t>The DSIC represents an approved exception to the rule against single issue ratemaking that allows the utility to recover the capital-related revenue requirement of specific plant additions that are added to plant in service between rate cases.  As an allowed single issue ratemaking item, the calculation of the DSIC rate base and revenue requirement should be consistent with how the rate base and revenue requirement associated with that DSIC-eligible plant would be calculated if that plant was being recovered in a base rate case.  In a base rate case, it is recognized that rate base must be reduced to reflect ADIT related to the plant, otherwise ratepayers would be paying the utility a return on funds that were not supplied by investors.  The treatment of ADIT in the DSIC should be no different.  That is, the DSIC rate base and revenue requirement must be reduced to reflect the balance of ADIT associated with DSIC plant.  To do otherwise would allow PPL to earn a pre-tax return on investment which is financed with zero-cost capital, not with investor supplied capital.</w:t>
      </w:r>
    </w:p>
    <w:p w:rsidR="00334FAF" w:rsidRPr="00B20BE9" w:rsidRDefault="00334FAF" w:rsidP="00334FAF">
      <w:pPr>
        <w:spacing w:line="240" w:lineRule="auto"/>
        <w:ind w:left="720" w:right="720"/>
        <w:jc w:val="both"/>
        <w:rPr>
          <w:rFonts w:eastAsia="Calibri"/>
          <w:sz w:val="24"/>
          <w:szCs w:val="24"/>
        </w:rPr>
      </w:pPr>
    </w:p>
    <w:p w:rsidR="00334FAF" w:rsidRPr="00B20BE9" w:rsidRDefault="00633FCE" w:rsidP="007C3FC6">
      <w:pPr>
        <w:jc w:val="both"/>
        <w:rPr>
          <w:rFonts w:eastAsia="Calibri"/>
          <w:sz w:val="24"/>
          <w:szCs w:val="24"/>
        </w:rPr>
      </w:pPr>
      <w:r w:rsidRPr="00B20BE9">
        <w:rPr>
          <w:rFonts w:eastAsia="Calibri"/>
          <w:sz w:val="24"/>
          <w:szCs w:val="24"/>
        </w:rPr>
        <w:t xml:space="preserve">OCA St. No. 1, p. </w:t>
      </w:r>
      <w:r w:rsidR="00334FAF" w:rsidRPr="00B20BE9">
        <w:rPr>
          <w:rFonts w:eastAsia="Calibri"/>
          <w:sz w:val="24"/>
          <w:szCs w:val="24"/>
        </w:rPr>
        <w:t>5; OCA M.B., p. 16.</w:t>
      </w:r>
    </w:p>
    <w:p w:rsidR="007C3FC6" w:rsidRPr="00B20BE9" w:rsidRDefault="007C3FC6" w:rsidP="007C3FC6">
      <w:pPr>
        <w:jc w:val="both"/>
        <w:rPr>
          <w:rFonts w:eastAsia="Calibri"/>
          <w:sz w:val="24"/>
          <w:szCs w:val="24"/>
        </w:rPr>
      </w:pPr>
    </w:p>
    <w:p w:rsidR="007C3FC6" w:rsidRPr="00B20BE9" w:rsidRDefault="007C3FC6" w:rsidP="00982D8E">
      <w:pPr>
        <w:rPr>
          <w:rFonts w:eastAsia="Calibri"/>
          <w:sz w:val="24"/>
          <w:szCs w:val="24"/>
        </w:rPr>
      </w:pPr>
      <w:r w:rsidRPr="00B20BE9">
        <w:rPr>
          <w:rFonts w:eastAsia="Calibri"/>
          <w:sz w:val="24"/>
          <w:szCs w:val="24"/>
        </w:rPr>
        <w:tab/>
      </w:r>
      <w:r w:rsidRPr="00B20BE9">
        <w:rPr>
          <w:rFonts w:eastAsia="Calibri"/>
          <w:sz w:val="24"/>
          <w:szCs w:val="24"/>
        </w:rPr>
        <w:tab/>
        <w:t>The balance of ADIT associated with DSIC-eligible plant is potentially significant, according to the OCA.  However, PPL was unable to provide the amounts of ADIT associated with DSIC-eligible plant on a current basis,</w:t>
      </w:r>
      <w:r w:rsidR="003D1BB0" w:rsidRPr="00B20BE9">
        <w:rPr>
          <w:rFonts w:eastAsia="Calibri"/>
          <w:sz w:val="24"/>
          <w:szCs w:val="24"/>
        </w:rPr>
        <w:t xml:space="preserve"> because it prepares estimates of ADIT for the current year at the end of each calendar year.  </w:t>
      </w:r>
      <w:r w:rsidR="00B42C82" w:rsidRPr="00B20BE9">
        <w:rPr>
          <w:rFonts w:eastAsia="Calibri"/>
          <w:sz w:val="24"/>
          <w:szCs w:val="24"/>
        </w:rPr>
        <w:t xml:space="preserve">The amounts reported to investors in PPL Corporation’s quarterly financial statements are based on the prior year’s amounts for the first three quarters of the year.  </w:t>
      </w:r>
      <w:r w:rsidR="003D1BB0" w:rsidRPr="00B20BE9">
        <w:rPr>
          <w:rFonts w:eastAsia="Calibri"/>
          <w:sz w:val="24"/>
          <w:szCs w:val="24"/>
        </w:rPr>
        <w:t>OCA St.</w:t>
      </w:r>
      <w:r w:rsidR="00633FCE" w:rsidRPr="00B20BE9">
        <w:rPr>
          <w:rFonts w:eastAsia="Calibri"/>
          <w:sz w:val="24"/>
          <w:szCs w:val="24"/>
        </w:rPr>
        <w:t xml:space="preserve"> No. 1, p. 6; PPL St. No. 4-R, pp. </w:t>
      </w:r>
      <w:r w:rsidR="003D1BB0" w:rsidRPr="00B20BE9">
        <w:rPr>
          <w:rFonts w:eastAsia="Calibri"/>
          <w:sz w:val="24"/>
          <w:szCs w:val="24"/>
        </w:rPr>
        <w:t>4-5.</w:t>
      </w:r>
      <w:r w:rsidR="003B5BDC" w:rsidRPr="00B20BE9">
        <w:rPr>
          <w:rFonts w:eastAsia="Calibri"/>
          <w:sz w:val="24"/>
          <w:szCs w:val="24"/>
        </w:rPr>
        <w:t xml:space="preserve">  Therefore, OCA witness Catlin proposed that the rate base deduction be estimated using the same procedure the Company uses for its quarterly financial statements, as explained below:</w:t>
      </w:r>
    </w:p>
    <w:p w:rsidR="005E42A0" w:rsidRPr="00B20BE9" w:rsidRDefault="005E42A0" w:rsidP="002A5959">
      <w:pPr>
        <w:rPr>
          <w:sz w:val="24"/>
          <w:szCs w:val="24"/>
        </w:rPr>
      </w:pPr>
    </w:p>
    <w:p w:rsidR="003B5BDC" w:rsidRPr="00B20BE9" w:rsidRDefault="003B5BDC" w:rsidP="005C79E7">
      <w:pPr>
        <w:spacing w:line="240" w:lineRule="auto"/>
        <w:ind w:left="1440" w:right="1440"/>
        <w:rPr>
          <w:rFonts w:eastAsia="Calibri"/>
          <w:iCs/>
          <w:color w:val="000000"/>
          <w:sz w:val="24"/>
          <w:szCs w:val="24"/>
        </w:rPr>
      </w:pPr>
      <w:r w:rsidRPr="00B20BE9">
        <w:rPr>
          <w:rFonts w:eastAsia="Calibri"/>
          <w:iCs/>
          <w:color w:val="000000"/>
          <w:sz w:val="24"/>
          <w:szCs w:val="24"/>
        </w:rPr>
        <w:t xml:space="preserve">I am proposing that PPL use the same procedure that it uses for </w:t>
      </w:r>
      <w:r w:rsidR="002A5959">
        <w:rPr>
          <w:rFonts w:eastAsia="Calibri"/>
          <w:iCs/>
          <w:color w:val="000000"/>
          <w:sz w:val="24"/>
          <w:szCs w:val="24"/>
        </w:rPr>
        <w:t xml:space="preserve">financial reporting purposes.  </w:t>
      </w:r>
      <w:r w:rsidRPr="00B20BE9">
        <w:rPr>
          <w:rFonts w:eastAsia="Calibri"/>
          <w:iCs/>
          <w:color w:val="000000"/>
          <w:sz w:val="24"/>
          <w:szCs w:val="24"/>
        </w:rPr>
        <w:t>That is, PPL should estimate to the best of its ability the ADIT associated with DSIC-eligible plant additions through the first three quarters of each calendar year.  Then, at the end of the year, it can true up its DSIC calculations to reflect the actual ADIT balances at the same time it prepares its annual reconciliation for each calendar year.</w:t>
      </w:r>
    </w:p>
    <w:p w:rsidR="003B5BDC" w:rsidRPr="00B20BE9" w:rsidRDefault="003B5BDC" w:rsidP="003B5BDC">
      <w:pPr>
        <w:spacing w:line="240" w:lineRule="auto"/>
        <w:ind w:left="1440" w:right="1440"/>
        <w:rPr>
          <w:rFonts w:eastAsia="Calibri"/>
          <w:sz w:val="24"/>
          <w:szCs w:val="24"/>
        </w:rPr>
      </w:pPr>
    </w:p>
    <w:p w:rsidR="004B723B" w:rsidRPr="00B20BE9" w:rsidRDefault="003B5BDC" w:rsidP="003B5BDC">
      <w:pPr>
        <w:spacing w:line="240" w:lineRule="auto"/>
        <w:rPr>
          <w:rFonts w:eastAsia="Calibri"/>
          <w:sz w:val="24"/>
          <w:szCs w:val="24"/>
        </w:rPr>
      </w:pPr>
      <w:r w:rsidRPr="00B20BE9">
        <w:rPr>
          <w:rFonts w:eastAsia="Calibri"/>
          <w:sz w:val="24"/>
          <w:szCs w:val="24"/>
        </w:rPr>
        <w:t xml:space="preserve">OCA St. </w:t>
      </w:r>
      <w:r w:rsidR="00633FCE" w:rsidRPr="00B20BE9">
        <w:rPr>
          <w:rFonts w:eastAsia="Calibri"/>
          <w:sz w:val="24"/>
          <w:szCs w:val="24"/>
        </w:rPr>
        <w:t xml:space="preserve">No. 1, p. </w:t>
      </w:r>
      <w:r w:rsidRPr="00B20BE9">
        <w:rPr>
          <w:rFonts w:eastAsia="Calibri"/>
          <w:sz w:val="24"/>
          <w:szCs w:val="24"/>
        </w:rPr>
        <w:t>6; OCA M.B., pp. 16-17.</w:t>
      </w:r>
    </w:p>
    <w:p w:rsidR="00982D8E" w:rsidRPr="00B20BE9" w:rsidRDefault="00982D8E" w:rsidP="00982D8E">
      <w:pPr>
        <w:rPr>
          <w:rFonts w:eastAsia="Calibri"/>
          <w:sz w:val="24"/>
          <w:szCs w:val="24"/>
        </w:rPr>
      </w:pPr>
    </w:p>
    <w:p w:rsidR="00982D8E" w:rsidRPr="00B20BE9" w:rsidRDefault="00982D8E" w:rsidP="00982D8E">
      <w:pPr>
        <w:rPr>
          <w:rFonts w:eastAsia="Calibri"/>
          <w:sz w:val="24"/>
          <w:szCs w:val="24"/>
        </w:rPr>
      </w:pPr>
      <w:r w:rsidRPr="00B20BE9">
        <w:rPr>
          <w:rFonts w:eastAsia="Calibri"/>
          <w:sz w:val="24"/>
          <w:szCs w:val="24"/>
        </w:rPr>
        <w:tab/>
      </w:r>
      <w:r w:rsidRPr="00B20BE9">
        <w:rPr>
          <w:rFonts w:eastAsia="Calibri"/>
          <w:sz w:val="24"/>
          <w:szCs w:val="24"/>
        </w:rPr>
        <w:tab/>
        <w:t xml:space="preserve">OCA also addressed the fact that PPL is currently in a </w:t>
      </w:r>
      <w:r w:rsidR="0053118B" w:rsidRPr="00B20BE9">
        <w:rPr>
          <w:rFonts w:eastAsia="Calibri"/>
          <w:sz w:val="24"/>
          <w:szCs w:val="24"/>
        </w:rPr>
        <w:t>“loss carry forward position;” i.e., it has unutilized federal net operating losses.  As a result, PPL will not be able to take the tax deductions attributable to the DSIC plant until a future date when it does have ta</w:t>
      </w:r>
      <w:r w:rsidR="00633FCE" w:rsidRPr="00B20BE9">
        <w:rPr>
          <w:rFonts w:eastAsia="Calibri"/>
          <w:sz w:val="24"/>
          <w:szCs w:val="24"/>
        </w:rPr>
        <w:t xml:space="preserve">xable income.  OCA St. No. 1, p. </w:t>
      </w:r>
      <w:r w:rsidR="0053118B" w:rsidRPr="00B20BE9">
        <w:rPr>
          <w:rFonts w:eastAsia="Calibri"/>
          <w:sz w:val="24"/>
          <w:szCs w:val="24"/>
        </w:rPr>
        <w:t>7</w:t>
      </w:r>
      <w:r w:rsidR="00D609FB" w:rsidRPr="00B20BE9">
        <w:rPr>
          <w:rFonts w:eastAsia="Calibri"/>
          <w:sz w:val="24"/>
          <w:szCs w:val="24"/>
        </w:rPr>
        <w:t>; OCA M.B., p. 17</w:t>
      </w:r>
      <w:r w:rsidR="0053118B" w:rsidRPr="00B20BE9">
        <w:rPr>
          <w:rFonts w:eastAsia="Calibri"/>
          <w:sz w:val="24"/>
          <w:szCs w:val="24"/>
        </w:rPr>
        <w:t xml:space="preserve">. </w:t>
      </w:r>
      <w:r w:rsidR="00D609FB" w:rsidRPr="00B20BE9">
        <w:rPr>
          <w:rFonts w:eastAsia="Calibri"/>
          <w:sz w:val="24"/>
          <w:szCs w:val="24"/>
        </w:rPr>
        <w:t xml:space="preserve"> </w:t>
      </w:r>
      <w:r w:rsidR="0053118B" w:rsidRPr="00B20BE9">
        <w:rPr>
          <w:rFonts w:eastAsia="Calibri"/>
          <w:sz w:val="24"/>
          <w:szCs w:val="24"/>
        </w:rPr>
        <w:t>OCA advocated taking a “proactive” approach, however, and to include ADIT in the DSIC formula so that, when PPL does have taxable income and realizes an ADIT benefit, the DSIC rate base will be reduced accordingly.</w:t>
      </w:r>
      <w:r w:rsidR="009A70C1" w:rsidRPr="00B20BE9">
        <w:rPr>
          <w:rStyle w:val="FootnoteReference"/>
          <w:rFonts w:eastAsia="Calibri"/>
          <w:sz w:val="24"/>
          <w:szCs w:val="24"/>
        </w:rPr>
        <w:footnoteReference w:id="1"/>
      </w:r>
    </w:p>
    <w:p w:rsidR="00D609FB" w:rsidRPr="00B20BE9" w:rsidRDefault="00D609FB" w:rsidP="00982D8E">
      <w:pPr>
        <w:rPr>
          <w:rFonts w:eastAsia="Calibri"/>
          <w:sz w:val="24"/>
          <w:szCs w:val="24"/>
        </w:rPr>
      </w:pPr>
    </w:p>
    <w:p w:rsidR="00543721" w:rsidRPr="00B20BE9" w:rsidRDefault="00D609FB" w:rsidP="00982D8E">
      <w:pPr>
        <w:rPr>
          <w:rFonts w:eastAsia="Calibri"/>
          <w:sz w:val="24"/>
          <w:szCs w:val="24"/>
        </w:rPr>
      </w:pPr>
      <w:r w:rsidRPr="00B20BE9">
        <w:rPr>
          <w:rFonts w:eastAsia="Calibri"/>
          <w:sz w:val="24"/>
          <w:szCs w:val="24"/>
        </w:rPr>
        <w:tab/>
      </w:r>
      <w:r w:rsidRPr="00B20BE9">
        <w:rPr>
          <w:rFonts w:eastAsia="Calibri"/>
          <w:sz w:val="24"/>
          <w:szCs w:val="24"/>
        </w:rPr>
        <w:tab/>
      </w:r>
      <w:r w:rsidR="008C37E5" w:rsidRPr="00B20BE9">
        <w:rPr>
          <w:rFonts w:eastAsia="Calibri"/>
          <w:sz w:val="24"/>
          <w:szCs w:val="24"/>
        </w:rPr>
        <w:t xml:space="preserve">PPL opposed reflecting ADIT is its DSIC formula for several reasons, as will be further addressed in a later section </w:t>
      </w:r>
      <w:r w:rsidR="00543721" w:rsidRPr="00B20BE9">
        <w:rPr>
          <w:rFonts w:eastAsia="Calibri"/>
          <w:sz w:val="24"/>
          <w:szCs w:val="24"/>
        </w:rPr>
        <w:t>of this Recommended Decision.</w:t>
      </w:r>
    </w:p>
    <w:p w:rsidR="00543721" w:rsidRPr="00B20BE9" w:rsidRDefault="00543721" w:rsidP="00982D8E">
      <w:pPr>
        <w:rPr>
          <w:rFonts w:eastAsia="Calibri"/>
          <w:sz w:val="24"/>
          <w:szCs w:val="24"/>
        </w:rPr>
      </w:pPr>
    </w:p>
    <w:p w:rsidR="00B42C82" w:rsidRPr="00B20BE9" w:rsidRDefault="00543721" w:rsidP="00982D8E">
      <w:pPr>
        <w:rPr>
          <w:rFonts w:eastAsia="Calibri"/>
          <w:sz w:val="24"/>
          <w:szCs w:val="24"/>
        </w:rPr>
      </w:pPr>
      <w:r w:rsidRPr="00B20BE9">
        <w:rPr>
          <w:rFonts w:eastAsia="Calibri"/>
          <w:sz w:val="24"/>
          <w:szCs w:val="24"/>
        </w:rPr>
        <w:tab/>
      </w:r>
      <w:r w:rsidRPr="00B20BE9">
        <w:rPr>
          <w:rFonts w:eastAsia="Calibri"/>
          <w:sz w:val="24"/>
          <w:szCs w:val="24"/>
        </w:rPr>
        <w:tab/>
      </w:r>
      <w:r w:rsidR="008C37E5" w:rsidRPr="00B20BE9">
        <w:rPr>
          <w:rFonts w:eastAsia="Calibri"/>
          <w:sz w:val="24"/>
          <w:szCs w:val="24"/>
        </w:rPr>
        <w:t>In response to PPL’s contention that it would make the DSIC calculation too complex and that it is unnecessary, OCA countered that inclusion of ADIT is not overly complex and is necessary to produce just and reasonable rates</w:t>
      </w:r>
      <w:r w:rsidR="002453FA" w:rsidRPr="00B20BE9">
        <w:rPr>
          <w:rFonts w:eastAsia="Calibri"/>
          <w:sz w:val="24"/>
          <w:szCs w:val="24"/>
        </w:rPr>
        <w:t>, in accordance with 66 Pa.C.S. § 1301</w:t>
      </w:r>
      <w:r w:rsidR="008C37E5" w:rsidRPr="00B20BE9">
        <w:rPr>
          <w:rFonts w:eastAsia="Calibri"/>
          <w:sz w:val="24"/>
          <w:szCs w:val="24"/>
        </w:rPr>
        <w:t xml:space="preserve">.  It </w:t>
      </w:r>
      <w:r w:rsidR="006B18B9" w:rsidRPr="00B20BE9">
        <w:rPr>
          <w:rFonts w:eastAsia="Calibri"/>
          <w:sz w:val="24"/>
          <w:szCs w:val="24"/>
        </w:rPr>
        <w:t>observed that</w:t>
      </w:r>
      <w:r w:rsidR="008C37E5" w:rsidRPr="00B20BE9">
        <w:rPr>
          <w:rFonts w:eastAsia="Calibri"/>
          <w:sz w:val="24"/>
          <w:szCs w:val="24"/>
        </w:rPr>
        <w:t xml:space="preserve"> utilities in Georgia, Kansas, Kentucky, Maine, Maryland (proposed), Massachusetts, Missouri, Nebraska, New Jersey, Rhode Island, and Utah calculate ADIT balances associated with incremental investment for their DSIC-type cost recovery mechanisms</w:t>
      </w:r>
      <w:r w:rsidR="0048239B" w:rsidRPr="00B20BE9">
        <w:rPr>
          <w:rFonts w:eastAsia="Calibri"/>
          <w:sz w:val="24"/>
          <w:szCs w:val="24"/>
        </w:rPr>
        <w:t>.  Therefore, recognition of ADIT is common practice and not too complicated</w:t>
      </w:r>
      <w:r w:rsidR="00B42C82" w:rsidRPr="00B20BE9">
        <w:rPr>
          <w:rFonts w:eastAsia="Calibri"/>
          <w:sz w:val="24"/>
          <w:szCs w:val="24"/>
        </w:rPr>
        <w:t>.  Estimates can be used, which can be trued up later, according to OCA</w:t>
      </w:r>
      <w:r w:rsidR="0048239B" w:rsidRPr="00B20BE9">
        <w:rPr>
          <w:rFonts w:eastAsia="Calibri"/>
          <w:sz w:val="24"/>
          <w:szCs w:val="24"/>
        </w:rPr>
        <w:t>.</w:t>
      </w:r>
      <w:r w:rsidR="008C37E5" w:rsidRPr="00B20BE9">
        <w:rPr>
          <w:rFonts w:eastAsia="Calibri"/>
          <w:sz w:val="24"/>
          <w:szCs w:val="24"/>
        </w:rPr>
        <w:t xml:space="preserve">  </w:t>
      </w:r>
      <w:r w:rsidR="008C37E5" w:rsidRPr="00B20BE9">
        <w:rPr>
          <w:rFonts w:eastAsia="Calibri"/>
          <w:sz w:val="24"/>
          <w:szCs w:val="24"/>
          <w:u w:val="single"/>
        </w:rPr>
        <w:t>See</w:t>
      </w:r>
      <w:r w:rsidR="008C37E5" w:rsidRPr="00B20BE9">
        <w:rPr>
          <w:rFonts w:eastAsia="Calibri"/>
          <w:sz w:val="24"/>
          <w:szCs w:val="24"/>
        </w:rPr>
        <w:t>, OCA St. No. 1</w:t>
      </w:r>
      <w:r w:rsidR="00B264A4" w:rsidRPr="00B20BE9">
        <w:rPr>
          <w:rFonts w:eastAsia="Calibri"/>
          <w:sz w:val="24"/>
          <w:szCs w:val="24"/>
        </w:rPr>
        <w:t xml:space="preserve">, p. </w:t>
      </w:r>
      <w:r w:rsidR="00B42C82" w:rsidRPr="00B20BE9">
        <w:rPr>
          <w:rFonts w:eastAsia="Calibri"/>
          <w:sz w:val="24"/>
          <w:szCs w:val="24"/>
        </w:rPr>
        <w:t>6; OCA St. No. 1</w:t>
      </w:r>
      <w:r w:rsidR="00633FCE" w:rsidRPr="00B20BE9">
        <w:rPr>
          <w:rFonts w:eastAsia="Calibri"/>
          <w:sz w:val="24"/>
          <w:szCs w:val="24"/>
        </w:rPr>
        <w:t xml:space="preserve">-S, pp. </w:t>
      </w:r>
      <w:r w:rsidR="008C37E5" w:rsidRPr="00B20BE9">
        <w:rPr>
          <w:rFonts w:eastAsia="Calibri"/>
          <w:sz w:val="24"/>
          <w:szCs w:val="24"/>
        </w:rPr>
        <w:t>2-3; OCA M.B., p</w:t>
      </w:r>
      <w:r w:rsidR="0048239B" w:rsidRPr="00B20BE9">
        <w:rPr>
          <w:rFonts w:eastAsia="Calibri"/>
          <w:sz w:val="24"/>
          <w:szCs w:val="24"/>
        </w:rPr>
        <w:t>p</w:t>
      </w:r>
      <w:r w:rsidR="008C37E5" w:rsidRPr="00B20BE9">
        <w:rPr>
          <w:rFonts w:eastAsia="Calibri"/>
          <w:sz w:val="24"/>
          <w:szCs w:val="24"/>
        </w:rPr>
        <w:t>.</w:t>
      </w:r>
      <w:r w:rsidR="005351A1">
        <w:rPr>
          <w:rFonts w:eastAsia="Calibri"/>
          <w:sz w:val="24"/>
          <w:szCs w:val="24"/>
        </w:rPr>
        <w:t> </w:t>
      </w:r>
      <w:r w:rsidR="008C37E5" w:rsidRPr="005351A1">
        <w:rPr>
          <w:rFonts w:eastAsia="Calibri"/>
        </w:rPr>
        <w:t>18</w:t>
      </w:r>
      <w:r w:rsidR="005351A1">
        <w:rPr>
          <w:rFonts w:eastAsia="Calibri"/>
        </w:rPr>
        <w:noBreakHyphen/>
      </w:r>
      <w:r w:rsidR="0048239B" w:rsidRPr="005351A1">
        <w:rPr>
          <w:rFonts w:eastAsia="Calibri"/>
        </w:rPr>
        <w:t>19</w:t>
      </w:r>
      <w:r w:rsidR="008C37E5" w:rsidRPr="00B20BE9">
        <w:rPr>
          <w:rFonts w:eastAsia="Calibri"/>
          <w:sz w:val="24"/>
          <w:szCs w:val="24"/>
        </w:rPr>
        <w:t>.</w:t>
      </w:r>
    </w:p>
    <w:p w:rsidR="002453FA" w:rsidRPr="00B20BE9" w:rsidRDefault="002453FA" w:rsidP="00982D8E">
      <w:pPr>
        <w:rPr>
          <w:rFonts w:eastAsia="Calibri"/>
          <w:sz w:val="24"/>
          <w:szCs w:val="24"/>
        </w:rPr>
      </w:pPr>
    </w:p>
    <w:p w:rsidR="000D1F25" w:rsidRDefault="002453FA" w:rsidP="00D577FF">
      <w:pPr>
        <w:rPr>
          <w:rFonts w:eastAsia="Calibri"/>
          <w:sz w:val="24"/>
          <w:szCs w:val="24"/>
        </w:rPr>
      </w:pPr>
      <w:r w:rsidRPr="00B20BE9">
        <w:rPr>
          <w:rFonts w:eastAsia="Calibri"/>
          <w:sz w:val="24"/>
          <w:szCs w:val="24"/>
        </w:rPr>
        <w:tab/>
      </w:r>
      <w:r w:rsidRPr="00B20BE9">
        <w:rPr>
          <w:rFonts w:eastAsia="Calibri"/>
          <w:sz w:val="24"/>
          <w:szCs w:val="24"/>
        </w:rPr>
        <w:tab/>
        <w:t xml:space="preserve">In response to PPL’s argument that recognition of the ADIT is beyond the contemplation of the DSIC’s single-issue ratemaking, because the Company’s overall tax loss position is required, OCA </w:t>
      </w:r>
      <w:r w:rsidR="00F6710A" w:rsidRPr="00B20BE9">
        <w:rPr>
          <w:rFonts w:eastAsia="Calibri"/>
          <w:sz w:val="24"/>
          <w:szCs w:val="24"/>
        </w:rPr>
        <w:t xml:space="preserve">asserted </w:t>
      </w:r>
      <w:r w:rsidRPr="00B20BE9">
        <w:rPr>
          <w:rFonts w:eastAsia="Calibri"/>
          <w:sz w:val="24"/>
          <w:szCs w:val="24"/>
        </w:rPr>
        <w:t xml:space="preserve">that the DSIC so-called “single issue” involves the recovery of a capital cost.  That, according to OCA, includes by statute not only plant investment but the associated pre-tax return, which includes federal income taxes.  66 Pa.C.S. § 1357(a)(3), (b)(1).  OCA asserted that the revenue requirement needed to recover that capital cost and pre-tax return cannot be correctly valued </w:t>
      </w:r>
      <w:r w:rsidRPr="00B20BE9">
        <w:rPr>
          <w:rFonts w:eastAsia="Calibri"/>
          <w:sz w:val="24"/>
          <w:szCs w:val="24"/>
          <w:u w:val="single"/>
        </w:rPr>
        <w:t>without</w:t>
      </w:r>
      <w:r w:rsidRPr="00B20BE9">
        <w:rPr>
          <w:rFonts w:eastAsia="Calibri"/>
          <w:sz w:val="24"/>
          <w:szCs w:val="24"/>
        </w:rPr>
        <w:t xml:space="preserve"> deducting ADIT</w:t>
      </w:r>
      <w:r w:rsidR="001E6793" w:rsidRPr="00B20BE9">
        <w:rPr>
          <w:rFonts w:eastAsia="Calibri"/>
          <w:sz w:val="24"/>
          <w:szCs w:val="24"/>
        </w:rPr>
        <w:t>.  It cited to Mr. Catlin’s explanation:</w:t>
      </w:r>
    </w:p>
    <w:p w:rsidR="002453FA" w:rsidRPr="00B20BE9" w:rsidRDefault="002453FA" w:rsidP="00D577FF">
      <w:pPr>
        <w:rPr>
          <w:rFonts w:eastAsia="Calibri"/>
          <w:sz w:val="24"/>
          <w:szCs w:val="24"/>
        </w:rPr>
      </w:pPr>
      <w:r w:rsidRPr="00B20BE9">
        <w:rPr>
          <w:rFonts w:eastAsia="Calibri"/>
          <w:sz w:val="24"/>
          <w:szCs w:val="24"/>
        </w:rPr>
        <w:tab/>
      </w:r>
      <w:r w:rsidRPr="00B20BE9">
        <w:rPr>
          <w:rFonts w:eastAsia="Calibri"/>
          <w:sz w:val="24"/>
          <w:szCs w:val="24"/>
        </w:rPr>
        <w:tab/>
      </w:r>
    </w:p>
    <w:p w:rsidR="00D577FF" w:rsidRPr="00B20BE9" w:rsidRDefault="00D577FF" w:rsidP="005C79E7">
      <w:pPr>
        <w:spacing w:line="240" w:lineRule="auto"/>
        <w:ind w:left="1440" w:right="1440"/>
        <w:rPr>
          <w:rFonts w:eastAsia="Calibri"/>
          <w:iCs/>
          <w:color w:val="000000"/>
          <w:sz w:val="24"/>
          <w:szCs w:val="24"/>
        </w:rPr>
      </w:pPr>
      <w:r w:rsidRPr="00B20BE9">
        <w:rPr>
          <w:rFonts w:eastAsia="Calibri"/>
          <w:iCs/>
          <w:color w:val="000000"/>
          <w:sz w:val="24"/>
          <w:szCs w:val="24"/>
        </w:rPr>
        <w:t>Act 11 allows PPL and other electric and gas companies to isolate the costs associated with DSIC-eligible plant and separately recover those costs.  This approved exception to the general prohibition against single issue ratemaking does not mean that PPL should be allowed to calculate the DSIC surcharge in a way that overstates the costs associated with that investment.</w:t>
      </w:r>
    </w:p>
    <w:p w:rsidR="000D6D68" w:rsidRPr="00B20BE9" w:rsidRDefault="000D6D68" w:rsidP="000D6D68">
      <w:pPr>
        <w:spacing w:line="240" w:lineRule="auto"/>
        <w:rPr>
          <w:rFonts w:eastAsia="Calibri"/>
          <w:sz w:val="24"/>
          <w:szCs w:val="24"/>
        </w:rPr>
      </w:pPr>
    </w:p>
    <w:p w:rsidR="000D6D68" w:rsidRPr="00B20BE9" w:rsidRDefault="00D577FF" w:rsidP="00D577FF">
      <w:pPr>
        <w:rPr>
          <w:rFonts w:eastAsia="Calibri"/>
          <w:sz w:val="24"/>
          <w:szCs w:val="24"/>
        </w:rPr>
      </w:pPr>
      <w:r w:rsidRPr="00B20BE9">
        <w:rPr>
          <w:rFonts w:eastAsia="Calibri"/>
          <w:sz w:val="24"/>
          <w:szCs w:val="24"/>
        </w:rPr>
        <w:t xml:space="preserve">OCA St. </w:t>
      </w:r>
      <w:r w:rsidR="000D49C9" w:rsidRPr="00B20BE9">
        <w:rPr>
          <w:rFonts w:eastAsia="Calibri"/>
          <w:sz w:val="24"/>
          <w:szCs w:val="24"/>
        </w:rPr>
        <w:t xml:space="preserve">No. </w:t>
      </w:r>
      <w:r w:rsidR="00B264A4" w:rsidRPr="00B20BE9">
        <w:rPr>
          <w:rFonts w:eastAsia="Calibri"/>
          <w:sz w:val="24"/>
          <w:szCs w:val="24"/>
        </w:rPr>
        <w:t xml:space="preserve">1-S, p. </w:t>
      </w:r>
      <w:r w:rsidRPr="00B20BE9">
        <w:rPr>
          <w:rFonts w:eastAsia="Calibri"/>
          <w:sz w:val="24"/>
          <w:szCs w:val="24"/>
        </w:rPr>
        <w:t>4.</w:t>
      </w:r>
    </w:p>
    <w:p w:rsidR="000D6D68" w:rsidRPr="00B20BE9" w:rsidRDefault="000D6D68" w:rsidP="00D577FF">
      <w:pPr>
        <w:rPr>
          <w:rFonts w:eastAsia="Calibri"/>
          <w:sz w:val="24"/>
          <w:szCs w:val="24"/>
        </w:rPr>
      </w:pPr>
    </w:p>
    <w:p w:rsidR="00B42C82" w:rsidRPr="00B20BE9" w:rsidRDefault="000D6D68" w:rsidP="00360D9A">
      <w:pPr>
        <w:ind w:firstLine="1440"/>
        <w:rPr>
          <w:rFonts w:eastAsia="Calibri"/>
          <w:sz w:val="24"/>
          <w:szCs w:val="24"/>
        </w:rPr>
      </w:pPr>
      <w:r w:rsidRPr="00B20BE9">
        <w:rPr>
          <w:rFonts w:eastAsia="Calibri"/>
          <w:sz w:val="24"/>
          <w:szCs w:val="24"/>
        </w:rPr>
        <w:t xml:space="preserve">OCA concluded that, </w:t>
      </w:r>
      <w:r w:rsidR="00D577FF" w:rsidRPr="00B20BE9">
        <w:rPr>
          <w:rFonts w:eastAsia="Calibri"/>
          <w:sz w:val="24"/>
          <w:szCs w:val="24"/>
        </w:rPr>
        <w:t>to the extent that additional calculations are necessary to establish a DSIC rate that meets the requirements of Act 11 and Section 1301</w:t>
      </w:r>
      <w:r w:rsidRPr="00B20BE9">
        <w:rPr>
          <w:rFonts w:eastAsia="Calibri"/>
          <w:sz w:val="24"/>
          <w:szCs w:val="24"/>
        </w:rPr>
        <w:t xml:space="preserve"> of the Code</w:t>
      </w:r>
      <w:r w:rsidR="00D577FF" w:rsidRPr="00B20BE9">
        <w:rPr>
          <w:rFonts w:eastAsia="Calibri"/>
          <w:sz w:val="24"/>
          <w:szCs w:val="24"/>
        </w:rPr>
        <w:fldChar w:fldCharType="begin"/>
      </w:r>
      <w:r w:rsidR="00D577FF" w:rsidRPr="00B20BE9">
        <w:rPr>
          <w:rFonts w:eastAsia="Calibri"/>
          <w:sz w:val="24"/>
          <w:szCs w:val="24"/>
        </w:rPr>
        <w:instrText xml:space="preserve"> TA \s "66 Pa. C.S. § 1301" </w:instrText>
      </w:r>
      <w:r w:rsidR="00D577FF" w:rsidRPr="00B20BE9">
        <w:rPr>
          <w:rFonts w:eastAsia="Calibri"/>
          <w:sz w:val="24"/>
          <w:szCs w:val="24"/>
        </w:rPr>
        <w:fldChar w:fldCharType="end"/>
      </w:r>
      <w:r w:rsidR="00D577FF" w:rsidRPr="00B20BE9">
        <w:rPr>
          <w:rFonts w:eastAsia="Calibri"/>
          <w:sz w:val="24"/>
          <w:szCs w:val="24"/>
        </w:rPr>
        <w:t>, they cannot be ignored on the basis that it is simpler not to make them.</w:t>
      </w:r>
    </w:p>
    <w:p w:rsidR="00F6710A" w:rsidRPr="00B20BE9" w:rsidRDefault="00F6710A" w:rsidP="000D6D68">
      <w:pPr>
        <w:rPr>
          <w:rFonts w:eastAsia="Calibri"/>
          <w:sz w:val="24"/>
          <w:szCs w:val="24"/>
        </w:rPr>
      </w:pPr>
    </w:p>
    <w:p w:rsidR="00893E9E" w:rsidRPr="00B20BE9" w:rsidRDefault="00F6710A" w:rsidP="000D6D68">
      <w:pPr>
        <w:rPr>
          <w:rFonts w:eastAsia="Calibri"/>
          <w:sz w:val="24"/>
          <w:szCs w:val="24"/>
        </w:rPr>
      </w:pPr>
      <w:r w:rsidRPr="00B20BE9">
        <w:rPr>
          <w:rFonts w:eastAsia="Calibri"/>
          <w:sz w:val="24"/>
          <w:szCs w:val="24"/>
        </w:rPr>
        <w:tab/>
      </w:r>
      <w:r w:rsidRPr="00B20BE9">
        <w:rPr>
          <w:rFonts w:eastAsia="Calibri"/>
          <w:sz w:val="24"/>
          <w:szCs w:val="24"/>
        </w:rPr>
        <w:tab/>
        <w:t>OCA also responded to PPL’s contention that identification of the Company’s overall tax loss position requires quarterly recalculation of all elements of the Company’s ratemaking formula to implement a DSIC.  Its witness Mr. Catlin testified that, if PPL is unable to determine whether it is currently in a tax loss position,</w:t>
      </w:r>
      <w:r w:rsidR="00AD7F98" w:rsidRPr="00B20BE9">
        <w:rPr>
          <w:rFonts w:eastAsia="Calibri"/>
          <w:sz w:val="24"/>
          <w:szCs w:val="24"/>
        </w:rPr>
        <w:t xml:space="preserve"> the Company can either estimate its position or assume that it is in a tax loss position for purposes of deducting ADIT in its quar</w:t>
      </w:r>
      <w:r w:rsidR="00633FCE" w:rsidRPr="00B20BE9">
        <w:rPr>
          <w:rFonts w:eastAsia="Calibri"/>
          <w:sz w:val="24"/>
          <w:szCs w:val="24"/>
        </w:rPr>
        <w:t xml:space="preserve">terly DSIC.  OCA St. No. 1-S, p. </w:t>
      </w:r>
      <w:r w:rsidR="00AD7F98" w:rsidRPr="00B20BE9">
        <w:rPr>
          <w:rFonts w:eastAsia="Calibri"/>
          <w:sz w:val="24"/>
          <w:szCs w:val="24"/>
        </w:rPr>
        <w:t>4.  Mr. Catlin explained:</w:t>
      </w:r>
    </w:p>
    <w:p w:rsidR="00F6710A" w:rsidRPr="00B20BE9" w:rsidRDefault="00F6710A" w:rsidP="000D6D68">
      <w:pPr>
        <w:rPr>
          <w:rFonts w:eastAsia="Calibri"/>
          <w:sz w:val="24"/>
          <w:szCs w:val="24"/>
        </w:rPr>
      </w:pPr>
    </w:p>
    <w:p w:rsidR="00893E9E" w:rsidRPr="00B20BE9" w:rsidRDefault="00893E9E" w:rsidP="005C79E7">
      <w:pPr>
        <w:spacing w:line="240" w:lineRule="auto"/>
        <w:ind w:left="1440" w:right="1440"/>
        <w:rPr>
          <w:rFonts w:eastAsia="Calibri"/>
          <w:iCs/>
          <w:color w:val="000000"/>
          <w:sz w:val="24"/>
          <w:szCs w:val="24"/>
        </w:rPr>
      </w:pPr>
      <w:r w:rsidRPr="00B20BE9">
        <w:rPr>
          <w:rFonts w:eastAsia="Calibri"/>
          <w:iCs/>
          <w:color w:val="000000"/>
          <w:sz w:val="24"/>
          <w:szCs w:val="24"/>
        </w:rPr>
        <w:t>At the end of each tax year, PPL should be able to determine or reasonably estimate whether it is in a tax loss position or not, and should also be able to estimate the extent of its loss carry-forwards going forward.  To the extent that there is uncertainty, PPL can prepare its DSIC filings assuming that it is in a tax loss position and not include a rate base deduction for ADIT.  If it is later determined that PPL is not in a tax loss position, it can true-up its DSIC calculations to account for the appropriate level of ADIT as part of its annual DSIC reconciliation.</w:t>
      </w:r>
    </w:p>
    <w:p w:rsidR="00893E9E" w:rsidRPr="00B20BE9" w:rsidRDefault="00893E9E" w:rsidP="0091438E">
      <w:pPr>
        <w:spacing w:line="240" w:lineRule="auto"/>
        <w:ind w:left="1440" w:right="1440"/>
        <w:jc w:val="both"/>
        <w:rPr>
          <w:rFonts w:eastAsia="Calibri"/>
          <w:iCs/>
          <w:color w:val="000000"/>
          <w:sz w:val="24"/>
          <w:szCs w:val="24"/>
        </w:rPr>
      </w:pPr>
    </w:p>
    <w:p w:rsidR="00893E9E" w:rsidRPr="00B20BE9" w:rsidRDefault="00893E9E" w:rsidP="00893E9E">
      <w:pPr>
        <w:jc w:val="both"/>
        <w:rPr>
          <w:rFonts w:eastAsia="Calibri"/>
          <w:sz w:val="24"/>
          <w:szCs w:val="24"/>
        </w:rPr>
      </w:pPr>
      <w:r w:rsidRPr="00B20BE9">
        <w:rPr>
          <w:rFonts w:eastAsia="Calibri"/>
          <w:sz w:val="24"/>
          <w:szCs w:val="24"/>
        </w:rPr>
        <w:t xml:space="preserve">OCA St. No. </w:t>
      </w:r>
      <w:r w:rsidR="00633FCE" w:rsidRPr="00B20BE9">
        <w:rPr>
          <w:rFonts w:eastAsia="Calibri"/>
          <w:sz w:val="24"/>
          <w:szCs w:val="24"/>
        </w:rPr>
        <w:t xml:space="preserve">1-S, p. </w:t>
      </w:r>
      <w:r w:rsidRPr="00B20BE9">
        <w:rPr>
          <w:rFonts w:eastAsia="Calibri"/>
          <w:sz w:val="24"/>
          <w:szCs w:val="24"/>
        </w:rPr>
        <w:t>4.</w:t>
      </w:r>
    </w:p>
    <w:p w:rsidR="00893E9E" w:rsidRPr="00B20BE9" w:rsidRDefault="00893E9E" w:rsidP="00893E9E">
      <w:pPr>
        <w:jc w:val="both"/>
        <w:rPr>
          <w:rFonts w:eastAsia="Calibri"/>
          <w:sz w:val="24"/>
          <w:szCs w:val="24"/>
        </w:rPr>
      </w:pPr>
    </w:p>
    <w:p w:rsidR="00893E9E" w:rsidRPr="00B20BE9" w:rsidRDefault="00893E9E" w:rsidP="00893E9E">
      <w:pPr>
        <w:rPr>
          <w:rFonts w:eastAsia="Calibri"/>
          <w:sz w:val="24"/>
          <w:szCs w:val="24"/>
        </w:rPr>
      </w:pPr>
      <w:r w:rsidRPr="00B20BE9">
        <w:rPr>
          <w:rFonts w:eastAsia="Calibri"/>
          <w:sz w:val="24"/>
          <w:szCs w:val="24"/>
        </w:rPr>
        <w:tab/>
      </w:r>
      <w:r w:rsidRPr="00B20BE9">
        <w:rPr>
          <w:rFonts w:eastAsia="Calibri"/>
          <w:sz w:val="24"/>
          <w:szCs w:val="24"/>
        </w:rPr>
        <w:tab/>
        <w:t xml:space="preserve">In further response, OCA observed that PPL already files annual and quarterly reports on its results of operations and related income tax expense with the Securities and Exchange Commission.  PPL St. No. </w:t>
      </w:r>
      <w:r w:rsidR="00633FCE" w:rsidRPr="00B20BE9">
        <w:rPr>
          <w:rFonts w:eastAsia="Calibri"/>
          <w:sz w:val="24"/>
          <w:szCs w:val="24"/>
        </w:rPr>
        <w:t xml:space="preserve">4-R, p. </w:t>
      </w:r>
      <w:r w:rsidRPr="00B20BE9">
        <w:rPr>
          <w:rFonts w:eastAsia="Calibri"/>
          <w:sz w:val="24"/>
          <w:szCs w:val="24"/>
        </w:rPr>
        <w:t>4.  In addition, PPL prepares annual federal and state tax returns.  PPL St. No.</w:t>
      </w:r>
      <w:r w:rsidR="00633FCE" w:rsidRPr="00B20BE9">
        <w:rPr>
          <w:rFonts w:eastAsia="Calibri"/>
          <w:sz w:val="24"/>
          <w:szCs w:val="24"/>
        </w:rPr>
        <w:t xml:space="preserve"> 4-R, pp. </w:t>
      </w:r>
      <w:r w:rsidRPr="00B20BE9">
        <w:rPr>
          <w:rFonts w:eastAsia="Calibri"/>
          <w:sz w:val="24"/>
          <w:szCs w:val="24"/>
        </w:rPr>
        <w:t xml:space="preserve">4-5.  Therefore, making an annual determination whether or not it is in a tax loss position should not require an unreasonable amount of time or additional work by the Company, according to the OCA.  PPL St. No. </w:t>
      </w:r>
      <w:r w:rsidR="00633FCE" w:rsidRPr="00B20BE9">
        <w:rPr>
          <w:rFonts w:eastAsia="Calibri"/>
          <w:sz w:val="24"/>
          <w:szCs w:val="24"/>
        </w:rPr>
        <w:t xml:space="preserve">3-RJ, p. </w:t>
      </w:r>
      <w:r w:rsidRPr="00B20BE9">
        <w:rPr>
          <w:rFonts w:eastAsia="Calibri"/>
          <w:sz w:val="24"/>
          <w:szCs w:val="24"/>
        </w:rPr>
        <w:t xml:space="preserve">3; PPL St. </w:t>
      </w:r>
      <w:r w:rsidR="002711C7" w:rsidRPr="00B20BE9">
        <w:rPr>
          <w:rFonts w:eastAsia="Calibri"/>
          <w:sz w:val="24"/>
          <w:szCs w:val="24"/>
        </w:rPr>
        <w:t xml:space="preserve">No. </w:t>
      </w:r>
      <w:r w:rsidR="00633FCE" w:rsidRPr="00B20BE9">
        <w:rPr>
          <w:rFonts w:eastAsia="Calibri"/>
          <w:sz w:val="24"/>
          <w:szCs w:val="24"/>
        </w:rPr>
        <w:t xml:space="preserve">4-R, pp. </w:t>
      </w:r>
      <w:r w:rsidRPr="00B20BE9">
        <w:rPr>
          <w:rFonts w:eastAsia="Calibri"/>
          <w:sz w:val="24"/>
          <w:szCs w:val="24"/>
        </w:rPr>
        <w:t xml:space="preserve">6-7.  </w:t>
      </w:r>
      <w:r w:rsidR="002711C7" w:rsidRPr="00B20BE9">
        <w:rPr>
          <w:rFonts w:eastAsia="Calibri"/>
          <w:sz w:val="24"/>
          <w:szCs w:val="24"/>
        </w:rPr>
        <w:t xml:space="preserve">OCA continued with an observation that </w:t>
      </w:r>
      <w:r w:rsidRPr="00B20BE9">
        <w:rPr>
          <w:rFonts w:eastAsia="Calibri"/>
          <w:sz w:val="24"/>
          <w:szCs w:val="24"/>
        </w:rPr>
        <w:t>the Company’s overall tax loss position does not become part of the DSIC calculation itself; it is a yes or no answer that determines whether or not it is necessary to include ADIT in the DSIC calculation for the relevant time period.</w:t>
      </w:r>
      <w:r w:rsidR="00D077B9">
        <w:rPr>
          <w:rFonts w:eastAsia="Calibri"/>
          <w:sz w:val="24"/>
          <w:szCs w:val="24"/>
        </w:rPr>
        <w:t xml:space="preserve">  OCA M.B., p. </w:t>
      </w:r>
      <w:r w:rsidR="008A3805" w:rsidRPr="00B20BE9">
        <w:rPr>
          <w:rFonts w:eastAsia="Calibri"/>
          <w:sz w:val="24"/>
          <w:szCs w:val="24"/>
        </w:rPr>
        <w:t>20.</w:t>
      </w:r>
    </w:p>
    <w:p w:rsidR="00893E9E" w:rsidRPr="00B20BE9" w:rsidRDefault="00893E9E" w:rsidP="00893E9E">
      <w:pPr>
        <w:rPr>
          <w:rFonts w:eastAsia="Calibri"/>
          <w:sz w:val="24"/>
          <w:szCs w:val="24"/>
        </w:rPr>
      </w:pPr>
    </w:p>
    <w:p w:rsidR="00893E9E" w:rsidRPr="00B20BE9" w:rsidRDefault="00893E9E" w:rsidP="00EF597C">
      <w:pPr>
        <w:rPr>
          <w:rFonts w:eastAsia="Calibri"/>
          <w:sz w:val="24"/>
          <w:szCs w:val="24"/>
        </w:rPr>
      </w:pPr>
      <w:r w:rsidRPr="00B20BE9">
        <w:rPr>
          <w:rFonts w:eastAsia="Calibri"/>
          <w:sz w:val="24"/>
          <w:szCs w:val="24"/>
        </w:rPr>
        <w:tab/>
      </w:r>
      <w:r w:rsidR="00EF597C" w:rsidRPr="00B20BE9">
        <w:rPr>
          <w:rFonts w:eastAsia="Calibri"/>
          <w:sz w:val="24"/>
          <w:szCs w:val="24"/>
        </w:rPr>
        <w:tab/>
      </w:r>
      <w:r w:rsidR="00D7049D" w:rsidRPr="00B20BE9">
        <w:rPr>
          <w:rFonts w:eastAsia="Calibri"/>
          <w:sz w:val="24"/>
          <w:szCs w:val="24"/>
        </w:rPr>
        <w:t>In addition, OCA contended it was unnecessary</w:t>
      </w:r>
      <w:r w:rsidRPr="00B20BE9">
        <w:rPr>
          <w:rFonts w:eastAsia="Calibri"/>
          <w:sz w:val="24"/>
          <w:szCs w:val="24"/>
        </w:rPr>
        <w:t xml:space="preserve"> for PPL to conduct an exact quarterly analysis of property eligible for tax deduction in order to recognize ADIT in the DSIC calculation.</w:t>
      </w:r>
      <w:r w:rsidR="00D7049D" w:rsidRPr="00B20BE9">
        <w:rPr>
          <w:rFonts w:eastAsia="Calibri"/>
          <w:sz w:val="24"/>
          <w:szCs w:val="24"/>
        </w:rPr>
        <w:t xml:space="preserve">  </w:t>
      </w:r>
      <w:r w:rsidRPr="00B20BE9">
        <w:rPr>
          <w:rFonts w:eastAsia="Calibri"/>
          <w:sz w:val="24"/>
          <w:szCs w:val="24"/>
        </w:rPr>
        <w:t xml:space="preserve">PPL St. </w:t>
      </w:r>
      <w:r w:rsidR="00D7049D" w:rsidRPr="00B20BE9">
        <w:rPr>
          <w:rFonts w:eastAsia="Calibri"/>
          <w:sz w:val="24"/>
          <w:szCs w:val="24"/>
        </w:rPr>
        <w:t xml:space="preserve">No. </w:t>
      </w:r>
      <w:r w:rsidR="00633FCE" w:rsidRPr="00B20BE9">
        <w:rPr>
          <w:rFonts w:eastAsia="Calibri"/>
          <w:sz w:val="24"/>
          <w:szCs w:val="24"/>
        </w:rPr>
        <w:t xml:space="preserve">4-R, pp. </w:t>
      </w:r>
      <w:r w:rsidRPr="00B20BE9">
        <w:rPr>
          <w:rFonts w:eastAsia="Calibri"/>
          <w:sz w:val="24"/>
          <w:szCs w:val="24"/>
        </w:rPr>
        <w:t>5-7</w:t>
      </w:r>
      <w:r w:rsidR="008A3805" w:rsidRPr="00B20BE9">
        <w:rPr>
          <w:rFonts w:eastAsia="Calibri"/>
          <w:sz w:val="24"/>
          <w:szCs w:val="24"/>
        </w:rPr>
        <w:t>; OCA M.B., p. 20</w:t>
      </w:r>
      <w:r w:rsidRPr="00B20BE9">
        <w:rPr>
          <w:rFonts w:eastAsia="Calibri"/>
          <w:sz w:val="24"/>
          <w:szCs w:val="24"/>
        </w:rPr>
        <w:t xml:space="preserve">.  Rather, </w:t>
      </w:r>
      <w:r w:rsidR="00D7049D" w:rsidRPr="00B20BE9">
        <w:rPr>
          <w:rFonts w:eastAsia="Calibri"/>
          <w:sz w:val="24"/>
          <w:szCs w:val="24"/>
        </w:rPr>
        <w:t xml:space="preserve">according to OCA, </w:t>
      </w:r>
      <w:r w:rsidRPr="00B20BE9">
        <w:rPr>
          <w:rFonts w:eastAsia="Calibri"/>
          <w:sz w:val="24"/>
          <w:szCs w:val="24"/>
        </w:rPr>
        <w:t>if PPL is unable to project the exact amounts of ADIT associated with DSIC-eligible plant on a current bas</w:t>
      </w:r>
      <w:r w:rsidR="00D7049D" w:rsidRPr="00B20BE9">
        <w:rPr>
          <w:rFonts w:eastAsia="Calibri"/>
          <w:sz w:val="24"/>
          <w:szCs w:val="24"/>
        </w:rPr>
        <w:t xml:space="preserve">is, </w:t>
      </w:r>
      <w:r w:rsidRPr="00B20BE9">
        <w:rPr>
          <w:rFonts w:eastAsia="Calibri"/>
          <w:sz w:val="24"/>
          <w:szCs w:val="24"/>
        </w:rPr>
        <w:t xml:space="preserve">PPL </w:t>
      </w:r>
      <w:r w:rsidR="00D7049D" w:rsidRPr="00B20BE9">
        <w:rPr>
          <w:rFonts w:eastAsia="Calibri"/>
          <w:sz w:val="24"/>
          <w:szCs w:val="24"/>
        </w:rPr>
        <w:t xml:space="preserve">could </w:t>
      </w:r>
      <w:r w:rsidRPr="00B20BE9">
        <w:rPr>
          <w:rFonts w:eastAsia="Calibri"/>
          <w:sz w:val="24"/>
          <w:szCs w:val="24"/>
        </w:rPr>
        <w:t>use the same procedure that it uses for financial reporting purp</w:t>
      </w:r>
      <w:r w:rsidR="00D7049D" w:rsidRPr="00B20BE9">
        <w:rPr>
          <w:rFonts w:eastAsia="Calibri"/>
          <w:sz w:val="24"/>
          <w:szCs w:val="24"/>
        </w:rPr>
        <w:t xml:space="preserve">oses.  Specifically, OCA witness Catlin </w:t>
      </w:r>
      <w:r w:rsidRPr="00B20BE9">
        <w:rPr>
          <w:rFonts w:eastAsia="Calibri"/>
          <w:sz w:val="24"/>
          <w:szCs w:val="24"/>
        </w:rPr>
        <w:t>stated:</w:t>
      </w:r>
    </w:p>
    <w:p w:rsidR="00D7049D" w:rsidRPr="00B20BE9" w:rsidRDefault="00D7049D" w:rsidP="00EF597C">
      <w:pPr>
        <w:rPr>
          <w:rFonts w:eastAsia="Calibri"/>
          <w:sz w:val="24"/>
          <w:szCs w:val="24"/>
        </w:rPr>
      </w:pPr>
    </w:p>
    <w:p w:rsidR="00893E9E" w:rsidRPr="00B20BE9" w:rsidRDefault="00893E9E" w:rsidP="005C79E7">
      <w:pPr>
        <w:spacing w:line="240" w:lineRule="auto"/>
        <w:ind w:left="1440" w:right="1440"/>
        <w:rPr>
          <w:rFonts w:eastAsia="Calibri"/>
          <w:iCs/>
          <w:color w:val="000000"/>
          <w:sz w:val="24"/>
          <w:szCs w:val="24"/>
        </w:rPr>
      </w:pPr>
      <w:r w:rsidRPr="00B20BE9">
        <w:rPr>
          <w:rFonts w:eastAsia="Calibri"/>
          <w:iCs/>
          <w:color w:val="000000"/>
          <w:sz w:val="24"/>
          <w:szCs w:val="24"/>
        </w:rPr>
        <w:t>PPL should estimate to the best of its ability the ADIT associated with DSIC-eligible plant additions through the first three quarters of each calendar year.  Then, at the end of the year, it can true up its DSIC calculations to reflect the actual ADIT balances at the same time it prepares its annual reconciliation for each calendar year.</w:t>
      </w:r>
    </w:p>
    <w:p w:rsidR="00893E9E" w:rsidRPr="00B20BE9" w:rsidRDefault="00893E9E" w:rsidP="006D7DB5">
      <w:pPr>
        <w:spacing w:line="240" w:lineRule="auto"/>
        <w:ind w:left="1440" w:right="1440"/>
        <w:jc w:val="both"/>
        <w:rPr>
          <w:rFonts w:eastAsia="Calibri"/>
          <w:iCs/>
          <w:color w:val="000000"/>
          <w:sz w:val="24"/>
          <w:szCs w:val="24"/>
        </w:rPr>
      </w:pPr>
    </w:p>
    <w:p w:rsidR="00D609FB" w:rsidRPr="00B20BE9" w:rsidRDefault="00893E9E" w:rsidP="00893E9E">
      <w:pPr>
        <w:rPr>
          <w:rFonts w:eastAsia="Calibri"/>
          <w:sz w:val="24"/>
          <w:szCs w:val="24"/>
        </w:rPr>
      </w:pPr>
      <w:r w:rsidRPr="00B20BE9">
        <w:rPr>
          <w:rFonts w:eastAsia="Calibri"/>
          <w:sz w:val="24"/>
          <w:szCs w:val="24"/>
        </w:rPr>
        <w:t xml:space="preserve">OCA St. No. </w:t>
      </w:r>
      <w:r w:rsidR="00633FCE" w:rsidRPr="00B20BE9">
        <w:rPr>
          <w:rFonts w:eastAsia="Calibri"/>
          <w:sz w:val="24"/>
          <w:szCs w:val="24"/>
        </w:rPr>
        <w:t xml:space="preserve">1, p. </w:t>
      </w:r>
      <w:r w:rsidRPr="00B20BE9">
        <w:rPr>
          <w:rFonts w:eastAsia="Calibri"/>
          <w:sz w:val="24"/>
          <w:szCs w:val="24"/>
        </w:rPr>
        <w:t>6.</w:t>
      </w:r>
    </w:p>
    <w:p w:rsidR="003E7BED" w:rsidRPr="00B20BE9" w:rsidRDefault="003E7BED" w:rsidP="00893E9E">
      <w:pPr>
        <w:rPr>
          <w:rFonts w:eastAsia="Calibri"/>
          <w:sz w:val="24"/>
          <w:szCs w:val="24"/>
        </w:rPr>
      </w:pPr>
    </w:p>
    <w:p w:rsidR="003E7BED" w:rsidRPr="00B20BE9" w:rsidRDefault="00767E72" w:rsidP="00893E9E">
      <w:pPr>
        <w:rPr>
          <w:rFonts w:eastAsia="Calibri"/>
          <w:sz w:val="24"/>
          <w:szCs w:val="24"/>
        </w:rPr>
      </w:pPr>
      <w:r w:rsidRPr="00B20BE9">
        <w:rPr>
          <w:rFonts w:eastAsia="Calibri"/>
          <w:sz w:val="24"/>
          <w:szCs w:val="24"/>
        </w:rPr>
        <w:tab/>
      </w:r>
      <w:r w:rsidRPr="00B20BE9">
        <w:rPr>
          <w:rFonts w:eastAsia="Calibri"/>
          <w:sz w:val="24"/>
          <w:szCs w:val="24"/>
        </w:rPr>
        <w:tab/>
      </w:r>
      <w:r w:rsidR="00711C2E" w:rsidRPr="00B20BE9">
        <w:rPr>
          <w:rFonts w:eastAsia="Calibri"/>
          <w:sz w:val="24"/>
          <w:szCs w:val="24"/>
        </w:rPr>
        <w:t xml:space="preserve">With regard to PPL’s concerns about use of estimates, OCA replied that Act 11 specifically provides for the use of estimates that will be trued-up through the reconciliation, recoupment and refund process. </w:t>
      </w:r>
      <w:r w:rsidR="006D7DB5">
        <w:rPr>
          <w:rFonts w:eastAsia="Calibri"/>
          <w:sz w:val="24"/>
          <w:szCs w:val="24"/>
        </w:rPr>
        <w:t xml:space="preserve"> </w:t>
      </w:r>
      <w:r w:rsidR="00711C2E" w:rsidRPr="00B20BE9">
        <w:rPr>
          <w:rFonts w:eastAsia="Calibri"/>
          <w:sz w:val="24"/>
          <w:szCs w:val="24"/>
        </w:rPr>
        <w:t xml:space="preserve">66 Pa.C.S. §§ 1357, 1358.  Further, in response to PPL’s concerns that the estimated ADIT will include costs in the DSIC that are not known, in violation of 66 Pa.C.S. § 1357, OCA asserted that recognition of ADIT relates to </w:t>
      </w:r>
      <w:r w:rsidR="00FA274A" w:rsidRPr="00B20BE9">
        <w:rPr>
          <w:rFonts w:eastAsia="Calibri"/>
          <w:sz w:val="24"/>
          <w:szCs w:val="24"/>
        </w:rPr>
        <w:t>prevention of excessive return on plant that is alread</w:t>
      </w:r>
      <w:r w:rsidR="00633FCE" w:rsidRPr="00B20BE9">
        <w:rPr>
          <w:rFonts w:eastAsia="Calibri"/>
          <w:sz w:val="24"/>
          <w:szCs w:val="24"/>
        </w:rPr>
        <w:t xml:space="preserve">y in service.  OCA St. No. 1, pp. </w:t>
      </w:r>
      <w:r w:rsidR="00FA274A" w:rsidRPr="00B20BE9">
        <w:rPr>
          <w:rFonts w:eastAsia="Calibri"/>
          <w:sz w:val="24"/>
          <w:szCs w:val="24"/>
        </w:rPr>
        <w:t>4-5.  It emphasized that recognition of ADIT is required so that rates are just and reasonable.  OCA M.B., p. 22.</w:t>
      </w:r>
    </w:p>
    <w:p w:rsidR="00345C40" w:rsidRPr="00B20BE9" w:rsidRDefault="00345C40" w:rsidP="00893E9E">
      <w:pPr>
        <w:rPr>
          <w:rFonts w:eastAsia="Calibri"/>
          <w:sz w:val="24"/>
          <w:szCs w:val="24"/>
        </w:rPr>
      </w:pPr>
    </w:p>
    <w:p w:rsidR="0085709D" w:rsidRPr="00B20BE9" w:rsidRDefault="00345C40" w:rsidP="00893E9E">
      <w:pPr>
        <w:rPr>
          <w:rFonts w:eastAsia="Calibri"/>
          <w:sz w:val="24"/>
          <w:szCs w:val="24"/>
        </w:rPr>
      </w:pPr>
      <w:r w:rsidRPr="00B20BE9">
        <w:rPr>
          <w:rFonts w:eastAsia="Calibri"/>
          <w:sz w:val="24"/>
          <w:szCs w:val="24"/>
        </w:rPr>
        <w:tab/>
      </w:r>
      <w:r w:rsidRPr="00B20BE9">
        <w:rPr>
          <w:rFonts w:eastAsia="Calibri"/>
          <w:sz w:val="24"/>
          <w:szCs w:val="24"/>
        </w:rPr>
        <w:tab/>
        <w:t>OCA also addressed PPL’s argument that ratepayers are protected from an overstated DSIC</w:t>
      </w:r>
      <w:r w:rsidR="00F31F1B" w:rsidRPr="00B20BE9">
        <w:rPr>
          <w:rFonts w:eastAsia="Calibri"/>
          <w:sz w:val="24"/>
          <w:szCs w:val="24"/>
        </w:rPr>
        <w:t xml:space="preserve"> by an earnings cap.  It acknowledged that the earnings cap will prevent a utility from charging a DSIC when its reported quarterly earnings exceed the rate of return authorized in its last base rate case or in the Commission’s Quarterly</w:t>
      </w:r>
      <w:r w:rsidR="00A85E05">
        <w:rPr>
          <w:rFonts w:eastAsia="Calibri"/>
          <w:sz w:val="24"/>
          <w:szCs w:val="24"/>
        </w:rPr>
        <w:t xml:space="preserve"> Earnings Report.  66 Pa.C.S. § </w:t>
      </w:r>
      <w:r w:rsidR="00F31F1B" w:rsidRPr="00B20BE9">
        <w:rPr>
          <w:rFonts w:eastAsia="Calibri"/>
          <w:sz w:val="24"/>
          <w:szCs w:val="24"/>
        </w:rPr>
        <w:t>1357(b)(2)-(3); OCA M.B., p. 23.  Those earnings reports, however, are not subject to the type of review and scrutiny that occur in a rate case, according to the OCA, and the question of whether or not a utility is “overearning” may be a product of a my</w:t>
      </w:r>
      <w:r w:rsidR="00614C2F" w:rsidRPr="00B20BE9">
        <w:rPr>
          <w:rFonts w:eastAsia="Calibri"/>
          <w:sz w:val="24"/>
          <w:szCs w:val="24"/>
        </w:rPr>
        <w:t>riad of factors, such as even</w:t>
      </w:r>
      <w:r w:rsidR="00F31F1B" w:rsidRPr="00B20BE9">
        <w:rPr>
          <w:rFonts w:eastAsia="Calibri"/>
          <w:sz w:val="24"/>
          <w:szCs w:val="24"/>
        </w:rPr>
        <w:t xml:space="preserve"> increase</w:t>
      </w:r>
      <w:r w:rsidR="00614C2F" w:rsidRPr="00B20BE9">
        <w:rPr>
          <w:rFonts w:eastAsia="Calibri"/>
          <w:sz w:val="24"/>
          <w:szCs w:val="24"/>
        </w:rPr>
        <w:t>s</w:t>
      </w:r>
      <w:r w:rsidR="00F31F1B" w:rsidRPr="00B20BE9">
        <w:rPr>
          <w:rFonts w:eastAsia="Calibri"/>
          <w:sz w:val="24"/>
          <w:szCs w:val="24"/>
        </w:rPr>
        <w:t xml:space="preserve"> in postage and salary expenses, that are unrelated t</w:t>
      </w:r>
      <w:r w:rsidR="00633FCE" w:rsidRPr="00B20BE9">
        <w:rPr>
          <w:rFonts w:eastAsia="Calibri"/>
          <w:sz w:val="24"/>
          <w:szCs w:val="24"/>
        </w:rPr>
        <w:t xml:space="preserve">o the DSIC.  OCA St. No. 1-S, p. </w:t>
      </w:r>
      <w:r w:rsidR="00F31F1B" w:rsidRPr="00B20BE9">
        <w:rPr>
          <w:rFonts w:eastAsia="Calibri"/>
          <w:sz w:val="24"/>
          <w:szCs w:val="24"/>
        </w:rPr>
        <w:t>3; OCA M.B., p. 23.</w:t>
      </w:r>
      <w:r w:rsidR="00512183" w:rsidRPr="00B20BE9">
        <w:rPr>
          <w:rFonts w:eastAsia="Calibri"/>
          <w:sz w:val="24"/>
          <w:szCs w:val="24"/>
        </w:rPr>
        <w:t xml:space="preserve">  Essentially, to ensure that ratepayers do not pay a return on non-investor supplied capital, the ADIT associated with DSIC-eligible must be deducted from rate base, according to the OCA.</w:t>
      </w:r>
    </w:p>
    <w:p w:rsidR="0085709D" w:rsidRPr="00B20BE9" w:rsidRDefault="0085709D" w:rsidP="00893E9E">
      <w:pPr>
        <w:rPr>
          <w:rFonts w:eastAsia="Calibri"/>
          <w:sz w:val="24"/>
          <w:szCs w:val="24"/>
        </w:rPr>
      </w:pPr>
    </w:p>
    <w:p w:rsidR="00906309" w:rsidRPr="00B20BE9" w:rsidRDefault="000D49C9" w:rsidP="00893E9E">
      <w:pPr>
        <w:rPr>
          <w:rFonts w:eastAsia="Calibri"/>
          <w:sz w:val="24"/>
          <w:szCs w:val="24"/>
        </w:rPr>
      </w:pPr>
      <w:r w:rsidRPr="00B20BE9">
        <w:rPr>
          <w:rFonts w:eastAsia="Calibri"/>
          <w:sz w:val="24"/>
          <w:szCs w:val="24"/>
        </w:rPr>
        <w:tab/>
      </w:r>
      <w:r w:rsidRPr="00B20BE9">
        <w:rPr>
          <w:rFonts w:eastAsia="Calibri"/>
          <w:sz w:val="24"/>
          <w:szCs w:val="24"/>
        </w:rPr>
        <w:tab/>
        <w:t xml:space="preserve">In response to PPL’s legislative intent </w:t>
      </w:r>
      <w:r w:rsidR="0085709D" w:rsidRPr="00B20BE9">
        <w:rPr>
          <w:rFonts w:eastAsia="Calibri"/>
          <w:sz w:val="24"/>
          <w:szCs w:val="24"/>
        </w:rPr>
        <w:t xml:space="preserve">argument, OCA observed that PPL had referenced only legislative history and not </w:t>
      </w:r>
      <w:r w:rsidRPr="00B20BE9">
        <w:rPr>
          <w:rFonts w:eastAsia="Calibri"/>
          <w:sz w:val="24"/>
          <w:szCs w:val="24"/>
        </w:rPr>
        <w:t>the statute when it</w:t>
      </w:r>
      <w:r w:rsidR="0085709D" w:rsidRPr="00B20BE9">
        <w:rPr>
          <w:rFonts w:eastAsia="Calibri"/>
          <w:sz w:val="24"/>
          <w:szCs w:val="24"/>
        </w:rPr>
        <w:t xml:space="preserve"> contended that the General Assembly </w:t>
      </w:r>
      <w:r w:rsidRPr="00B20BE9">
        <w:rPr>
          <w:rFonts w:eastAsia="Calibri"/>
          <w:sz w:val="24"/>
          <w:szCs w:val="24"/>
        </w:rPr>
        <w:t xml:space="preserve">had </w:t>
      </w:r>
      <w:r w:rsidR="0085709D" w:rsidRPr="00B20BE9">
        <w:rPr>
          <w:rFonts w:eastAsia="Calibri"/>
          <w:sz w:val="24"/>
          <w:szCs w:val="24"/>
        </w:rPr>
        <w:t>expressed an intent that there should be no adjustment fo</w:t>
      </w:r>
      <w:r w:rsidR="00633FCE" w:rsidRPr="00B20BE9">
        <w:rPr>
          <w:rFonts w:eastAsia="Calibri"/>
          <w:sz w:val="24"/>
          <w:szCs w:val="24"/>
        </w:rPr>
        <w:t xml:space="preserve">r taxes.  PPL St. No. 3-R, p. </w:t>
      </w:r>
      <w:r w:rsidR="00162D6D" w:rsidRPr="00B20BE9">
        <w:rPr>
          <w:rFonts w:eastAsia="Calibri"/>
          <w:sz w:val="24"/>
          <w:szCs w:val="24"/>
        </w:rPr>
        <w:t xml:space="preserve">2.  OCA argued that, pursuant to rules of statutory construction at 1 Pa.C.S. § 1921(b), legislative history is considered only when the legislative intent is not clear.  It asserted that legislative intent is clear from the </w:t>
      </w:r>
      <w:r w:rsidR="00B06CCB" w:rsidRPr="00B20BE9">
        <w:rPr>
          <w:rFonts w:eastAsia="Calibri"/>
          <w:sz w:val="24"/>
          <w:szCs w:val="24"/>
        </w:rPr>
        <w:t xml:space="preserve">statute in that, as set forth in </w:t>
      </w:r>
      <w:r w:rsidR="00162D6D" w:rsidRPr="00B20BE9">
        <w:rPr>
          <w:rFonts w:eastAsia="Calibri"/>
          <w:sz w:val="24"/>
          <w:szCs w:val="24"/>
        </w:rPr>
        <w:t>66 Pa.C.S. § 1301, rates must be just and reasonable.  Also, in accordance with 66 Pa.C.S. §§ 1351, 1353, only costs that are “incurred” by the utility shall be recovered through the DSIC; therefore, it is consistent</w:t>
      </w:r>
      <w:r w:rsidR="00162620" w:rsidRPr="00B20BE9">
        <w:rPr>
          <w:rFonts w:eastAsia="Calibri"/>
          <w:sz w:val="24"/>
          <w:szCs w:val="24"/>
        </w:rPr>
        <w:t xml:space="preserve"> with </w:t>
      </w:r>
      <w:r w:rsidR="00CD2647" w:rsidRPr="00B20BE9">
        <w:rPr>
          <w:rFonts w:eastAsia="Calibri"/>
          <w:sz w:val="24"/>
          <w:szCs w:val="24"/>
        </w:rPr>
        <w:t>Section 1301 of the Code and Act 11 that the Commission approve a DSIC rate calculated to recover only the costs incurred by PPL.  OCA M.B., p. 24.</w:t>
      </w:r>
    </w:p>
    <w:p w:rsidR="00906309" w:rsidRPr="00B20BE9" w:rsidRDefault="00906309" w:rsidP="00893E9E">
      <w:pPr>
        <w:rPr>
          <w:rFonts w:eastAsia="Calibri"/>
          <w:sz w:val="24"/>
          <w:szCs w:val="24"/>
        </w:rPr>
      </w:pPr>
    </w:p>
    <w:p w:rsidR="00093917" w:rsidRPr="00B20BE9" w:rsidRDefault="00906309" w:rsidP="00893E9E">
      <w:pPr>
        <w:rPr>
          <w:rFonts w:eastAsia="Calibri"/>
          <w:sz w:val="24"/>
          <w:szCs w:val="24"/>
        </w:rPr>
      </w:pPr>
      <w:r w:rsidRPr="00B20BE9">
        <w:rPr>
          <w:rFonts w:eastAsia="Calibri"/>
          <w:sz w:val="24"/>
          <w:szCs w:val="24"/>
        </w:rPr>
        <w:tab/>
      </w:r>
      <w:r w:rsidRPr="00B20BE9">
        <w:rPr>
          <w:rFonts w:eastAsia="Calibri"/>
          <w:sz w:val="24"/>
          <w:szCs w:val="24"/>
        </w:rPr>
        <w:tab/>
        <w:t>OCA also contended that, even if legislative history is considered, it would not be inconsistent to include ADIT in the DSIC calcula</w:t>
      </w:r>
      <w:r w:rsidR="001931DC" w:rsidRPr="00B20BE9">
        <w:rPr>
          <w:rFonts w:eastAsia="Calibri"/>
          <w:sz w:val="24"/>
          <w:szCs w:val="24"/>
        </w:rPr>
        <w:t xml:space="preserve">tion.  While there were </w:t>
      </w:r>
      <w:r w:rsidRPr="00B20BE9">
        <w:rPr>
          <w:rFonts w:eastAsia="Calibri"/>
          <w:sz w:val="24"/>
          <w:szCs w:val="24"/>
        </w:rPr>
        <w:t xml:space="preserve">amendments </w:t>
      </w:r>
      <w:r w:rsidR="001931DC" w:rsidRPr="00B20BE9">
        <w:rPr>
          <w:rFonts w:eastAsia="Calibri"/>
          <w:sz w:val="24"/>
          <w:szCs w:val="24"/>
        </w:rPr>
        <w:t xml:space="preserve">offered </w:t>
      </w:r>
      <w:r w:rsidRPr="00B20BE9">
        <w:rPr>
          <w:rFonts w:eastAsia="Calibri"/>
          <w:sz w:val="24"/>
          <w:szCs w:val="24"/>
        </w:rPr>
        <w:t>to memorialize the Commission’s DSIC practice with respect to water u</w:t>
      </w:r>
      <w:r w:rsidR="001931DC" w:rsidRPr="00B20BE9">
        <w:rPr>
          <w:rFonts w:eastAsia="Calibri"/>
          <w:sz w:val="24"/>
          <w:szCs w:val="24"/>
        </w:rPr>
        <w:t>tilities</w:t>
      </w:r>
      <w:r w:rsidR="004D591A">
        <w:rPr>
          <w:rFonts w:eastAsia="Calibri"/>
          <w:sz w:val="24"/>
          <w:szCs w:val="24"/>
        </w:rPr>
        <w:t>, 66 Pa.C.S. § </w:t>
      </w:r>
      <w:r w:rsidR="001931DC" w:rsidRPr="00B20BE9">
        <w:rPr>
          <w:rFonts w:eastAsia="Calibri"/>
          <w:sz w:val="24"/>
          <w:szCs w:val="24"/>
        </w:rPr>
        <w:t xml:space="preserve">1358(a)(2) </w:t>
      </w:r>
      <w:r w:rsidRPr="00B20BE9">
        <w:rPr>
          <w:rFonts w:eastAsia="Calibri"/>
          <w:sz w:val="24"/>
          <w:szCs w:val="24"/>
        </w:rPr>
        <w:t xml:space="preserve">shows that the General Assembly did not intend for existing DSIC rules to automatically apply to other utilities.  </w:t>
      </w:r>
      <w:r w:rsidR="00093917" w:rsidRPr="00B20BE9">
        <w:rPr>
          <w:rFonts w:eastAsia="Calibri"/>
          <w:sz w:val="24"/>
          <w:szCs w:val="24"/>
        </w:rPr>
        <w:t>Instead, the Commission was given leeway to implement new appropriate rate mechanisms, in compliance with law, court precedent, and ratemaking principles that bear upon it.  OCA M.B., pp. 25-26.</w:t>
      </w:r>
    </w:p>
    <w:p w:rsidR="00093917" w:rsidRPr="00B20BE9" w:rsidRDefault="00093917" w:rsidP="00893E9E">
      <w:pPr>
        <w:rPr>
          <w:rFonts w:eastAsia="Calibri"/>
          <w:sz w:val="24"/>
          <w:szCs w:val="24"/>
        </w:rPr>
      </w:pPr>
    </w:p>
    <w:p w:rsidR="009D719E" w:rsidRPr="00B20BE9" w:rsidRDefault="00093917" w:rsidP="00893E9E">
      <w:pPr>
        <w:rPr>
          <w:sz w:val="24"/>
          <w:szCs w:val="24"/>
        </w:rPr>
      </w:pPr>
      <w:r w:rsidRPr="00B20BE9">
        <w:rPr>
          <w:rFonts w:eastAsia="Calibri"/>
          <w:sz w:val="24"/>
          <w:szCs w:val="24"/>
        </w:rPr>
        <w:tab/>
      </w:r>
      <w:r w:rsidRPr="00B20BE9">
        <w:rPr>
          <w:rFonts w:eastAsia="Calibri"/>
          <w:sz w:val="24"/>
          <w:szCs w:val="24"/>
        </w:rPr>
        <w:tab/>
        <w:t>In response to PPL’s argument that reflecting ADIT as an offset to rate base would be inconsistent with the</w:t>
      </w:r>
      <w:r w:rsidRPr="00B20BE9">
        <w:rPr>
          <w:i/>
          <w:sz w:val="24"/>
          <w:szCs w:val="24"/>
        </w:rPr>
        <w:t xml:space="preserve"> Final Implementation Order</w:t>
      </w:r>
      <w:r w:rsidRPr="00B20BE9">
        <w:rPr>
          <w:sz w:val="24"/>
          <w:szCs w:val="24"/>
        </w:rPr>
        <w:t xml:space="preserve"> and </w:t>
      </w:r>
      <w:r w:rsidR="00861430" w:rsidRPr="00B20BE9">
        <w:rPr>
          <w:sz w:val="24"/>
          <w:szCs w:val="24"/>
        </w:rPr>
        <w:t>model tariff</w:t>
      </w:r>
      <w:r w:rsidRPr="00B20BE9">
        <w:rPr>
          <w:sz w:val="24"/>
          <w:szCs w:val="24"/>
        </w:rPr>
        <w:t xml:space="preserve">, OCA emphasized that the </w:t>
      </w:r>
      <w:r w:rsidRPr="00B20BE9">
        <w:rPr>
          <w:i/>
          <w:sz w:val="24"/>
          <w:szCs w:val="24"/>
        </w:rPr>
        <w:t>Final Implementation Order</w:t>
      </w:r>
      <w:r w:rsidRPr="00B20BE9">
        <w:rPr>
          <w:sz w:val="24"/>
          <w:szCs w:val="24"/>
        </w:rPr>
        <w:t xml:space="preserve"> was issued without benefit of an evidentiary record.  It asserted that the evidentiary record herein demonstrates the need for this correction for just and reasonable rates and reflects the experience and refinements in other states over the last 15+ years since the </w:t>
      </w:r>
      <w:r w:rsidR="00861430" w:rsidRPr="00B20BE9">
        <w:rPr>
          <w:sz w:val="24"/>
          <w:szCs w:val="24"/>
        </w:rPr>
        <w:t xml:space="preserve">water </w:t>
      </w:r>
      <w:r w:rsidR="00155489" w:rsidRPr="00B20BE9">
        <w:rPr>
          <w:sz w:val="24"/>
          <w:szCs w:val="24"/>
        </w:rPr>
        <w:t>DSICs</w:t>
      </w:r>
      <w:r w:rsidR="00861430" w:rsidRPr="00B20BE9">
        <w:rPr>
          <w:sz w:val="24"/>
          <w:szCs w:val="24"/>
        </w:rPr>
        <w:t xml:space="preserve"> were implemented.  It observed that the Commission approved a DSIC for Philadelphia Gas Works (PGW) that differed from the model tariff.  </w:t>
      </w:r>
      <w:r w:rsidR="00861430" w:rsidRPr="00B20BE9">
        <w:rPr>
          <w:sz w:val="24"/>
          <w:szCs w:val="24"/>
          <w:u w:val="single"/>
        </w:rPr>
        <w:t>See</w:t>
      </w:r>
      <w:r w:rsidR="00861430" w:rsidRPr="00B20BE9">
        <w:rPr>
          <w:sz w:val="24"/>
          <w:szCs w:val="24"/>
        </w:rPr>
        <w:t xml:space="preserve">, </w:t>
      </w:r>
      <w:r w:rsidR="00861430" w:rsidRPr="00B20BE9">
        <w:rPr>
          <w:i/>
          <w:sz w:val="24"/>
          <w:szCs w:val="24"/>
        </w:rPr>
        <w:t>Petition of Philadelphia Gas Works for Approval of a Distribution System Improvement Charge</w:t>
      </w:r>
      <w:r w:rsidR="00861430" w:rsidRPr="00B20BE9">
        <w:rPr>
          <w:sz w:val="24"/>
          <w:szCs w:val="24"/>
        </w:rPr>
        <w:t>, Docket No. P-2012-2337737, Order entered May 9, 2013.</w:t>
      </w:r>
      <w:r w:rsidR="00155489" w:rsidRPr="00B20BE9">
        <w:rPr>
          <w:sz w:val="24"/>
          <w:szCs w:val="24"/>
        </w:rPr>
        <w:t xml:space="preserve">  OCA M.B., pp. 26-28.</w:t>
      </w:r>
    </w:p>
    <w:p w:rsidR="009D719E" w:rsidRPr="00B20BE9" w:rsidRDefault="009D719E" w:rsidP="00893E9E">
      <w:pPr>
        <w:rPr>
          <w:sz w:val="24"/>
          <w:szCs w:val="24"/>
        </w:rPr>
      </w:pPr>
    </w:p>
    <w:p w:rsidR="00964355" w:rsidRPr="00B20BE9" w:rsidRDefault="009D719E" w:rsidP="00893E9E">
      <w:pPr>
        <w:rPr>
          <w:sz w:val="24"/>
          <w:szCs w:val="24"/>
        </w:rPr>
      </w:pPr>
      <w:r w:rsidRPr="00B20BE9">
        <w:rPr>
          <w:sz w:val="24"/>
          <w:szCs w:val="24"/>
        </w:rPr>
        <w:tab/>
      </w:r>
      <w:r w:rsidRPr="00B20BE9">
        <w:rPr>
          <w:sz w:val="24"/>
          <w:szCs w:val="24"/>
        </w:rPr>
        <w:tab/>
        <w:t xml:space="preserve">In </w:t>
      </w:r>
      <w:r w:rsidR="001931DC" w:rsidRPr="00B20BE9">
        <w:rPr>
          <w:sz w:val="24"/>
          <w:szCs w:val="24"/>
        </w:rPr>
        <w:t xml:space="preserve">its Reply Brief, </w:t>
      </w:r>
      <w:r w:rsidRPr="00B20BE9">
        <w:rPr>
          <w:sz w:val="24"/>
          <w:szCs w:val="24"/>
        </w:rPr>
        <w:t xml:space="preserve">OCA reiterated </w:t>
      </w:r>
      <w:r w:rsidR="00A419A0" w:rsidRPr="00B20BE9">
        <w:rPr>
          <w:sz w:val="24"/>
          <w:szCs w:val="24"/>
        </w:rPr>
        <w:t xml:space="preserve">many of </w:t>
      </w:r>
      <w:r w:rsidRPr="00B20BE9">
        <w:rPr>
          <w:sz w:val="24"/>
          <w:szCs w:val="24"/>
        </w:rPr>
        <w:t>the above-stated arguments</w:t>
      </w:r>
      <w:r w:rsidR="001931DC" w:rsidRPr="00B20BE9">
        <w:rPr>
          <w:sz w:val="24"/>
          <w:szCs w:val="24"/>
        </w:rPr>
        <w:t xml:space="preserve">, </w:t>
      </w:r>
      <w:r w:rsidR="00BD4FF2" w:rsidRPr="00B20BE9">
        <w:rPr>
          <w:sz w:val="24"/>
          <w:szCs w:val="24"/>
        </w:rPr>
        <w:t xml:space="preserve">and I will not repeat </w:t>
      </w:r>
      <w:r w:rsidR="00512183" w:rsidRPr="00B20BE9">
        <w:rPr>
          <w:sz w:val="24"/>
          <w:szCs w:val="24"/>
        </w:rPr>
        <w:t>all of them here.</w:t>
      </w:r>
      <w:r w:rsidR="00B06CCB" w:rsidRPr="00B20BE9">
        <w:rPr>
          <w:sz w:val="24"/>
          <w:szCs w:val="24"/>
        </w:rPr>
        <w:t xml:space="preserve">  </w:t>
      </w:r>
      <w:r w:rsidR="00BD4FF2" w:rsidRPr="00B20BE9">
        <w:rPr>
          <w:sz w:val="24"/>
          <w:szCs w:val="24"/>
        </w:rPr>
        <w:t xml:space="preserve">Overall, </w:t>
      </w:r>
      <w:r w:rsidR="00B06CCB" w:rsidRPr="00B20BE9">
        <w:rPr>
          <w:sz w:val="24"/>
          <w:szCs w:val="24"/>
        </w:rPr>
        <w:t>OCA emphasized that the DSIC formula must incorporate standard ratemaking practice and deduct ADIT from rate base to which the DSIC pre-tax rate of return will apply.  Otherwise, ratepayers would pay a return on investment that was not funded by the utility</w:t>
      </w:r>
      <w:r w:rsidR="00D35C9B" w:rsidRPr="00B20BE9">
        <w:rPr>
          <w:sz w:val="24"/>
          <w:szCs w:val="24"/>
        </w:rPr>
        <w:t xml:space="preserve">, </w:t>
      </w:r>
      <w:r w:rsidR="00DE6B27" w:rsidRPr="00B20BE9">
        <w:rPr>
          <w:sz w:val="24"/>
          <w:szCs w:val="24"/>
        </w:rPr>
        <w:t>resulting in rates that are un</w:t>
      </w:r>
      <w:r w:rsidR="00B06CCB" w:rsidRPr="00B20BE9">
        <w:rPr>
          <w:sz w:val="24"/>
          <w:szCs w:val="24"/>
        </w:rPr>
        <w:t xml:space="preserve">just and </w:t>
      </w:r>
      <w:r w:rsidR="00DE6B27" w:rsidRPr="00B20BE9">
        <w:rPr>
          <w:sz w:val="24"/>
          <w:szCs w:val="24"/>
        </w:rPr>
        <w:t>un</w:t>
      </w:r>
      <w:r w:rsidR="00B06CCB" w:rsidRPr="00B20BE9">
        <w:rPr>
          <w:sz w:val="24"/>
          <w:szCs w:val="24"/>
        </w:rPr>
        <w:t>reasonable.</w:t>
      </w:r>
      <w:r w:rsidR="003A0944" w:rsidRPr="00B20BE9">
        <w:rPr>
          <w:sz w:val="24"/>
          <w:szCs w:val="24"/>
        </w:rPr>
        <w:t xml:space="preserve">  </w:t>
      </w:r>
      <w:r w:rsidR="003A0944" w:rsidRPr="00B20BE9">
        <w:rPr>
          <w:sz w:val="24"/>
          <w:szCs w:val="24"/>
          <w:u w:val="single"/>
        </w:rPr>
        <w:t>See</w:t>
      </w:r>
      <w:r w:rsidR="003A0944" w:rsidRPr="00B20BE9">
        <w:rPr>
          <w:sz w:val="24"/>
          <w:szCs w:val="24"/>
        </w:rPr>
        <w:t xml:space="preserve">, </w:t>
      </w:r>
      <w:r w:rsidR="003A0944" w:rsidRPr="00B20BE9">
        <w:rPr>
          <w:i/>
          <w:sz w:val="24"/>
          <w:szCs w:val="24"/>
        </w:rPr>
        <w:t>e.g.</w:t>
      </w:r>
      <w:r w:rsidR="003A0944" w:rsidRPr="00B20BE9">
        <w:rPr>
          <w:sz w:val="24"/>
          <w:szCs w:val="24"/>
        </w:rPr>
        <w:t>, OCA R.B., p. 36.</w:t>
      </w:r>
    </w:p>
    <w:p w:rsidR="00964355" w:rsidRPr="00B20BE9" w:rsidRDefault="00964355" w:rsidP="00893E9E">
      <w:pPr>
        <w:rPr>
          <w:sz w:val="24"/>
          <w:szCs w:val="24"/>
        </w:rPr>
      </w:pPr>
    </w:p>
    <w:p w:rsidR="00D20B5C" w:rsidRPr="00B20BE9" w:rsidRDefault="00964355" w:rsidP="00893E9E">
      <w:pPr>
        <w:rPr>
          <w:sz w:val="24"/>
          <w:szCs w:val="24"/>
        </w:rPr>
      </w:pPr>
      <w:r w:rsidRPr="00B20BE9">
        <w:rPr>
          <w:sz w:val="24"/>
          <w:szCs w:val="24"/>
        </w:rPr>
        <w:tab/>
      </w:r>
      <w:r w:rsidRPr="00B20BE9">
        <w:rPr>
          <w:sz w:val="24"/>
          <w:szCs w:val="24"/>
        </w:rPr>
        <w:tab/>
      </w:r>
      <w:r w:rsidR="00EA6B7B" w:rsidRPr="00B20BE9">
        <w:rPr>
          <w:sz w:val="24"/>
          <w:szCs w:val="24"/>
        </w:rPr>
        <w:t xml:space="preserve">OCA </w:t>
      </w:r>
      <w:r w:rsidR="00553EE8" w:rsidRPr="00B20BE9">
        <w:rPr>
          <w:sz w:val="24"/>
          <w:szCs w:val="24"/>
        </w:rPr>
        <w:t>contended that PPL wa</w:t>
      </w:r>
      <w:r w:rsidR="00FB49E5" w:rsidRPr="00B20BE9">
        <w:rPr>
          <w:sz w:val="24"/>
          <w:szCs w:val="24"/>
        </w:rPr>
        <w:t>s wrong to interpret the omission of an ADIT adjustment from the statute as meaning that such adjustment is prohibited.  To follow PPL’s reasoning, according to OCA, would mean that gross receipts taxes (GRT) could not be recovered through a DSIC, and yet PPL has added GRT to its DSIC formula</w:t>
      </w:r>
      <w:r w:rsidR="00D34069" w:rsidRPr="00B20BE9">
        <w:rPr>
          <w:sz w:val="24"/>
          <w:szCs w:val="24"/>
        </w:rPr>
        <w:t>, without opposition</w:t>
      </w:r>
      <w:r w:rsidR="00FB49E5" w:rsidRPr="00B20BE9">
        <w:rPr>
          <w:sz w:val="24"/>
          <w:szCs w:val="24"/>
        </w:rPr>
        <w:t>.</w:t>
      </w:r>
      <w:r w:rsidR="00412FC7" w:rsidRPr="00B20BE9">
        <w:rPr>
          <w:sz w:val="24"/>
          <w:szCs w:val="24"/>
        </w:rPr>
        <w:t xml:space="preserve">  OCA said it </w:t>
      </w:r>
      <w:r w:rsidR="00D34069" w:rsidRPr="00B20BE9">
        <w:rPr>
          <w:sz w:val="24"/>
          <w:szCs w:val="24"/>
        </w:rPr>
        <w:t>did not oppose th</w:t>
      </w:r>
      <w:r w:rsidR="00D35C9B" w:rsidRPr="00B20BE9">
        <w:rPr>
          <w:sz w:val="24"/>
          <w:szCs w:val="24"/>
        </w:rPr>
        <w:t>e</w:t>
      </w:r>
      <w:r w:rsidR="00D34069" w:rsidRPr="00B20BE9">
        <w:rPr>
          <w:sz w:val="24"/>
          <w:szCs w:val="24"/>
        </w:rPr>
        <w:t xml:space="preserve"> inclusion </w:t>
      </w:r>
      <w:r w:rsidR="00D35C9B" w:rsidRPr="00B20BE9">
        <w:rPr>
          <w:sz w:val="24"/>
          <w:szCs w:val="24"/>
        </w:rPr>
        <w:t xml:space="preserve">of GRT because this cost </w:t>
      </w:r>
      <w:r w:rsidR="00D34069" w:rsidRPr="00B20BE9">
        <w:rPr>
          <w:sz w:val="24"/>
          <w:szCs w:val="24"/>
        </w:rPr>
        <w:t xml:space="preserve">will be incurred by the Company when it recovers revenue to “repair, improve or replace DSIC-eligible property,” citing to 66 Pa.C.S. §§ 1351, 1353.  In contrast, </w:t>
      </w:r>
      <w:r w:rsidR="00412FC7" w:rsidRPr="00B20BE9">
        <w:rPr>
          <w:sz w:val="24"/>
          <w:szCs w:val="24"/>
        </w:rPr>
        <w:t>according to OCA,</w:t>
      </w:r>
      <w:r w:rsidR="00D34069" w:rsidRPr="00B20BE9">
        <w:rPr>
          <w:sz w:val="24"/>
          <w:szCs w:val="24"/>
        </w:rPr>
        <w:t xml:space="preserve"> the Company will not incur the costs associated with ADIT and therefore </w:t>
      </w:r>
      <w:r w:rsidR="000617AF" w:rsidRPr="00B20BE9">
        <w:rPr>
          <w:sz w:val="24"/>
          <w:szCs w:val="24"/>
        </w:rPr>
        <w:t>should adjust for these costs.  OCA R.B., pp. 7-10.</w:t>
      </w:r>
    </w:p>
    <w:p w:rsidR="00EA6B7B" w:rsidRPr="00B20BE9" w:rsidRDefault="00EA6B7B" w:rsidP="00893E9E">
      <w:pPr>
        <w:rPr>
          <w:sz w:val="24"/>
          <w:szCs w:val="24"/>
        </w:rPr>
      </w:pPr>
    </w:p>
    <w:p w:rsidR="00616A31" w:rsidRPr="00B20BE9" w:rsidRDefault="00EA6B7B" w:rsidP="00893E9E">
      <w:pPr>
        <w:rPr>
          <w:sz w:val="24"/>
          <w:szCs w:val="24"/>
        </w:rPr>
      </w:pPr>
      <w:r w:rsidRPr="00B20BE9">
        <w:rPr>
          <w:sz w:val="24"/>
          <w:szCs w:val="24"/>
        </w:rPr>
        <w:tab/>
      </w:r>
      <w:r w:rsidRPr="00B20BE9">
        <w:rPr>
          <w:sz w:val="24"/>
          <w:szCs w:val="24"/>
        </w:rPr>
        <w:tab/>
      </w:r>
      <w:r w:rsidR="00553EE8" w:rsidRPr="00B20BE9">
        <w:rPr>
          <w:sz w:val="24"/>
          <w:szCs w:val="24"/>
        </w:rPr>
        <w:t xml:space="preserve">OCA </w:t>
      </w:r>
      <w:r w:rsidRPr="00B20BE9">
        <w:rPr>
          <w:sz w:val="24"/>
          <w:szCs w:val="24"/>
        </w:rPr>
        <w:t>noted that it had not previously raised the ADIT issue with respect to water utility DSICs and that th</w:t>
      </w:r>
      <w:r w:rsidR="00553EE8" w:rsidRPr="00B20BE9">
        <w:rPr>
          <w:sz w:val="24"/>
          <w:szCs w:val="24"/>
        </w:rPr>
        <w:t>is</w:t>
      </w:r>
      <w:r w:rsidRPr="00B20BE9">
        <w:rPr>
          <w:sz w:val="24"/>
          <w:szCs w:val="24"/>
        </w:rPr>
        <w:t xml:space="preserve"> </w:t>
      </w:r>
      <w:r w:rsidR="00553EE8" w:rsidRPr="00B20BE9">
        <w:rPr>
          <w:sz w:val="24"/>
          <w:szCs w:val="24"/>
        </w:rPr>
        <w:t>exclusion of ADIT, to its knowledge, had not previously been challenged.  OCA indicated that it is raising the issue now because, previously, the DSIC had been limited in scope to just water utilities.  Also, the dollars at stake are larger due to tax law changes, and some customers will pay multiple DSICs.  OCA R.B., pp. 16-17.</w:t>
      </w:r>
    </w:p>
    <w:p w:rsidR="00D20B5C" w:rsidRPr="00B20BE9" w:rsidRDefault="00553EE8" w:rsidP="00893E9E">
      <w:pPr>
        <w:rPr>
          <w:sz w:val="24"/>
          <w:szCs w:val="24"/>
        </w:rPr>
      </w:pPr>
      <w:r w:rsidRPr="00B20BE9">
        <w:rPr>
          <w:sz w:val="24"/>
          <w:szCs w:val="24"/>
        </w:rPr>
        <w:t xml:space="preserve"> </w:t>
      </w:r>
    </w:p>
    <w:p w:rsidR="00D20B5C" w:rsidRPr="00B20BE9" w:rsidRDefault="00D20B5C" w:rsidP="00893E9E">
      <w:pPr>
        <w:rPr>
          <w:sz w:val="24"/>
          <w:szCs w:val="24"/>
        </w:rPr>
      </w:pPr>
      <w:r w:rsidRPr="00B20BE9">
        <w:rPr>
          <w:sz w:val="24"/>
          <w:szCs w:val="24"/>
        </w:rPr>
        <w:tab/>
      </w:r>
      <w:r w:rsidRPr="00B20BE9">
        <w:rPr>
          <w:sz w:val="24"/>
          <w:szCs w:val="24"/>
        </w:rPr>
        <w:tab/>
        <w:t xml:space="preserve">In response to PPL’s suggestion that the Commonwealth Court holding in </w:t>
      </w:r>
      <w:r w:rsidRPr="00B20BE9">
        <w:rPr>
          <w:i/>
          <w:sz w:val="24"/>
          <w:szCs w:val="24"/>
        </w:rPr>
        <w:t>Popowsky v. Pa. Pub. Util. Comm’n</w:t>
      </w:r>
      <w:r w:rsidRPr="00B20BE9">
        <w:rPr>
          <w:sz w:val="24"/>
          <w:szCs w:val="24"/>
        </w:rPr>
        <w:t>, 869 A.2d 1157 (Pa. Commw. Ct. 2005) (</w:t>
      </w:r>
      <w:r w:rsidRPr="00B20BE9">
        <w:rPr>
          <w:i/>
          <w:sz w:val="24"/>
          <w:szCs w:val="24"/>
        </w:rPr>
        <w:t>Popowsky 2005</w:t>
      </w:r>
      <w:r w:rsidRPr="00B20BE9">
        <w:rPr>
          <w:sz w:val="24"/>
          <w:szCs w:val="24"/>
        </w:rPr>
        <w:t xml:space="preserve">) precluded DSIC adjustments that are not identified, OCA countered that its ADIT adjustment would do just that – it would permit </w:t>
      </w:r>
      <w:r w:rsidR="00EA6B7B" w:rsidRPr="00B20BE9">
        <w:rPr>
          <w:sz w:val="24"/>
          <w:szCs w:val="24"/>
        </w:rPr>
        <w:t xml:space="preserve">specific </w:t>
      </w:r>
      <w:r w:rsidR="00C40800" w:rsidRPr="00B20BE9">
        <w:rPr>
          <w:sz w:val="24"/>
          <w:szCs w:val="24"/>
        </w:rPr>
        <w:t xml:space="preserve">recovery </w:t>
      </w:r>
      <w:r w:rsidR="00553EE8" w:rsidRPr="00B20BE9">
        <w:rPr>
          <w:sz w:val="24"/>
          <w:szCs w:val="24"/>
        </w:rPr>
        <w:t>of identified costs</w:t>
      </w:r>
      <w:r w:rsidR="00EA6B7B" w:rsidRPr="00B20BE9">
        <w:rPr>
          <w:sz w:val="24"/>
          <w:szCs w:val="24"/>
        </w:rPr>
        <w:t xml:space="preserve"> through </w:t>
      </w:r>
      <w:r w:rsidR="00553EE8" w:rsidRPr="00B20BE9">
        <w:rPr>
          <w:sz w:val="24"/>
          <w:szCs w:val="24"/>
        </w:rPr>
        <w:t>a</w:t>
      </w:r>
      <w:r w:rsidR="00FD5204" w:rsidRPr="00B20BE9">
        <w:rPr>
          <w:sz w:val="24"/>
          <w:szCs w:val="24"/>
        </w:rPr>
        <w:t xml:space="preserve"> proposed </w:t>
      </w:r>
      <w:r w:rsidR="00553EE8" w:rsidRPr="00B20BE9">
        <w:rPr>
          <w:sz w:val="24"/>
          <w:szCs w:val="24"/>
        </w:rPr>
        <w:t>formula</w:t>
      </w:r>
      <w:r w:rsidR="00C40800" w:rsidRPr="00B20BE9">
        <w:rPr>
          <w:sz w:val="24"/>
          <w:szCs w:val="24"/>
        </w:rPr>
        <w:t xml:space="preserve"> that reflects </w:t>
      </w:r>
      <w:r w:rsidR="00553EE8" w:rsidRPr="00B20BE9">
        <w:rPr>
          <w:sz w:val="24"/>
          <w:szCs w:val="24"/>
        </w:rPr>
        <w:t>actual costs</w:t>
      </w:r>
      <w:r w:rsidR="00FD5204" w:rsidRPr="00B20BE9">
        <w:rPr>
          <w:sz w:val="24"/>
          <w:szCs w:val="24"/>
        </w:rPr>
        <w:t>.</w:t>
      </w:r>
      <w:r w:rsidR="001E2621" w:rsidRPr="00B20BE9">
        <w:rPr>
          <w:sz w:val="24"/>
          <w:szCs w:val="24"/>
        </w:rPr>
        <w:t xml:space="preserve">  OCA also responded to PPL’s citation </w:t>
      </w:r>
      <w:r w:rsidR="00EA6B7B" w:rsidRPr="00B20BE9">
        <w:rPr>
          <w:sz w:val="24"/>
          <w:szCs w:val="24"/>
        </w:rPr>
        <w:t>to</w:t>
      </w:r>
      <w:r w:rsidR="001E2621" w:rsidRPr="00B20BE9">
        <w:rPr>
          <w:sz w:val="24"/>
          <w:szCs w:val="24"/>
        </w:rPr>
        <w:t xml:space="preserve"> </w:t>
      </w:r>
      <w:r w:rsidR="001E2621" w:rsidRPr="00B20BE9">
        <w:rPr>
          <w:i/>
          <w:sz w:val="24"/>
          <w:szCs w:val="24"/>
        </w:rPr>
        <w:t>Mt. Village v. Board of Supervisors</w:t>
      </w:r>
      <w:r w:rsidR="001E2621" w:rsidRPr="00B20BE9">
        <w:rPr>
          <w:sz w:val="24"/>
          <w:szCs w:val="24"/>
        </w:rPr>
        <w:t>, 582 Pa. 605, 874 A.2d 1 (2005) (</w:t>
      </w:r>
      <w:r w:rsidR="001E2621" w:rsidRPr="00B20BE9">
        <w:rPr>
          <w:i/>
          <w:sz w:val="24"/>
          <w:szCs w:val="24"/>
        </w:rPr>
        <w:t>Mt. Village</w:t>
      </w:r>
      <w:r w:rsidR="001E2621" w:rsidRPr="00B20BE9">
        <w:rPr>
          <w:sz w:val="24"/>
          <w:szCs w:val="24"/>
        </w:rPr>
        <w:t xml:space="preserve">), and explained that its ADIT position was consistent with the </w:t>
      </w:r>
      <w:r w:rsidR="001E2621" w:rsidRPr="00B20BE9">
        <w:rPr>
          <w:i/>
          <w:sz w:val="24"/>
          <w:szCs w:val="24"/>
        </w:rPr>
        <w:t>Mt. Village</w:t>
      </w:r>
      <w:r w:rsidR="00DA2703" w:rsidRPr="00B20BE9">
        <w:rPr>
          <w:sz w:val="24"/>
          <w:szCs w:val="24"/>
        </w:rPr>
        <w:t xml:space="preserve"> holding as it was adding no words to Act 11</w:t>
      </w:r>
      <w:r w:rsidR="001E2621" w:rsidRPr="00B20BE9">
        <w:rPr>
          <w:sz w:val="24"/>
          <w:szCs w:val="24"/>
        </w:rPr>
        <w:t>.  OCA R.B., pp. 10-11.</w:t>
      </w:r>
    </w:p>
    <w:p w:rsidR="001E2621" w:rsidRPr="00B20BE9" w:rsidRDefault="001E2621" w:rsidP="00893E9E">
      <w:pPr>
        <w:rPr>
          <w:sz w:val="24"/>
          <w:szCs w:val="24"/>
        </w:rPr>
      </w:pPr>
    </w:p>
    <w:p w:rsidR="007A3DCA" w:rsidRPr="00B20BE9" w:rsidRDefault="001E2621" w:rsidP="00893E9E">
      <w:pPr>
        <w:rPr>
          <w:sz w:val="24"/>
          <w:szCs w:val="24"/>
        </w:rPr>
      </w:pPr>
      <w:r w:rsidRPr="00B20BE9">
        <w:rPr>
          <w:sz w:val="24"/>
          <w:szCs w:val="24"/>
        </w:rPr>
        <w:tab/>
      </w:r>
      <w:r w:rsidRPr="00B20BE9">
        <w:rPr>
          <w:sz w:val="24"/>
          <w:szCs w:val="24"/>
        </w:rPr>
        <w:tab/>
      </w:r>
      <w:r w:rsidR="00580B72" w:rsidRPr="00B20BE9">
        <w:rPr>
          <w:sz w:val="24"/>
          <w:szCs w:val="24"/>
        </w:rPr>
        <w:t xml:space="preserve">OCA </w:t>
      </w:r>
      <w:r w:rsidR="00C40800" w:rsidRPr="00B20BE9">
        <w:rPr>
          <w:sz w:val="24"/>
          <w:szCs w:val="24"/>
        </w:rPr>
        <w:t xml:space="preserve">also addressed PPL’s </w:t>
      </w:r>
      <w:r w:rsidR="00580B72" w:rsidRPr="00B20BE9">
        <w:rPr>
          <w:sz w:val="24"/>
          <w:szCs w:val="24"/>
        </w:rPr>
        <w:t xml:space="preserve">argument </w:t>
      </w:r>
      <w:r w:rsidR="00A01C4F" w:rsidRPr="00B20BE9">
        <w:rPr>
          <w:sz w:val="24"/>
          <w:szCs w:val="24"/>
        </w:rPr>
        <w:t>and citations that</w:t>
      </w:r>
      <w:r w:rsidR="00580B72" w:rsidRPr="00B20BE9">
        <w:rPr>
          <w:sz w:val="24"/>
          <w:szCs w:val="24"/>
        </w:rPr>
        <w:t xml:space="preserve"> the General Assembly intended for the DSIC to be an excep</w:t>
      </w:r>
      <w:r w:rsidR="0008390B" w:rsidRPr="00B20BE9">
        <w:rPr>
          <w:sz w:val="24"/>
          <w:szCs w:val="24"/>
        </w:rPr>
        <w:t xml:space="preserve">tion from traditional base </w:t>
      </w:r>
      <w:r w:rsidR="00580B72" w:rsidRPr="00B20BE9">
        <w:rPr>
          <w:sz w:val="24"/>
          <w:szCs w:val="24"/>
        </w:rPr>
        <w:t>ratemaking procedures</w:t>
      </w:r>
      <w:r w:rsidR="00A01C4F" w:rsidRPr="00B20BE9">
        <w:rPr>
          <w:sz w:val="24"/>
          <w:szCs w:val="24"/>
        </w:rPr>
        <w:t xml:space="preserve">.  </w:t>
      </w:r>
      <w:r w:rsidR="00A01C4F" w:rsidRPr="00B20BE9">
        <w:rPr>
          <w:sz w:val="24"/>
          <w:szCs w:val="24"/>
          <w:u w:val="single"/>
        </w:rPr>
        <w:t>See</w:t>
      </w:r>
      <w:r w:rsidR="00A01C4F" w:rsidRPr="00B20BE9">
        <w:rPr>
          <w:sz w:val="24"/>
          <w:szCs w:val="24"/>
        </w:rPr>
        <w:t xml:space="preserve">, </w:t>
      </w:r>
      <w:r w:rsidR="0008390B" w:rsidRPr="00B20BE9">
        <w:rPr>
          <w:i/>
          <w:sz w:val="24"/>
          <w:szCs w:val="24"/>
        </w:rPr>
        <w:t>Pennsylvania Indus. Energy Coalition v. Pa. Pub. Util. Comm’n</w:t>
      </w:r>
      <w:r w:rsidR="0008390B" w:rsidRPr="00B20BE9">
        <w:rPr>
          <w:sz w:val="24"/>
          <w:szCs w:val="24"/>
        </w:rPr>
        <w:t xml:space="preserve">, 653 A.2d 1336 (Pa. Commw. Ct. 1995), </w:t>
      </w:r>
      <w:r w:rsidR="0008390B" w:rsidRPr="00B20BE9">
        <w:rPr>
          <w:i/>
          <w:sz w:val="24"/>
          <w:szCs w:val="24"/>
        </w:rPr>
        <w:t>aff’d per curiam</w:t>
      </w:r>
      <w:r w:rsidR="0008390B" w:rsidRPr="00B20BE9">
        <w:rPr>
          <w:sz w:val="24"/>
          <w:szCs w:val="24"/>
        </w:rPr>
        <w:t>, 543 Pa. 307, 670 A.2d 1152 (Pa. 1996) (</w:t>
      </w:r>
      <w:r w:rsidR="0008390B" w:rsidRPr="00B20BE9">
        <w:rPr>
          <w:i/>
          <w:sz w:val="24"/>
          <w:szCs w:val="24"/>
        </w:rPr>
        <w:t>PIEC</w:t>
      </w:r>
      <w:r w:rsidR="0008390B" w:rsidRPr="00B20BE9">
        <w:rPr>
          <w:sz w:val="24"/>
          <w:szCs w:val="24"/>
        </w:rPr>
        <w:t xml:space="preserve">); </w:t>
      </w:r>
      <w:r w:rsidR="0008390B" w:rsidRPr="00B20BE9">
        <w:rPr>
          <w:i/>
          <w:sz w:val="24"/>
          <w:szCs w:val="24"/>
        </w:rPr>
        <w:t>Popowsky v. Pa. Pub. Util. Comm’n</w:t>
      </w:r>
      <w:r w:rsidR="0008390B" w:rsidRPr="00B20BE9">
        <w:rPr>
          <w:sz w:val="24"/>
          <w:szCs w:val="24"/>
        </w:rPr>
        <w:t>, 13 A.3d 583 (Pa. Commw. Ct. 2011) (</w:t>
      </w:r>
      <w:r w:rsidR="0008390B" w:rsidRPr="00B20BE9">
        <w:rPr>
          <w:i/>
          <w:sz w:val="24"/>
          <w:szCs w:val="24"/>
        </w:rPr>
        <w:t>Newtown Artesian</w:t>
      </w:r>
      <w:r w:rsidR="0008390B" w:rsidRPr="00B20BE9">
        <w:rPr>
          <w:sz w:val="24"/>
          <w:szCs w:val="24"/>
        </w:rPr>
        <w:t xml:space="preserve">); and </w:t>
      </w:r>
      <w:r w:rsidR="008F5005">
        <w:rPr>
          <w:i/>
          <w:sz w:val="24"/>
          <w:szCs w:val="24"/>
        </w:rPr>
        <w:t>Popowsky </w:t>
      </w:r>
      <w:r w:rsidR="0008390B" w:rsidRPr="00B20BE9">
        <w:rPr>
          <w:i/>
          <w:sz w:val="24"/>
          <w:szCs w:val="24"/>
        </w:rPr>
        <w:t>2005</w:t>
      </w:r>
      <w:r w:rsidR="0008390B" w:rsidRPr="00B20BE9">
        <w:rPr>
          <w:sz w:val="24"/>
          <w:szCs w:val="24"/>
        </w:rPr>
        <w:t>.</w:t>
      </w:r>
      <w:r w:rsidR="00D342E1" w:rsidRPr="00B20BE9">
        <w:rPr>
          <w:sz w:val="24"/>
          <w:szCs w:val="24"/>
        </w:rPr>
        <w:t xml:space="preserve">  While OCA recognized that the General Assembly does have the authority to allow utilities to depart from certain ratemaking rules, it asserted that Act 11 does not exempt PPL from </w:t>
      </w:r>
      <w:r w:rsidR="00DA2703" w:rsidRPr="00B20BE9">
        <w:rPr>
          <w:sz w:val="24"/>
          <w:szCs w:val="24"/>
        </w:rPr>
        <w:t>the requirement to calculate</w:t>
      </w:r>
      <w:r w:rsidR="00D342E1" w:rsidRPr="00B20BE9">
        <w:rPr>
          <w:sz w:val="24"/>
          <w:szCs w:val="24"/>
        </w:rPr>
        <w:t xml:space="preserve"> its DSIC rate, consistent with actual costs incurred.  OCA R.B., pp. 13-14.</w:t>
      </w:r>
      <w:r w:rsidR="00DA2703" w:rsidRPr="00B20BE9">
        <w:rPr>
          <w:sz w:val="24"/>
          <w:szCs w:val="24"/>
        </w:rPr>
        <w:t xml:space="preserve">  Accordingly, the ADIT adjustment must be adopted, according to OCA.</w:t>
      </w:r>
    </w:p>
    <w:p w:rsidR="00616A31" w:rsidRPr="00B20BE9" w:rsidRDefault="00616A31" w:rsidP="00893E9E">
      <w:pPr>
        <w:rPr>
          <w:sz w:val="24"/>
          <w:szCs w:val="24"/>
        </w:rPr>
      </w:pPr>
    </w:p>
    <w:p w:rsidR="00616A31" w:rsidRPr="00B20BE9" w:rsidRDefault="00616A31" w:rsidP="00616A31">
      <w:pPr>
        <w:rPr>
          <w:rFonts w:eastAsia="Calibri"/>
          <w:color w:val="000000"/>
          <w:sz w:val="24"/>
          <w:szCs w:val="24"/>
        </w:rPr>
      </w:pPr>
      <w:r w:rsidRPr="00B20BE9">
        <w:rPr>
          <w:sz w:val="24"/>
          <w:szCs w:val="24"/>
        </w:rPr>
        <w:tab/>
      </w:r>
      <w:r w:rsidRPr="00B20BE9">
        <w:rPr>
          <w:sz w:val="24"/>
          <w:szCs w:val="24"/>
        </w:rPr>
        <w:tab/>
      </w:r>
      <w:r w:rsidRPr="00B20BE9">
        <w:rPr>
          <w:rFonts w:eastAsia="Calibri"/>
          <w:iCs/>
          <w:color w:val="000000"/>
          <w:sz w:val="24"/>
          <w:szCs w:val="24"/>
        </w:rPr>
        <w:t xml:space="preserve">OCA argued against application of the lesser ratemaking standard that had been approved in </w:t>
      </w:r>
      <w:r w:rsidRPr="00B20BE9">
        <w:rPr>
          <w:rFonts w:eastAsia="Calibri"/>
          <w:i/>
          <w:iCs/>
          <w:color w:val="000000"/>
          <w:sz w:val="24"/>
          <w:szCs w:val="24"/>
        </w:rPr>
        <w:t>Popowky v. Pa. Pub. Util. Comm’n</w:t>
      </w:r>
      <w:r w:rsidRPr="00B20BE9">
        <w:rPr>
          <w:rFonts w:eastAsia="Calibri"/>
          <w:iCs/>
          <w:color w:val="000000"/>
          <w:sz w:val="24"/>
          <w:szCs w:val="24"/>
        </w:rPr>
        <w:t>, 683 A.2d 958 (Pa. Commw. 1996) (</w:t>
      </w:r>
      <w:r w:rsidRPr="00B20BE9">
        <w:rPr>
          <w:rFonts w:eastAsia="Calibri"/>
          <w:i/>
          <w:iCs/>
          <w:color w:val="000000"/>
          <w:sz w:val="24"/>
          <w:szCs w:val="24"/>
        </w:rPr>
        <w:t>Equitable</w:t>
      </w:r>
      <w:r w:rsidRPr="00B20BE9">
        <w:rPr>
          <w:rFonts w:eastAsia="Calibri"/>
          <w:iCs/>
          <w:color w:val="000000"/>
          <w:sz w:val="24"/>
          <w:szCs w:val="24"/>
        </w:rPr>
        <w:t xml:space="preserve">) for non-general base rate cases.  It also distinguished the </w:t>
      </w:r>
      <w:r w:rsidRPr="00B20BE9">
        <w:rPr>
          <w:rFonts w:eastAsia="Calibri"/>
          <w:i/>
          <w:iCs/>
          <w:color w:val="000000"/>
          <w:sz w:val="24"/>
          <w:szCs w:val="24"/>
        </w:rPr>
        <w:t>Gill</w:t>
      </w:r>
      <w:r w:rsidRPr="00B20BE9">
        <w:rPr>
          <w:rFonts w:eastAsia="Calibri"/>
          <w:iCs/>
          <w:color w:val="000000"/>
          <w:sz w:val="24"/>
          <w:szCs w:val="24"/>
        </w:rPr>
        <w:t xml:space="preserve"> case (</w:t>
      </w:r>
      <w:r w:rsidRPr="00B20BE9">
        <w:rPr>
          <w:rFonts w:eastAsia="Calibri"/>
          <w:i/>
          <w:iCs/>
          <w:color w:val="000000"/>
          <w:sz w:val="24"/>
          <w:szCs w:val="24"/>
        </w:rPr>
        <w:t>Gill v. The Bell Tele. Co. of Pa.</w:t>
      </w:r>
      <w:r w:rsidRPr="00B20BE9">
        <w:rPr>
          <w:rFonts w:eastAsia="Calibri"/>
          <w:iCs/>
          <w:color w:val="000000"/>
          <w:sz w:val="24"/>
          <w:szCs w:val="24"/>
        </w:rPr>
        <w:t xml:space="preserve">, 1994 Pa. PUC LEXIS 115, cited by PPL for the proposition that surcharges should be simple and straightforward.  According to OCA, </w:t>
      </w:r>
      <w:r w:rsidRPr="00B20BE9">
        <w:rPr>
          <w:rFonts w:eastAsia="Calibri"/>
          <w:i/>
          <w:iCs/>
          <w:color w:val="000000"/>
          <w:sz w:val="24"/>
          <w:szCs w:val="24"/>
        </w:rPr>
        <w:t>Gill</w:t>
      </w:r>
      <w:r w:rsidRPr="00B20BE9">
        <w:rPr>
          <w:rFonts w:eastAsia="Calibri"/>
          <w:iCs/>
          <w:color w:val="000000"/>
          <w:sz w:val="24"/>
          <w:szCs w:val="24"/>
        </w:rPr>
        <w:t xml:space="preserve"> involved state taxes, which are an easily identifiable expense beyond the utility’s control.  In contrast, the DSIC surcharge involves recovery of capital costs, which require more considerations than recovery of an expense.  </w:t>
      </w:r>
      <w:r w:rsidRPr="00B20BE9">
        <w:rPr>
          <w:rFonts w:eastAsia="Calibri"/>
          <w:iCs/>
          <w:color w:val="000000"/>
          <w:sz w:val="24"/>
          <w:szCs w:val="24"/>
          <w:u w:val="single"/>
        </w:rPr>
        <w:t>In accord</w:t>
      </w:r>
      <w:r w:rsidRPr="00B20BE9">
        <w:rPr>
          <w:rFonts w:eastAsia="Calibri"/>
          <w:iCs/>
          <w:color w:val="000000"/>
          <w:sz w:val="24"/>
          <w:szCs w:val="24"/>
        </w:rPr>
        <w:t xml:space="preserve">, </w:t>
      </w:r>
      <w:r w:rsidRPr="00B20BE9">
        <w:rPr>
          <w:rFonts w:eastAsia="Calibri"/>
          <w:i/>
          <w:color w:val="000000"/>
          <w:sz w:val="24"/>
          <w:szCs w:val="24"/>
          <w:lang w:val="en"/>
        </w:rPr>
        <w:t xml:space="preserve">Popowsky v. Pa. Pub. Util. Comm’n, </w:t>
      </w:r>
      <w:r w:rsidRPr="00B20BE9">
        <w:rPr>
          <w:rFonts w:eastAsia="Calibri"/>
          <w:color w:val="000000"/>
          <w:sz w:val="24"/>
          <w:szCs w:val="24"/>
          <w:lang w:val="en"/>
        </w:rPr>
        <w:t>869 A.2d 1144</w:t>
      </w:r>
      <w:r w:rsidRPr="00B20BE9">
        <w:rPr>
          <w:rFonts w:eastAsia="Calibri"/>
          <w:color w:val="000000"/>
          <w:sz w:val="24"/>
          <w:szCs w:val="24"/>
        </w:rPr>
        <w:t xml:space="preserve"> (Pa. Commw. Ct. 2005) (</w:t>
      </w:r>
      <w:r w:rsidR="00996A61">
        <w:rPr>
          <w:rFonts w:eastAsia="Calibri"/>
          <w:i/>
          <w:color w:val="000000"/>
          <w:sz w:val="24"/>
          <w:szCs w:val="24"/>
        </w:rPr>
        <w:t>PAWC </w:t>
      </w:r>
      <w:r w:rsidRPr="00B20BE9">
        <w:rPr>
          <w:rFonts w:eastAsia="Calibri"/>
          <w:i/>
          <w:color w:val="000000"/>
          <w:sz w:val="24"/>
          <w:szCs w:val="24"/>
        </w:rPr>
        <w:t>2005</w:t>
      </w:r>
      <w:r w:rsidRPr="00B20BE9">
        <w:rPr>
          <w:rFonts w:eastAsia="Calibri"/>
          <w:color w:val="000000"/>
          <w:sz w:val="24"/>
          <w:szCs w:val="24"/>
        </w:rPr>
        <w:t>).  OCA R.B., pp. 18-19.</w:t>
      </w:r>
    </w:p>
    <w:p w:rsidR="00616A31" w:rsidRPr="00B20BE9" w:rsidRDefault="00616A31" w:rsidP="00893E9E">
      <w:pPr>
        <w:rPr>
          <w:sz w:val="24"/>
          <w:szCs w:val="24"/>
        </w:rPr>
      </w:pPr>
    </w:p>
    <w:p w:rsidR="007A3DCA" w:rsidRPr="00B20BE9" w:rsidRDefault="00616A31" w:rsidP="0024240F">
      <w:pPr>
        <w:rPr>
          <w:rFonts w:eastAsia="Calibri"/>
          <w:sz w:val="24"/>
          <w:szCs w:val="24"/>
        </w:rPr>
      </w:pPr>
      <w:r w:rsidRPr="00B20BE9">
        <w:rPr>
          <w:sz w:val="24"/>
          <w:szCs w:val="24"/>
        </w:rPr>
        <w:tab/>
      </w:r>
      <w:r w:rsidRPr="00B20BE9">
        <w:rPr>
          <w:sz w:val="24"/>
          <w:szCs w:val="24"/>
        </w:rPr>
        <w:tab/>
      </w:r>
      <w:r w:rsidR="0024240F" w:rsidRPr="00B20BE9">
        <w:rPr>
          <w:sz w:val="24"/>
          <w:szCs w:val="24"/>
        </w:rPr>
        <w:t xml:space="preserve">With respect to PPL’s </w:t>
      </w:r>
      <w:r w:rsidR="00C40800" w:rsidRPr="00B20BE9">
        <w:rPr>
          <w:sz w:val="24"/>
          <w:szCs w:val="24"/>
        </w:rPr>
        <w:t xml:space="preserve">contention that the </w:t>
      </w:r>
      <w:r w:rsidR="0024240F" w:rsidRPr="00B20BE9">
        <w:rPr>
          <w:sz w:val="24"/>
          <w:szCs w:val="24"/>
        </w:rPr>
        <w:t>ADIT adjustment ha</w:t>
      </w:r>
      <w:r w:rsidR="00A01C42" w:rsidRPr="00B20BE9">
        <w:rPr>
          <w:sz w:val="24"/>
          <w:szCs w:val="24"/>
        </w:rPr>
        <w:t>s</w:t>
      </w:r>
      <w:r w:rsidR="0024240F" w:rsidRPr="00B20BE9">
        <w:rPr>
          <w:sz w:val="24"/>
          <w:szCs w:val="24"/>
        </w:rPr>
        <w:t xml:space="preserve"> already been rejected in the </w:t>
      </w:r>
      <w:r w:rsidR="0024240F" w:rsidRPr="00B20BE9">
        <w:rPr>
          <w:i/>
          <w:sz w:val="24"/>
          <w:szCs w:val="24"/>
        </w:rPr>
        <w:t>Final Implementation Order</w:t>
      </w:r>
      <w:r w:rsidR="0024240F" w:rsidRPr="00B20BE9">
        <w:rPr>
          <w:sz w:val="24"/>
          <w:szCs w:val="24"/>
        </w:rPr>
        <w:t xml:space="preserve">, OCA supplemented its Main Brief position </w:t>
      </w:r>
      <w:r w:rsidR="00A06C3C" w:rsidRPr="00B20BE9">
        <w:rPr>
          <w:sz w:val="24"/>
          <w:szCs w:val="24"/>
        </w:rPr>
        <w:t>with additional argument in its Reply</w:t>
      </w:r>
      <w:r w:rsidR="0024240F" w:rsidRPr="00B20BE9">
        <w:rPr>
          <w:sz w:val="24"/>
          <w:szCs w:val="24"/>
        </w:rPr>
        <w:t xml:space="preserve"> Brief.  OCA observed that the Commission had specifically referred</w:t>
      </w:r>
      <w:r w:rsidR="0024240F" w:rsidRPr="00B20BE9">
        <w:rPr>
          <w:rFonts w:eastAsia="Calibri"/>
          <w:sz w:val="24"/>
          <w:szCs w:val="24"/>
        </w:rPr>
        <w:t xml:space="preserve"> </w:t>
      </w:r>
      <w:r w:rsidR="007A3DCA" w:rsidRPr="00B20BE9">
        <w:rPr>
          <w:rFonts w:eastAsia="Calibri"/>
          <w:sz w:val="24"/>
          <w:szCs w:val="24"/>
        </w:rPr>
        <w:t xml:space="preserve">issues related to the impact of ADIT for further disposition in this proceeding.  </w:t>
      </w:r>
      <w:r w:rsidR="007A3DCA" w:rsidRPr="00B20BE9">
        <w:rPr>
          <w:rFonts w:eastAsia="Calibri"/>
          <w:i/>
          <w:color w:val="000000"/>
          <w:sz w:val="24"/>
          <w:szCs w:val="24"/>
        </w:rPr>
        <w:t>May 23 Order</w:t>
      </w:r>
      <w:r w:rsidR="00A06C3C" w:rsidRPr="00B20BE9">
        <w:rPr>
          <w:rFonts w:eastAsia="Calibri"/>
          <w:sz w:val="24"/>
          <w:szCs w:val="24"/>
        </w:rPr>
        <w:t xml:space="preserve"> at 37.  It noted that the</w:t>
      </w:r>
      <w:r w:rsidR="007A3DCA" w:rsidRPr="00B20BE9">
        <w:rPr>
          <w:rFonts w:eastAsia="Calibri"/>
          <w:sz w:val="24"/>
          <w:szCs w:val="24"/>
        </w:rPr>
        <w:t xml:space="preserve"> </w:t>
      </w:r>
      <w:r w:rsidR="007A3DCA" w:rsidRPr="00B20BE9">
        <w:rPr>
          <w:rFonts w:eastAsia="Calibri"/>
          <w:i/>
          <w:sz w:val="24"/>
          <w:szCs w:val="24"/>
        </w:rPr>
        <w:t>Final Implementation Order</w:t>
      </w:r>
      <w:r w:rsidR="007A3DCA" w:rsidRPr="00B20BE9">
        <w:rPr>
          <w:rFonts w:eastAsia="Calibri"/>
          <w:sz w:val="24"/>
          <w:szCs w:val="24"/>
        </w:rPr>
        <w:t xml:space="preserve"> did not result from </w:t>
      </w:r>
      <w:r w:rsidR="00A06C3C" w:rsidRPr="00B20BE9">
        <w:rPr>
          <w:rFonts w:eastAsia="Calibri"/>
          <w:sz w:val="24"/>
          <w:szCs w:val="24"/>
        </w:rPr>
        <w:t>an adjudication</w:t>
      </w:r>
      <w:r w:rsidR="007A3DCA" w:rsidRPr="00B20BE9">
        <w:rPr>
          <w:rFonts w:eastAsia="Calibri"/>
          <w:sz w:val="24"/>
          <w:szCs w:val="24"/>
        </w:rPr>
        <w:t xml:space="preserve">; it was a policy statement setting </w:t>
      </w:r>
      <w:r w:rsidR="00A06C3C" w:rsidRPr="00B20BE9">
        <w:rPr>
          <w:rFonts w:eastAsia="Calibri"/>
          <w:sz w:val="24"/>
          <w:szCs w:val="24"/>
        </w:rPr>
        <w:t>forth how the Commission intended</w:t>
      </w:r>
      <w:r w:rsidR="007A3DCA" w:rsidRPr="00B20BE9">
        <w:rPr>
          <w:rFonts w:eastAsia="Calibri"/>
          <w:sz w:val="24"/>
          <w:szCs w:val="24"/>
        </w:rPr>
        <w:t xml:space="preserve"> to interpret Act 11 in future</w:t>
      </w:r>
      <w:r w:rsidR="00A86C64">
        <w:rPr>
          <w:rFonts w:eastAsia="Calibri"/>
          <w:sz w:val="24"/>
          <w:szCs w:val="24"/>
        </w:rPr>
        <w:t xml:space="preserve"> </w:t>
      </w:r>
      <w:r w:rsidR="007A3DCA" w:rsidRPr="00B20BE9">
        <w:rPr>
          <w:rFonts w:eastAsia="Calibri"/>
          <w:sz w:val="24"/>
          <w:szCs w:val="24"/>
        </w:rPr>
        <w:t xml:space="preserve">adjudications and rulemakings.  </w:t>
      </w:r>
      <w:r w:rsidR="007A3DCA" w:rsidRPr="00B20BE9">
        <w:rPr>
          <w:rFonts w:eastAsia="Calibri"/>
          <w:sz w:val="24"/>
          <w:szCs w:val="24"/>
          <w:u w:val="single"/>
        </w:rPr>
        <w:t>See</w:t>
      </w:r>
      <w:r w:rsidR="00A06C3C" w:rsidRPr="00B20BE9">
        <w:rPr>
          <w:rFonts w:eastAsia="Calibri"/>
          <w:sz w:val="24"/>
          <w:szCs w:val="24"/>
        </w:rPr>
        <w:t xml:space="preserve">, </w:t>
      </w:r>
      <w:r w:rsidR="00A06C3C" w:rsidRPr="00B20BE9">
        <w:rPr>
          <w:rFonts w:eastAsia="Calibri"/>
          <w:i/>
          <w:sz w:val="24"/>
          <w:szCs w:val="24"/>
        </w:rPr>
        <w:t xml:space="preserve">e.g. </w:t>
      </w:r>
      <w:r w:rsidR="007A3DCA" w:rsidRPr="00B20BE9">
        <w:rPr>
          <w:rFonts w:eastAsia="Calibri"/>
          <w:i/>
          <w:sz w:val="24"/>
          <w:szCs w:val="24"/>
        </w:rPr>
        <w:t>Chapter 14 Implementation</w:t>
      </w:r>
      <w:r w:rsidR="007A3DCA" w:rsidRPr="00B20BE9">
        <w:rPr>
          <w:rFonts w:eastAsia="Calibri"/>
          <w:sz w:val="24"/>
          <w:szCs w:val="24"/>
        </w:rPr>
        <w:t>, 2005 Pa</w:t>
      </w:r>
      <w:r w:rsidR="00A06C3C" w:rsidRPr="00B20BE9">
        <w:rPr>
          <w:rFonts w:eastAsia="Calibri"/>
          <w:sz w:val="24"/>
          <w:szCs w:val="24"/>
        </w:rPr>
        <w:t xml:space="preserve">. </w:t>
      </w:r>
      <w:r w:rsidR="007A3DCA" w:rsidRPr="00B20BE9">
        <w:rPr>
          <w:rFonts w:eastAsia="Calibri"/>
          <w:sz w:val="24"/>
          <w:szCs w:val="24"/>
        </w:rPr>
        <w:t xml:space="preserve">PUC LEXIS 20, *18-20 (defining the </w:t>
      </w:r>
      <w:r w:rsidR="005351A1">
        <w:rPr>
          <w:rFonts w:eastAsia="Calibri"/>
          <w:sz w:val="24"/>
          <w:szCs w:val="24"/>
        </w:rPr>
        <w:br w:type="page"/>
      </w:r>
      <w:r w:rsidR="007A3DCA" w:rsidRPr="00B20BE9">
        <w:rPr>
          <w:rFonts w:eastAsia="Calibri"/>
          <w:sz w:val="24"/>
          <w:szCs w:val="24"/>
        </w:rPr>
        <w:t>legal effect of similar orders issued to implement Chapter 14 of the Public</w:t>
      </w:r>
      <w:r w:rsidR="005351A1">
        <w:rPr>
          <w:rFonts w:eastAsia="Calibri"/>
          <w:sz w:val="24"/>
          <w:szCs w:val="24"/>
        </w:rPr>
        <w:t xml:space="preserve"> </w:t>
      </w:r>
      <w:r w:rsidR="007A3DCA" w:rsidRPr="00B20BE9">
        <w:rPr>
          <w:rFonts w:eastAsia="Calibri"/>
          <w:sz w:val="24"/>
          <w:szCs w:val="24"/>
        </w:rPr>
        <w:t>Utility Code).</w:t>
      </w:r>
      <w:r w:rsidR="007A3DCA" w:rsidRPr="00B20BE9">
        <w:rPr>
          <w:rFonts w:eastAsia="Calibri"/>
          <w:sz w:val="24"/>
          <w:szCs w:val="24"/>
          <w:vertAlign w:val="superscript"/>
        </w:rPr>
        <w:footnoteReference w:id="2"/>
      </w:r>
      <w:r w:rsidR="00103F29">
        <w:rPr>
          <w:rFonts w:eastAsia="Calibri"/>
          <w:sz w:val="24"/>
          <w:szCs w:val="24"/>
        </w:rPr>
        <w:t xml:space="preserve">  </w:t>
      </w:r>
      <w:r w:rsidR="00276843" w:rsidRPr="00B20BE9">
        <w:rPr>
          <w:rFonts w:eastAsia="Calibri"/>
          <w:sz w:val="24"/>
          <w:szCs w:val="24"/>
        </w:rPr>
        <w:t xml:space="preserve">Therefore, according to OCA, the </w:t>
      </w:r>
      <w:r w:rsidR="00276843" w:rsidRPr="00B20BE9">
        <w:rPr>
          <w:rFonts w:eastAsia="Calibri"/>
          <w:i/>
          <w:sz w:val="24"/>
          <w:szCs w:val="24"/>
        </w:rPr>
        <w:t>Final Implementation Order</w:t>
      </w:r>
      <w:r w:rsidR="00276843" w:rsidRPr="00B20BE9">
        <w:rPr>
          <w:rFonts w:eastAsia="Calibri"/>
          <w:sz w:val="24"/>
          <w:szCs w:val="24"/>
        </w:rPr>
        <w:t xml:space="preserve"> was not a “binding norm” and it is </w:t>
      </w:r>
      <w:r w:rsidR="007A3DCA" w:rsidRPr="00B20BE9">
        <w:rPr>
          <w:rFonts w:eastAsia="Calibri"/>
          <w:sz w:val="24"/>
          <w:szCs w:val="24"/>
        </w:rPr>
        <w:t xml:space="preserve">the current adjudicated proceeding </w:t>
      </w:r>
      <w:r w:rsidR="00276843" w:rsidRPr="00B20BE9">
        <w:rPr>
          <w:rFonts w:eastAsia="Calibri"/>
          <w:sz w:val="24"/>
          <w:szCs w:val="24"/>
        </w:rPr>
        <w:t xml:space="preserve">which provides </w:t>
      </w:r>
      <w:r w:rsidR="007A3DCA" w:rsidRPr="00B20BE9">
        <w:rPr>
          <w:rFonts w:eastAsia="Calibri"/>
          <w:sz w:val="24"/>
          <w:szCs w:val="24"/>
        </w:rPr>
        <w:t>OCA’s o</w:t>
      </w:r>
      <w:r w:rsidR="008C28AD" w:rsidRPr="00B20BE9">
        <w:rPr>
          <w:rFonts w:eastAsia="Calibri"/>
          <w:sz w:val="24"/>
          <w:szCs w:val="24"/>
        </w:rPr>
        <w:t>pportunity to develop a record and d</w:t>
      </w:r>
      <w:r w:rsidR="007A3DCA" w:rsidRPr="00B20BE9">
        <w:rPr>
          <w:rFonts w:eastAsia="Calibri"/>
          <w:sz w:val="24"/>
          <w:szCs w:val="24"/>
        </w:rPr>
        <w:t>emo</w:t>
      </w:r>
      <w:r w:rsidR="008C28AD" w:rsidRPr="00B20BE9">
        <w:rPr>
          <w:rFonts w:eastAsia="Calibri"/>
          <w:sz w:val="24"/>
          <w:szCs w:val="24"/>
        </w:rPr>
        <w:t xml:space="preserve">nstrate </w:t>
      </w:r>
      <w:r w:rsidR="007A3DCA" w:rsidRPr="00B20BE9">
        <w:rPr>
          <w:rFonts w:eastAsia="Calibri"/>
          <w:sz w:val="24"/>
          <w:szCs w:val="24"/>
        </w:rPr>
        <w:t xml:space="preserve">that ADIT </w:t>
      </w:r>
      <w:r w:rsidR="008C28AD" w:rsidRPr="00B20BE9">
        <w:rPr>
          <w:rFonts w:eastAsia="Calibri"/>
          <w:sz w:val="24"/>
          <w:szCs w:val="24"/>
        </w:rPr>
        <w:t xml:space="preserve">is a </w:t>
      </w:r>
      <w:r w:rsidR="007A3DCA" w:rsidRPr="00B20BE9">
        <w:rPr>
          <w:rFonts w:eastAsia="Calibri"/>
          <w:sz w:val="24"/>
          <w:szCs w:val="24"/>
        </w:rPr>
        <w:t>necessar</w:t>
      </w:r>
      <w:r w:rsidR="008C28AD" w:rsidRPr="00B20BE9">
        <w:rPr>
          <w:rFonts w:eastAsia="Calibri"/>
          <w:sz w:val="24"/>
          <w:szCs w:val="24"/>
        </w:rPr>
        <w:t>y component</w:t>
      </w:r>
      <w:r w:rsidR="007A3DCA" w:rsidRPr="00B20BE9">
        <w:rPr>
          <w:rFonts w:eastAsia="Calibri"/>
          <w:sz w:val="24"/>
          <w:szCs w:val="24"/>
        </w:rPr>
        <w:t xml:space="preserve"> of PPL’s DSIC calculation.</w:t>
      </w:r>
      <w:r w:rsidR="005C79E7" w:rsidRPr="00B20BE9">
        <w:rPr>
          <w:rFonts w:eastAsia="Calibri"/>
          <w:sz w:val="24"/>
          <w:szCs w:val="24"/>
        </w:rPr>
        <w:t xml:space="preserve">  OCA R.B., pp. 15-16.</w:t>
      </w:r>
    </w:p>
    <w:p w:rsidR="008C28AD" w:rsidRPr="00B20BE9" w:rsidRDefault="008C28AD" w:rsidP="0024240F">
      <w:pPr>
        <w:rPr>
          <w:rFonts w:eastAsia="Calibri"/>
          <w:sz w:val="24"/>
          <w:szCs w:val="24"/>
        </w:rPr>
      </w:pPr>
    </w:p>
    <w:p w:rsidR="007A3DCA" w:rsidRPr="00B20BE9" w:rsidRDefault="005C79E7" w:rsidP="005C79E7">
      <w:pPr>
        <w:ind w:firstLine="720"/>
        <w:rPr>
          <w:rFonts w:eastAsia="Calibri"/>
          <w:sz w:val="24"/>
          <w:szCs w:val="24"/>
        </w:rPr>
      </w:pPr>
      <w:r w:rsidRPr="00B20BE9">
        <w:rPr>
          <w:rFonts w:eastAsia="Calibri"/>
          <w:sz w:val="24"/>
          <w:szCs w:val="24"/>
        </w:rPr>
        <w:tab/>
      </w:r>
      <w:r w:rsidR="007A3DCA" w:rsidRPr="00B20BE9">
        <w:rPr>
          <w:rFonts w:eastAsia="Calibri"/>
          <w:sz w:val="24"/>
          <w:szCs w:val="24"/>
        </w:rPr>
        <w:t xml:space="preserve">With regard to </w:t>
      </w:r>
      <w:r w:rsidRPr="00B20BE9">
        <w:rPr>
          <w:rFonts w:eastAsia="Calibri"/>
          <w:sz w:val="24"/>
          <w:szCs w:val="24"/>
        </w:rPr>
        <w:t xml:space="preserve">whether the Commission is bound by Model </w:t>
      </w:r>
      <w:r w:rsidR="004F2A9F" w:rsidRPr="00B20BE9">
        <w:rPr>
          <w:rFonts w:eastAsia="Calibri"/>
          <w:sz w:val="24"/>
          <w:szCs w:val="24"/>
        </w:rPr>
        <w:t xml:space="preserve">or Sample </w:t>
      </w:r>
      <w:r w:rsidRPr="00B20BE9">
        <w:rPr>
          <w:rFonts w:eastAsia="Calibri"/>
          <w:sz w:val="24"/>
          <w:szCs w:val="24"/>
        </w:rPr>
        <w:t xml:space="preserve">Tariff language concerning the DSIC, OCA countered that the Commission </w:t>
      </w:r>
      <w:r w:rsidR="007A3DCA" w:rsidRPr="00B20BE9">
        <w:rPr>
          <w:rFonts w:eastAsia="Calibri"/>
          <w:sz w:val="24"/>
          <w:szCs w:val="24"/>
        </w:rPr>
        <w:t>always ha</w:t>
      </w:r>
      <w:r w:rsidR="00F36D90" w:rsidRPr="00B20BE9">
        <w:rPr>
          <w:rFonts w:eastAsia="Calibri"/>
          <w:sz w:val="24"/>
          <w:szCs w:val="24"/>
        </w:rPr>
        <w:t>s</w:t>
      </w:r>
      <w:r w:rsidR="007A3DCA" w:rsidRPr="00B20BE9">
        <w:rPr>
          <w:rFonts w:eastAsia="Calibri"/>
          <w:sz w:val="24"/>
          <w:szCs w:val="24"/>
        </w:rPr>
        <w:t xml:space="preserve"> discretion to review and approve changes where warranted b</w:t>
      </w:r>
      <w:r w:rsidRPr="00B20BE9">
        <w:rPr>
          <w:rFonts w:eastAsia="Calibri"/>
          <w:sz w:val="24"/>
          <w:szCs w:val="24"/>
        </w:rPr>
        <w:t>y the facts an</w:t>
      </w:r>
      <w:r w:rsidR="00996A61">
        <w:rPr>
          <w:rFonts w:eastAsia="Calibri"/>
          <w:sz w:val="24"/>
          <w:szCs w:val="24"/>
        </w:rPr>
        <w:t>d circumstances.  OCA R.B., pp. </w:t>
      </w:r>
      <w:r w:rsidRPr="00B20BE9">
        <w:rPr>
          <w:rFonts w:eastAsia="Calibri"/>
          <w:sz w:val="24"/>
          <w:szCs w:val="24"/>
        </w:rPr>
        <w:t xml:space="preserve">16-17.  It cited to </w:t>
      </w:r>
      <w:r w:rsidRPr="00B20BE9">
        <w:rPr>
          <w:rFonts w:eastAsia="Calibri"/>
          <w:i/>
          <w:sz w:val="24"/>
          <w:szCs w:val="24"/>
        </w:rPr>
        <w:t>Petition of Columbia Water Co.</w:t>
      </w:r>
      <w:r w:rsidRPr="00B20BE9">
        <w:rPr>
          <w:rFonts w:eastAsia="Calibri"/>
          <w:sz w:val="24"/>
          <w:szCs w:val="24"/>
        </w:rPr>
        <w:t>, Docket No. P-00021979 (April 17, 2003) as follows:</w:t>
      </w:r>
    </w:p>
    <w:p w:rsidR="005C79E7" w:rsidRPr="00B20BE9" w:rsidRDefault="005C79E7" w:rsidP="00996A61">
      <w:pPr>
        <w:ind w:firstLine="720"/>
        <w:jc w:val="both"/>
        <w:rPr>
          <w:rFonts w:eastAsia="Calibri"/>
          <w:sz w:val="24"/>
          <w:szCs w:val="24"/>
        </w:rPr>
      </w:pPr>
    </w:p>
    <w:p w:rsidR="001B45F7" w:rsidRDefault="007A3DCA" w:rsidP="000B06CF">
      <w:pPr>
        <w:spacing w:line="240" w:lineRule="auto"/>
        <w:ind w:left="1440" w:right="1440"/>
        <w:rPr>
          <w:rFonts w:eastAsia="Calibri"/>
          <w:iCs/>
          <w:color w:val="000000"/>
          <w:sz w:val="24"/>
          <w:szCs w:val="24"/>
        </w:rPr>
      </w:pPr>
      <w:r w:rsidRPr="00B20BE9">
        <w:rPr>
          <w:rFonts w:eastAsia="Calibri"/>
          <w:iCs/>
          <w:color w:val="000000"/>
          <w:sz w:val="24"/>
          <w:szCs w:val="24"/>
        </w:rPr>
        <w:t>We agree with the ALJ and emphasize that the fact that the Commission has not approved a DSIC to recover costs for distribution system improvement projects other than those in the Sample DSIC tariff does not diminish our discretion to review each request for DSIC recovery based on the facts and circumstances presented.</w:t>
      </w:r>
    </w:p>
    <w:p w:rsidR="000B06CF" w:rsidRDefault="000B06CF" w:rsidP="000B06CF">
      <w:pPr>
        <w:spacing w:line="240" w:lineRule="auto"/>
        <w:ind w:left="1440" w:right="1440"/>
        <w:rPr>
          <w:rFonts w:eastAsia="Calibri"/>
          <w:iCs/>
          <w:color w:val="000000"/>
          <w:sz w:val="24"/>
          <w:szCs w:val="24"/>
        </w:rPr>
      </w:pPr>
    </w:p>
    <w:p w:rsidR="00616A31" w:rsidRPr="00B20BE9" w:rsidRDefault="001B45F7" w:rsidP="00616A31">
      <w:pPr>
        <w:rPr>
          <w:rFonts w:eastAsia="Calibri"/>
          <w:color w:val="000000"/>
          <w:sz w:val="24"/>
          <w:szCs w:val="24"/>
        </w:rPr>
      </w:pPr>
      <w:r w:rsidRPr="00B20BE9">
        <w:rPr>
          <w:rFonts w:eastAsia="Calibri"/>
          <w:iCs/>
          <w:color w:val="000000"/>
          <w:sz w:val="24"/>
          <w:szCs w:val="24"/>
        </w:rPr>
        <w:tab/>
      </w:r>
      <w:r w:rsidRPr="00B20BE9">
        <w:rPr>
          <w:rFonts w:eastAsia="Calibri"/>
          <w:iCs/>
          <w:color w:val="000000"/>
          <w:sz w:val="24"/>
          <w:szCs w:val="24"/>
        </w:rPr>
        <w:tab/>
      </w:r>
      <w:r w:rsidR="00311B7A" w:rsidRPr="00B20BE9">
        <w:rPr>
          <w:rFonts w:eastAsia="Calibri"/>
          <w:iCs/>
          <w:color w:val="000000"/>
          <w:sz w:val="24"/>
          <w:szCs w:val="24"/>
        </w:rPr>
        <w:t>OCA</w:t>
      </w:r>
      <w:r w:rsidRPr="00B20BE9">
        <w:rPr>
          <w:rFonts w:eastAsia="Calibri"/>
          <w:iCs/>
          <w:color w:val="000000"/>
          <w:sz w:val="24"/>
          <w:szCs w:val="24"/>
        </w:rPr>
        <w:t xml:space="preserve"> reiterated its position that the ADIT adjustment, contrary to PPL’s</w:t>
      </w:r>
      <w:r w:rsidR="00311B7A" w:rsidRPr="00B20BE9">
        <w:rPr>
          <w:rFonts w:eastAsia="Calibri"/>
          <w:iCs/>
          <w:color w:val="000000"/>
          <w:sz w:val="24"/>
          <w:szCs w:val="24"/>
        </w:rPr>
        <w:t xml:space="preserve"> assertions, is not too complex.  It </w:t>
      </w:r>
      <w:r w:rsidR="00932ABE" w:rsidRPr="00B20BE9">
        <w:rPr>
          <w:rFonts w:eastAsia="Calibri"/>
          <w:iCs/>
          <w:color w:val="000000"/>
          <w:sz w:val="24"/>
          <w:szCs w:val="24"/>
        </w:rPr>
        <w:t>emphasized its prior Main B</w:t>
      </w:r>
      <w:r w:rsidR="00F03B4A" w:rsidRPr="00B20BE9">
        <w:rPr>
          <w:rFonts w:eastAsia="Calibri"/>
          <w:iCs/>
          <w:color w:val="000000"/>
          <w:sz w:val="24"/>
          <w:szCs w:val="24"/>
        </w:rPr>
        <w:t xml:space="preserve">rief arguments, including its observation </w:t>
      </w:r>
      <w:r w:rsidR="00932ABE" w:rsidRPr="00B20BE9">
        <w:rPr>
          <w:rFonts w:eastAsia="Calibri"/>
          <w:iCs/>
          <w:color w:val="000000"/>
          <w:sz w:val="24"/>
          <w:szCs w:val="24"/>
        </w:rPr>
        <w:t xml:space="preserve">that many states do not find it too difficult to make the adjustment.  </w:t>
      </w:r>
      <w:r w:rsidR="001D5EA6" w:rsidRPr="00B20BE9">
        <w:rPr>
          <w:rFonts w:eastAsia="Calibri"/>
          <w:iCs/>
          <w:color w:val="000000"/>
          <w:sz w:val="24"/>
          <w:szCs w:val="24"/>
        </w:rPr>
        <w:t>OCA further noted that DSIC estimates are subject to reconciliation, refund, and recoupment, and that PPL can true up its DSIC calculations to reflect the actual ADIT balances when it prepares its annual reconciliation for each calendar year.  66 Pa.C.S. §§ 1358(d)(2), (e).</w:t>
      </w:r>
      <w:r w:rsidR="00A244F9" w:rsidRPr="00B20BE9">
        <w:rPr>
          <w:rFonts w:eastAsia="Calibri"/>
          <w:iCs/>
          <w:color w:val="000000"/>
          <w:sz w:val="24"/>
          <w:szCs w:val="24"/>
        </w:rPr>
        <w:t xml:space="preserve"> </w:t>
      </w:r>
      <w:r w:rsidR="001D5EA6" w:rsidRPr="00B20BE9">
        <w:rPr>
          <w:rFonts w:eastAsia="Calibri"/>
          <w:iCs/>
          <w:color w:val="000000"/>
          <w:sz w:val="24"/>
          <w:szCs w:val="24"/>
        </w:rPr>
        <w:t xml:space="preserve"> </w:t>
      </w:r>
      <w:r w:rsidR="00A244F9" w:rsidRPr="00B20BE9">
        <w:rPr>
          <w:rFonts w:eastAsia="Calibri"/>
          <w:iCs/>
          <w:color w:val="000000"/>
          <w:sz w:val="24"/>
          <w:szCs w:val="24"/>
        </w:rPr>
        <w:t>OCA R.B., pp. 18-</w:t>
      </w:r>
      <w:r w:rsidR="00F03B4A" w:rsidRPr="00B20BE9">
        <w:rPr>
          <w:rFonts w:eastAsia="Calibri"/>
          <w:iCs/>
          <w:color w:val="000000"/>
          <w:sz w:val="24"/>
          <w:szCs w:val="24"/>
        </w:rPr>
        <w:t>2</w:t>
      </w:r>
      <w:r w:rsidR="001D5EA6" w:rsidRPr="00B20BE9">
        <w:rPr>
          <w:rFonts w:eastAsia="Calibri"/>
          <w:iCs/>
          <w:color w:val="000000"/>
          <w:sz w:val="24"/>
          <w:szCs w:val="24"/>
        </w:rPr>
        <w:t>1</w:t>
      </w:r>
      <w:r w:rsidR="00A244F9" w:rsidRPr="00B20BE9">
        <w:rPr>
          <w:rFonts w:eastAsia="Calibri"/>
          <w:iCs/>
          <w:color w:val="000000"/>
          <w:sz w:val="24"/>
          <w:szCs w:val="24"/>
        </w:rPr>
        <w:t>.</w:t>
      </w:r>
      <w:r w:rsidR="009A613B" w:rsidRPr="00B20BE9">
        <w:rPr>
          <w:rFonts w:eastAsia="Calibri"/>
          <w:iCs/>
          <w:color w:val="000000"/>
          <w:sz w:val="24"/>
          <w:szCs w:val="24"/>
        </w:rPr>
        <w:t xml:space="preserve">  </w:t>
      </w:r>
      <w:r w:rsidR="00616A31" w:rsidRPr="00B20BE9">
        <w:rPr>
          <w:rFonts w:eastAsia="Calibri"/>
          <w:color w:val="000000"/>
          <w:sz w:val="24"/>
          <w:szCs w:val="24"/>
        </w:rPr>
        <w:t>In response to PPL’s concern that there could be litigation over its tax status if OCA’s proposal is adopted, OCA acknowledged this possibility, but contended that this did not justify ignoring a necessary change to the DSIC.  It noted that Act 11 specifically provided for audit and complaints regarding the DSIC.  66 Pa.C.S. §§ 1301, 1358(e)(1)(i), (f).  OCA R.B., pp. 20-21.</w:t>
      </w:r>
    </w:p>
    <w:p w:rsidR="004E0A0D" w:rsidRPr="00B20BE9" w:rsidRDefault="004E0A0D" w:rsidP="00616A31">
      <w:pPr>
        <w:rPr>
          <w:rFonts w:eastAsia="Calibri"/>
          <w:color w:val="000000"/>
          <w:sz w:val="24"/>
          <w:szCs w:val="24"/>
        </w:rPr>
      </w:pPr>
    </w:p>
    <w:p w:rsidR="004E0A0D" w:rsidRPr="00B20BE9" w:rsidRDefault="004E0A0D" w:rsidP="00616A31">
      <w:pPr>
        <w:rPr>
          <w:rFonts w:eastAsia="Calibri"/>
          <w:iCs/>
          <w:color w:val="000000"/>
          <w:sz w:val="24"/>
          <w:szCs w:val="24"/>
        </w:rPr>
      </w:pPr>
      <w:r w:rsidRPr="00B20BE9">
        <w:rPr>
          <w:rFonts w:eastAsia="Calibri"/>
          <w:color w:val="000000"/>
          <w:sz w:val="24"/>
          <w:szCs w:val="24"/>
        </w:rPr>
        <w:tab/>
      </w:r>
      <w:r w:rsidRPr="00B20BE9">
        <w:rPr>
          <w:rFonts w:eastAsia="Calibri"/>
          <w:color w:val="000000"/>
          <w:sz w:val="24"/>
          <w:szCs w:val="24"/>
        </w:rPr>
        <w:tab/>
      </w:r>
      <w:r w:rsidR="00FF29A7" w:rsidRPr="00B20BE9">
        <w:rPr>
          <w:rFonts w:eastAsia="Calibri"/>
          <w:color w:val="000000"/>
          <w:sz w:val="24"/>
          <w:szCs w:val="24"/>
        </w:rPr>
        <w:t xml:space="preserve">OCA responded to PPL’s </w:t>
      </w:r>
      <w:r w:rsidR="003A0944" w:rsidRPr="00B20BE9">
        <w:rPr>
          <w:rFonts w:eastAsia="Calibri"/>
          <w:color w:val="000000"/>
          <w:sz w:val="24"/>
          <w:szCs w:val="24"/>
        </w:rPr>
        <w:t xml:space="preserve">contentions that the </w:t>
      </w:r>
      <w:r w:rsidRPr="00B20BE9">
        <w:rPr>
          <w:rFonts w:eastAsia="Calibri"/>
          <w:color w:val="000000"/>
          <w:sz w:val="24"/>
          <w:szCs w:val="24"/>
        </w:rPr>
        <w:t>adjustments would create a mismatch because changes since the last base rate case are not being reflected.  In OCA’s view, it is PPL that is creating a mismatch by proposing to recover pre-tax return and depreciation on a single cost without recognizing that other plant balances are declining due to accrued depreciation.</w:t>
      </w:r>
      <w:r w:rsidR="00D36785" w:rsidRPr="00B20BE9">
        <w:rPr>
          <w:rFonts w:eastAsia="Calibri"/>
          <w:color w:val="000000"/>
          <w:sz w:val="24"/>
          <w:szCs w:val="24"/>
        </w:rPr>
        <w:t xml:space="preserve">  OCA argued that PPL is seeking a separate stream of income while its base rates continue to reflect the original undepreciated rate base.  It contended that the adjustments it sought would serve to make the DSIC formula proposed by PPL as reasonable and correct as possible.  OCA R.B., pp. 23-25.</w:t>
      </w:r>
    </w:p>
    <w:p w:rsidR="00616A31" w:rsidRPr="00B20BE9" w:rsidRDefault="00616A31" w:rsidP="001B45F7">
      <w:pPr>
        <w:rPr>
          <w:rFonts w:eastAsia="Calibri"/>
          <w:iCs/>
          <w:color w:val="000000"/>
          <w:sz w:val="24"/>
          <w:szCs w:val="24"/>
        </w:rPr>
      </w:pPr>
    </w:p>
    <w:p w:rsidR="005C0548" w:rsidRPr="00B20BE9" w:rsidRDefault="00FF29A7" w:rsidP="001B45F7">
      <w:pPr>
        <w:rPr>
          <w:rFonts w:eastAsia="Calibri"/>
          <w:color w:val="000000"/>
          <w:sz w:val="24"/>
          <w:szCs w:val="24"/>
        </w:rPr>
      </w:pPr>
      <w:r w:rsidRPr="00B20BE9">
        <w:rPr>
          <w:rFonts w:eastAsia="Calibri"/>
          <w:iCs/>
          <w:color w:val="000000"/>
          <w:sz w:val="24"/>
          <w:szCs w:val="24"/>
        </w:rPr>
        <w:tab/>
      </w:r>
      <w:r w:rsidRPr="00B20BE9">
        <w:rPr>
          <w:rFonts w:eastAsia="Calibri"/>
          <w:iCs/>
          <w:color w:val="000000"/>
          <w:sz w:val="24"/>
          <w:szCs w:val="24"/>
        </w:rPr>
        <w:tab/>
      </w:r>
      <w:r w:rsidR="003A0944" w:rsidRPr="00B20BE9">
        <w:rPr>
          <w:rFonts w:eastAsia="Calibri"/>
          <w:iCs/>
          <w:color w:val="000000"/>
          <w:sz w:val="24"/>
          <w:szCs w:val="24"/>
        </w:rPr>
        <w:t>Additionally</w:t>
      </w:r>
      <w:r w:rsidRPr="00B20BE9">
        <w:rPr>
          <w:rFonts w:eastAsia="Calibri"/>
          <w:iCs/>
          <w:color w:val="000000"/>
          <w:sz w:val="24"/>
          <w:szCs w:val="24"/>
        </w:rPr>
        <w:t xml:space="preserve">, </w:t>
      </w:r>
      <w:r w:rsidRPr="00B20BE9">
        <w:rPr>
          <w:rFonts w:eastAsia="Calibri"/>
          <w:color w:val="000000"/>
          <w:sz w:val="24"/>
          <w:szCs w:val="24"/>
        </w:rPr>
        <w:t xml:space="preserve">OCA responded to PPL’s argument, based on </w:t>
      </w:r>
      <w:r w:rsidRPr="00B20BE9">
        <w:rPr>
          <w:rFonts w:eastAsia="Calibri"/>
          <w:i/>
          <w:color w:val="000000"/>
          <w:sz w:val="24"/>
          <w:szCs w:val="24"/>
        </w:rPr>
        <w:t>Duquesne Light Co. v. Barasch</w:t>
      </w:r>
      <w:r w:rsidRPr="00B20BE9">
        <w:rPr>
          <w:rFonts w:eastAsia="Calibri"/>
          <w:color w:val="000000"/>
          <w:sz w:val="24"/>
          <w:szCs w:val="24"/>
        </w:rPr>
        <w:t>, 488 U.S. 299 (1989) (</w:t>
      </w:r>
      <w:r w:rsidRPr="00B20BE9">
        <w:rPr>
          <w:rFonts w:eastAsia="Calibri"/>
          <w:i/>
          <w:color w:val="000000"/>
          <w:sz w:val="24"/>
          <w:szCs w:val="24"/>
        </w:rPr>
        <w:t>Duquesne</w:t>
      </w:r>
      <w:r w:rsidRPr="00B20BE9">
        <w:rPr>
          <w:rFonts w:eastAsia="Calibri"/>
          <w:color w:val="000000"/>
          <w:sz w:val="24"/>
          <w:szCs w:val="24"/>
        </w:rPr>
        <w:t xml:space="preserve">), that the </w:t>
      </w:r>
      <w:r w:rsidR="00F878B0" w:rsidRPr="00B20BE9">
        <w:rPr>
          <w:rFonts w:eastAsia="Calibri"/>
          <w:color w:val="000000"/>
          <w:sz w:val="24"/>
          <w:szCs w:val="24"/>
        </w:rPr>
        <w:t>total effect of the rate should be considered in determining whether the</w:t>
      </w:r>
      <w:r w:rsidR="001046AF" w:rsidRPr="00B20BE9">
        <w:rPr>
          <w:rFonts w:eastAsia="Calibri"/>
          <w:color w:val="000000"/>
          <w:sz w:val="24"/>
          <w:szCs w:val="24"/>
        </w:rPr>
        <w:t xml:space="preserve"> DSIC is just and reasonable.  </w:t>
      </w:r>
      <w:r w:rsidR="00F878B0" w:rsidRPr="00B20BE9">
        <w:rPr>
          <w:rFonts w:eastAsia="Calibri"/>
          <w:color w:val="000000"/>
          <w:sz w:val="24"/>
          <w:szCs w:val="24"/>
        </w:rPr>
        <w:t>OCA</w:t>
      </w:r>
      <w:r w:rsidR="001046AF" w:rsidRPr="00B20BE9">
        <w:rPr>
          <w:rFonts w:eastAsia="Calibri"/>
          <w:color w:val="000000"/>
          <w:sz w:val="24"/>
          <w:szCs w:val="24"/>
        </w:rPr>
        <w:t xml:space="preserve"> </w:t>
      </w:r>
      <w:r w:rsidR="003A0944" w:rsidRPr="00B20BE9">
        <w:rPr>
          <w:rFonts w:eastAsia="Calibri"/>
          <w:color w:val="000000"/>
          <w:sz w:val="24"/>
          <w:szCs w:val="24"/>
        </w:rPr>
        <w:t xml:space="preserve">argued that PPL had confused the standard in </w:t>
      </w:r>
      <w:r w:rsidR="003A0944" w:rsidRPr="00B20BE9">
        <w:rPr>
          <w:rFonts w:eastAsia="Calibri"/>
          <w:i/>
          <w:color w:val="000000"/>
          <w:sz w:val="24"/>
          <w:szCs w:val="24"/>
        </w:rPr>
        <w:t>Duquesne</w:t>
      </w:r>
      <w:r w:rsidR="003A0944" w:rsidRPr="00B20BE9">
        <w:rPr>
          <w:rFonts w:eastAsia="Calibri"/>
          <w:color w:val="000000"/>
          <w:sz w:val="24"/>
          <w:szCs w:val="24"/>
        </w:rPr>
        <w:t xml:space="preserve">, which was a constitutional taking inquiry, with the standard applicable to this proceeding.  It stated that the </w:t>
      </w:r>
      <w:r w:rsidR="00F878B0" w:rsidRPr="00B20BE9">
        <w:rPr>
          <w:rFonts w:eastAsia="Calibri"/>
          <w:color w:val="000000"/>
          <w:sz w:val="24"/>
          <w:szCs w:val="24"/>
        </w:rPr>
        <w:t>relevant inquiry herein is whether, under Pennsylvania law, a specific rate authorized by statute is just and reasonable if it allows a return on non-investor supplied funds</w:t>
      </w:r>
      <w:r w:rsidR="001046AF" w:rsidRPr="00B20BE9">
        <w:rPr>
          <w:rFonts w:eastAsia="Calibri"/>
          <w:color w:val="000000"/>
          <w:sz w:val="24"/>
          <w:szCs w:val="24"/>
        </w:rPr>
        <w:t xml:space="preserve">, as would occur with no adjustment for ADIT.  According to OCA, if the end result is all that must be examined, the “just and reasonable” standard as to particular expense items, as interpreted by the </w:t>
      </w:r>
      <w:r w:rsidR="003A0944" w:rsidRPr="00B20BE9">
        <w:rPr>
          <w:rFonts w:eastAsia="Calibri"/>
          <w:color w:val="000000"/>
          <w:sz w:val="24"/>
          <w:szCs w:val="24"/>
        </w:rPr>
        <w:t>c</w:t>
      </w:r>
      <w:r w:rsidR="001046AF" w:rsidRPr="00B20BE9">
        <w:rPr>
          <w:rFonts w:eastAsia="Calibri"/>
          <w:color w:val="000000"/>
          <w:sz w:val="24"/>
          <w:szCs w:val="24"/>
        </w:rPr>
        <w:t>o</w:t>
      </w:r>
      <w:r w:rsidR="003A0944" w:rsidRPr="00B20BE9">
        <w:rPr>
          <w:rFonts w:eastAsia="Calibri"/>
          <w:color w:val="000000"/>
          <w:sz w:val="24"/>
          <w:szCs w:val="24"/>
        </w:rPr>
        <w:t>urts and the Comm</w:t>
      </w:r>
      <w:r w:rsidR="001046AF" w:rsidRPr="00B20BE9">
        <w:rPr>
          <w:rFonts w:eastAsia="Calibri"/>
          <w:color w:val="000000"/>
          <w:sz w:val="24"/>
          <w:szCs w:val="24"/>
        </w:rPr>
        <w:t xml:space="preserve">ission, is rendered meaningless.  In addition, such an interpretation of “just and reasonable” would be inconsistent with Section 703(e) of the Code, 66 Pa.C.S. § 703(e), which requires </w:t>
      </w:r>
      <w:r w:rsidR="00941220" w:rsidRPr="00B20BE9">
        <w:rPr>
          <w:rFonts w:eastAsia="Calibri"/>
          <w:color w:val="000000"/>
          <w:sz w:val="24"/>
          <w:szCs w:val="24"/>
        </w:rPr>
        <w:t>that Commission determinations be supported by specific findings.</w:t>
      </w:r>
      <w:r w:rsidR="003A0944" w:rsidRPr="00B20BE9">
        <w:rPr>
          <w:rFonts w:eastAsia="Calibri"/>
          <w:color w:val="000000"/>
          <w:sz w:val="24"/>
          <w:szCs w:val="24"/>
        </w:rPr>
        <w:t xml:space="preserve">  OCA R.B., pp. 25-29.</w:t>
      </w:r>
    </w:p>
    <w:p w:rsidR="00E87AC0" w:rsidRPr="00B20BE9" w:rsidRDefault="00E87AC0" w:rsidP="001B45F7">
      <w:pPr>
        <w:rPr>
          <w:rFonts w:eastAsia="Calibri"/>
          <w:color w:val="000000"/>
          <w:sz w:val="24"/>
          <w:szCs w:val="24"/>
        </w:rPr>
      </w:pPr>
    </w:p>
    <w:p w:rsidR="00E87AC0" w:rsidRPr="00B20BE9" w:rsidRDefault="00E87AC0" w:rsidP="001B45F7">
      <w:pPr>
        <w:rPr>
          <w:rFonts w:eastAsia="Calibri"/>
          <w:color w:val="000000"/>
          <w:sz w:val="24"/>
          <w:szCs w:val="24"/>
        </w:rPr>
      </w:pPr>
      <w:r w:rsidRPr="00B20BE9">
        <w:rPr>
          <w:rFonts w:eastAsia="Calibri"/>
          <w:color w:val="000000"/>
          <w:sz w:val="24"/>
          <w:szCs w:val="24"/>
        </w:rPr>
        <w:tab/>
      </w:r>
      <w:r w:rsidRPr="00B20BE9">
        <w:rPr>
          <w:rFonts w:eastAsia="Calibri"/>
          <w:color w:val="000000"/>
          <w:sz w:val="24"/>
          <w:szCs w:val="24"/>
        </w:rPr>
        <w:tab/>
        <w:t xml:space="preserve">Finally, OCA asserted that the “actual taxes paid” doctrine applies to the DSIC and precludes PPL from collecting phantom taxes such as would occur if the ADIT adjustment is not adopted.  It cited to </w:t>
      </w:r>
      <w:r w:rsidRPr="00B20BE9">
        <w:rPr>
          <w:rFonts w:eastAsia="Calibri"/>
          <w:i/>
          <w:color w:val="000000"/>
          <w:sz w:val="24"/>
          <w:szCs w:val="24"/>
        </w:rPr>
        <w:t>Barasch v. Pa. Pub. Util. Comm’n</w:t>
      </w:r>
      <w:r w:rsidRPr="00B20BE9">
        <w:rPr>
          <w:rFonts w:eastAsia="Calibri"/>
          <w:color w:val="000000"/>
          <w:sz w:val="24"/>
          <w:szCs w:val="24"/>
        </w:rPr>
        <w:t>, 507 Pa. 496, 491 A.2d 94 (1985) (</w:t>
      </w:r>
      <w:r w:rsidRPr="00B20BE9">
        <w:rPr>
          <w:rFonts w:eastAsia="Calibri"/>
          <w:i/>
          <w:color w:val="000000"/>
          <w:sz w:val="24"/>
          <w:szCs w:val="24"/>
        </w:rPr>
        <w:t>Penn Power</w:t>
      </w:r>
      <w:r w:rsidRPr="00B20BE9">
        <w:rPr>
          <w:rFonts w:eastAsia="Calibri"/>
          <w:color w:val="000000"/>
          <w:sz w:val="24"/>
          <w:szCs w:val="24"/>
        </w:rPr>
        <w:t>) as holding that no Commission approved rate is ju</w:t>
      </w:r>
      <w:r w:rsidR="003E2499">
        <w:rPr>
          <w:rFonts w:eastAsia="Calibri"/>
          <w:color w:val="000000"/>
          <w:sz w:val="24"/>
          <w:szCs w:val="24"/>
        </w:rPr>
        <w:t>st and reasonable under Section </w:t>
      </w:r>
      <w:r w:rsidRPr="00B20BE9">
        <w:rPr>
          <w:rFonts w:eastAsia="Calibri"/>
          <w:color w:val="000000"/>
          <w:sz w:val="24"/>
          <w:szCs w:val="24"/>
        </w:rPr>
        <w:t xml:space="preserve">1301 of the Code unless it is based on actual taxes paid by the utility.  While PPL is entitled to a return on its investment in distribution system improvements, it is not entitled to recover taxes on the DSIC plant or revenue that it will not pay.  </w:t>
      </w:r>
      <w:r w:rsidR="008E0599" w:rsidRPr="00B20BE9">
        <w:rPr>
          <w:rFonts w:eastAsia="Calibri"/>
          <w:color w:val="000000"/>
          <w:sz w:val="24"/>
          <w:szCs w:val="24"/>
        </w:rPr>
        <w:t>OCA M.B., pp. 29-31.</w:t>
      </w:r>
    </w:p>
    <w:p w:rsidR="00E87AC0" w:rsidRPr="00B20BE9" w:rsidRDefault="00E87AC0" w:rsidP="001B45F7">
      <w:pPr>
        <w:rPr>
          <w:rFonts w:eastAsia="Calibri"/>
          <w:color w:val="000000"/>
          <w:sz w:val="24"/>
          <w:szCs w:val="24"/>
        </w:rPr>
      </w:pPr>
    </w:p>
    <w:p w:rsidR="005C0548" w:rsidRPr="00B20BE9" w:rsidRDefault="005C0548" w:rsidP="001B45F7">
      <w:pPr>
        <w:rPr>
          <w:rFonts w:eastAsia="Calibri"/>
          <w:color w:val="000000"/>
          <w:sz w:val="24"/>
          <w:szCs w:val="24"/>
        </w:rPr>
      </w:pPr>
      <w:r w:rsidRPr="00B20BE9">
        <w:rPr>
          <w:rFonts w:eastAsia="Calibri"/>
          <w:color w:val="000000"/>
          <w:sz w:val="24"/>
          <w:szCs w:val="24"/>
        </w:rPr>
        <w:tab/>
      </w:r>
      <w:r w:rsidRPr="00B20BE9">
        <w:rPr>
          <w:rFonts w:eastAsia="Calibri"/>
          <w:color w:val="000000"/>
          <w:sz w:val="24"/>
          <w:szCs w:val="24"/>
        </w:rPr>
        <w:tab/>
        <w:t>For all these reasons, OCA urged that its ADIT adjustment be adopted.</w:t>
      </w:r>
    </w:p>
    <w:p w:rsidR="005C0548" w:rsidRPr="00B20BE9" w:rsidRDefault="005C0548" w:rsidP="001B45F7">
      <w:pPr>
        <w:rPr>
          <w:rFonts w:eastAsia="Calibri"/>
          <w:color w:val="000000"/>
          <w:sz w:val="24"/>
          <w:szCs w:val="24"/>
        </w:rPr>
      </w:pPr>
    </w:p>
    <w:p w:rsidR="00A244F9" w:rsidRPr="00B20BE9" w:rsidRDefault="005C0548" w:rsidP="005351A1">
      <w:pPr>
        <w:ind w:left="720"/>
        <w:rPr>
          <w:rFonts w:eastAsia="Calibri"/>
          <w:iCs/>
          <w:color w:val="000000"/>
          <w:sz w:val="24"/>
          <w:szCs w:val="24"/>
        </w:rPr>
      </w:pPr>
      <w:r w:rsidRPr="00B20BE9">
        <w:rPr>
          <w:rFonts w:eastAsia="Calibri"/>
          <w:color w:val="000000"/>
          <w:sz w:val="24"/>
          <w:szCs w:val="24"/>
        </w:rPr>
        <w:t>2.</w:t>
      </w:r>
      <w:r w:rsidRPr="00B20BE9">
        <w:rPr>
          <w:rFonts w:eastAsia="Calibri"/>
          <w:color w:val="000000"/>
          <w:sz w:val="24"/>
          <w:szCs w:val="24"/>
        </w:rPr>
        <w:tab/>
      </w:r>
      <w:r w:rsidRPr="00B20BE9">
        <w:rPr>
          <w:rFonts w:eastAsia="Calibri"/>
          <w:color w:val="000000"/>
          <w:sz w:val="24"/>
          <w:szCs w:val="24"/>
          <w:u w:val="single"/>
        </w:rPr>
        <w:t>PPL Position</w:t>
      </w:r>
      <w:r w:rsidR="005351A1">
        <w:rPr>
          <w:rFonts w:eastAsia="Calibri"/>
          <w:color w:val="000000"/>
          <w:sz w:val="24"/>
          <w:szCs w:val="24"/>
          <w:u w:val="single"/>
        </w:rPr>
        <w:fldChar w:fldCharType="begin"/>
      </w:r>
      <w:r w:rsidR="005351A1">
        <w:instrText xml:space="preserve"> TC "</w:instrText>
      </w:r>
      <w:bookmarkStart w:id="6" w:name="_Toc394309035"/>
      <w:r w:rsidR="005351A1" w:rsidRPr="008742F7">
        <w:rPr>
          <w:rFonts w:eastAsia="Calibri"/>
          <w:color w:val="000000"/>
          <w:sz w:val="24"/>
          <w:szCs w:val="24"/>
        </w:rPr>
        <w:instrText>2.</w:instrText>
      </w:r>
      <w:r w:rsidR="005351A1" w:rsidRPr="008742F7">
        <w:rPr>
          <w:rFonts w:eastAsia="Calibri"/>
          <w:color w:val="000000"/>
          <w:sz w:val="24"/>
          <w:szCs w:val="24"/>
        </w:rPr>
        <w:tab/>
      </w:r>
      <w:r w:rsidR="005351A1" w:rsidRPr="008742F7">
        <w:rPr>
          <w:rFonts w:eastAsia="Calibri"/>
          <w:color w:val="000000"/>
          <w:sz w:val="24"/>
          <w:szCs w:val="24"/>
          <w:u w:val="single"/>
        </w:rPr>
        <w:instrText>PPL Position</w:instrText>
      </w:r>
      <w:bookmarkEnd w:id="6"/>
      <w:r w:rsidR="005351A1">
        <w:instrText xml:space="preserve">" \f C \l "3" </w:instrText>
      </w:r>
      <w:r w:rsidR="005351A1">
        <w:rPr>
          <w:rFonts w:eastAsia="Calibri"/>
          <w:color w:val="000000"/>
          <w:sz w:val="24"/>
          <w:szCs w:val="24"/>
          <w:u w:val="single"/>
        </w:rPr>
        <w:fldChar w:fldCharType="end"/>
      </w:r>
    </w:p>
    <w:p w:rsidR="00A244F9" w:rsidRPr="00B20BE9" w:rsidRDefault="00A244F9" w:rsidP="00F03B4A">
      <w:pPr>
        <w:rPr>
          <w:rFonts w:eastAsia="Calibri"/>
          <w:color w:val="000000"/>
          <w:sz w:val="24"/>
          <w:szCs w:val="24"/>
        </w:rPr>
      </w:pPr>
    </w:p>
    <w:p w:rsidR="00C42114" w:rsidRPr="00B20BE9" w:rsidRDefault="00C42114" w:rsidP="00F03B4A">
      <w:pPr>
        <w:rPr>
          <w:rFonts w:eastAsia="Calibri"/>
          <w:color w:val="000000"/>
          <w:sz w:val="24"/>
          <w:szCs w:val="24"/>
        </w:rPr>
      </w:pPr>
      <w:r w:rsidRPr="00B20BE9">
        <w:rPr>
          <w:rFonts w:eastAsia="Calibri"/>
          <w:color w:val="000000"/>
          <w:sz w:val="24"/>
          <w:szCs w:val="24"/>
        </w:rPr>
        <w:tab/>
      </w:r>
      <w:r w:rsidRPr="00B20BE9">
        <w:rPr>
          <w:rFonts w:eastAsia="Calibri"/>
          <w:color w:val="000000"/>
          <w:sz w:val="24"/>
          <w:szCs w:val="24"/>
        </w:rPr>
        <w:tab/>
        <w:t>PPL disagreed with reflecting ADIT in its DSIC.  In response to the OCA arguments, PPL se</w:t>
      </w:r>
      <w:r w:rsidR="001B5887" w:rsidRPr="00B20BE9">
        <w:rPr>
          <w:rFonts w:eastAsia="Calibri"/>
          <w:color w:val="000000"/>
          <w:sz w:val="24"/>
          <w:szCs w:val="24"/>
        </w:rPr>
        <w:t>t forth its position</w:t>
      </w:r>
      <w:r w:rsidR="00EE6905" w:rsidRPr="00B20BE9">
        <w:rPr>
          <w:rFonts w:eastAsia="Calibri"/>
          <w:color w:val="000000"/>
          <w:sz w:val="24"/>
          <w:szCs w:val="24"/>
        </w:rPr>
        <w:t>s</w:t>
      </w:r>
      <w:r w:rsidR="001B5887" w:rsidRPr="00B20BE9">
        <w:rPr>
          <w:rFonts w:eastAsia="Calibri"/>
          <w:color w:val="000000"/>
          <w:sz w:val="24"/>
          <w:szCs w:val="24"/>
        </w:rPr>
        <w:t xml:space="preserve"> that: (1) </w:t>
      </w:r>
      <w:r w:rsidR="00EE6905" w:rsidRPr="00B20BE9">
        <w:rPr>
          <w:rFonts w:eastAsia="Calibri"/>
          <w:color w:val="000000"/>
          <w:sz w:val="24"/>
          <w:szCs w:val="24"/>
        </w:rPr>
        <w:t xml:space="preserve">the ADIT adjustment is inconsistent with Act 11 and the intent of the General Assembly and Commission; </w:t>
      </w:r>
      <w:r w:rsidRPr="00B20BE9">
        <w:rPr>
          <w:rFonts w:eastAsia="Calibri"/>
          <w:color w:val="000000"/>
          <w:sz w:val="24"/>
          <w:szCs w:val="24"/>
        </w:rPr>
        <w:t xml:space="preserve">(2) </w:t>
      </w:r>
      <w:r w:rsidR="00EE6905" w:rsidRPr="00B20BE9">
        <w:rPr>
          <w:rFonts w:eastAsia="Calibri"/>
          <w:color w:val="000000"/>
          <w:sz w:val="24"/>
          <w:szCs w:val="24"/>
        </w:rPr>
        <w:t>the Commission has already rejected the ADIT adjustment as being unnecessary and making the DSIC calculation too complex; and (3) the ADIT adjustment is not required to produce just and reasonable rates.</w:t>
      </w:r>
    </w:p>
    <w:p w:rsidR="00EE6905" w:rsidRPr="00B20BE9" w:rsidRDefault="00EE6905" w:rsidP="00F03B4A">
      <w:pPr>
        <w:rPr>
          <w:rFonts w:eastAsia="Calibri"/>
          <w:color w:val="000000"/>
          <w:sz w:val="24"/>
          <w:szCs w:val="24"/>
        </w:rPr>
      </w:pPr>
    </w:p>
    <w:p w:rsidR="00E13218" w:rsidRPr="00B20BE9" w:rsidRDefault="00EE6905" w:rsidP="00F03B4A">
      <w:pPr>
        <w:rPr>
          <w:rFonts w:eastAsia="Calibri"/>
          <w:color w:val="000000"/>
          <w:sz w:val="24"/>
          <w:szCs w:val="24"/>
        </w:rPr>
      </w:pPr>
      <w:r w:rsidRPr="00B20BE9">
        <w:rPr>
          <w:rFonts w:eastAsia="Calibri"/>
          <w:color w:val="000000"/>
          <w:sz w:val="24"/>
          <w:szCs w:val="24"/>
        </w:rPr>
        <w:tab/>
      </w:r>
      <w:r w:rsidRPr="00B20BE9">
        <w:rPr>
          <w:rFonts w:eastAsia="Calibri"/>
          <w:color w:val="000000"/>
          <w:sz w:val="24"/>
          <w:szCs w:val="24"/>
        </w:rPr>
        <w:tab/>
      </w:r>
      <w:r w:rsidR="00FE59B5" w:rsidRPr="00B20BE9">
        <w:rPr>
          <w:rFonts w:eastAsia="Calibri"/>
          <w:color w:val="000000"/>
          <w:sz w:val="24"/>
          <w:szCs w:val="24"/>
        </w:rPr>
        <w:t>PPL’s primary position</w:t>
      </w:r>
      <w:r w:rsidR="0021667A" w:rsidRPr="00B20BE9">
        <w:rPr>
          <w:rFonts w:eastAsia="Calibri"/>
          <w:color w:val="000000"/>
          <w:sz w:val="24"/>
          <w:szCs w:val="24"/>
        </w:rPr>
        <w:t>, that the ADIT adjustment is inconsistent with Act 11 and legislative intent,</w:t>
      </w:r>
      <w:r w:rsidR="00FE59B5" w:rsidRPr="00B20BE9">
        <w:rPr>
          <w:rFonts w:eastAsia="Calibri"/>
          <w:color w:val="000000"/>
          <w:sz w:val="24"/>
          <w:szCs w:val="24"/>
        </w:rPr>
        <w:t xml:space="preserve"> is one of statutory interpretation.  It cited to th</w:t>
      </w:r>
      <w:r w:rsidR="00ED1BCD">
        <w:rPr>
          <w:rFonts w:eastAsia="Calibri"/>
          <w:color w:val="000000"/>
          <w:sz w:val="24"/>
          <w:szCs w:val="24"/>
        </w:rPr>
        <w:t>e Statutory Construction Act of </w:t>
      </w:r>
      <w:r w:rsidR="00FE59B5" w:rsidRPr="00B20BE9">
        <w:rPr>
          <w:rFonts w:eastAsia="Calibri"/>
          <w:color w:val="000000"/>
          <w:sz w:val="24"/>
          <w:szCs w:val="24"/>
        </w:rPr>
        <w:t xml:space="preserve">1972, which provides that “the object of all interpretation and construction of statutes is to ascertain and effectuate the intention of the General Assembly.”  1 Pa.C.S. § 1921.  PPL argued that in order to ascertain the intent of the General Assembly, the ruling body should first look </w:t>
      </w:r>
      <w:r w:rsidR="007F08A2" w:rsidRPr="00B20BE9">
        <w:rPr>
          <w:rFonts w:eastAsia="Calibri"/>
          <w:color w:val="000000"/>
          <w:sz w:val="24"/>
          <w:szCs w:val="24"/>
        </w:rPr>
        <w:t>to</w:t>
      </w:r>
      <w:r w:rsidR="00FE59B5" w:rsidRPr="00B20BE9">
        <w:rPr>
          <w:rFonts w:eastAsia="Calibri"/>
          <w:color w:val="000000"/>
          <w:sz w:val="24"/>
          <w:szCs w:val="24"/>
        </w:rPr>
        <w:t xml:space="preserve"> the plain language of the statute.  </w:t>
      </w:r>
      <w:r w:rsidR="00FE59B5" w:rsidRPr="00B20BE9">
        <w:rPr>
          <w:rFonts w:eastAsia="Calibri"/>
          <w:i/>
          <w:color w:val="000000"/>
          <w:sz w:val="24"/>
          <w:szCs w:val="24"/>
        </w:rPr>
        <w:t>Commonwealth v. Segida</w:t>
      </w:r>
      <w:r w:rsidR="00FE59B5" w:rsidRPr="00B20BE9">
        <w:rPr>
          <w:rFonts w:eastAsia="Calibri"/>
          <w:color w:val="000000"/>
          <w:sz w:val="24"/>
          <w:szCs w:val="24"/>
        </w:rPr>
        <w:t xml:space="preserve">, 604 Pa. 103, 985 A.2d 871 (2009).  However, if the words are not explicit, then intent may be gleaned from legislative history, including previous drafts of house bills, as well as statements made by legislators during the time of the statute’s enactment.  </w:t>
      </w:r>
      <w:r w:rsidR="00FE59B5" w:rsidRPr="00B20BE9">
        <w:rPr>
          <w:rFonts w:eastAsia="Calibri"/>
          <w:i/>
          <w:color w:val="000000"/>
          <w:sz w:val="24"/>
          <w:szCs w:val="24"/>
        </w:rPr>
        <w:t>Commonwealth v. Wilson</w:t>
      </w:r>
      <w:r w:rsidR="00FE59B5" w:rsidRPr="00B20BE9">
        <w:rPr>
          <w:rFonts w:eastAsia="Calibri"/>
          <w:color w:val="000000"/>
          <w:sz w:val="24"/>
          <w:szCs w:val="24"/>
        </w:rPr>
        <w:t>, 529 Pa. 268, 602 A.2d 1290 (1992)</w:t>
      </w:r>
      <w:r w:rsidR="007F08A2" w:rsidRPr="00B20BE9">
        <w:rPr>
          <w:rFonts w:eastAsia="Calibri"/>
          <w:color w:val="000000"/>
          <w:sz w:val="24"/>
          <w:szCs w:val="24"/>
        </w:rPr>
        <w:t>.  Using these principles, PPL concluded it was the intent of the General Assembly for the DSIC mechanism previously adopted by the Commission as to water utilities (without reflection of ADIT) to</w:t>
      </w:r>
      <w:r w:rsidR="00350C6C" w:rsidRPr="00B20BE9">
        <w:rPr>
          <w:rFonts w:eastAsia="Calibri"/>
          <w:color w:val="000000"/>
          <w:sz w:val="24"/>
          <w:szCs w:val="24"/>
        </w:rPr>
        <w:t xml:space="preserve"> continue.  PPL </w:t>
      </w:r>
      <w:r w:rsidR="007F08A2" w:rsidRPr="00B20BE9">
        <w:rPr>
          <w:rFonts w:eastAsia="Calibri"/>
          <w:color w:val="000000"/>
          <w:sz w:val="24"/>
          <w:szCs w:val="24"/>
        </w:rPr>
        <w:t>asserted that, base</w:t>
      </w:r>
      <w:r w:rsidR="0021667A" w:rsidRPr="00B20BE9">
        <w:rPr>
          <w:rFonts w:eastAsia="Calibri"/>
          <w:color w:val="000000"/>
          <w:sz w:val="24"/>
          <w:szCs w:val="24"/>
        </w:rPr>
        <w:t xml:space="preserve">d upon legislative intent, </w:t>
      </w:r>
      <w:r w:rsidR="007F08A2" w:rsidRPr="00B20BE9">
        <w:rPr>
          <w:rFonts w:eastAsia="Calibri"/>
          <w:color w:val="000000"/>
          <w:sz w:val="24"/>
          <w:szCs w:val="24"/>
        </w:rPr>
        <w:t>the OCA’s ADIT adjustment is contrary to Act 11 and must be rejected.  PPL M.B., pp. 12-13.</w:t>
      </w:r>
    </w:p>
    <w:p w:rsidR="00E13218" w:rsidRPr="00B20BE9" w:rsidRDefault="00E13218" w:rsidP="00F03B4A">
      <w:pPr>
        <w:rPr>
          <w:rFonts w:eastAsia="Calibri"/>
          <w:color w:val="000000"/>
          <w:sz w:val="24"/>
          <w:szCs w:val="24"/>
        </w:rPr>
      </w:pPr>
    </w:p>
    <w:p w:rsidR="00255125" w:rsidRPr="00B20BE9" w:rsidRDefault="008E0599" w:rsidP="00F03B4A">
      <w:pPr>
        <w:rPr>
          <w:rFonts w:eastAsia="Calibri"/>
          <w:color w:val="000000"/>
          <w:sz w:val="24"/>
          <w:szCs w:val="24"/>
        </w:rPr>
      </w:pPr>
      <w:r w:rsidRPr="00B20BE9">
        <w:rPr>
          <w:rFonts w:eastAsia="Calibri"/>
          <w:color w:val="000000"/>
          <w:sz w:val="24"/>
          <w:szCs w:val="24"/>
        </w:rPr>
        <w:tab/>
      </w:r>
      <w:r w:rsidRPr="00B20BE9">
        <w:rPr>
          <w:rFonts w:eastAsia="Calibri"/>
          <w:color w:val="000000"/>
          <w:sz w:val="24"/>
          <w:szCs w:val="24"/>
        </w:rPr>
        <w:tab/>
        <w:t xml:space="preserve">In further support of its position, </w:t>
      </w:r>
      <w:r w:rsidR="00E13218" w:rsidRPr="00B20BE9">
        <w:rPr>
          <w:rFonts w:eastAsia="Calibri"/>
          <w:color w:val="000000"/>
          <w:sz w:val="24"/>
          <w:szCs w:val="24"/>
        </w:rPr>
        <w:t>PPL observed that OCA’s specific tax adjustments were omitted fro</w:t>
      </w:r>
      <w:r w:rsidR="00400FD4" w:rsidRPr="00B20BE9">
        <w:rPr>
          <w:rFonts w:eastAsia="Calibri"/>
          <w:color w:val="000000"/>
          <w:sz w:val="24"/>
          <w:szCs w:val="24"/>
        </w:rPr>
        <w:t xml:space="preserve">m the plain language of Act 11.  </w:t>
      </w:r>
      <w:r w:rsidR="00E13218" w:rsidRPr="00B20BE9">
        <w:rPr>
          <w:rFonts w:eastAsia="Calibri"/>
          <w:color w:val="000000"/>
          <w:sz w:val="24"/>
          <w:szCs w:val="24"/>
        </w:rPr>
        <w:t xml:space="preserve">It cited to </w:t>
      </w:r>
      <w:r w:rsidR="00E13218" w:rsidRPr="00B20BE9">
        <w:rPr>
          <w:rFonts w:eastAsia="Calibri"/>
          <w:i/>
          <w:color w:val="000000"/>
          <w:sz w:val="24"/>
          <w:szCs w:val="24"/>
        </w:rPr>
        <w:t>Mt. Village</w:t>
      </w:r>
      <w:r w:rsidR="00E13218" w:rsidRPr="00B20BE9">
        <w:rPr>
          <w:rFonts w:eastAsia="Calibri"/>
          <w:color w:val="000000"/>
          <w:sz w:val="24"/>
          <w:szCs w:val="24"/>
        </w:rPr>
        <w:t xml:space="preserve">, </w:t>
      </w:r>
      <w:r w:rsidR="00E13218" w:rsidRPr="00B20BE9">
        <w:rPr>
          <w:rFonts w:eastAsia="Calibri"/>
          <w:color w:val="000000"/>
          <w:sz w:val="24"/>
          <w:szCs w:val="24"/>
          <w:u w:val="single"/>
        </w:rPr>
        <w:t>supra</w:t>
      </w:r>
      <w:r w:rsidR="00E13218" w:rsidRPr="00B20BE9">
        <w:rPr>
          <w:rFonts w:eastAsia="Calibri"/>
          <w:color w:val="000000"/>
          <w:sz w:val="24"/>
          <w:szCs w:val="24"/>
        </w:rPr>
        <w:t>, for the proposition that words are not to be added to the statute, especially where, as in the instant case, the words appear to h</w:t>
      </w:r>
      <w:r w:rsidR="00400FD4" w:rsidRPr="00B20BE9">
        <w:rPr>
          <w:rFonts w:eastAsia="Calibri"/>
          <w:color w:val="000000"/>
          <w:sz w:val="24"/>
          <w:szCs w:val="24"/>
        </w:rPr>
        <w:t xml:space="preserve">ave been intentionally omitted.  </w:t>
      </w:r>
      <w:r w:rsidR="00400FD4" w:rsidRPr="00B20BE9">
        <w:rPr>
          <w:rFonts w:eastAsia="Calibri"/>
          <w:color w:val="000000"/>
          <w:sz w:val="24"/>
          <w:szCs w:val="24"/>
          <w:u w:val="single"/>
        </w:rPr>
        <w:t>See also</w:t>
      </w:r>
      <w:r w:rsidR="00400FD4" w:rsidRPr="00B20BE9">
        <w:rPr>
          <w:rFonts w:eastAsia="Calibri"/>
          <w:color w:val="000000"/>
          <w:sz w:val="24"/>
          <w:szCs w:val="24"/>
        </w:rPr>
        <w:t xml:space="preserve">, </w:t>
      </w:r>
      <w:r w:rsidR="00400FD4" w:rsidRPr="00B20BE9">
        <w:rPr>
          <w:rFonts w:eastAsia="Calibri"/>
          <w:i/>
          <w:color w:val="000000"/>
          <w:sz w:val="24"/>
          <w:szCs w:val="24"/>
        </w:rPr>
        <w:t>Popowsky 2005</w:t>
      </w:r>
      <w:r w:rsidR="00400FD4" w:rsidRPr="00B20BE9">
        <w:rPr>
          <w:rFonts w:eastAsia="Calibri"/>
          <w:color w:val="000000"/>
          <w:sz w:val="24"/>
          <w:szCs w:val="24"/>
        </w:rPr>
        <w:t xml:space="preserve">, </w:t>
      </w:r>
      <w:r w:rsidR="00400FD4" w:rsidRPr="00B20BE9">
        <w:rPr>
          <w:rFonts w:eastAsia="Calibri"/>
          <w:color w:val="000000"/>
          <w:sz w:val="24"/>
          <w:szCs w:val="24"/>
          <w:u w:val="single"/>
        </w:rPr>
        <w:t>supra</w:t>
      </w:r>
      <w:r w:rsidR="00400FD4" w:rsidRPr="00B20BE9">
        <w:rPr>
          <w:rFonts w:eastAsia="Calibri"/>
          <w:color w:val="000000"/>
          <w:sz w:val="24"/>
          <w:szCs w:val="24"/>
        </w:rPr>
        <w:t>.</w:t>
      </w:r>
    </w:p>
    <w:p w:rsidR="00255125" w:rsidRPr="00B20BE9" w:rsidRDefault="00255125" w:rsidP="00F03B4A">
      <w:pPr>
        <w:rPr>
          <w:rFonts w:eastAsia="Calibri"/>
          <w:color w:val="000000"/>
          <w:sz w:val="24"/>
          <w:szCs w:val="24"/>
        </w:rPr>
      </w:pPr>
    </w:p>
    <w:p w:rsidR="008939DD" w:rsidRPr="00B20BE9" w:rsidRDefault="00255125" w:rsidP="00F03B4A">
      <w:pPr>
        <w:rPr>
          <w:rFonts w:eastAsia="Calibri"/>
          <w:color w:val="000000"/>
          <w:sz w:val="24"/>
          <w:szCs w:val="24"/>
        </w:rPr>
      </w:pPr>
      <w:r w:rsidRPr="00B20BE9">
        <w:rPr>
          <w:rFonts w:eastAsia="Calibri"/>
          <w:color w:val="000000"/>
          <w:sz w:val="24"/>
          <w:szCs w:val="24"/>
        </w:rPr>
        <w:tab/>
      </w:r>
      <w:r w:rsidRPr="00B20BE9">
        <w:rPr>
          <w:rFonts w:eastAsia="Calibri"/>
          <w:color w:val="000000"/>
          <w:sz w:val="24"/>
          <w:szCs w:val="24"/>
        </w:rPr>
        <w:tab/>
        <w:t>PPL also referenced the legislative history associated with Act 11 and contended that the General Assembly specifically considered, and rejected, the OCA’s ADIT proposal.  It referred to PPL witness Johnson’s exhibit of House Journal documents, which show</w:t>
      </w:r>
      <w:r w:rsidR="000A4376" w:rsidRPr="00B20BE9">
        <w:rPr>
          <w:rFonts w:eastAsia="Calibri"/>
          <w:color w:val="000000"/>
          <w:sz w:val="24"/>
          <w:szCs w:val="24"/>
        </w:rPr>
        <w:t>ed</w:t>
      </w:r>
      <w:r w:rsidRPr="00B20BE9">
        <w:rPr>
          <w:rFonts w:eastAsia="Calibri"/>
          <w:color w:val="000000"/>
          <w:sz w:val="24"/>
          <w:szCs w:val="24"/>
        </w:rPr>
        <w:t xml:space="preserve"> that an amendment to accomplish the OCA’s goals was specifically rejected.  PPL Ex. BLJ-</w:t>
      </w:r>
      <w:r w:rsidR="00006E90" w:rsidRPr="00B20BE9">
        <w:rPr>
          <w:rFonts w:eastAsia="Calibri"/>
          <w:color w:val="000000"/>
          <w:sz w:val="24"/>
          <w:szCs w:val="24"/>
        </w:rPr>
        <w:t>1R</w:t>
      </w:r>
      <w:r w:rsidRPr="00B20BE9">
        <w:rPr>
          <w:rFonts w:eastAsia="Calibri"/>
          <w:color w:val="000000"/>
          <w:sz w:val="24"/>
          <w:szCs w:val="24"/>
        </w:rPr>
        <w:t xml:space="preserve"> at 1911.</w:t>
      </w:r>
      <w:r w:rsidR="000A4376" w:rsidRPr="00B20BE9">
        <w:rPr>
          <w:rFonts w:eastAsia="Calibri"/>
          <w:color w:val="000000"/>
          <w:sz w:val="24"/>
          <w:szCs w:val="24"/>
        </w:rPr>
        <w:t xml:space="preserve">  PPL further claimed that the water DSIC mechanism and model tariff language, which did not recognize the ADIT adjustment, was the foundation for the D</w:t>
      </w:r>
      <w:r w:rsidR="00371FD1">
        <w:rPr>
          <w:rFonts w:eastAsia="Calibri"/>
          <w:color w:val="000000"/>
          <w:sz w:val="24"/>
          <w:szCs w:val="24"/>
        </w:rPr>
        <w:t>SIC mechanism authorized in Act </w:t>
      </w:r>
      <w:r w:rsidR="000A4376" w:rsidRPr="00B20BE9">
        <w:rPr>
          <w:rFonts w:eastAsia="Calibri"/>
          <w:color w:val="000000"/>
          <w:sz w:val="24"/>
          <w:szCs w:val="24"/>
        </w:rPr>
        <w:t xml:space="preserve">11.  Therefore, according to PPL, the DSIC provisions of Act 11 must be interpreted consistent with the water DSIC practice.  </w:t>
      </w:r>
      <w:r w:rsidR="000A4376" w:rsidRPr="00B20BE9">
        <w:rPr>
          <w:rFonts w:eastAsia="Calibri"/>
          <w:color w:val="000000"/>
          <w:sz w:val="24"/>
          <w:szCs w:val="24"/>
          <w:u w:val="single"/>
        </w:rPr>
        <w:t>See</w:t>
      </w:r>
      <w:r w:rsidR="000A4376" w:rsidRPr="00B20BE9">
        <w:rPr>
          <w:rFonts w:eastAsia="Calibri"/>
          <w:color w:val="000000"/>
          <w:sz w:val="24"/>
          <w:szCs w:val="24"/>
        </w:rPr>
        <w:t>, 1 Pa.C.S. § 1921(c)(7)</w:t>
      </w:r>
      <w:r w:rsidR="008939DD" w:rsidRPr="00B20BE9">
        <w:rPr>
          <w:rFonts w:eastAsia="Calibri"/>
          <w:color w:val="000000"/>
          <w:sz w:val="24"/>
          <w:szCs w:val="24"/>
        </w:rPr>
        <w:t>.  PPL M.B., pp. 15-16.</w:t>
      </w:r>
    </w:p>
    <w:p w:rsidR="008939DD" w:rsidRPr="00B20BE9" w:rsidRDefault="008939DD" w:rsidP="00F03B4A">
      <w:pPr>
        <w:rPr>
          <w:rFonts w:eastAsia="Calibri"/>
          <w:color w:val="000000"/>
          <w:sz w:val="24"/>
          <w:szCs w:val="24"/>
        </w:rPr>
      </w:pPr>
    </w:p>
    <w:p w:rsidR="004D4919" w:rsidRPr="00B20BE9" w:rsidRDefault="008939DD" w:rsidP="00F03B4A">
      <w:pPr>
        <w:rPr>
          <w:rFonts w:eastAsia="Calibri"/>
          <w:color w:val="000000"/>
          <w:sz w:val="24"/>
          <w:szCs w:val="24"/>
        </w:rPr>
      </w:pPr>
      <w:r w:rsidRPr="00B20BE9">
        <w:rPr>
          <w:rFonts w:eastAsia="Calibri"/>
          <w:color w:val="000000"/>
          <w:sz w:val="24"/>
          <w:szCs w:val="24"/>
        </w:rPr>
        <w:tab/>
      </w:r>
      <w:r w:rsidRPr="00B20BE9">
        <w:rPr>
          <w:rFonts w:eastAsia="Calibri"/>
          <w:color w:val="000000"/>
          <w:sz w:val="24"/>
          <w:szCs w:val="24"/>
        </w:rPr>
        <w:tab/>
        <w:t xml:space="preserve">PPL emphasized, as part of its statutory construction argument, that the DSIC is an automatic adjustment surcharge mechanism, authorized by the General Assembly as an exception to traditional base rate filings.  </w:t>
      </w:r>
      <w:r w:rsidR="007B79CF" w:rsidRPr="00B20BE9">
        <w:rPr>
          <w:rFonts w:eastAsia="Calibri"/>
          <w:color w:val="000000"/>
          <w:sz w:val="24"/>
          <w:szCs w:val="24"/>
          <w:u w:val="single"/>
        </w:rPr>
        <w:t>See</w:t>
      </w:r>
      <w:r w:rsidR="007B79CF" w:rsidRPr="00B20BE9">
        <w:rPr>
          <w:rFonts w:eastAsia="Calibri"/>
          <w:color w:val="000000"/>
          <w:sz w:val="24"/>
          <w:szCs w:val="24"/>
        </w:rPr>
        <w:t xml:space="preserve">, e.g., </w:t>
      </w:r>
      <w:r w:rsidR="007B79CF" w:rsidRPr="00B20BE9">
        <w:rPr>
          <w:rFonts w:eastAsia="Calibri"/>
          <w:i/>
          <w:color w:val="000000"/>
          <w:sz w:val="24"/>
          <w:szCs w:val="24"/>
        </w:rPr>
        <w:t xml:space="preserve">PIEC </w:t>
      </w:r>
      <w:r w:rsidR="007B79CF" w:rsidRPr="00B20BE9">
        <w:rPr>
          <w:rFonts w:eastAsia="Calibri"/>
          <w:color w:val="000000"/>
          <w:sz w:val="24"/>
          <w:szCs w:val="24"/>
        </w:rPr>
        <w:t xml:space="preserve">and </w:t>
      </w:r>
      <w:r w:rsidR="007B79CF" w:rsidRPr="00B20BE9">
        <w:rPr>
          <w:rFonts w:eastAsia="Calibri"/>
          <w:i/>
          <w:color w:val="000000"/>
          <w:sz w:val="24"/>
          <w:szCs w:val="24"/>
        </w:rPr>
        <w:t>Newtown Artesian</w:t>
      </w:r>
      <w:r w:rsidR="007B79CF" w:rsidRPr="00B20BE9">
        <w:rPr>
          <w:rFonts w:eastAsia="Calibri"/>
          <w:color w:val="000000"/>
          <w:sz w:val="24"/>
          <w:szCs w:val="24"/>
        </w:rPr>
        <w:t xml:space="preserve">, </w:t>
      </w:r>
      <w:r w:rsidR="007B79CF" w:rsidRPr="00B20BE9">
        <w:rPr>
          <w:rFonts w:eastAsia="Calibri"/>
          <w:color w:val="000000"/>
          <w:sz w:val="24"/>
          <w:szCs w:val="24"/>
          <w:u w:val="single"/>
        </w:rPr>
        <w:t>supra</w:t>
      </w:r>
      <w:r w:rsidR="007B79CF" w:rsidRPr="00B20BE9">
        <w:rPr>
          <w:rFonts w:eastAsia="Calibri"/>
          <w:color w:val="000000"/>
          <w:sz w:val="24"/>
          <w:szCs w:val="24"/>
        </w:rPr>
        <w:t>.</w:t>
      </w:r>
      <w:r w:rsidR="00157B82" w:rsidRPr="00B20BE9">
        <w:rPr>
          <w:rFonts w:eastAsia="Calibri"/>
          <w:color w:val="000000"/>
          <w:sz w:val="24"/>
          <w:szCs w:val="24"/>
        </w:rPr>
        <w:t xml:space="preserve">  According to PPL, the courts have recognized the General Assembly’s authority to enact such proposals, which have different goals than traditional Section 1308(d) proceedings, and therefore have different adjustments associated</w:t>
      </w:r>
      <w:r w:rsidR="003A5695" w:rsidRPr="00B20BE9">
        <w:rPr>
          <w:rFonts w:eastAsia="Calibri"/>
          <w:color w:val="000000"/>
          <w:sz w:val="24"/>
          <w:szCs w:val="24"/>
        </w:rPr>
        <w:t xml:space="preserve"> with them.  PPL M.B., pp. 17-19</w:t>
      </w:r>
      <w:r w:rsidR="00157B82" w:rsidRPr="00B20BE9">
        <w:rPr>
          <w:rFonts w:eastAsia="Calibri"/>
          <w:color w:val="000000"/>
          <w:sz w:val="24"/>
          <w:szCs w:val="24"/>
        </w:rPr>
        <w:t>.</w:t>
      </w:r>
    </w:p>
    <w:p w:rsidR="004D4919" w:rsidRPr="00B20BE9" w:rsidRDefault="004D4919" w:rsidP="00F03B4A">
      <w:pPr>
        <w:rPr>
          <w:rFonts w:eastAsia="Calibri"/>
          <w:color w:val="000000"/>
          <w:sz w:val="24"/>
          <w:szCs w:val="24"/>
        </w:rPr>
      </w:pPr>
    </w:p>
    <w:p w:rsidR="004D4919" w:rsidRPr="00B20BE9" w:rsidRDefault="004D4919" w:rsidP="004D4919">
      <w:pPr>
        <w:rPr>
          <w:rFonts w:eastAsia="Calibri"/>
          <w:color w:val="000000"/>
          <w:sz w:val="24"/>
          <w:szCs w:val="24"/>
        </w:rPr>
      </w:pPr>
      <w:r w:rsidRPr="00B20BE9">
        <w:rPr>
          <w:rFonts w:eastAsia="Calibri"/>
          <w:color w:val="000000"/>
          <w:sz w:val="24"/>
          <w:szCs w:val="24"/>
        </w:rPr>
        <w:tab/>
      </w:r>
      <w:r w:rsidRPr="00B20BE9">
        <w:rPr>
          <w:rFonts w:eastAsia="Calibri"/>
          <w:color w:val="000000"/>
          <w:sz w:val="24"/>
          <w:szCs w:val="24"/>
        </w:rPr>
        <w:tab/>
        <w:t xml:space="preserve">PPL concluded that the </w:t>
      </w:r>
      <w:r w:rsidR="008E0599" w:rsidRPr="00B20BE9">
        <w:rPr>
          <w:rFonts w:eastAsia="Calibri"/>
          <w:color w:val="000000"/>
          <w:sz w:val="24"/>
          <w:szCs w:val="24"/>
        </w:rPr>
        <w:t xml:space="preserve">ADIT </w:t>
      </w:r>
      <w:r w:rsidRPr="00B20BE9">
        <w:rPr>
          <w:rFonts w:eastAsia="Calibri"/>
          <w:color w:val="000000"/>
          <w:sz w:val="24"/>
          <w:szCs w:val="24"/>
        </w:rPr>
        <w:t>adjustment is inconsistent with the plain language of the statute and was specifically rejected, based upon a review of the legislative history.  Thus, the ADIT adjustment should be rejected.</w:t>
      </w:r>
    </w:p>
    <w:p w:rsidR="004D4919" w:rsidRPr="00B20BE9" w:rsidRDefault="004D4919" w:rsidP="004D4919">
      <w:pPr>
        <w:rPr>
          <w:rFonts w:eastAsia="Calibri"/>
          <w:color w:val="000000"/>
          <w:sz w:val="24"/>
          <w:szCs w:val="24"/>
        </w:rPr>
      </w:pPr>
    </w:p>
    <w:p w:rsidR="00E13218" w:rsidRPr="00B20BE9" w:rsidRDefault="004D4919" w:rsidP="00F03B4A">
      <w:pPr>
        <w:rPr>
          <w:rFonts w:eastAsia="Calibri"/>
          <w:color w:val="000000"/>
          <w:sz w:val="24"/>
          <w:szCs w:val="24"/>
        </w:rPr>
      </w:pPr>
      <w:r w:rsidRPr="00B20BE9">
        <w:rPr>
          <w:rFonts w:eastAsia="Calibri"/>
          <w:color w:val="000000"/>
          <w:sz w:val="24"/>
          <w:szCs w:val="24"/>
        </w:rPr>
        <w:tab/>
      </w:r>
      <w:r w:rsidRPr="00B20BE9">
        <w:rPr>
          <w:rFonts w:eastAsia="Calibri"/>
          <w:color w:val="000000"/>
          <w:sz w:val="24"/>
          <w:szCs w:val="24"/>
        </w:rPr>
        <w:tab/>
      </w:r>
      <w:r w:rsidR="00AC692E" w:rsidRPr="00B20BE9">
        <w:rPr>
          <w:rFonts w:eastAsia="Calibri"/>
          <w:color w:val="000000"/>
          <w:sz w:val="24"/>
          <w:szCs w:val="24"/>
        </w:rPr>
        <w:t xml:space="preserve">With respect to </w:t>
      </w:r>
      <w:r w:rsidR="003A5695" w:rsidRPr="00B20BE9">
        <w:rPr>
          <w:rFonts w:eastAsia="Calibri"/>
          <w:color w:val="000000"/>
          <w:sz w:val="24"/>
          <w:szCs w:val="24"/>
        </w:rPr>
        <w:t>prior Commission rejection of the OCA’</w:t>
      </w:r>
      <w:r w:rsidR="00E10055" w:rsidRPr="00B20BE9">
        <w:rPr>
          <w:rFonts w:eastAsia="Calibri"/>
          <w:color w:val="000000"/>
          <w:sz w:val="24"/>
          <w:szCs w:val="24"/>
        </w:rPr>
        <w:t xml:space="preserve">s ADIT proposal, PPL cited to </w:t>
      </w:r>
      <w:r w:rsidR="003A5695" w:rsidRPr="00B20BE9">
        <w:rPr>
          <w:rFonts w:eastAsia="Calibri"/>
          <w:color w:val="000000"/>
          <w:sz w:val="24"/>
          <w:szCs w:val="24"/>
        </w:rPr>
        <w:t xml:space="preserve">the Commission’s </w:t>
      </w:r>
      <w:r w:rsidR="003A5695" w:rsidRPr="00B20BE9">
        <w:rPr>
          <w:rFonts w:eastAsia="Calibri"/>
          <w:i/>
          <w:color w:val="000000"/>
          <w:sz w:val="24"/>
          <w:szCs w:val="24"/>
        </w:rPr>
        <w:t xml:space="preserve">Final Implementation Order, </w:t>
      </w:r>
      <w:r w:rsidR="00E10055" w:rsidRPr="00B20BE9">
        <w:rPr>
          <w:rFonts w:eastAsia="Calibri"/>
          <w:color w:val="000000"/>
          <w:sz w:val="24"/>
          <w:szCs w:val="24"/>
          <w:u w:val="single"/>
        </w:rPr>
        <w:t>supra</w:t>
      </w:r>
      <w:r w:rsidR="00E10055" w:rsidRPr="00B20BE9">
        <w:rPr>
          <w:rFonts w:eastAsia="Calibri"/>
          <w:i/>
          <w:color w:val="000000"/>
          <w:sz w:val="24"/>
          <w:szCs w:val="24"/>
        </w:rPr>
        <w:t xml:space="preserve">, </w:t>
      </w:r>
      <w:r w:rsidR="005567B5">
        <w:rPr>
          <w:rFonts w:eastAsia="Calibri"/>
          <w:color w:val="000000"/>
          <w:sz w:val="24"/>
          <w:szCs w:val="24"/>
        </w:rPr>
        <w:t>as follows:</w:t>
      </w:r>
    </w:p>
    <w:p w:rsidR="00E10055" w:rsidRPr="00B20BE9" w:rsidRDefault="00E10055" w:rsidP="00F03B4A">
      <w:pPr>
        <w:rPr>
          <w:rFonts w:eastAsia="Calibri"/>
          <w:color w:val="000000"/>
          <w:sz w:val="24"/>
          <w:szCs w:val="24"/>
        </w:rPr>
      </w:pPr>
    </w:p>
    <w:p w:rsidR="00E10055" w:rsidRPr="00B20BE9" w:rsidRDefault="00E10055" w:rsidP="00E10055">
      <w:pPr>
        <w:pStyle w:val="Quote"/>
        <w:spacing w:line="240" w:lineRule="auto"/>
        <w:ind w:left="1440" w:right="1440"/>
        <w:rPr>
          <w:i w:val="0"/>
          <w:sz w:val="24"/>
          <w:szCs w:val="24"/>
        </w:rPr>
      </w:pPr>
      <w:r w:rsidRPr="00B20BE9">
        <w:rPr>
          <w:i w:val="0"/>
          <w:sz w:val="24"/>
          <w:szCs w:val="24"/>
        </w:rPr>
        <w:t>[T]he DSIC is intended to be a straightforward mechanism which is easy to calculate, easy to audit and which does not require a full rate case analysis.  Inclusion of an ADIT adjustment would be inconsistent with that goal and would likely invite litigation over its calculation.  Moreover, we note that the water DSIC, used successfully for over 15 years, did no</w:t>
      </w:r>
      <w:r w:rsidR="00C9568F">
        <w:rPr>
          <w:i w:val="0"/>
          <w:sz w:val="24"/>
          <w:szCs w:val="24"/>
        </w:rPr>
        <w:t xml:space="preserve">t include an ADIT adjustment.  </w:t>
      </w:r>
      <w:r w:rsidRPr="00B20BE9">
        <w:rPr>
          <w:i w:val="0"/>
          <w:sz w:val="24"/>
          <w:szCs w:val="24"/>
        </w:rPr>
        <w:t>And, in any event, consumers remain protected against over earnings by the earnings cap under Section 1358(b)(3) which captures the revenue impact of all other adjustments and insures that the DSIC does not result in unreasonable rates.</w:t>
      </w:r>
    </w:p>
    <w:p w:rsidR="00E10055" w:rsidRPr="00B20BE9" w:rsidRDefault="00E10055" w:rsidP="00E10055">
      <w:pPr>
        <w:pStyle w:val="Quote"/>
        <w:spacing w:line="240" w:lineRule="auto"/>
        <w:ind w:left="1440" w:right="1440"/>
        <w:rPr>
          <w:i w:val="0"/>
          <w:sz w:val="24"/>
          <w:szCs w:val="24"/>
        </w:rPr>
      </w:pPr>
    </w:p>
    <w:p w:rsidR="00E10055" w:rsidRPr="00B20BE9" w:rsidRDefault="00E10055" w:rsidP="00E10055">
      <w:pPr>
        <w:pStyle w:val="Quote"/>
        <w:spacing w:line="240" w:lineRule="auto"/>
        <w:ind w:left="1440" w:right="1440"/>
        <w:rPr>
          <w:i w:val="0"/>
          <w:sz w:val="24"/>
          <w:szCs w:val="24"/>
        </w:rPr>
      </w:pPr>
      <w:r w:rsidRPr="00B20BE9">
        <w:rPr>
          <w:i w:val="0"/>
          <w:sz w:val="24"/>
          <w:szCs w:val="24"/>
        </w:rPr>
        <w:t>Therefore, the Commission declines to adopt the OCA proposal to include, in the DSIC calculation, an adjustment for accumulated deferred income taxes.  The adjustment, which was not previously used in the DSIC by the water industry, would add unnecessary complexities to the DSIC and, accordingly, will not be included in the model tariff.</w:t>
      </w:r>
    </w:p>
    <w:p w:rsidR="00E10055" w:rsidRPr="00B20BE9" w:rsidRDefault="00E10055" w:rsidP="00E10055">
      <w:pPr>
        <w:spacing w:line="240" w:lineRule="auto"/>
        <w:ind w:left="1440" w:right="1440"/>
        <w:rPr>
          <w:sz w:val="24"/>
          <w:szCs w:val="24"/>
        </w:rPr>
      </w:pPr>
    </w:p>
    <w:p w:rsidR="00FF0BA5" w:rsidRPr="00B20BE9" w:rsidRDefault="00E10055" w:rsidP="00E10055">
      <w:pPr>
        <w:rPr>
          <w:sz w:val="24"/>
          <w:szCs w:val="24"/>
        </w:rPr>
      </w:pPr>
      <w:r w:rsidRPr="00B20BE9">
        <w:rPr>
          <w:i/>
          <w:sz w:val="24"/>
          <w:szCs w:val="24"/>
        </w:rPr>
        <w:t>Final Implementation Order</w:t>
      </w:r>
      <w:r w:rsidRPr="00B20BE9">
        <w:rPr>
          <w:sz w:val="24"/>
          <w:szCs w:val="24"/>
        </w:rPr>
        <w:t>, p. 39 (internal citations omitted).</w:t>
      </w:r>
    </w:p>
    <w:p w:rsidR="00FF0BA5" w:rsidRPr="00B20BE9" w:rsidRDefault="00FF0BA5" w:rsidP="00E10055">
      <w:pPr>
        <w:rPr>
          <w:sz w:val="24"/>
          <w:szCs w:val="24"/>
        </w:rPr>
      </w:pPr>
    </w:p>
    <w:p w:rsidR="00A71FA1" w:rsidRPr="00B20BE9" w:rsidRDefault="00FF0BA5" w:rsidP="00E10055">
      <w:pPr>
        <w:rPr>
          <w:sz w:val="24"/>
          <w:szCs w:val="24"/>
        </w:rPr>
      </w:pPr>
      <w:r w:rsidRPr="00B20BE9">
        <w:rPr>
          <w:sz w:val="24"/>
          <w:szCs w:val="24"/>
        </w:rPr>
        <w:tab/>
      </w:r>
      <w:r w:rsidRPr="00B20BE9">
        <w:rPr>
          <w:sz w:val="24"/>
          <w:szCs w:val="24"/>
        </w:rPr>
        <w:tab/>
        <w:t>Based on the foregoing, PPL concluded that the Commission had previously rejected OCA’s proposal.  PPL indicated that the Commission had provided three reasons why it did not include the ADIT adjus</w:t>
      </w:r>
      <w:r w:rsidR="00D200E5">
        <w:rPr>
          <w:sz w:val="24"/>
          <w:szCs w:val="24"/>
        </w:rPr>
        <w:t xml:space="preserve">tment: </w:t>
      </w:r>
      <w:r w:rsidRPr="00B20BE9">
        <w:rPr>
          <w:sz w:val="24"/>
          <w:szCs w:val="24"/>
        </w:rPr>
        <w:t>(1) the DSIC mechanism was intended to be straightforward and easy to calculate; (2) the water DSIC historically did not include ADIT</w:t>
      </w:r>
      <w:r w:rsidR="00C02C93" w:rsidRPr="00B20BE9">
        <w:rPr>
          <w:sz w:val="24"/>
          <w:szCs w:val="24"/>
        </w:rPr>
        <w:t xml:space="preserve"> (addressed previously herein)</w:t>
      </w:r>
      <w:r w:rsidRPr="00B20BE9">
        <w:rPr>
          <w:sz w:val="24"/>
          <w:szCs w:val="24"/>
        </w:rPr>
        <w:t>; and (3) the ADIT is already accounted for in the earnings cap.</w:t>
      </w:r>
    </w:p>
    <w:p w:rsidR="00A71FA1" w:rsidRPr="00B20BE9" w:rsidRDefault="00A71FA1" w:rsidP="00E10055">
      <w:pPr>
        <w:rPr>
          <w:sz w:val="24"/>
          <w:szCs w:val="24"/>
        </w:rPr>
      </w:pPr>
    </w:p>
    <w:p w:rsidR="00212C42" w:rsidRPr="00B20BE9" w:rsidRDefault="00A71FA1" w:rsidP="00E10055">
      <w:pPr>
        <w:rPr>
          <w:sz w:val="24"/>
          <w:szCs w:val="24"/>
        </w:rPr>
      </w:pPr>
      <w:r w:rsidRPr="00B20BE9">
        <w:rPr>
          <w:sz w:val="24"/>
          <w:szCs w:val="24"/>
        </w:rPr>
        <w:tab/>
      </w:r>
      <w:r w:rsidRPr="00B20BE9">
        <w:rPr>
          <w:sz w:val="24"/>
          <w:szCs w:val="24"/>
        </w:rPr>
        <w:tab/>
        <w:t xml:space="preserve">As to the additional complexity, PPL cited to </w:t>
      </w:r>
      <w:r w:rsidRPr="00B20BE9">
        <w:rPr>
          <w:i/>
          <w:sz w:val="24"/>
          <w:szCs w:val="24"/>
        </w:rPr>
        <w:t>Gill</w:t>
      </w:r>
      <w:r w:rsidRPr="00B20BE9">
        <w:rPr>
          <w:sz w:val="24"/>
          <w:szCs w:val="24"/>
        </w:rPr>
        <w:t xml:space="preserve">, </w:t>
      </w:r>
      <w:r w:rsidRPr="00B20BE9">
        <w:rPr>
          <w:sz w:val="24"/>
          <w:szCs w:val="24"/>
          <w:u w:val="single"/>
        </w:rPr>
        <w:t>supra</w:t>
      </w:r>
      <w:r w:rsidRPr="00B20BE9">
        <w:rPr>
          <w:sz w:val="24"/>
          <w:szCs w:val="24"/>
        </w:rPr>
        <w:t xml:space="preserve">, </w:t>
      </w:r>
      <w:r w:rsidR="003D7C69" w:rsidRPr="00B20BE9">
        <w:rPr>
          <w:sz w:val="24"/>
          <w:szCs w:val="24"/>
        </w:rPr>
        <w:t xml:space="preserve">for the proposition that </w:t>
      </w:r>
      <w:r w:rsidRPr="00B20BE9">
        <w:rPr>
          <w:sz w:val="24"/>
          <w:szCs w:val="24"/>
        </w:rPr>
        <w:t>a surcharge mechanism’s purpose is to establish a simple adjustment mechanism that does not require examinatio</w:t>
      </w:r>
      <w:r w:rsidR="008E0599" w:rsidRPr="00B20BE9">
        <w:rPr>
          <w:sz w:val="24"/>
          <w:szCs w:val="24"/>
        </w:rPr>
        <w:t xml:space="preserve">n of every component to </w:t>
      </w:r>
      <w:r w:rsidRPr="00B20BE9">
        <w:rPr>
          <w:sz w:val="24"/>
          <w:szCs w:val="24"/>
        </w:rPr>
        <w:t xml:space="preserve">be considered in a full base rate case proceeding.  It contended that, in </w:t>
      </w:r>
      <w:r w:rsidRPr="00B20BE9">
        <w:rPr>
          <w:i/>
          <w:sz w:val="24"/>
          <w:szCs w:val="24"/>
        </w:rPr>
        <w:t>Equitable</w:t>
      </w:r>
      <w:r w:rsidRPr="00B20BE9">
        <w:rPr>
          <w:sz w:val="24"/>
          <w:szCs w:val="24"/>
        </w:rPr>
        <w:t xml:space="preserve">, </w:t>
      </w:r>
      <w:r w:rsidRPr="00B20BE9">
        <w:rPr>
          <w:sz w:val="24"/>
          <w:szCs w:val="24"/>
          <w:u w:val="single"/>
        </w:rPr>
        <w:t>supra</w:t>
      </w:r>
      <w:r w:rsidR="0042458C" w:rsidRPr="00B20BE9">
        <w:rPr>
          <w:sz w:val="24"/>
          <w:szCs w:val="24"/>
        </w:rPr>
        <w:t xml:space="preserve">, the Commonwealth Court </w:t>
      </w:r>
      <w:r w:rsidR="003D7C69" w:rsidRPr="00B20BE9">
        <w:rPr>
          <w:sz w:val="24"/>
          <w:szCs w:val="24"/>
        </w:rPr>
        <w:t>held</w:t>
      </w:r>
      <w:r w:rsidR="0042458C" w:rsidRPr="00B20BE9">
        <w:rPr>
          <w:sz w:val="24"/>
          <w:szCs w:val="24"/>
        </w:rPr>
        <w:t xml:space="preserve"> that non-base rate cases do not require </w:t>
      </w:r>
      <w:r w:rsidR="008E0599" w:rsidRPr="00B20BE9">
        <w:rPr>
          <w:sz w:val="24"/>
          <w:szCs w:val="24"/>
        </w:rPr>
        <w:t>consideration</w:t>
      </w:r>
      <w:r w:rsidR="0042458C" w:rsidRPr="00B20BE9">
        <w:rPr>
          <w:sz w:val="24"/>
          <w:szCs w:val="24"/>
        </w:rPr>
        <w:t xml:space="preserve"> of the full extent of revenues, expenses, rate base, and rat</w:t>
      </w:r>
      <w:r w:rsidR="003D7C69" w:rsidRPr="00B20BE9">
        <w:rPr>
          <w:sz w:val="24"/>
          <w:szCs w:val="24"/>
        </w:rPr>
        <w:t>e of return</w:t>
      </w:r>
      <w:r w:rsidR="0042458C" w:rsidRPr="00B20BE9">
        <w:rPr>
          <w:sz w:val="24"/>
          <w:szCs w:val="24"/>
        </w:rPr>
        <w:t>.</w:t>
      </w:r>
      <w:r w:rsidR="003D7C69" w:rsidRPr="00B20BE9">
        <w:rPr>
          <w:sz w:val="24"/>
          <w:szCs w:val="24"/>
        </w:rPr>
        <w:t xml:space="preserve">  Incorporating an ADIT adjustment into the equation would defeat the purpose of Act 11’s simple surcharge provisions, according to PPL.</w:t>
      </w:r>
      <w:r w:rsidR="0024208C" w:rsidRPr="00B20BE9">
        <w:rPr>
          <w:sz w:val="24"/>
          <w:szCs w:val="24"/>
        </w:rPr>
        <w:t xml:space="preserve">  PPL M.B., pp. 20-21.</w:t>
      </w:r>
    </w:p>
    <w:p w:rsidR="00212C42" w:rsidRPr="00B20BE9" w:rsidRDefault="00212C42" w:rsidP="00E10055">
      <w:pPr>
        <w:rPr>
          <w:sz w:val="24"/>
          <w:szCs w:val="24"/>
        </w:rPr>
      </w:pPr>
    </w:p>
    <w:p w:rsidR="00350C6C" w:rsidRPr="00B20BE9" w:rsidRDefault="00212C42" w:rsidP="00E10055">
      <w:pPr>
        <w:rPr>
          <w:sz w:val="24"/>
          <w:szCs w:val="24"/>
        </w:rPr>
      </w:pPr>
      <w:r w:rsidRPr="00B20BE9">
        <w:rPr>
          <w:sz w:val="24"/>
          <w:szCs w:val="24"/>
        </w:rPr>
        <w:tab/>
      </w:r>
      <w:r w:rsidRPr="00B20BE9">
        <w:rPr>
          <w:sz w:val="24"/>
          <w:szCs w:val="24"/>
        </w:rPr>
        <w:tab/>
        <w:t xml:space="preserve">A prime reason for the </w:t>
      </w:r>
      <w:r w:rsidR="008E0599" w:rsidRPr="00B20BE9">
        <w:rPr>
          <w:sz w:val="24"/>
          <w:szCs w:val="24"/>
        </w:rPr>
        <w:t xml:space="preserve">added </w:t>
      </w:r>
      <w:r w:rsidRPr="00B20BE9">
        <w:rPr>
          <w:sz w:val="24"/>
          <w:szCs w:val="24"/>
        </w:rPr>
        <w:t xml:space="preserve">complexity has to do with a utility’s overall tax position.  PPL noted that it had recently generated tax deductions that exceed its income, resulting in tax loss carryforwards.  This situation, as conceded by OCA, precludes </w:t>
      </w:r>
      <w:r w:rsidR="00DC3E45" w:rsidRPr="00B20BE9">
        <w:rPr>
          <w:sz w:val="24"/>
          <w:szCs w:val="24"/>
        </w:rPr>
        <w:t xml:space="preserve">an </w:t>
      </w:r>
      <w:r w:rsidRPr="00B20BE9">
        <w:rPr>
          <w:sz w:val="24"/>
          <w:szCs w:val="24"/>
        </w:rPr>
        <w:t xml:space="preserve">ADIT </w:t>
      </w:r>
      <w:r w:rsidR="00DC3E45" w:rsidRPr="00B20BE9">
        <w:rPr>
          <w:sz w:val="24"/>
          <w:szCs w:val="24"/>
        </w:rPr>
        <w:t>offset</w:t>
      </w:r>
      <w:r w:rsidRPr="00B20BE9">
        <w:rPr>
          <w:sz w:val="24"/>
          <w:szCs w:val="24"/>
        </w:rPr>
        <w:t xml:space="preserve"> at this time due to prior and ongoing</w:t>
      </w:r>
      <w:r w:rsidR="00C23D8B" w:rsidRPr="00B20BE9">
        <w:rPr>
          <w:sz w:val="24"/>
          <w:szCs w:val="24"/>
        </w:rPr>
        <w:t xml:space="preserve"> tax losses</w:t>
      </w:r>
      <w:r w:rsidR="00B03695" w:rsidRPr="00B20BE9">
        <w:rPr>
          <w:sz w:val="24"/>
          <w:szCs w:val="24"/>
        </w:rPr>
        <w:t xml:space="preserve">.  </w:t>
      </w:r>
      <w:r w:rsidR="00633FCE" w:rsidRPr="00B20BE9">
        <w:rPr>
          <w:sz w:val="24"/>
          <w:szCs w:val="24"/>
        </w:rPr>
        <w:t xml:space="preserve">OCA St. No. 1, p. </w:t>
      </w:r>
      <w:r w:rsidRPr="00B20BE9">
        <w:rPr>
          <w:sz w:val="24"/>
          <w:szCs w:val="24"/>
        </w:rPr>
        <w:t>7.</w:t>
      </w:r>
      <w:r w:rsidR="00B03695" w:rsidRPr="00B20BE9">
        <w:rPr>
          <w:sz w:val="24"/>
          <w:szCs w:val="24"/>
        </w:rPr>
        <w:t xml:space="preserve">  According to PPL, the current situation can recur at any time, thereby complicating the determination of ADIT, and demonstrat</w:t>
      </w:r>
      <w:r w:rsidR="00E1091F" w:rsidRPr="00B20BE9">
        <w:rPr>
          <w:sz w:val="24"/>
          <w:szCs w:val="24"/>
        </w:rPr>
        <w:t>ing</w:t>
      </w:r>
      <w:r w:rsidR="00B03695" w:rsidRPr="00B20BE9">
        <w:rPr>
          <w:sz w:val="24"/>
          <w:szCs w:val="24"/>
        </w:rPr>
        <w:t xml:space="preserve"> the complexity and litigation potential of ADIT adjustments.</w:t>
      </w:r>
      <w:r w:rsidR="002D16E2" w:rsidRPr="00B20BE9">
        <w:rPr>
          <w:sz w:val="24"/>
          <w:szCs w:val="24"/>
        </w:rPr>
        <w:t xml:space="preserve">  PPL M.B., pp.</w:t>
      </w:r>
      <w:r w:rsidR="005351A1">
        <w:rPr>
          <w:sz w:val="24"/>
          <w:szCs w:val="24"/>
        </w:rPr>
        <w:t> </w:t>
      </w:r>
      <w:r w:rsidR="002D16E2" w:rsidRPr="00B20BE9">
        <w:rPr>
          <w:sz w:val="24"/>
          <w:szCs w:val="24"/>
        </w:rPr>
        <w:t>21</w:t>
      </w:r>
      <w:r w:rsidR="005351A1">
        <w:rPr>
          <w:sz w:val="24"/>
          <w:szCs w:val="24"/>
        </w:rPr>
        <w:noBreakHyphen/>
      </w:r>
      <w:r w:rsidR="002D16E2" w:rsidRPr="00B20BE9">
        <w:rPr>
          <w:sz w:val="24"/>
          <w:szCs w:val="24"/>
        </w:rPr>
        <w:t>22.</w:t>
      </w:r>
    </w:p>
    <w:p w:rsidR="00350C6C" w:rsidRPr="00B20BE9" w:rsidRDefault="00350C6C" w:rsidP="00E10055">
      <w:pPr>
        <w:rPr>
          <w:sz w:val="24"/>
          <w:szCs w:val="24"/>
        </w:rPr>
      </w:pPr>
    </w:p>
    <w:p w:rsidR="00C732E8" w:rsidRPr="00B20BE9" w:rsidRDefault="00350C6C" w:rsidP="00E10055">
      <w:pPr>
        <w:rPr>
          <w:sz w:val="24"/>
          <w:szCs w:val="24"/>
        </w:rPr>
      </w:pPr>
      <w:r w:rsidRPr="00B20BE9">
        <w:rPr>
          <w:sz w:val="24"/>
          <w:szCs w:val="24"/>
        </w:rPr>
        <w:tab/>
      </w:r>
      <w:r w:rsidR="006C7799" w:rsidRPr="00B20BE9">
        <w:rPr>
          <w:sz w:val="24"/>
          <w:szCs w:val="24"/>
        </w:rPr>
        <w:tab/>
        <w:t xml:space="preserve">This tax situation is further complicated due to timing differences between the quarterly DSIC calculations and the annual accounting period used by PPL for income tax purposes.  PPL’s quarterly accounting and reporting periods also do not coincide with the quarterly DSIC reporting period due to the 30-day lag.  As a result, any determination of ADIT would involve estimates that would require subsequent true-ups.  This would be contrary to the use of known, historic balances envisioned by 66 Pa.C.S. § 1357, according to PPL, and inconsistent with straightforward calculations.  ADIT balances could also decline over time, </w:t>
      </w:r>
      <w:r w:rsidR="00C732E8" w:rsidRPr="00B20BE9">
        <w:rPr>
          <w:sz w:val="24"/>
          <w:szCs w:val="24"/>
        </w:rPr>
        <w:t>creating</w:t>
      </w:r>
      <w:r w:rsidR="006C7799" w:rsidRPr="00B20BE9">
        <w:rPr>
          <w:sz w:val="24"/>
          <w:szCs w:val="24"/>
        </w:rPr>
        <w:t xml:space="preserve"> a negative </w:t>
      </w:r>
      <w:r w:rsidR="00C732E8" w:rsidRPr="00B20BE9">
        <w:rPr>
          <w:sz w:val="24"/>
          <w:szCs w:val="24"/>
        </w:rPr>
        <w:t xml:space="preserve">deferred </w:t>
      </w:r>
      <w:r w:rsidR="006C7799" w:rsidRPr="00B20BE9">
        <w:rPr>
          <w:sz w:val="24"/>
          <w:szCs w:val="24"/>
        </w:rPr>
        <w:t>income tax</w:t>
      </w:r>
      <w:r w:rsidR="00C732E8" w:rsidRPr="00B20BE9">
        <w:rPr>
          <w:sz w:val="24"/>
          <w:szCs w:val="24"/>
        </w:rPr>
        <w:t xml:space="preserve"> which could offset, in whole or in part, any new ADIT balances created from new DSIC-eligible plant, according to PPL.  PPL M.B., pp. 22-23.</w:t>
      </w:r>
    </w:p>
    <w:p w:rsidR="000F43A3" w:rsidRPr="00B20BE9" w:rsidRDefault="000F43A3" w:rsidP="00E10055">
      <w:pPr>
        <w:rPr>
          <w:sz w:val="24"/>
          <w:szCs w:val="24"/>
        </w:rPr>
      </w:pPr>
    </w:p>
    <w:p w:rsidR="00E171F2" w:rsidRPr="00B20BE9" w:rsidRDefault="000F43A3" w:rsidP="00E10055">
      <w:pPr>
        <w:rPr>
          <w:sz w:val="24"/>
          <w:szCs w:val="24"/>
        </w:rPr>
      </w:pPr>
      <w:r w:rsidRPr="00B20BE9">
        <w:rPr>
          <w:sz w:val="24"/>
          <w:szCs w:val="24"/>
        </w:rPr>
        <w:tab/>
      </w:r>
      <w:r w:rsidRPr="00B20BE9">
        <w:rPr>
          <w:sz w:val="24"/>
          <w:szCs w:val="24"/>
        </w:rPr>
        <w:tab/>
        <w:t xml:space="preserve">PPL further argued that OCA’s adjustments are premised on the flawed assumption that it is appropriate to calculate tax expense on an incremental rather than overall basis.  This is inconsistent with basic tax law concepts </w:t>
      </w:r>
      <w:r w:rsidR="00E171F2" w:rsidRPr="00B20BE9">
        <w:rPr>
          <w:sz w:val="24"/>
          <w:szCs w:val="24"/>
        </w:rPr>
        <w:t>and</w:t>
      </w:r>
      <w:r w:rsidRPr="00B20BE9">
        <w:rPr>
          <w:sz w:val="24"/>
          <w:szCs w:val="24"/>
        </w:rPr>
        <w:t xml:space="preserve"> also produces a mismatch of tax expense for ratemaking purposes.  The only way to correct such unfairness, according to PPL, </w:t>
      </w:r>
      <w:r w:rsidR="00E171F2" w:rsidRPr="00B20BE9">
        <w:rPr>
          <w:sz w:val="24"/>
          <w:szCs w:val="24"/>
        </w:rPr>
        <w:t>is to</w:t>
      </w:r>
      <w:r w:rsidRPr="00B20BE9">
        <w:rPr>
          <w:sz w:val="24"/>
          <w:szCs w:val="24"/>
        </w:rPr>
        <w:t xml:space="preserve"> undertake a full tax calculation looking at all plant in service as part of the quarterly calculation.  </w:t>
      </w:r>
      <w:r w:rsidR="00E171F2" w:rsidRPr="00B20BE9">
        <w:rPr>
          <w:sz w:val="24"/>
          <w:szCs w:val="24"/>
        </w:rPr>
        <w:t xml:space="preserve">This is contrary to legislative and regulatory intent that the DSIC remain uncomplicated.  </w:t>
      </w:r>
      <w:r w:rsidRPr="00B20BE9">
        <w:rPr>
          <w:sz w:val="24"/>
          <w:szCs w:val="24"/>
        </w:rPr>
        <w:t>It would also require tax calculations that are not part of the Company’s normal course of business</w:t>
      </w:r>
      <w:r w:rsidR="00E171F2" w:rsidRPr="00B20BE9">
        <w:rPr>
          <w:sz w:val="24"/>
          <w:szCs w:val="24"/>
        </w:rPr>
        <w:t xml:space="preserve"> and introduce true-ups into the DSIC mechanism, </w:t>
      </w:r>
      <w:r w:rsidR="008E0599" w:rsidRPr="00B20BE9">
        <w:rPr>
          <w:sz w:val="24"/>
          <w:szCs w:val="24"/>
        </w:rPr>
        <w:t xml:space="preserve">which is </w:t>
      </w:r>
      <w:r w:rsidR="00E171F2" w:rsidRPr="00B20BE9">
        <w:rPr>
          <w:sz w:val="24"/>
          <w:szCs w:val="24"/>
        </w:rPr>
        <w:t>also contrary to a simple and straightforward DSIC approach.  PPL M.B., pp. 25-26.</w:t>
      </w:r>
    </w:p>
    <w:p w:rsidR="00E171F2" w:rsidRPr="00B20BE9" w:rsidRDefault="00E171F2" w:rsidP="00E10055">
      <w:pPr>
        <w:rPr>
          <w:sz w:val="24"/>
          <w:szCs w:val="24"/>
        </w:rPr>
      </w:pPr>
    </w:p>
    <w:p w:rsidR="000F43A3" w:rsidRPr="00B20BE9" w:rsidRDefault="00C732E8" w:rsidP="00E10055">
      <w:pPr>
        <w:rPr>
          <w:sz w:val="24"/>
          <w:szCs w:val="24"/>
        </w:rPr>
      </w:pPr>
      <w:r w:rsidRPr="00B20BE9">
        <w:rPr>
          <w:sz w:val="24"/>
          <w:szCs w:val="24"/>
        </w:rPr>
        <w:tab/>
      </w:r>
      <w:r w:rsidRPr="00B20BE9">
        <w:rPr>
          <w:sz w:val="24"/>
          <w:szCs w:val="24"/>
        </w:rPr>
        <w:tab/>
        <w:t>Regarding whether ADIT is already accounted for in the earnings cap, PPL asserted that the Company’s DSIC would be reset to zero if the data included in the most recent Annual or Quarterly Earnings report shows that PPL would earn a rate of return in excess of its allowa</w:t>
      </w:r>
      <w:r w:rsidR="00633FCE" w:rsidRPr="00B20BE9">
        <w:rPr>
          <w:sz w:val="24"/>
          <w:szCs w:val="24"/>
        </w:rPr>
        <w:t xml:space="preserve">ble return.  PPL St. No. 3-R, p. </w:t>
      </w:r>
      <w:r w:rsidRPr="00B20BE9">
        <w:rPr>
          <w:sz w:val="24"/>
          <w:szCs w:val="24"/>
        </w:rPr>
        <w:t xml:space="preserve">4.  PPL’s calculation of rate base for these earnings report purposes includes the current book amount of ADIT, as well as adjustments for state income tax (which will be later addressed here).  </w:t>
      </w:r>
      <w:r w:rsidRPr="00B20BE9">
        <w:rPr>
          <w:i/>
          <w:sz w:val="24"/>
          <w:szCs w:val="24"/>
        </w:rPr>
        <w:t>Id.</w:t>
      </w:r>
      <w:r w:rsidRPr="00B20BE9">
        <w:rPr>
          <w:sz w:val="24"/>
          <w:szCs w:val="24"/>
        </w:rPr>
        <w:t xml:space="preserve"> at 5.  Thus, in order for </w:t>
      </w:r>
      <w:r w:rsidR="00250D83" w:rsidRPr="00B20BE9">
        <w:rPr>
          <w:sz w:val="24"/>
          <w:szCs w:val="24"/>
        </w:rPr>
        <w:t xml:space="preserve">it </w:t>
      </w:r>
      <w:r w:rsidRPr="00B20BE9">
        <w:rPr>
          <w:sz w:val="24"/>
          <w:szCs w:val="24"/>
        </w:rPr>
        <w:t xml:space="preserve">to get the benefit of a DSIC, </w:t>
      </w:r>
      <w:r w:rsidR="00C50C1B" w:rsidRPr="00B20BE9">
        <w:rPr>
          <w:sz w:val="24"/>
          <w:szCs w:val="24"/>
        </w:rPr>
        <w:t>PPL</w:t>
      </w:r>
      <w:r w:rsidRPr="00B20BE9">
        <w:rPr>
          <w:sz w:val="24"/>
          <w:szCs w:val="24"/>
        </w:rPr>
        <w:t xml:space="preserve"> must be in an under-earning position </w:t>
      </w:r>
      <w:r w:rsidRPr="00B20BE9">
        <w:rPr>
          <w:sz w:val="24"/>
          <w:szCs w:val="24"/>
          <w:u w:val="single"/>
        </w:rPr>
        <w:t>after</w:t>
      </w:r>
      <w:r w:rsidRPr="00B20BE9">
        <w:rPr>
          <w:sz w:val="24"/>
          <w:szCs w:val="24"/>
        </w:rPr>
        <w:t xml:space="preserve"> taking into consideration the impact of the OCA’s ADIT adjustment, according to PPL.  </w:t>
      </w:r>
      <w:r w:rsidRPr="00B20BE9">
        <w:rPr>
          <w:i/>
          <w:sz w:val="24"/>
          <w:szCs w:val="24"/>
        </w:rPr>
        <w:t>Id.</w:t>
      </w:r>
      <w:r w:rsidRPr="00B20BE9">
        <w:rPr>
          <w:sz w:val="24"/>
          <w:szCs w:val="24"/>
        </w:rPr>
        <w:t xml:space="preserve"> at 4.</w:t>
      </w:r>
      <w:r w:rsidR="00EA340D" w:rsidRPr="00B20BE9">
        <w:rPr>
          <w:sz w:val="24"/>
          <w:szCs w:val="24"/>
        </w:rPr>
        <w:t xml:space="preserve">  PPL M.B., pp. 23-24.</w:t>
      </w:r>
    </w:p>
    <w:p w:rsidR="000F43A3" w:rsidRPr="00B20BE9" w:rsidRDefault="000F43A3" w:rsidP="00E10055">
      <w:pPr>
        <w:rPr>
          <w:sz w:val="24"/>
          <w:szCs w:val="24"/>
        </w:rPr>
      </w:pPr>
    </w:p>
    <w:p w:rsidR="00F03B4A" w:rsidRPr="00B20BE9" w:rsidRDefault="000F43A3" w:rsidP="00A244F9">
      <w:pPr>
        <w:rPr>
          <w:rFonts w:eastAsia="Calibri"/>
          <w:color w:val="000000"/>
          <w:sz w:val="24"/>
          <w:szCs w:val="24"/>
        </w:rPr>
      </w:pPr>
      <w:r w:rsidRPr="00B20BE9">
        <w:rPr>
          <w:sz w:val="24"/>
          <w:szCs w:val="24"/>
        </w:rPr>
        <w:tab/>
      </w:r>
      <w:r w:rsidRPr="00B20BE9">
        <w:rPr>
          <w:sz w:val="24"/>
          <w:szCs w:val="24"/>
        </w:rPr>
        <w:tab/>
      </w:r>
      <w:r w:rsidR="00CF4536" w:rsidRPr="00B20BE9">
        <w:rPr>
          <w:sz w:val="24"/>
          <w:szCs w:val="24"/>
        </w:rPr>
        <w:t>Thus</w:t>
      </w:r>
      <w:r w:rsidRPr="00B20BE9">
        <w:rPr>
          <w:sz w:val="24"/>
          <w:szCs w:val="24"/>
        </w:rPr>
        <w:t>, PPL concluded that the Commission has previously decided that OCA’s ADIT adjustment is unnecessary and too complex</w:t>
      </w:r>
      <w:r w:rsidR="00E171F2" w:rsidRPr="00B20BE9">
        <w:rPr>
          <w:sz w:val="24"/>
          <w:szCs w:val="24"/>
        </w:rPr>
        <w:t>, and this judgment has been borne out by the record of this case</w:t>
      </w:r>
      <w:r w:rsidR="00CF4536" w:rsidRPr="00B20BE9">
        <w:rPr>
          <w:sz w:val="24"/>
          <w:szCs w:val="24"/>
        </w:rPr>
        <w:t>.  PPL urged that the ADIT adjustment be rejected.</w:t>
      </w:r>
    </w:p>
    <w:p w:rsidR="000F43A3" w:rsidRPr="00B20BE9" w:rsidRDefault="000F43A3" w:rsidP="00A244F9">
      <w:pPr>
        <w:rPr>
          <w:rFonts w:eastAsia="Calibri"/>
          <w:color w:val="000000"/>
          <w:sz w:val="24"/>
          <w:szCs w:val="24"/>
        </w:rPr>
      </w:pPr>
    </w:p>
    <w:p w:rsidR="00CF4536" w:rsidRPr="00B20BE9" w:rsidRDefault="000F43A3" w:rsidP="00A244F9">
      <w:pPr>
        <w:rPr>
          <w:rFonts w:eastAsia="Calibri"/>
          <w:color w:val="000000"/>
          <w:sz w:val="24"/>
          <w:szCs w:val="24"/>
        </w:rPr>
      </w:pPr>
      <w:r w:rsidRPr="00B20BE9">
        <w:rPr>
          <w:rFonts w:eastAsia="Calibri"/>
          <w:color w:val="000000"/>
          <w:sz w:val="24"/>
          <w:szCs w:val="24"/>
        </w:rPr>
        <w:tab/>
      </w:r>
      <w:r w:rsidRPr="00B20BE9">
        <w:rPr>
          <w:rFonts w:eastAsia="Calibri"/>
          <w:color w:val="000000"/>
          <w:sz w:val="24"/>
          <w:szCs w:val="24"/>
        </w:rPr>
        <w:tab/>
      </w:r>
      <w:r w:rsidR="00CF4536" w:rsidRPr="00B20BE9">
        <w:rPr>
          <w:rFonts w:eastAsia="Calibri"/>
          <w:color w:val="000000"/>
          <w:sz w:val="24"/>
          <w:szCs w:val="24"/>
        </w:rPr>
        <w:t>Lastly</w:t>
      </w:r>
      <w:r w:rsidRPr="00B20BE9">
        <w:rPr>
          <w:rFonts w:eastAsia="Calibri"/>
          <w:color w:val="000000"/>
          <w:sz w:val="24"/>
          <w:szCs w:val="24"/>
        </w:rPr>
        <w:t>,</w:t>
      </w:r>
      <w:r w:rsidR="00CF4536" w:rsidRPr="00B20BE9">
        <w:rPr>
          <w:rFonts w:eastAsia="Calibri"/>
          <w:color w:val="000000"/>
          <w:sz w:val="24"/>
          <w:szCs w:val="24"/>
        </w:rPr>
        <w:t xml:space="preserve"> PPL responded to OCA’s contention that failure to adopt its DSIC proposal would result in unjust and unreasonable rates.  PPL argued that the OCA presented </w:t>
      </w:r>
      <w:r w:rsidR="007C5093" w:rsidRPr="00B20BE9">
        <w:rPr>
          <w:rFonts w:eastAsia="Calibri"/>
          <w:color w:val="000000"/>
          <w:sz w:val="24"/>
          <w:szCs w:val="24"/>
        </w:rPr>
        <w:t>too narrow a view of ratemaking, which is</w:t>
      </w:r>
      <w:r w:rsidR="00CF4536" w:rsidRPr="00B20BE9">
        <w:rPr>
          <w:rFonts w:eastAsia="Calibri"/>
          <w:color w:val="000000"/>
          <w:sz w:val="24"/>
          <w:szCs w:val="24"/>
        </w:rPr>
        <w:t xml:space="preserve"> not supported by law or precedent.</w:t>
      </w:r>
    </w:p>
    <w:p w:rsidR="00CF4536" w:rsidRPr="00B20BE9" w:rsidRDefault="00CF4536" w:rsidP="00A244F9">
      <w:pPr>
        <w:rPr>
          <w:rFonts w:eastAsia="Calibri"/>
          <w:color w:val="000000"/>
          <w:sz w:val="24"/>
          <w:szCs w:val="24"/>
        </w:rPr>
      </w:pPr>
    </w:p>
    <w:p w:rsidR="00CF4536" w:rsidRPr="00B20BE9" w:rsidRDefault="00CF4536" w:rsidP="00A244F9">
      <w:pPr>
        <w:rPr>
          <w:rFonts w:eastAsia="Calibri"/>
          <w:color w:val="000000"/>
          <w:sz w:val="24"/>
          <w:szCs w:val="24"/>
        </w:rPr>
      </w:pPr>
      <w:r w:rsidRPr="00B20BE9">
        <w:rPr>
          <w:rFonts w:eastAsia="Calibri"/>
          <w:color w:val="000000"/>
          <w:sz w:val="24"/>
          <w:szCs w:val="24"/>
        </w:rPr>
        <w:tab/>
      </w:r>
      <w:r w:rsidRPr="00B20BE9">
        <w:rPr>
          <w:rFonts w:eastAsia="Calibri"/>
          <w:color w:val="000000"/>
          <w:sz w:val="24"/>
          <w:szCs w:val="24"/>
        </w:rPr>
        <w:tab/>
        <w:t>PPL emphasized that in Pennsylvania, a rate is defined as more than just the individual components of the mechanism, but rather the entire mechanism and all the rules and regulations associated with it.  It referenced the statutory definition of a rate in 66 Pa.C.S. § 102:</w:t>
      </w:r>
    </w:p>
    <w:p w:rsidR="00CF4536" w:rsidRPr="00B20BE9" w:rsidRDefault="00CF4536" w:rsidP="00A244F9">
      <w:pPr>
        <w:rPr>
          <w:rFonts w:eastAsia="Calibri"/>
          <w:color w:val="000000"/>
          <w:sz w:val="24"/>
          <w:szCs w:val="24"/>
        </w:rPr>
      </w:pPr>
    </w:p>
    <w:p w:rsidR="00CF4536" w:rsidRPr="00B20BE9" w:rsidRDefault="00CF4536" w:rsidP="00CF4536">
      <w:pPr>
        <w:spacing w:line="240" w:lineRule="auto"/>
        <w:ind w:left="1440" w:right="1440"/>
        <w:rPr>
          <w:rFonts w:eastAsia="Calibri"/>
          <w:color w:val="000000"/>
          <w:sz w:val="24"/>
          <w:szCs w:val="24"/>
        </w:rPr>
      </w:pPr>
      <w:r w:rsidRPr="00B20BE9">
        <w:rPr>
          <w:rFonts w:eastAsia="Calibri"/>
          <w:color w:val="000000"/>
          <w:sz w:val="24"/>
          <w:szCs w:val="24"/>
        </w:rPr>
        <w:t>Every individual, or joint fare, toll, charge, rental or other compensation whatsoever of any public utility . . . made, demanded, or received for any service within this part, offered, rendered, or furnished by such public utility . . . and any rules, regulations, practices, classifications or contracts affecting any such compensation, charge, fare, toll, or rental.</w:t>
      </w:r>
    </w:p>
    <w:p w:rsidR="00CF4536" w:rsidRPr="00B20BE9" w:rsidRDefault="00CF4536" w:rsidP="00A13513">
      <w:pPr>
        <w:spacing w:line="240" w:lineRule="auto"/>
        <w:ind w:left="1440" w:right="1440"/>
        <w:rPr>
          <w:rFonts w:eastAsia="Calibri"/>
          <w:color w:val="000000"/>
          <w:sz w:val="24"/>
          <w:szCs w:val="24"/>
        </w:rPr>
      </w:pPr>
    </w:p>
    <w:p w:rsidR="00CF4536" w:rsidRPr="00B20BE9" w:rsidRDefault="00CF4536" w:rsidP="00CF4536">
      <w:pPr>
        <w:rPr>
          <w:rFonts w:eastAsia="Calibri"/>
          <w:color w:val="000000"/>
          <w:sz w:val="24"/>
          <w:szCs w:val="24"/>
        </w:rPr>
      </w:pPr>
      <w:r w:rsidRPr="00B20BE9">
        <w:rPr>
          <w:rFonts w:eastAsia="Calibri"/>
          <w:color w:val="000000"/>
          <w:sz w:val="24"/>
          <w:szCs w:val="24"/>
        </w:rPr>
        <w:t xml:space="preserve">PPL concluded from this definition that any analysis as to whether a rate is just </w:t>
      </w:r>
      <w:r w:rsidR="00586219" w:rsidRPr="00B20BE9">
        <w:rPr>
          <w:rFonts w:eastAsia="Calibri"/>
          <w:color w:val="000000"/>
          <w:sz w:val="24"/>
          <w:szCs w:val="24"/>
        </w:rPr>
        <w:t>and</w:t>
      </w:r>
      <w:r w:rsidRPr="00B20BE9">
        <w:rPr>
          <w:rFonts w:eastAsia="Calibri"/>
          <w:color w:val="000000"/>
          <w:sz w:val="24"/>
          <w:szCs w:val="24"/>
        </w:rPr>
        <w:t xml:space="preserve"> reasonable must consider the rate as a whole, and not its individual components.</w:t>
      </w:r>
      <w:r w:rsidR="00236074" w:rsidRPr="00B20BE9">
        <w:rPr>
          <w:rFonts w:eastAsia="Calibri"/>
          <w:color w:val="000000"/>
          <w:sz w:val="24"/>
          <w:szCs w:val="24"/>
        </w:rPr>
        <w:t xml:space="preserve">  PPL M.B., pp. 27-29.</w:t>
      </w:r>
    </w:p>
    <w:p w:rsidR="00CF4536" w:rsidRPr="00B20BE9" w:rsidRDefault="00CF4536" w:rsidP="00CF4536">
      <w:pPr>
        <w:rPr>
          <w:rFonts w:eastAsia="Calibri"/>
          <w:color w:val="000000"/>
          <w:sz w:val="24"/>
          <w:szCs w:val="24"/>
        </w:rPr>
      </w:pPr>
    </w:p>
    <w:p w:rsidR="000F43A3" w:rsidRPr="00B20BE9" w:rsidRDefault="00CF4536" w:rsidP="00CF4536">
      <w:pPr>
        <w:rPr>
          <w:rFonts w:eastAsia="Calibri"/>
          <w:color w:val="000000"/>
          <w:sz w:val="24"/>
          <w:szCs w:val="24"/>
        </w:rPr>
      </w:pPr>
      <w:r w:rsidRPr="00B20BE9">
        <w:rPr>
          <w:rFonts w:eastAsia="Calibri"/>
          <w:color w:val="000000"/>
          <w:sz w:val="24"/>
          <w:szCs w:val="24"/>
        </w:rPr>
        <w:tab/>
      </w:r>
      <w:r w:rsidRPr="00B20BE9">
        <w:rPr>
          <w:rFonts w:eastAsia="Calibri"/>
          <w:color w:val="000000"/>
          <w:sz w:val="24"/>
          <w:szCs w:val="24"/>
        </w:rPr>
        <w:tab/>
        <w:t xml:space="preserve">PPL referenced </w:t>
      </w:r>
      <w:r w:rsidRPr="00B20BE9">
        <w:rPr>
          <w:rFonts w:eastAsia="Calibri"/>
          <w:i/>
          <w:color w:val="000000"/>
          <w:sz w:val="24"/>
          <w:szCs w:val="24"/>
        </w:rPr>
        <w:t>Duquesne</w:t>
      </w:r>
      <w:r w:rsidRPr="00B20BE9">
        <w:rPr>
          <w:rFonts w:eastAsia="Calibri"/>
          <w:color w:val="000000"/>
          <w:sz w:val="24"/>
          <w:szCs w:val="24"/>
        </w:rPr>
        <w:t xml:space="preserve">, </w:t>
      </w:r>
      <w:r w:rsidRPr="00B20BE9">
        <w:rPr>
          <w:rFonts w:eastAsia="Calibri"/>
          <w:color w:val="000000"/>
          <w:sz w:val="24"/>
          <w:szCs w:val="24"/>
          <w:u w:val="single"/>
        </w:rPr>
        <w:t>supra</w:t>
      </w:r>
      <w:r w:rsidRPr="00B20BE9">
        <w:rPr>
          <w:rFonts w:eastAsia="Calibri"/>
          <w:color w:val="000000"/>
          <w:sz w:val="24"/>
          <w:szCs w:val="24"/>
        </w:rPr>
        <w:t>, as holding that</w:t>
      </w:r>
      <w:r w:rsidR="00586219" w:rsidRPr="00B20BE9">
        <w:rPr>
          <w:rFonts w:eastAsia="Calibri"/>
          <w:color w:val="000000"/>
          <w:sz w:val="24"/>
          <w:szCs w:val="24"/>
        </w:rPr>
        <w:t xml:space="preserve"> the determination of whether rates approved by a regulatory commission are just and reasonable must be based on the effect of the rates on overall rate of return earned by the utility and not on the merit or lack of merit of individual expense adjustments.  PPL quoted from the </w:t>
      </w:r>
      <w:r w:rsidR="00586219" w:rsidRPr="00B20BE9">
        <w:rPr>
          <w:rFonts w:eastAsia="Calibri"/>
          <w:i/>
          <w:color w:val="000000"/>
          <w:sz w:val="24"/>
          <w:szCs w:val="24"/>
        </w:rPr>
        <w:t>Duquesne</w:t>
      </w:r>
      <w:r w:rsidR="00586219" w:rsidRPr="00B20BE9">
        <w:rPr>
          <w:rFonts w:eastAsia="Calibri"/>
          <w:color w:val="000000"/>
          <w:sz w:val="24"/>
          <w:szCs w:val="24"/>
        </w:rPr>
        <w:t xml:space="preserve"> opinion as follows:</w:t>
      </w:r>
    </w:p>
    <w:p w:rsidR="007011E5" w:rsidRPr="00B20BE9" w:rsidRDefault="007011E5" w:rsidP="00CF4536">
      <w:pPr>
        <w:rPr>
          <w:rFonts w:eastAsia="Calibri"/>
          <w:color w:val="000000"/>
          <w:sz w:val="24"/>
          <w:szCs w:val="24"/>
        </w:rPr>
      </w:pPr>
    </w:p>
    <w:p w:rsidR="007011E5" w:rsidRPr="00B20BE9" w:rsidRDefault="007011E5" w:rsidP="007011E5">
      <w:pPr>
        <w:pStyle w:val="BlockText"/>
        <w:spacing w:after="0"/>
        <w:jc w:val="left"/>
      </w:pPr>
      <w:r w:rsidRPr="00B20BE9">
        <w:t xml:space="preserve">[C]ircumstances may favor the use of one ratemaking procedure over another. </w:t>
      </w:r>
      <w:r w:rsidR="00A13513">
        <w:t xml:space="preserve"> </w:t>
      </w:r>
      <w:r w:rsidRPr="00B20BE9">
        <w:t>The designation of a single theory of ratemaking as a constitutional requirement would unnecessarily foreclose alternatives which could benefit both consumers and investors.  The Constitution within broad limits leaves the States free to decide what ratesetting methodology best meets their needs in balancing the interests of the utility and the public.</w:t>
      </w:r>
    </w:p>
    <w:p w:rsidR="007011E5" w:rsidRPr="00B20BE9" w:rsidRDefault="007011E5" w:rsidP="00A81175">
      <w:pPr>
        <w:pStyle w:val="BlockText"/>
        <w:spacing w:after="0"/>
        <w:jc w:val="left"/>
      </w:pPr>
    </w:p>
    <w:p w:rsidR="007011E5" w:rsidRPr="00B20BE9" w:rsidRDefault="007011E5" w:rsidP="007011E5">
      <w:pPr>
        <w:pStyle w:val="BlockText"/>
        <w:spacing w:after="0" w:line="360" w:lineRule="auto"/>
        <w:ind w:left="0" w:right="0"/>
        <w:jc w:val="left"/>
      </w:pPr>
      <w:r w:rsidRPr="00B20BE9">
        <w:rPr>
          <w:i/>
        </w:rPr>
        <w:t>Id.</w:t>
      </w:r>
      <w:r w:rsidR="00236074" w:rsidRPr="00B20BE9">
        <w:t xml:space="preserve"> at 316; PPL M.B., pp. 28-29.</w:t>
      </w:r>
    </w:p>
    <w:p w:rsidR="003E3127" w:rsidRPr="00B20BE9" w:rsidRDefault="003E3127" w:rsidP="007011E5">
      <w:pPr>
        <w:rPr>
          <w:i/>
          <w:sz w:val="24"/>
          <w:szCs w:val="24"/>
        </w:rPr>
      </w:pPr>
    </w:p>
    <w:p w:rsidR="00236074" w:rsidRPr="00B20BE9" w:rsidRDefault="003E3127" w:rsidP="007011E5">
      <w:pPr>
        <w:rPr>
          <w:sz w:val="24"/>
          <w:szCs w:val="24"/>
        </w:rPr>
      </w:pPr>
      <w:r w:rsidRPr="00B20BE9">
        <w:rPr>
          <w:sz w:val="24"/>
          <w:szCs w:val="24"/>
        </w:rPr>
        <w:tab/>
      </w:r>
      <w:r w:rsidRPr="00B20BE9">
        <w:rPr>
          <w:sz w:val="24"/>
          <w:szCs w:val="24"/>
        </w:rPr>
        <w:tab/>
        <w:t xml:space="preserve">PPL also disputed OCA’s contention that the ADIT adjustment is necessary for compliance with the “actual taxes paid” doctrine in </w:t>
      </w:r>
      <w:r w:rsidR="00D3278F" w:rsidRPr="00B20BE9">
        <w:rPr>
          <w:i/>
          <w:sz w:val="24"/>
          <w:szCs w:val="24"/>
        </w:rPr>
        <w:t>Penn Power</w:t>
      </w:r>
      <w:r w:rsidRPr="00B20BE9">
        <w:rPr>
          <w:sz w:val="24"/>
          <w:szCs w:val="24"/>
        </w:rPr>
        <w:t xml:space="preserve">, </w:t>
      </w:r>
      <w:r w:rsidRPr="00B20BE9">
        <w:rPr>
          <w:sz w:val="24"/>
          <w:szCs w:val="24"/>
          <w:u w:val="single"/>
        </w:rPr>
        <w:t>supra</w:t>
      </w:r>
      <w:r w:rsidRPr="00B20BE9">
        <w:rPr>
          <w:sz w:val="24"/>
          <w:szCs w:val="24"/>
        </w:rPr>
        <w:t>.</w:t>
      </w:r>
      <w:r w:rsidR="00C2572E" w:rsidRPr="00B20BE9">
        <w:rPr>
          <w:sz w:val="24"/>
          <w:szCs w:val="24"/>
        </w:rPr>
        <w:t xml:space="preserve">  It argued that the tax adjustments proposed by OCA do not and logically cannot reflect “actual taxes paid” as taxes are paid on a total company basis, not on individual items of plant or revenue.  It further noted that the “actual taxes paid” doctrine has only been applied in base rate proceedings.  Conducting a full-blown base rate tax analysis, as would be required by the OCA proposal, would be violative</w:t>
      </w:r>
      <w:bookmarkStart w:id="7" w:name="_GoBack"/>
      <w:bookmarkEnd w:id="7"/>
      <w:r w:rsidR="00236074" w:rsidRPr="00B20BE9">
        <w:rPr>
          <w:sz w:val="24"/>
          <w:szCs w:val="24"/>
        </w:rPr>
        <w:t xml:space="preserve"> of</w:t>
      </w:r>
      <w:r w:rsidR="00C2572E" w:rsidRPr="00B20BE9">
        <w:rPr>
          <w:sz w:val="24"/>
          <w:szCs w:val="24"/>
        </w:rPr>
        <w:t xml:space="preserve"> the mandate that surcharges be simple, straightforward mechanisms.</w:t>
      </w:r>
      <w:r w:rsidR="00236074" w:rsidRPr="00B20BE9">
        <w:rPr>
          <w:sz w:val="24"/>
          <w:szCs w:val="24"/>
        </w:rPr>
        <w:t xml:space="preserve">  PPL M.B., pp. 29-</w:t>
      </w:r>
      <w:r w:rsidR="00E923FA" w:rsidRPr="00B20BE9">
        <w:rPr>
          <w:sz w:val="24"/>
          <w:szCs w:val="24"/>
        </w:rPr>
        <w:t>31.</w:t>
      </w:r>
    </w:p>
    <w:p w:rsidR="00236074" w:rsidRPr="00B20BE9" w:rsidRDefault="00236074" w:rsidP="007011E5">
      <w:pPr>
        <w:rPr>
          <w:sz w:val="24"/>
          <w:szCs w:val="24"/>
        </w:rPr>
      </w:pPr>
    </w:p>
    <w:p w:rsidR="007011E5" w:rsidRPr="00B20BE9" w:rsidRDefault="00236074" w:rsidP="007011E5">
      <w:pPr>
        <w:rPr>
          <w:sz w:val="24"/>
          <w:szCs w:val="24"/>
        </w:rPr>
      </w:pPr>
      <w:r w:rsidRPr="00B20BE9">
        <w:rPr>
          <w:sz w:val="24"/>
          <w:szCs w:val="24"/>
        </w:rPr>
        <w:tab/>
      </w:r>
      <w:r w:rsidRPr="00B20BE9">
        <w:rPr>
          <w:sz w:val="24"/>
          <w:szCs w:val="24"/>
        </w:rPr>
        <w:tab/>
      </w:r>
      <w:r w:rsidR="00E923FA" w:rsidRPr="00B20BE9">
        <w:rPr>
          <w:sz w:val="24"/>
          <w:szCs w:val="24"/>
        </w:rPr>
        <w:t xml:space="preserve">In response to OCA’s </w:t>
      </w:r>
      <w:r w:rsidRPr="00B20BE9">
        <w:rPr>
          <w:sz w:val="24"/>
          <w:szCs w:val="24"/>
        </w:rPr>
        <w:t xml:space="preserve">argument that the Commission should follow the example of other states in adopting the </w:t>
      </w:r>
      <w:r w:rsidR="00E923FA" w:rsidRPr="00B20BE9">
        <w:rPr>
          <w:sz w:val="24"/>
          <w:szCs w:val="24"/>
        </w:rPr>
        <w:t>ADIT adjustment,</w:t>
      </w:r>
      <w:r w:rsidRPr="00B20BE9">
        <w:rPr>
          <w:sz w:val="24"/>
          <w:szCs w:val="24"/>
        </w:rPr>
        <w:t xml:space="preserve"> PPL argued that the Statutory Construction Act does not generally provide for consideration of an issue by another jurisdiction as a basis for determining legislative intent</w:t>
      </w:r>
      <w:r w:rsidR="00E923FA" w:rsidRPr="00B20BE9">
        <w:rPr>
          <w:sz w:val="24"/>
          <w:szCs w:val="24"/>
        </w:rPr>
        <w:t>.  It further contended that, even if the other states were to be considered,</w:t>
      </w:r>
      <w:r w:rsidRPr="00B20BE9">
        <w:rPr>
          <w:sz w:val="24"/>
          <w:szCs w:val="24"/>
        </w:rPr>
        <w:t xml:space="preserve"> </w:t>
      </w:r>
      <w:r w:rsidR="00E923FA" w:rsidRPr="00B20BE9">
        <w:rPr>
          <w:sz w:val="24"/>
          <w:szCs w:val="24"/>
        </w:rPr>
        <w:t xml:space="preserve">these </w:t>
      </w:r>
      <w:r w:rsidRPr="00B20BE9">
        <w:rPr>
          <w:sz w:val="24"/>
          <w:szCs w:val="24"/>
        </w:rPr>
        <w:t>mechanisms vary so much from Pennsylvania’s DSIC as to be invalid for comparison purposes.</w:t>
      </w:r>
      <w:r w:rsidR="00E923FA" w:rsidRPr="00B20BE9">
        <w:rPr>
          <w:sz w:val="24"/>
          <w:szCs w:val="24"/>
        </w:rPr>
        <w:t xml:space="preserve">  PPL M.B., pp. 31-33.</w:t>
      </w:r>
    </w:p>
    <w:p w:rsidR="00E923FA" w:rsidRPr="00B20BE9" w:rsidRDefault="00E923FA" w:rsidP="007011E5">
      <w:pPr>
        <w:rPr>
          <w:sz w:val="24"/>
          <w:szCs w:val="24"/>
        </w:rPr>
      </w:pPr>
    </w:p>
    <w:p w:rsidR="00E923FA" w:rsidRPr="00B20BE9" w:rsidRDefault="00E923FA" w:rsidP="007011E5">
      <w:pPr>
        <w:rPr>
          <w:sz w:val="24"/>
          <w:szCs w:val="24"/>
        </w:rPr>
      </w:pPr>
      <w:r w:rsidRPr="00B20BE9">
        <w:rPr>
          <w:sz w:val="24"/>
          <w:szCs w:val="24"/>
        </w:rPr>
        <w:tab/>
      </w:r>
      <w:r w:rsidRPr="00B20BE9">
        <w:rPr>
          <w:sz w:val="24"/>
          <w:szCs w:val="24"/>
        </w:rPr>
        <w:tab/>
        <w:t>Thus, PPL concluded that adoption of the ADIT adjustment was completely unnecessary to provide for just and reasonable rates.</w:t>
      </w:r>
    </w:p>
    <w:p w:rsidR="00E923FA" w:rsidRPr="00B20BE9" w:rsidRDefault="00E923FA" w:rsidP="007011E5">
      <w:pPr>
        <w:rPr>
          <w:sz w:val="24"/>
          <w:szCs w:val="24"/>
        </w:rPr>
      </w:pPr>
    </w:p>
    <w:p w:rsidR="00E923FA" w:rsidRPr="00B20BE9" w:rsidRDefault="00E923FA" w:rsidP="007011E5">
      <w:pPr>
        <w:rPr>
          <w:sz w:val="24"/>
          <w:szCs w:val="24"/>
        </w:rPr>
      </w:pPr>
      <w:r w:rsidRPr="00B20BE9">
        <w:rPr>
          <w:sz w:val="24"/>
          <w:szCs w:val="24"/>
        </w:rPr>
        <w:tab/>
      </w:r>
      <w:r w:rsidRPr="00B20BE9">
        <w:rPr>
          <w:sz w:val="24"/>
          <w:szCs w:val="24"/>
        </w:rPr>
        <w:tab/>
        <w:t>In its Reply Brief, PPL</w:t>
      </w:r>
      <w:r w:rsidR="00727AE7" w:rsidRPr="00B20BE9">
        <w:rPr>
          <w:sz w:val="24"/>
          <w:szCs w:val="24"/>
        </w:rPr>
        <w:t xml:space="preserve"> </w:t>
      </w:r>
      <w:r w:rsidR="007427DE" w:rsidRPr="00B20BE9">
        <w:rPr>
          <w:sz w:val="24"/>
          <w:szCs w:val="24"/>
        </w:rPr>
        <w:t>repeated</w:t>
      </w:r>
      <w:r w:rsidR="00727AE7" w:rsidRPr="00B20BE9">
        <w:rPr>
          <w:sz w:val="24"/>
          <w:szCs w:val="24"/>
        </w:rPr>
        <w:t xml:space="preserve"> many of its Main Brief arguments, including its contentions as to what determines just and reasonable rates.  It further </w:t>
      </w:r>
      <w:r w:rsidR="00B3161D" w:rsidRPr="00B20BE9">
        <w:rPr>
          <w:sz w:val="24"/>
          <w:szCs w:val="24"/>
        </w:rPr>
        <w:t>asserted</w:t>
      </w:r>
      <w:r w:rsidR="00727AE7" w:rsidRPr="00B20BE9">
        <w:rPr>
          <w:sz w:val="24"/>
          <w:szCs w:val="24"/>
        </w:rPr>
        <w:t xml:space="preserve"> that the OCA proposal would look at the inclusion or exclusion of two individual tax factors, rather than the entirety of the rate.  It claimed that the Court in </w:t>
      </w:r>
      <w:r w:rsidR="00727AE7" w:rsidRPr="00B20BE9">
        <w:rPr>
          <w:i/>
          <w:sz w:val="24"/>
          <w:szCs w:val="24"/>
        </w:rPr>
        <w:t>Duquesne</w:t>
      </w:r>
      <w:r w:rsidR="00727AE7" w:rsidRPr="00B20BE9">
        <w:rPr>
          <w:sz w:val="24"/>
          <w:szCs w:val="24"/>
        </w:rPr>
        <w:t xml:space="preserve"> specifically rejected that approach in favor of focusing on whether the total effect of the surcharge </w:t>
      </w:r>
      <w:r w:rsidR="007427DE" w:rsidRPr="00B20BE9">
        <w:rPr>
          <w:sz w:val="24"/>
          <w:szCs w:val="24"/>
        </w:rPr>
        <w:t xml:space="preserve">produces just and </w:t>
      </w:r>
      <w:r w:rsidR="00727AE7" w:rsidRPr="00B20BE9">
        <w:rPr>
          <w:sz w:val="24"/>
          <w:szCs w:val="24"/>
        </w:rPr>
        <w:t>reasonable rates.  PPL asserted that consumers are protected from excessive rates by the earnings cap, which takes ADIT into account when measuring whether the utility is overearning and therefore not entitled to a DSIC.</w:t>
      </w:r>
      <w:r w:rsidR="00B3161D" w:rsidRPr="00B20BE9">
        <w:rPr>
          <w:sz w:val="24"/>
          <w:szCs w:val="24"/>
        </w:rPr>
        <w:t xml:space="preserve">  PPL R.B., pp. 5-13</w:t>
      </w:r>
      <w:r w:rsidR="00727AE7" w:rsidRPr="00B20BE9">
        <w:rPr>
          <w:sz w:val="24"/>
          <w:szCs w:val="24"/>
        </w:rPr>
        <w:t>.</w:t>
      </w:r>
    </w:p>
    <w:p w:rsidR="0003660A" w:rsidRPr="00B20BE9" w:rsidRDefault="0003660A" w:rsidP="007011E5">
      <w:pPr>
        <w:rPr>
          <w:sz w:val="24"/>
          <w:szCs w:val="24"/>
        </w:rPr>
      </w:pPr>
    </w:p>
    <w:p w:rsidR="0003660A" w:rsidRPr="00B20BE9" w:rsidRDefault="0003660A" w:rsidP="007011E5">
      <w:pPr>
        <w:rPr>
          <w:sz w:val="24"/>
          <w:szCs w:val="24"/>
        </w:rPr>
      </w:pPr>
      <w:r w:rsidRPr="00B20BE9">
        <w:rPr>
          <w:sz w:val="24"/>
          <w:szCs w:val="24"/>
        </w:rPr>
        <w:tab/>
      </w:r>
      <w:r w:rsidRPr="00B20BE9">
        <w:rPr>
          <w:sz w:val="24"/>
          <w:szCs w:val="24"/>
        </w:rPr>
        <w:tab/>
        <w:t xml:space="preserve">PPL emphasized that the Commission should not disregard past DSIC practice in interpreting Act 11.  It contended that the Act 11 DSIC is identical to the historic water DSIC, which did not and does not include OCA’s ADIT adjustment.  PPL claimed that the General Assembly acknowledged </w:t>
      </w:r>
      <w:r w:rsidR="007427DE" w:rsidRPr="00B20BE9">
        <w:rPr>
          <w:sz w:val="24"/>
          <w:szCs w:val="24"/>
        </w:rPr>
        <w:t>that it modeled the Act 11 DSIC after the Commission’s water DSIC, and that this intent to continue historic practice should be recognized in statutory interpretation.  PPL R.B., pp. 14-15.</w:t>
      </w:r>
    </w:p>
    <w:p w:rsidR="007427DE" w:rsidRPr="00B20BE9" w:rsidRDefault="007427DE" w:rsidP="007011E5">
      <w:pPr>
        <w:rPr>
          <w:sz w:val="24"/>
          <w:szCs w:val="24"/>
        </w:rPr>
      </w:pPr>
    </w:p>
    <w:p w:rsidR="007427DE" w:rsidRPr="00B20BE9" w:rsidRDefault="007427DE" w:rsidP="007011E5">
      <w:pPr>
        <w:rPr>
          <w:sz w:val="24"/>
          <w:szCs w:val="24"/>
        </w:rPr>
      </w:pPr>
      <w:r w:rsidRPr="00B20BE9">
        <w:rPr>
          <w:sz w:val="24"/>
          <w:szCs w:val="24"/>
        </w:rPr>
        <w:tab/>
      </w:r>
      <w:r w:rsidRPr="00B20BE9">
        <w:rPr>
          <w:sz w:val="24"/>
          <w:szCs w:val="24"/>
        </w:rPr>
        <w:tab/>
        <w:t xml:space="preserve">Finally, PPL contended that the OCA adjustments are “one-sided” in that other base rate adjustments which would increase the Company’s recovery were not included.  It reiterated that the OCA’s proposal would add unnecessary complexity </w:t>
      </w:r>
      <w:r w:rsidR="009D6D85" w:rsidRPr="00B20BE9">
        <w:rPr>
          <w:sz w:val="24"/>
          <w:szCs w:val="24"/>
        </w:rPr>
        <w:t xml:space="preserve">to the DSIC </w:t>
      </w:r>
      <w:r w:rsidRPr="00B20BE9">
        <w:rPr>
          <w:sz w:val="24"/>
          <w:szCs w:val="24"/>
        </w:rPr>
        <w:t>and would violate statutory construction rules and should be denied.  PPL R.B., pp. 18-19.</w:t>
      </w:r>
    </w:p>
    <w:p w:rsidR="008B321A" w:rsidRPr="00B20BE9" w:rsidRDefault="008B321A" w:rsidP="007011E5">
      <w:pPr>
        <w:rPr>
          <w:sz w:val="24"/>
          <w:szCs w:val="24"/>
        </w:rPr>
      </w:pPr>
    </w:p>
    <w:p w:rsidR="008B321A" w:rsidRPr="00B20BE9" w:rsidRDefault="008B321A" w:rsidP="005351A1">
      <w:pPr>
        <w:ind w:left="720"/>
        <w:rPr>
          <w:sz w:val="24"/>
          <w:szCs w:val="24"/>
          <w:u w:val="single"/>
        </w:rPr>
      </w:pPr>
      <w:r w:rsidRPr="00B20BE9">
        <w:rPr>
          <w:sz w:val="24"/>
          <w:szCs w:val="24"/>
        </w:rPr>
        <w:t>3.</w:t>
      </w:r>
      <w:r w:rsidRPr="00B20BE9">
        <w:rPr>
          <w:sz w:val="24"/>
          <w:szCs w:val="24"/>
        </w:rPr>
        <w:tab/>
      </w:r>
      <w:r w:rsidRPr="00B20BE9">
        <w:rPr>
          <w:sz w:val="24"/>
          <w:szCs w:val="24"/>
          <w:u w:val="single"/>
        </w:rPr>
        <w:t>ALJ Ruling</w:t>
      </w:r>
      <w:r w:rsidR="005351A1">
        <w:rPr>
          <w:sz w:val="24"/>
          <w:szCs w:val="24"/>
          <w:u w:val="single"/>
        </w:rPr>
        <w:fldChar w:fldCharType="begin"/>
      </w:r>
      <w:r w:rsidR="005351A1">
        <w:instrText xml:space="preserve"> TC "</w:instrText>
      </w:r>
      <w:bookmarkStart w:id="8" w:name="_Toc394309036"/>
      <w:r w:rsidR="005351A1" w:rsidRPr="008742F7">
        <w:rPr>
          <w:sz w:val="24"/>
          <w:szCs w:val="24"/>
        </w:rPr>
        <w:instrText>3.</w:instrText>
      </w:r>
      <w:r w:rsidR="005351A1" w:rsidRPr="008742F7">
        <w:rPr>
          <w:sz w:val="24"/>
          <w:szCs w:val="24"/>
        </w:rPr>
        <w:tab/>
      </w:r>
      <w:r w:rsidR="005351A1" w:rsidRPr="008742F7">
        <w:rPr>
          <w:sz w:val="24"/>
          <w:szCs w:val="24"/>
          <w:u w:val="single"/>
        </w:rPr>
        <w:instrText>ALJ Ruling</w:instrText>
      </w:r>
      <w:bookmarkEnd w:id="8"/>
      <w:r w:rsidR="005351A1">
        <w:instrText xml:space="preserve">" \f C \l "3" </w:instrText>
      </w:r>
      <w:r w:rsidR="005351A1">
        <w:rPr>
          <w:sz w:val="24"/>
          <w:szCs w:val="24"/>
          <w:u w:val="single"/>
        </w:rPr>
        <w:fldChar w:fldCharType="end"/>
      </w:r>
    </w:p>
    <w:p w:rsidR="00D179EC" w:rsidRPr="00B20BE9" w:rsidRDefault="00D179EC" w:rsidP="007011E5">
      <w:pPr>
        <w:rPr>
          <w:sz w:val="24"/>
          <w:szCs w:val="24"/>
          <w:u w:val="single"/>
        </w:rPr>
      </w:pPr>
    </w:p>
    <w:p w:rsidR="006B772E" w:rsidRPr="00B20BE9" w:rsidRDefault="00D179EC" w:rsidP="007011E5">
      <w:pPr>
        <w:rPr>
          <w:sz w:val="24"/>
          <w:szCs w:val="24"/>
        </w:rPr>
      </w:pPr>
      <w:r w:rsidRPr="00B20BE9">
        <w:rPr>
          <w:sz w:val="24"/>
          <w:szCs w:val="24"/>
        </w:rPr>
        <w:tab/>
      </w:r>
      <w:r w:rsidRPr="00B20BE9">
        <w:rPr>
          <w:sz w:val="24"/>
          <w:szCs w:val="24"/>
        </w:rPr>
        <w:tab/>
        <w:t>Since the recor</w:t>
      </w:r>
      <w:r w:rsidR="00980344" w:rsidRPr="00B20BE9">
        <w:rPr>
          <w:sz w:val="24"/>
          <w:szCs w:val="24"/>
        </w:rPr>
        <w:t>d closed in this proceeding</w:t>
      </w:r>
      <w:r w:rsidRPr="00B20BE9">
        <w:rPr>
          <w:sz w:val="24"/>
          <w:szCs w:val="24"/>
        </w:rPr>
        <w:t xml:space="preserve">, the Commission entered an Opinion and Order in the </w:t>
      </w:r>
      <w:r w:rsidRPr="00B20BE9">
        <w:rPr>
          <w:i/>
          <w:sz w:val="24"/>
          <w:szCs w:val="24"/>
        </w:rPr>
        <w:t>Petition of Columbia Gas of Pennsylvania, Inc. for Approval of its Long-Term Infrastructure Improvement Plan; Petition of Columbia Gas of Pennsylvania, Inc. for Approval of a Distribution System Improvement Charge</w:t>
      </w:r>
      <w:r w:rsidRPr="00B20BE9">
        <w:rPr>
          <w:sz w:val="24"/>
          <w:szCs w:val="24"/>
        </w:rPr>
        <w:t xml:space="preserve">, Docket No. P-2012-2338282, </w:t>
      </w:r>
      <w:r w:rsidR="00C55BD1">
        <w:rPr>
          <w:sz w:val="24"/>
          <w:szCs w:val="24"/>
        </w:rPr>
        <w:t>Order entered May 22, </w:t>
      </w:r>
      <w:r w:rsidR="00C3060B" w:rsidRPr="00B20BE9">
        <w:rPr>
          <w:sz w:val="24"/>
          <w:szCs w:val="24"/>
        </w:rPr>
        <w:t>2014 (</w:t>
      </w:r>
      <w:r w:rsidR="00C3060B" w:rsidRPr="00B20BE9">
        <w:rPr>
          <w:i/>
          <w:sz w:val="24"/>
          <w:szCs w:val="24"/>
        </w:rPr>
        <w:t>Columbia DSIC</w:t>
      </w:r>
      <w:r w:rsidR="00C3060B" w:rsidRPr="00B20BE9">
        <w:rPr>
          <w:sz w:val="24"/>
          <w:szCs w:val="24"/>
        </w:rPr>
        <w:t>).</w:t>
      </w:r>
      <w:r w:rsidR="007B60DF" w:rsidRPr="00B20BE9">
        <w:rPr>
          <w:rStyle w:val="FootnoteReference"/>
          <w:sz w:val="24"/>
          <w:szCs w:val="24"/>
        </w:rPr>
        <w:footnoteReference w:id="3"/>
      </w:r>
      <w:r w:rsidR="00C3060B" w:rsidRPr="00B20BE9">
        <w:rPr>
          <w:sz w:val="24"/>
          <w:szCs w:val="24"/>
        </w:rPr>
        <w:t xml:space="preserve">  In that</w:t>
      </w:r>
      <w:r w:rsidR="00C22D40" w:rsidRPr="00B20BE9">
        <w:rPr>
          <w:sz w:val="24"/>
          <w:szCs w:val="24"/>
        </w:rPr>
        <w:t xml:space="preserve"> proceeding, OCA </w:t>
      </w:r>
      <w:r w:rsidR="00980344" w:rsidRPr="00B20BE9">
        <w:rPr>
          <w:sz w:val="24"/>
          <w:szCs w:val="24"/>
        </w:rPr>
        <w:t xml:space="preserve">had </w:t>
      </w:r>
      <w:r w:rsidR="00C3060B" w:rsidRPr="00B20BE9">
        <w:rPr>
          <w:sz w:val="24"/>
          <w:szCs w:val="24"/>
        </w:rPr>
        <w:t xml:space="preserve">raised the same ADIT issue as </w:t>
      </w:r>
      <w:r w:rsidR="00C22D40" w:rsidRPr="00B20BE9">
        <w:rPr>
          <w:sz w:val="24"/>
          <w:szCs w:val="24"/>
        </w:rPr>
        <w:t>it did in this case, as Columbia also had not</w:t>
      </w:r>
      <w:r w:rsidR="00C3060B" w:rsidRPr="00B20BE9">
        <w:rPr>
          <w:sz w:val="24"/>
          <w:szCs w:val="24"/>
        </w:rPr>
        <w:t xml:space="preserve"> included an ADIT adjustment in its DSIC formula.  The various factual and legal positions of the parties raised therein</w:t>
      </w:r>
      <w:r w:rsidR="00C22D40" w:rsidRPr="00B20BE9">
        <w:rPr>
          <w:sz w:val="24"/>
          <w:szCs w:val="24"/>
        </w:rPr>
        <w:t xml:space="preserve"> </w:t>
      </w:r>
      <w:r w:rsidR="00C3060B" w:rsidRPr="00B20BE9">
        <w:rPr>
          <w:sz w:val="24"/>
          <w:szCs w:val="24"/>
        </w:rPr>
        <w:t xml:space="preserve">were </w:t>
      </w:r>
      <w:r w:rsidR="00CC622E" w:rsidRPr="00B20BE9">
        <w:rPr>
          <w:sz w:val="24"/>
          <w:szCs w:val="24"/>
        </w:rPr>
        <w:t xml:space="preserve">essentially </w:t>
      </w:r>
      <w:r w:rsidR="00C3060B" w:rsidRPr="00B20BE9">
        <w:rPr>
          <w:sz w:val="24"/>
          <w:szCs w:val="24"/>
        </w:rPr>
        <w:t xml:space="preserve">the same as those in this </w:t>
      </w:r>
      <w:r w:rsidR="00C22D40" w:rsidRPr="00B20BE9">
        <w:rPr>
          <w:sz w:val="24"/>
          <w:szCs w:val="24"/>
        </w:rPr>
        <w:t xml:space="preserve">proceeding.  </w:t>
      </w:r>
      <w:r w:rsidR="00E2607B" w:rsidRPr="00B20BE9">
        <w:rPr>
          <w:sz w:val="24"/>
          <w:szCs w:val="24"/>
        </w:rPr>
        <w:t xml:space="preserve">In that case, the Commission declined to adopt the OCA’s ADIT proposal.  </w:t>
      </w:r>
      <w:r w:rsidR="00C22D40" w:rsidRPr="00B20BE9">
        <w:rPr>
          <w:sz w:val="24"/>
          <w:szCs w:val="24"/>
        </w:rPr>
        <w:t>Accordingly, a</w:t>
      </w:r>
      <w:r w:rsidR="00C3060B" w:rsidRPr="00B20BE9">
        <w:rPr>
          <w:sz w:val="24"/>
          <w:szCs w:val="24"/>
        </w:rPr>
        <w:t>s the Commission has already decided the ADIT issue, this Recommended Decision will be consistent with that ruling.</w:t>
      </w:r>
    </w:p>
    <w:p w:rsidR="006B772E" w:rsidRPr="00B20BE9" w:rsidRDefault="006B772E" w:rsidP="007011E5">
      <w:pPr>
        <w:rPr>
          <w:sz w:val="24"/>
          <w:szCs w:val="24"/>
        </w:rPr>
      </w:pPr>
    </w:p>
    <w:p w:rsidR="00C3060B" w:rsidRPr="00B20BE9" w:rsidRDefault="006B772E" w:rsidP="005351A1">
      <w:pPr>
        <w:ind w:left="1440"/>
        <w:rPr>
          <w:sz w:val="24"/>
          <w:szCs w:val="24"/>
        </w:rPr>
      </w:pPr>
      <w:r w:rsidRPr="00B20BE9">
        <w:rPr>
          <w:sz w:val="24"/>
          <w:szCs w:val="24"/>
        </w:rPr>
        <w:t>a.</w:t>
      </w:r>
      <w:r w:rsidRPr="00B20BE9">
        <w:rPr>
          <w:sz w:val="24"/>
          <w:szCs w:val="24"/>
        </w:rPr>
        <w:tab/>
      </w:r>
      <w:r w:rsidRPr="00B20BE9">
        <w:rPr>
          <w:sz w:val="24"/>
          <w:szCs w:val="24"/>
          <w:u w:val="single"/>
        </w:rPr>
        <w:t>Legislative intent</w:t>
      </w:r>
      <w:r w:rsidR="005351A1">
        <w:rPr>
          <w:sz w:val="24"/>
          <w:szCs w:val="24"/>
          <w:u w:val="single"/>
        </w:rPr>
        <w:fldChar w:fldCharType="begin"/>
      </w:r>
      <w:r w:rsidR="005351A1">
        <w:instrText xml:space="preserve"> TC "</w:instrText>
      </w:r>
      <w:bookmarkStart w:id="9" w:name="_Toc394309037"/>
      <w:r w:rsidR="005351A1" w:rsidRPr="008742F7">
        <w:rPr>
          <w:sz w:val="24"/>
          <w:szCs w:val="24"/>
        </w:rPr>
        <w:instrText>a.</w:instrText>
      </w:r>
      <w:r w:rsidR="005351A1" w:rsidRPr="008742F7">
        <w:rPr>
          <w:sz w:val="24"/>
          <w:szCs w:val="24"/>
        </w:rPr>
        <w:tab/>
      </w:r>
      <w:r w:rsidR="005351A1" w:rsidRPr="008742F7">
        <w:rPr>
          <w:sz w:val="24"/>
          <w:szCs w:val="24"/>
          <w:u w:val="single"/>
        </w:rPr>
        <w:instrText>Legislative intent</w:instrText>
      </w:r>
      <w:bookmarkEnd w:id="9"/>
      <w:r w:rsidR="005351A1">
        <w:instrText xml:space="preserve">" \f C \l "4" </w:instrText>
      </w:r>
      <w:r w:rsidR="005351A1">
        <w:rPr>
          <w:sz w:val="24"/>
          <w:szCs w:val="24"/>
          <w:u w:val="single"/>
        </w:rPr>
        <w:fldChar w:fldCharType="end"/>
      </w:r>
      <w:r w:rsidR="00C3060B" w:rsidRPr="00B20BE9">
        <w:rPr>
          <w:sz w:val="24"/>
          <w:szCs w:val="24"/>
        </w:rPr>
        <w:t xml:space="preserve"> </w:t>
      </w:r>
    </w:p>
    <w:p w:rsidR="00C3060B" w:rsidRPr="00B20BE9" w:rsidRDefault="00C3060B" w:rsidP="007011E5">
      <w:pPr>
        <w:rPr>
          <w:sz w:val="24"/>
          <w:szCs w:val="24"/>
        </w:rPr>
      </w:pPr>
    </w:p>
    <w:p w:rsidR="009440E9" w:rsidRPr="00B20BE9" w:rsidRDefault="00C3060B" w:rsidP="007011E5">
      <w:pPr>
        <w:rPr>
          <w:sz w:val="24"/>
          <w:szCs w:val="24"/>
        </w:rPr>
      </w:pPr>
      <w:r w:rsidRPr="00B20BE9">
        <w:rPr>
          <w:sz w:val="24"/>
          <w:szCs w:val="24"/>
        </w:rPr>
        <w:tab/>
      </w:r>
      <w:r w:rsidRPr="00B20BE9">
        <w:rPr>
          <w:sz w:val="24"/>
          <w:szCs w:val="24"/>
        </w:rPr>
        <w:tab/>
        <w:t xml:space="preserve">In </w:t>
      </w:r>
      <w:r w:rsidRPr="00B20BE9">
        <w:rPr>
          <w:i/>
          <w:sz w:val="24"/>
          <w:szCs w:val="24"/>
        </w:rPr>
        <w:t>Columbia DSIC</w:t>
      </w:r>
      <w:r w:rsidRPr="00B20BE9">
        <w:rPr>
          <w:sz w:val="24"/>
          <w:szCs w:val="24"/>
        </w:rPr>
        <w:t xml:space="preserve">, the Commission first considered the parties’ positions as to statutory interpretation of Act 11.  As in the instant proceeding, the utility </w:t>
      </w:r>
      <w:r w:rsidR="00306AA9" w:rsidRPr="00B20BE9">
        <w:rPr>
          <w:sz w:val="24"/>
          <w:szCs w:val="24"/>
        </w:rPr>
        <w:t xml:space="preserve">(Columbia) </w:t>
      </w:r>
      <w:r w:rsidRPr="00B20BE9">
        <w:rPr>
          <w:sz w:val="24"/>
          <w:szCs w:val="24"/>
        </w:rPr>
        <w:t xml:space="preserve">had argued that </w:t>
      </w:r>
      <w:r w:rsidR="00C5697C" w:rsidRPr="00B20BE9">
        <w:rPr>
          <w:sz w:val="24"/>
          <w:szCs w:val="24"/>
        </w:rPr>
        <w:t xml:space="preserve">inclusion of an ADIT adjustment contradicted the plain language of Act 11 as well as the intent of the General Assembly.  Columbia also </w:t>
      </w:r>
      <w:r w:rsidR="00980344" w:rsidRPr="00B20BE9">
        <w:rPr>
          <w:sz w:val="24"/>
          <w:szCs w:val="24"/>
        </w:rPr>
        <w:t xml:space="preserve">had </w:t>
      </w:r>
      <w:r w:rsidR="00C5697C" w:rsidRPr="00B20BE9">
        <w:rPr>
          <w:sz w:val="24"/>
          <w:szCs w:val="24"/>
        </w:rPr>
        <w:t>averred, as did PPL herein, that the General A</w:t>
      </w:r>
      <w:r w:rsidR="00980344" w:rsidRPr="00B20BE9">
        <w:rPr>
          <w:sz w:val="24"/>
          <w:szCs w:val="24"/>
        </w:rPr>
        <w:t xml:space="preserve">ssembly </w:t>
      </w:r>
      <w:r w:rsidR="00C5697C" w:rsidRPr="00B20BE9">
        <w:rPr>
          <w:sz w:val="24"/>
          <w:szCs w:val="24"/>
        </w:rPr>
        <w:t xml:space="preserve">intended the DSIC provisions in Act 11 </w:t>
      </w:r>
      <w:r w:rsidR="00306AA9" w:rsidRPr="00B20BE9">
        <w:rPr>
          <w:sz w:val="24"/>
          <w:szCs w:val="24"/>
        </w:rPr>
        <w:t xml:space="preserve">to </w:t>
      </w:r>
      <w:r w:rsidR="00C5697C" w:rsidRPr="00B20BE9">
        <w:rPr>
          <w:sz w:val="24"/>
          <w:szCs w:val="24"/>
        </w:rPr>
        <w:t xml:space="preserve">follow the prior method for calculating water DSICs which have been in effect for over sixteen years.  </w:t>
      </w:r>
      <w:r w:rsidR="00C22D40" w:rsidRPr="00B20BE9">
        <w:rPr>
          <w:sz w:val="24"/>
          <w:szCs w:val="24"/>
        </w:rPr>
        <w:t>In addition,</w:t>
      </w:r>
      <w:r w:rsidR="008901C8" w:rsidRPr="00B20BE9">
        <w:rPr>
          <w:sz w:val="24"/>
          <w:szCs w:val="24"/>
        </w:rPr>
        <w:t xml:space="preserve"> as in this case, </w:t>
      </w:r>
      <w:r w:rsidR="00C5697C" w:rsidRPr="00B20BE9">
        <w:rPr>
          <w:sz w:val="24"/>
          <w:szCs w:val="24"/>
        </w:rPr>
        <w:t xml:space="preserve">Columbia </w:t>
      </w:r>
      <w:r w:rsidR="008901C8" w:rsidRPr="00B20BE9">
        <w:rPr>
          <w:sz w:val="24"/>
          <w:szCs w:val="24"/>
        </w:rPr>
        <w:t xml:space="preserve">had </w:t>
      </w:r>
      <w:r w:rsidR="00C5697C" w:rsidRPr="00B20BE9">
        <w:rPr>
          <w:sz w:val="24"/>
          <w:szCs w:val="24"/>
        </w:rPr>
        <w:t xml:space="preserve">contended that the legislative history showed that the General Assembly </w:t>
      </w:r>
      <w:r w:rsidR="00633B48" w:rsidRPr="00B20BE9">
        <w:rPr>
          <w:sz w:val="24"/>
          <w:szCs w:val="24"/>
        </w:rPr>
        <w:t xml:space="preserve">had </w:t>
      </w:r>
      <w:r w:rsidR="00C5697C" w:rsidRPr="00B20BE9">
        <w:rPr>
          <w:sz w:val="24"/>
          <w:szCs w:val="24"/>
        </w:rPr>
        <w:t>rejected a proposal to amend the water DSIC mechanism</w:t>
      </w:r>
      <w:r w:rsidR="009440E9" w:rsidRPr="00B20BE9">
        <w:rPr>
          <w:sz w:val="24"/>
          <w:szCs w:val="24"/>
        </w:rPr>
        <w:t>.</w:t>
      </w:r>
    </w:p>
    <w:p w:rsidR="009440E9" w:rsidRPr="00B20BE9" w:rsidRDefault="009440E9" w:rsidP="007011E5">
      <w:pPr>
        <w:rPr>
          <w:sz w:val="24"/>
          <w:szCs w:val="24"/>
        </w:rPr>
      </w:pPr>
    </w:p>
    <w:p w:rsidR="002B4FB7" w:rsidRPr="00B20BE9" w:rsidRDefault="009440E9" w:rsidP="007011E5">
      <w:pPr>
        <w:rPr>
          <w:sz w:val="24"/>
          <w:szCs w:val="24"/>
        </w:rPr>
      </w:pPr>
      <w:r w:rsidRPr="00B20BE9">
        <w:rPr>
          <w:sz w:val="24"/>
          <w:szCs w:val="24"/>
        </w:rPr>
        <w:tab/>
      </w:r>
      <w:r w:rsidRPr="00B20BE9">
        <w:rPr>
          <w:sz w:val="24"/>
          <w:szCs w:val="24"/>
        </w:rPr>
        <w:tab/>
        <w:t xml:space="preserve">OCA </w:t>
      </w:r>
      <w:r w:rsidR="00980344" w:rsidRPr="00B20BE9">
        <w:rPr>
          <w:sz w:val="24"/>
          <w:szCs w:val="24"/>
        </w:rPr>
        <w:t xml:space="preserve">had </w:t>
      </w:r>
      <w:r w:rsidRPr="00B20BE9">
        <w:rPr>
          <w:sz w:val="24"/>
          <w:szCs w:val="24"/>
        </w:rPr>
        <w:t xml:space="preserve">averred, as it did herein, that there was no </w:t>
      </w:r>
      <w:r w:rsidR="00742DC5" w:rsidRPr="00B20BE9">
        <w:rPr>
          <w:sz w:val="24"/>
          <w:szCs w:val="24"/>
        </w:rPr>
        <w:t xml:space="preserve">requirement in the statute </w:t>
      </w:r>
      <w:r w:rsidR="002B4FB7" w:rsidRPr="00B20BE9">
        <w:rPr>
          <w:sz w:val="24"/>
          <w:szCs w:val="24"/>
        </w:rPr>
        <w:t>that the</w:t>
      </w:r>
      <w:r w:rsidR="00742DC5" w:rsidRPr="00B20BE9">
        <w:rPr>
          <w:sz w:val="24"/>
          <w:szCs w:val="24"/>
        </w:rPr>
        <w:t xml:space="preserve"> water DSIC model be followed for other utilities</w:t>
      </w:r>
      <w:r w:rsidR="002B4FB7" w:rsidRPr="00B20BE9">
        <w:rPr>
          <w:sz w:val="24"/>
          <w:szCs w:val="24"/>
        </w:rPr>
        <w:t xml:space="preserve">.  In fact, </w:t>
      </w:r>
      <w:r w:rsidR="00742DC5" w:rsidRPr="00B20BE9">
        <w:rPr>
          <w:sz w:val="24"/>
          <w:szCs w:val="24"/>
        </w:rPr>
        <w:t>OCA asserted that language in 66 Pa.C.S. § 1358(a)(2) demonstrated that the General Assembly did not intend for the Commission’s existing DSIC rules and procedures for water companies to apply automatically to other utilities.  Instead, the Commission was given leeway to implement new</w:t>
      </w:r>
      <w:r w:rsidR="00980344" w:rsidRPr="00B20BE9">
        <w:rPr>
          <w:sz w:val="24"/>
          <w:szCs w:val="24"/>
        </w:rPr>
        <w:t>,</w:t>
      </w:r>
      <w:r w:rsidR="00742DC5" w:rsidRPr="00B20BE9">
        <w:rPr>
          <w:sz w:val="24"/>
          <w:szCs w:val="24"/>
        </w:rPr>
        <w:t xml:space="preserve"> appropriate rate mechanisms, in compliance with law, court precedent, and ratemaking</w:t>
      </w:r>
      <w:r w:rsidR="00980344" w:rsidRPr="00B20BE9">
        <w:rPr>
          <w:sz w:val="24"/>
          <w:szCs w:val="24"/>
        </w:rPr>
        <w:t xml:space="preserve"> principles.</w:t>
      </w:r>
    </w:p>
    <w:p w:rsidR="002B4FB7" w:rsidRPr="00B20BE9" w:rsidRDefault="002B4FB7" w:rsidP="007011E5">
      <w:pPr>
        <w:rPr>
          <w:sz w:val="24"/>
          <w:szCs w:val="24"/>
        </w:rPr>
      </w:pPr>
    </w:p>
    <w:p w:rsidR="00AA1384" w:rsidRPr="00B20BE9" w:rsidRDefault="002B4FB7" w:rsidP="007011E5">
      <w:pPr>
        <w:rPr>
          <w:sz w:val="24"/>
          <w:szCs w:val="24"/>
        </w:rPr>
      </w:pPr>
      <w:r w:rsidRPr="00B20BE9">
        <w:rPr>
          <w:sz w:val="24"/>
          <w:szCs w:val="24"/>
        </w:rPr>
        <w:tab/>
      </w:r>
      <w:r w:rsidRPr="00B20BE9">
        <w:rPr>
          <w:sz w:val="24"/>
          <w:szCs w:val="24"/>
        </w:rPr>
        <w:tab/>
        <w:t xml:space="preserve">In ruling on this issue, the Commission in </w:t>
      </w:r>
      <w:r w:rsidRPr="00B20BE9">
        <w:rPr>
          <w:i/>
          <w:sz w:val="24"/>
          <w:szCs w:val="24"/>
        </w:rPr>
        <w:t>Columbia DSIC</w:t>
      </w:r>
      <w:r w:rsidRPr="00B20BE9">
        <w:rPr>
          <w:sz w:val="24"/>
          <w:szCs w:val="24"/>
        </w:rPr>
        <w:t xml:space="preserve"> agreed with the ALJs’ conclusion </w:t>
      </w:r>
      <w:r w:rsidR="00C22D40" w:rsidRPr="00B20BE9">
        <w:rPr>
          <w:sz w:val="24"/>
          <w:szCs w:val="24"/>
        </w:rPr>
        <w:t xml:space="preserve">that </w:t>
      </w:r>
      <w:r w:rsidR="00306AA9" w:rsidRPr="00B20BE9">
        <w:rPr>
          <w:sz w:val="24"/>
          <w:szCs w:val="24"/>
        </w:rPr>
        <w:t xml:space="preserve">neither </w:t>
      </w:r>
      <w:r w:rsidR="00C22D40" w:rsidRPr="00B20BE9">
        <w:rPr>
          <w:sz w:val="24"/>
          <w:szCs w:val="24"/>
        </w:rPr>
        <w:t xml:space="preserve">the plain language of the statute </w:t>
      </w:r>
      <w:r w:rsidR="00306AA9" w:rsidRPr="00B20BE9">
        <w:rPr>
          <w:sz w:val="24"/>
          <w:szCs w:val="24"/>
        </w:rPr>
        <w:t xml:space="preserve">nor the legislative history required </w:t>
      </w:r>
      <w:r w:rsidR="00C22D40" w:rsidRPr="00B20BE9">
        <w:rPr>
          <w:sz w:val="24"/>
          <w:szCs w:val="24"/>
        </w:rPr>
        <w:t>the Commission to automatically adopt the DSIC formula used by water utilities.</w:t>
      </w:r>
      <w:r w:rsidR="00306AA9" w:rsidRPr="00B20BE9">
        <w:rPr>
          <w:sz w:val="24"/>
          <w:szCs w:val="24"/>
        </w:rPr>
        <w:t xml:space="preserve">  Rather the</w:t>
      </w:r>
    </w:p>
    <w:p w:rsidR="001B3F42" w:rsidRPr="00B20BE9" w:rsidRDefault="00306AA9" w:rsidP="007011E5">
      <w:pPr>
        <w:rPr>
          <w:sz w:val="24"/>
          <w:szCs w:val="24"/>
        </w:rPr>
      </w:pPr>
      <w:r w:rsidRPr="00B20BE9">
        <w:rPr>
          <w:sz w:val="24"/>
          <w:szCs w:val="24"/>
        </w:rPr>
        <w:t xml:space="preserve">General Assembly intended to authorize the Commission to retain its full ratemaking authority </w:t>
      </w:r>
      <w:r w:rsidR="008901C8" w:rsidRPr="00B20BE9">
        <w:rPr>
          <w:sz w:val="24"/>
          <w:szCs w:val="24"/>
        </w:rPr>
        <w:t xml:space="preserve">and to establish the technical mechanics of the DSIC calculation.  </w:t>
      </w:r>
      <w:r w:rsidR="008901C8" w:rsidRPr="00B20BE9">
        <w:rPr>
          <w:sz w:val="24"/>
          <w:szCs w:val="24"/>
          <w:u w:val="single"/>
        </w:rPr>
        <w:t>See</w:t>
      </w:r>
      <w:r w:rsidR="008901C8" w:rsidRPr="00B20BE9">
        <w:rPr>
          <w:sz w:val="24"/>
          <w:szCs w:val="24"/>
        </w:rPr>
        <w:t>, 66 Pa.C.S. §§</w:t>
      </w:r>
      <w:r w:rsidR="00643BFE">
        <w:rPr>
          <w:sz w:val="24"/>
          <w:szCs w:val="24"/>
        </w:rPr>
        <w:t> </w:t>
      </w:r>
      <w:r w:rsidR="008901C8" w:rsidRPr="00B20BE9">
        <w:rPr>
          <w:sz w:val="24"/>
          <w:szCs w:val="24"/>
        </w:rPr>
        <w:t>1358(c),</w:t>
      </w:r>
      <w:r w:rsidR="00643BFE">
        <w:rPr>
          <w:sz w:val="24"/>
          <w:szCs w:val="24"/>
        </w:rPr>
        <w:t> </w:t>
      </w:r>
      <w:r w:rsidR="008901C8" w:rsidRPr="00B20BE9">
        <w:rPr>
          <w:sz w:val="24"/>
          <w:szCs w:val="24"/>
        </w:rPr>
        <w:t>1358(d).</w:t>
      </w:r>
      <w:r w:rsidR="001B3F42" w:rsidRPr="00B20BE9">
        <w:rPr>
          <w:sz w:val="24"/>
          <w:szCs w:val="24"/>
        </w:rPr>
        <w:t xml:space="preserve">  </w:t>
      </w:r>
      <w:r w:rsidR="00520B90" w:rsidRPr="00B20BE9">
        <w:rPr>
          <w:sz w:val="24"/>
          <w:szCs w:val="24"/>
        </w:rPr>
        <w:t>A</w:t>
      </w:r>
      <w:r w:rsidR="00500322" w:rsidRPr="00B20BE9">
        <w:rPr>
          <w:sz w:val="24"/>
          <w:szCs w:val="24"/>
        </w:rPr>
        <w:t>lso, while the Commission considered Columbia’s argument about legislator comments, it</w:t>
      </w:r>
      <w:r w:rsidR="00520B90" w:rsidRPr="00B20BE9">
        <w:rPr>
          <w:sz w:val="24"/>
          <w:szCs w:val="24"/>
        </w:rPr>
        <w:t xml:space="preserve"> </w:t>
      </w:r>
      <w:r w:rsidR="00633B48" w:rsidRPr="00B20BE9">
        <w:rPr>
          <w:sz w:val="24"/>
          <w:szCs w:val="24"/>
        </w:rPr>
        <w:t>agreed with the OCA that there wa</w:t>
      </w:r>
      <w:r w:rsidR="00520B90" w:rsidRPr="00B20BE9">
        <w:rPr>
          <w:sz w:val="24"/>
          <w:szCs w:val="24"/>
        </w:rPr>
        <w:t>s no indication the General Assembly specifically considered and rejected the</w:t>
      </w:r>
      <w:r w:rsidR="00717D65">
        <w:rPr>
          <w:sz w:val="24"/>
          <w:szCs w:val="24"/>
        </w:rPr>
        <w:t xml:space="preserve"> OCA’s tax-related proposals.  </w:t>
      </w:r>
      <w:r w:rsidR="00980344" w:rsidRPr="00B20BE9">
        <w:rPr>
          <w:sz w:val="24"/>
          <w:szCs w:val="24"/>
        </w:rPr>
        <w:t>The Commission concluded that, w</w:t>
      </w:r>
      <w:r w:rsidR="001B3F42" w:rsidRPr="00B20BE9">
        <w:rPr>
          <w:sz w:val="24"/>
          <w:szCs w:val="24"/>
        </w:rPr>
        <w:t>hile the evidence indicate</w:t>
      </w:r>
      <w:r w:rsidR="00980344" w:rsidRPr="00B20BE9">
        <w:rPr>
          <w:sz w:val="24"/>
          <w:szCs w:val="24"/>
        </w:rPr>
        <w:t>d</w:t>
      </w:r>
      <w:r w:rsidR="001B3F42" w:rsidRPr="00B20BE9">
        <w:rPr>
          <w:sz w:val="24"/>
          <w:szCs w:val="24"/>
        </w:rPr>
        <w:t xml:space="preserve"> that the General Assembly intended to adopt a mechanism similar to the water DSIC formula, it left the technicalities to the </w:t>
      </w:r>
      <w:r w:rsidR="00980344" w:rsidRPr="00B20BE9">
        <w:rPr>
          <w:sz w:val="24"/>
          <w:szCs w:val="24"/>
        </w:rPr>
        <w:t>Commission’s sound discretion</w:t>
      </w:r>
      <w:r w:rsidR="001B3F42" w:rsidRPr="00B20BE9">
        <w:rPr>
          <w:sz w:val="24"/>
          <w:szCs w:val="24"/>
        </w:rPr>
        <w:t>.</w:t>
      </w:r>
    </w:p>
    <w:p w:rsidR="001B3F42" w:rsidRPr="00B20BE9" w:rsidRDefault="001B3F42" w:rsidP="007011E5">
      <w:pPr>
        <w:rPr>
          <w:sz w:val="24"/>
          <w:szCs w:val="24"/>
        </w:rPr>
      </w:pPr>
    </w:p>
    <w:p w:rsidR="0074300B" w:rsidRPr="00B20BE9" w:rsidRDefault="001B3F42" w:rsidP="007011E5">
      <w:pPr>
        <w:rPr>
          <w:sz w:val="24"/>
          <w:szCs w:val="24"/>
        </w:rPr>
      </w:pPr>
      <w:r w:rsidRPr="00B20BE9">
        <w:rPr>
          <w:sz w:val="24"/>
          <w:szCs w:val="24"/>
        </w:rPr>
        <w:tab/>
      </w:r>
      <w:r w:rsidRPr="00B20BE9">
        <w:rPr>
          <w:sz w:val="24"/>
          <w:szCs w:val="24"/>
        </w:rPr>
        <w:tab/>
        <w:t xml:space="preserve">I </w:t>
      </w:r>
      <w:r w:rsidR="007B70CA" w:rsidRPr="00B20BE9">
        <w:rPr>
          <w:sz w:val="24"/>
          <w:szCs w:val="24"/>
        </w:rPr>
        <w:t xml:space="preserve">also </w:t>
      </w:r>
      <w:r w:rsidRPr="00B20BE9">
        <w:rPr>
          <w:sz w:val="24"/>
          <w:szCs w:val="24"/>
        </w:rPr>
        <w:t xml:space="preserve">conclude, as did the Commission in </w:t>
      </w:r>
      <w:r w:rsidRPr="00B20BE9">
        <w:rPr>
          <w:i/>
          <w:sz w:val="24"/>
          <w:szCs w:val="24"/>
        </w:rPr>
        <w:t>Columbia DSIC</w:t>
      </w:r>
      <w:r w:rsidRPr="00B20BE9">
        <w:rPr>
          <w:sz w:val="24"/>
          <w:szCs w:val="24"/>
        </w:rPr>
        <w:t xml:space="preserve">, </w:t>
      </w:r>
      <w:r w:rsidR="006B772E" w:rsidRPr="00B20BE9">
        <w:rPr>
          <w:sz w:val="24"/>
          <w:szCs w:val="24"/>
        </w:rPr>
        <w:t>that the plain language of the statute does not require the Commission to automatically adopt the DSIC formula used by water utilities.  Instead, the plain language</w:t>
      </w:r>
      <w:r w:rsidR="00520B90" w:rsidRPr="00B20BE9">
        <w:rPr>
          <w:sz w:val="24"/>
          <w:szCs w:val="24"/>
        </w:rPr>
        <w:t xml:space="preserve"> of the statute provides authority and discretion to the Commission to determine the method of calculating the DSIC provisions of Act 11.  </w:t>
      </w:r>
      <w:r w:rsidR="00520B90" w:rsidRPr="00B20BE9">
        <w:rPr>
          <w:sz w:val="24"/>
          <w:szCs w:val="24"/>
          <w:u w:val="single"/>
        </w:rPr>
        <w:t>See</w:t>
      </w:r>
      <w:r w:rsidR="00520B90" w:rsidRPr="00B20BE9">
        <w:rPr>
          <w:sz w:val="24"/>
          <w:szCs w:val="24"/>
        </w:rPr>
        <w:t xml:space="preserve">, </w:t>
      </w:r>
      <w:r w:rsidR="00520B90" w:rsidRPr="00B20BE9">
        <w:rPr>
          <w:i/>
          <w:sz w:val="24"/>
          <w:szCs w:val="24"/>
        </w:rPr>
        <w:t>Columbia DSIC</w:t>
      </w:r>
      <w:r w:rsidR="00520B90" w:rsidRPr="00B20BE9">
        <w:rPr>
          <w:sz w:val="24"/>
          <w:szCs w:val="24"/>
        </w:rPr>
        <w:t>, p</w:t>
      </w:r>
      <w:r w:rsidR="00500322" w:rsidRPr="00B20BE9">
        <w:rPr>
          <w:sz w:val="24"/>
          <w:szCs w:val="24"/>
        </w:rPr>
        <w:t>p</w:t>
      </w:r>
      <w:r w:rsidR="00520B90" w:rsidRPr="00B20BE9">
        <w:rPr>
          <w:sz w:val="24"/>
          <w:szCs w:val="24"/>
        </w:rPr>
        <w:t>. 17</w:t>
      </w:r>
      <w:r w:rsidR="00500322" w:rsidRPr="00B20BE9">
        <w:rPr>
          <w:sz w:val="24"/>
          <w:szCs w:val="24"/>
        </w:rPr>
        <w:t>-18</w:t>
      </w:r>
      <w:r w:rsidR="00031A7D" w:rsidRPr="00B20BE9">
        <w:rPr>
          <w:sz w:val="24"/>
          <w:szCs w:val="24"/>
        </w:rPr>
        <w:t>; 66 Pa.C.S. §1358(c) and (d).</w:t>
      </w:r>
      <w:r w:rsidR="007B70CA" w:rsidRPr="00B20BE9">
        <w:rPr>
          <w:sz w:val="24"/>
          <w:szCs w:val="24"/>
        </w:rPr>
        <w:t xml:space="preserve">  Legislat</w:t>
      </w:r>
      <w:r w:rsidR="002F375A" w:rsidRPr="00B20BE9">
        <w:rPr>
          <w:sz w:val="24"/>
          <w:szCs w:val="24"/>
        </w:rPr>
        <w:t xml:space="preserve">ive history presented for my </w:t>
      </w:r>
      <w:r w:rsidR="007B70CA" w:rsidRPr="00B20BE9">
        <w:rPr>
          <w:sz w:val="24"/>
          <w:szCs w:val="24"/>
        </w:rPr>
        <w:t xml:space="preserve">consideration </w:t>
      </w:r>
      <w:r w:rsidR="002F375A" w:rsidRPr="00B20BE9">
        <w:rPr>
          <w:sz w:val="24"/>
          <w:szCs w:val="24"/>
        </w:rPr>
        <w:t xml:space="preserve">also </w:t>
      </w:r>
      <w:r w:rsidR="007B70CA" w:rsidRPr="00B20BE9">
        <w:rPr>
          <w:sz w:val="24"/>
          <w:szCs w:val="24"/>
        </w:rPr>
        <w:t>do</w:t>
      </w:r>
      <w:r w:rsidR="00110B51" w:rsidRPr="00B20BE9">
        <w:rPr>
          <w:sz w:val="24"/>
          <w:szCs w:val="24"/>
        </w:rPr>
        <w:t>es</w:t>
      </w:r>
      <w:r w:rsidR="007B70CA" w:rsidRPr="00B20BE9">
        <w:rPr>
          <w:sz w:val="24"/>
          <w:szCs w:val="24"/>
        </w:rPr>
        <w:t xml:space="preserve"> not show that the General Assembly specifically considered and rejected the OCA’s DIT proposal.</w:t>
      </w:r>
      <w:r w:rsidR="007B70CA" w:rsidRPr="00B20BE9">
        <w:rPr>
          <w:rStyle w:val="FootnoteReference"/>
          <w:sz w:val="24"/>
          <w:szCs w:val="24"/>
        </w:rPr>
        <w:footnoteReference w:id="4"/>
      </w:r>
      <w:r w:rsidR="007B70CA" w:rsidRPr="00B20BE9">
        <w:rPr>
          <w:sz w:val="24"/>
          <w:szCs w:val="24"/>
        </w:rPr>
        <w:t xml:space="preserve">  Thus, the Commission has the requisite authority to determine whether an ADIT adjustment should be included </w:t>
      </w:r>
      <w:r w:rsidR="00031A7D" w:rsidRPr="00B20BE9">
        <w:rPr>
          <w:sz w:val="24"/>
          <w:szCs w:val="24"/>
        </w:rPr>
        <w:t xml:space="preserve">in the DSIC mechanism </w:t>
      </w:r>
      <w:r w:rsidR="007B70CA" w:rsidRPr="00B20BE9">
        <w:rPr>
          <w:sz w:val="24"/>
          <w:szCs w:val="24"/>
        </w:rPr>
        <w:t>for PPL.</w:t>
      </w:r>
    </w:p>
    <w:p w:rsidR="0074300B" w:rsidRPr="00B20BE9" w:rsidRDefault="0074300B" w:rsidP="007011E5">
      <w:pPr>
        <w:rPr>
          <w:sz w:val="24"/>
          <w:szCs w:val="24"/>
        </w:rPr>
      </w:pPr>
    </w:p>
    <w:p w:rsidR="002F375A" w:rsidRPr="00B20BE9" w:rsidRDefault="0074300B" w:rsidP="005351A1">
      <w:pPr>
        <w:ind w:left="1440"/>
        <w:rPr>
          <w:sz w:val="24"/>
          <w:szCs w:val="24"/>
        </w:rPr>
      </w:pPr>
      <w:r w:rsidRPr="00B20BE9">
        <w:rPr>
          <w:sz w:val="24"/>
          <w:szCs w:val="24"/>
        </w:rPr>
        <w:t>b.</w:t>
      </w:r>
      <w:r w:rsidR="002F375A" w:rsidRPr="00B20BE9">
        <w:rPr>
          <w:sz w:val="24"/>
          <w:szCs w:val="24"/>
        </w:rPr>
        <w:tab/>
      </w:r>
      <w:r w:rsidR="00B1035D" w:rsidRPr="00B20BE9">
        <w:rPr>
          <w:sz w:val="24"/>
          <w:szCs w:val="24"/>
          <w:u w:val="single"/>
        </w:rPr>
        <w:t>C</w:t>
      </w:r>
      <w:r w:rsidR="002F375A" w:rsidRPr="00B20BE9">
        <w:rPr>
          <w:sz w:val="24"/>
          <w:szCs w:val="24"/>
          <w:u w:val="single"/>
        </w:rPr>
        <w:t xml:space="preserve">omplexity </w:t>
      </w:r>
      <w:r w:rsidR="00B1035D" w:rsidRPr="00B20BE9">
        <w:rPr>
          <w:sz w:val="24"/>
          <w:szCs w:val="24"/>
          <w:u w:val="single"/>
        </w:rPr>
        <w:t xml:space="preserve">and necessity </w:t>
      </w:r>
      <w:r w:rsidR="002F375A" w:rsidRPr="00B20BE9">
        <w:rPr>
          <w:sz w:val="24"/>
          <w:szCs w:val="24"/>
          <w:u w:val="single"/>
        </w:rPr>
        <w:t>of ADIT adjustment</w:t>
      </w:r>
      <w:r w:rsidR="005351A1">
        <w:rPr>
          <w:sz w:val="24"/>
          <w:szCs w:val="24"/>
          <w:u w:val="single"/>
        </w:rPr>
        <w:fldChar w:fldCharType="begin"/>
      </w:r>
      <w:r w:rsidR="005351A1">
        <w:instrText xml:space="preserve"> TC "</w:instrText>
      </w:r>
      <w:bookmarkStart w:id="10" w:name="_Toc394309038"/>
      <w:r w:rsidR="005351A1" w:rsidRPr="008742F7">
        <w:rPr>
          <w:sz w:val="24"/>
          <w:szCs w:val="24"/>
        </w:rPr>
        <w:instrText>b.</w:instrText>
      </w:r>
      <w:r w:rsidR="005351A1" w:rsidRPr="008742F7">
        <w:rPr>
          <w:sz w:val="24"/>
          <w:szCs w:val="24"/>
        </w:rPr>
        <w:tab/>
      </w:r>
      <w:r w:rsidR="005351A1" w:rsidRPr="008742F7">
        <w:rPr>
          <w:sz w:val="24"/>
          <w:szCs w:val="24"/>
          <w:u w:val="single"/>
        </w:rPr>
        <w:instrText>Complexity and necessity of ADIT adjustment</w:instrText>
      </w:r>
      <w:bookmarkEnd w:id="10"/>
      <w:r w:rsidR="005351A1">
        <w:instrText xml:space="preserve">" \f C \l "4" </w:instrText>
      </w:r>
      <w:r w:rsidR="005351A1">
        <w:rPr>
          <w:sz w:val="24"/>
          <w:szCs w:val="24"/>
          <w:u w:val="single"/>
        </w:rPr>
        <w:fldChar w:fldCharType="end"/>
      </w:r>
      <w:r w:rsidR="00C5697C" w:rsidRPr="00B20BE9">
        <w:rPr>
          <w:sz w:val="24"/>
          <w:szCs w:val="24"/>
        </w:rPr>
        <w:t xml:space="preserve"> </w:t>
      </w:r>
    </w:p>
    <w:p w:rsidR="002F375A" w:rsidRPr="00B20BE9" w:rsidRDefault="002F375A" w:rsidP="007011E5">
      <w:pPr>
        <w:rPr>
          <w:sz w:val="24"/>
          <w:szCs w:val="24"/>
        </w:rPr>
      </w:pPr>
    </w:p>
    <w:p w:rsidR="00517CC5" w:rsidRPr="00B20BE9" w:rsidRDefault="00B1035D" w:rsidP="007011E5">
      <w:pPr>
        <w:rPr>
          <w:sz w:val="24"/>
          <w:szCs w:val="24"/>
        </w:rPr>
      </w:pPr>
      <w:r w:rsidRPr="00B20BE9">
        <w:rPr>
          <w:sz w:val="24"/>
          <w:szCs w:val="24"/>
        </w:rPr>
        <w:tab/>
      </w:r>
      <w:r w:rsidRPr="00B20BE9">
        <w:rPr>
          <w:sz w:val="24"/>
          <w:szCs w:val="24"/>
        </w:rPr>
        <w:tab/>
        <w:t xml:space="preserve">After having determined that legislative intent did not mandate rejection of the ADIT adjustment, the Commission in </w:t>
      </w:r>
      <w:r w:rsidRPr="00B20BE9">
        <w:rPr>
          <w:i/>
          <w:sz w:val="24"/>
          <w:szCs w:val="24"/>
        </w:rPr>
        <w:t>Columbia DSIC</w:t>
      </w:r>
      <w:r w:rsidRPr="00B20BE9">
        <w:rPr>
          <w:sz w:val="24"/>
          <w:szCs w:val="24"/>
        </w:rPr>
        <w:t xml:space="preserve"> considered the merits of the </w:t>
      </w:r>
      <w:r w:rsidR="00687A99" w:rsidRPr="00B20BE9">
        <w:rPr>
          <w:sz w:val="24"/>
          <w:szCs w:val="24"/>
        </w:rPr>
        <w:t xml:space="preserve">ADIT </w:t>
      </w:r>
      <w:r w:rsidRPr="00B20BE9">
        <w:rPr>
          <w:sz w:val="24"/>
          <w:szCs w:val="24"/>
        </w:rPr>
        <w:t xml:space="preserve">proposal.  The Commission noted that it had previously addressed the ADIT issue in its </w:t>
      </w:r>
      <w:r w:rsidRPr="00B20BE9">
        <w:rPr>
          <w:i/>
          <w:sz w:val="24"/>
          <w:szCs w:val="24"/>
        </w:rPr>
        <w:t>Final Implementation Order</w:t>
      </w:r>
      <w:r w:rsidRPr="00B20BE9">
        <w:rPr>
          <w:sz w:val="24"/>
          <w:szCs w:val="24"/>
        </w:rPr>
        <w:t xml:space="preserve">, </w:t>
      </w:r>
      <w:r w:rsidRPr="00B20BE9">
        <w:rPr>
          <w:sz w:val="24"/>
          <w:szCs w:val="24"/>
          <w:u w:val="single"/>
        </w:rPr>
        <w:t>supra</w:t>
      </w:r>
      <w:r w:rsidRPr="00B20BE9">
        <w:rPr>
          <w:sz w:val="24"/>
          <w:szCs w:val="24"/>
        </w:rPr>
        <w:t>, and that it had not been convinced to change i</w:t>
      </w:r>
      <w:r w:rsidR="003F2E79">
        <w:rPr>
          <w:sz w:val="24"/>
          <w:szCs w:val="24"/>
        </w:rPr>
        <w:t>ts position set forth therein.</w:t>
      </w:r>
    </w:p>
    <w:p w:rsidR="00517CC5" w:rsidRPr="00B20BE9" w:rsidRDefault="00517CC5" w:rsidP="007011E5">
      <w:pPr>
        <w:rPr>
          <w:sz w:val="24"/>
          <w:szCs w:val="24"/>
        </w:rPr>
      </w:pPr>
    </w:p>
    <w:p w:rsidR="0042679F" w:rsidRPr="00B20BE9" w:rsidRDefault="00517CC5" w:rsidP="007011E5">
      <w:pPr>
        <w:rPr>
          <w:sz w:val="24"/>
          <w:szCs w:val="24"/>
        </w:rPr>
      </w:pPr>
      <w:r w:rsidRPr="00B20BE9">
        <w:rPr>
          <w:sz w:val="24"/>
          <w:szCs w:val="24"/>
        </w:rPr>
        <w:tab/>
      </w:r>
      <w:r w:rsidRPr="00B20BE9">
        <w:rPr>
          <w:sz w:val="24"/>
          <w:szCs w:val="24"/>
        </w:rPr>
        <w:tab/>
      </w:r>
      <w:r w:rsidR="00687A99" w:rsidRPr="00B20BE9">
        <w:rPr>
          <w:sz w:val="24"/>
          <w:szCs w:val="24"/>
        </w:rPr>
        <w:t>Of particular note, in the</w:t>
      </w:r>
      <w:r w:rsidRPr="00B20BE9">
        <w:rPr>
          <w:sz w:val="24"/>
          <w:szCs w:val="24"/>
        </w:rPr>
        <w:t xml:space="preserve"> </w:t>
      </w:r>
      <w:r w:rsidRPr="00B20BE9">
        <w:rPr>
          <w:i/>
          <w:sz w:val="24"/>
          <w:szCs w:val="24"/>
        </w:rPr>
        <w:t>Final Implementation Order</w:t>
      </w:r>
      <w:r w:rsidRPr="00B20BE9">
        <w:rPr>
          <w:sz w:val="24"/>
          <w:szCs w:val="24"/>
        </w:rPr>
        <w:t>, the Commission indicated that the DSIC was intended to be a straightforward mechanism that is easy to calculate and audit,</w:t>
      </w:r>
    </w:p>
    <w:p w:rsidR="009A3913" w:rsidRPr="00B20BE9" w:rsidRDefault="003F2E79" w:rsidP="007011E5">
      <w:pPr>
        <w:rPr>
          <w:sz w:val="24"/>
          <w:szCs w:val="24"/>
        </w:rPr>
      </w:pPr>
      <w:r>
        <w:rPr>
          <w:sz w:val="24"/>
          <w:szCs w:val="24"/>
        </w:rPr>
        <w:t xml:space="preserve"> </w:t>
      </w:r>
      <w:r w:rsidR="00517CC5" w:rsidRPr="00B20BE9">
        <w:rPr>
          <w:sz w:val="24"/>
          <w:szCs w:val="24"/>
        </w:rPr>
        <w:t>and does not require a full rate case analysis.  The Commission found</w:t>
      </w:r>
      <w:r w:rsidR="000C7DDE" w:rsidRPr="00B20BE9">
        <w:rPr>
          <w:sz w:val="24"/>
          <w:szCs w:val="24"/>
        </w:rPr>
        <w:t xml:space="preserve"> in </w:t>
      </w:r>
      <w:r w:rsidR="000C7DDE" w:rsidRPr="00B20BE9">
        <w:rPr>
          <w:i/>
          <w:sz w:val="24"/>
          <w:szCs w:val="24"/>
        </w:rPr>
        <w:t xml:space="preserve">Columbia DSIC </w:t>
      </w:r>
      <w:r w:rsidR="00517CC5" w:rsidRPr="00B20BE9">
        <w:rPr>
          <w:sz w:val="24"/>
          <w:szCs w:val="24"/>
        </w:rPr>
        <w:t>that the inclusion of an ADIT adjustment would be inconsistent with that goal and would likely lead to litigation over the DSIC calculation.</w:t>
      </w:r>
    </w:p>
    <w:p w:rsidR="0042679F" w:rsidRPr="00B20BE9" w:rsidRDefault="0042679F" w:rsidP="007011E5">
      <w:pPr>
        <w:rPr>
          <w:sz w:val="24"/>
          <w:szCs w:val="24"/>
        </w:rPr>
      </w:pPr>
    </w:p>
    <w:p w:rsidR="00517CC5" w:rsidRPr="00B20BE9" w:rsidRDefault="0042679F" w:rsidP="007011E5">
      <w:pPr>
        <w:rPr>
          <w:sz w:val="24"/>
          <w:szCs w:val="24"/>
        </w:rPr>
      </w:pPr>
      <w:r w:rsidRPr="00B20BE9">
        <w:rPr>
          <w:sz w:val="24"/>
          <w:szCs w:val="24"/>
        </w:rPr>
        <w:tab/>
      </w:r>
      <w:r w:rsidRPr="00B20BE9">
        <w:rPr>
          <w:sz w:val="24"/>
          <w:szCs w:val="24"/>
        </w:rPr>
        <w:tab/>
      </w:r>
      <w:r w:rsidR="00517CC5" w:rsidRPr="00B20BE9">
        <w:rPr>
          <w:sz w:val="24"/>
          <w:szCs w:val="24"/>
        </w:rPr>
        <w:t xml:space="preserve">Specifically on the issue of complexity, the Commission in </w:t>
      </w:r>
      <w:r w:rsidR="00517CC5" w:rsidRPr="00B20BE9">
        <w:rPr>
          <w:i/>
          <w:sz w:val="24"/>
          <w:szCs w:val="24"/>
        </w:rPr>
        <w:t>Columbia DSIC</w:t>
      </w:r>
      <w:r w:rsidR="00517CC5" w:rsidRPr="00B20BE9">
        <w:rPr>
          <w:sz w:val="24"/>
          <w:szCs w:val="24"/>
        </w:rPr>
        <w:t xml:space="preserve"> found as follows, slip. op. at 36:</w:t>
      </w:r>
    </w:p>
    <w:p w:rsidR="00517CC5" w:rsidRPr="00B20BE9" w:rsidRDefault="00517CC5" w:rsidP="007011E5">
      <w:pPr>
        <w:rPr>
          <w:sz w:val="24"/>
          <w:szCs w:val="24"/>
        </w:rPr>
      </w:pPr>
    </w:p>
    <w:p w:rsidR="007B60DF" w:rsidRPr="00B20BE9" w:rsidRDefault="00517CC5" w:rsidP="00517CC5">
      <w:pPr>
        <w:spacing w:line="240" w:lineRule="auto"/>
        <w:ind w:left="1440" w:right="1440"/>
        <w:rPr>
          <w:sz w:val="24"/>
          <w:szCs w:val="24"/>
        </w:rPr>
      </w:pPr>
      <w:r w:rsidRPr="00B20BE9">
        <w:rPr>
          <w:sz w:val="24"/>
          <w:szCs w:val="24"/>
        </w:rPr>
        <w:t xml:space="preserve">. . . [W]e believe that the inclusion of an ADIT adjustment would involve a level of analysis and complexity </w:t>
      </w:r>
      <w:r w:rsidR="00CC622E" w:rsidRPr="00B20BE9">
        <w:rPr>
          <w:sz w:val="24"/>
          <w:szCs w:val="24"/>
        </w:rPr>
        <w:t>that</w:t>
      </w:r>
      <w:r w:rsidRPr="00B20BE9">
        <w:rPr>
          <w:sz w:val="24"/>
          <w:szCs w:val="24"/>
        </w:rPr>
        <w:t xml:space="preserve"> goes beyond the scope of what is required by Act 11 with regard to calculation of the DSIC.  Similarly, we believe that using the annual reconciliation process to overcome the difficulties </w:t>
      </w:r>
      <w:r w:rsidR="007141CD" w:rsidRPr="00B20BE9">
        <w:rPr>
          <w:sz w:val="24"/>
          <w:szCs w:val="24"/>
        </w:rPr>
        <w:t xml:space="preserve">involved in providing accurate projections of incremental ADIT, as the OCA suggests, </w:t>
      </w:r>
      <w:r w:rsidR="007B60DF" w:rsidRPr="00B20BE9">
        <w:rPr>
          <w:sz w:val="24"/>
          <w:szCs w:val="24"/>
        </w:rPr>
        <w:t>would also add unneeded complexity to the implementation of the DSIC.</w:t>
      </w:r>
    </w:p>
    <w:p w:rsidR="007B60DF" w:rsidRPr="00B20BE9" w:rsidRDefault="007B60DF" w:rsidP="007B60DF">
      <w:pPr>
        <w:ind w:left="1440" w:right="1440"/>
        <w:rPr>
          <w:sz w:val="24"/>
          <w:szCs w:val="24"/>
        </w:rPr>
      </w:pPr>
    </w:p>
    <w:p w:rsidR="00C552B1" w:rsidRPr="00B20BE9" w:rsidRDefault="007B60DF" w:rsidP="007B60DF">
      <w:pPr>
        <w:rPr>
          <w:sz w:val="24"/>
          <w:szCs w:val="24"/>
        </w:rPr>
      </w:pPr>
      <w:r w:rsidRPr="00B20BE9">
        <w:rPr>
          <w:sz w:val="24"/>
          <w:szCs w:val="24"/>
        </w:rPr>
        <w:tab/>
      </w:r>
      <w:r w:rsidRPr="00B20BE9">
        <w:rPr>
          <w:sz w:val="24"/>
          <w:szCs w:val="24"/>
        </w:rPr>
        <w:tab/>
      </w:r>
      <w:r w:rsidR="00633B48" w:rsidRPr="00B20BE9">
        <w:rPr>
          <w:sz w:val="24"/>
          <w:szCs w:val="24"/>
        </w:rPr>
        <w:t xml:space="preserve">In addition, the Commission </w:t>
      </w:r>
      <w:r w:rsidRPr="00B20BE9">
        <w:rPr>
          <w:sz w:val="24"/>
          <w:szCs w:val="24"/>
        </w:rPr>
        <w:t xml:space="preserve">concluded in </w:t>
      </w:r>
      <w:r w:rsidRPr="00B20BE9">
        <w:rPr>
          <w:i/>
          <w:sz w:val="24"/>
          <w:szCs w:val="24"/>
        </w:rPr>
        <w:t>Columbia DSIC</w:t>
      </w:r>
      <w:r w:rsidRPr="00B20BE9">
        <w:rPr>
          <w:sz w:val="24"/>
          <w:szCs w:val="24"/>
        </w:rPr>
        <w:t xml:space="preserve"> that an ADIT adjustment was not necessary to protect consumers from over-earnings.  It agreed with Columbia that</w:t>
      </w:r>
      <w:r w:rsidR="00C552B1" w:rsidRPr="00B20BE9">
        <w:rPr>
          <w:sz w:val="24"/>
          <w:szCs w:val="24"/>
        </w:rPr>
        <w:t xml:space="preserve"> the quarterly earnings reports, which are used to determine the Company’s achieved </w:t>
      </w:r>
      <w:r w:rsidR="00110B51" w:rsidRPr="00B20BE9">
        <w:rPr>
          <w:sz w:val="24"/>
          <w:szCs w:val="24"/>
        </w:rPr>
        <w:t>ra</w:t>
      </w:r>
      <w:r w:rsidR="00C552B1" w:rsidRPr="00B20BE9">
        <w:rPr>
          <w:sz w:val="24"/>
          <w:szCs w:val="24"/>
        </w:rPr>
        <w:t xml:space="preserve">te of return for earnings cap purposes, “capture both upward and downward impacts of a wide variety of individual adjustments that would be considered in a base rate proceeding, including the current book amount of ADIT.”  </w:t>
      </w:r>
      <w:r w:rsidR="00C552B1" w:rsidRPr="00B20BE9">
        <w:rPr>
          <w:i/>
          <w:sz w:val="24"/>
          <w:szCs w:val="24"/>
        </w:rPr>
        <w:t>Columbia DSIC</w:t>
      </w:r>
      <w:r w:rsidR="005574D0">
        <w:rPr>
          <w:sz w:val="24"/>
          <w:szCs w:val="24"/>
        </w:rPr>
        <w:t>, slip op. at 36.</w:t>
      </w:r>
    </w:p>
    <w:p w:rsidR="00C552B1" w:rsidRPr="00B20BE9" w:rsidRDefault="00C552B1" w:rsidP="007B60DF">
      <w:pPr>
        <w:rPr>
          <w:sz w:val="24"/>
          <w:szCs w:val="24"/>
        </w:rPr>
      </w:pPr>
    </w:p>
    <w:p w:rsidR="00687A99" w:rsidRPr="00B20BE9" w:rsidRDefault="00C552B1" w:rsidP="007B60DF">
      <w:pPr>
        <w:rPr>
          <w:sz w:val="24"/>
          <w:szCs w:val="24"/>
        </w:rPr>
      </w:pPr>
      <w:r w:rsidRPr="00B20BE9">
        <w:rPr>
          <w:sz w:val="24"/>
          <w:szCs w:val="24"/>
        </w:rPr>
        <w:tab/>
      </w:r>
      <w:r w:rsidRPr="00B20BE9">
        <w:rPr>
          <w:sz w:val="24"/>
          <w:szCs w:val="24"/>
        </w:rPr>
        <w:tab/>
      </w:r>
      <w:r w:rsidR="000C7DDE" w:rsidRPr="00B20BE9">
        <w:rPr>
          <w:sz w:val="24"/>
          <w:szCs w:val="24"/>
        </w:rPr>
        <w:t xml:space="preserve">In the instant case, OCA and PPL presented essentially the same arguments in support of or in </w:t>
      </w:r>
      <w:r w:rsidR="00E949B8" w:rsidRPr="00B20BE9">
        <w:rPr>
          <w:sz w:val="24"/>
          <w:szCs w:val="24"/>
        </w:rPr>
        <w:t xml:space="preserve">opposition to the ADIT adjustment as had been presented earlier by the OCA and Columbia.  </w:t>
      </w:r>
      <w:r w:rsidRPr="00B20BE9">
        <w:rPr>
          <w:sz w:val="24"/>
          <w:szCs w:val="24"/>
        </w:rPr>
        <w:t>As the Commission has already determined that inclusion of the ADIT adjustment would make the DSIC mechanism too complex and that</w:t>
      </w:r>
      <w:r w:rsidR="00110B51" w:rsidRPr="00B20BE9">
        <w:rPr>
          <w:sz w:val="24"/>
          <w:szCs w:val="24"/>
        </w:rPr>
        <w:t xml:space="preserve"> its inclusion </w:t>
      </w:r>
      <w:r w:rsidR="00687A99" w:rsidRPr="00B20BE9">
        <w:rPr>
          <w:sz w:val="24"/>
          <w:szCs w:val="24"/>
        </w:rPr>
        <w:t>is</w:t>
      </w:r>
      <w:r w:rsidRPr="00B20BE9">
        <w:rPr>
          <w:sz w:val="24"/>
          <w:szCs w:val="24"/>
        </w:rPr>
        <w:t xml:space="preserve"> unnecessary due to the earnings cap</w:t>
      </w:r>
      <w:r w:rsidR="00443846" w:rsidRPr="00B20BE9">
        <w:rPr>
          <w:sz w:val="24"/>
          <w:szCs w:val="24"/>
        </w:rPr>
        <w:t>, I also decline to recommend adoption of an ADIT adjustment on these grounds.</w:t>
      </w:r>
    </w:p>
    <w:p w:rsidR="00E949B8" w:rsidRPr="00B20BE9" w:rsidRDefault="00E949B8" w:rsidP="007B60DF">
      <w:pPr>
        <w:rPr>
          <w:sz w:val="24"/>
          <w:szCs w:val="24"/>
        </w:rPr>
      </w:pPr>
    </w:p>
    <w:p w:rsidR="00D179EC" w:rsidRPr="00B20BE9" w:rsidRDefault="009A3913" w:rsidP="005351A1">
      <w:pPr>
        <w:ind w:left="1440"/>
        <w:rPr>
          <w:sz w:val="24"/>
          <w:szCs w:val="24"/>
        </w:rPr>
      </w:pPr>
      <w:r w:rsidRPr="00B20BE9">
        <w:rPr>
          <w:sz w:val="24"/>
          <w:szCs w:val="24"/>
        </w:rPr>
        <w:t>c.</w:t>
      </w:r>
      <w:r w:rsidRPr="00B20BE9">
        <w:rPr>
          <w:sz w:val="24"/>
          <w:szCs w:val="24"/>
        </w:rPr>
        <w:tab/>
      </w:r>
      <w:r w:rsidRPr="00B20BE9">
        <w:rPr>
          <w:sz w:val="24"/>
          <w:szCs w:val="24"/>
          <w:u w:val="single"/>
        </w:rPr>
        <w:t>Just and reasonable rates</w:t>
      </w:r>
      <w:r w:rsidR="005351A1">
        <w:rPr>
          <w:sz w:val="24"/>
          <w:szCs w:val="24"/>
          <w:u w:val="single"/>
        </w:rPr>
        <w:fldChar w:fldCharType="begin"/>
      </w:r>
      <w:r w:rsidR="005351A1">
        <w:instrText xml:space="preserve"> TC "</w:instrText>
      </w:r>
      <w:bookmarkStart w:id="11" w:name="_Toc394309039"/>
      <w:r w:rsidR="005351A1" w:rsidRPr="008742F7">
        <w:rPr>
          <w:sz w:val="24"/>
          <w:szCs w:val="24"/>
        </w:rPr>
        <w:instrText>c.</w:instrText>
      </w:r>
      <w:r w:rsidR="005351A1" w:rsidRPr="008742F7">
        <w:rPr>
          <w:sz w:val="24"/>
          <w:szCs w:val="24"/>
        </w:rPr>
        <w:tab/>
      </w:r>
      <w:r w:rsidR="005351A1" w:rsidRPr="008742F7">
        <w:rPr>
          <w:sz w:val="24"/>
          <w:szCs w:val="24"/>
          <w:u w:val="single"/>
        </w:rPr>
        <w:instrText>Just and reasonable rates</w:instrText>
      </w:r>
      <w:bookmarkEnd w:id="11"/>
      <w:r w:rsidR="005351A1">
        <w:instrText xml:space="preserve">" \f C \l "4" </w:instrText>
      </w:r>
      <w:r w:rsidR="005351A1">
        <w:rPr>
          <w:sz w:val="24"/>
          <w:szCs w:val="24"/>
          <w:u w:val="single"/>
        </w:rPr>
        <w:fldChar w:fldCharType="end"/>
      </w:r>
    </w:p>
    <w:p w:rsidR="00687A99" w:rsidRPr="00B20BE9" w:rsidRDefault="00687A99" w:rsidP="007B60DF">
      <w:pPr>
        <w:rPr>
          <w:sz w:val="24"/>
          <w:szCs w:val="24"/>
        </w:rPr>
      </w:pPr>
    </w:p>
    <w:p w:rsidR="00D163E8" w:rsidRPr="00B20BE9" w:rsidRDefault="00687A99" w:rsidP="007B60DF">
      <w:pPr>
        <w:rPr>
          <w:sz w:val="24"/>
          <w:szCs w:val="24"/>
        </w:rPr>
      </w:pPr>
      <w:r w:rsidRPr="00B20BE9">
        <w:rPr>
          <w:sz w:val="24"/>
          <w:szCs w:val="24"/>
        </w:rPr>
        <w:tab/>
      </w:r>
      <w:r w:rsidRPr="00B20BE9">
        <w:rPr>
          <w:sz w:val="24"/>
          <w:szCs w:val="24"/>
        </w:rPr>
        <w:tab/>
        <w:t xml:space="preserve">As in the </w:t>
      </w:r>
      <w:r w:rsidRPr="00B20BE9">
        <w:rPr>
          <w:i/>
          <w:sz w:val="24"/>
          <w:szCs w:val="24"/>
        </w:rPr>
        <w:t>Columbia DSIC</w:t>
      </w:r>
      <w:r w:rsidRPr="00B20BE9">
        <w:rPr>
          <w:sz w:val="24"/>
          <w:szCs w:val="24"/>
        </w:rPr>
        <w:t xml:space="preserve"> proceeding, OCA had contended </w:t>
      </w:r>
      <w:r w:rsidR="00F45677" w:rsidRPr="00B20BE9">
        <w:rPr>
          <w:sz w:val="24"/>
          <w:szCs w:val="24"/>
        </w:rPr>
        <w:t xml:space="preserve">in this proceeding </w:t>
      </w:r>
      <w:r w:rsidRPr="00B20BE9">
        <w:rPr>
          <w:sz w:val="24"/>
          <w:szCs w:val="24"/>
        </w:rPr>
        <w:t>that adoption of the ADIT adjustment was required in order to produce just and reasonable rates, in compliance with Section 1301 of the Code, 66 Pa.C.S. § 1301.</w:t>
      </w:r>
      <w:r w:rsidR="00F45677" w:rsidRPr="00B20BE9">
        <w:rPr>
          <w:sz w:val="24"/>
          <w:szCs w:val="24"/>
        </w:rPr>
        <w:t xml:space="preserve">  </w:t>
      </w:r>
      <w:r w:rsidR="00E949B8" w:rsidRPr="00B20BE9">
        <w:rPr>
          <w:sz w:val="24"/>
          <w:szCs w:val="24"/>
        </w:rPr>
        <w:t xml:space="preserve">PPL had opposed that position.  </w:t>
      </w:r>
      <w:r w:rsidR="00F45677" w:rsidRPr="00B20BE9">
        <w:rPr>
          <w:sz w:val="24"/>
          <w:szCs w:val="24"/>
        </w:rPr>
        <w:t xml:space="preserve">The Commission in </w:t>
      </w:r>
      <w:r w:rsidR="00F45677" w:rsidRPr="00B20BE9">
        <w:rPr>
          <w:i/>
          <w:sz w:val="24"/>
          <w:szCs w:val="24"/>
        </w:rPr>
        <w:t>Columbia DSIC</w:t>
      </w:r>
      <w:r w:rsidR="000C7DDE" w:rsidRPr="00B20BE9">
        <w:rPr>
          <w:sz w:val="24"/>
          <w:szCs w:val="24"/>
        </w:rPr>
        <w:t xml:space="preserve"> disagreed with the OCA,</w:t>
      </w:r>
      <w:r w:rsidR="00E949B8" w:rsidRPr="00B20BE9">
        <w:rPr>
          <w:sz w:val="24"/>
          <w:szCs w:val="24"/>
        </w:rPr>
        <w:t xml:space="preserve"> referring to the earnings cap as providing adequate protection to consumers.  The Commission also agreed with the ALJs’ reliance on </w:t>
      </w:r>
      <w:r w:rsidR="00E949B8" w:rsidRPr="00B20BE9">
        <w:rPr>
          <w:i/>
          <w:sz w:val="24"/>
          <w:szCs w:val="24"/>
        </w:rPr>
        <w:t>Duquesne</w:t>
      </w:r>
      <w:r w:rsidR="00E949B8" w:rsidRPr="00B20BE9">
        <w:rPr>
          <w:sz w:val="24"/>
          <w:szCs w:val="24"/>
        </w:rPr>
        <w:t xml:space="preserve">, </w:t>
      </w:r>
      <w:r w:rsidR="00E949B8" w:rsidRPr="00B20BE9">
        <w:rPr>
          <w:sz w:val="24"/>
          <w:szCs w:val="24"/>
          <w:u w:val="single"/>
        </w:rPr>
        <w:t>supra</w:t>
      </w:r>
      <w:r w:rsidR="00E949B8" w:rsidRPr="00B20BE9">
        <w:rPr>
          <w:sz w:val="24"/>
          <w:szCs w:val="24"/>
        </w:rPr>
        <w:t xml:space="preserve">, </w:t>
      </w:r>
      <w:r w:rsidR="00D163E8" w:rsidRPr="00B20BE9">
        <w:rPr>
          <w:sz w:val="24"/>
          <w:szCs w:val="24"/>
        </w:rPr>
        <w:t xml:space="preserve">for the conclusion that it is the total effect of the rate which should be considered is deciding whether the DSIC is just and reasonable.  The Commission noted that, while the main issue in </w:t>
      </w:r>
      <w:r w:rsidR="00D163E8" w:rsidRPr="00B20BE9">
        <w:rPr>
          <w:i/>
          <w:sz w:val="24"/>
          <w:szCs w:val="24"/>
        </w:rPr>
        <w:t>Duquesne</w:t>
      </w:r>
      <w:r w:rsidR="00D163E8" w:rsidRPr="00B20BE9">
        <w:rPr>
          <w:sz w:val="24"/>
          <w:szCs w:val="24"/>
        </w:rPr>
        <w:t xml:space="preserve"> was whether a taking of utility property had occurred, the Court also discussed ratemaking principles and the applicable law for determining just and reasonable rates.  The Court in </w:t>
      </w:r>
      <w:r w:rsidR="00D163E8" w:rsidRPr="00B20BE9">
        <w:rPr>
          <w:i/>
          <w:sz w:val="24"/>
          <w:szCs w:val="24"/>
        </w:rPr>
        <w:t>Duquesne</w:t>
      </w:r>
      <w:r w:rsidR="00D163E8" w:rsidRPr="00B20BE9">
        <w:rPr>
          <w:sz w:val="24"/>
          <w:szCs w:val="24"/>
        </w:rPr>
        <w:t xml:space="preserve"> cited to </w:t>
      </w:r>
      <w:r w:rsidR="00D163E8" w:rsidRPr="00B20BE9">
        <w:rPr>
          <w:i/>
          <w:sz w:val="24"/>
          <w:szCs w:val="24"/>
        </w:rPr>
        <w:t>FPC v. Hope Natural Gas Company</w:t>
      </w:r>
      <w:r w:rsidR="00980385">
        <w:rPr>
          <w:sz w:val="24"/>
          <w:szCs w:val="24"/>
        </w:rPr>
        <w:t>, 320 U.S. </w:t>
      </w:r>
      <w:r w:rsidR="00D163E8" w:rsidRPr="00B20BE9">
        <w:rPr>
          <w:sz w:val="24"/>
          <w:szCs w:val="24"/>
        </w:rPr>
        <w:t xml:space="preserve">591 (1944), for its conclusion that there is not any single formula that must be used in determining just and reasonable rates, and that it is the end result which </w:t>
      </w:r>
      <w:r w:rsidR="00633B48" w:rsidRPr="00B20BE9">
        <w:rPr>
          <w:sz w:val="24"/>
          <w:szCs w:val="24"/>
        </w:rPr>
        <w:t>must be analyzed to make the just and reasonable rate determination</w:t>
      </w:r>
      <w:r w:rsidR="0031359D">
        <w:rPr>
          <w:sz w:val="24"/>
          <w:szCs w:val="24"/>
        </w:rPr>
        <w:t>.</w:t>
      </w:r>
    </w:p>
    <w:p w:rsidR="00D163E8" w:rsidRPr="00B20BE9" w:rsidRDefault="00D163E8" w:rsidP="007B60DF">
      <w:pPr>
        <w:rPr>
          <w:sz w:val="24"/>
          <w:szCs w:val="24"/>
        </w:rPr>
      </w:pPr>
    </w:p>
    <w:p w:rsidR="00687A99" w:rsidRPr="00B20BE9" w:rsidRDefault="00D163E8" w:rsidP="007B60DF">
      <w:pPr>
        <w:rPr>
          <w:sz w:val="24"/>
          <w:szCs w:val="24"/>
        </w:rPr>
      </w:pPr>
      <w:r w:rsidRPr="00B20BE9">
        <w:rPr>
          <w:sz w:val="24"/>
          <w:szCs w:val="24"/>
        </w:rPr>
        <w:tab/>
      </w:r>
      <w:r w:rsidRPr="00B20BE9">
        <w:rPr>
          <w:sz w:val="24"/>
          <w:szCs w:val="24"/>
        </w:rPr>
        <w:tab/>
        <w:t>Accordingly, I also decline to conclude that the ADIT adjustment is necessary to produce just and reasonable rates for PPL’s DSIC</w:t>
      </w:r>
      <w:r w:rsidR="00633B48" w:rsidRPr="00B20BE9">
        <w:rPr>
          <w:sz w:val="24"/>
          <w:szCs w:val="24"/>
        </w:rPr>
        <w:t xml:space="preserve"> and to recommend its inclusion on that basis</w:t>
      </w:r>
      <w:r w:rsidRPr="00B20BE9">
        <w:rPr>
          <w:sz w:val="24"/>
          <w:szCs w:val="24"/>
        </w:rPr>
        <w:t xml:space="preserve">.  Instead, </w:t>
      </w:r>
      <w:r w:rsidR="00633B48" w:rsidRPr="00B20BE9">
        <w:rPr>
          <w:sz w:val="24"/>
          <w:szCs w:val="24"/>
        </w:rPr>
        <w:t xml:space="preserve">as the Commission found in </w:t>
      </w:r>
      <w:r w:rsidR="00633B48" w:rsidRPr="00B20BE9">
        <w:rPr>
          <w:i/>
          <w:sz w:val="24"/>
          <w:szCs w:val="24"/>
        </w:rPr>
        <w:t>Columbia DSIC</w:t>
      </w:r>
      <w:r w:rsidR="00633B48" w:rsidRPr="00B20BE9">
        <w:rPr>
          <w:sz w:val="24"/>
          <w:szCs w:val="24"/>
        </w:rPr>
        <w:t xml:space="preserve">, </w:t>
      </w:r>
      <w:r w:rsidRPr="00B20BE9">
        <w:rPr>
          <w:sz w:val="24"/>
          <w:szCs w:val="24"/>
        </w:rPr>
        <w:t xml:space="preserve">it is the end result which must be analyzed for this purpose.  Also, as noted by the Commission in </w:t>
      </w:r>
      <w:r w:rsidRPr="00B20BE9">
        <w:rPr>
          <w:i/>
          <w:sz w:val="24"/>
          <w:szCs w:val="24"/>
        </w:rPr>
        <w:t>Columbia DSIC</w:t>
      </w:r>
      <w:r w:rsidRPr="00B20BE9">
        <w:rPr>
          <w:sz w:val="24"/>
          <w:szCs w:val="24"/>
        </w:rPr>
        <w:t xml:space="preserve">, the earnings analysis performed to determine whether PPL is overearning and therefore not entitled to a DSIC, includes the ADIT analysis.  Further </w:t>
      </w:r>
      <w:r w:rsidR="0079232B" w:rsidRPr="00B20BE9">
        <w:rPr>
          <w:sz w:val="24"/>
          <w:szCs w:val="24"/>
        </w:rPr>
        <w:t>adjustment to the DSIC formula to include the</w:t>
      </w:r>
      <w:r w:rsidR="000A563D">
        <w:rPr>
          <w:sz w:val="24"/>
          <w:szCs w:val="24"/>
        </w:rPr>
        <w:t xml:space="preserve"> ADIT offset is not necessary.</w:t>
      </w:r>
    </w:p>
    <w:p w:rsidR="000B301B" w:rsidRPr="00B20BE9" w:rsidRDefault="000B301B" w:rsidP="007B60DF">
      <w:pPr>
        <w:rPr>
          <w:sz w:val="24"/>
          <w:szCs w:val="24"/>
        </w:rPr>
      </w:pPr>
    </w:p>
    <w:p w:rsidR="000B301B" w:rsidRPr="00B20BE9" w:rsidRDefault="000B301B" w:rsidP="007B60DF">
      <w:pPr>
        <w:rPr>
          <w:sz w:val="24"/>
          <w:szCs w:val="24"/>
        </w:rPr>
      </w:pPr>
      <w:r w:rsidRPr="00B20BE9">
        <w:rPr>
          <w:sz w:val="24"/>
          <w:szCs w:val="24"/>
        </w:rPr>
        <w:t>B.</w:t>
      </w:r>
      <w:r w:rsidRPr="00B20BE9">
        <w:rPr>
          <w:sz w:val="24"/>
          <w:szCs w:val="24"/>
        </w:rPr>
        <w:tab/>
      </w:r>
      <w:r w:rsidRPr="00B20BE9">
        <w:rPr>
          <w:sz w:val="24"/>
          <w:szCs w:val="24"/>
          <w:u w:val="single"/>
        </w:rPr>
        <w:t>State Income Tax Gross-Up</w:t>
      </w:r>
      <w:r w:rsidR="005351A1">
        <w:rPr>
          <w:sz w:val="24"/>
          <w:szCs w:val="24"/>
          <w:u w:val="single"/>
        </w:rPr>
        <w:fldChar w:fldCharType="begin"/>
      </w:r>
      <w:r w:rsidR="005351A1">
        <w:instrText xml:space="preserve"> TC "</w:instrText>
      </w:r>
      <w:bookmarkStart w:id="12" w:name="_Toc394309040"/>
      <w:r w:rsidR="005351A1" w:rsidRPr="008742F7">
        <w:rPr>
          <w:sz w:val="24"/>
          <w:szCs w:val="24"/>
        </w:rPr>
        <w:instrText>B.</w:instrText>
      </w:r>
      <w:r w:rsidR="005351A1" w:rsidRPr="008742F7">
        <w:rPr>
          <w:sz w:val="24"/>
          <w:szCs w:val="24"/>
        </w:rPr>
        <w:tab/>
      </w:r>
      <w:r w:rsidR="005351A1" w:rsidRPr="008742F7">
        <w:rPr>
          <w:sz w:val="24"/>
          <w:szCs w:val="24"/>
          <w:u w:val="single"/>
        </w:rPr>
        <w:instrText>State Income Tax Gross-Up</w:instrText>
      </w:r>
      <w:bookmarkEnd w:id="12"/>
      <w:r w:rsidR="005351A1">
        <w:instrText xml:space="preserve">" \f C \l "2" </w:instrText>
      </w:r>
      <w:r w:rsidR="005351A1">
        <w:rPr>
          <w:sz w:val="24"/>
          <w:szCs w:val="24"/>
          <w:u w:val="single"/>
        </w:rPr>
        <w:fldChar w:fldCharType="end"/>
      </w:r>
    </w:p>
    <w:p w:rsidR="00D179EC" w:rsidRPr="00B20BE9" w:rsidRDefault="00D179EC" w:rsidP="007011E5">
      <w:pPr>
        <w:rPr>
          <w:i/>
          <w:sz w:val="24"/>
          <w:szCs w:val="24"/>
        </w:rPr>
      </w:pPr>
    </w:p>
    <w:p w:rsidR="00F03B4A" w:rsidRPr="00B20BE9" w:rsidRDefault="000B301B" w:rsidP="005351A1">
      <w:pPr>
        <w:ind w:left="720"/>
        <w:rPr>
          <w:rFonts w:eastAsia="Calibri"/>
          <w:sz w:val="24"/>
          <w:szCs w:val="24"/>
        </w:rPr>
      </w:pPr>
      <w:r w:rsidRPr="00B20BE9">
        <w:rPr>
          <w:rFonts w:eastAsia="Calibri"/>
          <w:color w:val="000000"/>
          <w:sz w:val="24"/>
          <w:szCs w:val="24"/>
        </w:rPr>
        <w:t>1.</w:t>
      </w:r>
      <w:r w:rsidRPr="00B20BE9">
        <w:rPr>
          <w:rFonts w:eastAsia="Calibri"/>
          <w:color w:val="000000"/>
          <w:sz w:val="24"/>
          <w:szCs w:val="24"/>
        </w:rPr>
        <w:tab/>
      </w:r>
      <w:r w:rsidRPr="00B20BE9">
        <w:rPr>
          <w:rFonts w:eastAsia="Calibri"/>
          <w:color w:val="000000"/>
          <w:sz w:val="24"/>
          <w:szCs w:val="24"/>
          <w:u w:val="single"/>
        </w:rPr>
        <w:t>OCA Position</w:t>
      </w:r>
      <w:r w:rsidR="005351A1">
        <w:rPr>
          <w:rFonts w:eastAsia="Calibri"/>
          <w:color w:val="000000"/>
          <w:sz w:val="24"/>
          <w:szCs w:val="24"/>
          <w:u w:val="single"/>
        </w:rPr>
        <w:fldChar w:fldCharType="begin"/>
      </w:r>
      <w:r w:rsidR="005351A1">
        <w:instrText xml:space="preserve"> TC "</w:instrText>
      </w:r>
      <w:bookmarkStart w:id="13" w:name="_Toc394309041"/>
      <w:r w:rsidR="005351A1" w:rsidRPr="008742F7">
        <w:rPr>
          <w:rFonts w:eastAsia="Calibri"/>
          <w:color w:val="000000"/>
          <w:sz w:val="24"/>
          <w:szCs w:val="24"/>
        </w:rPr>
        <w:instrText>1.</w:instrText>
      </w:r>
      <w:r w:rsidR="005351A1" w:rsidRPr="008742F7">
        <w:rPr>
          <w:rFonts w:eastAsia="Calibri"/>
          <w:color w:val="000000"/>
          <w:sz w:val="24"/>
          <w:szCs w:val="24"/>
        </w:rPr>
        <w:tab/>
      </w:r>
      <w:r w:rsidR="005351A1" w:rsidRPr="008742F7">
        <w:rPr>
          <w:rFonts w:eastAsia="Calibri"/>
          <w:color w:val="000000"/>
          <w:sz w:val="24"/>
          <w:szCs w:val="24"/>
          <w:u w:val="single"/>
        </w:rPr>
        <w:instrText>OCA Position</w:instrText>
      </w:r>
      <w:bookmarkEnd w:id="13"/>
      <w:r w:rsidR="005351A1">
        <w:instrText xml:space="preserve">" \f C \l "3" </w:instrText>
      </w:r>
      <w:r w:rsidR="005351A1">
        <w:rPr>
          <w:rFonts w:eastAsia="Calibri"/>
          <w:color w:val="000000"/>
          <w:sz w:val="24"/>
          <w:szCs w:val="24"/>
          <w:u w:val="single"/>
        </w:rPr>
        <w:fldChar w:fldCharType="end"/>
      </w:r>
      <w:r w:rsidR="00F03B4A" w:rsidRPr="00B20BE9">
        <w:rPr>
          <w:rFonts w:eastAsia="Calibri"/>
          <w:color w:val="000000"/>
          <w:sz w:val="24"/>
          <w:szCs w:val="24"/>
        </w:rPr>
        <w:tab/>
        <w:t xml:space="preserve"> </w:t>
      </w:r>
    </w:p>
    <w:p w:rsidR="009C1BF1" w:rsidRPr="00B20BE9" w:rsidRDefault="009C1BF1" w:rsidP="009C1BF1">
      <w:pPr>
        <w:rPr>
          <w:rFonts w:eastAsia="Calibri"/>
          <w:sz w:val="24"/>
          <w:szCs w:val="24"/>
        </w:rPr>
      </w:pPr>
    </w:p>
    <w:p w:rsidR="00304D9F" w:rsidRPr="00B20BE9" w:rsidRDefault="009C1BF1" w:rsidP="009C1BF1">
      <w:pPr>
        <w:rPr>
          <w:rFonts w:eastAsia="Calibri"/>
          <w:sz w:val="24"/>
          <w:szCs w:val="24"/>
        </w:rPr>
      </w:pPr>
      <w:r w:rsidRPr="00B20BE9">
        <w:rPr>
          <w:rFonts w:eastAsia="Calibri"/>
          <w:sz w:val="24"/>
          <w:szCs w:val="24"/>
        </w:rPr>
        <w:tab/>
      </w:r>
      <w:r w:rsidRPr="00B20BE9">
        <w:rPr>
          <w:rFonts w:eastAsia="Calibri"/>
          <w:sz w:val="24"/>
          <w:szCs w:val="24"/>
        </w:rPr>
        <w:tab/>
      </w:r>
      <w:r w:rsidR="000D1099" w:rsidRPr="00B20BE9">
        <w:rPr>
          <w:rFonts w:eastAsia="Calibri"/>
          <w:sz w:val="24"/>
          <w:szCs w:val="24"/>
        </w:rPr>
        <w:t xml:space="preserve">In its Main Brief, OCA contended that PPL’s DSIC calculation must be revised to exclude the </w:t>
      </w:r>
      <w:r w:rsidR="00AB6DF7" w:rsidRPr="00B20BE9">
        <w:rPr>
          <w:rFonts w:eastAsia="Calibri"/>
          <w:sz w:val="24"/>
          <w:szCs w:val="24"/>
        </w:rPr>
        <w:t>“</w:t>
      </w:r>
      <w:r w:rsidR="000D1099" w:rsidRPr="00B20BE9">
        <w:rPr>
          <w:rFonts w:eastAsia="Calibri"/>
          <w:sz w:val="24"/>
          <w:szCs w:val="24"/>
        </w:rPr>
        <w:t>gross-up</w:t>
      </w:r>
      <w:r w:rsidR="00AB6DF7" w:rsidRPr="00B20BE9">
        <w:rPr>
          <w:rFonts w:eastAsia="Calibri"/>
          <w:sz w:val="24"/>
          <w:szCs w:val="24"/>
        </w:rPr>
        <w:t>”</w:t>
      </w:r>
      <w:r w:rsidR="000D1099" w:rsidRPr="00B20BE9">
        <w:rPr>
          <w:rFonts w:eastAsia="Calibri"/>
          <w:sz w:val="24"/>
          <w:szCs w:val="24"/>
        </w:rPr>
        <w:t xml:space="preserve"> for state income taxes in the DSIC calculation.  </w:t>
      </w:r>
      <w:r w:rsidR="00FA2C72" w:rsidRPr="00B20BE9">
        <w:rPr>
          <w:rFonts w:eastAsia="Calibri"/>
          <w:sz w:val="24"/>
          <w:szCs w:val="24"/>
        </w:rPr>
        <w:t xml:space="preserve">OCA M.B, pp. 30-37.  </w:t>
      </w:r>
      <w:r w:rsidR="000D1099" w:rsidRPr="00B20BE9">
        <w:rPr>
          <w:rFonts w:eastAsia="Calibri"/>
          <w:sz w:val="24"/>
          <w:szCs w:val="24"/>
        </w:rPr>
        <w:t>OCA explained that PPL developed its pre-tax rate of return by grossing up the equity component of its overall return to account for both state and federal taxes at the full stat</w:t>
      </w:r>
      <w:r w:rsidR="0070247B" w:rsidRPr="00B20BE9">
        <w:rPr>
          <w:rFonts w:eastAsia="Calibri"/>
          <w:sz w:val="24"/>
          <w:szCs w:val="24"/>
        </w:rPr>
        <w:t xml:space="preserve">utory rate.  PPL St. No. 3-S, pp. </w:t>
      </w:r>
      <w:r w:rsidR="000D1099" w:rsidRPr="00B20BE9">
        <w:rPr>
          <w:rFonts w:eastAsia="Calibri"/>
          <w:sz w:val="24"/>
          <w:szCs w:val="24"/>
        </w:rPr>
        <w:t xml:space="preserve">5-6.  </w:t>
      </w:r>
      <w:r w:rsidR="00FA2C72" w:rsidRPr="00B20BE9">
        <w:rPr>
          <w:rFonts w:eastAsia="Calibri"/>
          <w:sz w:val="24"/>
          <w:szCs w:val="24"/>
        </w:rPr>
        <w:t>However, according to OCA, the amount of state income taxes that PPL will pay on DSIC revenues will be affected by tax deductions related to the DSIC investment, in particular the accelerated depreciation and, when applicable, bonus depreciation.  Because PPL will not pay state income taxes on the full amount of the equity return, these deductions should be taken into account, according to OCA, in determining state taxable income and state income tax expense.</w:t>
      </w:r>
      <w:r w:rsidR="00396B2E" w:rsidRPr="00B20BE9">
        <w:rPr>
          <w:rFonts w:eastAsia="Calibri"/>
          <w:sz w:val="24"/>
          <w:szCs w:val="24"/>
        </w:rPr>
        <w:t xml:space="preserve">  To do otherwise would violate the “actual taxes paid” doctrine and would result in unjust and unreasonable rates.  </w:t>
      </w:r>
      <w:r w:rsidR="00396B2E" w:rsidRPr="00B20BE9">
        <w:rPr>
          <w:rFonts w:eastAsia="Calibri"/>
          <w:i/>
          <w:sz w:val="24"/>
          <w:szCs w:val="24"/>
        </w:rPr>
        <w:t>Penn Power</w:t>
      </w:r>
      <w:r w:rsidR="00396B2E" w:rsidRPr="00B20BE9">
        <w:rPr>
          <w:rFonts w:eastAsia="Calibri"/>
          <w:sz w:val="24"/>
          <w:szCs w:val="24"/>
        </w:rPr>
        <w:t xml:space="preserve">, </w:t>
      </w:r>
      <w:r w:rsidR="00396B2E" w:rsidRPr="00B20BE9">
        <w:rPr>
          <w:rFonts w:eastAsia="Calibri"/>
          <w:sz w:val="24"/>
          <w:szCs w:val="24"/>
          <w:u w:val="single"/>
        </w:rPr>
        <w:t>supra</w:t>
      </w:r>
      <w:r w:rsidR="00396B2E" w:rsidRPr="00B20BE9">
        <w:rPr>
          <w:rFonts w:eastAsia="Calibri"/>
          <w:sz w:val="24"/>
          <w:szCs w:val="24"/>
        </w:rPr>
        <w:t>.</w:t>
      </w:r>
      <w:r w:rsidR="00550ECC" w:rsidRPr="00B20BE9">
        <w:rPr>
          <w:rFonts w:eastAsia="Calibri"/>
          <w:sz w:val="24"/>
          <w:szCs w:val="24"/>
        </w:rPr>
        <w:t xml:space="preserve">  OCA M.B., pp. 30-31.</w:t>
      </w:r>
    </w:p>
    <w:p w:rsidR="00304D9F" w:rsidRPr="00B20BE9" w:rsidRDefault="00304D9F" w:rsidP="009C1BF1">
      <w:pPr>
        <w:rPr>
          <w:rFonts w:eastAsia="Calibri"/>
          <w:sz w:val="24"/>
          <w:szCs w:val="24"/>
        </w:rPr>
      </w:pPr>
    </w:p>
    <w:p w:rsidR="007A3DCA" w:rsidRPr="00B20BE9" w:rsidRDefault="00304D9F" w:rsidP="009C1BF1">
      <w:pPr>
        <w:rPr>
          <w:rFonts w:eastAsia="Calibri"/>
          <w:sz w:val="24"/>
          <w:szCs w:val="24"/>
        </w:rPr>
      </w:pPr>
      <w:r w:rsidRPr="00B20BE9">
        <w:rPr>
          <w:rFonts w:eastAsia="Calibri"/>
          <w:sz w:val="24"/>
          <w:szCs w:val="24"/>
        </w:rPr>
        <w:tab/>
      </w:r>
      <w:r w:rsidRPr="00B20BE9">
        <w:rPr>
          <w:rFonts w:eastAsia="Calibri"/>
          <w:sz w:val="24"/>
          <w:szCs w:val="24"/>
        </w:rPr>
        <w:tab/>
        <w:t>OCA observed that, with regard to ADIT, the Internal Revenue Code provides that federal income tax benefits cannot be flowed through in rates on a current basis – the difference between book and actual taxes is accumulated instead in a deferred a</w:t>
      </w:r>
      <w:r w:rsidR="0070247B" w:rsidRPr="00B20BE9">
        <w:rPr>
          <w:rFonts w:eastAsia="Calibri"/>
          <w:sz w:val="24"/>
          <w:szCs w:val="24"/>
        </w:rPr>
        <w:t xml:space="preserve">ccount.  OCA St. No. 1, pp. </w:t>
      </w:r>
      <w:r w:rsidRPr="00B20BE9">
        <w:rPr>
          <w:rFonts w:eastAsia="Calibri"/>
          <w:sz w:val="24"/>
          <w:szCs w:val="24"/>
        </w:rPr>
        <w:t xml:space="preserve">4-5.  The federal prohibition against flow-through of depreciation tax benefits does not apply to state taxes, however.  With respect to state income tax deductions in Pennsylvania, OCA claimed the law is clear and that state income tax deductions must be reflected in rates on a current basis, consistent with the “actual taxes paid” doctrine.  </w:t>
      </w:r>
      <w:r w:rsidRPr="00B20BE9">
        <w:rPr>
          <w:rFonts w:eastAsia="Calibri"/>
          <w:i/>
          <w:sz w:val="24"/>
          <w:szCs w:val="24"/>
        </w:rPr>
        <w:t>Penn Power</w:t>
      </w:r>
      <w:r w:rsidRPr="00B20BE9">
        <w:rPr>
          <w:rFonts w:eastAsia="Calibri"/>
          <w:sz w:val="24"/>
          <w:szCs w:val="24"/>
        </w:rPr>
        <w:t xml:space="preserve">, </w:t>
      </w:r>
      <w:r w:rsidRPr="00B20BE9">
        <w:rPr>
          <w:rFonts w:eastAsia="Calibri"/>
          <w:sz w:val="24"/>
          <w:szCs w:val="24"/>
          <w:u w:val="single"/>
        </w:rPr>
        <w:t>supra</w:t>
      </w:r>
      <w:r w:rsidRPr="00B20BE9">
        <w:rPr>
          <w:rFonts w:eastAsia="Calibri"/>
          <w:sz w:val="24"/>
          <w:szCs w:val="24"/>
        </w:rPr>
        <w:t>.</w:t>
      </w:r>
      <w:r w:rsidR="00550ECC" w:rsidRPr="00B20BE9">
        <w:rPr>
          <w:rFonts w:eastAsia="Calibri"/>
          <w:sz w:val="24"/>
          <w:szCs w:val="24"/>
        </w:rPr>
        <w:t xml:space="preserve">  OCA M.B., p. 30.</w:t>
      </w:r>
    </w:p>
    <w:p w:rsidR="00304D9F" w:rsidRPr="00B20BE9" w:rsidRDefault="00304D9F" w:rsidP="009C1BF1">
      <w:pPr>
        <w:rPr>
          <w:rFonts w:eastAsia="Calibri"/>
          <w:sz w:val="24"/>
          <w:szCs w:val="24"/>
        </w:rPr>
      </w:pPr>
    </w:p>
    <w:p w:rsidR="00304D9F" w:rsidRPr="00B20BE9" w:rsidRDefault="00304D9F" w:rsidP="009C1BF1">
      <w:pPr>
        <w:rPr>
          <w:rFonts w:eastAsia="Calibri"/>
          <w:sz w:val="24"/>
          <w:szCs w:val="24"/>
        </w:rPr>
      </w:pPr>
      <w:r w:rsidRPr="00B20BE9">
        <w:rPr>
          <w:rFonts w:eastAsia="Calibri"/>
          <w:sz w:val="24"/>
          <w:szCs w:val="24"/>
        </w:rPr>
        <w:tab/>
      </w:r>
      <w:r w:rsidRPr="00B20BE9">
        <w:rPr>
          <w:rFonts w:eastAsia="Calibri"/>
          <w:sz w:val="24"/>
          <w:szCs w:val="24"/>
        </w:rPr>
        <w:tab/>
        <w:t xml:space="preserve">According to OCA, PPL correctly flows through the state income tax benefits of accelerated depreciation and bonus depreciation in base rate cases.  OCA argued that PPL must calculate the state income tax revenue requirement for the DSIC plant additions in the same manner.  It is no more lawful or appropriate, according to OCA, for ratepayers to pay phantom state income taxes in </w:t>
      </w:r>
      <w:r w:rsidR="001F6D1F" w:rsidRPr="00B20BE9">
        <w:rPr>
          <w:rFonts w:eastAsia="Calibri"/>
          <w:sz w:val="24"/>
          <w:szCs w:val="24"/>
        </w:rPr>
        <w:t>ra</w:t>
      </w:r>
      <w:r w:rsidRPr="00B20BE9">
        <w:rPr>
          <w:rFonts w:eastAsia="Calibri"/>
          <w:sz w:val="24"/>
          <w:szCs w:val="24"/>
        </w:rPr>
        <w:t xml:space="preserve">tes established between base rate cases than it is in rates established </w:t>
      </w:r>
      <w:r w:rsidR="001F6D1F" w:rsidRPr="00B20BE9">
        <w:rPr>
          <w:rFonts w:eastAsia="Calibri"/>
          <w:sz w:val="24"/>
          <w:szCs w:val="24"/>
        </w:rPr>
        <w:t>in a base rate case.</w:t>
      </w:r>
      <w:r w:rsidR="00C071F4" w:rsidRPr="00B20BE9">
        <w:rPr>
          <w:rFonts w:eastAsia="Calibri"/>
          <w:sz w:val="24"/>
          <w:szCs w:val="24"/>
        </w:rPr>
        <w:t xml:space="preserve">  In OCA’s view, reflecting actual state income taxes paid in the DSIC is also consistent with Act 11, which limits recovery to costs incurred by the Company, citing to 66 Pa.C.S. §§ 1351, 1353(a).</w:t>
      </w:r>
      <w:r w:rsidR="00550ECC" w:rsidRPr="00B20BE9">
        <w:rPr>
          <w:rFonts w:eastAsia="Calibri"/>
          <w:sz w:val="24"/>
          <w:szCs w:val="24"/>
        </w:rPr>
        <w:t xml:space="preserve">  OCA M.B., p. 32.</w:t>
      </w:r>
    </w:p>
    <w:p w:rsidR="00421EE3" w:rsidRPr="00B20BE9" w:rsidRDefault="00421EE3" w:rsidP="009C1BF1">
      <w:pPr>
        <w:rPr>
          <w:rFonts w:eastAsia="Calibri"/>
          <w:sz w:val="24"/>
          <w:szCs w:val="24"/>
        </w:rPr>
      </w:pPr>
    </w:p>
    <w:p w:rsidR="00421EE3" w:rsidRPr="00B20BE9" w:rsidRDefault="00421EE3" w:rsidP="009C1BF1">
      <w:pPr>
        <w:rPr>
          <w:rFonts w:eastAsia="Calibri"/>
          <w:sz w:val="24"/>
          <w:szCs w:val="24"/>
        </w:rPr>
      </w:pPr>
      <w:r w:rsidRPr="00B20BE9">
        <w:rPr>
          <w:rFonts w:eastAsia="Calibri"/>
          <w:sz w:val="24"/>
          <w:szCs w:val="24"/>
        </w:rPr>
        <w:tab/>
      </w:r>
      <w:r w:rsidRPr="00B20BE9">
        <w:rPr>
          <w:rFonts w:eastAsia="Calibri"/>
          <w:sz w:val="24"/>
          <w:szCs w:val="24"/>
        </w:rPr>
        <w:tab/>
        <w:t xml:space="preserve">PPL opposed </w:t>
      </w:r>
      <w:r w:rsidR="00AB6DF7" w:rsidRPr="00B20BE9">
        <w:rPr>
          <w:rFonts w:eastAsia="Calibri"/>
          <w:sz w:val="24"/>
          <w:szCs w:val="24"/>
        </w:rPr>
        <w:t>the elimination of the state income tax “gross-up”</w:t>
      </w:r>
      <w:r w:rsidRPr="00B20BE9">
        <w:rPr>
          <w:rFonts w:eastAsia="Calibri"/>
          <w:sz w:val="24"/>
          <w:szCs w:val="24"/>
        </w:rPr>
        <w:t xml:space="preserve"> </w:t>
      </w:r>
      <w:r w:rsidR="00BB747F" w:rsidRPr="00B20BE9">
        <w:rPr>
          <w:rFonts w:eastAsia="Calibri"/>
          <w:sz w:val="24"/>
          <w:szCs w:val="24"/>
        </w:rPr>
        <w:t>in the DSIC calculation for several reasons, and its position will be addressed in a later section</w:t>
      </w:r>
      <w:r w:rsidR="00D87778">
        <w:rPr>
          <w:rFonts w:eastAsia="Calibri"/>
          <w:sz w:val="24"/>
          <w:szCs w:val="24"/>
        </w:rPr>
        <w:t xml:space="preserve"> of this Recommended Decision.</w:t>
      </w:r>
    </w:p>
    <w:p w:rsidR="00523603" w:rsidRPr="00B20BE9" w:rsidRDefault="00523603" w:rsidP="009C1BF1">
      <w:pPr>
        <w:rPr>
          <w:rFonts w:eastAsia="Calibri"/>
          <w:sz w:val="24"/>
          <w:szCs w:val="24"/>
        </w:rPr>
      </w:pPr>
    </w:p>
    <w:p w:rsidR="00421EE3" w:rsidRPr="00B20BE9" w:rsidRDefault="00523603" w:rsidP="009C1BF1">
      <w:pPr>
        <w:rPr>
          <w:rFonts w:eastAsia="Calibri"/>
          <w:sz w:val="24"/>
          <w:szCs w:val="24"/>
        </w:rPr>
      </w:pPr>
      <w:r w:rsidRPr="00B20BE9">
        <w:rPr>
          <w:rFonts w:eastAsia="Calibri"/>
          <w:sz w:val="24"/>
          <w:szCs w:val="24"/>
        </w:rPr>
        <w:tab/>
      </w:r>
      <w:r w:rsidRPr="00B20BE9">
        <w:rPr>
          <w:rFonts w:eastAsia="Calibri"/>
          <w:sz w:val="24"/>
          <w:szCs w:val="24"/>
        </w:rPr>
        <w:tab/>
      </w:r>
      <w:r w:rsidR="00550ECC" w:rsidRPr="00B20BE9">
        <w:rPr>
          <w:rFonts w:eastAsia="Calibri"/>
          <w:sz w:val="24"/>
          <w:szCs w:val="24"/>
        </w:rPr>
        <w:t>In response to PPL’s position that it pays taxes based on deductions associated with all plant in service, OCA countered that Act 11 allows utilities to isolate the costs associated with DSIC-eligible plant and to separately recover those costs.  OCA contended that it would be inconsistent and inappropriate to calculate state income taxes associated with DSIC-eligible plant without flowing through the tax deductions associated with the same pla</w:t>
      </w:r>
      <w:r w:rsidR="00C32D1B">
        <w:rPr>
          <w:rFonts w:eastAsia="Calibri"/>
          <w:sz w:val="24"/>
          <w:szCs w:val="24"/>
        </w:rPr>
        <w:t>nt.  OCA M.B., p. 33.</w:t>
      </w:r>
    </w:p>
    <w:p w:rsidR="0088082B" w:rsidRPr="00B20BE9" w:rsidRDefault="0088082B" w:rsidP="009C1BF1">
      <w:pPr>
        <w:rPr>
          <w:rFonts w:eastAsia="Calibri"/>
          <w:sz w:val="24"/>
          <w:szCs w:val="24"/>
        </w:rPr>
      </w:pPr>
    </w:p>
    <w:p w:rsidR="00421EE3" w:rsidRPr="00B20BE9" w:rsidRDefault="0088082B" w:rsidP="00973B79">
      <w:pPr>
        <w:rPr>
          <w:rFonts w:eastAsia="Calibri"/>
          <w:sz w:val="24"/>
          <w:szCs w:val="24"/>
        </w:rPr>
      </w:pPr>
      <w:r w:rsidRPr="00B20BE9">
        <w:rPr>
          <w:rFonts w:eastAsia="Calibri"/>
          <w:sz w:val="24"/>
          <w:szCs w:val="24"/>
        </w:rPr>
        <w:tab/>
      </w:r>
      <w:r w:rsidRPr="00B20BE9">
        <w:rPr>
          <w:rFonts w:eastAsia="Calibri"/>
          <w:sz w:val="24"/>
          <w:szCs w:val="24"/>
        </w:rPr>
        <w:tab/>
        <w:t xml:space="preserve">In response to PPL’s argument </w:t>
      </w:r>
      <w:r w:rsidR="00973B79" w:rsidRPr="00B20BE9">
        <w:rPr>
          <w:rFonts w:eastAsia="Calibri"/>
          <w:sz w:val="24"/>
          <w:szCs w:val="24"/>
        </w:rPr>
        <w:t>that flow-through of tax benefits would complicate the DSIC due to additional tax reporting and timing implications, OCA responded that it is unnecessary for PPL to prepare additional reports.  It contended that the DSIC calculations can be trued-up through the annual reconciliation process, and that reconciliation is provided for by Act 11.  OCA M.B., pp. 33-34.</w:t>
      </w:r>
    </w:p>
    <w:p w:rsidR="00973B79" w:rsidRPr="00B20BE9" w:rsidRDefault="00973B79" w:rsidP="00973B79">
      <w:pPr>
        <w:rPr>
          <w:rFonts w:eastAsia="Calibri"/>
          <w:sz w:val="24"/>
          <w:szCs w:val="24"/>
        </w:rPr>
      </w:pPr>
    </w:p>
    <w:p w:rsidR="00593B50" w:rsidRPr="00B20BE9" w:rsidRDefault="00973B79" w:rsidP="00973B79">
      <w:pPr>
        <w:rPr>
          <w:rFonts w:eastAsia="Calibri"/>
          <w:sz w:val="24"/>
          <w:szCs w:val="24"/>
        </w:rPr>
      </w:pPr>
      <w:r w:rsidRPr="00B20BE9">
        <w:rPr>
          <w:rFonts w:eastAsia="Calibri"/>
          <w:sz w:val="24"/>
          <w:szCs w:val="24"/>
        </w:rPr>
        <w:tab/>
      </w:r>
      <w:r w:rsidRPr="00B20BE9">
        <w:rPr>
          <w:rFonts w:eastAsia="Calibri"/>
          <w:sz w:val="24"/>
          <w:szCs w:val="24"/>
        </w:rPr>
        <w:tab/>
      </w:r>
      <w:r w:rsidR="00261309" w:rsidRPr="00B20BE9">
        <w:rPr>
          <w:rFonts w:eastAsia="Calibri"/>
          <w:sz w:val="24"/>
          <w:szCs w:val="24"/>
        </w:rPr>
        <w:t>OCA also responded to PPL’s contention that legislative intent required rejection of flow-through, as it pointed out that the rejected amendment referenced by PPL related to changes in overall plant valuation and not the calculation of income tax expense to be recovered in the DSIC.  Furthermore, according to OCA, it must be presumed that the General Assembly intended Act 11 to be interpreted in compliance with existing law, including the “actual taxes paid” requirement.</w:t>
      </w:r>
      <w:r w:rsidR="00593B50" w:rsidRPr="00B20BE9">
        <w:rPr>
          <w:rFonts w:eastAsia="Calibri"/>
          <w:sz w:val="24"/>
          <w:szCs w:val="24"/>
        </w:rPr>
        <w:t xml:space="preserve">  OCA M.B., pp. 34-35.</w:t>
      </w:r>
    </w:p>
    <w:p w:rsidR="00593B50" w:rsidRPr="00B20BE9" w:rsidRDefault="00593B50" w:rsidP="00973B79">
      <w:pPr>
        <w:rPr>
          <w:rFonts w:eastAsia="Calibri"/>
          <w:sz w:val="24"/>
          <w:szCs w:val="24"/>
        </w:rPr>
      </w:pPr>
    </w:p>
    <w:p w:rsidR="0029089A" w:rsidRPr="00B20BE9" w:rsidRDefault="00593B50" w:rsidP="00973B79">
      <w:pPr>
        <w:rPr>
          <w:rFonts w:eastAsia="Calibri"/>
          <w:sz w:val="24"/>
          <w:szCs w:val="24"/>
        </w:rPr>
      </w:pPr>
      <w:r w:rsidRPr="00B20BE9">
        <w:rPr>
          <w:rFonts w:eastAsia="Calibri"/>
          <w:sz w:val="24"/>
          <w:szCs w:val="24"/>
        </w:rPr>
        <w:tab/>
      </w:r>
      <w:r w:rsidRPr="00B20BE9">
        <w:rPr>
          <w:rFonts w:eastAsia="Calibri"/>
          <w:sz w:val="24"/>
          <w:szCs w:val="24"/>
        </w:rPr>
        <w:tab/>
        <w:t xml:space="preserve">In addition, OCA pointed out, in response to PPL’s contention as to the </w:t>
      </w:r>
      <w:r w:rsidRPr="00B20BE9">
        <w:rPr>
          <w:rFonts w:eastAsia="Calibri"/>
          <w:i/>
          <w:sz w:val="24"/>
          <w:szCs w:val="24"/>
        </w:rPr>
        <w:t xml:space="preserve">Final </w:t>
      </w:r>
      <w:r w:rsidR="00FC4620" w:rsidRPr="00B20BE9">
        <w:rPr>
          <w:rFonts w:eastAsia="Calibri"/>
          <w:i/>
          <w:sz w:val="24"/>
          <w:szCs w:val="24"/>
        </w:rPr>
        <w:t>Implementation</w:t>
      </w:r>
      <w:r w:rsidRPr="00B20BE9">
        <w:rPr>
          <w:rFonts w:eastAsia="Calibri"/>
          <w:i/>
          <w:sz w:val="24"/>
          <w:szCs w:val="24"/>
        </w:rPr>
        <w:t xml:space="preserve"> </w:t>
      </w:r>
      <w:r w:rsidR="00FC4620" w:rsidRPr="00B20BE9">
        <w:rPr>
          <w:rFonts w:eastAsia="Calibri"/>
          <w:i/>
          <w:sz w:val="24"/>
          <w:szCs w:val="24"/>
        </w:rPr>
        <w:t>Order</w:t>
      </w:r>
      <w:r w:rsidR="00FC4620" w:rsidRPr="00B20BE9">
        <w:rPr>
          <w:rFonts w:eastAsia="Calibri"/>
          <w:sz w:val="24"/>
          <w:szCs w:val="24"/>
        </w:rPr>
        <w:t xml:space="preserve">, that the issue of state income tax adjustments for deductions was not addressed therein or in the model tariff.  As to PPL’s argument that no water utilities have flowed through state tax benefits in their DSICs, OCA stressed that Act 11 provided discretion for the Commission to modify prior practices and procedure.  </w:t>
      </w:r>
      <w:r w:rsidR="00FC4620" w:rsidRPr="00B20BE9">
        <w:rPr>
          <w:rFonts w:eastAsia="Calibri"/>
          <w:sz w:val="24"/>
          <w:szCs w:val="24"/>
          <w:u w:val="single"/>
        </w:rPr>
        <w:t>See</w:t>
      </w:r>
      <w:r w:rsidR="00FC4620" w:rsidRPr="00B20BE9">
        <w:rPr>
          <w:rFonts w:eastAsia="Calibri"/>
          <w:sz w:val="24"/>
          <w:szCs w:val="24"/>
        </w:rPr>
        <w:t xml:space="preserve">, 66 Pa.C.S. § 1358(a)(2).  Regarding the inclusion of the tax effects of plant additions in the quarterly earnings reports, OCA argued that the earnings cap associated therewith does not protect ratepayers from paying phantom taxes between </w:t>
      </w:r>
      <w:r w:rsidR="0070247B" w:rsidRPr="00B20BE9">
        <w:rPr>
          <w:rFonts w:eastAsia="Calibri"/>
          <w:sz w:val="24"/>
          <w:szCs w:val="24"/>
        </w:rPr>
        <w:t xml:space="preserve">rate cases.  OCA St. No. 1-S, p. 3; </w:t>
      </w:r>
      <w:r w:rsidR="00FC4620" w:rsidRPr="00B20BE9">
        <w:rPr>
          <w:rFonts w:eastAsia="Calibri"/>
          <w:sz w:val="24"/>
          <w:szCs w:val="24"/>
        </w:rPr>
        <w:t>OCA M.B., pp. 35-36.</w:t>
      </w:r>
    </w:p>
    <w:p w:rsidR="0029089A" w:rsidRPr="00B20BE9" w:rsidRDefault="0029089A" w:rsidP="00973B79">
      <w:pPr>
        <w:rPr>
          <w:rFonts w:eastAsia="Calibri"/>
          <w:sz w:val="24"/>
          <w:szCs w:val="24"/>
        </w:rPr>
      </w:pPr>
    </w:p>
    <w:p w:rsidR="0042679F" w:rsidRPr="00B20BE9" w:rsidRDefault="0029089A" w:rsidP="00973B79">
      <w:pPr>
        <w:rPr>
          <w:rFonts w:eastAsia="Calibri"/>
          <w:sz w:val="24"/>
          <w:szCs w:val="24"/>
        </w:rPr>
      </w:pPr>
      <w:r w:rsidRPr="00B20BE9">
        <w:rPr>
          <w:rFonts w:eastAsia="Calibri"/>
          <w:sz w:val="24"/>
          <w:szCs w:val="24"/>
        </w:rPr>
        <w:tab/>
      </w:r>
      <w:r w:rsidRPr="00B20BE9">
        <w:rPr>
          <w:rFonts w:eastAsia="Calibri"/>
          <w:sz w:val="24"/>
          <w:szCs w:val="24"/>
        </w:rPr>
        <w:tab/>
        <w:t xml:space="preserve">In its Reply Brief, OCA </w:t>
      </w:r>
      <w:r w:rsidR="00363A0A" w:rsidRPr="00B20BE9">
        <w:rPr>
          <w:rFonts w:eastAsia="Calibri"/>
          <w:sz w:val="24"/>
          <w:szCs w:val="24"/>
        </w:rPr>
        <w:t xml:space="preserve">essentially responded to PPL’s arguments regarding the state </w:t>
      </w:r>
      <w:r w:rsidR="005632A9" w:rsidRPr="00B20BE9">
        <w:rPr>
          <w:rFonts w:eastAsia="Calibri"/>
          <w:sz w:val="24"/>
          <w:szCs w:val="24"/>
        </w:rPr>
        <w:t xml:space="preserve">income </w:t>
      </w:r>
      <w:r w:rsidR="00363A0A" w:rsidRPr="00B20BE9">
        <w:rPr>
          <w:rFonts w:eastAsia="Calibri"/>
          <w:sz w:val="24"/>
          <w:szCs w:val="24"/>
        </w:rPr>
        <w:t xml:space="preserve">tax </w:t>
      </w:r>
      <w:r w:rsidR="005632A9" w:rsidRPr="00B20BE9">
        <w:rPr>
          <w:rFonts w:eastAsia="Calibri"/>
          <w:sz w:val="24"/>
          <w:szCs w:val="24"/>
        </w:rPr>
        <w:t>“</w:t>
      </w:r>
      <w:r w:rsidR="00363A0A" w:rsidRPr="00B20BE9">
        <w:rPr>
          <w:rFonts w:eastAsia="Calibri"/>
          <w:sz w:val="24"/>
          <w:szCs w:val="24"/>
        </w:rPr>
        <w:t>gross-up</w:t>
      </w:r>
      <w:r w:rsidR="005632A9" w:rsidRPr="00B20BE9">
        <w:rPr>
          <w:rFonts w:eastAsia="Calibri"/>
          <w:sz w:val="24"/>
          <w:szCs w:val="24"/>
        </w:rPr>
        <w:t>”</w:t>
      </w:r>
      <w:r w:rsidR="00363A0A" w:rsidRPr="00B20BE9">
        <w:rPr>
          <w:rFonts w:eastAsia="Calibri"/>
          <w:sz w:val="24"/>
          <w:szCs w:val="24"/>
        </w:rPr>
        <w:t xml:space="preserve"> as part of its response to the Company’s arguments a</w:t>
      </w:r>
      <w:r w:rsidR="0082235B" w:rsidRPr="00B20BE9">
        <w:rPr>
          <w:rFonts w:eastAsia="Calibri"/>
          <w:sz w:val="24"/>
          <w:szCs w:val="24"/>
        </w:rPr>
        <w:t>bout</w:t>
      </w:r>
      <w:r w:rsidR="00363A0A" w:rsidRPr="00B20BE9">
        <w:rPr>
          <w:rFonts w:eastAsia="Calibri"/>
          <w:sz w:val="24"/>
          <w:szCs w:val="24"/>
        </w:rPr>
        <w:t xml:space="preserve"> adjusting for ADIT.  Accordingly, OCA’s responsive positions as to the issues of, e.g., legislative intent, added complexity, and just and reasonable rates have been previously set forth herein.</w:t>
      </w:r>
    </w:p>
    <w:p w:rsidR="00E42787" w:rsidRPr="00B20BE9" w:rsidRDefault="00E42787" w:rsidP="00973B79">
      <w:pPr>
        <w:rPr>
          <w:rFonts w:eastAsia="Calibri"/>
          <w:sz w:val="24"/>
          <w:szCs w:val="24"/>
        </w:rPr>
      </w:pPr>
    </w:p>
    <w:p w:rsidR="00812D3F" w:rsidRPr="00B20BE9" w:rsidRDefault="00E42787" w:rsidP="005351A1">
      <w:pPr>
        <w:ind w:left="720"/>
        <w:rPr>
          <w:rFonts w:eastAsia="Calibri"/>
          <w:sz w:val="24"/>
          <w:szCs w:val="24"/>
        </w:rPr>
      </w:pPr>
      <w:r w:rsidRPr="00B20BE9">
        <w:rPr>
          <w:rFonts w:eastAsia="Calibri"/>
          <w:sz w:val="24"/>
          <w:szCs w:val="24"/>
        </w:rPr>
        <w:t>2.</w:t>
      </w:r>
      <w:r w:rsidRPr="00B20BE9">
        <w:rPr>
          <w:rFonts w:eastAsia="Calibri"/>
          <w:sz w:val="24"/>
          <w:szCs w:val="24"/>
        </w:rPr>
        <w:tab/>
      </w:r>
      <w:r w:rsidRPr="00B20BE9">
        <w:rPr>
          <w:rFonts w:eastAsia="Calibri"/>
          <w:sz w:val="24"/>
          <w:szCs w:val="24"/>
          <w:u w:val="single"/>
        </w:rPr>
        <w:t>PPL Position</w:t>
      </w:r>
      <w:r w:rsidR="005351A1">
        <w:rPr>
          <w:rFonts w:eastAsia="Calibri"/>
          <w:sz w:val="24"/>
          <w:szCs w:val="24"/>
          <w:u w:val="single"/>
        </w:rPr>
        <w:fldChar w:fldCharType="begin"/>
      </w:r>
      <w:r w:rsidR="005351A1">
        <w:instrText xml:space="preserve"> TC "</w:instrText>
      </w:r>
      <w:bookmarkStart w:id="14" w:name="_Toc394309042"/>
      <w:r w:rsidR="005351A1" w:rsidRPr="008742F7">
        <w:rPr>
          <w:rFonts w:eastAsia="Calibri"/>
          <w:sz w:val="24"/>
          <w:szCs w:val="24"/>
        </w:rPr>
        <w:instrText>2.</w:instrText>
      </w:r>
      <w:r w:rsidR="005351A1" w:rsidRPr="008742F7">
        <w:rPr>
          <w:rFonts w:eastAsia="Calibri"/>
          <w:sz w:val="24"/>
          <w:szCs w:val="24"/>
        </w:rPr>
        <w:tab/>
      </w:r>
      <w:r w:rsidR="005351A1" w:rsidRPr="008742F7">
        <w:rPr>
          <w:rFonts w:eastAsia="Calibri"/>
          <w:sz w:val="24"/>
          <w:szCs w:val="24"/>
          <w:u w:val="single"/>
        </w:rPr>
        <w:instrText>PPL Position</w:instrText>
      </w:r>
      <w:bookmarkEnd w:id="14"/>
      <w:r w:rsidR="005351A1">
        <w:instrText xml:space="preserve">" \f C \l "3" </w:instrText>
      </w:r>
      <w:r w:rsidR="005351A1">
        <w:rPr>
          <w:rFonts w:eastAsia="Calibri"/>
          <w:sz w:val="24"/>
          <w:szCs w:val="24"/>
          <w:u w:val="single"/>
        </w:rPr>
        <w:fldChar w:fldCharType="end"/>
      </w:r>
    </w:p>
    <w:p w:rsidR="00812D3F" w:rsidRPr="00B20BE9" w:rsidRDefault="00812D3F" w:rsidP="00973B79">
      <w:pPr>
        <w:rPr>
          <w:rFonts w:eastAsia="Calibri"/>
          <w:sz w:val="24"/>
          <w:szCs w:val="24"/>
        </w:rPr>
      </w:pPr>
    </w:p>
    <w:p w:rsidR="00812D3F" w:rsidRPr="00B20BE9" w:rsidRDefault="00812D3F" w:rsidP="00973B79">
      <w:pPr>
        <w:rPr>
          <w:rFonts w:eastAsia="Calibri"/>
          <w:sz w:val="24"/>
          <w:szCs w:val="24"/>
        </w:rPr>
      </w:pPr>
      <w:r w:rsidRPr="00B20BE9">
        <w:rPr>
          <w:rFonts w:eastAsia="Calibri"/>
          <w:sz w:val="24"/>
          <w:szCs w:val="24"/>
        </w:rPr>
        <w:tab/>
      </w:r>
      <w:r w:rsidRPr="00B20BE9">
        <w:rPr>
          <w:rFonts w:eastAsia="Calibri"/>
          <w:sz w:val="24"/>
          <w:szCs w:val="24"/>
        </w:rPr>
        <w:tab/>
        <w:t>In its Main Brief, PPL stated that it included a provision for state income taxes in calculating its DSIC.  It contended that this so-called “gross-up” adjustment is required because income generated by application of the DSIC is taxable income to the Company.  Absent recovery of this tax expense in the DSIC, PPL claimed that it would be unable to earn its allowed return on DSIC investment.  PPL M.B., p. 12.</w:t>
      </w:r>
    </w:p>
    <w:p w:rsidR="00812D3F" w:rsidRPr="00B20BE9" w:rsidRDefault="00812D3F" w:rsidP="00973B79">
      <w:pPr>
        <w:rPr>
          <w:rFonts w:eastAsia="Calibri"/>
          <w:sz w:val="24"/>
          <w:szCs w:val="24"/>
        </w:rPr>
      </w:pPr>
    </w:p>
    <w:p w:rsidR="00654782" w:rsidRPr="00B20BE9" w:rsidRDefault="00812D3F" w:rsidP="00973B79">
      <w:pPr>
        <w:rPr>
          <w:rFonts w:eastAsia="Calibri"/>
          <w:sz w:val="24"/>
          <w:szCs w:val="24"/>
        </w:rPr>
      </w:pPr>
      <w:r w:rsidRPr="00B20BE9">
        <w:rPr>
          <w:rFonts w:eastAsia="Calibri"/>
          <w:sz w:val="24"/>
          <w:szCs w:val="24"/>
        </w:rPr>
        <w:tab/>
      </w:r>
      <w:r w:rsidRPr="00B20BE9">
        <w:rPr>
          <w:rFonts w:eastAsia="Calibri"/>
          <w:sz w:val="24"/>
          <w:szCs w:val="24"/>
        </w:rPr>
        <w:tab/>
        <w:t xml:space="preserve">In support of its position that its “gross-up” adjustment is appropriate, PPL first argued legislative intent, as it had with respect to the OCA’s ADIT adjustment.  It claimed that, based upon the plain language of </w:t>
      </w:r>
      <w:r w:rsidR="007762B8" w:rsidRPr="00B20BE9">
        <w:rPr>
          <w:rFonts w:eastAsia="Calibri"/>
          <w:sz w:val="24"/>
          <w:szCs w:val="24"/>
        </w:rPr>
        <w:t xml:space="preserve">Act 11, </w:t>
      </w:r>
      <w:r w:rsidRPr="00B20BE9">
        <w:rPr>
          <w:rFonts w:eastAsia="Calibri"/>
          <w:sz w:val="24"/>
          <w:szCs w:val="24"/>
        </w:rPr>
        <w:t xml:space="preserve">the General Assembly </w:t>
      </w:r>
      <w:r w:rsidR="007762B8" w:rsidRPr="00B20BE9">
        <w:rPr>
          <w:rFonts w:eastAsia="Calibri"/>
          <w:sz w:val="24"/>
          <w:szCs w:val="24"/>
        </w:rPr>
        <w:t xml:space="preserve">clearly </w:t>
      </w:r>
      <w:r w:rsidRPr="00B20BE9">
        <w:rPr>
          <w:rFonts w:eastAsia="Calibri"/>
          <w:sz w:val="24"/>
          <w:szCs w:val="24"/>
        </w:rPr>
        <w:t xml:space="preserve">intended to adopt the DSIC formula previously used by water utilities </w:t>
      </w:r>
      <w:r w:rsidR="007762B8" w:rsidRPr="00B20BE9">
        <w:rPr>
          <w:rFonts w:eastAsia="Calibri"/>
          <w:sz w:val="24"/>
          <w:szCs w:val="24"/>
        </w:rPr>
        <w:t>and to reject the OCA’s proposals.  PPL emphasized that the water utility DSIC formula did not contain the state income tax adjustment proposed by the OCA, and no language was added to Act 11</w:t>
      </w:r>
      <w:r w:rsidRPr="00B20BE9">
        <w:rPr>
          <w:rFonts w:eastAsia="Calibri"/>
          <w:sz w:val="24"/>
          <w:szCs w:val="24"/>
        </w:rPr>
        <w:t xml:space="preserve"> </w:t>
      </w:r>
      <w:r w:rsidR="007762B8" w:rsidRPr="00B20BE9">
        <w:rPr>
          <w:rFonts w:eastAsia="Calibri"/>
          <w:sz w:val="24"/>
          <w:szCs w:val="24"/>
        </w:rPr>
        <w:t>to provide for that adjustment.  The Company further contended that an amendment to accomplish the OCA’s goal was specifically rejected by the Legislature.  Therefore, according to PPL, the OCA’s state tax adjustment was inconsistent with legislative intent and should be r</w:t>
      </w:r>
      <w:r w:rsidR="002E2517">
        <w:rPr>
          <w:rFonts w:eastAsia="Calibri"/>
          <w:sz w:val="24"/>
          <w:szCs w:val="24"/>
        </w:rPr>
        <w:t>ejected.  PPL M.B., pp. 12-18.</w:t>
      </w:r>
    </w:p>
    <w:p w:rsidR="00654782" w:rsidRPr="00B20BE9" w:rsidRDefault="00654782" w:rsidP="00973B79">
      <w:pPr>
        <w:rPr>
          <w:rFonts w:eastAsia="Calibri"/>
          <w:sz w:val="24"/>
          <w:szCs w:val="24"/>
        </w:rPr>
      </w:pPr>
    </w:p>
    <w:p w:rsidR="000E3450" w:rsidRPr="00B20BE9" w:rsidRDefault="00654782" w:rsidP="00973B79">
      <w:pPr>
        <w:rPr>
          <w:rFonts w:eastAsia="Calibri"/>
          <w:sz w:val="24"/>
          <w:szCs w:val="24"/>
        </w:rPr>
      </w:pPr>
      <w:r w:rsidRPr="00B20BE9">
        <w:rPr>
          <w:rFonts w:eastAsia="Calibri"/>
          <w:sz w:val="24"/>
          <w:szCs w:val="24"/>
        </w:rPr>
        <w:tab/>
      </w:r>
      <w:r w:rsidRPr="00B20BE9">
        <w:rPr>
          <w:rFonts w:eastAsia="Calibri"/>
          <w:sz w:val="24"/>
          <w:szCs w:val="24"/>
        </w:rPr>
        <w:tab/>
      </w:r>
      <w:r w:rsidR="000E3450" w:rsidRPr="00B20BE9">
        <w:rPr>
          <w:rFonts w:eastAsia="Calibri"/>
          <w:sz w:val="24"/>
          <w:szCs w:val="24"/>
        </w:rPr>
        <w:t xml:space="preserve">In addition, </w:t>
      </w:r>
      <w:r w:rsidRPr="00B20BE9">
        <w:rPr>
          <w:rFonts w:eastAsia="Calibri"/>
          <w:sz w:val="24"/>
          <w:szCs w:val="24"/>
        </w:rPr>
        <w:t>PPL asserted</w:t>
      </w:r>
      <w:r w:rsidR="000E3450" w:rsidRPr="00B20BE9">
        <w:rPr>
          <w:rFonts w:eastAsia="Calibri"/>
          <w:sz w:val="24"/>
          <w:szCs w:val="24"/>
        </w:rPr>
        <w:t xml:space="preserve">, as it had with respect to ADIT, </w:t>
      </w:r>
      <w:r w:rsidRPr="00B20BE9">
        <w:rPr>
          <w:rFonts w:eastAsia="Calibri"/>
          <w:sz w:val="24"/>
          <w:szCs w:val="24"/>
        </w:rPr>
        <w:t xml:space="preserve">that OCA’s </w:t>
      </w:r>
      <w:r w:rsidR="00AB6DF7" w:rsidRPr="00B20BE9">
        <w:rPr>
          <w:rFonts w:eastAsia="Calibri"/>
          <w:sz w:val="24"/>
          <w:szCs w:val="24"/>
        </w:rPr>
        <w:t xml:space="preserve">elimination of the </w:t>
      </w:r>
      <w:r w:rsidRPr="00B20BE9">
        <w:rPr>
          <w:rFonts w:eastAsia="Calibri"/>
          <w:sz w:val="24"/>
          <w:szCs w:val="24"/>
        </w:rPr>
        <w:t xml:space="preserve">state income tax </w:t>
      </w:r>
      <w:r w:rsidR="00E42F80" w:rsidRPr="00B20BE9">
        <w:rPr>
          <w:rFonts w:eastAsia="Calibri"/>
          <w:sz w:val="24"/>
          <w:szCs w:val="24"/>
        </w:rPr>
        <w:t>“</w:t>
      </w:r>
      <w:r w:rsidR="00AB6DF7" w:rsidRPr="00B20BE9">
        <w:rPr>
          <w:rFonts w:eastAsia="Calibri"/>
          <w:sz w:val="24"/>
          <w:szCs w:val="24"/>
        </w:rPr>
        <w:t>gross-up</w:t>
      </w:r>
      <w:r w:rsidR="00E42F80" w:rsidRPr="00B20BE9">
        <w:rPr>
          <w:rFonts w:eastAsia="Calibri"/>
          <w:sz w:val="24"/>
          <w:szCs w:val="24"/>
        </w:rPr>
        <w:t>”</w:t>
      </w:r>
      <w:r w:rsidRPr="00B20BE9">
        <w:rPr>
          <w:rFonts w:eastAsia="Calibri"/>
          <w:sz w:val="24"/>
          <w:szCs w:val="24"/>
        </w:rPr>
        <w:t xml:space="preserve"> would result in a fundamental mismatch of tax expense for ratemaking purposes.  It claimed that</w:t>
      </w:r>
      <w:r w:rsidR="00E42F80" w:rsidRPr="00B20BE9">
        <w:rPr>
          <w:rFonts w:eastAsia="Calibri"/>
          <w:sz w:val="24"/>
          <w:szCs w:val="24"/>
        </w:rPr>
        <w:t xml:space="preserve"> OCA’s tax adjustment</w:t>
      </w:r>
      <w:r w:rsidRPr="00B20BE9">
        <w:rPr>
          <w:rFonts w:eastAsia="Calibri"/>
          <w:sz w:val="24"/>
          <w:szCs w:val="24"/>
        </w:rPr>
        <w:t xml:space="preserve"> would inappropriately calculate </w:t>
      </w:r>
      <w:r w:rsidR="000E3450" w:rsidRPr="00B20BE9">
        <w:rPr>
          <w:rFonts w:eastAsia="Calibri"/>
          <w:sz w:val="24"/>
          <w:szCs w:val="24"/>
        </w:rPr>
        <w:t xml:space="preserve">state </w:t>
      </w:r>
      <w:r w:rsidRPr="00B20BE9">
        <w:rPr>
          <w:rFonts w:eastAsia="Calibri"/>
          <w:sz w:val="24"/>
          <w:szCs w:val="24"/>
        </w:rPr>
        <w:t>income tax expense on an incremental rather than overall basis and would fail to reflect other changes</w:t>
      </w:r>
      <w:r w:rsidR="00DE096D" w:rsidRPr="00B20BE9">
        <w:rPr>
          <w:rFonts w:eastAsia="Calibri"/>
          <w:sz w:val="24"/>
          <w:szCs w:val="24"/>
        </w:rPr>
        <w:t xml:space="preserve"> in </w:t>
      </w:r>
      <w:r w:rsidRPr="00B20BE9">
        <w:rPr>
          <w:rFonts w:eastAsia="Calibri"/>
          <w:sz w:val="24"/>
          <w:szCs w:val="24"/>
        </w:rPr>
        <w:t xml:space="preserve">state income taxes that have occurred since the last base </w:t>
      </w:r>
      <w:r w:rsidR="00DE096D" w:rsidRPr="00B20BE9">
        <w:rPr>
          <w:rFonts w:eastAsia="Calibri"/>
          <w:sz w:val="24"/>
          <w:szCs w:val="24"/>
        </w:rPr>
        <w:t>ra</w:t>
      </w:r>
      <w:r w:rsidRPr="00B20BE9">
        <w:rPr>
          <w:rFonts w:eastAsia="Calibri"/>
          <w:sz w:val="24"/>
          <w:szCs w:val="24"/>
        </w:rPr>
        <w:t>te case.</w:t>
      </w:r>
      <w:r w:rsidR="000E3450" w:rsidRPr="00B20BE9">
        <w:rPr>
          <w:rFonts w:eastAsia="Calibri"/>
          <w:sz w:val="24"/>
          <w:szCs w:val="24"/>
        </w:rPr>
        <w:t xml:space="preserve">  PPL contended, as it had with respect to </w:t>
      </w:r>
      <w:r w:rsidR="008D761D" w:rsidRPr="00B20BE9">
        <w:rPr>
          <w:rFonts w:eastAsia="Calibri"/>
          <w:sz w:val="24"/>
          <w:szCs w:val="24"/>
        </w:rPr>
        <w:t>the ADIT adjustment</w:t>
      </w:r>
      <w:r w:rsidR="000E3450" w:rsidRPr="00B20BE9">
        <w:rPr>
          <w:rFonts w:eastAsia="Calibri"/>
          <w:sz w:val="24"/>
          <w:szCs w:val="24"/>
        </w:rPr>
        <w:t>, that the only fair approach would be to undertake a full tax calculation</w:t>
      </w:r>
      <w:r w:rsidR="008D761D" w:rsidRPr="00B20BE9">
        <w:rPr>
          <w:rFonts w:eastAsia="Calibri"/>
          <w:sz w:val="24"/>
          <w:szCs w:val="24"/>
        </w:rPr>
        <w:t xml:space="preserve"> looking at all plant in service</w:t>
      </w:r>
      <w:r w:rsidR="000E3450" w:rsidRPr="00B20BE9">
        <w:rPr>
          <w:rFonts w:eastAsia="Calibri"/>
          <w:sz w:val="24"/>
          <w:szCs w:val="24"/>
        </w:rPr>
        <w:t>, but this is contrary to legislative intent that the DSIC remain uncomplicated.</w:t>
      </w:r>
      <w:r w:rsidR="008D761D" w:rsidRPr="00B20BE9">
        <w:rPr>
          <w:rFonts w:eastAsia="Calibri"/>
          <w:sz w:val="24"/>
          <w:szCs w:val="24"/>
        </w:rPr>
        <w:t xml:space="preserve">  PPL M.B., pp. 25-26.</w:t>
      </w:r>
    </w:p>
    <w:p w:rsidR="00BC0BBC" w:rsidRPr="00B20BE9" w:rsidRDefault="00BC0BBC" w:rsidP="00973B79">
      <w:pPr>
        <w:rPr>
          <w:rFonts w:eastAsia="Calibri"/>
          <w:sz w:val="24"/>
          <w:szCs w:val="24"/>
        </w:rPr>
      </w:pPr>
    </w:p>
    <w:p w:rsidR="009C7917" w:rsidRPr="00B20BE9" w:rsidRDefault="00BC0BBC" w:rsidP="00973B79">
      <w:pPr>
        <w:rPr>
          <w:rFonts w:eastAsia="Calibri"/>
          <w:sz w:val="24"/>
          <w:szCs w:val="24"/>
        </w:rPr>
      </w:pPr>
      <w:r w:rsidRPr="00B20BE9">
        <w:rPr>
          <w:rFonts w:eastAsia="Calibri"/>
          <w:sz w:val="24"/>
          <w:szCs w:val="24"/>
        </w:rPr>
        <w:tab/>
      </w:r>
      <w:r w:rsidRPr="00B20BE9">
        <w:rPr>
          <w:rFonts w:eastAsia="Calibri"/>
          <w:sz w:val="24"/>
          <w:szCs w:val="24"/>
        </w:rPr>
        <w:tab/>
        <w:t xml:space="preserve">PPL reiterated that rejection of the OCA’s state income tax proposal would not result in unjust and unreasonable rates.  It argued, as it had with respect to ADIT, that it is the rate as a whole which must be considered in the just and reasonable rate analysis </w:t>
      </w:r>
      <w:r w:rsidR="00357FAE" w:rsidRPr="00B20BE9">
        <w:rPr>
          <w:rFonts w:eastAsia="Calibri"/>
          <w:sz w:val="24"/>
          <w:szCs w:val="24"/>
        </w:rPr>
        <w:t xml:space="preserve">and not the individual expense adjustments.  </w:t>
      </w:r>
      <w:r w:rsidR="00357FAE" w:rsidRPr="00B20BE9">
        <w:rPr>
          <w:rFonts w:eastAsia="Calibri"/>
          <w:i/>
          <w:sz w:val="24"/>
          <w:szCs w:val="24"/>
        </w:rPr>
        <w:t>Duquesne</w:t>
      </w:r>
      <w:r w:rsidR="00357FAE" w:rsidRPr="00B20BE9">
        <w:rPr>
          <w:rFonts w:eastAsia="Calibri"/>
          <w:sz w:val="24"/>
          <w:szCs w:val="24"/>
        </w:rPr>
        <w:t xml:space="preserve">, </w:t>
      </w:r>
      <w:r w:rsidR="00357FAE" w:rsidRPr="00B20BE9">
        <w:rPr>
          <w:rFonts w:eastAsia="Calibri"/>
          <w:sz w:val="24"/>
          <w:szCs w:val="24"/>
          <w:u w:val="single"/>
        </w:rPr>
        <w:t>supra</w:t>
      </w:r>
      <w:r w:rsidR="00357FAE" w:rsidRPr="00B20BE9">
        <w:rPr>
          <w:rFonts w:eastAsia="Calibri"/>
          <w:sz w:val="24"/>
          <w:szCs w:val="24"/>
        </w:rPr>
        <w:t>.  Also, as mentioned previously, the</w:t>
      </w:r>
      <w:r w:rsidRPr="00B20BE9">
        <w:rPr>
          <w:rFonts w:eastAsia="Calibri"/>
          <w:sz w:val="24"/>
          <w:szCs w:val="24"/>
        </w:rPr>
        <w:t xml:space="preserve"> impact of tax deductions, including those associated with the state income tax, are already factored into the DSIC through the calculation of the earnings cap.  Thus, ratepayers are already protected from unjust and unreasonable rates</w:t>
      </w:r>
      <w:r w:rsidR="00357FAE" w:rsidRPr="00B20BE9">
        <w:rPr>
          <w:rFonts w:eastAsia="Calibri"/>
          <w:sz w:val="24"/>
          <w:szCs w:val="24"/>
        </w:rPr>
        <w:t>, according to PPL.  PPL M.B., pp. 23, 27-29.</w:t>
      </w:r>
    </w:p>
    <w:p w:rsidR="009C7917" w:rsidRPr="00B20BE9" w:rsidRDefault="009C7917" w:rsidP="00973B79">
      <w:pPr>
        <w:rPr>
          <w:rFonts w:eastAsia="Calibri"/>
          <w:sz w:val="24"/>
          <w:szCs w:val="24"/>
        </w:rPr>
      </w:pPr>
    </w:p>
    <w:p w:rsidR="0082235B" w:rsidRPr="00B20BE9" w:rsidRDefault="009C7917" w:rsidP="00973B79">
      <w:pPr>
        <w:rPr>
          <w:rFonts w:eastAsia="Calibri"/>
          <w:sz w:val="24"/>
          <w:szCs w:val="24"/>
        </w:rPr>
      </w:pPr>
      <w:r w:rsidRPr="00B20BE9">
        <w:rPr>
          <w:rFonts w:eastAsia="Calibri"/>
          <w:sz w:val="24"/>
          <w:szCs w:val="24"/>
        </w:rPr>
        <w:tab/>
      </w:r>
      <w:r w:rsidRPr="00B20BE9">
        <w:rPr>
          <w:rFonts w:eastAsia="Calibri"/>
          <w:sz w:val="24"/>
          <w:szCs w:val="24"/>
        </w:rPr>
        <w:tab/>
        <w:t xml:space="preserve">Regarding the “actual taxes paid” doctrine in </w:t>
      </w:r>
      <w:r w:rsidRPr="00B20BE9">
        <w:rPr>
          <w:rFonts w:eastAsia="Calibri"/>
          <w:i/>
          <w:sz w:val="24"/>
          <w:szCs w:val="24"/>
        </w:rPr>
        <w:t>Penn Power</w:t>
      </w:r>
      <w:r w:rsidRPr="00B20BE9">
        <w:rPr>
          <w:rFonts w:eastAsia="Calibri"/>
          <w:sz w:val="24"/>
          <w:szCs w:val="24"/>
        </w:rPr>
        <w:t xml:space="preserve">, </w:t>
      </w:r>
      <w:r w:rsidRPr="00B20BE9">
        <w:rPr>
          <w:rFonts w:eastAsia="Calibri"/>
          <w:sz w:val="24"/>
          <w:szCs w:val="24"/>
          <w:u w:val="single"/>
        </w:rPr>
        <w:t>supra</w:t>
      </w:r>
      <w:r w:rsidRPr="00B20BE9">
        <w:rPr>
          <w:rFonts w:eastAsia="Calibri"/>
          <w:sz w:val="24"/>
          <w:szCs w:val="24"/>
        </w:rPr>
        <w:t>, PPL made the same argument that it had in regard to the ADIT proposal, which is that the OCA adjustment could not result in</w:t>
      </w:r>
      <w:r w:rsidR="0082235B" w:rsidRPr="00B20BE9">
        <w:rPr>
          <w:rFonts w:eastAsia="Calibri"/>
          <w:sz w:val="24"/>
          <w:szCs w:val="24"/>
        </w:rPr>
        <w:t xml:space="preserve"> reflection of </w:t>
      </w:r>
      <w:r w:rsidRPr="00B20BE9">
        <w:rPr>
          <w:rFonts w:eastAsia="Calibri"/>
          <w:sz w:val="24"/>
          <w:szCs w:val="24"/>
        </w:rPr>
        <w:t xml:space="preserve"> “actual taxes paid.”  Taxes paid to the government, according to PPL, are calculated on a total Company basis and not upon individual items of plant or revenue.  In addition, PPL observed that the “actual taxes paid” doctrine had only been applied in base rate proceedings, and would complicate a </w:t>
      </w:r>
      <w:r w:rsidR="0082235B" w:rsidRPr="00B20BE9">
        <w:rPr>
          <w:rFonts w:eastAsia="Calibri"/>
          <w:sz w:val="24"/>
          <w:szCs w:val="24"/>
        </w:rPr>
        <w:t xml:space="preserve">DSIC </w:t>
      </w:r>
      <w:r w:rsidRPr="00B20BE9">
        <w:rPr>
          <w:rFonts w:eastAsia="Calibri"/>
          <w:sz w:val="24"/>
          <w:szCs w:val="24"/>
        </w:rPr>
        <w:t>mechanism which is intended to be simple and straightforward.  PPL M.B., pp. 29-31.</w:t>
      </w:r>
    </w:p>
    <w:p w:rsidR="0082235B" w:rsidRPr="00B20BE9" w:rsidRDefault="0082235B" w:rsidP="00973B79">
      <w:pPr>
        <w:rPr>
          <w:rFonts w:eastAsia="Calibri"/>
          <w:sz w:val="24"/>
          <w:szCs w:val="24"/>
        </w:rPr>
      </w:pPr>
    </w:p>
    <w:p w:rsidR="000E3450" w:rsidRPr="00B20BE9" w:rsidRDefault="0082235B" w:rsidP="00973B79">
      <w:pPr>
        <w:rPr>
          <w:rFonts w:eastAsia="Calibri"/>
          <w:sz w:val="24"/>
          <w:szCs w:val="24"/>
        </w:rPr>
      </w:pPr>
      <w:r w:rsidRPr="00B20BE9">
        <w:rPr>
          <w:rFonts w:eastAsia="Calibri"/>
          <w:sz w:val="24"/>
          <w:szCs w:val="24"/>
        </w:rPr>
        <w:tab/>
      </w:r>
      <w:r w:rsidRPr="00B20BE9">
        <w:rPr>
          <w:rFonts w:eastAsia="Calibri"/>
          <w:sz w:val="24"/>
          <w:szCs w:val="24"/>
        </w:rPr>
        <w:tab/>
        <w:t>This, PPL concluded that its provision for inclusion of state income taxes in its DSIC mechanism should be approved and the OCA position should be rejected.</w:t>
      </w:r>
    </w:p>
    <w:p w:rsidR="002F7A3A" w:rsidRPr="00B20BE9" w:rsidRDefault="002F7A3A" w:rsidP="00973B79">
      <w:pPr>
        <w:rPr>
          <w:rFonts w:eastAsia="Calibri"/>
          <w:sz w:val="24"/>
          <w:szCs w:val="24"/>
        </w:rPr>
      </w:pPr>
    </w:p>
    <w:p w:rsidR="0042679F" w:rsidRPr="00B20BE9" w:rsidRDefault="002F7A3A" w:rsidP="00973B79">
      <w:pPr>
        <w:rPr>
          <w:rFonts w:eastAsia="Calibri"/>
          <w:sz w:val="24"/>
          <w:szCs w:val="24"/>
        </w:rPr>
      </w:pPr>
      <w:r w:rsidRPr="00B20BE9">
        <w:rPr>
          <w:rFonts w:eastAsia="Calibri"/>
          <w:sz w:val="24"/>
          <w:szCs w:val="24"/>
        </w:rPr>
        <w:tab/>
      </w:r>
      <w:r w:rsidRPr="00B20BE9">
        <w:rPr>
          <w:rFonts w:eastAsia="Calibri"/>
          <w:sz w:val="24"/>
          <w:szCs w:val="24"/>
        </w:rPr>
        <w:tab/>
        <w:t xml:space="preserve">In its Reply Brief, PPL reiterated its positions that </w:t>
      </w:r>
      <w:r w:rsidR="00702B1F" w:rsidRPr="00B20BE9">
        <w:rPr>
          <w:rFonts w:eastAsia="Calibri"/>
          <w:sz w:val="24"/>
          <w:szCs w:val="24"/>
        </w:rPr>
        <w:t>the OCA’s state income tax proposal is inconsistent with legislative intent, would require an unfair, piecemeal approach which is inconsistent with the “actual taxes paid” doctrine, and is unnecessary as the flow-through advocated by OCA is already reflected in calculation of t</w:t>
      </w:r>
      <w:r w:rsidR="00A276A0">
        <w:rPr>
          <w:rFonts w:eastAsia="Calibri"/>
          <w:sz w:val="24"/>
          <w:szCs w:val="24"/>
        </w:rPr>
        <w:t>he earnings cap.  PPL R.B., pp. </w:t>
      </w:r>
      <w:r w:rsidR="00702B1F" w:rsidRPr="00B20BE9">
        <w:rPr>
          <w:rFonts w:eastAsia="Calibri"/>
          <w:sz w:val="24"/>
          <w:szCs w:val="24"/>
        </w:rPr>
        <w:t>10-20.</w:t>
      </w:r>
    </w:p>
    <w:p w:rsidR="0042679F" w:rsidRPr="00B20BE9" w:rsidRDefault="0042679F" w:rsidP="00973B79">
      <w:pPr>
        <w:rPr>
          <w:rFonts w:eastAsia="Calibri"/>
          <w:sz w:val="24"/>
          <w:szCs w:val="24"/>
        </w:rPr>
      </w:pPr>
    </w:p>
    <w:p w:rsidR="00D7561A" w:rsidRDefault="00D7561A" w:rsidP="005351A1">
      <w:pPr>
        <w:ind w:left="720"/>
        <w:rPr>
          <w:rFonts w:eastAsia="Calibri"/>
          <w:sz w:val="24"/>
          <w:szCs w:val="24"/>
        </w:rPr>
      </w:pPr>
      <w:r>
        <w:rPr>
          <w:rFonts w:eastAsia="Calibri"/>
          <w:sz w:val="24"/>
          <w:szCs w:val="24"/>
        </w:rPr>
        <w:br w:type="page"/>
      </w:r>
    </w:p>
    <w:p w:rsidR="0042679F" w:rsidRPr="00B20BE9" w:rsidRDefault="009C7727" w:rsidP="005351A1">
      <w:pPr>
        <w:ind w:left="720"/>
        <w:rPr>
          <w:rFonts w:eastAsia="Calibri"/>
          <w:sz w:val="24"/>
          <w:szCs w:val="24"/>
        </w:rPr>
      </w:pPr>
      <w:r w:rsidRPr="00B20BE9">
        <w:rPr>
          <w:rFonts w:eastAsia="Calibri"/>
          <w:sz w:val="24"/>
          <w:szCs w:val="24"/>
        </w:rPr>
        <w:t>3.</w:t>
      </w:r>
      <w:r w:rsidRPr="00B20BE9">
        <w:rPr>
          <w:rFonts w:eastAsia="Calibri"/>
          <w:sz w:val="24"/>
          <w:szCs w:val="24"/>
        </w:rPr>
        <w:tab/>
      </w:r>
      <w:r w:rsidRPr="00B20BE9">
        <w:rPr>
          <w:rFonts w:eastAsia="Calibri"/>
          <w:sz w:val="24"/>
          <w:szCs w:val="24"/>
          <w:u w:val="single"/>
        </w:rPr>
        <w:t>ALJ Ruling</w:t>
      </w:r>
      <w:bookmarkStart w:id="15" w:name="_Toc375303044"/>
      <w:r w:rsidR="005351A1">
        <w:rPr>
          <w:rFonts w:eastAsia="Calibri"/>
          <w:sz w:val="24"/>
          <w:szCs w:val="24"/>
          <w:u w:val="single"/>
        </w:rPr>
        <w:fldChar w:fldCharType="begin"/>
      </w:r>
      <w:r w:rsidR="005351A1">
        <w:instrText xml:space="preserve"> TC "</w:instrText>
      </w:r>
      <w:bookmarkStart w:id="16" w:name="_Toc394309043"/>
      <w:r w:rsidR="005351A1" w:rsidRPr="008742F7">
        <w:rPr>
          <w:rFonts w:eastAsia="Calibri"/>
          <w:sz w:val="24"/>
          <w:szCs w:val="24"/>
        </w:rPr>
        <w:instrText>3.</w:instrText>
      </w:r>
      <w:r w:rsidR="005351A1" w:rsidRPr="008742F7">
        <w:rPr>
          <w:rFonts w:eastAsia="Calibri"/>
          <w:sz w:val="24"/>
          <w:szCs w:val="24"/>
        </w:rPr>
        <w:tab/>
      </w:r>
      <w:r w:rsidR="005351A1" w:rsidRPr="008742F7">
        <w:rPr>
          <w:rFonts w:eastAsia="Calibri"/>
          <w:sz w:val="24"/>
          <w:szCs w:val="24"/>
          <w:u w:val="single"/>
        </w:rPr>
        <w:instrText>ALJ Ruling</w:instrText>
      </w:r>
      <w:bookmarkEnd w:id="16"/>
      <w:r w:rsidR="005351A1">
        <w:instrText xml:space="preserve">" \f C \l "3" </w:instrText>
      </w:r>
      <w:r w:rsidR="005351A1">
        <w:rPr>
          <w:rFonts w:eastAsia="Calibri"/>
          <w:sz w:val="24"/>
          <w:szCs w:val="24"/>
          <w:u w:val="single"/>
        </w:rPr>
        <w:fldChar w:fldCharType="end"/>
      </w:r>
    </w:p>
    <w:p w:rsidR="0042679F" w:rsidRPr="00B20BE9" w:rsidRDefault="0042679F" w:rsidP="0042679F">
      <w:pPr>
        <w:rPr>
          <w:rFonts w:eastAsia="Calibri"/>
          <w:sz w:val="24"/>
          <w:szCs w:val="24"/>
        </w:rPr>
      </w:pPr>
    </w:p>
    <w:p w:rsidR="00650D0B" w:rsidRPr="00B20BE9" w:rsidRDefault="0042679F" w:rsidP="0042679F">
      <w:pPr>
        <w:rPr>
          <w:rFonts w:eastAsia="Calibri"/>
          <w:sz w:val="24"/>
          <w:szCs w:val="24"/>
        </w:rPr>
      </w:pPr>
      <w:r w:rsidRPr="00B20BE9">
        <w:rPr>
          <w:rFonts w:eastAsia="Calibri"/>
          <w:sz w:val="24"/>
          <w:szCs w:val="24"/>
        </w:rPr>
        <w:tab/>
      </w:r>
      <w:r w:rsidRPr="00B20BE9">
        <w:rPr>
          <w:rFonts w:eastAsia="Calibri"/>
          <w:sz w:val="24"/>
          <w:szCs w:val="24"/>
        </w:rPr>
        <w:tab/>
      </w:r>
      <w:r w:rsidR="009C7727" w:rsidRPr="00B20BE9">
        <w:rPr>
          <w:rFonts w:eastAsia="Calibri"/>
          <w:bCs/>
          <w:sz w:val="24"/>
          <w:szCs w:val="24"/>
        </w:rPr>
        <w:t xml:space="preserve">In the </w:t>
      </w:r>
      <w:r w:rsidR="009C7727" w:rsidRPr="00B20BE9">
        <w:rPr>
          <w:rFonts w:eastAsia="Calibri"/>
          <w:bCs/>
          <w:i/>
          <w:sz w:val="24"/>
          <w:szCs w:val="24"/>
        </w:rPr>
        <w:t>Columbia DSIC</w:t>
      </w:r>
      <w:r w:rsidR="009C7727" w:rsidRPr="00B20BE9">
        <w:rPr>
          <w:rFonts w:eastAsia="Calibri"/>
          <w:bCs/>
          <w:sz w:val="24"/>
          <w:szCs w:val="24"/>
        </w:rPr>
        <w:t xml:space="preserve"> proceeding, referenced earlier, </w:t>
      </w:r>
      <w:r w:rsidR="00AB6DF7" w:rsidRPr="00B20BE9">
        <w:rPr>
          <w:rFonts w:eastAsia="Calibri"/>
          <w:bCs/>
          <w:sz w:val="24"/>
          <w:szCs w:val="24"/>
        </w:rPr>
        <w:t xml:space="preserve">OCA raised the same state income tax adjustment issue as it did </w:t>
      </w:r>
      <w:r w:rsidR="00E42F80" w:rsidRPr="00B20BE9">
        <w:rPr>
          <w:rFonts w:eastAsia="Calibri"/>
          <w:bCs/>
          <w:sz w:val="24"/>
          <w:szCs w:val="24"/>
        </w:rPr>
        <w:t xml:space="preserve">herein.  The various factual and legal positions are the same as those in this proceeding.  The Commission in </w:t>
      </w:r>
      <w:r w:rsidR="00E42F80" w:rsidRPr="00B20BE9">
        <w:rPr>
          <w:rFonts w:eastAsia="Calibri"/>
          <w:bCs/>
          <w:i/>
          <w:sz w:val="24"/>
          <w:szCs w:val="24"/>
        </w:rPr>
        <w:t>Columbia DSIC</w:t>
      </w:r>
      <w:r w:rsidR="00E42F80" w:rsidRPr="00B20BE9">
        <w:rPr>
          <w:rFonts w:eastAsia="Calibri"/>
          <w:bCs/>
          <w:sz w:val="24"/>
          <w:szCs w:val="24"/>
        </w:rPr>
        <w:t xml:space="preserve"> declined to adopt the OCA’s adjustment to eliminate the state tax “gross-up.”  As this issue has already been decided, this Recommended Decision will be consistent with that ruling.</w:t>
      </w:r>
    </w:p>
    <w:p w:rsidR="00650D0B" w:rsidRPr="00B20BE9" w:rsidRDefault="00650D0B" w:rsidP="00AB6DF7">
      <w:pPr>
        <w:keepNext/>
        <w:outlineLvl w:val="2"/>
        <w:rPr>
          <w:rFonts w:eastAsia="Calibri"/>
          <w:bCs/>
          <w:sz w:val="24"/>
          <w:szCs w:val="24"/>
        </w:rPr>
      </w:pPr>
    </w:p>
    <w:p w:rsidR="00540F59" w:rsidRPr="00B20BE9" w:rsidRDefault="00650D0B" w:rsidP="00AB6DF7">
      <w:pPr>
        <w:keepNext/>
        <w:outlineLvl w:val="2"/>
        <w:rPr>
          <w:rFonts w:eastAsia="Calibri"/>
          <w:bCs/>
          <w:sz w:val="24"/>
          <w:szCs w:val="24"/>
        </w:rPr>
      </w:pPr>
      <w:r w:rsidRPr="00B20BE9">
        <w:rPr>
          <w:rFonts w:eastAsia="Calibri"/>
          <w:bCs/>
          <w:sz w:val="24"/>
          <w:szCs w:val="24"/>
        </w:rPr>
        <w:tab/>
      </w:r>
      <w:r w:rsidRPr="00B20BE9">
        <w:rPr>
          <w:rFonts w:eastAsia="Calibri"/>
          <w:bCs/>
          <w:sz w:val="24"/>
          <w:szCs w:val="24"/>
        </w:rPr>
        <w:tab/>
        <w:t xml:space="preserve">In </w:t>
      </w:r>
      <w:r w:rsidRPr="00B20BE9">
        <w:rPr>
          <w:rFonts w:eastAsia="Calibri"/>
          <w:bCs/>
          <w:i/>
          <w:sz w:val="24"/>
          <w:szCs w:val="24"/>
        </w:rPr>
        <w:t>Columbia DSIC</w:t>
      </w:r>
      <w:r w:rsidRPr="00B20BE9">
        <w:rPr>
          <w:rFonts w:eastAsia="Calibri"/>
          <w:bCs/>
          <w:sz w:val="24"/>
          <w:szCs w:val="24"/>
        </w:rPr>
        <w:t xml:space="preserve">, the Commission </w:t>
      </w:r>
      <w:r w:rsidR="00540F59" w:rsidRPr="00B20BE9">
        <w:rPr>
          <w:rFonts w:eastAsia="Calibri"/>
          <w:bCs/>
          <w:sz w:val="24"/>
          <w:szCs w:val="24"/>
        </w:rPr>
        <w:t>addressed</w:t>
      </w:r>
      <w:r w:rsidRPr="00B20BE9">
        <w:rPr>
          <w:rFonts w:eastAsia="Calibri"/>
          <w:bCs/>
          <w:sz w:val="24"/>
          <w:szCs w:val="24"/>
        </w:rPr>
        <w:t xml:space="preserve"> whether the “actual taxes paid” doctrine required adoption of OCA’s state income tax adjustment proposal.  OCA had argued in that case, and in the instant case, that the utility’s inclusion of the state income tax “gross-up” in its DSIC calculation violated this doctrine.  The Commission determined in </w:t>
      </w:r>
      <w:r w:rsidRPr="00B20BE9">
        <w:rPr>
          <w:rFonts w:eastAsia="Calibri"/>
          <w:bCs/>
          <w:i/>
          <w:sz w:val="24"/>
          <w:szCs w:val="24"/>
        </w:rPr>
        <w:t>Columbia DSIC</w:t>
      </w:r>
      <w:r w:rsidRPr="00B20BE9">
        <w:rPr>
          <w:rFonts w:eastAsia="Calibri"/>
          <w:bCs/>
          <w:sz w:val="24"/>
          <w:szCs w:val="24"/>
        </w:rPr>
        <w:t xml:space="preserve"> that, while Columbia’s rates should reflect the state taxes actually paid by the utility, it was not convinced that eliminating the state tax “gross-up” included in the DSIC calculation would properly achieve that result.  It noted that Columbia’s base rates may reflect deductions that no longer apply because they may have been reduced or eliminated since the company’s last base rate case.  Therefore, to reflect these same types of deductions in relation to DSIC eligible plant in the DSIC calculation may result in overall rates that are further out of alignment with Columbia’s actual tax situation. </w:t>
      </w:r>
      <w:r w:rsidR="0042679F" w:rsidRPr="00B20BE9">
        <w:rPr>
          <w:rFonts w:eastAsia="Calibri"/>
          <w:bCs/>
          <w:sz w:val="24"/>
          <w:szCs w:val="24"/>
        </w:rPr>
        <w:t xml:space="preserve"> T</w:t>
      </w:r>
      <w:r w:rsidRPr="00B20BE9">
        <w:rPr>
          <w:rFonts w:eastAsia="Calibri"/>
          <w:bCs/>
          <w:sz w:val="24"/>
          <w:szCs w:val="24"/>
        </w:rPr>
        <w:t xml:space="preserve">he only way to determine </w:t>
      </w:r>
      <w:r w:rsidR="00050B18" w:rsidRPr="00B20BE9">
        <w:rPr>
          <w:rFonts w:eastAsia="Calibri"/>
          <w:bCs/>
          <w:sz w:val="24"/>
          <w:szCs w:val="24"/>
        </w:rPr>
        <w:t xml:space="preserve">Columbia’s actual taxes paid would be to conduct a full </w:t>
      </w:r>
      <w:r w:rsidR="00540F59" w:rsidRPr="00B20BE9">
        <w:rPr>
          <w:rFonts w:eastAsia="Calibri"/>
          <w:bCs/>
          <w:sz w:val="24"/>
          <w:szCs w:val="24"/>
        </w:rPr>
        <w:t>ra</w:t>
      </w:r>
      <w:r w:rsidR="00050B18" w:rsidRPr="00B20BE9">
        <w:rPr>
          <w:rFonts w:eastAsia="Calibri"/>
          <w:bCs/>
          <w:sz w:val="24"/>
          <w:szCs w:val="24"/>
        </w:rPr>
        <w:t xml:space="preserve">te case analysis, </w:t>
      </w:r>
      <w:r w:rsidR="00540F59" w:rsidRPr="00B20BE9">
        <w:rPr>
          <w:rFonts w:eastAsia="Calibri"/>
          <w:bCs/>
          <w:sz w:val="24"/>
          <w:szCs w:val="24"/>
        </w:rPr>
        <w:t>but this would</w:t>
      </w:r>
      <w:r w:rsidR="00050B18" w:rsidRPr="00B20BE9">
        <w:rPr>
          <w:rFonts w:eastAsia="Calibri"/>
          <w:bCs/>
          <w:sz w:val="24"/>
          <w:szCs w:val="24"/>
        </w:rPr>
        <w:t xml:space="preserve"> complicate the DSIC process and lead to litigation as to the Company’s state tax liability</w:t>
      </w:r>
      <w:r w:rsidR="00540F59" w:rsidRPr="00B20BE9">
        <w:rPr>
          <w:rFonts w:eastAsia="Calibri"/>
          <w:bCs/>
          <w:sz w:val="24"/>
          <w:szCs w:val="24"/>
        </w:rPr>
        <w:t>, in contravention of the DSIC purpose</w:t>
      </w:r>
      <w:r w:rsidR="00050B18" w:rsidRPr="00B20BE9">
        <w:rPr>
          <w:rFonts w:eastAsia="Calibri"/>
          <w:bCs/>
          <w:sz w:val="24"/>
          <w:szCs w:val="24"/>
        </w:rPr>
        <w:t>.</w:t>
      </w:r>
    </w:p>
    <w:p w:rsidR="00540F59" w:rsidRPr="00B20BE9" w:rsidRDefault="00540F59" w:rsidP="00AB6DF7">
      <w:pPr>
        <w:keepNext/>
        <w:outlineLvl w:val="2"/>
        <w:rPr>
          <w:rFonts w:eastAsia="Calibri"/>
          <w:bCs/>
          <w:sz w:val="24"/>
          <w:szCs w:val="24"/>
        </w:rPr>
      </w:pPr>
    </w:p>
    <w:p w:rsidR="009C7727" w:rsidRPr="00B20BE9" w:rsidRDefault="00540F59" w:rsidP="00AB6DF7">
      <w:pPr>
        <w:keepNext/>
        <w:outlineLvl w:val="2"/>
        <w:rPr>
          <w:rFonts w:eastAsia="Calibri"/>
          <w:bCs/>
          <w:sz w:val="24"/>
          <w:szCs w:val="24"/>
        </w:rPr>
      </w:pPr>
      <w:r w:rsidRPr="00B20BE9">
        <w:rPr>
          <w:rFonts w:eastAsia="Calibri"/>
          <w:bCs/>
          <w:sz w:val="24"/>
          <w:szCs w:val="24"/>
        </w:rPr>
        <w:tab/>
      </w:r>
      <w:r w:rsidRPr="00B20BE9">
        <w:rPr>
          <w:rFonts w:eastAsia="Calibri"/>
          <w:bCs/>
          <w:sz w:val="24"/>
          <w:szCs w:val="24"/>
        </w:rPr>
        <w:tab/>
        <w:t xml:space="preserve">The Commission in </w:t>
      </w:r>
      <w:r w:rsidRPr="00B20BE9">
        <w:rPr>
          <w:rFonts w:eastAsia="Calibri"/>
          <w:bCs/>
          <w:i/>
          <w:sz w:val="24"/>
          <w:szCs w:val="24"/>
        </w:rPr>
        <w:t>Columbia DSIC</w:t>
      </w:r>
      <w:r w:rsidRPr="00B20BE9">
        <w:rPr>
          <w:rFonts w:eastAsia="Calibri"/>
          <w:bCs/>
          <w:sz w:val="24"/>
          <w:szCs w:val="24"/>
        </w:rPr>
        <w:t xml:space="preserve"> further found, as it had with respect to the ADIT adjustment, that the state income tax deductions would be reflected in the earnings cap calculation.  Therefore, consumers will be protected from DSIC rates that are unjust and unreasonable.</w:t>
      </w:r>
    </w:p>
    <w:p w:rsidR="00540F59" w:rsidRPr="00B20BE9" w:rsidRDefault="00540F59" w:rsidP="00AB6DF7">
      <w:pPr>
        <w:keepNext/>
        <w:outlineLvl w:val="2"/>
        <w:rPr>
          <w:rFonts w:eastAsia="Calibri"/>
          <w:bCs/>
          <w:sz w:val="24"/>
          <w:szCs w:val="24"/>
        </w:rPr>
      </w:pPr>
    </w:p>
    <w:p w:rsidR="00540F59" w:rsidRPr="00B20BE9" w:rsidRDefault="00540F59" w:rsidP="00AB6DF7">
      <w:pPr>
        <w:keepNext/>
        <w:outlineLvl w:val="2"/>
        <w:rPr>
          <w:rFonts w:eastAsia="Calibri"/>
          <w:bCs/>
          <w:sz w:val="24"/>
          <w:szCs w:val="24"/>
        </w:rPr>
      </w:pPr>
      <w:r w:rsidRPr="00B20BE9">
        <w:rPr>
          <w:rFonts w:eastAsia="Calibri"/>
          <w:bCs/>
          <w:sz w:val="24"/>
          <w:szCs w:val="24"/>
        </w:rPr>
        <w:tab/>
      </w:r>
      <w:r w:rsidRPr="00B20BE9">
        <w:rPr>
          <w:rFonts w:eastAsia="Calibri"/>
          <w:bCs/>
          <w:sz w:val="24"/>
          <w:szCs w:val="24"/>
        </w:rPr>
        <w:tab/>
        <w:t xml:space="preserve">In applying the Commission’s ruling in </w:t>
      </w:r>
      <w:r w:rsidRPr="00B20BE9">
        <w:rPr>
          <w:rFonts w:eastAsia="Calibri"/>
          <w:bCs/>
          <w:i/>
          <w:sz w:val="24"/>
          <w:szCs w:val="24"/>
        </w:rPr>
        <w:t>Columbia DSIC</w:t>
      </w:r>
      <w:r w:rsidRPr="00B20BE9">
        <w:rPr>
          <w:rFonts w:eastAsia="Calibri"/>
          <w:bCs/>
          <w:sz w:val="24"/>
          <w:szCs w:val="24"/>
        </w:rPr>
        <w:t xml:space="preserve"> to the instant proceeding, I also </w:t>
      </w:r>
      <w:r w:rsidR="00905698" w:rsidRPr="00B20BE9">
        <w:rPr>
          <w:rFonts w:eastAsia="Calibri"/>
          <w:bCs/>
          <w:sz w:val="24"/>
          <w:szCs w:val="24"/>
        </w:rPr>
        <w:t>conclude</w:t>
      </w:r>
      <w:r w:rsidRPr="00B20BE9">
        <w:rPr>
          <w:rFonts w:eastAsia="Calibri"/>
          <w:bCs/>
          <w:sz w:val="24"/>
          <w:szCs w:val="24"/>
        </w:rPr>
        <w:t xml:space="preserve">, based on this record, that the OCA’s proposal to eliminate the state income tax ”gross-up” </w:t>
      </w:r>
      <w:r w:rsidR="001C77B3" w:rsidRPr="00B20BE9">
        <w:rPr>
          <w:rFonts w:eastAsia="Calibri"/>
          <w:bCs/>
          <w:sz w:val="24"/>
          <w:szCs w:val="24"/>
        </w:rPr>
        <w:t xml:space="preserve">should not be recommended.  </w:t>
      </w:r>
      <w:r w:rsidR="00E4022D" w:rsidRPr="00B20BE9">
        <w:rPr>
          <w:rFonts w:eastAsia="Calibri"/>
          <w:bCs/>
          <w:sz w:val="24"/>
          <w:szCs w:val="24"/>
        </w:rPr>
        <w:t xml:space="preserve">As </w:t>
      </w:r>
      <w:r w:rsidR="001C77B3" w:rsidRPr="00B20BE9">
        <w:rPr>
          <w:rFonts w:eastAsia="Calibri"/>
          <w:bCs/>
          <w:sz w:val="24"/>
          <w:szCs w:val="24"/>
        </w:rPr>
        <w:t>demonstrated</w:t>
      </w:r>
      <w:r w:rsidR="00E4022D" w:rsidRPr="00B20BE9">
        <w:rPr>
          <w:rFonts w:eastAsia="Calibri"/>
          <w:bCs/>
          <w:sz w:val="24"/>
          <w:szCs w:val="24"/>
        </w:rPr>
        <w:t xml:space="preserve"> by PPL, it </w:t>
      </w:r>
      <w:r w:rsidR="00E4022D" w:rsidRPr="00B20BE9">
        <w:rPr>
          <w:rFonts w:eastAsia="Calibri"/>
          <w:sz w:val="24"/>
          <w:szCs w:val="24"/>
        </w:rPr>
        <w:t xml:space="preserve">would fail to reflect other changes in state income taxes that have occurred since the last base rate case, and therefore could produce rates that are further out of alignment with the taxes actually paid by PPL.  The only way to determine PPL’s actual taxes paid for state income tax purposes would be to conduct a full rate case analysis, which could result in further litigation about tax liability.  However, this would be inconsistent with the intent of the DSIC, which is to </w:t>
      </w:r>
      <w:r w:rsidR="0018494B" w:rsidRPr="00B20BE9">
        <w:rPr>
          <w:rFonts w:eastAsia="Calibri"/>
          <w:sz w:val="24"/>
          <w:szCs w:val="24"/>
        </w:rPr>
        <w:t>provide a</w:t>
      </w:r>
      <w:r w:rsidR="00E4022D" w:rsidRPr="00B20BE9">
        <w:rPr>
          <w:rFonts w:eastAsia="Calibri"/>
          <w:sz w:val="24"/>
          <w:szCs w:val="24"/>
        </w:rPr>
        <w:t xml:space="preserve"> straightforward mechanism that can readily be calculated and not require a full rate case analysis.</w:t>
      </w:r>
    </w:p>
    <w:p w:rsidR="001C77B3" w:rsidRPr="00B20BE9" w:rsidRDefault="001C77B3" w:rsidP="001C77B3">
      <w:pPr>
        <w:keepNext/>
        <w:rPr>
          <w:sz w:val="24"/>
          <w:szCs w:val="24"/>
        </w:rPr>
      </w:pPr>
    </w:p>
    <w:p w:rsidR="007A3DCA" w:rsidRPr="00B20BE9" w:rsidRDefault="001C77B3" w:rsidP="00905698">
      <w:pPr>
        <w:keepNext/>
        <w:rPr>
          <w:rFonts w:eastAsia="Calibri"/>
          <w:sz w:val="24"/>
          <w:szCs w:val="24"/>
        </w:rPr>
      </w:pPr>
      <w:r w:rsidRPr="00B20BE9">
        <w:rPr>
          <w:sz w:val="24"/>
          <w:szCs w:val="24"/>
        </w:rPr>
        <w:tab/>
      </w:r>
      <w:r w:rsidRPr="00B20BE9">
        <w:rPr>
          <w:sz w:val="24"/>
          <w:szCs w:val="24"/>
        </w:rPr>
        <w:tab/>
        <w:t xml:space="preserve">I also find, as </w:t>
      </w:r>
      <w:r w:rsidR="0018494B" w:rsidRPr="00B20BE9">
        <w:rPr>
          <w:sz w:val="24"/>
          <w:szCs w:val="24"/>
        </w:rPr>
        <w:t>contended</w:t>
      </w:r>
      <w:r w:rsidRPr="00B20BE9">
        <w:rPr>
          <w:sz w:val="24"/>
          <w:szCs w:val="24"/>
        </w:rPr>
        <w:t xml:space="preserve"> by PPL, that the Company’s quarterly earnings reports, which are used to determine achieved rate of return for earnings cap purposes, reflect a wide variety of individual adjustments that would be considered in a base rate proceeding, including PPL’s state income tax deductions.  Accordingly, the earnings cap </w:t>
      </w:r>
      <w:r w:rsidR="00905698" w:rsidRPr="00B20BE9">
        <w:rPr>
          <w:sz w:val="24"/>
          <w:szCs w:val="24"/>
        </w:rPr>
        <w:t>ensures that customers will</w:t>
      </w:r>
      <w:r w:rsidRPr="00B20BE9">
        <w:rPr>
          <w:sz w:val="24"/>
          <w:szCs w:val="24"/>
        </w:rPr>
        <w:t xml:space="preserve"> not be charged DSIC rates that are unjust and unreasonable</w:t>
      </w:r>
      <w:r w:rsidR="00905698" w:rsidRPr="00B20BE9">
        <w:rPr>
          <w:sz w:val="24"/>
          <w:szCs w:val="24"/>
        </w:rPr>
        <w:t xml:space="preserve"> and a further adjustment to eliminate the state income tax “gross-up” is not necessary.</w:t>
      </w:r>
      <w:bookmarkEnd w:id="15"/>
    </w:p>
    <w:p w:rsidR="007743E4" w:rsidRPr="00B20BE9" w:rsidRDefault="007743E4" w:rsidP="00905698">
      <w:pPr>
        <w:keepNext/>
        <w:rPr>
          <w:rFonts w:eastAsia="Calibri"/>
          <w:sz w:val="24"/>
          <w:szCs w:val="24"/>
        </w:rPr>
      </w:pPr>
    </w:p>
    <w:p w:rsidR="007743E4" w:rsidRPr="00B20BE9" w:rsidRDefault="00F72DB9" w:rsidP="00905698">
      <w:pPr>
        <w:keepNext/>
        <w:rPr>
          <w:rFonts w:eastAsia="Calibri"/>
          <w:sz w:val="24"/>
          <w:szCs w:val="24"/>
          <w:u w:val="single"/>
        </w:rPr>
      </w:pPr>
      <w:r w:rsidRPr="00B20BE9">
        <w:rPr>
          <w:rFonts w:eastAsia="Calibri"/>
          <w:sz w:val="24"/>
          <w:szCs w:val="24"/>
        </w:rPr>
        <w:t>C.</w:t>
      </w:r>
      <w:r w:rsidRPr="00B20BE9">
        <w:rPr>
          <w:rFonts w:eastAsia="Calibri"/>
          <w:sz w:val="24"/>
          <w:szCs w:val="24"/>
        </w:rPr>
        <w:tab/>
      </w:r>
      <w:r w:rsidR="00B168D3" w:rsidRPr="00B20BE9">
        <w:rPr>
          <w:rFonts w:eastAsia="Calibri"/>
          <w:sz w:val="24"/>
          <w:szCs w:val="24"/>
          <w:u w:val="single"/>
        </w:rPr>
        <w:t>Application of the DSIC to Rate Schedule LP-5</w:t>
      </w:r>
      <w:r w:rsidR="005351A1">
        <w:rPr>
          <w:rFonts w:eastAsia="Calibri"/>
          <w:sz w:val="24"/>
          <w:szCs w:val="24"/>
          <w:u w:val="single"/>
        </w:rPr>
        <w:fldChar w:fldCharType="begin"/>
      </w:r>
      <w:r w:rsidR="005351A1">
        <w:instrText xml:space="preserve"> TC "</w:instrText>
      </w:r>
      <w:bookmarkStart w:id="17" w:name="_Toc394309044"/>
      <w:r w:rsidR="005351A1" w:rsidRPr="008742F7">
        <w:rPr>
          <w:rFonts w:eastAsia="Calibri"/>
          <w:sz w:val="24"/>
          <w:szCs w:val="24"/>
        </w:rPr>
        <w:instrText>C.</w:instrText>
      </w:r>
      <w:r w:rsidR="005351A1" w:rsidRPr="008742F7">
        <w:rPr>
          <w:rFonts w:eastAsia="Calibri"/>
          <w:sz w:val="24"/>
          <w:szCs w:val="24"/>
        </w:rPr>
        <w:tab/>
      </w:r>
      <w:r w:rsidR="005351A1" w:rsidRPr="008742F7">
        <w:rPr>
          <w:rFonts w:eastAsia="Calibri"/>
          <w:sz w:val="24"/>
          <w:szCs w:val="24"/>
          <w:u w:val="single"/>
        </w:rPr>
        <w:instrText>Application of the DSIC to Rate Schedule LP-5</w:instrText>
      </w:r>
      <w:bookmarkEnd w:id="17"/>
      <w:r w:rsidR="005351A1">
        <w:instrText xml:space="preserve">" \f C \l "2" </w:instrText>
      </w:r>
      <w:r w:rsidR="005351A1">
        <w:rPr>
          <w:rFonts w:eastAsia="Calibri"/>
          <w:sz w:val="24"/>
          <w:szCs w:val="24"/>
          <w:u w:val="single"/>
        </w:rPr>
        <w:fldChar w:fldCharType="end"/>
      </w:r>
    </w:p>
    <w:p w:rsidR="0018494B" w:rsidRPr="00B20BE9" w:rsidRDefault="0018494B" w:rsidP="00905698">
      <w:pPr>
        <w:keepNext/>
        <w:rPr>
          <w:rFonts w:eastAsia="Calibri"/>
          <w:sz w:val="24"/>
          <w:szCs w:val="24"/>
          <w:u w:val="single"/>
        </w:rPr>
      </w:pPr>
    </w:p>
    <w:p w:rsidR="0018494B" w:rsidRPr="00B20BE9" w:rsidRDefault="0018494B" w:rsidP="005351A1">
      <w:pPr>
        <w:keepNext/>
        <w:ind w:left="720"/>
        <w:rPr>
          <w:rFonts w:eastAsia="Calibri"/>
          <w:sz w:val="24"/>
          <w:szCs w:val="24"/>
          <w:u w:val="single"/>
        </w:rPr>
      </w:pPr>
      <w:r w:rsidRPr="00B20BE9">
        <w:rPr>
          <w:rFonts w:eastAsia="Calibri"/>
          <w:sz w:val="24"/>
          <w:szCs w:val="24"/>
        </w:rPr>
        <w:t>1.</w:t>
      </w:r>
      <w:r w:rsidRPr="00B20BE9">
        <w:rPr>
          <w:rFonts w:eastAsia="Calibri"/>
          <w:sz w:val="24"/>
          <w:szCs w:val="24"/>
        </w:rPr>
        <w:tab/>
      </w:r>
      <w:r w:rsidRPr="00B20BE9">
        <w:rPr>
          <w:rFonts w:eastAsia="Calibri"/>
          <w:sz w:val="24"/>
          <w:szCs w:val="24"/>
          <w:u w:val="single"/>
        </w:rPr>
        <w:t>PPLICA Position</w:t>
      </w:r>
      <w:r w:rsidR="005351A1">
        <w:rPr>
          <w:rFonts w:eastAsia="Calibri"/>
          <w:sz w:val="24"/>
          <w:szCs w:val="24"/>
          <w:u w:val="single"/>
        </w:rPr>
        <w:fldChar w:fldCharType="begin"/>
      </w:r>
      <w:r w:rsidR="005351A1">
        <w:instrText xml:space="preserve"> TC "</w:instrText>
      </w:r>
      <w:bookmarkStart w:id="18" w:name="_Toc394309045"/>
      <w:r w:rsidR="005351A1" w:rsidRPr="008742F7">
        <w:rPr>
          <w:rFonts w:eastAsia="Calibri"/>
          <w:sz w:val="24"/>
          <w:szCs w:val="24"/>
        </w:rPr>
        <w:instrText>1.</w:instrText>
      </w:r>
      <w:r w:rsidR="005351A1" w:rsidRPr="008742F7">
        <w:rPr>
          <w:rFonts w:eastAsia="Calibri"/>
          <w:sz w:val="24"/>
          <w:szCs w:val="24"/>
        </w:rPr>
        <w:tab/>
      </w:r>
      <w:r w:rsidR="005351A1" w:rsidRPr="008742F7">
        <w:rPr>
          <w:rFonts w:eastAsia="Calibri"/>
          <w:sz w:val="24"/>
          <w:szCs w:val="24"/>
          <w:u w:val="single"/>
        </w:rPr>
        <w:instrText>PPLICA Position</w:instrText>
      </w:r>
      <w:bookmarkEnd w:id="18"/>
      <w:r w:rsidR="005351A1">
        <w:instrText xml:space="preserve">" \f C \l "3" </w:instrText>
      </w:r>
      <w:r w:rsidR="005351A1">
        <w:rPr>
          <w:rFonts w:eastAsia="Calibri"/>
          <w:sz w:val="24"/>
          <w:szCs w:val="24"/>
          <w:u w:val="single"/>
        </w:rPr>
        <w:fldChar w:fldCharType="end"/>
      </w:r>
    </w:p>
    <w:p w:rsidR="0041286C" w:rsidRPr="00B20BE9" w:rsidRDefault="0041286C" w:rsidP="00905698">
      <w:pPr>
        <w:keepNext/>
        <w:rPr>
          <w:rFonts w:eastAsia="Calibri"/>
          <w:sz w:val="24"/>
          <w:szCs w:val="24"/>
          <w:u w:val="single"/>
        </w:rPr>
      </w:pPr>
    </w:p>
    <w:p w:rsidR="00DE51FA" w:rsidRPr="00B20BE9" w:rsidRDefault="00B874A2" w:rsidP="00BE69E4">
      <w:pPr>
        <w:keepNext/>
        <w:rPr>
          <w:rFonts w:eastAsia="Calibri"/>
          <w:sz w:val="24"/>
          <w:szCs w:val="24"/>
        </w:rPr>
      </w:pPr>
      <w:r w:rsidRPr="00B20BE9">
        <w:rPr>
          <w:rFonts w:eastAsia="Calibri"/>
          <w:sz w:val="24"/>
          <w:szCs w:val="24"/>
        </w:rPr>
        <w:tab/>
      </w:r>
      <w:r w:rsidRPr="00B20BE9">
        <w:rPr>
          <w:rFonts w:eastAsia="Calibri"/>
          <w:sz w:val="24"/>
          <w:szCs w:val="24"/>
        </w:rPr>
        <w:tab/>
      </w:r>
      <w:r w:rsidR="006C07D1" w:rsidRPr="00B20BE9">
        <w:rPr>
          <w:rFonts w:eastAsia="Calibri"/>
          <w:sz w:val="24"/>
          <w:szCs w:val="24"/>
        </w:rPr>
        <w:t xml:space="preserve">In its Main Brief, </w:t>
      </w:r>
      <w:r w:rsidR="00BE69E4" w:rsidRPr="00B20BE9">
        <w:rPr>
          <w:rFonts w:eastAsia="Calibri"/>
          <w:sz w:val="24"/>
          <w:szCs w:val="24"/>
        </w:rPr>
        <w:t>PPLICA asserted that the Commission should exempt Rate Schedule LP-5</w:t>
      </w:r>
      <w:r w:rsidR="00482918" w:rsidRPr="00B20BE9">
        <w:rPr>
          <w:rStyle w:val="FootnoteReference"/>
          <w:rFonts w:eastAsia="Calibri"/>
          <w:sz w:val="24"/>
          <w:szCs w:val="24"/>
        </w:rPr>
        <w:footnoteReference w:id="5"/>
      </w:r>
      <w:r w:rsidR="00BE69E4" w:rsidRPr="00B20BE9">
        <w:rPr>
          <w:rFonts w:eastAsia="Calibri"/>
          <w:sz w:val="24"/>
          <w:szCs w:val="24"/>
        </w:rPr>
        <w:t xml:space="preserve"> customers from payment of PPL’s DSIC and refund all DSIC revenues collected from LP-5 customers to date.  </w:t>
      </w:r>
      <w:r w:rsidR="006C07D1" w:rsidRPr="00B20BE9">
        <w:rPr>
          <w:rFonts w:eastAsia="Calibri"/>
          <w:sz w:val="24"/>
          <w:szCs w:val="24"/>
        </w:rPr>
        <w:t>It</w:t>
      </w:r>
      <w:r w:rsidR="00BE69E4" w:rsidRPr="00B20BE9">
        <w:rPr>
          <w:rFonts w:eastAsia="Calibri"/>
          <w:sz w:val="24"/>
          <w:szCs w:val="24"/>
        </w:rPr>
        <w:t xml:space="preserve"> placed heavy reliance on the Commission’s </w:t>
      </w:r>
      <w:r w:rsidR="00BE69E4" w:rsidRPr="00B20BE9">
        <w:rPr>
          <w:rFonts w:eastAsia="Calibri"/>
          <w:i/>
          <w:sz w:val="24"/>
          <w:szCs w:val="24"/>
        </w:rPr>
        <w:t>Final Implementation Order</w:t>
      </w:r>
      <w:r w:rsidR="00C205BF" w:rsidRPr="00B20BE9">
        <w:rPr>
          <w:rFonts w:eastAsia="Calibri"/>
          <w:i/>
          <w:sz w:val="24"/>
          <w:szCs w:val="24"/>
        </w:rPr>
        <w:t xml:space="preserve"> </w:t>
      </w:r>
      <w:r w:rsidR="00C205BF" w:rsidRPr="00B20BE9">
        <w:rPr>
          <w:rFonts w:eastAsia="Calibri"/>
          <w:sz w:val="24"/>
          <w:szCs w:val="24"/>
        </w:rPr>
        <w:t xml:space="preserve">at page 46, which </w:t>
      </w:r>
      <w:r w:rsidR="00482918" w:rsidRPr="00B20BE9">
        <w:rPr>
          <w:rFonts w:eastAsia="Calibri"/>
          <w:sz w:val="24"/>
          <w:szCs w:val="24"/>
        </w:rPr>
        <w:t>states</w:t>
      </w:r>
      <w:r w:rsidR="00930059">
        <w:rPr>
          <w:rFonts w:eastAsia="Calibri"/>
          <w:sz w:val="24"/>
          <w:szCs w:val="24"/>
        </w:rPr>
        <w:t>:</w:t>
      </w:r>
    </w:p>
    <w:p w:rsidR="00DE51FA" w:rsidRPr="00B20BE9" w:rsidRDefault="00DE51FA" w:rsidP="00BE69E4">
      <w:pPr>
        <w:keepNext/>
        <w:rPr>
          <w:rFonts w:eastAsia="Calibri"/>
          <w:sz w:val="24"/>
          <w:szCs w:val="24"/>
        </w:rPr>
      </w:pPr>
    </w:p>
    <w:p w:rsidR="00E571F6" w:rsidRPr="00B20BE9" w:rsidRDefault="00E571F6" w:rsidP="00E571F6">
      <w:pPr>
        <w:keepNext/>
        <w:spacing w:line="240" w:lineRule="auto"/>
        <w:ind w:left="1440" w:right="1440"/>
        <w:rPr>
          <w:sz w:val="24"/>
          <w:szCs w:val="24"/>
        </w:rPr>
      </w:pPr>
      <w:r w:rsidRPr="00B20BE9">
        <w:rPr>
          <w:sz w:val="24"/>
          <w:szCs w:val="24"/>
        </w:rPr>
        <w:t>With regard to the issue of applying a DSIC surcharge to EDC customers receiving service at transmission voltages, we are in general agreement with EAP [Energy Association of PA] and other commenters that a DSIC surcharge should not be applied to such customers.</w:t>
      </w:r>
    </w:p>
    <w:p w:rsidR="00F232FE" w:rsidRPr="00B20BE9" w:rsidRDefault="00F232FE" w:rsidP="00930059">
      <w:pPr>
        <w:keepNext/>
        <w:spacing w:line="240" w:lineRule="auto"/>
        <w:ind w:left="1440" w:right="1440"/>
        <w:rPr>
          <w:sz w:val="24"/>
          <w:szCs w:val="24"/>
        </w:rPr>
      </w:pPr>
    </w:p>
    <w:p w:rsidR="00B53D50" w:rsidRPr="00B20BE9" w:rsidRDefault="00F232FE" w:rsidP="00F232FE">
      <w:pPr>
        <w:keepNext/>
        <w:rPr>
          <w:sz w:val="24"/>
          <w:szCs w:val="24"/>
        </w:rPr>
      </w:pPr>
      <w:r w:rsidRPr="00B20BE9">
        <w:rPr>
          <w:sz w:val="24"/>
          <w:szCs w:val="24"/>
        </w:rPr>
        <w:t xml:space="preserve">PPLICA also acknowledged, however, that the </w:t>
      </w:r>
      <w:r w:rsidRPr="00B20BE9">
        <w:rPr>
          <w:i/>
          <w:sz w:val="24"/>
          <w:szCs w:val="24"/>
        </w:rPr>
        <w:t>Final Implementation Order</w:t>
      </w:r>
      <w:r w:rsidRPr="00B20BE9">
        <w:rPr>
          <w:sz w:val="24"/>
          <w:szCs w:val="24"/>
        </w:rPr>
        <w:t xml:space="preserve"> preserved limited authority for EDCs to apply </w:t>
      </w:r>
      <w:r w:rsidR="00482918" w:rsidRPr="00B20BE9">
        <w:rPr>
          <w:sz w:val="24"/>
          <w:szCs w:val="24"/>
        </w:rPr>
        <w:t xml:space="preserve">DSIC charges to transmission voltage customers.  According to PPLICA, this authority is only to be exercised as to “customers served from higher voltage facilities which are included within the EDC’s distribution plant for ratemaking purposes.”  </w:t>
      </w:r>
      <w:r w:rsidR="00482918" w:rsidRPr="00B20BE9">
        <w:rPr>
          <w:i/>
          <w:sz w:val="24"/>
          <w:szCs w:val="24"/>
        </w:rPr>
        <w:t>Id.</w:t>
      </w:r>
      <w:r w:rsidR="00930059">
        <w:rPr>
          <w:sz w:val="24"/>
          <w:szCs w:val="24"/>
        </w:rPr>
        <w:t xml:space="preserve"> at </w:t>
      </w:r>
      <w:r w:rsidR="00482918" w:rsidRPr="00B20BE9">
        <w:rPr>
          <w:sz w:val="24"/>
          <w:szCs w:val="24"/>
        </w:rPr>
        <w:t xml:space="preserve">46.  </w:t>
      </w:r>
      <w:r w:rsidRPr="00B20BE9">
        <w:rPr>
          <w:sz w:val="24"/>
          <w:szCs w:val="24"/>
        </w:rPr>
        <w:t>Based on th</w:t>
      </w:r>
      <w:r w:rsidR="00482918" w:rsidRPr="00B20BE9">
        <w:rPr>
          <w:sz w:val="24"/>
          <w:szCs w:val="24"/>
        </w:rPr>
        <w:t>ese</w:t>
      </w:r>
      <w:r w:rsidRPr="00B20BE9">
        <w:rPr>
          <w:sz w:val="24"/>
          <w:szCs w:val="24"/>
        </w:rPr>
        <w:t xml:space="preserve"> statement</w:t>
      </w:r>
      <w:r w:rsidR="00482918" w:rsidRPr="00B20BE9">
        <w:rPr>
          <w:sz w:val="24"/>
          <w:szCs w:val="24"/>
        </w:rPr>
        <w:t>s</w:t>
      </w:r>
      <w:r w:rsidRPr="00B20BE9">
        <w:rPr>
          <w:sz w:val="24"/>
          <w:szCs w:val="24"/>
        </w:rPr>
        <w:t xml:space="preserve">, PPLICA asserted that the relevant inquiry in this proceeding is </w:t>
      </w:r>
      <w:r w:rsidR="00E05795" w:rsidRPr="00B20BE9">
        <w:rPr>
          <w:sz w:val="24"/>
          <w:szCs w:val="24"/>
        </w:rPr>
        <w:t xml:space="preserve">not </w:t>
      </w:r>
      <w:r w:rsidRPr="00B20BE9">
        <w:rPr>
          <w:sz w:val="24"/>
          <w:szCs w:val="24"/>
        </w:rPr>
        <w:t>whether</w:t>
      </w:r>
      <w:r w:rsidR="00E05795" w:rsidRPr="00B20BE9">
        <w:rPr>
          <w:sz w:val="24"/>
          <w:szCs w:val="24"/>
        </w:rPr>
        <w:t xml:space="preserve"> any costs of serving LP-5 customers are recovered through distribution rates but whether the cost of </w:t>
      </w:r>
      <w:r w:rsidR="00E05795" w:rsidRPr="00B20BE9">
        <w:rPr>
          <w:sz w:val="24"/>
          <w:szCs w:val="24"/>
          <w:u w:val="single"/>
        </w:rPr>
        <w:t>higher voltage facilities</w:t>
      </w:r>
      <w:r w:rsidR="00E05795" w:rsidRPr="00B20BE9">
        <w:rPr>
          <w:sz w:val="24"/>
          <w:szCs w:val="24"/>
        </w:rPr>
        <w:t xml:space="preserve"> serving LP-5 customers are included in distribution rates.  </w:t>
      </w:r>
      <w:r w:rsidR="00482918" w:rsidRPr="00B20BE9">
        <w:rPr>
          <w:sz w:val="24"/>
          <w:szCs w:val="24"/>
        </w:rPr>
        <w:t xml:space="preserve">If these </w:t>
      </w:r>
      <w:r w:rsidR="001A1F12" w:rsidRPr="00B20BE9">
        <w:rPr>
          <w:sz w:val="24"/>
          <w:szCs w:val="24"/>
        </w:rPr>
        <w:t>high voltage facility costs</w:t>
      </w:r>
      <w:r w:rsidR="00482918" w:rsidRPr="00B20BE9">
        <w:rPr>
          <w:sz w:val="24"/>
          <w:szCs w:val="24"/>
        </w:rPr>
        <w:t xml:space="preserve"> are</w:t>
      </w:r>
      <w:r w:rsidR="009C3DCC" w:rsidRPr="00B20BE9">
        <w:rPr>
          <w:sz w:val="24"/>
          <w:szCs w:val="24"/>
        </w:rPr>
        <w:t xml:space="preserve"> not </w:t>
      </w:r>
      <w:r w:rsidR="00482918" w:rsidRPr="00B20BE9">
        <w:rPr>
          <w:sz w:val="24"/>
          <w:szCs w:val="24"/>
        </w:rPr>
        <w:t>included, then the DSIC may not be applied to the</w:t>
      </w:r>
      <w:r w:rsidR="009C3DCC" w:rsidRPr="00B20BE9">
        <w:rPr>
          <w:sz w:val="24"/>
          <w:szCs w:val="24"/>
        </w:rPr>
        <w:t>se customers.</w:t>
      </w:r>
      <w:r w:rsidR="00356A35" w:rsidRPr="00B20BE9">
        <w:rPr>
          <w:sz w:val="24"/>
          <w:szCs w:val="24"/>
        </w:rPr>
        <w:t xml:space="preserve">  PPLICA M.B., pp. 5-6.</w:t>
      </w:r>
    </w:p>
    <w:p w:rsidR="00B53D50" w:rsidRPr="00B20BE9" w:rsidRDefault="00B53D50" w:rsidP="00F232FE">
      <w:pPr>
        <w:keepNext/>
        <w:rPr>
          <w:sz w:val="24"/>
          <w:szCs w:val="24"/>
        </w:rPr>
      </w:pPr>
    </w:p>
    <w:p w:rsidR="00D66540" w:rsidRPr="00B20BE9" w:rsidRDefault="00B53D50" w:rsidP="00F232FE">
      <w:pPr>
        <w:keepNext/>
        <w:rPr>
          <w:sz w:val="24"/>
          <w:szCs w:val="24"/>
        </w:rPr>
      </w:pPr>
      <w:r w:rsidRPr="00B20BE9">
        <w:rPr>
          <w:sz w:val="24"/>
          <w:szCs w:val="24"/>
        </w:rPr>
        <w:tab/>
      </w:r>
      <w:r w:rsidRPr="00B20BE9">
        <w:rPr>
          <w:sz w:val="24"/>
          <w:szCs w:val="24"/>
        </w:rPr>
        <w:tab/>
      </w:r>
      <w:r w:rsidR="004D28F8" w:rsidRPr="00B20BE9">
        <w:rPr>
          <w:sz w:val="24"/>
          <w:szCs w:val="24"/>
        </w:rPr>
        <w:t xml:space="preserve">PPLICA asserted that it has proffered substantial evidence establishing that higher voltage facilities serving LP-5 customers are not included in PPL’s distribution rates.  </w:t>
      </w:r>
      <w:r w:rsidR="00D66540" w:rsidRPr="00B20BE9">
        <w:rPr>
          <w:sz w:val="24"/>
          <w:szCs w:val="24"/>
        </w:rPr>
        <w:t xml:space="preserve">It emphasized that LP-5 customers buy all the equipment necessary to take high voltage service from PPL’s transmission lines without use of utility-owned facilities.  </w:t>
      </w:r>
      <w:r w:rsidR="00676AB3" w:rsidRPr="00B20BE9">
        <w:rPr>
          <w:sz w:val="24"/>
          <w:szCs w:val="24"/>
        </w:rPr>
        <w:t xml:space="preserve">Its witness Richard A. </w:t>
      </w:r>
      <w:r w:rsidR="00D66540" w:rsidRPr="00B20BE9">
        <w:rPr>
          <w:sz w:val="24"/>
          <w:szCs w:val="24"/>
        </w:rPr>
        <w:t>Baudino described the distribution plant costs to be re</w:t>
      </w:r>
      <w:r w:rsidR="00AA62B0">
        <w:rPr>
          <w:sz w:val="24"/>
          <w:szCs w:val="24"/>
        </w:rPr>
        <w:t>covered in the DSIC as follows:</w:t>
      </w:r>
    </w:p>
    <w:p w:rsidR="00D66540" w:rsidRPr="00B20BE9" w:rsidRDefault="00D66540" w:rsidP="00F232FE">
      <w:pPr>
        <w:keepNext/>
        <w:rPr>
          <w:sz w:val="24"/>
          <w:szCs w:val="24"/>
        </w:rPr>
      </w:pPr>
    </w:p>
    <w:p w:rsidR="00D66540" w:rsidRPr="00B20BE9" w:rsidRDefault="00D66540" w:rsidP="00D66540">
      <w:pPr>
        <w:spacing w:line="240" w:lineRule="auto"/>
        <w:ind w:left="1440" w:right="1440"/>
        <w:rPr>
          <w:sz w:val="24"/>
          <w:szCs w:val="24"/>
        </w:rPr>
      </w:pPr>
      <w:r w:rsidRPr="00B20BE9">
        <w:rPr>
          <w:sz w:val="24"/>
          <w:szCs w:val="24"/>
        </w:rPr>
        <w:t>[T]he Commission determines eligibility for DSIC charges based on the allocation of an Electric Distribution Company's ("EDC") distribution plant costs, not simply recovery of any O&amp;M, administrative and general, or other customer related costs.  "Plant" refers to physical facilities (</w:t>
      </w:r>
      <w:r w:rsidRPr="00B20BE9">
        <w:rPr>
          <w:i/>
          <w:sz w:val="24"/>
          <w:szCs w:val="24"/>
        </w:rPr>
        <w:t xml:space="preserve">i.e., </w:t>
      </w:r>
      <w:r w:rsidRPr="00B20BE9">
        <w:rPr>
          <w:sz w:val="24"/>
          <w:szCs w:val="24"/>
        </w:rPr>
        <w:t xml:space="preserve">rate base) upon which PPL is entitled to earn a return. </w:t>
      </w:r>
      <w:r w:rsidR="00AA62B0">
        <w:rPr>
          <w:sz w:val="24"/>
          <w:szCs w:val="24"/>
        </w:rPr>
        <w:t xml:space="preserve"> </w:t>
      </w:r>
      <w:r w:rsidRPr="00B20BE9">
        <w:rPr>
          <w:sz w:val="24"/>
          <w:szCs w:val="24"/>
        </w:rPr>
        <w:t>Expenses such as O&amp;M or administrative and general are distinct in the ratemaking formula (Revenue Requirement = Expenses + Rate of Return(Rate Base)).  As the 69 kV facilities serving LP-5 customer</w:t>
      </w:r>
      <w:r w:rsidR="00E05795" w:rsidRPr="00B20BE9">
        <w:rPr>
          <w:sz w:val="24"/>
          <w:szCs w:val="24"/>
        </w:rPr>
        <w:t>[s]</w:t>
      </w:r>
      <w:r w:rsidRPr="00B20BE9">
        <w:rPr>
          <w:sz w:val="24"/>
          <w:szCs w:val="24"/>
        </w:rPr>
        <w:t xml:space="preserve"> are not included as part of PPL's distribution plant, PPL's DSIC should not</w:t>
      </w:r>
      <w:r w:rsidR="00AA62B0">
        <w:rPr>
          <w:sz w:val="24"/>
          <w:szCs w:val="24"/>
        </w:rPr>
        <w:t xml:space="preserve"> be applied to LP-5 customers.</w:t>
      </w:r>
    </w:p>
    <w:p w:rsidR="00D66540" w:rsidRPr="00B20BE9" w:rsidRDefault="00D66540" w:rsidP="00AA62B0">
      <w:pPr>
        <w:spacing w:line="240" w:lineRule="auto"/>
        <w:ind w:left="1440" w:right="1440"/>
        <w:rPr>
          <w:sz w:val="24"/>
          <w:szCs w:val="24"/>
        </w:rPr>
      </w:pPr>
    </w:p>
    <w:p w:rsidR="00D66540" w:rsidRPr="00B20BE9" w:rsidRDefault="0070247B" w:rsidP="00D66540">
      <w:pPr>
        <w:spacing w:line="240" w:lineRule="auto"/>
        <w:rPr>
          <w:sz w:val="24"/>
          <w:szCs w:val="24"/>
        </w:rPr>
      </w:pPr>
      <w:r w:rsidRPr="00B20BE9">
        <w:rPr>
          <w:sz w:val="24"/>
          <w:szCs w:val="24"/>
        </w:rPr>
        <w:t xml:space="preserve">PPLICA St. No. 1-SR, p. </w:t>
      </w:r>
      <w:r w:rsidR="00D66540" w:rsidRPr="00B20BE9">
        <w:rPr>
          <w:sz w:val="24"/>
          <w:szCs w:val="24"/>
        </w:rPr>
        <w:t>3.</w:t>
      </w:r>
    </w:p>
    <w:p w:rsidR="00D66540" w:rsidRPr="00B20BE9" w:rsidRDefault="00D66540" w:rsidP="00D66540">
      <w:pPr>
        <w:rPr>
          <w:sz w:val="24"/>
          <w:szCs w:val="24"/>
        </w:rPr>
      </w:pPr>
    </w:p>
    <w:p w:rsidR="00D66540" w:rsidRPr="00B20BE9" w:rsidRDefault="00D66540" w:rsidP="00D66540">
      <w:pPr>
        <w:rPr>
          <w:sz w:val="24"/>
          <w:szCs w:val="24"/>
        </w:rPr>
      </w:pPr>
      <w:r w:rsidRPr="00B20BE9">
        <w:rPr>
          <w:sz w:val="24"/>
          <w:szCs w:val="24"/>
        </w:rPr>
        <w:tab/>
      </w:r>
      <w:r w:rsidRPr="00B20BE9">
        <w:rPr>
          <w:sz w:val="24"/>
          <w:szCs w:val="24"/>
        </w:rPr>
        <w:tab/>
      </w:r>
      <w:r w:rsidR="00B26053" w:rsidRPr="00B20BE9">
        <w:rPr>
          <w:sz w:val="24"/>
          <w:szCs w:val="24"/>
        </w:rPr>
        <w:t xml:space="preserve">In addition, PPLICA </w:t>
      </w:r>
      <w:r w:rsidR="00C0728E" w:rsidRPr="00B20BE9">
        <w:rPr>
          <w:sz w:val="24"/>
          <w:szCs w:val="24"/>
        </w:rPr>
        <w:t>referenced PPL’s tariff definition of distribution system as being instructive of the costs at issue in this proceeding.  The tariff defines distribution system as follows:</w:t>
      </w:r>
    </w:p>
    <w:p w:rsidR="00C0728E" w:rsidRPr="00B20BE9" w:rsidRDefault="00C0728E" w:rsidP="00D66540">
      <w:pPr>
        <w:rPr>
          <w:sz w:val="24"/>
          <w:szCs w:val="24"/>
        </w:rPr>
      </w:pPr>
    </w:p>
    <w:p w:rsidR="00C0728E" w:rsidRPr="00B20BE9" w:rsidRDefault="00C0728E" w:rsidP="00C0728E">
      <w:pPr>
        <w:autoSpaceDE w:val="0"/>
        <w:autoSpaceDN w:val="0"/>
        <w:adjustRightInd w:val="0"/>
        <w:spacing w:line="240" w:lineRule="auto"/>
        <w:ind w:left="1440" w:right="1440"/>
        <w:rPr>
          <w:sz w:val="24"/>
          <w:szCs w:val="24"/>
        </w:rPr>
      </w:pPr>
      <w:r w:rsidRPr="00B20BE9">
        <w:rPr>
          <w:sz w:val="24"/>
          <w:szCs w:val="24"/>
        </w:rPr>
        <w:t xml:space="preserve">The distribution system is defined, for the purposes of this rule, as </w:t>
      </w:r>
      <w:r w:rsidRPr="00B20BE9">
        <w:rPr>
          <w:i/>
          <w:sz w:val="24"/>
          <w:szCs w:val="24"/>
        </w:rPr>
        <w:t xml:space="preserve">including all lines </w:t>
      </w:r>
      <w:r w:rsidRPr="00B20BE9">
        <w:rPr>
          <w:sz w:val="24"/>
          <w:szCs w:val="24"/>
        </w:rPr>
        <w:t>energized at voltages</w:t>
      </w:r>
      <w:r w:rsidR="00AA62B0">
        <w:rPr>
          <w:i/>
          <w:sz w:val="24"/>
          <w:szCs w:val="24"/>
        </w:rPr>
        <w:t xml:space="preserve"> less than the nominal </w:t>
      </w:r>
      <w:r w:rsidRPr="00B20BE9">
        <w:rPr>
          <w:i/>
          <w:sz w:val="24"/>
          <w:szCs w:val="24"/>
        </w:rPr>
        <w:t>69,000 volts</w:t>
      </w:r>
      <w:r w:rsidRPr="00B20BE9">
        <w:rPr>
          <w:sz w:val="24"/>
          <w:szCs w:val="24"/>
        </w:rPr>
        <w:t xml:space="preserve"> and </w:t>
      </w:r>
      <w:r w:rsidRPr="00B20BE9">
        <w:rPr>
          <w:i/>
          <w:sz w:val="24"/>
          <w:szCs w:val="24"/>
        </w:rPr>
        <w:t xml:space="preserve">excluding service extensions and lines </w:t>
      </w:r>
      <w:r w:rsidRPr="00B20BE9">
        <w:rPr>
          <w:sz w:val="24"/>
          <w:szCs w:val="24"/>
        </w:rPr>
        <w:t>energized at voltages of nominal</w:t>
      </w:r>
      <w:r w:rsidRPr="00B20BE9">
        <w:rPr>
          <w:i/>
          <w:sz w:val="24"/>
          <w:szCs w:val="24"/>
        </w:rPr>
        <w:t xml:space="preserve"> 69,000 volts or higher</w:t>
      </w:r>
      <w:r w:rsidRPr="00B20BE9">
        <w:rPr>
          <w:sz w:val="24"/>
          <w:szCs w:val="24"/>
        </w:rPr>
        <w:t>.</w:t>
      </w:r>
      <w:r w:rsidRPr="00B20BE9">
        <w:rPr>
          <w:sz w:val="24"/>
          <w:szCs w:val="24"/>
          <w:vertAlign w:val="superscript"/>
        </w:rPr>
        <w:footnoteReference w:id="6"/>
      </w:r>
    </w:p>
    <w:p w:rsidR="00F232FE" w:rsidRPr="00B20BE9" w:rsidRDefault="00F232FE" w:rsidP="002E71C9">
      <w:pPr>
        <w:keepNext/>
        <w:spacing w:line="240" w:lineRule="auto"/>
        <w:ind w:right="1440"/>
        <w:rPr>
          <w:sz w:val="24"/>
          <w:szCs w:val="24"/>
        </w:rPr>
      </w:pPr>
    </w:p>
    <w:p w:rsidR="00BB3A8E" w:rsidRPr="00B20BE9" w:rsidRDefault="00A9548B" w:rsidP="00BE69E4">
      <w:pPr>
        <w:rPr>
          <w:rFonts w:eastAsia="Calibri"/>
          <w:sz w:val="24"/>
          <w:szCs w:val="24"/>
        </w:rPr>
      </w:pPr>
      <w:r w:rsidRPr="00B20BE9">
        <w:rPr>
          <w:rFonts w:eastAsia="Calibri"/>
          <w:sz w:val="24"/>
          <w:szCs w:val="24"/>
        </w:rPr>
        <w:t>PPLICA interpreted this tariff language as excluding from the distribution system those facilities energized to 69 kV or higher</w:t>
      </w:r>
      <w:r w:rsidR="001D64A9" w:rsidRPr="00B20BE9">
        <w:rPr>
          <w:rFonts w:eastAsia="Calibri"/>
          <w:sz w:val="24"/>
          <w:szCs w:val="24"/>
        </w:rPr>
        <w:t xml:space="preserve">; </w:t>
      </w:r>
      <w:r w:rsidRPr="00B20BE9">
        <w:rPr>
          <w:rFonts w:eastAsia="Calibri"/>
          <w:sz w:val="24"/>
          <w:szCs w:val="24"/>
        </w:rPr>
        <w:t>LP-5 cus</w:t>
      </w:r>
      <w:r w:rsidR="001D64A9" w:rsidRPr="00B20BE9">
        <w:rPr>
          <w:rFonts w:eastAsia="Calibri"/>
          <w:sz w:val="24"/>
          <w:szCs w:val="24"/>
        </w:rPr>
        <w:t xml:space="preserve">tomers, by definition, must be </w:t>
      </w:r>
      <w:r w:rsidRPr="00B20BE9">
        <w:rPr>
          <w:rFonts w:eastAsia="Calibri"/>
          <w:sz w:val="24"/>
          <w:szCs w:val="24"/>
        </w:rPr>
        <w:t>supplied from lines</w:t>
      </w:r>
    </w:p>
    <w:p w:rsidR="00A9548B" w:rsidRPr="00B20BE9" w:rsidRDefault="00A9548B" w:rsidP="00BE69E4">
      <w:pPr>
        <w:rPr>
          <w:rFonts w:eastAsia="Calibri"/>
          <w:sz w:val="24"/>
          <w:szCs w:val="24"/>
        </w:rPr>
      </w:pPr>
      <w:r w:rsidRPr="00B20BE9">
        <w:rPr>
          <w:rFonts w:eastAsia="Calibri"/>
          <w:sz w:val="24"/>
          <w:szCs w:val="24"/>
        </w:rPr>
        <w:t xml:space="preserve">of 69 kV or higher.  </w:t>
      </w:r>
      <w:r w:rsidR="00BB3A8E" w:rsidRPr="00B20BE9">
        <w:rPr>
          <w:rFonts w:eastAsia="Calibri"/>
          <w:sz w:val="24"/>
          <w:szCs w:val="24"/>
        </w:rPr>
        <w:t xml:space="preserve">PPLICA noted further that in PPL’s last base rate case in 2012, the Company allocated no costs to LP-5 customers for distribution substations, overhead lines, underground lines, line transformers, or distribution services.  PPLICA St. No. 1, p. 2.  </w:t>
      </w:r>
      <w:r w:rsidRPr="00B20BE9">
        <w:rPr>
          <w:rFonts w:eastAsia="Calibri"/>
          <w:sz w:val="24"/>
          <w:szCs w:val="24"/>
        </w:rPr>
        <w:t xml:space="preserve">Hence, </w:t>
      </w:r>
      <w:r w:rsidR="00BB3A8E" w:rsidRPr="00B20BE9">
        <w:rPr>
          <w:rFonts w:eastAsia="Calibri"/>
          <w:sz w:val="24"/>
          <w:szCs w:val="24"/>
        </w:rPr>
        <w:t xml:space="preserve">according to PPLICA, </w:t>
      </w:r>
      <w:r w:rsidRPr="00B20BE9">
        <w:rPr>
          <w:rFonts w:eastAsia="Calibri"/>
          <w:sz w:val="24"/>
          <w:szCs w:val="24"/>
        </w:rPr>
        <w:t>LP-5 customers should not be charged the DSIC.  PPLICA M.B., pp. 7-8.</w:t>
      </w:r>
    </w:p>
    <w:p w:rsidR="00A9548B" w:rsidRPr="00B20BE9" w:rsidRDefault="00A9548B" w:rsidP="00BE69E4">
      <w:pPr>
        <w:rPr>
          <w:rFonts w:eastAsia="Calibri"/>
          <w:sz w:val="24"/>
          <w:szCs w:val="24"/>
        </w:rPr>
      </w:pPr>
    </w:p>
    <w:p w:rsidR="00BB3A8E" w:rsidRPr="00B20BE9" w:rsidRDefault="00A9548B" w:rsidP="00BE69E4">
      <w:pPr>
        <w:rPr>
          <w:sz w:val="24"/>
          <w:szCs w:val="24"/>
        </w:rPr>
      </w:pPr>
      <w:r w:rsidRPr="00B20BE9">
        <w:rPr>
          <w:rFonts w:eastAsia="Calibri"/>
          <w:sz w:val="24"/>
          <w:szCs w:val="24"/>
        </w:rPr>
        <w:tab/>
      </w:r>
      <w:r w:rsidRPr="00B20BE9">
        <w:rPr>
          <w:rFonts w:eastAsia="Calibri"/>
          <w:sz w:val="24"/>
          <w:szCs w:val="24"/>
        </w:rPr>
        <w:tab/>
      </w:r>
      <w:r w:rsidR="00BB3A8E" w:rsidRPr="00B20BE9">
        <w:rPr>
          <w:sz w:val="24"/>
          <w:szCs w:val="24"/>
        </w:rPr>
        <w:t>With regard to costs which are allocated to LP-5 customers, PPLICA witness Baudino identified the following:</w:t>
      </w:r>
    </w:p>
    <w:p w:rsidR="00BB3A8E" w:rsidRPr="00B20BE9" w:rsidRDefault="00BB3A8E" w:rsidP="00BE69E4">
      <w:pPr>
        <w:rPr>
          <w:sz w:val="24"/>
          <w:szCs w:val="24"/>
        </w:rPr>
      </w:pPr>
    </w:p>
    <w:p w:rsidR="00BE69E4" w:rsidRPr="00B20BE9" w:rsidRDefault="00BE69E4" w:rsidP="00BB3A8E">
      <w:pPr>
        <w:spacing w:line="240" w:lineRule="auto"/>
        <w:ind w:left="1440" w:right="1440"/>
        <w:rPr>
          <w:sz w:val="24"/>
          <w:szCs w:val="24"/>
        </w:rPr>
      </w:pPr>
      <w:r w:rsidRPr="00B20BE9">
        <w:rPr>
          <w:sz w:val="24"/>
          <w:szCs w:val="24"/>
        </w:rPr>
        <w:t>Miscellaneous Distribution Expense</w:t>
      </w:r>
    </w:p>
    <w:p w:rsidR="00BE69E4" w:rsidRPr="00B20BE9" w:rsidRDefault="00BE69E4" w:rsidP="00BB3A8E">
      <w:pPr>
        <w:spacing w:line="240" w:lineRule="auto"/>
        <w:ind w:left="1440" w:right="1440"/>
        <w:rPr>
          <w:sz w:val="24"/>
          <w:szCs w:val="24"/>
        </w:rPr>
      </w:pPr>
      <w:r w:rsidRPr="00B20BE9">
        <w:rPr>
          <w:sz w:val="24"/>
          <w:szCs w:val="24"/>
        </w:rPr>
        <w:t>Meters</w:t>
      </w:r>
    </w:p>
    <w:p w:rsidR="00BE69E4" w:rsidRPr="00B20BE9" w:rsidRDefault="00BE69E4" w:rsidP="00BB3A8E">
      <w:pPr>
        <w:spacing w:line="240" w:lineRule="auto"/>
        <w:ind w:left="1440" w:right="1440"/>
        <w:rPr>
          <w:sz w:val="24"/>
          <w:szCs w:val="24"/>
        </w:rPr>
      </w:pPr>
      <w:r w:rsidRPr="00B20BE9">
        <w:rPr>
          <w:sz w:val="24"/>
          <w:szCs w:val="24"/>
        </w:rPr>
        <w:t>Customer Accounts</w:t>
      </w:r>
    </w:p>
    <w:p w:rsidR="00BE69E4" w:rsidRPr="00B20BE9" w:rsidRDefault="00BE69E4" w:rsidP="00BB3A8E">
      <w:pPr>
        <w:spacing w:line="240" w:lineRule="auto"/>
        <w:ind w:left="1440" w:right="1440"/>
        <w:rPr>
          <w:sz w:val="24"/>
          <w:szCs w:val="24"/>
        </w:rPr>
      </w:pPr>
      <w:r w:rsidRPr="00B20BE9">
        <w:rPr>
          <w:sz w:val="24"/>
          <w:szCs w:val="24"/>
        </w:rPr>
        <w:t>Administrative and General Expenses</w:t>
      </w:r>
    </w:p>
    <w:p w:rsidR="00BE69E4" w:rsidRPr="00B20BE9" w:rsidRDefault="00BE69E4" w:rsidP="00BB3A8E">
      <w:pPr>
        <w:spacing w:line="240" w:lineRule="auto"/>
        <w:ind w:left="1440" w:right="1440"/>
        <w:rPr>
          <w:sz w:val="24"/>
          <w:szCs w:val="24"/>
        </w:rPr>
      </w:pPr>
      <w:r w:rsidRPr="00B20BE9">
        <w:rPr>
          <w:sz w:val="24"/>
          <w:szCs w:val="24"/>
        </w:rPr>
        <w:t>Amortization of 2010 Rate Case Expenses</w:t>
      </w:r>
    </w:p>
    <w:p w:rsidR="00BE69E4" w:rsidRPr="00B20BE9" w:rsidRDefault="00BE69E4" w:rsidP="00BB3A8E">
      <w:pPr>
        <w:spacing w:line="240" w:lineRule="auto"/>
        <w:ind w:left="1440" w:right="1440"/>
        <w:rPr>
          <w:sz w:val="24"/>
          <w:szCs w:val="24"/>
        </w:rPr>
      </w:pPr>
      <w:r w:rsidRPr="00B20BE9">
        <w:rPr>
          <w:sz w:val="24"/>
          <w:szCs w:val="24"/>
        </w:rPr>
        <w:t>Amortization – 2005 Ice Storm Deferral</w:t>
      </w:r>
    </w:p>
    <w:p w:rsidR="00BE69E4" w:rsidRPr="00B20BE9" w:rsidRDefault="00BE69E4" w:rsidP="00BB3A8E">
      <w:pPr>
        <w:spacing w:line="240" w:lineRule="auto"/>
        <w:ind w:left="1440" w:right="1440"/>
        <w:rPr>
          <w:sz w:val="24"/>
          <w:szCs w:val="24"/>
        </w:rPr>
      </w:pPr>
      <w:r w:rsidRPr="00B20BE9">
        <w:rPr>
          <w:sz w:val="24"/>
          <w:szCs w:val="24"/>
        </w:rPr>
        <w:t>Certain proforma adjustment</w:t>
      </w:r>
    </w:p>
    <w:p w:rsidR="00BE69E4" w:rsidRPr="00B20BE9" w:rsidRDefault="00BE69E4" w:rsidP="00BB3A8E">
      <w:pPr>
        <w:spacing w:line="240" w:lineRule="auto"/>
        <w:ind w:left="1440" w:right="1440"/>
        <w:rPr>
          <w:sz w:val="24"/>
          <w:szCs w:val="24"/>
        </w:rPr>
      </w:pPr>
      <w:r w:rsidRPr="00B20BE9">
        <w:rPr>
          <w:sz w:val="24"/>
          <w:szCs w:val="24"/>
        </w:rPr>
        <w:t>Depreciation expenses consisting primarily of meters and included allocated general and intangible</w:t>
      </w:r>
    </w:p>
    <w:p w:rsidR="00BE69E4" w:rsidRPr="00B20BE9" w:rsidRDefault="00BE69E4" w:rsidP="00BB3A8E">
      <w:pPr>
        <w:spacing w:line="240" w:lineRule="auto"/>
        <w:ind w:left="1440" w:right="1440"/>
        <w:rPr>
          <w:sz w:val="24"/>
          <w:szCs w:val="24"/>
        </w:rPr>
      </w:pPr>
      <w:r w:rsidRPr="00B20BE9">
        <w:rPr>
          <w:sz w:val="24"/>
          <w:szCs w:val="24"/>
        </w:rPr>
        <w:t>Taxes other than income</w:t>
      </w:r>
    </w:p>
    <w:p w:rsidR="00BE69E4" w:rsidRPr="00B20BE9" w:rsidRDefault="00BE69E4" w:rsidP="00BB3A8E">
      <w:pPr>
        <w:spacing w:line="240" w:lineRule="auto"/>
        <w:ind w:left="1440" w:right="1440"/>
        <w:rPr>
          <w:sz w:val="24"/>
          <w:szCs w:val="24"/>
        </w:rPr>
      </w:pPr>
      <w:r w:rsidRPr="00B20BE9">
        <w:rPr>
          <w:sz w:val="24"/>
          <w:szCs w:val="24"/>
        </w:rPr>
        <w:t>Associated DIT</w:t>
      </w:r>
    </w:p>
    <w:p w:rsidR="00BE69E4" w:rsidRPr="00B20BE9" w:rsidRDefault="00BE69E4" w:rsidP="00BB3A8E">
      <w:pPr>
        <w:spacing w:line="240" w:lineRule="auto"/>
        <w:ind w:left="1440" w:right="1440"/>
        <w:rPr>
          <w:sz w:val="24"/>
          <w:szCs w:val="24"/>
        </w:rPr>
      </w:pPr>
      <w:r w:rsidRPr="00B20BE9">
        <w:rPr>
          <w:sz w:val="24"/>
          <w:szCs w:val="24"/>
        </w:rPr>
        <w:t>Other taxes</w:t>
      </w:r>
      <w:r w:rsidR="00BB3A8E" w:rsidRPr="00B20BE9">
        <w:rPr>
          <w:rStyle w:val="FootnoteReference"/>
          <w:sz w:val="24"/>
          <w:szCs w:val="24"/>
        </w:rPr>
        <w:footnoteReference w:id="7"/>
      </w:r>
    </w:p>
    <w:p w:rsidR="00BB3A8E" w:rsidRPr="00B20BE9" w:rsidRDefault="00BB3A8E" w:rsidP="002E71C9">
      <w:pPr>
        <w:spacing w:line="240" w:lineRule="auto"/>
        <w:rPr>
          <w:sz w:val="24"/>
          <w:szCs w:val="24"/>
        </w:rPr>
      </w:pPr>
    </w:p>
    <w:p w:rsidR="00E05795" w:rsidRPr="00B20BE9" w:rsidRDefault="00BB3A8E" w:rsidP="00BE69E4">
      <w:pPr>
        <w:rPr>
          <w:sz w:val="24"/>
          <w:szCs w:val="24"/>
        </w:rPr>
      </w:pPr>
      <w:r w:rsidRPr="00B20BE9">
        <w:rPr>
          <w:sz w:val="24"/>
          <w:szCs w:val="24"/>
        </w:rPr>
        <w:t xml:space="preserve">PPLICA contended that, with the exception of meters, </w:t>
      </w:r>
      <w:r w:rsidR="00BE69E4" w:rsidRPr="00B20BE9">
        <w:rPr>
          <w:sz w:val="24"/>
          <w:szCs w:val="24"/>
        </w:rPr>
        <w:t>the</w:t>
      </w:r>
      <w:r w:rsidRPr="00B20BE9">
        <w:rPr>
          <w:sz w:val="24"/>
          <w:szCs w:val="24"/>
        </w:rPr>
        <w:t xml:space="preserve"> above costs </w:t>
      </w:r>
      <w:r w:rsidR="00BE69E4" w:rsidRPr="00B20BE9">
        <w:rPr>
          <w:sz w:val="24"/>
          <w:szCs w:val="24"/>
        </w:rPr>
        <w:t>are operations and maintenance, administrative and general or customer costs.</w:t>
      </w:r>
      <w:r w:rsidR="00BE69E4" w:rsidRPr="00B20BE9">
        <w:rPr>
          <w:sz w:val="24"/>
          <w:szCs w:val="24"/>
          <w:vertAlign w:val="superscript"/>
        </w:rPr>
        <w:footnoteReference w:id="8"/>
      </w:r>
      <w:r w:rsidR="00BE69E4" w:rsidRPr="00B20BE9">
        <w:rPr>
          <w:sz w:val="24"/>
          <w:szCs w:val="24"/>
        </w:rPr>
        <w:t xml:space="preserve">  </w:t>
      </w:r>
      <w:r w:rsidR="00E05795" w:rsidRPr="00B20BE9">
        <w:rPr>
          <w:sz w:val="24"/>
          <w:szCs w:val="24"/>
        </w:rPr>
        <w:t xml:space="preserve">It asserted that these </w:t>
      </w:r>
      <w:r w:rsidR="00BE69E4" w:rsidRPr="00B20BE9">
        <w:rPr>
          <w:sz w:val="24"/>
          <w:szCs w:val="24"/>
        </w:rPr>
        <w:t>cost items do not include higher voltage facilities servin</w:t>
      </w:r>
      <w:r w:rsidR="00E05795" w:rsidRPr="00B20BE9">
        <w:rPr>
          <w:sz w:val="24"/>
          <w:szCs w:val="24"/>
        </w:rPr>
        <w:t xml:space="preserve">g LP-5 customers, and </w:t>
      </w:r>
      <w:r w:rsidR="00BE69E4" w:rsidRPr="00B20BE9">
        <w:rPr>
          <w:sz w:val="24"/>
          <w:szCs w:val="24"/>
        </w:rPr>
        <w:t>do not reflect distribution voltage facilities, which are not used by PPL to serve the LP-5 class.</w:t>
      </w:r>
      <w:r w:rsidR="00E05795" w:rsidRPr="00B20BE9">
        <w:rPr>
          <w:sz w:val="24"/>
          <w:szCs w:val="24"/>
        </w:rPr>
        <w:t xml:space="preserve">  PPLICA M.B., pp. 8-9.</w:t>
      </w:r>
    </w:p>
    <w:p w:rsidR="001D64A9" w:rsidRPr="00B20BE9" w:rsidRDefault="001D64A9" w:rsidP="00BE69E4">
      <w:pPr>
        <w:rPr>
          <w:sz w:val="24"/>
          <w:szCs w:val="24"/>
        </w:rPr>
      </w:pPr>
    </w:p>
    <w:p w:rsidR="007B6126" w:rsidRPr="00B20BE9" w:rsidRDefault="001D64A9" w:rsidP="007B6126">
      <w:pPr>
        <w:rPr>
          <w:sz w:val="24"/>
          <w:szCs w:val="24"/>
        </w:rPr>
      </w:pPr>
      <w:r w:rsidRPr="00B20BE9">
        <w:rPr>
          <w:sz w:val="24"/>
          <w:szCs w:val="24"/>
        </w:rPr>
        <w:tab/>
      </w:r>
      <w:r w:rsidRPr="00B20BE9">
        <w:rPr>
          <w:sz w:val="24"/>
          <w:szCs w:val="24"/>
        </w:rPr>
        <w:tab/>
        <w:t xml:space="preserve">As to meters, while PPLICA acknowledged that meters are distribution plant, it did not agree that having a meter </w:t>
      </w:r>
      <w:r w:rsidR="007B6126" w:rsidRPr="00B20BE9">
        <w:rPr>
          <w:sz w:val="24"/>
          <w:szCs w:val="24"/>
        </w:rPr>
        <w:t xml:space="preserve">should </w:t>
      </w:r>
      <w:r w:rsidRPr="00B20BE9">
        <w:rPr>
          <w:sz w:val="24"/>
          <w:szCs w:val="24"/>
        </w:rPr>
        <w:t xml:space="preserve">warrant application of the DSIC to LP-5 customers.  It argued that the </w:t>
      </w:r>
      <w:r w:rsidR="00F32729" w:rsidRPr="00B20BE9">
        <w:rPr>
          <w:sz w:val="24"/>
          <w:szCs w:val="24"/>
        </w:rPr>
        <w:t xml:space="preserve">Commission, in its </w:t>
      </w:r>
      <w:r w:rsidR="00F32729" w:rsidRPr="00B20BE9">
        <w:rPr>
          <w:i/>
          <w:sz w:val="24"/>
          <w:szCs w:val="24"/>
        </w:rPr>
        <w:t>Final Implementation Order</w:t>
      </w:r>
      <w:r w:rsidR="00F32729" w:rsidRPr="00B20BE9">
        <w:rPr>
          <w:sz w:val="24"/>
          <w:szCs w:val="24"/>
        </w:rPr>
        <w:t>, had previously exempted those customers served at transmission voltage rates from the DSIC when the higher voltage facilities are not included in distribution plant for ratemaking purposes.</w:t>
      </w:r>
      <w:r w:rsidR="007B6126" w:rsidRPr="00B20BE9">
        <w:rPr>
          <w:sz w:val="24"/>
          <w:szCs w:val="24"/>
        </w:rPr>
        <w:t xml:space="preserve">  It did so with full knowledge that these customers take metered service; therefore, having a meter could not be sufficient to void the DSIC exemption.  PPLICA further argued that to charge LP-5 customers a DSIC solely due to a meter is particularly unreasonable as the Model Tariff attached to the </w:t>
      </w:r>
      <w:r w:rsidR="007B6126" w:rsidRPr="00B20BE9">
        <w:rPr>
          <w:i/>
          <w:sz w:val="24"/>
          <w:szCs w:val="24"/>
        </w:rPr>
        <w:t>Final Implementation Order</w:t>
      </w:r>
      <w:r w:rsidR="007B6126" w:rsidRPr="00B20BE9">
        <w:rPr>
          <w:sz w:val="24"/>
          <w:szCs w:val="24"/>
        </w:rPr>
        <w:t xml:space="preserve"> does not identify meters as an eligible cost for electric DSICs and meter installation costs are already recovered for all customers through PPL’s Smart Meter Rider</w:t>
      </w:r>
      <w:r w:rsidR="00707126" w:rsidRPr="00B20BE9">
        <w:rPr>
          <w:sz w:val="24"/>
          <w:szCs w:val="24"/>
        </w:rPr>
        <w:t xml:space="preserve"> (SMR)</w:t>
      </w:r>
      <w:r w:rsidR="00517A7D" w:rsidRPr="00B20BE9">
        <w:rPr>
          <w:sz w:val="24"/>
          <w:szCs w:val="24"/>
        </w:rPr>
        <w:t xml:space="preserve">.  PPLICA M.B., </w:t>
      </w:r>
      <w:r w:rsidR="007B6126" w:rsidRPr="00B20BE9">
        <w:rPr>
          <w:sz w:val="24"/>
          <w:szCs w:val="24"/>
        </w:rPr>
        <w:t>p. 11</w:t>
      </w:r>
      <w:r w:rsidR="00707126" w:rsidRPr="00B20BE9">
        <w:rPr>
          <w:sz w:val="24"/>
          <w:szCs w:val="24"/>
        </w:rPr>
        <w:t>, fnt. 36</w:t>
      </w:r>
      <w:r w:rsidR="007B6126" w:rsidRPr="00B20BE9">
        <w:rPr>
          <w:sz w:val="24"/>
          <w:szCs w:val="24"/>
        </w:rPr>
        <w:t>.</w:t>
      </w:r>
    </w:p>
    <w:p w:rsidR="007474A7" w:rsidRPr="00B20BE9" w:rsidRDefault="007474A7" w:rsidP="007B6126">
      <w:pPr>
        <w:rPr>
          <w:sz w:val="24"/>
          <w:szCs w:val="24"/>
        </w:rPr>
      </w:pPr>
    </w:p>
    <w:p w:rsidR="00212B7A" w:rsidRPr="00B20BE9" w:rsidRDefault="007474A7" w:rsidP="007B6126">
      <w:pPr>
        <w:rPr>
          <w:sz w:val="24"/>
          <w:szCs w:val="24"/>
        </w:rPr>
      </w:pPr>
      <w:r w:rsidRPr="00B20BE9">
        <w:rPr>
          <w:sz w:val="24"/>
          <w:szCs w:val="24"/>
        </w:rPr>
        <w:tab/>
      </w:r>
      <w:r w:rsidRPr="00B20BE9">
        <w:rPr>
          <w:sz w:val="24"/>
          <w:szCs w:val="24"/>
        </w:rPr>
        <w:tab/>
        <w:t>PPLICA also noted the un</w:t>
      </w:r>
      <w:r w:rsidR="003A7923" w:rsidRPr="00B20BE9">
        <w:rPr>
          <w:sz w:val="24"/>
          <w:szCs w:val="24"/>
        </w:rPr>
        <w:t>fairness</w:t>
      </w:r>
      <w:r w:rsidRPr="00B20BE9">
        <w:rPr>
          <w:sz w:val="24"/>
          <w:szCs w:val="24"/>
        </w:rPr>
        <w:t xml:space="preserve"> of charging LP-5 customers for facilities that provide no benefit to them.  It </w:t>
      </w:r>
      <w:r w:rsidR="003A7923" w:rsidRPr="00B20BE9">
        <w:rPr>
          <w:sz w:val="24"/>
          <w:szCs w:val="24"/>
        </w:rPr>
        <w:t xml:space="preserve">interpreted </w:t>
      </w:r>
      <w:r w:rsidRPr="00B20BE9">
        <w:rPr>
          <w:sz w:val="24"/>
          <w:szCs w:val="24"/>
        </w:rPr>
        <w:t xml:space="preserve">PPL’s testimony </w:t>
      </w:r>
      <w:r w:rsidR="003A7923" w:rsidRPr="00B20BE9">
        <w:rPr>
          <w:sz w:val="24"/>
          <w:szCs w:val="24"/>
        </w:rPr>
        <w:t xml:space="preserve">as </w:t>
      </w:r>
      <w:r w:rsidRPr="00B20BE9">
        <w:rPr>
          <w:sz w:val="24"/>
          <w:szCs w:val="24"/>
        </w:rPr>
        <w:t>essentially advis</w:t>
      </w:r>
      <w:r w:rsidR="003A7923" w:rsidRPr="00B20BE9">
        <w:rPr>
          <w:sz w:val="24"/>
          <w:szCs w:val="24"/>
        </w:rPr>
        <w:t>ing</w:t>
      </w:r>
      <w:r w:rsidRPr="00B20BE9">
        <w:rPr>
          <w:sz w:val="24"/>
          <w:szCs w:val="24"/>
        </w:rPr>
        <w:t xml:space="preserve"> LP-5 customers to pay the DSIC charge now, and wait for the next base rate case </w:t>
      </w:r>
      <w:r w:rsidR="003A7923" w:rsidRPr="00B20BE9">
        <w:rPr>
          <w:sz w:val="24"/>
          <w:szCs w:val="24"/>
        </w:rPr>
        <w:t xml:space="preserve">for the </w:t>
      </w:r>
      <w:r w:rsidRPr="00B20BE9">
        <w:rPr>
          <w:sz w:val="24"/>
          <w:szCs w:val="24"/>
        </w:rPr>
        <w:t xml:space="preserve">issue of whether DSIC-eligible plant serves LP-5 customers </w:t>
      </w:r>
      <w:r w:rsidR="003A7923" w:rsidRPr="00B20BE9">
        <w:rPr>
          <w:sz w:val="24"/>
          <w:szCs w:val="24"/>
        </w:rPr>
        <w:t>to</w:t>
      </w:r>
      <w:r w:rsidRPr="00B20BE9">
        <w:rPr>
          <w:sz w:val="24"/>
          <w:szCs w:val="24"/>
        </w:rPr>
        <w:t xml:space="preserve"> be examined.  If no DSIC-eligible plant services these customers, then none of this plant will be allocated and it will not be included in base rates paid by these customers</w:t>
      </w:r>
      <w:r w:rsidR="003A7923" w:rsidRPr="00B20BE9">
        <w:rPr>
          <w:sz w:val="24"/>
          <w:szCs w:val="24"/>
        </w:rPr>
        <w:t>, according to PPL</w:t>
      </w:r>
      <w:r w:rsidRPr="00B20BE9">
        <w:rPr>
          <w:sz w:val="24"/>
          <w:szCs w:val="24"/>
        </w:rPr>
        <w:t>.</w:t>
      </w:r>
      <w:r w:rsidR="003A7923" w:rsidRPr="00B20BE9">
        <w:rPr>
          <w:sz w:val="24"/>
          <w:szCs w:val="24"/>
        </w:rPr>
        <w:t xml:space="preserve">  PPLICA did not find it reasonable for LP-5 customers to pay rates benefitting others until the next rate case.  PPLICA M.B., p. 12.</w:t>
      </w:r>
    </w:p>
    <w:p w:rsidR="00212B7A" w:rsidRPr="00B20BE9" w:rsidRDefault="00212B7A" w:rsidP="007B6126">
      <w:pPr>
        <w:rPr>
          <w:sz w:val="24"/>
          <w:szCs w:val="24"/>
        </w:rPr>
      </w:pPr>
    </w:p>
    <w:p w:rsidR="00BE69E4" w:rsidRPr="00B20BE9" w:rsidRDefault="00212B7A" w:rsidP="00BE69E4">
      <w:pPr>
        <w:rPr>
          <w:sz w:val="24"/>
          <w:szCs w:val="24"/>
        </w:rPr>
      </w:pPr>
      <w:r w:rsidRPr="00B20BE9">
        <w:rPr>
          <w:sz w:val="24"/>
          <w:szCs w:val="24"/>
        </w:rPr>
        <w:tab/>
      </w:r>
      <w:r w:rsidRPr="00B20BE9">
        <w:rPr>
          <w:sz w:val="24"/>
          <w:szCs w:val="24"/>
        </w:rPr>
        <w:tab/>
        <w:t>In response to PPL’s contention that LP-5 customers are distribution customers served under a distribution tariff</w:t>
      </w:r>
      <w:r w:rsidR="00A52374" w:rsidRPr="00B20BE9">
        <w:rPr>
          <w:sz w:val="24"/>
          <w:szCs w:val="24"/>
        </w:rPr>
        <w:t xml:space="preserve"> and pay distribution costs</w:t>
      </w:r>
      <w:r w:rsidRPr="00B20BE9">
        <w:rPr>
          <w:sz w:val="24"/>
          <w:szCs w:val="24"/>
        </w:rPr>
        <w:t xml:space="preserve">, PPLICA asserted that this is not relevant to whether LP-5 customers should be charged a DSIC.  It again referenced the DSIC exemption for LP-5 customers in the </w:t>
      </w:r>
      <w:r w:rsidRPr="00B20BE9">
        <w:rPr>
          <w:i/>
          <w:sz w:val="24"/>
          <w:szCs w:val="24"/>
        </w:rPr>
        <w:t>Final Implementation Order</w:t>
      </w:r>
      <w:r w:rsidRPr="00B20BE9">
        <w:rPr>
          <w:sz w:val="24"/>
          <w:szCs w:val="24"/>
        </w:rPr>
        <w:t>, and argued that this exemption would be meaningless if all distribution customers are to be charged a DSIC.</w:t>
      </w:r>
      <w:r w:rsidR="00A52374" w:rsidRPr="00B20BE9">
        <w:rPr>
          <w:sz w:val="24"/>
          <w:szCs w:val="24"/>
        </w:rPr>
        <w:t xml:space="preserve">  PPLICA further asserted that, as testified to by witness </w:t>
      </w:r>
      <w:r w:rsidR="00BE69E4" w:rsidRPr="00B20BE9">
        <w:rPr>
          <w:sz w:val="24"/>
          <w:szCs w:val="24"/>
        </w:rPr>
        <w:t>Baudino, payment of operations and maintenance, administrative and general, or other customer-related costs has no bearing on whether higher voltage facilities serving LP-5 customers are included in PPL's distribution plant for ratemaking purposes.</w:t>
      </w:r>
      <w:r w:rsidR="00A52374" w:rsidRPr="00B20BE9">
        <w:rPr>
          <w:sz w:val="24"/>
          <w:szCs w:val="24"/>
        </w:rPr>
        <w:t xml:space="preserve">  PPLICA St. No. 1-SR, p. 2; PPLICA M.B., pp. 9-10.</w:t>
      </w:r>
    </w:p>
    <w:p w:rsidR="00A52374" w:rsidRPr="00B20BE9" w:rsidRDefault="00A52374" w:rsidP="00BE69E4">
      <w:pPr>
        <w:rPr>
          <w:sz w:val="24"/>
          <w:szCs w:val="24"/>
        </w:rPr>
      </w:pPr>
    </w:p>
    <w:p w:rsidR="00BE69E4" w:rsidRPr="00B20BE9" w:rsidRDefault="00BE69E4" w:rsidP="00F354A7">
      <w:pPr>
        <w:rPr>
          <w:sz w:val="24"/>
          <w:szCs w:val="24"/>
        </w:rPr>
      </w:pPr>
      <w:r w:rsidRPr="00B20BE9">
        <w:rPr>
          <w:sz w:val="24"/>
          <w:szCs w:val="24"/>
        </w:rPr>
        <w:tab/>
      </w:r>
      <w:r w:rsidR="00A52374" w:rsidRPr="00B20BE9">
        <w:rPr>
          <w:sz w:val="24"/>
          <w:szCs w:val="24"/>
        </w:rPr>
        <w:tab/>
      </w:r>
      <w:r w:rsidR="00F354A7" w:rsidRPr="00B20BE9">
        <w:rPr>
          <w:sz w:val="24"/>
          <w:szCs w:val="24"/>
        </w:rPr>
        <w:t>Regarding</w:t>
      </w:r>
      <w:r w:rsidR="00A52374" w:rsidRPr="00B20BE9">
        <w:rPr>
          <w:sz w:val="24"/>
          <w:szCs w:val="24"/>
        </w:rPr>
        <w:t xml:space="preserve"> </w:t>
      </w:r>
      <w:r w:rsidRPr="00B20BE9">
        <w:rPr>
          <w:sz w:val="24"/>
          <w:szCs w:val="24"/>
        </w:rPr>
        <w:t>PPL</w:t>
      </w:r>
      <w:r w:rsidR="00A52374" w:rsidRPr="00B20BE9">
        <w:rPr>
          <w:sz w:val="24"/>
          <w:szCs w:val="24"/>
        </w:rPr>
        <w:t xml:space="preserve">’s claim that </w:t>
      </w:r>
      <w:r w:rsidRPr="00B20BE9">
        <w:rPr>
          <w:sz w:val="24"/>
          <w:szCs w:val="24"/>
        </w:rPr>
        <w:t>LP-5 customers are allocated distribution plant costs</w:t>
      </w:r>
      <w:r w:rsidR="00A52374" w:rsidRPr="00B20BE9">
        <w:rPr>
          <w:sz w:val="24"/>
          <w:szCs w:val="24"/>
        </w:rPr>
        <w:t xml:space="preserve">, PPLICA clarified that </w:t>
      </w:r>
      <w:r w:rsidRPr="00B20BE9">
        <w:rPr>
          <w:sz w:val="24"/>
          <w:szCs w:val="24"/>
        </w:rPr>
        <w:t>the costs of the higher voltage facilities serving PPL's LP-5 customers are recovered by PPL through its FERC transmission rates, not its distribution rates.</w:t>
      </w:r>
      <w:r w:rsidRPr="00B20BE9">
        <w:rPr>
          <w:sz w:val="24"/>
          <w:szCs w:val="24"/>
          <w:vertAlign w:val="superscript"/>
        </w:rPr>
        <w:footnoteReference w:id="9"/>
      </w:r>
      <w:r w:rsidRPr="00B20BE9">
        <w:rPr>
          <w:sz w:val="24"/>
          <w:szCs w:val="24"/>
        </w:rPr>
        <w:t xml:space="preserve">  </w:t>
      </w:r>
      <w:r w:rsidR="00F354A7" w:rsidRPr="00B20BE9">
        <w:rPr>
          <w:sz w:val="24"/>
          <w:szCs w:val="24"/>
        </w:rPr>
        <w:t>W</w:t>
      </w:r>
      <w:r w:rsidRPr="00B20BE9">
        <w:rPr>
          <w:sz w:val="24"/>
          <w:szCs w:val="24"/>
        </w:rPr>
        <w:t xml:space="preserve">hile the </w:t>
      </w:r>
      <w:r w:rsidR="00F354A7" w:rsidRPr="00B20BE9">
        <w:rPr>
          <w:i/>
          <w:sz w:val="24"/>
          <w:szCs w:val="24"/>
        </w:rPr>
        <w:t xml:space="preserve">Final </w:t>
      </w:r>
      <w:r w:rsidRPr="00B20BE9">
        <w:rPr>
          <w:i/>
          <w:sz w:val="24"/>
          <w:szCs w:val="24"/>
        </w:rPr>
        <w:t>Implementation Order</w:t>
      </w:r>
      <w:r w:rsidRPr="00B20BE9">
        <w:rPr>
          <w:sz w:val="24"/>
          <w:szCs w:val="24"/>
        </w:rPr>
        <w:t xml:space="preserve"> allows EDCs to apply a DSIC to customers served at higher voltages if the transmission voltage facilities are included in distribution rates, this is not the case on PPL's system</w:t>
      </w:r>
      <w:r w:rsidR="00F354A7" w:rsidRPr="00B20BE9">
        <w:rPr>
          <w:sz w:val="24"/>
          <w:szCs w:val="24"/>
        </w:rPr>
        <w:t>, according to PPLICA</w:t>
      </w:r>
      <w:r w:rsidRPr="00B20BE9">
        <w:rPr>
          <w:sz w:val="24"/>
          <w:szCs w:val="24"/>
        </w:rPr>
        <w:t>.</w:t>
      </w:r>
      <w:r w:rsidR="00F354A7" w:rsidRPr="00B20BE9">
        <w:rPr>
          <w:sz w:val="24"/>
          <w:szCs w:val="24"/>
        </w:rPr>
        <w:t xml:space="preserve">  It contended that </w:t>
      </w:r>
      <w:r w:rsidRPr="00B20BE9">
        <w:rPr>
          <w:sz w:val="24"/>
          <w:szCs w:val="24"/>
        </w:rPr>
        <w:t>LP-5 customers are not allocated costs of PPL's primary and secondary distribution systems</w:t>
      </w:r>
      <w:r w:rsidR="00F354A7" w:rsidRPr="00B20BE9">
        <w:rPr>
          <w:sz w:val="24"/>
          <w:szCs w:val="24"/>
        </w:rPr>
        <w:t>, and pointed to a PPLICA exhibit from PPL’s last rate case showing that LP-5 customers are allocated $0.0 of PPL’s distribution plant costs, including substations, overhead lines, underground lines, line transformers, and distribution plant services.</w:t>
      </w:r>
      <w:r w:rsidRPr="00B20BE9">
        <w:rPr>
          <w:sz w:val="24"/>
          <w:szCs w:val="24"/>
          <w:vertAlign w:val="superscript"/>
        </w:rPr>
        <w:footnoteReference w:id="10"/>
      </w:r>
    </w:p>
    <w:p w:rsidR="003A232D" w:rsidRPr="00B20BE9" w:rsidRDefault="003A232D" w:rsidP="00F354A7">
      <w:pPr>
        <w:rPr>
          <w:sz w:val="24"/>
          <w:szCs w:val="24"/>
        </w:rPr>
      </w:pPr>
    </w:p>
    <w:p w:rsidR="003A232D" w:rsidRPr="00B20BE9" w:rsidRDefault="003A232D" w:rsidP="003A232D">
      <w:pPr>
        <w:rPr>
          <w:sz w:val="24"/>
          <w:szCs w:val="24"/>
        </w:rPr>
      </w:pPr>
      <w:r w:rsidRPr="00B20BE9">
        <w:rPr>
          <w:sz w:val="24"/>
          <w:szCs w:val="24"/>
        </w:rPr>
        <w:tab/>
      </w:r>
      <w:r w:rsidRPr="00B20BE9">
        <w:rPr>
          <w:sz w:val="24"/>
          <w:szCs w:val="24"/>
        </w:rPr>
        <w:tab/>
        <w:t xml:space="preserve">PPLICA concluded its Main Brief argument by stating that PPL has not met the criteria established by the Commission for deviating from the general rule that transmission voltage customers should be exempted from DSIC charges.  The record evidence, according to PPLICA, shows that LP-5 customers served by PPL take service from higher voltage facilities that are not included in PPL's distribution plant.  As such, PPLICA </w:t>
      </w:r>
      <w:r w:rsidR="003A768C" w:rsidRPr="00B20BE9">
        <w:rPr>
          <w:sz w:val="24"/>
          <w:szCs w:val="24"/>
        </w:rPr>
        <w:t>urged the Commission to mod</w:t>
      </w:r>
      <w:r w:rsidRPr="00B20BE9">
        <w:rPr>
          <w:sz w:val="24"/>
          <w:szCs w:val="24"/>
        </w:rPr>
        <w:t>ify PPL's DSIC to exempt LP-5 customers and refund DSI</w:t>
      </w:r>
      <w:r w:rsidR="00AF3C8F">
        <w:rPr>
          <w:sz w:val="24"/>
          <w:szCs w:val="24"/>
        </w:rPr>
        <w:t>C revenues collected since July 1, </w:t>
      </w:r>
      <w:r w:rsidRPr="00B20BE9">
        <w:rPr>
          <w:sz w:val="24"/>
          <w:szCs w:val="24"/>
        </w:rPr>
        <w:t>2013.</w:t>
      </w:r>
    </w:p>
    <w:p w:rsidR="003A232D" w:rsidRPr="00B20BE9" w:rsidRDefault="003A232D" w:rsidP="00F354A7">
      <w:pPr>
        <w:rPr>
          <w:sz w:val="24"/>
          <w:szCs w:val="24"/>
        </w:rPr>
      </w:pPr>
    </w:p>
    <w:p w:rsidR="00315677" w:rsidRPr="00B20BE9" w:rsidRDefault="003A232D" w:rsidP="00BE69E4">
      <w:pPr>
        <w:rPr>
          <w:sz w:val="24"/>
          <w:szCs w:val="24"/>
        </w:rPr>
      </w:pPr>
      <w:r w:rsidRPr="00B20BE9">
        <w:rPr>
          <w:sz w:val="24"/>
          <w:szCs w:val="24"/>
        </w:rPr>
        <w:tab/>
      </w:r>
      <w:r w:rsidRPr="00B20BE9">
        <w:rPr>
          <w:sz w:val="24"/>
          <w:szCs w:val="24"/>
        </w:rPr>
        <w:tab/>
      </w:r>
      <w:r w:rsidR="004B4610" w:rsidRPr="00B20BE9">
        <w:rPr>
          <w:sz w:val="24"/>
          <w:szCs w:val="24"/>
        </w:rPr>
        <w:t xml:space="preserve">In its Reply Brief, </w:t>
      </w:r>
      <w:r w:rsidR="00D83051" w:rsidRPr="00B20BE9">
        <w:rPr>
          <w:sz w:val="24"/>
          <w:szCs w:val="24"/>
        </w:rPr>
        <w:t>PPLICA reiterated some of its Main Brief arguments, but primarily focused upon PPL’s contention that</w:t>
      </w:r>
      <w:r w:rsidR="00315677" w:rsidRPr="00B20BE9">
        <w:rPr>
          <w:sz w:val="24"/>
          <w:szCs w:val="24"/>
        </w:rPr>
        <w:t xml:space="preserve">, pursuant to </w:t>
      </w:r>
      <w:r w:rsidR="00E1006F" w:rsidRPr="00B20BE9">
        <w:rPr>
          <w:sz w:val="24"/>
          <w:szCs w:val="24"/>
        </w:rPr>
        <w:t xml:space="preserve">66 Pa.C.S. § 1358(d)(1), </w:t>
      </w:r>
      <w:r w:rsidR="003B4268" w:rsidRPr="00B20BE9">
        <w:rPr>
          <w:sz w:val="24"/>
          <w:szCs w:val="24"/>
        </w:rPr>
        <w:t xml:space="preserve">the </w:t>
      </w:r>
      <w:r w:rsidR="00A15A30" w:rsidRPr="00B20BE9">
        <w:rPr>
          <w:sz w:val="24"/>
          <w:szCs w:val="24"/>
        </w:rPr>
        <w:t>DSIC must be applied “</w:t>
      </w:r>
      <w:r w:rsidR="003B4268" w:rsidRPr="00B20BE9">
        <w:rPr>
          <w:sz w:val="24"/>
          <w:szCs w:val="24"/>
        </w:rPr>
        <w:t>equally to all customer classes,” including those taking service at transmission voltage.</w:t>
      </w:r>
    </w:p>
    <w:p w:rsidR="00315677" w:rsidRPr="00B20BE9" w:rsidRDefault="00315677" w:rsidP="00BE69E4">
      <w:pPr>
        <w:rPr>
          <w:sz w:val="24"/>
          <w:szCs w:val="24"/>
        </w:rPr>
      </w:pPr>
    </w:p>
    <w:p w:rsidR="00566BBC" w:rsidRPr="00B20BE9" w:rsidRDefault="00315677" w:rsidP="00BE69E4">
      <w:pPr>
        <w:rPr>
          <w:sz w:val="24"/>
          <w:szCs w:val="24"/>
        </w:rPr>
      </w:pPr>
      <w:r w:rsidRPr="00B20BE9">
        <w:rPr>
          <w:sz w:val="24"/>
          <w:szCs w:val="24"/>
        </w:rPr>
        <w:tab/>
      </w:r>
      <w:r w:rsidRPr="00B20BE9">
        <w:rPr>
          <w:sz w:val="24"/>
          <w:szCs w:val="24"/>
        </w:rPr>
        <w:tab/>
        <w:t xml:space="preserve">PPLICA first addressed PPL’s </w:t>
      </w:r>
      <w:r w:rsidR="00566BBC" w:rsidRPr="00B20BE9">
        <w:rPr>
          <w:sz w:val="24"/>
          <w:szCs w:val="24"/>
        </w:rPr>
        <w:t xml:space="preserve">assertion that the </w:t>
      </w:r>
      <w:r w:rsidR="00E1006F" w:rsidRPr="00B20BE9">
        <w:rPr>
          <w:sz w:val="24"/>
          <w:szCs w:val="24"/>
        </w:rPr>
        <w:t>plain</w:t>
      </w:r>
      <w:r w:rsidRPr="00B20BE9">
        <w:rPr>
          <w:sz w:val="24"/>
          <w:szCs w:val="24"/>
        </w:rPr>
        <w:t xml:space="preserve"> language of Act 11 provided no discretion to the Commission</w:t>
      </w:r>
      <w:r w:rsidR="00E1006F" w:rsidRPr="00B20BE9">
        <w:rPr>
          <w:sz w:val="24"/>
          <w:szCs w:val="24"/>
        </w:rPr>
        <w:t xml:space="preserve"> to exempt LP-5 customers.  Contrary to PPL’s argument, PPLICA found that Section 1358(d)(1) was not a mandate and provided sufficient discretion to address circumstances wherein application of the DSIC would not further the public interest.</w:t>
      </w:r>
      <w:r w:rsidR="00566BBC" w:rsidRPr="00B20BE9">
        <w:rPr>
          <w:sz w:val="24"/>
          <w:szCs w:val="24"/>
        </w:rPr>
        <w:t xml:space="preserve">  Specifically, PPLICA noted that Section 1358(a) limits calculation of a DSIC to “applicable” rates, which were undefined.  It emphasized that, consistent with the Pennsylvania Laws of Statutory Construction, there is a presumption that the General Assembly does not intend an absurd or unreasonable result.  1 Pa.C.S. §</w:t>
      </w:r>
      <w:r w:rsidR="008207E0" w:rsidRPr="00B20BE9">
        <w:rPr>
          <w:sz w:val="24"/>
          <w:szCs w:val="24"/>
        </w:rPr>
        <w:t xml:space="preserve"> </w:t>
      </w:r>
      <w:r w:rsidR="00566BBC" w:rsidRPr="00B20BE9">
        <w:rPr>
          <w:sz w:val="24"/>
          <w:szCs w:val="24"/>
        </w:rPr>
        <w:t>1922(1).</w:t>
      </w:r>
      <w:r w:rsidR="008207E0" w:rsidRPr="00B20BE9">
        <w:rPr>
          <w:sz w:val="24"/>
          <w:szCs w:val="24"/>
        </w:rPr>
        <w:t xml:space="preserve">  PPLICA R</w:t>
      </w:r>
      <w:r w:rsidR="001A1BD3">
        <w:rPr>
          <w:sz w:val="24"/>
          <w:szCs w:val="24"/>
        </w:rPr>
        <w:t>.B., pp. 3-4.</w:t>
      </w:r>
    </w:p>
    <w:p w:rsidR="00566BBC" w:rsidRPr="00B20BE9" w:rsidRDefault="00566BBC" w:rsidP="00BE69E4">
      <w:pPr>
        <w:rPr>
          <w:sz w:val="24"/>
          <w:szCs w:val="24"/>
        </w:rPr>
      </w:pPr>
    </w:p>
    <w:p w:rsidR="00410B4E" w:rsidRPr="00B20BE9" w:rsidRDefault="00566BBC" w:rsidP="00BE69E4">
      <w:pPr>
        <w:rPr>
          <w:sz w:val="24"/>
          <w:szCs w:val="24"/>
        </w:rPr>
      </w:pPr>
      <w:r w:rsidRPr="00B20BE9">
        <w:rPr>
          <w:sz w:val="24"/>
          <w:szCs w:val="24"/>
        </w:rPr>
        <w:tab/>
      </w:r>
      <w:r w:rsidRPr="00B20BE9">
        <w:rPr>
          <w:sz w:val="24"/>
          <w:szCs w:val="24"/>
        </w:rPr>
        <w:tab/>
        <w:t xml:space="preserve">In addition, </w:t>
      </w:r>
      <w:r w:rsidR="00AE32D0" w:rsidRPr="00B20BE9">
        <w:rPr>
          <w:sz w:val="24"/>
          <w:szCs w:val="24"/>
        </w:rPr>
        <w:t>PPLICA contended that the Commission had thoroughly examined the appropriate application of a DSIC to transmission voltage customers in its informal working groups and formal Act 11 Implementation process</w:t>
      </w:r>
      <w:r w:rsidR="00410B4E" w:rsidRPr="00B20BE9">
        <w:rPr>
          <w:sz w:val="24"/>
          <w:szCs w:val="24"/>
        </w:rPr>
        <w:t xml:space="preserve">.  As a result, the Commission </w:t>
      </w:r>
      <w:r w:rsidR="00AE32D0" w:rsidRPr="00B20BE9">
        <w:rPr>
          <w:sz w:val="24"/>
          <w:szCs w:val="24"/>
        </w:rPr>
        <w:t>had determined not to apply the DSIC to LP-5 customers served from high voltage facilities which are not included within distribution plant for ratemaking purposes.</w:t>
      </w:r>
      <w:r w:rsidR="008207E0" w:rsidRPr="00B20BE9">
        <w:rPr>
          <w:sz w:val="24"/>
          <w:szCs w:val="24"/>
        </w:rPr>
        <w:t xml:space="preserve">  PPLICA R.B., p. 3.</w:t>
      </w:r>
    </w:p>
    <w:p w:rsidR="00410B4E" w:rsidRPr="00B20BE9" w:rsidRDefault="00410B4E" w:rsidP="00BE69E4">
      <w:pPr>
        <w:rPr>
          <w:sz w:val="24"/>
          <w:szCs w:val="24"/>
        </w:rPr>
      </w:pPr>
    </w:p>
    <w:p w:rsidR="00D62941" w:rsidRPr="00B20BE9" w:rsidRDefault="00410B4E" w:rsidP="00D62941">
      <w:pPr>
        <w:rPr>
          <w:sz w:val="24"/>
          <w:szCs w:val="24"/>
        </w:rPr>
      </w:pPr>
      <w:r w:rsidRPr="00B20BE9">
        <w:rPr>
          <w:sz w:val="24"/>
          <w:szCs w:val="24"/>
        </w:rPr>
        <w:tab/>
      </w:r>
      <w:r w:rsidRPr="00B20BE9">
        <w:rPr>
          <w:sz w:val="24"/>
          <w:szCs w:val="24"/>
        </w:rPr>
        <w:tab/>
        <w:t>PPLICA’s Reply Brief contains further details, reproduced below, concerning the Commission process which it claims resulted in the DSIC exemption for certain customers:</w:t>
      </w:r>
    </w:p>
    <w:p w:rsidR="00D62941" w:rsidRPr="00B20BE9" w:rsidRDefault="00D62941" w:rsidP="00D911DC">
      <w:pPr>
        <w:rPr>
          <w:sz w:val="24"/>
          <w:szCs w:val="24"/>
        </w:rPr>
      </w:pPr>
    </w:p>
    <w:p w:rsidR="003554EE" w:rsidRPr="00B20BE9" w:rsidRDefault="003554EE" w:rsidP="00D62941">
      <w:pPr>
        <w:spacing w:line="240" w:lineRule="auto"/>
        <w:ind w:left="1440" w:right="1440"/>
        <w:rPr>
          <w:sz w:val="24"/>
          <w:szCs w:val="24"/>
        </w:rPr>
      </w:pPr>
      <w:r w:rsidRPr="00B20BE9">
        <w:rPr>
          <w:sz w:val="24"/>
          <w:szCs w:val="24"/>
        </w:rPr>
        <w:t xml:space="preserve">The application of a DSIC to transmission voltage customers was first discussed in the Commission's informal DSIC working group, subsequently raised in the Tentative Order, and appropriately resolved in the </w:t>
      </w:r>
      <w:r w:rsidR="00D62941" w:rsidRPr="00B20BE9">
        <w:rPr>
          <w:sz w:val="24"/>
          <w:szCs w:val="24"/>
        </w:rPr>
        <w:t xml:space="preserve">[Final] </w:t>
      </w:r>
      <w:r w:rsidRPr="00B20BE9">
        <w:rPr>
          <w:sz w:val="24"/>
          <w:szCs w:val="24"/>
        </w:rPr>
        <w:t>Implementation Order.  In the Tentative Order, the Commission outlined concerns expressed amongst participants in the DSIC working group, stating:</w:t>
      </w:r>
    </w:p>
    <w:p w:rsidR="00D62941" w:rsidRPr="00B20BE9" w:rsidRDefault="00D62941" w:rsidP="00D62941">
      <w:pPr>
        <w:rPr>
          <w:sz w:val="24"/>
          <w:szCs w:val="24"/>
        </w:rPr>
      </w:pPr>
    </w:p>
    <w:p w:rsidR="003554EE" w:rsidRPr="00B20BE9" w:rsidRDefault="003554EE" w:rsidP="00D62941">
      <w:pPr>
        <w:tabs>
          <w:tab w:val="left" w:pos="720"/>
          <w:tab w:val="left" w:pos="1440"/>
          <w:tab w:val="center" w:pos="5040"/>
        </w:tabs>
        <w:spacing w:line="240" w:lineRule="auto"/>
        <w:ind w:left="2160" w:right="2160"/>
        <w:rPr>
          <w:sz w:val="24"/>
          <w:szCs w:val="24"/>
        </w:rPr>
      </w:pPr>
      <w:r w:rsidRPr="00B20BE9">
        <w:rPr>
          <w:sz w:val="24"/>
          <w:szCs w:val="24"/>
        </w:rPr>
        <w:t xml:space="preserve">Section 1358(d)(1) provides that a DSIC rate is to be “applied equally to all customer classes as a percentage of each customers billed revenue” relative to distribution or service rates.  Several informal comments were made on this point during the working group meeting suggesting that application of a uniform DSIC rate to every customer class may not be appropriate where, for example, a natural gas customer is the beneficiary of a lower rate designed to retain load </w:t>
      </w:r>
      <w:r w:rsidRPr="00B20BE9">
        <w:rPr>
          <w:sz w:val="24"/>
          <w:szCs w:val="24"/>
          <w:u w:val="single"/>
        </w:rPr>
        <w:t>or where the electric customer takes service at the transmission level of service</w:t>
      </w:r>
      <w:r w:rsidRPr="00B20BE9">
        <w:rPr>
          <w:sz w:val="24"/>
          <w:szCs w:val="24"/>
        </w:rPr>
        <w:t>.</w:t>
      </w:r>
      <w:r w:rsidRPr="00B20BE9">
        <w:rPr>
          <w:rStyle w:val="FootnoteReference"/>
          <w:sz w:val="24"/>
          <w:szCs w:val="24"/>
        </w:rPr>
        <w:footnoteReference w:id="11"/>
      </w:r>
    </w:p>
    <w:p w:rsidR="003554EE" w:rsidRPr="00B20BE9" w:rsidRDefault="003554EE" w:rsidP="003554EE">
      <w:pPr>
        <w:tabs>
          <w:tab w:val="left" w:pos="720"/>
          <w:tab w:val="left" w:pos="1440"/>
          <w:tab w:val="center" w:pos="5040"/>
        </w:tabs>
        <w:spacing w:line="240" w:lineRule="auto"/>
        <w:ind w:left="1440" w:right="1440" w:firstLine="720"/>
        <w:rPr>
          <w:sz w:val="24"/>
          <w:szCs w:val="24"/>
        </w:rPr>
      </w:pPr>
    </w:p>
    <w:p w:rsidR="003554EE" w:rsidRPr="00B20BE9" w:rsidRDefault="003554EE" w:rsidP="003554EE">
      <w:pPr>
        <w:tabs>
          <w:tab w:val="left" w:pos="720"/>
          <w:tab w:val="left" w:pos="1440"/>
          <w:tab w:val="center" w:pos="5040"/>
        </w:tabs>
        <w:spacing w:line="240" w:lineRule="auto"/>
        <w:ind w:left="1440" w:right="1440"/>
        <w:rPr>
          <w:sz w:val="24"/>
          <w:szCs w:val="24"/>
        </w:rPr>
      </w:pPr>
      <w:r w:rsidRPr="00B20BE9">
        <w:rPr>
          <w:sz w:val="24"/>
          <w:szCs w:val="24"/>
        </w:rPr>
        <w:t>The Tentative Order expressed uncertainty as to the flexibility under Act 11 for exempting certain customers from DSIC rates and invited comment on the appropriate treatment of natural gas bypass and transmission voltage customers.</w:t>
      </w:r>
      <w:r w:rsidRPr="00B20BE9">
        <w:rPr>
          <w:rStyle w:val="FootnoteReference"/>
          <w:sz w:val="24"/>
          <w:szCs w:val="24"/>
        </w:rPr>
        <w:footnoteReference w:id="12"/>
      </w:r>
      <w:r w:rsidRPr="00B20BE9">
        <w:rPr>
          <w:sz w:val="24"/>
          <w:szCs w:val="24"/>
        </w:rPr>
        <w:t xml:space="preserve">  Following entry of the Tentative Order, two parties commented on the application of DSIC rates to transmission voltage customers.  PPLICA joined in comments submitted by t</w:t>
      </w:r>
      <w:r w:rsidR="00C516A6" w:rsidRPr="00B20BE9">
        <w:rPr>
          <w:sz w:val="24"/>
          <w:szCs w:val="24"/>
        </w:rPr>
        <w:t>he Industrial Customer Groups (ICG</w:t>
      </w:r>
      <w:r w:rsidRPr="00B20BE9">
        <w:rPr>
          <w:sz w:val="24"/>
          <w:szCs w:val="24"/>
        </w:rPr>
        <w:t>), which stated:</w:t>
      </w:r>
    </w:p>
    <w:p w:rsidR="00D62941" w:rsidRPr="00B20BE9" w:rsidRDefault="00D62941" w:rsidP="003554EE">
      <w:pPr>
        <w:tabs>
          <w:tab w:val="left" w:pos="720"/>
          <w:tab w:val="left" w:pos="1440"/>
          <w:tab w:val="center" w:pos="5040"/>
        </w:tabs>
        <w:spacing w:line="240" w:lineRule="auto"/>
        <w:ind w:left="1440" w:right="1440"/>
        <w:rPr>
          <w:sz w:val="24"/>
          <w:szCs w:val="24"/>
        </w:rPr>
      </w:pPr>
    </w:p>
    <w:p w:rsidR="003554EE" w:rsidRPr="00B20BE9" w:rsidRDefault="003554EE" w:rsidP="00D62941">
      <w:pPr>
        <w:tabs>
          <w:tab w:val="left" w:pos="720"/>
          <w:tab w:val="left" w:pos="1440"/>
          <w:tab w:val="center" w:pos="5040"/>
        </w:tabs>
        <w:spacing w:line="240" w:lineRule="auto"/>
        <w:ind w:left="2160" w:right="2160"/>
        <w:rPr>
          <w:sz w:val="24"/>
          <w:szCs w:val="24"/>
        </w:rPr>
      </w:pPr>
      <w:r w:rsidRPr="00B20BE9">
        <w:rPr>
          <w:sz w:val="24"/>
          <w:szCs w:val="24"/>
        </w:rPr>
        <w:t>…customers receiving service via: (1)</w:t>
      </w:r>
      <w:r w:rsidR="006A6443">
        <w:rPr>
          <w:sz w:val="24"/>
          <w:szCs w:val="24"/>
        </w:rPr>
        <w:t xml:space="preserve"> </w:t>
      </w:r>
      <w:r w:rsidRPr="00B20BE9">
        <w:rPr>
          <w:sz w:val="24"/>
          <w:szCs w:val="24"/>
          <w:u w:val="single"/>
        </w:rPr>
        <w:t>only transmission voltage levels</w:t>
      </w:r>
      <w:r w:rsidR="006A6443">
        <w:rPr>
          <w:sz w:val="24"/>
          <w:szCs w:val="24"/>
        </w:rPr>
        <w:t xml:space="preserve">; (2) a natural gas bypass; and (3) </w:t>
      </w:r>
      <w:r w:rsidRPr="00B20BE9">
        <w:rPr>
          <w:sz w:val="24"/>
          <w:szCs w:val="24"/>
        </w:rPr>
        <w:t xml:space="preserve">negotiated rates should not be considered true "distribution" customers subject to the DSIC.  To apply the DSIC to transmission voltage or bypass customers would unjustly, unreasonably, and inappropriately </w:t>
      </w:r>
      <w:r w:rsidRPr="00B20BE9">
        <w:rPr>
          <w:sz w:val="24"/>
          <w:szCs w:val="24"/>
          <w:u w:val="single"/>
        </w:rPr>
        <w:t>result in non-distribution customers remitting costs to improve a fixed utility's distribution</w:t>
      </w:r>
      <w:r w:rsidRPr="00B20BE9">
        <w:rPr>
          <w:sz w:val="24"/>
          <w:szCs w:val="24"/>
        </w:rPr>
        <w:t>.</w:t>
      </w:r>
      <w:r w:rsidRPr="00B20BE9">
        <w:rPr>
          <w:rStyle w:val="FootnoteReference"/>
          <w:sz w:val="24"/>
          <w:szCs w:val="24"/>
        </w:rPr>
        <w:footnoteReference w:id="13"/>
      </w:r>
    </w:p>
    <w:p w:rsidR="003554EE" w:rsidRPr="00B20BE9" w:rsidRDefault="003554EE" w:rsidP="003554EE">
      <w:pPr>
        <w:tabs>
          <w:tab w:val="left" w:pos="720"/>
          <w:tab w:val="left" w:pos="1440"/>
          <w:tab w:val="center" w:pos="5040"/>
        </w:tabs>
        <w:spacing w:line="240" w:lineRule="auto"/>
        <w:ind w:left="1440" w:right="1440"/>
        <w:rPr>
          <w:sz w:val="24"/>
          <w:szCs w:val="24"/>
        </w:rPr>
      </w:pPr>
    </w:p>
    <w:p w:rsidR="003554EE" w:rsidRPr="00B20BE9" w:rsidRDefault="003554EE" w:rsidP="003554EE">
      <w:pPr>
        <w:tabs>
          <w:tab w:val="left" w:pos="720"/>
          <w:tab w:val="left" w:pos="1440"/>
          <w:tab w:val="center" w:pos="5040"/>
        </w:tabs>
        <w:spacing w:line="240" w:lineRule="auto"/>
        <w:ind w:left="1440" w:right="1440"/>
        <w:rPr>
          <w:sz w:val="24"/>
          <w:szCs w:val="24"/>
        </w:rPr>
      </w:pPr>
      <w:r w:rsidRPr="00B20BE9">
        <w:rPr>
          <w:sz w:val="24"/>
          <w:szCs w:val="24"/>
        </w:rPr>
        <w:t xml:space="preserve">In addition to the ICG, the Energy Association of </w:t>
      </w:r>
      <w:r w:rsidR="002D47C8" w:rsidRPr="00B20BE9">
        <w:rPr>
          <w:sz w:val="24"/>
          <w:szCs w:val="24"/>
        </w:rPr>
        <w:t xml:space="preserve">Pennsylvania (EAP) . . . </w:t>
      </w:r>
      <w:r w:rsidRPr="00B20BE9">
        <w:rPr>
          <w:sz w:val="24"/>
          <w:szCs w:val="24"/>
        </w:rPr>
        <w:t>commented on the appl</w:t>
      </w:r>
      <w:r w:rsidR="007258A7">
        <w:rPr>
          <w:sz w:val="24"/>
          <w:szCs w:val="24"/>
        </w:rPr>
        <w:t>ication of a DSIC under Section </w:t>
      </w:r>
      <w:r w:rsidRPr="00B20BE9">
        <w:rPr>
          <w:sz w:val="24"/>
          <w:szCs w:val="24"/>
        </w:rPr>
        <w:t>1358(d) as follows:</w:t>
      </w:r>
    </w:p>
    <w:p w:rsidR="00D62941" w:rsidRPr="00B20BE9" w:rsidRDefault="00D62941" w:rsidP="003554EE">
      <w:pPr>
        <w:tabs>
          <w:tab w:val="left" w:pos="720"/>
          <w:tab w:val="left" w:pos="1440"/>
          <w:tab w:val="center" w:pos="5040"/>
        </w:tabs>
        <w:spacing w:line="240" w:lineRule="auto"/>
        <w:ind w:left="1440" w:right="1440"/>
        <w:rPr>
          <w:sz w:val="24"/>
          <w:szCs w:val="24"/>
        </w:rPr>
      </w:pPr>
    </w:p>
    <w:p w:rsidR="003554EE" w:rsidRPr="00B20BE9" w:rsidRDefault="003554EE" w:rsidP="00D62941">
      <w:pPr>
        <w:tabs>
          <w:tab w:val="left" w:pos="720"/>
          <w:tab w:val="left" w:pos="1440"/>
          <w:tab w:val="center" w:pos="5040"/>
        </w:tabs>
        <w:spacing w:line="240" w:lineRule="auto"/>
        <w:ind w:left="2160" w:right="2160"/>
        <w:rPr>
          <w:i/>
          <w:sz w:val="24"/>
          <w:szCs w:val="24"/>
          <w:u w:val="single"/>
        </w:rPr>
      </w:pPr>
      <w:r w:rsidRPr="00B20BE9">
        <w:rPr>
          <w:sz w:val="24"/>
          <w:szCs w:val="24"/>
        </w:rPr>
        <w:t xml:space="preserve">Nothing in the language cited above indicates an intention to overturn existing policies such as recovery of costs based upon cost-causation, non-discrimination, or other general ratemaking principles embodied in chapter 13 of the Public Utility Code.  </w:t>
      </w:r>
      <w:r w:rsidRPr="00B20BE9">
        <w:rPr>
          <w:sz w:val="24"/>
          <w:szCs w:val="24"/>
          <w:u w:val="single"/>
        </w:rPr>
        <w:t>The Commission's tentative interpretation could lead to the anomalous result that customer classes could be impacted differently when costs are recovered via a DSIC as opposed to when these costs are rolled into base rates</w:t>
      </w:r>
      <w:r w:rsidRPr="00B20BE9">
        <w:rPr>
          <w:i/>
          <w:sz w:val="24"/>
          <w:szCs w:val="24"/>
        </w:rPr>
        <w:t>.</w:t>
      </w:r>
      <w:r w:rsidRPr="00B20BE9">
        <w:rPr>
          <w:sz w:val="24"/>
          <w:szCs w:val="24"/>
        </w:rPr>
        <w:t xml:space="preserve">  For these reasons, </w:t>
      </w:r>
      <w:r w:rsidRPr="00B20BE9">
        <w:rPr>
          <w:sz w:val="24"/>
          <w:szCs w:val="24"/>
          <w:u w:val="single"/>
        </w:rPr>
        <w:t>an unduly rigid interpretation of this language would be contrary to the public interest and should not be adopted by the Commission</w:t>
      </w:r>
      <w:r w:rsidRPr="00B20BE9">
        <w:rPr>
          <w:sz w:val="24"/>
          <w:szCs w:val="24"/>
        </w:rPr>
        <w:t>.</w:t>
      </w:r>
      <w:r w:rsidRPr="00B20BE9">
        <w:rPr>
          <w:rStyle w:val="FootnoteReference"/>
          <w:sz w:val="24"/>
          <w:szCs w:val="24"/>
        </w:rPr>
        <w:footnoteReference w:id="14"/>
      </w:r>
    </w:p>
    <w:p w:rsidR="003554EE" w:rsidRPr="00B20BE9" w:rsidRDefault="003554EE" w:rsidP="003554EE">
      <w:pPr>
        <w:tabs>
          <w:tab w:val="left" w:pos="720"/>
          <w:tab w:val="left" w:pos="1440"/>
          <w:tab w:val="center" w:pos="5040"/>
        </w:tabs>
        <w:spacing w:line="240" w:lineRule="auto"/>
        <w:ind w:left="1440" w:right="1440" w:firstLine="720"/>
        <w:rPr>
          <w:i/>
          <w:sz w:val="24"/>
          <w:szCs w:val="24"/>
          <w:u w:val="single"/>
        </w:rPr>
      </w:pPr>
    </w:p>
    <w:p w:rsidR="003554EE" w:rsidRPr="00B20BE9" w:rsidRDefault="003554EE" w:rsidP="003554EE">
      <w:pPr>
        <w:tabs>
          <w:tab w:val="left" w:pos="720"/>
          <w:tab w:val="left" w:pos="1440"/>
          <w:tab w:val="center" w:pos="5040"/>
        </w:tabs>
        <w:spacing w:line="240" w:lineRule="auto"/>
        <w:ind w:left="1440" w:right="1440"/>
        <w:rPr>
          <w:sz w:val="24"/>
          <w:szCs w:val="24"/>
        </w:rPr>
      </w:pPr>
      <w:r w:rsidRPr="00B20BE9">
        <w:rPr>
          <w:sz w:val="24"/>
          <w:szCs w:val="24"/>
        </w:rPr>
        <w:t xml:space="preserve">Upon review of the ICG and EAP Comments, the Commission appropriately exercised its discretion to interpret Act 11 in a manner consistent with its broad authority to ensure just and reasonable public utility rates and entered the </w:t>
      </w:r>
      <w:r w:rsidR="003A232D" w:rsidRPr="00B20BE9">
        <w:rPr>
          <w:sz w:val="24"/>
          <w:szCs w:val="24"/>
        </w:rPr>
        <w:t xml:space="preserve">[Final] </w:t>
      </w:r>
      <w:r w:rsidRPr="00B20BE9">
        <w:rPr>
          <w:sz w:val="24"/>
          <w:szCs w:val="24"/>
        </w:rPr>
        <w:t>Implementation Order finding that DSIC charges shall not apply to transmission voltage customers.</w:t>
      </w:r>
      <w:r w:rsidRPr="00B20BE9">
        <w:rPr>
          <w:rStyle w:val="FootnoteReference"/>
          <w:sz w:val="24"/>
          <w:szCs w:val="24"/>
        </w:rPr>
        <w:footnoteReference w:id="15"/>
      </w:r>
    </w:p>
    <w:p w:rsidR="003A232D" w:rsidRPr="00B20BE9" w:rsidRDefault="003A232D" w:rsidP="003554EE">
      <w:pPr>
        <w:tabs>
          <w:tab w:val="left" w:pos="720"/>
          <w:tab w:val="left" w:pos="1440"/>
          <w:tab w:val="center" w:pos="5040"/>
        </w:tabs>
        <w:spacing w:line="240" w:lineRule="auto"/>
        <w:ind w:left="1440" w:right="1440" w:firstLine="720"/>
        <w:rPr>
          <w:sz w:val="24"/>
          <w:szCs w:val="24"/>
        </w:rPr>
      </w:pPr>
    </w:p>
    <w:p w:rsidR="003554EE" w:rsidRPr="00B20BE9" w:rsidRDefault="003554EE" w:rsidP="003A232D">
      <w:pPr>
        <w:tabs>
          <w:tab w:val="left" w:pos="720"/>
          <w:tab w:val="left" w:pos="1440"/>
          <w:tab w:val="center" w:pos="5040"/>
        </w:tabs>
        <w:spacing w:line="240" w:lineRule="auto"/>
        <w:ind w:left="1440" w:right="1440"/>
        <w:rPr>
          <w:sz w:val="24"/>
          <w:szCs w:val="24"/>
        </w:rPr>
      </w:pPr>
      <w:r w:rsidRPr="00B20BE9">
        <w:rPr>
          <w:sz w:val="24"/>
          <w:szCs w:val="24"/>
        </w:rPr>
        <w:t xml:space="preserve">PPLICA concurs with the ICG and EAP Comments and submits that PPL has applied precisely the overly rigid analysis that was rejected by the </w:t>
      </w:r>
      <w:r w:rsidR="003A232D" w:rsidRPr="00B20BE9">
        <w:rPr>
          <w:sz w:val="24"/>
          <w:szCs w:val="24"/>
        </w:rPr>
        <w:t xml:space="preserve">[Final] </w:t>
      </w:r>
      <w:r w:rsidRPr="00B20BE9">
        <w:rPr>
          <w:sz w:val="24"/>
          <w:szCs w:val="24"/>
        </w:rPr>
        <w:t>Implementation Order.  As recounted in PPLICA's Main Brief, the record in this proceeding establishes that LP-5 customers are served by higher voltage facilities that are not included in PPL's distribution rates for ratemaking purposes.</w:t>
      </w:r>
      <w:r w:rsidRPr="00B20BE9">
        <w:rPr>
          <w:rStyle w:val="FootnoteReference"/>
          <w:sz w:val="24"/>
          <w:szCs w:val="24"/>
        </w:rPr>
        <w:footnoteReference w:id="16"/>
      </w:r>
      <w:r w:rsidRPr="00B20BE9">
        <w:rPr>
          <w:sz w:val="24"/>
          <w:szCs w:val="24"/>
        </w:rPr>
        <w:t xml:space="preserve">  Accordingly, PPL's LP-5 customers are squarely within the bounds of the transmission voltage exemption conferred by the </w:t>
      </w:r>
      <w:r w:rsidR="003A232D" w:rsidRPr="00B20BE9">
        <w:rPr>
          <w:sz w:val="24"/>
          <w:szCs w:val="24"/>
        </w:rPr>
        <w:t xml:space="preserve">[Final] </w:t>
      </w:r>
      <w:r w:rsidR="007C0A5E">
        <w:rPr>
          <w:sz w:val="24"/>
          <w:szCs w:val="24"/>
        </w:rPr>
        <w:t>Implementation Order.</w:t>
      </w:r>
    </w:p>
    <w:p w:rsidR="00C516A6" w:rsidRPr="00B20BE9" w:rsidRDefault="00C516A6" w:rsidP="003A232D">
      <w:pPr>
        <w:tabs>
          <w:tab w:val="left" w:pos="720"/>
          <w:tab w:val="left" w:pos="1440"/>
          <w:tab w:val="center" w:pos="5040"/>
        </w:tabs>
        <w:spacing w:line="240" w:lineRule="auto"/>
        <w:ind w:left="1440" w:right="1440"/>
        <w:rPr>
          <w:sz w:val="24"/>
          <w:szCs w:val="24"/>
        </w:rPr>
      </w:pPr>
    </w:p>
    <w:p w:rsidR="00C516A6" w:rsidRPr="00B20BE9" w:rsidRDefault="00B95EF4" w:rsidP="00C516A6">
      <w:pPr>
        <w:tabs>
          <w:tab w:val="left" w:pos="720"/>
          <w:tab w:val="left" w:pos="1440"/>
          <w:tab w:val="center" w:pos="5040"/>
        </w:tabs>
        <w:spacing w:line="240" w:lineRule="auto"/>
        <w:rPr>
          <w:sz w:val="24"/>
          <w:szCs w:val="24"/>
        </w:rPr>
      </w:pPr>
      <w:r w:rsidRPr="00B20BE9">
        <w:rPr>
          <w:sz w:val="24"/>
          <w:szCs w:val="24"/>
        </w:rPr>
        <w:t>PPLICA R.B., pp. 4-6.</w:t>
      </w:r>
    </w:p>
    <w:p w:rsidR="00B95EF4" w:rsidRPr="00B20BE9" w:rsidRDefault="00B95EF4" w:rsidP="008207E0">
      <w:pPr>
        <w:tabs>
          <w:tab w:val="left" w:pos="720"/>
          <w:tab w:val="left" w:pos="1440"/>
          <w:tab w:val="center" w:pos="5040"/>
        </w:tabs>
        <w:rPr>
          <w:sz w:val="24"/>
          <w:szCs w:val="24"/>
        </w:rPr>
      </w:pPr>
    </w:p>
    <w:p w:rsidR="00D4539B" w:rsidRPr="00B20BE9" w:rsidRDefault="00C516A6" w:rsidP="00C516A6">
      <w:pPr>
        <w:tabs>
          <w:tab w:val="left" w:pos="720"/>
          <w:tab w:val="left" w:pos="1440"/>
          <w:tab w:val="center" w:pos="5040"/>
        </w:tabs>
        <w:rPr>
          <w:sz w:val="24"/>
          <w:szCs w:val="24"/>
        </w:rPr>
      </w:pPr>
      <w:r w:rsidRPr="00B20BE9">
        <w:rPr>
          <w:sz w:val="24"/>
          <w:szCs w:val="24"/>
        </w:rPr>
        <w:tab/>
      </w:r>
      <w:r w:rsidRPr="00B20BE9">
        <w:rPr>
          <w:sz w:val="24"/>
          <w:szCs w:val="24"/>
        </w:rPr>
        <w:tab/>
        <w:t>Thus, PPLICA contended, as indicated in the above Reply Brief excerpt, that the Commission had specifically considered and rejected PPL’s contention that the Commission was mandated by 66 Pa.C.S. § 1358(d)(1) to apply the DSIC to all customer classes, without consideration of the justness and reasonableness of doing so.</w:t>
      </w:r>
    </w:p>
    <w:p w:rsidR="00566BBC" w:rsidRPr="00B20BE9" w:rsidRDefault="00566BBC" w:rsidP="00C516A6">
      <w:pPr>
        <w:tabs>
          <w:tab w:val="left" w:pos="720"/>
          <w:tab w:val="left" w:pos="1440"/>
          <w:tab w:val="center" w:pos="5040"/>
        </w:tabs>
        <w:rPr>
          <w:sz w:val="24"/>
          <w:szCs w:val="24"/>
        </w:rPr>
      </w:pPr>
    </w:p>
    <w:p w:rsidR="00236CCD" w:rsidRPr="00B20BE9" w:rsidRDefault="00566BBC" w:rsidP="00C516A6">
      <w:pPr>
        <w:tabs>
          <w:tab w:val="left" w:pos="720"/>
          <w:tab w:val="left" w:pos="1440"/>
          <w:tab w:val="center" w:pos="5040"/>
        </w:tabs>
        <w:rPr>
          <w:sz w:val="24"/>
          <w:szCs w:val="24"/>
        </w:rPr>
      </w:pPr>
      <w:r w:rsidRPr="00B20BE9">
        <w:rPr>
          <w:sz w:val="24"/>
          <w:szCs w:val="24"/>
        </w:rPr>
        <w:tab/>
      </w:r>
      <w:r w:rsidRPr="00B20BE9">
        <w:rPr>
          <w:sz w:val="24"/>
          <w:szCs w:val="24"/>
        </w:rPr>
        <w:tab/>
        <w:t>Regarding PPL’</w:t>
      </w:r>
      <w:r w:rsidR="00B95EF4" w:rsidRPr="00B20BE9">
        <w:rPr>
          <w:sz w:val="24"/>
          <w:szCs w:val="24"/>
        </w:rPr>
        <w:t>s argument that the Commission exempted natural gas bypass customers but treated transmission voltage customers differently, PPLICA responded that the Commission applied the same cost-of-service principles in granting both exemptions.  The only difference in exemption was that, for EDCs, additional guidelines were established to apply DSIC charges to customers that may be transmission voltage customers in name, but may actually use higher voltage facilities that are included in the EDC’s distribution plant for ratemakin</w:t>
      </w:r>
      <w:r w:rsidR="007C0A5E">
        <w:rPr>
          <w:sz w:val="24"/>
          <w:szCs w:val="24"/>
        </w:rPr>
        <w:t>g purposes.  PPLICA R.B., p. 7.</w:t>
      </w:r>
    </w:p>
    <w:p w:rsidR="00236CCD" w:rsidRPr="00B20BE9" w:rsidRDefault="00236CCD" w:rsidP="00C516A6">
      <w:pPr>
        <w:tabs>
          <w:tab w:val="left" w:pos="720"/>
          <w:tab w:val="left" w:pos="1440"/>
          <w:tab w:val="center" w:pos="5040"/>
        </w:tabs>
        <w:rPr>
          <w:sz w:val="24"/>
          <w:szCs w:val="24"/>
        </w:rPr>
      </w:pPr>
    </w:p>
    <w:p w:rsidR="005518DC" w:rsidRPr="00B20BE9" w:rsidRDefault="00236CCD" w:rsidP="00C516A6">
      <w:pPr>
        <w:tabs>
          <w:tab w:val="left" w:pos="720"/>
          <w:tab w:val="left" w:pos="1440"/>
          <w:tab w:val="center" w:pos="5040"/>
        </w:tabs>
        <w:rPr>
          <w:sz w:val="24"/>
          <w:szCs w:val="24"/>
        </w:rPr>
      </w:pPr>
      <w:r w:rsidRPr="00B20BE9">
        <w:rPr>
          <w:sz w:val="24"/>
          <w:szCs w:val="24"/>
        </w:rPr>
        <w:tab/>
      </w:r>
      <w:r w:rsidRPr="00B20BE9">
        <w:rPr>
          <w:sz w:val="24"/>
          <w:szCs w:val="24"/>
        </w:rPr>
        <w:tab/>
        <w:t>PPLICA concluded that the higher voltage facilities serving PPL’s LP-5 customers are not included in the Company’s distribution plant for ratemaking purposes and therefore, LP-5 customers should be excluded from the DSIC, and refunds should be granted retroactive to July 1, 2013.</w:t>
      </w:r>
      <w:r w:rsidR="00440A4A" w:rsidRPr="00B20BE9">
        <w:rPr>
          <w:sz w:val="24"/>
          <w:szCs w:val="24"/>
        </w:rPr>
        <w:t xml:space="preserve">  PPLICA R.B., p. 10.</w:t>
      </w:r>
    </w:p>
    <w:p w:rsidR="005518DC" w:rsidRPr="00B20BE9" w:rsidRDefault="005518DC" w:rsidP="00C516A6">
      <w:pPr>
        <w:tabs>
          <w:tab w:val="left" w:pos="720"/>
          <w:tab w:val="left" w:pos="1440"/>
          <w:tab w:val="center" w:pos="5040"/>
        </w:tabs>
        <w:rPr>
          <w:sz w:val="24"/>
          <w:szCs w:val="24"/>
        </w:rPr>
      </w:pPr>
    </w:p>
    <w:p w:rsidR="00566BBC" w:rsidRPr="00B20BE9" w:rsidRDefault="005518DC" w:rsidP="005351A1">
      <w:pPr>
        <w:ind w:left="720"/>
        <w:rPr>
          <w:sz w:val="24"/>
          <w:szCs w:val="24"/>
        </w:rPr>
      </w:pPr>
      <w:r w:rsidRPr="00B20BE9">
        <w:rPr>
          <w:sz w:val="24"/>
          <w:szCs w:val="24"/>
        </w:rPr>
        <w:t>2.</w:t>
      </w:r>
      <w:r w:rsidRPr="00B20BE9">
        <w:rPr>
          <w:sz w:val="24"/>
          <w:szCs w:val="24"/>
        </w:rPr>
        <w:tab/>
      </w:r>
      <w:r w:rsidRPr="00B20BE9">
        <w:rPr>
          <w:sz w:val="24"/>
          <w:szCs w:val="24"/>
          <w:u w:val="single"/>
        </w:rPr>
        <w:t>PPL Position</w:t>
      </w:r>
      <w:r w:rsidR="005351A1">
        <w:rPr>
          <w:sz w:val="24"/>
          <w:szCs w:val="24"/>
          <w:u w:val="single"/>
        </w:rPr>
        <w:fldChar w:fldCharType="begin"/>
      </w:r>
      <w:r w:rsidR="005351A1">
        <w:instrText xml:space="preserve"> TC "</w:instrText>
      </w:r>
      <w:bookmarkStart w:id="19" w:name="_Toc394309046"/>
      <w:r w:rsidR="005351A1" w:rsidRPr="008742F7">
        <w:rPr>
          <w:sz w:val="24"/>
          <w:szCs w:val="24"/>
        </w:rPr>
        <w:instrText>2.</w:instrText>
      </w:r>
      <w:r w:rsidR="005351A1" w:rsidRPr="008742F7">
        <w:rPr>
          <w:sz w:val="24"/>
          <w:szCs w:val="24"/>
        </w:rPr>
        <w:tab/>
      </w:r>
      <w:r w:rsidR="005351A1" w:rsidRPr="008742F7">
        <w:rPr>
          <w:sz w:val="24"/>
          <w:szCs w:val="24"/>
          <w:u w:val="single"/>
        </w:rPr>
        <w:instrText>PPL Position</w:instrText>
      </w:r>
      <w:bookmarkEnd w:id="19"/>
      <w:r w:rsidR="005351A1">
        <w:instrText xml:space="preserve">" \f C \l "3" </w:instrText>
      </w:r>
      <w:r w:rsidR="005351A1">
        <w:rPr>
          <w:sz w:val="24"/>
          <w:szCs w:val="24"/>
          <w:u w:val="single"/>
        </w:rPr>
        <w:fldChar w:fldCharType="end"/>
      </w:r>
    </w:p>
    <w:p w:rsidR="00D4539B" w:rsidRPr="00B20BE9" w:rsidRDefault="00D4539B" w:rsidP="00C516A6">
      <w:pPr>
        <w:tabs>
          <w:tab w:val="left" w:pos="720"/>
          <w:tab w:val="left" w:pos="1440"/>
          <w:tab w:val="center" w:pos="5040"/>
        </w:tabs>
        <w:rPr>
          <w:sz w:val="24"/>
          <w:szCs w:val="24"/>
        </w:rPr>
      </w:pPr>
    </w:p>
    <w:p w:rsidR="00062E2F" w:rsidRPr="00B20BE9" w:rsidRDefault="00D4539B" w:rsidP="00062E2F">
      <w:pPr>
        <w:tabs>
          <w:tab w:val="left" w:pos="720"/>
          <w:tab w:val="left" w:pos="1440"/>
          <w:tab w:val="center" w:pos="5040"/>
        </w:tabs>
        <w:rPr>
          <w:sz w:val="24"/>
          <w:szCs w:val="24"/>
        </w:rPr>
      </w:pPr>
      <w:r w:rsidRPr="00B20BE9">
        <w:rPr>
          <w:sz w:val="24"/>
          <w:szCs w:val="24"/>
        </w:rPr>
        <w:tab/>
      </w:r>
      <w:r w:rsidRPr="00B20BE9">
        <w:rPr>
          <w:sz w:val="24"/>
          <w:szCs w:val="24"/>
        </w:rPr>
        <w:tab/>
      </w:r>
      <w:r w:rsidR="00193C56" w:rsidRPr="00B20BE9">
        <w:rPr>
          <w:sz w:val="24"/>
          <w:szCs w:val="24"/>
        </w:rPr>
        <w:t xml:space="preserve">In its Main Brief, PPL </w:t>
      </w:r>
      <w:r w:rsidR="007D567F" w:rsidRPr="00B20BE9">
        <w:rPr>
          <w:sz w:val="24"/>
          <w:szCs w:val="24"/>
        </w:rPr>
        <w:t>argued for application the DSIC</w:t>
      </w:r>
      <w:r w:rsidR="00193C56" w:rsidRPr="00B20BE9">
        <w:rPr>
          <w:sz w:val="24"/>
          <w:szCs w:val="24"/>
        </w:rPr>
        <w:t xml:space="preserve"> to LP-5 customers.  It </w:t>
      </w:r>
      <w:r w:rsidR="00C11060" w:rsidRPr="00B20BE9">
        <w:rPr>
          <w:sz w:val="24"/>
          <w:szCs w:val="24"/>
        </w:rPr>
        <w:t xml:space="preserve">contended </w:t>
      </w:r>
      <w:r w:rsidR="00193C56" w:rsidRPr="00B20BE9">
        <w:rPr>
          <w:sz w:val="24"/>
          <w:szCs w:val="24"/>
        </w:rPr>
        <w:t>that the clear and</w:t>
      </w:r>
      <w:r w:rsidR="00C11060" w:rsidRPr="00B20BE9">
        <w:rPr>
          <w:sz w:val="24"/>
          <w:szCs w:val="24"/>
        </w:rPr>
        <w:t xml:space="preserve"> unambiguous language of Act 11 provides that the DSIC is to be applied “equally to all customer classes.”  66 Pa.C.S. § 1358(d)(1).  According to PPL, the Commission specifically carved out a DSIC exemption for natural gas customers</w:t>
      </w:r>
      <w:r w:rsidR="007D567F" w:rsidRPr="00B20BE9">
        <w:rPr>
          <w:sz w:val="24"/>
          <w:szCs w:val="24"/>
        </w:rPr>
        <w:t xml:space="preserve"> that have competitive options </w:t>
      </w:r>
      <w:r w:rsidR="00C11060" w:rsidRPr="00B20BE9">
        <w:rPr>
          <w:sz w:val="24"/>
          <w:szCs w:val="24"/>
        </w:rPr>
        <w:t xml:space="preserve">because those customers can completely opt out of taking service from a natural gas distribution company.  But for EDCs, the Commission ruled that the DSIC is to be applied to any customer served from higher voltage facilities which are included within the EDC’s distribution plant for ratemaking purposes.  </w:t>
      </w:r>
      <w:r w:rsidR="00C11060" w:rsidRPr="00B20BE9">
        <w:rPr>
          <w:i/>
          <w:sz w:val="24"/>
          <w:szCs w:val="24"/>
        </w:rPr>
        <w:t>Final Implementation Order</w:t>
      </w:r>
      <w:r w:rsidR="00C11060" w:rsidRPr="00B20BE9">
        <w:rPr>
          <w:sz w:val="24"/>
          <w:szCs w:val="24"/>
        </w:rPr>
        <w:t>, p. 46.</w:t>
      </w:r>
      <w:r w:rsidR="00062E2F" w:rsidRPr="00B20BE9">
        <w:rPr>
          <w:sz w:val="24"/>
          <w:szCs w:val="24"/>
        </w:rPr>
        <w:t xml:space="preserve">  PPL</w:t>
      </w:r>
      <w:r w:rsidR="007D567F" w:rsidRPr="00B20BE9">
        <w:rPr>
          <w:sz w:val="24"/>
          <w:szCs w:val="24"/>
        </w:rPr>
        <w:t xml:space="preserve"> indicated that the relevant inquiry for applying the DSIC is whether </w:t>
      </w:r>
      <w:r w:rsidR="00062E2F" w:rsidRPr="00B20BE9">
        <w:rPr>
          <w:sz w:val="24"/>
          <w:szCs w:val="24"/>
        </w:rPr>
        <w:t>LP-5 customers are distribution customers for ratemaking purposes.</w:t>
      </w:r>
      <w:r w:rsidR="007D567F" w:rsidRPr="00B20BE9">
        <w:rPr>
          <w:sz w:val="24"/>
          <w:szCs w:val="24"/>
        </w:rPr>
        <w:t xml:space="preserve">  PPL M.B., pp. 33-34.</w:t>
      </w:r>
    </w:p>
    <w:p w:rsidR="007D567F" w:rsidRPr="00B20BE9" w:rsidRDefault="007D567F" w:rsidP="00062E2F">
      <w:pPr>
        <w:pStyle w:val="BodyText"/>
        <w:jc w:val="left"/>
        <w:rPr>
          <w:sz w:val="24"/>
          <w:szCs w:val="24"/>
        </w:rPr>
      </w:pPr>
    </w:p>
    <w:p w:rsidR="007D567F" w:rsidRPr="00B20BE9" w:rsidRDefault="007D567F" w:rsidP="00062E2F">
      <w:pPr>
        <w:pStyle w:val="BodyText"/>
        <w:jc w:val="left"/>
        <w:rPr>
          <w:sz w:val="24"/>
          <w:szCs w:val="24"/>
        </w:rPr>
      </w:pPr>
      <w:r w:rsidRPr="00B20BE9">
        <w:rPr>
          <w:sz w:val="24"/>
          <w:szCs w:val="24"/>
        </w:rPr>
        <w:tab/>
      </w:r>
      <w:r w:rsidRPr="00B20BE9">
        <w:rPr>
          <w:sz w:val="24"/>
          <w:szCs w:val="24"/>
        </w:rPr>
        <w:tab/>
        <w:t xml:space="preserve">PPL asserted that, in fact, </w:t>
      </w:r>
      <w:r w:rsidR="00062E2F" w:rsidRPr="00B20BE9">
        <w:rPr>
          <w:sz w:val="24"/>
          <w:szCs w:val="24"/>
        </w:rPr>
        <w:t>LP-5 customers are distribution cus</w:t>
      </w:r>
      <w:r w:rsidRPr="00B20BE9">
        <w:rPr>
          <w:sz w:val="24"/>
          <w:szCs w:val="24"/>
        </w:rPr>
        <w:t>tomers for ratemaking purposes.  It noted that</w:t>
      </w:r>
      <w:r w:rsidR="00062E2F" w:rsidRPr="00B20BE9">
        <w:rPr>
          <w:sz w:val="24"/>
          <w:szCs w:val="24"/>
        </w:rPr>
        <w:t xml:space="preserve"> LP-5 customers take service</w:t>
      </w:r>
      <w:r w:rsidRPr="00B20BE9">
        <w:rPr>
          <w:sz w:val="24"/>
          <w:szCs w:val="24"/>
        </w:rPr>
        <w:t xml:space="preserve"> under PPL’s </w:t>
      </w:r>
      <w:r w:rsidR="00062E2F" w:rsidRPr="00B20BE9">
        <w:rPr>
          <w:sz w:val="24"/>
          <w:szCs w:val="24"/>
        </w:rPr>
        <w:t xml:space="preserve">approved distribution tariff and are allocated distribution costs in the Company’s cost of service study.  </w:t>
      </w:r>
      <w:r w:rsidRPr="00B20BE9">
        <w:rPr>
          <w:sz w:val="24"/>
          <w:szCs w:val="24"/>
        </w:rPr>
        <w:t xml:space="preserve">PPL </w:t>
      </w:r>
      <w:r w:rsidR="00062E2F" w:rsidRPr="00B20BE9">
        <w:rPr>
          <w:sz w:val="24"/>
          <w:szCs w:val="24"/>
        </w:rPr>
        <w:t xml:space="preserve">St. </w:t>
      </w:r>
      <w:r w:rsidR="0070247B" w:rsidRPr="00B20BE9">
        <w:rPr>
          <w:sz w:val="24"/>
          <w:szCs w:val="24"/>
        </w:rPr>
        <w:t xml:space="preserve">No. 3-R, p. </w:t>
      </w:r>
      <w:r w:rsidRPr="00B20BE9">
        <w:rPr>
          <w:sz w:val="24"/>
          <w:szCs w:val="24"/>
        </w:rPr>
        <w:t xml:space="preserve">8.  It claimed that </w:t>
      </w:r>
      <w:r w:rsidR="00062E2F" w:rsidRPr="00B20BE9">
        <w:rPr>
          <w:sz w:val="24"/>
          <w:szCs w:val="24"/>
        </w:rPr>
        <w:t xml:space="preserve">PPLICA’s own witness </w:t>
      </w:r>
      <w:r w:rsidRPr="00B20BE9">
        <w:rPr>
          <w:sz w:val="24"/>
          <w:szCs w:val="24"/>
        </w:rPr>
        <w:t xml:space="preserve">had </w:t>
      </w:r>
      <w:r w:rsidR="00062E2F" w:rsidRPr="00B20BE9">
        <w:rPr>
          <w:sz w:val="24"/>
          <w:szCs w:val="24"/>
        </w:rPr>
        <w:t>acknowledged that operating, maintenance and other related customer costs have been allocated to L</w:t>
      </w:r>
      <w:r w:rsidRPr="00B20BE9">
        <w:rPr>
          <w:sz w:val="24"/>
          <w:szCs w:val="24"/>
        </w:rPr>
        <w:t xml:space="preserve">P-5 customers in PPL’s </w:t>
      </w:r>
      <w:r w:rsidR="00062E2F" w:rsidRPr="00B20BE9">
        <w:rPr>
          <w:sz w:val="24"/>
          <w:szCs w:val="24"/>
        </w:rPr>
        <w:t xml:space="preserve">cost of service study in its last base rate proceeding.  </w:t>
      </w:r>
      <w:r w:rsidR="00062E2F" w:rsidRPr="00B20BE9">
        <w:rPr>
          <w:i/>
          <w:sz w:val="24"/>
          <w:szCs w:val="24"/>
        </w:rPr>
        <w:t>Id</w:t>
      </w:r>
      <w:r w:rsidR="00062E2F" w:rsidRPr="00B20BE9">
        <w:rPr>
          <w:sz w:val="24"/>
          <w:szCs w:val="24"/>
        </w:rPr>
        <w:t>.</w:t>
      </w:r>
    </w:p>
    <w:p w:rsidR="007D567F" w:rsidRPr="00B20BE9" w:rsidRDefault="007D567F" w:rsidP="00062E2F">
      <w:pPr>
        <w:pStyle w:val="BodyText"/>
        <w:jc w:val="left"/>
        <w:rPr>
          <w:sz w:val="24"/>
          <w:szCs w:val="24"/>
        </w:rPr>
      </w:pPr>
    </w:p>
    <w:p w:rsidR="00062E2F" w:rsidRPr="00B20BE9" w:rsidRDefault="007D567F" w:rsidP="00062E2F">
      <w:pPr>
        <w:pStyle w:val="BodyText"/>
        <w:jc w:val="left"/>
        <w:rPr>
          <w:sz w:val="24"/>
          <w:szCs w:val="24"/>
        </w:rPr>
      </w:pPr>
      <w:r w:rsidRPr="00B20BE9">
        <w:rPr>
          <w:sz w:val="24"/>
          <w:szCs w:val="24"/>
        </w:rPr>
        <w:tab/>
      </w:r>
      <w:r w:rsidRPr="00B20BE9">
        <w:rPr>
          <w:sz w:val="24"/>
          <w:szCs w:val="24"/>
        </w:rPr>
        <w:tab/>
        <w:t>PPL discounted the fact that</w:t>
      </w:r>
      <w:r w:rsidR="00062E2F" w:rsidRPr="00B20BE9">
        <w:rPr>
          <w:sz w:val="24"/>
          <w:szCs w:val="24"/>
        </w:rPr>
        <w:t xml:space="preserve"> </w:t>
      </w:r>
      <w:r w:rsidRPr="00B20BE9">
        <w:rPr>
          <w:sz w:val="24"/>
          <w:szCs w:val="24"/>
        </w:rPr>
        <w:t>LP-5</w:t>
      </w:r>
      <w:r w:rsidR="00062E2F" w:rsidRPr="00B20BE9">
        <w:rPr>
          <w:sz w:val="24"/>
          <w:szCs w:val="24"/>
        </w:rPr>
        <w:t xml:space="preserve"> customers take service at transmission level voltage </w:t>
      </w:r>
      <w:r w:rsidRPr="00B20BE9">
        <w:rPr>
          <w:sz w:val="24"/>
          <w:szCs w:val="24"/>
        </w:rPr>
        <w:t xml:space="preserve">and emphasized that this does not </w:t>
      </w:r>
      <w:r w:rsidR="00062E2F" w:rsidRPr="00B20BE9">
        <w:rPr>
          <w:sz w:val="24"/>
          <w:szCs w:val="24"/>
        </w:rPr>
        <w:t>m</w:t>
      </w:r>
      <w:r w:rsidRPr="00B20BE9">
        <w:rPr>
          <w:sz w:val="24"/>
          <w:szCs w:val="24"/>
        </w:rPr>
        <w:t>ean</w:t>
      </w:r>
      <w:r w:rsidR="00062E2F" w:rsidRPr="00B20BE9">
        <w:rPr>
          <w:sz w:val="24"/>
          <w:szCs w:val="24"/>
        </w:rPr>
        <w:t xml:space="preserve"> they are not distribution customers</w:t>
      </w:r>
      <w:r w:rsidRPr="00B20BE9">
        <w:rPr>
          <w:sz w:val="24"/>
          <w:szCs w:val="24"/>
        </w:rPr>
        <w:t xml:space="preserve">.  </w:t>
      </w:r>
      <w:r w:rsidR="00062E2F" w:rsidRPr="00B20BE9">
        <w:rPr>
          <w:sz w:val="24"/>
          <w:szCs w:val="24"/>
        </w:rPr>
        <w:t xml:space="preserve">PPL St. </w:t>
      </w:r>
      <w:r w:rsidR="001F6984">
        <w:rPr>
          <w:sz w:val="24"/>
          <w:szCs w:val="24"/>
        </w:rPr>
        <w:t>No. </w:t>
      </w:r>
      <w:r w:rsidRPr="00B20BE9">
        <w:rPr>
          <w:sz w:val="24"/>
          <w:szCs w:val="24"/>
        </w:rPr>
        <w:t>3-RJ, p. 6.  It observed that t</w:t>
      </w:r>
      <w:r w:rsidR="00062E2F" w:rsidRPr="00B20BE9">
        <w:rPr>
          <w:sz w:val="24"/>
          <w:szCs w:val="24"/>
        </w:rPr>
        <w:t>he rate schedule under which they ta</w:t>
      </w:r>
      <w:r w:rsidRPr="00B20BE9">
        <w:rPr>
          <w:sz w:val="24"/>
          <w:szCs w:val="24"/>
        </w:rPr>
        <w:t xml:space="preserve">ke service is in PPL’s </w:t>
      </w:r>
      <w:r w:rsidR="00062E2F" w:rsidRPr="00B20BE9">
        <w:rPr>
          <w:sz w:val="24"/>
          <w:szCs w:val="24"/>
        </w:rPr>
        <w:t>retail distribution tariff an</w:t>
      </w:r>
      <w:r w:rsidRPr="00B20BE9">
        <w:rPr>
          <w:sz w:val="24"/>
          <w:szCs w:val="24"/>
        </w:rPr>
        <w:t xml:space="preserve">d is included in PPL’s </w:t>
      </w:r>
      <w:r w:rsidR="00062E2F" w:rsidRPr="00B20BE9">
        <w:rPr>
          <w:sz w:val="24"/>
          <w:szCs w:val="24"/>
        </w:rPr>
        <w:t xml:space="preserve">distribution cost of service study.  </w:t>
      </w:r>
      <w:r w:rsidRPr="00B20BE9">
        <w:rPr>
          <w:sz w:val="24"/>
          <w:szCs w:val="24"/>
        </w:rPr>
        <w:t xml:space="preserve">Since </w:t>
      </w:r>
      <w:r w:rsidR="00062E2F" w:rsidRPr="00B20BE9">
        <w:rPr>
          <w:sz w:val="24"/>
          <w:szCs w:val="24"/>
        </w:rPr>
        <w:t xml:space="preserve">Rate Schedule LP-5 is within a distribution customer </w:t>
      </w:r>
      <w:r w:rsidRPr="00B20BE9">
        <w:rPr>
          <w:sz w:val="24"/>
          <w:szCs w:val="24"/>
        </w:rPr>
        <w:t xml:space="preserve">class of PPL, </w:t>
      </w:r>
      <w:r w:rsidR="00062E2F" w:rsidRPr="00B20BE9">
        <w:rPr>
          <w:sz w:val="24"/>
          <w:szCs w:val="24"/>
        </w:rPr>
        <w:t xml:space="preserve">the DSIC is applicable to </w:t>
      </w:r>
      <w:r w:rsidRPr="00B20BE9">
        <w:rPr>
          <w:sz w:val="24"/>
          <w:szCs w:val="24"/>
        </w:rPr>
        <w:t>these customers.</w:t>
      </w:r>
      <w:r w:rsidR="00062E2F" w:rsidRPr="00B20BE9">
        <w:rPr>
          <w:sz w:val="24"/>
          <w:szCs w:val="24"/>
        </w:rPr>
        <w:t xml:space="preserve"> </w:t>
      </w:r>
      <w:r w:rsidRPr="00B20BE9">
        <w:rPr>
          <w:sz w:val="24"/>
          <w:szCs w:val="24"/>
        </w:rPr>
        <w:t xml:space="preserve"> </w:t>
      </w:r>
      <w:r w:rsidR="00062E2F" w:rsidRPr="00B20BE9">
        <w:rPr>
          <w:i/>
          <w:sz w:val="24"/>
          <w:szCs w:val="24"/>
        </w:rPr>
        <w:t>Id</w:t>
      </w:r>
      <w:r w:rsidR="00BA0C9E">
        <w:rPr>
          <w:sz w:val="24"/>
          <w:szCs w:val="24"/>
        </w:rPr>
        <w:t>.</w:t>
      </w:r>
    </w:p>
    <w:p w:rsidR="007D567F" w:rsidRPr="00B20BE9" w:rsidRDefault="007D567F" w:rsidP="00062E2F">
      <w:pPr>
        <w:pStyle w:val="BodyText"/>
        <w:jc w:val="left"/>
        <w:rPr>
          <w:sz w:val="24"/>
          <w:szCs w:val="24"/>
        </w:rPr>
      </w:pPr>
    </w:p>
    <w:p w:rsidR="00113286" w:rsidRPr="00B20BE9" w:rsidRDefault="00113286" w:rsidP="00062E2F">
      <w:pPr>
        <w:pStyle w:val="BodyText"/>
        <w:jc w:val="left"/>
        <w:rPr>
          <w:sz w:val="24"/>
          <w:szCs w:val="24"/>
        </w:rPr>
      </w:pPr>
      <w:r w:rsidRPr="00B20BE9">
        <w:rPr>
          <w:sz w:val="24"/>
          <w:szCs w:val="24"/>
        </w:rPr>
        <w:tab/>
      </w:r>
      <w:r w:rsidRPr="00B20BE9">
        <w:rPr>
          <w:sz w:val="24"/>
          <w:szCs w:val="24"/>
        </w:rPr>
        <w:tab/>
        <w:t xml:space="preserve">With regard to any </w:t>
      </w:r>
      <w:r w:rsidR="00E51B47" w:rsidRPr="00B20BE9">
        <w:rPr>
          <w:sz w:val="24"/>
          <w:szCs w:val="24"/>
        </w:rPr>
        <w:t xml:space="preserve">PPLICA </w:t>
      </w:r>
      <w:r w:rsidRPr="00B20BE9">
        <w:rPr>
          <w:sz w:val="24"/>
          <w:szCs w:val="24"/>
        </w:rPr>
        <w:t xml:space="preserve">contention that </w:t>
      </w:r>
      <w:r w:rsidR="00062E2F" w:rsidRPr="00B20BE9">
        <w:rPr>
          <w:sz w:val="24"/>
          <w:szCs w:val="24"/>
        </w:rPr>
        <w:t>LP-5 customers are not allocated any distributio</w:t>
      </w:r>
      <w:r w:rsidRPr="00B20BE9">
        <w:rPr>
          <w:sz w:val="24"/>
          <w:szCs w:val="24"/>
        </w:rPr>
        <w:t>n plant costs under PPL</w:t>
      </w:r>
      <w:r w:rsidR="00062E2F" w:rsidRPr="00B20BE9">
        <w:rPr>
          <w:sz w:val="24"/>
          <w:szCs w:val="24"/>
        </w:rPr>
        <w:t>’s class cost of service study</w:t>
      </w:r>
      <w:r w:rsidRPr="00B20BE9">
        <w:rPr>
          <w:sz w:val="24"/>
          <w:szCs w:val="24"/>
        </w:rPr>
        <w:t>, PPL responded that this is incorrect</w:t>
      </w:r>
      <w:r w:rsidR="00062E2F" w:rsidRPr="00B20BE9">
        <w:rPr>
          <w:sz w:val="24"/>
          <w:szCs w:val="24"/>
        </w:rPr>
        <w:t xml:space="preserve"> for two reasons.  The first is that LP-5 customers are allocated some costs associated with distribution plant in the cost of service study.  </w:t>
      </w:r>
      <w:r w:rsidR="00062E2F" w:rsidRPr="00B20BE9">
        <w:rPr>
          <w:i/>
          <w:sz w:val="24"/>
          <w:szCs w:val="24"/>
        </w:rPr>
        <w:t>Id.</w:t>
      </w:r>
      <w:r w:rsidR="00062E2F" w:rsidRPr="00B20BE9">
        <w:rPr>
          <w:sz w:val="24"/>
          <w:szCs w:val="24"/>
        </w:rPr>
        <w:t xml:space="preserve"> at 7.  The second is that, based on the clear language of Act 11, the DSIC should apply to all distribution customers without any consideration as to cost allocation.  </w:t>
      </w:r>
      <w:r w:rsidRPr="00B20BE9">
        <w:rPr>
          <w:sz w:val="24"/>
          <w:szCs w:val="24"/>
        </w:rPr>
        <w:t>PPL asserted that, if PPLICA witness</w:t>
      </w:r>
      <w:r w:rsidR="00062E2F" w:rsidRPr="00B20BE9">
        <w:rPr>
          <w:sz w:val="24"/>
          <w:szCs w:val="24"/>
        </w:rPr>
        <w:t xml:space="preserve"> Baudino is correct that no DSIC-elig</w:t>
      </w:r>
      <w:r w:rsidRPr="00B20BE9">
        <w:rPr>
          <w:sz w:val="24"/>
          <w:szCs w:val="24"/>
        </w:rPr>
        <w:t xml:space="preserve">ible plant serves </w:t>
      </w:r>
      <w:r w:rsidR="00062E2F" w:rsidRPr="00B20BE9">
        <w:rPr>
          <w:sz w:val="24"/>
          <w:szCs w:val="24"/>
        </w:rPr>
        <w:t xml:space="preserve">LP-5 customers, then in </w:t>
      </w:r>
      <w:r w:rsidRPr="00B20BE9">
        <w:rPr>
          <w:sz w:val="24"/>
          <w:szCs w:val="24"/>
        </w:rPr>
        <w:t>the Company’s</w:t>
      </w:r>
      <w:r w:rsidR="00062E2F" w:rsidRPr="00B20BE9">
        <w:rPr>
          <w:sz w:val="24"/>
          <w:szCs w:val="24"/>
        </w:rPr>
        <w:t xml:space="preserve"> next base rate case, none of this plant wil</w:t>
      </w:r>
      <w:r w:rsidRPr="00B20BE9">
        <w:rPr>
          <w:sz w:val="24"/>
          <w:szCs w:val="24"/>
        </w:rPr>
        <w:t xml:space="preserve">l be allocated to Rate Schedule </w:t>
      </w:r>
      <w:r w:rsidR="00062E2F" w:rsidRPr="00B20BE9">
        <w:rPr>
          <w:sz w:val="24"/>
          <w:szCs w:val="24"/>
        </w:rPr>
        <w:t xml:space="preserve">LP-5, and it will not be included in the base rates paid by those customers.  </w:t>
      </w:r>
      <w:r w:rsidR="00062E2F" w:rsidRPr="00B20BE9">
        <w:rPr>
          <w:i/>
          <w:sz w:val="24"/>
          <w:szCs w:val="24"/>
        </w:rPr>
        <w:t>Id</w:t>
      </w:r>
      <w:r w:rsidR="00062E2F" w:rsidRPr="00B20BE9">
        <w:rPr>
          <w:sz w:val="24"/>
          <w:szCs w:val="24"/>
        </w:rPr>
        <w:t>.</w:t>
      </w:r>
      <w:r w:rsidRPr="00B20BE9">
        <w:rPr>
          <w:sz w:val="24"/>
          <w:szCs w:val="24"/>
        </w:rPr>
        <w:t xml:space="preserve">  </w:t>
      </w:r>
      <w:r w:rsidR="00062E2F" w:rsidRPr="00B20BE9">
        <w:rPr>
          <w:sz w:val="24"/>
          <w:szCs w:val="24"/>
        </w:rPr>
        <w:t xml:space="preserve">However, </w:t>
      </w:r>
      <w:r w:rsidRPr="00B20BE9">
        <w:rPr>
          <w:sz w:val="24"/>
          <w:szCs w:val="24"/>
        </w:rPr>
        <w:t xml:space="preserve">PPL emphasized that </w:t>
      </w:r>
      <w:r w:rsidR="00062E2F" w:rsidRPr="00B20BE9">
        <w:rPr>
          <w:sz w:val="24"/>
          <w:szCs w:val="24"/>
        </w:rPr>
        <w:t xml:space="preserve">Act 11 does not require a cost of service study for customers to be charged the DSIC; in fact, the statute requires the DSIC charge to be an equal charge to all customer classes, without regard to cost of service principles.  Thus, </w:t>
      </w:r>
      <w:r w:rsidRPr="00B20BE9">
        <w:rPr>
          <w:sz w:val="24"/>
          <w:szCs w:val="24"/>
        </w:rPr>
        <w:t xml:space="preserve">PPL contended that </w:t>
      </w:r>
      <w:r w:rsidR="00062E2F" w:rsidRPr="00B20BE9">
        <w:rPr>
          <w:sz w:val="24"/>
          <w:szCs w:val="24"/>
        </w:rPr>
        <w:t>PPLICA’s argument as to the relative amount of DSIC-eligible plant that would be allocated to</w:t>
      </w:r>
      <w:r w:rsidRPr="00B20BE9">
        <w:rPr>
          <w:sz w:val="24"/>
          <w:szCs w:val="24"/>
        </w:rPr>
        <w:t xml:space="preserve"> </w:t>
      </w:r>
      <w:r w:rsidR="00062E2F" w:rsidRPr="00B20BE9">
        <w:rPr>
          <w:sz w:val="24"/>
          <w:szCs w:val="24"/>
        </w:rPr>
        <w:t xml:space="preserve">LP-5 customers in a base rate proceeding is not relevant to the Commission’s determination in this proceeding.  </w:t>
      </w:r>
      <w:r w:rsidR="00062E2F" w:rsidRPr="00B20BE9">
        <w:rPr>
          <w:i/>
          <w:sz w:val="24"/>
          <w:szCs w:val="24"/>
        </w:rPr>
        <w:t>Id</w:t>
      </w:r>
      <w:r w:rsidR="00062E2F" w:rsidRPr="00B20BE9">
        <w:rPr>
          <w:sz w:val="24"/>
          <w:szCs w:val="24"/>
        </w:rPr>
        <w:t>.</w:t>
      </w:r>
      <w:r w:rsidRPr="00B20BE9">
        <w:rPr>
          <w:sz w:val="24"/>
          <w:szCs w:val="24"/>
        </w:rPr>
        <w:t xml:space="preserve">  PPL concluded that, while </w:t>
      </w:r>
      <w:r w:rsidR="00062E2F" w:rsidRPr="00B20BE9">
        <w:rPr>
          <w:sz w:val="24"/>
          <w:szCs w:val="24"/>
        </w:rPr>
        <w:t>LP-5 customers take service at “transmission voltage,” they are still distrib</w:t>
      </w:r>
      <w:r w:rsidRPr="00B20BE9">
        <w:rPr>
          <w:sz w:val="24"/>
          <w:szCs w:val="24"/>
        </w:rPr>
        <w:t xml:space="preserve">ution customers </w:t>
      </w:r>
      <w:r w:rsidR="00062E2F" w:rsidRPr="00B20BE9">
        <w:rPr>
          <w:sz w:val="24"/>
          <w:szCs w:val="24"/>
        </w:rPr>
        <w:t>taking service under a rate sched</w:t>
      </w:r>
      <w:r w:rsidRPr="00B20BE9">
        <w:rPr>
          <w:sz w:val="24"/>
          <w:szCs w:val="24"/>
        </w:rPr>
        <w:t xml:space="preserve">ule contained in PPL’s </w:t>
      </w:r>
      <w:r w:rsidR="00747EAC">
        <w:rPr>
          <w:sz w:val="24"/>
          <w:szCs w:val="24"/>
        </w:rPr>
        <w:t xml:space="preserve">electric distribution tariff. </w:t>
      </w:r>
      <w:r w:rsidR="00062E2F" w:rsidRPr="00B20BE9">
        <w:rPr>
          <w:sz w:val="24"/>
          <w:szCs w:val="24"/>
        </w:rPr>
        <w:t xml:space="preserve"> Therefore, they must pay the DSIC under the plain language of Act 11</w:t>
      </w:r>
      <w:r w:rsidRPr="00B20BE9">
        <w:rPr>
          <w:sz w:val="24"/>
          <w:szCs w:val="24"/>
        </w:rPr>
        <w:t>, according to PPL</w:t>
      </w:r>
      <w:r w:rsidR="00062E2F" w:rsidRPr="00B20BE9">
        <w:rPr>
          <w:sz w:val="24"/>
          <w:szCs w:val="24"/>
        </w:rPr>
        <w:t>.</w:t>
      </w:r>
      <w:r w:rsidRPr="00B20BE9">
        <w:rPr>
          <w:sz w:val="24"/>
          <w:szCs w:val="24"/>
        </w:rPr>
        <w:t xml:space="preserve">  </w:t>
      </w:r>
      <w:r w:rsidR="00AE4C6C" w:rsidRPr="00B20BE9">
        <w:rPr>
          <w:sz w:val="24"/>
          <w:szCs w:val="24"/>
        </w:rPr>
        <w:t xml:space="preserve">The remedy for these customers lies with the General Assembly and not the Commission.  </w:t>
      </w:r>
      <w:r w:rsidRPr="00B20BE9">
        <w:rPr>
          <w:sz w:val="24"/>
          <w:szCs w:val="24"/>
        </w:rPr>
        <w:t>PPL M.B., pp. 34-35</w:t>
      </w:r>
      <w:r w:rsidR="00F903CC" w:rsidRPr="00B20BE9">
        <w:rPr>
          <w:sz w:val="24"/>
          <w:szCs w:val="24"/>
        </w:rPr>
        <w:t>.</w:t>
      </w:r>
    </w:p>
    <w:p w:rsidR="00F903CC" w:rsidRPr="00B20BE9" w:rsidRDefault="00F903CC" w:rsidP="00062E2F">
      <w:pPr>
        <w:pStyle w:val="BodyText"/>
        <w:jc w:val="left"/>
        <w:rPr>
          <w:sz w:val="24"/>
          <w:szCs w:val="24"/>
        </w:rPr>
      </w:pPr>
    </w:p>
    <w:p w:rsidR="005217EA" w:rsidRPr="00B20BE9" w:rsidRDefault="00F903CC" w:rsidP="00062E2F">
      <w:pPr>
        <w:pStyle w:val="BodyText"/>
        <w:jc w:val="left"/>
        <w:rPr>
          <w:sz w:val="24"/>
          <w:szCs w:val="24"/>
        </w:rPr>
      </w:pPr>
      <w:r w:rsidRPr="00B20BE9">
        <w:rPr>
          <w:sz w:val="24"/>
          <w:szCs w:val="24"/>
        </w:rPr>
        <w:tab/>
      </w:r>
      <w:r w:rsidRPr="00B20BE9">
        <w:rPr>
          <w:sz w:val="24"/>
          <w:szCs w:val="24"/>
        </w:rPr>
        <w:tab/>
        <w:t xml:space="preserve">In its Reply Brief, PPL reiterated its statutory interpretation argument that Act 11, on its face, requires application of the DSIC “equally to all customer classes.”  PPLICA had not disputed that LP-5 customers are distribution customers, and that they are included in PPL’s cost of service study and have distribution plant included for ratemaking purposes.  Instead, PPLICA had claimed that the plant included for ratemaking purposes is not the “right” kind of plant; i.e., it is not </w:t>
      </w:r>
      <w:r w:rsidR="00F86400" w:rsidRPr="00B20BE9">
        <w:rPr>
          <w:sz w:val="24"/>
          <w:szCs w:val="24"/>
        </w:rPr>
        <w:t xml:space="preserve">high voltage facility plant.  PPL argued that this is an attempt to include language in the </w:t>
      </w:r>
      <w:r w:rsidR="00F86400" w:rsidRPr="00B20BE9">
        <w:rPr>
          <w:i/>
          <w:sz w:val="24"/>
          <w:szCs w:val="24"/>
        </w:rPr>
        <w:t>Final Implementation Order</w:t>
      </w:r>
      <w:r w:rsidR="00F86400" w:rsidRPr="00B20BE9">
        <w:rPr>
          <w:sz w:val="24"/>
          <w:szCs w:val="24"/>
        </w:rPr>
        <w:t xml:space="preserve"> that is simply not present and that the DSIC clearly must be applied to LP-5 customers.  PPL R.B., pp. 20-21.</w:t>
      </w:r>
    </w:p>
    <w:p w:rsidR="005217EA" w:rsidRPr="00B20BE9" w:rsidRDefault="005217EA" w:rsidP="00062E2F">
      <w:pPr>
        <w:pStyle w:val="BodyText"/>
        <w:jc w:val="left"/>
        <w:rPr>
          <w:sz w:val="24"/>
          <w:szCs w:val="24"/>
        </w:rPr>
      </w:pPr>
    </w:p>
    <w:p w:rsidR="00F903CC" w:rsidRPr="00B20BE9" w:rsidRDefault="005217EA" w:rsidP="005351A1">
      <w:pPr>
        <w:pStyle w:val="BodyText"/>
        <w:ind w:left="720"/>
        <w:jc w:val="left"/>
        <w:rPr>
          <w:sz w:val="24"/>
          <w:szCs w:val="24"/>
        </w:rPr>
      </w:pPr>
      <w:r w:rsidRPr="00B20BE9">
        <w:rPr>
          <w:sz w:val="24"/>
          <w:szCs w:val="24"/>
        </w:rPr>
        <w:t>3.</w:t>
      </w:r>
      <w:r w:rsidRPr="00B20BE9">
        <w:rPr>
          <w:sz w:val="24"/>
          <w:szCs w:val="24"/>
        </w:rPr>
        <w:tab/>
      </w:r>
      <w:r w:rsidRPr="00B20BE9">
        <w:rPr>
          <w:sz w:val="24"/>
          <w:szCs w:val="24"/>
          <w:u w:val="single"/>
        </w:rPr>
        <w:t>ALJ Ruling</w:t>
      </w:r>
      <w:r w:rsidR="005351A1">
        <w:rPr>
          <w:sz w:val="24"/>
          <w:szCs w:val="24"/>
          <w:u w:val="single"/>
        </w:rPr>
        <w:fldChar w:fldCharType="begin"/>
      </w:r>
      <w:r w:rsidR="005351A1">
        <w:instrText xml:space="preserve"> TC "</w:instrText>
      </w:r>
      <w:bookmarkStart w:id="20" w:name="_Toc394309047"/>
      <w:r w:rsidR="005351A1" w:rsidRPr="008742F7">
        <w:rPr>
          <w:sz w:val="24"/>
          <w:szCs w:val="24"/>
        </w:rPr>
        <w:instrText>3.</w:instrText>
      </w:r>
      <w:r w:rsidR="005351A1" w:rsidRPr="008742F7">
        <w:rPr>
          <w:sz w:val="24"/>
          <w:szCs w:val="24"/>
        </w:rPr>
        <w:tab/>
      </w:r>
      <w:r w:rsidR="005351A1" w:rsidRPr="008742F7">
        <w:rPr>
          <w:sz w:val="24"/>
          <w:szCs w:val="24"/>
          <w:u w:val="single"/>
        </w:rPr>
        <w:instrText>ALJ Ruling</w:instrText>
      </w:r>
      <w:bookmarkEnd w:id="20"/>
      <w:r w:rsidR="005351A1">
        <w:instrText xml:space="preserve">" \f C \l "3" </w:instrText>
      </w:r>
      <w:r w:rsidR="005351A1">
        <w:rPr>
          <w:sz w:val="24"/>
          <w:szCs w:val="24"/>
          <w:u w:val="single"/>
        </w:rPr>
        <w:fldChar w:fldCharType="end"/>
      </w:r>
    </w:p>
    <w:p w:rsidR="00062E2F" w:rsidRPr="00B20BE9" w:rsidRDefault="00062E2F" w:rsidP="00062E2F">
      <w:pPr>
        <w:pStyle w:val="BodyText"/>
        <w:jc w:val="left"/>
        <w:rPr>
          <w:sz w:val="24"/>
          <w:szCs w:val="24"/>
        </w:rPr>
      </w:pPr>
    </w:p>
    <w:p w:rsidR="006D0FC4" w:rsidRPr="00B20BE9" w:rsidRDefault="006D0FC4" w:rsidP="00062E2F">
      <w:pPr>
        <w:pStyle w:val="BodyText"/>
        <w:jc w:val="left"/>
        <w:rPr>
          <w:sz w:val="24"/>
          <w:szCs w:val="24"/>
        </w:rPr>
      </w:pPr>
      <w:r w:rsidRPr="00B20BE9">
        <w:rPr>
          <w:sz w:val="24"/>
          <w:szCs w:val="24"/>
        </w:rPr>
        <w:tab/>
      </w:r>
      <w:r w:rsidRPr="00B20BE9">
        <w:rPr>
          <w:sz w:val="24"/>
          <w:szCs w:val="24"/>
        </w:rPr>
        <w:tab/>
        <w:t xml:space="preserve">I have carefully considered the arguments of the parties and recommend, for the reasons set forth below, that the DSIC not be applied to LP-5 customers, and that these customers receive refunds, with </w:t>
      </w:r>
      <w:r w:rsidR="00887AD9" w:rsidRPr="00B20BE9">
        <w:rPr>
          <w:sz w:val="24"/>
          <w:szCs w:val="24"/>
        </w:rPr>
        <w:t>interest at the applicable rate</w:t>
      </w:r>
      <w:r w:rsidRPr="00B20BE9">
        <w:rPr>
          <w:sz w:val="24"/>
          <w:szCs w:val="24"/>
        </w:rPr>
        <w:t>,</w:t>
      </w:r>
      <w:r w:rsidR="00887AD9" w:rsidRPr="00B20BE9">
        <w:rPr>
          <w:rStyle w:val="FootnoteReference"/>
          <w:sz w:val="24"/>
          <w:szCs w:val="24"/>
        </w:rPr>
        <w:footnoteReference w:id="17"/>
      </w:r>
      <w:r w:rsidRPr="00B20BE9">
        <w:rPr>
          <w:sz w:val="24"/>
          <w:szCs w:val="24"/>
        </w:rPr>
        <w:t xml:space="preserve"> retroactive to July 1, 2013.</w:t>
      </w:r>
      <w:r w:rsidR="005D6709" w:rsidRPr="00B20BE9">
        <w:rPr>
          <w:sz w:val="24"/>
          <w:szCs w:val="24"/>
        </w:rPr>
        <w:t xml:space="preserve">  The parties did not address the applicable interest rate, but, as Act 11 provides for interest at the residential mortgage rate for overcollections</w:t>
      </w:r>
      <w:r w:rsidR="00B11750">
        <w:rPr>
          <w:sz w:val="24"/>
          <w:szCs w:val="24"/>
        </w:rPr>
        <w:t>, I recommend use of this rate.</w:t>
      </w:r>
    </w:p>
    <w:p w:rsidR="00AC638F" w:rsidRPr="00B20BE9" w:rsidRDefault="00AC638F" w:rsidP="00062E2F">
      <w:pPr>
        <w:pStyle w:val="BodyText"/>
        <w:jc w:val="left"/>
        <w:rPr>
          <w:sz w:val="24"/>
          <w:szCs w:val="24"/>
        </w:rPr>
      </w:pPr>
    </w:p>
    <w:p w:rsidR="001B5A13" w:rsidRPr="00B20BE9" w:rsidRDefault="00AC638F" w:rsidP="00062E2F">
      <w:pPr>
        <w:pStyle w:val="BodyText"/>
        <w:jc w:val="left"/>
        <w:rPr>
          <w:sz w:val="24"/>
          <w:szCs w:val="24"/>
        </w:rPr>
      </w:pPr>
      <w:r w:rsidRPr="00B20BE9">
        <w:rPr>
          <w:sz w:val="24"/>
          <w:szCs w:val="24"/>
        </w:rPr>
        <w:tab/>
      </w:r>
      <w:r w:rsidRPr="00B20BE9">
        <w:rPr>
          <w:sz w:val="24"/>
          <w:szCs w:val="24"/>
        </w:rPr>
        <w:tab/>
        <w:t xml:space="preserve">First of all, I note that </w:t>
      </w:r>
      <w:r w:rsidR="00F46B36" w:rsidRPr="00B20BE9">
        <w:rPr>
          <w:sz w:val="24"/>
          <w:szCs w:val="24"/>
        </w:rPr>
        <w:t xml:space="preserve">PPL has the burden of proving the justness and reasonableness of </w:t>
      </w:r>
      <w:r w:rsidR="00DD4117" w:rsidRPr="00B20BE9">
        <w:rPr>
          <w:sz w:val="24"/>
          <w:szCs w:val="24"/>
        </w:rPr>
        <w:t>the</w:t>
      </w:r>
      <w:r w:rsidR="00F46B36" w:rsidRPr="00B20BE9">
        <w:rPr>
          <w:sz w:val="24"/>
          <w:szCs w:val="24"/>
        </w:rPr>
        <w:t xml:space="preserve"> DSIC and </w:t>
      </w:r>
      <w:r w:rsidR="00DD4117" w:rsidRPr="00B20BE9">
        <w:rPr>
          <w:sz w:val="24"/>
          <w:szCs w:val="24"/>
        </w:rPr>
        <w:t>its</w:t>
      </w:r>
      <w:r w:rsidR="00F46B36" w:rsidRPr="00B20BE9">
        <w:rPr>
          <w:sz w:val="24"/>
          <w:szCs w:val="24"/>
        </w:rPr>
        <w:t xml:space="preserve"> application </w:t>
      </w:r>
      <w:r w:rsidR="00DD4117" w:rsidRPr="00B20BE9">
        <w:rPr>
          <w:sz w:val="24"/>
          <w:szCs w:val="24"/>
        </w:rPr>
        <w:t>to the</w:t>
      </w:r>
      <w:r w:rsidR="00F46B36" w:rsidRPr="00B20BE9">
        <w:rPr>
          <w:sz w:val="24"/>
          <w:szCs w:val="24"/>
        </w:rPr>
        <w:t xml:space="preserve"> various </w:t>
      </w:r>
      <w:r w:rsidR="003D1BD7">
        <w:rPr>
          <w:sz w:val="24"/>
          <w:szCs w:val="24"/>
        </w:rPr>
        <w:t>customer classes.  66 Pa.C.S. § </w:t>
      </w:r>
      <w:r w:rsidR="00F46B36" w:rsidRPr="00B20BE9">
        <w:rPr>
          <w:sz w:val="24"/>
          <w:szCs w:val="24"/>
        </w:rPr>
        <w:t xml:space="preserve">315(a).  It is also well-established that the burden of proof does not shift to parties challenging a rate, </w:t>
      </w:r>
      <w:r w:rsidR="00DD4117" w:rsidRPr="00B20BE9">
        <w:rPr>
          <w:sz w:val="24"/>
          <w:szCs w:val="24"/>
        </w:rPr>
        <w:t>but</w:t>
      </w:r>
      <w:r w:rsidR="00F46B36" w:rsidRPr="00B20BE9">
        <w:rPr>
          <w:sz w:val="24"/>
          <w:szCs w:val="24"/>
        </w:rPr>
        <w:t xml:space="preserve"> remains with the public utility throughout the course o</w:t>
      </w:r>
      <w:r w:rsidR="002F32C5">
        <w:rPr>
          <w:sz w:val="24"/>
          <w:szCs w:val="24"/>
        </w:rPr>
        <w:t>f the proceeding.  66 Pa.C.S. § </w:t>
      </w:r>
      <w:r w:rsidR="00F46B36" w:rsidRPr="00B20BE9">
        <w:rPr>
          <w:sz w:val="24"/>
          <w:szCs w:val="24"/>
        </w:rPr>
        <w:t xml:space="preserve">1301.  There is no similar burden placed on other parties challenging a public utility rate in this proceeding.  </w:t>
      </w:r>
      <w:r w:rsidR="00F46B36" w:rsidRPr="00B20BE9">
        <w:rPr>
          <w:i/>
          <w:sz w:val="24"/>
          <w:szCs w:val="24"/>
        </w:rPr>
        <w:t>Berner</w:t>
      </w:r>
      <w:r w:rsidR="00F46B36" w:rsidRPr="00B20BE9">
        <w:rPr>
          <w:sz w:val="24"/>
          <w:szCs w:val="24"/>
        </w:rPr>
        <w:t xml:space="preserve">, </w:t>
      </w:r>
      <w:r w:rsidR="00F46B36" w:rsidRPr="00B20BE9">
        <w:rPr>
          <w:sz w:val="24"/>
          <w:szCs w:val="24"/>
          <w:u w:val="single"/>
        </w:rPr>
        <w:t>supra</w:t>
      </w:r>
      <w:r w:rsidR="00F46B36" w:rsidRPr="00B20BE9">
        <w:rPr>
          <w:sz w:val="24"/>
          <w:szCs w:val="24"/>
        </w:rPr>
        <w:t>.</w:t>
      </w:r>
    </w:p>
    <w:p w:rsidR="001B5A13" w:rsidRPr="00B20BE9" w:rsidRDefault="001B5A13" w:rsidP="00062E2F">
      <w:pPr>
        <w:pStyle w:val="BodyText"/>
        <w:jc w:val="left"/>
        <w:rPr>
          <w:sz w:val="24"/>
          <w:szCs w:val="24"/>
        </w:rPr>
      </w:pPr>
    </w:p>
    <w:p w:rsidR="001B5A13" w:rsidRPr="00B20BE9" w:rsidRDefault="001B5A13" w:rsidP="00062E2F">
      <w:pPr>
        <w:pStyle w:val="BodyText"/>
        <w:jc w:val="left"/>
        <w:rPr>
          <w:sz w:val="24"/>
          <w:szCs w:val="24"/>
        </w:rPr>
      </w:pPr>
      <w:r w:rsidRPr="00B20BE9">
        <w:rPr>
          <w:sz w:val="24"/>
          <w:szCs w:val="24"/>
        </w:rPr>
        <w:tab/>
      </w:r>
      <w:r w:rsidRPr="00B20BE9">
        <w:rPr>
          <w:sz w:val="24"/>
          <w:szCs w:val="24"/>
        </w:rPr>
        <w:tab/>
        <w:t>PPL argued initially that Section 1358(d)(1) of the Code, 66 Pa.C.S. § 1358(d)(1), required equal application of the DSIC to all of its distribution customer classes.  However, PPL also acknowledged that the Commission had exempted natural gas bypass customers from application of the DSIC for competitive reasons.</w:t>
      </w:r>
    </w:p>
    <w:p w:rsidR="001B5A13" w:rsidRPr="00B20BE9" w:rsidRDefault="001B5A13" w:rsidP="00062E2F">
      <w:pPr>
        <w:pStyle w:val="BodyText"/>
        <w:jc w:val="left"/>
        <w:rPr>
          <w:sz w:val="24"/>
          <w:szCs w:val="24"/>
        </w:rPr>
      </w:pPr>
    </w:p>
    <w:p w:rsidR="000642F8" w:rsidRPr="00B20BE9" w:rsidRDefault="001B5A13" w:rsidP="00062E2F">
      <w:pPr>
        <w:pStyle w:val="BodyText"/>
        <w:jc w:val="left"/>
        <w:rPr>
          <w:sz w:val="24"/>
          <w:szCs w:val="24"/>
        </w:rPr>
      </w:pPr>
      <w:r w:rsidRPr="00B20BE9">
        <w:rPr>
          <w:sz w:val="24"/>
          <w:szCs w:val="24"/>
        </w:rPr>
        <w:tab/>
      </w:r>
      <w:r w:rsidRPr="00B20BE9">
        <w:rPr>
          <w:sz w:val="24"/>
          <w:szCs w:val="24"/>
        </w:rPr>
        <w:tab/>
        <w:t>PPLICA disagreed that Section 1358(d)(1) of the Code required application of the DSIC to all distribution customer classes and essentially asserted</w:t>
      </w:r>
      <w:r w:rsidR="000642F8" w:rsidRPr="00B20BE9">
        <w:rPr>
          <w:sz w:val="24"/>
          <w:szCs w:val="24"/>
        </w:rPr>
        <w:t xml:space="preserve"> that the </w:t>
      </w:r>
      <w:r w:rsidRPr="00B20BE9">
        <w:rPr>
          <w:sz w:val="24"/>
          <w:szCs w:val="24"/>
        </w:rPr>
        <w:t xml:space="preserve">Commission retained discretion to address circumstances wherein application </w:t>
      </w:r>
      <w:r w:rsidR="000642F8" w:rsidRPr="00B20BE9">
        <w:rPr>
          <w:sz w:val="24"/>
          <w:szCs w:val="24"/>
        </w:rPr>
        <w:t>of the DSIC</w:t>
      </w:r>
      <w:r w:rsidRPr="00B20BE9">
        <w:rPr>
          <w:sz w:val="24"/>
          <w:szCs w:val="24"/>
        </w:rPr>
        <w:t xml:space="preserve"> would not be “just and reasonable.”  </w:t>
      </w:r>
      <w:r w:rsidRPr="00B20BE9">
        <w:rPr>
          <w:sz w:val="24"/>
          <w:szCs w:val="24"/>
          <w:u w:val="single"/>
        </w:rPr>
        <w:t>See</w:t>
      </w:r>
      <w:r w:rsidRPr="00B20BE9">
        <w:rPr>
          <w:sz w:val="24"/>
          <w:szCs w:val="24"/>
        </w:rPr>
        <w:t>, 1 Pa.C.S. § 1922(1)</w:t>
      </w:r>
      <w:r w:rsidR="00CD6BCA" w:rsidRPr="00B20BE9">
        <w:rPr>
          <w:sz w:val="24"/>
          <w:szCs w:val="24"/>
        </w:rPr>
        <w:t>;</w:t>
      </w:r>
      <w:r w:rsidR="00E51A9A">
        <w:rPr>
          <w:sz w:val="24"/>
          <w:szCs w:val="24"/>
        </w:rPr>
        <w:t xml:space="preserve"> 66 Pa.</w:t>
      </w:r>
      <w:r w:rsidRPr="00B20BE9">
        <w:rPr>
          <w:sz w:val="24"/>
          <w:szCs w:val="24"/>
        </w:rPr>
        <w:t>C.S. § 1301.  PPLICA also contended that the Commission had previously considered in its working groups whether Section 1358(d)(1) of the Code was sufficiently flexible</w:t>
      </w:r>
      <w:r w:rsidR="000642F8" w:rsidRPr="00B20BE9">
        <w:rPr>
          <w:sz w:val="24"/>
          <w:szCs w:val="24"/>
        </w:rPr>
        <w:t xml:space="preserve"> to permit exemptions. </w:t>
      </w:r>
      <w:r w:rsidR="00912ED6">
        <w:rPr>
          <w:sz w:val="24"/>
          <w:szCs w:val="24"/>
        </w:rPr>
        <w:t xml:space="preserve"> </w:t>
      </w:r>
      <w:r w:rsidR="000642F8" w:rsidRPr="00B20BE9">
        <w:rPr>
          <w:sz w:val="24"/>
          <w:szCs w:val="24"/>
        </w:rPr>
        <w:t xml:space="preserve">According to PPLICA, the Commission had </w:t>
      </w:r>
      <w:r w:rsidR="00CD6BCA" w:rsidRPr="00B20BE9">
        <w:rPr>
          <w:sz w:val="24"/>
          <w:szCs w:val="24"/>
        </w:rPr>
        <w:t>decided thereafter to interpret</w:t>
      </w:r>
      <w:r w:rsidR="000642F8" w:rsidRPr="00B20BE9">
        <w:rPr>
          <w:sz w:val="24"/>
          <w:szCs w:val="24"/>
        </w:rPr>
        <w:t xml:space="preserve"> Act 11 consistent with its broad authority to ensure just and reasonable rates and had exempted certain transmission voltage customers f</w:t>
      </w:r>
      <w:r w:rsidR="00CD6BCA" w:rsidRPr="00B20BE9">
        <w:rPr>
          <w:sz w:val="24"/>
          <w:szCs w:val="24"/>
        </w:rPr>
        <w:t>ro</w:t>
      </w:r>
      <w:r w:rsidR="000642F8" w:rsidRPr="00B20BE9">
        <w:rPr>
          <w:sz w:val="24"/>
          <w:szCs w:val="24"/>
        </w:rPr>
        <w:t xml:space="preserve">m the DSIC in its </w:t>
      </w:r>
      <w:r w:rsidR="000642F8" w:rsidRPr="00B20BE9">
        <w:rPr>
          <w:i/>
          <w:sz w:val="24"/>
          <w:szCs w:val="24"/>
        </w:rPr>
        <w:t>Final Implementation Order</w:t>
      </w:r>
      <w:r w:rsidR="00CD6BCA" w:rsidRPr="00B20BE9">
        <w:rPr>
          <w:sz w:val="24"/>
          <w:szCs w:val="24"/>
        </w:rPr>
        <w:t xml:space="preserve"> at </w:t>
      </w:r>
      <w:r w:rsidR="000642F8" w:rsidRPr="00B20BE9">
        <w:rPr>
          <w:sz w:val="24"/>
          <w:szCs w:val="24"/>
        </w:rPr>
        <w:t>p</w:t>
      </w:r>
      <w:r w:rsidR="00CD6BCA" w:rsidRPr="00B20BE9">
        <w:rPr>
          <w:sz w:val="24"/>
          <w:szCs w:val="24"/>
        </w:rPr>
        <w:t>age</w:t>
      </w:r>
      <w:r w:rsidR="00E34722">
        <w:rPr>
          <w:sz w:val="24"/>
          <w:szCs w:val="24"/>
        </w:rPr>
        <w:t xml:space="preserve"> 46.</w:t>
      </w:r>
    </w:p>
    <w:p w:rsidR="000642F8" w:rsidRPr="00B20BE9" w:rsidRDefault="000642F8" w:rsidP="00062E2F">
      <w:pPr>
        <w:pStyle w:val="BodyText"/>
        <w:jc w:val="left"/>
        <w:rPr>
          <w:sz w:val="24"/>
          <w:szCs w:val="24"/>
        </w:rPr>
      </w:pPr>
    </w:p>
    <w:p w:rsidR="002E5A97" w:rsidRPr="00B20BE9" w:rsidRDefault="000642F8" w:rsidP="00062E2F">
      <w:pPr>
        <w:pStyle w:val="BodyText"/>
        <w:jc w:val="left"/>
        <w:rPr>
          <w:sz w:val="24"/>
          <w:szCs w:val="24"/>
        </w:rPr>
      </w:pPr>
      <w:r w:rsidRPr="00B20BE9">
        <w:rPr>
          <w:sz w:val="24"/>
          <w:szCs w:val="24"/>
        </w:rPr>
        <w:tab/>
      </w:r>
      <w:r w:rsidRPr="00B20BE9">
        <w:rPr>
          <w:sz w:val="24"/>
          <w:szCs w:val="24"/>
        </w:rPr>
        <w:tab/>
        <w:t xml:space="preserve">I </w:t>
      </w:r>
      <w:r w:rsidR="004163F5" w:rsidRPr="00B20BE9">
        <w:rPr>
          <w:sz w:val="24"/>
          <w:szCs w:val="24"/>
        </w:rPr>
        <w:t>agree with PPLICA that</w:t>
      </w:r>
      <w:r w:rsidRPr="00B20BE9">
        <w:rPr>
          <w:sz w:val="24"/>
          <w:szCs w:val="24"/>
        </w:rPr>
        <w:t xml:space="preserve"> Section 1358(</w:t>
      </w:r>
      <w:r w:rsidR="007436A4">
        <w:rPr>
          <w:sz w:val="24"/>
          <w:szCs w:val="24"/>
        </w:rPr>
        <w:t>d)(1) of the Code, 66 Pa.C.S. § </w:t>
      </w:r>
      <w:r w:rsidRPr="00B20BE9">
        <w:rPr>
          <w:sz w:val="24"/>
          <w:szCs w:val="24"/>
        </w:rPr>
        <w:t>1358(d)(1), must be interpreted consistent with other sections of the Code, such as the requirement that rates be “just and reasonable.”  Th</w:t>
      </w:r>
      <w:r w:rsidR="005E6758" w:rsidRPr="00B20BE9">
        <w:rPr>
          <w:sz w:val="24"/>
          <w:szCs w:val="24"/>
        </w:rPr>
        <w:t>u</w:t>
      </w:r>
      <w:r w:rsidRPr="00B20BE9">
        <w:rPr>
          <w:sz w:val="24"/>
          <w:szCs w:val="24"/>
        </w:rPr>
        <w:t xml:space="preserve">s, I agree that the Commission retains authority to address circumstances wherein application of the DSIC would not </w:t>
      </w:r>
      <w:r w:rsidR="009139C5" w:rsidRPr="00B20BE9">
        <w:rPr>
          <w:sz w:val="24"/>
          <w:szCs w:val="24"/>
        </w:rPr>
        <w:t xml:space="preserve">produce </w:t>
      </w:r>
      <w:r w:rsidR="005E6758" w:rsidRPr="00B20BE9">
        <w:rPr>
          <w:sz w:val="24"/>
          <w:szCs w:val="24"/>
        </w:rPr>
        <w:t>“just and reasonable</w:t>
      </w:r>
      <w:r w:rsidRPr="00B20BE9">
        <w:rPr>
          <w:sz w:val="24"/>
          <w:szCs w:val="24"/>
        </w:rPr>
        <w:t>”</w:t>
      </w:r>
      <w:r w:rsidR="005E6758" w:rsidRPr="00B20BE9">
        <w:rPr>
          <w:sz w:val="24"/>
          <w:szCs w:val="24"/>
        </w:rPr>
        <w:t xml:space="preserve"> </w:t>
      </w:r>
      <w:r w:rsidR="009139C5" w:rsidRPr="00B20BE9">
        <w:rPr>
          <w:sz w:val="24"/>
          <w:szCs w:val="24"/>
        </w:rPr>
        <w:t xml:space="preserve">rates </w:t>
      </w:r>
      <w:r w:rsidR="005E6758" w:rsidRPr="00B20BE9">
        <w:rPr>
          <w:sz w:val="24"/>
          <w:szCs w:val="24"/>
        </w:rPr>
        <w:t>and to regulate in the public interest.  66 Pa.C.S. §§ 501, 1301.</w:t>
      </w:r>
      <w:r w:rsidRPr="00B20BE9">
        <w:rPr>
          <w:sz w:val="24"/>
          <w:szCs w:val="24"/>
        </w:rPr>
        <w:t xml:space="preserve">  This is consistent with the Rules of</w:t>
      </w:r>
      <w:r w:rsidR="005E6758" w:rsidRPr="00B20BE9">
        <w:rPr>
          <w:sz w:val="24"/>
          <w:szCs w:val="24"/>
        </w:rPr>
        <w:t xml:space="preserve"> Statutory Construction, that statutes are to be construed t</w:t>
      </w:r>
      <w:r w:rsidR="009139C5" w:rsidRPr="00B20BE9">
        <w:rPr>
          <w:sz w:val="24"/>
          <w:szCs w:val="24"/>
        </w:rPr>
        <w:t>ogether, if possible</w:t>
      </w:r>
      <w:r w:rsidR="008006C8">
        <w:rPr>
          <w:sz w:val="24"/>
          <w:szCs w:val="24"/>
        </w:rPr>
        <w:t>.  1 Pa.C.S. § 1932.</w:t>
      </w:r>
    </w:p>
    <w:p w:rsidR="002E5A97" w:rsidRPr="00B20BE9" w:rsidRDefault="002E5A97" w:rsidP="00062E2F">
      <w:pPr>
        <w:pStyle w:val="BodyText"/>
        <w:jc w:val="left"/>
        <w:rPr>
          <w:sz w:val="24"/>
          <w:szCs w:val="24"/>
        </w:rPr>
      </w:pPr>
    </w:p>
    <w:p w:rsidR="00770D1D" w:rsidRPr="00B20BE9" w:rsidRDefault="002E5A97" w:rsidP="00062E2F">
      <w:pPr>
        <w:pStyle w:val="BodyText"/>
        <w:jc w:val="left"/>
        <w:rPr>
          <w:sz w:val="24"/>
          <w:szCs w:val="24"/>
        </w:rPr>
      </w:pPr>
      <w:r w:rsidRPr="00B20BE9">
        <w:rPr>
          <w:sz w:val="24"/>
          <w:szCs w:val="24"/>
        </w:rPr>
        <w:tab/>
      </w:r>
      <w:r w:rsidRPr="00B20BE9">
        <w:rPr>
          <w:sz w:val="24"/>
          <w:szCs w:val="24"/>
        </w:rPr>
        <w:tab/>
        <w:t>Next, I will consider whether any parameters have been establishe</w:t>
      </w:r>
      <w:r w:rsidR="00D05B90" w:rsidRPr="00B20BE9">
        <w:rPr>
          <w:sz w:val="24"/>
          <w:szCs w:val="24"/>
        </w:rPr>
        <w:t xml:space="preserve">d by the Commission </w:t>
      </w:r>
      <w:r w:rsidRPr="00B20BE9">
        <w:rPr>
          <w:sz w:val="24"/>
          <w:szCs w:val="24"/>
        </w:rPr>
        <w:t xml:space="preserve">in determining whether transmission voltage customers </w:t>
      </w:r>
      <w:r w:rsidR="00522D2C" w:rsidRPr="00B20BE9">
        <w:rPr>
          <w:sz w:val="24"/>
          <w:szCs w:val="24"/>
        </w:rPr>
        <w:t xml:space="preserve">should be charged the DSIC.  PPL argued that the only relevant consideration is whether LP-5 customers are distribution customers for ratemaking purposes.  </w:t>
      </w:r>
      <w:r w:rsidR="00792D75" w:rsidRPr="00B20BE9">
        <w:rPr>
          <w:sz w:val="24"/>
          <w:szCs w:val="24"/>
        </w:rPr>
        <w:t xml:space="preserve">PPL also noted that LP-5 customers are allocated some distribution plant costs, although it did not </w:t>
      </w:r>
      <w:r w:rsidR="00D05B90" w:rsidRPr="00B20BE9">
        <w:rPr>
          <w:sz w:val="24"/>
          <w:szCs w:val="24"/>
        </w:rPr>
        <w:t>establish</w:t>
      </w:r>
      <w:r w:rsidR="00792D75" w:rsidRPr="00B20BE9">
        <w:rPr>
          <w:sz w:val="24"/>
          <w:szCs w:val="24"/>
        </w:rPr>
        <w:t xml:space="preserve"> that any high voltage facility costs are recovered in distribution rates.  </w:t>
      </w:r>
      <w:r w:rsidR="00522D2C" w:rsidRPr="00B20BE9">
        <w:rPr>
          <w:sz w:val="24"/>
          <w:szCs w:val="24"/>
        </w:rPr>
        <w:t>PPLICA, on the other hand, claimed that the Commission ha</w:t>
      </w:r>
      <w:r w:rsidR="00792D75" w:rsidRPr="00B20BE9">
        <w:rPr>
          <w:sz w:val="24"/>
          <w:szCs w:val="24"/>
        </w:rPr>
        <w:t>s</w:t>
      </w:r>
      <w:r w:rsidR="00522D2C" w:rsidRPr="00B20BE9">
        <w:rPr>
          <w:sz w:val="24"/>
          <w:szCs w:val="24"/>
        </w:rPr>
        <w:t xml:space="preserve"> already decided to exempt transmission voltage customers from application of the DSIC if the higher voltage facilities are not included in distribution plant for ratemaking purposes.</w:t>
      </w:r>
      <w:r w:rsidR="00792D75" w:rsidRPr="00B20BE9">
        <w:rPr>
          <w:sz w:val="24"/>
          <w:szCs w:val="24"/>
        </w:rPr>
        <w:t xml:space="preserve">  </w:t>
      </w:r>
      <w:r w:rsidR="00792D75" w:rsidRPr="00B20BE9">
        <w:rPr>
          <w:i/>
          <w:sz w:val="24"/>
          <w:szCs w:val="24"/>
        </w:rPr>
        <w:t>Final Implementation Order</w:t>
      </w:r>
      <w:r w:rsidR="004839C9" w:rsidRPr="00B20BE9">
        <w:rPr>
          <w:sz w:val="24"/>
          <w:szCs w:val="24"/>
        </w:rPr>
        <w:t>, p</w:t>
      </w:r>
      <w:r w:rsidR="00792D75" w:rsidRPr="00B20BE9">
        <w:rPr>
          <w:sz w:val="24"/>
          <w:szCs w:val="24"/>
        </w:rPr>
        <w:t>.</w:t>
      </w:r>
      <w:r w:rsidR="004839C9" w:rsidRPr="00B20BE9">
        <w:rPr>
          <w:sz w:val="24"/>
          <w:szCs w:val="24"/>
        </w:rPr>
        <w:t xml:space="preserve"> </w:t>
      </w:r>
      <w:r w:rsidR="00792D75" w:rsidRPr="00B20BE9">
        <w:rPr>
          <w:sz w:val="24"/>
          <w:szCs w:val="24"/>
        </w:rPr>
        <w:t>46.</w:t>
      </w:r>
    </w:p>
    <w:p w:rsidR="00770D1D" w:rsidRPr="00B20BE9" w:rsidRDefault="00770D1D" w:rsidP="00062E2F">
      <w:pPr>
        <w:pStyle w:val="BodyText"/>
        <w:jc w:val="left"/>
        <w:rPr>
          <w:sz w:val="24"/>
          <w:szCs w:val="24"/>
        </w:rPr>
      </w:pPr>
    </w:p>
    <w:p w:rsidR="00482C7F" w:rsidRPr="00B20BE9" w:rsidRDefault="00770D1D" w:rsidP="00062E2F">
      <w:pPr>
        <w:pStyle w:val="BodyText"/>
        <w:jc w:val="left"/>
        <w:rPr>
          <w:sz w:val="24"/>
          <w:szCs w:val="24"/>
        </w:rPr>
      </w:pPr>
      <w:r w:rsidRPr="00B20BE9">
        <w:rPr>
          <w:sz w:val="24"/>
          <w:szCs w:val="24"/>
        </w:rPr>
        <w:tab/>
      </w:r>
      <w:r w:rsidRPr="00B20BE9">
        <w:rPr>
          <w:sz w:val="24"/>
          <w:szCs w:val="24"/>
        </w:rPr>
        <w:tab/>
        <w:t xml:space="preserve">I have reviewed the language concerning application of DSICs to transmission voltage customers contained in both the </w:t>
      </w:r>
      <w:r w:rsidRPr="00B20BE9">
        <w:rPr>
          <w:i/>
          <w:sz w:val="24"/>
          <w:szCs w:val="24"/>
        </w:rPr>
        <w:t>Final Implementation Order</w:t>
      </w:r>
      <w:r w:rsidRPr="00B20BE9">
        <w:rPr>
          <w:sz w:val="24"/>
          <w:szCs w:val="24"/>
        </w:rPr>
        <w:t xml:space="preserve"> and the </w:t>
      </w:r>
      <w:r w:rsidRPr="00B20BE9">
        <w:rPr>
          <w:i/>
          <w:sz w:val="24"/>
          <w:szCs w:val="24"/>
        </w:rPr>
        <w:t>May 23 Order</w:t>
      </w:r>
      <w:r w:rsidR="00EF5255" w:rsidRPr="00B20BE9">
        <w:rPr>
          <w:sz w:val="24"/>
          <w:szCs w:val="24"/>
        </w:rPr>
        <w:t xml:space="preserve"> and note </w:t>
      </w:r>
      <w:r w:rsidRPr="00B20BE9">
        <w:rPr>
          <w:sz w:val="24"/>
          <w:szCs w:val="24"/>
        </w:rPr>
        <w:t>there is a difference, although it may be</w:t>
      </w:r>
      <w:r w:rsidR="00B7538D">
        <w:rPr>
          <w:sz w:val="24"/>
          <w:szCs w:val="24"/>
        </w:rPr>
        <w:t xml:space="preserve"> inadvertent.</w:t>
      </w:r>
    </w:p>
    <w:p w:rsidR="00482C7F" w:rsidRPr="00B20BE9" w:rsidRDefault="00482C7F" w:rsidP="00062E2F">
      <w:pPr>
        <w:pStyle w:val="BodyText"/>
        <w:jc w:val="left"/>
        <w:rPr>
          <w:sz w:val="24"/>
          <w:szCs w:val="24"/>
        </w:rPr>
      </w:pPr>
    </w:p>
    <w:p w:rsidR="00B01911" w:rsidRPr="00B20BE9" w:rsidRDefault="00482C7F" w:rsidP="00062E2F">
      <w:pPr>
        <w:pStyle w:val="BodyText"/>
        <w:jc w:val="left"/>
        <w:rPr>
          <w:sz w:val="24"/>
          <w:szCs w:val="24"/>
        </w:rPr>
      </w:pPr>
      <w:r w:rsidRPr="00B20BE9">
        <w:rPr>
          <w:sz w:val="24"/>
          <w:szCs w:val="24"/>
        </w:rPr>
        <w:tab/>
      </w:r>
      <w:r w:rsidRPr="00B20BE9">
        <w:rPr>
          <w:sz w:val="24"/>
          <w:szCs w:val="24"/>
        </w:rPr>
        <w:tab/>
        <w:t xml:space="preserve">In the </w:t>
      </w:r>
      <w:r w:rsidR="00770D1D" w:rsidRPr="00B20BE9">
        <w:rPr>
          <w:i/>
          <w:sz w:val="24"/>
          <w:szCs w:val="24"/>
        </w:rPr>
        <w:t>Final Implementation Order</w:t>
      </w:r>
      <w:r w:rsidRPr="00B20BE9">
        <w:rPr>
          <w:i/>
          <w:sz w:val="24"/>
          <w:szCs w:val="24"/>
        </w:rPr>
        <w:t xml:space="preserve">, </w:t>
      </w:r>
      <w:r w:rsidR="00770D1D" w:rsidRPr="00B20BE9">
        <w:rPr>
          <w:sz w:val="24"/>
          <w:szCs w:val="24"/>
        </w:rPr>
        <w:t xml:space="preserve">the Commission </w:t>
      </w:r>
      <w:r w:rsidRPr="00B20BE9">
        <w:rPr>
          <w:sz w:val="24"/>
          <w:szCs w:val="24"/>
          <w:u w:val="single"/>
        </w:rPr>
        <w:t>generally</w:t>
      </w:r>
      <w:r w:rsidRPr="00B20BE9">
        <w:rPr>
          <w:sz w:val="24"/>
          <w:szCs w:val="24"/>
        </w:rPr>
        <w:t xml:space="preserve"> </w:t>
      </w:r>
      <w:r w:rsidR="00770D1D" w:rsidRPr="00B20BE9">
        <w:rPr>
          <w:sz w:val="24"/>
          <w:szCs w:val="24"/>
        </w:rPr>
        <w:t>agree</w:t>
      </w:r>
      <w:r w:rsidR="00040769" w:rsidRPr="00B20BE9">
        <w:rPr>
          <w:sz w:val="24"/>
          <w:szCs w:val="24"/>
        </w:rPr>
        <w:t>d</w:t>
      </w:r>
      <w:r w:rsidR="00770D1D" w:rsidRPr="00B20BE9">
        <w:rPr>
          <w:sz w:val="24"/>
          <w:szCs w:val="24"/>
        </w:rPr>
        <w:t xml:space="preserve"> that the DSIC should not be applied to transmission voltage customers but </w:t>
      </w:r>
      <w:r w:rsidR="00FC2D16" w:rsidRPr="00B20BE9">
        <w:rPr>
          <w:sz w:val="24"/>
          <w:szCs w:val="24"/>
        </w:rPr>
        <w:t>then affirmatively state</w:t>
      </w:r>
      <w:r w:rsidR="00040769" w:rsidRPr="00B20BE9">
        <w:rPr>
          <w:sz w:val="24"/>
          <w:szCs w:val="24"/>
        </w:rPr>
        <w:t>d</w:t>
      </w:r>
      <w:r w:rsidR="00FC2D16" w:rsidRPr="00B20BE9">
        <w:rPr>
          <w:sz w:val="24"/>
          <w:szCs w:val="24"/>
        </w:rPr>
        <w:t xml:space="preserve"> that such</w:t>
      </w:r>
      <w:r w:rsidR="00770D1D" w:rsidRPr="00B20BE9">
        <w:rPr>
          <w:sz w:val="24"/>
          <w:szCs w:val="24"/>
        </w:rPr>
        <w:t xml:space="preserve"> charges are to be applied to any customers served from higher voltage facilities which are included within the EDC’s distribution plant for ratemaking purposes.  Thus, the </w:t>
      </w:r>
      <w:r w:rsidR="00770D1D" w:rsidRPr="00B20BE9">
        <w:rPr>
          <w:i/>
          <w:sz w:val="24"/>
          <w:szCs w:val="24"/>
        </w:rPr>
        <w:t>Final Implementation Orde</w:t>
      </w:r>
      <w:r w:rsidRPr="00B20BE9">
        <w:rPr>
          <w:i/>
          <w:sz w:val="24"/>
          <w:szCs w:val="24"/>
        </w:rPr>
        <w:t xml:space="preserve">r </w:t>
      </w:r>
      <w:r w:rsidR="00770D1D" w:rsidRPr="00B20BE9">
        <w:rPr>
          <w:sz w:val="24"/>
          <w:szCs w:val="24"/>
        </w:rPr>
        <w:t xml:space="preserve">states, as indicated by PPLICA, that </w:t>
      </w:r>
      <w:r w:rsidR="00467A27">
        <w:rPr>
          <w:sz w:val="24"/>
          <w:szCs w:val="24"/>
        </w:rPr>
        <w:t>if</w:t>
      </w:r>
      <w:r w:rsidR="00770D1D" w:rsidRPr="00B20BE9">
        <w:rPr>
          <w:sz w:val="24"/>
          <w:szCs w:val="24"/>
        </w:rPr>
        <w:t xml:space="preserve"> high voltage facilit</w:t>
      </w:r>
      <w:r w:rsidRPr="00B20BE9">
        <w:rPr>
          <w:sz w:val="24"/>
          <w:szCs w:val="24"/>
        </w:rPr>
        <w:t>y costs used to serve transmission voltage customers are included</w:t>
      </w:r>
      <w:r w:rsidR="00770D1D" w:rsidRPr="00B20BE9">
        <w:rPr>
          <w:sz w:val="24"/>
          <w:szCs w:val="24"/>
        </w:rPr>
        <w:t xml:space="preserve"> </w:t>
      </w:r>
      <w:r w:rsidRPr="00B20BE9">
        <w:rPr>
          <w:sz w:val="24"/>
          <w:szCs w:val="24"/>
        </w:rPr>
        <w:t xml:space="preserve">in distribution plant for ratemaking purposes, then </w:t>
      </w:r>
      <w:r w:rsidR="00B01911" w:rsidRPr="00B20BE9">
        <w:rPr>
          <w:sz w:val="24"/>
          <w:szCs w:val="24"/>
        </w:rPr>
        <w:t>th</w:t>
      </w:r>
      <w:r w:rsidR="008B63FD" w:rsidRPr="00B20BE9">
        <w:rPr>
          <w:sz w:val="24"/>
          <w:szCs w:val="24"/>
        </w:rPr>
        <w:t xml:space="preserve">ese customers </w:t>
      </w:r>
      <w:r w:rsidR="00B01911" w:rsidRPr="00B20BE9">
        <w:rPr>
          <w:sz w:val="24"/>
          <w:szCs w:val="24"/>
        </w:rPr>
        <w:t>must pay the DSIC</w:t>
      </w:r>
      <w:r w:rsidR="00770D1D" w:rsidRPr="00B20BE9">
        <w:rPr>
          <w:sz w:val="24"/>
          <w:szCs w:val="24"/>
        </w:rPr>
        <w:t>.</w:t>
      </w:r>
      <w:r w:rsidRPr="00B20BE9">
        <w:rPr>
          <w:sz w:val="24"/>
          <w:szCs w:val="24"/>
        </w:rPr>
        <w:t xml:space="preserve">  The </w:t>
      </w:r>
      <w:r w:rsidRPr="00B20BE9">
        <w:rPr>
          <w:i/>
          <w:sz w:val="24"/>
          <w:szCs w:val="24"/>
        </w:rPr>
        <w:t xml:space="preserve">Final Implementation Order, </w:t>
      </w:r>
      <w:r w:rsidRPr="00B20BE9">
        <w:rPr>
          <w:sz w:val="24"/>
          <w:szCs w:val="24"/>
        </w:rPr>
        <w:t>however</w:t>
      </w:r>
      <w:r w:rsidRPr="00B20BE9">
        <w:rPr>
          <w:i/>
          <w:sz w:val="24"/>
          <w:szCs w:val="24"/>
        </w:rPr>
        <w:t>,</w:t>
      </w:r>
      <w:r w:rsidRPr="00B20BE9">
        <w:rPr>
          <w:sz w:val="24"/>
          <w:szCs w:val="24"/>
        </w:rPr>
        <w:t xml:space="preserve"> does not affirmatively state the exact conditions under which application of the DSIC would not be triggered</w:t>
      </w:r>
      <w:r w:rsidR="00EF5255" w:rsidRPr="00B20BE9">
        <w:rPr>
          <w:sz w:val="24"/>
          <w:szCs w:val="24"/>
        </w:rPr>
        <w:t xml:space="preserve"> for those customers</w:t>
      </w:r>
      <w:r w:rsidR="00467A27">
        <w:rPr>
          <w:sz w:val="24"/>
          <w:szCs w:val="24"/>
        </w:rPr>
        <w:t>.</w:t>
      </w:r>
    </w:p>
    <w:p w:rsidR="00B01911" w:rsidRPr="00B20BE9" w:rsidRDefault="00B01911" w:rsidP="00062E2F">
      <w:pPr>
        <w:pStyle w:val="BodyText"/>
        <w:jc w:val="left"/>
        <w:rPr>
          <w:sz w:val="24"/>
          <w:szCs w:val="24"/>
        </w:rPr>
      </w:pPr>
    </w:p>
    <w:p w:rsidR="00B01911" w:rsidRPr="00B20BE9" w:rsidRDefault="00B01911" w:rsidP="00062E2F">
      <w:pPr>
        <w:pStyle w:val="BodyText"/>
        <w:jc w:val="left"/>
        <w:rPr>
          <w:sz w:val="24"/>
          <w:szCs w:val="24"/>
        </w:rPr>
      </w:pPr>
      <w:r w:rsidRPr="00B20BE9">
        <w:rPr>
          <w:sz w:val="24"/>
          <w:szCs w:val="24"/>
        </w:rPr>
        <w:tab/>
      </w:r>
      <w:r w:rsidRPr="00B20BE9">
        <w:rPr>
          <w:sz w:val="24"/>
          <w:szCs w:val="24"/>
        </w:rPr>
        <w:tab/>
      </w:r>
      <w:r w:rsidR="00482C7F" w:rsidRPr="00B20BE9">
        <w:rPr>
          <w:sz w:val="24"/>
          <w:szCs w:val="24"/>
        </w:rPr>
        <w:t xml:space="preserve">The subsequent </w:t>
      </w:r>
      <w:r w:rsidR="00482C7F" w:rsidRPr="00B20BE9">
        <w:rPr>
          <w:i/>
          <w:sz w:val="24"/>
          <w:szCs w:val="24"/>
        </w:rPr>
        <w:t>May 23 Order</w:t>
      </w:r>
      <w:r w:rsidR="00482C7F" w:rsidRPr="00B20BE9">
        <w:rPr>
          <w:sz w:val="24"/>
          <w:szCs w:val="24"/>
        </w:rPr>
        <w:t>, on the other hand, provide</w:t>
      </w:r>
      <w:r w:rsidR="00040769" w:rsidRPr="00B20BE9">
        <w:rPr>
          <w:sz w:val="24"/>
          <w:szCs w:val="24"/>
        </w:rPr>
        <w:t>d</w:t>
      </w:r>
      <w:r w:rsidR="00482C7F" w:rsidRPr="00B20BE9">
        <w:rPr>
          <w:sz w:val="24"/>
          <w:szCs w:val="24"/>
        </w:rPr>
        <w:t xml:space="preserve"> </w:t>
      </w:r>
      <w:r w:rsidRPr="00B20BE9">
        <w:rPr>
          <w:sz w:val="24"/>
          <w:szCs w:val="24"/>
        </w:rPr>
        <w:t xml:space="preserve">that transmission voltage customers </w:t>
      </w:r>
      <w:r w:rsidRPr="00B20BE9">
        <w:rPr>
          <w:sz w:val="24"/>
          <w:szCs w:val="24"/>
          <w:u w:val="single"/>
        </w:rPr>
        <w:t>should only be charged a DSIC if</w:t>
      </w:r>
      <w:r w:rsidRPr="00B20BE9">
        <w:rPr>
          <w:sz w:val="24"/>
          <w:szCs w:val="24"/>
        </w:rPr>
        <w:t xml:space="preserve"> the facilities serving such customers are considered distribution plant for ratemaking purposes.  The </w:t>
      </w:r>
      <w:r w:rsidRPr="00B20BE9">
        <w:rPr>
          <w:i/>
          <w:sz w:val="24"/>
          <w:szCs w:val="24"/>
        </w:rPr>
        <w:t>May 23 Order</w:t>
      </w:r>
      <w:r w:rsidRPr="00B20BE9">
        <w:rPr>
          <w:sz w:val="24"/>
          <w:szCs w:val="24"/>
        </w:rPr>
        <w:t xml:space="preserve"> omits the words “high voltage” from the reference to facilities</w:t>
      </w:r>
      <w:r w:rsidR="00EF5255" w:rsidRPr="00B20BE9">
        <w:rPr>
          <w:sz w:val="24"/>
          <w:szCs w:val="24"/>
        </w:rPr>
        <w:t xml:space="preserve"> serving the customer.  PPL appears to have</w:t>
      </w:r>
      <w:r w:rsidRPr="00B20BE9">
        <w:rPr>
          <w:sz w:val="24"/>
          <w:szCs w:val="24"/>
        </w:rPr>
        <w:t xml:space="preserve"> interpreted this as meaning that the inquiry should be whether any distribution plant is recovered from transmission voltage customers</w:t>
      </w:r>
      <w:r w:rsidR="00EF5255" w:rsidRPr="00B20BE9">
        <w:rPr>
          <w:sz w:val="24"/>
          <w:szCs w:val="24"/>
        </w:rPr>
        <w:t xml:space="preserve">, although </w:t>
      </w:r>
      <w:r w:rsidR="008B63FD" w:rsidRPr="00B20BE9">
        <w:rPr>
          <w:sz w:val="24"/>
          <w:szCs w:val="24"/>
        </w:rPr>
        <w:t>PPL</w:t>
      </w:r>
      <w:r w:rsidR="00EF5255" w:rsidRPr="00B20BE9">
        <w:rPr>
          <w:sz w:val="24"/>
          <w:szCs w:val="24"/>
        </w:rPr>
        <w:t xml:space="preserve"> also relies on its statutory construction argument.</w:t>
      </w:r>
    </w:p>
    <w:p w:rsidR="00B01911" w:rsidRPr="00B20BE9" w:rsidRDefault="00B01911" w:rsidP="00062E2F">
      <w:pPr>
        <w:pStyle w:val="BodyText"/>
        <w:jc w:val="left"/>
        <w:rPr>
          <w:sz w:val="24"/>
          <w:szCs w:val="24"/>
        </w:rPr>
      </w:pPr>
    </w:p>
    <w:p w:rsidR="00EF5255" w:rsidRPr="00B20BE9" w:rsidRDefault="00B01911" w:rsidP="00062E2F">
      <w:pPr>
        <w:pStyle w:val="BodyText"/>
        <w:jc w:val="left"/>
        <w:rPr>
          <w:sz w:val="24"/>
          <w:szCs w:val="24"/>
        </w:rPr>
      </w:pPr>
      <w:r w:rsidRPr="00B20BE9">
        <w:rPr>
          <w:sz w:val="24"/>
          <w:szCs w:val="24"/>
        </w:rPr>
        <w:tab/>
      </w:r>
      <w:r w:rsidRPr="00B20BE9">
        <w:rPr>
          <w:sz w:val="24"/>
          <w:szCs w:val="24"/>
        </w:rPr>
        <w:tab/>
        <w:t>I conclude that the safest course</w:t>
      </w:r>
      <w:r w:rsidR="00EF5255" w:rsidRPr="00B20BE9">
        <w:rPr>
          <w:sz w:val="24"/>
          <w:szCs w:val="24"/>
        </w:rPr>
        <w:t>, given these differences</w:t>
      </w:r>
      <w:r w:rsidR="008B63FD" w:rsidRPr="00B20BE9">
        <w:rPr>
          <w:sz w:val="24"/>
          <w:szCs w:val="24"/>
        </w:rPr>
        <w:t xml:space="preserve"> in the Commission’s Orders</w:t>
      </w:r>
      <w:r w:rsidR="00EF5255" w:rsidRPr="00B20BE9">
        <w:rPr>
          <w:sz w:val="24"/>
          <w:szCs w:val="24"/>
        </w:rPr>
        <w:t xml:space="preserve">, </w:t>
      </w:r>
      <w:r w:rsidRPr="00B20BE9">
        <w:rPr>
          <w:sz w:val="24"/>
          <w:szCs w:val="24"/>
        </w:rPr>
        <w:t xml:space="preserve">and </w:t>
      </w:r>
      <w:r w:rsidR="00EF5255" w:rsidRPr="00B20BE9">
        <w:rPr>
          <w:sz w:val="24"/>
          <w:szCs w:val="24"/>
        </w:rPr>
        <w:t xml:space="preserve">the course which is most </w:t>
      </w:r>
      <w:r w:rsidRPr="00B20BE9">
        <w:rPr>
          <w:sz w:val="24"/>
          <w:szCs w:val="24"/>
        </w:rPr>
        <w:t>consistent with due process and the public interest</w:t>
      </w:r>
      <w:r w:rsidR="00EF5255" w:rsidRPr="00B20BE9">
        <w:rPr>
          <w:sz w:val="24"/>
          <w:szCs w:val="24"/>
        </w:rPr>
        <w:t>,</w:t>
      </w:r>
      <w:r w:rsidRPr="00B20BE9">
        <w:rPr>
          <w:sz w:val="24"/>
          <w:szCs w:val="24"/>
        </w:rPr>
        <w:t xml:space="preserve"> is to consider this matter subject to investigation, noting the Commission’s </w:t>
      </w:r>
      <w:r w:rsidRPr="00B20BE9">
        <w:rPr>
          <w:i/>
          <w:sz w:val="24"/>
          <w:szCs w:val="24"/>
        </w:rPr>
        <w:t>Final Implementation Order</w:t>
      </w:r>
      <w:r w:rsidRPr="00B20BE9">
        <w:rPr>
          <w:sz w:val="24"/>
          <w:szCs w:val="24"/>
        </w:rPr>
        <w:t xml:space="preserve"> </w:t>
      </w:r>
      <w:r w:rsidR="00EF5255" w:rsidRPr="00B20BE9">
        <w:rPr>
          <w:sz w:val="24"/>
          <w:szCs w:val="24"/>
        </w:rPr>
        <w:t xml:space="preserve">and </w:t>
      </w:r>
      <w:r w:rsidR="00EF5255" w:rsidRPr="00B20BE9">
        <w:rPr>
          <w:i/>
          <w:sz w:val="24"/>
          <w:szCs w:val="24"/>
        </w:rPr>
        <w:t>May 23 Order</w:t>
      </w:r>
      <w:r w:rsidR="00A94B1C">
        <w:rPr>
          <w:sz w:val="24"/>
          <w:szCs w:val="24"/>
        </w:rPr>
        <w:t xml:space="preserve"> on the subject.</w:t>
      </w:r>
    </w:p>
    <w:p w:rsidR="00EF5255" w:rsidRPr="00B20BE9" w:rsidRDefault="00EF5255" w:rsidP="00062E2F">
      <w:pPr>
        <w:pStyle w:val="BodyText"/>
        <w:jc w:val="left"/>
        <w:rPr>
          <w:sz w:val="24"/>
          <w:szCs w:val="24"/>
        </w:rPr>
      </w:pPr>
    </w:p>
    <w:p w:rsidR="00DF4A87" w:rsidRPr="00B20BE9" w:rsidRDefault="00EF5255" w:rsidP="00062E2F">
      <w:pPr>
        <w:pStyle w:val="BodyText"/>
        <w:jc w:val="left"/>
        <w:rPr>
          <w:sz w:val="24"/>
          <w:szCs w:val="24"/>
        </w:rPr>
      </w:pPr>
      <w:r w:rsidRPr="00B20BE9">
        <w:rPr>
          <w:sz w:val="24"/>
          <w:szCs w:val="24"/>
        </w:rPr>
        <w:tab/>
      </w:r>
      <w:r w:rsidRPr="00B20BE9">
        <w:rPr>
          <w:sz w:val="24"/>
          <w:szCs w:val="24"/>
        </w:rPr>
        <w:tab/>
        <w:t xml:space="preserve">The inquiry then becomes an examination of the record evidence as to whether PPL has met its burden of proof regarding the justness and reasonableness of its DSIC rate </w:t>
      </w:r>
      <w:r w:rsidRPr="00B20BE9">
        <w:rPr>
          <w:sz w:val="24"/>
          <w:szCs w:val="24"/>
          <w:u w:val="single"/>
        </w:rPr>
        <w:t>as applied</w:t>
      </w:r>
      <w:r w:rsidRPr="00B20BE9">
        <w:rPr>
          <w:sz w:val="24"/>
          <w:szCs w:val="24"/>
        </w:rPr>
        <w:t xml:space="preserve"> to LP-5 customers.</w:t>
      </w:r>
      <w:r w:rsidR="00EE50AE" w:rsidRPr="00B20BE9">
        <w:rPr>
          <w:sz w:val="24"/>
          <w:szCs w:val="24"/>
        </w:rPr>
        <w:t xml:space="preserve">  In support</w:t>
      </w:r>
      <w:r w:rsidR="00DF4A87" w:rsidRPr="00B20BE9">
        <w:rPr>
          <w:sz w:val="24"/>
          <w:szCs w:val="24"/>
        </w:rPr>
        <w:t xml:space="preserve"> of its application</w:t>
      </w:r>
      <w:r w:rsidR="00F875AF" w:rsidRPr="00B20BE9">
        <w:rPr>
          <w:sz w:val="24"/>
          <w:szCs w:val="24"/>
        </w:rPr>
        <w:t xml:space="preserve"> of the DSIC to LP-5 customers, </w:t>
      </w:r>
      <w:r w:rsidR="00DF4A87" w:rsidRPr="00B20BE9">
        <w:rPr>
          <w:sz w:val="24"/>
          <w:szCs w:val="24"/>
        </w:rPr>
        <w:t>PPL primarily relied upon Section 1358(d)(1) of t</w:t>
      </w:r>
      <w:r w:rsidR="004D54D5" w:rsidRPr="00B20BE9">
        <w:rPr>
          <w:sz w:val="24"/>
          <w:szCs w:val="24"/>
        </w:rPr>
        <w:t xml:space="preserve">he Code, rather than presenting </w:t>
      </w:r>
      <w:r w:rsidR="00DF4A87" w:rsidRPr="00B20BE9">
        <w:rPr>
          <w:sz w:val="24"/>
          <w:szCs w:val="24"/>
        </w:rPr>
        <w:t xml:space="preserve">factual evidence as to the justness and reasonableness of its actions.  </w:t>
      </w:r>
      <w:r w:rsidR="004D54D5" w:rsidRPr="00B20BE9">
        <w:rPr>
          <w:sz w:val="24"/>
          <w:szCs w:val="24"/>
        </w:rPr>
        <w:t xml:space="preserve">However, </w:t>
      </w:r>
      <w:r w:rsidR="00DF4A87" w:rsidRPr="00B20BE9">
        <w:rPr>
          <w:sz w:val="24"/>
          <w:szCs w:val="24"/>
        </w:rPr>
        <w:t>I hav</w:t>
      </w:r>
      <w:r w:rsidR="002A5CB7">
        <w:rPr>
          <w:sz w:val="24"/>
          <w:szCs w:val="24"/>
        </w:rPr>
        <w:t>e previously ruled that Section </w:t>
      </w:r>
      <w:r w:rsidR="00DF4A87" w:rsidRPr="00B20BE9">
        <w:rPr>
          <w:sz w:val="24"/>
          <w:szCs w:val="24"/>
        </w:rPr>
        <w:t xml:space="preserve">1358(d)(1) must be read together </w:t>
      </w:r>
      <w:r w:rsidR="002A5CB7">
        <w:rPr>
          <w:sz w:val="24"/>
          <w:szCs w:val="24"/>
        </w:rPr>
        <w:t>with Section 1301 of the Code.</w:t>
      </w:r>
    </w:p>
    <w:p w:rsidR="00DF4A87" w:rsidRPr="00B20BE9" w:rsidRDefault="00DF4A87" w:rsidP="00062E2F">
      <w:pPr>
        <w:pStyle w:val="BodyText"/>
        <w:jc w:val="left"/>
        <w:rPr>
          <w:sz w:val="24"/>
          <w:szCs w:val="24"/>
        </w:rPr>
      </w:pPr>
    </w:p>
    <w:p w:rsidR="002D7CC4" w:rsidRPr="00B20BE9" w:rsidRDefault="00DF4A87" w:rsidP="00062E2F">
      <w:pPr>
        <w:pStyle w:val="BodyText"/>
        <w:jc w:val="left"/>
        <w:rPr>
          <w:sz w:val="24"/>
          <w:szCs w:val="24"/>
        </w:rPr>
      </w:pPr>
      <w:r w:rsidRPr="00B20BE9">
        <w:rPr>
          <w:sz w:val="24"/>
          <w:szCs w:val="24"/>
        </w:rPr>
        <w:tab/>
      </w:r>
      <w:r w:rsidRPr="00B20BE9">
        <w:rPr>
          <w:sz w:val="24"/>
          <w:szCs w:val="24"/>
        </w:rPr>
        <w:tab/>
        <w:t>The factual evidence</w:t>
      </w:r>
      <w:r w:rsidR="002D7CC4" w:rsidRPr="00B20BE9">
        <w:rPr>
          <w:sz w:val="24"/>
          <w:szCs w:val="24"/>
        </w:rPr>
        <w:t xml:space="preserve"> that PPL did present </w:t>
      </w:r>
      <w:r w:rsidR="004D54D5" w:rsidRPr="00B20BE9">
        <w:rPr>
          <w:sz w:val="24"/>
          <w:szCs w:val="24"/>
        </w:rPr>
        <w:t xml:space="preserve">through its witness Bethany Johnson </w:t>
      </w:r>
      <w:r w:rsidR="002D7CC4" w:rsidRPr="00B20BE9">
        <w:rPr>
          <w:sz w:val="24"/>
          <w:szCs w:val="24"/>
        </w:rPr>
        <w:t>wa</w:t>
      </w:r>
      <w:r w:rsidRPr="00B20BE9">
        <w:rPr>
          <w:sz w:val="24"/>
          <w:szCs w:val="24"/>
        </w:rPr>
        <w:t xml:space="preserve">s that LP-5 customers are distribution customers for ratemaking purposes and </w:t>
      </w:r>
      <w:r w:rsidR="002D7CC4" w:rsidRPr="00B20BE9">
        <w:rPr>
          <w:sz w:val="24"/>
          <w:szCs w:val="24"/>
        </w:rPr>
        <w:t>were</w:t>
      </w:r>
      <w:r w:rsidRPr="00B20BE9">
        <w:rPr>
          <w:sz w:val="24"/>
          <w:szCs w:val="24"/>
        </w:rPr>
        <w:t xml:space="preserve"> allocated </w:t>
      </w:r>
      <w:r w:rsidR="002D7CC4" w:rsidRPr="00B20BE9">
        <w:rPr>
          <w:sz w:val="24"/>
          <w:szCs w:val="24"/>
        </w:rPr>
        <w:t xml:space="preserve">some </w:t>
      </w:r>
      <w:r w:rsidRPr="00B20BE9">
        <w:rPr>
          <w:sz w:val="24"/>
          <w:szCs w:val="24"/>
        </w:rPr>
        <w:t>distribution costs in the Company’</w:t>
      </w:r>
      <w:r w:rsidR="002D7CC4" w:rsidRPr="00B20BE9">
        <w:rPr>
          <w:sz w:val="24"/>
          <w:szCs w:val="24"/>
        </w:rPr>
        <w:t xml:space="preserve">s last </w:t>
      </w:r>
      <w:r w:rsidRPr="00B20BE9">
        <w:rPr>
          <w:sz w:val="24"/>
          <w:szCs w:val="24"/>
        </w:rPr>
        <w:t xml:space="preserve">cost of service study.  </w:t>
      </w:r>
      <w:r w:rsidR="004D54D5" w:rsidRPr="00B20BE9">
        <w:rPr>
          <w:sz w:val="24"/>
          <w:szCs w:val="24"/>
        </w:rPr>
        <w:t>She also testified that, if no DSIC-eligible plant serves LP-5 customers, then none of this plant will be allocated to Rate Schedule LP-5 in the Company’s next base rate case.  In its Main Brief, PPL argued that the relative amount of DSIC-eligible plant allocated to LP-5 customers in a base rate proceeding is not relevant to the Commission’s determination in this case, referring again</w:t>
      </w:r>
      <w:r w:rsidR="009639AF">
        <w:rPr>
          <w:sz w:val="24"/>
          <w:szCs w:val="24"/>
        </w:rPr>
        <w:t xml:space="preserve"> to Section 1358(d)(1) of the Code.</w:t>
      </w:r>
    </w:p>
    <w:p w:rsidR="002D7CC4" w:rsidRPr="00B20BE9" w:rsidRDefault="002D7CC4" w:rsidP="00062E2F">
      <w:pPr>
        <w:pStyle w:val="BodyText"/>
        <w:jc w:val="left"/>
        <w:rPr>
          <w:sz w:val="24"/>
          <w:szCs w:val="24"/>
        </w:rPr>
      </w:pPr>
    </w:p>
    <w:p w:rsidR="00707126" w:rsidRPr="00B20BE9" w:rsidRDefault="002D7CC4" w:rsidP="00062E2F">
      <w:pPr>
        <w:pStyle w:val="BodyText"/>
        <w:jc w:val="left"/>
        <w:rPr>
          <w:sz w:val="24"/>
          <w:szCs w:val="24"/>
        </w:rPr>
      </w:pPr>
      <w:r w:rsidRPr="00B20BE9">
        <w:rPr>
          <w:sz w:val="24"/>
          <w:szCs w:val="24"/>
        </w:rPr>
        <w:tab/>
      </w:r>
      <w:r w:rsidRPr="00B20BE9">
        <w:rPr>
          <w:sz w:val="24"/>
          <w:szCs w:val="24"/>
        </w:rPr>
        <w:tab/>
        <w:t>In contrast to PPL’s presentation as to justness and reasonableness</w:t>
      </w:r>
      <w:r w:rsidR="00575BD9" w:rsidRPr="00B20BE9">
        <w:rPr>
          <w:sz w:val="24"/>
          <w:szCs w:val="24"/>
        </w:rPr>
        <w:t xml:space="preserve"> of the DSIC</w:t>
      </w:r>
      <w:r w:rsidRPr="00B20BE9">
        <w:rPr>
          <w:sz w:val="24"/>
          <w:szCs w:val="24"/>
        </w:rPr>
        <w:t xml:space="preserve">, PPLICA </w:t>
      </w:r>
      <w:r w:rsidR="006E76AA" w:rsidRPr="00B20BE9">
        <w:rPr>
          <w:sz w:val="24"/>
          <w:szCs w:val="24"/>
        </w:rPr>
        <w:t xml:space="preserve">presented </w:t>
      </w:r>
      <w:r w:rsidR="00575BD9" w:rsidRPr="00B20BE9">
        <w:rPr>
          <w:sz w:val="24"/>
          <w:szCs w:val="24"/>
        </w:rPr>
        <w:t xml:space="preserve">factual </w:t>
      </w:r>
      <w:r w:rsidR="006E76AA" w:rsidRPr="00B20BE9">
        <w:rPr>
          <w:sz w:val="24"/>
          <w:szCs w:val="24"/>
        </w:rPr>
        <w:t xml:space="preserve">evidence from </w:t>
      </w:r>
      <w:r w:rsidR="008D1892" w:rsidRPr="00B20BE9">
        <w:rPr>
          <w:sz w:val="24"/>
          <w:szCs w:val="24"/>
        </w:rPr>
        <w:t xml:space="preserve">its </w:t>
      </w:r>
      <w:r w:rsidR="006E76AA" w:rsidRPr="00B20BE9">
        <w:rPr>
          <w:sz w:val="24"/>
          <w:szCs w:val="24"/>
        </w:rPr>
        <w:t xml:space="preserve">witness </w:t>
      </w:r>
      <w:r w:rsidR="008D1892" w:rsidRPr="00B20BE9">
        <w:rPr>
          <w:sz w:val="24"/>
          <w:szCs w:val="24"/>
        </w:rPr>
        <w:t xml:space="preserve">Richard Baudino </w:t>
      </w:r>
      <w:r w:rsidR="006E76AA" w:rsidRPr="00B20BE9">
        <w:rPr>
          <w:sz w:val="24"/>
          <w:szCs w:val="24"/>
        </w:rPr>
        <w:t>that the Commission’s determination</w:t>
      </w:r>
      <w:r w:rsidR="00707126" w:rsidRPr="00B20BE9">
        <w:rPr>
          <w:sz w:val="24"/>
          <w:szCs w:val="24"/>
        </w:rPr>
        <w:t xml:space="preserve"> of eligibility </w:t>
      </w:r>
      <w:r w:rsidR="006E76AA" w:rsidRPr="00B20BE9">
        <w:rPr>
          <w:sz w:val="24"/>
          <w:szCs w:val="24"/>
        </w:rPr>
        <w:t xml:space="preserve">for DSIC charges is based upon allocation of an EDC’s distribution plant costs, not simply recovery of any O&amp;M, administrative and general or other customer related costs.  </w:t>
      </w:r>
      <w:r w:rsidR="00053A4B" w:rsidRPr="00B20BE9">
        <w:rPr>
          <w:sz w:val="24"/>
          <w:szCs w:val="24"/>
        </w:rPr>
        <w:t xml:space="preserve">Mr. Baudino provided a list of costs items that are allocated to LP-5 customers, all of which, with the exception of meters, are O&amp;M, administrative and general or customer costs.  </w:t>
      </w:r>
      <w:r w:rsidR="00707126" w:rsidRPr="00B20BE9">
        <w:rPr>
          <w:sz w:val="24"/>
          <w:szCs w:val="24"/>
        </w:rPr>
        <w:t>There were no costs allocated to LP-5 customers in the last base rate case for distribution substations, overhead lines, underground lines, line transformers, or distribution services.</w:t>
      </w:r>
    </w:p>
    <w:p w:rsidR="00707126" w:rsidRPr="00B20BE9" w:rsidRDefault="00707126" w:rsidP="00062E2F">
      <w:pPr>
        <w:pStyle w:val="BodyText"/>
        <w:jc w:val="left"/>
        <w:rPr>
          <w:sz w:val="24"/>
          <w:szCs w:val="24"/>
        </w:rPr>
      </w:pPr>
    </w:p>
    <w:p w:rsidR="00707126" w:rsidRPr="00B20BE9" w:rsidRDefault="00BF4365" w:rsidP="00707126">
      <w:pPr>
        <w:pStyle w:val="BodyText"/>
        <w:jc w:val="left"/>
        <w:rPr>
          <w:sz w:val="24"/>
          <w:szCs w:val="24"/>
        </w:rPr>
      </w:pPr>
      <w:r>
        <w:rPr>
          <w:sz w:val="24"/>
          <w:szCs w:val="24"/>
        </w:rPr>
        <w:tab/>
      </w:r>
      <w:r>
        <w:rPr>
          <w:sz w:val="24"/>
          <w:szCs w:val="24"/>
        </w:rPr>
        <w:tab/>
      </w:r>
      <w:r w:rsidR="00707126" w:rsidRPr="00B20BE9">
        <w:rPr>
          <w:sz w:val="24"/>
          <w:szCs w:val="24"/>
        </w:rPr>
        <w:t xml:space="preserve">With respect to meters, PPLICA observed that the Model Tariff attached to the </w:t>
      </w:r>
      <w:r w:rsidR="00707126" w:rsidRPr="00B20BE9">
        <w:rPr>
          <w:i/>
          <w:sz w:val="24"/>
          <w:szCs w:val="24"/>
        </w:rPr>
        <w:t>Final Implementation Order</w:t>
      </w:r>
      <w:r w:rsidR="00707126" w:rsidRPr="00B20BE9">
        <w:rPr>
          <w:sz w:val="24"/>
          <w:szCs w:val="24"/>
        </w:rPr>
        <w:t xml:space="preserve"> does not identify meters as an eligible cost for electric DSICs and that meter installation costs are already recovered for all customers through PPL’s SMR.  It concluded that meter costs cannot reasonably be considered sufficient to justify application </w:t>
      </w:r>
      <w:r w:rsidR="00DA044C">
        <w:rPr>
          <w:sz w:val="24"/>
          <w:szCs w:val="24"/>
        </w:rPr>
        <w:t>of the DSIC to LP-5 customers.</w:t>
      </w:r>
    </w:p>
    <w:p w:rsidR="00707126" w:rsidRPr="00B20BE9" w:rsidRDefault="00707126" w:rsidP="00062E2F">
      <w:pPr>
        <w:pStyle w:val="BodyText"/>
        <w:jc w:val="left"/>
        <w:rPr>
          <w:sz w:val="24"/>
          <w:szCs w:val="24"/>
        </w:rPr>
      </w:pPr>
    </w:p>
    <w:p w:rsidR="00575BD9" w:rsidRPr="00B20BE9" w:rsidRDefault="00707126" w:rsidP="00062E2F">
      <w:pPr>
        <w:pStyle w:val="BodyText"/>
        <w:jc w:val="left"/>
        <w:rPr>
          <w:sz w:val="24"/>
          <w:szCs w:val="24"/>
        </w:rPr>
      </w:pPr>
      <w:r w:rsidRPr="00B20BE9">
        <w:rPr>
          <w:sz w:val="24"/>
          <w:szCs w:val="24"/>
        </w:rPr>
        <w:tab/>
      </w:r>
      <w:r w:rsidRPr="00B20BE9">
        <w:rPr>
          <w:sz w:val="24"/>
          <w:szCs w:val="24"/>
        </w:rPr>
        <w:tab/>
      </w:r>
      <w:r w:rsidR="00053A4B" w:rsidRPr="00B20BE9">
        <w:rPr>
          <w:sz w:val="24"/>
          <w:szCs w:val="24"/>
        </w:rPr>
        <w:t xml:space="preserve">PPLICA also </w:t>
      </w:r>
      <w:r w:rsidR="006E76AA" w:rsidRPr="00B20BE9">
        <w:rPr>
          <w:sz w:val="24"/>
          <w:szCs w:val="24"/>
        </w:rPr>
        <w:t xml:space="preserve">referenced PPL’s tariff as excluding high voltage (69 kV or </w:t>
      </w:r>
      <w:r w:rsidR="00575BD9" w:rsidRPr="00B20BE9">
        <w:rPr>
          <w:sz w:val="24"/>
          <w:szCs w:val="24"/>
        </w:rPr>
        <w:t>greater</w:t>
      </w:r>
      <w:r w:rsidR="006E76AA" w:rsidRPr="00B20BE9">
        <w:rPr>
          <w:sz w:val="24"/>
          <w:szCs w:val="24"/>
        </w:rPr>
        <w:t xml:space="preserve">) service extensions and lines from the definition of distribution system.  It </w:t>
      </w:r>
      <w:r w:rsidR="00053A4B" w:rsidRPr="00B20BE9">
        <w:rPr>
          <w:sz w:val="24"/>
          <w:szCs w:val="24"/>
        </w:rPr>
        <w:t xml:space="preserve">noted that </w:t>
      </w:r>
      <w:r w:rsidR="001D0D4E" w:rsidRPr="00B20BE9">
        <w:rPr>
          <w:sz w:val="24"/>
          <w:szCs w:val="24"/>
        </w:rPr>
        <w:t xml:space="preserve">Rate Schedule LP-5 is only available to customers supplied from lines of 69 kV or greater, </w:t>
      </w:r>
      <w:r w:rsidR="00575BD9" w:rsidRPr="00B20BE9">
        <w:rPr>
          <w:sz w:val="24"/>
          <w:szCs w:val="24"/>
        </w:rPr>
        <w:t>with the customer furnishing and maintaining all equipment necessary to transform the energy from</w:t>
      </w:r>
      <w:r w:rsidR="00566265">
        <w:rPr>
          <w:sz w:val="24"/>
          <w:szCs w:val="24"/>
        </w:rPr>
        <w:t xml:space="preserve"> line voltage.</w:t>
      </w:r>
    </w:p>
    <w:p w:rsidR="00053A4B" w:rsidRPr="00B20BE9" w:rsidRDefault="00053A4B" w:rsidP="00062E2F">
      <w:pPr>
        <w:pStyle w:val="BodyText"/>
        <w:jc w:val="left"/>
        <w:rPr>
          <w:sz w:val="24"/>
          <w:szCs w:val="24"/>
        </w:rPr>
      </w:pPr>
    </w:p>
    <w:p w:rsidR="00707126" w:rsidRPr="00B20BE9" w:rsidRDefault="00053A4B" w:rsidP="00930240">
      <w:pPr>
        <w:pStyle w:val="BodyText"/>
        <w:jc w:val="left"/>
        <w:rPr>
          <w:sz w:val="24"/>
          <w:szCs w:val="24"/>
        </w:rPr>
      </w:pPr>
      <w:r w:rsidRPr="00B20BE9">
        <w:rPr>
          <w:sz w:val="24"/>
          <w:szCs w:val="24"/>
        </w:rPr>
        <w:tab/>
      </w:r>
      <w:r w:rsidRPr="00B20BE9">
        <w:rPr>
          <w:sz w:val="24"/>
          <w:szCs w:val="24"/>
        </w:rPr>
        <w:tab/>
      </w:r>
      <w:r w:rsidR="00930240" w:rsidRPr="00B20BE9">
        <w:rPr>
          <w:sz w:val="24"/>
          <w:szCs w:val="24"/>
        </w:rPr>
        <w:t>Based on the foregoing, PPLICA concluded that it was unfair and therefore unreasonable for the LP-5 class to be charged for facilities through</w:t>
      </w:r>
      <w:r w:rsidR="004D54D5" w:rsidRPr="00B20BE9">
        <w:rPr>
          <w:sz w:val="24"/>
          <w:szCs w:val="24"/>
        </w:rPr>
        <w:t xml:space="preserve"> a DSIC that provided no benefit</w:t>
      </w:r>
      <w:r w:rsidR="00707126" w:rsidRPr="00B20BE9">
        <w:rPr>
          <w:sz w:val="24"/>
          <w:szCs w:val="24"/>
        </w:rPr>
        <w:t xml:space="preserve"> to them.  It interpreted PPL’s testimony as essentially advising LP-5 customers to pay the DSIC charge now, and wait </w:t>
      </w:r>
      <w:r w:rsidR="008D1892" w:rsidRPr="00B20BE9">
        <w:rPr>
          <w:sz w:val="24"/>
          <w:szCs w:val="24"/>
        </w:rPr>
        <w:t>until the</w:t>
      </w:r>
      <w:r w:rsidR="00707126" w:rsidRPr="00B20BE9">
        <w:rPr>
          <w:sz w:val="24"/>
          <w:szCs w:val="24"/>
        </w:rPr>
        <w:t xml:space="preserve"> next base rate case for the issue of whether DSIC-eligible plant serves LP-5 customers to</w:t>
      </w:r>
      <w:r w:rsidR="008D1892" w:rsidRPr="00B20BE9">
        <w:rPr>
          <w:sz w:val="24"/>
          <w:szCs w:val="24"/>
        </w:rPr>
        <w:t xml:space="preserve"> be examined.  </w:t>
      </w:r>
      <w:r w:rsidR="00707126" w:rsidRPr="00B20BE9">
        <w:rPr>
          <w:sz w:val="24"/>
          <w:szCs w:val="24"/>
        </w:rPr>
        <w:t>PPLICA did not find it reasonable for LP-5 customers to pay rates benefitting others until the next</w:t>
      </w:r>
      <w:r w:rsidR="008D1892" w:rsidRPr="00B20BE9">
        <w:rPr>
          <w:sz w:val="24"/>
          <w:szCs w:val="24"/>
        </w:rPr>
        <w:t xml:space="preserve"> rate case.</w:t>
      </w:r>
    </w:p>
    <w:p w:rsidR="008D1892" w:rsidRPr="00B20BE9" w:rsidRDefault="008D1892" w:rsidP="00930240">
      <w:pPr>
        <w:pStyle w:val="BodyText"/>
        <w:jc w:val="left"/>
        <w:rPr>
          <w:sz w:val="24"/>
          <w:szCs w:val="24"/>
        </w:rPr>
      </w:pPr>
    </w:p>
    <w:p w:rsidR="00D94956" w:rsidRPr="00B20BE9" w:rsidRDefault="008D1892" w:rsidP="00930240">
      <w:pPr>
        <w:pStyle w:val="BodyText"/>
        <w:jc w:val="left"/>
        <w:rPr>
          <w:sz w:val="24"/>
          <w:szCs w:val="24"/>
        </w:rPr>
      </w:pPr>
      <w:r w:rsidRPr="00B20BE9">
        <w:rPr>
          <w:sz w:val="24"/>
          <w:szCs w:val="24"/>
        </w:rPr>
        <w:tab/>
      </w:r>
      <w:r w:rsidRPr="00B20BE9">
        <w:rPr>
          <w:sz w:val="24"/>
          <w:szCs w:val="24"/>
        </w:rPr>
        <w:tab/>
        <w:t xml:space="preserve">After reviewing this record, I </w:t>
      </w:r>
      <w:r w:rsidR="00D05087" w:rsidRPr="00B20BE9">
        <w:rPr>
          <w:sz w:val="24"/>
          <w:szCs w:val="24"/>
        </w:rPr>
        <w:t xml:space="preserve">conclude that </w:t>
      </w:r>
      <w:r w:rsidRPr="00B20BE9">
        <w:rPr>
          <w:sz w:val="24"/>
          <w:szCs w:val="24"/>
        </w:rPr>
        <w:t xml:space="preserve">PPL </w:t>
      </w:r>
      <w:r w:rsidR="00D05087" w:rsidRPr="00B20BE9">
        <w:rPr>
          <w:sz w:val="24"/>
          <w:szCs w:val="24"/>
        </w:rPr>
        <w:t>has failed to rebut</w:t>
      </w:r>
      <w:r w:rsidR="00C03C45" w:rsidRPr="00B20BE9">
        <w:rPr>
          <w:sz w:val="24"/>
          <w:szCs w:val="24"/>
        </w:rPr>
        <w:t xml:space="preserve"> PPLICA’s </w:t>
      </w:r>
      <w:r w:rsidRPr="00B20BE9">
        <w:rPr>
          <w:sz w:val="24"/>
          <w:szCs w:val="24"/>
        </w:rPr>
        <w:t>evidence that the LP-5 class does not benefit from the facilities paid for by the DSIC</w:t>
      </w:r>
      <w:r w:rsidR="004C4BD3" w:rsidRPr="00B20BE9">
        <w:rPr>
          <w:sz w:val="24"/>
          <w:szCs w:val="24"/>
        </w:rPr>
        <w:t>, and that these plant costs are generally not otherwise allocated to that class</w:t>
      </w:r>
      <w:r w:rsidRPr="00B20BE9">
        <w:rPr>
          <w:sz w:val="24"/>
          <w:szCs w:val="24"/>
        </w:rPr>
        <w:t>.  Since PPL has not rebutted this evidence, it has not met its burden of proof as to the just</w:t>
      </w:r>
      <w:r w:rsidR="007F505B">
        <w:rPr>
          <w:sz w:val="24"/>
          <w:szCs w:val="24"/>
        </w:rPr>
        <w:t>ness</w:t>
      </w:r>
      <w:r w:rsidRPr="00B20BE9">
        <w:rPr>
          <w:sz w:val="24"/>
          <w:szCs w:val="24"/>
        </w:rPr>
        <w:t xml:space="preserve"> and reasonableness of this rate</w:t>
      </w:r>
      <w:r w:rsidR="00CD73CC">
        <w:rPr>
          <w:sz w:val="24"/>
          <w:szCs w:val="24"/>
        </w:rPr>
        <w:t xml:space="preserve"> as applied to LP-5 customers.</w:t>
      </w:r>
    </w:p>
    <w:p w:rsidR="00D94956" w:rsidRPr="00B20BE9" w:rsidRDefault="00D94956" w:rsidP="00930240">
      <w:pPr>
        <w:pStyle w:val="BodyText"/>
        <w:jc w:val="left"/>
        <w:rPr>
          <w:sz w:val="24"/>
          <w:szCs w:val="24"/>
        </w:rPr>
      </w:pPr>
    </w:p>
    <w:p w:rsidR="00C93983" w:rsidRPr="00B20BE9" w:rsidRDefault="00D94956" w:rsidP="00930240">
      <w:pPr>
        <w:pStyle w:val="BodyText"/>
        <w:jc w:val="left"/>
        <w:rPr>
          <w:sz w:val="24"/>
          <w:szCs w:val="24"/>
        </w:rPr>
      </w:pPr>
      <w:r w:rsidRPr="00B20BE9">
        <w:rPr>
          <w:sz w:val="24"/>
          <w:szCs w:val="24"/>
        </w:rPr>
        <w:tab/>
      </w:r>
      <w:r w:rsidRPr="00B20BE9">
        <w:rPr>
          <w:sz w:val="24"/>
          <w:szCs w:val="24"/>
        </w:rPr>
        <w:tab/>
        <w:t xml:space="preserve">I note further that a DSIC is defined in Act 11, at 66 Pa.C.S. § 1351, as “[a] charge imposed by a utility to recover the reasonable and prudent costs incurred to repair, improve or replace eligible property that is part of the utility’s distribution system.”  PPL’s own tariff defines distribution system as </w:t>
      </w:r>
      <w:r w:rsidRPr="00B20BE9">
        <w:rPr>
          <w:b/>
          <w:sz w:val="24"/>
          <w:szCs w:val="24"/>
          <w:u w:val="single"/>
        </w:rPr>
        <w:t>excluding</w:t>
      </w:r>
      <w:r w:rsidRPr="00B20BE9">
        <w:rPr>
          <w:sz w:val="24"/>
          <w:szCs w:val="24"/>
        </w:rPr>
        <w:t xml:space="preserve"> 69 kV or greater service extensions and lines,</w:t>
      </w:r>
      <w:r w:rsidR="00C03C45" w:rsidRPr="00B20BE9">
        <w:rPr>
          <w:sz w:val="24"/>
          <w:szCs w:val="24"/>
        </w:rPr>
        <w:t xml:space="preserve"> and </w:t>
      </w:r>
      <w:r w:rsidRPr="00B20BE9">
        <w:rPr>
          <w:sz w:val="24"/>
          <w:szCs w:val="24"/>
        </w:rPr>
        <w:t xml:space="preserve">the LP-5 </w:t>
      </w:r>
      <w:r w:rsidR="001D0D4E" w:rsidRPr="00B20BE9">
        <w:rPr>
          <w:sz w:val="24"/>
          <w:szCs w:val="24"/>
        </w:rPr>
        <w:t>rate</w:t>
      </w:r>
      <w:r w:rsidRPr="00B20BE9">
        <w:rPr>
          <w:sz w:val="24"/>
          <w:szCs w:val="24"/>
        </w:rPr>
        <w:t xml:space="preserve"> is only available to those customers supplie</w:t>
      </w:r>
      <w:r w:rsidR="00AE70F9">
        <w:rPr>
          <w:sz w:val="24"/>
          <w:szCs w:val="24"/>
        </w:rPr>
        <w:t>d from 69 kV or greater lines.</w:t>
      </w:r>
    </w:p>
    <w:p w:rsidR="00C93983" w:rsidRPr="00B20BE9" w:rsidRDefault="00C93983" w:rsidP="00930240">
      <w:pPr>
        <w:pStyle w:val="BodyText"/>
        <w:jc w:val="left"/>
        <w:rPr>
          <w:sz w:val="24"/>
          <w:szCs w:val="24"/>
        </w:rPr>
      </w:pPr>
    </w:p>
    <w:p w:rsidR="008D1892" w:rsidRPr="00B20BE9" w:rsidRDefault="00C93983" w:rsidP="00930240">
      <w:pPr>
        <w:pStyle w:val="BodyText"/>
        <w:jc w:val="left"/>
        <w:rPr>
          <w:sz w:val="24"/>
          <w:szCs w:val="24"/>
        </w:rPr>
      </w:pPr>
      <w:r w:rsidRPr="00B20BE9">
        <w:rPr>
          <w:sz w:val="24"/>
          <w:szCs w:val="24"/>
        </w:rPr>
        <w:tab/>
      </w:r>
      <w:r w:rsidRPr="00B20BE9">
        <w:rPr>
          <w:sz w:val="24"/>
          <w:szCs w:val="24"/>
        </w:rPr>
        <w:tab/>
      </w:r>
      <w:r w:rsidR="008D1892" w:rsidRPr="00B20BE9">
        <w:rPr>
          <w:sz w:val="24"/>
          <w:szCs w:val="24"/>
        </w:rPr>
        <w:t>Accordingly, I recommend that the DSIC not be applied to LP-5 customers, and that these customers receive a refund of these charges</w:t>
      </w:r>
      <w:r w:rsidR="00D13B6C" w:rsidRPr="00B20BE9">
        <w:rPr>
          <w:sz w:val="24"/>
          <w:szCs w:val="24"/>
        </w:rPr>
        <w:t xml:space="preserve">, retroactive to July 1, 2013, with interest at the </w:t>
      </w:r>
      <w:r w:rsidR="005D6709" w:rsidRPr="00B20BE9">
        <w:rPr>
          <w:sz w:val="24"/>
          <w:szCs w:val="24"/>
        </w:rPr>
        <w:t>residential mortgage rate, pursuant to 66 Pa.C.S. § 1358(e)(3).</w:t>
      </w:r>
    </w:p>
    <w:p w:rsidR="000E2F37" w:rsidRPr="00B20BE9" w:rsidRDefault="000E2F37" w:rsidP="00930240">
      <w:pPr>
        <w:pStyle w:val="BodyText"/>
        <w:jc w:val="left"/>
        <w:rPr>
          <w:sz w:val="24"/>
          <w:szCs w:val="24"/>
        </w:rPr>
      </w:pPr>
    </w:p>
    <w:p w:rsidR="000E2F37" w:rsidRPr="00B20BE9" w:rsidRDefault="000E2F37" w:rsidP="00930240">
      <w:pPr>
        <w:pStyle w:val="BodyText"/>
        <w:jc w:val="left"/>
        <w:rPr>
          <w:sz w:val="24"/>
          <w:szCs w:val="24"/>
          <w:u w:val="single"/>
        </w:rPr>
      </w:pPr>
      <w:r w:rsidRPr="00B20BE9">
        <w:rPr>
          <w:sz w:val="24"/>
          <w:szCs w:val="24"/>
        </w:rPr>
        <w:t>D.</w:t>
      </w:r>
      <w:r w:rsidRPr="00B20BE9">
        <w:rPr>
          <w:sz w:val="24"/>
          <w:szCs w:val="24"/>
        </w:rPr>
        <w:tab/>
      </w:r>
      <w:r w:rsidR="00186FC2" w:rsidRPr="00B20BE9">
        <w:rPr>
          <w:sz w:val="24"/>
          <w:szCs w:val="24"/>
          <w:u w:val="single"/>
        </w:rPr>
        <w:t>Inclusion of ACR and CER Revenue in the 5% DSIC Cap</w:t>
      </w:r>
      <w:r w:rsidR="003506B9">
        <w:rPr>
          <w:sz w:val="24"/>
          <w:szCs w:val="24"/>
          <w:u w:val="single"/>
        </w:rPr>
        <w:fldChar w:fldCharType="begin"/>
      </w:r>
      <w:r w:rsidR="003506B9">
        <w:instrText xml:space="preserve"> TC "</w:instrText>
      </w:r>
      <w:bookmarkStart w:id="21" w:name="_Toc394309048"/>
      <w:r w:rsidR="003506B9" w:rsidRPr="008742F7">
        <w:rPr>
          <w:sz w:val="24"/>
          <w:szCs w:val="24"/>
        </w:rPr>
        <w:instrText>D.</w:instrText>
      </w:r>
      <w:r w:rsidR="003506B9" w:rsidRPr="008742F7">
        <w:rPr>
          <w:sz w:val="24"/>
          <w:szCs w:val="24"/>
        </w:rPr>
        <w:tab/>
      </w:r>
      <w:r w:rsidR="003506B9" w:rsidRPr="008742F7">
        <w:rPr>
          <w:sz w:val="24"/>
          <w:szCs w:val="24"/>
          <w:u w:val="single"/>
        </w:rPr>
        <w:instrText>Inclusion of ACR and CER Revenue in the 5% DSIC Cap</w:instrText>
      </w:r>
      <w:bookmarkEnd w:id="21"/>
      <w:r w:rsidR="003506B9">
        <w:instrText xml:space="preserve">" \f C \l "2" </w:instrText>
      </w:r>
      <w:r w:rsidR="003506B9">
        <w:rPr>
          <w:sz w:val="24"/>
          <w:szCs w:val="24"/>
          <w:u w:val="single"/>
        </w:rPr>
        <w:fldChar w:fldCharType="end"/>
      </w:r>
    </w:p>
    <w:p w:rsidR="00103F99" w:rsidRPr="00B20BE9" w:rsidRDefault="00103F99" w:rsidP="00930240">
      <w:pPr>
        <w:pStyle w:val="BodyText"/>
        <w:jc w:val="left"/>
        <w:rPr>
          <w:sz w:val="24"/>
          <w:szCs w:val="24"/>
          <w:u w:val="single"/>
        </w:rPr>
      </w:pPr>
    </w:p>
    <w:p w:rsidR="00103F99" w:rsidRPr="00B20BE9" w:rsidRDefault="00103F99" w:rsidP="003506B9">
      <w:pPr>
        <w:pStyle w:val="BodyText"/>
        <w:ind w:left="720"/>
        <w:jc w:val="left"/>
        <w:rPr>
          <w:sz w:val="24"/>
          <w:szCs w:val="24"/>
          <w:u w:val="single"/>
        </w:rPr>
      </w:pPr>
      <w:r w:rsidRPr="00B20BE9">
        <w:rPr>
          <w:sz w:val="24"/>
          <w:szCs w:val="24"/>
        </w:rPr>
        <w:t>1.</w:t>
      </w:r>
      <w:r w:rsidRPr="00B20BE9">
        <w:rPr>
          <w:sz w:val="24"/>
          <w:szCs w:val="24"/>
        </w:rPr>
        <w:tab/>
      </w:r>
      <w:r w:rsidRPr="00B20BE9">
        <w:rPr>
          <w:sz w:val="24"/>
          <w:szCs w:val="24"/>
          <w:u w:val="single"/>
        </w:rPr>
        <w:t>PPLICA Position</w:t>
      </w:r>
      <w:r w:rsidR="003506B9">
        <w:rPr>
          <w:sz w:val="24"/>
          <w:szCs w:val="24"/>
          <w:u w:val="single"/>
        </w:rPr>
        <w:fldChar w:fldCharType="begin"/>
      </w:r>
      <w:r w:rsidR="003506B9">
        <w:instrText xml:space="preserve"> TC "</w:instrText>
      </w:r>
      <w:bookmarkStart w:id="22" w:name="_Toc394309049"/>
      <w:r w:rsidR="003506B9" w:rsidRPr="008742F7">
        <w:rPr>
          <w:sz w:val="24"/>
          <w:szCs w:val="24"/>
        </w:rPr>
        <w:instrText>1.</w:instrText>
      </w:r>
      <w:r w:rsidR="003506B9" w:rsidRPr="008742F7">
        <w:rPr>
          <w:sz w:val="24"/>
          <w:szCs w:val="24"/>
        </w:rPr>
        <w:tab/>
      </w:r>
      <w:r w:rsidR="003506B9" w:rsidRPr="008742F7">
        <w:rPr>
          <w:sz w:val="24"/>
          <w:szCs w:val="24"/>
          <w:u w:val="single"/>
        </w:rPr>
        <w:instrText>PPLICA Position</w:instrText>
      </w:r>
      <w:bookmarkEnd w:id="22"/>
      <w:r w:rsidR="003506B9">
        <w:instrText xml:space="preserve">" \f C \l "3" </w:instrText>
      </w:r>
      <w:r w:rsidR="003506B9">
        <w:rPr>
          <w:sz w:val="24"/>
          <w:szCs w:val="24"/>
          <w:u w:val="single"/>
        </w:rPr>
        <w:fldChar w:fldCharType="end"/>
      </w:r>
    </w:p>
    <w:p w:rsidR="00F77537" w:rsidRPr="00B20BE9" w:rsidRDefault="00F77537" w:rsidP="00930240">
      <w:pPr>
        <w:pStyle w:val="BodyText"/>
        <w:jc w:val="left"/>
        <w:rPr>
          <w:sz w:val="24"/>
          <w:szCs w:val="24"/>
          <w:u w:val="single"/>
        </w:rPr>
      </w:pPr>
    </w:p>
    <w:p w:rsidR="00626773" w:rsidRPr="00B20BE9" w:rsidRDefault="00F77537" w:rsidP="00930240">
      <w:pPr>
        <w:pStyle w:val="BodyText"/>
        <w:jc w:val="left"/>
        <w:rPr>
          <w:sz w:val="24"/>
          <w:szCs w:val="24"/>
        </w:rPr>
      </w:pPr>
      <w:r w:rsidRPr="00B20BE9">
        <w:rPr>
          <w:sz w:val="24"/>
          <w:szCs w:val="24"/>
        </w:rPr>
        <w:tab/>
      </w:r>
      <w:r w:rsidRPr="00B20BE9">
        <w:rPr>
          <w:sz w:val="24"/>
          <w:szCs w:val="24"/>
        </w:rPr>
        <w:tab/>
        <w:t xml:space="preserve">In its Main Brief, </w:t>
      </w:r>
      <w:r w:rsidR="009E5EE1" w:rsidRPr="00B20BE9">
        <w:rPr>
          <w:sz w:val="24"/>
          <w:szCs w:val="24"/>
        </w:rPr>
        <w:t xml:space="preserve">PPLICA took issue with PPL’s inclusion of ACR and CER revenues within the 5% </w:t>
      </w:r>
      <w:r w:rsidR="00626773" w:rsidRPr="00B20BE9">
        <w:rPr>
          <w:sz w:val="24"/>
          <w:szCs w:val="24"/>
        </w:rPr>
        <w:t>cap that cannot be exceeded in an EDC’s DSIC.  This 5% cap is set forth at 66 Pa.C.S. § 1358(a)(</w:t>
      </w:r>
      <w:r w:rsidR="00A27E45" w:rsidRPr="00B20BE9">
        <w:rPr>
          <w:sz w:val="24"/>
          <w:szCs w:val="24"/>
        </w:rPr>
        <w:t>1</w:t>
      </w:r>
      <w:r w:rsidR="00626773" w:rsidRPr="00B20BE9">
        <w:rPr>
          <w:sz w:val="24"/>
          <w:szCs w:val="24"/>
        </w:rPr>
        <w:t>) of the Code as follows:</w:t>
      </w:r>
    </w:p>
    <w:p w:rsidR="00626773" w:rsidRPr="00B20BE9" w:rsidRDefault="00626773" w:rsidP="00930240">
      <w:pPr>
        <w:pStyle w:val="BodyText"/>
        <w:jc w:val="left"/>
        <w:rPr>
          <w:sz w:val="24"/>
          <w:szCs w:val="24"/>
        </w:rPr>
      </w:pPr>
    </w:p>
    <w:p w:rsidR="00626773" w:rsidRPr="00B20BE9" w:rsidRDefault="00626773" w:rsidP="00626773">
      <w:pPr>
        <w:pStyle w:val="BodyText"/>
        <w:spacing w:line="240" w:lineRule="auto"/>
        <w:ind w:left="1440" w:right="1440"/>
        <w:jc w:val="left"/>
        <w:rPr>
          <w:spacing w:val="-3"/>
          <w:sz w:val="24"/>
          <w:szCs w:val="24"/>
        </w:rPr>
      </w:pPr>
      <w:r w:rsidRPr="00B20BE9">
        <w:rPr>
          <w:spacing w:val="-3"/>
          <w:sz w:val="24"/>
          <w:szCs w:val="24"/>
        </w:rPr>
        <w:t>Except as provided under paragraph (2) [relating to water utilities], the distribution system improvement charge may not exceed 5% of the amount billed to customers under the . . . distribution rates of the electric distribution company… .</w:t>
      </w:r>
    </w:p>
    <w:p w:rsidR="00626773" w:rsidRPr="00B20BE9" w:rsidRDefault="00626773" w:rsidP="00626773">
      <w:pPr>
        <w:pStyle w:val="BodyText"/>
        <w:spacing w:line="240" w:lineRule="auto"/>
        <w:ind w:left="1440" w:right="1440"/>
        <w:jc w:val="left"/>
        <w:rPr>
          <w:spacing w:val="-3"/>
          <w:sz w:val="24"/>
          <w:szCs w:val="24"/>
        </w:rPr>
      </w:pPr>
    </w:p>
    <w:p w:rsidR="006C7601" w:rsidRPr="00B20BE9" w:rsidRDefault="00B10963" w:rsidP="00CE3284">
      <w:pPr>
        <w:pStyle w:val="BodyText"/>
        <w:jc w:val="left"/>
        <w:rPr>
          <w:spacing w:val="-3"/>
          <w:sz w:val="24"/>
          <w:szCs w:val="24"/>
        </w:rPr>
      </w:pPr>
      <w:r w:rsidRPr="00B20BE9">
        <w:rPr>
          <w:spacing w:val="-3"/>
          <w:sz w:val="24"/>
          <w:szCs w:val="24"/>
        </w:rPr>
        <w:t xml:space="preserve">The Commission in its </w:t>
      </w:r>
      <w:r w:rsidRPr="00B20BE9">
        <w:rPr>
          <w:i/>
          <w:spacing w:val="-3"/>
          <w:sz w:val="24"/>
          <w:szCs w:val="24"/>
        </w:rPr>
        <w:t>Final Implementation Order</w:t>
      </w:r>
      <w:r w:rsidR="00CE3284" w:rsidRPr="00B20BE9">
        <w:rPr>
          <w:spacing w:val="-3"/>
          <w:sz w:val="24"/>
          <w:szCs w:val="24"/>
        </w:rPr>
        <w:t>, Model Tariff, d</w:t>
      </w:r>
      <w:r w:rsidRPr="00B20BE9">
        <w:rPr>
          <w:spacing w:val="-3"/>
          <w:sz w:val="24"/>
          <w:szCs w:val="24"/>
        </w:rPr>
        <w:t>efined distribution rates</w:t>
      </w:r>
      <w:r w:rsidR="00305F2A" w:rsidRPr="00B20BE9">
        <w:rPr>
          <w:spacing w:val="-3"/>
          <w:sz w:val="24"/>
          <w:szCs w:val="24"/>
        </w:rPr>
        <w:t xml:space="preserve"> to include “applicable </w:t>
      </w:r>
      <w:r w:rsidR="00A27E45" w:rsidRPr="00B20BE9">
        <w:rPr>
          <w:spacing w:val="-3"/>
          <w:sz w:val="24"/>
          <w:szCs w:val="24"/>
        </w:rPr>
        <w:t>clauses</w:t>
      </w:r>
      <w:r w:rsidR="00CE3284" w:rsidRPr="00B20BE9">
        <w:rPr>
          <w:spacing w:val="-3"/>
          <w:sz w:val="24"/>
          <w:szCs w:val="24"/>
        </w:rPr>
        <w:t xml:space="preserve"> and </w:t>
      </w:r>
      <w:r w:rsidR="00A27E45" w:rsidRPr="00B20BE9">
        <w:rPr>
          <w:spacing w:val="-3"/>
          <w:sz w:val="24"/>
          <w:szCs w:val="24"/>
        </w:rPr>
        <w:t>riders</w:t>
      </w:r>
      <w:r w:rsidR="00A15689">
        <w:rPr>
          <w:spacing w:val="-3"/>
          <w:sz w:val="24"/>
          <w:szCs w:val="24"/>
        </w:rPr>
        <w:t>.”</w:t>
      </w:r>
    </w:p>
    <w:p w:rsidR="006C7601" w:rsidRPr="00B20BE9" w:rsidRDefault="006C7601" w:rsidP="00CE3284">
      <w:pPr>
        <w:pStyle w:val="BodyText"/>
        <w:jc w:val="left"/>
        <w:rPr>
          <w:spacing w:val="-3"/>
          <w:sz w:val="24"/>
          <w:szCs w:val="24"/>
        </w:rPr>
      </w:pPr>
    </w:p>
    <w:p w:rsidR="00626773" w:rsidRPr="00B20BE9" w:rsidRDefault="006C7601" w:rsidP="00CE3284">
      <w:pPr>
        <w:pStyle w:val="BodyText"/>
        <w:jc w:val="left"/>
        <w:rPr>
          <w:spacing w:val="-3"/>
          <w:sz w:val="24"/>
          <w:szCs w:val="24"/>
        </w:rPr>
      </w:pPr>
      <w:r w:rsidRPr="00B20BE9">
        <w:rPr>
          <w:spacing w:val="-3"/>
          <w:sz w:val="24"/>
          <w:szCs w:val="24"/>
        </w:rPr>
        <w:tab/>
      </w:r>
      <w:r w:rsidRPr="00B20BE9">
        <w:rPr>
          <w:spacing w:val="-3"/>
          <w:sz w:val="24"/>
          <w:szCs w:val="24"/>
        </w:rPr>
        <w:tab/>
      </w:r>
      <w:r w:rsidR="00CE3284" w:rsidRPr="00B20BE9">
        <w:rPr>
          <w:spacing w:val="-3"/>
          <w:sz w:val="24"/>
          <w:szCs w:val="24"/>
        </w:rPr>
        <w:t>PPLICA’s witness Ric</w:t>
      </w:r>
      <w:r w:rsidR="00A15689">
        <w:rPr>
          <w:spacing w:val="-3"/>
          <w:sz w:val="24"/>
          <w:szCs w:val="24"/>
        </w:rPr>
        <w:t>hard Baudino further observed:</w:t>
      </w:r>
    </w:p>
    <w:p w:rsidR="00626773" w:rsidRPr="00B20BE9" w:rsidRDefault="00626773" w:rsidP="00A15689">
      <w:pPr>
        <w:pStyle w:val="BodyText"/>
        <w:ind w:left="1440" w:right="1440"/>
        <w:jc w:val="left"/>
        <w:rPr>
          <w:spacing w:val="-3"/>
          <w:sz w:val="24"/>
          <w:szCs w:val="24"/>
        </w:rPr>
      </w:pPr>
    </w:p>
    <w:p w:rsidR="00CE3284" w:rsidRPr="00B20BE9" w:rsidRDefault="00CE3284" w:rsidP="00626773">
      <w:pPr>
        <w:pStyle w:val="BodyText"/>
        <w:spacing w:line="240" w:lineRule="auto"/>
        <w:ind w:left="1440" w:right="1440"/>
        <w:jc w:val="left"/>
        <w:rPr>
          <w:spacing w:val="-3"/>
          <w:sz w:val="24"/>
          <w:szCs w:val="24"/>
        </w:rPr>
      </w:pPr>
      <w:r w:rsidRPr="00B20BE9">
        <w:rPr>
          <w:spacing w:val="-3"/>
          <w:sz w:val="24"/>
          <w:szCs w:val="24"/>
        </w:rPr>
        <w:t>“</w:t>
      </w:r>
      <w:r w:rsidR="00626773" w:rsidRPr="00B20BE9">
        <w:rPr>
          <w:spacing w:val="-3"/>
          <w:sz w:val="24"/>
          <w:szCs w:val="24"/>
        </w:rPr>
        <w:t>Distribution rates" are paid by customers for "distribution service," which is transmitting electricity to customers at distrib</w:t>
      </w:r>
      <w:r w:rsidRPr="00B20BE9">
        <w:rPr>
          <w:spacing w:val="-3"/>
          <w:sz w:val="24"/>
          <w:szCs w:val="24"/>
        </w:rPr>
        <w:t>ution voltages.  In my opinion, some of PPL’s riders are unrelated to PPL’s distribution services and should not be considered applicable riders for purposes of est</w:t>
      </w:r>
      <w:r w:rsidR="00A15689">
        <w:rPr>
          <w:spacing w:val="-3"/>
          <w:sz w:val="24"/>
          <w:szCs w:val="24"/>
        </w:rPr>
        <w:t>ablishing PPL’s DSIC revenues.</w:t>
      </w:r>
    </w:p>
    <w:p w:rsidR="00CE3284" w:rsidRPr="00B20BE9" w:rsidRDefault="00CE3284" w:rsidP="00626773">
      <w:pPr>
        <w:pStyle w:val="BodyText"/>
        <w:spacing w:line="240" w:lineRule="auto"/>
        <w:ind w:left="1440" w:right="1440"/>
        <w:jc w:val="left"/>
        <w:rPr>
          <w:spacing w:val="-3"/>
          <w:sz w:val="24"/>
          <w:szCs w:val="24"/>
        </w:rPr>
      </w:pPr>
    </w:p>
    <w:p w:rsidR="0029670B" w:rsidRPr="00B20BE9" w:rsidRDefault="00CE3284" w:rsidP="00CE3284">
      <w:pPr>
        <w:pStyle w:val="BodyText"/>
        <w:jc w:val="left"/>
        <w:rPr>
          <w:spacing w:val="-3"/>
          <w:sz w:val="24"/>
          <w:szCs w:val="24"/>
        </w:rPr>
      </w:pPr>
      <w:r w:rsidRPr="00B20BE9">
        <w:rPr>
          <w:spacing w:val="-3"/>
          <w:sz w:val="24"/>
          <w:szCs w:val="24"/>
        </w:rPr>
        <w:t>PPLICA St. No. 1, p. 5.</w:t>
      </w:r>
    </w:p>
    <w:p w:rsidR="0029670B" w:rsidRPr="00B20BE9" w:rsidRDefault="0029670B" w:rsidP="00CE3284">
      <w:pPr>
        <w:pStyle w:val="BodyText"/>
        <w:jc w:val="left"/>
        <w:rPr>
          <w:spacing w:val="-3"/>
          <w:sz w:val="24"/>
          <w:szCs w:val="24"/>
        </w:rPr>
      </w:pPr>
    </w:p>
    <w:p w:rsidR="0029670B" w:rsidRPr="00B20BE9" w:rsidRDefault="0029670B" w:rsidP="0029670B">
      <w:pPr>
        <w:rPr>
          <w:sz w:val="24"/>
          <w:szCs w:val="24"/>
        </w:rPr>
      </w:pPr>
      <w:r w:rsidRPr="00B20BE9">
        <w:rPr>
          <w:spacing w:val="-3"/>
          <w:sz w:val="24"/>
          <w:szCs w:val="24"/>
        </w:rPr>
        <w:tab/>
      </w:r>
      <w:r w:rsidRPr="00B20BE9">
        <w:rPr>
          <w:spacing w:val="-3"/>
          <w:sz w:val="24"/>
          <w:szCs w:val="24"/>
        </w:rPr>
        <w:tab/>
        <w:t xml:space="preserve">Regarding the riders which are not related to distribution service, </w:t>
      </w:r>
      <w:r w:rsidR="006F10B7" w:rsidRPr="00B20BE9">
        <w:rPr>
          <w:spacing w:val="-3"/>
          <w:sz w:val="24"/>
          <w:szCs w:val="24"/>
        </w:rPr>
        <w:t>PPLICA</w:t>
      </w:r>
      <w:r w:rsidRPr="00B20BE9">
        <w:rPr>
          <w:spacing w:val="-3"/>
          <w:sz w:val="24"/>
          <w:szCs w:val="24"/>
        </w:rPr>
        <w:t xml:space="preserve"> specifically identified the ACR and CER riders.</w:t>
      </w:r>
      <w:r w:rsidRPr="00B20BE9">
        <w:rPr>
          <w:sz w:val="24"/>
          <w:szCs w:val="24"/>
        </w:rPr>
        <w:t xml:space="preserve">  </w:t>
      </w:r>
      <w:r w:rsidR="006F10B7" w:rsidRPr="00B20BE9">
        <w:rPr>
          <w:sz w:val="24"/>
          <w:szCs w:val="24"/>
        </w:rPr>
        <w:t xml:space="preserve">According to PPLICA, the </w:t>
      </w:r>
      <w:r w:rsidRPr="00B20BE9">
        <w:rPr>
          <w:sz w:val="24"/>
          <w:szCs w:val="24"/>
        </w:rPr>
        <w:t xml:space="preserve">underlying purpose of </w:t>
      </w:r>
      <w:r w:rsidR="006F10B7" w:rsidRPr="00B20BE9">
        <w:rPr>
          <w:sz w:val="24"/>
          <w:szCs w:val="24"/>
        </w:rPr>
        <w:t xml:space="preserve">both </w:t>
      </w:r>
      <w:r w:rsidRPr="00B20BE9">
        <w:rPr>
          <w:sz w:val="24"/>
          <w:szCs w:val="24"/>
        </w:rPr>
        <w:t xml:space="preserve">the ACR and CER </w:t>
      </w:r>
      <w:r w:rsidR="006F10B7" w:rsidRPr="00B20BE9">
        <w:rPr>
          <w:sz w:val="24"/>
          <w:szCs w:val="24"/>
        </w:rPr>
        <w:t xml:space="preserve">is directed towards </w:t>
      </w:r>
      <w:r w:rsidRPr="00B20BE9">
        <w:rPr>
          <w:sz w:val="24"/>
          <w:szCs w:val="24"/>
        </w:rPr>
        <w:t xml:space="preserve">non-distribution services.  </w:t>
      </w:r>
      <w:r w:rsidR="006F10B7" w:rsidRPr="00B20BE9">
        <w:rPr>
          <w:sz w:val="24"/>
          <w:szCs w:val="24"/>
        </w:rPr>
        <w:t xml:space="preserve">The ACR </w:t>
      </w:r>
      <w:r w:rsidRPr="00B20BE9">
        <w:rPr>
          <w:sz w:val="24"/>
          <w:szCs w:val="24"/>
        </w:rPr>
        <w:t xml:space="preserve">recovers the Company's costs of administering </w:t>
      </w:r>
      <w:r w:rsidR="006C7601" w:rsidRPr="00B20BE9">
        <w:rPr>
          <w:sz w:val="24"/>
          <w:szCs w:val="24"/>
        </w:rPr>
        <w:t>Energy Efficiency and Conservation (</w:t>
      </w:r>
      <w:r w:rsidRPr="00B20BE9">
        <w:rPr>
          <w:sz w:val="24"/>
          <w:szCs w:val="24"/>
        </w:rPr>
        <w:t>EE&amp;C</w:t>
      </w:r>
      <w:r w:rsidR="006C7601" w:rsidRPr="00B20BE9">
        <w:rPr>
          <w:sz w:val="24"/>
          <w:szCs w:val="24"/>
        </w:rPr>
        <w:t>)</w:t>
      </w:r>
      <w:r w:rsidRPr="00B20BE9">
        <w:rPr>
          <w:sz w:val="24"/>
          <w:szCs w:val="24"/>
        </w:rPr>
        <w:t xml:space="preserve"> programs to meet statutory consumption benchmarks.</w:t>
      </w:r>
      <w:r w:rsidRPr="00B20BE9">
        <w:rPr>
          <w:sz w:val="24"/>
          <w:szCs w:val="24"/>
          <w:vertAlign w:val="superscript"/>
        </w:rPr>
        <w:footnoteReference w:id="18"/>
      </w:r>
      <w:r w:rsidRPr="00B20BE9">
        <w:rPr>
          <w:sz w:val="24"/>
          <w:szCs w:val="24"/>
        </w:rPr>
        <w:t xml:space="preserve">  However, as observed by </w:t>
      </w:r>
      <w:r w:rsidR="006F10B7" w:rsidRPr="00B20BE9">
        <w:rPr>
          <w:sz w:val="24"/>
          <w:szCs w:val="24"/>
        </w:rPr>
        <w:t xml:space="preserve">PPLICA’s witness </w:t>
      </w:r>
      <w:r w:rsidRPr="00B20BE9">
        <w:rPr>
          <w:sz w:val="24"/>
          <w:szCs w:val="24"/>
        </w:rPr>
        <w:t>Mr. Baudino, "[t]hese charges recover expenses to fund rebates directed towards improvements, retrofits, and other program measures installed at end-user locations, not distribution plant."</w:t>
      </w:r>
      <w:r w:rsidRPr="00B20BE9">
        <w:rPr>
          <w:sz w:val="24"/>
          <w:szCs w:val="24"/>
          <w:vertAlign w:val="superscript"/>
        </w:rPr>
        <w:footnoteReference w:id="19"/>
      </w:r>
      <w:r w:rsidRPr="00B20BE9">
        <w:rPr>
          <w:sz w:val="24"/>
          <w:szCs w:val="24"/>
        </w:rPr>
        <w:t xml:space="preserve">  Similarly, the CER recovers retail enhancement programs designed to develop competitive generation supply markets.</w:t>
      </w:r>
      <w:r w:rsidRPr="00B20BE9">
        <w:rPr>
          <w:sz w:val="24"/>
          <w:szCs w:val="24"/>
          <w:vertAlign w:val="superscript"/>
        </w:rPr>
        <w:footnoteReference w:id="20"/>
      </w:r>
      <w:r w:rsidRPr="00B20BE9">
        <w:rPr>
          <w:sz w:val="24"/>
          <w:szCs w:val="24"/>
        </w:rPr>
        <w:t xml:space="preserve">  The underlying purposes of each rider </w:t>
      </w:r>
      <w:r w:rsidR="004005EB" w:rsidRPr="00B20BE9">
        <w:rPr>
          <w:sz w:val="24"/>
          <w:szCs w:val="24"/>
        </w:rPr>
        <w:t>are</w:t>
      </w:r>
      <w:r w:rsidRPr="00B20BE9">
        <w:rPr>
          <w:sz w:val="24"/>
          <w:szCs w:val="24"/>
        </w:rPr>
        <w:t xml:space="preserve"> not sufficiently tied to activities or services concerning PPL's distribution plant</w:t>
      </w:r>
      <w:r w:rsidR="00AB3519" w:rsidRPr="00B20BE9">
        <w:rPr>
          <w:sz w:val="24"/>
          <w:szCs w:val="24"/>
        </w:rPr>
        <w:t>, according to PPLICA</w:t>
      </w:r>
      <w:r w:rsidR="004005EB" w:rsidRPr="00B20BE9">
        <w:rPr>
          <w:sz w:val="24"/>
          <w:szCs w:val="24"/>
        </w:rPr>
        <w:t>, and therefore, these revenues should not be counted towards determining the 5% cap</w:t>
      </w:r>
      <w:r w:rsidRPr="00B20BE9">
        <w:rPr>
          <w:sz w:val="24"/>
          <w:szCs w:val="24"/>
        </w:rPr>
        <w:t>.</w:t>
      </w:r>
      <w:r w:rsidRPr="00B20BE9">
        <w:rPr>
          <w:sz w:val="24"/>
          <w:szCs w:val="24"/>
          <w:vertAlign w:val="superscript"/>
        </w:rPr>
        <w:footnoteReference w:id="21"/>
      </w:r>
      <w:r w:rsidR="006C7601" w:rsidRPr="00B20BE9">
        <w:rPr>
          <w:sz w:val="24"/>
          <w:szCs w:val="24"/>
        </w:rPr>
        <w:t xml:space="preserve">  PPLICA M.B., pp.</w:t>
      </w:r>
      <w:r w:rsidR="005351A1">
        <w:rPr>
          <w:sz w:val="24"/>
          <w:szCs w:val="24"/>
        </w:rPr>
        <w:t> </w:t>
      </w:r>
      <w:r w:rsidR="006C7601" w:rsidRPr="00B20BE9">
        <w:rPr>
          <w:sz w:val="24"/>
          <w:szCs w:val="24"/>
        </w:rPr>
        <w:t>12</w:t>
      </w:r>
      <w:r w:rsidR="005351A1">
        <w:rPr>
          <w:sz w:val="24"/>
          <w:szCs w:val="24"/>
        </w:rPr>
        <w:noBreakHyphen/>
      </w:r>
      <w:r w:rsidR="006C7601" w:rsidRPr="00B20BE9">
        <w:rPr>
          <w:sz w:val="24"/>
          <w:szCs w:val="24"/>
        </w:rPr>
        <w:t>16.</w:t>
      </w:r>
    </w:p>
    <w:p w:rsidR="00F77537" w:rsidRPr="00B20BE9" w:rsidRDefault="00F77537" w:rsidP="00CE3284">
      <w:pPr>
        <w:pStyle w:val="BodyText"/>
        <w:jc w:val="left"/>
        <w:rPr>
          <w:sz w:val="24"/>
          <w:szCs w:val="24"/>
        </w:rPr>
      </w:pPr>
    </w:p>
    <w:p w:rsidR="00575BD9" w:rsidRPr="00B20BE9" w:rsidRDefault="006C7601" w:rsidP="00062E2F">
      <w:pPr>
        <w:pStyle w:val="BodyText"/>
        <w:jc w:val="left"/>
        <w:rPr>
          <w:sz w:val="24"/>
          <w:szCs w:val="24"/>
        </w:rPr>
      </w:pPr>
      <w:r w:rsidRPr="00B20BE9">
        <w:rPr>
          <w:sz w:val="24"/>
          <w:szCs w:val="24"/>
        </w:rPr>
        <w:tab/>
      </w:r>
      <w:r w:rsidRPr="00B20BE9">
        <w:rPr>
          <w:sz w:val="24"/>
          <w:szCs w:val="24"/>
        </w:rPr>
        <w:tab/>
        <w:t xml:space="preserve">PPLICA further </w:t>
      </w:r>
      <w:r w:rsidR="004352C3" w:rsidRPr="00B20BE9">
        <w:rPr>
          <w:sz w:val="24"/>
          <w:szCs w:val="24"/>
        </w:rPr>
        <w:t>contended</w:t>
      </w:r>
      <w:r w:rsidRPr="00B20BE9">
        <w:rPr>
          <w:sz w:val="24"/>
          <w:szCs w:val="24"/>
        </w:rPr>
        <w:t xml:space="preserve"> that PPL had calculated its DSIC based on the assumption that a charge is “applicable”</w:t>
      </w:r>
      <w:r w:rsidR="001A5E4A" w:rsidRPr="00B20BE9">
        <w:rPr>
          <w:sz w:val="24"/>
          <w:szCs w:val="24"/>
        </w:rPr>
        <w:t xml:space="preserve"> for purposes of the </w:t>
      </w:r>
      <w:r w:rsidR="004352C3" w:rsidRPr="00B20BE9">
        <w:rPr>
          <w:sz w:val="24"/>
          <w:szCs w:val="24"/>
        </w:rPr>
        <w:t xml:space="preserve">5% cap </w:t>
      </w:r>
      <w:r w:rsidR="001A5E4A" w:rsidRPr="00B20BE9">
        <w:rPr>
          <w:sz w:val="24"/>
          <w:szCs w:val="24"/>
        </w:rPr>
        <w:t xml:space="preserve">DSIC </w:t>
      </w:r>
      <w:r w:rsidR="004352C3" w:rsidRPr="00B20BE9">
        <w:rPr>
          <w:sz w:val="24"/>
          <w:szCs w:val="24"/>
        </w:rPr>
        <w:t>so long as it is received from distribution customers.  It interpreted PPL’s position as one that would include any revenue received from non-bypassable charges within the DSIC calculation.  See, PPL St</w:t>
      </w:r>
      <w:r w:rsidR="00485EC6">
        <w:rPr>
          <w:sz w:val="24"/>
          <w:szCs w:val="24"/>
        </w:rPr>
        <w:t>. No. 3-S, p. 5.</w:t>
      </w:r>
    </w:p>
    <w:p w:rsidR="00F77537" w:rsidRPr="00B20BE9" w:rsidRDefault="00F77537" w:rsidP="004005EB">
      <w:pPr>
        <w:rPr>
          <w:sz w:val="24"/>
          <w:szCs w:val="24"/>
        </w:rPr>
      </w:pPr>
    </w:p>
    <w:p w:rsidR="00F77537" w:rsidRPr="00B20BE9" w:rsidRDefault="00F77537" w:rsidP="00F77537">
      <w:pPr>
        <w:rPr>
          <w:sz w:val="24"/>
          <w:szCs w:val="24"/>
        </w:rPr>
      </w:pPr>
      <w:r w:rsidRPr="00B20BE9">
        <w:rPr>
          <w:sz w:val="24"/>
          <w:szCs w:val="24"/>
        </w:rPr>
        <w:tab/>
      </w:r>
      <w:r w:rsidR="004352C3" w:rsidRPr="00B20BE9">
        <w:rPr>
          <w:sz w:val="24"/>
          <w:szCs w:val="24"/>
        </w:rPr>
        <w:tab/>
      </w:r>
      <w:r w:rsidRPr="00B20BE9">
        <w:rPr>
          <w:sz w:val="24"/>
          <w:szCs w:val="24"/>
        </w:rPr>
        <w:t>PPLICA submit</w:t>
      </w:r>
      <w:r w:rsidR="004352C3" w:rsidRPr="00B20BE9">
        <w:rPr>
          <w:sz w:val="24"/>
          <w:szCs w:val="24"/>
        </w:rPr>
        <w:t>ted</w:t>
      </w:r>
      <w:r w:rsidRPr="00B20BE9">
        <w:rPr>
          <w:sz w:val="24"/>
          <w:szCs w:val="24"/>
        </w:rPr>
        <w:t xml:space="preserve"> that a reasonable application of Act 11 in conjunction with the Commission's statutory obligation to ensure </w:t>
      </w:r>
      <w:r w:rsidR="00C03C45" w:rsidRPr="00B20BE9">
        <w:rPr>
          <w:sz w:val="24"/>
          <w:szCs w:val="24"/>
        </w:rPr>
        <w:t xml:space="preserve">just, </w:t>
      </w:r>
      <w:r w:rsidR="004352C3" w:rsidRPr="00B20BE9">
        <w:rPr>
          <w:sz w:val="24"/>
          <w:szCs w:val="24"/>
        </w:rPr>
        <w:t xml:space="preserve">reasonable and nondiscriminatory rates requires a more disciplined and targeted approach. </w:t>
      </w:r>
      <w:r w:rsidR="008A66E2">
        <w:rPr>
          <w:sz w:val="24"/>
          <w:szCs w:val="24"/>
        </w:rPr>
        <w:t xml:space="preserve"> </w:t>
      </w:r>
      <w:r w:rsidR="004352C3" w:rsidRPr="00B20BE9">
        <w:rPr>
          <w:sz w:val="24"/>
          <w:szCs w:val="24"/>
        </w:rPr>
        <w:t>PPLICA w</w:t>
      </w:r>
      <w:r w:rsidRPr="00B20BE9">
        <w:rPr>
          <w:sz w:val="24"/>
          <w:szCs w:val="24"/>
        </w:rPr>
        <w:t>itness Baudino described the concerns with PPL's overbroad methodology:</w:t>
      </w:r>
    </w:p>
    <w:p w:rsidR="004352C3" w:rsidRPr="00B20BE9" w:rsidRDefault="004352C3" w:rsidP="00F77537">
      <w:pPr>
        <w:ind w:left="1440" w:right="720"/>
        <w:rPr>
          <w:sz w:val="24"/>
          <w:szCs w:val="24"/>
        </w:rPr>
      </w:pPr>
    </w:p>
    <w:p w:rsidR="00F77537" w:rsidRPr="00B20BE9" w:rsidRDefault="004352C3" w:rsidP="004352C3">
      <w:pPr>
        <w:spacing w:line="240" w:lineRule="auto"/>
        <w:ind w:left="1440" w:right="1440"/>
        <w:rPr>
          <w:sz w:val="24"/>
          <w:szCs w:val="24"/>
        </w:rPr>
      </w:pPr>
      <w:r w:rsidRPr="00B20BE9">
        <w:rPr>
          <w:sz w:val="24"/>
          <w:szCs w:val="24"/>
        </w:rPr>
        <w:t>U</w:t>
      </w:r>
      <w:r w:rsidR="00F77537" w:rsidRPr="00B20BE9">
        <w:rPr>
          <w:sz w:val="24"/>
          <w:szCs w:val="24"/>
        </w:rPr>
        <w:t>nder the proposed DSIC, any charge paid by distribution customers on a non-bypassable basis has been included in PPL's calculation of its DSIC cap.  This formula is overly broad.  In an unbundled rate environment, it is inappropriate to assume that all non-bypassable charges are for "distribution service."  Rather, the purpose of each rider must be considered individually.</w:t>
      </w:r>
      <w:r w:rsidR="00F77537" w:rsidRPr="00B20BE9">
        <w:rPr>
          <w:sz w:val="24"/>
          <w:szCs w:val="24"/>
          <w:vertAlign w:val="superscript"/>
        </w:rPr>
        <w:footnoteReference w:id="22"/>
      </w:r>
    </w:p>
    <w:p w:rsidR="00F77537" w:rsidRPr="00B20BE9" w:rsidRDefault="00F77537" w:rsidP="00F77537">
      <w:pPr>
        <w:rPr>
          <w:sz w:val="24"/>
          <w:szCs w:val="24"/>
        </w:rPr>
      </w:pPr>
    </w:p>
    <w:p w:rsidR="000677C5" w:rsidRPr="00B20BE9" w:rsidRDefault="004352C3" w:rsidP="00F77537">
      <w:pPr>
        <w:rPr>
          <w:sz w:val="24"/>
          <w:szCs w:val="24"/>
        </w:rPr>
      </w:pPr>
      <w:r w:rsidRPr="00B20BE9">
        <w:rPr>
          <w:sz w:val="24"/>
          <w:szCs w:val="24"/>
        </w:rPr>
        <w:tab/>
      </w:r>
      <w:r w:rsidRPr="00B20BE9">
        <w:rPr>
          <w:sz w:val="24"/>
          <w:szCs w:val="24"/>
        </w:rPr>
        <w:tab/>
        <w:t xml:space="preserve">PPLICA asserted that </w:t>
      </w:r>
      <w:r w:rsidR="00F77537" w:rsidRPr="00B20BE9">
        <w:rPr>
          <w:sz w:val="24"/>
          <w:szCs w:val="24"/>
        </w:rPr>
        <w:t>Mr. Baudino's observations</w:t>
      </w:r>
      <w:r w:rsidRPr="00B20BE9">
        <w:rPr>
          <w:sz w:val="24"/>
          <w:szCs w:val="24"/>
        </w:rPr>
        <w:t>, quoted above,</w:t>
      </w:r>
      <w:r w:rsidR="00F77537" w:rsidRPr="00B20BE9">
        <w:rPr>
          <w:sz w:val="24"/>
          <w:szCs w:val="24"/>
        </w:rPr>
        <w:t xml:space="preserve"> correspond with the overall purpos</w:t>
      </w:r>
      <w:r w:rsidR="00F721A4">
        <w:rPr>
          <w:sz w:val="24"/>
          <w:szCs w:val="24"/>
        </w:rPr>
        <w:t xml:space="preserve">e of a DSIC surcharge under Act </w:t>
      </w:r>
      <w:r w:rsidR="00F77537" w:rsidRPr="00B20BE9">
        <w:rPr>
          <w:sz w:val="24"/>
          <w:szCs w:val="24"/>
        </w:rPr>
        <w:t>11, which the General Assembly identified as to "provide an additional mechanism for a distribution system to recover costs related to the repair, improvement and replacement of eligible property."</w:t>
      </w:r>
      <w:r w:rsidR="00F77537" w:rsidRPr="00B20BE9">
        <w:rPr>
          <w:sz w:val="24"/>
          <w:szCs w:val="24"/>
          <w:vertAlign w:val="superscript"/>
        </w:rPr>
        <w:footnoteReference w:id="23"/>
      </w:r>
      <w:r w:rsidR="00F77537" w:rsidRPr="00B20BE9">
        <w:rPr>
          <w:sz w:val="24"/>
          <w:szCs w:val="24"/>
        </w:rPr>
        <w:t xml:space="preserve">  </w:t>
      </w:r>
      <w:r w:rsidR="00A27E45" w:rsidRPr="00B20BE9">
        <w:rPr>
          <w:sz w:val="24"/>
          <w:szCs w:val="24"/>
        </w:rPr>
        <w:t>PPLICA noted that Act 11</w:t>
      </w:r>
      <w:r w:rsidR="00F77537" w:rsidRPr="00B20BE9">
        <w:rPr>
          <w:sz w:val="24"/>
          <w:szCs w:val="24"/>
        </w:rPr>
        <w:t xml:space="preserve"> defines such eligible property as "[p]roperty that is part of a distribution system and eligible for repair, improvement and replacement of infrastructure under this subchapter.</w:t>
      </w:r>
      <w:r w:rsidR="00A27E45" w:rsidRPr="00B20BE9">
        <w:rPr>
          <w:sz w:val="24"/>
          <w:szCs w:val="24"/>
        </w:rPr>
        <w:t>”</w:t>
      </w:r>
      <w:r w:rsidR="00F77537" w:rsidRPr="00B20BE9">
        <w:rPr>
          <w:sz w:val="24"/>
          <w:szCs w:val="24"/>
          <w:vertAlign w:val="superscript"/>
        </w:rPr>
        <w:footnoteReference w:id="24"/>
      </w:r>
      <w:r w:rsidR="00F77537" w:rsidRPr="00B20BE9">
        <w:rPr>
          <w:sz w:val="24"/>
          <w:szCs w:val="24"/>
        </w:rPr>
        <w:t xml:space="preserve">  Accordingly, </w:t>
      </w:r>
      <w:r w:rsidR="00A27E45" w:rsidRPr="00B20BE9">
        <w:rPr>
          <w:sz w:val="24"/>
          <w:szCs w:val="24"/>
        </w:rPr>
        <w:t xml:space="preserve">PPLICA concluded that </w:t>
      </w:r>
      <w:r w:rsidR="004B3020" w:rsidRPr="00B20BE9">
        <w:rPr>
          <w:sz w:val="24"/>
          <w:szCs w:val="24"/>
        </w:rPr>
        <w:t xml:space="preserve">the </w:t>
      </w:r>
      <w:r w:rsidR="00F77537" w:rsidRPr="00B20BE9">
        <w:rPr>
          <w:sz w:val="24"/>
          <w:szCs w:val="24"/>
        </w:rPr>
        <w:t>Act</w:t>
      </w:r>
      <w:r w:rsidR="004B3020" w:rsidRPr="00B20BE9">
        <w:rPr>
          <w:sz w:val="24"/>
          <w:szCs w:val="24"/>
        </w:rPr>
        <w:t xml:space="preserve">’s </w:t>
      </w:r>
      <w:r w:rsidR="00F77537" w:rsidRPr="00B20BE9">
        <w:rPr>
          <w:sz w:val="24"/>
          <w:szCs w:val="24"/>
        </w:rPr>
        <w:t>limitation of DSIC revenue to</w:t>
      </w:r>
      <w:r w:rsidR="004B3020" w:rsidRPr="00B20BE9">
        <w:rPr>
          <w:sz w:val="24"/>
          <w:szCs w:val="24"/>
        </w:rPr>
        <w:t xml:space="preserve"> "applicable" rates </w:t>
      </w:r>
      <w:r w:rsidR="00F77537" w:rsidRPr="00B20BE9">
        <w:rPr>
          <w:sz w:val="24"/>
          <w:szCs w:val="24"/>
        </w:rPr>
        <w:t>should be applied to limit revenue included in the calculation of PPL's DSIC cap to rates and charges sufficiently</w:t>
      </w:r>
    </w:p>
    <w:p w:rsidR="00F77537" w:rsidRPr="00B20BE9" w:rsidRDefault="00F77537" w:rsidP="00F77537">
      <w:pPr>
        <w:rPr>
          <w:sz w:val="24"/>
          <w:szCs w:val="24"/>
        </w:rPr>
      </w:pPr>
      <w:r w:rsidRPr="00B20BE9">
        <w:rPr>
          <w:sz w:val="24"/>
          <w:szCs w:val="24"/>
        </w:rPr>
        <w:t>related to PPL's distribution services.</w:t>
      </w:r>
      <w:r w:rsidR="00E023E0" w:rsidRPr="00B20BE9">
        <w:rPr>
          <w:sz w:val="24"/>
          <w:szCs w:val="24"/>
        </w:rPr>
        <w:t xml:space="preserve">  PPLICA M.B., pp. 14-15.</w:t>
      </w:r>
    </w:p>
    <w:p w:rsidR="004B3020" w:rsidRPr="00B20BE9" w:rsidRDefault="004B3020" w:rsidP="00F77537">
      <w:pPr>
        <w:rPr>
          <w:sz w:val="24"/>
          <w:szCs w:val="24"/>
        </w:rPr>
      </w:pPr>
    </w:p>
    <w:p w:rsidR="00E023E0" w:rsidRPr="00B20BE9" w:rsidRDefault="00E023E0" w:rsidP="00F77537">
      <w:pPr>
        <w:rPr>
          <w:sz w:val="24"/>
          <w:szCs w:val="24"/>
        </w:rPr>
      </w:pPr>
      <w:r w:rsidRPr="00B20BE9">
        <w:rPr>
          <w:sz w:val="24"/>
          <w:szCs w:val="24"/>
        </w:rPr>
        <w:tab/>
      </w:r>
      <w:r w:rsidRPr="00B20BE9">
        <w:rPr>
          <w:sz w:val="24"/>
          <w:szCs w:val="24"/>
        </w:rPr>
        <w:tab/>
        <w:t xml:space="preserve">In response to PPL’s arguments in support of inclusion of ACR and CER revenues, PPLICA asserted that these contentions missed the mark and do not meet PPL’s burden of proving that these riders </w:t>
      </w:r>
      <w:r w:rsidR="00F77537" w:rsidRPr="00B20BE9">
        <w:rPr>
          <w:sz w:val="24"/>
          <w:szCs w:val="24"/>
        </w:rPr>
        <w:t>recover costs associat</w:t>
      </w:r>
      <w:r w:rsidR="00F721A4">
        <w:rPr>
          <w:sz w:val="24"/>
          <w:szCs w:val="24"/>
        </w:rPr>
        <w:t>ed with distribution services.</w:t>
      </w:r>
    </w:p>
    <w:p w:rsidR="00E023E0" w:rsidRPr="00B20BE9" w:rsidRDefault="00E023E0" w:rsidP="00F77537">
      <w:pPr>
        <w:rPr>
          <w:sz w:val="24"/>
          <w:szCs w:val="24"/>
        </w:rPr>
      </w:pPr>
    </w:p>
    <w:p w:rsidR="00596E84" w:rsidRPr="00B20BE9" w:rsidRDefault="009D0D91" w:rsidP="00596E84">
      <w:pPr>
        <w:rPr>
          <w:sz w:val="24"/>
          <w:szCs w:val="24"/>
        </w:rPr>
      </w:pPr>
      <w:r w:rsidRPr="00B20BE9">
        <w:rPr>
          <w:sz w:val="24"/>
          <w:szCs w:val="24"/>
        </w:rPr>
        <w:tab/>
      </w:r>
      <w:r w:rsidRPr="00B20BE9">
        <w:rPr>
          <w:sz w:val="24"/>
          <w:szCs w:val="24"/>
        </w:rPr>
        <w:tab/>
        <w:t xml:space="preserve">PPLICA </w:t>
      </w:r>
      <w:r w:rsidR="00E023E0" w:rsidRPr="00B20BE9">
        <w:rPr>
          <w:sz w:val="24"/>
          <w:szCs w:val="24"/>
        </w:rPr>
        <w:t xml:space="preserve">discounted PPL’s contention that it was drawing artificial and irrelevant distinctions between </w:t>
      </w:r>
      <w:r w:rsidR="00F77537" w:rsidRPr="00B20BE9">
        <w:rPr>
          <w:sz w:val="24"/>
          <w:szCs w:val="24"/>
        </w:rPr>
        <w:t>distribution revenues and non-bypassable revenues</w:t>
      </w:r>
      <w:r w:rsidR="00E023E0" w:rsidRPr="00B20BE9">
        <w:rPr>
          <w:sz w:val="24"/>
          <w:szCs w:val="24"/>
        </w:rPr>
        <w:t>,</w:t>
      </w:r>
      <w:r w:rsidR="00F77537" w:rsidRPr="00B20BE9">
        <w:rPr>
          <w:sz w:val="24"/>
          <w:szCs w:val="24"/>
          <w:vertAlign w:val="superscript"/>
        </w:rPr>
        <w:footnoteReference w:id="25"/>
      </w:r>
      <w:r w:rsidR="00E023E0" w:rsidRPr="00B20BE9">
        <w:rPr>
          <w:sz w:val="24"/>
          <w:szCs w:val="24"/>
        </w:rPr>
        <w:t xml:space="preserve"> and replied that it was drawing no su</w:t>
      </w:r>
      <w:r w:rsidR="00F77537" w:rsidRPr="00B20BE9">
        <w:rPr>
          <w:sz w:val="24"/>
          <w:szCs w:val="24"/>
        </w:rPr>
        <w:t xml:space="preserve">ch artificial or irrelevant distinctions.  </w:t>
      </w:r>
      <w:r w:rsidR="00E023E0" w:rsidRPr="00B20BE9">
        <w:rPr>
          <w:sz w:val="24"/>
          <w:szCs w:val="24"/>
        </w:rPr>
        <w:t xml:space="preserve">To the contrary, PPLICA asserted that its witness Richard </w:t>
      </w:r>
      <w:r w:rsidR="00F77537" w:rsidRPr="00B20BE9">
        <w:rPr>
          <w:sz w:val="24"/>
          <w:szCs w:val="24"/>
        </w:rPr>
        <w:t xml:space="preserve">Baudino </w:t>
      </w:r>
      <w:r w:rsidR="00E023E0" w:rsidRPr="00B20BE9">
        <w:rPr>
          <w:sz w:val="24"/>
          <w:szCs w:val="24"/>
        </w:rPr>
        <w:t>was encouraging</w:t>
      </w:r>
      <w:r w:rsidR="00F77537" w:rsidRPr="00B20BE9">
        <w:rPr>
          <w:sz w:val="24"/>
          <w:szCs w:val="24"/>
        </w:rPr>
        <w:t xml:space="preserve"> the Commission to take reasonable steps to examine the purpose of PPL's various riders and eliminate revenues unrelated to distribution service from the calculation of the DSIC application.</w:t>
      </w:r>
      <w:r w:rsidR="00F77537" w:rsidRPr="00B20BE9">
        <w:rPr>
          <w:sz w:val="24"/>
          <w:szCs w:val="24"/>
          <w:vertAlign w:val="superscript"/>
        </w:rPr>
        <w:footnoteReference w:id="26"/>
      </w:r>
      <w:r w:rsidR="00596E84" w:rsidRPr="00B20BE9">
        <w:rPr>
          <w:sz w:val="24"/>
          <w:szCs w:val="24"/>
        </w:rPr>
        <w:t xml:space="preserve">  PPLICA M.B., p. 16.  It claimed again that PPL was only considering whether the revenues at issue were collected by an EDC, but that </w:t>
      </w:r>
    </w:p>
    <w:p w:rsidR="00596E84" w:rsidRPr="00B20BE9" w:rsidRDefault="00F77537" w:rsidP="00F77537">
      <w:pPr>
        <w:rPr>
          <w:sz w:val="24"/>
          <w:szCs w:val="24"/>
        </w:rPr>
      </w:pPr>
      <w:r w:rsidRPr="00B20BE9">
        <w:rPr>
          <w:sz w:val="24"/>
          <w:szCs w:val="24"/>
        </w:rPr>
        <w:t xml:space="preserve">mere payment of a charge assessed by an EDC cannot determine whether </w:t>
      </w:r>
      <w:r w:rsidR="006A13CB" w:rsidRPr="00B20BE9">
        <w:rPr>
          <w:sz w:val="24"/>
          <w:szCs w:val="24"/>
        </w:rPr>
        <w:t xml:space="preserve">or not </w:t>
      </w:r>
      <w:r w:rsidRPr="00B20BE9">
        <w:rPr>
          <w:sz w:val="24"/>
          <w:szCs w:val="24"/>
        </w:rPr>
        <w:t>the charg</w:t>
      </w:r>
      <w:r w:rsidR="006A13CB" w:rsidRPr="00B20BE9">
        <w:rPr>
          <w:sz w:val="24"/>
          <w:szCs w:val="24"/>
        </w:rPr>
        <w:t>e is distribution-related</w:t>
      </w:r>
      <w:r w:rsidRPr="00B20BE9">
        <w:rPr>
          <w:sz w:val="24"/>
          <w:szCs w:val="24"/>
        </w:rPr>
        <w:t>.</w:t>
      </w:r>
      <w:r w:rsidR="00596E84" w:rsidRPr="00B20BE9">
        <w:rPr>
          <w:sz w:val="24"/>
          <w:szCs w:val="24"/>
        </w:rPr>
        <w:t xml:space="preserve">  PPLICA M.B., pp. 16-17.</w:t>
      </w:r>
    </w:p>
    <w:p w:rsidR="00F77537" w:rsidRPr="00B20BE9" w:rsidRDefault="00F77537" w:rsidP="00F77537">
      <w:pPr>
        <w:rPr>
          <w:sz w:val="24"/>
          <w:szCs w:val="24"/>
        </w:rPr>
      </w:pPr>
    </w:p>
    <w:p w:rsidR="00F77537" w:rsidRPr="00B20BE9" w:rsidRDefault="00F77537" w:rsidP="00F77537">
      <w:pPr>
        <w:rPr>
          <w:sz w:val="24"/>
          <w:szCs w:val="24"/>
        </w:rPr>
      </w:pPr>
      <w:r w:rsidRPr="00B20BE9">
        <w:rPr>
          <w:sz w:val="24"/>
          <w:szCs w:val="24"/>
        </w:rPr>
        <w:tab/>
      </w:r>
      <w:r w:rsidR="00596E84" w:rsidRPr="00B20BE9">
        <w:rPr>
          <w:sz w:val="24"/>
          <w:szCs w:val="24"/>
        </w:rPr>
        <w:tab/>
      </w:r>
      <w:r w:rsidRPr="00B20BE9">
        <w:rPr>
          <w:sz w:val="24"/>
          <w:szCs w:val="24"/>
        </w:rPr>
        <w:t>To further</w:t>
      </w:r>
      <w:r w:rsidR="009D0D91" w:rsidRPr="00B20BE9">
        <w:rPr>
          <w:sz w:val="24"/>
          <w:szCs w:val="24"/>
        </w:rPr>
        <w:t xml:space="preserve"> support the necessity to </w:t>
      </w:r>
      <w:r w:rsidRPr="00B20BE9">
        <w:rPr>
          <w:sz w:val="24"/>
          <w:szCs w:val="24"/>
        </w:rPr>
        <w:t xml:space="preserve">examine the purpose of the underlying charge, </w:t>
      </w:r>
      <w:r w:rsidR="00596E84" w:rsidRPr="00B20BE9">
        <w:rPr>
          <w:sz w:val="24"/>
          <w:szCs w:val="24"/>
        </w:rPr>
        <w:t>PPLICA made reference to what had occurred in PPL’s recent Default Service Plan (DSP</w:t>
      </w:r>
      <w:r w:rsidRPr="00B20BE9">
        <w:rPr>
          <w:sz w:val="24"/>
          <w:szCs w:val="24"/>
        </w:rPr>
        <w:t>) proceeding.</w:t>
      </w:r>
      <w:r w:rsidR="00596E84" w:rsidRPr="00B20BE9">
        <w:rPr>
          <w:sz w:val="24"/>
          <w:szCs w:val="24"/>
          <w:vertAlign w:val="superscript"/>
        </w:rPr>
        <w:footnoteReference w:id="27"/>
      </w:r>
      <w:r w:rsidRPr="00B20BE9">
        <w:rPr>
          <w:sz w:val="24"/>
          <w:szCs w:val="24"/>
        </w:rPr>
        <w:t xml:space="preserve">  </w:t>
      </w:r>
      <w:r w:rsidR="006A13CB" w:rsidRPr="00B20BE9">
        <w:rPr>
          <w:sz w:val="24"/>
          <w:szCs w:val="24"/>
        </w:rPr>
        <w:t xml:space="preserve">PPLICA claimed that, in this docket, certain parties had </w:t>
      </w:r>
      <w:r w:rsidRPr="00B20BE9">
        <w:rPr>
          <w:sz w:val="24"/>
          <w:szCs w:val="24"/>
        </w:rPr>
        <w:t xml:space="preserve">supported implementation of non-bypassable riders to recover transmission service charge costs.  While these efforts proved unsuccessful, </w:t>
      </w:r>
      <w:r w:rsidR="006A13CB" w:rsidRPr="00B20BE9">
        <w:rPr>
          <w:sz w:val="24"/>
          <w:szCs w:val="24"/>
        </w:rPr>
        <w:t xml:space="preserve">PPLICA believed that case was instructive to demonstrate the inappropriateness of an overbroad assessment, as PPL is advocating herein.  PPLICA claimed that if PPL’s overbroad assessment of “applicable” revenues had been adopted in the DSP case, </w:t>
      </w:r>
      <w:r w:rsidR="006934C2" w:rsidRPr="00B20BE9">
        <w:rPr>
          <w:sz w:val="24"/>
          <w:szCs w:val="24"/>
        </w:rPr>
        <w:t>then non-by</w:t>
      </w:r>
      <w:r w:rsidRPr="00B20BE9">
        <w:rPr>
          <w:sz w:val="24"/>
          <w:szCs w:val="24"/>
        </w:rPr>
        <w:t>passable costs recovering only transmission expenses would be considered "distribution revenue" and applied to calculate PPL's DSIC cap.</w:t>
      </w:r>
      <w:r w:rsidRPr="00B20BE9">
        <w:rPr>
          <w:sz w:val="24"/>
          <w:szCs w:val="24"/>
          <w:vertAlign w:val="superscript"/>
        </w:rPr>
        <w:footnoteReference w:id="28"/>
      </w:r>
      <w:r w:rsidRPr="00B20BE9">
        <w:rPr>
          <w:sz w:val="24"/>
          <w:szCs w:val="24"/>
        </w:rPr>
        <w:t xml:space="preserve"> </w:t>
      </w:r>
    </w:p>
    <w:p w:rsidR="00F77537" w:rsidRPr="00B20BE9" w:rsidRDefault="00F77537" w:rsidP="00F77537">
      <w:pPr>
        <w:rPr>
          <w:sz w:val="24"/>
          <w:szCs w:val="24"/>
        </w:rPr>
      </w:pPr>
    </w:p>
    <w:p w:rsidR="009D0D91" w:rsidRPr="00B20BE9" w:rsidRDefault="00F77537" w:rsidP="009D0D91">
      <w:pPr>
        <w:rPr>
          <w:sz w:val="24"/>
          <w:szCs w:val="24"/>
        </w:rPr>
      </w:pPr>
      <w:r w:rsidRPr="00B20BE9">
        <w:rPr>
          <w:sz w:val="24"/>
          <w:szCs w:val="24"/>
        </w:rPr>
        <w:tab/>
      </w:r>
      <w:r w:rsidR="00F15909" w:rsidRPr="00B20BE9">
        <w:rPr>
          <w:sz w:val="24"/>
          <w:szCs w:val="24"/>
        </w:rPr>
        <w:tab/>
      </w:r>
      <w:r w:rsidR="006E6B49" w:rsidRPr="00B20BE9">
        <w:rPr>
          <w:sz w:val="24"/>
          <w:szCs w:val="24"/>
        </w:rPr>
        <w:t xml:space="preserve">Additionally, PPLICA </w:t>
      </w:r>
      <w:r w:rsidR="000677C5" w:rsidRPr="00B20BE9">
        <w:rPr>
          <w:sz w:val="24"/>
          <w:szCs w:val="24"/>
        </w:rPr>
        <w:t xml:space="preserve">argued that PPL’s actions in imputing </w:t>
      </w:r>
      <w:r w:rsidR="00E75FD4" w:rsidRPr="00B20BE9">
        <w:rPr>
          <w:sz w:val="24"/>
          <w:szCs w:val="24"/>
        </w:rPr>
        <w:t xml:space="preserve">ACR and CER </w:t>
      </w:r>
      <w:r w:rsidR="000677C5" w:rsidRPr="00B20BE9">
        <w:rPr>
          <w:sz w:val="24"/>
          <w:szCs w:val="24"/>
        </w:rPr>
        <w:t xml:space="preserve">revenues that have no connection to </w:t>
      </w:r>
      <w:r w:rsidR="00E70C9B" w:rsidRPr="00B20BE9">
        <w:rPr>
          <w:sz w:val="24"/>
          <w:szCs w:val="24"/>
        </w:rPr>
        <w:t>distribution</w:t>
      </w:r>
      <w:r w:rsidR="000677C5" w:rsidRPr="00B20BE9">
        <w:rPr>
          <w:sz w:val="24"/>
          <w:szCs w:val="24"/>
        </w:rPr>
        <w:t xml:space="preserve"> services </w:t>
      </w:r>
      <w:r w:rsidR="00E70C9B" w:rsidRPr="00B20BE9">
        <w:rPr>
          <w:sz w:val="24"/>
          <w:szCs w:val="24"/>
        </w:rPr>
        <w:t xml:space="preserve">has a disproportionate impact on large service customers </w:t>
      </w:r>
      <w:r w:rsidR="006E0667" w:rsidRPr="00B20BE9">
        <w:rPr>
          <w:sz w:val="24"/>
          <w:szCs w:val="24"/>
        </w:rPr>
        <w:t>that do not</w:t>
      </w:r>
      <w:r w:rsidR="00E70C9B" w:rsidRPr="00B20BE9">
        <w:rPr>
          <w:sz w:val="24"/>
          <w:szCs w:val="24"/>
        </w:rPr>
        <w:t xml:space="preserve"> benefit from the DSIC improvements, thereby resulting in discriminatory rates.  It cited to Section 1304 of the Code, 66 Pa.C.S. </w:t>
      </w:r>
      <w:r w:rsidR="006E0667" w:rsidRPr="00B20BE9">
        <w:rPr>
          <w:sz w:val="24"/>
          <w:szCs w:val="24"/>
        </w:rPr>
        <w:t xml:space="preserve">§ 1304 </w:t>
      </w:r>
      <w:r w:rsidR="00E70C9B" w:rsidRPr="00B20BE9">
        <w:rPr>
          <w:sz w:val="24"/>
          <w:szCs w:val="24"/>
        </w:rPr>
        <w:t>as prohibiting unreasonable rate discrimination</w:t>
      </w:r>
      <w:r w:rsidR="006E0667" w:rsidRPr="00B20BE9">
        <w:rPr>
          <w:sz w:val="24"/>
          <w:szCs w:val="24"/>
        </w:rPr>
        <w:t xml:space="preserve">, which occurs when a rate </w:t>
      </w:r>
      <w:r w:rsidR="00E70C9B" w:rsidRPr="00B20BE9">
        <w:rPr>
          <w:sz w:val="24"/>
          <w:szCs w:val="24"/>
        </w:rPr>
        <w:t xml:space="preserve">advantage to one customer produces </w:t>
      </w:r>
      <w:r w:rsidR="006E0667" w:rsidRPr="00B20BE9">
        <w:rPr>
          <w:sz w:val="24"/>
          <w:szCs w:val="24"/>
        </w:rPr>
        <w:t xml:space="preserve">an </w:t>
      </w:r>
      <w:r w:rsidR="00E70C9B" w:rsidRPr="00B20BE9">
        <w:rPr>
          <w:sz w:val="24"/>
          <w:szCs w:val="24"/>
        </w:rPr>
        <w:t xml:space="preserve">injury </w:t>
      </w:r>
      <w:r w:rsidR="006E0667" w:rsidRPr="00B20BE9">
        <w:rPr>
          <w:sz w:val="24"/>
          <w:szCs w:val="24"/>
        </w:rPr>
        <w:t>in</w:t>
      </w:r>
      <w:r w:rsidR="00E70C9B" w:rsidRPr="00B20BE9">
        <w:rPr>
          <w:sz w:val="24"/>
          <w:szCs w:val="24"/>
        </w:rPr>
        <w:t xml:space="preserve"> another.  </w:t>
      </w:r>
      <w:r w:rsidR="00E70C9B" w:rsidRPr="00B20BE9">
        <w:rPr>
          <w:sz w:val="24"/>
          <w:szCs w:val="24"/>
          <w:u w:val="single"/>
        </w:rPr>
        <w:t>See</w:t>
      </w:r>
      <w:r w:rsidR="00E70C9B" w:rsidRPr="00B20BE9">
        <w:rPr>
          <w:sz w:val="24"/>
          <w:szCs w:val="24"/>
        </w:rPr>
        <w:t xml:space="preserve">, </w:t>
      </w:r>
      <w:r w:rsidR="00E70C9B" w:rsidRPr="00B20BE9">
        <w:rPr>
          <w:i/>
          <w:sz w:val="24"/>
          <w:szCs w:val="24"/>
        </w:rPr>
        <w:t>C. Leslie Pettko v. Pennsylvania-American Water Company</w:t>
      </w:r>
      <w:r w:rsidR="00E70C9B" w:rsidRPr="00B20BE9">
        <w:rPr>
          <w:sz w:val="24"/>
          <w:szCs w:val="24"/>
        </w:rPr>
        <w:t>.</w:t>
      </w:r>
      <w:r w:rsidR="00E70C9B" w:rsidRPr="00B20BE9">
        <w:rPr>
          <w:sz w:val="24"/>
          <w:szCs w:val="24"/>
          <w:vertAlign w:val="superscript"/>
        </w:rPr>
        <w:t xml:space="preserve"> </w:t>
      </w:r>
      <w:r w:rsidR="00E70C9B" w:rsidRPr="00B20BE9">
        <w:rPr>
          <w:sz w:val="24"/>
          <w:szCs w:val="24"/>
          <w:vertAlign w:val="superscript"/>
        </w:rPr>
        <w:footnoteReference w:id="29"/>
      </w:r>
      <w:r w:rsidR="00E70C9B" w:rsidRPr="00B20BE9">
        <w:rPr>
          <w:sz w:val="24"/>
          <w:szCs w:val="24"/>
        </w:rPr>
        <w:t xml:space="preserve">  </w:t>
      </w:r>
      <w:r w:rsidR="006E0667" w:rsidRPr="00B20BE9">
        <w:rPr>
          <w:sz w:val="24"/>
          <w:szCs w:val="24"/>
        </w:rPr>
        <w:t xml:space="preserve">PPLICA claimed that </w:t>
      </w:r>
      <w:r w:rsidRPr="00B20BE9">
        <w:rPr>
          <w:sz w:val="24"/>
          <w:szCs w:val="24"/>
        </w:rPr>
        <w:t xml:space="preserve">the record in this proceeding </w:t>
      </w:r>
      <w:r w:rsidR="006E0667" w:rsidRPr="00B20BE9">
        <w:rPr>
          <w:sz w:val="24"/>
          <w:szCs w:val="24"/>
        </w:rPr>
        <w:t>established such discrimination as between customer classes.  PPLICA M.B., pp. 18-19.</w:t>
      </w:r>
    </w:p>
    <w:p w:rsidR="006E0667" w:rsidRPr="00B20BE9" w:rsidRDefault="006E0667" w:rsidP="00F77537">
      <w:pPr>
        <w:rPr>
          <w:sz w:val="24"/>
          <w:szCs w:val="24"/>
        </w:rPr>
      </w:pPr>
    </w:p>
    <w:p w:rsidR="001C7E55" w:rsidRPr="00B20BE9" w:rsidRDefault="009D0D91" w:rsidP="00F77537">
      <w:pPr>
        <w:rPr>
          <w:sz w:val="24"/>
          <w:szCs w:val="24"/>
        </w:rPr>
      </w:pPr>
      <w:r w:rsidRPr="00B20BE9">
        <w:rPr>
          <w:sz w:val="24"/>
          <w:szCs w:val="24"/>
        </w:rPr>
        <w:tab/>
      </w:r>
      <w:r w:rsidRPr="00B20BE9">
        <w:rPr>
          <w:sz w:val="24"/>
          <w:szCs w:val="24"/>
        </w:rPr>
        <w:tab/>
      </w:r>
      <w:r w:rsidR="00E75FD4" w:rsidRPr="00B20BE9">
        <w:rPr>
          <w:sz w:val="24"/>
          <w:szCs w:val="24"/>
        </w:rPr>
        <w:t xml:space="preserve">As to the discriminatory </w:t>
      </w:r>
      <w:r w:rsidR="00F77537" w:rsidRPr="00B20BE9">
        <w:rPr>
          <w:sz w:val="24"/>
          <w:szCs w:val="24"/>
        </w:rPr>
        <w:t xml:space="preserve">effects of </w:t>
      </w:r>
      <w:r w:rsidR="00E75FD4" w:rsidRPr="00B20BE9">
        <w:rPr>
          <w:sz w:val="24"/>
          <w:szCs w:val="24"/>
        </w:rPr>
        <w:t>including the ACR and CER revenues, PPLICA referenced Mr. Baudino’</w:t>
      </w:r>
      <w:r w:rsidR="001C7E55" w:rsidRPr="00B20BE9">
        <w:rPr>
          <w:sz w:val="24"/>
          <w:szCs w:val="24"/>
        </w:rPr>
        <w:t>s testimony, and made the following argument in its Main Brief, at pages 19-20:</w:t>
      </w:r>
    </w:p>
    <w:p w:rsidR="001C7E55" w:rsidRPr="00B20BE9" w:rsidRDefault="001C7E55" w:rsidP="00187AB5">
      <w:pPr>
        <w:rPr>
          <w:sz w:val="24"/>
          <w:szCs w:val="24"/>
        </w:rPr>
      </w:pPr>
    </w:p>
    <w:p w:rsidR="00F77537" w:rsidRPr="00B20BE9" w:rsidRDefault="00F77537" w:rsidP="001C7E55">
      <w:pPr>
        <w:spacing w:line="240" w:lineRule="auto"/>
        <w:ind w:left="1440" w:right="1440"/>
        <w:rPr>
          <w:sz w:val="24"/>
          <w:szCs w:val="24"/>
        </w:rPr>
      </w:pPr>
      <w:r w:rsidRPr="00B20BE9">
        <w:rPr>
          <w:sz w:val="24"/>
          <w:szCs w:val="24"/>
        </w:rPr>
        <w:t>Including the ACR and CER revenues in PPL's DSIC cap calculation "would result in cost shifting among customers, with particularly adverse effects upon PPL's Large C&amp;I customers."</w:t>
      </w:r>
      <w:r w:rsidRPr="00B20BE9">
        <w:rPr>
          <w:sz w:val="24"/>
          <w:szCs w:val="24"/>
          <w:vertAlign w:val="superscript"/>
        </w:rPr>
        <w:footnoteReference w:id="30"/>
      </w:r>
      <w:r w:rsidRPr="00B20BE9">
        <w:rPr>
          <w:sz w:val="24"/>
          <w:szCs w:val="24"/>
        </w:rPr>
        <w:t xml:space="preserve">  Specifically, "because the ACR recovers Act 129 EE&amp;C charges that are not related to PPL's distribution system, the costs paid by customers can be radically different from the costs paid by the customers for use of the distribution system."</w:t>
      </w:r>
      <w:r w:rsidRPr="00B20BE9">
        <w:rPr>
          <w:sz w:val="24"/>
          <w:szCs w:val="24"/>
          <w:vertAlign w:val="superscript"/>
        </w:rPr>
        <w:footnoteReference w:id="31"/>
      </w:r>
      <w:r w:rsidRPr="00B20BE9">
        <w:rPr>
          <w:sz w:val="24"/>
          <w:szCs w:val="24"/>
        </w:rPr>
        <w:t xml:space="preserve">  This contrasts with cost impacts from</w:t>
      </w:r>
      <w:r w:rsidR="00811114" w:rsidRPr="00B20BE9">
        <w:rPr>
          <w:sz w:val="24"/>
          <w:szCs w:val="24"/>
        </w:rPr>
        <w:t xml:space="preserve"> </w:t>
      </w:r>
      <w:r w:rsidR="008D5AF2" w:rsidRPr="00B20BE9">
        <w:rPr>
          <w:sz w:val="24"/>
          <w:szCs w:val="24"/>
        </w:rPr>
        <w:t xml:space="preserve">PPL’s SMR or USR </w:t>
      </w:r>
      <w:r w:rsidR="00811114" w:rsidRPr="00B20BE9">
        <w:rPr>
          <w:sz w:val="24"/>
          <w:szCs w:val="24"/>
        </w:rPr>
        <w:t>[</w:t>
      </w:r>
      <w:r w:rsidR="008D5AF2" w:rsidRPr="00B20BE9">
        <w:rPr>
          <w:sz w:val="24"/>
          <w:szCs w:val="24"/>
        </w:rPr>
        <w:t>Universal Service Rider</w:t>
      </w:r>
      <w:r w:rsidR="00811114" w:rsidRPr="00B20BE9">
        <w:rPr>
          <w:sz w:val="24"/>
          <w:szCs w:val="24"/>
        </w:rPr>
        <w:t>]</w:t>
      </w:r>
      <w:r w:rsidR="008D5AF2" w:rsidRPr="00B20BE9">
        <w:rPr>
          <w:sz w:val="24"/>
          <w:szCs w:val="24"/>
        </w:rPr>
        <w:t xml:space="preserve"> whe</w:t>
      </w:r>
      <w:r w:rsidRPr="00B20BE9">
        <w:rPr>
          <w:sz w:val="24"/>
          <w:szCs w:val="24"/>
        </w:rPr>
        <w:t>re the additional revenues impose costs in relative proportion with customers' use of the distribution system.</w:t>
      </w:r>
      <w:r w:rsidRPr="00B20BE9">
        <w:rPr>
          <w:sz w:val="24"/>
          <w:szCs w:val="24"/>
          <w:vertAlign w:val="superscript"/>
        </w:rPr>
        <w:footnoteReference w:id="32"/>
      </w:r>
    </w:p>
    <w:p w:rsidR="00811114" w:rsidRPr="00B20BE9" w:rsidRDefault="00811114" w:rsidP="001C7E55">
      <w:pPr>
        <w:spacing w:line="240" w:lineRule="auto"/>
        <w:ind w:left="1440" w:right="1440"/>
        <w:rPr>
          <w:sz w:val="24"/>
          <w:szCs w:val="24"/>
        </w:rPr>
      </w:pPr>
    </w:p>
    <w:p w:rsidR="00F77537" w:rsidRPr="00B20BE9" w:rsidRDefault="00F77537" w:rsidP="001C7E55">
      <w:pPr>
        <w:spacing w:line="240" w:lineRule="auto"/>
        <w:ind w:left="1440" w:right="1440"/>
        <w:rPr>
          <w:sz w:val="24"/>
          <w:szCs w:val="24"/>
        </w:rPr>
      </w:pPr>
      <w:r w:rsidRPr="00B20BE9">
        <w:rPr>
          <w:sz w:val="24"/>
          <w:szCs w:val="24"/>
        </w:rPr>
        <w:t>Cost data furnished by PPL also highlights the discriminatory rate effects of PPL's DSIC.  PPLICA Witness Baudino analyzed initial DSIC cost projections provided by PPL and concluded that including ACR and CER revenues in PPL's DSIC cap calculation increases the Large C&amp;I share of total DSIC revenues from 4.4% to 5.4%, while decreasing the Residential share of total DSIC revenues from 67.1% to 64.5%.  The actual dollar amounts further demonstrate the impact of this cost shift.  The ACR component increases Large C&amp;I annual base distribution revenues from $22.5 million to $32 million, an increase of $9.5 million (42%).  By comparison, including ACR revenues affects other customer classes as follows:</w:t>
      </w:r>
    </w:p>
    <w:p w:rsidR="001C7E55" w:rsidRPr="00B20BE9" w:rsidRDefault="001C7E55" w:rsidP="001C7E55">
      <w:pPr>
        <w:keepNext/>
        <w:spacing w:line="240" w:lineRule="auto"/>
        <w:ind w:left="1440" w:right="1440"/>
        <w:rPr>
          <w:b/>
          <w:sz w:val="24"/>
          <w:szCs w:val="24"/>
          <w:u w:val="single"/>
        </w:rPr>
      </w:pPr>
    </w:p>
    <w:p w:rsidR="00F77537" w:rsidRPr="00B20BE9" w:rsidRDefault="00F77537" w:rsidP="00DC1C6B">
      <w:pPr>
        <w:keepNext/>
        <w:spacing w:line="240" w:lineRule="auto"/>
        <w:ind w:left="1440" w:right="1440"/>
        <w:jc w:val="center"/>
        <w:rPr>
          <w:sz w:val="24"/>
          <w:szCs w:val="24"/>
        </w:rPr>
      </w:pPr>
      <w:r w:rsidRPr="00B20BE9">
        <w:rPr>
          <w:b/>
          <w:sz w:val="24"/>
          <w:szCs w:val="24"/>
          <w:u w:val="single"/>
        </w:rPr>
        <w:t>Table 1</w:t>
      </w:r>
      <w:r w:rsidRPr="00B20BE9">
        <w:rPr>
          <w:sz w:val="24"/>
          <w:szCs w:val="24"/>
          <w:vertAlign w:val="superscript"/>
        </w:rPr>
        <w:footnoteReference w:id="33"/>
      </w:r>
    </w:p>
    <w:p w:rsidR="00F77537" w:rsidRPr="00B20BE9" w:rsidRDefault="00F77537" w:rsidP="006E6B49">
      <w:pPr>
        <w:keepNext/>
        <w:spacing w:line="240" w:lineRule="auto"/>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0"/>
        <w:gridCol w:w="2160"/>
        <w:gridCol w:w="2160"/>
        <w:gridCol w:w="1908"/>
      </w:tblGrid>
      <w:tr w:rsidR="006E6B49" w:rsidRPr="00B20BE9" w:rsidTr="00740D76">
        <w:tc>
          <w:tcPr>
            <w:tcW w:w="3240" w:type="dxa"/>
          </w:tcPr>
          <w:p w:rsidR="006E6B49" w:rsidRPr="00B20BE9" w:rsidRDefault="006E6B49" w:rsidP="006E6B49">
            <w:pPr>
              <w:keepNext/>
              <w:spacing w:line="240" w:lineRule="auto"/>
              <w:rPr>
                <w:sz w:val="24"/>
                <w:szCs w:val="24"/>
              </w:rPr>
            </w:pPr>
          </w:p>
        </w:tc>
        <w:tc>
          <w:tcPr>
            <w:tcW w:w="2160" w:type="dxa"/>
          </w:tcPr>
          <w:p w:rsidR="006E6B49" w:rsidRPr="00B20BE9" w:rsidRDefault="006E6B49" w:rsidP="006E6B49">
            <w:pPr>
              <w:keepNext/>
              <w:spacing w:line="240" w:lineRule="auto"/>
              <w:jc w:val="center"/>
              <w:rPr>
                <w:b/>
                <w:sz w:val="24"/>
                <w:szCs w:val="24"/>
              </w:rPr>
            </w:pPr>
            <w:r w:rsidRPr="00B20BE9">
              <w:rPr>
                <w:b/>
                <w:sz w:val="24"/>
                <w:szCs w:val="24"/>
              </w:rPr>
              <w:t>Large C&amp;I</w:t>
            </w:r>
          </w:p>
        </w:tc>
        <w:tc>
          <w:tcPr>
            <w:tcW w:w="2160" w:type="dxa"/>
          </w:tcPr>
          <w:p w:rsidR="006E6B49" w:rsidRPr="00B20BE9" w:rsidRDefault="006E6B49" w:rsidP="006E6B49">
            <w:pPr>
              <w:keepNext/>
              <w:spacing w:line="240" w:lineRule="auto"/>
              <w:jc w:val="center"/>
              <w:rPr>
                <w:b/>
                <w:sz w:val="24"/>
                <w:szCs w:val="24"/>
              </w:rPr>
            </w:pPr>
            <w:r w:rsidRPr="00B20BE9">
              <w:rPr>
                <w:b/>
                <w:sz w:val="24"/>
                <w:szCs w:val="24"/>
              </w:rPr>
              <w:t>Small C&amp;I</w:t>
            </w:r>
          </w:p>
        </w:tc>
        <w:tc>
          <w:tcPr>
            <w:tcW w:w="1908" w:type="dxa"/>
          </w:tcPr>
          <w:p w:rsidR="006E6B49" w:rsidRPr="00B20BE9" w:rsidRDefault="006E6B49" w:rsidP="006E6B49">
            <w:pPr>
              <w:keepNext/>
              <w:spacing w:line="240" w:lineRule="auto"/>
              <w:jc w:val="center"/>
              <w:rPr>
                <w:b/>
                <w:sz w:val="24"/>
                <w:szCs w:val="24"/>
              </w:rPr>
            </w:pPr>
            <w:r w:rsidRPr="00B20BE9">
              <w:rPr>
                <w:b/>
                <w:sz w:val="24"/>
                <w:szCs w:val="24"/>
              </w:rPr>
              <w:t>Residential</w:t>
            </w:r>
          </w:p>
        </w:tc>
      </w:tr>
      <w:tr w:rsidR="006E6B49" w:rsidRPr="00B20BE9" w:rsidTr="00740D76">
        <w:tc>
          <w:tcPr>
            <w:tcW w:w="3240" w:type="dxa"/>
          </w:tcPr>
          <w:p w:rsidR="006E6B49" w:rsidRPr="00B20BE9" w:rsidRDefault="006E6B49" w:rsidP="006E6B49">
            <w:pPr>
              <w:keepNext/>
              <w:spacing w:line="240" w:lineRule="auto"/>
              <w:rPr>
                <w:b/>
                <w:sz w:val="24"/>
                <w:szCs w:val="24"/>
              </w:rPr>
            </w:pPr>
            <w:r w:rsidRPr="00B20BE9">
              <w:rPr>
                <w:b/>
                <w:sz w:val="24"/>
                <w:szCs w:val="24"/>
              </w:rPr>
              <w:t>Base Distribution Revenues</w:t>
            </w:r>
          </w:p>
        </w:tc>
        <w:tc>
          <w:tcPr>
            <w:tcW w:w="2160" w:type="dxa"/>
          </w:tcPr>
          <w:p w:rsidR="006E6B49" w:rsidRPr="00B20BE9" w:rsidRDefault="006E6B49" w:rsidP="006E6B49">
            <w:pPr>
              <w:keepNext/>
              <w:spacing w:line="240" w:lineRule="auto"/>
              <w:ind w:right="342"/>
              <w:jc w:val="right"/>
              <w:rPr>
                <w:sz w:val="24"/>
                <w:szCs w:val="24"/>
              </w:rPr>
            </w:pPr>
            <w:r w:rsidRPr="00B20BE9">
              <w:rPr>
                <w:sz w:val="24"/>
                <w:szCs w:val="24"/>
              </w:rPr>
              <w:t>$22,565,799</w:t>
            </w:r>
          </w:p>
        </w:tc>
        <w:tc>
          <w:tcPr>
            <w:tcW w:w="2160" w:type="dxa"/>
          </w:tcPr>
          <w:p w:rsidR="006E6B49" w:rsidRPr="00B20BE9" w:rsidRDefault="006E6B49" w:rsidP="006E6B49">
            <w:pPr>
              <w:keepNext/>
              <w:spacing w:line="240" w:lineRule="auto"/>
              <w:ind w:right="342"/>
              <w:jc w:val="right"/>
              <w:rPr>
                <w:sz w:val="24"/>
                <w:szCs w:val="24"/>
              </w:rPr>
            </w:pPr>
            <w:r w:rsidRPr="00B20BE9">
              <w:rPr>
                <w:sz w:val="24"/>
                <w:szCs w:val="24"/>
              </w:rPr>
              <w:t>$145,051,531</w:t>
            </w:r>
          </w:p>
        </w:tc>
        <w:tc>
          <w:tcPr>
            <w:tcW w:w="1908" w:type="dxa"/>
          </w:tcPr>
          <w:p w:rsidR="006E6B49" w:rsidRPr="00B20BE9" w:rsidRDefault="006E6B49" w:rsidP="006E6B49">
            <w:pPr>
              <w:keepNext/>
              <w:spacing w:line="240" w:lineRule="auto"/>
              <w:ind w:right="270"/>
              <w:jc w:val="right"/>
              <w:rPr>
                <w:sz w:val="24"/>
                <w:szCs w:val="24"/>
              </w:rPr>
            </w:pPr>
            <w:r w:rsidRPr="00B20BE9">
              <w:rPr>
                <w:sz w:val="24"/>
                <w:szCs w:val="24"/>
              </w:rPr>
              <w:t>$342,071,358</w:t>
            </w:r>
          </w:p>
        </w:tc>
      </w:tr>
      <w:tr w:rsidR="006E6B49" w:rsidRPr="00B20BE9" w:rsidTr="00740D76">
        <w:tc>
          <w:tcPr>
            <w:tcW w:w="3240" w:type="dxa"/>
          </w:tcPr>
          <w:p w:rsidR="006E6B49" w:rsidRPr="00B20BE9" w:rsidRDefault="006E6B49" w:rsidP="006E6B49">
            <w:pPr>
              <w:keepNext/>
              <w:spacing w:line="240" w:lineRule="auto"/>
              <w:rPr>
                <w:b/>
                <w:sz w:val="24"/>
                <w:szCs w:val="24"/>
              </w:rPr>
            </w:pPr>
            <w:r w:rsidRPr="00B20BE9">
              <w:rPr>
                <w:b/>
                <w:sz w:val="24"/>
                <w:szCs w:val="24"/>
              </w:rPr>
              <w:t>ACR</w:t>
            </w:r>
          </w:p>
        </w:tc>
        <w:tc>
          <w:tcPr>
            <w:tcW w:w="2160" w:type="dxa"/>
          </w:tcPr>
          <w:p w:rsidR="006E6B49" w:rsidRPr="00B20BE9" w:rsidRDefault="006E6B49" w:rsidP="006E6B49">
            <w:pPr>
              <w:keepNext/>
              <w:spacing w:line="240" w:lineRule="auto"/>
              <w:ind w:right="342"/>
              <w:jc w:val="right"/>
              <w:rPr>
                <w:sz w:val="24"/>
                <w:szCs w:val="24"/>
              </w:rPr>
            </w:pPr>
            <w:r w:rsidRPr="00B20BE9">
              <w:rPr>
                <w:sz w:val="24"/>
                <w:szCs w:val="24"/>
              </w:rPr>
              <w:t>$9,544,720</w:t>
            </w:r>
          </w:p>
        </w:tc>
        <w:tc>
          <w:tcPr>
            <w:tcW w:w="2160" w:type="dxa"/>
          </w:tcPr>
          <w:p w:rsidR="006E6B49" w:rsidRPr="00B20BE9" w:rsidRDefault="006E6B49" w:rsidP="006E6B49">
            <w:pPr>
              <w:keepNext/>
              <w:spacing w:line="240" w:lineRule="auto"/>
              <w:ind w:right="342"/>
              <w:jc w:val="right"/>
              <w:rPr>
                <w:sz w:val="24"/>
                <w:szCs w:val="24"/>
              </w:rPr>
            </w:pPr>
            <w:r w:rsidRPr="00B20BE9">
              <w:rPr>
                <w:sz w:val="24"/>
                <w:szCs w:val="24"/>
              </w:rPr>
              <w:t>$23,972,144</w:t>
            </w:r>
          </w:p>
        </w:tc>
        <w:tc>
          <w:tcPr>
            <w:tcW w:w="1908" w:type="dxa"/>
          </w:tcPr>
          <w:p w:rsidR="006E6B49" w:rsidRPr="00B20BE9" w:rsidRDefault="006E6B49" w:rsidP="006E6B49">
            <w:pPr>
              <w:keepNext/>
              <w:spacing w:line="240" w:lineRule="auto"/>
              <w:ind w:right="270"/>
              <w:jc w:val="right"/>
              <w:rPr>
                <w:sz w:val="24"/>
                <w:szCs w:val="24"/>
              </w:rPr>
            </w:pPr>
            <w:r w:rsidRPr="00B20BE9">
              <w:rPr>
                <w:sz w:val="24"/>
                <w:szCs w:val="24"/>
              </w:rPr>
              <w:t>$19,233,796</w:t>
            </w:r>
          </w:p>
        </w:tc>
      </w:tr>
      <w:tr w:rsidR="006E6B49" w:rsidRPr="00B20BE9" w:rsidTr="00740D76">
        <w:tc>
          <w:tcPr>
            <w:tcW w:w="3240" w:type="dxa"/>
          </w:tcPr>
          <w:p w:rsidR="006E6B49" w:rsidRPr="00B20BE9" w:rsidRDefault="006E6B49" w:rsidP="006E6B49">
            <w:pPr>
              <w:spacing w:line="240" w:lineRule="auto"/>
              <w:rPr>
                <w:b/>
                <w:sz w:val="24"/>
                <w:szCs w:val="24"/>
              </w:rPr>
            </w:pPr>
            <w:r w:rsidRPr="00B20BE9">
              <w:rPr>
                <w:b/>
                <w:sz w:val="24"/>
                <w:szCs w:val="24"/>
              </w:rPr>
              <w:t>% Revenue Change</w:t>
            </w:r>
          </w:p>
        </w:tc>
        <w:tc>
          <w:tcPr>
            <w:tcW w:w="2160" w:type="dxa"/>
          </w:tcPr>
          <w:p w:rsidR="006E6B49" w:rsidRPr="00B20BE9" w:rsidRDefault="006E6B49" w:rsidP="006E6B49">
            <w:pPr>
              <w:tabs>
                <w:tab w:val="left" w:pos="864"/>
              </w:tabs>
              <w:spacing w:line="240" w:lineRule="auto"/>
              <w:jc w:val="center"/>
              <w:rPr>
                <w:sz w:val="24"/>
                <w:szCs w:val="24"/>
              </w:rPr>
            </w:pPr>
            <w:r w:rsidRPr="00B20BE9">
              <w:rPr>
                <w:sz w:val="24"/>
                <w:szCs w:val="24"/>
              </w:rPr>
              <w:t>42%</w:t>
            </w:r>
          </w:p>
        </w:tc>
        <w:tc>
          <w:tcPr>
            <w:tcW w:w="2160" w:type="dxa"/>
          </w:tcPr>
          <w:p w:rsidR="006E6B49" w:rsidRPr="00B20BE9" w:rsidRDefault="006E6B49" w:rsidP="006E6B49">
            <w:pPr>
              <w:spacing w:line="240" w:lineRule="auto"/>
              <w:jc w:val="center"/>
              <w:rPr>
                <w:sz w:val="24"/>
                <w:szCs w:val="24"/>
              </w:rPr>
            </w:pPr>
            <w:r w:rsidRPr="00B20BE9">
              <w:rPr>
                <w:sz w:val="24"/>
                <w:szCs w:val="24"/>
              </w:rPr>
              <w:t>16.5%</w:t>
            </w:r>
          </w:p>
        </w:tc>
        <w:tc>
          <w:tcPr>
            <w:tcW w:w="1908" w:type="dxa"/>
          </w:tcPr>
          <w:p w:rsidR="006E6B49" w:rsidRPr="00B20BE9" w:rsidRDefault="006E6B49" w:rsidP="006E6B49">
            <w:pPr>
              <w:spacing w:line="240" w:lineRule="auto"/>
              <w:jc w:val="center"/>
              <w:rPr>
                <w:sz w:val="24"/>
                <w:szCs w:val="24"/>
              </w:rPr>
            </w:pPr>
            <w:r w:rsidRPr="00B20BE9">
              <w:rPr>
                <w:sz w:val="24"/>
                <w:szCs w:val="24"/>
              </w:rPr>
              <w:t>5.6%</w:t>
            </w:r>
          </w:p>
        </w:tc>
      </w:tr>
    </w:tbl>
    <w:p w:rsidR="006E6B49" w:rsidRPr="00B20BE9" w:rsidRDefault="006E6B49" w:rsidP="00E93207">
      <w:pPr>
        <w:ind w:right="1440"/>
        <w:rPr>
          <w:sz w:val="24"/>
          <w:szCs w:val="24"/>
        </w:rPr>
      </w:pPr>
    </w:p>
    <w:p w:rsidR="00740D76" w:rsidRPr="00B20BE9" w:rsidRDefault="00740D76" w:rsidP="005B0056">
      <w:pPr>
        <w:rPr>
          <w:sz w:val="24"/>
          <w:szCs w:val="24"/>
        </w:rPr>
      </w:pPr>
      <w:r w:rsidRPr="00B20BE9">
        <w:rPr>
          <w:sz w:val="24"/>
          <w:szCs w:val="24"/>
        </w:rPr>
        <w:tab/>
      </w:r>
      <w:r w:rsidRPr="00B20BE9">
        <w:rPr>
          <w:sz w:val="24"/>
          <w:szCs w:val="24"/>
        </w:rPr>
        <w:tab/>
        <w:t>PPLICA indicated that, while the CER does not present a similarly dramatic cost impact in its current form, future retail enhancement costs that may be approved for recovery through the CER are unknown.  PPLICA argued that, even in its current form, the rider contributes to unreasonable cost shifting because the underlying costs are not related to PPL’s distribution services, citing to 66 Pa.C.S</w:t>
      </w:r>
      <w:r w:rsidR="0023778D">
        <w:rPr>
          <w:sz w:val="24"/>
          <w:szCs w:val="24"/>
        </w:rPr>
        <w:t>. § 1304.  PPLICA M.B., p. 20.</w:t>
      </w:r>
    </w:p>
    <w:p w:rsidR="00740D76" w:rsidRPr="00B20BE9" w:rsidRDefault="00740D76" w:rsidP="005B0056">
      <w:pPr>
        <w:rPr>
          <w:sz w:val="24"/>
          <w:szCs w:val="24"/>
        </w:rPr>
      </w:pPr>
    </w:p>
    <w:p w:rsidR="00F77537" w:rsidRPr="00B20BE9" w:rsidRDefault="00740D76" w:rsidP="005B0056">
      <w:pPr>
        <w:rPr>
          <w:sz w:val="24"/>
          <w:szCs w:val="24"/>
        </w:rPr>
      </w:pPr>
      <w:r w:rsidRPr="00B20BE9">
        <w:rPr>
          <w:sz w:val="24"/>
          <w:szCs w:val="24"/>
        </w:rPr>
        <w:tab/>
      </w:r>
      <w:r w:rsidRPr="00B20BE9">
        <w:rPr>
          <w:sz w:val="24"/>
          <w:szCs w:val="24"/>
        </w:rPr>
        <w:tab/>
      </w:r>
      <w:r w:rsidR="00E94062" w:rsidRPr="00B20BE9">
        <w:rPr>
          <w:sz w:val="24"/>
          <w:szCs w:val="24"/>
        </w:rPr>
        <w:t>PPLICA also prov</w:t>
      </w:r>
      <w:r w:rsidRPr="00B20BE9">
        <w:rPr>
          <w:sz w:val="24"/>
          <w:szCs w:val="24"/>
        </w:rPr>
        <w:t xml:space="preserve">ided argument </w:t>
      </w:r>
      <w:r w:rsidR="00E94062" w:rsidRPr="00B20BE9">
        <w:rPr>
          <w:sz w:val="24"/>
          <w:szCs w:val="24"/>
        </w:rPr>
        <w:t xml:space="preserve">about the impact on inclusion of ACR and CER revenues from an individual LP-5 </w:t>
      </w:r>
      <w:r w:rsidR="008A651A" w:rsidRPr="00B20BE9">
        <w:rPr>
          <w:sz w:val="24"/>
          <w:szCs w:val="24"/>
        </w:rPr>
        <w:t xml:space="preserve">customer standpoint.  It noted that, as testified by Mr. Baudino, </w:t>
      </w:r>
      <w:r w:rsidR="005B0056" w:rsidRPr="00B20BE9">
        <w:rPr>
          <w:sz w:val="24"/>
          <w:szCs w:val="24"/>
        </w:rPr>
        <w:t>“</w:t>
      </w:r>
      <w:r w:rsidR="00F77537" w:rsidRPr="00B20BE9">
        <w:rPr>
          <w:sz w:val="24"/>
          <w:szCs w:val="24"/>
        </w:rPr>
        <w:t>LP-5 customers do not us</w:t>
      </w:r>
      <w:r w:rsidR="008A651A" w:rsidRPr="00B20BE9">
        <w:rPr>
          <w:sz w:val="24"/>
          <w:szCs w:val="24"/>
        </w:rPr>
        <w:t xml:space="preserve">e PPL's distribution plant and </w:t>
      </w:r>
      <w:r w:rsidR="00F77537" w:rsidRPr="00B20BE9">
        <w:rPr>
          <w:sz w:val="24"/>
          <w:szCs w:val="24"/>
        </w:rPr>
        <w:t>therefore pay a fixed distribution fee of $994 per month ($11,928 per year) for metering equipment and service costs.</w:t>
      </w:r>
      <w:r w:rsidR="005B0056" w:rsidRPr="00B20BE9">
        <w:rPr>
          <w:sz w:val="24"/>
          <w:szCs w:val="24"/>
        </w:rPr>
        <w:t>”</w:t>
      </w:r>
      <w:r w:rsidRPr="00B20BE9">
        <w:rPr>
          <w:rStyle w:val="FootnoteReference"/>
          <w:sz w:val="24"/>
          <w:szCs w:val="24"/>
        </w:rPr>
        <w:footnoteReference w:id="34"/>
      </w:r>
      <w:r w:rsidR="009C1AC2" w:rsidRPr="00B20BE9">
        <w:rPr>
          <w:sz w:val="24"/>
          <w:szCs w:val="24"/>
        </w:rPr>
        <w:t xml:space="preserve">  </w:t>
      </w:r>
      <w:r w:rsidR="005B0056" w:rsidRPr="00B20BE9">
        <w:rPr>
          <w:sz w:val="24"/>
          <w:szCs w:val="24"/>
        </w:rPr>
        <w:t>A</w:t>
      </w:r>
      <w:r w:rsidR="00F77537" w:rsidRPr="00B20BE9">
        <w:rPr>
          <w:sz w:val="24"/>
          <w:szCs w:val="24"/>
        </w:rPr>
        <w:t>t a 5% DSIC, LP-5 customers would pay $596 annually based on customers' base distribution rates.</w:t>
      </w:r>
      <w:r w:rsidR="009C1AC2" w:rsidRPr="00B20BE9">
        <w:rPr>
          <w:rStyle w:val="FootnoteReference"/>
          <w:sz w:val="24"/>
          <w:szCs w:val="24"/>
        </w:rPr>
        <w:footnoteReference w:id="35"/>
      </w:r>
      <w:r w:rsidR="009C1AC2" w:rsidRPr="00B20BE9">
        <w:rPr>
          <w:sz w:val="24"/>
          <w:szCs w:val="24"/>
        </w:rPr>
        <w:t xml:space="preserve">  </w:t>
      </w:r>
      <w:r w:rsidR="009D0D91" w:rsidRPr="00B20BE9">
        <w:rPr>
          <w:sz w:val="24"/>
          <w:szCs w:val="24"/>
        </w:rPr>
        <w:t>However, as averred</w:t>
      </w:r>
      <w:r w:rsidR="00F77537" w:rsidRPr="00B20BE9">
        <w:rPr>
          <w:sz w:val="24"/>
          <w:szCs w:val="24"/>
        </w:rPr>
        <w:t xml:space="preserve"> by Mr. Baudino, adding the ACR revenues dramatically increases the impac</w:t>
      </w:r>
      <w:r w:rsidR="005B0056" w:rsidRPr="00B20BE9">
        <w:rPr>
          <w:sz w:val="24"/>
          <w:szCs w:val="24"/>
        </w:rPr>
        <w:t xml:space="preserve">t of the DSIC to LP-5 customers.  At the full 5% DSIC, including ACR revenues </w:t>
      </w:r>
      <w:r w:rsidR="00F77537" w:rsidRPr="00B20BE9">
        <w:rPr>
          <w:sz w:val="24"/>
          <w:szCs w:val="24"/>
        </w:rPr>
        <w:t>would raise PPL's annual DSIC collections from LP-5 customers b</w:t>
      </w:r>
      <w:r w:rsidR="005B0056" w:rsidRPr="00B20BE9">
        <w:rPr>
          <w:sz w:val="24"/>
          <w:szCs w:val="24"/>
        </w:rPr>
        <w:t>y $3,198, an increase of 536%.</w:t>
      </w:r>
      <w:r w:rsidR="009C1AC2" w:rsidRPr="00B20BE9">
        <w:rPr>
          <w:rStyle w:val="FootnoteReference"/>
          <w:sz w:val="24"/>
          <w:szCs w:val="24"/>
        </w:rPr>
        <w:footnoteReference w:id="36"/>
      </w:r>
      <w:r w:rsidR="009C1AC2" w:rsidRPr="00B20BE9">
        <w:rPr>
          <w:sz w:val="24"/>
          <w:szCs w:val="24"/>
        </w:rPr>
        <w:t xml:space="preserve">  </w:t>
      </w:r>
      <w:r w:rsidR="009D0D91" w:rsidRPr="00B20BE9">
        <w:rPr>
          <w:sz w:val="24"/>
          <w:szCs w:val="24"/>
        </w:rPr>
        <w:t xml:space="preserve">PPLICA’s position is that </w:t>
      </w:r>
      <w:r w:rsidR="00F77537" w:rsidRPr="00B20BE9">
        <w:rPr>
          <w:sz w:val="24"/>
          <w:szCs w:val="24"/>
        </w:rPr>
        <w:t>LP-5 customers do not use PPL's distribution system</w:t>
      </w:r>
      <w:r w:rsidR="009D0D91" w:rsidRPr="00B20BE9">
        <w:rPr>
          <w:sz w:val="24"/>
          <w:szCs w:val="24"/>
        </w:rPr>
        <w:t>; therefore, they would pay</w:t>
      </w:r>
      <w:r w:rsidR="00F77537" w:rsidRPr="00B20BE9">
        <w:rPr>
          <w:sz w:val="24"/>
          <w:szCs w:val="24"/>
        </w:rPr>
        <w:t xml:space="preserve"> thousands of dollars, per customer, for improvements benefitting other customer classes</w:t>
      </w:r>
      <w:r w:rsidR="00DC1C6B" w:rsidRPr="00B20BE9">
        <w:rPr>
          <w:sz w:val="24"/>
          <w:szCs w:val="24"/>
        </w:rPr>
        <w:t>.</w:t>
      </w:r>
      <w:r w:rsidR="009C1AC2" w:rsidRPr="00B20BE9">
        <w:rPr>
          <w:rStyle w:val="FootnoteReference"/>
          <w:sz w:val="24"/>
          <w:szCs w:val="24"/>
        </w:rPr>
        <w:footnoteReference w:id="37"/>
      </w:r>
      <w:r w:rsidR="00DC1C6B" w:rsidRPr="00B20BE9">
        <w:rPr>
          <w:sz w:val="24"/>
          <w:szCs w:val="24"/>
        </w:rPr>
        <w:t xml:space="preserve">  The cost discrimination observed by Mr. Baudino would not occur if PPL limited its DSIC calculation to revenues received for service related to the distribution system, according to PPLICA.  PPLICA M.B., pp. 20-21.</w:t>
      </w:r>
    </w:p>
    <w:p w:rsidR="00F77537" w:rsidRPr="00B20BE9" w:rsidRDefault="00F77537" w:rsidP="00F77537">
      <w:pPr>
        <w:rPr>
          <w:sz w:val="24"/>
          <w:szCs w:val="24"/>
        </w:rPr>
      </w:pPr>
    </w:p>
    <w:p w:rsidR="002027E5" w:rsidRPr="00B20BE9" w:rsidRDefault="00F77537" w:rsidP="00F77537">
      <w:pPr>
        <w:rPr>
          <w:sz w:val="24"/>
          <w:szCs w:val="24"/>
        </w:rPr>
      </w:pPr>
      <w:r w:rsidRPr="00B20BE9">
        <w:rPr>
          <w:sz w:val="24"/>
          <w:szCs w:val="24"/>
        </w:rPr>
        <w:tab/>
      </w:r>
      <w:r w:rsidR="009C1AC2" w:rsidRPr="00B20BE9">
        <w:rPr>
          <w:sz w:val="24"/>
          <w:szCs w:val="24"/>
        </w:rPr>
        <w:tab/>
        <w:t>PPLICA also claimed that t</w:t>
      </w:r>
      <w:r w:rsidRPr="00B20BE9">
        <w:rPr>
          <w:sz w:val="24"/>
          <w:szCs w:val="24"/>
        </w:rPr>
        <w:t>he ACR revenue projections reflected in th</w:t>
      </w:r>
      <w:r w:rsidR="009C1AC2" w:rsidRPr="00B20BE9">
        <w:rPr>
          <w:sz w:val="24"/>
          <w:szCs w:val="24"/>
        </w:rPr>
        <w:t>e</w:t>
      </w:r>
      <w:r w:rsidRPr="00B20BE9">
        <w:rPr>
          <w:sz w:val="24"/>
          <w:szCs w:val="24"/>
        </w:rPr>
        <w:t xml:space="preserve"> record do not accurately capture the full impact of including ACR revenues </w:t>
      </w:r>
      <w:r w:rsidR="009C1AC2" w:rsidRPr="00B20BE9">
        <w:rPr>
          <w:sz w:val="24"/>
          <w:szCs w:val="24"/>
        </w:rPr>
        <w:t xml:space="preserve">due to PPL filings at Docket Nos. M-2013-2389549 and M-2013-2389551, and Commission approval of </w:t>
      </w:r>
      <w:r w:rsidR="00C03C45" w:rsidRPr="00B20BE9">
        <w:rPr>
          <w:sz w:val="24"/>
          <w:szCs w:val="24"/>
        </w:rPr>
        <w:t xml:space="preserve">these filings </w:t>
      </w:r>
      <w:r w:rsidR="009C1AC2" w:rsidRPr="00B20BE9">
        <w:rPr>
          <w:sz w:val="24"/>
          <w:szCs w:val="24"/>
        </w:rPr>
        <w:t>after hearings in the instant case.  PPLICA included the percentage impac</w:t>
      </w:r>
      <w:r w:rsidR="002027E5" w:rsidRPr="00B20BE9">
        <w:rPr>
          <w:sz w:val="24"/>
          <w:szCs w:val="24"/>
        </w:rPr>
        <w:t>t of these filings in its Main Brief</w:t>
      </w:r>
      <w:r w:rsidR="009C1AC2" w:rsidRPr="00B20BE9">
        <w:rPr>
          <w:sz w:val="24"/>
          <w:szCs w:val="24"/>
        </w:rPr>
        <w:t xml:space="preserve">, but did not seek to reopen the record to include these calculations.  Accordingly, I will not </w:t>
      </w:r>
      <w:r w:rsidR="002027E5" w:rsidRPr="00B20BE9">
        <w:rPr>
          <w:sz w:val="24"/>
          <w:szCs w:val="24"/>
        </w:rPr>
        <w:t>discuss or consider</w:t>
      </w:r>
      <w:r w:rsidR="009C1AC2" w:rsidRPr="00B20BE9">
        <w:rPr>
          <w:sz w:val="24"/>
          <w:szCs w:val="24"/>
        </w:rPr>
        <w:t xml:space="preserve"> these percentages, as they are not part of this record upon which I can </w:t>
      </w:r>
      <w:r w:rsidR="002027E5" w:rsidRPr="00B20BE9">
        <w:rPr>
          <w:sz w:val="24"/>
          <w:szCs w:val="24"/>
        </w:rPr>
        <w:t xml:space="preserve">base my </w:t>
      </w:r>
      <w:r w:rsidR="009C1AC2" w:rsidRPr="00B20BE9">
        <w:rPr>
          <w:sz w:val="24"/>
          <w:szCs w:val="24"/>
        </w:rPr>
        <w:t>recommendation.</w:t>
      </w:r>
    </w:p>
    <w:p w:rsidR="00337D4A" w:rsidRPr="00B20BE9" w:rsidRDefault="00337D4A" w:rsidP="00F77537">
      <w:pPr>
        <w:rPr>
          <w:sz w:val="24"/>
          <w:szCs w:val="24"/>
        </w:rPr>
      </w:pPr>
    </w:p>
    <w:p w:rsidR="00337D4A" w:rsidRPr="00B20BE9" w:rsidRDefault="00337D4A" w:rsidP="00F77537">
      <w:pPr>
        <w:rPr>
          <w:sz w:val="24"/>
          <w:szCs w:val="24"/>
        </w:rPr>
      </w:pPr>
      <w:r w:rsidRPr="00B20BE9">
        <w:rPr>
          <w:sz w:val="24"/>
          <w:szCs w:val="24"/>
        </w:rPr>
        <w:tab/>
      </w:r>
      <w:r w:rsidRPr="00B20BE9">
        <w:rPr>
          <w:sz w:val="24"/>
          <w:szCs w:val="24"/>
        </w:rPr>
        <w:tab/>
        <w:t>In its Reply Brief, PPLICA reiterated its Main Brief arguments concerning PPL’s overbroad approach to inclusion of revenue within its 5% DSIC cap, with re</w:t>
      </w:r>
      <w:r w:rsidR="00626C81">
        <w:rPr>
          <w:sz w:val="24"/>
          <w:szCs w:val="24"/>
        </w:rPr>
        <w:t>spect to ACR and CER revenues.</w:t>
      </w:r>
    </w:p>
    <w:p w:rsidR="00337D4A" w:rsidRPr="00B20BE9" w:rsidRDefault="00337D4A" w:rsidP="00F77537">
      <w:pPr>
        <w:rPr>
          <w:sz w:val="24"/>
          <w:szCs w:val="24"/>
        </w:rPr>
      </w:pPr>
    </w:p>
    <w:p w:rsidR="00452320" w:rsidRPr="00B20BE9" w:rsidRDefault="00337D4A" w:rsidP="00F77537">
      <w:pPr>
        <w:rPr>
          <w:sz w:val="24"/>
          <w:szCs w:val="24"/>
        </w:rPr>
      </w:pPr>
      <w:r w:rsidRPr="00B20BE9">
        <w:rPr>
          <w:sz w:val="24"/>
          <w:szCs w:val="24"/>
        </w:rPr>
        <w:tab/>
      </w:r>
      <w:r w:rsidRPr="00B20BE9">
        <w:rPr>
          <w:sz w:val="24"/>
          <w:szCs w:val="24"/>
        </w:rPr>
        <w:tab/>
        <w:t xml:space="preserve">In response to PPL’s statutory construction arguments, PPLICA asserted that the Commission was not limited in its authority to scrutinize revenue sources for inclusion in the DSIC and </w:t>
      </w:r>
      <w:r w:rsidR="00550E32" w:rsidRPr="00B20BE9">
        <w:rPr>
          <w:sz w:val="24"/>
          <w:szCs w:val="24"/>
        </w:rPr>
        <w:t>could consider</w:t>
      </w:r>
      <w:r w:rsidRPr="00B20BE9">
        <w:rPr>
          <w:sz w:val="24"/>
          <w:szCs w:val="24"/>
        </w:rPr>
        <w:t xml:space="preserve"> whether or not the revenue is actually related to distribution service.  </w:t>
      </w:r>
      <w:r w:rsidR="00DF2E26" w:rsidRPr="00B20BE9">
        <w:rPr>
          <w:sz w:val="24"/>
          <w:szCs w:val="24"/>
        </w:rPr>
        <w:t xml:space="preserve">PPLICA emphasized that the Commission had already decided in its </w:t>
      </w:r>
      <w:r w:rsidR="00DF2E26" w:rsidRPr="00B20BE9">
        <w:rPr>
          <w:i/>
          <w:sz w:val="24"/>
          <w:szCs w:val="24"/>
        </w:rPr>
        <w:t>Final Implementation Orde</w:t>
      </w:r>
      <w:r w:rsidR="00550E32" w:rsidRPr="00B20BE9">
        <w:rPr>
          <w:i/>
          <w:sz w:val="24"/>
          <w:szCs w:val="24"/>
        </w:rPr>
        <w:t>r</w:t>
      </w:r>
      <w:r w:rsidR="00550E32" w:rsidRPr="00B20BE9">
        <w:rPr>
          <w:sz w:val="24"/>
          <w:szCs w:val="24"/>
        </w:rPr>
        <w:t>, Model Tariff</w:t>
      </w:r>
      <w:r w:rsidR="00DF2E26" w:rsidRPr="00B20BE9">
        <w:rPr>
          <w:sz w:val="24"/>
          <w:szCs w:val="24"/>
        </w:rPr>
        <w:t xml:space="preserve"> that only “applicable” rider revenue woul</w:t>
      </w:r>
      <w:r w:rsidR="0069608E">
        <w:rPr>
          <w:sz w:val="24"/>
          <w:szCs w:val="24"/>
        </w:rPr>
        <w:t>d be included.  PPLICA R.B., p. </w:t>
      </w:r>
      <w:r w:rsidR="00DF2E26" w:rsidRPr="00B20BE9">
        <w:rPr>
          <w:sz w:val="24"/>
          <w:szCs w:val="24"/>
        </w:rPr>
        <w:t>11.</w:t>
      </w:r>
      <w:r w:rsidR="00452320" w:rsidRPr="00B20BE9">
        <w:rPr>
          <w:sz w:val="24"/>
          <w:szCs w:val="24"/>
        </w:rPr>
        <w:t xml:space="preserve">  It argued that, contrary to PPL’s claims, the identification of public fire protection and the state tax adjustment surcharge as specific riders that must be excluded from the DSIC does not eliminate the Commission’s authority to exclude other riders.  PPLICA R.B., pp. 10-11.</w:t>
      </w:r>
    </w:p>
    <w:p w:rsidR="00452320" w:rsidRPr="00B20BE9" w:rsidRDefault="00452320" w:rsidP="00F77537">
      <w:pPr>
        <w:rPr>
          <w:sz w:val="24"/>
          <w:szCs w:val="24"/>
        </w:rPr>
      </w:pPr>
    </w:p>
    <w:p w:rsidR="00516CF6" w:rsidRPr="00B20BE9" w:rsidRDefault="00452320" w:rsidP="00F77537">
      <w:pPr>
        <w:rPr>
          <w:sz w:val="24"/>
          <w:szCs w:val="24"/>
        </w:rPr>
      </w:pPr>
      <w:r w:rsidRPr="00B20BE9">
        <w:rPr>
          <w:sz w:val="24"/>
          <w:szCs w:val="24"/>
        </w:rPr>
        <w:tab/>
      </w:r>
      <w:r w:rsidRPr="00B20BE9">
        <w:rPr>
          <w:sz w:val="24"/>
          <w:szCs w:val="24"/>
        </w:rPr>
        <w:tab/>
        <w:t xml:space="preserve">Regarding PPL’s argument that the ACR and CER recover distribution costs, are booked to </w:t>
      </w:r>
      <w:r w:rsidR="002641EA" w:rsidRPr="00B20BE9">
        <w:rPr>
          <w:sz w:val="24"/>
          <w:szCs w:val="24"/>
        </w:rPr>
        <w:t>distribution service accounts,</w:t>
      </w:r>
      <w:r w:rsidRPr="00B20BE9">
        <w:rPr>
          <w:sz w:val="24"/>
          <w:szCs w:val="24"/>
        </w:rPr>
        <w:t xml:space="preserve"> and would be recovered through base distribution rates but for the riders, PPLICA responded that in an unbundled environment, the underlying purpose of the rider must be examined.</w:t>
      </w:r>
      <w:r w:rsidR="002641EA" w:rsidRPr="00B20BE9">
        <w:rPr>
          <w:sz w:val="24"/>
          <w:szCs w:val="24"/>
        </w:rPr>
        <w:t xml:space="preserve">  It referenced the pre-restructuring practice of recovering generation and transmission charges through base rates.  PPLICA argued that, based on PPL’s rationale, PPL would have, at that time, characterized generation and transmission costs as distribution costs because they were recovered through base rates on a non-bypassable basis.  This demonstrates the fallacy in PPL’s argument</w:t>
      </w:r>
      <w:r w:rsidR="00C03C45" w:rsidRPr="00B20BE9">
        <w:rPr>
          <w:sz w:val="24"/>
          <w:szCs w:val="24"/>
        </w:rPr>
        <w:t>,</w:t>
      </w:r>
      <w:r w:rsidR="002641EA" w:rsidRPr="00B20BE9">
        <w:rPr>
          <w:sz w:val="24"/>
          <w:szCs w:val="24"/>
        </w:rPr>
        <w:t xml:space="preserve"> according to PPLICA as, without question, generation costs are inherently different from distribution costs, regardless of their method of recovery.  Similarly, the ACR and CER do not recover costs for service related to the distribution system.</w:t>
      </w:r>
      <w:r w:rsidR="00275B75" w:rsidRPr="00B20BE9">
        <w:rPr>
          <w:sz w:val="24"/>
          <w:szCs w:val="24"/>
        </w:rPr>
        <w:t xml:space="preserve">  PPLICA R.B., pp. 12-13.</w:t>
      </w:r>
      <w:r w:rsidR="00022EA3" w:rsidRPr="00B20BE9">
        <w:rPr>
          <w:sz w:val="24"/>
          <w:szCs w:val="24"/>
        </w:rPr>
        <w:t xml:space="preserve">  Therefore, these revenues should be excluded from the DSIC calculation.</w:t>
      </w:r>
    </w:p>
    <w:p w:rsidR="00516CF6" w:rsidRPr="00B20BE9" w:rsidRDefault="00516CF6" w:rsidP="00F77537">
      <w:pPr>
        <w:rPr>
          <w:sz w:val="24"/>
          <w:szCs w:val="24"/>
        </w:rPr>
      </w:pPr>
    </w:p>
    <w:p w:rsidR="00516CF6" w:rsidRPr="00B20BE9" w:rsidRDefault="00516CF6" w:rsidP="003506B9">
      <w:pPr>
        <w:ind w:left="720"/>
        <w:rPr>
          <w:sz w:val="24"/>
          <w:szCs w:val="24"/>
        </w:rPr>
      </w:pPr>
      <w:r w:rsidRPr="00B20BE9">
        <w:rPr>
          <w:sz w:val="24"/>
          <w:szCs w:val="24"/>
        </w:rPr>
        <w:t>2.</w:t>
      </w:r>
      <w:r w:rsidRPr="00B20BE9">
        <w:rPr>
          <w:sz w:val="24"/>
          <w:szCs w:val="24"/>
        </w:rPr>
        <w:tab/>
      </w:r>
      <w:r w:rsidRPr="00B20BE9">
        <w:rPr>
          <w:sz w:val="24"/>
          <w:szCs w:val="24"/>
          <w:u w:val="single"/>
        </w:rPr>
        <w:t>PPL Position</w:t>
      </w:r>
      <w:r w:rsidR="003506B9">
        <w:rPr>
          <w:sz w:val="24"/>
          <w:szCs w:val="24"/>
          <w:u w:val="single"/>
        </w:rPr>
        <w:fldChar w:fldCharType="begin"/>
      </w:r>
      <w:r w:rsidR="003506B9">
        <w:instrText xml:space="preserve"> TC "</w:instrText>
      </w:r>
      <w:bookmarkStart w:id="23" w:name="_Toc394309050"/>
      <w:r w:rsidR="003506B9" w:rsidRPr="008742F7">
        <w:rPr>
          <w:sz w:val="24"/>
          <w:szCs w:val="24"/>
        </w:rPr>
        <w:instrText>2.</w:instrText>
      </w:r>
      <w:r w:rsidR="003506B9" w:rsidRPr="008742F7">
        <w:rPr>
          <w:sz w:val="24"/>
          <w:szCs w:val="24"/>
        </w:rPr>
        <w:tab/>
      </w:r>
      <w:r w:rsidR="003506B9" w:rsidRPr="008742F7">
        <w:rPr>
          <w:sz w:val="24"/>
          <w:szCs w:val="24"/>
          <w:u w:val="single"/>
        </w:rPr>
        <w:instrText>PPL Position</w:instrText>
      </w:r>
      <w:bookmarkEnd w:id="23"/>
      <w:r w:rsidR="003506B9">
        <w:instrText xml:space="preserve">" \f C \l "3" </w:instrText>
      </w:r>
      <w:r w:rsidR="003506B9">
        <w:rPr>
          <w:sz w:val="24"/>
          <w:szCs w:val="24"/>
          <w:u w:val="single"/>
        </w:rPr>
        <w:fldChar w:fldCharType="end"/>
      </w:r>
    </w:p>
    <w:p w:rsidR="00516CF6" w:rsidRPr="00B20BE9" w:rsidRDefault="00516CF6" w:rsidP="00F77537">
      <w:pPr>
        <w:rPr>
          <w:sz w:val="24"/>
          <w:szCs w:val="24"/>
        </w:rPr>
      </w:pPr>
    </w:p>
    <w:p w:rsidR="00042F4E" w:rsidRPr="00B20BE9" w:rsidRDefault="00516CF6" w:rsidP="00F77537">
      <w:pPr>
        <w:rPr>
          <w:sz w:val="24"/>
          <w:szCs w:val="24"/>
        </w:rPr>
      </w:pPr>
      <w:r w:rsidRPr="00B20BE9">
        <w:rPr>
          <w:sz w:val="24"/>
          <w:szCs w:val="24"/>
        </w:rPr>
        <w:tab/>
      </w:r>
      <w:r w:rsidRPr="00B20BE9">
        <w:rPr>
          <w:sz w:val="24"/>
          <w:szCs w:val="24"/>
        </w:rPr>
        <w:tab/>
        <w:t>PPL opposed PPLICA’s proposal to exclude ACR and CER revenues from its 5% revenu</w:t>
      </w:r>
      <w:r w:rsidR="00C9030D">
        <w:rPr>
          <w:sz w:val="24"/>
          <w:szCs w:val="24"/>
        </w:rPr>
        <w:t>e cap associated with the DSIC.</w:t>
      </w:r>
    </w:p>
    <w:p w:rsidR="00042F4E" w:rsidRPr="00B20BE9" w:rsidRDefault="00042F4E" w:rsidP="00F77537">
      <w:pPr>
        <w:rPr>
          <w:sz w:val="24"/>
          <w:szCs w:val="24"/>
        </w:rPr>
      </w:pPr>
    </w:p>
    <w:p w:rsidR="00873956" w:rsidRPr="00B20BE9" w:rsidRDefault="00042F4E" w:rsidP="00F77537">
      <w:pPr>
        <w:rPr>
          <w:sz w:val="24"/>
          <w:szCs w:val="24"/>
        </w:rPr>
      </w:pPr>
      <w:r w:rsidRPr="00B20BE9">
        <w:rPr>
          <w:sz w:val="24"/>
          <w:szCs w:val="24"/>
        </w:rPr>
        <w:tab/>
      </w:r>
      <w:r w:rsidRPr="00B20BE9">
        <w:rPr>
          <w:sz w:val="24"/>
          <w:szCs w:val="24"/>
        </w:rPr>
        <w:tab/>
        <w:t xml:space="preserve">In its Main Brief, PPL first argued that principles of statutory construction supported inclusion </w:t>
      </w:r>
      <w:r w:rsidR="00873956" w:rsidRPr="00B20BE9">
        <w:rPr>
          <w:sz w:val="24"/>
          <w:szCs w:val="24"/>
        </w:rPr>
        <w:t>of ACR and CER revenues.  It specif</w:t>
      </w:r>
      <w:r w:rsidR="00D810EC">
        <w:rPr>
          <w:sz w:val="24"/>
          <w:szCs w:val="24"/>
        </w:rPr>
        <w:t>ically quoted from 66 Pa.C.S. § </w:t>
      </w:r>
      <w:r w:rsidR="00873956" w:rsidRPr="00B20BE9">
        <w:rPr>
          <w:sz w:val="24"/>
          <w:szCs w:val="24"/>
        </w:rPr>
        <w:t>1357(d)(2), which states that, with respect to calculation of the DSIC, “projected revenues shall not include revenues from public fire protection service earned by water utilities and the State tax adjustment surcharge.”  It observed that no other riders or elements of distribution rates are excluded.  PPL contended that, based on this clear language, the calculation of the projected revenues should include all other riders that were not specifically excluded by the General Assembly.  PPL M.B., p. 36.</w:t>
      </w:r>
    </w:p>
    <w:p w:rsidR="00873956" w:rsidRPr="00B20BE9" w:rsidRDefault="00873956" w:rsidP="00F77537">
      <w:pPr>
        <w:rPr>
          <w:sz w:val="24"/>
          <w:szCs w:val="24"/>
        </w:rPr>
      </w:pPr>
    </w:p>
    <w:p w:rsidR="00873956" w:rsidRPr="00B20BE9" w:rsidRDefault="00873956" w:rsidP="00F77537">
      <w:pPr>
        <w:rPr>
          <w:sz w:val="24"/>
          <w:szCs w:val="24"/>
        </w:rPr>
      </w:pPr>
      <w:r w:rsidRPr="00B20BE9">
        <w:rPr>
          <w:sz w:val="24"/>
          <w:szCs w:val="24"/>
        </w:rPr>
        <w:tab/>
      </w:r>
      <w:r w:rsidRPr="00B20BE9">
        <w:rPr>
          <w:sz w:val="24"/>
          <w:szCs w:val="24"/>
        </w:rPr>
        <w:tab/>
        <w:t xml:space="preserve">PPL further contended that the Model Tariff included with the </w:t>
      </w:r>
      <w:r w:rsidRPr="00B20BE9">
        <w:rPr>
          <w:i/>
          <w:sz w:val="24"/>
          <w:szCs w:val="24"/>
        </w:rPr>
        <w:t>Final Implementation Order</w:t>
      </w:r>
      <w:r w:rsidRPr="00B20BE9">
        <w:rPr>
          <w:sz w:val="24"/>
          <w:szCs w:val="24"/>
        </w:rPr>
        <w:t xml:space="preserve"> </w:t>
      </w:r>
      <w:r w:rsidR="00DC3C44" w:rsidRPr="00B20BE9">
        <w:rPr>
          <w:sz w:val="24"/>
          <w:szCs w:val="24"/>
        </w:rPr>
        <w:t>stated that riders should be included and, in support of its argument, quoted from the Model Tariff that revenues are to include “all app</w:t>
      </w:r>
      <w:r w:rsidR="004C68EF">
        <w:rPr>
          <w:sz w:val="24"/>
          <w:szCs w:val="24"/>
        </w:rPr>
        <w:t xml:space="preserve">licable clauses and riders.”  </w:t>
      </w:r>
      <w:r w:rsidR="00DC3C44" w:rsidRPr="00B20BE9">
        <w:rPr>
          <w:sz w:val="24"/>
          <w:szCs w:val="24"/>
        </w:rPr>
        <w:t>It averred that ACR and CER are part of the Company’s distribution service tariff and they recover costs booked to the distribution business pursuant to FERC’s Uniform Systems of Accounts for distribution service.  PPL St. No. 3-R, pp. 8-9.  Therefore, ACR and CER were inclu</w:t>
      </w:r>
      <w:r w:rsidR="00E8642B">
        <w:rPr>
          <w:sz w:val="24"/>
          <w:szCs w:val="24"/>
        </w:rPr>
        <w:t xml:space="preserve">ded in the DSIC calculation.  </w:t>
      </w:r>
      <w:r w:rsidR="00DC3C44" w:rsidRPr="00B20BE9">
        <w:rPr>
          <w:sz w:val="24"/>
          <w:szCs w:val="24"/>
        </w:rPr>
        <w:t>PPL M.B., pp. 36-37.</w:t>
      </w:r>
    </w:p>
    <w:p w:rsidR="00A80879" w:rsidRPr="00B20BE9" w:rsidRDefault="00A80879" w:rsidP="00F77537">
      <w:pPr>
        <w:rPr>
          <w:sz w:val="24"/>
          <w:szCs w:val="24"/>
        </w:rPr>
      </w:pPr>
    </w:p>
    <w:p w:rsidR="00A80879" w:rsidRPr="00B20BE9" w:rsidRDefault="00A80879" w:rsidP="00330844">
      <w:pPr>
        <w:tabs>
          <w:tab w:val="left" w:pos="-720"/>
          <w:tab w:val="left" w:pos="0"/>
        </w:tabs>
        <w:suppressAutoHyphens/>
        <w:rPr>
          <w:sz w:val="24"/>
          <w:szCs w:val="24"/>
        </w:rPr>
      </w:pPr>
      <w:r w:rsidRPr="00B20BE9">
        <w:rPr>
          <w:sz w:val="24"/>
          <w:szCs w:val="24"/>
        </w:rPr>
        <w:tab/>
      </w:r>
      <w:r w:rsidRPr="00B20BE9">
        <w:rPr>
          <w:sz w:val="24"/>
          <w:szCs w:val="24"/>
        </w:rPr>
        <w:tab/>
      </w:r>
      <w:r w:rsidR="004D4490" w:rsidRPr="00B20BE9">
        <w:rPr>
          <w:sz w:val="24"/>
          <w:szCs w:val="24"/>
        </w:rPr>
        <w:t>PPL asserted that cost recovery through a</w:t>
      </w:r>
      <w:r w:rsidRPr="00B20BE9">
        <w:rPr>
          <w:sz w:val="24"/>
          <w:szCs w:val="24"/>
        </w:rPr>
        <w:t xml:space="preserve"> Section 1307 automatic adjustment clause</w:t>
      </w:r>
      <w:r w:rsidR="004D4490" w:rsidRPr="00B20BE9">
        <w:rPr>
          <w:sz w:val="24"/>
          <w:szCs w:val="24"/>
        </w:rPr>
        <w:t xml:space="preserve">, such as the ACR and CER, </w:t>
      </w:r>
      <w:r w:rsidRPr="00B20BE9">
        <w:rPr>
          <w:sz w:val="24"/>
          <w:szCs w:val="24"/>
        </w:rPr>
        <w:t>instead of a Section 1308 base rate</w:t>
      </w:r>
      <w:r w:rsidR="004D4490" w:rsidRPr="00B20BE9">
        <w:rPr>
          <w:sz w:val="24"/>
          <w:szCs w:val="24"/>
        </w:rPr>
        <w:t>,</w:t>
      </w:r>
      <w:r w:rsidRPr="00B20BE9">
        <w:rPr>
          <w:sz w:val="24"/>
          <w:szCs w:val="24"/>
        </w:rPr>
        <w:t xml:space="preserve"> does not preclude </w:t>
      </w:r>
      <w:r w:rsidR="004D4490" w:rsidRPr="00B20BE9">
        <w:rPr>
          <w:sz w:val="24"/>
          <w:szCs w:val="24"/>
        </w:rPr>
        <w:t>these costs from being considered as</w:t>
      </w:r>
      <w:r w:rsidRPr="00B20BE9">
        <w:rPr>
          <w:sz w:val="24"/>
          <w:szCs w:val="24"/>
        </w:rPr>
        <w:t xml:space="preserve"> distribution costs.  </w:t>
      </w:r>
      <w:r w:rsidR="004D4490" w:rsidRPr="00B20BE9">
        <w:rPr>
          <w:sz w:val="24"/>
          <w:szCs w:val="24"/>
        </w:rPr>
        <w:t>PPL St. No. 3-R, p.</w:t>
      </w:r>
      <w:r w:rsidRPr="00B20BE9">
        <w:rPr>
          <w:sz w:val="24"/>
          <w:szCs w:val="24"/>
        </w:rPr>
        <w:t xml:space="preserve"> 9.  </w:t>
      </w:r>
      <w:r w:rsidR="004D4490" w:rsidRPr="00B20BE9">
        <w:rPr>
          <w:sz w:val="24"/>
          <w:szCs w:val="24"/>
        </w:rPr>
        <w:t>According to PPL,</w:t>
      </w:r>
      <w:r w:rsidRPr="00B20BE9">
        <w:rPr>
          <w:sz w:val="24"/>
          <w:szCs w:val="24"/>
        </w:rPr>
        <w:t xml:space="preserve"> the costs recovered in the </w:t>
      </w:r>
      <w:r w:rsidR="004D4490" w:rsidRPr="00B20BE9">
        <w:rPr>
          <w:sz w:val="24"/>
          <w:szCs w:val="24"/>
        </w:rPr>
        <w:t>ACR and CER ar</w:t>
      </w:r>
      <w:r w:rsidRPr="00B20BE9">
        <w:rPr>
          <w:sz w:val="24"/>
          <w:szCs w:val="24"/>
        </w:rPr>
        <w:t xml:space="preserve">e mandated by the </w:t>
      </w:r>
      <w:r w:rsidR="004D4490" w:rsidRPr="00B20BE9">
        <w:rPr>
          <w:sz w:val="24"/>
          <w:szCs w:val="24"/>
        </w:rPr>
        <w:t>Commission and are the res</w:t>
      </w:r>
      <w:r w:rsidRPr="00B20BE9">
        <w:rPr>
          <w:sz w:val="24"/>
          <w:szCs w:val="24"/>
        </w:rPr>
        <w:t>ponsibility of the E</w:t>
      </w:r>
      <w:r w:rsidR="004D4490" w:rsidRPr="00B20BE9">
        <w:rPr>
          <w:sz w:val="24"/>
          <w:szCs w:val="24"/>
        </w:rPr>
        <w:t>DC</w:t>
      </w:r>
      <w:r w:rsidRPr="00B20BE9">
        <w:rPr>
          <w:sz w:val="24"/>
          <w:szCs w:val="24"/>
        </w:rPr>
        <w:t xml:space="preserve">.  If these costs were not recovered in Section 1307 adjustment clauses, they would be included and recovered in the Company’s Section 1308 distribution rates, and the revenues would not be accounted for any differently than other base distribution revenues.  </w:t>
      </w:r>
      <w:r w:rsidRPr="00B20BE9">
        <w:rPr>
          <w:i/>
          <w:sz w:val="24"/>
          <w:szCs w:val="24"/>
        </w:rPr>
        <w:t>Id</w:t>
      </w:r>
      <w:r w:rsidRPr="00B20BE9">
        <w:rPr>
          <w:sz w:val="24"/>
          <w:szCs w:val="24"/>
        </w:rPr>
        <w:t xml:space="preserve">.  </w:t>
      </w:r>
      <w:r w:rsidR="004D4490" w:rsidRPr="00B20BE9">
        <w:rPr>
          <w:sz w:val="24"/>
          <w:szCs w:val="24"/>
        </w:rPr>
        <w:t>The Company also noted that, for billing</w:t>
      </w:r>
      <w:r w:rsidRPr="00B20BE9">
        <w:rPr>
          <w:sz w:val="24"/>
          <w:szCs w:val="24"/>
        </w:rPr>
        <w:t xml:space="preserve"> purposes, both the </w:t>
      </w:r>
      <w:r w:rsidR="004D4490" w:rsidRPr="00B20BE9">
        <w:rPr>
          <w:sz w:val="24"/>
          <w:szCs w:val="24"/>
        </w:rPr>
        <w:t>ACR</w:t>
      </w:r>
      <w:r w:rsidRPr="00B20BE9">
        <w:rPr>
          <w:sz w:val="24"/>
          <w:szCs w:val="24"/>
        </w:rPr>
        <w:t xml:space="preserve"> and </w:t>
      </w:r>
      <w:r w:rsidR="004D4490" w:rsidRPr="00B20BE9">
        <w:rPr>
          <w:sz w:val="24"/>
          <w:szCs w:val="24"/>
        </w:rPr>
        <w:t>CER</w:t>
      </w:r>
      <w:r w:rsidRPr="00B20BE9">
        <w:rPr>
          <w:sz w:val="24"/>
          <w:szCs w:val="24"/>
        </w:rPr>
        <w:t xml:space="preserve"> are combined with general residential distribution service rates and included as a single line item on the residential customer’s bill for “distribution service.”  </w:t>
      </w:r>
      <w:r w:rsidRPr="00B20BE9">
        <w:rPr>
          <w:i/>
          <w:sz w:val="24"/>
          <w:szCs w:val="24"/>
        </w:rPr>
        <w:t>Id</w:t>
      </w:r>
      <w:r w:rsidRPr="00B20BE9">
        <w:rPr>
          <w:sz w:val="24"/>
          <w:szCs w:val="24"/>
        </w:rPr>
        <w:t>. at 11.</w:t>
      </w:r>
    </w:p>
    <w:p w:rsidR="004D4490" w:rsidRPr="00B20BE9" w:rsidRDefault="004D4490" w:rsidP="00330844">
      <w:pPr>
        <w:pStyle w:val="BodyText2"/>
        <w:spacing w:after="0" w:line="360" w:lineRule="auto"/>
        <w:rPr>
          <w:sz w:val="24"/>
          <w:szCs w:val="24"/>
        </w:rPr>
      </w:pPr>
    </w:p>
    <w:p w:rsidR="004D4490" w:rsidRPr="00B20BE9" w:rsidRDefault="004D4490" w:rsidP="00330844">
      <w:pPr>
        <w:pStyle w:val="BodyText2"/>
        <w:spacing w:after="0" w:line="360" w:lineRule="auto"/>
        <w:rPr>
          <w:sz w:val="24"/>
          <w:szCs w:val="24"/>
        </w:rPr>
      </w:pPr>
      <w:r w:rsidRPr="00B20BE9">
        <w:rPr>
          <w:sz w:val="24"/>
          <w:szCs w:val="24"/>
        </w:rPr>
        <w:tab/>
      </w:r>
      <w:r w:rsidRPr="00B20BE9">
        <w:rPr>
          <w:sz w:val="24"/>
          <w:szCs w:val="24"/>
        </w:rPr>
        <w:tab/>
        <w:t xml:space="preserve">As to the specific purpose of the ACR, PPL averred that it recovers costs associated with Act 129, which requires large EDCs to file energy conservation plans with the Commission designed to achieve specified demand and energy reduction targets.  Cost recovery for Act 129 is capped at 2% of the EDC’s revenues, and EDCs are guaranteed cost recovery through a Section 1307 automatic adjustment clause.  </w:t>
      </w:r>
      <w:r w:rsidRPr="00B20BE9">
        <w:rPr>
          <w:i/>
          <w:sz w:val="24"/>
          <w:szCs w:val="24"/>
        </w:rPr>
        <w:t>Id</w:t>
      </w:r>
      <w:r w:rsidRPr="00B20BE9">
        <w:rPr>
          <w:sz w:val="24"/>
          <w:szCs w:val="24"/>
        </w:rPr>
        <w:t>. at 10.  Revenues related to recovering the cost of this program are distribution related, according to PPL</w:t>
      </w:r>
      <w:r w:rsidR="006304A9">
        <w:rPr>
          <w:sz w:val="24"/>
          <w:szCs w:val="24"/>
        </w:rPr>
        <w:t>.  The costs at issue under Act </w:t>
      </w:r>
      <w:r w:rsidRPr="00B20BE9">
        <w:rPr>
          <w:sz w:val="24"/>
          <w:szCs w:val="24"/>
        </w:rPr>
        <w:t xml:space="preserve">129 energy conservation plans are similar to energy conservation and education programs in place prior to Act 129, and have always been included in distribution rates.  </w:t>
      </w:r>
      <w:r w:rsidRPr="00B20BE9">
        <w:rPr>
          <w:i/>
          <w:sz w:val="24"/>
          <w:szCs w:val="24"/>
        </w:rPr>
        <w:t>Id</w:t>
      </w:r>
      <w:r w:rsidR="0062667E">
        <w:rPr>
          <w:sz w:val="24"/>
          <w:szCs w:val="24"/>
        </w:rPr>
        <w:t>.  The costs of Act </w:t>
      </w:r>
      <w:r w:rsidRPr="00B20BE9">
        <w:rPr>
          <w:sz w:val="24"/>
          <w:szCs w:val="24"/>
        </w:rPr>
        <w:t>129 energy conservation plans are also recovered in distributi</w:t>
      </w:r>
      <w:r w:rsidR="00BB6662">
        <w:rPr>
          <w:sz w:val="24"/>
          <w:szCs w:val="24"/>
        </w:rPr>
        <w:t>on rates, but through a Section </w:t>
      </w:r>
      <w:r w:rsidRPr="00B20BE9">
        <w:rPr>
          <w:sz w:val="24"/>
          <w:szCs w:val="24"/>
        </w:rPr>
        <w:t xml:space="preserve">1307 automatic adjustment clause instead of Section 1308 base rates.  </w:t>
      </w:r>
      <w:r w:rsidRPr="00B20BE9">
        <w:rPr>
          <w:i/>
          <w:sz w:val="24"/>
          <w:szCs w:val="24"/>
        </w:rPr>
        <w:t>Id</w:t>
      </w:r>
      <w:r w:rsidRPr="00B20BE9">
        <w:rPr>
          <w:sz w:val="24"/>
          <w:szCs w:val="24"/>
        </w:rPr>
        <w:t>.  PPL argued that the statutorily-authorized Section 1307 rate recovery for energy conservation costs does not and cannot somehow transform these costs into something other than distribution service costs.  Furthe</w:t>
      </w:r>
      <w:r w:rsidR="00330844" w:rsidRPr="00B20BE9">
        <w:rPr>
          <w:sz w:val="24"/>
          <w:szCs w:val="24"/>
        </w:rPr>
        <w:t xml:space="preserve">rmore, were it not for PPL </w:t>
      </w:r>
      <w:r w:rsidRPr="00B20BE9">
        <w:rPr>
          <w:sz w:val="24"/>
          <w:szCs w:val="24"/>
        </w:rPr>
        <w:t xml:space="preserve">being the provider of distribution services, it would not be incurring these costs.  </w:t>
      </w:r>
      <w:r w:rsidRPr="00B20BE9">
        <w:rPr>
          <w:i/>
          <w:sz w:val="24"/>
          <w:szCs w:val="24"/>
        </w:rPr>
        <w:t>Id</w:t>
      </w:r>
      <w:r w:rsidRPr="00B20BE9">
        <w:rPr>
          <w:sz w:val="24"/>
          <w:szCs w:val="24"/>
        </w:rPr>
        <w:t xml:space="preserve">.  </w:t>
      </w:r>
      <w:r w:rsidR="00330844" w:rsidRPr="00B20BE9">
        <w:rPr>
          <w:sz w:val="24"/>
          <w:szCs w:val="24"/>
        </w:rPr>
        <w:t>PPL concluded that, as t</w:t>
      </w:r>
      <w:r w:rsidRPr="00B20BE9">
        <w:rPr>
          <w:sz w:val="24"/>
          <w:szCs w:val="24"/>
        </w:rPr>
        <w:t>he obligation to achieve energy savings is imposed by statute on the EDC</w:t>
      </w:r>
      <w:r w:rsidR="00330844" w:rsidRPr="00B20BE9">
        <w:rPr>
          <w:sz w:val="24"/>
          <w:szCs w:val="24"/>
        </w:rPr>
        <w:t xml:space="preserve"> and </w:t>
      </w:r>
      <w:r w:rsidRPr="00B20BE9">
        <w:rPr>
          <w:sz w:val="24"/>
          <w:szCs w:val="24"/>
        </w:rPr>
        <w:t xml:space="preserve">the onus for these programs </w:t>
      </w:r>
      <w:r w:rsidR="00330844" w:rsidRPr="00B20BE9">
        <w:rPr>
          <w:sz w:val="24"/>
          <w:szCs w:val="24"/>
        </w:rPr>
        <w:t xml:space="preserve">is placed upon the EDC, </w:t>
      </w:r>
      <w:r w:rsidRPr="00B20BE9">
        <w:rPr>
          <w:sz w:val="24"/>
          <w:szCs w:val="24"/>
        </w:rPr>
        <w:t>recovery of the costs is therefore distribution revenue which should be included in the DSIC.</w:t>
      </w:r>
      <w:r w:rsidR="00330844" w:rsidRPr="00B20BE9">
        <w:rPr>
          <w:sz w:val="24"/>
          <w:szCs w:val="24"/>
        </w:rPr>
        <w:t xml:space="preserve">  PPL M.B., pp. 37-38.</w:t>
      </w:r>
    </w:p>
    <w:p w:rsidR="004D4490" w:rsidRPr="00B20BE9" w:rsidRDefault="004D4490" w:rsidP="00330844">
      <w:pPr>
        <w:pStyle w:val="BodyText2"/>
        <w:spacing w:after="0" w:line="360" w:lineRule="auto"/>
        <w:rPr>
          <w:sz w:val="24"/>
          <w:szCs w:val="24"/>
        </w:rPr>
      </w:pPr>
    </w:p>
    <w:p w:rsidR="00A80879" w:rsidRDefault="00330844" w:rsidP="00330844">
      <w:pPr>
        <w:pStyle w:val="BodyText2"/>
        <w:spacing w:after="0" w:line="360" w:lineRule="auto"/>
        <w:rPr>
          <w:sz w:val="24"/>
          <w:szCs w:val="24"/>
        </w:rPr>
      </w:pPr>
      <w:r w:rsidRPr="00B20BE9">
        <w:rPr>
          <w:sz w:val="24"/>
          <w:szCs w:val="24"/>
        </w:rPr>
        <w:tab/>
      </w:r>
      <w:r w:rsidRPr="00B20BE9">
        <w:rPr>
          <w:sz w:val="24"/>
          <w:szCs w:val="24"/>
        </w:rPr>
        <w:tab/>
        <w:t xml:space="preserve">With regard to the CER, PPL indicated that it </w:t>
      </w:r>
      <w:r w:rsidR="00A80879" w:rsidRPr="00B20BE9">
        <w:rPr>
          <w:sz w:val="24"/>
          <w:szCs w:val="24"/>
        </w:rPr>
        <w:t xml:space="preserve">recovers costs related to competitive retail electricity enhancement initiatives undertaken by </w:t>
      </w:r>
      <w:r w:rsidR="000D0863" w:rsidRPr="00B20BE9">
        <w:rPr>
          <w:sz w:val="24"/>
          <w:szCs w:val="24"/>
        </w:rPr>
        <w:t>EDCs</w:t>
      </w:r>
      <w:r w:rsidR="00A80879" w:rsidRPr="00B20BE9">
        <w:rPr>
          <w:sz w:val="24"/>
          <w:szCs w:val="24"/>
        </w:rPr>
        <w:t xml:space="preserve"> and related consumer education programs.  </w:t>
      </w:r>
      <w:r w:rsidRPr="00B20BE9">
        <w:rPr>
          <w:sz w:val="24"/>
          <w:szCs w:val="24"/>
        </w:rPr>
        <w:t xml:space="preserve">PPL St. No. 3-R, p. </w:t>
      </w:r>
      <w:r w:rsidR="00A80879" w:rsidRPr="00B20BE9">
        <w:rPr>
          <w:sz w:val="24"/>
          <w:szCs w:val="24"/>
        </w:rPr>
        <w:t>9.  The CER applies to all distribution service customers whether the customer obtains ge</w:t>
      </w:r>
      <w:r w:rsidRPr="00B20BE9">
        <w:rPr>
          <w:sz w:val="24"/>
          <w:szCs w:val="24"/>
        </w:rPr>
        <w:t xml:space="preserve">neration service through an electric generation supplier (EGS) </w:t>
      </w:r>
      <w:r w:rsidR="00A80879" w:rsidRPr="00B20BE9">
        <w:rPr>
          <w:sz w:val="24"/>
          <w:szCs w:val="24"/>
        </w:rPr>
        <w:t xml:space="preserve">or default supply.  </w:t>
      </w:r>
      <w:r w:rsidRPr="00B20BE9">
        <w:rPr>
          <w:sz w:val="24"/>
          <w:szCs w:val="24"/>
        </w:rPr>
        <w:t>PPL claimed that t</w:t>
      </w:r>
      <w:r w:rsidR="00A80879" w:rsidRPr="00B20BE9">
        <w:rPr>
          <w:sz w:val="24"/>
          <w:szCs w:val="24"/>
        </w:rPr>
        <w:t xml:space="preserve">hese programs are targeted at distribution customers, the costs are clearly related to distribution service, and but for the existence of the rider mechanism, these costs would be recovered through base rates.  </w:t>
      </w:r>
      <w:r w:rsidR="00A80879" w:rsidRPr="00B20BE9">
        <w:rPr>
          <w:i/>
          <w:sz w:val="24"/>
          <w:szCs w:val="24"/>
        </w:rPr>
        <w:t>Id</w:t>
      </w:r>
      <w:r w:rsidR="00A80879" w:rsidRPr="00B20BE9">
        <w:rPr>
          <w:sz w:val="24"/>
          <w:szCs w:val="24"/>
        </w:rPr>
        <w:t>.</w:t>
      </w:r>
      <w:r w:rsidR="00DC0438" w:rsidRPr="00B20BE9">
        <w:rPr>
          <w:sz w:val="24"/>
          <w:szCs w:val="24"/>
        </w:rPr>
        <w:t xml:space="preserve">  PPL M.B., pp. 37-38.</w:t>
      </w:r>
    </w:p>
    <w:p w:rsidR="00897C7B" w:rsidRPr="00B20BE9" w:rsidRDefault="00897C7B" w:rsidP="00330844">
      <w:pPr>
        <w:pStyle w:val="BodyText2"/>
        <w:spacing w:after="0" w:line="360" w:lineRule="auto"/>
        <w:rPr>
          <w:sz w:val="24"/>
          <w:szCs w:val="24"/>
        </w:rPr>
      </w:pPr>
    </w:p>
    <w:p w:rsidR="00A80879" w:rsidRPr="00B20BE9" w:rsidRDefault="00330844" w:rsidP="00330844">
      <w:pPr>
        <w:pStyle w:val="BodyText2"/>
        <w:spacing w:after="0" w:line="360" w:lineRule="auto"/>
        <w:rPr>
          <w:sz w:val="24"/>
          <w:szCs w:val="24"/>
        </w:rPr>
      </w:pPr>
      <w:r w:rsidRPr="00B20BE9">
        <w:rPr>
          <w:sz w:val="24"/>
          <w:szCs w:val="24"/>
        </w:rPr>
        <w:tab/>
      </w:r>
      <w:r w:rsidRPr="00B20BE9">
        <w:rPr>
          <w:sz w:val="24"/>
          <w:szCs w:val="24"/>
        </w:rPr>
        <w:tab/>
        <w:t xml:space="preserve">In conclusion, PPL </w:t>
      </w:r>
      <w:r w:rsidR="00DC0438" w:rsidRPr="00B20BE9">
        <w:rPr>
          <w:sz w:val="24"/>
          <w:szCs w:val="24"/>
        </w:rPr>
        <w:t>asserted</w:t>
      </w:r>
      <w:r w:rsidRPr="00B20BE9">
        <w:rPr>
          <w:sz w:val="24"/>
          <w:szCs w:val="24"/>
        </w:rPr>
        <w:t xml:space="preserve"> that</w:t>
      </w:r>
      <w:r w:rsidR="00DC0438" w:rsidRPr="00B20BE9">
        <w:rPr>
          <w:sz w:val="24"/>
          <w:szCs w:val="24"/>
        </w:rPr>
        <w:t xml:space="preserve"> PPLICA’s proposal to exclude ACR and CER revenues should be rejected.  It emphasized that b</w:t>
      </w:r>
      <w:r w:rsidRPr="00B20BE9">
        <w:rPr>
          <w:sz w:val="24"/>
          <w:szCs w:val="24"/>
        </w:rPr>
        <w:t xml:space="preserve">oth the ACR and CER are contained in PPL’s </w:t>
      </w:r>
      <w:r w:rsidR="00A80879" w:rsidRPr="00B20BE9">
        <w:rPr>
          <w:sz w:val="24"/>
          <w:szCs w:val="24"/>
        </w:rPr>
        <w:t xml:space="preserve">distribution tariff and are charged to all </w:t>
      </w:r>
      <w:r w:rsidR="00897C7B">
        <w:rPr>
          <w:sz w:val="24"/>
          <w:szCs w:val="24"/>
        </w:rPr>
        <w:t xml:space="preserve">distribution service customers. </w:t>
      </w:r>
      <w:r w:rsidR="00A80879" w:rsidRPr="00B20BE9">
        <w:rPr>
          <w:sz w:val="24"/>
          <w:szCs w:val="24"/>
        </w:rPr>
        <w:t xml:space="preserve"> In addition, each </w:t>
      </w:r>
      <w:r w:rsidRPr="00B20BE9">
        <w:rPr>
          <w:sz w:val="24"/>
          <w:szCs w:val="24"/>
        </w:rPr>
        <w:t xml:space="preserve">rider </w:t>
      </w:r>
      <w:r w:rsidR="00A80879" w:rsidRPr="00B20BE9">
        <w:rPr>
          <w:sz w:val="24"/>
          <w:szCs w:val="24"/>
        </w:rPr>
        <w:t xml:space="preserve">recovers costs incurred by PPL to meet statutory obligations as an </w:t>
      </w:r>
      <w:r w:rsidR="00DC0438" w:rsidRPr="00B20BE9">
        <w:rPr>
          <w:sz w:val="24"/>
          <w:szCs w:val="24"/>
        </w:rPr>
        <w:t>EDC</w:t>
      </w:r>
      <w:r w:rsidR="00A80879" w:rsidRPr="00B20BE9">
        <w:rPr>
          <w:sz w:val="24"/>
          <w:szCs w:val="24"/>
        </w:rPr>
        <w:t xml:space="preserve"> unde</w:t>
      </w:r>
      <w:r w:rsidR="00897C7B">
        <w:rPr>
          <w:sz w:val="24"/>
          <w:szCs w:val="24"/>
        </w:rPr>
        <w:t xml:space="preserve">r the Public Utility Code. </w:t>
      </w:r>
      <w:r w:rsidR="00A80879" w:rsidRPr="00B20BE9">
        <w:rPr>
          <w:sz w:val="24"/>
          <w:szCs w:val="24"/>
        </w:rPr>
        <w:t xml:space="preserve"> </w:t>
      </w:r>
      <w:r w:rsidR="00DC0438" w:rsidRPr="00B20BE9">
        <w:rPr>
          <w:sz w:val="24"/>
          <w:szCs w:val="24"/>
        </w:rPr>
        <w:t>Also, the</w:t>
      </w:r>
      <w:r w:rsidR="00A80879" w:rsidRPr="00B20BE9">
        <w:rPr>
          <w:sz w:val="24"/>
          <w:szCs w:val="24"/>
        </w:rPr>
        <w:t xml:space="preserve"> costs now recovered by these two distribution rate riders were previously recover</w:t>
      </w:r>
      <w:r w:rsidR="00897C7B">
        <w:rPr>
          <w:sz w:val="24"/>
          <w:szCs w:val="24"/>
        </w:rPr>
        <w:t xml:space="preserve">ed in base distribution rates.  </w:t>
      </w:r>
      <w:r w:rsidR="00A80879" w:rsidRPr="00B20BE9">
        <w:rPr>
          <w:sz w:val="24"/>
          <w:szCs w:val="24"/>
        </w:rPr>
        <w:t>Act 11 draws no distinction between b</w:t>
      </w:r>
      <w:r w:rsidR="00897C7B">
        <w:rPr>
          <w:sz w:val="24"/>
          <w:szCs w:val="24"/>
        </w:rPr>
        <w:t xml:space="preserve">ase rates and base rate riders. </w:t>
      </w:r>
      <w:r w:rsidR="00A80879" w:rsidRPr="00B20BE9">
        <w:rPr>
          <w:sz w:val="24"/>
          <w:szCs w:val="24"/>
        </w:rPr>
        <w:t xml:space="preserve"> </w:t>
      </w:r>
      <w:r w:rsidR="00DC0438" w:rsidRPr="00B20BE9">
        <w:rPr>
          <w:sz w:val="24"/>
          <w:szCs w:val="24"/>
        </w:rPr>
        <w:t>As both</w:t>
      </w:r>
      <w:r w:rsidR="00A80879" w:rsidRPr="00B20BE9">
        <w:rPr>
          <w:sz w:val="24"/>
          <w:szCs w:val="24"/>
        </w:rPr>
        <w:t xml:space="preserve"> of these riders clearly collect and recover distribution system costs</w:t>
      </w:r>
      <w:r w:rsidR="00DC0438" w:rsidRPr="00B20BE9">
        <w:rPr>
          <w:sz w:val="24"/>
          <w:szCs w:val="24"/>
        </w:rPr>
        <w:t>, they are</w:t>
      </w:r>
      <w:r w:rsidR="00A80879" w:rsidRPr="00B20BE9">
        <w:rPr>
          <w:sz w:val="24"/>
          <w:szCs w:val="24"/>
        </w:rPr>
        <w:t xml:space="preserve"> properly included in the calculation of the </w:t>
      </w:r>
      <w:r w:rsidR="00DC0438" w:rsidRPr="00B20BE9">
        <w:rPr>
          <w:sz w:val="24"/>
          <w:szCs w:val="24"/>
        </w:rPr>
        <w:t xml:space="preserve">5% </w:t>
      </w:r>
      <w:r w:rsidR="00A80879" w:rsidRPr="00B20BE9">
        <w:rPr>
          <w:sz w:val="24"/>
          <w:szCs w:val="24"/>
        </w:rPr>
        <w:t>DSIC cap</w:t>
      </w:r>
      <w:r w:rsidR="00DC0438" w:rsidRPr="00B20BE9">
        <w:rPr>
          <w:sz w:val="24"/>
          <w:szCs w:val="24"/>
        </w:rPr>
        <w:t>, according to PPL</w:t>
      </w:r>
      <w:r w:rsidR="00A80879" w:rsidRPr="00B20BE9">
        <w:rPr>
          <w:sz w:val="24"/>
          <w:szCs w:val="24"/>
        </w:rPr>
        <w:t>.</w:t>
      </w:r>
      <w:r w:rsidR="00DC0438" w:rsidRPr="00B20BE9">
        <w:rPr>
          <w:sz w:val="24"/>
          <w:szCs w:val="24"/>
        </w:rPr>
        <w:t xml:space="preserve">  PPL M.B., pp.</w:t>
      </w:r>
      <w:r w:rsidR="005351A1">
        <w:rPr>
          <w:sz w:val="24"/>
          <w:szCs w:val="24"/>
        </w:rPr>
        <w:t> </w:t>
      </w:r>
      <w:r w:rsidR="00DC0438" w:rsidRPr="00B20BE9">
        <w:rPr>
          <w:sz w:val="24"/>
          <w:szCs w:val="24"/>
        </w:rPr>
        <w:t>38</w:t>
      </w:r>
      <w:r w:rsidR="005351A1">
        <w:rPr>
          <w:sz w:val="24"/>
          <w:szCs w:val="24"/>
        </w:rPr>
        <w:noBreakHyphen/>
      </w:r>
      <w:r w:rsidR="00DC0438" w:rsidRPr="00B20BE9">
        <w:rPr>
          <w:sz w:val="24"/>
          <w:szCs w:val="24"/>
        </w:rPr>
        <w:t>39.</w:t>
      </w:r>
    </w:p>
    <w:p w:rsidR="00A80879" w:rsidRPr="00B20BE9" w:rsidRDefault="00A80879" w:rsidP="00330844">
      <w:pPr>
        <w:rPr>
          <w:sz w:val="24"/>
          <w:szCs w:val="24"/>
        </w:rPr>
      </w:pPr>
    </w:p>
    <w:p w:rsidR="00FC4C89" w:rsidRPr="00B20BE9" w:rsidRDefault="00FC4C89" w:rsidP="00330844">
      <w:pPr>
        <w:rPr>
          <w:sz w:val="24"/>
          <w:szCs w:val="24"/>
        </w:rPr>
      </w:pPr>
      <w:r w:rsidRPr="00B20BE9">
        <w:rPr>
          <w:sz w:val="24"/>
          <w:szCs w:val="24"/>
        </w:rPr>
        <w:tab/>
      </w:r>
      <w:r w:rsidRPr="00B20BE9">
        <w:rPr>
          <w:sz w:val="24"/>
          <w:szCs w:val="24"/>
        </w:rPr>
        <w:tab/>
        <w:t>In its Reply Brief, PPL reiterated its Main Brief argument about statutory construction, and contended that the Commission did not have the authority to reject ACR and CER revenue.  PPL R.B., p. 21.</w:t>
      </w:r>
      <w:r w:rsidR="002D16EB" w:rsidRPr="00B20BE9">
        <w:rPr>
          <w:sz w:val="24"/>
          <w:szCs w:val="24"/>
        </w:rPr>
        <w:t xml:space="preserve">  It also re-emphasized that the recovery of these costs through riders rather than base rates should not require exclusion from the DSIC.  PPL R.B. pp. 22-23.</w:t>
      </w:r>
    </w:p>
    <w:p w:rsidR="00FC4C89" w:rsidRPr="00B20BE9" w:rsidRDefault="00FC4C89" w:rsidP="00330844">
      <w:pPr>
        <w:rPr>
          <w:sz w:val="24"/>
          <w:szCs w:val="24"/>
        </w:rPr>
      </w:pPr>
    </w:p>
    <w:p w:rsidR="002D16EB" w:rsidRPr="00B20BE9" w:rsidRDefault="00FC4C89" w:rsidP="00330844">
      <w:pPr>
        <w:rPr>
          <w:sz w:val="24"/>
          <w:szCs w:val="24"/>
        </w:rPr>
      </w:pPr>
      <w:r w:rsidRPr="00B20BE9">
        <w:rPr>
          <w:sz w:val="24"/>
          <w:szCs w:val="24"/>
        </w:rPr>
        <w:tab/>
      </w:r>
      <w:r w:rsidRPr="00B20BE9">
        <w:rPr>
          <w:sz w:val="24"/>
          <w:szCs w:val="24"/>
        </w:rPr>
        <w:tab/>
        <w:t xml:space="preserve">In response to PPLICA’s position that the purpose of the rider must be considered, PPL argued that PPLICA would only allow revenues that are directly associated with distribution plant, and that this narrow focus is inappropriate. </w:t>
      </w:r>
      <w:r w:rsidR="006159D0">
        <w:rPr>
          <w:sz w:val="24"/>
          <w:szCs w:val="24"/>
        </w:rPr>
        <w:t xml:space="preserve"> </w:t>
      </w:r>
      <w:r w:rsidRPr="00B20BE9">
        <w:rPr>
          <w:sz w:val="24"/>
          <w:szCs w:val="24"/>
        </w:rPr>
        <w:t xml:space="preserve">It contended that, as required by Act 11 and by the very definition of rate in the Code, those revenues associated with distribution rates are to be included in the DSIC </w:t>
      </w:r>
      <w:r w:rsidR="006159D0">
        <w:rPr>
          <w:sz w:val="24"/>
          <w:szCs w:val="24"/>
        </w:rPr>
        <w:t>calculation.  PPL R.B., p. 22.</w:t>
      </w:r>
    </w:p>
    <w:p w:rsidR="002D16EB" w:rsidRPr="00B20BE9" w:rsidRDefault="002D16EB" w:rsidP="00330844">
      <w:pPr>
        <w:rPr>
          <w:sz w:val="24"/>
          <w:szCs w:val="24"/>
        </w:rPr>
      </w:pPr>
    </w:p>
    <w:p w:rsidR="00F277BE" w:rsidRPr="00B20BE9" w:rsidRDefault="002D16EB" w:rsidP="00330844">
      <w:pPr>
        <w:rPr>
          <w:sz w:val="24"/>
          <w:szCs w:val="24"/>
        </w:rPr>
      </w:pPr>
      <w:r w:rsidRPr="00B20BE9">
        <w:rPr>
          <w:sz w:val="24"/>
          <w:szCs w:val="24"/>
        </w:rPr>
        <w:tab/>
      </w:r>
      <w:r w:rsidRPr="00B20BE9">
        <w:rPr>
          <w:sz w:val="24"/>
          <w:szCs w:val="24"/>
        </w:rPr>
        <w:tab/>
        <w:t>As to PPLICA’s unreasonable rate discrimination contention, PPL argued that the complete analysis set forth in PPLICA’s Main Brief was not included in the record.  It further asserted that the revenues should be included as distribution revenues and that any disproportionate impact is irrelevant to the issue presented.  PPL R.B., pp. 23-</w:t>
      </w:r>
      <w:r w:rsidR="00D7552D" w:rsidRPr="00B20BE9">
        <w:rPr>
          <w:sz w:val="24"/>
          <w:szCs w:val="24"/>
        </w:rPr>
        <w:t>2</w:t>
      </w:r>
      <w:r w:rsidRPr="00B20BE9">
        <w:rPr>
          <w:sz w:val="24"/>
          <w:szCs w:val="24"/>
        </w:rPr>
        <w:t>4.</w:t>
      </w:r>
    </w:p>
    <w:p w:rsidR="00D7552D" w:rsidRPr="003506B9" w:rsidRDefault="00D7552D" w:rsidP="00330844">
      <w:pPr>
        <w:rPr>
          <w:sz w:val="24"/>
          <w:szCs w:val="24"/>
        </w:rPr>
      </w:pPr>
    </w:p>
    <w:p w:rsidR="00D7552D" w:rsidRPr="003506B9" w:rsidRDefault="00D7552D" w:rsidP="003506B9">
      <w:pPr>
        <w:ind w:left="720"/>
        <w:rPr>
          <w:sz w:val="24"/>
          <w:szCs w:val="24"/>
        </w:rPr>
      </w:pPr>
      <w:r w:rsidRPr="003506B9">
        <w:rPr>
          <w:sz w:val="24"/>
          <w:szCs w:val="24"/>
        </w:rPr>
        <w:t>3.</w:t>
      </w:r>
      <w:r w:rsidRPr="003506B9">
        <w:rPr>
          <w:sz w:val="24"/>
          <w:szCs w:val="24"/>
        </w:rPr>
        <w:tab/>
      </w:r>
      <w:r w:rsidRPr="003506B9">
        <w:rPr>
          <w:sz w:val="24"/>
          <w:szCs w:val="24"/>
          <w:u w:val="single"/>
        </w:rPr>
        <w:t>ALJ Ruling</w:t>
      </w:r>
      <w:r w:rsidR="003506B9">
        <w:rPr>
          <w:sz w:val="24"/>
          <w:szCs w:val="24"/>
          <w:u w:val="single"/>
        </w:rPr>
        <w:fldChar w:fldCharType="begin"/>
      </w:r>
      <w:r w:rsidR="003506B9">
        <w:instrText xml:space="preserve"> TC "</w:instrText>
      </w:r>
      <w:bookmarkStart w:id="24" w:name="_Toc394309051"/>
      <w:r w:rsidR="003506B9" w:rsidRPr="008742F7">
        <w:rPr>
          <w:sz w:val="24"/>
          <w:szCs w:val="24"/>
        </w:rPr>
        <w:instrText>3.</w:instrText>
      </w:r>
      <w:r w:rsidR="003506B9" w:rsidRPr="008742F7">
        <w:rPr>
          <w:sz w:val="24"/>
          <w:szCs w:val="24"/>
        </w:rPr>
        <w:tab/>
      </w:r>
      <w:r w:rsidR="003506B9" w:rsidRPr="008742F7">
        <w:rPr>
          <w:sz w:val="24"/>
          <w:szCs w:val="24"/>
          <w:u w:val="single"/>
        </w:rPr>
        <w:instrText>ALJ Ruling</w:instrText>
      </w:r>
      <w:bookmarkEnd w:id="24"/>
      <w:r w:rsidR="003506B9">
        <w:instrText xml:space="preserve">" \f C \l "3" </w:instrText>
      </w:r>
      <w:r w:rsidR="003506B9">
        <w:rPr>
          <w:sz w:val="24"/>
          <w:szCs w:val="24"/>
          <w:u w:val="single"/>
        </w:rPr>
        <w:fldChar w:fldCharType="end"/>
      </w:r>
    </w:p>
    <w:p w:rsidR="008363AE" w:rsidRPr="00B20BE9" w:rsidRDefault="008363AE" w:rsidP="00330844">
      <w:pPr>
        <w:rPr>
          <w:sz w:val="24"/>
          <w:szCs w:val="24"/>
        </w:rPr>
      </w:pPr>
    </w:p>
    <w:p w:rsidR="002A27F9" w:rsidRPr="00B20BE9" w:rsidRDefault="008363AE" w:rsidP="00330844">
      <w:pPr>
        <w:rPr>
          <w:sz w:val="24"/>
          <w:szCs w:val="24"/>
        </w:rPr>
      </w:pPr>
      <w:r w:rsidRPr="00B20BE9">
        <w:rPr>
          <w:sz w:val="24"/>
          <w:szCs w:val="24"/>
        </w:rPr>
        <w:tab/>
      </w:r>
      <w:r w:rsidRPr="00B20BE9">
        <w:rPr>
          <w:sz w:val="24"/>
          <w:szCs w:val="24"/>
        </w:rPr>
        <w:tab/>
        <w:t xml:space="preserve">For the reasons set forth below, I find that PPL has not met its burden of proof as to the inclusion of ACR and CER revenues in its DSIC calculation.  Accordingly, I recommend that the DSIC be recalculated with these revenues excluded, and that appropriate refunds be issued, </w:t>
      </w:r>
      <w:r w:rsidR="00607FF3" w:rsidRPr="00B20BE9">
        <w:rPr>
          <w:sz w:val="24"/>
          <w:szCs w:val="24"/>
        </w:rPr>
        <w:t xml:space="preserve">retroactive to July 1, 2013, </w:t>
      </w:r>
      <w:r w:rsidRPr="00B20BE9">
        <w:rPr>
          <w:sz w:val="24"/>
          <w:szCs w:val="24"/>
        </w:rPr>
        <w:t xml:space="preserve">with interest </w:t>
      </w:r>
      <w:r w:rsidR="00607FF3" w:rsidRPr="00B20BE9">
        <w:rPr>
          <w:sz w:val="24"/>
          <w:szCs w:val="24"/>
        </w:rPr>
        <w:t xml:space="preserve">at the </w:t>
      </w:r>
      <w:r w:rsidR="005D6709" w:rsidRPr="00B20BE9">
        <w:rPr>
          <w:sz w:val="24"/>
          <w:szCs w:val="24"/>
        </w:rPr>
        <w:t>residential mortgage rate</w:t>
      </w:r>
      <w:r w:rsidR="008045E6">
        <w:rPr>
          <w:sz w:val="24"/>
          <w:szCs w:val="24"/>
        </w:rPr>
        <w:t>.</w:t>
      </w:r>
    </w:p>
    <w:p w:rsidR="002A27F9" w:rsidRPr="00B20BE9" w:rsidRDefault="002A27F9" w:rsidP="00330844">
      <w:pPr>
        <w:rPr>
          <w:sz w:val="24"/>
          <w:szCs w:val="24"/>
        </w:rPr>
      </w:pPr>
    </w:p>
    <w:p w:rsidR="00EC7C20" w:rsidRPr="00B20BE9" w:rsidRDefault="002A27F9" w:rsidP="00330844">
      <w:pPr>
        <w:rPr>
          <w:sz w:val="24"/>
          <w:szCs w:val="24"/>
        </w:rPr>
      </w:pPr>
      <w:r w:rsidRPr="00B20BE9">
        <w:rPr>
          <w:sz w:val="24"/>
          <w:szCs w:val="24"/>
        </w:rPr>
        <w:tab/>
      </w:r>
      <w:r w:rsidRPr="00B20BE9">
        <w:rPr>
          <w:sz w:val="24"/>
          <w:szCs w:val="24"/>
        </w:rPr>
        <w:tab/>
        <w:t xml:space="preserve">As with the application of the DSIC to the LP-5 class, PPL has the burden of proving the reasonableness and appropriateness of revenues included in its DSIC calculation.  66 Pa.C.S. § 315(a).  This burden does not shift to other parties opposing the calculation, but remains with the public utility throughout the course of the proceeding.  66 Pa.C.S. </w:t>
      </w:r>
      <w:r w:rsidR="0061014A" w:rsidRPr="00B20BE9">
        <w:rPr>
          <w:sz w:val="24"/>
          <w:szCs w:val="24"/>
        </w:rPr>
        <w:t xml:space="preserve">§ 1301; </w:t>
      </w:r>
      <w:r w:rsidR="0061014A" w:rsidRPr="00B20BE9">
        <w:rPr>
          <w:i/>
          <w:sz w:val="24"/>
          <w:szCs w:val="24"/>
        </w:rPr>
        <w:t>Berner</w:t>
      </w:r>
      <w:r w:rsidR="0061014A" w:rsidRPr="00B20BE9">
        <w:rPr>
          <w:sz w:val="24"/>
          <w:szCs w:val="24"/>
        </w:rPr>
        <w:t xml:space="preserve">, </w:t>
      </w:r>
      <w:r w:rsidR="0061014A" w:rsidRPr="00B20BE9">
        <w:rPr>
          <w:sz w:val="24"/>
          <w:szCs w:val="24"/>
          <w:u w:val="single"/>
        </w:rPr>
        <w:t>supra</w:t>
      </w:r>
      <w:r w:rsidR="0061014A" w:rsidRPr="00B20BE9">
        <w:rPr>
          <w:sz w:val="24"/>
          <w:szCs w:val="24"/>
        </w:rPr>
        <w:t>.</w:t>
      </w:r>
    </w:p>
    <w:p w:rsidR="00EC7C20" w:rsidRPr="00B20BE9" w:rsidRDefault="00EC7C20" w:rsidP="00330844">
      <w:pPr>
        <w:rPr>
          <w:sz w:val="24"/>
          <w:szCs w:val="24"/>
        </w:rPr>
      </w:pPr>
    </w:p>
    <w:p w:rsidR="0061014A" w:rsidRPr="00B20BE9" w:rsidRDefault="00EC7C20" w:rsidP="00330844">
      <w:pPr>
        <w:rPr>
          <w:sz w:val="24"/>
          <w:szCs w:val="24"/>
        </w:rPr>
      </w:pPr>
      <w:r w:rsidRPr="00B20BE9">
        <w:rPr>
          <w:sz w:val="24"/>
          <w:szCs w:val="24"/>
        </w:rPr>
        <w:tab/>
      </w:r>
      <w:r w:rsidRPr="00B20BE9">
        <w:rPr>
          <w:sz w:val="24"/>
          <w:szCs w:val="24"/>
        </w:rPr>
        <w:tab/>
        <w:t>PPL first contended</w:t>
      </w:r>
      <w:r w:rsidR="000D0863" w:rsidRPr="00B20BE9">
        <w:rPr>
          <w:sz w:val="24"/>
          <w:szCs w:val="24"/>
        </w:rPr>
        <w:t xml:space="preserve">, </w:t>
      </w:r>
      <w:r w:rsidRPr="00B20BE9">
        <w:rPr>
          <w:sz w:val="24"/>
          <w:szCs w:val="24"/>
        </w:rPr>
        <w:t xml:space="preserve">based upon </w:t>
      </w:r>
      <w:r w:rsidR="005119FC" w:rsidRPr="00B20BE9">
        <w:rPr>
          <w:sz w:val="24"/>
          <w:szCs w:val="24"/>
        </w:rPr>
        <w:t xml:space="preserve">the plain language of Act 11, </w:t>
      </w:r>
      <w:r w:rsidR="000D0863" w:rsidRPr="00B20BE9">
        <w:rPr>
          <w:sz w:val="24"/>
          <w:szCs w:val="24"/>
        </w:rPr>
        <w:t xml:space="preserve">that </w:t>
      </w:r>
      <w:r w:rsidRPr="00B20BE9">
        <w:rPr>
          <w:sz w:val="24"/>
          <w:szCs w:val="24"/>
        </w:rPr>
        <w:t xml:space="preserve">the Commission was not authorized to exclude ACR and CER revenues from the DSIC calculation </w:t>
      </w:r>
      <w:r w:rsidR="002D4356" w:rsidRPr="00B20BE9">
        <w:rPr>
          <w:sz w:val="24"/>
          <w:szCs w:val="24"/>
        </w:rPr>
        <w:t>as</w:t>
      </w:r>
      <w:r w:rsidRPr="00B20BE9">
        <w:rPr>
          <w:sz w:val="24"/>
          <w:szCs w:val="24"/>
        </w:rPr>
        <w:t xml:space="preserve"> only State Tax Adjustment Surcharge (STAS) revenues were listed as excluded from DSIC calculations for EDCs.  </w:t>
      </w:r>
      <w:r w:rsidRPr="00B20BE9">
        <w:rPr>
          <w:sz w:val="24"/>
          <w:szCs w:val="24"/>
          <w:u w:val="single"/>
        </w:rPr>
        <w:t>See</w:t>
      </w:r>
      <w:r w:rsidRPr="00B20BE9">
        <w:rPr>
          <w:sz w:val="24"/>
          <w:szCs w:val="24"/>
        </w:rPr>
        <w:t xml:space="preserve">, 66 Pa.C.S. § 1357(d)(2).  </w:t>
      </w:r>
      <w:r w:rsidR="005119FC" w:rsidRPr="00B20BE9">
        <w:rPr>
          <w:sz w:val="24"/>
          <w:szCs w:val="24"/>
        </w:rPr>
        <w:t>To the contrary, PPLICA argued that the Commission retains the authority and discretion to determine ratemaking matters associated with the DSIC calculation.</w:t>
      </w:r>
      <w:r w:rsidR="002D4356" w:rsidRPr="00B20BE9">
        <w:rPr>
          <w:sz w:val="24"/>
          <w:szCs w:val="24"/>
        </w:rPr>
        <w:t xml:space="preserve">  66 Pa.C.S. § 1358(c).</w:t>
      </w:r>
    </w:p>
    <w:p w:rsidR="002D4356" w:rsidRPr="00B20BE9" w:rsidRDefault="002D4356" w:rsidP="00330844">
      <w:pPr>
        <w:rPr>
          <w:sz w:val="24"/>
          <w:szCs w:val="24"/>
        </w:rPr>
      </w:pPr>
    </w:p>
    <w:p w:rsidR="00251374" w:rsidRPr="00B20BE9" w:rsidRDefault="002D4356" w:rsidP="00330844">
      <w:pPr>
        <w:rPr>
          <w:sz w:val="24"/>
          <w:szCs w:val="24"/>
        </w:rPr>
      </w:pPr>
      <w:r w:rsidRPr="00B20BE9">
        <w:rPr>
          <w:sz w:val="24"/>
          <w:szCs w:val="24"/>
        </w:rPr>
        <w:tab/>
      </w:r>
      <w:r w:rsidRPr="00B20BE9">
        <w:rPr>
          <w:sz w:val="24"/>
          <w:szCs w:val="24"/>
        </w:rPr>
        <w:tab/>
        <w:t>I have considered the parties’ statutory construction arguments and am not convinced that the plain language of Act 11 removes discretion from the Commission to exclude certain revenues.  While STAS revenues are to be specifically excluded under the statute, there is nothing which specifically restrains Commission authority to exclude other revenues.  I</w:t>
      </w:r>
      <w:r w:rsidR="00512008">
        <w:rPr>
          <w:sz w:val="24"/>
          <w:szCs w:val="24"/>
        </w:rPr>
        <w:t xml:space="preserve"> note that </w:t>
      </w:r>
      <w:r w:rsidR="003A2BA6" w:rsidRPr="00B20BE9">
        <w:rPr>
          <w:sz w:val="24"/>
          <w:szCs w:val="24"/>
        </w:rPr>
        <w:t xml:space="preserve">66 Pa.C.S. § </w:t>
      </w:r>
      <w:r w:rsidR="00D12944" w:rsidRPr="00B20BE9">
        <w:rPr>
          <w:sz w:val="24"/>
          <w:szCs w:val="24"/>
        </w:rPr>
        <w:t xml:space="preserve">1358(c) states that “[e]xcept as otherwise </w:t>
      </w:r>
      <w:r w:rsidR="00D12944" w:rsidRPr="00B20BE9">
        <w:rPr>
          <w:sz w:val="24"/>
          <w:szCs w:val="24"/>
          <w:u w:val="single"/>
        </w:rPr>
        <w:t>expressly</w:t>
      </w:r>
      <w:r w:rsidR="00D12944" w:rsidRPr="00B20BE9">
        <w:rPr>
          <w:sz w:val="24"/>
          <w:szCs w:val="24"/>
        </w:rPr>
        <w:t xml:space="preserve"> provided under this subchapter, nothing under this subchapter shall be construed as limiting the existing ratemaking authority of the [C]ommission …”.  </w:t>
      </w:r>
      <w:r w:rsidR="00D12944" w:rsidRPr="00B20BE9">
        <w:rPr>
          <w:sz w:val="24"/>
          <w:szCs w:val="24"/>
          <w:u w:val="single"/>
        </w:rPr>
        <w:t>Emphasis added</w:t>
      </w:r>
      <w:r w:rsidR="00D12944" w:rsidRPr="00B20BE9">
        <w:rPr>
          <w:sz w:val="24"/>
          <w:szCs w:val="24"/>
        </w:rPr>
        <w:t>.</w:t>
      </w:r>
    </w:p>
    <w:p w:rsidR="00251374" w:rsidRPr="00B20BE9" w:rsidRDefault="00251374" w:rsidP="00330844">
      <w:pPr>
        <w:rPr>
          <w:sz w:val="24"/>
          <w:szCs w:val="24"/>
        </w:rPr>
      </w:pPr>
    </w:p>
    <w:p w:rsidR="00D11071" w:rsidRPr="00B20BE9" w:rsidRDefault="00251374" w:rsidP="00330844">
      <w:pPr>
        <w:rPr>
          <w:sz w:val="24"/>
          <w:szCs w:val="24"/>
        </w:rPr>
      </w:pPr>
      <w:r w:rsidRPr="00B20BE9">
        <w:rPr>
          <w:sz w:val="24"/>
          <w:szCs w:val="24"/>
        </w:rPr>
        <w:tab/>
      </w:r>
      <w:r w:rsidRPr="00B20BE9">
        <w:rPr>
          <w:sz w:val="24"/>
          <w:szCs w:val="24"/>
        </w:rPr>
        <w:tab/>
      </w:r>
      <w:r w:rsidR="00D12944" w:rsidRPr="00B20BE9">
        <w:rPr>
          <w:sz w:val="24"/>
          <w:szCs w:val="24"/>
        </w:rPr>
        <w:t xml:space="preserve">In </w:t>
      </w:r>
      <w:r w:rsidR="002D4356" w:rsidRPr="00B20BE9">
        <w:rPr>
          <w:sz w:val="24"/>
          <w:szCs w:val="24"/>
        </w:rPr>
        <w:t>addition, Section 1358(a)(1) of the Code, 66 Pa.C.S. § 1358(a)(1),</w:t>
      </w:r>
      <w:r w:rsidR="00F06B6E" w:rsidRPr="00B20BE9">
        <w:rPr>
          <w:sz w:val="24"/>
          <w:szCs w:val="24"/>
        </w:rPr>
        <w:t xml:space="preserve"> refers to </w:t>
      </w:r>
      <w:r w:rsidR="00D11071" w:rsidRPr="00B20BE9">
        <w:rPr>
          <w:sz w:val="24"/>
          <w:szCs w:val="24"/>
        </w:rPr>
        <w:t xml:space="preserve">the </w:t>
      </w:r>
      <w:r w:rsidR="00F06B6E" w:rsidRPr="00B20BE9">
        <w:rPr>
          <w:sz w:val="24"/>
          <w:szCs w:val="24"/>
        </w:rPr>
        <w:t xml:space="preserve">calculation of the 5% revenue cap under the “applicable rates of the wastewater utility or distribution rates of the electric distribution company . . .”.  In its </w:t>
      </w:r>
      <w:r w:rsidR="00F06B6E" w:rsidRPr="00B20BE9">
        <w:rPr>
          <w:i/>
          <w:sz w:val="24"/>
          <w:szCs w:val="24"/>
        </w:rPr>
        <w:t>Final Implementation Order</w:t>
      </w:r>
      <w:r w:rsidRPr="00B20BE9">
        <w:rPr>
          <w:sz w:val="24"/>
          <w:szCs w:val="24"/>
        </w:rPr>
        <w:t xml:space="preserve">, the </w:t>
      </w:r>
      <w:r w:rsidR="00F06B6E" w:rsidRPr="00B20BE9">
        <w:rPr>
          <w:sz w:val="24"/>
          <w:szCs w:val="24"/>
        </w:rPr>
        <w:t>Commission found that the term “applicable”</w:t>
      </w:r>
      <w:r w:rsidR="00D11071" w:rsidRPr="00B20BE9">
        <w:rPr>
          <w:sz w:val="24"/>
          <w:szCs w:val="24"/>
        </w:rPr>
        <w:t xml:space="preserve"> </w:t>
      </w:r>
      <w:r w:rsidR="00F06B6E" w:rsidRPr="00B20BE9">
        <w:rPr>
          <w:sz w:val="24"/>
          <w:szCs w:val="24"/>
        </w:rPr>
        <w:t>modified the revenues to be included in the EDC’s DSIC</w:t>
      </w:r>
      <w:r w:rsidRPr="00B20BE9">
        <w:rPr>
          <w:sz w:val="24"/>
          <w:szCs w:val="24"/>
        </w:rPr>
        <w:t xml:space="preserve"> </w:t>
      </w:r>
      <w:r w:rsidR="00F06B6E" w:rsidRPr="00B20BE9">
        <w:rPr>
          <w:sz w:val="24"/>
          <w:szCs w:val="24"/>
        </w:rPr>
        <w:t>calculation.</w:t>
      </w:r>
      <w:r w:rsidR="009E32B0" w:rsidRPr="00B20BE9">
        <w:rPr>
          <w:rStyle w:val="FootnoteReference"/>
          <w:sz w:val="24"/>
          <w:szCs w:val="24"/>
        </w:rPr>
        <w:footnoteReference w:id="38"/>
      </w:r>
      <w:r w:rsidR="000D0863" w:rsidRPr="00B20BE9">
        <w:rPr>
          <w:sz w:val="24"/>
          <w:szCs w:val="24"/>
        </w:rPr>
        <w:t xml:space="preserve">  </w:t>
      </w:r>
      <w:r w:rsidRPr="00B20BE9">
        <w:rPr>
          <w:sz w:val="24"/>
          <w:szCs w:val="24"/>
        </w:rPr>
        <w:t>The</w:t>
      </w:r>
      <w:r w:rsidR="00D11071" w:rsidRPr="00B20BE9">
        <w:rPr>
          <w:sz w:val="24"/>
          <w:szCs w:val="24"/>
        </w:rPr>
        <w:t xml:space="preserve"> word “applicable” is not defined</w:t>
      </w:r>
      <w:r w:rsidRPr="00B20BE9">
        <w:rPr>
          <w:sz w:val="24"/>
          <w:szCs w:val="24"/>
        </w:rPr>
        <w:t xml:space="preserve"> in Act 11</w:t>
      </w:r>
      <w:r w:rsidR="00D11071" w:rsidRPr="00B20BE9">
        <w:rPr>
          <w:sz w:val="24"/>
          <w:szCs w:val="24"/>
        </w:rPr>
        <w:t xml:space="preserve">.  As the words of the statute are not clear and free of all ambiguity, the legislative intent can be ascertained by, </w:t>
      </w:r>
      <w:r w:rsidR="00D11071" w:rsidRPr="004F3219">
        <w:rPr>
          <w:sz w:val="24"/>
          <w:szCs w:val="24"/>
          <w:u w:val="single"/>
        </w:rPr>
        <w:t>inter alia</w:t>
      </w:r>
      <w:r w:rsidR="00D11071" w:rsidRPr="00B20BE9">
        <w:rPr>
          <w:sz w:val="24"/>
          <w:szCs w:val="24"/>
        </w:rPr>
        <w:t>, considering the purpose of the legislat</w:t>
      </w:r>
      <w:r w:rsidR="004F3219">
        <w:rPr>
          <w:sz w:val="24"/>
          <w:szCs w:val="24"/>
        </w:rPr>
        <w:t>ion.  1 Pa.C.S. § 1921(c)(4).</w:t>
      </w:r>
    </w:p>
    <w:p w:rsidR="00D11071" w:rsidRPr="00B20BE9" w:rsidRDefault="00D11071" w:rsidP="00330844">
      <w:pPr>
        <w:rPr>
          <w:sz w:val="24"/>
          <w:szCs w:val="24"/>
        </w:rPr>
      </w:pPr>
    </w:p>
    <w:p w:rsidR="003A2BA6" w:rsidRPr="00B20BE9" w:rsidRDefault="00D11071" w:rsidP="00330844">
      <w:pPr>
        <w:rPr>
          <w:sz w:val="24"/>
          <w:szCs w:val="24"/>
        </w:rPr>
      </w:pPr>
      <w:r w:rsidRPr="00B20BE9">
        <w:rPr>
          <w:sz w:val="24"/>
          <w:szCs w:val="24"/>
        </w:rPr>
        <w:tab/>
      </w:r>
      <w:r w:rsidRPr="00B20BE9">
        <w:rPr>
          <w:sz w:val="24"/>
          <w:szCs w:val="24"/>
        </w:rPr>
        <w:tab/>
      </w:r>
      <w:r w:rsidR="009D58C0" w:rsidRPr="00B20BE9">
        <w:rPr>
          <w:sz w:val="24"/>
          <w:szCs w:val="24"/>
        </w:rPr>
        <w:t xml:space="preserve">PPL’s justification for inclusion of ACR and CER revenues is essentially that these costs </w:t>
      </w:r>
      <w:r w:rsidR="003A2BA6" w:rsidRPr="00B20BE9">
        <w:rPr>
          <w:sz w:val="24"/>
          <w:szCs w:val="24"/>
        </w:rPr>
        <w:t>are related to distribution service and would o</w:t>
      </w:r>
      <w:r w:rsidR="009D58C0" w:rsidRPr="00B20BE9">
        <w:rPr>
          <w:sz w:val="24"/>
          <w:szCs w:val="24"/>
        </w:rPr>
        <w:t xml:space="preserve">therwise be recovered in base rates if not for the 1307 </w:t>
      </w:r>
      <w:r w:rsidR="003A2BA6" w:rsidRPr="00B20BE9">
        <w:rPr>
          <w:sz w:val="24"/>
          <w:szCs w:val="24"/>
        </w:rPr>
        <w:t>adjustment</w:t>
      </w:r>
      <w:r w:rsidR="009D58C0" w:rsidRPr="00B20BE9">
        <w:rPr>
          <w:sz w:val="24"/>
          <w:szCs w:val="24"/>
        </w:rPr>
        <w:t xml:space="preserve"> clauses.</w:t>
      </w:r>
      <w:r w:rsidR="003A2BA6" w:rsidRPr="00B20BE9">
        <w:rPr>
          <w:sz w:val="24"/>
          <w:szCs w:val="24"/>
        </w:rPr>
        <w:t xml:space="preserve">  PPLICA, however, advocated closer scrutiny as to the purpose of these costs and focused upon whether the costs were sufficiently relate</w:t>
      </w:r>
      <w:r w:rsidR="00736596">
        <w:rPr>
          <w:sz w:val="24"/>
          <w:szCs w:val="24"/>
        </w:rPr>
        <w:t>d to PPL’s distribution system.</w:t>
      </w:r>
    </w:p>
    <w:p w:rsidR="003A2BA6" w:rsidRPr="00B20BE9" w:rsidRDefault="003A2BA6" w:rsidP="00330844">
      <w:pPr>
        <w:rPr>
          <w:sz w:val="24"/>
          <w:szCs w:val="24"/>
        </w:rPr>
      </w:pPr>
    </w:p>
    <w:p w:rsidR="000D0863" w:rsidRPr="00B20BE9" w:rsidRDefault="003A2BA6" w:rsidP="00330844">
      <w:pPr>
        <w:rPr>
          <w:sz w:val="24"/>
          <w:szCs w:val="24"/>
        </w:rPr>
      </w:pPr>
      <w:r w:rsidRPr="00B20BE9">
        <w:rPr>
          <w:sz w:val="24"/>
          <w:szCs w:val="24"/>
        </w:rPr>
        <w:tab/>
      </w:r>
      <w:r w:rsidRPr="00B20BE9">
        <w:rPr>
          <w:sz w:val="24"/>
          <w:szCs w:val="24"/>
        </w:rPr>
        <w:tab/>
        <w:t>I conclude that PPL has not sufficiently rebutted PPLICA’s posit</w:t>
      </w:r>
      <w:r w:rsidR="00251374" w:rsidRPr="00B20BE9">
        <w:rPr>
          <w:sz w:val="24"/>
          <w:szCs w:val="24"/>
        </w:rPr>
        <w:t>i</w:t>
      </w:r>
      <w:r w:rsidRPr="00B20BE9">
        <w:rPr>
          <w:sz w:val="24"/>
          <w:szCs w:val="24"/>
        </w:rPr>
        <w:t>on that the statute contemplates closer scrutiny</w:t>
      </w:r>
      <w:r w:rsidR="000D0863" w:rsidRPr="00B20BE9">
        <w:rPr>
          <w:sz w:val="24"/>
          <w:szCs w:val="24"/>
        </w:rPr>
        <w:t xml:space="preserve"> of ACR and CER revenues to determine their “applicability.”</w:t>
      </w:r>
      <w:r w:rsidR="00251374" w:rsidRPr="00B20BE9">
        <w:rPr>
          <w:sz w:val="24"/>
          <w:szCs w:val="24"/>
        </w:rPr>
        <w:t xml:space="preserve">  I note, in support of PPLICA’s position, that the overall purpose of a DSIC surcharge under Act 11 is to “provide an additional mechanism for a distribution system to recover costs related to repair, improvement and replacement of eligible property</w:t>
      </w:r>
      <w:r w:rsidR="00B052E7">
        <w:rPr>
          <w:sz w:val="24"/>
          <w:szCs w:val="24"/>
        </w:rPr>
        <w:t>.”  66 Pa.C.S. § </w:t>
      </w:r>
      <w:r w:rsidR="00251374" w:rsidRPr="00B20BE9">
        <w:rPr>
          <w:sz w:val="24"/>
          <w:szCs w:val="24"/>
        </w:rPr>
        <w:t>1350.  Eligible property is defined as “[p]roperty that is part of a distribution system and eligible for repair, improvement and replacement of infrastructure under this subchapter.</w:t>
      </w:r>
      <w:r w:rsidR="001046CD" w:rsidRPr="00B20BE9">
        <w:rPr>
          <w:sz w:val="24"/>
          <w:szCs w:val="24"/>
        </w:rPr>
        <w:t>”</w:t>
      </w:r>
      <w:r w:rsidR="00251374" w:rsidRPr="00B20BE9">
        <w:rPr>
          <w:sz w:val="24"/>
          <w:szCs w:val="24"/>
        </w:rPr>
        <w:t xml:space="preserve">  66 Pa.C.S. § 1351.</w:t>
      </w:r>
      <w:r w:rsidR="001046CD" w:rsidRPr="00B20BE9">
        <w:rPr>
          <w:sz w:val="24"/>
          <w:szCs w:val="24"/>
        </w:rPr>
        <w:t xml:space="preserve">  Also, as testified to by PPLICA witne</w:t>
      </w:r>
      <w:r w:rsidR="00D74554">
        <w:rPr>
          <w:sz w:val="24"/>
          <w:szCs w:val="24"/>
        </w:rPr>
        <w:t xml:space="preserve">ss Baudino, in an unbundled </w:t>
      </w:r>
      <w:r w:rsidR="001046CD" w:rsidRPr="00B20BE9">
        <w:rPr>
          <w:sz w:val="24"/>
          <w:szCs w:val="24"/>
        </w:rPr>
        <w:t>environment, it is inappropriate to assume that all non-bypassable charges are for “distribution service.”  Thus, I find it is appropriate to further scrutinize whether the revenues to be included a</w:t>
      </w:r>
      <w:r w:rsidR="000D0863" w:rsidRPr="00B20BE9">
        <w:rPr>
          <w:sz w:val="24"/>
          <w:szCs w:val="24"/>
        </w:rPr>
        <w:t>re</w:t>
      </w:r>
      <w:r w:rsidR="001046CD" w:rsidRPr="00B20BE9">
        <w:rPr>
          <w:sz w:val="24"/>
          <w:szCs w:val="24"/>
        </w:rPr>
        <w:t xml:space="preserve"> sufficiently related</w:t>
      </w:r>
      <w:r w:rsidR="00B85E40">
        <w:rPr>
          <w:sz w:val="24"/>
          <w:szCs w:val="24"/>
        </w:rPr>
        <w:t xml:space="preserve"> to the distribution system.</w:t>
      </w:r>
    </w:p>
    <w:p w:rsidR="000D0863" w:rsidRPr="00B20BE9" w:rsidRDefault="000D0863" w:rsidP="00330844">
      <w:pPr>
        <w:rPr>
          <w:sz w:val="24"/>
          <w:szCs w:val="24"/>
        </w:rPr>
      </w:pPr>
    </w:p>
    <w:p w:rsidR="001225BE" w:rsidRPr="00B20BE9" w:rsidRDefault="000D0863" w:rsidP="00330844">
      <w:pPr>
        <w:rPr>
          <w:sz w:val="24"/>
          <w:szCs w:val="24"/>
        </w:rPr>
      </w:pPr>
      <w:r w:rsidRPr="00B20BE9">
        <w:rPr>
          <w:sz w:val="24"/>
          <w:szCs w:val="24"/>
        </w:rPr>
        <w:tab/>
      </w:r>
      <w:r w:rsidRPr="00B20BE9">
        <w:rPr>
          <w:sz w:val="24"/>
          <w:szCs w:val="24"/>
        </w:rPr>
        <w:tab/>
        <w:t>Upon further analysis, I conclude that PPL has not rebutted PPLICA claim that these revenues are not sufficiently related to the distribution system.  Instead, the ACR recovers expenses associated with end-user consumption conservation programs and not distribution plant.  The CER</w:t>
      </w:r>
      <w:r w:rsidR="00CB5123" w:rsidRPr="00B20BE9">
        <w:rPr>
          <w:sz w:val="24"/>
          <w:szCs w:val="24"/>
        </w:rPr>
        <w:t xml:space="preserve"> recovers </w:t>
      </w:r>
      <w:r w:rsidR="001225BE" w:rsidRPr="00B20BE9">
        <w:rPr>
          <w:sz w:val="24"/>
          <w:szCs w:val="24"/>
        </w:rPr>
        <w:t>costs related to competitive retail electricity enhancement initiatives, and therefore is also not sufficiently related to the distribution system.  As these costs have not been shown to have sufficient “applicability” to the purpose of the DSIC, they are recommended to be excluded from the DSIC calculation.</w:t>
      </w:r>
    </w:p>
    <w:p w:rsidR="001225BE" w:rsidRPr="00B20BE9" w:rsidRDefault="001225BE" w:rsidP="00330844">
      <w:pPr>
        <w:rPr>
          <w:sz w:val="24"/>
          <w:szCs w:val="24"/>
        </w:rPr>
      </w:pPr>
    </w:p>
    <w:p w:rsidR="002553B0" w:rsidRPr="00B20BE9" w:rsidRDefault="001225BE" w:rsidP="00330844">
      <w:pPr>
        <w:rPr>
          <w:sz w:val="24"/>
          <w:szCs w:val="24"/>
        </w:rPr>
      </w:pPr>
      <w:r w:rsidRPr="00B20BE9">
        <w:rPr>
          <w:sz w:val="24"/>
          <w:szCs w:val="24"/>
        </w:rPr>
        <w:tab/>
      </w:r>
      <w:r w:rsidRPr="00B20BE9">
        <w:rPr>
          <w:sz w:val="24"/>
          <w:szCs w:val="24"/>
        </w:rPr>
        <w:tab/>
        <w:t>PPLICA also made a class rate discrimination argument, but I have recommended that the LP-5 class be excluded from DSIC applicability.  Also, some of PPLICA’s calculations in this regard were not included of re</w:t>
      </w:r>
      <w:r w:rsidR="00CD156C">
        <w:rPr>
          <w:sz w:val="24"/>
          <w:szCs w:val="24"/>
        </w:rPr>
        <w:t>cord and cannot be considered.</w:t>
      </w:r>
    </w:p>
    <w:p w:rsidR="002553B0" w:rsidRPr="00B20BE9" w:rsidRDefault="002553B0" w:rsidP="00330844">
      <w:pPr>
        <w:rPr>
          <w:sz w:val="24"/>
          <w:szCs w:val="24"/>
        </w:rPr>
      </w:pPr>
    </w:p>
    <w:p w:rsidR="002D4356" w:rsidRPr="00B20BE9" w:rsidRDefault="002553B0" w:rsidP="002553B0">
      <w:pPr>
        <w:jc w:val="center"/>
        <w:rPr>
          <w:sz w:val="24"/>
          <w:szCs w:val="24"/>
        </w:rPr>
      </w:pPr>
      <w:r w:rsidRPr="00B20BE9">
        <w:rPr>
          <w:sz w:val="24"/>
          <w:szCs w:val="24"/>
        </w:rPr>
        <w:t>V.</w:t>
      </w:r>
      <w:r w:rsidRPr="00B20BE9">
        <w:rPr>
          <w:sz w:val="24"/>
          <w:szCs w:val="24"/>
        </w:rPr>
        <w:tab/>
      </w:r>
      <w:r w:rsidRPr="00B20BE9">
        <w:rPr>
          <w:sz w:val="24"/>
          <w:szCs w:val="24"/>
          <w:u w:val="single"/>
        </w:rPr>
        <w:t>CONCLUSIONS OF LAW</w:t>
      </w:r>
      <w:r w:rsidR="003506B9">
        <w:rPr>
          <w:sz w:val="24"/>
          <w:szCs w:val="24"/>
          <w:u w:val="single"/>
        </w:rPr>
        <w:fldChar w:fldCharType="begin"/>
      </w:r>
      <w:r w:rsidR="003506B9">
        <w:instrText xml:space="preserve"> TC "</w:instrText>
      </w:r>
      <w:bookmarkStart w:id="25" w:name="_Toc394309052"/>
      <w:r w:rsidR="003506B9" w:rsidRPr="008742F7">
        <w:rPr>
          <w:sz w:val="24"/>
          <w:szCs w:val="24"/>
        </w:rPr>
        <w:instrText>V.</w:instrText>
      </w:r>
      <w:r w:rsidR="003506B9" w:rsidRPr="008742F7">
        <w:rPr>
          <w:sz w:val="24"/>
          <w:szCs w:val="24"/>
        </w:rPr>
        <w:tab/>
      </w:r>
      <w:r w:rsidR="003506B9" w:rsidRPr="008742F7">
        <w:rPr>
          <w:sz w:val="24"/>
          <w:szCs w:val="24"/>
          <w:u w:val="single"/>
        </w:rPr>
        <w:instrText>CONCLUSIONS OF LAW</w:instrText>
      </w:r>
      <w:bookmarkEnd w:id="25"/>
      <w:r w:rsidR="003506B9">
        <w:instrText xml:space="preserve">" \f C \l "1" </w:instrText>
      </w:r>
      <w:r w:rsidR="003506B9">
        <w:rPr>
          <w:sz w:val="24"/>
          <w:szCs w:val="24"/>
          <w:u w:val="single"/>
        </w:rPr>
        <w:fldChar w:fldCharType="end"/>
      </w:r>
    </w:p>
    <w:p w:rsidR="00FC4C89" w:rsidRPr="00B20BE9" w:rsidRDefault="00FC4C89" w:rsidP="00330844">
      <w:pPr>
        <w:rPr>
          <w:sz w:val="24"/>
          <w:szCs w:val="24"/>
        </w:rPr>
      </w:pPr>
    </w:p>
    <w:p w:rsidR="00873956" w:rsidRPr="00B20BE9" w:rsidRDefault="007478E4" w:rsidP="00330844">
      <w:pPr>
        <w:rPr>
          <w:sz w:val="24"/>
          <w:szCs w:val="24"/>
        </w:rPr>
      </w:pPr>
      <w:r w:rsidRPr="00B20BE9">
        <w:rPr>
          <w:sz w:val="24"/>
          <w:szCs w:val="24"/>
        </w:rPr>
        <w:tab/>
      </w:r>
      <w:r w:rsidRPr="00B20BE9">
        <w:rPr>
          <w:sz w:val="24"/>
          <w:szCs w:val="24"/>
        </w:rPr>
        <w:tab/>
        <w:t>1.</w:t>
      </w:r>
      <w:r w:rsidRPr="00B20BE9">
        <w:rPr>
          <w:sz w:val="24"/>
          <w:szCs w:val="24"/>
        </w:rPr>
        <w:tab/>
        <w:t>The Commission has jurisdiction over the parties and subject matter of this proceeding, pursuant to 66 Pa.C.S. §§ 1350-1360.</w:t>
      </w:r>
    </w:p>
    <w:p w:rsidR="00604917" w:rsidRPr="00B20BE9" w:rsidRDefault="00604917" w:rsidP="00330844">
      <w:pPr>
        <w:rPr>
          <w:sz w:val="24"/>
          <w:szCs w:val="24"/>
        </w:rPr>
      </w:pPr>
    </w:p>
    <w:p w:rsidR="004E48DF" w:rsidRPr="00B20BE9" w:rsidRDefault="00604917" w:rsidP="00330844">
      <w:pPr>
        <w:rPr>
          <w:sz w:val="24"/>
          <w:szCs w:val="24"/>
        </w:rPr>
      </w:pPr>
      <w:r w:rsidRPr="00B20BE9">
        <w:rPr>
          <w:sz w:val="24"/>
          <w:szCs w:val="24"/>
        </w:rPr>
        <w:tab/>
      </w:r>
      <w:r w:rsidRPr="00B20BE9">
        <w:rPr>
          <w:sz w:val="24"/>
          <w:szCs w:val="24"/>
        </w:rPr>
        <w:tab/>
        <w:t>2.</w:t>
      </w:r>
      <w:r w:rsidRPr="00B20BE9">
        <w:rPr>
          <w:sz w:val="24"/>
          <w:szCs w:val="24"/>
        </w:rPr>
        <w:tab/>
      </w:r>
      <w:r w:rsidR="00FF684F" w:rsidRPr="00B20BE9">
        <w:rPr>
          <w:sz w:val="24"/>
          <w:szCs w:val="24"/>
        </w:rPr>
        <w:t>In any proceeding upon the motion of the Commission, involving any proposed or existing rate of any public utility, or in any proceedings upon complaint involving any proposed increase in rates, the burden of proof to show that the rate involved is just and reasonable is upon the public utility.  66 Pa.C.S. § 315(a).</w:t>
      </w:r>
    </w:p>
    <w:p w:rsidR="004E48DF" w:rsidRPr="00B20BE9" w:rsidRDefault="004E48DF" w:rsidP="00330844">
      <w:pPr>
        <w:rPr>
          <w:sz w:val="24"/>
          <w:szCs w:val="24"/>
        </w:rPr>
      </w:pPr>
    </w:p>
    <w:p w:rsidR="00604917" w:rsidRPr="00B20BE9" w:rsidRDefault="004E48DF" w:rsidP="00330844">
      <w:pPr>
        <w:rPr>
          <w:sz w:val="24"/>
          <w:szCs w:val="24"/>
        </w:rPr>
      </w:pPr>
      <w:r w:rsidRPr="00B20BE9">
        <w:rPr>
          <w:sz w:val="24"/>
          <w:szCs w:val="24"/>
        </w:rPr>
        <w:tab/>
      </w:r>
      <w:r w:rsidRPr="00B20BE9">
        <w:rPr>
          <w:sz w:val="24"/>
          <w:szCs w:val="24"/>
        </w:rPr>
        <w:tab/>
        <w:t>3.</w:t>
      </w:r>
      <w:r w:rsidRPr="00B20BE9">
        <w:rPr>
          <w:sz w:val="24"/>
          <w:szCs w:val="24"/>
        </w:rPr>
        <w:tab/>
      </w:r>
      <w:r w:rsidR="009E0E0A" w:rsidRPr="00B20BE9">
        <w:rPr>
          <w:sz w:val="24"/>
          <w:szCs w:val="24"/>
        </w:rPr>
        <w:t xml:space="preserve">PPL has the burden of proving the justness and reasonableness of its DSIC, its application to the various customer classes, and all inputs to its calculation.  66 Pa.C.S. </w:t>
      </w:r>
      <w:r w:rsidR="000C6698" w:rsidRPr="00B20BE9">
        <w:rPr>
          <w:sz w:val="24"/>
          <w:szCs w:val="24"/>
        </w:rPr>
        <w:t xml:space="preserve">§§ </w:t>
      </w:r>
      <w:r w:rsidR="009E0E0A" w:rsidRPr="00B20BE9">
        <w:rPr>
          <w:sz w:val="24"/>
          <w:szCs w:val="24"/>
        </w:rPr>
        <w:t>315(a)</w:t>
      </w:r>
      <w:r w:rsidR="000C6698" w:rsidRPr="00B20BE9">
        <w:rPr>
          <w:sz w:val="24"/>
          <w:szCs w:val="24"/>
        </w:rPr>
        <w:t>, 1301</w:t>
      </w:r>
      <w:r w:rsidR="007B0DDA">
        <w:rPr>
          <w:sz w:val="24"/>
          <w:szCs w:val="24"/>
        </w:rPr>
        <w:t>.</w:t>
      </w:r>
    </w:p>
    <w:p w:rsidR="009E0E0A" w:rsidRPr="00B20BE9" w:rsidRDefault="009E0E0A" w:rsidP="00330844">
      <w:pPr>
        <w:rPr>
          <w:sz w:val="24"/>
          <w:szCs w:val="24"/>
        </w:rPr>
      </w:pPr>
    </w:p>
    <w:p w:rsidR="009E0E0A" w:rsidRPr="00B20BE9" w:rsidRDefault="009E0E0A" w:rsidP="00330844">
      <w:pPr>
        <w:rPr>
          <w:rFonts w:eastAsia="Calibri"/>
          <w:sz w:val="24"/>
          <w:szCs w:val="24"/>
        </w:rPr>
      </w:pPr>
      <w:r w:rsidRPr="00B20BE9">
        <w:rPr>
          <w:sz w:val="24"/>
          <w:szCs w:val="24"/>
        </w:rPr>
        <w:tab/>
      </w:r>
      <w:r w:rsidRPr="00B20BE9">
        <w:rPr>
          <w:sz w:val="24"/>
          <w:szCs w:val="24"/>
        </w:rPr>
        <w:tab/>
        <w:t>4.</w:t>
      </w:r>
      <w:r w:rsidRPr="00B20BE9">
        <w:rPr>
          <w:sz w:val="24"/>
          <w:szCs w:val="24"/>
        </w:rPr>
        <w:tab/>
        <w:t xml:space="preserve">It is well-established that the evidence adduced by a utility to meet its burden of proof must be substantial.  </w:t>
      </w:r>
      <w:r w:rsidRPr="00B20BE9">
        <w:rPr>
          <w:rFonts w:eastAsia="Calibri"/>
          <w:i/>
          <w:sz w:val="24"/>
          <w:szCs w:val="24"/>
        </w:rPr>
        <w:t>Lower Frederick Twp. v. Pa. Pub. Util. Comm’n</w:t>
      </w:r>
      <w:r w:rsidRPr="00B20BE9">
        <w:rPr>
          <w:rFonts w:eastAsia="Calibri"/>
          <w:sz w:val="24"/>
          <w:szCs w:val="24"/>
        </w:rPr>
        <w:t>, 48 Pa. Commw. 222, 226-227, 409 A.2d 505, 507 (1980).</w:t>
      </w:r>
    </w:p>
    <w:p w:rsidR="00F17EDB" w:rsidRPr="00B20BE9" w:rsidRDefault="00F17EDB" w:rsidP="00330844">
      <w:pPr>
        <w:rPr>
          <w:rFonts w:eastAsia="Calibri"/>
          <w:sz w:val="24"/>
          <w:szCs w:val="24"/>
        </w:rPr>
      </w:pPr>
    </w:p>
    <w:p w:rsidR="00F03F43" w:rsidRPr="00B20BE9" w:rsidRDefault="00F17EDB" w:rsidP="00330844">
      <w:pPr>
        <w:rPr>
          <w:rFonts w:eastAsia="Calibri"/>
          <w:sz w:val="24"/>
          <w:szCs w:val="24"/>
        </w:rPr>
      </w:pPr>
      <w:r w:rsidRPr="00B20BE9">
        <w:rPr>
          <w:rFonts w:eastAsia="Calibri"/>
          <w:sz w:val="24"/>
          <w:szCs w:val="24"/>
        </w:rPr>
        <w:tab/>
      </w:r>
      <w:r w:rsidRPr="00B20BE9">
        <w:rPr>
          <w:rFonts w:eastAsia="Calibri"/>
          <w:sz w:val="24"/>
          <w:szCs w:val="24"/>
        </w:rPr>
        <w:tab/>
        <w:t>5.</w:t>
      </w:r>
      <w:r w:rsidRPr="00B20BE9">
        <w:rPr>
          <w:rFonts w:eastAsia="Calibri"/>
          <w:sz w:val="24"/>
          <w:szCs w:val="24"/>
        </w:rPr>
        <w:tab/>
        <w:t>Section</w:t>
      </w:r>
      <w:r w:rsidR="00B351CB" w:rsidRPr="00B20BE9">
        <w:rPr>
          <w:rFonts w:eastAsia="Calibri"/>
          <w:sz w:val="24"/>
          <w:szCs w:val="24"/>
        </w:rPr>
        <w:t>s</w:t>
      </w:r>
      <w:r w:rsidRPr="00B20BE9">
        <w:rPr>
          <w:rFonts w:eastAsia="Calibri"/>
          <w:sz w:val="24"/>
          <w:szCs w:val="24"/>
        </w:rPr>
        <w:t xml:space="preserve"> 1350</w:t>
      </w:r>
      <w:r w:rsidR="00B351CB" w:rsidRPr="00B20BE9">
        <w:rPr>
          <w:rFonts w:eastAsia="Calibri"/>
          <w:sz w:val="24"/>
          <w:szCs w:val="24"/>
        </w:rPr>
        <w:t xml:space="preserve"> and 1351</w:t>
      </w:r>
      <w:r w:rsidRPr="00B20BE9">
        <w:rPr>
          <w:rFonts w:eastAsia="Calibri"/>
          <w:sz w:val="24"/>
          <w:szCs w:val="24"/>
        </w:rPr>
        <w:t xml:space="preserve"> </w:t>
      </w:r>
      <w:r w:rsidR="004F0149" w:rsidRPr="00B20BE9">
        <w:rPr>
          <w:rFonts w:eastAsia="Calibri"/>
          <w:sz w:val="24"/>
          <w:szCs w:val="24"/>
        </w:rPr>
        <w:t>of the Code, 66 Pa.C.S. §</w:t>
      </w:r>
      <w:r w:rsidR="00B351CB" w:rsidRPr="00B20BE9">
        <w:rPr>
          <w:rFonts w:eastAsia="Calibri"/>
          <w:sz w:val="24"/>
          <w:szCs w:val="24"/>
        </w:rPr>
        <w:t>§</w:t>
      </w:r>
      <w:r w:rsidR="004F0149" w:rsidRPr="00B20BE9">
        <w:rPr>
          <w:rFonts w:eastAsia="Calibri"/>
          <w:sz w:val="24"/>
          <w:szCs w:val="24"/>
        </w:rPr>
        <w:t xml:space="preserve"> 1350</w:t>
      </w:r>
      <w:r w:rsidR="00B351CB" w:rsidRPr="00B20BE9">
        <w:rPr>
          <w:rFonts w:eastAsia="Calibri"/>
          <w:sz w:val="24"/>
          <w:szCs w:val="24"/>
        </w:rPr>
        <w:t>, 1351,</w:t>
      </w:r>
      <w:r w:rsidR="004F0149" w:rsidRPr="00B20BE9">
        <w:rPr>
          <w:rFonts w:eastAsia="Calibri"/>
          <w:sz w:val="24"/>
          <w:szCs w:val="24"/>
        </w:rPr>
        <w:t xml:space="preserve"> permit ED</w:t>
      </w:r>
      <w:r w:rsidR="0031393E" w:rsidRPr="00B20BE9">
        <w:rPr>
          <w:rFonts w:eastAsia="Calibri"/>
          <w:sz w:val="24"/>
          <w:szCs w:val="24"/>
        </w:rPr>
        <w:t xml:space="preserve">Cs and various other utilities </w:t>
      </w:r>
      <w:r w:rsidR="004F0149" w:rsidRPr="00B20BE9">
        <w:rPr>
          <w:rFonts w:eastAsia="Calibri"/>
          <w:sz w:val="24"/>
          <w:szCs w:val="24"/>
        </w:rPr>
        <w:t>to recover</w:t>
      </w:r>
      <w:r w:rsidR="0031393E" w:rsidRPr="00B20BE9">
        <w:rPr>
          <w:rFonts w:eastAsia="Calibri"/>
          <w:sz w:val="24"/>
          <w:szCs w:val="24"/>
        </w:rPr>
        <w:t>, through a DSIC,</w:t>
      </w:r>
      <w:r w:rsidR="004F0149" w:rsidRPr="00B20BE9">
        <w:rPr>
          <w:rFonts w:eastAsia="Calibri"/>
          <w:sz w:val="24"/>
          <w:szCs w:val="24"/>
        </w:rPr>
        <w:t xml:space="preserve"> the reasonable and prudent costs</w:t>
      </w:r>
      <w:r w:rsidR="00B351CB" w:rsidRPr="00B20BE9">
        <w:rPr>
          <w:rFonts w:eastAsia="Calibri"/>
          <w:sz w:val="24"/>
          <w:szCs w:val="24"/>
        </w:rPr>
        <w:t xml:space="preserve"> incurred to repair, improve and replace certain eligible property </w:t>
      </w:r>
      <w:r w:rsidR="0031393E" w:rsidRPr="00B20BE9">
        <w:rPr>
          <w:rFonts w:eastAsia="Calibri"/>
          <w:sz w:val="24"/>
          <w:szCs w:val="24"/>
        </w:rPr>
        <w:t>that is part of a utility’s distribution system.</w:t>
      </w:r>
    </w:p>
    <w:p w:rsidR="00F03F43" w:rsidRPr="00B20BE9" w:rsidRDefault="00F03F43" w:rsidP="00330844">
      <w:pPr>
        <w:rPr>
          <w:rFonts w:eastAsia="Calibri"/>
          <w:sz w:val="24"/>
          <w:szCs w:val="24"/>
        </w:rPr>
      </w:pPr>
    </w:p>
    <w:p w:rsidR="00F03F43" w:rsidRPr="00B20BE9" w:rsidRDefault="00F03F43" w:rsidP="00330844">
      <w:pPr>
        <w:rPr>
          <w:rFonts w:eastAsia="Calibri"/>
          <w:sz w:val="24"/>
          <w:szCs w:val="24"/>
        </w:rPr>
      </w:pPr>
      <w:r w:rsidRPr="00B20BE9">
        <w:rPr>
          <w:rFonts w:eastAsia="Calibri"/>
          <w:sz w:val="24"/>
          <w:szCs w:val="24"/>
        </w:rPr>
        <w:tab/>
      </w:r>
      <w:r w:rsidRPr="00B20BE9">
        <w:rPr>
          <w:rFonts w:eastAsia="Calibri"/>
          <w:sz w:val="24"/>
          <w:szCs w:val="24"/>
        </w:rPr>
        <w:tab/>
        <w:t>6.</w:t>
      </w:r>
      <w:r w:rsidRPr="00B20BE9">
        <w:rPr>
          <w:rFonts w:eastAsia="Calibri"/>
          <w:sz w:val="24"/>
          <w:szCs w:val="24"/>
        </w:rPr>
        <w:tab/>
        <w:t>The DSIC is intended to ensure and maintain adequate, efficient, safe, reliable and reasonable s</w:t>
      </w:r>
      <w:r w:rsidR="00326926">
        <w:rPr>
          <w:rFonts w:eastAsia="Calibri"/>
          <w:sz w:val="24"/>
          <w:szCs w:val="24"/>
        </w:rPr>
        <w:t>ervice.  66 Pa.C.S. § 1353(a).</w:t>
      </w:r>
    </w:p>
    <w:p w:rsidR="00F03F43" w:rsidRPr="00B20BE9" w:rsidRDefault="00F03F43" w:rsidP="00330844">
      <w:pPr>
        <w:rPr>
          <w:rFonts w:eastAsia="Calibri"/>
          <w:sz w:val="24"/>
          <w:szCs w:val="24"/>
        </w:rPr>
      </w:pPr>
    </w:p>
    <w:p w:rsidR="00F03F43" w:rsidRPr="00B20BE9" w:rsidRDefault="00F03F43" w:rsidP="00330844">
      <w:pPr>
        <w:rPr>
          <w:rFonts w:eastAsia="Calibri"/>
          <w:sz w:val="24"/>
          <w:szCs w:val="24"/>
        </w:rPr>
      </w:pPr>
      <w:r w:rsidRPr="00B20BE9">
        <w:rPr>
          <w:rFonts w:eastAsia="Calibri"/>
          <w:sz w:val="24"/>
          <w:szCs w:val="24"/>
        </w:rPr>
        <w:tab/>
      </w:r>
      <w:r w:rsidRPr="00B20BE9">
        <w:rPr>
          <w:rFonts w:eastAsia="Calibri"/>
          <w:sz w:val="24"/>
          <w:szCs w:val="24"/>
        </w:rPr>
        <w:tab/>
        <w:t>7.</w:t>
      </w:r>
      <w:r w:rsidRPr="00B20BE9">
        <w:rPr>
          <w:rFonts w:eastAsia="Calibri"/>
          <w:sz w:val="24"/>
          <w:szCs w:val="24"/>
        </w:rPr>
        <w:tab/>
      </w:r>
      <w:r w:rsidR="001B653E" w:rsidRPr="00B20BE9">
        <w:rPr>
          <w:rFonts w:eastAsia="Calibri"/>
          <w:sz w:val="24"/>
          <w:szCs w:val="24"/>
        </w:rPr>
        <w:t>The Commission is required, after notice and an opportunity to be heard, to approve, modify, or reject the utility’s proposed DSIC and initial tariff.  66 Pa.C.S. § 1355.</w:t>
      </w:r>
    </w:p>
    <w:p w:rsidR="00F03F43" w:rsidRPr="00B20BE9" w:rsidRDefault="00F03F43" w:rsidP="00330844">
      <w:pPr>
        <w:rPr>
          <w:rFonts w:eastAsia="Calibri"/>
          <w:sz w:val="24"/>
          <w:szCs w:val="24"/>
        </w:rPr>
      </w:pPr>
    </w:p>
    <w:p w:rsidR="00F17EDB" w:rsidRPr="00B20BE9" w:rsidRDefault="00F03F43" w:rsidP="00330844">
      <w:pPr>
        <w:rPr>
          <w:rFonts w:eastAsia="Calibri"/>
          <w:sz w:val="24"/>
          <w:szCs w:val="24"/>
        </w:rPr>
      </w:pPr>
      <w:r w:rsidRPr="00B20BE9">
        <w:rPr>
          <w:rFonts w:eastAsia="Calibri"/>
          <w:sz w:val="24"/>
          <w:szCs w:val="24"/>
        </w:rPr>
        <w:tab/>
      </w:r>
      <w:r w:rsidRPr="00B20BE9">
        <w:rPr>
          <w:rFonts w:eastAsia="Calibri"/>
          <w:sz w:val="24"/>
          <w:szCs w:val="24"/>
        </w:rPr>
        <w:tab/>
      </w:r>
      <w:r w:rsidR="001B653E" w:rsidRPr="00B20BE9">
        <w:rPr>
          <w:rFonts w:eastAsia="Calibri"/>
          <w:sz w:val="24"/>
          <w:szCs w:val="24"/>
        </w:rPr>
        <w:t>8</w:t>
      </w:r>
      <w:r w:rsidRPr="00B20BE9">
        <w:rPr>
          <w:rFonts w:eastAsia="Calibri"/>
          <w:sz w:val="24"/>
          <w:szCs w:val="24"/>
        </w:rPr>
        <w:t>.</w:t>
      </w:r>
      <w:r w:rsidR="001B653E" w:rsidRPr="00B20BE9">
        <w:rPr>
          <w:rFonts w:eastAsia="Calibri"/>
          <w:sz w:val="24"/>
          <w:szCs w:val="24"/>
        </w:rPr>
        <w:tab/>
        <w:t xml:space="preserve">Absent an express limitation on existing ratemaking authority, the Commission retains its full and existing ratemaking authority and is authorized to establish the technical mechanics of the DSIC calculation.  66 Pa.C.S. §§ 1358(c), 1358(d); </w:t>
      </w:r>
      <w:r w:rsidR="001B653E" w:rsidRPr="00B20BE9">
        <w:rPr>
          <w:i/>
          <w:sz w:val="24"/>
          <w:szCs w:val="24"/>
        </w:rPr>
        <w:t>Petition of Columbia Gas of Pennsylvania, Inc. for Approval of its Long-Term Infrastructure Improvement Plan; Petition of Columbia Gas of Pennsylvania, Inc. for Approval of a Distribution System Improvement Charge</w:t>
      </w:r>
      <w:r w:rsidR="001B653E" w:rsidRPr="00B20BE9">
        <w:rPr>
          <w:sz w:val="24"/>
          <w:szCs w:val="24"/>
        </w:rPr>
        <w:t>, Docket No. P-2012-2338282, Order entered May 22, 2014</w:t>
      </w:r>
      <w:r w:rsidR="001B653E" w:rsidRPr="00B20BE9">
        <w:rPr>
          <w:rFonts w:eastAsia="Calibri"/>
          <w:sz w:val="24"/>
          <w:szCs w:val="24"/>
        </w:rPr>
        <w:t>.</w:t>
      </w:r>
    </w:p>
    <w:p w:rsidR="00746EFD" w:rsidRPr="00B20BE9" w:rsidRDefault="00746EFD" w:rsidP="00330844">
      <w:pPr>
        <w:rPr>
          <w:rFonts w:eastAsia="Calibri"/>
          <w:sz w:val="24"/>
          <w:szCs w:val="24"/>
        </w:rPr>
      </w:pPr>
    </w:p>
    <w:p w:rsidR="00746EFD" w:rsidRPr="00B20BE9" w:rsidRDefault="00746EFD" w:rsidP="00330844">
      <w:pPr>
        <w:rPr>
          <w:rFonts w:eastAsia="Calibri"/>
          <w:color w:val="000000"/>
          <w:sz w:val="24"/>
          <w:szCs w:val="24"/>
        </w:rPr>
      </w:pPr>
      <w:r w:rsidRPr="00B20BE9">
        <w:rPr>
          <w:rFonts w:eastAsia="Calibri"/>
          <w:sz w:val="24"/>
          <w:szCs w:val="24"/>
        </w:rPr>
        <w:tab/>
      </w:r>
      <w:r w:rsidRPr="00B20BE9">
        <w:rPr>
          <w:rFonts w:eastAsia="Calibri"/>
          <w:sz w:val="24"/>
          <w:szCs w:val="24"/>
        </w:rPr>
        <w:tab/>
        <w:t>9.</w:t>
      </w:r>
      <w:r w:rsidRPr="00B20BE9">
        <w:rPr>
          <w:rFonts w:eastAsia="Calibri"/>
          <w:sz w:val="24"/>
          <w:szCs w:val="24"/>
        </w:rPr>
        <w:tab/>
        <w:t xml:space="preserve">There is not a single formula that must be used in determining just and reasonable rates; instead, </w:t>
      </w:r>
      <w:r w:rsidR="009D3B0D" w:rsidRPr="00B20BE9">
        <w:rPr>
          <w:rFonts w:eastAsia="Calibri"/>
          <w:sz w:val="24"/>
          <w:szCs w:val="24"/>
        </w:rPr>
        <w:t xml:space="preserve">it is the end result which must be analyzed to make the just and reasonable rate determination.  </w:t>
      </w:r>
      <w:r w:rsidR="009D3B0D" w:rsidRPr="00B20BE9">
        <w:rPr>
          <w:rFonts w:eastAsia="Calibri"/>
          <w:i/>
          <w:color w:val="000000"/>
          <w:sz w:val="24"/>
          <w:szCs w:val="24"/>
        </w:rPr>
        <w:t>Duquesne Light Co. v. Barasch</w:t>
      </w:r>
      <w:r w:rsidR="009D3B0D" w:rsidRPr="00B20BE9">
        <w:rPr>
          <w:rFonts w:eastAsia="Calibri"/>
          <w:color w:val="000000"/>
          <w:sz w:val="24"/>
          <w:szCs w:val="24"/>
        </w:rPr>
        <w:t>, 488 U.S. 299 (1989).</w:t>
      </w:r>
    </w:p>
    <w:p w:rsidR="009D3B0D" w:rsidRPr="00B20BE9" w:rsidRDefault="009D3B0D" w:rsidP="00330844">
      <w:pPr>
        <w:rPr>
          <w:rFonts w:eastAsia="Calibri"/>
          <w:color w:val="000000"/>
          <w:sz w:val="24"/>
          <w:szCs w:val="24"/>
        </w:rPr>
      </w:pPr>
    </w:p>
    <w:p w:rsidR="009D3B0D" w:rsidRPr="00B20BE9" w:rsidRDefault="009D3B0D" w:rsidP="00330844">
      <w:pPr>
        <w:rPr>
          <w:rFonts w:eastAsia="Calibri"/>
          <w:sz w:val="24"/>
          <w:szCs w:val="24"/>
        </w:rPr>
      </w:pPr>
      <w:r w:rsidRPr="00B20BE9">
        <w:rPr>
          <w:rFonts w:eastAsia="Calibri"/>
          <w:color w:val="000000"/>
          <w:sz w:val="24"/>
          <w:szCs w:val="24"/>
        </w:rPr>
        <w:tab/>
      </w:r>
      <w:r w:rsidRPr="00B20BE9">
        <w:rPr>
          <w:rFonts w:eastAsia="Calibri"/>
          <w:color w:val="000000"/>
          <w:sz w:val="24"/>
          <w:szCs w:val="24"/>
        </w:rPr>
        <w:tab/>
        <w:t>10.</w:t>
      </w:r>
      <w:r w:rsidRPr="00B20BE9">
        <w:rPr>
          <w:rFonts w:eastAsia="Calibri"/>
          <w:color w:val="000000"/>
          <w:sz w:val="24"/>
          <w:szCs w:val="24"/>
        </w:rPr>
        <w:tab/>
        <w:t>Adoption of the OCA’s ADIT and state income tax adjustment</w:t>
      </w:r>
      <w:r w:rsidR="00BD4308" w:rsidRPr="00B20BE9">
        <w:rPr>
          <w:rFonts w:eastAsia="Calibri"/>
          <w:color w:val="000000"/>
          <w:sz w:val="24"/>
          <w:szCs w:val="24"/>
        </w:rPr>
        <w:t>s in</w:t>
      </w:r>
      <w:r w:rsidRPr="00B20BE9">
        <w:rPr>
          <w:rFonts w:eastAsia="Calibri"/>
          <w:color w:val="000000"/>
          <w:sz w:val="24"/>
          <w:szCs w:val="24"/>
        </w:rPr>
        <w:t xml:space="preserve"> PPL’s DSIC are not necessary to produce just and reasonable rates.  These adjustments are already captured in the quarterly earnings report used to determine the utility’s achieved rate of return for earnings cap purposes.  Consumers are protected by the earnings cap from excessive rate charges in the DSIC.  </w:t>
      </w:r>
      <w:r w:rsidRPr="00B20BE9">
        <w:rPr>
          <w:i/>
          <w:sz w:val="24"/>
          <w:szCs w:val="24"/>
        </w:rPr>
        <w:t>Petition of Columbia Gas of Pennsylvania, Inc. for Approval of its Long-Term Infrastructure Improvement Plan; Petition of Columbia Gas of Pennsylvania, Inc. for Approval of a Distribution System Improvement Charge</w:t>
      </w:r>
      <w:r w:rsidRPr="00B20BE9">
        <w:rPr>
          <w:sz w:val="24"/>
          <w:szCs w:val="24"/>
        </w:rPr>
        <w:t>, Docket No. P-</w:t>
      </w:r>
      <w:r w:rsidR="00326926">
        <w:rPr>
          <w:sz w:val="24"/>
          <w:szCs w:val="24"/>
        </w:rPr>
        <w:t>2012-2338282, Order entered May 22, </w:t>
      </w:r>
      <w:r w:rsidRPr="00B20BE9">
        <w:rPr>
          <w:sz w:val="24"/>
          <w:szCs w:val="24"/>
        </w:rPr>
        <w:t>2014</w:t>
      </w:r>
      <w:r w:rsidR="008D56F8" w:rsidRPr="00B20BE9">
        <w:rPr>
          <w:sz w:val="24"/>
          <w:szCs w:val="24"/>
        </w:rPr>
        <w:t>; 66 Pa.C.S. § 1358(b)(3).</w:t>
      </w:r>
    </w:p>
    <w:p w:rsidR="009D3B0D" w:rsidRPr="00B20BE9" w:rsidRDefault="009D3B0D" w:rsidP="00330844">
      <w:pPr>
        <w:rPr>
          <w:rFonts w:eastAsia="Calibri"/>
          <w:sz w:val="24"/>
          <w:szCs w:val="24"/>
        </w:rPr>
      </w:pPr>
    </w:p>
    <w:p w:rsidR="00BD4308" w:rsidRPr="00B20BE9" w:rsidRDefault="009D3B0D" w:rsidP="00BD4308">
      <w:pPr>
        <w:rPr>
          <w:rFonts w:eastAsia="Calibri"/>
          <w:sz w:val="24"/>
          <w:szCs w:val="24"/>
        </w:rPr>
      </w:pPr>
      <w:r w:rsidRPr="00B20BE9">
        <w:rPr>
          <w:rFonts w:eastAsia="Calibri"/>
          <w:sz w:val="24"/>
          <w:szCs w:val="24"/>
        </w:rPr>
        <w:tab/>
      </w:r>
      <w:r w:rsidRPr="00B20BE9">
        <w:rPr>
          <w:rFonts w:eastAsia="Calibri"/>
          <w:sz w:val="24"/>
          <w:szCs w:val="24"/>
        </w:rPr>
        <w:tab/>
        <w:t>11.</w:t>
      </w:r>
      <w:r w:rsidRPr="00B20BE9">
        <w:rPr>
          <w:rFonts w:eastAsia="Calibri"/>
          <w:sz w:val="24"/>
          <w:szCs w:val="24"/>
        </w:rPr>
        <w:tab/>
      </w:r>
      <w:r w:rsidR="00BD4308" w:rsidRPr="00B20BE9">
        <w:rPr>
          <w:rFonts w:eastAsia="Calibri"/>
          <w:sz w:val="24"/>
          <w:szCs w:val="24"/>
        </w:rPr>
        <w:t xml:space="preserve">Adoption of the OCA’s ADIT and state income tax adjustments in PPL’s DSIC would complicate the DSIC process, in contravention of the legislative intent that the DSIC be straightforward, easy to calculate and audit, and not require a full rate case analysis.  </w:t>
      </w:r>
      <w:r w:rsidR="00BD4308" w:rsidRPr="00B20BE9">
        <w:rPr>
          <w:i/>
          <w:sz w:val="24"/>
          <w:szCs w:val="24"/>
        </w:rPr>
        <w:t>Petition of Columbia Gas of Pennsylvania, Inc. for Approval of its Long-Term Infrastructure Improvement Plan; Petition of Columbia Gas of Pennsylvania, Inc. for Approval of a Distribution System Improvement Charge</w:t>
      </w:r>
      <w:r w:rsidR="00BD4308" w:rsidRPr="00B20BE9">
        <w:rPr>
          <w:sz w:val="24"/>
          <w:szCs w:val="24"/>
        </w:rPr>
        <w:t>, Docket No. P-2012-2338282, Order enter</w:t>
      </w:r>
      <w:r w:rsidR="00326926">
        <w:rPr>
          <w:sz w:val="24"/>
          <w:szCs w:val="24"/>
        </w:rPr>
        <w:t>ed May 22, </w:t>
      </w:r>
      <w:r w:rsidR="00BD4308" w:rsidRPr="00B20BE9">
        <w:rPr>
          <w:sz w:val="24"/>
          <w:szCs w:val="24"/>
        </w:rPr>
        <w:t>2014</w:t>
      </w:r>
      <w:r w:rsidR="00BD4308" w:rsidRPr="00B20BE9">
        <w:rPr>
          <w:rFonts w:eastAsia="Calibri"/>
          <w:sz w:val="24"/>
          <w:szCs w:val="24"/>
        </w:rPr>
        <w:t>.</w:t>
      </w:r>
    </w:p>
    <w:p w:rsidR="00A94220" w:rsidRPr="00B20BE9" w:rsidRDefault="00A94220" w:rsidP="00BD4308">
      <w:pPr>
        <w:rPr>
          <w:rFonts w:eastAsia="Calibri"/>
          <w:sz w:val="24"/>
          <w:szCs w:val="24"/>
        </w:rPr>
      </w:pPr>
    </w:p>
    <w:p w:rsidR="00A94220" w:rsidRPr="00B20BE9" w:rsidRDefault="00A94220" w:rsidP="00A94220">
      <w:pPr>
        <w:rPr>
          <w:rFonts w:eastAsia="Calibri"/>
          <w:sz w:val="24"/>
          <w:szCs w:val="24"/>
        </w:rPr>
      </w:pPr>
      <w:r w:rsidRPr="00B20BE9">
        <w:rPr>
          <w:rFonts w:eastAsia="Calibri"/>
          <w:sz w:val="24"/>
          <w:szCs w:val="24"/>
        </w:rPr>
        <w:tab/>
      </w:r>
      <w:r w:rsidRPr="00B20BE9">
        <w:rPr>
          <w:rFonts w:eastAsia="Calibri"/>
          <w:sz w:val="24"/>
          <w:szCs w:val="24"/>
        </w:rPr>
        <w:tab/>
        <w:t>12.</w:t>
      </w:r>
      <w:r w:rsidRPr="00B20BE9">
        <w:rPr>
          <w:rFonts w:eastAsia="Calibri"/>
          <w:sz w:val="24"/>
          <w:szCs w:val="24"/>
        </w:rPr>
        <w:tab/>
        <w:t xml:space="preserve">PPL has met its burden of proof with respect to its treatment of ADIT and state income taxes in the DSIC calculation.  </w:t>
      </w:r>
      <w:r w:rsidRPr="00B20BE9">
        <w:rPr>
          <w:i/>
          <w:sz w:val="24"/>
          <w:szCs w:val="24"/>
        </w:rPr>
        <w:t>Petition of Columbia Gas of Pennsylvania, Inc. for Approval of its Long-Term Infrastructure Improvement Plan; Petition of Columbia Gas of Pennsylvania, Inc. for Approval of a Distribution System Improvement Charge</w:t>
      </w:r>
      <w:r w:rsidRPr="00B20BE9">
        <w:rPr>
          <w:sz w:val="24"/>
          <w:szCs w:val="24"/>
        </w:rPr>
        <w:t>, Docket No. P-2012-2338282, Order entered May 22, 2014</w:t>
      </w:r>
      <w:r w:rsidRPr="00B20BE9">
        <w:rPr>
          <w:rFonts w:eastAsia="Calibri"/>
          <w:sz w:val="24"/>
          <w:szCs w:val="24"/>
        </w:rPr>
        <w:t>.</w:t>
      </w:r>
    </w:p>
    <w:p w:rsidR="00A94220" w:rsidRPr="00B20BE9" w:rsidRDefault="00A94220" w:rsidP="00BD4308">
      <w:pPr>
        <w:rPr>
          <w:rFonts w:eastAsia="Calibri"/>
          <w:sz w:val="24"/>
          <w:szCs w:val="24"/>
        </w:rPr>
      </w:pPr>
    </w:p>
    <w:p w:rsidR="00BD4308" w:rsidRPr="00B20BE9" w:rsidRDefault="00A94220" w:rsidP="00BD4308">
      <w:pPr>
        <w:rPr>
          <w:rFonts w:eastAsia="Calibri"/>
          <w:sz w:val="24"/>
          <w:szCs w:val="24"/>
        </w:rPr>
      </w:pPr>
      <w:r w:rsidRPr="00B20BE9">
        <w:rPr>
          <w:rFonts w:eastAsia="Calibri"/>
          <w:sz w:val="24"/>
          <w:szCs w:val="24"/>
        </w:rPr>
        <w:tab/>
      </w:r>
      <w:r w:rsidRPr="00B20BE9">
        <w:rPr>
          <w:rFonts w:eastAsia="Calibri"/>
          <w:sz w:val="24"/>
          <w:szCs w:val="24"/>
        </w:rPr>
        <w:tab/>
      </w:r>
      <w:r w:rsidR="00BD4308" w:rsidRPr="00B20BE9">
        <w:rPr>
          <w:rFonts w:eastAsia="Calibri"/>
          <w:sz w:val="24"/>
          <w:szCs w:val="24"/>
        </w:rPr>
        <w:t>1</w:t>
      </w:r>
      <w:r w:rsidRPr="00B20BE9">
        <w:rPr>
          <w:rFonts w:eastAsia="Calibri"/>
          <w:sz w:val="24"/>
          <w:szCs w:val="24"/>
        </w:rPr>
        <w:t>3</w:t>
      </w:r>
      <w:r w:rsidR="00BD4308" w:rsidRPr="00B20BE9">
        <w:rPr>
          <w:rFonts w:eastAsia="Calibri"/>
          <w:sz w:val="24"/>
          <w:szCs w:val="24"/>
        </w:rPr>
        <w:t>.</w:t>
      </w:r>
      <w:r w:rsidR="00BD4308" w:rsidRPr="00B20BE9">
        <w:rPr>
          <w:rFonts w:eastAsia="Calibri"/>
          <w:sz w:val="24"/>
          <w:szCs w:val="24"/>
        </w:rPr>
        <w:tab/>
        <w:t>Section 1358(d)(1) of the Code, 66 Pa.C.S. § 1358(d)(1), must be interpreted consistent with the requirement that rates be “just and r</w:t>
      </w:r>
      <w:r w:rsidR="00B42CB9">
        <w:rPr>
          <w:rFonts w:eastAsia="Calibri"/>
          <w:sz w:val="24"/>
          <w:szCs w:val="24"/>
        </w:rPr>
        <w:t>easonable.”  1 Pa.C.S. § 1932.</w:t>
      </w:r>
    </w:p>
    <w:p w:rsidR="00BD4308" w:rsidRPr="00B20BE9" w:rsidRDefault="00BD4308" w:rsidP="00BD4308">
      <w:pPr>
        <w:rPr>
          <w:rFonts w:eastAsia="Calibri"/>
          <w:sz w:val="24"/>
          <w:szCs w:val="24"/>
        </w:rPr>
      </w:pPr>
    </w:p>
    <w:p w:rsidR="005A1F7B" w:rsidRPr="00B20BE9" w:rsidRDefault="00A94220" w:rsidP="00BD4308">
      <w:pPr>
        <w:rPr>
          <w:rFonts w:eastAsia="Calibri"/>
          <w:sz w:val="24"/>
          <w:szCs w:val="24"/>
        </w:rPr>
      </w:pPr>
      <w:r w:rsidRPr="00B20BE9">
        <w:rPr>
          <w:rFonts w:eastAsia="Calibri"/>
          <w:sz w:val="24"/>
          <w:szCs w:val="24"/>
        </w:rPr>
        <w:tab/>
      </w:r>
      <w:r w:rsidRPr="00B20BE9">
        <w:rPr>
          <w:rFonts w:eastAsia="Calibri"/>
          <w:sz w:val="24"/>
          <w:szCs w:val="24"/>
        </w:rPr>
        <w:tab/>
        <w:t>14</w:t>
      </w:r>
      <w:r w:rsidR="00BD4308" w:rsidRPr="00B20BE9">
        <w:rPr>
          <w:rFonts w:eastAsia="Calibri"/>
          <w:sz w:val="24"/>
          <w:szCs w:val="24"/>
        </w:rPr>
        <w:t>.</w:t>
      </w:r>
      <w:r w:rsidR="00BD4308" w:rsidRPr="00B20BE9">
        <w:rPr>
          <w:rFonts w:eastAsia="Calibri"/>
          <w:sz w:val="24"/>
          <w:szCs w:val="24"/>
        </w:rPr>
        <w:tab/>
        <w:t>The Commission retains authority under Act</w:t>
      </w:r>
      <w:r w:rsidR="00D74554">
        <w:rPr>
          <w:rFonts w:eastAsia="Calibri"/>
          <w:sz w:val="24"/>
          <w:szCs w:val="24"/>
        </w:rPr>
        <w:t xml:space="preserve"> </w:t>
      </w:r>
      <w:r w:rsidR="00BD4308" w:rsidRPr="00B20BE9">
        <w:rPr>
          <w:rFonts w:eastAsia="Calibri"/>
          <w:sz w:val="24"/>
          <w:szCs w:val="24"/>
        </w:rPr>
        <w:t xml:space="preserve">11 to address circumstances </w:t>
      </w:r>
      <w:r w:rsidR="00F34020" w:rsidRPr="00B20BE9">
        <w:rPr>
          <w:rFonts w:eastAsia="Calibri"/>
          <w:sz w:val="24"/>
          <w:szCs w:val="24"/>
        </w:rPr>
        <w:t>wherein application of the DSIC would not produce “just and reasonable” rates and to regulate in the public interest.  66 Pa.C.S. §§ 501, 1301</w:t>
      </w:r>
      <w:r w:rsidR="005A1F7B" w:rsidRPr="00B20BE9">
        <w:rPr>
          <w:rFonts w:eastAsia="Calibri"/>
          <w:sz w:val="24"/>
          <w:szCs w:val="24"/>
        </w:rPr>
        <w:t>, 1358(d)(1)</w:t>
      </w:r>
      <w:r w:rsidR="00F34020" w:rsidRPr="00B20BE9">
        <w:rPr>
          <w:rFonts w:eastAsia="Calibri"/>
          <w:sz w:val="24"/>
          <w:szCs w:val="24"/>
        </w:rPr>
        <w:t>.</w:t>
      </w:r>
    </w:p>
    <w:p w:rsidR="005A1F7B" w:rsidRPr="00B20BE9" w:rsidRDefault="005A1F7B" w:rsidP="00BD4308">
      <w:pPr>
        <w:rPr>
          <w:rFonts w:eastAsia="Calibri"/>
          <w:sz w:val="24"/>
          <w:szCs w:val="24"/>
        </w:rPr>
      </w:pPr>
    </w:p>
    <w:p w:rsidR="00BD4308" w:rsidRPr="00B20BE9" w:rsidRDefault="00A94220" w:rsidP="00BD4308">
      <w:pPr>
        <w:rPr>
          <w:rFonts w:eastAsia="Calibri"/>
          <w:sz w:val="24"/>
          <w:szCs w:val="24"/>
        </w:rPr>
      </w:pPr>
      <w:r w:rsidRPr="00B20BE9">
        <w:rPr>
          <w:rFonts w:eastAsia="Calibri"/>
          <w:sz w:val="24"/>
          <w:szCs w:val="24"/>
        </w:rPr>
        <w:tab/>
      </w:r>
      <w:r w:rsidRPr="00B20BE9">
        <w:rPr>
          <w:rFonts w:eastAsia="Calibri"/>
          <w:sz w:val="24"/>
          <w:szCs w:val="24"/>
        </w:rPr>
        <w:tab/>
        <w:t>15</w:t>
      </w:r>
      <w:r w:rsidR="005A1F7B" w:rsidRPr="00B20BE9">
        <w:rPr>
          <w:rFonts w:eastAsia="Calibri"/>
          <w:sz w:val="24"/>
          <w:szCs w:val="24"/>
        </w:rPr>
        <w:t>.</w:t>
      </w:r>
      <w:r w:rsidR="005A1F7B" w:rsidRPr="00B20BE9">
        <w:rPr>
          <w:rFonts w:eastAsia="Calibri"/>
          <w:sz w:val="24"/>
          <w:szCs w:val="24"/>
        </w:rPr>
        <w:tab/>
        <w:t>PPL did not meet its burden of proof as to the justness and reasonableness of its DSIC rate as applied to LP-5 customers, as it failed to rebut evidence that these customers do not benefit from facilities paid for by the DSIC.  66 Pa.C.S. §§</w:t>
      </w:r>
      <w:r w:rsidR="00C00080">
        <w:rPr>
          <w:rFonts w:eastAsia="Calibri"/>
          <w:sz w:val="24"/>
          <w:szCs w:val="24"/>
        </w:rPr>
        <w:t xml:space="preserve"> </w:t>
      </w:r>
      <w:r w:rsidR="005A1F7B" w:rsidRPr="00B20BE9">
        <w:rPr>
          <w:rFonts w:eastAsia="Calibri"/>
          <w:sz w:val="24"/>
          <w:szCs w:val="24"/>
        </w:rPr>
        <w:t>315(a), 1301, 1351.</w:t>
      </w:r>
    </w:p>
    <w:p w:rsidR="005A1F7B" w:rsidRPr="00B20BE9" w:rsidRDefault="005A1F7B" w:rsidP="00BD4308">
      <w:pPr>
        <w:rPr>
          <w:rFonts w:eastAsia="Calibri"/>
          <w:sz w:val="24"/>
          <w:szCs w:val="24"/>
        </w:rPr>
      </w:pPr>
    </w:p>
    <w:p w:rsidR="0062731B" w:rsidRPr="00B20BE9" w:rsidRDefault="00A94220" w:rsidP="00BD4308">
      <w:pPr>
        <w:rPr>
          <w:rFonts w:eastAsia="Calibri"/>
          <w:sz w:val="24"/>
          <w:szCs w:val="24"/>
        </w:rPr>
      </w:pPr>
      <w:r w:rsidRPr="00B20BE9">
        <w:rPr>
          <w:rFonts w:eastAsia="Calibri"/>
          <w:sz w:val="24"/>
          <w:szCs w:val="24"/>
        </w:rPr>
        <w:tab/>
      </w:r>
      <w:r w:rsidRPr="00B20BE9">
        <w:rPr>
          <w:rFonts w:eastAsia="Calibri"/>
          <w:sz w:val="24"/>
          <w:szCs w:val="24"/>
        </w:rPr>
        <w:tab/>
        <w:t>16</w:t>
      </w:r>
      <w:r w:rsidR="005A1F7B" w:rsidRPr="00B20BE9">
        <w:rPr>
          <w:rFonts w:eastAsia="Calibri"/>
          <w:sz w:val="24"/>
          <w:szCs w:val="24"/>
        </w:rPr>
        <w:t>.</w:t>
      </w:r>
      <w:r w:rsidR="005A1F7B" w:rsidRPr="00B20BE9">
        <w:rPr>
          <w:rFonts w:eastAsia="Calibri"/>
          <w:sz w:val="24"/>
          <w:szCs w:val="24"/>
        </w:rPr>
        <w:tab/>
        <w:t>LP-5 customers should receive refunds of DSIC overcollections, retroactive to July 1, 2013, at the residential mortgage rate of interest.  66 Pa.C.S. § 13</w:t>
      </w:r>
      <w:r w:rsidR="0062731B" w:rsidRPr="00B20BE9">
        <w:rPr>
          <w:rFonts w:eastAsia="Calibri"/>
          <w:sz w:val="24"/>
          <w:szCs w:val="24"/>
        </w:rPr>
        <w:t>58(e)(3).</w:t>
      </w:r>
    </w:p>
    <w:p w:rsidR="0062731B" w:rsidRPr="00B20BE9" w:rsidRDefault="0062731B" w:rsidP="00BD4308">
      <w:pPr>
        <w:rPr>
          <w:rFonts w:eastAsia="Calibri"/>
          <w:sz w:val="24"/>
          <w:szCs w:val="24"/>
        </w:rPr>
      </w:pPr>
    </w:p>
    <w:p w:rsidR="00893567" w:rsidRPr="00B20BE9" w:rsidRDefault="0062731B" w:rsidP="00BD4308">
      <w:pPr>
        <w:rPr>
          <w:rFonts w:eastAsia="Calibri"/>
          <w:sz w:val="24"/>
          <w:szCs w:val="24"/>
        </w:rPr>
      </w:pPr>
      <w:r w:rsidRPr="00B20BE9">
        <w:rPr>
          <w:rFonts w:eastAsia="Calibri"/>
          <w:sz w:val="24"/>
          <w:szCs w:val="24"/>
        </w:rPr>
        <w:tab/>
      </w:r>
      <w:r w:rsidRPr="00B20BE9">
        <w:rPr>
          <w:rFonts w:eastAsia="Calibri"/>
          <w:sz w:val="24"/>
          <w:szCs w:val="24"/>
        </w:rPr>
        <w:tab/>
      </w:r>
      <w:r w:rsidR="00A94220" w:rsidRPr="00B20BE9">
        <w:rPr>
          <w:rFonts w:eastAsia="Calibri"/>
          <w:sz w:val="24"/>
          <w:szCs w:val="24"/>
        </w:rPr>
        <w:t>17</w:t>
      </w:r>
      <w:r w:rsidRPr="00B20BE9">
        <w:rPr>
          <w:rFonts w:eastAsia="Calibri"/>
          <w:sz w:val="24"/>
          <w:szCs w:val="24"/>
        </w:rPr>
        <w:t>.</w:t>
      </w:r>
      <w:r w:rsidRPr="00B20BE9">
        <w:rPr>
          <w:rFonts w:eastAsia="Calibri"/>
          <w:sz w:val="24"/>
          <w:szCs w:val="24"/>
        </w:rPr>
        <w:tab/>
      </w:r>
      <w:r w:rsidR="00893567" w:rsidRPr="00B20BE9">
        <w:rPr>
          <w:rFonts w:eastAsia="Calibri"/>
          <w:sz w:val="24"/>
          <w:szCs w:val="24"/>
        </w:rPr>
        <w:t xml:space="preserve">The DSIC is to be capped at 5.0% for the amount to customers for distribution service (including all </w:t>
      </w:r>
      <w:r w:rsidR="00893567" w:rsidRPr="00B20BE9">
        <w:rPr>
          <w:rFonts w:eastAsia="Calibri"/>
          <w:sz w:val="24"/>
          <w:szCs w:val="24"/>
          <w:u w:val="single"/>
        </w:rPr>
        <w:t>applicable</w:t>
      </w:r>
      <w:r w:rsidR="00893567" w:rsidRPr="00B20BE9">
        <w:rPr>
          <w:rFonts w:eastAsia="Calibri"/>
          <w:sz w:val="24"/>
          <w:szCs w:val="24"/>
        </w:rPr>
        <w:t xml:space="preserve"> clauses and riders) as determined on an annualized basis.</w:t>
      </w:r>
      <w:r w:rsidR="008D56F8" w:rsidRPr="00B20BE9">
        <w:rPr>
          <w:rFonts w:eastAsia="Calibri"/>
          <w:sz w:val="24"/>
          <w:szCs w:val="24"/>
        </w:rPr>
        <w:t xml:space="preserve">  66 Pa.C.S. § 1358(a)(1);</w:t>
      </w:r>
      <w:r w:rsidR="00893567" w:rsidRPr="00B20BE9">
        <w:rPr>
          <w:rFonts w:eastAsia="Calibri"/>
          <w:sz w:val="24"/>
          <w:szCs w:val="24"/>
        </w:rPr>
        <w:t xml:space="preserve"> </w:t>
      </w:r>
      <w:r w:rsidR="00893567" w:rsidRPr="00B20BE9">
        <w:rPr>
          <w:rFonts w:eastAsia="Calibri"/>
          <w:i/>
          <w:sz w:val="24"/>
          <w:szCs w:val="24"/>
        </w:rPr>
        <w:t>Final Implementation Order</w:t>
      </w:r>
      <w:r w:rsidR="00A53F2C">
        <w:rPr>
          <w:rFonts w:eastAsia="Calibri"/>
          <w:sz w:val="24"/>
          <w:szCs w:val="24"/>
        </w:rPr>
        <w:t>, Model Tariff.</w:t>
      </w:r>
    </w:p>
    <w:p w:rsidR="00893567" w:rsidRPr="00B20BE9" w:rsidRDefault="00893567" w:rsidP="00BD4308">
      <w:pPr>
        <w:rPr>
          <w:rFonts w:eastAsia="Calibri"/>
          <w:sz w:val="24"/>
          <w:szCs w:val="24"/>
        </w:rPr>
      </w:pPr>
    </w:p>
    <w:p w:rsidR="00893567" w:rsidRPr="00B20BE9" w:rsidRDefault="00A94220" w:rsidP="00BD4308">
      <w:pPr>
        <w:rPr>
          <w:rFonts w:eastAsia="Calibri"/>
          <w:sz w:val="24"/>
          <w:szCs w:val="24"/>
        </w:rPr>
      </w:pPr>
      <w:r w:rsidRPr="00B20BE9">
        <w:rPr>
          <w:rFonts w:eastAsia="Calibri"/>
          <w:sz w:val="24"/>
          <w:szCs w:val="24"/>
        </w:rPr>
        <w:tab/>
      </w:r>
      <w:r w:rsidRPr="00B20BE9">
        <w:rPr>
          <w:rFonts w:eastAsia="Calibri"/>
          <w:sz w:val="24"/>
          <w:szCs w:val="24"/>
        </w:rPr>
        <w:tab/>
        <w:t>18</w:t>
      </w:r>
      <w:r w:rsidR="00893567" w:rsidRPr="00B20BE9">
        <w:rPr>
          <w:rFonts w:eastAsia="Calibri"/>
          <w:sz w:val="24"/>
          <w:szCs w:val="24"/>
        </w:rPr>
        <w:t>.</w:t>
      </w:r>
      <w:r w:rsidR="00893567" w:rsidRPr="00B20BE9">
        <w:rPr>
          <w:rFonts w:eastAsia="Calibri"/>
          <w:sz w:val="24"/>
          <w:szCs w:val="24"/>
        </w:rPr>
        <w:tab/>
        <w:t xml:space="preserve">“Applicable” is not defined </w:t>
      </w:r>
      <w:r w:rsidR="008D56F8" w:rsidRPr="00B20BE9">
        <w:rPr>
          <w:rFonts w:eastAsia="Calibri"/>
          <w:sz w:val="24"/>
          <w:szCs w:val="24"/>
        </w:rPr>
        <w:t xml:space="preserve">in Act 11 </w:t>
      </w:r>
      <w:r w:rsidR="00893567" w:rsidRPr="00B20BE9">
        <w:rPr>
          <w:rFonts w:eastAsia="Calibri"/>
          <w:sz w:val="24"/>
          <w:szCs w:val="24"/>
        </w:rPr>
        <w:t>and is unclear as used in Act 11; however, legislative intent can be ascertained by considering the purpose of the legislation.  1 Pa.C.S. § 1921(c)(4).</w:t>
      </w:r>
    </w:p>
    <w:p w:rsidR="00893567" w:rsidRPr="00B20BE9" w:rsidRDefault="00893567" w:rsidP="00BD4308">
      <w:pPr>
        <w:rPr>
          <w:rFonts w:eastAsia="Calibri"/>
          <w:sz w:val="24"/>
          <w:szCs w:val="24"/>
        </w:rPr>
      </w:pPr>
    </w:p>
    <w:p w:rsidR="005A1F7B" w:rsidRPr="00B20BE9" w:rsidRDefault="00A94220" w:rsidP="00BD4308">
      <w:pPr>
        <w:rPr>
          <w:rFonts w:eastAsia="Calibri"/>
          <w:sz w:val="24"/>
          <w:szCs w:val="24"/>
        </w:rPr>
      </w:pPr>
      <w:r w:rsidRPr="00B20BE9">
        <w:rPr>
          <w:rFonts w:eastAsia="Calibri"/>
          <w:sz w:val="24"/>
          <w:szCs w:val="24"/>
        </w:rPr>
        <w:tab/>
      </w:r>
      <w:r w:rsidRPr="00B20BE9">
        <w:rPr>
          <w:rFonts w:eastAsia="Calibri"/>
          <w:sz w:val="24"/>
          <w:szCs w:val="24"/>
        </w:rPr>
        <w:tab/>
        <w:t>19</w:t>
      </w:r>
      <w:r w:rsidR="00893567" w:rsidRPr="00B20BE9">
        <w:rPr>
          <w:rFonts w:eastAsia="Calibri"/>
          <w:sz w:val="24"/>
          <w:szCs w:val="24"/>
        </w:rPr>
        <w:t>.</w:t>
      </w:r>
      <w:r w:rsidR="00893567" w:rsidRPr="00B20BE9">
        <w:rPr>
          <w:rFonts w:eastAsia="Calibri"/>
          <w:sz w:val="24"/>
          <w:szCs w:val="24"/>
        </w:rPr>
        <w:tab/>
        <w:t>The purpose of the DSIC under Act 11 is to provide an additional mechanism for recovery of distribution system costs.  Eligible costs for DSIC recovery are those sufficiently applicable to the distribution system.</w:t>
      </w:r>
      <w:r w:rsidR="008D56F8" w:rsidRPr="00B20BE9">
        <w:rPr>
          <w:rFonts w:eastAsia="Calibri"/>
          <w:sz w:val="24"/>
          <w:szCs w:val="24"/>
        </w:rPr>
        <w:t xml:space="preserve">  66 Pa.C.S. §§ 1350, 1351.</w:t>
      </w:r>
    </w:p>
    <w:p w:rsidR="00893567" w:rsidRPr="00B20BE9" w:rsidRDefault="00893567" w:rsidP="00BD4308">
      <w:pPr>
        <w:rPr>
          <w:rFonts w:eastAsia="Calibri"/>
          <w:sz w:val="24"/>
          <w:szCs w:val="24"/>
        </w:rPr>
      </w:pPr>
    </w:p>
    <w:p w:rsidR="00893567" w:rsidRPr="00B20BE9" w:rsidRDefault="00893567" w:rsidP="00BD4308">
      <w:pPr>
        <w:rPr>
          <w:rFonts w:eastAsia="Calibri"/>
          <w:sz w:val="24"/>
          <w:szCs w:val="24"/>
        </w:rPr>
      </w:pPr>
      <w:r w:rsidRPr="00B20BE9">
        <w:rPr>
          <w:rFonts w:eastAsia="Calibri"/>
          <w:sz w:val="24"/>
          <w:szCs w:val="24"/>
        </w:rPr>
        <w:tab/>
      </w:r>
      <w:r w:rsidR="00A94220" w:rsidRPr="00B20BE9">
        <w:rPr>
          <w:rFonts w:eastAsia="Calibri"/>
          <w:sz w:val="24"/>
          <w:szCs w:val="24"/>
        </w:rPr>
        <w:tab/>
        <w:t>20</w:t>
      </w:r>
      <w:r w:rsidRPr="00B20BE9">
        <w:rPr>
          <w:rFonts w:eastAsia="Calibri"/>
          <w:sz w:val="24"/>
          <w:szCs w:val="24"/>
        </w:rPr>
        <w:t>.</w:t>
      </w:r>
      <w:r w:rsidRPr="00B20BE9">
        <w:rPr>
          <w:rFonts w:eastAsia="Calibri"/>
          <w:sz w:val="24"/>
          <w:szCs w:val="24"/>
        </w:rPr>
        <w:tab/>
        <w:t>PPL has not met its burden of proving that its ACR and CER revenues are sufficiently related to distribution system costs</w:t>
      </w:r>
      <w:r w:rsidR="008D56F8" w:rsidRPr="00B20BE9">
        <w:rPr>
          <w:rFonts w:eastAsia="Calibri"/>
          <w:sz w:val="24"/>
          <w:szCs w:val="24"/>
        </w:rPr>
        <w:t xml:space="preserve"> so as to be included in the DSIC calculation</w:t>
      </w:r>
      <w:r w:rsidRPr="00B20BE9">
        <w:rPr>
          <w:rFonts w:eastAsia="Calibri"/>
          <w:sz w:val="24"/>
          <w:szCs w:val="24"/>
        </w:rPr>
        <w:t xml:space="preserve">.  66 Pa.C.S. §§ </w:t>
      </w:r>
      <w:r w:rsidR="008D56F8" w:rsidRPr="00B20BE9">
        <w:rPr>
          <w:rFonts w:eastAsia="Calibri"/>
          <w:sz w:val="24"/>
          <w:szCs w:val="24"/>
        </w:rPr>
        <w:t xml:space="preserve">315(a), </w:t>
      </w:r>
      <w:r w:rsidRPr="00B20BE9">
        <w:rPr>
          <w:rFonts w:eastAsia="Calibri"/>
          <w:sz w:val="24"/>
          <w:szCs w:val="24"/>
        </w:rPr>
        <w:t>1350, 1351</w:t>
      </w:r>
      <w:r w:rsidR="008D56F8" w:rsidRPr="00B20BE9">
        <w:rPr>
          <w:rFonts w:eastAsia="Calibri"/>
          <w:sz w:val="24"/>
          <w:szCs w:val="24"/>
        </w:rPr>
        <w:t>.</w:t>
      </w:r>
    </w:p>
    <w:p w:rsidR="009D3B0D" w:rsidRPr="00B20BE9" w:rsidRDefault="009D3B0D" w:rsidP="00330844">
      <w:pPr>
        <w:rPr>
          <w:sz w:val="24"/>
          <w:szCs w:val="24"/>
        </w:rPr>
      </w:pPr>
    </w:p>
    <w:p w:rsidR="00C3124E" w:rsidRPr="00B20BE9" w:rsidRDefault="00A94220" w:rsidP="008862EC">
      <w:pPr>
        <w:rPr>
          <w:sz w:val="24"/>
          <w:szCs w:val="24"/>
        </w:rPr>
      </w:pPr>
      <w:r w:rsidRPr="00B20BE9">
        <w:rPr>
          <w:sz w:val="24"/>
          <w:szCs w:val="24"/>
        </w:rPr>
        <w:tab/>
      </w:r>
      <w:r w:rsidRPr="00B20BE9">
        <w:rPr>
          <w:sz w:val="24"/>
          <w:szCs w:val="24"/>
        </w:rPr>
        <w:tab/>
        <w:t>21</w:t>
      </w:r>
      <w:r w:rsidR="00CA71F4" w:rsidRPr="00B20BE9">
        <w:rPr>
          <w:sz w:val="24"/>
          <w:szCs w:val="24"/>
        </w:rPr>
        <w:t>.</w:t>
      </w:r>
      <w:r w:rsidR="00CA71F4" w:rsidRPr="00B20BE9">
        <w:rPr>
          <w:sz w:val="24"/>
          <w:szCs w:val="24"/>
        </w:rPr>
        <w:tab/>
        <w:t>ACR and CER revenues should be excluded from the DSIC calculation</w:t>
      </w:r>
      <w:r w:rsidR="008862EC" w:rsidRPr="00B20BE9">
        <w:rPr>
          <w:sz w:val="24"/>
          <w:szCs w:val="24"/>
        </w:rPr>
        <w:t xml:space="preserve"> and appropriate refunds should be issued to customers, retroactive to July 1, 2013, with interest at the residential mortgage rate.  66 Pa.C.S. § 1358(e)(3).</w:t>
      </w:r>
    </w:p>
    <w:p w:rsidR="00F01816" w:rsidRPr="00B20BE9" w:rsidRDefault="00F01816" w:rsidP="008862EC">
      <w:pPr>
        <w:rPr>
          <w:sz w:val="24"/>
          <w:szCs w:val="24"/>
        </w:rPr>
      </w:pPr>
    </w:p>
    <w:p w:rsidR="00474D94" w:rsidRPr="00B20BE9" w:rsidRDefault="00474D94" w:rsidP="00A94220">
      <w:pPr>
        <w:jc w:val="center"/>
        <w:rPr>
          <w:sz w:val="24"/>
          <w:szCs w:val="24"/>
        </w:rPr>
      </w:pPr>
      <w:r w:rsidRPr="00B20BE9">
        <w:rPr>
          <w:sz w:val="24"/>
          <w:szCs w:val="24"/>
        </w:rPr>
        <w:t>VI.</w:t>
      </w:r>
      <w:r w:rsidRPr="00B20BE9">
        <w:rPr>
          <w:sz w:val="24"/>
          <w:szCs w:val="24"/>
        </w:rPr>
        <w:tab/>
      </w:r>
      <w:r w:rsidRPr="00B20BE9">
        <w:rPr>
          <w:sz w:val="24"/>
          <w:szCs w:val="24"/>
          <w:u w:val="single"/>
        </w:rPr>
        <w:t>ORDER</w:t>
      </w:r>
      <w:r w:rsidR="003506B9">
        <w:rPr>
          <w:sz w:val="24"/>
          <w:szCs w:val="24"/>
          <w:u w:val="single"/>
        </w:rPr>
        <w:fldChar w:fldCharType="begin"/>
      </w:r>
      <w:r w:rsidR="003506B9">
        <w:instrText xml:space="preserve"> TC "</w:instrText>
      </w:r>
      <w:bookmarkStart w:id="26" w:name="_Toc394309053"/>
      <w:r w:rsidR="003506B9" w:rsidRPr="008742F7">
        <w:rPr>
          <w:sz w:val="24"/>
          <w:szCs w:val="24"/>
        </w:rPr>
        <w:instrText>VI.</w:instrText>
      </w:r>
      <w:r w:rsidR="003506B9" w:rsidRPr="008742F7">
        <w:rPr>
          <w:sz w:val="24"/>
          <w:szCs w:val="24"/>
        </w:rPr>
        <w:tab/>
      </w:r>
      <w:r w:rsidR="003506B9" w:rsidRPr="008742F7">
        <w:rPr>
          <w:sz w:val="24"/>
          <w:szCs w:val="24"/>
          <w:u w:val="single"/>
        </w:rPr>
        <w:instrText>ORDER</w:instrText>
      </w:r>
      <w:bookmarkEnd w:id="26"/>
      <w:r w:rsidR="003506B9">
        <w:instrText xml:space="preserve">" \f C \l "1" </w:instrText>
      </w:r>
      <w:r w:rsidR="003506B9">
        <w:rPr>
          <w:sz w:val="24"/>
          <w:szCs w:val="24"/>
          <w:u w:val="single"/>
        </w:rPr>
        <w:fldChar w:fldCharType="end"/>
      </w:r>
    </w:p>
    <w:p w:rsidR="00474D94" w:rsidRPr="00B20BE9" w:rsidRDefault="00474D94" w:rsidP="00474D94">
      <w:pPr>
        <w:jc w:val="center"/>
        <w:rPr>
          <w:sz w:val="24"/>
          <w:szCs w:val="24"/>
          <w:u w:val="single"/>
        </w:rPr>
      </w:pPr>
    </w:p>
    <w:p w:rsidR="00474D94" w:rsidRPr="00B20BE9" w:rsidRDefault="00474D94" w:rsidP="00474D94">
      <w:pPr>
        <w:jc w:val="center"/>
        <w:rPr>
          <w:sz w:val="24"/>
          <w:szCs w:val="24"/>
          <w:u w:val="single"/>
        </w:rPr>
      </w:pPr>
    </w:p>
    <w:p w:rsidR="00474D94" w:rsidRPr="00B20BE9" w:rsidRDefault="00474D94" w:rsidP="00474D94">
      <w:pPr>
        <w:rPr>
          <w:sz w:val="24"/>
          <w:szCs w:val="24"/>
        </w:rPr>
      </w:pPr>
      <w:r w:rsidRPr="00B20BE9">
        <w:rPr>
          <w:sz w:val="24"/>
          <w:szCs w:val="24"/>
        </w:rPr>
        <w:tab/>
      </w:r>
      <w:r w:rsidRPr="00B20BE9">
        <w:rPr>
          <w:sz w:val="24"/>
          <w:szCs w:val="24"/>
        </w:rPr>
        <w:tab/>
        <w:t>THEREFORE,</w:t>
      </w:r>
    </w:p>
    <w:p w:rsidR="00474D94" w:rsidRPr="00B20BE9" w:rsidRDefault="00474D94" w:rsidP="00474D94">
      <w:pPr>
        <w:rPr>
          <w:sz w:val="24"/>
          <w:szCs w:val="24"/>
        </w:rPr>
      </w:pPr>
    </w:p>
    <w:p w:rsidR="00474D94" w:rsidRPr="00B20BE9" w:rsidRDefault="00474D94" w:rsidP="00474D94">
      <w:pPr>
        <w:rPr>
          <w:sz w:val="24"/>
          <w:szCs w:val="24"/>
        </w:rPr>
      </w:pPr>
      <w:r w:rsidRPr="00B20BE9">
        <w:rPr>
          <w:sz w:val="24"/>
          <w:szCs w:val="24"/>
        </w:rPr>
        <w:tab/>
      </w:r>
      <w:r w:rsidRPr="00B20BE9">
        <w:rPr>
          <w:sz w:val="24"/>
          <w:szCs w:val="24"/>
        </w:rPr>
        <w:tab/>
        <w:t>IT IS RECOMMENDED:</w:t>
      </w:r>
    </w:p>
    <w:p w:rsidR="00474D94" w:rsidRPr="00B20BE9" w:rsidRDefault="00474D94" w:rsidP="00474D94">
      <w:pPr>
        <w:rPr>
          <w:sz w:val="24"/>
          <w:szCs w:val="24"/>
        </w:rPr>
      </w:pPr>
    </w:p>
    <w:p w:rsidR="0023398D" w:rsidRPr="00B20BE9" w:rsidRDefault="00474D94" w:rsidP="00474D94">
      <w:pPr>
        <w:rPr>
          <w:sz w:val="24"/>
          <w:szCs w:val="24"/>
        </w:rPr>
      </w:pPr>
      <w:r w:rsidRPr="00B20BE9">
        <w:rPr>
          <w:sz w:val="24"/>
          <w:szCs w:val="24"/>
        </w:rPr>
        <w:tab/>
      </w:r>
      <w:r w:rsidRPr="00B20BE9">
        <w:rPr>
          <w:sz w:val="24"/>
          <w:szCs w:val="24"/>
        </w:rPr>
        <w:tab/>
        <w:t>1.</w:t>
      </w:r>
      <w:r w:rsidR="00D14E95" w:rsidRPr="00B20BE9">
        <w:rPr>
          <w:sz w:val="24"/>
          <w:szCs w:val="24"/>
        </w:rPr>
        <w:tab/>
      </w:r>
      <w:r w:rsidR="0023398D" w:rsidRPr="00B20BE9">
        <w:rPr>
          <w:sz w:val="24"/>
          <w:szCs w:val="24"/>
        </w:rPr>
        <w:t>That the treatment of Accumulated Deferred Income Taxes in the Distribution System Improvement Charge, filed by PPL Electric Utilities Corporation, effective July 1, 2013, is hereby approved.</w:t>
      </w:r>
    </w:p>
    <w:p w:rsidR="0023398D" w:rsidRPr="00B20BE9" w:rsidRDefault="0023398D" w:rsidP="00474D94">
      <w:pPr>
        <w:rPr>
          <w:sz w:val="24"/>
          <w:szCs w:val="24"/>
        </w:rPr>
      </w:pPr>
    </w:p>
    <w:p w:rsidR="009118EA" w:rsidRPr="00B20BE9" w:rsidRDefault="0023398D" w:rsidP="00474D94">
      <w:pPr>
        <w:rPr>
          <w:sz w:val="24"/>
          <w:szCs w:val="24"/>
        </w:rPr>
      </w:pPr>
      <w:r w:rsidRPr="00B20BE9">
        <w:rPr>
          <w:sz w:val="24"/>
          <w:szCs w:val="24"/>
        </w:rPr>
        <w:tab/>
      </w:r>
      <w:r w:rsidRPr="00B20BE9">
        <w:rPr>
          <w:sz w:val="24"/>
          <w:szCs w:val="24"/>
        </w:rPr>
        <w:tab/>
        <w:t>2.</w:t>
      </w:r>
      <w:r w:rsidRPr="00B20BE9">
        <w:rPr>
          <w:sz w:val="24"/>
          <w:szCs w:val="24"/>
        </w:rPr>
        <w:tab/>
        <w:t>That the treatment of state income taxes in the Distribution System</w:t>
      </w:r>
      <w:r w:rsidR="00FB1C77" w:rsidRPr="00B20BE9">
        <w:rPr>
          <w:sz w:val="24"/>
          <w:szCs w:val="24"/>
        </w:rPr>
        <w:t xml:space="preserve"> I</w:t>
      </w:r>
      <w:r w:rsidRPr="00B20BE9">
        <w:rPr>
          <w:sz w:val="24"/>
          <w:szCs w:val="24"/>
        </w:rPr>
        <w:t>mprovement Charge</w:t>
      </w:r>
      <w:r w:rsidR="00FB1C77" w:rsidRPr="00B20BE9">
        <w:rPr>
          <w:sz w:val="24"/>
          <w:szCs w:val="24"/>
        </w:rPr>
        <w:t>, filed by PPL Electric Utilities Corporation, effective July 1, 2013, is hereby a</w:t>
      </w:r>
      <w:r w:rsidR="00555333">
        <w:rPr>
          <w:sz w:val="24"/>
          <w:szCs w:val="24"/>
        </w:rPr>
        <w:t>pproved.</w:t>
      </w:r>
    </w:p>
    <w:p w:rsidR="009118EA" w:rsidRPr="00B20BE9" w:rsidRDefault="009118EA" w:rsidP="00474D94">
      <w:pPr>
        <w:rPr>
          <w:sz w:val="24"/>
          <w:szCs w:val="24"/>
        </w:rPr>
      </w:pPr>
    </w:p>
    <w:p w:rsidR="009118EA" w:rsidRPr="00B20BE9" w:rsidRDefault="009118EA" w:rsidP="00474D94">
      <w:pPr>
        <w:rPr>
          <w:sz w:val="24"/>
          <w:szCs w:val="24"/>
        </w:rPr>
      </w:pPr>
      <w:r w:rsidRPr="00B20BE9">
        <w:rPr>
          <w:sz w:val="24"/>
          <w:szCs w:val="24"/>
        </w:rPr>
        <w:tab/>
      </w:r>
      <w:r w:rsidRPr="00B20BE9">
        <w:rPr>
          <w:sz w:val="24"/>
          <w:szCs w:val="24"/>
        </w:rPr>
        <w:tab/>
        <w:t>3.</w:t>
      </w:r>
      <w:r w:rsidRPr="00B20BE9">
        <w:rPr>
          <w:sz w:val="24"/>
          <w:szCs w:val="24"/>
        </w:rPr>
        <w:tab/>
        <w:t>That the application of the Distribution System Improvement Charge</w:t>
      </w:r>
      <w:r w:rsidR="00766C8F" w:rsidRPr="00B20BE9">
        <w:rPr>
          <w:sz w:val="24"/>
          <w:szCs w:val="24"/>
        </w:rPr>
        <w:t xml:space="preserve"> to the LP-5 class, as</w:t>
      </w:r>
      <w:r w:rsidRPr="00B20BE9">
        <w:rPr>
          <w:sz w:val="24"/>
          <w:szCs w:val="24"/>
        </w:rPr>
        <w:t xml:space="preserve"> filed by PPL Electric Utilities Corporation, </w:t>
      </w:r>
      <w:r w:rsidR="00766C8F" w:rsidRPr="00B20BE9">
        <w:rPr>
          <w:sz w:val="24"/>
          <w:szCs w:val="24"/>
        </w:rPr>
        <w:t xml:space="preserve">effective July 1, 2013, </w:t>
      </w:r>
      <w:r w:rsidRPr="00B20BE9">
        <w:rPr>
          <w:sz w:val="24"/>
          <w:szCs w:val="24"/>
        </w:rPr>
        <w:t>is hereby rejected as unjust a</w:t>
      </w:r>
      <w:r w:rsidR="00766C8F" w:rsidRPr="00B20BE9">
        <w:rPr>
          <w:sz w:val="24"/>
          <w:szCs w:val="24"/>
        </w:rPr>
        <w:t>nd unreasonable</w:t>
      </w:r>
      <w:r w:rsidR="00555333">
        <w:rPr>
          <w:sz w:val="24"/>
          <w:szCs w:val="24"/>
        </w:rPr>
        <w:t>.</w:t>
      </w:r>
    </w:p>
    <w:p w:rsidR="009118EA" w:rsidRPr="00B20BE9" w:rsidRDefault="009118EA" w:rsidP="00474D94">
      <w:pPr>
        <w:rPr>
          <w:sz w:val="24"/>
          <w:szCs w:val="24"/>
        </w:rPr>
      </w:pPr>
    </w:p>
    <w:p w:rsidR="009118EA" w:rsidRPr="00B20BE9" w:rsidRDefault="009118EA" w:rsidP="00474D94">
      <w:pPr>
        <w:rPr>
          <w:sz w:val="24"/>
          <w:szCs w:val="24"/>
        </w:rPr>
      </w:pPr>
      <w:r w:rsidRPr="00B20BE9">
        <w:rPr>
          <w:sz w:val="24"/>
          <w:szCs w:val="24"/>
        </w:rPr>
        <w:tab/>
      </w:r>
      <w:r w:rsidRPr="00B20BE9">
        <w:rPr>
          <w:sz w:val="24"/>
          <w:szCs w:val="24"/>
        </w:rPr>
        <w:tab/>
        <w:t>4.</w:t>
      </w:r>
      <w:r w:rsidRPr="00B20BE9">
        <w:rPr>
          <w:sz w:val="24"/>
          <w:szCs w:val="24"/>
        </w:rPr>
        <w:tab/>
        <w:t xml:space="preserve">That the inclusion of revenues from the Act 129 Compliance Rider and the Competitive Enhancement Rider in the Distribution System Improvement Charge calculation, by PPL Electric Utilities Corporation, </w:t>
      </w:r>
      <w:r w:rsidR="00766C8F" w:rsidRPr="00B20BE9">
        <w:rPr>
          <w:sz w:val="24"/>
          <w:szCs w:val="24"/>
        </w:rPr>
        <w:t xml:space="preserve">effective July 1, 2013, </w:t>
      </w:r>
      <w:r w:rsidRPr="00B20BE9">
        <w:rPr>
          <w:sz w:val="24"/>
          <w:szCs w:val="24"/>
        </w:rPr>
        <w:t xml:space="preserve">is hereby rejected as </w:t>
      </w:r>
      <w:r w:rsidR="00356617" w:rsidRPr="00B20BE9">
        <w:rPr>
          <w:sz w:val="24"/>
          <w:szCs w:val="24"/>
        </w:rPr>
        <w:t xml:space="preserve">being </w:t>
      </w:r>
      <w:r w:rsidRPr="00B20BE9">
        <w:rPr>
          <w:sz w:val="24"/>
          <w:szCs w:val="24"/>
        </w:rPr>
        <w:t>unjust and unreasonable.</w:t>
      </w:r>
    </w:p>
    <w:p w:rsidR="009118EA" w:rsidRPr="00B20BE9" w:rsidRDefault="009118EA" w:rsidP="00474D94">
      <w:pPr>
        <w:rPr>
          <w:sz w:val="24"/>
          <w:szCs w:val="24"/>
        </w:rPr>
      </w:pPr>
    </w:p>
    <w:p w:rsidR="00766C8F" w:rsidRPr="00B20BE9" w:rsidRDefault="009118EA" w:rsidP="00474D94">
      <w:pPr>
        <w:rPr>
          <w:sz w:val="24"/>
          <w:szCs w:val="24"/>
        </w:rPr>
      </w:pPr>
      <w:r w:rsidRPr="00B20BE9">
        <w:rPr>
          <w:sz w:val="24"/>
          <w:szCs w:val="24"/>
        </w:rPr>
        <w:tab/>
      </w:r>
      <w:r w:rsidRPr="00B20BE9">
        <w:rPr>
          <w:sz w:val="24"/>
          <w:szCs w:val="24"/>
        </w:rPr>
        <w:tab/>
        <w:t>5.</w:t>
      </w:r>
      <w:r w:rsidRPr="00B20BE9">
        <w:rPr>
          <w:sz w:val="24"/>
          <w:szCs w:val="24"/>
        </w:rPr>
        <w:tab/>
        <w:t>That the Distribution System Improvement Charge</w:t>
      </w:r>
      <w:r w:rsidR="00766C8F" w:rsidRPr="00B20BE9">
        <w:rPr>
          <w:sz w:val="24"/>
          <w:szCs w:val="24"/>
        </w:rPr>
        <w:t xml:space="preserve"> of PPL Electric Utilities Corporation shall be recalculated, consistent with paragraphs 3 and 4 above</w:t>
      </w:r>
      <w:r w:rsidR="00ED07E5" w:rsidRPr="00B20BE9">
        <w:rPr>
          <w:sz w:val="24"/>
          <w:szCs w:val="24"/>
        </w:rPr>
        <w:t>,</w:t>
      </w:r>
      <w:r w:rsidR="00766C8F" w:rsidRPr="00B20BE9">
        <w:rPr>
          <w:sz w:val="24"/>
          <w:szCs w:val="24"/>
        </w:rPr>
        <w:t xml:space="preserve"> </w:t>
      </w:r>
      <w:r w:rsidR="00356617" w:rsidRPr="00B20BE9">
        <w:rPr>
          <w:sz w:val="24"/>
          <w:szCs w:val="24"/>
        </w:rPr>
        <w:t xml:space="preserve">and the terms and conditions of this Order, </w:t>
      </w:r>
      <w:r w:rsidR="00766C8F" w:rsidRPr="00B20BE9">
        <w:rPr>
          <w:sz w:val="24"/>
          <w:szCs w:val="24"/>
        </w:rPr>
        <w:t>and refunds to customers as appropriate shall be provided with interest</w:t>
      </w:r>
      <w:r w:rsidR="00356617" w:rsidRPr="00B20BE9">
        <w:rPr>
          <w:sz w:val="24"/>
          <w:szCs w:val="24"/>
        </w:rPr>
        <w:t xml:space="preserve"> at the residential mortgage rate</w:t>
      </w:r>
      <w:r w:rsidR="00766C8F" w:rsidRPr="00B20BE9">
        <w:rPr>
          <w:sz w:val="24"/>
          <w:szCs w:val="24"/>
        </w:rPr>
        <w:t>, retroactive to July 1, 2013.</w:t>
      </w:r>
    </w:p>
    <w:p w:rsidR="00766C8F" w:rsidRPr="00B20BE9" w:rsidRDefault="00766C8F" w:rsidP="00474D94">
      <w:pPr>
        <w:rPr>
          <w:sz w:val="24"/>
          <w:szCs w:val="24"/>
        </w:rPr>
      </w:pPr>
    </w:p>
    <w:p w:rsidR="00ED07E5" w:rsidRPr="00B20BE9" w:rsidRDefault="00766C8F" w:rsidP="00474D94">
      <w:pPr>
        <w:rPr>
          <w:sz w:val="24"/>
          <w:szCs w:val="24"/>
        </w:rPr>
      </w:pPr>
      <w:r w:rsidRPr="00B20BE9">
        <w:rPr>
          <w:sz w:val="24"/>
          <w:szCs w:val="24"/>
        </w:rPr>
        <w:tab/>
      </w:r>
      <w:r w:rsidRPr="00B20BE9">
        <w:rPr>
          <w:sz w:val="24"/>
          <w:szCs w:val="24"/>
        </w:rPr>
        <w:tab/>
        <w:t>6.</w:t>
      </w:r>
      <w:r w:rsidRPr="00B20BE9">
        <w:rPr>
          <w:sz w:val="24"/>
          <w:szCs w:val="24"/>
        </w:rPr>
        <w:tab/>
        <w:t>That within thirty (30) days of entry of the Final Commission Order in this matter, PPL Electric Utilities C</w:t>
      </w:r>
      <w:r w:rsidR="006E3141">
        <w:rPr>
          <w:sz w:val="24"/>
          <w:szCs w:val="24"/>
        </w:rPr>
        <w:t xml:space="preserve">orporation shall file a </w:t>
      </w:r>
      <w:r w:rsidRPr="00B20BE9">
        <w:rPr>
          <w:sz w:val="24"/>
          <w:szCs w:val="24"/>
        </w:rPr>
        <w:t xml:space="preserve">tariff supplement on ten (10) days’ notice to the Pennsylvania Public Utility Commission, to establish a Distribution System Improvement Charge, effective July 1, 2013, consistent with the terms of this Order. </w:t>
      </w:r>
    </w:p>
    <w:p w:rsidR="00ED07E5" w:rsidRPr="00B20BE9" w:rsidRDefault="00ED07E5" w:rsidP="00474D94">
      <w:pPr>
        <w:rPr>
          <w:sz w:val="24"/>
          <w:szCs w:val="24"/>
        </w:rPr>
      </w:pPr>
    </w:p>
    <w:p w:rsidR="008F15D3" w:rsidRPr="00B20BE9" w:rsidRDefault="00ED07E5" w:rsidP="00474D94">
      <w:pPr>
        <w:rPr>
          <w:sz w:val="24"/>
          <w:szCs w:val="24"/>
        </w:rPr>
      </w:pPr>
      <w:r w:rsidRPr="00B20BE9">
        <w:rPr>
          <w:sz w:val="24"/>
          <w:szCs w:val="24"/>
        </w:rPr>
        <w:tab/>
      </w:r>
      <w:r w:rsidRPr="00B20BE9">
        <w:rPr>
          <w:sz w:val="24"/>
          <w:szCs w:val="24"/>
        </w:rPr>
        <w:tab/>
        <w:t>7.</w:t>
      </w:r>
      <w:r w:rsidRPr="00B20BE9">
        <w:rPr>
          <w:sz w:val="24"/>
          <w:szCs w:val="24"/>
        </w:rPr>
        <w:tab/>
        <w:t xml:space="preserve">That within thirty (30) days of entry of the Final Commission Order in this matter, PPL Electric Utilities Corporation shall file a refund plan for approval with the Pennsylvania Public Utility Commission, consistent with the terms of this Order, </w:t>
      </w:r>
      <w:r w:rsidR="00356617" w:rsidRPr="00B20BE9">
        <w:rPr>
          <w:sz w:val="24"/>
          <w:szCs w:val="24"/>
        </w:rPr>
        <w:t xml:space="preserve">with a copy </w:t>
      </w:r>
      <w:r w:rsidRPr="00B20BE9">
        <w:rPr>
          <w:sz w:val="24"/>
          <w:szCs w:val="24"/>
        </w:rPr>
        <w:t>to the Bureau of Technical Utility Services</w:t>
      </w:r>
      <w:r w:rsidR="00D74554">
        <w:rPr>
          <w:sz w:val="24"/>
          <w:szCs w:val="24"/>
        </w:rPr>
        <w:t xml:space="preserve"> and the Bureau of Audits</w:t>
      </w:r>
      <w:r w:rsidRPr="00B20BE9">
        <w:rPr>
          <w:sz w:val="24"/>
          <w:szCs w:val="24"/>
        </w:rPr>
        <w:t>.</w:t>
      </w:r>
    </w:p>
    <w:p w:rsidR="008F15D3" w:rsidRPr="00B20BE9" w:rsidRDefault="008F15D3" w:rsidP="00474D94">
      <w:pPr>
        <w:rPr>
          <w:sz w:val="24"/>
          <w:szCs w:val="24"/>
        </w:rPr>
      </w:pPr>
    </w:p>
    <w:p w:rsidR="008F15D3" w:rsidRPr="00B20BE9" w:rsidRDefault="008F15D3" w:rsidP="00474D94">
      <w:pPr>
        <w:rPr>
          <w:sz w:val="24"/>
          <w:szCs w:val="24"/>
        </w:rPr>
      </w:pPr>
      <w:r w:rsidRPr="00B20BE9">
        <w:rPr>
          <w:sz w:val="24"/>
          <w:szCs w:val="24"/>
        </w:rPr>
        <w:tab/>
      </w:r>
      <w:r w:rsidRPr="00B20BE9">
        <w:rPr>
          <w:sz w:val="24"/>
          <w:szCs w:val="24"/>
        </w:rPr>
        <w:tab/>
        <w:t>8.</w:t>
      </w:r>
      <w:r w:rsidRPr="00B20BE9">
        <w:rPr>
          <w:sz w:val="24"/>
          <w:szCs w:val="24"/>
        </w:rPr>
        <w:tab/>
        <w:t>That the Formal Complaint of the Office of Consumer Advocate, filed in this matter at Docket No. C-2013-2346390, is denied and dismissed, consistent with this Order.</w:t>
      </w:r>
    </w:p>
    <w:p w:rsidR="008F15D3" w:rsidRPr="00B20BE9" w:rsidRDefault="008F15D3" w:rsidP="00474D94">
      <w:pPr>
        <w:rPr>
          <w:sz w:val="24"/>
          <w:szCs w:val="24"/>
        </w:rPr>
      </w:pPr>
    </w:p>
    <w:p w:rsidR="00474D94" w:rsidRPr="00B20BE9" w:rsidRDefault="008F15D3" w:rsidP="00474D94">
      <w:pPr>
        <w:rPr>
          <w:sz w:val="24"/>
          <w:szCs w:val="24"/>
        </w:rPr>
      </w:pPr>
      <w:r w:rsidRPr="00B20BE9">
        <w:rPr>
          <w:sz w:val="24"/>
          <w:szCs w:val="24"/>
        </w:rPr>
        <w:tab/>
      </w:r>
      <w:r w:rsidRPr="00B20BE9">
        <w:rPr>
          <w:sz w:val="24"/>
          <w:szCs w:val="24"/>
        </w:rPr>
        <w:tab/>
        <w:t>9.</w:t>
      </w:r>
      <w:r w:rsidRPr="00B20BE9">
        <w:rPr>
          <w:sz w:val="24"/>
          <w:szCs w:val="24"/>
        </w:rPr>
        <w:tab/>
        <w:t>That the Formal Complaints of Alan D. Whitehouse, at Docket No. C-2013-2345750; Pamela Mosconi, at Docket No</w:t>
      </w:r>
      <w:r w:rsidR="00FF360E">
        <w:rPr>
          <w:sz w:val="24"/>
          <w:szCs w:val="24"/>
        </w:rPr>
        <w:t xml:space="preserve">. C-2013-2346375; John E. Hoag, at </w:t>
      </w:r>
      <w:r w:rsidRPr="00B20BE9">
        <w:rPr>
          <w:sz w:val="24"/>
          <w:szCs w:val="24"/>
        </w:rPr>
        <w:t>Docket No. C-2013-2345729; and James Weaver, at Docket No. C-2013-2351090, are dismissed, consistent with this Order, and the dockets marked closed.</w:t>
      </w:r>
    </w:p>
    <w:p w:rsidR="008F15D3" w:rsidRPr="00B20BE9" w:rsidRDefault="008F15D3" w:rsidP="00474D94">
      <w:pPr>
        <w:rPr>
          <w:sz w:val="24"/>
          <w:szCs w:val="24"/>
        </w:rPr>
      </w:pPr>
    </w:p>
    <w:p w:rsidR="008F15D3" w:rsidRPr="00B20BE9" w:rsidRDefault="008F15D3" w:rsidP="00474D94">
      <w:pPr>
        <w:rPr>
          <w:sz w:val="24"/>
          <w:szCs w:val="24"/>
        </w:rPr>
      </w:pPr>
      <w:r w:rsidRPr="00B20BE9">
        <w:rPr>
          <w:sz w:val="24"/>
          <w:szCs w:val="24"/>
        </w:rPr>
        <w:tab/>
      </w:r>
      <w:r w:rsidRPr="00B20BE9">
        <w:rPr>
          <w:sz w:val="24"/>
          <w:szCs w:val="24"/>
        </w:rPr>
        <w:tab/>
        <w:t>10.</w:t>
      </w:r>
      <w:r w:rsidRPr="00B20BE9">
        <w:rPr>
          <w:sz w:val="24"/>
          <w:szCs w:val="24"/>
        </w:rPr>
        <w:tab/>
        <w:t>That upon acceptance and approval of the tariff supplement and supporting data and refund plan, filed by PPL Electric Utilities Corporation, as being consistent with this Order, and upon compliance by PPL Electric Utilities Corporation with all the terms and conditions of this Order, the inquiry and investigation at Docket No. P-2012-2325034 be terminated</w:t>
      </w:r>
      <w:r w:rsidR="00555333">
        <w:rPr>
          <w:sz w:val="24"/>
          <w:szCs w:val="24"/>
        </w:rPr>
        <w:t xml:space="preserve"> and the docket marked closed.</w:t>
      </w:r>
    </w:p>
    <w:p w:rsidR="008F15D3" w:rsidRPr="00B20BE9" w:rsidRDefault="008F15D3" w:rsidP="00474D94">
      <w:pPr>
        <w:rPr>
          <w:sz w:val="24"/>
          <w:szCs w:val="24"/>
        </w:rPr>
      </w:pPr>
    </w:p>
    <w:p w:rsidR="008F15D3" w:rsidRPr="00B20BE9" w:rsidRDefault="008F15D3" w:rsidP="00474D94">
      <w:pPr>
        <w:rPr>
          <w:sz w:val="24"/>
          <w:szCs w:val="24"/>
        </w:rPr>
      </w:pPr>
    </w:p>
    <w:p w:rsidR="008F15D3" w:rsidRPr="00B20BE9" w:rsidRDefault="008F15D3" w:rsidP="008F15D3">
      <w:pPr>
        <w:spacing w:line="240" w:lineRule="auto"/>
        <w:rPr>
          <w:sz w:val="24"/>
          <w:szCs w:val="24"/>
        </w:rPr>
      </w:pPr>
      <w:r w:rsidRPr="00B20BE9">
        <w:rPr>
          <w:sz w:val="24"/>
          <w:szCs w:val="24"/>
        </w:rPr>
        <w:t>Date:</w:t>
      </w:r>
      <w:r w:rsidRPr="00B20BE9">
        <w:rPr>
          <w:sz w:val="24"/>
          <w:szCs w:val="24"/>
        </w:rPr>
        <w:tab/>
      </w:r>
      <w:r w:rsidRPr="00B20BE9">
        <w:rPr>
          <w:sz w:val="24"/>
          <w:szCs w:val="24"/>
          <w:u w:val="single"/>
        </w:rPr>
        <w:t>July 25, 2014</w:t>
      </w:r>
      <w:r w:rsidRPr="00B20BE9">
        <w:rPr>
          <w:sz w:val="24"/>
          <w:szCs w:val="24"/>
        </w:rPr>
        <w:tab/>
      </w:r>
      <w:r w:rsidRPr="00B20BE9">
        <w:rPr>
          <w:sz w:val="24"/>
          <w:szCs w:val="24"/>
        </w:rPr>
        <w:tab/>
      </w:r>
      <w:r w:rsidRPr="00B20BE9">
        <w:rPr>
          <w:sz w:val="24"/>
          <w:szCs w:val="24"/>
        </w:rPr>
        <w:tab/>
      </w:r>
      <w:r w:rsidRPr="00B20BE9">
        <w:rPr>
          <w:sz w:val="24"/>
          <w:szCs w:val="24"/>
        </w:rPr>
        <w:tab/>
      </w:r>
      <w:r w:rsidRPr="00B20BE9">
        <w:rPr>
          <w:sz w:val="24"/>
          <w:szCs w:val="24"/>
        </w:rPr>
        <w:tab/>
        <w:t>____________</w:t>
      </w:r>
      <w:r w:rsidR="00B554A6" w:rsidRPr="00B20BE9">
        <w:rPr>
          <w:sz w:val="24"/>
          <w:szCs w:val="24"/>
          <w:u w:val="single"/>
        </w:rPr>
        <w:t>/s/</w:t>
      </w:r>
      <w:r w:rsidR="00B554A6" w:rsidRPr="00B20BE9">
        <w:rPr>
          <w:sz w:val="24"/>
          <w:szCs w:val="24"/>
        </w:rPr>
        <w:t>____________________</w:t>
      </w:r>
    </w:p>
    <w:p w:rsidR="008F15D3" w:rsidRPr="00B20BE9" w:rsidRDefault="008F15D3" w:rsidP="008F15D3">
      <w:pPr>
        <w:spacing w:line="240" w:lineRule="auto"/>
        <w:rPr>
          <w:sz w:val="24"/>
          <w:szCs w:val="24"/>
        </w:rPr>
      </w:pPr>
      <w:r w:rsidRPr="00B20BE9">
        <w:rPr>
          <w:sz w:val="24"/>
          <w:szCs w:val="24"/>
        </w:rPr>
        <w:tab/>
      </w:r>
      <w:r w:rsidRPr="00B20BE9">
        <w:rPr>
          <w:sz w:val="24"/>
          <w:szCs w:val="24"/>
        </w:rPr>
        <w:tab/>
      </w:r>
      <w:r w:rsidRPr="00B20BE9">
        <w:rPr>
          <w:sz w:val="24"/>
          <w:szCs w:val="24"/>
        </w:rPr>
        <w:tab/>
      </w:r>
      <w:r w:rsidRPr="00B20BE9">
        <w:rPr>
          <w:sz w:val="24"/>
          <w:szCs w:val="24"/>
        </w:rPr>
        <w:tab/>
      </w:r>
      <w:r w:rsidRPr="00B20BE9">
        <w:rPr>
          <w:sz w:val="24"/>
          <w:szCs w:val="24"/>
        </w:rPr>
        <w:tab/>
      </w:r>
      <w:r w:rsidRPr="00B20BE9">
        <w:rPr>
          <w:sz w:val="24"/>
          <w:szCs w:val="24"/>
        </w:rPr>
        <w:tab/>
      </w:r>
      <w:r w:rsidRPr="00B20BE9">
        <w:rPr>
          <w:sz w:val="24"/>
          <w:szCs w:val="24"/>
        </w:rPr>
        <w:tab/>
        <w:t>Kandace F. Melillo</w:t>
      </w:r>
    </w:p>
    <w:p w:rsidR="00D806D9" w:rsidRPr="00B20BE9" w:rsidRDefault="008F15D3" w:rsidP="00B554A6">
      <w:pPr>
        <w:spacing w:line="240" w:lineRule="auto"/>
        <w:rPr>
          <w:sz w:val="24"/>
          <w:szCs w:val="24"/>
        </w:rPr>
      </w:pPr>
      <w:r w:rsidRPr="00B20BE9">
        <w:rPr>
          <w:sz w:val="24"/>
          <w:szCs w:val="24"/>
        </w:rPr>
        <w:tab/>
      </w:r>
      <w:r w:rsidRPr="00B20BE9">
        <w:rPr>
          <w:sz w:val="24"/>
          <w:szCs w:val="24"/>
        </w:rPr>
        <w:tab/>
      </w:r>
      <w:r w:rsidRPr="00B20BE9">
        <w:rPr>
          <w:sz w:val="24"/>
          <w:szCs w:val="24"/>
        </w:rPr>
        <w:tab/>
      </w:r>
      <w:r w:rsidRPr="00B20BE9">
        <w:rPr>
          <w:sz w:val="24"/>
          <w:szCs w:val="24"/>
        </w:rPr>
        <w:tab/>
      </w:r>
      <w:r w:rsidRPr="00B20BE9">
        <w:rPr>
          <w:sz w:val="24"/>
          <w:szCs w:val="24"/>
        </w:rPr>
        <w:tab/>
      </w:r>
      <w:r w:rsidRPr="00B20BE9">
        <w:rPr>
          <w:sz w:val="24"/>
          <w:szCs w:val="24"/>
        </w:rPr>
        <w:tab/>
      </w:r>
      <w:r w:rsidRPr="00B20BE9">
        <w:rPr>
          <w:sz w:val="24"/>
          <w:szCs w:val="24"/>
        </w:rPr>
        <w:tab/>
        <w:t>Administrative Law Judge</w:t>
      </w:r>
    </w:p>
    <w:sectPr w:rsidR="00D806D9" w:rsidRPr="00B20BE9" w:rsidSect="0059457D">
      <w:footerReference w:type="first" r:id="rId12"/>
      <w:pgSz w:w="12240" w:h="15840"/>
      <w:pgMar w:top="1440" w:right="1296" w:bottom="1440" w:left="1296"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163" w:rsidRDefault="00E52163">
      <w:r>
        <w:separator/>
      </w:r>
    </w:p>
  </w:endnote>
  <w:endnote w:type="continuationSeparator" w:id="0">
    <w:p w:rsidR="00E52163" w:rsidRDefault="00E52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554" w:rsidRDefault="00D745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74554" w:rsidRDefault="00D745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1856136"/>
      <w:docPartObj>
        <w:docPartGallery w:val="Page Numbers (Bottom of Page)"/>
        <w:docPartUnique/>
      </w:docPartObj>
    </w:sdtPr>
    <w:sdtEndPr>
      <w:rPr>
        <w:noProof/>
        <w:sz w:val="20"/>
      </w:rPr>
    </w:sdtEndPr>
    <w:sdtContent>
      <w:p w:rsidR="00D74554" w:rsidRPr="0059457D" w:rsidRDefault="00D74554" w:rsidP="0059457D">
        <w:pPr>
          <w:pStyle w:val="Footer"/>
          <w:spacing w:line="240" w:lineRule="auto"/>
          <w:jc w:val="center"/>
          <w:rPr>
            <w:sz w:val="20"/>
          </w:rPr>
        </w:pPr>
        <w:r w:rsidRPr="0059457D">
          <w:rPr>
            <w:sz w:val="20"/>
          </w:rPr>
          <w:fldChar w:fldCharType="begin"/>
        </w:r>
        <w:r w:rsidRPr="0059457D">
          <w:rPr>
            <w:sz w:val="20"/>
          </w:rPr>
          <w:instrText xml:space="preserve"> PAGE   \* MERGEFORMAT </w:instrText>
        </w:r>
        <w:r w:rsidRPr="0059457D">
          <w:rPr>
            <w:sz w:val="20"/>
          </w:rPr>
          <w:fldChar w:fldCharType="separate"/>
        </w:r>
        <w:r w:rsidR="00C012B7">
          <w:rPr>
            <w:noProof/>
            <w:sz w:val="20"/>
          </w:rPr>
          <w:t>25</w:t>
        </w:r>
        <w:r w:rsidRPr="0059457D">
          <w:rPr>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7845102"/>
      <w:docPartObj>
        <w:docPartGallery w:val="Page Numbers (Bottom of Page)"/>
        <w:docPartUnique/>
      </w:docPartObj>
    </w:sdtPr>
    <w:sdtEndPr>
      <w:rPr>
        <w:noProof/>
        <w:sz w:val="20"/>
      </w:rPr>
    </w:sdtEndPr>
    <w:sdtContent>
      <w:p w:rsidR="00D74554" w:rsidRPr="008A2D47" w:rsidRDefault="00D74554" w:rsidP="0059457D">
        <w:pPr>
          <w:pStyle w:val="Footer"/>
          <w:jc w:val="center"/>
          <w:rPr>
            <w:sz w:val="20"/>
          </w:rPr>
        </w:pPr>
        <w:r w:rsidRPr="0059457D">
          <w:rPr>
            <w:sz w:val="20"/>
          </w:rPr>
          <w:fldChar w:fldCharType="begin"/>
        </w:r>
        <w:r w:rsidRPr="0059457D">
          <w:rPr>
            <w:sz w:val="20"/>
          </w:rPr>
          <w:instrText xml:space="preserve"> PAGE   \* MERGEFORMAT </w:instrText>
        </w:r>
        <w:r w:rsidRPr="0059457D">
          <w:rPr>
            <w:sz w:val="20"/>
          </w:rPr>
          <w:fldChar w:fldCharType="separate"/>
        </w:r>
        <w:r w:rsidR="00C012B7">
          <w:rPr>
            <w:noProof/>
            <w:sz w:val="20"/>
          </w:rPr>
          <w:t>i</w:t>
        </w:r>
        <w:r w:rsidRPr="0059457D">
          <w:rPr>
            <w:noProof/>
            <w:sz w:val="20"/>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554" w:rsidRPr="0059457D" w:rsidRDefault="00D74554" w:rsidP="0059457D">
    <w:pPr>
      <w:pStyle w:val="Footer"/>
      <w:spacing w:line="240"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163" w:rsidRDefault="00E52163" w:rsidP="00184AAF">
      <w:pPr>
        <w:spacing w:line="240" w:lineRule="auto"/>
      </w:pPr>
      <w:r>
        <w:separator/>
      </w:r>
    </w:p>
  </w:footnote>
  <w:footnote w:type="continuationSeparator" w:id="0">
    <w:p w:rsidR="00E52163" w:rsidRDefault="00E52163">
      <w:r>
        <w:continuationSeparator/>
      </w:r>
    </w:p>
  </w:footnote>
  <w:footnote w:id="1">
    <w:p w:rsidR="00D74554" w:rsidRDefault="00D74554" w:rsidP="009A70C1">
      <w:pPr>
        <w:pStyle w:val="FootnoteText"/>
        <w:spacing w:line="240" w:lineRule="auto"/>
      </w:pPr>
      <w:r>
        <w:tab/>
      </w:r>
      <w:r>
        <w:rPr>
          <w:rStyle w:val="FootnoteReference"/>
        </w:rPr>
        <w:footnoteRef/>
      </w:r>
      <w:r>
        <w:t xml:space="preserve"> </w:t>
      </w:r>
      <w:r>
        <w:tab/>
        <w:t>When the Company is in a loss carry forward position, the loss carry forward offsets any amounts of ADIT the Company does not have income to use.  The net effect is that ADIT does not exist until the loss carry forward is eliminated by having taxable income.  OCA St. No. 1, pp. 4-5, 7.</w:t>
      </w:r>
    </w:p>
  </w:footnote>
  <w:footnote w:id="2">
    <w:p w:rsidR="00D74554" w:rsidRDefault="00D74554" w:rsidP="005351A1">
      <w:pPr>
        <w:pStyle w:val="FootnoteText"/>
        <w:spacing w:line="240" w:lineRule="auto"/>
        <w:jc w:val="both"/>
      </w:pPr>
      <w:r w:rsidRPr="00474C0F">
        <w:rPr>
          <w:rStyle w:val="FootnoteReference"/>
        </w:rPr>
        <w:footnoteRef/>
      </w:r>
      <w:r w:rsidRPr="00474C0F">
        <w:t xml:space="preserve"> </w:t>
      </w:r>
      <w:r>
        <w:tab/>
        <w:t xml:space="preserve">OCA quoted from the </w:t>
      </w:r>
      <w:r w:rsidRPr="00A06C3C">
        <w:rPr>
          <w:i/>
        </w:rPr>
        <w:t>Chapter 14 Order</w:t>
      </w:r>
      <w:r>
        <w:rPr>
          <w:i/>
        </w:rPr>
        <w:t xml:space="preserve"> </w:t>
      </w:r>
      <w:r>
        <w:t xml:space="preserve">as follows: </w:t>
      </w:r>
    </w:p>
    <w:p w:rsidR="00D74554" w:rsidRPr="00474C0F" w:rsidRDefault="00D74554" w:rsidP="005351A1">
      <w:pPr>
        <w:pStyle w:val="FootnoteText"/>
        <w:spacing w:line="240" w:lineRule="auto"/>
        <w:jc w:val="both"/>
      </w:pPr>
    </w:p>
    <w:p w:rsidR="00D74554" w:rsidRDefault="00D74554" w:rsidP="005351A1">
      <w:pPr>
        <w:spacing w:line="240" w:lineRule="auto"/>
        <w:ind w:left="1440" w:right="720"/>
        <w:rPr>
          <w:iCs/>
          <w:color w:val="000000"/>
          <w:sz w:val="20"/>
        </w:rPr>
      </w:pPr>
      <w:r w:rsidRPr="00474C0F">
        <w:rPr>
          <w:iCs/>
          <w:color w:val="000000"/>
          <w:sz w:val="20"/>
        </w:rPr>
        <w:t xml:space="preserve">Since the Implementation Orders are not adjudications, they should not be construed to have created “binding norms” that have the force of law.  If they are so interpreted, then the Implementation Orders would be illegal because they are in the nature of unpromulgated regulations. </w:t>
      </w:r>
      <w:r w:rsidRPr="00474C0F">
        <w:rPr>
          <w:iCs/>
          <w:color w:val="000000"/>
          <w:sz w:val="20"/>
          <w:u w:val="single"/>
        </w:rPr>
        <w:t>See</w:t>
      </w:r>
      <w:r w:rsidRPr="00276843">
        <w:rPr>
          <w:iCs/>
          <w:color w:val="000000"/>
          <w:sz w:val="20"/>
        </w:rPr>
        <w:t xml:space="preserve">, </w:t>
      </w:r>
      <w:r w:rsidRPr="00276843">
        <w:rPr>
          <w:i/>
          <w:iCs/>
          <w:color w:val="000000"/>
          <w:sz w:val="20"/>
        </w:rPr>
        <w:t>e.g.</w:t>
      </w:r>
      <w:r w:rsidRPr="00474C0F">
        <w:rPr>
          <w:iCs/>
          <w:color w:val="000000"/>
          <w:sz w:val="20"/>
        </w:rPr>
        <w:t xml:space="preserve">, </w:t>
      </w:r>
      <w:r w:rsidRPr="00276843">
        <w:rPr>
          <w:i/>
          <w:iCs/>
          <w:color w:val="000000"/>
          <w:sz w:val="20"/>
        </w:rPr>
        <w:t>Hardiman v. Commonwealth</w:t>
      </w:r>
      <w:r w:rsidRPr="00474C0F">
        <w:rPr>
          <w:iCs/>
          <w:color w:val="000000"/>
          <w:sz w:val="20"/>
        </w:rPr>
        <w:t>, 550 A.2d 590 (Pa. Commw.</w:t>
      </w:r>
      <w:r>
        <w:rPr>
          <w:iCs/>
          <w:color w:val="000000"/>
          <w:sz w:val="20"/>
        </w:rPr>
        <w:t xml:space="preserve"> Ct.</w:t>
      </w:r>
      <w:r w:rsidRPr="00474C0F">
        <w:rPr>
          <w:iCs/>
          <w:color w:val="000000"/>
          <w:sz w:val="20"/>
        </w:rPr>
        <w:t xml:space="preserve"> 1988).</w:t>
      </w:r>
      <w:r w:rsidRPr="00474C0F">
        <w:rPr>
          <w:iCs/>
          <w:color w:val="000000"/>
          <w:sz w:val="20"/>
        </w:rPr>
        <w:fldChar w:fldCharType="begin"/>
      </w:r>
      <w:r w:rsidRPr="00474C0F">
        <w:rPr>
          <w:sz w:val="20"/>
        </w:rPr>
        <w:instrText xml:space="preserve"> TA \l "</w:instrText>
      </w:r>
      <w:r w:rsidRPr="00474C0F">
        <w:rPr>
          <w:iCs/>
          <w:color w:val="000000"/>
          <w:sz w:val="20"/>
          <w:u w:val="single"/>
        </w:rPr>
        <w:instrText>Hardiman v. Commonwealth</w:instrText>
      </w:r>
      <w:r w:rsidRPr="00474C0F">
        <w:rPr>
          <w:iCs/>
          <w:color w:val="000000"/>
          <w:sz w:val="20"/>
        </w:rPr>
        <w:instrText>, 550 A.2d 590 (Pa. Commw. 1988).</w:instrText>
      </w:r>
      <w:r w:rsidRPr="00474C0F">
        <w:rPr>
          <w:sz w:val="20"/>
        </w:rPr>
        <w:instrText xml:space="preserve">" \s "Hardiman v. Commonwealth, 550 A.2d 590 (Pa. Commw. 1988)." \c 1 </w:instrText>
      </w:r>
      <w:r w:rsidRPr="00474C0F">
        <w:rPr>
          <w:iCs/>
          <w:color w:val="000000"/>
          <w:sz w:val="20"/>
        </w:rPr>
        <w:fldChar w:fldCharType="end"/>
      </w:r>
    </w:p>
    <w:p w:rsidR="00D74554" w:rsidRPr="00474C0F" w:rsidRDefault="00D74554" w:rsidP="005351A1">
      <w:pPr>
        <w:spacing w:line="240" w:lineRule="auto"/>
        <w:ind w:left="1440" w:right="720"/>
        <w:rPr>
          <w:iCs/>
          <w:color w:val="000000"/>
          <w:sz w:val="20"/>
        </w:rPr>
      </w:pPr>
    </w:p>
    <w:p w:rsidR="00D74554" w:rsidRDefault="00D74554" w:rsidP="005351A1">
      <w:pPr>
        <w:spacing w:line="240" w:lineRule="auto"/>
        <w:ind w:left="1440" w:right="720"/>
        <w:rPr>
          <w:iCs/>
          <w:color w:val="000000"/>
          <w:sz w:val="20"/>
        </w:rPr>
      </w:pPr>
      <w:r w:rsidRPr="00474C0F">
        <w:rPr>
          <w:iCs/>
          <w:color w:val="000000"/>
          <w:sz w:val="20"/>
        </w:rPr>
        <w:t xml:space="preserve">A statement of policy is defined in the Commonwealth Documents Law as:  any document, except an adjudication or a regulation, promulgated by an agency which sets forth substantive or procedural personal or property rights, privileges, immunities, duties, </w:t>
      </w:r>
      <w:r>
        <w:rPr>
          <w:iCs/>
          <w:color w:val="000000"/>
          <w:sz w:val="20"/>
        </w:rPr>
        <w:t xml:space="preserve">liabilities </w:t>
      </w:r>
      <w:r w:rsidRPr="00474C0F">
        <w:rPr>
          <w:iCs/>
          <w:color w:val="000000"/>
          <w:sz w:val="20"/>
        </w:rPr>
        <w:t xml:space="preserve">or obligations of the public or any part thereof, </w:t>
      </w:r>
      <w:r w:rsidRPr="00474C0F">
        <w:rPr>
          <w:iCs/>
          <w:color w:val="000000"/>
          <w:sz w:val="20"/>
          <w:u w:val="single"/>
        </w:rPr>
        <w:t xml:space="preserve">and includes, without limiting </w:t>
      </w:r>
      <w:r w:rsidRPr="00276843">
        <w:rPr>
          <w:iCs/>
          <w:color w:val="000000"/>
          <w:sz w:val="20"/>
          <w:u w:val="single"/>
        </w:rPr>
        <w:t>the generality of the foregoing, any document interpreting or implementing any statute enforced or administered by such agency</w:t>
      </w:r>
      <w:r w:rsidRPr="00276843">
        <w:rPr>
          <w:iCs/>
          <w:color w:val="000000"/>
          <w:sz w:val="20"/>
        </w:rPr>
        <w:t xml:space="preserve">.  </w:t>
      </w:r>
    </w:p>
    <w:p w:rsidR="00D74554" w:rsidRDefault="00D74554" w:rsidP="005351A1">
      <w:pPr>
        <w:spacing w:line="240" w:lineRule="auto"/>
        <w:ind w:left="1440" w:right="720"/>
        <w:rPr>
          <w:iCs/>
          <w:color w:val="000000"/>
          <w:sz w:val="20"/>
        </w:rPr>
      </w:pPr>
    </w:p>
    <w:p w:rsidR="00D74554" w:rsidRDefault="00D74554" w:rsidP="005351A1">
      <w:pPr>
        <w:spacing w:line="240" w:lineRule="auto"/>
        <w:ind w:left="720" w:right="720"/>
        <w:rPr>
          <w:iCs/>
          <w:color w:val="000000"/>
          <w:sz w:val="20"/>
        </w:rPr>
      </w:pPr>
      <w:r>
        <w:rPr>
          <w:iCs/>
          <w:color w:val="000000"/>
          <w:sz w:val="20"/>
        </w:rPr>
        <w:tab/>
        <w:t>45 Pa.</w:t>
      </w:r>
      <w:r w:rsidRPr="00474C0F">
        <w:rPr>
          <w:iCs/>
          <w:color w:val="000000"/>
          <w:sz w:val="20"/>
        </w:rPr>
        <w:t>C.S. § 501</w:t>
      </w:r>
      <w:r w:rsidRPr="00474C0F">
        <w:rPr>
          <w:iCs/>
          <w:color w:val="000000"/>
          <w:sz w:val="20"/>
        </w:rPr>
        <w:fldChar w:fldCharType="begin"/>
      </w:r>
      <w:r w:rsidRPr="00474C0F">
        <w:rPr>
          <w:sz w:val="20"/>
        </w:rPr>
        <w:instrText xml:space="preserve"> TA \l "</w:instrText>
      </w:r>
      <w:r w:rsidRPr="00474C0F">
        <w:rPr>
          <w:iCs/>
          <w:color w:val="000000"/>
          <w:sz w:val="20"/>
        </w:rPr>
        <w:instrText>45 Pa. C.S. § 501</w:instrText>
      </w:r>
      <w:r w:rsidRPr="00474C0F">
        <w:rPr>
          <w:sz w:val="20"/>
        </w:rPr>
        <w:instrText xml:space="preserve">" \s "45 Pa. C.S. § 501" \c 2 </w:instrText>
      </w:r>
      <w:r w:rsidRPr="00474C0F">
        <w:rPr>
          <w:iCs/>
          <w:color w:val="000000"/>
          <w:sz w:val="20"/>
        </w:rPr>
        <w:fldChar w:fldCharType="end"/>
      </w:r>
      <w:r w:rsidRPr="00474C0F">
        <w:rPr>
          <w:iCs/>
          <w:color w:val="000000"/>
          <w:sz w:val="20"/>
        </w:rPr>
        <w:t xml:space="preserve"> (“Statement of Policy”) (Emphasis added).  These Implementation Orders fit within this definition.  Accordingly, the Commission agrees with the argument of the PGW </w:t>
      </w:r>
      <w:r>
        <w:rPr>
          <w:iCs/>
          <w:color w:val="000000"/>
          <w:sz w:val="20"/>
        </w:rPr>
        <w:t xml:space="preserve">[Philadelphia Gas Works] </w:t>
      </w:r>
      <w:r w:rsidRPr="00474C0F">
        <w:rPr>
          <w:iCs/>
          <w:color w:val="000000"/>
          <w:sz w:val="20"/>
        </w:rPr>
        <w:t xml:space="preserve">that the Implementation Orders at issue constitute policy statements setting forth how the Commission intends to interpret Chapter 14 in future adjudications and rulemakings.  </w:t>
      </w:r>
    </w:p>
    <w:p w:rsidR="00D74554" w:rsidRPr="00474C0F" w:rsidRDefault="00D74554" w:rsidP="005351A1">
      <w:pPr>
        <w:spacing w:line="240" w:lineRule="auto"/>
        <w:ind w:left="720" w:right="720"/>
        <w:rPr>
          <w:iCs/>
          <w:color w:val="000000"/>
          <w:sz w:val="20"/>
        </w:rPr>
      </w:pPr>
    </w:p>
    <w:p w:rsidR="00D74554" w:rsidRPr="00474C0F" w:rsidRDefault="00D74554" w:rsidP="005351A1">
      <w:pPr>
        <w:pStyle w:val="FootnoteText"/>
        <w:spacing w:line="240" w:lineRule="auto"/>
        <w:jc w:val="both"/>
      </w:pPr>
      <w:r>
        <w:tab/>
      </w:r>
      <w:r>
        <w:tab/>
      </w:r>
      <w:r w:rsidRPr="00276843">
        <w:rPr>
          <w:i/>
        </w:rPr>
        <w:t>Chapter 14 Implementation</w:t>
      </w:r>
      <w:r>
        <w:rPr>
          <w:u w:val="single"/>
        </w:rPr>
        <w:fldChar w:fldCharType="begin"/>
      </w:r>
      <w:r>
        <w:instrText xml:space="preserve"> TA \s "Chapter 14 Implementation, 2005 PaPUC LEXIS 20" </w:instrText>
      </w:r>
      <w:r>
        <w:rPr>
          <w:u w:val="single"/>
        </w:rPr>
        <w:fldChar w:fldCharType="end"/>
      </w:r>
      <w:r w:rsidRPr="00474C0F">
        <w:t>, 2005 Pa</w:t>
      </w:r>
      <w:r>
        <w:t xml:space="preserve">. </w:t>
      </w:r>
      <w:r w:rsidRPr="00474C0F">
        <w:t xml:space="preserve">PUC LEXIS 20, *18-20.  </w:t>
      </w:r>
    </w:p>
  </w:footnote>
  <w:footnote w:id="3">
    <w:p w:rsidR="00D74554" w:rsidRDefault="00D74554" w:rsidP="007B60DF">
      <w:pPr>
        <w:pStyle w:val="FootnoteText"/>
        <w:spacing w:line="240" w:lineRule="auto"/>
      </w:pPr>
      <w:r>
        <w:tab/>
      </w:r>
      <w:r>
        <w:rPr>
          <w:rStyle w:val="FootnoteReference"/>
        </w:rPr>
        <w:footnoteRef/>
      </w:r>
      <w:r>
        <w:tab/>
        <w:t xml:space="preserve">The OCA has appealed the </w:t>
      </w:r>
      <w:r w:rsidRPr="007B60DF">
        <w:rPr>
          <w:i/>
        </w:rPr>
        <w:t>Columbia DSIC</w:t>
      </w:r>
      <w:r>
        <w:t xml:space="preserve"> Opinion and Order regarding the ADIT and state income tax issue to Commonwealth Court in a petition for review filed on June 19, 2014, at 1012 C.D. 2014, and the matter is pending. </w:t>
      </w:r>
    </w:p>
  </w:footnote>
  <w:footnote w:id="4">
    <w:p w:rsidR="00D74554" w:rsidRDefault="00D74554" w:rsidP="007B70CA">
      <w:pPr>
        <w:pStyle w:val="FootnoteText"/>
        <w:spacing w:line="240" w:lineRule="auto"/>
      </w:pPr>
      <w:r>
        <w:tab/>
      </w:r>
      <w:r>
        <w:rPr>
          <w:rStyle w:val="FootnoteReference"/>
        </w:rPr>
        <w:footnoteRef/>
      </w:r>
      <w:r>
        <w:tab/>
        <w:t xml:space="preserve">Also, while statements made by legislators during the statute’s enactment may be properly considered as part of the contemporaneous legislative history, such statements are not dispositive of legislative intent.  </w:t>
      </w:r>
      <w:r w:rsidRPr="007B70CA">
        <w:rPr>
          <w:i/>
        </w:rPr>
        <w:t>Commonwealth v. Alcoa Properties, Inc.</w:t>
      </w:r>
      <w:r>
        <w:t>, 440 Pa. 42, 269 A.2d 748 (1970).</w:t>
      </w:r>
    </w:p>
  </w:footnote>
  <w:footnote w:id="5">
    <w:p w:rsidR="00D74554" w:rsidRDefault="00D74554" w:rsidP="005351A1">
      <w:pPr>
        <w:pStyle w:val="FootnoteText"/>
        <w:spacing w:line="240" w:lineRule="auto"/>
      </w:pPr>
      <w:r>
        <w:tab/>
      </w:r>
      <w:r>
        <w:rPr>
          <w:rStyle w:val="FootnoteReference"/>
        </w:rPr>
        <w:footnoteRef/>
      </w:r>
      <w:r>
        <w:tab/>
        <w:t xml:space="preserve">PPL’s LP-5 tariff describes the service as follows: </w:t>
      </w:r>
    </w:p>
    <w:p w:rsidR="00D74554" w:rsidRDefault="00D74554" w:rsidP="005351A1">
      <w:pPr>
        <w:pStyle w:val="FootnoteText"/>
        <w:spacing w:line="240" w:lineRule="auto"/>
      </w:pPr>
    </w:p>
    <w:p w:rsidR="00D74554" w:rsidRDefault="00D74554" w:rsidP="005351A1">
      <w:pPr>
        <w:pStyle w:val="FootnoteText"/>
        <w:spacing w:line="240" w:lineRule="auto"/>
        <w:ind w:left="1440"/>
      </w:pPr>
      <w:r>
        <w:t xml:space="preserve">This Rate Schedule is for large general service supplied from available </w:t>
      </w:r>
      <w:r>
        <w:tab/>
        <w:t xml:space="preserve">lines of 69,000 volts or higher, with the customer furnishing and maintaining all equipment necessary to transform the energy from the line voltage.  It applies to three phase, 60 Hertz service.  </w:t>
      </w:r>
    </w:p>
    <w:p w:rsidR="00D74554" w:rsidRDefault="00D74554" w:rsidP="005351A1">
      <w:pPr>
        <w:pStyle w:val="FootnoteText"/>
        <w:spacing w:line="240" w:lineRule="auto"/>
      </w:pPr>
    </w:p>
    <w:p w:rsidR="00D74554" w:rsidRDefault="00D74554" w:rsidP="005351A1">
      <w:pPr>
        <w:pStyle w:val="FootnoteText"/>
        <w:spacing w:line="240" w:lineRule="auto"/>
        <w:ind w:left="1440"/>
      </w:pPr>
      <w:r>
        <w:t xml:space="preserve">PPL Electric Utilities Corporation, Supplement No. 125 to Electric Pa. P.U.C. No. 201, p. 28.    </w:t>
      </w:r>
    </w:p>
  </w:footnote>
  <w:footnote w:id="6">
    <w:p w:rsidR="00D74554" w:rsidRDefault="00D74554" w:rsidP="00C0728E">
      <w:pPr>
        <w:pStyle w:val="FootnoteText"/>
        <w:spacing w:line="240" w:lineRule="auto"/>
        <w:jc w:val="both"/>
      </w:pPr>
      <w:r>
        <w:tab/>
      </w:r>
      <w:r>
        <w:rPr>
          <w:rStyle w:val="FootnoteReference"/>
        </w:rPr>
        <w:footnoteRef/>
      </w:r>
      <w:r>
        <w:tab/>
        <w:t>PPL Electric Utilities Corporation Supplement No. 125 to Electric Pa. P.U.C. No. 201, Tariff Rule 4 (Emphasis added).</w:t>
      </w:r>
    </w:p>
  </w:footnote>
  <w:footnote w:id="7">
    <w:p w:rsidR="00D74554" w:rsidRDefault="00D74554" w:rsidP="005351A1">
      <w:pPr>
        <w:pStyle w:val="FootnoteText"/>
        <w:spacing w:line="240" w:lineRule="auto"/>
      </w:pPr>
      <w:r>
        <w:tab/>
      </w:r>
      <w:r>
        <w:rPr>
          <w:rStyle w:val="FootnoteReference"/>
        </w:rPr>
        <w:footnoteRef/>
      </w:r>
      <w:r>
        <w:tab/>
        <w:t xml:space="preserve">PPLICA St. No. 1-3R, Ex. BLJ-3R </w:t>
      </w:r>
    </w:p>
  </w:footnote>
  <w:footnote w:id="8">
    <w:p w:rsidR="00D74554" w:rsidRDefault="00D74554" w:rsidP="005351A1">
      <w:pPr>
        <w:pStyle w:val="FootnoteText"/>
        <w:spacing w:line="240" w:lineRule="auto"/>
        <w:jc w:val="both"/>
      </w:pPr>
      <w:r>
        <w:tab/>
      </w:r>
      <w:r>
        <w:rPr>
          <w:rStyle w:val="FootnoteReference"/>
        </w:rPr>
        <w:footnoteRef/>
      </w:r>
      <w:r>
        <w:t xml:space="preserve"> </w:t>
      </w:r>
      <w:r>
        <w:tab/>
        <w:t>PPLICA St. No. 1-SR, p. 3.</w:t>
      </w:r>
    </w:p>
  </w:footnote>
  <w:footnote w:id="9">
    <w:p w:rsidR="00D74554" w:rsidRDefault="00D74554" w:rsidP="00BE69E4">
      <w:pPr>
        <w:pStyle w:val="FootnoteText"/>
        <w:jc w:val="both"/>
        <w:rPr>
          <w:i/>
        </w:rPr>
      </w:pPr>
      <w:r>
        <w:tab/>
      </w:r>
      <w:r>
        <w:rPr>
          <w:rStyle w:val="FootnoteReference"/>
        </w:rPr>
        <w:footnoteRef/>
      </w:r>
      <w:r>
        <w:t xml:space="preserve"> </w:t>
      </w:r>
      <w:r>
        <w:tab/>
      </w:r>
      <w:r>
        <w:rPr>
          <w:u w:val="single"/>
        </w:rPr>
        <w:t>See</w:t>
      </w:r>
      <w:r>
        <w:t>,</w:t>
      </w:r>
      <w:r>
        <w:rPr>
          <w:i/>
        </w:rPr>
        <w:t xml:space="preserve"> </w:t>
      </w:r>
      <w:r>
        <w:t>PPLICA St. No. 1-SR, p. 3.</w:t>
      </w:r>
    </w:p>
  </w:footnote>
  <w:footnote w:id="10">
    <w:p w:rsidR="00D74554" w:rsidRDefault="00D74554" w:rsidP="00BE69E4">
      <w:pPr>
        <w:pStyle w:val="FootnoteText"/>
        <w:jc w:val="both"/>
      </w:pPr>
      <w:r>
        <w:tab/>
      </w:r>
      <w:r>
        <w:rPr>
          <w:rStyle w:val="FootnoteReference"/>
        </w:rPr>
        <w:footnoteRef/>
      </w:r>
      <w:r>
        <w:tab/>
        <w:t xml:space="preserve"> </w:t>
      </w:r>
      <w:r>
        <w:rPr>
          <w:u w:val="single"/>
        </w:rPr>
        <w:t>See</w:t>
      </w:r>
      <w:r>
        <w:t>, PPLICA St. No. 1, Exhibit__(RAB-2), lines 1-25.</w:t>
      </w:r>
    </w:p>
  </w:footnote>
  <w:footnote w:id="11">
    <w:p w:rsidR="00D74554" w:rsidRDefault="00D74554" w:rsidP="003554EE">
      <w:pPr>
        <w:pStyle w:val="FootnoteText"/>
        <w:spacing w:line="240" w:lineRule="auto"/>
      </w:pPr>
      <w:r>
        <w:tab/>
      </w:r>
      <w:r>
        <w:rPr>
          <w:rStyle w:val="FootnoteReference"/>
        </w:rPr>
        <w:footnoteRef/>
      </w:r>
      <w:r>
        <w:tab/>
        <w:t xml:space="preserve">Implementation of Act 11 of 2012, Docket No. M-2012-2293611, Tentative Implementation Order (May 12, 2012) (hereinafter </w:t>
      </w:r>
      <w:r w:rsidRPr="00D62941">
        <w:rPr>
          <w:i/>
        </w:rPr>
        <w:t>Tentative Order</w:t>
      </w:r>
      <w:r>
        <w:t>), p. 18.</w:t>
      </w:r>
    </w:p>
  </w:footnote>
  <w:footnote w:id="12">
    <w:p w:rsidR="00D74554" w:rsidRDefault="00D74554" w:rsidP="003554EE">
      <w:pPr>
        <w:pStyle w:val="FootnoteText"/>
        <w:spacing w:line="240" w:lineRule="auto"/>
        <w:rPr>
          <w:i/>
          <w:u w:val="single"/>
        </w:rPr>
      </w:pPr>
      <w:r>
        <w:tab/>
      </w:r>
      <w:r>
        <w:rPr>
          <w:rStyle w:val="FootnoteReference"/>
        </w:rPr>
        <w:footnoteRef/>
      </w:r>
      <w:r>
        <w:tab/>
      </w:r>
      <w:r w:rsidRPr="00CB1FCA">
        <w:rPr>
          <w:i/>
        </w:rPr>
        <w:t>Id</w:t>
      </w:r>
      <w:r w:rsidRPr="00CB1FCA">
        <w:t>.</w:t>
      </w:r>
    </w:p>
  </w:footnote>
  <w:footnote w:id="13">
    <w:p w:rsidR="00D74554" w:rsidRDefault="00D74554" w:rsidP="003554EE">
      <w:pPr>
        <w:pStyle w:val="FootnoteText"/>
        <w:spacing w:line="240" w:lineRule="auto"/>
      </w:pPr>
      <w:r>
        <w:tab/>
      </w:r>
      <w:r>
        <w:rPr>
          <w:rStyle w:val="FootnoteReference"/>
        </w:rPr>
        <w:footnoteRef/>
      </w:r>
      <w:r>
        <w:tab/>
      </w:r>
      <w:r>
        <w:rPr>
          <w:u w:val="single"/>
        </w:rPr>
        <w:t>Comments of the Industrial Customer Groups</w:t>
      </w:r>
      <w:r>
        <w:t>, Docket No. M-2012 -2293611 (March 31, 2012), p. 3 (ICG Comments) (Emphasis added).</w:t>
      </w:r>
    </w:p>
  </w:footnote>
  <w:footnote w:id="14">
    <w:p w:rsidR="00D74554" w:rsidRDefault="00D74554" w:rsidP="003554EE">
      <w:pPr>
        <w:pStyle w:val="FootnoteText"/>
        <w:spacing w:line="240" w:lineRule="auto"/>
      </w:pPr>
      <w:r>
        <w:tab/>
      </w:r>
      <w:r>
        <w:rPr>
          <w:rStyle w:val="FootnoteReference"/>
        </w:rPr>
        <w:footnoteRef/>
      </w:r>
      <w:r>
        <w:tab/>
      </w:r>
      <w:r>
        <w:rPr>
          <w:u w:val="single"/>
        </w:rPr>
        <w:t>Comments of the Energy Association of Pennsylvania</w:t>
      </w:r>
      <w:r>
        <w:t>, Docket No. M-2012 -2293611 (March 31, 2012), p. 7 (EAP Comments) (Emphasis added).</w:t>
      </w:r>
    </w:p>
  </w:footnote>
  <w:footnote w:id="15">
    <w:p w:rsidR="00D74554" w:rsidRDefault="00D74554" w:rsidP="003554EE">
      <w:pPr>
        <w:pStyle w:val="FootnoteText"/>
        <w:spacing w:line="240" w:lineRule="auto"/>
      </w:pPr>
      <w:r>
        <w:tab/>
      </w:r>
      <w:r>
        <w:rPr>
          <w:rStyle w:val="FootnoteReference"/>
        </w:rPr>
        <w:footnoteRef/>
      </w:r>
      <w:r>
        <w:tab/>
      </w:r>
      <w:r>
        <w:rPr>
          <w:u w:val="single"/>
        </w:rPr>
        <w:t>See</w:t>
      </w:r>
      <w:r>
        <w:t xml:space="preserve"> 66 Pa. C.S. § 1301; </w:t>
      </w:r>
      <w:r w:rsidRPr="003A232D">
        <w:rPr>
          <w:i/>
        </w:rPr>
        <w:t>Final Implementation Order</w:t>
      </w:r>
      <w:r>
        <w:t>, p. 46.</w:t>
      </w:r>
    </w:p>
  </w:footnote>
  <w:footnote w:id="16">
    <w:p w:rsidR="00D74554" w:rsidRDefault="00D74554" w:rsidP="005351A1">
      <w:pPr>
        <w:pStyle w:val="FootnoteText"/>
        <w:spacing w:line="240" w:lineRule="auto"/>
        <w:ind w:left="1440" w:hanging="720"/>
      </w:pPr>
      <w:r>
        <w:rPr>
          <w:rStyle w:val="FootnoteReference"/>
        </w:rPr>
        <w:footnoteRef/>
      </w:r>
      <w:r>
        <w:tab/>
        <w:t>PPLICA Main Brief, pp. 7-12.</w:t>
      </w:r>
    </w:p>
  </w:footnote>
  <w:footnote w:id="17">
    <w:p w:rsidR="00D74554" w:rsidRDefault="00D74554" w:rsidP="00887AD9">
      <w:pPr>
        <w:pStyle w:val="FootnoteText"/>
        <w:spacing w:line="240" w:lineRule="auto"/>
      </w:pPr>
      <w:r>
        <w:tab/>
      </w:r>
      <w:r>
        <w:rPr>
          <w:rStyle w:val="FootnoteReference"/>
        </w:rPr>
        <w:footnoteRef/>
      </w:r>
      <w:r>
        <w:tab/>
        <w:t xml:space="preserve">Section 1358(e)(3) of the Code, 66 Pa.C.S. § 1358(e)(3), provides for interest on DSIC overcollections at the residential mortgage rate.  I note also that Section 1312 of the Code, 66 Pa.C.S. § 1312, provides for interest on refunds for unjust and unreasonable rates, at the legal rate of interest, which is 6%.  41 P.S. § 202.  The parties failed to brief the interest issue.  </w:t>
      </w:r>
    </w:p>
  </w:footnote>
  <w:footnote w:id="18">
    <w:p w:rsidR="00D74554" w:rsidRDefault="00D74554" w:rsidP="00AB3519">
      <w:pPr>
        <w:pStyle w:val="FootnoteText"/>
        <w:spacing w:line="240" w:lineRule="auto"/>
        <w:jc w:val="both"/>
      </w:pPr>
      <w:r>
        <w:tab/>
      </w:r>
      <w:r>
        <w:rPr>
          <w:rStyle w:val="FootnoteReference"/>
        </w:rPr>
        <w:footnoteRef/>
      </w:r>
      <w:r>
        <w:t xml:space="preserve"> </w:t>
      </w:r>
      <w:r>
        <w:tab/>
        <w:t xml:space="preserve">PPLICA St. No. 1, p. 8; </w:t>
      </w:r>
      <w:r>
        <w:rPr>
          <w:u w:val="single"/>
        </w:rPr>
        <w:t>see also</w:t>
      </w:r>
      <w:r>
        <w:t>, 66 Pa. C.S. § 2806.1(c)</w:t>
      </w:r>
      <w:r>
        <w:fldChar w:fldCharType="begin"/>
      </w:r>
      <w:r>
        <w:instrText xml:space="preserve"> TA \l "66 Pa. C.S. § 2806.1(c)" \s "66 Pa. C.S. § 2806.1(c)" \c 2 </w:instrText>
      </w:r>
      <w:r>
        <w:fldChar w:fldCharType="end"/>
      </w:r>
      <w:r>
        <w:t>.</w:t>
      </w:r>
    </w:p>
  </w:footnote>
  <w:footnote w:id="19">
    <w:p w:rsidR="00D74554" w:rsidRDefault="00D74554" w:rsidP="00AB3519">
      <w:pPr>
        <w:pStyle w:val="FootnoteText"/>
        <w:spacing w:line="240" w:lineRule="auto"/>
        <w:jc w:val="both"/>
        <w:rPr>
          <w:u w:val="single"/>
        </w:rPr>
      </w:pPr>
      <w:r>
        <w:tab/>
      </w:r>
      <w:r>
        <w:rPr>
          <w:rStyle w:val="FootnoteReference"/>
        </w:rPr>
        <w:footnoteRef/>
      </w:r>
      <w:r>
        <w:t xml:space="preserve"> </w:t>
      </w:r>
      <w:r>
        <w:tab/>
      </w:r>
      <w:r w:rsidRPr="006F10B7">
        <w:rPr>
          <w:i/>
        </w:rPr>
        <w:t>Id</w:t>
      </w:r>
      <w:r>
        <w:rPr>
          <w:u w:val="single"/>
        </w:rPr>
        <w:t>.</w:t>
      </w:r>
    </w:p>
  </w:footnote>
  <w:footnote w:id="20">
    <w:p w:rsidR="00D74554" w:rsidRDefault="00D74554" w:rsidP="00AB3519">
      <w:pPr>
        <w:pStyle w:val="FootnoteText"/>
        <w:spacing w:line="240" w:lineRule="auto"/>
        <w:jc w:val="both"/>
      </w:pPr>
      <w:r>
        <w:tab/>
      </w:r>
      <w:r>
        <w:rPr>
          <w:rStyle w:val="FootnoteReference"/>
        </w:rPr>
        <w:footnoteRef/>
      </w:r>
      <w:r>
        <w:t xml:space="preserve"> </w:t>
      </w:r>
      <w:r>
        <w:tab/>
      </w:r>
      <w:r w:rsidRPr="00AB3519">
        <w:rPr>
          <w:u w:val="single"/>
        </w:rPr>
        <w:t>See</w:t>
      </w:r>
      <w:r>
        <w:t xml:space="preserve">, </w:t>
      </w:r>
      <w:r w:rsidRPr="006F10B7">
        <w:t>PPLICA</w:t>
      </w:r>
      <w:r>
        <w:t xml:space="preserve"> St. No. 1, p. 9, Exhibit__(RAB-7) at 5.</w:t>
      </w:r>
    </w:p>
  </w:footnote>
  <w:footnote w:id="21">
    <w:p w:rsidR="00D74554" w:rsidRDefault="00D74554" w:rsidP="00AB3519">
      <w:pPr>
        <w:pStyle w:val="FootnoteText"/>
        <w:spacing w:line="240" w:lineRule="auto"/>
        <w:jc w:val="both"/>
      </w:pPr>
      <w:r>
        <w:tab/>
      </w:r>
      <w:r>
        <w:rPr>
          <w:rStyle w:val="FootnoteReference"/>
        </w:rPr>
        <w:footnoteRef/>
      </w:r>
      <w:r>
        <w:t xml:space="preserve"> </w:t>
      </w:r>
      <w:r>
        <w:tab/>
        <w:t xml:space="preserve">By way of contrast, Mr. Baudino determined that PPL's SMR surcharge is sufficiently related to the Company's distribution service for purposes of calculating the DSIC cap.  </w:t>
      </w:r>
      <w:r w:rsidRPr="00AB3519">
        <w:rPr>
          <w:i/>
        </w:rPr>
        <w:t>Id</w:t>
      </w:r>
      <w:r w:rsidRPr="00AB3519">
        <w:t>.</w:t>
      </w:r>
      <w:r>
        <w:t xml:space="preserve"> at 6. </w:t>
      </w:r>
    </w:p>
  </w:footnote>
  <w:footnote w:id="22">
    <w:p w:rsidR="00D74554" w:rsidRDefault="00D74554" w:rsidP="004352C3">
      <w:pPr>
        <w:pStyle w:val="FootnoteText"/>
        <w:spacing w:line="240" w:lineRule="auto"/>
        <w:jc w:val="both"/>
      </w:pPr>
      <w:r>
        <w:tab/>
      </w:r>
      <w:r>
        <w:rPr>
          <w:rStyle w:val="FootnoteReference"/>
        </w:rPr>
        <w:footnoteRef/>
      </w:r>
      <w:r>
        <w:tab/>
        <w:t xml:space="preserve">PPLICA St. No. 1, p. 5.  </w:t>
      </w:r>
    </w:p>
  </w:footnote>
  <w:footnote w:id="23">
    <w:p w:rsidR="00D74554" w:rsidRDefault="00D74554" w:rsidP="004352C3">
      <w:pPr>
        <w:pStyle w:val="FootnoteText"/>
        <w:spacing w:line="240" w:lineRule="auto"/>
        <w:jc w:val="both"/>
      </w:pPr>
      <w:r>
        <w:tab/>
      </w:r>
      <w:r>
        <w:rPr>
          <w:rStyle w:val="FootnoteReference"/>
        </w:rPr>
        <w:footnoteRef/>
      </w:r>
      <w:r>
        <w:tab/>
        <w:t>66 Pa.C.S. § 1350</w:t>
      </w:r>
      <w:r>
        <w:fldChar w:fldCharType="begin"/>
      </w:r>
      <w:r>
        <w:instrText xml:space="preserve"> TA \l "66 Pa. C.S. § 1350" \s "66 Pa. C.S. § 1350" \c 2 </w:instrText>
      </w:r>
      <w:r>
        <w:fldChar w:fldCharType="end"/>
      </w:r>
      <w:r>
        <w:t xml:space="preserve">.  </w:t>
      </w:r>
    </w:p>
  </w:footnote>
  <w:footnote w:id="24">
    <w:p w:rsidR="00D74554" w:rsidRDefault="00D74554" w:rsidP="004352C3">
      <w:pPr>
        <w:pStyle w:val="FootnoteText"/>
        <w:spacing w:line="240" w:lineRule="auto"/>
        <w:jc w:val="both"/>
      </w:pPr>
      <w:r>
        <w:tab/>
      </w:r>
      <w:r>
        <w:rPr>
          <w:rStyle w:val="FootnoteReference"/>
        </w:rPr>
        <w:footnoteRef/>
      </w:r>
      <w:r>
        <w:t xml:space="preserve"> </w:t>
      </w:r>
      <w:r>
        <w:tab/>
        <w:t>66 Pa.C.S. § 1351</w:t>
      </w:r>
      <w:r>
        <w:fldChar w:fldCharType="begin"/>
      </w:r>
      <w:r>
        <w:instrText xml:space="preserve"> TA \l "66 Pa. C.S. § 1351" \s "66 Pa. C.S. § 1351" \c 2 </w:instrText>
      </w:r>
      <w:r>
        <w:fldChar w:fldCharType="end"/>
      </w:r>
      <w:r>
        <w:t xml:space="preserve">.  </w:t>
      </w:r>
    </w:p>
  </w:footnote>
  <w:footnote w:id="25">
    <w:p w:rsidR="00D74554" w:rsidRDefault="00D74554" w:rsidP="00596E84">
      <w:pPr>
        <w:pStyle w:val="FootnoteText"/>
        <w:spacing w:line="240" w:lineRule="auto"/>
        <w:jc w:val="both"/>
      </w:pPr>
      <w:r>
        <w:tab/>
      </w:r>
      <w:r>
        <w:rPr>
          <w:rStyle w:val="FootnoteReference"/>
        </w:rPr>
        <w:footnoteRef/>
      </w:r>
      <w:r>
        <w:t xml:space="preserve"> </w:t>
      </w:r>
      <w:r>
        <w:tab/>
        <w:t xml:space="preserve">PPL St. No. 3-R, p.9.  </w:t>
      </w:r>
    </w:p>
  </w:footnote>
  <w:footnote w:id="26">
    <w:p w:rsidR="00D74554" w:rsidRDefault="00D74554" w:rsidP="00596E84">
      <w:pPr>
        <w:pStyle w:val="FootnoteText"/>
        <w:spacing w:line="240" w:lineRule="auto"/>
        <w:jc w:val="both"/>
      </w:pPr>
      <w:r>
        <w:tab/>
      </w:r>
      <w:r>
        <w:rPr>
          <w:rStyle w:val="FootnoteReference"/>
        </w:rPr>
        <w:footnoteRef/>
      </w:r>
      <w:r>
        <w:t xml:space="preserve"> </w:t>
      </w:r>
      <w:r>
        <w:tab/>
      </w:r>
      <w:r>
        <w:rPr>
          <w:u w:val="single"/>
        </w:rPr>
        <w:t>See</w:t>
      </w:r>
      <w:r>
        <w:t>, PPLICA St. No. 1-SR, p. 4.</w:t>
      </w:r>
    </w:p>
  </w:footnote>
  <w:footnote w:id="27">
    <w:p w:rsidR="00D74554" w:rsidRDefault="00D74554" w:rsidP="00596E84">
      <w:pPr>
        <w:pStyle w:val="FootnoteText"/>
        <w:spacing w:line="240" w:lineRule="auto"/>
        <w:jc w:val="both"/>
      </w:pPr>
      <w:r>
        <w:tab/>
      </w:r>
      <w:r>
        <w:rPr>
          <w:rStyle w:val="FootnoteReference"/>
        </w:rPr>
        <w:footnoteRef/>
      </w:r>
      <w:r>
        <w:t xml:space="preserve"> </w:t>
      </w:r>
      <w:r>
        <w:tab/>
      </w:r>
      <w:r w:rsidRPr="00596E84">
        <w:rPr>
          <w:i/>
        </w:rPr>
        <w:t>Petition of PPL Electric Utilities Corporation for Approval of a Default Service Program and Procurement Plan for the Period June 1, 2013 through May 31, 2015</w:t>
      </w:r>
      <w:r>
        <w:t>, Docket No. P-2012-2302074, Opinion and Order entered January 24, 2013.</w:t>
      </w:r>
    </w:p>
  </w:footnote>
  <w:footnote w:id="28">
    <w:p w:rsidR="00D74554" w:rsidRDefault="00D74554" w:rsidP="00596E84">
      <w:pPr>
        <w:pStyle w:val="FootnoteText"/>
        <w:spacing w:line="240" w:lineRule="auto"/>
        <w:jc w:val="both"/>
      </w:pPr>
      <w:r>
        <w:tab/>
      </w:r>
      <w:r>
        <w:rPr>
          <w:rStyle w:val="FootnoteReference"/>
        </w:rPr>
        <w:footnoteRef/>
      </w:r>
      <w:r>
        <w:tab/>
        <w:t xml:space="preserve"> </w:t>
      </w:r>
      <w:r>
        <w:rPr>
          <w:u w:val="single"/>
        </w:rPr>
        <w:t>See</w:t>
      </w:r>
      <w:r>
        <w:t xml:space="preserve">, PPL St. No. 3-S, p. 5.  </w:t>
      </w:r>
    </w:p>
  </w:footnote>
  <w:footnote w:id="29">
    <w:p w:rsidR="00D74554" w:rsidRDefault="00D74554" w:rsidP="00E70C9B">
      <w:pPr>
        <w:spacing w:line="240" w:lineRule="auto"/>
        <w:jc w:val="both"/>
        <w:rPr>
          <w:sz w:val="20"/>
        </w:rPr>
      </w:pPr>
      <w:r>
        <w:rPr>
          <w:sz w:val="20"/>
        </w:rPr>
        <w:tab/>
      </w:r>
      <w:r>
        <w:rPr>
          <w:rStyle w:val="FootnoteReference"/>
          <w:sz w:val="20"/>
        </w:rPr>
        <w:footnoteRef/>
      </w:r>
      <w:r>
        <w:rPr>
          <w:sz w:val="20"/>
        </w:rPr>
        <w:t xml:space="preserve"> </w:t>
      </w:r>
      <w:r>
        <w:rPr>
          <w:sz w:val="20"/>
        </w:rPr>
        <w:tab/>
        <w:t>Slip op, 2013 WL 839971.</w:t>
      </w:r>
    </w:p>
  </w:footnote>
  <w:footnote w:id="30">
    <w:p w:rsidR="00D74554" w:rsidRDefault="00D74554" w:rsidP="003506B9">
      <w:pPr>
        <w:pStyle w:val="FootnoteText"/>
        <w:spacing w:line="240" w:lineRule="auto"/>
        <w:jc w:val="both"/>
      </w:pPr>
      <w:r>
        <w:tab/>
      </w:r>
      <w:r>
        <w:rPr>
          <w:rStyle w:val="FootnoteReference"/>
        </w:rPr>
        <w:footnoteRef/>
      </w:r>
      <w:r>
        <w:t xml:space="preserve"> </w:t>
      </w:r>
      <w:r>
        <w:tab/>
        <w:t xml:space="preserve">PPLICA St. No. 1, p. 9.  </w:t>
      </w:r>
    </w:p>
  </w:footnote>
  <w:footnote w:id="31">
    <w:p w:rsidR="00D74554" w:rsidRDefault="00D74554" w:rsidP="003506B9">
      <w:pPr>
        <w:pStyle w:val="FootnoteText"/>
        <w:spacing w:line="240" w:lineRule="auto"/>
        <w:jc w:val="both"/>
        <w:rPr>
          <w:u w:val="single"/>
        </w:rPr>
      </w:pPr>
      <w:r>
        <w:tab/>
      </w:r>
      <w:r>
        <w:rPr>
          <w:rStyle w:val="FootnoteReference"/>
        </w:rPr>
        <w:footnoteRef/>
      </w:r>
      <w:r>
        <w:tab/>
      </w:r>
      <w:r w:rsidRPr="00740D76">
        <w:rPr>
          <w:i/>
        </w:rPr>
        <w:t>Id.</w:t>
      </w:r>
    </w:p>
  </w:footnote>
  <w:footnote w:id="32">
    <w:p w:rsidR="00D74554" w:rsidRDefault="00D74554" w:rsidP="003506B9">
      <w:pPr>
        <w:pStyle w:val="FootnoteText"/>
        <w:spacing w:line="240" w:lineRule="auto"/>
        <w:jc w:val="both"/>
      </w:pPr>
      <w:r>
        <w:tab/>
      </w:r>
      <w:r>
        <w:rPr>
          <w:rStyle w:val="FootnoteReference"/>
        </w:rPr>
        <w:footnoteRef/>
      </w:r>
      <w:r>
        <w:t xml:space="preserve"> </w:t>
      </w:r>
      <w:r>
        <w:tab/>
      </w:r>
      <w:r>
        <w:rPr>
          <w:u w:val="single"/>
        </w:rPr>
        <w:t>See</w:t>
      </w:r>
      <w:r>
        <w:rPr>
          <w:i/>
        </w:rPr>
        <w:t xml:space="preserve"> I</w:t>
      </w:r>
      <w:r w:rsidRPr="00740D76">
        <w:rPr>
          <w:i/>
        </w:rPr>
        <w:t>d.</w:t>
      </w:r>
      <w:r>
        <w:rPr>
          <w:i/>
        </w:rPr>
        <w:t xml:space="preserve">, </w:t>
      </w:r>
      <w:r>
        <w:t>p.</w:t>
      </w:r>
      <w:r>
        <w:rPr>
          <w:i/>
        </w:rPr>
        <w:t xml:space="preserve"> </w:t>
      </w:r>
      <w:r>
        <w:t>7, PPLICA St. No. 1, Exhibit__(RAB-7), pp. 1-4.</w:t>
      </w:r>
    </w:p>
  </w:footnote>
  <w:footnote w:id="33">
    <w:p w:rsidR="00D74554" w:rsidRDefault="00D74554" w:rsidP="003506B9">
      <w:pPr>
        <w:pStyle w:val="FootnoteText"/>
        <w:spacing w:line="240" w:lineRule="auto"/>
      </w:pPr>
      <w:r>
        <w:tab/>
      </w:r>
      <w:r>
        <w:rPr>
          <w:rStyle w:val="FootnoteReference"/>
        </w:rPr>
        <w:footnoteRef/>
      </w:r>
      <w:r>
        <w:t xml:space="preserve"> </w:t>
      </w:r>
      <w:r>
        <w:tab/>
      </w:r>
      <w:r>
        <w:rPr>
          <w:u w:val="single"/>
        </w:rPr>
        <w:t>See</w:t>
      </w:r>
      <w:r>
        <w:t>, PPLICA St. No. 1, Exhibit__(RAB-8).  Note that the data reported in Table 1 reflects PPL's forecasted revenues for 2013.</w:t>
      </w:r>
    </w:p>
  </w:footnote>
  <w:footnote w:id="34">
    <w:p w:rsidR="00D74554" w:rsidRDefault="00D74554" w:rsidP="009C1AC2">
      <w:pPr>
        <w:pStyle w:val="FootnoteText"/>
        <w:spacing w:line="240" w:lineRule="auto"/>
      </w:pPr>
      <w:r>
        <w:tab/>
      </w:r>
      <w:r>
        <w:rPr>
          <w:rStyle w:val="FootnoteReference"/>
        </w:rPr>
        <w:footnoteRef/>
      </w:r>
      <w:r>
        <w:tab/>
      </w:r>
      <w:r w:rsidRPr="00740D76">
        <w:t>PPLICA St. No. 1, p. 10.</w:t>
      </w:r>
    </w:p>
  </w:footnote>
  <w:footnote w:id="35">
    <w:p w:rsidR="00D74554" w:rsidRPr="009C1AC2" w:rsidRDefault="00D74554" w:rsidP="009C1AC2">
      <w:pPr>
        <w:pStyle w:val="FootnoteText"/>
        <w:spacing w:line="240" w:lineRule="auto"/>
        <w:rPr>
          <w:i/>
        </w:rPr>
      </w:pPr>
      <w:r>
        <w:tab/>
      </w:r>
      <w:r>
        <w:rPr>
          <w:rStyle w:val="FootnoteReference"/>
        </w:rPr>
        <w:footnoteRef/>
      </w:r>
      <w:r>
        <w:t xml:space="preserve"> </w:t>
      </w:r>
      <w:r>
        <w:tab/>
      </w:r>
      <w:r>
        <w:rPr>
          <w:i/>
        </w:rPr>
        <w:t>Id.</w:t>
      </w:r>
    </w:p>
  </w:footnote>
  <w:footnote w:id="36">
    <w:p w:rsidR="00D74554" w:rsidRDefault="00D74554" w:rsidP="009C1AC2">
      <w:pPr>
        <w:pStyle w:val="FootnoteText"/>
        <w:spacing w:line="240" w:lineRule="auto"/>
      </w:pPr>
      <w:r>
        <w:tab/>
      </w:r>
      <w:r>
        <w:rPr>
          <w:rStyle w:val="FootnoteReference"/>
        </w:rPr>
        <w:footnoteRef/>
      </w:r>
      <w:r>
        <w:t xml:space="preserve"> </w:t>
      </w:r>
      <w:r>
        <w:tab/>
      </w:r>
      <w:r>
        <w:rPr>
          <w:i/>
        </w:rPr>
        <w:t>Id.</w:t>
      </w:r>
    </w:p>
  </w:footnote>
  <w:footnote w:id="37">
    <w:p w:rsidR="00D74554" w:rsidRDefault="00D74554" w:rsidP="009C1AC2">
      <w:pPr>
        <w:pStyle w:val="FootnoteText"/>
        <w:spacing w:line="240" w:lineRule="auto"/>
      </w:pPr>
      <w:r>
        <w:tab/>
      </w:r>
      <w:r>
        <w:rPr>
          <w:rStyle w:val="FootnoteReference"/>
        </w:rPr>
        <w:footnoteRef/>
      </w:r>
      <w:r>
        <w:t xml:space="preserve"> </w:t>
      </w:r>
      <w:r>
        <w:tab/>
      </w:r>
      <w:r>
        <w:rPr>
          <w:i/>
        </w:rPr>
        <w:t>Id.</w:t>
      </w:r>
    </w:p>
  </w:footnote>
  <w:footnote w:id="38">
    <w:p w:rsidR="00D74554" w:rsidRDefault="00D74554" w:rsidP="009E32B0">
      <w:pPr>
        <w:pStyle w:val="FootnoteText"/>
        <w:spacing w:line="240" w:lineRule="auto"/>
      </w:pPr>
      <w:r>
        <w:tab/>
      </w:r>
      <w:r>
        <w:rPr>
          <w:rStyle w:val="FootnoteReference"/>
        </w:rPr>
        <w:footnoteRef/>
      </w:r>
      <w:r>
        <w:tab/>
        <w:t xml:space="preserve">The Model Tariff attached to the </w:t>
      </w:r>
      <w:r w:rsidRPr="00C531E1">
        <w:rPr>
          <w:i/>
        </w:rPr>
        <w:t>Final Implementation Order</w:t>
      </w:r>
      <w:r>
        <w:t xml:space="preserve"> states, under Customer Safeguards, that “[t]he DSIC is capped at 5.0% of the amount to customers for distribution service (including all </w:t>
      </w:r>
      <w:r w:rsidRPr="00DB62B5">
        <w:rPr>
          <w:u w:val="single"/>
        </w:rPr>
        <w:t>applicable</w:t>
      </w:r>
      <w:r>
        <w:t xml:space="preserve"> clauses and riders) as determined on an annualized basis.”  </w:t>
      </w:r>
      <w:r w:rsidRPr="00DB62B5">
        <w:rPr>
          <w:u w:val="single"/>
        </w:rPr>
        <w:t>Emphasis added</w:t>
      </w:r>
      <w:r>
        <w:t xml:space="preserve">. </w:t>
      </w:r>
    </w:p>
    <w:p w:rsidR="00D74554" w:rsidRDefault="00D74554">
      <w:pPr>
        <w:pStyle w:val="FootnoteText"/>
      </w:pP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09C"/>
    <w:multiLevelType w:val="hybridMultilevel"/>
    <w:tmpl w:val="C37A9D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83581A"/>
    <w:multiLevelType w:val="singleLevel"/>
    <w:tmpl w:val="0409000F"/>
    <w:lvl w:ilvl="0">
      <w:start w:val="1"/>
      <w:numFmt w:val="decimal"/>
      <w:lvlText w:val="%1."/>
      <w:lvlJc w:val="left"/>
      <w:pPr>
        <w:tabs>
          <w:tab w:val="num" w:pos="1980"/>
        </w:tabs>
        <w:ind w:left="1980" w:hanging="360"/>
      </w:pPr>
    </w:lvl>
  </w:abstractNum>
  <w:abstractNum w:abstractNumId="2">
    <w:nsid w:val="28742F48"/>
    <w:multiLevelType w:val="singleLevel"/>
    <w:tmpl w:val="33B05692"/>
    <w:lvl w:ilvl="0">
      <w:start w:val="1"/>
      <w:numFmt w:val="decimal"/>
      <w:lvlText w:val="%1."/>
      <w:lvlJc w:val="left"/>
      <w:pPr>
        <w:tabs>
          <w:tab w:val="num" w:pos="2160"/>
        </w:tabs>
        <w:ind w:left="2160" w:hanging="720"/>
      </w:pPr>
      <w:rPr>
        <w:rFonts w:hint="default"/>
      </w:rPr>
    </w:lvl>
  </w:abstractNum>
  <w:abstractNum w:abstractNumId="3">
    <w:nsid w:val="436C51D0"/>
    <w:multiLevelType w:val="singleLevel"/>
    <w:tmpl w:val="C8D4F99A"/>
    <w:lvl w:ilvl="0">
      <w:start w:val="1"/>
      <w:numFmt w:val="lowerLetter"/>
      <w:lvlText w:val="(%1)"/>
      <w:lvlJc w:val="left"/>
      <w:pPr>
        <w:tabs>
          <w:tab w:val="num" w:pos="720"/>
        </w:tabs>
        <w:ind w:left="720" w:hanging="720"/>
      </w:pPr>
      <w:rPr>
        <w:rFonts w:hint="default"/>
      </w:rPr>
    </w:lvl>
  </w:abstractNum>
  <w:abstractNum w:abstractNumId="4">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65176D9F"/>
    <w:multiLevelType w:val="singleLevel"/>
    <w:tmpl w:val="735AE45A"/>
    <w:lvl w:ilvl="0">
      <w:start w:val="1"/>
      <w:numFmt w:val="decimal"/>
      <w:lvlText w:val="%1."/>
      <w:lvlJc w:val="left"/>
      <w:pPr>
        <w:tabs>
          <w:tab w:val="num" w:pos="1440"/>
        </w:tabs>
        <w:ind w:left="1440" w:hanging="720"/>
      </w:pPr>
      <w:rPr>
        <w:rFonts w:hint="default"/>
      </w:rPr>
    </w:lvl>
  </w:abstractNum>
  <w:abstractNum w:abstractNumId="6">
    <w:nsid w:val="6EF75055"/>
    <w:multiLevelType w:val="singleLevel"/>
    <w:tmpl w:val="3244E540"/>
    <w:lvl w:ilvl="0">
      <w:start w:val="1"/>
      <w:numFmt w:val="decimal"/>
      <w:lvlText w:val="%1."/>
      <w:lvlJc w:val="left"/>
      <w:pPr>
        <w:tabs>
          <w:tab w:val="num" w:pos="1440"/>
        </w:tabs>
        <w:ind w:left="1440" w:hanging="720"/>
      </w:pPr>
      <w:rPr>
        <w:rFonts w:hint="default"/>
      </w:rPr>
    </w:lvl>
  </w:abstractNum>
  <w:abstractNum w:abstractNumId="7">
    <w:nsid w:val="779E4175"/>
    <w:multiLevelType w:val="singleLevel"/>
    <w:tmpl w:val="E6CCE61E"/>
    <w:lvl w:ilvl="0">
      <w:start w:val="2"/>
      <w:numFmt w:val="lowerLetter"/>
      <w:lvlText w:val="(%1)"/>
      <w:lvlJc w:val="left"/>
      <w:pPr>
        <w:tabs>
          <w:tab w:val="num" w:pos="360"/>
        </w:tabs>
        <w:ind w:left="360" w:hanging="360"/>
      </w:pPr>
      <w:rPr>
        <w:rFonts w:hint="default"/>
      </w:rPr>
    </w:lvl>
  </w:abstractNum>
  <w:num w:numId="1">
    <w:abstractNumId w:val="5"/>
  </w:num>
  <w:num w:numId="2">
    <w:abstractNumId w:val="6"/>
  </w:num>
  <w:num w:numId="3">
    <w:abstractNumId w:val="2"/>
  </w:num>
  <w:num w:numId="4">
    <w:abstractNumId w:val="3"/>
  </w:num>
  <w:num w:numId="5">
    <w:abstractNumId w:val="7"/>
  </w:num>
  <w:num w:numId="6">
    <w:abstractNumId w:val="6"/>
    <w:lvlOverride w:ilvl="0">
      <w:startOverride w:val="1"/>
    </w:lvlOverride>
  </w:num>
  <w:num w:numId="7">
    <w:abstractNumId w:val="2"/>
    <w:lvlOverride w:ilvl="0">
      <w:startOverride w:val="1"/>
    </w:lvlOverride>
  </w:num>
  <w:num w:numId="8">
    <w:abstractNumId w:val="7"/>
    <w:lvlOverride w:ilvl="0">
      <w:startOverride w:val="2"/>
    </w:lvlOverride>
  </w:num>
  <w:num w:numId="9">
    <w:abstractNumId w:val="1"/>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56E"/>
    <w:rsid w:val="0000156C"/>
    <w:rsid w:val="00001EA1"/>
    <w:rsid w:val="00002302"/>
    <w:rsid w:val="0000468C"/>
    <w:rsid w:val="00004A4B"/>
    <w:rsid w:val="00006E90"/>
    <w:rsid w:val="0001101C"/>
    <w:rsid w:val="000136EB"/>
    <w:rsid w:val="00014D26"/>
    <w:rsid w:val="00014F9B"/>
    <w:rsid w:val="00016348"/>
    <w:rsid w:val="00016D00"/>
    <w:rsid w:val="0001759C"/>
    <w:rsid w:val="000206BB"/>
    <w:rsid w:val="000229BF"/>
    <w:rsid w:val="00022EA3"/>
    <w:rsid w:val="000246A6"/>
    <w:rsid w:val="00027D7F"/>
    <w:rsid w:val="000310AC"/>
    <w:rsid w:val="00031551"/>
    <w:rsid w:val="00031A7D"/>
    <w:rsid w:val="000342F6"/>
    <w:rsid w:val="00034DCC"/>
    <w:rsid w:val="0003660A"/>
    <w:rsid w:val="00040769"/>
    <w:rsid w:val="00041D8C"/>
    <w:rsid w:val="00042F4E"/>
    <w:rsid w:val="000454B7"/>
    <w:rsid w:val="00045D42"/>
    <w:rsid w:val="0005010C"/>
    <w:rsid w:val="00050B18"/>
    <w:rsid w:val="00053A4B"/>
    <w:rsid w:val="000560ED"/>
    <w:rsid w:val="000617AF"/>
    <w:rsid w:val="00062E2F"/>
    <w:rsid w:val="00063C77"/>
    <w:rsid w:val="000642F8"/>
    <w:rsid w:val="0006493F"/>
    <w:rsid w:val="000677C5"/>
    <w:rsid w:val="00070432"/>
    <w:rsid w:val="00070478"/>
    <w:rsid w:val="0007152D"/>
    <w:rsid w:val="000725EE"/>
    <w:rsid w:val="00073BAB"/>
    <w:rsid w:val="000762AD"/>
    <w:rsid w:val="00080EC1"/>
    <w:rsid w:val="00082342"/>
    <w:rsid w:val="0008390B"/>
    <w:rsid w:val="00084361"/>
    <w:rsid w:val="00084772"/>
    <w:rsid w:val="00093917"/>
    <w:rsid w:val="0009467D"/>
    <w:rsid w:val="000A4376"/>
    <w:rsid w:val="000A563D"/>
    <w:rsid w:val="000A6E54"/>
    <w:rsid w:val="000B06CF"/>
    <w:rsid w:val="000B2953"/>
    <w:rsid w:val="000B301B"/>
    <w:rsid w:val="000B35CF"/>
    <w:rsid w:val="000B3D47"/>
    <w:rsid w:val="000C1CCD"/>
    <w:rsid w:val="000C26E5"/>
    <w:rsid w:val="000C3FF3"/>
    <w:rsid w:val="000C4A7C"/>
    <w:rsid w:val="000C4F25"/>
    <w:rsid w:val="000C550B"/>
    <w:rsid w:val="000C6698"/>
    <w:rsid w:val="000C7DDE"/>
    <w:rsid w:val="000D0863"/>
    <w:rsid w:val="000D0F65"/>
    <w:rsid w:val="000D1099"/>
    <w:rsid w:val="000D1312"/>
    <w:rsid w:val="000D1F25"/>
    <w:rsid w:val="000D3143"/>
    <w:rsid w:val="000D33A6"/>
    <w:rsid w:val="000D49C9"/>
    <w:rsid w:val="000D6D68"/>
    <w:rsid w:val="000E033E"/>
    <w:rsid w:val="000E047B"/>
    <w:rsid w:val="000E0837"/>
    <w:rsid w:val="000E1378"/>
    <w:rsid w:val="000E16EC"/>
    <w:rsid w:val="000E2F37"/>
    <w:rsid w:val="000E3450"/>
    <w:rsid w:val="000E3D18"/>
    <w:rsid w:val="000E40E7"/>
    <w:rsid w:val="000E4465"/>
    <w:rsid w:val="000E76CB"/>
    <w:rsid w:val="000F3BE9"/>
    <w:rsid w:val="000F43A3"/>
    <w:rsid w:val="000F498C"/>
    <w:rsid w:val="000F517C"/>
    <w:rsid w:val="00100E58"/>
    <w:rsid w:val="00103790"/>
    <w:rsid w:val="00103F29"/>
    <w:rsid w:val="00103F99"/>
    <w:rsid w:val="00103FB3"/>
    <w:rsid w:val="001041E9"/>
    <w:rsid w:val="00104538"/>
    <w:rsid w:val="001046AF"/>
    <w:rsid w:val="001046CD"/>
    <w:rsid w:val="00106BE4"/>
    <w:rsid w:val="0010789A"/>
    <w:rsid w:val="0011088E"/>
    <w:rsid w:val="00110B51"/>
    <w:rsid w:val="00111547"/>
    <w:rsid w:val="00112E27"/>
    <w:rsid w:val="00113286"/>
    <w:rsid w:val="00114F41"/>
    <w:rsid w:val="00115C56"/>
    <w:rsid w:val="00116B03"/>
    <w:rsid w:val="00117122"/>
    <w:rsid w:val="001173FD"/>
    <w:rsid w:val="00121D44"/>
    <w:rsid w:val="001225BE"/>
    <w:rsid w:val="001230A8"/>
    <w:rsid w:val="0012450E"/>
    <w:rsid w:val="00124DDE"/>
    <w:rsid w:val="00125C28"/>
    <w:rsid w:val="00126232"/>
    <w:rsid w:val="00127548"/>
    <w:rsid w:val="00127905"/>
    <w:rsid w:val="0013072B"/>
    <w:rsid w:val="00130C70"/>
    <w:rsid w:val="00130D36"/>
    <w:rsid w:val="00135665"/>
    <w:rsid w:val="0013636C"/>
    <w:rsid w:val="00141EBF"/>
    <w:rsid w:val="00143845"/>
    <w:rsid w:val="00145C37"/>
    <w:rsid w:val="00152D51"/>
    <w:rsid w:val="00155489"/>
    <w:rsid w:val="0015553C"/>
    <w:rsid w:val="001558D1"/>
    <w:rsid w:val="00156668"/>
    <w:rsid w:val="0015677A"/>
    <w:rsid w:val="00157B82"/>
    <w:rsid w:val="00160DE7"/>
    <w:rsid w:val="00160EE9"/>
    <w:rsid w:val="001616DB"/>
    <w:rsid w:val="00162620"/>
    <w:rsid w:val="00162D6D"/>
    <w:rsid w:val="00164FDA"/>
    <w:rsid w:val="0016557F"/>
    <w:rsid w:val="00165CA0"/>
    <w:rsid w:val="00172CFA"/>
    <w:rsid w:val="00173F39"/>
    <w:rsid w:val="00180FCA"/>
    <w:rsid w:val="001811B7"/>
    <w:rsid w:val="00182A9E"/>
    <w:rsid w:val="001845CE"/>
    <w:rsid w:val="0018494B"/>
    <w:rsid w:val="00184AAF"/>
    <w:rsid w:val="00184D53"/>
    <w:rsid w:val="00184D7C"/>
    <w:rsid w:val="00184EFA"/>
    <w:rsid w:val="00185B20"/>
    <w:rsid w:val="00186FC2"/>
    <w:rsid w:val="00187AB5"/>
    <w:rsid w:val="00187C1A"/>
    <w:rsid w:val="001910C8"/>
    <w:rsid w:val="001931DC"/>
    <w:rsid w:val="00193C56"/>
    <w:rsid w:val="001959C4"/>
    <w:rsid w:val="00197DC4"/>
    <w:rsid w:val="001A1BD3"/>
    <w:rsid w:val="001A1F12"/>
    <w:rsid w:val="001A2A2C"/>
    <w:rsid w:val="001A343E"/>
    <w:rsid w:val="001A5D6D"/>
    <w:rsid w:val="001A5E4A"/>
    <w:rsid w:val="001A6089"/>
    <w:rsid w:val="001A63C3"/>
    <w:rsid w:val="001B181F"/>
    <w:rsid w:val="001B2B53"/>
    <w:rsid w:val="001B3F42"/>
    <w:rsid w:val="001B45F7"/>
    <w:rsid w:val="001B4C90"/>
    <w:rsid w:val="001B5887"/>
    <w:rsid w:val="001B5A13"/>
    <w:rsid w:val="001B653E"/>
    <w:rsid w:val="001C1386"/>
    <w:rsid w:val="001C232F"/>
    <w:rsid w:val="001C36CF"/>
    <w:rsid w:val="001C50EA"/>
    <w:rsid w:val="001C61CC"/>
    <w:rsid w:val="001C6BBD"/>
    <w:rsid w:val="001C77B3"/>
    <w:rsid w:val="001C7E55"/>
    <w:rsid w:val="001D02E3"/>
    <w:rsid w:val="001D0D4E"/>
    <w:rsid w:val="001D2324"/>
    <w:rsid w:val="001D2D0D"/>
    <w:rsid w:val="001D2DD3"/>
    <w:rsid w:val="001D5EA6"/>
    <w:rsid w:val="001D64A9"/>
    <w:rsid w:val="001D6C2E"/>
    <w:rsid w:val="001E24A6"/>
    <w:rsid w:val="001E2621"/>
    <w:rsid w:val="001E3800"/>
    <w:rsid w:val="001E434D"/>
    <w:rsid w:val="001E48FD"/>
    <w:rsid w:val="001E6793"/>
    <w:rsid w:val="001F1124"/>
    <w:rsid w:val="001F1142"/>
    <w:rsid w:val="001F1A8A"/>
    <w:rsid w:val="001F373C"/>
    <w:rsid w:val="001F6984"/>
    <w:rsid w:val="001F6D1F"/>
    <w:rsid w:val="002005EF"/>
    <w:rsid w:val="00202736"/>
    <w:rsid w:val="002027E5"/>
    <w:rsid w:val="0020392A"/>
    <w:rsid w:val="00206AD6"/>
    <w:rsid w:val="00212B7A"/>
    <w:rsid w:val="00212C42"/>
    <w:rsid w:val="00212CD1"/>
    <w:rsid w:val="0021667A"/>
    <w:rsid w:val="00221BC6"/>
    <w:rsid w:val="00222ECA"/>
    <w:rsid w:val="00225898"/>
    <w:rsid w:val="00227D49"/>
    <w:rsid w:val="00230058"/>
    <w:rsid w:val="00230D8C"/>
    <w:rsid w:val="00232934"/>
    <w:rsid w:val="0023398D"/>
    <w:rsid w:val="00236074"/>
    <w:rsid w:val="00236963"/>
    <w:rsid w:val="00236CCD"/>
    <w:rsid w:val="00237594"/>
    <w:rsid w:val="0023778D"/>
    <w:rsid w:val="0024208C"/>
    <w:rsid w:val="0024240F"/>
    <w:rsid w:val="0024256D"/>
    <w:rsid w:val="002453FA"/>
    <w:rsid w:val="0024548C"/>
    <w:rsid w:val="00245A00"/>
    <w:rsid w:val="00246D44"/>
    <w:rsid w:val="00250D83"/>
    <w:rsid w:val="00251374"/>
    <w:rsid w:val="002528E9"/>
    <w:rsid w:val="00252C04"/>
    <w:rsid w:val="002532FC"/>
    <w:rsid w:val="002538B4"/>
    <w:rsid w:val="00254F42"/>
    <w:rsid w:val="00255125"/>
    <w:rsid w:val="002553B0"/>
    <w:rsid w:val="00255A33"/>
    <w:rsid w:val="00255B74"/>
    <w:rsid w:val="00260ADE"/>
    <w:rsid w:val="00261309"/>
    <w:rsid w:val="0026247D"/>
    <w:rsid w:val="002641EA"/>
    <w:rsid w:val="00264EC6"/>
    <w:rsid w:val="002652F1"/>
    <w:rsid w:val="002659A2"/>
    <w:rsid w:val="00266403"/>
    <w:rsid w:val="002708E0"/>
    <w:rsid w:val="002711C7"/>
    <w:rsid w:val="002740AB"/>
    <w:rsid w:val="00274BB6"/>
    <w:rsid w:val="00275B75"/>
    <w:rsid w:val="00276440"/>
    <w:rsid w:val="00276843"/>
    <w:rsid w:val="002823C3"/>
    <w:rsid w:val="00283DC1"/>
    <w:rsid w:val="00286204"/>
    <w:rsid w:val="0029089A"/>
    <w:rsid w:val="00295AFD"/>
    <w:rsid w:val="0029670B"/>
    <w:rsid w:val="00297943"/>
    <w:rsid w:val="002A043B"/>
    <w:rsid w:val="002A0839"/>
    <w:rsid w:val="002A0B1F"/>
    <w:rsid w:val="002A27F9"/>
    <w:rsid w:val="002A5355"/>
    <w:rsid w:val="002A5959"/>
    <w:rsid w:val="002A5CB7"/>
    <w:rsid w:val="002B00BE"/>
    <w:rsid w:val="002B45F5"/>
    <w:rsid w:val="002B461E"/>
    <w:rsid w:val="002B4FB7"/>
    <w:rsid w:val="002B7128"/>
    <w:rsid w:val="002C1934"/>
    <w:rsid w:val="002C660B"/>
    <w:rsid w:val="002D0BAC"/>
    <w:rsid w:val="002D16E2"/>
    <w:rsid w:val="002D16EB"/>
    <w:rsid w:val="002D41A2"/>
    <w:rsid w:val="002D4356"/>
    <w:rsid w:val="002D47C8"/>
    <w:rsid w:val="002D4B81"/>
    <w:rsid w:val="002D5B5E"/>
    <w:rsid w:val="002D7CC4"/>
    <w:rsid w:val="002E1BFD"/>
    <w:rsid w:val="002E2004"/>
    <w:rsid w:val="002E2517"/>
    <w:rsid w:val="002E3B0E"/>
    <w:rsid w:val="002E3DB1"/>
    <w:rsid w:val="002E5A97"/>
    <w:rsid w:val="002E635E"/>
    <w:rsid w:val="002E71C9"/>
    <w:rsid w:val="002F0159"/>
    <w:rsid w:val="002F1EA8"/>
    <w:rsid w:val="002F2C79"/>
    <w:rsid w:val="002F32C5"/>
    <w:rsid w:val="002F375A"/>
    <w:rsid w:val="002F5CA0"/>
    <w:rsid w:val="002F69EC"/>
    <w:rsid w:val="002F7369"/>
    <w:rsid w:val="002F7A3A"/>
    <w:rsid w:val="00300EB4"/>
    <w:rsid w:val="00301E39"/>
    <w:rsid w:val="0030427E"/>
    <w:rsid w:val="00304D9F"/>
    <w:rsid w:val="00305F2A"/>
    <w:rsid w:val="00306AA9"/>
    <w:rsid w:val="003105AC"/>
    <w:rsid w:val="00310D58"/>
    <w:rsid w:val="00311B7A"/>
    <w:rsid w:val="0031359D"/>
    <w:rsid w:val="0031393E"/>
    <w:rsid w:val="003145E6"/>
    <w:rsid w:val="00315677"/>
    <w:rsid w:val="00316136"/>
    <w:rsid w:val="00316C7D"/>
    <w:rsid w:val="00317E74"/>
    <w:rsid w:val="00323755"/>
    <w:rsid w:val="0032552B"/>
    <w:rsid w:val="003255FF"/>
    <w:rsid w:val="00326926"/>
    <w:rsid w:val="00327572"/>
    <w:rsid w:val="00330844"/>
    <w:rsid w:val="003318A2"/>
    <w:rsid w:val="00331B95"/>
    <w:rsid w:val="00331DE4"/>
    <w:rsid w:val="00334B5F"/>
    <w:rsid w:val="00334FAF"/>
    <w:rsid w:val="00337D4A"/>
    <w:rsid w:val="003411B7"/>
    <w:rsid w:val="00344F7A"/>
    <w:rsid w:val="00345C40"/>
    <w:rsid w:val="00346137"/>
    <w:rsid w:val="0034681A"/>
    <w:rsid w:val="003506B9"/>
    <w:rsid w:val="00350C6C"/>
    <w:rsid w:val="003521FA"/>
    <w:rsid w:val="003530F5"/>
    <w:rsid w:val="003554EE"/>
    <w:rsid w:val="00356617"/>
    <w:rsid w:val="00356A35"/>
    <w:rsid w:val="00357A2B"/>
    <w:rsid w:val="00357DD4"/>
    <w:rsid w:val="00357FAE"/>
    <w:rsid w:val="00360D9A"/>
    <w:rsid w:val="003621B6"/>
    <w:rsid w:val="00362815"/>
    <w:rsid w:val="0036287A"/>
    <w:rsid w:val="00363A0A"/>
    <w:rsid w:val="003659A8"/>
    <w:rsid w:val="00367958"/>
    <w:rsid w:val="00371FD1"/>
    <w:rsid w:val="003737BB"/>
    <w:rsid w:val="003768D5"/>
    <w:rsid w:val="00377053"/>
    <w:rsid w:val="003808E5"/>
    <w:rsid w:val="003831E6"/>
    <w:rsid w:val="00383DA7"/>
    <w:rsid w:val="003860F1"/>
    <w:rsid w:val="00390608"/>
    <w:rsid w:val="00390F51"/>
    <w:rsid w:val="00391EE3"/>
    <w:rsid w:val="00393496"/>
    <w:rsid w:val="00396B2E"/>
    <w:rsid w:val="003974E6"/>
    <w:rsid w:val="003A01FA"/>
    <w:rsid w:val="003A0944"/>
    <w:rsid w:val="003A232D"/>
    <w:rsid w:val="003A2468"/>
    <w:rsid w:val="003A2BA6"/>
    <w:rsid w:val="003A35A8"/>
    <w:rsid w:val="003A51F2"/>
    <w:rsid w:val="003A5695"/>
    <w:rsid w:val="003A5C4C"/>
    <w:rsid w:val="003A5DD2"/>
    <w:rsid w:val="003A7003"/>
    <w:rsid w:val="003A72E8"/>
    <w:rsid w:val="003A768C"/>
    <w:rsid w:val="003A7923"/>
    <w:rsid w:val="003B1668"/>
    <w:rsid w:val="003B1A8B"/>
    <w:rsid w:val="003B2C86"/>
    <w:rsid w:val="003B4268"/>
    <w:rsid w:val="003B4618"/>
    <w:rsid w:val="003B5BDC"/>
    <w:rsid w:val="003B68EE"/>
    <w:rsid w:val="003C4741"/>
    <w:rsid w:val="003D1BB0"/>
    <w:rsid w:val="003D1BD7"/>
    <w:rsid w:val="003D236C"/>
    <w:rsid w:val="003D58A2"/>
    <w:rsid w:val="003D780F"/>
    <w:rsid w:val="003D7C69"/>
    <w:rsid w:val="003D7CC9"/>
    <w:rsid w:val="003D7F24"/>
    <w:rsid w:val="003E1788"/>
    <w:rsid w:val="003E1A28"/>
    <w:rsid w:val="003E2499"/>
    <w:rsid w:val="003E3127"/>
    <w:rsid w:val="003E54DB"/>
    <w:rsid w:val="003E5E56"/>
    <w:rsid w:val="003E7BED"/>
    <w:rsid w:val="003F033E"/>
    <w:rsid w:val="003F2E79"/>
    <w:rsid w:val="003F51F9"/>
    <w:rsid w:val="003F5B80"/>
    <w:rsid w:val="003F665A"/>
    <w:rsid w:val="003F685F"/>
    <w:rsid w:val="004005EB"/>
    <w:rsid w:val="00400FD4"/>
    <w:rsid w:val="0040182D"/>
    <w:rsid w:val="00402C66"/>
    <w:rsid w:val="004031D6"/>
    <w:rsid w:val="00410B4E"/>
    <w:rsid w:val="0041286C"/>
    <w:rsid w:val="00412A5F"/>
    <w:rsid w:val="00412FC7"/>
    <w:rsid w:val="004163F5"/>
    <w:rsid w:val="00421EE3"/>
    <w:rsid w:val="0042381A"/>
    <w:rsid w:val="0042458C"/>
    <w:rsid w:val="0042475B"/>
    <w:rsid w:val="004250C4"/>
    <w:rsid w:val="004252D0"/>
    <w:rsid w:val="004257DC"/>
    <w:rsid w:val="0042679F"/>
    <w:rsid w:val="0043056E"/>
    <w:rsid w:val="00431265"/>
    <w:rsid w:val="004312CB"/>
    <w:rsid w:val="004316BC"/>
    <w:rsid w:val="004324C7"/>
    <w:rsid w:val="00433445"/>
    <w:rsid w:val="004352C3"/>
    <w:rsid w:val="0043609B"/>
    <w:rsid w:val="004360DB"/>
    <w:rsid w:val="00440A4A"/>
    <w:rsid w:val="004410EE"/>
    <w:rsid w:val="00442CE5"/>
    <w:rsid w:val="00443846"/>
    <w:rsid w:val="00445BDD"/>
    <w:rsid w:val="00452320"/>
    <w:rsid w:val="00453F74"/>
    <w:rsid w:val="0045438D"/>
    <w:rsid w:val="00455102"/>
    <w:rsid w:val="00455EBE"/>
    <w:rsid w:val="0045745A"/>
    <w:rsid w:val="00463638"/>
    <w:rsid w:val="00466106"/>
    <w:rsid w:val="00467A27"/>
    <w:rsid w:val="0047011B"/>
    <w:rsid w:val="0047041A"/>
    <w:rsid w:val="00470559"/>
    <w:rsid w:val="004708C4"/>
    <w:rsid w:val="0047204C"/>
    <w:rsid w:val="004727AA"/>
    <w:rsid w:val="00473403"/>
    <w:rsid w:val="00474D94"/>
    <w:rsid w:val="00475198"/>
    <w:rsid w:val="00475D8A"/>
    <w:rsid w:val="00476EBC"/>
    <w:rsid w:val="00480BD0"/>
    <w:rsid w:val="0048239B"/>
    <w:rsid w:val="00482918"/>
    <w:rsid w:val="00482C7F"/>
    <w:rsid w:val="00483412"/>
    <w:rsid w:val="004839C9"/>
    <w:rsid w:val="004859F5"/>
    <w:rsid w:val="00485EC6"/>
    <w:rsid w:val="00487EEF"/>
    <w:rsid w:val="0049156A"/>
    <w:rsid w:val="0049191B"/>
    <w:rsid w:val="004919E2"/>
    <w:rsid w:val="00492F42"/>
    <w:rsid w:val="00495698"/>
    <w:rsid w:val="004A145A"/>
    <w:rsid w:val="004A1AE6"/>
    <w:rsid w:val="004A1BBF"/>
    <w:rsid w:val="004A3AA4"/>
    <w:rsid w:val="004A4F24"/>
    <w:rsid w:val="004B1642"/>
    <w:rsid w:val="004B3020"/>
    <w:rsid w:val="004B34D2"/>
    <w:rsid w:val="004B4610"/>
    <w:rsid w:val="004B4989"/>
    <w:rsid w:val="004B723B"/>
    <w:rsid w:val="004C0E38"/>
    <w:rsid w:val="004C34CB"/>
    <w:rsid w:val="004C4BD3"/>
    <w:rsid w:val="004C68EF"/>
    <w:rsid w:val="004D0462"/>
    <w:rsid w:val="004D28F8"/>
    <w:rsid w:val="004D2B2F"/>
    <w:rsid w:val="004D413E"/>
    <w:rsid w:val="004D4490"/>
    <w:rsid w:val="004D469F"/>
    <w:rsid w:val="004D4919"/>
    <w:rsid w:val="004D5461"/>
    <w:rsid w:val="004D54D5"/>
    <w:rsid w:val="004D591A"/>
    <w:rsid w:val="004D7343"/>
    <w:rsid w:val="004E0212"/>
    <w:rsid w:val="004E03C2"/>
    <w:rsid w:val="004E0A0D"/>
    <w:rsid w:val="004E0EFE"/>
    <w:rsid w:val="004E179E"/>
    <w:rsid w:val="004E20F3"/>
    <w:rsid w:val="004E48DF"/>
    <w:rsid w:val="004E5293"/>
    <w:rsid w:val="004E6816"/>
    <w:rsid w:val="004E7D1A"/>
    <w:rsid w:val="004F0149"/>
    <w:rsid w:val="004F22DA"/>
    <w:rsid w:val="004F2560"/>
    <w:rsid w:val="004F2A9F"/>
    <w:rsid w:val="004F3219"/>
    <w:rsid w:val="004F5F19"/>
    <w:rsid w:val="004F7488"/>
    <w:rsid w:val="00500322"/>
    <w:rsid w:val="005020B9"/>
    <w:rsid w:val="00503606"/>
    <w:rsid w:val="0050445F"/>
    <w:rsid w:val="00506254"/>
    <w:rsid w:val="005064FC"/>
    <w:rsid w:val="00506AB8"/>
    <w:rsid w:val="005112CC"/>
    <w:rsid w:val="005119FC"/>
    <w:rsid w:val="00512008"/>
    <w:rsid w:val="00512183"/>
    <w:rsid w:val="00512AA2"/>
    <w:rsid w:val="00512B91"/>
    <w:rsid w:val="005145BA"/>
    <w:rsid w:val="00515020"/>
    <w:rsid w:val="00515AE5"/>
    <w:rsid w:val="00515D0A"/>
    <w:rsid w:val="00516CF6"/>
    <w:rsid w:val="00517A7D"/>
    <w:rsid w:val="00517CC5"/>
    <w:rsid w:val="00520B90"/>
    <w:rsid w:val="005216EE"/>
    <w:rsid w:val="005217EA"/>
    <w:rsid w:val="00521C50"/>
    <w:rsid w:val="00522D2C"/>
    <w:rsid w:val="00523603"/>
    <w:rsid w:val="0053118B"/>
    <w:rsid w:val="00532801"/>
    <w:rsid w:val="00532C14"/>
    <w:rsid w:val="00532F1F"/>
    <w:rsid w:val="005351A1"/>
    <w:rsid w:val="00540CCC"/>
    <w:rsid w:val="00540F59"/>
    <w:rsid w:val="00543721"/>
    <w:rsid w:val="005437E1"/>
    <w:rsid w:val="00547574"/>
    <w:rsid w:val="005478DC"/>
    <w:rsid w:val="00550E32"/>
    <w:rsid w:val="00550ECC"/>
    <w:rsid w:val="005518DC"/>
    <w:rsid w:val="0055382F"/>
    <w:rsid w:val="00553EE8"/>
    <w:rsid w:val="00555333"/>
    <w:rsid w:val="00555C71"/>
    <w:rsid w:val="005567B5"/>
    <w:rsid w:val="005568E6"/>
    <w:rsid w:val="0055742F"/>
    <w:rsid w:val="005574D0"/>
    <w:rsid w:val="00563128"/>
    <w:rsid w:val="005632A9"/>
    <w:rsid w:val="00563AC3"/>
    <w:rsid w:val="00563BEA"/>
    <w:rsid w:val="005642EA"/>
    <w:rsid w:val="00566265"/>
    <w:rsid w:val="005668CE"/>
    <w:rsid w:val="00566BBC"/>
    <w:rsid w:val="005704AE"/>
    <w:rsid w:val="0057059D"/>
    <w:rsid w:val="0057184B"/>
    <w:rsid w:val="00572E36"/>
    <w:rsid w:val="00573DC0"/>
    <w:rsid w:val="00574863"/>
    <w:rsid w:val="00574E4D"/>
    <w:rsid w:val="00575BD9"/>
    <w:rsid w:val="00575C4A"/>
    <w:rsid w:val="00576481"/>
    <w:rsid w:val="00576BE5"/>
    <w:rsid w:val="00577C33"/>
    <w:rsid w:val="0058087D"/>
    <w:rsid w:val="00580B72"/>
    <w:rsid w:val="00580EBE"/>
    <w:rsid w:val="00581152"/>
    <w:rsid w:val="00584FD6"/>
    <w:rsid w:val="00586219"/>
    <w:rsid w:val="005906E5"/>
    <w:rsid w:val="00592746"/>
    <w:rsid w:val="00593B50"/>
    <w:rsid w:val="0059457D"/>
    <w:rsid w:val="00596E84"/>
    <w:rsid w:val="005A03E3"/>
    <w:rsid w:val="005A1D38"/>
    <w:rsid w:val="005A1D4E"/>
    <w:rsid w:val="005A1F7B"/>
    <w:rsid w:val="005A48B6"/>
    <w:rsid w:val="005A6138"/>
    <w:rsid w:val="005A7A21"/>
    <w:rsid w:val="005B0056"/>
    <w:rsid w:val="005B08C5"/>
    <w:rsid w:val="005B0D78"/>
    <w:rsid w:val="005B234A"/>
    <w:rsid w:val="005B4874"/>
    <w:rsid w:val="005B614C"/>
    <w:rsid w:val="005B73DB"/>
    <w:rsid w:val="005C0548"/>
    <w:rsid w:val="005C3AE6"/>
    <w:rsid w:val="005C4A69"/>
    <w:rsid w:val="005C6C17"/>
    <w:rsid w:val="005C79E7"/>
    <w:rsid w:val="005C7DFE"/>
    <w:rsid w:val="005C7F8D"/>
    <w:rsid w:val="005D2100"/>
    <w:rsid w:val="005D4969"/>
    <w:rsid w:val="005D4FD9"/>
    <w:rsid w:val="005D5CED"/>
    <w:rsid w:val="005D6709"/>
    <w:rsid w:val="005D715A"/>
    <w:rsid w:val="005E164F"/>
    <w:rsid w:val="005E3689"/>
    <w:rsid w:val="005E42A0"/>
    <w:rsid w:val="005E6716"/>
    <w:rsid w:val="005E6758"/>
    <w:rsid w:val="005F2013"/>
    <w:rsid w:val="005F2550"/>
    <w:rsid w:val="005F3529"/>
    <w:rsid w:val="005F53E9"/>
    <w:rsid w:val="005F600F"/>
    <w:rsid w:val="005F64A5"/>
    <w:rsid w:val="005F7569"/>
    <w:rsid w:val="006017F7"/>
    <w:rsid w:val="006033E9"/>
    <w:rsid w:val="00604917"/>
    <w:rsid w:val="00604CE1"/>
    <w:rsid w:val="00606358"/>
    <w:rsid w:val="00607007"/>
    <w:rsid w:val="00607FF3"/>
    <w:rsid w:val="0061014A"/>
    <w:rsid w:val="00610259"/>
    <w:rsid w:val="00610860"/>
    <w:rsid w:val="00611B97"/>
    <w:rsid w:val="00612940"/>
    <w:rsid w:val="00614C2F"/>
    <w:rsid w:val="00615349"/>
    <w:rsid w:val="006156C0"/>
    <w:rsid w:val="006159D0"/>
    <w:rsid w:val="0061697D"/>
    <w:rsid w:val="00616A31"/>
    <w:rsid w:val="00617576"/>
    <w:rsid w:val="0061792B"/>
    <w:rsid w:val="006210E5"/>
    <w:rsid w:val="00621E09"/>
    <w:rsid w:val="0062644A"/>
    <w:rsid w:val="0062667E"/>
    <w:rsid w:val="00626773"/>
    <w:rsid w:val="00626C81"/>
    <w:rsid w:val="0062731B"/>
    <w:rsid w:val="006304A9"/>
    <w:rsid w:val="00632973"/>
    <w:rsid w:val="006336DE"/>
    <w:rsid w:val="00633B48"/>
    <w:rsid w:val="00633FCE"/>
    <w:rsid w:val="00635424"/>
    <w:rsid w:val="006372E3"/>
    <w:rsid w:val="006410BF"/>
    <w:rsid w:val="00641A69"/>
    <w:rsid w:val="006426C0"/>
    <w:rsid w:val="006431C3"/>
    <w:rsid w:val="00643BFE"/>
    <w:rsid w:val="0064798E"/>
    <w:rsid w:val="006501D9"/>
    <w:rsid w:val="00650D0B"/>
    <w:rsid w:val="00650D16"/>
    <w:rsid w:val="00654782"/>
    <w:rsid w:val="006634D0"/>
    <w:rsid w:val="00663574"/>
    <w:rsid w:val="0066621A"/>
    <w:rsid w:val="0066776B"/>
    <w:rsid w:val="00670A02"/>
    <w:rsid w:val="0067284A"/>
    <w:rsid w:val="0067313C"/>
    <w:rsid w:val="00673C95"/>
    <w:rsid w:val="00675D0E"/>
    <w:rsid w:val="00676482"/>
    <w:rsid w:val="00676542"/>
    <w:rsid w:val="00676AB3"/>
    <w:rsid w:val="00680363"/>
    <w:rsid w:val="006821ED"/>
    <w:rsid w:val="00682DCB"/>
    <w:rsid w:val="00683AF3"/>
    <w:rsid w:val="00686E80"/>
    <w:rsid w:val="00687034"/>
    <w:rsid w:val="00687A99"/>
    <w:rsid w:val="0069237C"/>
    <w:rsid w:val="00692ECB"/>
    <w:rsid w:val="006934C2"/>
    <w:rsid w:val="0069608E"/>
    <w:rsid w:val="006963AD"/>
    <w:rsid w:val="00696DCF"/>
    <w:rsid w:val="00697EC9"/>
    <w:rsid w:val="006A13CB"/>
    <w:rsid w:val="006A1C20"/>
    <w:rsid w:val="006A352B"/>
    <w:rsid w:val="006A3CB2"/>
    <w:rsid w:val="006A6443"/>
    <w:rsid w:val="006B0EBE"/>
    <w:rsid w:val="006B18B9"/>
    <w:rsid w:val="006B45D3"/>
    <w:rsid w:val="006B772E"/>
    <w:rsid w:val="006C0607"/>
    <w:rsid w:val="006C07D1"/>
    <w:rsid w:val="006C3DB3"/>
    <w:rsid w:val="006C4639"/>
    <w:rsid w:val="006C7601"/>
    <w:rsid w:val="006C76EA"/>
    <w:rsid w:val="006C7799"/>
    <w:rsid w:val="006D0FC4"/>
    <w:rsid w:val="006D3E19"/>
    <w:rsid w:val="006D7DB5"/>
    <w:rsid w:val="006E0667"/>
    <w:rsid w:val="006E2B40"/>
    <w:rsid w:val="006E3141"/>
    <w:rsid w:val="006E3C84"/>
    <w:rsid w:val="006E6A16"/>
    <w:rsid w:val="006E6B49"/>
    <w:rsid w:val="006E735C"/>
    <w:rsid w:val="006E76AA"/>
    <w:rsid w:val="006F10B7"/>
    <w:rsid w:val="006F773E"/>
    <w:rsid w:val="007011E5"/>
    <w:rsid w:val="0070247B"/>
    <w:rsid w:val="00702B1F"/>
    <w:rsid w:val="00703756"/>
    <w:rsid w:val="00707126"/>
    <w:rsid w:val="00711C2E"/>
    <w:rsid w:val="00712C47"/>
    <w:rsid w:val="00712C7C"/>
    <w:rsid w:val="007141CD"/>
    <w:rsid w:val="00717D65"/>
    <w:rsid w:val="00721DCC"/>
    <w:rsid w:val="00722CD8"/>
    <w:rsid w:val="00723BC6"/>
    <w:rsid w:val="0072443E"/>
    <w:rsid w:val="007253AA"/>
    <w:rsid w:val="007258A7"/>
    <w:rsid w:val="00727AE7"/>
    <w:rsid w:val="00730B1B"/>
    <w:rsid w:val="00731409"/>
    <w:rsid w:val="0073295A"/>
    <w:rsid w:val="00734B4A"/>
    <w:rsid w:val="00736596"/>
    <w:rsid w:val="00736B6C"/>
    <w:rsid w:val="0073773A"/>
    <w:rsid w:val="00740D76"/>
    <w:rsid w:val="00740D85"/>
    <w:rsid w:val="007427DE"/>
    <w:rsid w:val="00742DC5"/>
    <w:rsid w:val="0074300B"/>
    <w:rsid w:val="007436A4"/>
    <w:rsid w:val="0074384B"/>
    <w:rsid w:val="00744E92"/>
    <w:rsid w:val="00745D80"/>
    <w:rsid w:val="00746EFD"/>
    <w:rsid w:val="007474A7"/>
    <w:rsid w:val="007478E4"/>
    <w:rsid w:val="00747EAC"/>
    <w:rsid w:val="00752643"/>
    <w:rsid w:val="00755188"/>
    <w:rsid w:val="00755ED2"/>
    <w:rsid w:val="007601E4"/>
    <w:rsid w:val="00762C00"/>
    <w:rsid w:val="00763628"/>
    <w:rsid w:val="0076511D"/>
    <w:rsid w:val="007659E6"/>
    <w:rsid w:val="00765B55"/>
    <w:rsid w:val="00766C8F"/>
    <w:rsid w:val="00767E72"/>
    <w:rsid w:val="00770D1D"/>
    <w:rsid w:val="00771FD5"/>
    <w:rsid w:val="007743E4"/>
    <w:rsid w:val="00775297"/>
    <w:rsid w:val="00775CF5"/>
    <w:rsid w:val="007762B8"/>
    <w:rsid w:val="00776DBD"/>
    <w:rsid w:val="00780683"/>
    <w:rsid w:val="007814D9"/>
    <w:rsid w:val="007815F7"/>
    <w:rsid w:val="00784AA5"/>
    <w:rsid w:val="0078787D"/>
    <w:rsid w:val="0079232B"/>
    <w:rsid w:val="00792D75"/>
    <w:rsid w:val="00793BC4"/>
    <w:rsid w:val="00795AE7"/>
    <w:rsid w:val="00796372"/>
    <w:rsid w:val="00796A2F"/>
    <w:rsid w:val="007A2282"/>
    <w:rsid w:val="007A37AE"/>
    <w:rsid w:val="007A3DCA"/>
    <w:rsid w:val="007A5300"/>
    <w:rsid w:val="007A6F6E"/>
    <w:rsid w:val="007A7307"/>
    <w:rsid w:val="007B0861"/>
    <w:rsid w:val="007B0DDA"/>
    <w:rsid w:val="007B1027"/>
    <w:rsid w:val="007B3C77"/>
    <w:rsid w:val="007B538E"/>
    <w:rsid w:val="007B60DF"/>
    <w:rsid w:val="007B6126"/>
    <w:rsid w:val="007B70CA"/>
    <w:rsid w:val="007B79CF"/>
    <w:rsid w:val="007C0A5E"/>
    <w:rsid w:val="007C0E85"/>
    <w:rsid w:val="007C1637"/>
    <w:rsid w:val="007C3FC6"/>
    <w:rsid w:val="007C46F3"/>
    <w:rsid w:val="007C5093"/>
    <w:rsid w:val="007D07FC"/>
    <w:rsid w:val="007D28F9"/>
    <w:rsid w:val="007D2BB6"/>
    <w:rsid w:val="007D3C0C"/>
    <w:rsid w:val="007D40AB"/>
    <w:rsid w:val="007D50CB"/>
    <w:rsid w:val="007D567F"/>
    <w:rsid w:val="007D6299"/>
    <w:rsid w:val="007E0044"/>
    <w:rsid w:val="007E044C"/>
    <w:rsid w:val="007E178E"/>
    <w:rsid w:val="007E5244"/>
    <w:rsid w:val="007F08A2"/>
    <w:rsid w:val="007F091F"/>
    <w:rsid w:val="007F1C36"/>
    <w:rsid w:val="007F24C5"/>
    <w:rsid w:val="007F4197"/>
    <w:rsid w:val="007F491A"/>
    <w:rsid w:val="007F505B"/>
    <w:rsid w:val="007F7716"/>
    <w:rsid w:val="007F78B5"/>
    <w:rsid w:val="008006C8"/>
    <w:rsid w:val="00800B9A"/>
    <w:rsid w:val="0080204F"/>
    <w:rsid w:val="00802DF6"/>
    <w:rsid w:val="00803B97"/>
    <w:rsid w:val="00804494"/>
    <w:rsid w:val="008045E6"/>
    <w:rsid w:val="00806ABA"/>
    <w:rsid w:val="00811114"/>
    <w:rsid w:val="008114F5"/>
    <w:rsid w:val="00812403"/>
    <w:rsid w:val="00812D3F"/>
    <w:rsid w:val="0081446E"/>
    <w:rsid w:val="0081520C"/>
    <w:rsid w:val="008167C2"/>
    <w:rsid w:val="008207E0"/>
    <w:rsid w:val="0082100B"/>
    <w:rsid w:val="0082235B"/>
    <w:rsid w:val="00822EBF"/>
    <w:rsid w:val="008255AE"/>
    <w:rsid w:val="00825F7E"/>
    <w:rsid w:val="00830454"/>
    <w:rsid w:val="00834AE7"/>
    <w:rsid w:val="008363AE"/>
    <w:rsid w:val="008377BA"/>
    <w:rsid w:val="00841067"/>
    <w:rsid w:val="008430AB"/>
    <w:rsid w:val="00845BA2"/>
    <w:rsid w:val="008555A9"/>
    <w:rsid w:val="00856440"/>
    <w:rsid w:val="0085709D"/>
    <w:rsid w:val="0086041F"/>
    <w:rsid w:val="00860DB0"/>
    <w:rsid w:val="00861430"/>
    <w:rsid w:val="00861DFD"/>
    <w:rsid w:val="00862889"/>
    <w:rsid w:val="00862BEC"/>
    <w:rsid w:val="00863D1B"/>
    <w:rsid w:val="0086579B"/>
    <w:rsid w:val="008715EC"/>
    <w:rsid w:val="00873956"/>
    <w:rsid w:val="00874CEC"/>
    <w:rsid w:val="008759F8"/>
    <w:rsid w:val="00880166"/>
    <w:rsid w:val="0088082B"/>
    <w:rsid w:val="008855E3"/>
    <w:rsid w:val="00885C0F"/>
    <w:rsid w:val="008862EC"/>
    <w:rsid w:val="008865A6"/>
    <w:rsid w:val="00887AD9"/>
    <w:rsid w:val="008901C8"/>
    <w:rsid w:val="00890245"/>
    <w:rsid w:val="00891D87"/>
    <w:rsid w:val="00893567"/>
    <w:rsid w:val="008939DD"/>
    <w:rsid w:val="00893E9E"/>
    <w:rsid w:val="00897C7B"/>
    <w:rsid w:val="008A2D47"/>
    <w:rsid w:val="008A2E3E"/>
    <w:rsid w:val="008A3805"/>
    <w:rsid w:val="008A4B38"/>
    <w:rsid w:val="008A651A"/>
    <w:rsid w:val="008A66E2"/>
    <w:rsid w:val="008A6EAB"/>
    <w:rsid w:val="008A6FAF"/>
    <w:rsid w:val="008A748E"/>
    <w:rsid w:val="008A799C"/>
    <w:rsid w:val="008B14A1"/>
    <w:rsid w:val="008B2EF0"/>
    <w:rsid w:val="008B321A"/>
    <w:rsid w:val="008B4AE0"/>
    <w:rsid w:val="008B63FD"/>
    <w:rsid w:val="008B6E31"/>
    <w:rsid w:val="008B71DC"/>
    <w:rsid w:val="008C0080"/>
    <w:rsid w:val="008C28AD"/>
    <w:rsid w:val="008C297E"/>
    <w:rsid w:val="008C37E5"/>
    <w:rsid w:val="008C491B"/>
    <w:rsid w:val="008C70D7"/>
    <w:rsid w:val="008D0552"/>
    <w:rsid w:val="008D1892"/>
    <w:rsid w:val="008D18AF"/>
    <w:rsid w:val="008D31EA"/>
    <w:rsid w:val="008D3648"/>
    <w:rsid w:val="008D56F8"/>
    <w:rsid w:val="008D5AF2"/>
    <w:rsid w:val="008D641C"/>
    <w:rsid w:val="008D761D"/>
    <w:rsid w:val="008E04ED"/>
    <w:rsid w:val="008E0599"/>
    <w:rsid w:val="008E2BCF"/>
    <w:rsid w:val="008E31C4"/>
    <w:rsid w:val="008F0B05"/>
    <w:rsid w:val="008F15D3"/>
    <w:rsid w:val="008F17DF"/>
    <w:rsid w:val="008F2CE3"/>
    <w:rsid w:val="008F5005"/>
    <w:rsid w:val="008F5915"/>
    <w:rsid w:val="008F7567"/>
    <w:rsid w:val="008F7FF9"/>
    <w:rsid w:val="00903CB0"/>
    <w:rsid w:val="00904FF5"/>
    <w:rsid w:val="00905698"/>
    <w:rsid w:val="00906309"/>
    <w:rsid w:val="009118EA"/>
    <w:rsid w:val="00912ED6"/>
    <w:rsid w:val="0091331A"/>
    <w:rsid w:val="009139C5"/>
    <w:rsid w:val="00913C70"/>
    <w:rsid w:val="0091438E"/>
    <w:rsid w:val="00915CF4"/>
    <w:rsid w:val="0092325E"/>
    <w:rsid w:val="0092369F"/>
    <w:rsid w:val="00926243"/>
    <w:rsid w:val="00930059"/>
    <w:rsid w:val="00930240"/>
    <w:rsid w:val="0093224A"/>
    <w:rsid w:val="00932ABE"/>
    <w:rsid w:val="0093363D"/>
    <w:rsid w:val="00936592"/>
    <w:rsid w:val="0094058A"/>
    <w:rsid w:val="00941220"/>
    <w:rsid w:val="009440E9"/>
    <w:rsid w:val="009503AF"/>
    <w:rsid w:val="009517E4"/>
    <w:rsid w:val="00953D48"/>
    <w:rsid w:val="00954BC6"/>
    <w:rsid w:val="00956852"/>
    <w:rsid w:val="00957737"/>
    <w:rsid w:val="00960098"/>
    <w:rsid w:val="00960272"/>
    <w:rsid w:val="009602FC"/>
    <w:rsid w:val="0096075F"/>
    <w:rsid w:val="009628FF"/>
    <w:rsid w:val="009639AF"/>
    <w:rsid w:val="00964355"/>
    <w:rsid w:val="00965015"/>
    <w:rsid w:val="00965974"/>
    <w:rsid w:val="00966C28"/>
    <w:rsid w:val="0096779F"/>
    <w:rsid w:val="00970B93"/>
    <w:rsid w:val="00970E26"/>
    <w:rsid w:val="00971593"/>
    <w:rsid w:val="0097318B"/>
    <w:rsid w:val="00973B79"/>
    <w:rsid w:val="009746FB"/>
    <w:rsid w:val="00980344"/>
    <w:rsid w:val="00980385"/>
    <w:rsid w:val="009809C7"/>
    <w:rsid w:val="00982D8E"/>
    <w:rsid w:val="00985006"/>
    <w:rsid w:val="00985669"/>
    <w:rsid w:val="00985FE0"/>
    <w:rsid w:val="00986537"/>
    <w:rsid w:val="009900F2"/>
    <w:rsid w:val="00991BFF"/>
    <w:rsid w:val="00992F3C"/>
    <w:rsid w:val="00994ADF"/>
    <w:rsid w:val="00994DD5"/>
    <w:rsid w:val="00994EB6"/>
    <w:rsid w:val="00995049"/>
    <w:rsid w:val="00996A61"/>
    <w:rsid w:val="009A0E89"/>
    <w:rsid w:val="009A1595"/>
    <w:rsid w:val="009A3913"/>
    <w:rsid w:val="009A50B7"/>
    <w:rsid w:val="009A53E1"/>
    <w:rsid w:val="009A613B"/>
    <w:rsid w:val="009A6452"/>
    <w:rsid w:val="009A6825"/>
    <w:rsid w:val="009A70C1"/>
    <w:rsid w:val="009A7185"/>
    <w:rsid w:val="009B4263"/>
    <w:rsid w:val="009B51ED"/>
    <w:rsid w:val="009C0906"/>
    <w:rsid w:val="009C1AC2"/>
    <w:rsid w:val="009C1BF1"/>
    <w:rsid w:val="009C3DCC"/>
    <w:rsid w:val="009C7504"/>
    <w:rsid w:val="009C7727"/>
    <w:rsid w:val="009C7917"/>
    <w:rsid w:val="009D04DE"/>
    <w:rsid w:val="009D0D91"/>
    <w:rsid w:val="009D2B52"/>
    <w:rsid w:val="009D2CDD"/>
    <w:rsid w:val="009D3B0D"/>
    <w:rsid w:val="009D3DC7"/>
    <w:rsid w:val="009D58C0"/>
    <w:rsid w:val="009D5B21"/>
    <w:rsid w:val="009D624C"/>
    <w:rsid w:val="009D6D85"/>
    <w:rsid w:val="009D719E"/>
    <w:rsid w:val="009E0E0A"/>
    <w:rsid w:val="009E2D11"/>
    <w:rsid w:val="009E32B0"/>
    <w:rsid w:val="009E51F2"/>
    <w:rsid w:val="009E5EE1"/>
    <w:rsid w:val="009F33E8"/>
    <w:rsid w:val="009F567B"/>
    <w:rsid w:val="009F5897"/>
    <w:rsid w:val="00A0122F"/>
    <w:rsid w:val="00A0146A"/>
    <w:rsid w:val="00A01C42"/>
    <w:rsid w:val="00A01C4F"/>
    <w:rsid w:val="00A04BC9"/>
    <w:rsid w:val="00A06C3C"/>
    <w:rsid w:val="00A0722D"/>
    <w:rsid w:val="00A07577"/>
    <w:rsid w:val="00A07ABA"/>
    <w:rsid w:val="00A07AE4"/>
    <w:rsid w:val="00A1099D"/>
    <w:rsid w:val="00A111C0"/>
    <w:rsid w:val="00A11C8F"/>
    <w:rsid w:val="00A11D90"/>
    <w:rsid w:val="00A11FAA"/>
    <w:rsid w:val="00A12307"/>
    <w:rsid w:val="00A13513"/>
    <w:rsid w:val="00A15689"/>
    <w:rsid w:val="00A15A30"/>
    <w:rsid w:val="00A15DB0"/>
    <w:rsid w:val="00A22DD9"/>
    <w:rsid w:val="00A244F9"/>
    <w:rsid w:val="00A245E6"/>
    <w:rsid w:val="00A24678"/>
    <w:rsid w:val="00A24BF5"/>
    <w:rsid w:val="00A276A0"/>
    <w:rsid w:val="00A27E45"/>
    <w:rsid w:val="00A3228F"/>
    <w:rsid w:val="00A34233"/>
    <w:rsid w:val="00A34ADF"/>
    <w:rsid w:val="00A359B4"/>
    <w:rsid w:val="00A40778"/>
    <w:rsid w:val="00A409E7"/>
    <w:rsid w:val="00A411BE"/>
    <w:rsid w:val="00A419A0"/>
    <w:rsid w:val="00A51505"/>
    <w:rsid w:val="00A5194C"/>
    <w:rsid w:val="00A51F42"/>
    <w:rsid w:val="00A52374"/>
    <w:rsid w:val="00A53CD9"/>
    <w:rsid w:val="00A53F2C"/>
    <w:rsid w:val="00A540BB"/>
    <w:rsid w:val="00A54D71"/>
    <w:rsid w:val="00A5614D"/>
    <w:rsid w:val="00A5762B"/>
    <w:rsid w:val="00A57BBF"/>
    <w:rsid w:val="00A6083A"/>
    <w:rsid w:val="00A60AA6"/>
    <w:rsid w:val="00A67791"/>
    <w:rsid w:val="00A71273"/>
    <w:rsid w:val="00A71FA1"/>
    <w:rsid w:val="00A72D30"/>
    <w:rsid w:val="00A73C6F"/>
    <w:rsid w:val="00A80879"/>
    <w:rsid w:val="00A80956"/>
    <w:rsid w:val="00A81175"/>
    <w:rsid w:val="00A83337"/>
    <w:rsid w:val="00A84107"/>
    <w:rsid w:val="00A84FD7"/>
    <w:rsid w:val="00A85E05"/>
    <w:rsid w:val="00A86C64"/>
    <w:rsid w:val="00A9172F"/>
    <w:rsid w:val="00A94112"/>
    <w:rsid w:val="00A94220"/>
    <w:rsid w:val="00A94B1C"/>
    <w:rsid w:val="00A9548B"/>
    <w:rsid w:val="00AA01F1"/>
    <w:rsid w:val="00AA1384"/>
    <w:rsid w:val="00AA20FF"/>
    <w:rsid w:val="00AA62B0"/>
    <w:rsid w:val="00AB0A80"/>
    <w:rsid w:val="00AB0CB8"/>
    <w:rsid w:val="00AB1097"/>
    <w:rsid w:val="00AB3519"/>
    <w:rsid w:val="00AB62DB"/>
    <w:rsid w:val="00AB64EA"/>
    <w:rsid w:val="00AB66F6"/>
    <w:rsid w:val="00AB6A0B"/>
    <w:rsid w:val="00AB6DF7"/>
    <w:rsid w:val="00AC1DCA"/>
    <w:rsid w:val="00AC2BC0"/>
    <w:rsid w:val="00AC3C8E"/>
    <w:rsid w:val="00AC4134"/>
    <w:rsid w:val="00AC61BD"/>
    <w:rsid w:val="00AC638F"/>
    <w:rsid w:val="00AC692E"/>
    <w:rsid w:val="00AC7B8E"/>
    <w:rsid w:val="00AC7BF0"/>
    <w:rsid w:val="00AD1775"/>
    <w:rsid w:val="00AD21CE"/>
    <w:rsid w:val="00AD44E8"/>
    <w:rsid w:val="00AD7F98"/>
    <w:rsid w:val="00AE0C7D"/>
    <w:rsid w:val="00AE3171"/>
    <w:rsid w:val="00AE32D0"/>
    <w:rsid w:val="00AE463C"/>
    <w:rsid w:val="00AE4C6C"/>
    <w:rsid w:val="00AE5C66"/>
    <w:rsid w:val="00AE70F9"/>
    <w:rsid w:val="00AE7BD8"/>
    <w:rsid w:val="00AF149A"/>
    <w:rsid w:val="00AF3C8F"/>
    <w:rsid w:val="00AF50B1"/>
    <w:rsid w:val="00AF6216"/>
    <w:rsid w:val="00AF75A4"/>
    <w:rsid w:val="00B00973"/>
    <w:rsid w:val="00B01911"/>
    <w:rsid w:val="00B02931"/>
    <w:rsid w:val="00B03695"/>
    <w:rsid w:val="00B04177"/>
    <w:rsid w:val="00B05028"/>
    <w:rsid w:val="00B052E7"/>
    <w:rsid w:val="00B05A6D"/>
    <w:rsid w:val="00B06CCB"/>
    <w:rsid w:val="00B070F7"/>
    <w:rsid w:val="00B1012E"/>
    <w:rsid w:val="00B1035D"/>
    <w:rsid w:val="00B10963"/>
    <w:rsid w:val="00B110B5"/>
    <w:rsid w:val="00B11750"/>
    <w:rsid w:val="00B11C54"/>
    <w:rsid w:val="00B1494B"/>
    <w:rsid w:val="00B154A5"/>
    <w:rsid w:val="00B15EAB"/>
    <w:rsid w:val="00B168D3"/>
    <w:rsid w:val="00B16A2B"/>
    <w:rsid w:val="00B20BE9"/>
    <w:rsid w:val="00B223F1"/>
    <w:rsid w:val="00B26053"/>
    <w:rsid w:val="00B264A4"/>
    <w:rsid w:val="00B3161D"/>
    <w:rsid w:val="00B350A7"/>
    <w:rsid w:val="00B351CB"/>
    <w:rsid w:val="00B3642A"/>
    <w:rsid w:val="00B402F6"/>
    <w:rsid w:val="00B41FCA"/>
    <w:rsid w:val="00B42C82"/>
    <w:rsid w:val="00B42CB9"/>
    <w:rsid w:val="00B43503"/>
    <w:rsid w:val="00B43A9B"/>
    <w:rsid w:val="00B43ED0"/>
    <w:rsid w:val="00B46B84"/>
    <w:rsid w:val="00B50947"/>
    <w:rsid w:val="00B52FC7"/>
    <w:rsid w:val="00B5320F"/>
    <w:rsid w:val="00B53791"/>
    <w:rsid w:val="00B53A05"/>
    <w:rsid w:val="00B53D50"/>
    <w:rsid w:val="00B549E3"/>
    <w:rsid w:val="00B554A6"/>
    <w:rsid w:val="00B62D3A"/>
    <w:rsid w:val="00B64718"/>
    <w:rsid w:val="00B65D04"/>
    <w:rsid w:val="00B67370"/>
    <w:rsid w:val="00B70669"/>
    <w:rsid w:val="00B71BFC"/>
    <w:rsid w:val="00B7331D"/>
    <w:rsid w:val="00B741DE"/>
    <w:rsid w:val="00B7538D"/>
    <w:rsid w:val="00B75A4A"/>
    <w:rsid w:val="00B770C5"/>
    <w:rsid w:val="00B77202"/>
    <w:rsid w:val="00B82A3B"/>
    <w:rsid w:val="00B85E40"/>
    <w:rsid w:val="00B86101"/>
    <w:rsid w:val="00B874A2"/>
    <w:rsid w:val="00B87C24"/>
    <w:rsid w:val="00B91183"/>
    <w:rsid w:val="00B93B9D"/>
    <w:rsid w:val="00B94693"/>
    <w:rsid w:val="00B94B35"/>
    <w:rsid w:val="00B95EF4"/>
    <w:rsid w:val="00B968A8"/>
    <w:rsid w:val="00BA0C9E"/>
    <w:rsid w:val="00BA1223"/>
    <w:rsid w:val="00BA1497"/>
    <w:rsid w:val="00BA2787"/>
    <w:rsid w:val="00BA69F7"/>
    <w:rsid w:val="00BA7AA1"/>
    <w:rsid w:val="00BB0588"/>
    <w:rsid w:val="00BB1135"/>
    <w:rsid w:val="00BB3A8E"/>
    <w:rsid w:val="00BB3E88"/>
    <w:rsid w:val="00BB6662"/>
    <w:rsid w:val="00BB6C01"/>
    <w:rsid w:val="00BB747F"/>
    <w:rsid w:val="00BB7BD0"/>
    <w:rsid w:val="00BB7FFC"/>
    <w:rsid w:val="00BC0602"/>
    <w:rsid w:val="00BC0BBC"/>
    <w:rsid w:val="00BC303D"/>
    <w:rsid w:val="00BC676E"/>
    <w:rsid w:val="00BC7C00"/>
    <w:rsid w:val="00BD1574"/>
    <w:rsid w:val="00BD24CC"/>
    <w:rsid w:val="00BD4308"/>
    <w:rsid w:val="00BD4EFA"/>
    <w:rsid w:val="00BD4FF2"/>
    <w:rsid w:val="00BD6164"/>
    <w:rsid w:val="00BD7467"/>
    <w:rsid w:val="00BD7AE4"/>
    <w:rsid w:val="00BE0366"/>
    <w:rsid w:val="00BE2143"/>
    <w:rsid w:val="00BE21F9"/>
    <w:rsid w:val="00BE456D"/>
    <w:rsid w:val="00BE69E4"/>
    <w:rsid w:val="00BE79AC"/>
    <w:rsid w:val="00BE7FD1"/>
    <w:rsid w:val="00BF0A96"/>
    <w:rsid w:val="00BF4365"/>
    <w:rsid w:val="00BF58AC"/>
    <w:rsid w:val="00BF5A6D"/>
    <w:rsid w:val="00C00080"/>
    <w:rsid w:val="00C002CE"/>
    <w:rsid w:val="00C012B7"/>
    <w:rsid w:val="00C01373"/>
    <w:rsid w:val="00C021DA"/>
    <w:rsid w:val="00C02C93"/>
    <w:rsid w:val="00C0342A"/>
    <w:rsid w:val="00C03C45"/>
    <w:rsid w:val="00C04F17"/>
    <w:rsid w:val="00C050E2"/>
    <w:rsid w:val="00C05BE4"/>
    <w:rsid w:val="00C06001"/>
    <w:rsid w:val="00C071F4"/>
    <w:rsid w:val="00C0728E"/>
    <w:rsid w:val="00C11060"/>
    <w:rsid w:val="00C110BA"/>
    <w:rsid w:val="00C11341"/>
    <w:rsid w:val="00C135C8"/>
    <w:rsid w:val="00C149A6"/>
    <w:rsid w:val="00C165B4"/>
    <w:rsid w:val="00C17932"/>
    <w:rsid w:val="00C20338"/>
    <w:rsid w:val="00C205BF"/>
    <w:rsid w:val="00C20A94"/>
    <w:rsid w:val="00C22D40"/>
    <w:rsid w:val="00C23D8B"/>
    <w:rsid w:val="00C2572E"/>
    <w:rsid w:val="00C258A6"/>
    <w:rsid w:val="00C3060B"/>
    <w:rsid w:val="00C3124E"/>
    <w:rsid w:val="00C32D1B"/>
    <w:rsid w:val="00C34266"/>
    <w:rsid w:val="00C36063"/>
    <w:rsid w:val="00C407F4"/>
    <w:rsid w:val="00C40800"/>
    <w:rsid w:val="00C40BCE"/>
    <w:rsid w:val="00C41914"/>
    <w:rsid w:val="00C42114"/>
    <w:rsid w:val="00C428AD"/>
    <w:rsid w:val="00C44BBD"/>
    <w:rsid w:val="00C45335"/>
    <w:rsid w:val="00C45735"/>
    <w:rsid w:val="00C465B1"/>
    <w:rsid w:val="00C46638"/>
    <w:rsid w:val="00C47CA7"/>
    <w:rsid w:val="00C50C1B"/>
    <w:rsid w:val="00C516A6"/>
    <w:rsid w:val="00C52AEA"/>
    <w:rsid w:val="00C531E1"/>
    <w:rsid w:val="00C552B1"/>
    <w:rsid w:val="00C55BD1"/>
    <w:rsid w:val="00C5697C"/>
    <w:rsid w:val="00C60A61"/>
    <w:rsid w:val="00C61246"/>
    <w:rsid w:val="00C6411E"/>
    <w:rsid w:val="00C64356"/>
    <w:rsid w:val="00C65A97"/>
    <w:rsid w:val="00C67FF2"/>
    <w:rsid w:val="00C72053"/>
    <w:rsid w:val="00C721FF"/>
    <w:rsid w:val="00C73267"/>
    <w:rsid w:val="00C732E8"/>
    <w:rsid w:val="00C75CF5"/>
    <w:rsid w:val="00C75FF3"/>
    <w:rsid w:val="00C81AF6"/>
    <w:rsid w:val="00C81F3A"/>
    <w:rsid w:val="00C824D2"/>
    <w:rsid w:val="00C8283F"/>
    <w:rsid w:val="00C83AA3"/>
    <w:rsid w:val="00C851A8"/>
    <w:rsid w:val="00C86BD4"/>
    <w:rsid w:val="00C87180"/>
    <w:rsid w:val="00C9030D"/>
    <w:rsid w:val="00C90D83"/>
    <w:rsid w:val="00C920BC"/>
    <w:rsid w:val="00C92CA0"/>
    <w:rsid w:val="00C93983"/>
    <w:rsid w:val="00C9552D"/>
    <w:rsid w:val="00C9568F"/>
    <w:rsid w:val="00CA00B0"/>
    <w:rsid w:val="00CA0B36"/>
    <w:rsid w:val="00CA17E1"/>
    <w:rsid w:val="00CA3A92"/>
    <w:rsid w:val="00CA491A"/>
    <w:rsid w:val="00CA6579"/>
    <w:rsid w:val="00CA71F4"/>
    <w:rsid w:val="00CB1FCA"/>
    <w:rsid w:val="00CB2675"/>
    <w:rsid w:val="00CB5123"/>
    <w:rsid w:val="00CB6723"/>
    <w:rsid w:val="00CB7726"/>
    <w:rsid w:val="00CB788D"/>
    <w:rsid w:val="00CC1ADA"/>
    <w:rsid w:val="00CC2AA8"/>
    <w:rsid w:val="00CC3845"/>
    <w:rsid w:val="00CC49EC"/>
    <w:rsid w:val="00CC4B4E"/>
    <w:rsid w:val="00CC51E1"/>
    <w:rsid w:val="00CC622E"/>
    <w:rsid w:val="00CD156C"/>
    <w:rsid w:val="00CD1ECF"/>
    <w:rsid w:val="00CD2647"/>
    <w:rsid w:val="00CD3E36"/>
    <w:rsid w:val="00CD4163"/>
    <w:rsid w:val="00CD65EA"/>
    <w:rsid w:val="00CD6BCA"/>
    <w:rsid w:val="00CD6D6F"/>
    <w:rsid w:val="00CD73CC"/>
    <w:rsid w:val="00CE2CAF"/>
    <w:rsid w:val="00CE3284"/>
    <w:rsid w:val="00CE43D2"/>
    <w:rsid w:val="00CF26EB"/>
    <w:rsid w:val="00CF2911"/>
    <w:rsid w:val="00CF4536"/>
    <w:rsid w:val="00CF6DA6"/>
    <w:rsid w:val="00D00F02"/>
    <w:rsid w:val="00D0128A"/>
    <w:rsid w:val="00D01DAC"/>
    <w:rsid w:val="00D04474"/>
    <w:rsid w:val="00D05087"/>
    <w:rsid w:val="00D053EC"/>
    <w:rsid w:val="00D05B90"/>
    <w:rsid w:val="00D05F23"/>
    <w:rsid w:val="00D06597"/>
    <w:rsid w:val="00D077B9"/>
    <w:rsid w:val="00D11071"/>
    <w:rsid w:val="00D12944"/>
    <w:rsid w:val="00D133E1"/>
    <w:rsid w:val="00D13B6C"/>
    <w:rsid w:val="00D14E95"/>
    <w:rsid w:val="00D163E8"/>
    <w:rsid w:val="00D179EC"/>
    <w:rsid w:val="00D17C7F"/>
    <w:rsid w:val="00D200E5"/>
    <w:rsid w:val="00D20B5C"/>
    <w:rsid w:val="00D22C73"/>
    <w:rsid w:val="00D238C6"/>
    <w:rsid w:val="00D23D95"/>
    <w:rsid w:val="00D2497E"/>
    <w:rsid w:val="00D32590"/>
    <w:rsid w:val="00D32713"/>
    <w:rsid w:val="00D3278F"/>
    <w:rsid w:val="00D337A5"/>
    <w:rsid w:val="00D34069"/>
    <w:rsid w:val="00D342E1"/>
    <w:rsid w:val="00D35C9B"/>
    <w:rsid w:val="00D36785"/>
    <w:rsid w:val="00D40CE4"/>
    <w:rsid w:val="00D4110F"/>
    <w:rsid w:val="00D42813"/>
    <w:rsid w:val="00D4539B"/>
    <w:rsid w:val="00D46885"/>
    <w:rsid w:val="00D472F1"/>
    <w:rsid w:val="00D47740"/>
    <w:rsid w:val="00D502C6"/>
    <w:rsid w:val="00D577FF"/>
    <w:rsid w:val="00D609FB"/>
    <w:rsid w:val="00D61037"/>
    <w:rsid w:val="00D62865"/>
    <w:rsid w:val="00D62941"/>
    <w:rsid w:val="00D62CF2"/>
    <w:rsid w:val="00D64676"/>
    <w:rsid w:val="00D66540"/>
    <w:rsid w:val="00D67582"/>
    <w:rsid w:val="00D702AC"/>
    <w:rsid w:val="00D7049D"/>
    <w:rsid w:val="00D70A6C"/>
    <w:rsid w:val="00D70F72"/>
    <w:rsid w:val="00D71A28"/>
    <w:rsid w:val="00D71CE1"/>
    <w:rsid w:val="00D71DDD"/>
    <w:rsid w:val="00D72F75"/>
    <w:rsid w:val="00D74554"/>
    <w:rsid w:val="00D74A80"/>
    <w:rsid w:val="00D7552D"/>
    <w:rsid w:val="00D7561A"/>
    <w:rsid w:val="00D806D9"/>
    <w:rsid w:val="00D810EC"/>
    <w:rsid w:val="00D817D4"/>
    <w:rsid w:val="00D83051"/>
    <w:rsid w:val="00D85102"/>
    <w:rsid w:val="00D87778"/>
    <w:rsid w:val="00D911DC"/>
    <w:rsid w:val="00D915C7"/>
    <w:rsid w:val="00D94956"/>
    <w:rsid w:val="00D95678"/>
    <w:rsid w:val="00D968E3"/>
    <w:rsid w:val="00D97876"/>
    <w:rsid w:val="00D979F8"/>
    <w:rsid w:val="00DA044C"/>
    <w:rsid w:val="00DA07A1"/>
    <w:rsid w:val="00DA2703"/>
    <w:rsid w:val="00DA439C"/>
    <w:rsid w:val="00DA4A25"/>
    <w:rsid w:val="00DA5EE7"/>
    <w:rsid w:val="00DA6863"/>
    <w:rsid w:val="00DB43FC"/>
    <w:rsid w:val="00DB4E87"/>
    <w:rsid w:val="00DB4FDD"/>
    <w:rsid w:val="00DB62B5"/>
    <w:rsid w:val="00DC0438"/>
    <w:rsid w:val="00DC0B0E"/>
    <w:rsid w:val="00DC1C6B"/>
    <w:rsid w:val="00DC1FE8"/>
    <w:rsid w:val="00DC3C44"/>
    <w:rsid w:val="00DC3CBD"/>
    <w:rsid w:val="00DC3E45"/>
    <w:rsid w:val="00DC4D39"/>
    <w:rsid w:val="00DC758F"/>
    <w:rsid w:val="00DC7D94"/>
    <w:rsid w:val="00DD1394"/>
    <w:rsid w:val="00DD1763"/>
    <w:rsid w:val="00DD2E1B"/>
    <w:rsid w:val="00DD4117"/>
    <w:rsid w:val="00DD55C4"/>
    <w:rsid w:val="00DE096D"/>
    <w:rsid w:val="00DE0B4F"/>
    <w:rsid w:val="00DE51FA"/>
    <w:rsid w:val="00DE532B"/>
    <w:rsid w:val="00DE6B27"/>
    <w:rsid w:val="00DF26E0"/>
    <w:rsid w:val="00DF2A0B"/>
    <w:rsid w:val="00DF2E26"/>
    <w:rsid w:val="00DF3494"/>
    <w:rsid w:val="00DF4A87"/>
    <w:rsid w:val="00DF4E24"/>
    <w:rsid w:val="00DF5397"/>
    <w:rsid w:val="00DF637C"/>
    <w:rsid w:val="00DF7979"/>
    <w:rsid w:val="00E023E0"/>
    <w:rsid w:val="00E02D82"/>
    <w:rsid w:val="00E05795"/>
    <w:rsid w:val="00E05AE1"/>
    <w:rsid w:val="00E05C73"/>
    <w:rsid w:val="00E07736"/>
    <w:rsid w:val="00E10055"/>
    <w:rsid w:val="00E1006F"/>
    <w:rsid w:val="00E1091F"/>
    <w:rsid w:val="00E12287"/>
    <w:rsid w:val="00E13218"/>
    <w:rsid w:val="00E15130"/>
    <w:rsid w:val="00E171F2"/>
    <w:rsid w:val="00E225F1"/>
    <w:rsid w:val="00E235AF"/>
    <w:rsid w:val="00E251B4"/>
    <w:rsid w:val="00E253BE"/>
    <w:rsid w:val="00E2592B"/>
    <w:rsid w:val="00E2607B"/>
    <w:rsid w:val="00E27409"/>
    <w:rsid w:val="00E27A89"/>
    <w:rsid w:val="00E308DE"/>
    <w:rsid w:val="00E331A2"/>
    <w:rsid w:val="00E34722"/>
    <w:rsid w:val="00E4022D"/>
    <w:rsid w:val="00E4121C"/>
    <w:rsid w:val="00E42787"/>
    <w:rsid w:val="00E42F80"/>
    <w:rsid w:val="00E45192"/>
    <w:rsid w:val="00E45AE2"/>
    <w:rsid w:val="00E4714E"/>
    <w:rsid w:val="00E51A9A"/>
    <w:rsid w:val="00E51B47"/>
    <w:rsid w:val="00E5207F"/>
    <w:rsid w:val="00E52163"/>
    <w:rsid w:val="00E540C1"/>
    <w:rsid w:val="00E54DBC"/>
    <w:rsid w:val="00E55642"/>
    <w:rsid w:val="00E571F6"/>
    <w:rsid w:val="00E578AF"/>
    <w:rsid w:val="00E57987"/>
    <w:rsid w:val="00E64EF2"/>
    <w:rsid w:val="00E70C9B"/>
    <w:rsid w:val="00E73A6A"/>
    <w:rsid w:val="00E74322"/>
    <w:rsid w:val="00E74DEC"/>
    <w:rsid w:val="00E75FD4"/>
    <w:rsid w:val="00E77413"/>
    <w:rsid w:val="00E7745D"/>
    <w:rsid w:val="00E80774"/>
    <w:rsid w:val="00E8126D"/>
    <w:rsid w:val="00E845F4"/>
    <w:rsid w:val="00E850DD"/>
    <w:rsid w:val="00E8642B"/>
    <w:rsid w:val="00E87AC0"/>
    <w:rsid w:val="00E91305"/>
    <w:rsid w:val="00E923FA"/>
    <w:rsid w:val="00E93207"/>
    <w:rsid w:val="00E936F5"/>
    <w:rsid w:val="00E93B4B"/>
    <w:rsid w:val="00E94062"/>
    <w:rsid w:val="00E949B8"/>
    <w:rsid w:val="00E94C4C"/>
    <w:rsid w:val="00E9634C"/>
    <w:rsid w:val="00EA19B8"/>
    <w:rsid w:val="00EA1F51"/>
    <w:rsid w:val="00EA340D"/>
    <w:rsid w:val="00EA451A"/>
    <w:rsid w:val="00EA481C"/>
    <w:rsid w:val="00EA5E84"/>
    <w:rsid w:val="00EA6B7B"/>
    <w:rsid w:val="00EA7039"/>
    <w:rsid w:val="00EB3C32"/>
    <w:rsid w:val="00EB4452"/>
    <w:rsid w:val="00EB6BF2"/>
    <w:rsid w:val="00EC1C4E"/>
    <w:rsid w:val="00EC4271"/>
    <w:rsid w:val="00EC536F"/>
    <w:rsid w:val="00EC57B0"/>
    <w:rsid w:val="00EC6C3E"/>
    <w:rsid w:val="00EC7B44"/>
    <w:rsid w:val="00EC7C20"/>
    <w:rsid w:val="00ED07E5"/>
    <w:rsid w:val="00ED1BCD"/>
    <w:rsid w:val="00ED7563"/>
    <w:rsid w:val="00EE4496"/>
    <w:rsid w:val="00EE50AE"/>
    <w:rsid w:val="00EE55F4"/>
    <w:rsid w:val="00EE6905"/>
    <w:rsid w:val="00EE7BEF"/>
    <w:rsid w:val="00EF0D17"/>
    <w:rsid w:val="00EF10BE"/>
    <w:rsid w:val="00EF32E8"/>
    <w:rsid w:val="00EF4E54"/>
    <w:rsid w:val="00EF5255"/>
    <w:rsid w:val="00EF597C"/>
    <w:rsid w:val="00EF634C"/>
    <w:rsid w:val="00EF6EB7"/>
    <w:rsid w:val="00F00228"/>
    <w:rsid w:val="00F01645"/>
    <w:rsid w:val="00F01816"/>
    <w:rsid w:val="00F026BA"/>
    <w:rsid w:val="00F0375E"/>
    <w:rsid w:val="00F03B4A"/>
    <w:rsid w:val="00F03F43"/>
    <w:rsid w:val="00F05708"/>
    <w:rsid w:val="00F06B6E"/>
    <w:rsid w:val="00F128BD"/>
    <w:rsid w:val="00F14547"/>
    <w:rsid w:val="00F15909"/>
    <w:rsid w:val="00F15D71"/>
    <w:rsid w:val="00F15EC2"/>
    <w:rsid w:val="00F17EDB"/>
    <w:rsid w:val="00F232FE"/>
    <w:rsid w:val="00F2538C"/>
    <w:rsid w:val="00F277BE"/>
    <w:rsid w:val="00F308F5"/>
    <w:rsid w:val="00F30B5D"/>
    <w:rsid w:val="00F3103E"/>
    <w:rsid w:val="00F31F1B"/>
    <w:rsid w:val="00F32729"/>
    <w:rsid w:val="00F34020"/>
    <w:rsid w:val="00F34052"/>
    <w:rsid w:val="00F354A7"/>
    <w:rsid w:val="00F3557D"/>
    <w:rsid w:val="00F35BD2"/>
    <w:rsid w:val="00F360F5"/>
    <w:rsid w:val="00F361E4"/>
    <w:rsid w:val="00F36D90"/>
    <w:rsid w:val="00F45677"/>
    <w:rsid w:val="00F46A49"/>
    <w:rsid w:val="00F46B36"/>
    <w:rsid w:val="00F475E6"/>
    <w:rsid w:val="00F47626"/>
    <w:rsid w:val="00F5014B"/>
    <w:rsid w:val="00F5563B"/>
    <w:rsid w:val="00F66935"/>
    <w:rsid w:val="00F6710A"/>
    <w:rsid w:val="00F67470"/>
    <w:rsid w:val="00F718D1"/>
    <w:rsid w:val="00F721A4"/>
    <w:rsid w:val="00F72DB9"/>
    <w:rsid w:val="00F7698F"/>
    <w:rsid w:val="00F77537"/>
    <w:rsid w:val="00F8440A"/>
    <w:rsid w:val="00F850E5"/>
    <w:rsid w:val="00F86400"/>
    <w:rsid w:val="00F86753"/>
    <w:rsid w:val="00F875AF"/>
    <w:rsid w:val="00F878B0"/>
    <w:rsid w:val="00F903CC"/>
    <w:rsid w:val="00F905A9"/>
    <w:rsid w:val="00F916C1"/>
    <w:rsid w:val="00F93337"/>
    <w:rsid w:val="00F93445"/>
    <w:rsid w:val="00F9363B"/>
    <w:rsid w:val="00F93A24"/>
    <w:rsid w:val="00F9419A"/>
    <w:rsid w:val="00F942D3"/>
    <w:rsid w:val="00FA1765"/>
    <w:rsid w:val="00FA233E"/>
    <w:rsid w:val="00FA274A"/>
    <w:rsid w:val="00FA2C72"/>
    <w:rsid w:val="00FA4200"/>
    <w:rsid w:val="00FA641E"/>
    <w:rsid w:val="00FB0745"/>
    <w:rsid w:val="00FB1C77"/>
    <w:rsid w:val="00FB49E5"/>
    <w:rsid w:val="00FB646A"/>
    <w:rsid w:val="00FC2D16"/>
    <w:rsid w:val="00FC4620"/>
    <w:rsid w:val="00FC4C89"/>
    <w:rsid w:val="00FC74F9"/>
    <w:rsid w:val="00FD253E"/>
    <w:rsid w:val="00FD2B26"/>
    <w:rsid w:val="00FD2DA4"/>
    <w:rsid w:val="00FD5204"/>
    <w:rsid w:val="00FD6F6C"/>
    <w:rsid w:val="00FE25D8"/>
    <w:rsid w:val="00FE5124"/>
    <w:rsid w:val="00FE59B5"/>
    <w:rsid w:val="00FE5DFD"/>
    <w:rsid w:val="00FF0BA5"/>
    <w:rsid w:val="00FF1C1F"/>
    <w:rsid w:val="00FF1D09"/>
    <w:rsid w:val="00FF29A7"/>
    <w:rsid w:val="00FF2DDF"/>
    <w:rsid w:val="00FF30DF"/>
    <w:rsid w:val="00FF3538"/>
    <w:rsid w:val="00FF360E"/>
    <w:rsid w:val="00FF684F"/>
    <w:rsid w:val="00FF6929"/>
    <w:rsid w:val="00FF7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Block Text" w:uiPriority="1"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6"/>
    </w:rPr>
  </w:style>
  <w:style w:type="paragraph" w:styleId="Heading1">
    <w:name w:val="heading 1"/>
    <w:basedOn w:val="Normal"/>
    <w:next w:val="Normal"/>
    <w:qFormat/>
    <w:pPr>
      <w:keepNext/>
      <w:spacing w:line="240" w:lineRule="auto"/>
      <w:jc w:val="center"/>
      <w:outlineLvl w:val="0"/>
    </w:pPr>
    <w:rPr>
      <w:u w:val="single"/>
    </w:rPr>
  </w:style>
  <w:style w:type="paragraph" w:styleId="Heading2">
    <w:name w:val="heading 2"/>
    <w:basedOn w:val="Normal"/>
    <w:next w:val="Normal"/>
    <w:qFormat/>
    <w:pPr>
      <w:keepNext/>
      <w:ind w:left="720"/>
      <w:jc w:val="center"/>
      <w:outlineLvl w:val="1"/>
    </w:pPr>
    <w:rPr>
      <w:u w:val="single"/>
    </w:rPr>
  </w:style>
  <w:style w:type="paragraph" w:styleId="Heading3">
    <w:name w:val="heading 3"/>
    <w:basedOn w:val="Normal"/>
    <w:next w:val="Normal"/>
    <w:link w:val="Heading3Char"/>
    <w:semiHidden/>
    <w:unhideWhenUsed/>
    <w:qFormat/>
    <w:rsid w:val="007A3DCA"/>
    <w:pPr>
      <w:keepNext/>
      <w:spacing w:before="240" w:after="60"/>
      <w:outlineLvl w:val="2"/>
    </w:pPr>
    <w:rPr>
      <w:rFonts w:ascii="Cambria" w:hAnsi="Cambria"/>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sid w:val="00555C71"/>
    <w:pPr>
      <w:jc w:val="both"/>
    </w:pPr>
    <w:rPr>
      <w:rFonts w:eastAsia="SimSun"/>
    </w:rPr>
  </w:style>
  <w:style w:type="paragraph" w:styleId="Header">
    <w:name w:val="header"/>
    <w:basedOn w:val="Normal"/>
    <w:rsid w:val="007C46F3"/>
    <w:pPr>
      <w:tabs>
        <w:tab w:val="center" w:pos="4320"/>
        <w:tab w:val="right" w:pos="8640"/>
      </w:tabs>
    </w:pPr>
  </w:style>
  <w:style w:type="paragraph" w:styleId="FootnoteText">
    <w:name w:val="footnote text"/>
    <w:aliases w:val="ALTS FOOTNOTE,Footnote Text Char Char,Footnote Text Char Char Char,Footnote Text Char Char1 Char,Footnote Text Char1,Footnote Text Char1 Char,Footnote Text Char1 Char Char Char,Footnote Text Char2 Char,TBG Style,fn,ft,ft Char"/>
    <w:basedOn w:val="Normal"/>
    <w:link w:val="FootnoteTextChar"/>
    <w:uiPriority w:val="99"/>
    <w:qFormat/>
    <w:rsid w:val="00E850DD"/>
    <w:rPr>
      <w:sz w:val="20"/>
    </w:rPr>
  </w:style>
  <w:style w:type="character" w:styleId="FootnoteReference">
    <w:name w:val="footnote reference"/>
    <w:aliases w:val="o"/>
    <w:uiPriority w:val="99"/>
    <w:rsid w:val="00E850DD"/>
    <w:rPr>
      <w:vertAlign w:val="superscript"/>
    </w:rPr>
  </w:style>
  <w:style w:type="paragraph" w:styleId="EndnoteText">
    <w:name w:val="endnote text"/>
    <w:basedOn w:val="Normal"/>
    <w:link w:val="EndnoteTextChar"/>
    <w:rsid w:val="00506254"/>
    <w:rPr>
      <w:sz w:val="20"/>
    </w:rPr>
  </w:style>
  <w:style w:type="character" w:customStyle="1" w:styleId="EndnoteTextChar">
    <w:name w:val="Endnote Text Char"/>
    <w:basedOn w:val="DefaultParagraphFont"/>
    <w:link w:val="EndnoteText"/>
    <w:rsid w:val="00506254"/>
  </w:style>
  <w:style w:type="character" w:styleId="EndnoteReference">
    <w:name w:val="endnote reference"/>
    <w:rsid w:val="00506254"/>
    <w:rPr>
      <w:vertAlign w:val="superscript"/>
    </w:rPr>
  </w:style>
  <w:style w:type="paragraph" w:styleId="BalloonText">
    <w:name w:val="Balloon Text"/>
    <w:basedOn w:val="Normal"/>
    <w:link w:val="BalloonTextChar"/>
    <w:rsid w:val="00FA1765"/>
    <w:pPr>
      <w:spacing w:line="240" w:lineRule="auto"/>
    </w:pPr>
    <w:rPr>
      <w:rFonts w:ascii="Tahoma" w:hAnsi="Tahoma" w:cs="Tahoma"/>
      <w:sz w:val="16"/>
      <w:szCs w:val="16"/>
    </w:rPr>
  </w:style>
  <w:style w:type="character" w:customStyle="1" w:styleId="BalloonTextChar">
    <w:name w:val="Balloon Text Char"/>
    <w:link w:val="BalloonText"/>
    <w:rsid w:val="00FA1765"/>
    <w:rPr>
      <w:rFonts w:ascii="Tahoma" w:hAnsi="Tahoma" w:cs="Tahoma"/>
      <w:sz w:val="16"/>
      <w:szCs w:val="16"/>
    </w:rPr>
  </w:style>
  <w:style w:type="character" w:customStyle="1" w:styleId="Heading3Char">
    <w:name w:val="Heading 3 Char"/>
    <w:link w:val="Heading3"/>
    <w:semiHidden/>
    <w:rsid w:val="007A3DCA"/>
    <w:rPr>
      <w:rFonts w:ascii="Cambria" w:eastAsia="Times New Roman" w:hAnsi="Cambria" w:cs="Times New Roman"/>
      <w:b/>
      <w:bCs/>
      <w:sz w:val="26"/>
      <w:szCs w:val="26"/>
    </w:rPr>
  </w:style>
  <w:style w:type="paragraph" w:styleId="Quote">
    <w:name w:val="Quote"/>
    <w:basedOn w:val="Normal"/>
    <w:next w:val="Normal"/>
    <w:link w:val="QuoteChar"/>
    <w:qFormat/>
    <w:rsid w:val="007A3DCA"/>
    <w:rPr>
      <w:i/>
      <w:iCs/>
      <w:color w:val="000000"/>
    </w:rPr>
  </w:style>
  <w:style w:type="character" w:customStyle="1" w:styleId="QuoteChar">
    <w:name w:val="Quote Char"/>
    <w:link w:val="Quote"/>
    <w:uiPriority w:val="29"/>
    <w:rsid w:val="007A3DCA"/>
    <w:rPr>
      <w:i/>
      <w:iCs/>
      <w:color w:val="000000"/>
      <w:sz w:val="26"/>
    </w:rPr>
  </w:style>
  <w:style w:type="paragraph" w:styleId="BlockText">
    <w:name w:val="Block Text"/>
    <w:basedOn w:val="Normal"/>
    <w:uiPriority w:val="1"/>
    <w:qFormat/>
    <w:rsid w:val="007011E5"/>
    <w:pPr>
      <w:spacing w:after="240" w:line="240" w:lineRule="auto"/>
      <w:ind w:left="1440" w:right="1440"/>
      <w:jc w:val="both"/>
    </w:pPr>
    <w:rPr>
      <w:iCs/>
      <w:sz w:val="24"/>
      <w:szCs w:val="24"/>
    </w:rPr>
  </w:style>
  <w:style w:type="character" w:customStyle="1" w:styleId="FootnoteTextChar">
    <w:name w:val="Footnote Text Char"/>
    <w:aliases w:val="ALTS FOOTNOTE Char,Footnote Text Char Char Char1,Footnote Text Char Char Char Char,Footnote Text Char Char1 Char Char,Footnote Text Char1 Char1,Footnote Text Char1 Char Char,Footnote Text Char1 Char Char Char Char,TBG Style Char"/>
    <w:link w:val="FootnoteText"/>
    <w:uiPriority w:val="99"/>
    <w:rsid w:val="003554EE"/>
  </w:style>
  <w:style w:type="paragraph" w:styleId="BodyText2">
    <w:name w:val="Body Text 2"/>
    <w:basedOn w:val="Normal"/>
    <w:link w:val="BodyText2Char"/>
    <w:rsid w:val="00A80879"/>
    <w:pPr>
      <w:spacing w:after="120" w:line="480" w:lineRule="auto"/>
    </w:pPr>
  </w:style>
  <w:style w:type="character" w:customStyle="1" w:styleId="BodyText2Char">
    <w:name w:val="Body Text 2 Char"/>
    <w:link w:val="BodyText2"/>
    <w:rsid w:val="00A80879"/>
    <w:rPr>
      <w:sz w:val="26"/>
    </w:rPr>
  </w:style>
  <w:style w:type="paragraph" w:styleId="TOC1">
    <w:name w:val="toc 1"/>
    <w:basedOn w:val="Normal"/>
    <w:next w:val="Normal"/>
    <w:autoRedefine/>
    <w:uiPriority w:val="39"/>
    <w:rsid w:val="001D2324"/>
    <w:pPr>
      <w:tabs>
        <w:tab w:val="left" w:pos="720"/>
        <w:tab w:val="right" w:leader="dot" w:pos="9350"/>
      </w:tabs>
      <w:spacing w:after="100" w:line="240" w:lineRule="auto"/>
    </w:pPr>
  </w:style>
  <w:style w:type="paragraph" w:styleId="TOC2">
    <w:name w:val="toc 2"/>
    <w:basedOn w:val="Normal"/>
    <w:next w:val="Normal"/>
    <w:autoRedefine/>
    <w:uiPriority w:val="39"/>
    <w:rsid w:val="001D2324"/>
    <w:pPr>
      <w:tabs>
        <w:tab w:val="left" w:pos="1440"/>
        <w:tab w:val="right" w:leader="dot" w:pos="9350"/>
      </w:tabs>
      <w:spacing w:after="100" w:line="240" w:lineRule="auto"/>
      <w:ind w:left="720"/>
    </w:pPr>
  </w:style>
  <w:style w:type="paragraph" w:styleId="TOC3">
    <w:name w:val="toc 3"/>
    <w:basedOn w:val="Normal"/>
    <w:next w:val="Normal"/>
    <w:autoRedefine/>
    <w:uiPriority w:val="39"/>
    <w:rsid w:val="001D2324"/>
    <w:pPr>
      <w:tabs>
        <w:tab w:val="left" w:pos="2160"/>
        <w:tab w:val="right" w:leader="dot" w:pos="9350"/>
      </w:tabs>
      <w:spacing w:after="100" w:line="240" w:lineRule="auto"/>
      <w:ind w:left="1440"/>
    </w:pPr>
  </w:style>
  <w:style w:type="paragraph" w:styleId="TOC4">
    <w:name w:val="toc 4"/>
    <w:basedOn w:val="Normal"/>
    <w:next w:val="Normal"/>
    <w:autoRedefine/>
    <w:uiPriority w:val="39"/>
    <w:rsid w:val="001D2324"/>
    <w:pPr>
      <w:tabs>
        <w:tab w:val="left" w:pos="2880"/>
        <w:tab w:val="right" w:leader="dot" w:pos="9350"/>
      </w:tabs>
      <w:spacing w:after="100" w:line="240" w:lineRule="auto"/>
      <w:ind w:left="2160"/>
    </w:pPr>
  </w:style>
  <w:style w:type="character" w:styleId="Hyperlink">
    <w:name w:val="Hyperlink"/>
    <w:basedOn w:val="DefaultParagraphFont"/>
    <w:uiPriority w:val="99"/>
    <w:unhideWhenUsed/>
    <w:rsid w:val="001D2324"/>
    <w:rPr>
      <w:color w:val="0000FF" w:themeColor="hyperlink"/>
      <w:u w:val="single"/>
    </w:rPr>
  </w:style>
  <w:style w:type="character" w:customStyle="1" w:styleId="FooterChar">
    <w:name w:val="Footer Char"/>
    <w:basedOn w:val="DefaultParagraphFont"/>
    <w:link w:val="Footer"/>
    <w:uiPriority w:val="99"/>
    <w:rsid w:val="0059457D"/>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Block Text" w:uiPriority="1"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6"/>
    </w:rPr>
  </w:style>
  <w:style w:type="paragraph" w:styleId="Heading1">
    <w:name w:val="heading 1"/>
    <w:basedOn w:val="Normal"/>
    <w:next w:val="Normal"/>
    <w:qFormat/>
    <w:pPr>
      <w:keepNext/>
      <w:spacing w:line="240" w:lineRule="auto"/>
      <w:jc w:val="center"/>
      <w:outlineLvl w:val="0"/>
    </w:pPr>
    <w:rPr>
      <w:u w:val="single"/>
    </w:rPr>
  </w:style>
  <w:style w:type="paragraph" w:styleId="Heading2">
    <w:name w:val="heading 2"/>
    <w:basedOn w:val="Normal"/>
    <w:next w:val="Normal"/>
    <w:qFormat/>
    <w:pPr>
      <w:keepNext/>
      <w:ind w:left="720"/>
      <w:jc w:val="center"/>
      <w:outlineLvl w:val="1"/>
    </w:pPr>
    <w:rPr>
      <w:u w:val="single"/>
    </w:rPr>
  </w:style>
  <w:style w:type="paragraph" w:styleId="Heading3">
    <w:name w:val="heading 3"/>
    <w:basedOn w:val="Normal"/>
    <w:next w:val="Normal"/>
    <w:link w:val="Heading3Char"/>
    <w:semiHidden/>
    <w:unhideWhenUsed/>
    <w:qFormat/>
    <w:rsid w:val="007A3DCA"/>
    <w:pPr>
      <w:keepNext/>
      <w:spacing w:before="240" w:after="60"/>
      <w:outlineLvl w:val="2"/>
    </w:pPr>
    <w:rPr>
      <w:rFonts w:ascii="Cambria" w:hAnsi="Cambria"/>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sid w:val="00555C71"/>
    <w:pPr>
      <w:jc w:val="both"/>
    </w:pPr>
    <w:rPr>
      <w:rFonts w:eastAsia="SimSun"/>
    </w:rPr>
  </w:style>
  <w:style w:type="paragraph" w:styleId="Header">
    <w:name w:val="header"/>
    <w:basedOn w:val="Normal"/>
    <w:rsid w:val="007C46F3"/>
    <w:pPr>
      <w:tabs>
        <w:tab w:val="center" w:pos="4320"/>
        <w:tab w:val="right" w:pos="8640"/>
      </w:tabs>
    </w:pPr>
  </w:style>
  <w:style w:type="paragraph" w:styleId="FootnoteText">
    <w:name w:val="footnote text"/>
    <w:aliases w:val="ALTS FOOTNOTE,Footnote Text Char Char,Footnote Text Char Char Char,Footnote Text Char Char1 Char,Footnote Text Char1,Footnote Text Char1 Char,Footnote Text Char1 Char Char Char,Footnote Text Char2 Char,TBG Style,fn,ft,ft Char"/>
    <w:basedOn w:val="Normal"/>
    <w:link w:val="FootnoteTextChar"/>
    <w:uiPriority w:val="99"/>
    <w:qFormat/>
    <w:rsid w:val="00E850DD"/>
    <w:rPr>
      <w:sz w:val="20"/>
    </w:rPr>
  </w:style>
  <w:style w:type="character" w:styleId="FootnoteReference">
    <w:name w:val="footnote reference"/>
    <w:aliases w:val="o"/>
    <w:uiPriority w:val="99"/>
    <w:rsid w:val="00E850DD"/>
    <w:rPr>
      <w:vertAlign w:val="superscript"/>
    </w:rPr>
  </w:style>
  <w:style w:type="paragraph" w:styleId="EndnoteText">
    <w:name w:val="endnote text"/>
    <w:basedOn w:val="Normal"/>
    <w:link w:val="EndnoteTextChar"/>
    <w:rsid w:val="00506254"/>
    <w:rPr>
      <w:sz w:val="20"/>
    </w:rPr>
  </w:style>
  <w:style w:type="character" w:customStyle="1" w:styleId="EndnoteTextChar">
    <w:name w:val="Endnote Text Char"/>
    <w:basedOn w:val="DefaultParagraphFont"/>
    <w:link w:val="EndnoteText"/>
    <w:rsid w:val="00506254"/>
  </w:style>
  <w:style w:type="character" w:styleId="EndnoteReference">
    <w:name w:val="endnote reference"/>
    <w:rsid w:val="00506254"/>
    <w:rPr>
      <w:vertAlign w:val="superscript"/>
    </w:rPr>
  </w:style>
  <w:style w:type="paragraph" w:styleId="BalloonText">
    <w:name w:val="Balloon Text"/>
    <w:basedOn w:val="Normal"/>
    <w:link w:val="BalloonTextChar"/>
    <w:rsid w:val="00FA1765"/>
    <w:pPr>
      <w:spacing w:line="240" w:lineRule="auto"/>
    </w:pPr>
    <w:rPr>
      <w:rFonts w:ascii="Tahoma" w:hAnsi="Tahoma" w:cs="Tahoma"/>
      <w:sz w:val="16"/>
      <w:szCs w:val="16"/>
    </w:rPr>
  </w:style>
  <w:style w:type="character" w:customStyle="1" w:styleId="BalloonTextChar">
    <w:name w:val="Balloon Text Char"/>
    <w:link w:val="BalloonText"/>
    <w:rsid w:val="00FA1765"/>
    <w:rPr>
      <w:rFonts w:ascii="Tahoma" w:hAnsi="Tahoma" w:cs="Tahoma"/>
      <w:sz w:val="16"/>
      <w:szCs w:val="16"/>
    </w:rPr>
  </w:style>
  <w:style w:type="character" w:customStyle="1" w:styleId="Heading3Char">
    <w:name w:val="Heading 3 Char"/>
    <w:link w:val="Heading3"/>
    <w:semiHidden/>
    <w:rsid w:val="007A3DCA"/>
    <w:rPr>
      <w:rFonts w:ascii="Cambria" w:eastAsia="Times New Roman" w:hAnsi="Cambria" w:cs="Times New Roman"/>
      <w:b/>
      <w:bCs/>
      <w:sz w:val="26"/>
      <w:szCs w:val="26"/>
    </w:rPr>
  </w:style>
  <w:style w:type="paragraph" w:styleId="Quote">
    <w:name w:val="Quote"/>
    <w:basedOn w:val="Normal"/>
    <w:next w:val="Normal"/>
    <w:link w:val="QuoteChar"/>
    <w:qFormat/>
    <w:rsid w:val="007A3DCA"/>
    <w:rPr>
      <w:i/>
      <w:iCs/>
      <w:color w:val="000000"/>
    </w:rPr>
  </w:style>
  <w:style w:type="character" w:customStyle="1" w:styleId="QuoteChar">
    <w:name w:val="Quote Char"/>
    <w:link w:val="Quote"/>
    <w:uiPriority w:val="29"/>
    <w:rsid w:val="007A3DCA"/>
    <w:rPr>
      <w:i/>
      <w:iCs/>
      <w:color w:val="000000"/>
      <w:sz w:val="26"/>
    </w:rPr>
  </w:style>
  <w:style w:type="paragraph" w:styleId="BlockText">
    <w:name w:val="Block Text"/>
    <w:basedOn w:val="Normal"/>
    <w:uiPriority w:val="1"/>
    <w:qFormat/>
    <w:rsid w:val="007011E5"/>
    <w:pPr>
      <w:spacing w:after="240" w:line="240" w:lineRule="auto"/>
      <w:ind w:left="1440" w:right="1440"/>
      <w:jc w:val="both"/>
    </w:pPr>
    <w:rPr>
      <w:iCs/>
      <w:sz w:val="24"/>
      <w:szCs w:val="24"/>
    </w:rPr>
  </w:style>
  <w:style w:type="character" w:customStyle="1" w:styleId="FootnoteTextChar">
    <w:name w:val="Footnote Text Char"/>
    <w:aliases w:val="ALTS FOOTNOTE Char,Footnote Text Char Char Char1,Footnote Text Char Char Char Char,Footnote Text Char Char1 Char Char,Footnote Text Char1 Char1,Footnote Text Char1 Char Char,Footnote Text Char1 Char Char Char Char,TBG Style Char"/>
    <w:link w:val="FootnoteText"/>
    <w:uiPriority w:val="99"/>
    <w:rsid w:val="003554EE"/>
  </w:style>
  <w:style w:type="paragraph" w:styleId="BodyText2">
    <w:name w:val="Body Text 2"/>
    <w:basedOn w:val="Normal"/>
    <w:link w:val="BodyText2Char"/>
    <w:rsid w:val="00A80879"/>
    <w:pPr>
      <w:spacing w:after="120" w:line="480" w:lineRule="auto"/>
    </w:pPr>
  </w:style>
  <w:style w:type="character" w:customStyle="1" w:styleId="BodyText2Char">
    <w:name w:val="Body Text 2 Char"/>
    <w:link w:val="BodyText2"/>
    <w:rsid w:val="00A80879"/>
    <w:rPr>
      <w:sz w:val="26"/>
    </w:rPr>
  </w:style>
  <w:style w:type="paragraph" w:styleId="TOC1">
    <w:name w:val="toc 1"/>
    <w:basedOn w:val="Normal"/>
    <w:next w:val="Normal"/>
    <w:autoRedefine/>
    <w:uiPriority w:val="39"/>
    <w:rsid w:val="001D2324"/>
    <w:pPr>
      <w:tabs>
        <w:tab w:val="left" w:pos="720"/>
        <w:tab w:val="right" w:leader="dot" w:pos="9350"/>
      </w:tabs>
      <w:spacing w:after="100" w:line="240" w:lineRule="auto"/>
    </w:pPr>
  </w:style>
  <w:style w:type="paragraph" w:styleId="TOC2">
    <w:name w:val="toc 2"/>
    <w:basedOn w:val="Normal"/>
    <w:next w:val="Normal"/>
    <w:autoRedefine/>
    <w:uiPriority w:val="39"/>
    <w:rsid w:val="001D2324"/>
    <w:pPr>
      <w:tabs>
        <w:tab w:val="left" w:pos="1440"/>
        <w:tab w:val="right" w:leader="dot" w:pos="9350"/>
      </w:tabs>
      <w:spacing w:after="100" w:line="240" w:lineRule="auto"/>
      <w:ind w:left="720"/>
    </w:pPr>
  </w:style>
  <w:style w:type="paragraph" w:styleId="TOC3">
    <w:name w:val="toc 3"/>
    <w:basedOn w:val="Normal"/>
    <w:next w:val="Normal"/>
    <w:autoRedefine/>
    <w:uiPriority w:val="39"/>
    <w:rsid w:val="001D2324"/>
    <w:pPr>
      <w:tabs>
        <w:tab w:val="left" w:pos="2160"/>
        <w:tab w:val="right" w:leader="dot" w:pos="9350"/>
      </w:tabs>
      <w:spacing w:after="100" w:line="240" w:lineRule="auto"/>
      <w:ind w:left="1440"/>
    </w:pPr>
  </w:style>
  <w:style w:type="paragraph" w:styleId="TOC4">
    <w:name w:val="toc 4"/>
    <w:basedOn w:val="Normal"/>
    <w:next w:val="Normal"/>
    <w:autoRedefine/>
    <w:uiPriority w:val="39"/>
    <w:rsid w:val="001D2324"/>
    <w:pPr>
      <w:tabs>
        <w:tab w:val="left" w:pos="2880"/>
        <w:tab w:val="right" w:leader="dot" w:pos="9350"/>
      </w:tabs>
      <w:spacing w:after="100" w:line="240" w:lineRule="auto"/>
      <w:ind w:left="2160"/>
    </w:pPr>
  </w:style>
  <w:style w:type="character" w:styleId="Hyperlink">
    <w:name w:val="Hyperlink"/>
    <w:basedOn w:val="DefaultParagraphFont"/>
    <w:uiPriority w:val="99"/>
    <w:unhideWhenUsed/>
    <w:rsid w:val="001D2324"/>
    <w:rPr>
      <w:color w:val="0000FF" w:themeColor="hyperlink"/>
      <w:u w:val="single"/>
    </w:rPr>
  </w:style>
  <w:style w:type="character" w:customStyle="1" w:styleId="FooterChar">
    <w:name w:val="Footer Char"/>
    <w:basedOn w:val="DefaultParagraphFont"/>
    <w:link w:val="Footer"/>
    <w:uiPriority w:val="99"/>
    <w:rsid w:val="0059457D"/>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979285">
      <w:bodyDiv w:val="1"/>
      <w:marLeft w:val="0"/>
      <w:marRight w:val="0"/>
      <w:marTop w:val="0"/>
      <w:marBottom w:val="0"/>
      <w:divBdr>
        <w:top w:val="none" w:sz="0" w:space="0" w:color="auto"/>
        <w:left w:val="none" w:sz="0" w:space="0" w:color="auto"/>
        <w:bottom w:val="none" w:sz="0" w:space="0" w:color="auto"/>
        <w:right w:val="none" w:sz="0" w:space="0" w:color="auto"/>
      </w:divBdr>
    </w:div>
    <w:div w:id="1150516674">
      <w:bodyDiv w:val="1"/>
      <w:marLeft w:val="0"/>
      <w:marRight w:val="0"/>
      <w:marTop w:val="0"/>
      <w:marBottom w:val="0"/>
      <w:divBdr>
        <w:top w:val="none" w:sz="0" w:space="0" w:color="auto"/>
        <w:left w:val="none" w:sz="0" w:space="0" w:color="auto"/>
        <w:bottom w:val="none" w:sz="0" w:space="0" w:color="auto"/>
        <w:right w:val="none" w:sz="0" w:space="0" w:color="auto"/>
      </w:divBdr>
    </w:div>
    <w:div w:id="189018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F5620-207A-4686-AE88-BF2318EDB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20690</Words>
  <Characters>117936</Characters>
  <Application>Microsoft Office Word</Application>
  <DocSecurity>0</DocSecurity>
  <Lines>982</Lines>
  <Paragraphs>276</Paragraphs>
  <ScaleCrop>false</ScaleCrop>
  <HeadingPairs>
    <vt:vector size="2" baseType="variant">
      <vt:variant>
        <vt:lpstr>Title</vt:lpstr>
      </vt:variant>
      <vt:variant>
        <vt:i4>1</vt:i4>
      </vt:variant>
    </vt:vector>
  </HeadingPairs>
  <TitlesOfParts>
    <vt:vector size="1" baseType="lpstr">
      <vt:lpstr>BEFORE THE PENNSYLVANIA PUBLIC UTILITY COMMISSION</vt:lpstr>
    </vt:vector>
  </TitlesOfParts>
  <Company>PUC</Company>
  <LinksUpToDate>false</LinksUpToDate>
  <CharactersWithSpaces>138350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PENNSYLVANIA PUBLIC UTILITY COMMISSION</dc:title>
  <dc:creator>NEMEC</dc:creator>
  <cp:lastModifiedBy>shoffner</cp:lastModifiedBy>
  <cp:revision>2</cp:revision>
  <cp:lastPrinted>2014-07-28T15:26:00Z</cp:lastPrinted>
  <dcterms:created xsi:type="dcterms:W3CDTF">2014-08-01T13:54:00Z</dcterms:created>
  <dcterms:modified xsi:type="dcterms:W3CDTF">2014-08-01T13:54:00Z</dcterms:modified>
</cp:coreProperties>
</file>