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0BB" w:rsidRPr="003E3C8D" w:rsidRDefault="00F100BB" w:rsidP="00383A7A">
      <w:pPr>
        <w:spacing w:line="240" w:lineRule="auto"/>
        <w:jc w:val="center"/>
        <w:rPr>
          <w:b/>
          <w:szCs w:val="24"/>
        </w:rPr>
      </w:pPr>
      <w:r w:rsidRPr="003E3C8D">
        <w:rPr>
          <w:b/>
          <w:szCs w:val="24"/>
        </w:rPr>
        <w:t>BEFORE THE</w:t>
      </w:r>
    </w:p>
    <w:p w:rsidR="00F100BB" w:rsidRDefault="00F100BB" w:rsidP="00383A7A">
      <w:pPr>
        <w:spacing w:line="240" w:lineRule="auto"/>
        <w:jc w:val="center"/>
        <w:rPr>
          <w:b/>
          <w:szCs w:val="24"/>
        </w:rPr>
      </w:pPr>
      <w:r w:rsidRPr="003E3C8D">
        <w:rPr>
          <w:b/>
          <w:szCs w:val="24"/>
        </w:rPr>
        <w:t>PENNSYLVANIA PUBLIC UTILITY COMMISSION</w:t>
      </w:r>
    </w:p>
    <w:p w:rsidR="007002B9" w:rsidRDefault="007002B9" w:rsidP="00383A7A">
      <w:pPr>
        <w:spacing w:line="240" w:lineRule="auto"/>
        <w:jc w:val="center"/>
        <w:rPr>
          <w:b/>
          <w:szCs w:val="24"/>
        </w:rPr>
      </w:pPr>
    </w:p>
    <w:p w:rsidR="007002B9" w:rsidRPr="003E3C8D" w:rsidRDefault="007002B9" w:rsidP="00383A7A">
      <w:pPr>
        <w:spacing w:line="240" w:lineRule="auto"/>
        <w:jc w:val="center"/>
        <w:rPr>
          <w:b/>
          <w:szCs w:val="24"/>
        </w:rPr>
      </w:pPr>
    </w:p>
    <w:p w:rsidR="002839B6" w:rsidRPr="003E3C8D" w:rsidRDefault="002839B6">
      <w:pPr>
        <w:tabs>
          <w:tab w:val="center" w:pos="4680"/>
        </w:tabs>
        <w:jc w:val="both"/>
        <w:rPr>
          <w:szCs w:val="24"/>
        </w:rPr>
      </w:pPr>
    </w:p>
    <w:p w:rsidR="007002B9" w:rsidRDefault="007002B9" w:rsidP="007002B9">
      <w:pPr>
        <w:spacing w:line="240" w:lineRule="auto"/>
        <w:rPr>
          <w:b/>
          <w:szCs w:val="24"/>
        </w:rPr>
      </w:pPr>
      <w:r>
        <w:rPr>
          <w:szCs w:val="24"/>
        </w:rPr>
        <w:t xml:space="preserve">Pennsylvania Public Utility </w:t>
      </w:r>
      <w:proofErr w:type="gramStart"/>
      <w:r>
        <w:rPr>
          <w:szCs w:val="24"/>
        </w:rPr>
        <w:t>Commission,</w:t>
      </w:r>
      <w:r>
        <w:rPr>
          <w:szCs w:val="24"/>
        </w:rPr>
        <w:tab/>
      </w:r>
      <w:r>
        <w:rPr>
          <w:szCs w:val="24"/>
        </w:rPr>
        <w:tab/>
      </w:r>
      <w:r>
        <w:rPr>
          <w:b/>
          <w:szCs w:val="24"/>
        </w:rPr>
        <w:t>:</w:t>
      </w:r>
      <w:proofErr w:type="gramEnd"/>
      <w:r>
        <w:rPr>
          <w:b/>
          <w:szCs w:val="24"/>
        </w:rPr>
        <w:tab/>
      </w:r>
      <w:r>
        <w:rPr>
          <w:b/>
          <w:szCs w:val="24"/>
        </w:rPr>
        <w:tab/>
      </w:r>
    </w:p>
    <w:p w:rsidR="007002B9" w:rsidRPr="007002B9" w:rsidRDefault="007002B9" w:rsidP="007002B9">
      <w:pPr>
        <w:spacing w:line="240" w:lineRule="auto"/>
        <w:rPr>
          <w:b/>
          <w:szCs w:val="24"/>
        </w:rPr>
      </w:pPr>
      <w:r>
        <w:rPr>
          <w:szCs w:val="24"/>
        </w:rPr>
        <w:t>Bureau of Investigation and Enforcement</w:t>
      </w:r>
      <w:r>
        <w:rPr>
          <w:szCs w:val="24"/>
        </w:rPr>
        <w:tab/>
      </w:r>
      <w:r>
        <w:rPr>
          <w:szCs w:val="24"/>
        </w:rPr>
        <w:tab/>
      </w:r>
      <w:r>
        <w:rPr>
          <w:b/>
          <w:szCs w:val="24"/>
        </w:rPr>
        <w:t>:</w:t>
      </w:r>
    </w:p>
    <w:p w:rsidR="007002B9" w:rsidRPr="007002B9" w:rsidRDefault="007002B9" w:rsidP="007002B9">
      <w:pPr>
        <w:spacing w:line="240" w:lineRule="auto"/>
        <w:rPr>
          <w:b/>
          <w:szCs w:val="24"/>
        </w:rPr>
      </w:pPr>
      <w:r>
        <w:rPr>
          <w:szCs w:val="24"/>
        </w:rPr>
        <w:tab/>
      </w:r>
      <w:r>
        <w:rPr>
          <w:szCs w:val="24"/>
        </w:rPr>
        <w:tab/>
      </w:r>
      <w:r>
        <w:rPr>
          <w:szCs w:val="24"/>
        </w:rPr>
        <w:tab/>
      </w:r>
      <w:r>
        <w:rPr>
          <w:szCs w:val="24"/>
        </w:rPr>
        <w:tab/>
      </w:r>
      <w:r>
        <w:rPr>
          <w:szCs w:val="24"/>
        </w:rPr>
        <w:tab/>
      </w:r>
      <w:r>
        <w:rPr>
          <w:szCs w:val="24"/>
        </w:rPr>
        <w:tab/>
      </w:r>
      <w:r>
        <w:rPr>
          <w:b/>
          <w:szCs w:val="24"/>
        </w:rPr>
        <w:t>:</w:t>
      </w:r>
    </w:p>
    <w:p w:rsidR="007002B9" w:rsidRPr="007002B9" w:rsidRDefault="007002B9" w:rsidP="007002B9">
      <w:pPr>
        <w:tabs>
          <w:tab w:val="clear" w:pos="1440"/>
          <w:tab w:val="left" w:pos="720"/>
        </w:tabs>
        <w:spacing w:line="240" w:lineRule="auto"/>
        <w:rPr>
          <w:szCs w:val="24"/>
        </w:rPr>
      </w:pPr>
      <w:r>
        <w:rPr>
          <w:szCs w:val="24"/>
        </w:rPr>
        <w:tab/>
        <w:t>v.</w:t>
      </w:r>
      <w:r>
        <w:rPr>
          <w:szCs w:val="24"/>
        </w:rPr>
        <w:tab/>
      </w:r>
      <w:r>
        <w:rPr>
          <w:szCs w:val="24"/>
        </w:rPr>
        <w:tab/>
      </w:r>
      <w:r>
        <w:rPr>
          <w:szCs w:val="24"/>
        </w:rPr>
        <w:tab/>
      </w:r>
      <w:r>
        <w:rPr>
          <w:szCs w:val="24"/>
        </w:rPr>
        <w:tab/>
      </w:r>
      <w:r>
        <w:rPr>
          <w:szCs w:val="24"/>
        </w:rPr>
        <w:tab/>
      </w:r>
      <w:r>
        <w:rPr>
          <w:szCs w:val="24"/>
        </w:rPr>
        <w:tab/>
      </w:r>
      <w:r>
        <w:rPr>
          <w:b/>
          <w:szCs w:val="24"/>
        </w:rPr>
        <w:t>:</w:t>
      </w:r>
      <w:r>
        <w:rPr>
          <w:b/>
          <w:szCs w:val="24"/>
        </w:rPr>
        <w:tab/>
      </w:r>
      <w:r>
        <w:rPr>
          <w:b/>
          <w:szCs w:val="24"/>
        </w:rPr>
        <w:tab/>
      </w:r>
      <w:r w:rsidRPr="007002B9">
        <w:rPr>
          <w:szCs w:val="24"/>
        </w:rPr>
        <w:t>C-2014-2417325</w:t>
      </w:r>
    </w:p>
    <w:p w:rsidR="007002B9" w:rsidRPr="007002B9" w:rsidRDefault="007002B9" w:rsidP="007002B9">
      <w:pPr>
        <w:spacing w:line="240" w:lineRule="auto"/>
        <w:rPr>
          <w:b/>
          <w:szCs w:val="24"/>
        </w:rPr>
      </w:pPr>
      <w:r>
        <w:rPr>
          <w:szCs w:val="24"/>
        </w:rPr>
        <w:tab/>
      </w:r>
      <w:r>
        <w:rPr>
          <w:szCs w:val="24"/>
        </w:rPr>
        <w:tab/>
      </w:r>
      <w:r>
        <w:rPr>
          <w:szCs w:val="24"/>
        </w:rPr>
        <w:tab/>
      </w:r>
      <w:r>
        <w:rPr>
          <w:szCs w:val="24"/>
        </w:rPr>
        <w:tab/>
      </w:r>
      <w:r>
        <w:rPr>
          <w:szCs w:val="24"/>
        </w:rPr>
        <w:tab/>
      </w:r>
      <w:r>
        <w:rPr>
          <w:szCs w:val="24"/>
        </w:rPr>
        <w:tab/>
      </w:r>
      <w:r>
        <w:rPr>
          <w:b/>
          <w:szCs w:val="24"/>
        </w:rPr>
        <w:t>:</w:t>
      </w:r>
    </w:p>
    <w:p w:rsidR="007002B9" w:rsidRPr="007002B9" w:rsidRDefault="007002B9" w:rsidP="007002B9">
      <w:pPr>
        <w:spacing w:line="240" w:lineRule="auto"/>
        <w:rPr>
          <w:b/>
          <w:szCs w:val="24"/>
        </w:rPr>
      </w:pPr>
      <w:r>
        <w:rPr>
          <w:szCs w:val="24"/>
        </w:rPr>
        <w:t>West Penn Power Company</w:t>
      </w:r>
      <w:r>
        <w:rPr>
          <w:szCs w:val="24"/>
        </w:rPr>
        <w:tab/>
      </w:r>
      <w:r>
        <w:rPr>
          <w:szCs w:val="24"/>
        </w:rPr>
        <w:tab/>
      </w:r>
      <w:r>
        <w:rPr>
          <w:szCs w:val="24"/>
        </w:rPr>
        <w:tab/>
      </w:r>
      <w:r>
        <w:rPr>
          <w:szCs w:val="24"/>
        </w:rPr>
        <w:tab/>
      </w:r>
      <w:r>
        <w:rPr>
          <w:b/>
          <w:szCs w:val="24"/>
        </w:rPr>
        <w:t>:</w:t>
      </w:r>
    </w:p>
    <w:p w:rsidR="00590C9B" w:rsidRDefault="00590C9B" w:rsidP="00590C9B">
      <w:pPr>
        <w:jc w:val="center"/>
        <w:rPr>
          <w:b/>
          <w:szCs w:val="24"/>
          <w:u w:val="single"/>
        </w:rPr>
      </w:pPr>
    </w:p>
    <w:p w:rsidR="007002B9" w:rsidRDefault="007002B9" w:rsidP="00590C9B">
      <w:pPr>
        <w:jc w:val="center"/>
        <w:rPr>
          <w:b/>
          <w:szCs w:val="24"/>
          <w:u w:val="single"/>
        </w:rPr>
      </w:pPr>
    </w:p>
    <w:p w:rsidR="006F485A" w:rsidRDefault="007B7E83" w:rsidP="00CC3F7C">
      <w:pPr>
        <w:spacing w:line="240" w:lineRule="auto"/>
        <w:jc w:val="center"/>
        <w:rPr>
          <w:b/>
          <w:szCs w:val="24"/>
          <w:u w:val="single"/>
        </w:rPr>
      </w:pPr>
      <w:r w:rsidRPr="007B7E83">
        <w:rPr>
          <w:b/>
          <w:szCs w:val="24"/>
          <w:u w:val="single"/>
        </w:rPr>
        <w:t>RECOMMENDED DECISION</w:t>
      </w:r>
    </w:p>
    <w:p w:rsidR="00CD435B" w:rsidRPr="007B7E83" w:rsidRDefault="00CD435B" w:rsidP="00CC3F7C">
      <w:pPr>
        <w:spacing w:line="240" w:lineRule="auto"/>
        <w:jc w:val="center"/>
        <w:rPr>
          <w:b/>
          <w:szCs w:val="24"/>
          <w:u w:val="single"/>
        </w:rPr>
      </w:pPr>
    </w:p>
    <w:p w:rsidR="007B7E83" w:rsidRDefault="007B7E83" w:rsidP="00CD435B">
      <w:pPr>
        <w:jc w:val="center"/>
        <w:rPr>
          <w:b/>
          <w:szCs w:val="24"/>
        </w:rPr>
      </w:pPr>
    </w:p>
    <w:p w:rsidR="007B7E83" w:rsidRPr="007B7E83" w:rsidRDefault="007B7E83" w:rsidP="00CC3F7C">
      <w:pPr>
        <w:spacing w:line="240" w:lineRule="auto"/>
        <w:jc w:val="center"/>
        <w:rPr>
          <w:szCs w:val="24"/>
        </w:rPr>
      </w:pPr>
      <w:r w:rsidRPr="007B7E83">
        <w:rPr>
          <w:szCs w:val="24"/>
        </w:rPr>
        <w:t>Before</w:t>
      </w:r>
    </w:p>
    <w:p w:rsidR="007B7E83" w:rsidRPr="007B7E83" w:rsidRDefault="007B7E83" w:rsidP="00CC3F7C">
      <w:pPr>
        <w:spacing w:line="240" w:lineRule="auto"/>
        <w:jc w:val="center"/>
        <w:rPr>
          <w:szCs w:val="24"/>
        </w:rPr>
      </w:pPr>
      <w:r w:rsidRPr="007B7E83">
        <w:rPr>
          <w:szCs w:val="24"/>
        </w:rPr>
        <w:t>Mary D. Long</w:t>
      </w:r>
    </w:p>
    <w:p w:rsidR="007B7E83" w:rsidRPr="007B7E83" w:rsidRDefault="007B7E83" w:rsidP="00CC3F7C">
      <w:pPr>
        <w:spacing w:line="240" w:lineRule="auto"/>
        <w:jc w:val="center"/>
        <w:rPr>
          <w:szCs w:val="24"/>
          <w:u w:val="single"/>
        </w:rPr>
      </w:pPr>
      <w:r w:rsidRPr="007B7E83">
        <w:rPr>
          <w:szCs w:val="24"/>
        </w:rPr>
        <w:t>Administrative Law Judge</w:t>
      </w:r>
    </w:p>
    <w:p w:rsidR="007B7E83" w:rsidRDefault="007B7E83" w:rsidP="007B7E83">
      <w:pPr>
        <w:rPr>
          <w:szCs w:val="24"/>
        </w:rPr>
      </w:pPr>
    </w:p>
    <w:p w:rsidR="00CD435B" w:rsidRDefault="00CD435B" w:rsidP="007B7E83">
      <w:pPr>
        <w:rPr>
          <w:szCs w:val="24"/>
        </w:rPr>
      </w:pPr>
    </w:p>
    <w:p w:rsidR="007B7E83" w:rsidRPr="009834B2" w:rsidRDefault="007B7E83" w:rsidP="009834B2">
      <w:pPr>
        <w:pStyle w:val="ListParagraph"/>
        <w:numPr>
          <w:ilvl w:val="0"/>
          <w:numId w:val="7"/>
        </w:numPr>
        <w:jc w:val="center"/>
        <w:rPr>
          <w:szCs w:val="24"/>
          <w:u w:val="single"/>
        </w:rPr>
      </w:pPr>
      <w:r w:rsidRPr="009834B2">
        <w:rPr>
          <w:szCs w:val="24"/>
          <w:u w:val="single"/>
        </w:rPr>
        <w:t>PROCEDURAL HISTORY</w:t>
      </w:r>
    </w:p>
    <w:p w:rsidR="007B7E83" w:rsidRDefault="007B7E83" w:rsidP="006F485A">
      <w:pPr>
        <w:ind w:firstLine="1440"/>
        <w:rPr>
          <w:szCs w:val="24"/>
        </w:rPr>
      </w:pPr>
    </w:p>
    <w:p w:rsidR="006F485A" w:rsidRPr="006F485A" w:rsidRDefault="00CC3F7C" w:rsidP="00CC3F7C">
      <w:pPr>
        <w:ind w:firstLine="720"/>
      </w:pPr>
      <w:r>
        <w:tab/>
      </w:r>
      <w:r w:rsidR="006F485A" w:rsidRPr="006F485A">
        <w:t>Act 129 of 2008 (the “Act” or “Act 129”) was signed into law on October 15, 2008, and became effective on November 14, 2008.  Among other things, the Act created an Energy Efficiency and Conservation Program requirement (EE&amp;C Program), codified in the Pennsylvania Public Utility Code at Sections 2806.1 and 2806.2, 66 Pa.C.S. §§ 2806.1 and 2806.2.  This initial program required an electric distribution company (EDC) with at least 100,000 customers to adopt an EE&amp;C plan, approved in advance by the Commission that, among other things, was designed “…to reduce electric consumption by May 31, 2011, by at least 1% of its expected consumption for June 1</w:t>
      </w:r>
      <w:r w:rsidR="006F485A">
        <w:t xml:space="preserve">, 2009 through May 31, 2010.”  </w:t>
      </w:r>
      <w:r w:rsidR="006F485A" w:rsidRPr="006F485A">
        <w:t>By May 31, 2013, the total annual weather normalized consumption was to be reduced by a minimum of 3%, as measured against the same June 1, 2009 through May 31, 2010 baseline period, and peak lo</w:t>
      </w:r>
      <w:r w:rsidR="006F485A">
        <w:t xml:space="preserve">ad was to be reduced by 4.5%.  </w:t>
      </w:r>
      <w:r w:rsidR="006F485A" w:rsidRPr="006F485A">
        <w:t xml:space="preserve">The 1% consumption reduction goal was included within the overall 3% consumption reduction goal.  </w:t>
      </w:r>
    </w:p>
    <w:p w:rsidR="006F485A" w:rsidRPr="006F485A" w:rsidRDefault="006F485A" w:rsidP="006F485A">
      <w:pPr>
        <w:ind w:firstLine="1440"/>
        <w:rPr>
          <w:szCs w:val="24"/>
        </w:rPr>
      </w:pPr>
      <w:r w:rsidRPr="006F485A">
        <w:rPr>
          <w:szCs w:val="24"/>
        </w:rPr>
        <w:lastRenderedPageBreak/>
        <w:t>On January 16, 2009, the Commission rendered an Implementation Order at Docket No. M-2008-2069887, in which the Commission sought a statewide evaluator (SWE) to establish an evaluation framework for the EDCs’ EE&amp;C plans.  GDS Associates was retained as the SWE to fulfill the requireme</w:t>
      </w:r>
      <w:r w:rsidR="00702321">
        <w:rPr>
          <w:szCs w:val="24"/>
        </w:rPr>
        <w:t xml:space="preserve">nts of the Implementation Order, </w:t>
      </w:r>
      <w:r w:rsidRPr="006F485A">
        <w:rPr>
          <w:szCs w:val="24"/>
        </w:rPr>
        <w:t xml:space="preserve">which included monitoring and verifying EDC data collection, impact and process evaluations, quality assurance processes and performance measures by customer class. </w:t>
      </w:r>
    </w:p>
    <w:p w:rsidR="006F485A" w:rsidRDefault="006F485A" w:rsidP="006F485A">
      <w:pPr>
        <w:ind w:firstLine="1440"/>
        <w:rPr>
          <w:szCs w:val="24"/>
        </w:rPr>
      </w:pPr>
    </w:p>
    <w:p w:rsidR="006F485A" w:rsidRPr="006F485A" w:rsidRDefault="006F485A" w:rsidP="006F485A">
      <w:pPr>
        <w:ind w:firstLine="1440"/>
        <w:rPr>
          <w:szCs w:val="24"/>
        </w:rPr>
      </w:pPr>
      <w:r w:rsidRPr="006F485A">
        <w:rPr>
          <w:szCs w:val="24"/>
        </w:rPr>
        <w:t>Pursuant to Act 129 and the Implementation Order, West Penn</w:t>
      </w:r>
      <w:r w:rsidR="00702321">
        <w:rPr>
          <w:szCs w:val="24"/>
        </w:rPr>
        <w:t xml:space="preserve"> Power Company (West Penn or Company)</w:t>
      </w:r>
      <w:r w:rsidRPr="006F485A">
        <w:rPr>
          <w:szCs w:val="24"/>
        </w:rPr>
        <w:t xml:space="preserve"> reported that its May 31, 2011 and May 31, 2013 energy savings reduction targets were 209,387 MWh and 628,160 MWh, respectively.  West Penn reported energy savings at May 31, 2011 of 90,520 MWh and 688,089 MWh at May 31, 2013. </w:t>
      </w:r>
      <w:r>
        <w:rPr>
          <w:szCs w:val="24"/>
        </w:rPr>
        <w:t xml:space="preserve"> </w:t>
      </w:r>
      <w:r w:rsidRPr="006F485A">
        <w:rPr>
          <w:szCs w:val="24"/>
        </w:rPr>
        <w:t>The SWE issued its report on the final</w:t>
      </w:r>
      <w:r>
        <w:rPr>
          <w:szCs w:val="24"/>
        </w:rPr>
        <w:t xml:space="preserve"> results of Phase I of Act 129 </w:t>
      </w:r>
      <w:r w:rsidRPr="006F485A">
        <w:rPr>
          <w:szCs w:val="24"/>
        </w:rPr>
        <w:t>indicating that all results as reported by West Penn were accurate and reported the results to the Commission in a March 2012 report.</w:t>
      </w:r>
    </w:p>
    <w:p w:rsidR="006F485A" w:rsidRDefault="006F485A" w:rsidP="006F485A">
      <w:pPr>
        <w:ind w:firstLine="1440"/>
        <w:rPr>
          <w:szCs w:val="24"/>
        </w:rPr>
      </w:pPr>
    </w:p>
    <w:p w:rsidR="00702321" w:rsidRDefault="006F485A" w:rsidP="006F485A">
      <w:pPr>
        <w:ind w:firstLine="1440"/>
        <w:rPr>
          <w:szCs w:val="24"/>
        </w:rPr>
      </w:pPr>
      <w:r w:rsidRPr="006F485A">
        <w:rPr>
          <w:szCs w:val="24"/>
        </w:rPr>
        <w:t xml:space="preserve">The Commission addressed the issue of whether West Penn’s May 31, 2011 results violated Act 129, in an Order on March 20, 2014, </w:t>
      </w:r>
      <w:r>
        <w:rPr>
          <w:szCs w:val="24"/>
        </w:rPr>
        <w:t xml:space="preserve">at PUC Docket Nos. </w:t>
      </w:r>
      <w:r w:rsidRPr="006F485A">
        <w:rPr>
          <w:szCs w:val="24"/>
        </w:rPr>
        <w:t>M-2008-2069887</w:t>
      </w:r>
      <w:r w:rsidR="003901CA">
        <w:rPr>
          <w:szCs w:val="24"/>
        </w:rPr>
        <w:t xml:space="preserve"> and</w:t>
      </w:r>
      <w:r w:rsidRPr="006F485A">
        <w:rPr>
          <w:szCs w:val="24"/>
        </w:rPr>
        <w:t xml:space="preserve"> M-2012-2289411</w:t>
      </w:r>
      <w:r w:rsidR="00702321">
        <w:rPr>
          <w:szCs w:val="24"/>
        </w:rPr>
        <w:t xml:space="preserve"> (March 20 </w:t>
      </w:r>
      <w:proofErr w:type="gramStart"/>
      <w:r w:rsidR="00702321">
        <w:rPr>
          <w:szCs w:val="24"/>
        </w:rPr>
        <w:t>Order</w:t>
      </w:r>
      <w:proofErr w:type="gramEnd"/>
      <w:r w:rsidR="00702321">
        <w:rPr>
          <w:szCs w:val="24"/>
        </w:rPr>
        <w:t>)</w:t>
      </w:r>
      <w:r w:rsidRPr="006F485A">
        <w:rPr>
          <w:szCs w:val="24"/>
        </w:rPr>
        <w:t xml:space="preserve">.  In </w:t>
      </w:r>
      <w:r w:rsidR="00702321">
        <w:rPr>
          <w:szCs w:val="24"/>
        </w:rPr>
        <w:t>the March 20</w:t>
      </w:r>
      <w:r w:rsidRPr="006F485A">
        <w:rPr>
          <w:szCs w:val="24"/>
        </w:rPr>
        <w:t xml:space="preserve"> Order, the Commission made an “initial determination” that “West Penn is not in compliance with the May 31, 2011, 1% consumption reduction requirement”, but is “in compliance with the May 31, 2013, 3% consum</w:t>
      </w:r>
      <w:r>
        <w:rPr>
          <w:szCs w:val="24"/>
        </w:rPr>
        <w:t xml:space="preserve">ption reduction requirement.”  </w:t>
      </w:r>
      <w:r w:rsidR="00702321">
        <w:rPr>
          <w:szCs w:val="24"/>
        </w:rPr>
        <w:t>The Commission issued the further directive:</w:t>
      </w:r>
    </w:p>
    <w:p w:rsidR="006535CE" w:rsidRDefault="006535CE" w:rsidP="00702321">
      <w:pPr>
        <w:spacing w:line="240" w:lineRule="auto"/>
        <w:ind w:left="1440" w:right="1350"/>
        <w:rPr>
          <w:szCs w:val="24"/>
        </w:rPr>
      </w:pPr>
    </w:p>
    <w:p w:rsidR="00702321" w:rsidRDefault="00702321" w:rsidP="00702321">
      <w:pPr>
        <w:spacing w:line="240" w:lineRule="auto"/>
        <w:ind w:left="1440" w:right="1350"/>
        <w:rPr>
          <w:szCs w:val="24"/>
        </w:rPr>
      </w:pPr>
      <w:r w:rsidRPr="00702321">
        <w:rPr>
          <w:szCs w:val="24"/>
        </w:rPr>
        <w:t>That the Commission initially deems that West Penn Power Company is not in compliance with the May 31, 2011, one percent consumption reduction requirement in Section 2806.1(c)(1) of the Pennsylvania Public Utility Code, 66 Pa.C.S. § 2806.1(c</w:t>
      </w:r>
      <w:proofErr w:type="gramStart"/>
      <w:r w:rsidRPr="00702321">
        <w:rPr>
          <w:szCs w:val="24"/>
        </w:rPr>
        <w:t>)(</w:t>
      </w:r>
      <w:proofErr w:type="gramEnd"/>
      <w:r w:rsidRPr="00702321">
        <w:rPr>
          <w:szCs w:val="24"/>
        </w:rPr>
        <w:t xml:space="preserve">1).  This initial determination will be deemed final unless a Petition is filed contesting this determination within 20 days of the date this Order is entered. </w:t>
      </w:r>
      <w:r w:rsidR="006643CA">
        <w:rPr>
          <w:szCs w:val="24"/>
        </w:rPr>
        <w:t xml:space="preserve"> </w:t>
      </w:r>
      <w:r w:rsidRPr="00702321">
        <w:rPr>
          <w:szCs w:val="24"/>
        </w:rPr>
        <w:t xml:space="preserve">Such petitions shall reference Docket Nos. </w:t>
      </w:r>
      <w:proofErr w:type="gramStart"/>
      <w:r w:rsidRPr="00702321">
        <w:rPr>
          <w:szCs w:val="24"/>
        </w:rPr>
        <w:t>M-2008-2069887 and M-2009-2093218.</w:t>
      </w:r>
      <w:proofErr w:type="gramEnd"/>
      <w:r w:rsidRPr="00702321">
        <w:rPr>
          <w:szCs w:val="24"/>
        </w:rPr>
        <w:t xml:space="preserve">  The issue of whether West Penn Power Company is in compliance with Section 2806.1(c) of the Pennsylvania Public Utility Code, 66 Pa.C.S. § 2806.1(c)(1), and whether West Penn Power Company is subject to the penalties contained in Section 2806.1(f)(2) of the Pennsylvania Public Utility Code, 66 Pa.C.S. § 2806.1(f)(2), is referred to the Commission’s Bureau of Investigation and Enforcement for the initiation of an appropriate proceeding, which is to be initiated no later than May</w:t>
      </w:r>
      <w:r w:rsidR="006535CE">
        <w:rPr>
          <w:szCs w:val="24"/>
        </w:rPr>
        <w:t> </w:t>
      </w:r>
      <w:r w:rsidRPr="00702321">
        <w:rPr>
          <w:szCs w:val="24"/>
        </w:rPr>
        <w:t>30, 2014.  If a Petition challenging this initial determination is filed within 20 days of the entry date of this Order, any action initiated by the Bureau of Investigation and Enforcement shall be consolidated with the proceeding brought challenging the initial determination.</w:t>
      </w:r>
      <w:r>
        <w:rPr>
          <w:rStyle w:val="FootnoteReference"/>
          <w:szCs w:val="24"/>
        </w:rPr>
        <w:footnoteReference w:id="1"/>
      </w:r>
    </w:p>
    <w:p w:rsidR="00702321" w:rsidRDefault="00702321" w:rsidP="006F485A">
      <w:pPr>
        <w:ind w:firstLine="1440"/>
        <w:rPr>
          <w:szCs w:val="24"/>
        </w:rPr>
      </w:pPr>
    </w:p>
    <w:p w:rsidR="006F485A" w:rsidRPr="006F485A" w:rsidRDefault="006F485A" w:rsidP="006F485A">
      <w:pPr>
        <w:ind w:firstLine="1440"/>
        <w:rPr>
          <w:szCs w:val="24"/>
        </w:rPr>
      </w:pPr>
      <w:r w:rsidRPr="006F485A">
        <w:rPr>
          <w:szCs w:val="24"/>
        </w:rPr>
        <w:t>On April 9, 2014, pursuant to the Commiss</w:t>
      </w:r>
      <w:r w:rsidR="00DC0592">
        <w:rPr>
          <w:szCs w:val="24"/>
        </w:rPr>
        <w:t>ion’s direction in its March 20</w:t>
      </w:r>
      <w:r w:rsidRPr="006F485A">
        <w:rPr>
          <w:szCs w:val="24"/>
        </w:rPr>
        <w:t xml:space="preserve"> Order, West Penn filed a petition stating grounds for challenging the Commission’s initial determination that West Penn is not in compliance with the 1% consumption reduction requirement</w:t>
      </w:r>
      <w:r w:rsidR="00B26848">
        <w:rPr>
          <w:szCs w:val="24"/>
        </w:rPr>
        <w:t>, which was docketed at P-2014-2415521</w:t>
      </w:r>
      <w:r w:rsidR="003901CA">
        <w:rPr>
          <w:szCs w:val="24"/>
        </w:rPr>
        <w:t xml:space="preserve"> </w:t>
      </w:r>
      <w:r w:rsidRPr="006F485A">
        <w:rPr>
          <w:szCs w:val="24"/>
        </w:rPr>
        <w:t>(Act 129 Petition)</w:t>
      </w:r>
      <w:r w:rsidR="00930E96">
        <w:rPr>
          <w:szCs w:val="24"/>
        </w:rPr>
        <w:t>.</w:t>
      </w:r>
      <w:r w:rsidRPr="006F485A">
        <w:rPr>
          <w:szCs w:val="24"/>
        </w:rPr>
        <w:t xml:space="preserve">  West Penn also filed a petition for review of the Commission’s March 20, 2014 Order with the Commonwealth Court on April 21, 2014.</w:t>
      </w:r>
      <w:r w:rsidRPr="003901CA">
        <w:rPr>
          <w:rStyle w:val="FootnoteReference"/>
          <w:szCs w:val="24"/>
        </w:rPr>
        <w:footnoteReference w:id="2"/>
      </w:r>
      <w:r w:rsidR="003901CA">
        <w:rPr>
          <w:szCs w:val="24"/>
        </w:rPr>
        <w:t xml:space="preserve">  </w:t>
      </w:r>
      <w:r w:rsidRPr="006F485A">
        <w:rPr>
          <w:szCs w:val="24"/>
        </w:rPr>
        <w:t>Both the Act 129 Petition filed with the Commission and the petition for review filed with the Commonwealth Court, among other things, challenge</w:t>
      </w:r>
      <w:r w:rsidR="00FD27C6">
        <w:rPr>
          <w:szCs w:val="24"/>
        </w:rPr>
        <w:t>d</w:t>
      </w:r>
      <w:r w:rsidRPr="006F485A">
        <w:rPr>
          <w:szCs w:val="24"/>
        </w:rPr>
        <w:t xml:space="preserve"> the Commission’s procedure for concluding initially that West Penn’s failure to meet its 2011 reduction target constituted a violation of Act 129 and asserted that West Penn had not been afforded adequate due process.</w:t>
      </w:r>
    </w:p>
    <w:p w:rsidR="00730D74" w:rsidRDefault="00730D74" w:rsidP="006F485A">
      <w:pPr>
        <w:ind w:firstLine="1440"/>
        <w:rPr>
          <w:szCs w:val="24"/>
        </w:rPr>
      </w:pPr>
    </w:p>
    <w:p w:rsidR="007B7E83" w:rsidRDefault="006F485A" w:rsidP="006F485A">
      <w:pPr>
        <w:ind w:firstLine="1440"/>
        <w:rPr>
          <w:szCs w:val="24"/>
        </w:rPr>
      </w:pPr>
      <w:r w:rsidRPr="006F485A">
        <w:rPr>
          <w:szCs w:val="24"/>
        </w:rPr>
        <w:t>The Office of Consumer Advocate (OCA) and Office of Small Business Advocate (OSBA) both filed notices of intervention</w:t>
      </w:r>
      <w:r w:rsidR="00DC0592">
        <w:rPr>
          <w:szCs w:val="24"/>
        </w:rPr>
        <w:t xml:space="preserve"> in the Act 129 Petition proceeding</w:t>
      </w:r>
      <w:r w:rsidRPr="006F485A">
        <w:rPr>
          <w:szCs w:val="24"/>
        </w:rPr>
        <w:t xml:space="preserve"> on April 29, 2014 and May 2, 2014, respectively.    </w:t>
      </w:r>
    </w:p>
    <w:p w:rsidR="007B7E83" w:rsidRDefault="007B7E83" w:rsidP="006F485A">
      <w:pPr>
        <w:ind w:firstLine="1440"/>
        <w:rPr>
          <w:szCs w:val="24"/>
        </w:rPr>
      </w:pPr>
    </w:p>
    <w:p w:rsidR="006F485A" w:rsidRDefault="007B7E83" w:rsidP="006F485A">
      <w:pPr>
        <w:ind w:firstLine="1440"/>
        <w:rPr>
          <w:szCs w:val="24"/>
        </w:rPr>
      </w:pPr>
      <w:r>
        <w:rPr>
          <w:szCs w:val="24"/>
        </w:rPr>
        <w:t>On</w:t>
      </w:r>
      <w:r w:rsidR="006F485A" w:rsidRPr="006F485A">
        <w:rPr>
          <w:szCs w:val="24"/>
        </w:rPr>
        <w:t xml:space="preserve"> April 22, 2014, </w:t>
      </w:r>
      <w:r w:rsidR="00FD27C6">
        <w:rPr>
          <w:szCs w:val="24"/>
        </w:rPr>
        <w:t xml:space="preserve">the Commission’s Bureau of Investigation and Enforcement (BIE) </w:t>
      </w:r>
      <w:r w:rsidR="006F485A" w:rsidRPr="006F485A">
        <w:rPr>
          <w:szCs w:val="24"/>
        </w:rPr>
        <w:t>filed a complaint seeking a civil penalty for the alleged violation of Act 129 that is the subject of the Act 129 Pe</w:t>
      </w:r>
      <w:r w:rsidR="00DC0592">
        <w:rPr>
          <w:szCs w:val="24"/>
        </w:rPr>
        <w:t>tition</w:t>
      </w:r>
      <w:r w:rsidR="003135C3">
        <w:rPr>
          <w:szCs w:val="24"/>
        </w:rPr>
        <w:t>, which was docketed at C-2014-2417325</w:t>
      </w:r>
      <w:r w:rsidR="00DC0592">
        <w:rPr>
          <w:szCs w:val="24"/>
        </w:rPr>
        <w:t xml:space="preserve"> (Civil Penalty Complaint)</w:t>
      </w:r>
      <w:r w:rsidR="003135C3">
        <w:rPr>
          <w:szCs w:val="24"/>
        </w:rPr>
        <w:t>.</w:t>
      </w:r>
      <w:r>
        <w:rPr>
          <w:szCs w:val="24"/>
        </w:rPr>
        <w:t xml:space="preserve">  The OCA filed </w:t>
      </w:r>
      <w:r w:rsidR="003135C3">
        <w:rPr>
          <w:szCs w:val="24"/>
        </w:rPr>
        <w:t>a notice of intervention on May 19, 2014.</w:t>
      </w:r>
      <w:r>
        <w:rPr>
          <w:szCs w:val="24"/>
        </w:rPr>
        <w:t xml:space="preserve">  The Company filed its answer</w:t>
      </w:r>
      <w:r w:rsidR="003135C3">
        <w:rPr>
          <w:szCs w:val="24"/>
        </w:rPr>
        <w:t xml:space="preserve"> and new matter on May 19, 2014.  BIE answered the new matter on June 2, 2014.  OSBA did not file an intervention in the Civil Penalty Complaint.</w:t>
      </w:r>
    </w:p>
    <w:p w:rsidR="003135C3" w:rsidRDefault="003135C3" w:rsidP="006F485A">
      <w:pPr>
        <w:ind w:firstLine="1440"/>
        <w:rPr>
          <w:szCs w:val="24"/>
        </w:rPr>
      </w:pPr>
    </w:p>
    <w:p w:rsidR="006F485A" w:rsidRDefault="00DC0592" w:rsidP="006F485A">
      <w:pPr>
        <w:ind w:firstLine="1440"/>
        <w:rPr>
          <w:szCs w:val="24"/>
        </w:rPr>
      </w:pPr>
      <w:r>
        <w:rPr>
          <w:szCs w:val="24"/>
        </w:rPr>
        <w:t>A</w:t>
      </w:r>
      <w:r w:rsidR="006F485A" w:rsidRPr="003135C3">
        <w:rPr>
          <w:szCs w:val="24"/>
        </w:rPr>
        <w:t xml:space="preserve"> prehearing conference</w:t>
      </w:r>
      <w:r w:rsidR="003135C3" w:rsidRPr="003135C3">
        <w:rPr>
          <w:szCs w:val="24"/>
        </w:rPr>
        <w:t xml:space="preserve"> was held on Friday, May 9, 2014.</w:t>
      </w:r>
      <w:r w:rsidR="007237A4">
        <w:rPr>
          <w:szCs w:val="24"/>
        </w:rPr>
        <w:t xml:space="preserve"> </w:t>
      </w:r>
      <w:r w:rsidR="003135C3" w:rsidRPr="003135C3">
        <w:rPr>
          <w:szCs w:val="24"/>
        </w:rPr>
        <w:t xml:space="preserve"> </w:t>
      </w:r>
      <w:r w:rsidR="006F485A" w:rsidRPr="003135C3">
        <w:rPr>
          <w:szCs w:val="24"/>
        </w:rPr>
        <w:t>The parties and BIE discussed the procedural posture of the Act 129 Petition.  BIE stated that it did not intend to participate in the Act 129 Petition proceedings and objected to any consolidation of the Act 129 Petition with the Civil Penalty Complaint, in spite of the direction of the Commission in its March 20 Order.  West Penn asked for a 45-day stay of proceedings in order to discuss resolution of the Act 129 Petition, but only if BIE was also willing to discuss resolution of the Civil Penalty Complaint at the same time.  BIE agreed to discuss resolution of both matters at the same time.  OCA and OSBA did not object to the proposed procedure and were willing to discuss resolution of both the Act 129 Petition and the Civil Penalty Complaint.</w:t>
      </w:r>
      <w:r w:rsidR="003135C3">
        <w:rPr>
          <w:szCs w:val="24"/>
        </w:rPr>
        <w:t xml:space="preserve">  These matters were memorialized by order dated May 9, 2014.  I took no formal action related to the consolidation of the Act 129 Petition and the Civil Penalty Complaint, pending the parties’ settlement discussions.  The parties were directed to keep me informed of the progress of their negotiations, which they did</w:t>
      </w:r>
      <w:r w:rsidR="008374BA">
        <w:rPr>
          <w:szCs w:val="24"/>
        </w:rPr>
        <w:t>.</w:t>
      </w:r>
    </w:p>
    <w:p w:rsidR="006761E0" w:rsidRDefault="006761E0" w:rsidP="006761E0"/>
    <w:p w:rsidR="00242171" w:rsidRDefault="006761E0" w:rsidP="006761E0">
      <w:r>
        <w:tab/>
        <w:t>The parties reported to me that they had reached an accord which would resolve the dispute in both the Act 129 Petition and the Civil Penalty Complaint.  A conference call was held on July 22, 2014, to discuss the procedure for submitting the proposed settlement and statements in support.  The parties also informed me that by order dated June 27, 2014, the Commonwealth Court required the filing of initial briefs in the petition for review pending before that tribunal on or before September 15, 2014.  The order also provided that if briefs were not filed on that day, the petition for review would be dismissed “as of course.”</w:t>
      </w:r>
      <w:r w:rsidRPr="006761E0">
        <w:rPr>
          <w:rStyle w:val="FootnoteReference"/>
        </w:rPr>
        <w:footnoteReference w:id="3"/>
      </w:r>
      <w:r w:rsidR="00242171">
        <w:t xml:space="preserve">  Accordingly, the parties have requested that the Commission approve the settlement, without modification no later than the Public Meeting of August 21, 2014.  </w:t>
      </w:r>
    </w:p>
    <w:p w:rsidR="00242171" w:rsidRDefault="00242171" w:rsidP="006761E0">
      <w:r>
        <w:tab/>
      </w:r>
    </w:p>
    <w:p w:rsidR="006761E0" w:rsidRDefault="00242171" w:rsidP="00FA0B0D">
      <w:pPr>
        <w:spacing w:after="240"/>
      </w:pPr>
      <w:r>
        <w:tab/>
        <w:t>The Joint Petition for Approval of Unanimous Settlement of All Issues and Stipulation of Facts (Joint Petition or Settlement) was filed on July 30, 2014, at the docket for the Civil Penalty Complaint.</w:t>
      </w:r>
      <w:r w:rsidR="00C34288">
        <w:rPr>
          <w:rStyle w:val="FootnoteReference"/>
        </w:rPr>
        <w:footnoteReference w:id="4"/>
      </w:r>
      <w:r>
        <w:t xml:space="preserve"> </w:t>
      </w:r>
      <w:r w:rsidR="00B13BC3">
        <w:t xml:space="preserve"> </w:t>
      </w:r>
      <w:r>
        <w:t>All parties</w:t>
      </w:r>
      <w:r w:rsidR="00304F8A">
        <w:t xml:space="preserve"> to the Civil Penalty Complaint</w:t>
      </w:r>
      <w:r w:rsidR="00FA0B0D">
        <w:t xml:space="preserve"> (Join</w:t>
      </w:r>
      <w:bookmarkStart w:id="0" w:name="_GoBack"/>
      <w:bookmarkEnd w:id="0"/>
      <w:r w:rsidR="00FA0B0D">
        <w:t>t Petitioners)</w:t>
      </w:r>
      <w:r>
        <w:t xml:space="preserve"> have joined the </w:t>
      </w:r>
      <w:r w:rsidR="00AA1CAA">
        <w:t>Settlement</w:t>
      </w:r>
      <w:r>
        <w:t xml:space="preserve"> and filed statements in support.  The OSBA did not intervene in the Civil Penalty Complaint, but </w:t>
      </w:r>
      <w:r w:rsidR="00304F8A">
        <w:t>the parties to the Civil Penalty Complaint represent that OSBA did not</w:t>
      </w:r>
      <w:r w:rsidR="001B15D8">
        <w:t xml:space="preserve"> object</w:t>
      </w:r>
      <w:r>
        <w:t xml:space="preserve"> to</w:t>
      </w:r>
      <w:r w:rsidR="003462B2">
        <w:t xml:space="preserve"> the</w:t>
      </w:r>
      <w:r>
        <w:t xml:space="preserve"> </w:t>
      </w:r>
      <w:r w:rsidR="00AA1CAA">
        <w:t>Settlement</w:t>
      </w:r>
      <w:r>
        <w:t>.</w:t>
      </w:r>
      <w:r w:rsidR="00304F8A">
        <w:t xml:space="preserve">  As explained more fully below, the </w:t>
      </w:r>
      <w:r w:rsidR="00AA1CAA">
        <w:t>Settlement</w:t>
      </w:r>
      <w:r w:rsidR="00304F8A">
        <w:t xml:space="preserve"> is a reasonable compromise of the issues raised by the parties and I recommend that the Commission approve the </w:t>
      </w:r>
      <w:r w:rsidR="00AA1CAA">
        <w:t>Settlement</w:t>
      </w:r>
      <w:r w:rsidR="00304F8A">
        <w:t xml:space="preserve"> without modification.</w:t>
      </w:r>
    </w:p>
    <w:p w:rsidR="00B45FA5" w:rsidRPr="00BB3F72" w:rsidRDefault="00FA0B0D" w:rsidP="00BB3F72">
      <w:pPr>
        <w:pStyle w:val="ListParagraph"/>
        <w:numPr>
          <w:ilvl w:val="0"/>
          <w:numId w:val="7"/>
        </w:numPr>
        <w:jc w:val="center"/>
        <w:rPr>
          <w:u w:val="single"/>
        </w:rPr>
      </w:pPr>
      <w:r w:rsidRPr="00BB3F72">
        <w:rPr>
          <w:u w:val="single"/>
        </w:rPr>
        <w:t>STIPULATED</w:t>
      </w:r>
      <w:r w:rsidR="00B45FA5" w:rsidRPr="00BB3F72">
        <w:rPr>
          <w:u w:val="single"/>
        </w:rPr>
        <w:t xml:space="preserve"> FACT</w:t>
      </w:r>
      <w:r w:rsidRPr="00BB3F72">
        <w:rPr>
          <w:u w:val="single"/>
        </w:rPr>
        <w:t>S</w:t>
      </w:r>
    </w:p>
    <w:p w:rsidR="0097161C" w:rsidRPr="00C06ED2" w:rsidRDefault="0097161C" w:rsidP="00C06ED2">
      <w:pPr>
        <w:jc w:val="center"/>
        <w:rPr>
          <w:u w:val="single"/>
        </w:rPr>
      </w:pPr>
    </w:p>
    <w:p w:rsidR="00B45FA5" w:rsidRDefault="00B45FA5" w:rsidP="006761E0">
      <w:r>
        <w:tab/>
        <w:t>The parties have stipulated to the following facts.</w:t>
      </w:r>
      <w:r w:rsidR="00C06ED2">
        <w:rPr>
          <w:rStyle w:val="FootnoteReference"/>
        </w:rPr>
        <w:footnoteReference w:id="5"/>
      </w:r>
    </w:p>
    <w:p w:rsidR="0097161C" w:rsidRDefault="0097161C" w:rsidP="006761E0"/>
    <w:p w:rsidR="00C06ED2" w:rsidRDefault="00C06ED2" w:rsidP="00BA191E">
      <w:pPr>
        <w:pStyle w:val="ListNumber"/>
        <w:spacing w:line="360" w:lineRule="auto"/>
        <w:ind w:firstLine="1440"/>
      </w:pPr>
      <w:r>
        <w:t>The Joint Petitioners stipulate to the following facts in support of the Settlement.</w:t>
      </w:r>
    </w:p>
    <w:p w:rsidR="00BA191E" w:rsidRDefault="00BA191E" w:rsidP="00BA191E">
      <w:pPr>
        <w:pStyle w:val="ListNumber"/>
        <w:numPr>
          <w:ilvl w:val="0"/>
          <w:numId w:val="0"/>
        </w:numPr>
        <w:spacing w:line="360" w:lineRule="auto"/>
        <w:ind w:left="1440"/>
      </w:pPr>
    </w:p>
    <w:p w:rsidR="00C06ED2" w:rsidRDefault="00C06ED2" w:rsidP="00BA191E">
      <w:pPr>
        <w:pStyle w:val="ListNumber"/>
        <w:spacing w:line="360" w:lineRule="auto"/>
        <w:ind w:firstLine="1440"/>
      </w:pPr>
      <w:r>
        <w:t>West Penn’s Act 129 May 31, 2011 1% electric consumption goal was a reduction of 209,387 MWh.  In its Phase I Final Annual Report, the SWE reported a West Penn reduction of 90,520 MWh or 43% of the goal.</w:t>
      </w:r>
    </w:p>
    <w:p w:rsidR="00BA191E" w:rsidRDefault="00BA191E" w:rsidP="00BA191E">
      <w:pPr>
        <w:pStyle w:val="ListNumber"/>
        <w:numPr>
          <w:ilvl w:val="0"/>
          <w:numId w:val="0"/>
        </w:numPr>
        <w:spacing w:line="360" w:lineRule="auto"/>
        <w:ind w:left="1440"/>
      </w:pPr>
    </w:p>
    <w:p w:rsidR="00C06ED2" w:rsidRDefault="00C06ED2" w:rsidP="007C4E58">
      <w:pPr>
        <w:pStyle w:val="ListNumber"/>
        <w:spacing w:line="360" w:lineRule="auto"/>
        <w:ind w:firstLine="1440"/>
      </w:pPr>
      <w:r>
        <w:t xml:space="preserve">West Penn’s 3% May 31, 2013 goal, which included the </w:t>
      </w:r>
      <w:proofErr w:type="gramStart"/>
      <w:r>
        <w:t>MWhs</w:t>
      </w:r>
      <w:proofErr w:type="gramEnd"/>
      <w:r>
        <w:t xml:space="preserve"> to be reduced by May 31, 2011, was to reduce electric consumption in its service territory by 628,160</w:t>
      </w:r>
      <w:r w:rsidR="00BA191E">
        <w:t> </w:t>
      </w:r>
      <w:proofErr w:type="spellStart"/>
      <w:r>
        <w:t>MWh</w:t>
      </w:r>
      <w:proofErr w:type="spellEnd"/>
      <w:r>
        <w:t>.  The Company reported and the SWE validated a reduction of 688,089 MWh as of May 31, 2013, which represents 110% of West Penn’s reduction requirement.</w:t>
      </w:r>
    </w:p>
    <w:p w:rsidR="007C4E58" w:rsidRDefault="007C4E58" w:rsidP="007C4E58">
      <w:pPr>
        <w:pStyle w:val="ListNumber"/>
        <w:numPr>
          <w:ilvl w:val="0"/>
          <w:numId w:val="0"/>
        </w:numPr>
        <w:spacing w:line="360" w:lineRule="auto"/>
        <w:ind w:left="1440"/>
      </w:pPr>
    </w:p>
    <w:p w:rsidR="00C06ED2" w:rsidRDefault="00C06ED2" w:rsidP="007825B3">
      <w:pPr>
        <w:pStyle w:val="ListNumber"/>
        <w:spacing w:line="360" w:lineRule="auto"/>
        <w:ind w:firstLine="1440"/>
      </w:pPr>
      <w:r>
        <w:t>West Penn’s July 15, 2011 preliminary report and its subsequent annual report filed with the Commission on November 30, 2011</w:t>
      </w:r>
      <w:proofErr w:type="gramStart"/>
      <w:r w:rsidR="00FA0B0D">
        <w:t xml:space="preserve">, </w:t>
      </w:r>
      <w:r>
        <w:t xml:space="preserve"> indicated</w:t>
      </w:r>
      <w:proofErr w:type="gramEnd"/>
      <w:r>
        <w:t xml:space="preserve"> that the Company reached its 1% energy reduction target in November 2011.  </w:t>
      </w:r>
    </w:p>
    <w:p w:rsidR="007825B3" w:rsidRDefault="007825B3" w:rsidP="007825B3">
      <w:pPr>
        <w:pStyle w:val="ListNumber"/>
        <w:numPr>
          <w:ilvl w:val="0"/>
          <w:numId w:val="0"/>
        </w:numPr>
        <w:spacing w:line="360" w:lineRule="auto"/>
        <w:ind w:left="1440"/>
      </w:pPr>
    </w:p>
    <w:p w:rsidR="00C06ED2" w:rsidRDefault="00C06ED2" w:rsidP="007825B3">
      <w:pPr>
        <w:pStyle w:val="ListNumber"/>
        <w:spacing w:line="360" w:lineRule="auto"/>
        <w:ind w:firstLine="1440"/>
      </w:pPr>
      <w:r>
        <w:t>The Company achieved 119% of West Penn’s 4.5% peak demand reduction goal of 157 MW over the highest 100 hours.</w:t>
      </w:r>
    </w:p>
    <w:p w:rsidR="007825B3" w:rsidRDefault="007825B3" w:rsidP="007825B3">
      <w:pPr>
        <w:pStyle w:val="ListNumber"/>
        <w:numPr>
          <w:ilvl w:val="0"/>
          <w:numId w:val="0"/>
        </w:numPr>
        <w:spacing w:line="360" w:lineRule="auto"/>
        <w:ind w:left="1440"/>
      </w:pPr>
    </w:p>
    <w:p w:rsidR="00C06ED2" w:rsidRDefault="00C06ED2" w:rsidP="007825B3">
      <w:pPr>
        <w:pStyle w:val="ListNumber"/>
        <w:spacing w:line="360" w:lineRule="auto"/>
        <w:ind w:firstLine="1440"/>
      </w:pPr>
      <w:r>
        <w:t>With respect to the Government/Educational/Non-Profit category of reductions, West Penn achieved 240% of the Company’s electric consumption reduction goal and 246% of the peak demand reduction requirement.</w:t>
      </w:r>
    </w:p>
    <w:p w:rsidR="007825B3" w:rsidRDefault="007825B3" w:rsidP="007825B3">
      <w:pPr>
        <w:pStyle w:val="ListNumber"/>
        <w:numPr>
          <w:ilvl w:val="0"/>
          <w:numId w:val="0"/>
        </w:numPr>
        <w:spacing w:line="360" w:lineRule="auto"/>
        <w:ind w:left="1440"/>
      </w:pPr>
    </w:p>
    <w:p w:rsidR="00C06ED2" w:rsidRDefault="00C06ED2" w:rsidP="007825B3">
      <w:pPr>
        <w:pStyle w:val="ListNumber"/>
        <w:spacing w:after="240" w:line="360" w:lineRule="auto"/>
        <w:ind w:firstLine="1440"/>
      </w:pPr>
      <w:r>
        <w:t xml:space="preserve">The Company offered 23.8% of its EE&amp;C Plan measures to low-income customers in comparison to the 8.5% of its measures that was required. </w:t>
      </w:r>
    </w:p>
    <w:p w:rsidR="00C06ED2" w:rsidRDefault="00C06ED2" w:rsidP="007825B3">
      <w:pPr>
        <w:pStyle w:val="ListNumber"/>
        <w:spacing w:line="360" w:lineRule="auto"/>
        <w:ind w:firstLine="1440"/>
      </w:pPr>
      <w:r>
        <w:t xml:space="preserve">Under Act 129, West Penn’s budget to accomplish compliance was the lowest of all EDCs subject to the Act on a dollars per MWh basis. </w:t>
      </w:r>
    </w:p>
    <w:p w:rsidR="007825B3" w:rsidRDefault="007825B3" w:rsidP="007825B3">
      <w:pPr>
        <w:pStyle w:val="ListNumber"/>
        <w:numPr>
          <w:ilvl w:val="0"/>
          <w:numId w:val="0"/>
        </w:numPr>
        <w:spacing w:line="360" w:lineRule="auto"/>
        <w:ind w:left="1440"/>
      </w:pPr>
    </w:p>
    <w:p w:rsidR="00C06ED2" w:rsidRDefault="00D81FA7" w:rsidP="007825B3">
      <w:pPr>
        <w:pStyle w:val="ListNumber"/>
        <w:numPr>
          <w:ilvl w:val="0"/>
          <w:numId w:val="0"/>
        </w:numPr>
        <w:spacing w:line="360" w:lineRule="auto"/>
        <w:jc w:val="center"/>
        <w:rPr>
          <w:u w:val="single"/>
        </w:rPr>
      </w:pPr>
      <w:r>
        <w:t>III.</w:t>
      </w:r>
      <w:r w:rsidR="00B85517">
        <w:tab/>
      </w:r>
      <w:r w:rsidR="00C06ED2" w:rsidRPr="007F3434">
        <w:rPr>
          <w:u w:val="single"/>
        </w:rPr>
        <w:t>TERMS OF THE SETTLEMENT</w:t>
      </w:r>
    </w:p>
    <w:p w:rsidR="007825B3" w:rsidRPr="007F3434" w:rsidRDefault="007825B3" w:rsidP="007825B3">
      <w:pPr>
        <w:pStyle w:val="ListNumber"/>
        <w:numPr>
          <w:ilvl w:val="0"/>
          <w:numId w:val="0"/>
        </w:numPr>
        <w:spacing w:line="360" w:lineRule="auto"/>
        <w:jc w:val="center"/>
        <w:rPr>
          <w:u w:val="single"/>
        </w:rPr>
      </w:pPr>
    </w:p>
    <w:p w:rsidR="00C06ED2" w:rsidRDefault="00C06ED2" w:rsidP="00C06ED2">
      <w:r>
        <w:tab/>
        <w:t>The following terms, found in Section IV</w:t>
      </w:r>
      <w:r w:rsidR="00FA0B0D">
        <w:t xml:space="preserve"> o</w:t>
      </w:r>
      <w:r>
        <w:t>f the Joint Petition are quoted below.  The parties aver that these terms reflect a compromise of the interests of all of the Joint Petitioners in these proceedings.  The Joint Petitioners unanimously agree that the Settlement, which resolves all the issues, is in the public interest:</w:t>
      </w:r>
    </w:p>
    <w:p w:rsidR="007825B3" w:rsidRPr="00F56283" w:rsidRDefault="007825B3" w:rsidP="007825B3">
      <w:pPr>
        <w:spacing w:line="240" w:lineRule="auto"/>
      </w:pPr>
    </w:p>
    <w:p w:rsidR="00C06ED2" w:rsidRDefault="00C06ED2" w:rsidP="00C06ED2">
      <w:pPr>
        <w:spacing w:line="240" w:lineRule="auto"/>
        <w:ind w:left="1440" w:right="1440"/>
      </w:pPr>
      <w:r>
        <w:tab/>
        <w:t>29.</w:t>
      </w:r>
      <w:r>
        <w:tab/>
        <w:t xml:space="preserve">West Penn shall make a payment of $1.3 million by certified check, payable to the Commonwealth of Pennsylvania, in satisfaction of </w:t>
      </w:r>
      <w:proofErr w:type="gramStart"/>
      <w:r>
        <w:t>I&amp;E’s</w:t>
      </w:r>
      <w:proofErr w:type="gramEnd"/>
      <w:r>
        <w:t xml:space="preserve"> allegations and the Commission’s initial determination that the Company violated the statutory requirements of Act 129.  This payment shall be made within thirty (30) days of the Commission’s approval of the Settlement without further condition or modification.  The Company shall promptly notify all Joint Petitioners when payment has been made.  West Penn will not seek to recover any portion of the $1.3 million payment from ratepayers or in rates.</w:t>
      </w:r>
      <w:r w:rsidRPr="008D2615">
        <w:t xml:space="preserve"> </w:t>
      </w:r>
    </w:p>
    <w:p w:rsidR="007F3434" w:rsidRDefault="007F3434" w:rsidP="00C06ED2">
      <w:pPr>
        <w:spacing w:line="240" w:lineRule="auto"/>
        <w:ind w:left="1440" w:right="1440"/>
      </w:pPr>
    </w:p>
    <w:p w:rsidR="00C06ED2" w:rsidRDefault="00C06ED2" w:rsidP="00C06ED2">
      <w:pPr>
        <w:spacing w:line="240" w:lineRule="auto"/>
        <w:ind w:left="1440" w:right="1440"/>
      </w:pPr>
      <w:r>
        <w:tab/>
        <w:t xml:space="preserve">30. </w:t>
      </w:r>
      <w:r>
        <w:tab/>
        <w:t>West Penn makes no admission of liability with respect to violation of Act 129 in this Settlement.</w:t>
      </w:r>
    </w:p>
    <w:p w:rsidR="007F3434" w:rsidRDefault="007F3434" w:rsidP="00C06ED2">
      <w:pPr>
        <w:spacing w:line="240" w:lineRule="auto"/>
        <w:ind w:left="1440" w:right="1440"/>
      </w:pPr>
    </w:p>
    <w:p w:rsidR="00C06ED2" w:rsidRDefault="00C06ED2" w:rsidP="00C06ED2">
      <w:pPr>
        <w:spacing w:line="240" w:lineRule="auto"/>
        <w:ind w:left="1440" w:right="1440"/>
      </w:pPr>
      <w:r>
        <w:tab/>
        <w:t>31.</w:t>
      </w:r>
      <w:r>
        <w:tab/>
        <w:t xml:space="preserve">West Penn, upon Commission approval of the settlement without condition or modification and provided the period for seeking reconsideration of the Commission’s order approving the Settlement has expired without the filing of any petition for reconsideration, shall file to withdraw the appeal pending before Commonwealth Court at No. 656 CD 2014, and West Penn’s Petition pending before the Commission at Docket No. </w:t>
      </w:r>
      <w:proofErr w:type="gramStart"/>
      <w:r>
        <w:t>P-2014-2415521.</w:t>
      </w:r>
      <w:proofErr w:type="gramEnd"/>
    </w:p>
    <w:p w:rsidR="007F3434" w:rsidRDefault="007F3434" w:rsidP="007F3434"/>
    <w:p w:rsidR="00BC06E9" w:rsidRDefault="00BC06E9" w:rsidP="00BC06E9">
      <w:r>
        <w:t xml:space="preserve">The parties also note that the </w:t>
      </w:r>
      <w:r w:rsidR="00250EE3">
        <w:t>resolution</w:t>
      </w:r>
      <w:r>
        <w:t xml:space="preserve"> proposed by the Joint Petitioners </w:t>
      </w:r>
      <w:r w:rsidR="00250EE3">
        <w:t xml:space="preserve">is intended </w:t>
      </w:r>
      <w:r>
        <w:t xml:space="preserve">to settle all issues in both the instant proceeding and the Company’s </w:t>
      </w:r>
      <w:r w:rsidR="00250EE3">
        <w:t>Act 129 Petition</w:t>
      </w:r>
      <w:r>
        <w:t xml:space="preserve">.  If the Commission does not approve the </w:t>
      </w:r>
      <w:r w:rsidR="00AA1CAA">
        <w:t>Settlement</w:t>
      </w:r>
      <w:r>
        <w:t xml:space="preserve"> and the proceedings continue, the Joint Petitioners reserve their respective procedural rights to discovery, evidentiary hearings, submission of testimony and exhibits, cross-examination of witnesses, briefing, and argument of their respective positions before the Commission, as well as continued litigation of the petition for review before the Commonwealth Court.  The </w:t>
      </w:r>
      <w:r w:rsidR="00AA1CAA">
        <w:t>Settlement</w:t>
      </w:r>
      <w:r>
        <w:t xml:space="preserve"> is made without any admission against, or prejudice to, any position that any Joint Petitioner may adopt in the event of any subsequent litigation of these proceedings, or in any other proceeding.   The Joint Petitioners also acknowledge that the </w:t>
      </w:r>
      <w:r w:rsidR="00AA1CAA">
        <w:t>Settlement</w:t>
      </w:r>
      <w:r>
        <w:t xml:space="preserve"> reflects a compromise of competing positions and does not necessarily reflect any Joint Petitioner’s position with respect to any issues raised in this proceeding.  The Joint Pet</w:t>
      </w:r>
      <w:r w:rsidR="00A90E9D">
        <w:t>itioners finally state</w:t>
      </w:r>
      <w:r w:rsidR="00250EE3">
        <w:t xml:space="preserve"> that they</w:t>
      </w:r>
      <w:r w:rsidR="00A90E9D">
        <w:t xml:space="preserve"> </w:t>
      </w:r>
      <w:r>
        <w:t xml:space="preserve">waive their right to file </w:t>
      </w:r>
      <w:r w:rsidR="0035026A">
        <w:t>e</w:t>
      </w:r>
      <w:r>
        <w:t>xceptions on the issues that are resolved by this Settlement</w:t>
      </w:r>
      <w:r w:rsidR="00A90E9D">
        <w:t xml:space="preserve">, in the event that I recommend approval of the </w:t>
      </w:r>
      <w:r w:rsidR="00AA1CAA">
        <w:t>Settlement</w:t>
      </w:r>
      <w:r w:rsidR="00A90E9D">
        <w:t xml:space="preserve"> without modification</w:t>
      </w:r>
      <w:r>
        <w:t>.</w:t>
      </w:r>
    </w:p>
    <w:p w:rsidR="006C6241" w:rsidRDefault="006C6241" w:rsidP="00BC06E9"/>
    <w:p w:rsidR="007F3434" w:rsidRPr="007B2315" w:rsidRDefault="007F3434" w:rsidP="007B2315">
      <w:pPr>
        <w:pStyle w:val="ListParagraph"/>
        <w:numPr>
          <w:ilvl w:val="0"/>
          <w:numId w:val="8"/>
        </w:numPr>
        <w:jc w:val="center"/>
        <w:rPr>
          <w:u w:val="single"/>
        </w:rPr>
      </w:pPr>
      <w:r w:rsidRPr="007B2315">
        <w:rPr>
          <w:u w:val="single"/>
        </w:rPr>
        <w:t>DISCUSSION</w:t>
      </w:r>
    </w:p>
    <w:p w:rsidR="00C06ED2" w:rsidRDefault="00C06ED2" w:rsidP="00C06ED2">
      <w:pPr>
        <w:pStyle w:val="ListNumber"/>
        <w:numPr>
          <w:ilvl w:val="0"/>
          <w:numId w:val="0"/>
        </w:numPr>
      </w:pPr>
    </w:p>
    <w:p w:rsidR="00A90E9D" w:rsidRPr="00A90E9D" w:rsidRDefault="00A90E9D" w:rsidP="00A90E9D">
      <w:pPr>
        <w:tabs>
          <w:tab w:val="clear" w:pos="1440"/>
        </w:tabs>
        <w:ind w:firstLine="1440"/>
        <w:rPr>
          <w:szCs w:val="24"/>
        </w:rPr>
      </w:pPr>
      <w:r w:rsidRPr="00A90E9D">
        <w:rPr>
          <w:szCs w:val="24"/>
        </w:rPr>
        <w:t>The Commission encourages parties in contested on-the-record proceedings to settle cases.</w:t>
      </w:r>
      <w:r w:rsidRPr="00A90E9D">
        <w:rPr>
          <w:szCs w:val="24"/>
          <w:vertAlign w:val="superscript"/>
        </w:rPr>
        <w:footnoteReference w:id="6"/>
      </w:r>
      <w:r w:rsidRPr="00A90E9D">
        <w:rPr>
          <w:szCs w:val="24"/>
        </w:rPr>
        <w:t xml:space="preserve">  Settlements eliminate the time, effort and expense of litigating a matter to its ultimate conclusion, which may entail review of the Commission’s decision by the appellate courts of Pennsylvania.  Such savings benefit not only the individual parties, but also the Commission and all ratepayers of a utility, who otherwise may have to bear the financial burden such litigation necessarily entails.</w:t>
      </w:r>
    </w:p>
    <w:p w:rsidR="00A90E9D" w:rsidRPr="00A90E9D" w:rsidRDefault="00A90E9D" w:rsidP="00A90E9D">
      <w:pPr>
        <w:tabs>
          <w:tab w:val="clear" w:pos="1440"/>
        </w:tabs>
        <w:ind w:firstLine="1440"/>
        <w:rPr>
          <w:szCs w:val="24"/>
        </w:rPr>
      </w:pPr>
    </w:p>
    <w:p w:rsidR="00A90E9D" w:rsidRDefault="00A90E9D" w:rsidP="00A90E9D">
      <w:pPr>
        <w:tabs>
          <w:tab w:val="clear" w:pos="1440"/>
        </w:tabs>
        <w:ind w:firstLine="1440"/>
        <w:rPr>
          <w:szCs w:val="24"/>
        </w:rPr>
      </w:pPr>
      <w:r w:rsidRPr="00A90E9D">
        <w:rPr>
          <w:szCs w:val="24"/>
        </w:rPr>
        <w:t xml:space="preserve">By definition, a “settlement” reflects a compromise of the positions that the parties of interest have </w:t>
      </w:r>
      <w:proofErr w:type="gramStart"/>
      <w:r w:rsidRPr="00A90E9D">
        <w:rPr>
          <w:szCs w:val="24"/>
        </w:rPr>
        <w:t>held,</w:t>
      </w:r>
      <w:proofErr w:type="gramEnd"/>
      <w:r w:rsidRPr="00A90E9D">
        <w:rPr>
          <w:szCs w:val="24"/>
        </w:rPr>
        <w:t xml:space="preserve"> which arguably fosters and promotes the public interest.  When active parties in a proceeding reach a settlement, the principal issue for Commission consideration is whether the agreement reached suits the public interest.</w:t>
      </w:r>
      <w:r w:rsidRPr="00A90E9D">
        <w:rPr>
          <w:szCs w:val="24"/>
          <w:vertAlign w:val="superscript"/>
        </w:rPr>
        <w:footnoteReference w:id="7"/>
      </w:r>
      <w:r w:rsidRPr="00A90E9D">
        <w:rPr>
          <w:szCs w:val="24"/>
        </w:rPr>
        <w:t xml:space="preserve">  In their supporting statements, </w:t>
      </w:r>
      <w:r>
        <w:rPr>
          <w:szCs w:val="24"/>
        </w:rPr>
        <w:t>the Company, OCA and BIE</w:t>
      </w:r>
      <w:r w:rsidRPr="00A90E9D">
        <w:rPr>
          <w:szCs w:val="24"/>
        </w:rPr>
        <w:t xml:space="preserve"> conclude, after extensive discovery and discussion, that this </w:t>
      </w:r>
      <w:r w:rsidR="00AD667A">
        <w:rPr>
          <w:szCs w:val="24"/>
        </w:rPr>
        <w:t>S</w:t>
      </w:r>
      <w:r w:rsidRPr="00A90E9D">
        <w:rPr>
          <w:szCs w:val="24"/>
        </w:rPr>
        <w:t xml:space="preserve">ettlement resolves the issues in this case, it fairly balances the interests </w:t>
      </w:r>
      <w:r>
        <w:rPr>
          <w:szCs w:val="24"/>
        </w:rPr>
        <w:t>of the parties and that it should be approved.</w:t>
      </w:r>
    </w:p>
    <w:p w:rsidR="00A90E9D" w:rsidRDefault="00A90E9D" w:rsidP="00A90E9D">
      <w:pPr>
        <w:tabs>
          <w:tab w:val="clear" w:pos="1440"/>
        </w:tabs>
        <w:ind w:firstLine="1440"/>
        <w:rPr>
          <w:szCs w:val="24"/>
        </w:rPr>
      </w:pPr>
    </w:p>
    <w:p w:rsidR="00A90E9D" w:rsidRDefault="00A90E9D" w:rsidP="00A90E9D">
      <w:pPr>
        <w:tabs>
          <w:tab w:val="clear" w:pos="1440"/>
        </w:tabs>
        <w:ind w:firstLine="1440"/>
        <w:rPr>
          <w:szCs w:val="24"/>
        </w:rPr>
      </w:pPr>
      <w:r>
        <w:rPr>
          <w:szCs w:val="24"/>
        </w:rPr>
        <w:t xml:space="preserve">The essential </w:t>
      </w:r>
      <w:r w:rsidR="00250EE3">
        <w:rPr>
          <w:szCs w:val="24"/>
        </w:rPr>
        <w:t>element to the resolution</w:t>
      </w:r>
      <w:r>
        <w:rPr>
          <w:szCs w:val="24"/>
        </w:rPr>
        <w:t xml:space="preserve"> of this matter requires the Company to pay a civil penalty in the amount of $1.3 million.  Accordingly,</w:t>
      </w:r>
      <w:r w:rsidR="007425AD">
        <w:rPr>
          <w:szCs w:val="24"/>
        </w:rPr>
        <w:t xml:space="preserve"> Commission policy requires an analysis of the so-called </w:t>
      </w:r>
      <w:r w:rsidR="007425AD">
        <w:rPr>
          <w:i/>
          <w:szCs w:val="24"/>
        </w:rPr>
        <w:t>Rosi</w:t>
      </w:r>
      <w:r w:rsidR="00E9657A" w:rsidRPr="00250EE3">
        <w:rPr>
          <w:rStyle w:val="FootnoteReference"/>
          <w:szCs w:val="24"/>
        </w:rPr>
        <w:footnoteReference w:id="8"/>
      </w:r>
      <w:r w:rsidR="007425AD">
        <w:rPr>
          <w:szCs w:val="24"/>
        </w:rPr>
        <w:t xml:space="preserve"> factors,</w:t>
      </w:r>
      <w:r w:rsidR="007425AD">
        <w:rPr>
          <w:rStyle w:val="FootnoteReference"/>
          <w:szCs w:val="24"/>
        </w:rPr>
        <w:footnoteReference w:id="9"/>
      </w:r>
      <w:r w:rsidR="007425AD">
        <w:rPr>
          <w:szCs w:val="24"/>
        </w:rPr>
        <w:t xml:space="preserve"> which have been codified</w:t>
      </w:r>
      <w:r w:rsidR="00250EE3">
        <w:rPr>
          <w:szCs w:val="24"/>
        </w:rPr>
        <w:t xml:space="preserve"> as a policy guideline</w:t>
      </w:r>
      <w:r w:rsidR="007425AD">
        <w:rPr>
          <w:szCs w:val="24"/>
        </w:rPr>
        <w:t xml:space="preserve"> in Section 69.1201(c) of the Commission’s regulations:</w:t>
      </w:r>
    </w:p>
    <w:p w:rsidR="00E9657A" w:rsidRDefault="00E9657A" w:rsidP="00A90E9D">
      <w:pPr>
        <w:tabs>
          <w:tab w:val="clear" w:pos="1440"/>
        </w:tabs>
        <w:ind w:firstLine="1440"/>
        <w:rPr>
          <w:szCs w:val="24"/>
        </w:rPr>
      </w:pPr>
    </w:p>
    <w:p w:rsidR="007425AD" w:rsidRPr="00A90E9D" w:rsidRDefault="007425AD" w:rsidP="007425AD">
      <w:pPr>
        <w:tabs>
          <w:tab w:val="clear" w:pos="1440"/>
        </w:tabs>
        <w:spacing w:after="240" w:line="240" w:lineRule="auto"/>
        <w:ind w:left="1440" w:right="1350" w:firstLine="720"/>
        <w:rPr>
          <w:szCs w:val="24"/>
        </w:rPr>
      </w:pPr>
      <w:r w:rsidRPr="00A90E9D">
        <w:rPr>
          <w:szCs w:val="24"/>
        </w:rPr>
        <w:t>(1)</w:t>
      </w:r>
      <w:r w:rsidRPr="00A90E9D">
        <w:rPr>
          <w:szCs w:val="24"/>
        </w:rPr>
        <w:tab/>
        <w:t xml:space="preserve">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 </w:t>
      </w:r>
    </w:p>
    <w:p w:rsidR="007425AD" w:rsidRPr="00A90E9D" w:rsidRDefault="007425AD" w:rsidP="007425AD">
      <w:pPr>
        <w:tabs>
          <w:tab w:val="clear" w:pos="1440"/>
        </w:tabs>
        <w:spacing w:after="240" w:line="240" w:lineRule="auto"/>
        <w:ind w:left="1440" w:right="1350" w:firstLine="720"/>
        <w:rPr>
          <w:szCs w:val="24"/>
        </w:rPr>
      </w:pPr>
      <w:r w:rsidRPr="00A90E9D">
        <w:rPr>
          <w:szCs w:val="24"/>
        </w:rPr>
        <w:t>(2)</w:t>
      </w:r>
      <w:r w:rsidRPr="00A90E9D">
        <w:rPr>
          <w:szCs w:val="24"/>
        </w:rPr>
        <w:tab/>
        <w:t xml:space="preserve">Whether the resulting consequences of the conduct at issue were of a serious nature. When consequences of a serious nature are involved, such as personal injury or property damage, the consequences may warrant a higher penalty. </w:t>
      </w:r>
    </w:p>
    <w:p w:rsidR="007425AD" w:rsidRPr="00A90E9D" w:rsidRDefault="007425AD" w:rsidP="007425AD">
      <w:pPr>
        <w:tabs>
          <w:tab w:val="clear" w:pos="1440"/>
        </w:tabs>
        <w:spacing w:after="240" w:line="240" w:lineRule="auto"/>
        <w:ind w:left="1440" w:right="1350" w:firstLine="720"/>
        <w:rPr>
          <w:szCs w:val="24"/>
        </w:rPr>
      </w:pPr>
      <w:r w:rsidRPr="00A90E9D">
        <w:rPr>
          <w:szCs w:val="24"/>
        </w:rPr>
        <w:t>(3)</w:t>
      </w:r>
      <w:r w:rsidRPr="00A90E9D">
        <w:rPr>
          <w:szCs w:val="24"/>
        </w:rPr>
        <w:tab/>
        <w:t xml:space="preserve">Whether the conduct at issue was deemed intentional or negligent. This factor may only be considered in evaluating litigated cases. When conduct has been deemed intentional, the conduct may result in a higher penalty. </w:t>
      </w:r>
    </w:p>
    <w:p w:rsidR="007425AD" w:rsidRPr="00A90E9D" w:rsidRDefault="007425AD" w:rsidP="007425AD">
      <w:pPr>
        <w:tabs>
          <w:tab w:val="clear" w:pos="1440"/>
        </w:tabs>
        <w:spacing w:after="240" w:line="240" w:lineRule="auto"/>
        <w:ind w:left="1440" w:right="1350" w:firstLine="720"/>
        <w:rPr>
          <w:szCs w:val="24"/>
        </w:rPr>
      </w:pPr>
      <w:r w:rsidRPr="00A90E9D">
        <w:rPr>
          <w:szCs w:val="24"/>
        </w:rPr>
        <w:t>(4)</w:t>
      </w:r>
      <w:r w:rsidRPr="00A90E9D">
        <w:rPr>
          <w:szCs w:val="24"/>
        </w:rPr>
        <w:tab/>
        <w:t xml:space="preserve">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 </w:t>
      </w:r>
    </w:p>
    <w:p w:rsidR="007425AD" w:rsidRPr="00A90E9D" w:rsidRDefault="007425AD" w:rsidP="007425AD">
      <w:pPr>
        <w:tabs>
          <w:tab w:val="clear" w:pos="1440"/>
        </w:tabs>
        <w:spacing w:after="240" w:line="240" w:lineRule="auto"/>
        <w:ind w:left="1440" w:right="1350" w:firstLine="720"/>
        <w:rPr>
          <w:szCs w:val="24"/>
        </w:rPr>
      </w:pPr>
      <w:r w:rsidRPr="00A90E9D">
        <w:rPr>
          <w:szCs w:val="24"/>
        </w:rPr>
        <w:t>(5)</w:t>
      </w:r>
      <w:r w:rsidRPr="00A90E9D">
        <w:rPr>
          <w:szCs w:val="24"/>
        </w:rPr>
        <w:tab/>
        <w:t xml:space="preserve">The number of customers affected and the duration of the violation. </w:t>
      </w:r>
    </w:p>
    <w:p w:rsidR="007425AD" w:rsidRPr="00A90E9D" w:rsidRDefault="007425AD" w:rsidP="007425AD">
      <w:pPr>
        <w:tabs>
          <w:tab w:val="clear" w:pos="1440"/>
        </w:tabs>
        <w:spacing w:after="240" w:line="240" w:lineRule="auto"/>
        <w:ind w:left="1440" w:right="1350" w:firstLine="720"/>
        <w:rPr>
          <w:szCs w:val="24"/>
        </w:rPr>
      </w:pPr>
      <w:r w:rsidRPr="00A90E9D">
        <w:rPr>
          <w:szCs w:val="24"/>
        </w:rPr>
        <w:t>(6)</w:t>
      </w:r>
      <w:r w:rsidRPr="00A90E9D">
        <w:rPr>
          <w:szCs w:val="24"/>
        </w:rPr>
        <w:tab/>
        <w:t xml:space="preserve">The compliance history of the regulated entity which committed the violation. An isolated incident from an otherwise compliant utility may result in a lower penalty, whereas frequent, recurrent violations by a utility may result in a higher penalty. </w:t>
      </w:r>
    </w:p>
    <w:p w:rsidR="007425AD" w:rsidRPr="00A90E9D" w:rsidRDefault="007425AD" w:rsidP="007425AD">
      <w:pPr>
        <w:tabs>
          <w:tab w:val="clear" w:pos="1440"/>
        </w:tabs>
        <w:spacing w:after="240" w:line="240" w:lineRule="auto"/>
        <w:ind w:left="1440" w:right="1350" w:firstLine="720"/>
        <w:rPr>
          <w:szCs w:val="24"/>
        </w:rPr>
      </w:pPr>
      <w:r w:rsidRPr="00A90E9D">
        <w:rPr>
          <w:szCs w:val="24"/>
        </w:rPr>
        <w:t>(7)</w:t>
      </w:r>
      <w:r w:rsidRPr="00A90E9D">
        <w:rPr>
          <w:szCs w:val="24"/>
        </w:rPr>
        <w:tab/>
        <w:t xml:space="preserve">Whether the regulated entity cooperated with the Commission’s investigation. Facts establishing bad faith, active concealment of violations, or attempts to interfere with Commission investigations may result in a higher penalty. </w:t>
      </w:r>
    </w:p>
    <w:p w:rsidR="007425AD" w:rsidRPr="00A90E9D" w:rsidRDefault="007425AD" w:rsidP="007425AD">
      <w:pPr>
        <w:tabs>
          <w:tab w:val="clear" w:pos="1440"/>
        </w:tabs>
        <w:spacing w:after="240" w:line="240" w:lineRule="auto"/>
        <w:ind w:left="1440" w:right="1350" w:firstLine="720"/>
        <w:rPr>
          <w:szCs w:val="24"/>
        </w:rPr>
      </w:pPr>
      <w:r w:rsidRPr="00A90E9D">
        <w:rPr>
          <w:szCs w:val="24"/>
        </w:rPr>
        <w:t>(8)</w:t>
      </w:r>
      <w:r w:rsidRPr="00A90E9D">
        <w:rPr>
          <w:szCs w:val="24"/>
        </w:rPr>
        <w:tab/>
        <w:t xml:space="preserve">The amount of the civil penalty or fine necessary to deter future violations. The size of the utility may be considered to determine an appropriate penalty amount. </w:t>
      </w:r>
    </w:p>
    <w:p w:rsidR="007425AD" w:rsidRPr="00A90E9D" w:rsidRDefault="007425AD" w:rsidP="007425AD">
      <w:pPr>
        <w:tabs>
          <w:tab w:val="clear" w:pos="1440"/>
        </w:tabs>
        <w:spacing w:after="240" w:line="240" w:lineRule="auto"/>
        <w:ind w:left="1440" w:right="1350" w:firstLine="720"/>
        <w:rPr>
          <w:szCs w:val="24"/>
        </w:rPr>
      </w:pPr>
      <w:r w:rsidRPr="00A90E9D">
        <w:rPr>
          <w:szCs w:val="24"/>
        </w:rPr>
        <w:t>(9)</w:t>
      </w:r>
      <w:r w:rsidRPr="00A90E9D">
        <w:rPr>
          <w:szCs w:val="24"/>
        </w:rPr>
        <w:tab/>
        <w:t xml:space="preserve">Past Commission decisions in similar situations. </w:t>
      </w:r>
    </w:p>
    <w:p w:rsidR="007425AD" w:rsidRDefault="007425AD" w:rsidP="007425AD">
      <w:pPr>
        <w:tabs>
          <w:tab w:val="clear" w:pos="1440"/>
        </w:tabs>
        <w:spacing w:after="240" w:line="240" w:lineRule="auto"/>
        <w:ind w:left="1440" w:right="1350" w:firstLine="720"/>
        <w:rPr>
          <w:szCs w:val="24"/>
        </w:rPr>
      </w:pPr>
      <w:r w:rsidRPr="00A90E9D">
        <w:rPr>
          <w:szCs w:val="24"/>
        </w:rPr>
        <w:t>(10)</w:t>
      </w:r>
      <w:r w:rsidRPr="00A90E9D">
        <w:rPr>
          <w:szCs w:val="24"/>
        </w:rPr>
        <w:tab/>
        <w:t>Other relevant factors</w:t>
      </w:r>
      <w:r>
        <w:rPr>
          <w:szCs w:val="24"/>
        </w:rPr>
        <w:t>.</w:t>
      </w:r>
      <w:r>
        <w:rPr>
          <w:rStyle w:val="FootnoteReference"/>
          <w:szCs w:val="24"/>
        </w:rPr>
        <w:footnoteReference w:id="10"/>
      </w:r>
    </w:p>
    <w:p w:rsidR="007425AD" w:rsidRDefault="007425AD" w:rsidP="00A90E9D">
      <w:pPr>
        <w:tabs>
          <w:tab w:val="clear" w:pos="1440"/>
        </w:tabs>
        <w:ind w:firstLine="1440"/>
        <w:rPr>
          <w:szCs w:val="24"/>
        </w:rPr>
      </w:pPr>
    </w:p>
    <w:p w:rsidR="007425AD" w:rsidRDefault="007425AD" w:rsidP="00974146">
      <w:pPr>
        <w:tabs>
          <w:tab w:val="clear" w:pos="1440"/>
        </w:tabs>
        <w:rPr>
          <w:szCs w:val="24"/>
        </w:rPr>
      </w:pPr>
      <w:r>
        <w:rPr>
          <w:szCs w:val="24"/>
        </w:rPr>
        <w:t>The policy guidelines also state that in settled cases</w:t>
      </w:r>
      <w:r w:rsidR="00240CA3">
        <w:rPr>
          <w:szCs w:val="24"/>
        </w:rPr>
        <w:t>:</w:t>
      </w:r>
      <w:r>
        <w:rPr>
          <w:szCs w:val="24"/>
        </w:rPr>
        <w:t xml:space="preserve"> </w:t>
      </w:r>
    </w:p>
    <w:p w:rsidR="003E41BA" w:rsidRDefault="003E41BA" w:rsidP="007425AD">
      <w:pPr>
        <w:tabs>
          <w:tab w:val="clear" w:pos="1440"/>
        </w:tabs>
        <w:spacing w:line="240" w:lineRule="auto"/>
        <w:ind w:left="1440" w:right="720"/>
        <w:rPr>
          <w:szCs w:val="24"/>
        </w:rPr>
      </w:pPr>
    </w:p>
    <w:p w:rsidR="007425AD" w:rsidRPr="007425AD" w:rsidRDefault="007425AD" w:rsidP="007425AD">
      <w:pPr>
        <w:tabs>
          <w:tab w:val="clear" w:pos="1440"/>
        </w:tabs>
        <w:spacing w:line="240" w:lineRule="auto"/>
        <w:ind w:left="1440" w:right="720"/>
        <w:rPr>
          <w:szCs w:val="24"/>
        </w:rPr>
      </w:pPr>
      <w:proofErr w:type="gramStart"/>
      <w:r>
        <w:rPr>
          <w:szCs w:val="24"/>
        </w:rPr>
        <w:t>these</w:t>
      </w:r>
      <w:proofErr w:type="gramEnd"/>
      <w:r>
        <w:rPr>
          <w:szCs w:val="24"/>
        </w:rPr>
        <w:t xml:space="preserve"> factors and standards will not be applied in as strict a fashion as in a litigated proceeding.  The parties in settled cases will be afforded flexibility in reaching amicable resolutions to complaints and other matters so long as the settlement is in the public interest.</w:t>
      </w:r>
      <w:r>
        <w:rPr>
          <w:rStyle w:val="FootnoteReference"/>
          <w:szCs w:val="24"/>
        </w:rPr>
        <w:footnoteReference w:id="11"/>
      </w:r>
    </w:p>
    <w:p w:rsidR="00B45FA5" w:rsidRDefault="00B45FA5" w:rsidP="00B45FA5"/>
    <w:p w:rsidR="00E9657A" w:rsidRDefault="00E9657A" w:rsidP="00E9657A">
      <w:r>
        <w:tab/>
        <w:t xml:space="preserve">In accordance with this policy the Joint Petitioners each included an analysis of the </w:t>
      </w:r>
      <w:r>
        <w:rPr>
          <w:i/>
        </w:rPr>
        <w:t>Rosi</w:t>
      </w:r>
      <w:r>
        <w:t xml:space="preserve"> factors in their statements in support.  They all agree that the civil penalty agreed upon is consistent with these factors and in the public interest.</w:t>
      </w:r>
    </w:p>
    <w:p w:rsidR="00E9657A" w:rsidRDefault="00E9657A" w:rsidP="00E9657A"/>
    <w:p w:rsidR="00E9657A" w:rsidRPr="00240CA3" w:rsidRDefault="00E9657A" w:rsidP="00E9657A">
      <w:r>
        <w:tab/>
        <w:t>1.</w:t>
      </w:r>
      <w:r>
        <w:tab/>
      </w:r>
      <w:r w:rsidRPr="00240CA3">
        <w:rPr>
          <w:i/>
        </w:rPr>
        <w:t>The Conduct Was Not Serious in Nature</w:t>
      </w:r>
      <w:r w:rsidR="00240CA3" w:rsidRPr="00240CA3">
        <w:rPr>
          <w:rStyle w:val="FootnoteReference"/>
        </w:rPr>
        <w:footnoteReference w:id="12"/>
      </w:r>
    </w:p>
    <w:p w:rsidR="00240CA3" w:rsidRDefault="00240CA3" w:rsidP="00E9657A"/>
    <w:p w:rsidR="00E9657A" w:rsidRDefault="00E9657A" w:rsidP="00E9657A">
      <w:r>
        <w:tab/>
        <w:t xml:space="preserve">The Company contends that no </w:t>
      </w:r>
      <w:r w:rsidR="00240CA3">
        <w:t>serious or fraudulent</w:t>
      </w:r>
      <w:r>
        <w:t xml:space="preserve"> conduct is involved in this case and Act 129’s 1% reduction goal is certainly of a “technical” nature.  On this factor, a lower penalty is appropriate. BIE wholeheartedly agrees:</w:t>
      </w:r>
    </w:p>
    <w:p w:rsidR="00240CA3" w:rsidRDefault="00240CA3" w:rsidP="007E6BFA">
      <w:pPr>
        <w:spacing w:line="240" w:lineRule="auto"/>
      </w:pPr>
    </w:p>
    <w:p w:rsidR="00E9657A" w:rsidRDefault="00E9657A" w:rsidP="00E9657A">
      <w:pPr>
        <w:spacing w:line="240" w:lineRule="auto"/>
        <w:ind w:left="1530" w:right="1440"/>
      </w:pPr>
      <w:r w:rsidRPr="00E9657A">
        <w:t xml:space="preserve">I&amp;E can confidently state that there was no conduct of a serious nature, and that West Penn’s conduct was in no way willful, fraudulent, or a misrepresentation.  West Penn filed its EE&amp;C Plan for Phase I with the Commission on July 1, 2009, and received Commission approval on October 23, 2009 at Docket No. </w:t>
      </w:r>
      <w:proofErr w:type="gramStart"/>
      <w:r w:rsidRPr="00E9657A">
        <w:t>M-2009-2093218.</w:t>
      </w:r>
      <w:proofErr w:type="gramEnd"/>
      <w:r w:rsidRPr="00E9657A">
        <w:t xml:space="preserve">  See, Answer and New Matter of West Penn, ¶ 13.  The fact that West Penn’s EE&amp;C Plan failed to achieve the 1% consumption reduction goal is not evidence of willful or fraudulent conduct; or misrepresentation.</w:t>
      </w:r>
      <w:r>
        <w:rPr>
          <w:rStyle w:val="FootnoteReference"/>
        </w:rPr>
        <w:footnoteReference w:id="13"/>
      </w:r>
    </w:p>
    <w:p w:rsidR="00E9657A" w:rsidRDefault="00E9657A" w:rsidP="00E9657A"/>
    <w:p w:rsidR="00AC195F" w:rsidRDefault="00E9657A" w:rsidP="00E9657A">
      <w:r>
        <w:tab/>
        <w:t xml:space="preserve">I find that there is no evidence in the record which suggests that the Company’s failure to meet its initial Act 129 target was </w:t>
      </w:r>
      <w:r w:rsidR="00240CA3">
        <w:t>fraudulent or the result of misrepresentation</w:t>
      </w:r>
      <w:r>
        <w:t xml:space="preserve">.  </w:t>
      </w:r>
    </w:p>
    <w:p w:rsidR="00240CA3" w:rsidRDefault="00240CA3" w:rsidP="00E9657A"/>
    <w:p w:rsidR="00AC195F" w:rsidRDefault="00AC195F" w:rsidP="00E9657A">
      <w:pPr>
        <w:rPr>
          <w:i/>
        </w:rPr>
      </w:pPr>
      <w:r>
        <w:tab/>
        <w:t>2.</w:t>
      </w:r>
      <w:r>
        <w:tab/>
      </w:r>
      <w:r w:rsidRPr="00240CA3">
        <w:rPr>
          <w:i/>
        </w:rPr>
        <w:t>The Consequences of the Conduct Were Not Serious in Nature</w:t>
      </w:r>
      <w:r w:rsidR="00240CA3" w:rsidRPr="00240CA3">
        <w:rPr>
          <w:rStyle w:val="FootnoteReference"/>
        </w:rPr>
        <w:footnoteReference w:id="14"/>
      </w:r>
    </w:p>
    <w:p w:rsidR="00492CD3" w:rsidRPr="00240CA3" w:rsidRDefault="00492CD3" w:rsidP="00E9657A"/>
    <w:p w:rsidR="00AC195F" w:rsidRDefault="00AC195F" w:rsidP="00E9657A">
      <w:r>
        <w:tab/>
        <w:t>The parties agree that the Company met its 1% target shortly after the statutory deadline.</w:t>
      </w:r>
      <w:r>
        <w:rPr>
          <w:rStyle w:val="FootnoteReference"/>
        </w:rPr>
        <w:footnoteReference w:id="15"/>
      </w:r>
      <w:r>
        <w:t xml:space="preserve">  </w:t>
      </w:r>
      <w:r w:rsidRPr="00AC195F">
        <w:t xml:space="preserve">In this case there is no personal injury or property damage to customers or the public which merit a penalty at the higher end of the scale.  Moreover, as the facts stipulated to in the Joint Petition demonstrate, West Penn exceeded by significant margins all other goals and objectives in their Phase I EE&amp;C Plan, including the 3% reduction goal which was achieved by May 31, 2013.  </w:t>
      </w:r>
    </w:p>
    <w:p w:rsidR="008F46AC" w:rsidRDefault="008F46AC" w:rsidP="00E9657A"/>
    <w:p w:rsidR="00AC195F" w:rsidRPr="008F46AC" w:rsidRDefault="00AC195F" w:rsidP="00E9657A">
      <w:r>
        <w:tab/>
        <w:t>3.</w:t>
      </w:r>
      <w:r>
        <w:tab/>
      </w:r>
      <w:r w:rsidRPr="008F46AC">
        <w:rPr>
          <w:i/>
        </w:rPr>
        <w:t>The Company Acted Promptly to Correct the Conduct</w:t>
      </w:r>
      <w:r w:rsidR="008F46AC" w:rsidRPr="00D869E8">
        <w:rPr>
          <w:rStyle w:val="FootnoteReference"/>
        </w:rPr>
        <w:footnoteReference w:id="16"/>
      </w:r>
    </w:p>
    <w:p w:rsidR="008F46AC" w:rsidRDefault="008F46AC" w:rsidP="00E9657A"/>
    <w:p w:rsidR="00AC195F" w:rsidRDefault="00AC195F" w:rsidP="00E9657A">
      <w:r>
        <w:tab/>
        <w:t xml:space="preserve">In its Statement in Support, BIE explains that West </w:t>
      </w:r>
      <w:r w:rsidRPr="00AC195F">
        <w:t xml:space="preserve">Penn (and First Energy) acted quickly and decisively in their efforts to meet the 1% requirement of Act 129 Phase I upon First Energy’s acquisition of West Penn’s parent company, Allegheny Energy, Inc., in February of 2011.  See, Answer and New Matter of West Penn, ¶33.  Even though West Penn fell 57% short of the 1% goal as of May 31, 2011, by the end of November 2011 West Penn, through First Energy’s efforts, had exceeded the 1% goal.  </w:t>
      </w:r>
      <w:r>
        <w:t>OCA agrees.</w:t>
      </w:r>
    </w:p>
    <w:p w:rsidR="008F46AC" w:rsidRDefault="008F46AC" w:rsidP="00E9657A"/>
    <w:p w:rsidR="00DF62FD" w:rsidRDefault="00DF62FD" w:rsidP="00E9657A">
      <w:r>
        <w:tab/>
        <w:t>I agree that West Penn acted promptly to remedy the Phase I shortfall and that this factor suggests a lower penalty.</w:t>
      </w:r>
    </w:p>
    <w:p w:rsidR="008F46AC" w:rsidRDefault="008F46AC" w:rsidP="00E9657A"/>
    <w:p w:rsidR="00DF62FD" w:rsidRPr="008F46AC" w:rsidRDefault="00DF62FD" w:rsidP="00E9657A">
      <w:r>
        <w:tab/>
        <w:t>4.</w:t>
      </w:r>
      <w:r>
        <w:tab/>
      </w:r>
      <w:r w:rsidRPr="008F46AC">
        <w:rPr>
          <w:i/>
        </w:rPr>
        <w:t>There Is No Significant Effect on West Penn’s Customers</w:t>
      </w:r>
      <w:r w:rsidR="008F46AC" w:rsidRPr="008F46AC">
        <w:rPr>
          <w:rStyle w:val="FootnoteReference"/>
        </w:rPr>
        <w:footnoteReference w:id="17"/>
      </w:r>
    </w:p>
    <w:p w:rsidR="008F46AC" w:rsidRDefault="00DF62FD" w:rsidP="00E9657A">
      <w:r>
        <w:tab/>
      </w:r>
    </w:p>
    <w:p w:rsidR="008F46AC" w:rsidRDefault="008F46AC" w:rsidP="00E9657A">
      <w:r>
        <w:tab/>
      </w:r>
      <w:r w:rsidR="00DF62FD">
        <w:t xml:space="preserve">In its analysis of this factor, OCA observes that </w:t>
      </w:r>
      <w:r w:rsidR="00DF62FD" w:rsidRPr="00DF62FD">
        <w:t xml:space="preserve">the issue affected all of West Penn’s ratepayers as they would be beneficiaries of the EE&amp;C programs and the reduced consumption.  </w:t>
      </w:r>
      <w:r w:rsidR="00DF62FD">
        <w:t>However</w:t>
      </w:r>
      <w:r w:rsidR="00DF62FD" w:rsidRPr="00DF62FD">
        <w:t xml:space="preserve">, the Company moved quickly to correct the deficiency in meeting the 1% consumption reduction target and met the target within </w:t>
      </w:r>
      <w:r w:rsidR="005301BB">
        <w:t>six</w:t>
      </w:r>
      <w:r w:rsidR="00DF62FD" w:rsidRPr="00DF62FD">
        <w:t xml:space="preserve"> months of the consumption reduction target date of May 31, 2011. </w:t>
      </w:r>
      <w:r w:rsidR="005301BB">
        <w:t xml:space="preserve"> </w:t>
      </w:r>
      <w:r w:rsidR="00DF62FD" w:rsidRPr="00DF62FD">
        <w:t>The Company also exceeded the 3% consumption reduction target of May 31, 2013</w:t>
      </w:r>
      <w:r>
        <w:t>,</w:t>
      </w:r>
      <w:r w:rsidR="00DF62FD" w:rsidRPr="00DF62FD">
        <w:t xml:space="preserve"> and achiev</w:t>
      </w:r>
      <w:r>
        <w:t xml:space="preserve">ed the other requirements of </w:t>
      </w:r>
      <w:r w:rsidR="00DF62FD" w:rsidRPr="00DF62FD">
        <w:t>Act</w:t>
      </w:r>
      <w:r>
        <w:t xml:space="preserve"> 129</w:t>
      </w:r>
      <w:r w:rsidR="00DF62FD" w:rsidRPr="00DF62FD">
        <w:t xml:space="preserve"> and the Commission’s Act 129 Implementation Order which benefitted ratepayers.  </w:t>
      </w:r>
    </w:p>
    <w:p w:rsidR="008F46AC" w:rsidRDefault="008F46AC" w:rsidP="00E9657A"/>
    <w:p w:rsidR="00DF62FD" w:rsidRDefault="008F46AC" w:rsidP="00E9657A">
      <w:r>
        <w:tab/>
      </w:r>
      <w:r w:rsidR="00DF62FD">
        <w:t>BIE</w:t>
      </w:r>
      <w:r w:rsidR="00DF62FD" w:rsidRPr="00DF62FD">
        <w:t xml:space="preserve"> submits that even though it can be argued that all of West Penn’s customers may have been affected by the failure of West Penn to meet the 1% reduction in consumption requirement; the net effect on each individual customer was negligible.  West Penn’s expected consumption as forecasted and approved by the Commission for June 1, 2009 through M</w:t>
      </w:r>
      <w:r>
        <w:t>ay 31, 2010 was 20,938,650 MWhs</w:t>
      </w:r>
      <w:r w:rsidR="00DF62FD" w:rsidRPr="00DF62FD">
        <w:t xml:space="preserve">.  The Act 129 1% reduction requirement was 209,387 MWh.  West Penn only achieved 90,520 MWh of the 209,387 MWh Act 129 required consumption reduction.  In other words, the West Penn system which had a forecasted total usage of 20,938,650 MWh was only impacted by 118,867 MWh.  Stated another way, West Penn’s system only experienced a 0.57% impact spread across West Penn’s entire customer base.  Therefore, </w:t>
      </w:r>
      <w:r w:rsidR="006B1B79">
        <w:t>B</w:t>
      </w:r>
      <w:r w:rsidR="00DF62FD" w:rsidRPr="00DF62FD">
        <w:t xml:space="preserve">IE submits that the impact on West Penn’s customers was negligible.  </w:t>
      </w:r>
    </w:p>
    <w:p w:rsidR="008F46AC" w:rsidRDefault="008F46AC" w:rsidP="00E9657A"/>
    <w:p w:rsidR="00986E8C" w:rsidRDefault="00986E8C" w:rsidP="00E9657A">
      <w:r>
        <w:tab/>
        <w:t xml:space="preserve">I </w:t>
      </w:r>
      <w:r w:rsidR="008F46AC">
        <w:t xml:space="preserve">agree with OCA and BIE and </w:t>
      </w:r>
      <w:r>
        <w:t>conclude that this factor merits a lower penalty.</w:t>
      </w:r>
    </w:p>
    <w:p w:rsidR="008F46AC" w:rsidRDefault="008F46AC" w:rsidP="00E9657A"/>
    <w:p w:rsidR="00986E8C" w:rsidRPr="008F46AC" w:rsidRDefault="00986E8C" w:rsidP="00986E8C">
      <w:pPr>
        <w:tabs>
          <w:tab w:val="clear" w:pos="1440"/>
        </w:tabs>
        <w:spacing w:line="240" w:lineRule="auto"/>
        <w:ind w:left="2160" w:hanging="720"/>
      </w:pPr>
      <w:r>
        <w:t>5.</w:t>
      </w:r>
      <w:r>
        <w:tab/>
      </w:r>
      <w:r w:rsidRPr="008F46AC">
        <w:rPr>
          <w:i/>
        </w:rPr>
        <w:t>West Penn Has a Good Act 129 Compliance History and Has Cooperated with the Commission</w:t>
      </w:r>
      <w:r w:rsidR="008F46AC" w:rsidRPr="008F46AC">
        <w:rPr>
          <w:rStyle w:val="FootnoteReference"/>
        </w:rPr>
        <w:footnoteReference w:id="18"/>
      </w:r>
    </w:p>
    <w:p w:rsidR="00986E8C" w:rsidRDefault="00986E8C" w:rsidP="00986E8C">
      <w:pPr>
        <w:spacing w:line="240" w:lineRule="auto"/>
      </w:pPr>
    </w:p>
    <w:p w:rsidR="00986E8C" w:rsidRDefault="00986E8C" w:rsidP="00986E8C">
      <w:r>
        <w:tab/>
        <w:t xml:space="preserve">The Company states that West Penn has an excellent Act 129 compliance history and significantly exceeded all goals in a timely fashion with the exception of the 1% reduction goal. </w:t>
      </w:r>
      <w:r w:rsidR="00DA5BD6">
        <w:t xml:space="preserve"> </w:t>
      </w:r>
      <w:r>
        <w:t>Further, it points out that it was forthright and timely with its reports on the progress of its energy reduction programs.  West Penn has never been penalized for not submitting EE&amp;C/DR Plan filings or meeting reporting requirements.  Looking at the full scope of Act 129 programs, West Penn has provided full cooperation with the Act</w:t>
      </w:r>
      <w:r w:rsidR="008F46AC">
        <w:t xml:space="preserve"> 129</w:t>
      </w:r>
      <w:r>
        <w:t xml:space="preserve"> requirements.</w:t>
      </w:r>
    </w:p>
    <w:p w:rsidR="00986E8C" w:rsidRDefault="00986E8C" w:rsidP="00986E8C"/>
    <w:p w:rsidR="00986E8C" w:rsidRDefault="00986E8C" w:rsidP="00986E8C">
      <w:r>
        <w:tab/>
        <w:t xml:space="preserve">BIE and OCA agree with West Penn’s characterization of its general compliance with Act 129.  BIE also points out that </w:t>
      </w:r>
      <w:r w:rsidRPr="00986E8C">
        <w:t xml:space="preserve">the instant matter required limited investigation on the part of </w:t>
      </w:r>
      <w:r>
        <w:t>BIE</w:t>
      </w:r>
      <w:r w:rsidRPr="00986E8C">
        <w:t xml:space="preserve">.  </w:t>
      </w:r>
      <w:r>
        <w:t>BIE explains that the</w:t>
      </w:r>
      <w:r w:rsidRPr="00986E8C">
        <w:t xml:space="preserve"> EE&amp;C Plans were submitted to and approved by the Commission.  West Penn was required by Act 129 to submit quarterly and annual reports. Additionally, the SWE conducted a comprehensive review of West Penn’s claimed Act 129 consumption reduction results.  Furthermore, the SWE submitted its Act 129 Phase I Final Report to the Commission detailing its Act 129 Phase I findings for all EDCs, including West Penn.  To the extent that </w:t>
      </w:r>
      <w:r>
        <w:t>a Commission</w:t>
      </w:r>
      <w:r w:rsidR="008F46AC">
        <w:t xml:space="preserve"> investigation</w:t>
      </w:r>
      <w:r w:rsidRPr="00986E8C">
        <w:t xml:space="preserve"> was necessary, </w:t>
      </w:r>
      <w:r>
        <w:t>BIE</w:t>
      </w:r>
      <w:r w:rsidRPr="00986E8C">
        <w:t xml:space="preserve"> submits that West Penn fully cooperated.   </w:t>
      </w:r>
    </w:p>
    <w:p w:rsidR="00986E8C" w:rsidRDefault="00986E8C" w:rsidP="00986E8C"/>
    <w:p w:rsidR="00266D90" w:rsidRDefault="00266D90" w:rsidP="00986E8C">
      <w:r>
        <w:tab/>
        <w:t>I agree with the Joint Petitioners that West Penn has cooperated with the Commission and that other than the failure to meet the 1% threshold, does not have a history of violating Act 129.</w:t>
      </w:r>
      <w:r w:rsidR="008F46AC">
        <w:t xml:space="preserve"> </w:t>
      </w:r>
      <w:r w:rsidR="00C66EDD">
        <w:t xml:space="preserve"> </w:t>
      </w:r>
      <w:r w:rsidR="008F46AC">
        <w:t>These factors support a lower penalty.</w:t>
      </w:r>
    </w:p>
    <w:p w:rsidR="008F46AC" w:rsidRDefault="008F46AC" w:rsidP="00986E8C"/>
    <w:p w:rsidR="00266D90" w:rsidRDefault="00266D90" w:rsidP="00986E8C">
      <w:r>
        <w:tab/>
        <w:t>6.</w:t>
      </w:r>
      <w:r>
        <w:tab/>
      </w:r>
      <w:r w:rsidRPr="008F46AC">
        <w:rPr>
          <w:i/>
        </w:rPr>
        <w:t>The Amount of the Civil Penalty is Sufficient to Deter Future Violations</w:t>
      </w:r>
      <w:r w:rsidR="008F46AC" w:rsidRPr="008F46AC">
        <w:rPr>
          <w:rStyle w:val="FootnoteReference"/>
        </w:rPr>
        <w:footnoteReference w:id="19"/>
      </w:r>
    </w:p>
    <w:p w:rsidR="008F46AC" w:rsidRDefault="00266D90" w:rsidP="00986E8C">
      <w:r>
        <w:tab/>
      </w:r>
    </w:p>
    <w:p w:rsidR="00266D90" w:rsidRDefault="008F46AC" w:rsidP="00986E8C">
      <w:r>
        <w:tab/>
      </w:r>
      <w:r w:rsidR="00266D90">
        <w:t>West Penn has agreed to pay a significant civil penalty which it will not recover from ratepayers.</w:t>
      </w:r>
      <w:r w:rsidR="00266D90">
        <w:rPr>
          <w:rStyle w:val="FootnoteReference"/>
        </w:rPr>
        <w:footnoteReference w:id="20"/>
      </w:r>
      <w:r w:rsidR="00266D90">
        <w:t xml:space="preserve">  In West Penn’s view, no deterrent is necessary because</w:t>
      </w:r>
      <w:r w:rsidR="00266D90" w:rsidRPr="00266D90">
        <w:t xml:space="preserve"> the statute does not require penalties for conduct after May 2013</w:t>
      </w:r>
      <w:r w:rsidR="00266D90">
        <w:t xml:space="preserve">.  OCA and BIE take the position that </w:t>
      </w:r>
      <w:r w:rsidR="00266D90" w:rsidRPr="00266D90">
        <w:t>the penalty is reasonably set to address the missed 1% consumption reduction target and to deter future violations of statutory requirements.</w:t>
      </w:r>
    </w:p>
    <w:p w:rsidR="008F46AC" w:rsidRDefault="008F46AC" w:rsidP="00986E8C"/>
    <w:p w:rsidR="00266D90" w:rsidRDefault="00266D90" w:rsidP="00986E8C">
      <w:r>
        <w:tab/>
        <w:t xml:space="preserve">I agree that the penalty proposed in the </w:t>
      </w:r>
      <w:r w:rsidR="00AA1CAA">
        <w:t>Settlement</w:t>
      </w:r>
      <w:r>
        <w:t xml:space="preserve"> is suitable and is a reasonable fit for the scope of the violation.</w:t>
      </w:r>
      <w:r>
        <w:rPr>
          <w:rStyle w:val="FootnoteReference"/>
        </w:rPr>
        <w:footnoteReference w:id="21"/>
      </w:r>
      <w:r>
        <w:t xml:space="preserve">  Given West Penn’s compliance with other provisions of Act</w:t>
      </w:r>
      <w:r w:rsidR="004C23C9">
        <w:t> </w:t>
      </w:r>
      <w:r>
        <w:t>129, and the circumstances surrounding its failure to meet the 1% threshold, it does not appear that there is a significant concern that the violation will be repeated.</w:t>
      </w:r>
    </w:p>
    <w:p w:rsidR="008F46AC" w:rsidRDefault="008F46AC" w:rsidP="00986E8C"/>
    <w:p w:rsidR="00C662BE" w:rsidRDefault="00C662BE" w:rsidP="00986E8C">
      <w:r>
        <w:tab/>
        <w:t>7.</w:t>
      </w:r>
      <w:r>
        <w:tab/>
      </w:r>
      <w:r w:rsidRPr="008F46AC">
        <w:rPr>
          <w:i/>
        </w:rPr>
        <w:t>This Violation is Unique</w:t>
      </w:r>
      <w:r w:rsidR="008F46AC" w:rsidRPr="006E1945">
        <w:rPr>
          <w:rStyle w:val="FootnoteReference"/>
        </w:rPr>
        <w:footnoteReference w:id="22"/>
      </w:r>
    </w:p>
    <w:p w:rsidR="008F46AC" w:rsidRDefault="008F46AC" w:rsidP="00986E8C"/>
    <w:p w:rsidR="00C662BE" w:rsidRDefault="00C662BE" w:rsidP="00986E8C">
      <w:r>
        <w:tab/>
      </w:r>
      <w:r w:rsidRPr="00C662BE">
        <w:t xml:space="preserve">Act 129 was a novel initiative in the Commonwealth of Pennsylvania when the legislature enacted it in 2008.  As such, this is the first and only instance in which a Pennsylvania EDC has been </w:t>
      </w:r>
      <w:r w:rsidR="0008571E">
        <w:t>subject</w:t>
      </w:r>
      <w:r w:rsidRPr="00C662BE">
        <w:t xml:space="preserve"> to the statutory civil penalties set forth in Act 129.  Therefore, this is a case of first impression</w:t>
      </w:r>
      <w:r>
        <w:t>.</w:t>
      </w:r>
      <w:r w:rsidR="00457B98">
        <w:t xml:space="preserve"> </w:t>
      </w:r>
      <w:r>
        <w:t xml:space="preserve"> BIE</w:t>
      </w:r>
      <w:r w:rsidRPr="00C662BE">
        <w:t xml:space="preserve"> submits that the negoti</w:t>
      </w:r>
      <w:r>
        <w:t>ated civil penalty of $1.3</w:t>
      </w:r>
      <w:r w:rsidR="00457B98">
        <w:t> </w:t>
      </w:r>
      <w:r>
        <w:t>million</w:t>
      </w:r>
      <w:r w:rsidRPr="00C662BE">
        <w:t xml:space="preserve"> is just and reasonable, in the public interest, and sets a fair and reasonable precedent in the event any future energy efficiency and conservation statutory requirement is violated by a Pennsylvania EDC.  </w:t>
      </w:r>
    </w:p>
    <w:p w:rsidR="00AF56FD" w:rsidRDefault="00AF56FD" w:rsidP="00986E8C"/>
    <w:p w:rsidR="00C662BE" w:rsidRDefault="00C662BE" w:rsidP="00986E8C">
      <w:r>
        <w:tab/>
        <w:t xml:space="preserve">8. </w:t>
      </w:r>
      <w:r>
        <w:tab/>
      </w:r>
      <w:r w:rsidRPr="00457B98">
        <w:rPr>
          <w:i/>
        </w:rPr>
        <w:t>Other Relevant Factors</w:t>
      </w:r>
      <w:r w:rsidR="00AF56FD">
        <w:rPr>
          <w:rStyle w:val="FootnoteReference"/>
        </w:rPr>
        <w:footnoteReference w:id="23"/>
      </w:r>
    </w:p>
    <w:p w:rsidR="00AF56FD" w:rsidRDefault="00AF56FD" w:rsidP="00986E8C"/>
    <w:p w:rsidR="00C662BE" w:rsidRDefault="00C662BE" w:rsidP="00986E8C">
      <w:r>
        <w:tab/>
        <w:t>Act 129</w:t>
      </w:r>
      <w:r w:rsidRPr="00C662BE">
        <w:t xml:space="preserve"> requires that a minimum of a $1 million fine be imposed with a maximum of $20 million.</w:t>
      </w:r>
      <w:r>
        <w:rPr>
          <w:rStyle w:val="FootnoteReference"/>
        </w:rPr>
        <w:footnoteReference w:id="24"/>
      </w:r>
      <w:r w:rsidRPr="00C662BE">
        <w:t xml:space="preserve">  The Settlement provides for a $1.3 million penalty.</w:t>
      </w:r>
      <w:r>
        <w:t xml:space="preserve">  </w:t>
      </w:r>
      <w:r w:rsidRPr="00C662BE">
        <w:t>OCA</w:t>
      </w:r>
      <w:r>
        <w:t xml:space="preserve"> and BIE submit</w:t>
      </w:r>
      <w:r w:rsidRPr="00C662BE">
        <w:t xml:space="preserve"> that the negotiated penalty is reasonable in these circumstances</w:t>
      </w:r>
      <w:r>
        <w:t>, and within the range required by the statute</w:t>
      </w:r>
      <w:r w:rsidRPr="00C662BE">
        <w:t>.</w:t>
      </w:r>
    </w:p>
    <w:p w:rsidR="00AF56FD" w:rsidRDefault="00AF56FD" w:rsidP="00986E8C"/>
    <w:p w:rsidR="00C662BE" w:rsidRDefault="00C662BE" w:rsidP="00986E8C">
      <w:r>
        <w:tab/>
        <w:t xml:space="preserve">The Company points to </w:t>
      </w:r>
      <w:r w:rsidRPr="00C662BE">
        <w:t xml:space="preserve">West Penn’s excellent performance on the 3% energy reduction goal and the 4.5% demand reduction goal </w:t>
      </w:r>
      <w:r w:rsidR="00775426">
        <w:t>as</w:t>
      </w:r>
      <w:r w:rsidRPr="00C662BE">
        <w:t xml:space="preserve"> relevant to how the Commission should view the Company’s Phase I performance</w:t>
      </w:r>
      <w:r w:rsidR="00AF56FD">
        <w:t xml:space="preserve">.  In the Company’s view, </w:t>
      </w:r>
      <w:r w:rsidRPr="00C662BE">
        <w:t>that performance warrants a payment at the lower end of the penalty range.</w:t>
      </w:r>
    </w:p>
    <w:p w:rsidR="00D81FA7" w:rsidRDefault="00D81FA7" w:rsidP="00986E8C">
      <w:r>
        <w:tab/>
      </w:r>
      <w:r w:rsidR="00AF56FD">
        <w:t>I agree that consideration of this factor</w:t>
      </w:r>
      <w:r>
        <w:t xml:space="preserve"> also point</w:t>
      </w:r>
      <w:r w:rsidR="00AF56FD">
        <w:t>s</w:t>
      </w:r>
      <w:r>
        <w:t xml:space="preserve"> to a civil penalty in the lower end of the range required by Act 129.</w:t>
      </w:r>
    </w:p>
    <w:p w:rsidR="00AF56FD" w:rsidRDefault="00AF56FD" w:rsidP="00986E8C"/>
    <w:p w:rsidR="00D81FA7" w:rsidRDefault="00D81FA7" w:rsidP="000B324F">
      <w:pPr>
        <w:pStyle w:val="ListParagraph"/>
        <w:numPr>
          <w:ilvl w:val="0"/>
          <w:numId w:val="8"/>
        </w:numPr>
        <w:jc w:val="center"/>
      </w:pPr>
      <w:r w:rsidRPr="000B324F">
        <w:rPr>
          <w:u w:val="single"/>
        </w:rPr>
        <w:t>RECOMMENDATION</w:t>
      </w:r>
    </w:p>
    <w:p w:rsidR="00D81FA7" w:rsidRDefault="00D81FA7" w:rsidP="00986E8C"/>
    <w:p w:rsidR="000307E2" w:rsidRDefault="00AC195F" w:rsidP="00E9657A">
      <w:r>
        <w:tab/>
      </w:r>
      <w:r w:rsidR="00D81FA7" w:rsidRPr="00D81FA7">
        <w:t xml:space="preserve">West Penn, </w:t>
      </w:r>
      <w:r w:rsidR="000307E2">
        <w:t>BIE</w:t>
      </w:r>
      <w:r w:rsidR="00D81FA7" w:rsidRPr="00D81FA7">
        <w:t xml:space="preserve">, </w:t>
      </w:r>
      <w:r w:rsidR="000307E2">
        <w:t xml:space="preserve">and </w:t>
      </w:r>
      <w:r w:rsidR="00D81FA7" w:rsidRPr="00D81FA7">
        <w:t>OCA</w:t>
      </w:r>
      <w:r w:rsidR="000307E2">
        <w:rPr>
          <w:rStyle w:val="FootnoteReference"/>
        </w:rPr>
        <w:footnoteReference w:id="25"/>
      </w:r>
      <w:r w:rsidR="00D81FA7" w:rsidRPr="00D81FA7">
        <w:t xml:space="preserve"> have crafted a comprehensive </w:t>
      </w:r>
      <w:r w:rsidR="00AA1CAA">
        <w:t>Settlement</w:t>
      </w:r>
      <w:r w:rsidR="00D81FA7" w:rsidRPr="00D81FA7">
        <w:t xml:space="preserve"> of the issues in these matters that is in the public interest.  The Settlement resolves all issues related to </w:t>
      </w:r>
      <w:r w:rsidR="000307E2">
        <w:t>BIE’s Civil Penalty</w:t>
      </w:r>
      <w:r w:rsidR="00D81FA7" w:rsidRPr="00D81FA7">
        <w:t xml:space="preserve"> Complaint, the </w:t>
      </w:r>
      <w:r w:rsidR="000307E2">
        <w:t>Act 129</w:t>
      </w:r>
      <w:r w:rsidR="00D81FA7" w:rsidRPr="00D81FA7">
        <w:t xml:space="preserve"> Petition and the </w:t>
      </w:r>
      <w:r w:rsidR="000307E2">
        <w:t>Commonwealth Court litigation</w:t>
      </w:r>
      <w:r w:rsidR="00D81FA7" w:rsidRPr="00D81FA7">
        <w:t xml:space="preserve">. The Settlement terms and conditions satisfy the </w:t>
      </w:r>
      <w:r w:rsidR="000307E2">
        <w:t xml:space="preserve">relevant </w:t>
      </w:r>
      <w:r w:rsidR="00D81FA7" w:rsidRPr="00D81FA7">
        <w:t>factors in the Commission’s Policy Statement at 5</w:t>
      </w:r>
      <w:r w:rsidR="000307E2">
        <w:t>2 Pa.Code § 69.1201(c)</w:t>
      </w:r>
      <w:r w:rsidR="00AF56FD">
        <w:t xml:space="preserve">.  The Settlement proposed </w:t>
      </w:r>
      <w:r w:rsidR="000307E2">
        <w:t>is</w:t>
      </w:r>
      <w:r w:rsidR="00D81FA7" w:rsidRPr="00D81FA7">
        <w:t xml:space="preserve"> in the public interest.  </w:t>
      </w:r>
      <w:r w:rsidR="00AF56FD">
        <w:t xml:space="preserve">The Joint Petitioners fully </w:t>
      </w:r>
      <w:r w:rsidR="000307E2">
        <w:t>support</w:t>
      </w:r>
      <w:r w:rsidR="00D81FA7" w:rsidRPr="00D81FA7">
        <w:t xml:space="preserve"> the </w:t>
      </w:r>
      <w:r w:rsidR="000307E2">
        <w:t xml:space="preserve">Settlement.  I recommend approval of the </w:t>
      </w:r>
      <w:r w:rsidR="00AA1CAA">
        <w:t>Settlement</w:t>
      </w:r>
      <w:r w:rsidR="000307E2">
        <w:t xml:space="preserve"> without modification. </w:t>
      </w:r>
    </w:p>
    <w:p w:rsidR="000B324F" w:rsidRDefault="000B324F" w:rsidP="00E9657A"/>
    <w:p w:rsidR="000307E2" w:rsidRPr="000B324F" w:rsidRDefault="000307E2" w:rsidP="000B324F">
      <w:pPr>
        <w:pStyle w:val="ListParagraph"/>
        <w:numPr>
          <w:ilvl w:val="0"/>
          <w:numId w:val="8"/>
        </w:numPr>
        <w:jc w:val="center"/>
        <w:rPr>
          <w:u w:val="single"/>
        </w:rPr>
      </w:pPr>
      <w:r w:rsidRPr="000B324F">
        <w:rPr>
          <w:u w:val="single"/>
        </w:rPr>
        <w:t>CONCLUSIONS OF LAW</w:t>
      </w:r>
    </w:p>
    <w:p w:rsidR="00AF56FD" w:rsidRDefault="00AF56FD" w:rsidP="0054150F">
      <w:pPr>
        <w:jc w:val="center"/>
      </w:pPr>
    </w:p>
    <w:p w:rsidR="000307E2" w:rsidRDefault="000307E2" w:rsidP="006B75BE">
      <w:pPr>
        <w:pStyle w:val="ListParagraph"/>
        <w:numPr>
          <w:ilvl w:val="0"/>
          <w:numId w:val="9"/>
        </w:numPr>
        <w:ind w:left="0" w:firstLine="1440"/>
      </w:pPr>
      <w:r>
        <w:t>The civil penalty of $1.3 million is consistent with Act 129.</w:t>
      </w:r>
      <w:r w:rsidR="00AF56FD">
        <w:t xml:space="preserve">  </w:t>
      </w:r>
      <w:proofErr w:type="gramStart"/>
      <w:r w:rsidR="00AF56FD">
        <w:t>66 Pa.C.S.</w:t>
      </w:r>
      <w:proofErr w:type="gramEnd"/>
      <w:r w:rsidR="00AF56FD">
        <w:t xml:space="preserve"> §</w:t>
      </w:r>
      <w:r w:rsidR="000B324F">
        <w:t> </w:t>
      </w:r>
      <w:r w:rsidR="00AF56FD">
        <w:t>2806.1(f).</w:t>
      </w:r>
    </w:p>
    <w:p w:rsidR="006B75BE" w:rsidRDefault="006B75BE" w:rsidP="006B75BE">
      <w:pPr>
        <w:pStyle w:val="ListParagraph"/>
        <w:ind w:left="2160"/>
      </w:pPr>
    </w:p>
    <w:p w:rsidR="000307E2" w:rsidRDefault="000307E2" w:rsidP="00E9657A">
      <w:r>
        <w:tab/>
        <w:t>2.</w:t>
      </w:r>
      <w:r>
        <w:tab/>
        <w:t>The civil penalty agreed to by the parties is consistent with Section 69.1201.</w:t>
      </w:r>
      <w:r w:rsidR="00AF56FD">
        <w:t xml:space="preserve">  </w:t>
      </w:r>
      <w:proofErr w:type="gramStart"/>
      <w:r w:rsidR="00AF56FD">
        <w:t>52 Pa.Code § 69.1201.</w:t>
      </w:r>
      <w:proofErr w:type="gramEnd"/>
    </w:p>
    <w:p w:rsidR="00AF56FD" w:rsidRDefault="00AF56FD" w:rsidP="00E9657A"/>
    <w:p w:rsidR="000307E2" w:rsidRDefault="000307E2" w:rsidP="00E9657A">
      <w:r>
        <w:tab/>
        <w:t>3.</w:t>
      </w:r>
      <w:r>
        <w:tab/>
        <w:t>The Joint Petition is in the public interest.</w:t>
      </w:r>
    </w:p>
    <w:p w:rsidR="006B75BE" w:rsidRDefault="006B75BE">
      <w:pPr>
        <w:tabs>
          <w:tab w:val="clear" w:pos="1440"/>
        </w:tabs>
        <w:spacing w:line="240" w:lineRule="auto"/>
      </w:pPr>
      <w:r>
        <w:br w:type="page"/>
      </w:r>
    </w:p>
    <w:p w:rsidR="000307E2" w:rsidRPr="006B75BE" w:rsidRDefault="000307E2" w:rsidP="006B75BE">
      <w:pPr>
        <w:pStyle w:val="ListParagraph"/>
        <w:numPr>
          <w:ilvl w:val="0"/>
          <w:numId w:val="8"/>
        </w:numPr>
        <w:jc w:val="center"/>
      </w:pPr>
      <w:r w:rsidRPr="006B75BE">
        <w:rPr>
          <w:u w:val="single"/>
        </w:rPr>
        <w:t>ORDER</w:t>
      </w:r>
    </w:p>
    <w:p w:rsidR="0054150F" w:rsidRDefault="0054150F" w:rsidP="006B75BE">
      <w:pPr>
        <w:spacing w:line="240" w:lineRule="auto"/>
      </w:pPr>
    </w:p>
    <w:p w:rsidR="006B75BE" w:rsidRDefault="006B75BE" w:rsidP="006B75BE">
      <w:pPr>
        <w:spacing w:line="240" w:lineRule="auto"/>
      </w:pPr>
    </w:p>
    <w:p w:rsidR="0054150F" w:rsidRDefault="006B75BE" w:rsidP="00E9657A">
      <w:r>
        <w:tab/>
      </w:r>
      <w:r w:rsidR="000307E2">
        <w:t>THEREFORE</w:t>
      </w:r>
      <w:r w:rsidR="0054150F">
        <w:t>,</w:t>
      </w:r>
    </w:p>
    <w:p w:rsidR="000307E2" w:rsidRDefault="000307E2" w:rsidP="00E9657A">
      <w:r>
        <w:t xml:space="preserve"> </w:t>
      </w:r>
    </w:p>
    <w:p w:rsidR="000307E2" w:rsidRDefault="006B75BE" w:rsidP="00E9657A">
      <w:r>
        <w:tab/>
      </w:r>
      <w:r w:rsidR="000307E2">
        <w:t xml:space="preserve">IT IS </w:t>
      </w:r>
      <w:r w:rsidR="00AF56FD">
        <w:t>RECOMMENDED</w:t>
      </w:r>
      <w:r w:rsidR="000307E2">
        <w:t>:</w:t>
      </w:r>
    </w:p>
    <w:p w:rsidR="006B75BE" w:rsidRDefault="006B75BE" w:rsidP="00E9657A"/>
    <w:p w:rsidR="00FC2169" w:rsidRDefault="000307E2" w:rsidP="000307E2">
      <w:r>
        <w:tab/>
        <w:t>1.</w:t>
      </w:r>
      <w:r>
        <w:tab/>
      </w:r>
      <w:r w:rsidR="00FC2169">
        <w:t>That the Joint Petition for Approval of Unanimous Settlement of All Issues</w:t>
      </w:r>
      <w:r w:rsidR="00AF56FD">
        <w:t xml:space="preserve"> filed by West Penn Power Company, </w:t>
      </w:r>
      <w:r w:rsidR="00B139F8">
        <w:t xml:space="preserve">the </w:t>
      </w:r>
      <w:r w:rsidR="00AF56FD">
        <w:t>Office of Consumer Advocate and the Commission’s Bureau of Investigation and Enforcement</w:t>
      </w:r>
      <w:r w:rsidR="00FC2169">
        <w:t xml:space="preserve"> be approved without modification.</w:t>
      </w:r>
    </w:p>
    <w:p w:rsidR="00AF56FD" w:rsidRDefault="00AF56FD" w:rsidP="000307E2"/>
    <w:p w:rsidR="000307E2" w:rsidRDefault="00FC2169" w:rsidP="000307E2">
      <w:r>
        <w:tab/>
        <w:t>2.</w:t>
      </w:r>
      <w:r>
        <w:tab/>
      </w:r>
      <w:r w:rsidR="000307E2">
        <w:t xml:space="preserve">That West Penn Power Company shall remit, within 30 days after service of the Commission’s order, monetary penalties to the Pennsylvania Public Utility Commission in the amount of $1.3 million.  A certified check </w:t>
      </w:r>
      <w:r w:rsidR="0054150F">
        <w:t xml:space="preserve">payable to the Commonwealth of Pennsylvania </w:t>
      </w:r>
      <w:r w:rsidR="000307E2">
        <w:t>must be sent to the Commission at the following address:</w:t>
      </w:r>
    </w:p>
    <w:p w:rsidR="00AF56FD" w:rsidRDefault="00AF56FD" w:rsidP="00B11D16">
      <w:pPr>
        <w:spacing w:line="240" w:lineRule="auto"/>
      </w:pPr>
    </w:p>
    <w:p w:rsidR="00B11D16" w:rsidRDefault="00B11D16" w:rsidP="00B11D16">
      <w:pPr>
        <w:spacing w:line="240" w:lineRule="auto"/>
        <w:ind w:firstLine="2160"/>
      </w:pPr>
      <w:r>
        <w:t>Secretary</w:t>
      </w:r>
    </w:p>
    <w:p w:rsidR="000307E2" w:rsidRDefault="000307E2" w:rsidP="00B11D16">
      <w:pPr>
        <w:spacing w:line="240" w:lineRule="auto"/>
        <w:ind w:firstLine="2160"/>
      </w:pPr>
      <w:r>
        <w:t>Pennsylvania Public Utility Commission</w:t>
      </w:r>
    </w:p>
    <w:p w:rsidR="000307E2" w:rsidRDefault="000307E2" w:rsidP="00B11D16">
      <w:pPr>
        <w:spacing w:line="240" w:lineRule="auto"/>
        <w:ind w:firstLine="2160"/>
      </w:pPr>
      <w:r>
        <w:t>P.O. Box 3265</w:t>
      </w:r>
    </w:p>
    <w:p w:rsidR="000307E2" w:rsidRDefault="000307E2" w:rsidP="00B11D16">
      <w:pPr>
        <w:spacing w:line="240" w:lineRule="auto"/>
        <w:ind w:firstLine="2160"/>
      </w:pPr>
      <w:r>
        <w:t>Harrisburg, Pennsylvania 17105-3265</w:t>
      </w:r>
    </w:p>
    <w:p w:rsidR="00B11D16" w:rsidRDefault="00B11D16" w:rsidP="00B11D16">
      <w:pPr>
        <w:spacing w:line="240" w:lineRule="auto"/>
        <w:ind w:firstLine="2160"/>
      </w:pPr>
    </w:p>
    <w:p w:rsidR="0054150F" w:rsidRDefault="0054150F" w:rsidP="0054150F">
      <w:pPr>
        <w:spacing w:line="240" w:lineRule="auto"/>
        <w:jc w:val="center"/>
      </w:pPr>
    </w:p>
    <w:p w:rsidR="000307E2" w:rsidRDefault="000307E2" w:rsidP="000307E2">
      <w:r>
        <w:tab/>
      </w:r>
      <w:r w:rsidR="0054150F">
        <w:t>3</w:t>
      </w:r>
      <w:r>
        <w:t>.</w:t>
      </w:r>
      <w:r w:rsidR="0054150F">
        <w:tab/>
      </w:r>
      <w:r w:rsidR="0054150F" w:rsidRPr="0054150F">
        <w:t xml:space="preserve">That </w:t>
      </w:r>
      <w:r w:rsidR="0054150F">
        <w:t>West Penn Power Company</w:t>
      </w:r>
      <w:r w:rsidR="0054150F" w:rsidRPr="0054150F">
        <w:t>, the Commission’s Bureau of Investigation and Enforcement,</w:t>
      </w:r>
      <w:r w:rsidR="0054150F">
        <w:t xml:space="preserve"> and</w:t>
      </w:r>
      <w:r w:rsidR="0054150F" w:rsidRPr="0054150F">
        <w:t xml:space="preserve"> the Office of Consumer Advocate be ordered to comply with the terms and conditions of the </w:t>
      </w:r>
      <w:r w:rsidR="0054150F">
        <w:t>Joint Petition for Approval of Unanimous Settlement of All Issues</w:t>
      </w:r>
      <w:r w:rsidR="0054150F" w:rsidRPr="0054150F">
        <w:t xml:space="preserve"> executed and submitted in this proceeding as though each term and condition stated therein had been the subject of an individual ordering paragraph</w:t>
      </w:r>
      <w:r w:rsidR="0054150F">
        <w:t>.</w:t>
      </w:r>
    </w:p>
    <w:p w:rsidR="0054150F" w:rsidRDefault="0054150F" w:rsidP="000307E2"/>
    <w:p w:rsidR="00CF105A" w:rsidRDefault="0054150F" w:rsidP="000D371B">
      <w:r>
        <w:tab/>
        <w:t>4.</w:t>
      </w:r>
      <w:r>
        <w:tab/>
        <w:t xml:space="preserve">That upon execution of the terms of the Joint Petition the docket </w:t>
      </w:r>
      <w:proofErr w:type="gramStart"/>
      <w:r>
        <w:t>be</w:t>
      </w:r>
      <w:proofErr w:type="gramEnd"/>
      <w:r>
        <w:t xml:space="preserve"> marked closed.</w:t>
      </w:r>
    </w:p>
    <w:p w:rsidR="00F007BF" w:rsidRDefault="00F007BF" w:rsidP="000D371B"/>
    <w:p w:rsidR="00F007BF" w:rsidRDefault="00F007BF" w:rsidP="000D371B"/>
    <w:p w:rsidR="00F007BF" w:rsidRDefault="00F007BF" w:rsidP="00F007BF">
      <w:pPr>
        <w:spacing w:line="240" w:lineRule="auto"/>
      </w:pPr>
      <w:r>
        <w:t xml:space="preserve">Date:  </w:t>
      </w:r>
      <w:r w:rsidRPr="00F007BF">
        <w:rPr>
          <w:u w:val="single"/>
        </w:rPr>
        <w:t>August 1, 2014</w:t>
      </w:r>
      <w:r>
        <w:tab/>
      </w:r>
      <w:r>
        <w:tab/>
      </w:r>
      <w:r>
        <w:tab/>
      </w:r>
      <w:r>
        <w:tab/>
      </w:r>
      <w:r>
        <w:tab/>
      </w:r>
      <w:r>
        <w:tab/>
      </w:r>
      <w:r>
        <w:rPr>
          <w:u w:val="single"/>
        </w:rPr>
        <w:tab/>
      </w:r>
      <w:r>
        <w:rPr>
          <w:u w:val="single"/>
        </w:rPr>
        <w:tab/>
        <w:t>/s/</w:t>
      </w:r>
      <w:r>
        <w:rPr>
          <w:u w:val="single"/>
        </w:rPr>
        <w:tab/>
      </w:r>
      <w:r>
        <w:rPr>
          <w:u w:val="single"/>
        </w:rPr>
        <w:tab/>
      </w:r>
      <w:r>
        <w:rPr>
          <w:u w:val="single"/>
        </w:rPr>
        <w:tab/>
      </w:r>
    </w:p>
    <w:p w:rsidR="00F007BF" w:rsidRDefault="00F007BF" w:rsidP="00F007BF">
      <w:pPr>
        <w:spacing w:line="240" w:lineRule="auto"/>
      </w:pPr>
      <w:r>
        <w:tab/>
      </w:r>
      <w:r>
        <w:tab/>
      </w:r>
      <w:r>
        <w:tab/>
      </w:r>
      <w:r>
        <w:tab/>
      </w:r>
      <w:r>
        <w:tab/>
      </w:r>
      <w:r>
        <w:tab/>
      </w:r>
      <w:r>
        <w:tab/>
        <w:t>Mary D. Long</w:t>
      </w:r>
    </w:p>
    <w:p w:rsidR="00F007BF" w:rsidRDefault="00F007BF" w:rsidP="00F007BF">
      <w:pPr>
        <w:spacing w:line="240" w:lineRule="auto"/>
      </w:pPr>
      <w:r>
        <w:tab/>
      </w:r>
      <w:r>
        <w:tab/>
      </w:r>
      <w:r>
        <w:tab/>
      </w:r>
      <w:r>
        <w:tab/>
      </w:r>
      <w:r>
        <w:tab/>
      </w:r>
      <w:r>
        <w:tab/>
      </w:r>
      <w:r>
        <w:tab/>
        <w:t>Administrative Law Judge</w:t>
      </w:r>
    </w:p>
    <w:sectPr w:rsidR="00F007BF" w:rsidSect="00050FC0">
      <w:footerReference w:type="default" r:id="rId9"/>
      <w:footerReference w:type="first" r:id="rId10"/>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FD1" w:rsidRDefault="00372FD1">
      <w:r>
        <w:separator/>
      </w:r>
    </w:p>
  </w:endnote>
  <w:endnote w:type="continuationSeparator" w:id="0">
    <w:p w:rsidR="00372FD1" w:rsidRDefault="00372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59840"/>
      <w:docPartObj>
        <w:docPartGallery w:val="Page Numbers (Bottom of Page)"/>
        <w:docPartUnique/>
      </w:docPartObj>
    </w:sdtPr>
    <w:sdtEndPr>
      <w:rPr>
        <w:sz w:val="20"/>
      </w:rPr>
    </w:sdtEndPr>
    <w:sdtContent>
      <w:p w:rsidR="00D40EA3" w:rsidRPr="003A207F" w:rsidRDefault="00E77B1F">
        <w:pPr>
          <w:pStyle w:val="Footer"/>
          <w:jc w:val="center"/>
          <w:rPr>
            <w:sz w:val="20"/>
          </w:rPr>
        </w:pPr>
        <w:r w:rsidRPr="003A207F">
          <w:rPr>
            <w:sz w:val="20"/>
          </w:rPr>
          <w:fldChar w:fldCharType="begin"/>
        </w:r>
        <w:r w:rsidRPr="003A207F">
          <w:rPr>
            <w:sz w:val="20"/>
          </w:rPr>
          <w:instrText xml:space="preserve"> PAGE   \* MERGEFORMAT </w:instrText>
        </w:r>
        <w:r w:rsidRPr="003A207F">
          <w:rPr>
            <w:sz w:val="20"/>
          </w:rPr>
          <w:fldChar w:fldCharType="separate"/>
        </w:r>
        <w:r w:rsidR="001B15D8">
          <w:rPr>
            <w:noProof/>
            <w:sz w:val="20"/>
          </w:rPr>
          <w:t>15</w:t>
        </w:r>
        <w:r w:rsidRPr="003A207F">
          <w:rPr>
            <w:noProof/>
            <w:sz w:val="20"/>
          </w:rPr>
          <w:fldChar w:fldCharType="end"/>
        </w:r>
      </w:p>
    </w:sdtContent>
  </w:sdt>
  <w:p w:rsidR="00D40EA3" w:rsidRDefault="00D40E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C8E" w:rsidRDefault="00B11C8E">
    <w:pPr>
      <w:pStyle w:val="Footer"/>
      <w:jc w:val="center"/>
    </w:pPr>
  </w:p>
  <w:p w:rsidR="00B11C8E" w:rsidRDefault="00B11C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FD1" w:rsidRDefault="00372FD1">
      <w:r>
        <w:separator/>
      </w:r>
    </w:p>
  </w:footnote>
  <w:footnote w:type="continuationSeparator" w:id="0">
    <w:p w:rsidR="00372FD1" w:rsidRDefault="00372FD1">
      <w:r>
        <w:continuationSeparator/>
      </w:r>
    </w:p>
  </w:footnote>
  <w:footnote w:id="1">
    <w:p w:rsidR="00702321" w:rsidRDefault="00702321" w:rsidP="00E17AA1">
      <w:pPr>
        <w:pStyle w:val="FootnoteText"/>
        <w:spacing w:after="0"/>
        <w:ind w:firstLine="720"/>
      </w:pPr>
      <w:r>
        <w:rPr>
          <w:rStyle w:val="FootnoteReference"/>
        </w:rPr>
        <w:footnoteRef/>
      </w:r>
      <w:r>
        <w:t xml:space="preserve"> </w:t>
      </w:r>
      <w:r>
        <w:tab/>
        <w:t xml:space="preserve">March 20 </w:t>
      </w:r>
      <w:proofErr w:type="gramStart"/>
      <w:r>
        <w:t>Order</w:t>
      </w:r>
      <w:proofErr w:type="gramEnd"/>
      <w:r>
        <w:t xml:space="preserve"> at Ordering Paragraph 4.</w:t>
      </w:r>
    </w:p>
    <w:p w:rsidR="00E17AA1" w:rsidRDefault="00E17AA1" w:rsidP="00E17AA1">
      <w:pPr>
        <w:pStyle w:val="FootnoteText"/>
        <w:spacing w:after="0"/>
        <w:ind w:firstLine="720"/>
      </w:pPr>
    </w:p>
  </w:footnote>
  <w:footnote w:id="2">
    <w:p w:rsidR="006F485A" w:rsidRDefault="006F485A" w:rsidP="006F485A">
      <w:pPr>
        <w:pStyle w:val="FootnoteText"/>
        <w:ind w:firstLine="720"/>
      </w:pPr>
      <w:r w:rsidRPr="006F485A">
        <w:rPr>
          <w:rStyle w:val="FootnoteReference"/>
        </w:rPr>
        <w:footnoteRef/>
      </w:r>
      <w:r w:rsidRPr="006F485A">
        <w:rPr>
          <w:vertAlign w:val="superscript"/>
        </w:rPr>
        <w:t xml:space="preserve"> </w:t>
      </w:r>
      <w:r>
        <w:t xml:space="preserve"> </w:t>
      </w:r>
      <w:r>
        <w:tab/>
        <w:t>Docket No. 656 C.D. 2014.</w:t>
      </w:r>
    </w:p>
  </w:footnote>
  <w:footnote w:id="3">
    <w:p w:rsidR="006761E0" w:rsidRDefault="006761E0" w:rsidP="00B23845">
      <w:pPr>
        <w:pStyle w:val="FootnoteText"/>
        <w:spacing w:after="0"/>
        <w:ind w:firstLine="720"/>
      </w:pPr>
      <w:r w:rsidRPr="00B23845">
        <w:rPr>
          <w:rStyle w:val="FootnoteReference"/>
        </w:rPr>
        <w:footnoteRef/>
      </w:r>
      <w:r w:rsidRPr="006761E0">
        <w:rPr>
          <w:rStyle w:val="FootnoteReference"/>
          <w:sz w:val="24"/>
        </w:rPr>
        <w:t xml:space="preserve"> </w:t>
      </w:r>
      <w:r>
        <w:t xml:space="preserve"> </w:t>
      </w:r>
      <w:r>
        <w:tab/>
      </w:r>
      <w:proofErr w:type="gramStart"/>
      <w:r>
        <w:t>Joint Petition for Approval of Unanimous Settlement, Section II, ¶ 18 and Appendix A.</w:t>
      </w:r>
      <w:proofErr w:type="gramEnd"/>
    </w:p>
    <w:p w:rsidR="00B23845" w:rsidRDefault="00B23845" w:rsidP="00B23845">
      <w:pPr>
        <w:pStyle w:val="FootnoteText"/>
        <w:spacing w:after="0"/>
        <w:ind w:firstLine="720"/>
      </w:pPr>
    </w:p>
  </w:footnote>
  <w:footnote w:id="4">
    <w:p w:rsidR="00C34288" w:rsidRDefault="00C34288" w:rsidP="00C34288">
      <w:pPr>
        <w:pStyle w:val="FootnoteText"/>
        <w:ind w:firstLine="720"/>
      </w:pPr>
      <w:r>
        <w:rPr>
          <w:rStyle w:val="FootnoteReference"/>
        </w:rPr>
        <w:footnoteRef/>
      </w:r>
      <w:r>
        <w:t xml:space="preserve">  </w:t>
      </w:r>
      <w:r>
        <w:tab/>
        <w:t xml:space="preserve">Although the Company would have preferred to file the </w:t>
      </w:r>
      <w:r w:rsidR="00AA1CAA">
        <w:t>Settlement</w:t>
      </w:r>
      <w:r>
        <w:t xml:space="preserve"> at the docket for the Act 129 Petition, it was agreed to file the Joint Petition as a settlement of the Civil Penalty Complaint as a concession to BIE.  </w:t>
      </w:r>
    </w:p>
  </w:footnote>
  <w:footnote w:id="5">
    <w:p w:rsidR="00C06ED2" w:rsidRDefault="00C06ED2" w:rsidP="00C06ED2">
      <w:pPr>
        <w:pStyle w:val="FootnoteText"/>
        <w:ind w:firstLine="720"/>
      </w:pPr>
      <w:r>
        <w:rPr>
          <w:rStyle w:val="FootnoteReference"/>
        </w:rPr>
        <w:footnoteRef/>
      </w:r>
      <w:r>
        <w:t xml:space="preserve">  </w:t>
      </w:r>
      <w:r>
        <w:tab/>
      </w:r>
      <w:proofErr w:type="gramStart"/>
      <w:r>
        <w:t>Joint Petition, Section III.</w:t>
      </w:r>
      <w:proofErr w:type="gramEnd"/>
    </w:p>
  </w:footnote>
  <w:footnote w:id="6">
    <w:p w:rsidR="00C72AB3" w:rsidRDefault="00A90E9D" w:rsidP="00C72AB3">
      <w:pPr>
        <w:pStyle w:val="FootnoteText"/>
        <w:spacing w:after="0"/>
        <w:ind w:firstLine="720"/>
      </w:pPr>
      <w:r>
        <w:rPr>
          <w:rStyle w:val="FootnoteReference"/>
        </w:rPr>
        <w:footnoteRef/>
      </w:r>
      <w:r>
        <w:t xml:space="preserve"> </w:t>
      </w:r>
      <w:r>
        <w:tab/>
      </w:r>
      <w:r>
        <w:rPr>
          <w:i/>
        </w:rPr>
        <w:t>See</w:t>
      </w:r>
      <w:r>
        <w:t xml:space="preserve"> 52 Pa.Code § 5.231. </w:t>
      </w:r>
    </w:p>
    <w:p w:rsidR="00A90E9D" w:rsidRDefault="00A90E9D" w:rsidP="00C72AB3">
      <w:pPr>
        <w:pStyle w:val="FootnoteText"/>
        <w:spacing w:after="0"/>
        <w:ind w:firstLine="720"/>
      </w:pPr>
      <w:r>
        <w:t xml:space="preserve"> </w:t>
      </w:r>
    </w:p>
  </w:footnote>
  <w:footnote w:id="7">
    <w:p w:rsidR="00A90E9D" w:rsidRDefault="00A90E9D" w:rsidP="007425AD">
      <w:pPr>
        <w:pStyle w:val="FootnoteText"/>
        <w:ind w:firstLine="720"/>
      </w:pPr>
      <w:r>
        <w:rPr>
          <w:rStyle w:val="FootnoteReference"/>
        </w:rPr>
        <w:footnoteRef/>
      </w:r>
      <w:r>
        <w:t xml:space="preserve"> </w:t>
      </w:r>
      <w:r>
        <w:tab/>
      </w:r>
      <w:r>
        <w:rPr>
          <w:i/>
        </w:rPr>
        <w:t xml:space="preserve">Pa. Pub. </w:t>
      </w:r>
      <w:proofErr w:type="gramStart"/>
      <w:r>
        <w:rPr>
          <w:i/>
        </w:rPr>
        <w:t>Util. Comm’n v. CS Water and Sewer Associates</w:t>
      </w:r>
      <w:r>
        <w:t>, 74 Pa. PUC 767, 771 (1991).</w:t>
      </w:r>
      <w:proofErr w:type="gramEnd"/>
      <w:r>
        <w:tab/>
      </w:r>
    </w:p>
  </w:footnote>
  <w:footnote w:id="8">
    <w:p w:rsidR="00B94E8B" w:rsidRDefault="00E9657A" w:rsidP="00B94E8B">
      <w:pPr>
        <w:pStyle w:val="FootnoteText"/>
        <w:spacing w:after="0"/>
        <w:ind w:firstLine="720"/>
      </w:pPr>
      <w:r>
        <w:rPr>
          <w:rStyle w:val="FootnoteReference"/>
        </w:rPr>
        <w:footnoteRef/>
      </w:r>
      <w:r>
        <w:t xml:space="preserve"> </w:t>
      </w:r>
      <w:r>
        <w:tab/>
      </w:r>
      <w:r w:rsidRPr="00E9657A">
        <w:rPr>
          <w:i/>
        </w:rPr>
        <w:t>Rosi v. Bell-Atlantic Pennsylvania, Inc</w:t>
      </w:r>
      <w:r w:rsidRPr="00E9657A">
        <w:t>., Docket No. C-00992409 (Order entered March 16, 2000).</w:t>
      </w:r>
    </w:p>
    <w:p w:rsidR="00E9657A" w:rsidRDefault="00E9657A" w:rsidP="00B94E8B">
      <w:pPr>
        <w:pStyle w:val="FootnoteText"/>
        <w:spacing w:after="0"/>
        <w:ind w:firstLine="720"/>
      </w:pPr>
      <w:r w:rsidRPr="00E9657A">
        <w:t xml:space="preserve">  </w:t>
      </w:r>
    </w:p>
  </w:footnote>
  <w:footnote w:id="9">
    <w:p w:rsidR="007425AD" w:rsidRDefault="007425AD" w:rsidP="007425AD">
      <w:pPr>
        <w:pStyle w:val="FootnoteText"/>
        <w:ind w:firstLine="720"/>
      </w:pPr>
      <w:r>
        <w:rPr>
          <w:rStyle w:val="FootnoteReference"/>
        </w:rPr>
        <w:footnoteRef/>
      </w:r>
      <w:r>
        <w:t xml:space="preserve">  </w:t>
      </w:r>
      <w:r>
        <w:tab/>
      </w:r>
      <w:proofErr w:type="gramStart"/>
      <w:r>
        <w:t>52 Pa.Code § 69.1201(a).</w:t>
      </w:r>
      <w:proofErr w:type="gramEnd"/>
      <w:r>
        <w:t xml:space="preserve"> </w:t>
      </w:r>
    </w:p>
  </w:footnote>
  <w:footnote w:id="10">
    <w:p w:rsidR="00974146" w:rsidRDefault="00974146" w:rsidP="00974146">
      <w:pPr>
        <w:pStyle w:val="FootnoteText"/>
        <w:spacing w:after="0"/>
      </w:pPr>
      <w:r>
        <w:tab/>
      </w:r>
      <w:r w:rsidR="007425AD">
        <w:rPr>
          <w:rStyle w:val="FootnoteReference"/>
        </w:rPr>
        <w:footnoteRef/>
      </w:r>
      <w:r w:rsidR="007425AD">
        <w:t xml:space="preserve">  </w:t>
      </w:r>
      <w:r w:rsidR="007425AD">
        <w:tab/>
      </w:r>
      <w:proofErr w:type="gramStart"/>
      <w:r w:rsidR="007425AD">
        <w:t>52 Pa.Code § 69.1201(c).</w:t>
      </w:r>
      <w:proofErr w:type="gramEnd"/>
      <w:r w:rsidR="00DF62FD">
        <w:t xml:space="preserve"> </w:t>
      </w:r>
    </w:p>
    <w:p w:rsidR="007425AD" w:rsidRDefault="00DF62FD" w:rsidP="00974146">
      <w:pPr>
        <w:pStyle w:val="FootnoteText"/>
        <w:spacing w:after="0"/>
      </w:pPr>
      <w:r>
        <w:t xml:space="preserve"> </w:t>
      </w:r>
    </w:p>
  </w:footnote>
  <w:footnote w:id="11">
    <w:p w:rsidR="007425AD" w:rsidRDefault="00974146" w:rsidP="00974146">
      <w:pPr>
        <w:pStyle w:val="FootnoteText"/>
        <w:spacing w:after="0"/>
      </w:pPr>
      <w:r>
        <w:tab/>
      </w:r>
      <w:r w:rsidR="007425AD">
        <w:rPr>
          <w:rStyle w:val="FootnoteReference"/>
        </w:rPr>
        <w:footnoteRef/>
      </w:r>
      <w:r w:rsidR="007425AD">
        <w:t xml:space="preserve">  </w:t>
      </w:r>
      <w:r w:rsidR="007425AD">
        <w:tab/>
      </w:r>
      <w:proofErr w:type="gramStart"/>
      <w:r w:rsidR="007425AD">
        <w:t>52 Pa.Code § 69.1201(b).</w:t>
      </w:r>
      <w:proofErr w:type="gramEnd"/>
    </w:p>
    <w:p w:rsidR="00974146" w:rsidRDefault="00974146" w:rsidP="00974146">
      <w:pPr>
        <w:pStyle w:val="FootnoteText"/>
        <w:spacing w:after="0"/>
      </w:pPr>
    </w:p>
  </w:footnote>
  <w:footnote w:id="12">
    <w:p w:rsidR="00240CA3" w:rsidRDefault="00974146">
      <w:pPr>
        <w:pStyle w:val="FootnoteText"/>
      </w:pPr>
      <w:r>
        <w:tab/>
      </w:r>
      <w:r w:rsidR="00240CA3">
        <w:rPr>
          <w:rStyle w:val="FootnoteReference"/>
        </w:rPr>
        <w:footnoteRef/>
      </w:r>
      <w:r w:rsidR="00240CA3">
        <w:t xml:space="preserve">  </w:t>
      </w:r>
      <w:r w:rsidR="00240CA3">
        <w:tab/>
        <w:t>52 Pa.Code § 69.1201(c</w:t>
      </w:r>
      <w:proofErr w:type="gramStart"/>
      <w:r w:rsidR="00240CA3">
        <w:t>)(</w:t>
      </w:r>
      <w:proofErr w:type="gramEnd"/>
      <w:r w:rsidR="00240CA3">
        <w:t>1).  This factor is similar to factor (c</w:t>
      </w:r>
      <w:proofErr w:type="gramStart"/>
      <w:r w:rsidR="00240CA3">
        <w:t>)(</w:t>
      </w:r>
      <w:proofErr w:type="gramEnd"/>
      <w:r w:rsidR="00240CA3">
        <w:t>3), which is only applied to litigated cases.</w:t>
      </w:r>
    </w:p>
  </w:footnote>
  <w:footnote w:id="13">
    <w:p w:rsidR="00E9657A" w:rsidRDefault="00492CD3" w:rsidP="00492CD3">
      <w:pPr>
        <w:pStyle w:val="FootnoteText"/>
        <w:spacing w:after="0"/>
      </w:pPr>
      <w:r>
        <w:tab/>
      </w:r>
      <w:r w:rsidR="00E9657A">
        <w:rPr>
          <w:rStyle w:val="FootnoteReference"/>
        </w:rPr>
        <w:footnoteRef/>
      </w:r>
      <w:r w:rsidR="00E9657A">
        <w:t xml:space="preserve"> </w:t>
      </w:r>
      <w:r w:rsidR="00240CA3">
        <w:tab/>
        <w:t>BIE Statement in Support at p. 7.</w:t>
      </w:r>
    </w:p>
    <w:p w:rsidR="00492CD3" w:rsidRDefault="00492CD3" w:rsidP="00492CD3">
      <w:pPr>
        <w:pStyle w:val="FootnoteText"/>
        <w:spacing w:after="0"/>
      </w:pPr>
    </w:p>
  </w:footnote>
  <w:footnote w:id="14">
    <w:p w:rsidR="00240CA3" w:rsidRDefault="00492CD3" w:rsidP="00492CD3">
      <w:pPr>
        <w:pStyle w:val="FootnoteText"/>
        <w:spacing w:after="0"/>
      </w:pPr>
      <w:r>
        <w:tab/>
      </w:r>
      <w:r w:rsidR="00240CA3">
        <w:rPr>
          <w:rStyle w:val="FootnoteReference"/>
        </w:rPr>
        <w:footnoteRef/>
      </w:r>
      <w:r w:rsidR="00240CA3">
        <w:t xml:space="preserve"> </w:t>
      </w:r>
      <w:r w:rsidR="00240CA3">
        <w:tab/>
        <w:t>52 Pa.Code § 69.1201(c</w:t>
      </w:r>
      <w:proofErr w:type="gramStart"/>
      <w:r w:rsidR="00240CA3">
        <w:t>)(</w:t>
      </w:r>
      <w:proofErr w:type="gramEnd"/>
      <w:r w:rsidR="00240CA3">
        <w:t>2).</w:t>
      </w:r>
    </w:p>
    <w:p w:rsidR="00492CD3" w:rsidRDefault="00492CD3" w:rsidP="00492CD3">
      <w:pPr>
        <w:pStyle w:val="FootnoteText"/>
        <w:spacing w:after="0"/>
      </w:pPr>
    </w:p>
  </w:footnote>
  <w:footnote w:id="15">
    <w:p w:rsidR="00AC195F" w:rsidRDefault="00492CD3" w:rsidP="00492CD3">
      <w:pPr>
        <w:pStyle w:val="FootnoteText"/>
        <w:spacing w:after="0"/>
      </w:pPr>
      <w:r>
        <w:tab/>
      </w:r>
      <w:r w:rsidR="00AC195F">
        <w:rPr>
          <w:rStyle w:val="FootnoteReference"/>
        </w:rPr>
        <w:footnoteRef/>
      </w:r>
      <w:r w:rsidR="00AC195F">
        <w:t xml:space="preserve">  </w:t>
      </w:r>
      <w:r w:rsidR="008F46AC">
        <w:tab/>
      </w:r>
      <w:proofErr w:type="gramStart"/>
      <w:r w:rsidR="008F46AC">
        <w:t>Stipulated Fact No. 4.</w:t>
      </w:r>
      <w:proofErr w:type="gramEnd"/>
    </w:p>
    <w:p w:rsidR="00492CD3" w:rsidRDefault="00492CD3" w:rsidP="00492CD3">
      <w:pPr>
        <w:pStyle w:val="FootnoteText"/>
        <w:spacing w:after="0"/>
      </w:pPr>
    </w:p>
  </w:footnote>
  <w:footnote w:id="16">
    <w:p w:rsidR="008F46AC" w:rsidRDefault="00492CD3">
      <w:pPr>
        <w:pStyle w:val="FootnoteText"/>
      </w:pPr>
      <w:r>
        <w:tab/>
      </w:r>
      <w:r w:rsidR="008F46AC">
        <w:rPr>
          <w:rStyle w:val="FootnoteReference"/>
        </w:rPr>
        <w:footnoteRef/>
      </w:r>
      <w:r w:rsidR="008F46AC">
        <w:t xml:space="preserve">  </w:t>
      </w:r>
      <w:r w:rsidR="008F46AC">
        <w:tab/>
        <w:t>52 Pa.Code § 69.1201(c</w:t>
      </w:r>
      <w:proofErr w:type="gramStart"/>
      <w:r w:rsidR="008F46AC">
        <w:t>)(</w:t>
      </w:r>
      <w:proofErr w:type="gramEnd"/>
      <w:r w:rsidR="008F46AC">
        <w:t>4).</w:t>
      </w:r>
    </w:p>
  </w:footnote>
  <w:footnote w:id="17">
    <w:p w:rsidR="008F46AC" w:rsidRDefault="00A10910" w:rsidP="00A10910">
      <w:pPr>
        <w:pStyle w:val="FootnoteText"/>
        <w:spacing w:after="0"/>
      </w:pPr>
      <w:r>
        <w:tab/>
      </w:r>
      <w:r w:rsidR="008F46AC">
        <w:rPr>
          <w:rStyle w:val="FootnoteReference"/>
        </w:rPr>
        <w:footnoteRef/>
      </w:r>
      <w:r w:rsidR="008F46AC">
        <w:t xml:space="preserve">  </w:t>
      </w:r>
      <w:r w:rsidR="008F46AC">
        <w:tab/>
        <w:t>52 Pa.Code §69.1201(c</w:t>
      </w:r>
      <w:proofErr w:type="gramStart"/>
      <w:r w:rsidR="008F46AC">
        <w:t>)(</w:t>
      </w:r>
      <w:proofErr w:type="gramEnd"/>
      <w:r w:rsidR="008F46AC">
        <w:t>5).</w:t>
      </w:r>
    </w:p>
    <w:p w:rsidR="00A10910" w:rsidRDefault="00A10910" w:rsidP="00A10910">
      <w:pPr>
        <w:pStyle w:val="FootnoteText"/>
        <w:spacing w:after="0"/>
      </w:pPr>
    </w:p>
  </w:footnote>
  <w:footnote w:id="18">
    <w:p w:rsidR="008F46AC" w:rsidRDefault="008F46AC" w:rsidP="008F46AC">
      <w:pPr>
        <w:pStyle w:val="FootnoteText"/>
        <w:ind w:firstLine="720"/>
      </w:pPr>
      <w:r>
        <w:rPr>
          <w:rStyle w:val="FootnoteReference"/>
        </w:rPr>
        <w:footnoteRef/>
      </w:r>
      <w:r>
        <w:t xml:space="preserve">  </w:t>
      </w:r>
      <w:r>
        <w:tab/>
        <w:t>52 Pa.Code §§ 69.1201(c</w:t>
      </w:r>
      <w:proofErr w:type="gramStart"/>
      <w:r>
        <w:t>)(</w:t>
      </w:r>
      <w:proofErr w:type="gramEnd"/>
      <w:r>
        <w:t>6), (c)(7).</w:t>
      </w:r>
    </w:p>
  </w:footnote>
  <w:footnote w:id="19">
    <w:p w:rsidR="008F46AC" w:rsidRDefault="008F46AC" w:rsidP="002D7668">
      <w:pPr>
        <w:pStyle w:val="FootnoteText"/>
        <w:spacing w:after="0"/>
        <w:ind w:firstLine="720"/>
      </w:pPr>
      <w:r>
        <w:rPr>
          <w:rStyle w:val="FootnoteReference"/>
        </w:rPr>
        <w:footnoteRef/>
      </w:r>
      <w:r>
        <w:t xml:space="preserve">  </w:t>
      </w:r>
      <w:r>
        <w:tab/>
        <w:t>52 Pa.Code § 69.1201(c</w:t>
      </w:r>
      <w:proofErr w:type="gramStart"/>
      <w:r>
        <w:t>)(</w:t>
      </w:r>
      <w:proofErr w:type="gramEnd"/>
      <w:r>
        <w:t>8).</w:t>
      </w:r>
    </w:p>
    <w:p w:rsidR="002D7668" w:rsidRDefault="002D7668" w:rsidP="002D7668">
      <w:pPr>
        <w:pStyle w:val="FootnoteText"/>
        <w:spacing w:after="0"/>
        <w:ind w:firstLine="720"/>
      </w:pPr>
    </w:p>
  </w:footnote>
  <w:footnote w:id="20">
    <w:p w:rsidR="00266D90" w:rsidRDefault="00266D90" w:rsidP="00AF56FD">
      <w:pPr>
        <w:pStyle w:val="FootnoteText"/>
        <w:ind w:firstLine="720"/>
      </w:pPr>
      <w:r>
        <w:rPr>
          <w:rStyle w:val="FootnoteReference"/>
        </w:rPr>
        <w:footnoteRef/>
      </w:r>
      <w:r>
        <w:t xml:space="preserve">  </w:t>
      </w:r>
      <w:r>
        <w:tab/>
      </w:r>
      <w:proofErr w:type="gramStart"/>
      <w:r>
        <w:t>Joint Petition for Settlement, Section IV, ¶ 29.</w:t>
      </w:r>
      <w:proofErr w:type="gramEnd"/>
    </w:p>
  </w:footnote>
  <w:footnote w:id="21">
    <w:p w:rsidR="00266D90" w:rsidRDefault="00266D90" w:rsidP="002C0CC8">
      <w:pPr>
        <w:pStyle w:val="FootnoteText"/>
        <w:spacing w:after="0"/>
        <w:ind w:firstLine="720"/>
      </w:pPr>
      <w:r>
        <w:rPr>
          <w:rStyle w:val="FootnoteReference"/>
        </w:rPr>
        <w:footnoteRef/>
      </w:r>
      <w:r>
        <w:t xml:space="preserve">  </w:t>
      </w:r>
      <w:r w:rsidR="00D81FA7">
        <w:tab/>
      </w:r>
      <w:r w:rsidR="00D30F8D">
        <w:rPr>
          <w:i/>
        </w:rPr>
        <w:t xml:space="preserve">See </w:t>
      </w:r>
      <w:r w:rsidR="00D30F8D" w:rsidRPr="00D30F8D">
        <w:rPr>
          <w:i/>
        </w:rPr>
        <w:t>F.R</w:t>
      </w:r>
      <w:proofErr w:type="gramStart"/>
      <w:r w:rsidR="00D30F8D" w:rsidRPr="00D30F8D">
        <w:rPr>
          <w:i/>
        </w:rPr>
        <w:t>.&amp;</w:t>
      </w:r>
      <w:proofErr w:type="gramEnd"/>
      <w:r w:rsidR="00D30F8D" w:rsidRPr="00D30F8D">
        <w:rPr>
          <w:i/>
        </w:rPr>
        <w:t xml:space="preserve"> S. v. Department of Envtl. </w:t>
      </w:r>
      <w:proofErr w:type="gramStart"/>
      <w:r w:rsidR="00D30F8D" w:rsidRPr="00D30F8D">
        <w:rPr>
          <w:i/>
        </w:rPr>
        <w:t>Resources</w:t>
      </w:r>
      <w:r w:rsidR="00D30F8D">
        <w:t>, 761 A.2d 634 (</w:t>
      </w:r>
      <w:proofErr w:type="spellStart"/>
      <w:r w:rsidR="00D30F8D">
        <w:t>Pa.Cmwlth</w:t>
      </w:r>
      <w:proofErr w:type="spellEnd"/>
      <w:r w:rsidR="00D30F8D">
        <w:t xml:space="preserve">. </w:t>
      </w:r>
      <w:r w:rsidR="00D30F8D" w:rsidRPr="00D30F8D">
        <w:t>2000)</w:t>
      </w:r>
      <w:r w:rsidR="00D30F8D">
        <w:t>.</w:t>
      </w:r>
      <w:proofErr w:type="gramEnd"/>
    </w:p>
    <w:p w:rsidR="002C0CC8" w:rsidRDefault="002C0CC8" w:rsidP="002C0CC8">
      <w:pPr>
        <w:pStyle w:val="FootnoteText"/>
        <w:spacing w:after="0"/>
        <w:ind w:firstLine="720"/>
      </w:pPr>
    </w:p>
  </w:footnote>
  <w:footnote w:id="22">
    <w:p w:rsidR="008F46AC" w:rsidRDefault="008F46AC" w:rsidP="002C0CC8">
      <w:pPr>
        <w:pStyle w:val="FootnoteText"/>
        <w:spacing w:after="0"/>
        <w:ind w:firstLine="720"/>
      </w:pPr>
      <w:r>
        <w:rPr>
          <w:rStyle w:val="FootnoteReference"/>
        </w:rPr>
        <w:footnoteRef/>
      </w:r>
      <w:r>
        <w:t xml:space="preserve">  </w:t>
      </w:r>
      <w:r>
        <w:tab/>
      </w:r>
      <w:r w:rsidR="00AF56FD">
        <w:t>52 Pa.Code § 69.1201(c</w:t>
      </w:r>
      <w:proofErr w:type="gramStart"/>
      <w:r w:rsidR="00AF56FD">
        <w:t>)(</w:t>
      </w:r>
      <w:proofErr w:type="gramEnd"/>
      <w:r w:rsidR="00AF56FD">
        <w:t>9).</w:t>
      </w:r>
    </w:p>
    <w:p w:rsidR="002C0CC8" w:rsidRDefault="002C0CC8" w:rsidP="002C0CC8">
      <w:pPr>
        <w:pStyle w:val="FootnoteText"/>
        <w:spacing w:after="0"/>
        <w:ind w:firstLine="720"/>
      </w:pPr>
    </w:p>
  </w:footnote>
  <w:footnote w:id="23">
    <w:p w:rsidR="00AF56FD" w:rsidRDefault="00AF56FD" w:rsidP="002C0CC8">
      <w:pPr>
        <w:pStyle w:val="FootnoteText"/>
        <w:spacing w:after="0"/>
        <w:ind w:firstLine="720"/>
      </w:pPr>
      <w:r>
        <w:rPr>
          <w:rStyle w:val="FootnoteReference"/>
        </w:rPr>
        <w:footnoteRef/>
      </w:r>
      <w:r>
        <w:t xml:space="preserve">  </w:t>
      </w:r>
      <w:r>
        <w:tab/>
        <w:t>52 Pa.Code § 69.1201(c</w:t>
      </w:r>
      <w:proofErr w:type="gramStart"/>
      <w:r>
        <w:t>)(</w:t>
      </w:r>
      <w:proofErr w:type="gramEnd"/>
      <w:r>
        <w:t>10).</w:t>
      </w:r>
    </w:p>
    <w:p w:rsidR="002C0CC8" w:rsidRDefault="002C0CC8" w:rsidP="002C0CC8">
      <w:pPr>
        <w:pStyle w:val="FootnoteText"/>
        <w:spacing w:after="0"/>
        <w:ind w:firstLine="720"/>
      </w:pPr>
    </w:p>
  </w:footnote>
  <w:footnote w:id="24">
    <w:p w:rsidR="00C662BE" w:rsidRDefault="00C662BE" w:rsidP="00D81FA7">
      <w:pPr>
        <w:pStyle w:val="FootnoteText"/>
        <w:ind w:firstLine="720"/>
      </w:pPr>
      <w:r>
        <w:rPr>
          <w:rStyle w:val="FootnoteReference"/>
        </w:rPr>
        <w:footnoteRef/>
      </w:r>
      <w:r>
        <w:t xml:space="preserve"> </w:t>
      </w:r>
      <w:r w:rsidR="00D81FA7">
        <w:t xml:space="preserve"> </w:t>
      </w:r>
      <w:r w:rsidR="00D81FA7">
        <w:tab/>
      </w:r>
      <w:proofErr w:type="gramStart"/>
      <w:r w:rsidR="00AF56FD">
        <w:t>66 Pa.</w:t>
      </w:r>
      <w:r w:rsidRPr="00C662BE">
        <w:t>C.S.</w:t>
      </w:r>
      <w:proofErr w:type="gramEnd"/>
      <w:r w:rsidRPr="00C662BE">
        <w:t xml:space="preserve"> § 2806.1(f).  </w:t>
      </w:r>
    </w:p>
  </w:footnote>
  <w:footnote w:id="25">
    <w:p w:rsidR="000307E2" w:rsidRDefault="000307E2" w:rsidP="000307E2">
      <w:pPr>
        <w:pStyle w:val="FootnoteText"/>
        <w:ind w:firstLine="720"/>
      </w:pPr>
      <w:r>
        <w:rPr>
          <w:rStyle w:val="FootnoteReference"/>
        </w:rPr>
        <w:footnoteRef/>
      </w:r>
      <w:r>
        <w:t xml:space="preserve">  </w:t>
      </w:r>
      <w:r>
        <w:tab/>
        <w:t xml:space="preserve">OSBA is not a party to the Complaint proceeding but represented through the parties that it does not oppose this </w:t>
      </w:r>
      <w:r w:rsidR="00AA1CAA">
        <w:t>Settlement</w:t>
      </w:r>
      <w:r>
        <w:t>, which if approved, results in the withdrawal of the Act 129 Petition.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BFBE6564"/>
    <w:lvl w:ilvl="0">
      <w:start w:val="1"/>
      <w:numFmt w:val="decimal"/>
      <w:pStyle w:val="ListNumber"/>
      <w:lvlText w:val="%1."/>
      <w:lvlJc w:val="left"/>
      <w:pPr>
        <w:tabs>
          <w:tab w:val="num" w:pos="720"/>
        </w:tabs>
        <w:ind w:left="0" w:firstLine="72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
    <w:nsid w:val="00CA675B"/>
    <w:multiLevelType w:val="hybridMultilevel"/>
    <w:tmpl w:val="758CF3BA"/>
    <w:lvl w:ilvl="0" w:tplc="CDDCFF2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cs="Times New Roman"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8E5CCC"/>
    <w:multiLevelType w:val="hybridMultilevel"/>
    <w:tmpl w:val="E7763D90"/>
    <w:lvl w:ilvl="0" w:tplc="BF4082B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78526DF"/>
    <w:multiLevelType w:val="hybridMultilevel"/>
    <w:tmpl w:val="410E2806"/>
    <w:lvl w:ilvl="0" w:tplc="5DA4EDA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橄ㄴ瑨Ӊԋ찔㈇"/>
  </w:docVars>
  <w:rsids>
    <w:rsidRoot w:val="00CC101E"/>
    <w:rsid w:val="0000658C"/>
    <w:rsid w:val="000256F9"/>
    <w:rsid w:val="00027C21"/>
    <w:rsid w:val="000307E2"/>
    <w:rsid w:val="00036077"/>
    <w:rsid w:val="00045A07"/>
    <w:rsid w:val="00050FC0"/>
    <w:rsid w:val="0005159B"/>
    <w:rsid w:val="000532BB"/>
    <w:rsid w:val="00064C9E"/>
    <w:rsid w:val="0006616F"/>
    <w:rsid w:val="0007668B"/>
    <w:rsid w:val="0008475F"/>
    <w:rsid w:val="0008571E"/>
    <w:rsid w:val="000B324F"/>
    <w:rsid w:val="000C1954"/>
    <w:rsid w:val="000C2B92"/>
    <w:rsid w:val="000C2BAB"/>
    <w:rsid w:val="000D03D4"/>
    <w:rsid w:val="000D12A6"/>
    <w:rsid w:val="000D371B"/>
    <w:rsid w:val="000D410E"/>
    <w:rsid w:val="000F7DF9"/>
    <w:rsid w:val="00113368"/>
    <w:rsid w:val="00113681"/>
    <w:rsid w:val="001307B0"/>
    <w:rsid w:val="001358C8"/>
    <w:rsid w:val="00135D35"/>
    <w:rsid w:val="001411C1"/>
    <w:rsid w:val="0014202A"/>
    <w:rsid w:val="00180EAC"/>
    <w:rsid w:val="00181D9C"/>
    <w:rsid w:val="00183FE8"/>
    <w:rsid w:val="001A7296"/>
    <w:rsid w:val="001B15D8"/>
    <w:rsid w:val="001C0059"/>
    <w:rsid w:val="001D1FEB"/>
    <w:rsid w:val="001D3056"/>
    <w:rsid w:val="001E5DD4"/>
    <w:rsid w:val="001F10AB"/>
    <w:rsid w:val="001F41E7"/>
    <w:rsid w:val="00211517"/>
    <w:rsid w:val="00215B22"/>
    <w:rsid w:val="0021797F"/>
    <w:rsid w:val="00222B95"/>
    <w:rsid w:val="00225CCD"/>
    <w:rsid w:val="0022672F"/>
    <w:rsid w:val="002337DB"/>
    <w:rsid w:val="00240CA3"/>
    <w:rsid w:val="002420E4"/>
    <w:rsid w:val="00242171"/>
    <w:rsid w:val="00242F41"/>
    <w:rsid w:val="00250EE3"/>
    <w:rsid w:val="0025638D"/>
    <w:rsid w:val="00262B34"/>
    <w:rsid w:val="00266D90"/>
    <w:rsid w:val="00273A62"/>
    <w:rsid w:val="002839B6"/>
    <w:rsid w:val="002A12A2"/>
    <w:rsid w:val="002A42F0"/>
    <w:rsid w:val="002C0CC8"/>
    <w:rsid w:val="002D7668"/>
    <w:rsid w:val="002E4F59"/>
    <w:rsid w:val="002F3D56"/>
    <w:rsid w:val="00304F8A"/>
    <w:rsid w:val="003135C3"/>
    <w:rsid w:val="003312EF"/>
    <w:rsid w:val="0033314F"/>
    <w:rsid w:val="00344FD4"/>
    <w:rsid w:val="003462B2"/>
    <w:rsid w:val="0035026A"/>
    <w:rsid w:val="0036165A"/>
    <w:rsid w:val="00361D90"/>
    <w:rsid w:val="00372FD1"/>
    <w:rsid w:val="00383A7A"/>
    <w:rsid w:val="003901CA"/>
    <w:rsid w:val="00392254"/>
    <w:rsid w:val="00392B5A"/>
    <w:rsid w:val="00394BDE"/>
    <w:rsid w:val="003A207F"/>
    <w:rsid w:val="003B09BA"/>
    <w:rsid w:val="003B3271"/>
    <w:rsid w:val="003B444D"/>
    <w:rsid w:val="003B4CB6"/>
    <w:rsid w:val="003D29CB"/>
    <w:rsid w:val="003E3C8D"/>
    <w:rsid w:val="003E41BA"/>
    <w:rsid w:val="003E7C44"/>
    <w:rsid w:val="003F0F5C"/>
    <w:rsid w:val="00405A95"/>
    <w:rsid w:val="00410C8F"/>
    <w:rsid w:val="004240D7"/>
    <w:rsid w:val="00457B98"/>
    <w:rsid w:val="00464378"/>
    <w:rsid w:val="00474B81"/>
    <w:rsid w:val="00492CD3"/>
    <w:rsid w:val="004A5131"/>
    <w:rsid w:val="004B2014"/>
    <w:rsid w:val="004C0578"/>
    <w:rsid w:val="004C23C9"/>
    <w:rsid w:val="004C6BAE"/>
    <w:rsid w:val="004E6384"/>
    <w:rsid w:val="004F1163"/>
    <w:rsid w:val="004F1C16"/>
    <w:rsid w:val="005009E4"/>
    <w:rsid w:val="00502B92"/>
    <w:rsid w:val="00503C51"/>
    <w:rsid w:val="00517116"/>
    <w:rsid w:val="00517604"/>
    <w:rsid w:val="00522FAD"/>
    <w:rsid w:val="005301BB"/>
    <w:rsid w:val="0054119E"/>
    <w:rsid w:val="0054150F"/>
    <w:rsid w:val="0057203E"/>
    <w:rsid w:val="00590C9B"/>
    <w:rsid w:val="005B45C6"/>
    <w:rsid w:val="005B7F7B"/>
    <w:rsid w:val="005C1620"/>
    <w:rsid w:val="005C7BB2"/>
    <w:rsid w:val="005D0DD1"/>
    <w:rsid w:val="005D7995"/>
    <w:rsid w:val="005F1341"/>
    <w:rsid w:val="006016BD"/>
    <w:rsid w:val="006100E8"/>
    <w:rsid w:val="0061329A"/>
    <w:rsid w:val="006164D0"/>
    <w:rsid w:val="0061699B"/>
    <w:rsid w:val="006206AC"/>
    <w:rsid w:val="00637186"/>
    <w:rsid w:val="006420FA"/>
    <w:rsid w:val="00647A53"/>
    <w:rsid w:val="00647FFA"/>
    <w:rsid w:val="00650B0F"/>
    <w:rsid w:val="006535CE"/>
    <w:rsid w:val="006643CA"/>
    <w:rsid w:val="006657A1"/>
    <w:rsid w:val="0066605D"/>
    <w:rsid w:val="0067160C"/>
    <w:rsid w:val="006761E0"/>
    <w:rsid w:val="00682322"/>
    <w:rsid w:val="006A07D0"/>
    <w:rsid w:val="006A2066"/>
    <w:rsid w:val="006A40F4"/>
    <w:rsid w:val="006B1B79"/>
    <w:rsid w:val="006B2624"/>
    <w:rsid w:val="006B75BE"/>
    <w:rsid w:val="006C6241"/>
    <w:rsid w:val="006D43E7"/>
    <w:rsid w:val="006D45A8"/>
    <w:rsid w:val="006E1945"/>
    <w:rsid w:val="006E2700"/>
    <w:rsid w:val="006E2B8C"/>
    <w:rsid w:val="006F2F0D"/>
    <w:rsid w:val="006F485A"/>
    <w:rsid w:val="007002B9"/>
    <w:rsid w:val="00702321"/>
    <w:rsid w:val="00704BEC"/>
    <w:rsid w:val="00706B02"/>
    <w:rsid w:val="007074FE"/>
    <w:rsid w:val="007217D0"/>
    <w:rsid w:val="007218D2"/>
    <w:rsid w:val="007237A4"/>
    <w:rsid w:val="007273EB"/>
    <w:rsid w:val="00730D74"/>
    <w:rsid w:val="007425AD"/>
    <w:rsid w:val="00744553"/>
    <w:rsid w:val="00756CB1"/>
    <w:rsid w:val="007601AE"/>
    <w:rsid w:val="00762C99"/>
    <w:rsid w:val="007631D6"/>
    <w:rsid w:val="00775041"/>
    <w:rsid w:val="00775426"/>
    <w:rsid w:val="007825B3"/>
    <w:rsid w:val="00790484"/>
    <w:rsid w:val="00791926"/>
    <w:rsid w:val="00791BC9"/>
    <w:rsid w:val="007B2315"/>
    <w:rsid w:val="007B7E83"/>
    <w:rsid w:val="007C4E58"/>
    <w:rsid w:val="007D54D8"/>
    <w:rsid w:val="007E6BFA"/>
    <w:rsid w:val="007F3434"/>
    <w:rsid w:val="007F54C9"/>
    <w:rsid w:val="007F5AB8"/>
    <w:rsid w:val="00815269"/>
    <w:rsid w:val="00833190"/>
    <w:rsid w:val="008374BA"/>
    <w:rsid w:val="00851ECF"/>
    <w:rsid w:val="008549BC"/>
    <w:rsid w:val="0086609D"/>
    <w:rsid w:val="00872598"/>
    <w:rsid w:val="0088555A"/>
    <w:rsid w:val="0089090A"/>
    <w:rsid w:val="00893C6C"/>
    <w:rsid w:val="008A2F76"/>
    <w:rsid w:val="008A4F3E"/>
    <w:rsid w:val="008B7A3E"/>
    <w:rsid w:val="008C6EDC"/>
    <w:rsid w:val="008D230F"/>
    <w:rsid w:val="008D5C0D"/>
    <w:rsid w:val="008E0E07"/>
    <w:rsid w:val="008F46AC"/>
    <w:rsid w:val="00901817"/>
    <w:rsid w:val="00901D71"/>
    <w:rsid w:val="00907D59"/>
    <w:rsid w:val="0091286A"/>
    <w:rsid w:val="00914683"/>
    <w:rsid w:val="009270B7"/>
    <w:rsid w:val="00930E96"/>
    <w:rsid w:val="00935336"/>
    <w:rsid w:val="0094003B"/>
    <w:rsid w:val="00952D89"/>
    <w:rsid w:val="00966C69"/>
    <w:rsid w:val="0097161C"/>
    <w:rsid w:val="00974146"/>
    <w:rsid w:val="009834B2"/>
    <w:rsid w:val="00986E8C"/>
    <w:rsid w:val="009955A3"/>
    <w:rsid w:val="009A23FC"/>
    <w:rsid w:val="009A2B76"/>
    <w:rsid w:val="009A3201"/>
    <w:rsid w:val="009A3DC4"/>
    <w:rsid w:val="009B16EE"/>
    <w:rsid w:val="009B48B6"/>
    <w:rsid w:val="009C0C12"/>
    <w:rsid w:val="009C653C"/>
    <w:rsid w:val="009E0FED"/>
    <w:rsid w:val="009E21B7"/>
    <w:rsid w:val="00A05662"/>
    <w:rsid w:val="00A05E30"/>
    <w:rsid w:val="00A10910"/>
    <w:rsid w:val="00A163B6"/>
    <w:rsid w:val="00A225B6"/>
    <w:rsid w:val="00A2413A"/>
    <w:rsid w:val="00A42329"/>
    <w:rsid w:val="00A463E4"/>
    <w:rsid w:val="00A5183C"/>
    <w:rsid w:val="00A5210E"/>
    <w:rsid w:val="00A52ED3"/>
    <w:rsid w:val="00A5567D"/>
    <w:rsid w:val="00A6550F"/>
    <w:rsid w:val="00A656A9"/>
    <w:rsid w:val="00A678A4"/>
    <w:rsid w:val="00A824AE"/>
    <w:rsid w:val="00A82FD8"/>
    <w:rsid w:val="00A87081"/>
    <w:rsid w:val="00A90E9D"/>
    <w:rsid w:val="00A9433E"/>
    <w:rsid w:val="00A97AA9"/>
    <w:rsid w:val="00AA1CAA"/>
    <w:rsid w:val="00AC0B3D"/>
    <w:rsid w:val="00AC195F"/>
    <w:rsid w:val="00AC5177"/>
    <w:rsid w:val="00AD667A"/>
    <w:rsid w:val="00AE1D85"/>
    <w:rsid w:val="00AF56FD"/>
    <w:rsid w:val="00B04ED2"/>
    <w:rsid w:val="00B11C8E"/>
    <w:rsid w:val="00B11D16"/>
    <w:rsid w:val="00B139F8"/>
    <w:rsid w:val="00B13BC3"/>
    <w:rsid w:val="00B17080"/>
    <w:rsid w:val="00B20408"/>
    <w:rsid w:val="00B23845"/>
    <w:rsid w:val="00B26135"/>
    <w:rsid w:val="00B2639A"/>
    <w:rsid w:val="00B26848"/>
    <w:rsid w:val="00B36437"/>
    <w:rsid w:val="00B37316"/>
    <w:rsid w:val="00B4219B"/>
    <w:rsid w:val="00B45EA7"/>
    <w:rsid w:val="00B45FA5"/>
    <w:rsid w:val="00B57A73"/>
    <w:rsid w:val="00B661B8"/>
    <w:rsid w:val="00B735DA"/>
    <w:rsid w:val="00B82B25"/>
    <w:rsid w:val="00B85517"/>
    <w:rsid w:val="00B94E8B"/>
    <w:rsid w:val="00B960F6"/>
    <w:rsid w:val="00BA191E"/>
    <w:rsid w:val="00BB1C71"/>
    <w:rsid w:val="00BB3F72"/>
    <w:rsid w:val="00BB402F"/>
    <w:rsid w:val="00BC06E9"/>
    <w:rsid w:val="00BC4142"/>
    <w:rsid w:val="00BC67CC"/>
    <w:rsid w:val="00BE4929"/>
    <w:rsid w:val="00BF1E50"/>
    <w:rsid w:val="00C02DA7"/>
    <w:rsid w:val="00C04DAB"/>
    <w:rsid w:val="00C06ED2"/>
    <w:rsid w:val="00C0719D"/>
    <w:rsid w:val="00C24A39"/>
    <w:rsid w:val="00C250A2"/>
    <w:rsid w:val="00C258F3"/>
    <w:rsid w:val="00C32A8F"/>
    <w:rsid w:val="00C34288"/>
    <w:rsid w:val="00C50897"/>
    <w:rsid w:val="00C55CBE"/>
    <w:rsid w:val="00C662BE"/>
    <w:rsid w:val="00C66EDD"/>
    <w:rsid w:val="00C72AB3"/>
    <w:rsid w:val="00C75BBB"/>
    <w:rsid w:val="00C90E90"/>
    <w:rsid w:val="00CA3117"/>
    <w:rsid w:val="00CC101E"/>
    <w:rsid w:val="00CC1E6B"/>
    <w:rsid w:val="00CC3F7C"/>
    <w:rsid w:val="00CC43EC"/>
    <w:rsid w:val="00CD02F5"/>
    <w:rsid w:val="00CD37E5"/>
    <w:rsid w:val="00CD435B"/>
    <w:rsid w:val="00CE3E9C"/>
    <w:rsid w:val="00CF0E44"/>
    <w:rsid w:val="00CF105A"/>
    <w:rsid w:val="00CF2A6C"/>
    <w:rsid w:val="00D1687E"/>
    <w:rsid w:val="00D213D8"/>
    <w:rsid w:val="00D215AF"/>
    <w:rsid w:val="00D21CAD"/>
    <w:rsid w:val="00D23153"/>
    <w:rsid w:val="00D26EA9"/>
    <w:rsid w:val="00D27649"/>
    <w:rsid w:val="00D30F8D"/>
    <w:rsid w:val="00D40EA3"/>
    <w:rsid w:val="00D47A88"/>
    <w:rsid w:val="00D50286"/>
    <w:rsid w:val="00D548FF"/>
    <w:rsid w:val="00D74572"/>
    <w:rsid w:val="00D81FA7"/>
    <w:rsid w:val="00D83604"/>
    <w:rsid w:val="00D849A2"/>
    <w:rsid w:val="00D84A2E"/>
    <w:rsid w:val="00D86895"/>
    <w:rsid w:val="00D869E8"/>
    <w:rsid w:val="00D86E24"/>
    <w:rsid w:val="00D94FD2"/>
    <w:rsid w:val="00D9795F"/>
    <w:rsid w:val="00DA33B0"/>
    <w:rsid w:val="00DA5BD6"/>
    <w:rsid w:val="00DB0240"/>
    <w:rsid w:val="00DB4A58"/>
    <w:rsid w:val="00DC0592"/>
    <w:rsid w:val="00DC07DD"/>
    <w:rsid w:val="00DC6438"/>
    <w:rsid w:val="00DD7480"/>
    <w:rsid w:val="00DD7775"/>
    <w:rsid w:val="00DE4A64"/>
    <w:rsid w:val="00DF5498"/>
    <w:rsid w:val="00DF62FD"/>
    <w:rsid w:val="00E13032"/>
    <w:rsid w:val="00E17AA1"/>
    <w:rsid w:val="00E46210"/>
    <w:rsid w:val="00E46747"/>
    <w:rsid w:val="00E5205C"/>
    <w:rsid w:val="00E6101A"/>
    <w:rsid w:val="00E77B1F"/>
    <w:rsid w:val="00E85298"/>
    <w:rsid w:val="00E91BD9"/>
    <w:rsid w:val="00E92BCB"/>
    <w:rsid w:val="00E95514"/>
    <w:rsid w:val="00E9657A"/>
    <w:rsid w:val="00EB477C"/>
    <w:rsid w:val="00EB7050"/>
    <w:rsid w:val="00EB7D20"/>
    <w:rsid w:val="00EE7014"/>
    <w:rsid w:val="00EF46A7"/>
    <w:rsid w:val="00EF7B50"/>
    <w:rsid w:val="00F007BF"/>
    <w:rsid w:val="00F01675"/>
    <w:rsid w:val="00F100BB"/>
    <w:rsid w:val="00F26710"/>
    <w:rsid w:val="00F36642"/>
    <w:rsid w:val="00F6319E"/>
    <w:rsid w:val="00F7515D"/>
    <w:rsid w:val="00F8761A"/>
    <w:rsid w:val="00F92986"/>
    <w:rsid w:val="00FA0B0D"/>
    <w:rsid w:val="00FC2169"/>
    <w:rsid w:val="00FC41CE"/>
    <w:rsid w:val="00FD191D"/>
    <w:rsid w:val="00FD27C6"/>
    <w:rsid w:val="00FD56DC"/>
    <w:rsid w:val="00FF6121"/>
    <w:rsid w:val="00FF6CC3"/>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F7C"/>
    <w:pPr>
      <w:tabs>
        <w:tab w:val="left" w:pos="1440"/>
      </w:tabs>
      <w:spacing w:line="360" w:lineRule="auto"/>
    </w:pPr>
    <w:rPr>
      <w:sz w:val="24"/>
    </w:rPr>
  </w:style>
  <w:style w:type="paragraph" w:styleId="Heading1">
    <w:name w:val="heading 1"/>
    <w:basedOn w:val="Normal"/>
    <w:next w:val="Normal"/>
    <w:qFormat/>
    <w:rsid w:val="00344FD4"/>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7425AD"/>
    <w:rPr>
      <w:vertAlign w:val="superscript"/>
    </w:rPr>
  </w:style>
  <w:style w:type="paragraph" w:styleId="Footer">
    <w:name w:val="footer"/>
    <w:basedOn w:val="Normal"/>
    <w:link w:val="FooterChar"/>
    <w:uiPriority w:val="99"/>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99"/>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uiPriority w:val="99"/>
    <w:rsid w:val="005B7F7B"/>
  </w:style>
  <w:style w:type="paragraph" w:styleId="BalloonText">
    <w:name w:val="Balloon Text"/>
    <w:basedOn w:val="Normal"/>
    <w:link w:val="BalloonTextChar"/>
    <w:rsid w:val="00DA33B0"/>
    <w:rPr>
      <w:rFonts w:ascii="Tahoma" w:hAnsi="Tahoma" w:cs="Tahoma"/>
      <w:sz w:val="16"/>
      <w:szCs w:val="16"/>
    </w:rPr>
  </w:style>
  <w:style w:type="character" w:customStyle="1" w:styleId="BalloonTextChar">
    <w:name w:val="Balloon Text Char"/>
    <w:basedOn w:val="DefaultParagraphFont"/>
    <w:link w:val="BalloonText"/>
    <w:rsid w:val="00DA33B0"/>
    <w:rPr>
      <w:rFonts w:ascii="Tahoma" w:hAnsi="Tahoma" w:cs="Tahoma"/>
      <w:sz w:val="16"/>
      <w:szCs w:val="16"/>
    </w:rPr>
  </w:style>
  <w:style w:type="paragraph" w:styleId="FootnoteText">
    <w:name w:val="footnote text"/>
    <w:link w:val="FootnoteTextChar"/>
    <w:uiPriority w:val="99"/>
    <w:unhideWhenUsed/>
    <w:rsid w:val="006F485A"/>
    <w:pPr>
      <w:spacing w:after="120"/>
    </w:pPr>
  </w:style>
  <w:style w:type="character" w:customStyle="1" w:styleId="FootnoteTextChar">
    <w:name w:val="Footnote Text Char"/>
    <w:basedOn w:val="DefaultParagraphFont"/>
    <w:link w:val="FootnoteText"/>
    <w:uiPriority w:val="99"/>
    <w:rsid w:val="006F485A"/>
  </w:style>
  <w:style w:type="table" w:styleId="TableGrid">
    <w:name w:val="Table Grid"/>
    <w:basedOn w:val="TableNormal"/>
    <w:rsid w:val="0085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C06ED2"/>
    <w:pPr>
      <w:numPr>
        <w:numId w:val="4"/>
      </w:numPr>
      <w:tabs>
        <w:tab w:val="clear" w:pos="1440"/>
      </w:tabs>
      <w:spacing w:line="480" w:lineRule="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F7C"/>
    <w:pPr>
      <w:tabs>
        <w:tab w:val="left" w:pos="1440"/>
      </w:tabs>
      <w:spacing w:line="360" w:lineRule="auto"/>
    </w:pPr>
    <w:rPr>
      <w:sz w:val="24"/>
    </w:rPr>
  </w:style>
  <w:style w:type="paragraph" w:styleId="Heading1">
    <w:name w:val="heading 1"/>
    <w:basedOn w:val="Normal"/>
    <w:next w:val="Normal"/>
    <w:qFormat/>
    <w:rsid w:val="00344FD4"/>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7425AD"/>
    <w:rPr>
      <w:vertAlign w:val="superscript"/>
    </w:rPr>
  </w:style>
  <w:style w:type="paragraph" w:styleId="Footer">
    <w:name w:val="footer"/>
    <w:basedOn w:val="Normal"/>
    <w:link w:val="FooterChar"/>
    <w:uiPriority w:val="99"/>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99"/>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uiPriority w:val="99"/>
    <w:rsid w:val="005B7F7B"/>
  </w:style>
  <w:style w:type="paragraph" w:styleId="BalloonText">
    <w:name w:val="Balloon Text"/>
    <w:basedOn w:val="Normal"/>
    <w:link w:val="BalloonTextChar"/>
    <w:rsid w:val="00DA33B0"/>
    <w:rPr>
      <w:rFonts w:ascii="Tahoma" w:hAnsi="Tahoma" w:cs="Tahoma"/>
      <w:sz w:val="16"/>
      <w:szCs w:val="16"/>
    </w:rPr>
  </w:style>
  <w:style w:type="character" w:customStyle="1" w:styleId="BalloonTextChar">
    <w:name w:val="Balloon Text Char"/>
    <w:basedOn w:val="DefaultParagraphFont"/>
    <w:link w:val="BalloonText"/>
    <w:rsid w:val="00DA33B0"/>
    <w:rPr>
      <w:rFonts w:ascii="Tahoma" w:hAnsi="Tahoma" w:cs="Tahoma"/>
      <w:sz w:val="16"/>
      <w:szCs w:val="16"/>
    </w:rPr>
  </w:style>
  <w:style w:type="paragraph" w:styleId="FootnoteText">
    <w:name w:val="footnote text"/>
    <w:link w:val="FootnoteTextChar"/>
    <w:uiPriority w:val="99"/>
    <w:unhideWhenUsed/>
    <w:rsid w:val="006F485A"/>
    <w:pPr>
      <w:spacing w:after="120"/>
    </w:pPr>
  </w:style>
  <w:style w:type="character" w:customStyle="1" w:styleId="FootnoteTextChar">
    <w:name w:val="Footnote Text Char"/>
    <w:basedOn w:val="DefaultParagraphFont"/>
    <w:link w:val="FootnoteText"/>
    <w:uiPriority w:val="99"/>
    <w:rsid w:val="006F485A"/>
  </w:style>
  <w:style w:type="table" w:styleId="TableGrid">
    <w:name w:val="Table Grid"/>
    <w:basedOn w:val="TableNormal"/>
    <w:rsid w:val="0085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C06ED2"/>
    <w:pPr>
      <w:numPr>
        <w:numId w:val="4"/>
      </w:numPr>
      <w:tabs>
        <w:tab w:val="clear" w:pos="1440"/>
      </w:tabs>
      <w:spacing w:line="48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6536">
      <w:bodyDiv w:val="1"/>
      <w:marLeft w:val="0"/>
      <w:marRight w:val="0"/>
      <w:marTop w:val="0"/>
      <w:marBottom w:val="0"/>
      <w:divBdr>
        <w:top w:val="none" w:sz="0" w:space="0" w:color="auto"/>
        <w:left w:val="none" w:sz="0" w:space="0" w:color="auto"/>
        <w:bottom w:val="none" w:sz="0" w:space="0" w:color="auto"/>
        <w:right w:val="none" w:sz="0" w:space="0" w:color="auto"/>
      </w:divBdr>
    </w:div>
    <w:div w:id="132797532">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962571946">
      <w:bodyDiv w:val="1"/>
      <w:marLeft w:val="0"/>
      <w:marRight w:val="0"/>
      <w:marTop w:val="0"/>
      <w:marBottom w:val="0"/>
      <w:divBdr>
        <w:top w:val="none" w:sz="0" w:space="0" w:color="auto"/>
        <w:left w:val="none" w:sz="0" w:space="0" w:color="auto"/>
        <w:bottom w:val="none" w:sz="0" w:space="0" w:color="auto"/>
        <w:right w:val="none" w:sz="0" w:space="0" w:color="auto"/>
      </w:divBdr>
    </w:div>
    <w:div w:id="208445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9D46B-F6C3-4EE8-8809-8C905F4F0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3908</Words>
  <Characters>22280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shoffner</cp:lastModifiedBy>
  <cp:revision>31</cp:revision>
  <cp:lastPrinted>2014-08-05T19:20:00Z</cp:lastPrinted>
  <dcterms:created xsi:type="dcterms:W3CDTF">2014-08-01T17:41:00Z</dcterms:created>
  <dcterms:modified xsi:type="dcterms:W3CDTF">2014-08-05T19:21:00Z</dcterms:modified>
</cp:coreProperties>
</file>