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C2E" w:rsidRPr="001E6CC1" w:rsidRDefault="002F3C2E" w:rsidP="002F3C2E">
      <w:pPr>
        <w:pStyle w:val="Title"/>
        <w:rPr>
          <w:sz w:val="24"/>
          <w:szCs w:val="24"/>
        </w:rPr>
      </w:pPr>
      <w:r w:rsidRPr="001E6CC1">
        <w:rPr>
          <w:sz w:val="24"/>
          <w:szCs w:val="24"/>
        </w:rPr>
        <w:t>BEFORE THE</w:t>
      </w:r>
    </w:p>
    <w:p w:rsidR="002F3C2E" w:rsidRPr="001E6CC1" w:rsidRDefault="002F3C2E" w:rsidP="002F3C2E">
      <w:pPr>
        <w:pStyle w:val="Subtitle"/>
        <w:rPr>
          <w:sz w:val="24"/>
          <w:szCs w:val="24"/>
        </w:rPr>
      </w:pPr>
      <w:smartTag w:uri="urn:schemas-microsoft-com:office:smarttags" w:element="State">
        <w:smartTag w:uri="urn:schemas-microsoft-com:office:smarttags" w:element="place">
          <w:r w:rsidRPr="001E6CC1">
            <w:rPr>
              <w:sz w:val="24"/>
              <w:szCs w:val="24"/>
            </w:rPr>
            <w:t>PENNSYLVANIA</w:t>
          </w:r>
        </w:smartTag>
      </w:smartTag>
      <w:r w:rsidRPr="001E6CC1">
        <w:rPr>
          <w:sz w:val="24"/>
          <w:szCs w:val="24"/>
        </w:rPr>
        <w:t xml:space="preserve"> PUBLIC UTILITY COMMISSION</w:t>
      </w:r>
    </w:p>
    <w:p w:rsidR="002F3C2E" w:rsidRPr="001E6CC1" w:rsidRDefault="002F3C2E" w:rsidP="002F3C2E">
      <w:pPr>
        <w:jc w:val="both"/>
        <w:rPr>
          <w:sz w:val="24"/>
          <w:szCs w:val="24"/>
        </w:rPr>
      </w:pPr>
    </w:p>
    <w:p w:rsidR="002F3C2E" w:rsidRDefault="002F3C2E" w:rsidP="002F3C2E">
      <w:pPr>
        <w:jc w:val="both"/>
        <w:rPr>
          <w:sz w:val="24"/>
          <w:szCs w:val="24"/>
        </w:rPr>
      </w:pPr>
    </w:p>
    <w:p w:rsidR="00C553BD" w:rsidRPr="001E6CC1" w:rsidRDefault="00C553BD" w:rsidP="002F3C2E">
      <w:pPr>
        <w:jc w:val="both"/>
        <w:rPr>
          <w:sz w:val="24"/>
          <w:szCs w:val="24"/>
        </w:rPr>
      </w:pPr>
    </w:p>
    <w:p w:rsidR="002F3C2E" w:rsidRPr="001E6CC1" w:rsidRDefault="002F3C2E" w:rsidP="002F3C2E">
      <w:pPr>
        <w:jc w:val="both"/>
        <w:rPr>
          <w:sz w:val="24"/>
          <w:szCs w:val="24"/>
        </w:rPr>
      </w:pPr>
      <w:r>
        <w:rPr>
          <w:sz w:val="24"/>
          <w:szCs w:val="24"/>
        </w:rPr>
        <w:t xml:space="preserve">M. Heather </w:t>
      </w:r>
      <w:proofErr w:type="spellStart"/>
      <w:r>
        <w:rPr>
          <w:sz w:val="24"/>
          <w:szCs w:val="24"/>
        </w:rPr>
        <w:t>Michail</w:t>
      </w:r>
      <w:proofErr w:type="spellEnd"/>
      <w:r w:rsidRPr="001E6CC1">
        <w:rPr>
          <w:sz w:val="24"/>
          <w:szCs w:val="24"/>
        </w:rPr>
        <w:tab/>
      </w:r>
      <w:r w:rsidRPr="001E6CC1">
        <w:rPr>
          <w:sz w:val="24"/>
          <w:szCs w:val="24"/>
        </w:rPr>
        <w:tab/>
      </w:r>
      <w:r w:rsidRPr="001E6CC1">
        <w:rPr>
          <w:sz w:val="24"/>
          <w:szCs w:val="24"/>
        </w:rPr>
        <w:tab/>
      </w:r>
      <w:r w:rsidRPr="001E6CC1">
        <w:rPr>
          <w:sz w:val="24"/>
          <w:szCs w:val="24"/>
        </w:rPr>
        <w:tab/>
      </w:r>
      <w:r w:rsidRPr="001E6CC1">
        <w:rPr>
          <w:sz w:val="24"/>
          <w:szCs w:val="24"/>
        </w:rPr>
        <w:tab/>
        <w:t>:</w:t>
      </w:r>
    </w:p>
    <w:p w:rsidR="002F3C2E" w:rsidRPr="001E6CC1" w:rsidRDefault="002F3C2E" w:rsidP="002F3C2E">
      <w:pPr>
        <w:jc w:val="both"/>
        <w:rPr>
          <w:sz w:val="24"/>
          <w:szCs w:val="24"/>
        </w:rPr>
      </w:pPr>
      <w:r w:rsidRPr="001E6CC1">
        <w:rPr>
          <w:sz w:val="24"/>
          <w:szCs w:val="24"/>
        </w:rPr>
        <w:tab/>
      </w:r>
      <w:r w:rsidRPr="001E6CC1">
        <w:rPr>
          <w:sz w:val="24"/>
          <w:szCs w:val="24"/>
        </w:rPr>
        <w:tab/>
      </w:r>
      <w:r w:rsidRPr="001E6CC1">
        <w:rPr>
          <w:sz w:val="24"/>
          <w:szCs w:val="24"/>
        </w:rPr>
        <w:tab/>
      </w:r>
      <w:r w:rsidRPr="001E6CC1">
        <w:rPr>
          <w:sz w:val="24"/>
          <w:szCs w:val="24"/>
        </w:rPr>
        <w:tab/>
      </w:r>
      <w:r w:rsidRPr="001E6CC1">
        <w:rPr>
          <w:sz w:val="24"/>
          <w:szCs w:val="24"/>
        </w:rPr>
        <w:tab/>
      </w:r>
      <w:r w:rsidRPr="001E6CC1">
        <w:rPr>
          <w:sz w:val="24"/>
          <w:szCs w:val="24"/>
        </w:rPr>
        <w:tab/>
      </w:r>
      <w:r w:rsidRPr="001E6CC1">
        <w:rPr>
          <w:sz w:val="24"/>
          <w:szCs w:val="24"/>
        </w:rPr>
        <w:tab/>
        <w:t>:</w:t>
      </w:r>
    </w:p>
    <w:p w:rsidR="002F3C2E" w:rsidRPr="001E6CC1" w:rsidRDefault="002F3C2E" w:rsidP="002F3C2E">
      <w:pPr>
        <w:jc w:val="both"/>
        <w:rPr>
          <w:sz w:val="24"/>
          <w:szCs w:val="24"/>
        </w:rPr>
      </w:pPr>
      <w:r w:rsidRPr="001E6CC1">
        <w:rPr>
          <w:sz w:val="24"/>
          <w:szCs w:val="24"/>
        </w:rPr>
        <w:tab/>
        <w:t>v.</w:t>
      </w:r>
      <w:r w:rsidRPr="001E6CC1">
        <w:rPr>
          <w:sz w:val="24"/>
          <w:szCs w:val="24"/>
        </w:rPr>
        <w:tab/>
      </w:r>
      <w:r w:rsidRPr="001E6CC1">
        <w:rPr>
          <w:sz w:val="24"/>
          <w:szCs w:val="24"/>
        </w:rPr>
        <w:tab/>
      </w:r>
      <w:r w:rsidRPr="001E6CC1">
        <w:rPr>
          <w:sz w:val="24"/>
          <w:szCs w:val="24"/>
        </w:rPr>
        <w:tab/>
      </w:r>
      <w:r w:rsidRPr="001E6CC1">
        <w:rPr>
          <w:sz w:val="24"/>
          <w:szCs w:val="24"/>
        </w:rPr>
        <w:tab/>
      </w:r>
      <w:r w:rsidRPr="001E6CC1">
        <w:rPr>
          <w:sz w:val="24"/>
          <w:szCs w:val="24"/>
        </w:rPr>
        <w:tab/>
      </w:r>
      <w:r w:rsidRPr="001E6CC1">
        <w:rPr>
          <w:sz w:val="24"/>
          <w:szCs w:val="24"/>
        </w:rPr>
        <w:tab/>
        <w:t>:</w:t>
      </w:r>
      <w:r w:rsidRPr="001E6CC1">
        <w:rPr>
          <w:sz w:val="24"/>
          <w:szCs w:val="24"/>
        </w:rPr>
        <w:tab/>
      </w:r>
      <w:r w:rsidRPr="001E6CC1">
        <w:rPr>
          <w:sz w:val="24"/>
          <w:szCs w:val="24"/>
        </w:rPr>
        <w:tab/>
      </w:r>
      <w:r>
        <w:rPr>
          <w:sz w:val="24"/>
          <w:szCs w:val="24"/>
        </w:rPr>
        <w:t>F-2014-2404586</w:t>
      </w:r>
    </w:p>
    <w:p w:rsidR="002F3C2E" w:rsidRPr="001E6CC1" w:rsidRDefault="002F3C2E" w:rsidP="002F3C2E">
      <w:pPr>
        <w:jc w:val="both"/>
        <w:rPr>
          <w:sz w:val="24"/>
          <w:szCs w:val="24"/>
        </w:rPr>
      </w:pPr>
      <w:r w:rsidRPr="001E6CC1">
        <w:rPr>
          <w:sz w:val="24"/>
          <w:szCs w:val="24"/>
        </w:rPr>
        <w:tab/>
      </w:r>
      <w:r w:rsidRPr="001E6CC1">
        <w:rPr>
          <w:sz w:val="24"/>
          <w:szCs w:val="24"/>
        </w:rPr>
        <w:tab/>
      </w:r>
      <w:r w:rsidRPr="001E6CC1">
        <w:rPr>
          <w:sz w:val="24"/>
          <w:szCs w:val="24"/>
        </w:rPr>
        <w:tab/>
      </w:r>
      <w:r w:rsidRPr="001E6CC1">
        <w:rPr>
          <w:sz w:val="24"/>
          <w:szCs w:val="24"/>
        </w:rPr>
        <w:tab/>
      </w:r>
      <w:r w:rsidRPr="001E6CC1">
        <w:rPr>
          <w:sz w:val="24"/>
          <w:szCs w:val="24"/>
        </w:rPr>
        <w:tab/>
      </w:r>
      <w:r w:rsidRPr="001E6CC1">
        <w:rPr>
          <w:sz w:val="24"/>
          <w:szCs w:val="24"/>
        </w:rPr>
        <w:tab/>
      </w:r>
      <w:r w:rsidRPr="001E6CC1">
        <w:rPr>
          <w:sz w:val="24"/>
          <w:szCs w:val="24"/>
        </w:rPr>
        <w:tab/>
        <w:t>:</w:t>
      </w:r>
    </w:p>
    <w:p w:rsidR="002F3C2E" w:rsidRDefault="002F3C2E" w:rsidP="002F3C2E">
      <w:pPr>
        <w:jc w:val="both"/>
        <w:rPr>
          <w:sz w:val="24"/>
          <w:szCs w:val="24"/>
        </w:rPr>
      </w:pPr>
      <w:r>
        <w:rPr>
          <w:sz w:val="24"/>
          <w:szCs w:val="24"/>
        </w:rPr>
        <w:t>PECO Energy Company</w:t>
      </w:r>
      <w:r>
        <w:rPr>
          <w:sz w:val="24"/>
          <w:szCs w:val="24"/>
        </w:rPr>
        <w:tab/>
      </w:r>
      <w:r>
        <w:rPr>
          <w:sz w:val="24"/>
          <w:szCs w:val="24"/>
        </w:rPr>
        <w:tab/>
      </w:r>
      <w:r w:rsidRPr="001E6CC1">
        <w:rPr>
          <w:sz w:val="24"/>
          <w:szCs w:val="24"/>
        </w:rPr>
        <w:tab/>
      </w:r>
      <w:r w:rsidRPr="001E6CC1">
        <w:rPr>
          <w:sz w:val="24"/>
          <w:szCs w:val="24"/>
        </w:rPr>
        <w:tab/>
        <w:t>:</w:t>
      </w:r>
    </w:p>
    <w:p w:rsidR="002F3C2E" w:rsidRPr="001E6CC1" w:rsidRDefault="002F3C2E" w:rsidP="002F3C2E">
      <w:pPr>
        <w:jc w:val="both"/>
        <w:rPr>
          <w:sz w:val="24"/>
          <w:szCs w:val="24"/>
        </w:rPr>
      </w:pPr>
    </w:p>
    <w:p w:rsidR="002F3C2E" w:rsidRDefault="002F3C2E" w:rsidP="002F3C2E">
      <w:pPr>
        <w:jc w:val="both"/>
        <w:rPr>
          <w:sz w:val="24"/>
          <w:szCs w:val="24"/>
        </w:rPr>
      </w:pPr>
    </w:p>
    <w:p w:rsidR="00C553BD" w:rsidRPr="001E6CC1" w:rsidRDefault="00C553BD" w:rsidP="002F3C2E">
      <w:pPr>
        <w:jc w:val="both"/>
        <w:rPr>
          <w:sz w:val="24"/>
          <w:szCs w:val="24"/>
        </w:rPr>
      </w:pPr>
    </w:p>
    <w:p w:rsidR="002F3C2E" w:rsidRPr="001E6CC1" w:rsidRDefault="002F3C2E" w:rsidP="002F3C2E">
      <w:pPr>
        <w:pStyle w:val="Heading1"/>
        <w:rPr>
          <w:sz w:val="24"/>
          <w:szCs w:val="24"/>
        </w:rPr>
      </w:pPr>
      <w:r w:rsidRPr="001E6CC1">
        <w:rPr>
          <w:sz w:val="24"/>
          <w:szCs w:val="24"/>
        </w:rPr>
        <w:t>INITIAL DECISION</w:t>
      </w:r>
    </w:p>
    <w:p w:rsidR="002F3C2E" w:rsidRPr="001E6CC1" w:rsidRDefault="002F3C2E" w:rsidP="002F3C2E">
      <w:pPr>
        <w:jc w:val="center"/>
        <w:rPr>
          <w:sz w:val="24"/>
          <w:szCs w:val="24"/>
        </w:rPr>
      </w:pPr>
    </w:p>
    <w:p w:rsidR="002F3C2E" w:rsidRPr="001E6CC1" w:rsidRDefault="002F3C2E" w:rsidP="002F3C2E">
      <w:pPr>
        <w:jc w:val="center"/>
        <w:rPr>
          <w:sz w:val="24"/>
          <w:szCs w:val="24"/>
        </w:rPr>
      </w:pPr>
    </w:p>
    <w:p w:rsidR="002F3C2E" w:rsidRPr="001E6CC1" w:rsidRDefault="002F3C2E" w:rsidP="002F3C2E">
      <w:pPr>
        <w:jc w:val="center"/>
        <w:rPr>
          <w:sz w:val="24"/>
          <w:szCs w:val="24"/>
        </w:rPr>
      </w:pPr>
      <w:r w:rsidRPr="001E6CC1">
        <w:rPr>
          <w:sz w:val="24"/>
          <w:szCs w:val="24"/>
        </w:rPr>
        <w:t>Before</w:t>
      </w:r>
    </w:p>
    <w:p w:rsidR="002F3C2E" w:rsidRPr="001E6CC1" w:rsidRDefault="002F3C2E" w:rsidP="002F3C2E">
      <w:pPr>
        <w:jc w:val="center"/>
        <w:rPr>
          <w:sz w:val="24"/>
          <w:szCs w:val="24"/>
        </w:rPr>
      </w:pPr>
      <w:r>
        <w:rPr>
          <w:sz w:val="24"/>
          <w:szCs w:val="24"/>
        </w:rPr>
        <w:t>Mark A. Hoyer</w:t>
      </w:r>
    </w:p>
    <w:p w:rsidR="002F3C2E" w:rsidRPr="001E6CC1" w:rsidRDefault="002F3C2E" w:rsidP="002F3C2E">
      <w:pPr>
        <w:jc w:val="center"/>
        <w:rPr>
          <w:sz w:val="24"/>
          <w:szCs w:val="24"/>
        </w:rPr>
      </w:pPr>
      <w:r w:rsidRPr="001E6CC1">
        <w:rPr>
          <w:sz w:val="24"/>
          <w:szCs w:val="24"/>
        </w:rPr>
        <w:t>Administrative Law Judge</w:t>
      </w:r>
    </w:p>
    <w:p w:rsidR="002F3C2E" w:rsidRPr="001E6CC1" w:rsidRDefault="002F3C2E" w:rsidP="002F3C2E">
      <w:pPr>
        <w:jc w:val="both"/>
        <w:rPr>
          <w:sz w:val="24"/>
          <w:szCs w:val="24"/>
        </w:rPr>
      </w:pPr>
    </w:p>
    <w:p w:rsidR="002F3C2E" w:rsidRDefault="002F3C2E" w:rsidP="002F3C2E">
      <w:pPr>
        <w:jc w:val="both"/>
        <w:rPr>
          <w:sz w:val="24"/>
          <w:szCs w:val="24"/>
        </w:rPr>
      </w:pPr>
    </w:p>
    <w:p w:rsidR="002F3C2E" w:rsidRDefault="002F3C2E" w:rsidP="002F3C2E">
      <w:pPr>
        <w:spacing w:line="360" w:lineRule="auto"/>
        <w:rPr>
          <w:sz w:val="24"/>
          <w:szCs w:val="24"/>
        </w:rPr>
      </w:pPr>
      <w:r>
        <w:rPr>
          <w:sz w:val="24"/>
          <w:szCs w:val="24"/>
        </w:rPr>
        <w:tab/>
      </w:r>
      <w:r>
        <w:rPr>
          <w:sz w:val="24"/>
          <w:szCs w:val="24"/>
        </w:rPr>
        <w:tab/>
        <w:t xml:space="preserve">This initial decision denies the request of M. Heather </w:t>
      </w:r>
      <w:proofErr w:type="spellStart"/>
      <w:r>
        <w:rPr>
          <w:sz w:val="24"/>
          <w:szCs w:val="24"/>
        </w:rPr>
        <w:t>Michail</w:t>
      </w:r>
      <w:proofErr w:type="spellEnd"/>
      <w:r>
        <w:rPr>
          <w:sz w:val="24"/>
          <w:szCs w:val="24"/>
        </w:rPr>
        <w:t xml:space="preserve"> (“Complainant”) for a Commission-ordered payment agreement pursuant to 66 </w:t>
      </w:r>
      <w:proofErr w:type="spellStart"/>
      <w:r>
        <w:rPr>
          <w:sz w:val="24"/>
          <w:szCs w:val="24"/>
        </w:rPr>
        <w:t>Pa.C.S</w:t>
      </w:r>
      <w:proofErr w:type="spellEnd"/>
      <w:r>
        <w:rPr>
          <w:sz w:val="24"/>
          <w:szCs w:val="24"/>
        </w:rPr>
        <w:t xml:space="preserve">. §1405.  </w:t>
      </w:r>
    </w:p>
    <w:p w:rsidR="002F3C2E" w:rsidRPr="001E6CC1" w:rsidRDefault="002F3C2E" w:rsidP="002F3C2E">
      <w:pPr>
        <w:spacing w:line="360" w:lineRule="auto"/>
        <w:rPr>
          <w:sz w:val="24"/>
          <w:szCs w:val="24"/>
        </w:rPr>
      </w:pPr>
    </w:p>
    <w:p w:rsidR="002F3C2E" w:rsidRPr="001E6CC1" w:rsidRDefault="002F3C2E" w:rsidP="002F3C2E">
      <w:pPr>
        <w:pStyle w:val="Heading1"/>
        <w:rPr>
          <w:b w:val="0"/>
          <w:sz w:val="24"/>
          <w:szCs w:val="24"/>
        </w:rPr>
      </w:pPr>
      <w:r w:rsidRPr="001E6CC1">
        <w:rPr>
          <w:b w:val="0"/>
          <w:sz w:val="24"/>
          <w:szCs w:val="24"/>
        </w:rPr>
        <w:t>HISTORY OF THE PROCEEDING</w:t>
      </w:r>
    </w:p>
    <w:p w:rsidR="002F3C2E" w:rsidRPr="001E6CC1" w:rsidRDefault="002F3C2E" w:rsidP="002F3C2E">
      <w:pPr>
        <w:jc w:val="both"/>
        <w:rPr>
          <w:sz w:val="24"/>
          <w:szCs w:val="24"/>
        </w:rPr>
      </w:pPr>
    </w:p>
    <w:p w:rsidR="002F3C2E" w:rsidRPr="001E6CC1" w:rsidRDefault="002F3C2E" w:rsidP="002F3C2E">
      <w:pPr>
        <w:jc w:val="both"/>
        <w:rPr>
          <w:sz w:val="24"/>
          <w:szCs w:val="24"/>
        </w:rPr>
      </w:pPr>
    </w:p>
    <w:p w:rsidR="002F3C2E" w:rsidRDefault="002F3C2E" w:rsidP="002F3C2E">
      <w:pPr>
        <w:spacing w:line="360" w:lineRule="auto"/>
        <w:rPr>
          <w:sz w:val="24"/>
          <w:szCs w:val="24"/>
        </w:rPr>
      </w:pPr>
      <w:r w:rsidRPr="001E6CC1">
        <w:rPr>
          <w:sz w:val="24"/>
          <w:szCs w:val="24"/>
        </w:rPr>
        <w:tab/>
      </w:r>
      <w:r w:rsidRPr="001E6CC1">
        <w:rPr>
          <w:sz w:val="24"/>
          <w:szCs w:val="24"/>
        </w:rPr>
        <w:tab/>
      </w:r>
      <w:r>
        <w:rPr>
          <w:sz w:val="24"/>
          <w:szCs w:val="24"/>
        </w:rPr>
        <w:t xml:space="preserve">On February 4, 2014, Ms. </w:t>
      </w:r>
      <w:proofErr w:type="spellStart"/>
      <w:r>
        <w:rPr>
          <w:sz w:val="24"/>
          <w:szCs w:val="24"/>
        </w:rPr>
        <w:t>Michail</w:t>
      </w:r>
      <w:proofErr w:type="spellEnd"/>
      <w:r>
        <w:rPr>
          <w:sz w:val="24"/>
          <w:szCs w:val="24"/>
        </w:rPr>
        <w:t xml:space="preserve"> filed a formal complaint with the Public Utility Commission (“Commission”) against PECO Energy Company (“PECO” or “Respondent”) at Docket No. </w:t>
      </w:r>
      <w:proofErr w:type="gramStart"/>
      <w:r>
        <w:rPr>
          <w:sz w:val="24"/>
          <w:szCs w:val="24"/>
        </w:rPr>
        <w:t>F-2014-2404586.</w:t>
      </w:r>
      <w:proofErr w:type="gramEnd"/>
      <w:r>
        <w:rPr>
          <w:rStyle w:val="FootnoteReference"/>
          <w:sz w:val="24"/>
          <w:szCs w:val="24"/>
        </w:rPr>
        <w:footnoteReference w:id="1"/>
      </w:r>
      <w:r>
        <w:rPr>
          <w:sz w:val="24"/>
          <w:szCs w:val="24"/>
        </w:rPr>
        <w:t xml:space="preserve">  In her complaint, Ms. </w:t>
      </w:r>
      <w:proofErr w:type="spellStart"/>
      <w:r>
        <w:rPr>
          <w:sz w:val="24"/>
          <w:szCs w:val="24"/>
        </w:rPr>
        <w:t>Michail</w:t>
      </w:r>
      <w:proofErr w:type="spellEnd"/>
      <w:r>
        <w:rPr>
          <w:sz w:val="24"/>
          <w:szCs w:val="24"/>
        </w:rPr>
        <w:t xml:space="preserve"> alleged that PECO is threatening to shut off her utility service.  She requested a payment agreement.  On February 20, 2014, PECO filed its answer to the complaint.  PECO averred, among other things, that Ms. </w:t>
      </w:r>
      <w:proofErr w:type="spellStart"/>
      <w:r>
        <w:rPr>
          <w:sz w:val="24"/>
          <w:szCs w:val="24"/>
        </w:rPr>
        <w:t>Michail</w:t>
      </w:r>
      <w:proofErr w:type="spellEnd"/>
      <w:r>
        <w:rPr>
          <w:sz w:val="24"/>
          <w:szCs w:val="24"/>
        </w:rPr>
        <w:t xml:space="preserve"> owes an outstanding balance in the amount of $6,633.22.  According to PECO’s answer, Ms.</w:t>
      </w:r>
      <w:r w:rsidR="003C20BA">
        <w:rPr>
          <w:sz w:val="24"/>
          <w:szCs w:val="24"/>
        </w:rPr>
        <w:t> </w:t>
      </w:r>
      <w:proofErr w:type="spellStart"/>
      <w:r>
        <w:rPr>
          <w:sz w:val="24"/>
          <w:szCs w:val="24"/>
        </w:rPr>
        <w:t>Michail</w:t>
      </w:r>
      <w:proofErr w:type="spellEnd"/>
      <w:r>
        <w:rPr>
          <w:sz w:val="24"/>
          <w:szCs w:val="24"/>
        </w:rPr>
        <w:t xml:space="preserve"> is not entitled to a Commission-ordered payment agreement to pay this balance because the balance is comprised of Customer Assistance Program (“CAP”) arrearages.  PECO requests dismissal of Ms. </w:t>
      </w:r>
      <w:proofErr w:type="spellStart"/>
      <w:r>
        <w:rPr>
          <w:sz w:val="24"/>
          <w:szCs w:val="24"/>
        </w:rPr>
        <w:t>Michail’s</w:t>
      </w:r>
      <w:proofErr w:type="spellEnd"/>
      <w:r>
        <w:rPr>
          <w:sz w:val="24"/>
          <w:szCs w:val="24"/>
        </w:rPr>
        <w:t xml:space="preserve"> complaint.     </w:t>
      </w:r>
    </w:p>
    <w:p w:rsidR="007150DA" w:rsidRDefault="007150DA" w:rsidP="007150DA">
      <w:pPr>
        <w:spacing w:line="360" w:lineRule="auto"/>
        <w:rPr>
          <w:sz w:val="24"/>
          <w:szCs w:val="24"/>
        </w:rPr>
      </w:pPr>
    </w:p>
    <w:p w:rsidR="00B521FD" w:rsidRDefault="00BC4C77" w:rsidP="007150DA">
      <w:pPr>
        <w:spacing w:line="360" w:lineRule="auto"/>
        <w:ind w:firstLine="1440"/>
        <w:rPr>
          <w:sz w:val="24"/>
          <w:szCs w:val="24"/>
        </w:rPr>
      </w:pPr>
      <w:r>
        <w:rPr>
          <w:sz w:val="24"/>
          <w:szCs w:val="24"/>
        </w:rPr>
        <w:lastRenderedPageBreak/>
        <w:t xml:space="preserve">An Initial Telephonic Hearing Notice was mailed to the parties on February 28, 2014, scheduling an initial hearing for Thursday, April 17, 2014.  </w:t>
      </w:r>
      <w:r w:rsidR="00B521FD">
        <w:rPr>
          <w:sz w:val="24"/>
          <w:szCs w:val="24"/>
        </w:rPr>
        <w:t xml:space="preserve">A standard Prehearing Order was issued on </w:t>
      </w:r>
      <w:r>
        <w:rPr>
          <w:sz w:val="24"/>
          <w:szCs w:val="24"/>
        </w:rPr>
        <w:t>February 28, 2014.</w:t>
      </w:r>
      <w:r w:rsidR="00894533">
        <w:rPr>
          <w:sz w:val="24"/>
          <w:szCs w:val="24"/>
        </w:rPr>
        <w:t xml:space="preserve">  The initial telephonic hearing was </w:t>
      </w:r>
      <w:r w:rsidR="00B521FD">
        <w:rPr>
          <w:sz w:val="24"/>
          <w:szCs w:val="24"/>
        </w:rPr>
        <w:t>held</w:t>
      </w:r>
      <w:r>
        <w:rPr>
          <w:sz w:val="24"/>
          <w:szCs w:val="24"/>
        </w:rPr>
        <w:t xml:space="preserve"> as scheduled.  </w:t>
      </w:r>
      <w:r w:rsidR="00063A50">
        <w:rPr>
          <w:sz w:val="24"/>
          <w:szCs w:val="24"/>
        </w:rPr>
        <w:t>Ms.</w:t>
      </w:r>
      <w:r w:rsidR="0034436A">
        <w:rPr>
          <w:sz w:val="24"/>
          <w:szCs w:val="24"/>
        </w:rPr>
        <w:t> </w:t>
      </w:r>
      <w:proofErr w:type="spellStart"/>
      <w:r>
        <w:rPr>
          <w:sz w:val="24"/>
          <w:szCs w:val="24"/>
        </w:rPr>
        <w:t>Michail</w:t>
      </w:r>
      <w:proofErr w:type="spellEnd"/>
      <w:r>
        <w:rPr>
          <w:sz w:val="24"/>
          <w:szCs w:val="24"/>
        </w:rPr>
        <w:t xml:space="preserve"> </w:t>
      </w:r>
      <w:r w:rsidR="00894533">
        <w:rPr>
          <w:sz w:val="24"/>
          <w:szCs w:val="24"/>
        </w:rPr>
        <w:t xml:space="preserve">represented herself and testified on her own behalf.  </w:t>
      </w:r>
      <w:r w:rsidR="00650A0A">
        <w:rPr>
          <w:sz w:val="24"/>
          <w:szCs w:val="24"/>
        </w:rPr>
        <w:t xml:space="preserve">She did not offer any exhibits.  </w:t>
      </w:r>
      <w:proofErr w:type="spellStart"/>
      <w:r>
        <w:rPr>
          <w:sz w:val="24"/>
          <w:szCs w:val="24"/>
        </w:rPr>
        <w:t>Shawane</w:t>
      </w:r>
      <w:proofErr w:type="spellEnd"/>
      <w:r>
        <w:rPr>
          <w:sz w:val="24"/>
          <w:szCs w:val="24"/>
        </w:rPr>
        <w:t xml:space="preserve"> L. Lee, </w:t>
      </w:r>
      <w:r w:rsidR="00B521FD">
        <w:rPr>
          <w:sz w:val="24"/>
          <w:szCs w:val="24"/>
        </w:rPr>
        <w:t>Esq</w:t>
      </w:r>
      <w:r w:rsidR="00894533">
        <w:rPr>
          <w:sz w:val="24"/>
          <w:szCs w:val="24"/>
        </w:rPr>
        <w:t>uire</w:t>
      </w:r>
      <w:r w:rsidR="00B521FD">
        <w:rPr>
          <w:sz w:val="24"/>
          <w:szCs w:val="24"/>
        </w:rPr>
        <w:t xml:space="preserve">, represented </w:t>
      </w:r>
      <w:r w:rsidR="00894533">
        <w:rPr>
          <w:sz w:val="24"/>
          <w:szCs w:val="24"/>
        </w:rPr>
        <w:t>P</w:t>
      </w:r>
      <w:r>
        <w:rPr>
          <w:sz w:val="24"/>
          <w:szCs w:val="24"/>
        </w:rPr>
        <w:t>ECO</w:t>
      </w:r>
      <w:r w:rsidR="00B521FD">
        <w:rPr>
          <w:sz w:val="24"/>
          <w:szCs w:val="24"/>
        </w:rPr>
        <w:t>, w</w:t>
      </w:r>
      <w:r w:rsidR="00894533">
        <w:rPr>
          <w:sz w:val="24"/>
          <w:szCs w:val="24"/>
        </w:rPr>
        <w:t xml:space="preserve">hich sponsored </w:t>
      </w:r>
      <w:r w:rsidR="00AC6259">
        <w:rPr>
          <w:sz w:val="24"/>
          <w:szCs w:val="24"/>
        </w:rPr>
        <w:t>nine</w:t>
      </w:r>
      <w:r w:rsidR="00894533">
        <w:rPr>
          <w:sz w:val="24"/>
          <w:szCs w:val="24"/>
        </w:rPr>
        <w:t xml:space="preserve"> </w:t>
      </w:r>
      <w:r w:rsidR="00B521FD">
        <w:rPr>
          <w:sz w:val="24"/>
          <w:szCs w:val="24"/>
        </w:rPr>
        <w:t>exhibits for admission into the record.  The hearing</w:t>
      </w:r>
      <w:r w:rsidR="00AC6259">
        <w:rPr>
          <w:sz w:val="24"/>
          <w:szCs w:val="24"/>
        </w:rPr>
        <w:t xml:space="preserve"> record consists of the aforementioned exhibits and a 47-page transcript of the hearing held on April 17, 2014.  Briefs were not requested.  The record closed </w:t>
      </w:r>
      <w:r w:rsidR="00B521FD">
        <w:rPr>
          <w:sz w:val="24"/>
          <w:szCs w:val="24"/>
        </w:rPr>
        <w:t xml:space="preserve">on </w:t>
      </w:r>
      <w:r w:rsidR="00AC6259">
        <w:rPr>
          <w:sz w:val="24"/>
          <w:szCs w:val="24"/>
        </w:rPr>
        <w:t xml:space="preserve">May 14, 2014.  </w:t>
      </w:r>
      <w:r w:rsidR="00894533">
        <w:rPr>
          <w:sz w:val="24"/>
          <w:szCs w:val="24"/>
        </w:rPr>
        <w:t xml:space="preserve">  </w:t>
      </w:r>
    </w:p>
    <w:p w:rsidR="00B521FD" w:rsidRDefault="00B521FD" w:rsidP="00B94503">
      <w:pPr>
        <w:spacing w:line="360" w:lineRule="auto"/>
        <w:rPr>
          <w:sz w:val="24"/>
          <w:szCs w:val="24"/>
        </w:rPr>
      </w:pPr>
    </w:p>
    <w:p w:rsidR="00B521FD" w:rsidRDefault="00B521FD" w:rsidP="00B521FD">
      <w:pPr>
        <w:spacing w:line="360" w:lineRule="auto"/>
        <w:jc w:val="center"/>
        <w:rPr>
          <w:sz w:val="24"/>
          <w:szCs w:val="24"/>
        </w:rPr>
      </w:pPr>
      <w:r w:rsidRPr="00B521FD">
        <w:rPr>
          <w:sz w:val="24"/>
          <w:szCs w:val="24"/>
          <w:u w:val="single"/>
        </w:rPr>
        <w:t>FINDINGS OF FACT</w:t>
      </w:r>
    </w:p>
    <w:p w:rsidR="00B521FD" w:rsidRDefault="00B521FD" w:rsidP="00B521FD">
      <w:pPr>
        <w:spacing w:line="360" w:lineRule="auto"/>
        <w:rPr>
          <w:sz w:val="24"/>
          <w:szCs w:val="24"/>
        </w:rPr>
      </w:pPr>
    </w:p>
    <w:p w:rsidR="00B521FD" w:rsidRDefault="00233928" w:rsidP="00B521FD">
      <w:pPr>
        <w:numPr>
          <w:ilvl w:val="0"/>
          <w:numId w:val="1"/>
        </w:numPr>
        <w:tabs>
          <w:tab w:val="clear" w:pos="720"/>
        </w:tabs>
        <w:spacing w:line="360" w:lineRule="auto"/>
        <w:ind w:left="0" w:firstLine="1440"/>
        <w:rPr>
          <w:sz w:val="24"/>
          <w:szCs w:val="24"/>
        </w:rPr>
      </w:pPr>
      <w:r>
        <w:rPr>
          <w:sz w:val="24"/>
          <w:szCs w:val="24"/>
        </w:rPr>
        <w:t xml:space="preserve">Complainant, </w:t>
      </w:r>
      <w:r w:rsidR="0052045D">
        <w:rPr>
          <w:sz w:val="24"/>
          <w:szCs w:val="24"/>
        </w:rPr>
        <w:t xml:space="preserve">M. Heather </w:t>
      </w:r>
      <w:proofErr w:type="spellStart"/>
      <w:r w:rsidR="0052045D">
        <w:rPr>
          <w:sz w:val="24"/>
          <w:szCs w:val="24"/>
        </w:rPr>
        <w:t>Michail</w:t>
      </w:r>
      <w:proofErr w:type="spellEnd"/>
      <w:r w:rsidR="0052045D">
        <w:rPr>
          <w:sz w:val="24"/>
          <w:szCs w:val="24"/>
        </w:rPr>
        <w:t xml:space="preserve">, </w:t>
      </w:r>
      <w:r w:rsidR="00ED0AAC">
        <w:rPr>
          <w:sz w:val="24"/>
          <w:szCs w:val="24"/>
        </w:rPr>
        <w:t xml:space="preserve">resides at </w:t>
      </w:r>
      <w:r w:rsidR="0052045D">
        <w:rPr>
          <w:sz w:val="24"/>
          <w:szCs w:val="24"/>
        </w:rPr>
        <w:t xml:space="preserve">1325 South Broad Street, Apartment 3R, Philadelphia, Pennsylvania 19147 (Tr. 7).  </w:t>
      </w:r>
      <w:r w:rsidR="00A465BE">
        <w:rPr>
          <w:sz w:val="24"/>
          <w:szCs w:val="24"/>
        </w:rPr>
        <w:t xml:space="preserve">  </w:t>
      </w:r>
    </w:p>
    <w:p w:rsidR="00ED0AAC" w:rsidRDefault="00ED0AAC" w:rsidP="00ED0AAC">
      <w:pPr>
        <w:spacing w:line="360" w:lineRule="auto"/>
        <w:rPr>
          <w:sz w:val="24"/>
          <w:szCs w:val="24"/>
        </w:rPr>
      </w:pPr>
    </w:p>
    <w:p w:rsidR="00ED0AAC" w:rsidRDefault="0052045D" w:rsidP="00B521FD">
      <w:pPr>
        <w:numPr>
          <w:ilvl w:val="0"/>
          <w:numId w:val="1"/>
        </w:numPr>
        <w:tabs>
          <w:tab w:val="clear" w:pos="720"/>
        </w:tabs>
        <w:spacing w:line="360" w:lineRule="auto"/>
        <w:ind w:left="0" w:firstLine="1440"/>
        <w:rPr>
          <w:sz w:val="24"/>
          <w:szCs w:val="24"/>
        </w:rPr>
      </w:pPr>
      <w:r>
        <w:rPr>
          <w:sz w:val="24"/>
          <w:szCs w:val="24"/>
        </w:rPr>
        <w:t xml:space="preserve">PECO provides residential electric utility service to Complainant at her residence (Tr. 7, 22).  </w:t>
      </w:r>
      <w:r w:rsidR="00A465BE">
        <w:rPr>
          <w:sz w:val="24"/>
          <w:szCs w:val="24"/>
        </w:rPr>
        <w:t xml:space="preserve">  </w:t>
      </w:r>
    </w:p>
    <w:p w:rsidR="00E4634F" w:rsidRDefault="00E4634F" w:rsidP="00E4634F">
      <w:pPr>
        <w:spacing w:line="360" w:lineRule="auto"/>
        <w:rPr>
          <w:sz w:val="24"/>
          <w:szCs w:val="24"/>
        </w:rPr>
      </w:pPr>
    </w:p>
    <w:p w:rsidR="00E4634F" w:rsidRDefault="0052045D" w:rsidP="00B521FD">
      <w:pPr>
        <w:numPr>
          <w:ilvl w:val="0"/>
          <w:numId w:val="1"/>
        </w:numPr>
        <w:tabs>
          <w:tab w:val="clear" w:pos="720"/>
        </w:tabs>
        <w:spacing w:line="360" w:lineRule="auto"/>
        <w:ind w:left="0" w:firstLine="1440"/>
        <w:rPr>
          <w:sz w:val="24"/>
          <w:szCs w:val="24"/>
        </w:rPr>
      </w:pPr>
      <w:r>
        <w:rPr>
          <w:sz w:val="24"/>
          <w:szCs w:val="24"/>
        </w:rPr>
        <w:t xml:space="preserve">Complainant is currently enrolled in PECO’s CAP Program, Tier D.  Customers in the Tier D CAP Program </w:t>
      </w:r>
      <w:proofErr w:type="gramStart"/>
      <w:r>
        <w:rPr>
          <w:sz w:val="24"/>
          <w:szCs w:val="24"/>
        </w:rPr>
        <w:t>receive</w:t>
      </w:r>
      <w:proofErr w:type="gramEnd"/>
      <w:r>
        <w:rPr>
          <w:sz w:val="24"/>
          <w:szCs w:val="24"/>
        </w:rPr>
        <w:t xml:space="preserve"> a 70% discount on the first 650 kV of electricity used during the billing cycle (Tr. 23).  </w:t>
      </w:r>
    </w:p>
    <w:p w:rsidR="008E215E" w:rsidRDefault="008E215E" w:rsidP="008E215E">
      <w:pPr>
        <w:spacing w:line="360" w:lineRule="auto"/>
        <w:rPr>
          <w:sz w:val="24"/>
          <w:szCs w:val="24"/>
        </w:rPr>
      </w:pPr>
    </w:p>
    <w:p w:rsidR="008E215E" w:rsidRDefault="0052045D" w:rsidP="00B521FD">
      <w:pPr>
        <w:numPr>
          <w:ilvl w:val="0"/>
          <w:numId w:val="1"/>
        </w:numPr>
        <w:tabs>
          <w:tab w:val="clear" w:pos="720"/>
        </w:tabs>
        <w:spacing w:line="360" w:lineRule="auto"/>
        <w:ind w:left="0" w:firstLine="1440"/>
        <w:rPr>
          <w:sz w:val="24"/>
          <w:szCs w:val="24"/>
        </w:rPr>
      </w:pPr>
      <w:r>
        <w:rPr>
          <w:sz w:val="24"/>
          <w:szCs w:val="24"/>
        </w:rPr>
        <w:t>Complainant enrolled in PECO’s CAP Program</w:t>
      </w:r>
      <w:r w:rsidR="00C83793">
        <w:rPr>
          <w:sz w:val="24"/>
          <w:szCs w:val="24"/>
        </w:rPr>
        <w:t xml:space="preserve">, Tier D, </w:t>
      </w:r>
      <w:r>
        <w:rPr>
          <w:sz w:val="24"/>
          <w:szCs w:val="24"/>
        </w:rPr>
        <w:t xml:space="preserve">in April 2006.  She was removed from the CAP Program on May 11, 2009.  </w:t>
      </w:r>
      <w:r w:rsidR="00C83793">
        <w:rPr>
          <w:sz w:val="24"/>
          <w:szCs w:val="24"/>
        </w:rPr>
        <w:t xml:space="preserve">She was reinstated into the CAP Program on December 12, 2012 (Tr. 23; PECO Energy Ex. 2).  </w:t>
      </w:r>
      <w:r w:rsidR="00A465BE">
        <w:rPr>
          <w:sz w:val="24"/>
          <w:szCs w:val="24"/>
        </w:rPr>
        <w:t xml:space="preserve">  </w:t>
      </w:r>
    </w:p>
    <w:p w:rsidR="008335DF" w:rsidRDefault="008335DF" w:rsidP="008335DF">
      <w:pPr>
        <w:spacing w:line="360" w:lineRule="auto"/>
        <w:rPr>
          <w:sz w:val="24"/>
          <w:szCs w:val="24"/>
        </w:rPr>
      </w:pPr>
    </w:p>
    <w:p w:rsidR="008335DF" w:rsidRDefault="004F429D" w:rsidP="00B521FD">
      <w:pPr>
        <w:numPr>
          <w:ilvl w:val="0"/>
          <w:numId w:val="1"/>
        </w:numPr>
        <w:tabs>
          <w:tab w:val="clear" w:pos="720"/>
        </w:tabs>
        <w:spacing w:line="360" w:lineRule="auto"/>
        <w:ind w:left="0" w:firstLine="1440"/>
        <w:rPr>
          <w:sz w:val="24"/>
          <w:szCs w:val="24"/>
        </w:rPr>
      </w:pPr>
      <w:r>
        <w:rPr>
          <w:sz w:val="24"/>
          <w:szCs w:val="24"/>
        </w:rPr>
        <w:t xml:space="preserve">Complainant has entered into four payment agreements with the Company and defaulted on all of them.  Complainant has not been a party to a Commission-ordered payment agreement with PECO (Tr. 15-16, 25-26; </w:t>
      </w:r>
      <w:proofErr w:type="spellStart"/>
      <w:r>
        <w:rPr>
          <w:sz w:val="24"/>
          <w:szCs w:val="24"/>
        </w:rPr>
        <w:t>Exh</w:t>
      </w:r>
      <w:proofErr w:type="spellEnd"/>
      <w:r>
        <w:rPr>
          <w:sz w:val="24"/>
          <w:szCs w:val="24"/>
        </w:rPr>
        <w:t xml:space="preserve">. 4).  </w:t>
      </w:r>
      <w:r w:rsidR="00AF5F85">
        <w:rPr>
          <w:sz w:val="24"/>
          <w:szCs w:val="24"/>
        </w:rPr>
        <w:t xml:space="preserve">  </w:t>
      </w:r>
    </w:p>
    <w:p w:rsidR="003A62E9" w:rsidRDefault="003A62E9" w:rsidP="003A62E9">
      <w:pPr>
        <w:spacing w:line="360" w:lineRule="auto"/>
        <w:rPr>
          <w:sz w:val="24"/>
          <w:szCs w:val="24"/>
        </w:rPr>
      </w:pPr>
    </w:p>
    <w:p w:rsidR="003A62E9" w:rsidRDefault="004F429D" w:rsidP="00B521FD">
      <w:pPr>
        <w:numPr>
          <w:ilvl w:val="0"/>
          <w:numId w:val="1"/>
        </w:numPr>
        <w:tabs>
          <w:tab w:val="clear" w:pos="720"/>
        </w:tabs>
        <w:spacing w:line="360" w:lineRule="auto"/>
        <w:ind w:left="0" w:firstLine="1440"/>
        <w:rPr>
          <w:sz w:val="24"/>
          <w:szCs w:val="24"/>
        </w:rPr>
      </w:pPr>
      <w:r>
        <w:rPr>
          <w:sz w:val="24"/>
          <w:szCs w:val="24"/>
        </w:rPr>
        <w:lastRenderedPageBreak/>
        <w:t>Complainant’s account balance is $6,534.90.  Complainant’s balance consists of $5,970.15 in CAP arrearages.  The remaining balance of $564.75 is no</w:t>
      </w:r>
      <w:r w:rsidR="00C528B1">
        <w:rPr>
          <w:sz w:val="24"/>
          <w:szCs w:val="24"/>
        </w:rPr>
        <w:t>n-</w:t>
      </w:r>
      <w:bookmarkStart w:id="0" w:name="_GoBack"/>
      <w:bookmarkEnd w:id="0"/>
      <w:r>
        <w:rPr>
          <w:sz w:val="24"/>
          <w:szCs w:val="24"/>
        </w:rPr>
        <w:t xml:space="preserve">CAP arrearages (Tr. 24).  </w:t>
      </w:r>
      <w:r w:rsidR="00AF5F85">
        <w:rPr>
          <w:sz w:val="24"/>
          <w:szCs w:val="24"/>
        </w:rPr>
        <w:t xml:space="preserve">  </w:t>
      </w:r>
    </w:p>
    <w:p w:rsidR="009D38E6" w:rsidRDefault="009D38E6" w:rsidP="009D38E6">
      <w:pPr>
        <w:spacing w:line="360" w:lineRule="auto"/>
        <w:rPr>
          <w:sz w:val="24"/>
          <w:szCs w:val="24"/>
        </w:rPr>
      </w:pPr>
    </w:p>
    <w:p w:rsidR="009D38E6" w:rsidRDefault="00AF5F85" w:rsidP="00B521FD">
      <w:pPr>
        <w:numPr>
          <w:ilvl w:val="0"/>
          <w:numId w:val="1"/>
        </w:numPr>
        <w:tabs>
          <w:tab w:val="clear" w:pos="720"/>
        </w:tabs>
        <w:spacing w:line="360" w:lineRule="auto"/>
        <w:ind w:left="0" w:firstLine="1440"/>
        <w:rPr>
          <w:sz w:val="24"/>
          <w:szCs w:val="24"/>
        </w:rPr>
      </w:pPr>
      <w:r>
        <w:rPr>
          <w:sz w:val="24"/>
          <w:szCs w:val="24"/>
        </w:rPr>
        <w:t xml:space="preserve">Complainant </w:t>
      </w:r>
      <w:r w:rsidR="00A52E69">
        <w:rPr>
          <w:sz w:val="24"/>
          <w:szCs w:val="24"/>
        </w:rPr>
        <w:t xml:space="preserve">pays on a consistent basis but she does not pay enough to cover her electric bills for current usage (Tr. 24; </w:t>
      </w:r>
      <w:proofErr w:type="spellStart"/>
      <w:r w:rsidR="00A52E69">
        <w:rPr>
          <w:sz w:val="24"/>
          <w:szCs w:val="24"/>
        </w:rPr>
        <w:t>Exh</w:t>
      </w:r>
      <w:proofErr w:type="spellEnd"/>
      <w:r w:rsidR="00A52E69">
        <w:rPr>
          <w:sz w:val="24"/>
          <w:szCs w:val="24"/>
        </w:rPr>
        <w:t xml:space="preserve">. 1).  </w:t>
      </w:r>
      <w:r>
        <w:rPr>
          <w:sz w:val="24"/>
          <w:szCs w:val="24"/>
        </w:rPr>
        <w:t xml:space="preserve">  </w:t>
      </w:r>
    </w:p>
    <w:p w:rsidR="004A3D1D" w:rsidRDefault="004A3D1D" w:rsidP="004A3D1D">
      <w:pPr>
        <w:spacing w:line="360" w:lineRule="auto"/>
        <w:ind w:left="1440"/>
        <w:rPr>
          <w:sz w:val="24"/>
          <w:szCs w:val="24"/>
        </w:rPr>
      </w:pPr>
    </w:p>
    <w:p w:rsidR="004F273B" w:rsidRPr="00F72C85" w:rsidRDefault="00F72C85" w:rsidP="004F273B">
      <w:pPr>
        <w:numPr>
          <w:ilvl w:val="0"/>
          <w:numId w:val="1"/>
        </w:numPr>
        <w:tabs>
          <w:tab w:val="clear" w:pos="720"/>
        </w:tabs>
        <w:spacing w:line="360" w:lineRule="auto"/>
        <w:ind w:left="0" w:firstLine="1440"/>
        <w:rPr>
          <w:sz w:val="24"/>
          <w:szCs w:val="24"/>
        </w:rPr>
      </w:pPr>
      <w:r w:rsidRPr="00F72C85">
        <w:rPr>
          <w:sz w:val="24"/>
          <w:szCs w:val="24"/>
        </w:rPr>
        <w:t>Complainant lives alone and earns approximately $1,680 per month (Tr.</w:t>
      </w:r>
      <w:r w:rsidR="00F53435">
        <w:rPr>
          <w:sz w:val="24"/>
          <w:szCs w:val="24"/>
        </w:rPr>
        <w:t> </w:t>
      </w:r>
      <w:r w:rsidRPr="00F72C85">
        <w:rPr>
          <w:sz w:val="24"/>
          <w:szCs w:val="24"/>
        </w:rPr>
        <w:t xml:space="preserve">16-18; </w:t>
      </w:r>
      <w:proofErr w:type="spellStart"/>
      <w:r w:rsidRPr="00F72C85">
        <w:rPr>
          <w:sz w:val="24"/>
          <w:szCs w:val="24"/>
        </w:rPr>
        <w:t>Exh</w:t>
      </w:r>
      <w:proofErr w:type="spellEnd"/>
      <w:r w:rsidRPr="00F72C85">
        <w:rPr>
          <w:sz w:val="24"/>
          <w:szCs w:val="24"/>
        </w:rPr>
        <w:t xml:space="preserve">. 5).  </w:t>
      </w:r>
      <w:r w:rsidR="004F273B" w:rsidRPr="00F72C85">
        <w:rPr>
          <w:sz w:val="24"/>
          <w:szCs w:val="24"/>
        </w:rPr>
        <w:t xml:space="preserve"> </w:t>
      </w:r>
    </w:p>
    <w:p w:rsidR="004B0CB9" w:rsidRDefault="004B0CB9" w:rsidP="00E1744B">
      <w:pPr>
        <w:spacing w:line="360" w:lineRule="auto"/>
        <w:jc w:val="center"/>
        <w:rPr>
          <w:sz w:val="24"/>
          <w:szCs w:val="24"/>
          <w:u w:val="single"/>
        </w:rPr>
      </w:pPr>
    </w:p>
    <w:p w:rsidR="00E1744B" w:rsidRDefault="00E1744B" w:rsidP="00E1744B">
      <w:pPr>
        <w:spacing w:line="360" w:lineRule="auto"/>
        <w:jc w:val="center"/>
        <w:rPr>
          <w:sz w:val="24"/>
          <w:szCs w:val="24"/>
        </w:rPr>
      </w:pPr>
      <w:r>
        <w:rPr>
          <w:sz w:val="24"/>
          <w:szCs w:val="24"/>
          <w:u w:val="single"/>
        </w:rPr>
        <w:t>DISCUSSION</w:t>
      </w:r>
    </w:p>
    <w:p w:rsidR="00E1744B" w:rsidRDefault="00E1744B" w:rsidP="00E1744B">
      <w:pPr>
        <w:spacing w:line="360" w:lineRule="auto"/>
        <w:rPr>
          <w:sz w:val="24"/>
          <w:szCs w:val="24"/>
        </w:rPr>
      </w:pPr>
    </w:p>
    <w:p w:rsidR="00F72C85" w:rsidRDefault="00F72C85" w:rsidP="00F72C85">
      <w:pPr>
        <w:spacing w:line="360" w:lineRule="auto"/>
        <w:ind w:firstLine="1440"/>
        <w:rPr>
          <w:sz w:val="24"/>
          <w:szCs w:val="24"/>
        </w:rPr>
      </w:pPr>
      <w:r w:rsidRPr="005B2728">
        <w:rPr>
          <w:sz w:val="24"/>
          <w:szCs w:val="24"/>
        </w:rPr>
        <w:t xml:space="preserve">As the party seeking affirmative relief from this Commission, Complainant bears the burden of proof.  </w:t>
      </w:r>
      <w:proofErr w:type="gramStart"/>
      <w:r w:rsidRPr="005B2728">
        <w:rPr>
          <w:sz w:val="24"/>
          <w:szCs w:val="24"/>
        </w:rPr>
        <w:t xml:space="preserve">66 </w:t>
      </w:r>
      <w:proofErr w:type="spellStart"/>
      <w:r w:rsidRPr="005B2728">
        <w:rPr>
          <w:sz w:val="24"/>
          <w:szCs w:val="24"/>
        </w:rPr>
        <w:t>Pa.C.S</w:t>
      </w:r>
      <w:proofErr w:type="spellEnd"/>
      <w:r w:rsidRPr="005B2728">
        <w:rPr>
          <w:sz w:val="24"/>
          <w:szCs w:val="24"/>
        </w:rPr>
        <w:t>.</w:t>
      </w:r>
      <w:proofErr w:type="gramEnd"/>
      <w:r w:rsidRPr="005B2728">
        <w:rPr>
          <w:sz w:val="24"/>
          <w:szCs w:val="24"/>
        </w:rPr>
        <w:t xml:space="preserve"> § 332(a).</w:t>
      </w:r>
      <w:r>
        <w:rPr>
          <w:sz w:val="24"/>
          <w:szCs w:val="24"/>
        </w:rPr>
        <w:t xml:space="preserve">  </w:t>
      </w:r>
      <w:r w:rsidRPr="005B2728">
        <w:rPr>
          <w:sz w:val="24"/>
          <w:szCs w:val="24"/>
        </w:rPr>
        <w:t xml:space="preserve">The term “burden of proof” means a duty to establish a fact by a preponderance of the evidence.  </w:t>
      </w:r>
      <w:proofErr w:type="gramStart"/>
      <w:r w:rsidRPr="005B2728">
        <w:rPr>
          <w:sz w:val="24"/>
          <w:szCs w:val="24"/>
          <w:u w:val="single"/>
        </w:rPr>
        <w:t>Se-Ling Hosiery v. Margulies</w:t>
      </w:r>
      <w:r w:rsidRPr="005B2728">
        <w:rPr>
          <w:sz w:val="24"/>
          <w:szCs w:val="24"/>
        </w:rPr>
        <w:t xml:space="preserve">, 364 Pa. 45, 70 A.2d 854 (1950); and </w:t>
      </w:r>
      <w:r w:rsidRPr="005B2728">
        <w:rPr>
          <w:sz w:val="24"/>
          <w:szCs w:val="24"/>
          <w:u w:val="single"/>
        </w:rPr>
        <w:t>Feinstein v. Philadelphia Suburban Water Company</w:t>
      </w:r>
      <w:r w:rsidRPr="005B2728">
        <w:rPr>
          <w:sz w:val="24"/>
          <w:szCs w:val="24"/>
        </w:rPr>
        <w:t>, 50 Pa. PUC 300 (1976).</w:t>
      </w:r>
      <w:proofErr w:type="gramEnd"/>
      <w:r w:rsidRPr="005B2728">
        <w:rPr>
          <w:sz w:val="24"/>
          <w:szCs w:val="24"/>
        </w:rPr>
        <w:t xml:space="preserve">  “Preponderance of the evidence” means one party must present evidence that is more convincing, by even the smallest amount, than the evidence presented by the other party.  </w:t>
      </w:r>
      <w:r w:rsidRPr="005B2728">
        <w:rPr>
          <w:i/>
          <w:sz w:val="24"/>
          <w:szCs w:val="24"/>
        </w:rPr>
        <w:t>Id</w:t>
      </w:r>
      <w:r w:rsidRPr="005B2728">
        <w:rPr>
          <w:sz w:val="24"/>
          <w:szCs w:val="24"/>
        </w:rPr>
        <w:t xml:space="preserve">.  </w:t>
      </w:r>
    </w:p>
    <w:p w:rsidR="00F72C85" w:rsidRDefault="00F72C85" w:rsidP="00E1744B">
      <w:pPr>
        <w:spacing w:line="360" w:lineRule="auto"/>
        <w:rPr>
          <w:sz w:val="24"/>
          <w:szCs w:val="24"/>
        </w:rPr>
      </w:pPr>
    </w:p>
    <w:p w:rsidR="003F2D6C" w:rsidRDefault="00E1744B" w:rsidP="0065708C">
      <w:pPr>
        <w:spacing w:line="360" w:lineRule="auto"/>
        <w:rPr>
          <w:sz w:val="24"/>
          <w:szCs w:val="24"/>
        </w:rPr>
      </w:pPr>
      <w:r>
        <w:rPr>
          <w:sz w:val="24"/>
          <w:szCs w:val="24"/>
        </w:rPr>
        <w:tab/>
      </w:r>
      <w:r>
        <w:rPr>
          <w:sz w:val="24"/>
          <w:szCs w:val="24"/>
        </w:rPr>
        <w:tab/>
      </w:r>
      <w:r w:rsidR="0065708C">
        <w:rPr>
          <w:sz w:val="24"/>
          <w:szCs w:val="24"/>
        </w:rPr>
        <w:t>The issue presented by this complaint is whether Complainant is entitled to a Commission-ordered payment agreement pursuant to Section 1405 of the Public Utility Code, 66</w:t>
      </w:r>
      <w:r w:rsidR="00024CE3">
        <w:rPr>
          <w:sz w:val="24"/>
          <w:szCs w:val="24"/>
        </w:rPr>
        <w:t> </w:t>
      </w:r>
      <w:proofErr w:type="spellStart"/>
      <w:r w:rsidR="0065708C">
        <w:rPr>
          <w:sz w:val="24"/>
          <w:szCs w:val="24"/>
        </w:rPr>
        <w:t>Pa.C.S</w:t>
      </w:r>
      <w:proofErr w:type="spellEnd"/>
      <w:r w:rsidR="0065708C">
        <w:rPr>
          <w:sz w:val="24"/>
          <w:szCs w:val="24"/>
        </w:rPr>
        <w:t>. §</w:t>
      </w:r>
      <w:r w:rsidR="007C6685">
        <w:rPr>
          <w:sz w:val="24"/>
          <w:szCs w:val="24"/>
        </w:rPr>
        <w:t xml:space="preserve"> </w:t>
      </w:r>
      <w:r w:rsidR="0065708C">
        <w:rPr>
          <w:sz w:val="24"/>
          <w:szCs w:val="24"/>
        </w:rPr>
        <w:t xml:space="preserve">1405.  </w:t>
      </w:r>
    </w:p>
    <w:p w:rsidR="003070C8" w:rsidRDefault="0065708C" w:rsidP="0065708C">
      <w:pPr>
        <w:spacing w:line="360" w:lineRule="auto"/>
        <w:rPr>
          <w:sz w:val="24"/>
          <w:szCs w:val="24"/>
        </w:rPr>
      </w:pPr>
      <w:r>
        <w:rPr>
          <w:sz w:val="24"/>
          <w:szCs w:val="24"/>
        </w:rPr>
        <w:t xml:space="preserve"> </w:t>
      </w:r>
    </w:p>
    <w:p w:rsidR="00512AF2" w:rsidRPr="00D860AB" w:rsidRDefault="00B75DCD" w:rsidP="00512AF2">
      <w:pPr>
        <w:pStyle w:val="BodyText"/>
        <w:jc w:val="left"/>
        <w:rPr>
          <w:sz w:val="24"/>
          <w:szCs w:val="24"/>
        </w:rPr>
      </w:pPr>
      <w:r>
        <w:rPr>
          <w:sz w:val="24"/>
          <w:szCs w:val="24"/>
        </w:rPr>
        <w:tab/>
      </w:r>
      <w:r>
        <w:rPr>
          <w:sz w:val="24"/>
          <w:szCs w:val="24"/>
        </w:rPr>
        <w:tab/>
      </w:r>
      <w:r w:rsidR="00512AF2" w:rsidRPr="00D860AB">
        <w:rPr>
          <w:sz w:val="24"/>
          <w:szCs w:val="24"/>
        </w:rPr>
        <w:t>Section 1405</w:t>
      </w:r>
      <w:r w:rsidR="00512AF2">
        <w:rPr>
          <w:sz w:val="24"/>
          <w:szCs w:val="24"/>
        </w:rPr>
        <w:t xml:space="preserve"> </w:t>
      </w:r>
      <w:r w:rsidR="0065708C">
        <w:rPr>
          <w:sz w:val="24"/>
          <w:szCs w:val="24"/>
        </w:rPr>
        <w:t xml:space="preserve">of the Code provides as follows: </w:t>
      </w:r>
    </w:p>
    <w:p w:rsidR="00512AF2" w:rsidRPr="00D860AB" w:rsidRDefault="00512AF2" w:rsidP="00593EA5">
      <w:pPr>
        <w:pStyle w:val="BodyText"/>
        <w:spacing w:line="240" w:lineRule="auto"/>
        <w:ind w:left="1440" w:right="1440"/>
        <w:jc w:val="left"/>
        <w:rPr>
          <w:sz w:val="24"/>
          <w:szCs w:val="24"/>
        </w:rPr>
      </w:pPr>
    </w:p>
    <w:p w:rsidR="00234B1C" w:rsidRDefault="00512AF2" w:rsidP="00512AF2">
      <w:pPr>
        <w:pStyle w:val="BodyText"/>
        <w:tabs>
          <w:tab w:val="left" w:pos="1800"/>
        </w:tabs>
        <w:spacing w:line="240" w:lineRule="auto"/>
        <w:ind w:left="1440" w:right="1440"/>
        <w:jc w:val="left"/>
        <w:rPr>
          <w:sz w:val="24"/>
          <w:szCs w:val="24"/>
        </w:rPr>
      </w:pPr>
      <w:r w:rsidRPr="00D860AB">
        <w:rPr>
          <w:sz w:val="24"/>
          <w:szCs w:val="24"/>
        </w:rPr>
        <w:t xml:space="preserve">§1405.  Payment </w:t>
      </w:r>
      <w:r w:rsidR="00234B1C">
        <w:rPr>
          <w:sz w:val="24"/>
          <w:szCs w:val="24"/>
        </w:rPr>
        <w:t>A</w:t>
      </w:r>
      <w:r w:rsidRPr="00D860AB">
        <w:rPr>
          <w:sz w:val="24"/>
          <w:szCs w:val="24"/>
        </w:rPr>
        <w:t>greements</w:t>
      </w:r>
      <w:r w:rsidR="00234B1C">
        <w:rPr>
          <w:sz w:val="24"/>
          <w:szCs w:val="24"/>
        </w:rPr>
        <w:t>.</w:t>
      </w:r>
      <w:r w:rsidRPr="00D860AB">
        <w:rPr>
          <w:sz w:val="24"/>
          <w:szCs w:val="24"/>
        </w:rPr>
        <w:br/>
      </w:r>
      <w:r w:rsidRPr="00D860AB">
        <w:rPr>
          <w:sz w:val="24"/>
          <w:szCs w:val="24"/>
        </w:rPr>
        <w:br/>
        <w:t>    (a) G</w:t>
      </w:r>
      <w:r w:rsidR="00234B1C">
        <w:rPr>
          <w:sz w:val="24"/>
          <w:szCs w:val="24"/>
        </w:rPr>
        <w:t>eneral</w:t>
      </w:r>
      <w:r w:rsidRPr="00D860AB">
        <w:rPr>
          <w:sz w:val="24"/>
          <w:szCs w:val="24"/>
        </w:rPr>
        <w:t xml:space="preserve"> R</w:t>
      </w:r>
      <w:r w:rsidR="00234B1C">
        <w:rPr>
          <w:sz w:val="24"/>
          <w:szCs w:val="24"/>
        </w:rPr>
        <w:t>ule</w:t>
      </w:r>
      <w:r w:rsidRPr="00D860AB">
        <w:rPr>
          <w:sz w:val="24"/>
          <w:szCs w:val="24"/>
        </w:rPr>
        <w:t xml:space="preserve">. </w:t>
      </w:r>
      <w:r w:rsidR="00234B1C">
        <w:rPr>
          <w:sz w:val="24"/>
          <w:szCs w:val="24"/>
        </w:rPr>
        <w:t xml:space="preserve"> </w:t>
      </w:r>
      <w:r w:rsidRPr="00D860AB">
        <w:rPr>
          <w:sz w:val="24"/>
          <w:szCs w:val="24"/>
        </w:rPr>
        <w:t>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r w:rsidRPr="00D860AB">
        <w:rPr>
          <w:sz w:val="24"/>
          <w:szCs w:val="24"/>
        </w:rPr>
        <w:br/>
        <w:t> </w:t>
      </w:r>
    </w:p>
    <w:p w:rsidR="00512AF2" w:rsidRDefault="00512AF2" w:rsidP="00512AF2">
      <w:pPr>
        <w:pStyle w:val="BodyText"/>
        <w:tabs>
          <w:tab w:val="left" w:pos="1800"/>
        </w:tabs>
        <w:spacing w:line="240" w:lineRule="auto"/>
        <w:ind w:left="1440" w:right="1440"/>
        <w:jc w:val="left"/>
        <w:rPr>
          <w:sz w:val="24"/>
          <w:szCs w:val="24"/>
        </w:rPr>
      </w:pPr>
      <w:r w:rsidRPr="00D860AB">
        <w:rPr>
          <w:sz w:val="24"/>
          <w:szCs w:val="24"/>
        </w:rPr>
        <w:lastRenderedPageBreak/>
        <w:t>   (b) L</w:t>
      </w:r>
      <w:r w:rsidR="00234B1C">
        <w:rPr>
          <w:sz w:val="24"/>
          <w:szCs w:val="24"/>
        </w:rPr>
        <w:t>ength of</w:t>
      </w:r>
      <w:r w:rsidRPr="00D860AB">
        <w:rPr>
          <w:sz w:val="24"/>
          <w:szCs w:val="24"/>
        </w:rPr>
        <w:t xml:space="preserve"> P</w:t>
      </w:r>
      <w:r w:rsidR="00234B1C">
        <w:rPr>
          <w:sz w:val="24"/>
          <w:szCs w:val="24"/>
        </w:rPr>
        <w:t>ayment</w:t>
      </w:r>
      <w:r w:rsidRPr="00D860AB">
        <w:rPr>
          <w:sz w:val="24"/>
          <w:szCs w:val="24"/>
        </w:rPr>
        <w:t xml:space="preserve"> A</w:t>
      </w:r>
      <w:r w:rsidR="00234B1C">
        <w:rPr>
          <w:sz w:val="24"/>
          <w:szCs w:val="24"/>
        </w:rPr>
        <w:t>greements</w:t>
      </w:r>
      <w:r w:rsidRPr="00D860AB">
        <w:rPr>
          <w:sz w:val="24"/>
          <w:szCs w:val="24"/>
        </w:rPr>
        <w:t xml:space="preserve">. </w:t>
      </w:r>
      <w:r w:rsidR="00234B1C">
        <w:rPr>
          <w:sz w:val="24"/>
          <w:szCs w:val="24"/>
        </w:rPr>
        <w:t xml:space="preserve"> </w:t>
      </w:r>
      <w:r w:rsidRPr="00D860AB">
        <w:rPr>
          <w:sz w:val="24"/>
          <w:szCs w:val="24"/>
        </w:rPr>
        <w:t>The length of time for a customer to resolve an unpaid balance on an account that is subject to a payment agreement that is investigated by the commission and is entered into by a public utility and a customer shall not extend beyond:</w:t>
      </w:r>
      <w:r w:rsidRPr="00D860AB">
        <w:rPr>
          <w:sz w:val="24"/>
          <w:szCs w:val="24"/>
        </w:rPr>
        <w:br/>
        <w:t> </w:t>
      </w:r>
      <w:r w:rsidRPr="00D860AB">
        <w:rPr>
          <w:sz w:val="24"/>
          <w:szCs w:val="24"/>
        </w:rPr>
        <w:br/>
        <w:t>   </w:t>
      </w:r>
      <w:r>
        <w:rPr>
          <w:sz w:val="24"/>
          <w:szCs w:val="24"/>
        </w:rPr>
        <w:tab/>
      </w:r>
      <w:r w:rsidRPr="00D860AB">
        <w:rPr>
          <w:sz w:val="24"/>
          <w:szCs w:val="24"/>
        </w:rPr>
        <w:t>(1) Five years for customers with a gross monthly household income level not exceeding 150% of the Federal poverty level.</w:t>
      </w:r>
      <w:r w:rsidRPr="00D860AB">
        <w:rPr>
          <w:sz w:val="24"/>
          <w:szCs w:val="24"/>
        </w:rPr>
        <w:br/>
        <w:t> </w:t>
      </w:r>
      <w:r w:rsidRPr="00D860AB">
        <w:rPr>
          <w:sz w:val="24"/>
          <w:szCs w:val="24"/>
        </w:rPr>
        <w:br/>
        <w:t>   </w:t>
      </w:r>
      <w:r>
        <w:rPr>
          <w:sz w:val="24"/>
          <w:szCs w:val="24"/>
        </w:rPr>
        <w:tab/>
      </w:r>
      <w:r w:rsidRPr="00D860AB">
        <w:rPr>
          <w:sz w:val="24"/>
          <w:szCs w:val="24"/>
        </w:rPr>
        <w:t>(2) Two years for customers with a gross monthly household income level exceeding 150% and not more than 250% of the Federal poverty level.</w:t>
      </w:r>
    </w:p>
    <w:p w:rsidR="00512AF2" w:rsidRDefault="00512AF2" w:rsidP="00512AF2">
      <w:pPr>
        <w:pStyle w:val="BodyText"/>
        <w:tabs>
          <w:tab w:val="left" w:pos="1800"/>
        </w:tabs>
        <w:spacing w:line="240" w:lineRule="auto"/>
        <w:ind w:left="1440" w:right="1440"/>
        <w:jc w:val="left"/>
        <w:rPr>
          <w:sz w:val="24"/>
          <w:szCs w:val="24"/>
        </w:rPr>
      </w:pPr>
      <w:r w:rsidRPr="00D860AB">
        <w:rPr>
          <w:sz w:val="24"/>
          <w:szCs w:val="24"/>
        </w:rPr>
        <w:br/>
        <w:t>   </w:t>
      </w:r>
      <w:r>
        <w:rPr>
          <w:sz w:val="24"/>
          <w:szCs w:val="24"/>
        </w:rPr>
        <w:tab/>
      </w:r>
      <w:r w:rsidRPr="00D860AB">
        <w:rPr>
          <w:sz w:val="24"/>
          <w:szCs w:val="24"/>
        </w:rPr>
        <w:t>(3) One year for customers with a gross monthly household income level exceeding 250% of the Federal poverty level and not more than 300% of the Federal poverty level.</w:t>
      </w:r>
      <w:r w:rsidRPr="00D860AB">
        <w:rPr>
          <w:sz w:val="24"/>
          <w:szCs w:val="24"/>
        </w:rPr>
        <w:br/>
        <w:t> </w:t>
      </w:r>
      <w:r w:rsidRPr="00D860AB">
        <w:rPr>
          <w:sz w:val="24"/>
          <w:szCs w:val="24"/>
        </w:rPr>
        <w:br/>
        <w:t>   </w:t>
      </w:r>
      <w:r>
        <w:rPr>
          <w:sz w:val="24"/>
          <w:szCs w:val="24"/>
        </w:rPr>
        <w:tab/>
      </w:r>
      <w:r w:rsidRPr="00D860AB">
        <w:rPr>
          <w:sz w:val="24"/>
          <w:szCs w:val="24"/>
        </w:rPr>
        <w:t>(4) Six months for customers with a gross monthly household income level exceeding 300% of the Federal poverty level.</w:t>
      </w:r>
      <w:r w:rsidRPr="00D860AB">
        <w:rPr>
          <w:sz w:val="24"/>
          <w:szCs w:val="24"/>
        </w:rPr>
        <w:br/>
        <w:t> </w:t>
      </w:r>
      <w:r w:rsidRPr="00D860AB">
        <w:rPr>
          <w:sz w:val="24"/>
          <w:szCs w:val="24"/>
        </w:rPr>
        <w:br/>
        <w:t>   (c) C</w:t>
      </w:r>
      <w:r w:rsidR="000E31C8">
        <w:rPr>
          <w:sz w:val="24"/>
          <w:szCs w:val="24"/>
        </w:rPr>
        <w:t>ustomer</w:t>
      </w:r>
      <w:r w:rsidRPr="00D860AB">
        <w:rPr>
          <w:sz w:val="24"/>
          <w:szCs w:val="24"/>
        </w:rPr>
        <w:t xml:space="preserve"> A</w:t>
      </w:r>
      <w:r w:rsidR="000E31C8">
        <w:rPr>
          <w:sz w:val="24"/>
          <w:szCs w:val="24"/>
        </w:rPr>
        <w:t>ssistance</w:t>
      </w:r>
      <w:r w:rsidRPr="00D860AB">
        <w:rPr>
          <w:sz w:val="24"/>
          <w:szCs w:val="24"/>
        </w:rPr>
        <w:t xml:space="preserve"> P</w:t>
      </w:r>
      <w:r w:rsidR="000E31C8">
        <w:rPr>
          <w:sz w:val="24"/>
          <w:szCs w:val="24"/>
        </w:rPr>
        <w:t>rograms</w:t>
      </w:r>
      <w:r w:rsidRPr="00D860AB">
        <w:rPr>
          <w:sz w:val="24"/>
          <w:szCs w:val="24"/>
        </w:rPr>
        <w:t xml:space="preserve">. </w:t>
      </w:r>
      <w:r w:rsidR="000E31C8">
        <w:rPr>
          <w:sz w:val="24"/>
          <w:szCs w:val="24"/>
        </w:rPr>
        <w:t xml:space="preserve"> </w:t>
      </w:r>
      <w:r w:rsidRPr="00D860AB">
        <w:rPr>
          <w:sz w:val="24"/>
          <w:szCs w:val="24"/>
        </w:rPr>
        <w:t>Customer assistance program rates shall be timely paid and shall not be the subject of payment agreements negotiated or approved by the commission.</w:t>
      </w:r>
      <w:r w:rsidRPr="00D860AB">
        <w:rPr>
          <w:sz w:val="24"/>
          <w:szCs w:val="24"/>
        </w:rPr>
        <w:br/>
        <w:t> </w:t>
      </w:r>
      <w:r w:rsidRPr="00D860AB">
        <w:rPr>
          <w:sz w:val="24"/>
          <w:szCs w:val="24"/>
        </w:rPr>
        <w:br/>
        <w:t>   (d) N</w:t>
      </w:r>
      <w:r w:rsidR="000E31C8">
        <w:rPr>
          <w:sz w:val="24"/>
          <w:szCs w:val="24"/>
        </w:rPr>
        <w:t>umber</w:t>
      </w:r>
      <w:r w:rsidRPr="00D860AB">
        <w:rPr>
          <w:sz w:val="24"/>
          <w:szCs w:val="24"/>
        </w:rPr>
        <w:t xml:space="preserve"> </w:t>
      </w:r>
      <w:r w:rsidR="000E31C8">
        <w:rPr>
          <w:sz w:val="24"/>
          <w:szCs w:val="24"/>
        </w:rPr>
        <w:t xml:space="preserve">of </w:t>
      </w:r>
      <w:r w:rsidRPr="00D860AB">
        <w:rPr>
          <w:sz w:val="24"/>
          <w:szCs w:val="24"/>
        </w:rPr>
        <w:t>P</w:t>
      </w:r>
      <w:r w:rsidR="000E31C8">
        <w:rPr>
          <w:sz w:val="24"/>
          <w:szCs w:val="24"/>
        </w:rPr>
        <w:t>ayment</w:t>
      </w:r>
      <w:r w:rsidRPr="00D860AB">
        <w:rPr>
          <w:sz w:val="24"/>
          <w:szCs w:val="24"/>
        </w:rPr>
        <w:t xml:space="preserve"> A</w:t>
      </w:r>
      <w:r w:rsidR="000E31C8">
        <w:rPr>
          <w:sz w:val="24"/>
          <w:szCs w:val="24"/>
        </w:rPr>
        <w:t>greements</w:t>
      </w:r>
      <w:r w:rsidRPr="00D860AB">
        <w:rPr>
          <w:sz w:val="24"/>
          <w:szCs w:val="24"/>
        </w:rPr>
        <w:t>.</w:t>
      </w:r>
      <w:r w:rsidR="000E31C8">
        <w:rPr>
          <w:sz w:val="24"/>
          <w:szCs w:val="24"/>
        </w:rPr>
        <w:t xml:space="preserve"> </w:t>
      </w:r>
      <w:r w:rsidRPr="00D860AB">
        <w:rPr>
          <w:sz w:val="24"/>
          <w:szCs w:val="24"/>
        </w:rPr>
        <w:t xml:space="preserve"> Absent a change in income, the commission shall not establish or order a public utility to establish a second or subsequent payment agreement if a customer has defaulted on a previous payment agreement. </w:t>
      </w:r>
      <w:r w:rsidR="001C01DF">
        <w:rPr>
          <w:sz w:val="24"/>
          <w:szCs w:val="24"/>
        </w:rPr>
        <w:t xml:space="preserve"> </w:t>
      </w:r>
      <w:r w:rsidRPr="00D860AB">
        <w:rPr>
          <w:sz w:val="24"/>
          <w:szCs w:val="24"/>
        </w:rPr>
        <w:t>A public utility may, at its discretion, enter into a second or subsequent payment agreement with a customer.</w:t>
      </w:r>
      <w:r w:rsidRPr="00D860AB">
        <w:rPr>
          <w:sz w:val="24"/>
          <w:szCs w:val="24"/>
        </w:rPr>
        <w:br/>
        <w:t> </w:t>
      </w:r>
      <w:r w:rsidRPr="00D860AB">
        <w:rPr>
          <w:sz w:val="24"/>
          <w:szCs w:val="24"/>
        </w:rPr>
        <w:br/>
        <w:t>   (e) E</w:t>
      </w:r>
      <w:r w:rsidR="000E31C8">
        <w:rPr>
          <w:sz w:val="24"/>
          <w:szCs w:val="24"/>
        </w:rPr>
        <w:t xml:space="preserve">xtension of </w:t>
      </w:r>
      <w:r w:rsidRPr="00D860AB">
        <w:rPr>
          <w:sz w:val="24"/>
          <w:szCs w:val="24"/>
        </w:rPr>
        <w:t>P</w:t>
      </w:r>
      <w:r w:rsidR="000E31C8">
        <w:rPr>
          <w:sz w:val="24"/>
          <w:szCs w:val="24"/>
        </w:rPr>
        <w:t>ayment</w:t>
      </w:r>
      <w:r w:rsidRPr="00D860AB">
        <w:rPr>
          <w:sz w:val="24"/>
          <w:szCs w:val="24"/>
        </w:rPr>
        <w:t xml:space="preserve"> A</w:t>
      </w:r>
      <w:r w:rsidR="000E31C8">
        <w:rPr>
          <w:sz w:val="24"/>
          <w:szCs w:val="24"/>
        </w:rPr>
        <w:t>greements</w:t>
      </w:r>
      <w:r w:rsidRPr="00D860AB">
        <w:rPr>
          <w:sz w:val="24"/>
          <w:szCs w:val="24"/>
        </w:rPr>
        <w:t>.</w:t>
      </w:r>
      <w:r w:rsidR="000E31C8">
        <w:rPr>
          <w:sz w:val="24"/>
          <w:szCs w:val="24"/>
        </w:rPr>
        <w:t xml:space="preserve"> </w:t>
      </w:r>
      <w:r w:rsidRPr="00D860AB">
        <w:rPr>
          <w:sz w:val="24"/>
          <w:szCs w:val="24"/>
        </w:rPr>
        <w:t xml:space="preserve">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r w:rsidRPr="00D860AB">
        <w:rPr>
          <w:sz w:val="24"/>
          <w:szCs w:val="24"/>
        </w:rPr>
        <w:br/>
        <w:t> </w:t>
      </w:r>
      <w:r w:rsidRPr="00D860AB">
        <w:rPr>
          <w:sz w:val="24"/>
          <w:szCs w:val="24"/>
        </w:rPr>
        <w:br/>
        <w:t>   (f) F</w:t>
      </w:r>
      <w:r w:rsidR="000E31C8">
        <w:rPr>
          <w:sz w:val="24"/>
          <w:szCs w:val="24"/>
        </w:rPr>
        <w:t>ailure to</w:t>
      </w:r>
      <w:r w:rsidRPr="00D860AB">
        <w:rPr>
          <w:sz w:val="24"/>
          <w:szCs w:val="24"/>
        </w:rPr>
        <w:t xml:space="preserve"> C</w:t>
      </w:r>
      <w:r w:rsidR="000E31C8">
        <w:rPr>
          <w:sz w:val="24"/>
          <w:szCs w:val="24"/>
        </w:rPr>
        <w:t>omply</w:t>
      </w:r>
      <w:r w:rsidRPr="00D860AB">
        <w:rPr>
          <w:sz w:val="24"/>
          <w:szCs w:val="24"/>
        </w:rPr>
        <w:t xml:space="preserve"> </w:t>
      </w:r>
      <w:r w:rsidR="000E31C8">
        <w:rPr>
          <w:sz w:val="24"/>
          <w:szCs w:val="24"/>
        </w:rPr>
        <w:t xml:space="preserve">with </w:t>
      </w:r>
      <w:r w:rsidRPr="00D860AB">
        <w:rPr>
          <w:sz w:val="24"/>
          <w:szCs w:val="24"/>
        </w:rPr>
        <w:t>P</w:t>
      </w:r>
      <w:r w:rsidR="000E31C8">
        <w:rPr>
          <w:sz w:val="24"/>
          <w:szCs w:val="24"/>
        </w:rPr>
        <w:t>ayment</w:t>
      </w:r>
      <w:r w:rsidRPr="00D860AB">
        <w:rPr>
          <w:sz w:val="24"/>
          <w:szCs w:val="24"/>
        </w:rPr>
        <w:t xml:space="preserve"> A</w:t>
      </w:r>
      <w:r w:rsidR="000E31C8">
        <w:rPr>
          <w:sz w:val="24"/>
          <w:szCs w:val="24"/>
        </w:rPr>
        <w:t>greement</w:t>
      </w:r>
      <w:r w:rsidRPr="00D860AB">
        <w:rPr>
          <w:sz w:val="24"/>
          <w:szCs w:val="24"/>
        </w:rPr>
        <w:t>.</w:t>
      </w:r>
      <w:r w:rsidR="000E31C8">
        <w:rPr>
          <w:sz w:val="24"/>
          <w:szCs w:val="24"/>
        </w:rPr>
        <w:t xml:space="preserve"> </w:t>
      </w:r>
      <w:r w:rsidRPr="00D860AB">
        <w:rPr>
          <w:sz w:val="24"/>
          <w:szCs w:val="24"/>
        </w:rPr>
        <w:t xml:space="preserve"> Failure of a customer to comply with the terms of a payment agreement shall be grounds for a public utility to terminate the customer</w:t>
      </w:r>
      <w:r w:rsidR="000E31C8">
        <w:rPr>
          <w:sz w:val="24"/>
          <w:szCs w:val="24"/>
        </w:rPr>
        <w:t>’</w:t>
      </w:r>
      <w:r w:rsidRPr="00D860AB">
        <w:rPr>
          <w:sz w:val="24"/>
          <w:szCs w:val="24"/>
        </w:rPr>
        <w:t>s service. Pending the outcome of a complaint filed with the commission, a customer shall be obligated to pay that portion of the bill which is not in dispute and subsequent bills which are not in dispute.</w:t>
      </w:r>
    </w:p>
    <w:p w:rsidR="000E31C8" w:rsidRDefault="000E31C8" w:rsidP="000E31C8">
      <w:pPr>
        <w:pStyle w:val="BodyText"/>
        <w:tabs>
          <w:tab w:val="left" w:pos="0"/>
        </w:tabs>
        <w:spacing w:line="240" w:lineRule="auto"/>
        <w:jc w:val="left"/>
        <w:rPr>
          <w:sz w:val="24"/>
          <w:szCs w:val="24"/>
        </w:rPr>
      </w:pPr>
    </w:p>
    <w:p w:rsidR="000A7D78" w:rsidRDefault="00F72C85" w:rsidP="00F72C85">
      <w:pPr>
        <w:spacing w:line="360" w:lineRule="auto"/>
        <w:ind w:firstLine="1440"/>
        <w:rPr>
          <w:sz w:val="24"/>
          <w:szCs w:val="24"/>
        </w:rPr>
      </w:pPr>
      <w:r>
        <w:rPr>
          <w:sz w:val="24"/>
          <w:szCs w:val="24"/>
        </w:rPr>
        <w:lastRenderedPageBreak/>
        <w:t xml:space="preserve">Complainant enrolled in PECO’s CAP Program, Tier D, in April 2006.  She was removed from the CAP Program on May 11, 2009.  She was reinstated into the CAP Program on December 12, 2012 and she is currently participating in the program.  </w:t>
      </w:r>
      <w:proofErr w:type="gramStart"/>
      <w:r>
        <w:rPr>
          <w:sz w:val="24"/>
          <w:szCs w:val="24"/>
        </w:rPr>
        <w:t>Tr. 23; PECO Energy Ex.</w:t>
      </w:r>
      <w:r w:rsidR="004435A9">
        <w:rPr>
          <w:sz w:val="24"/>
          <w:szCs w:val="24"/>
        </w:rPr>
        <w:t> </w:t>
      </w:r>
      <w:r>
        <w:rPr>
          <w:sz w:val="24"/>
          <w:szCs w:val="24"/>
        </w:rPr>
        <w:t>2.</w:t>
      </w:r>
      <w:proofErr w:type="gramEnd"/>
      <w:r>
        <w:rPr>
          <w:sz w:val="24"/>
          <w:szCs w:val="24"/>
        </w:rPr>
        <w:t xml:space="preserve">  Complainant’s account balance is $6,534.90.  Complainant’s balance consists of $5,970.15 in CAP arrearages.  The remaining balance of $564.75 is no</w:t>
      </w:r>
      <w:r w:rsidR="003C4FC4">
        <w:rPr>
          <w:sz w:val="24"/>
          <w:szCs w:val="24"/>
        </w:rPr>
        <w:t>n-</w:t>
      </w:r>
      <w:r>
        <w:rPr>
          <w:sz w:val="24"/>
          <w:szCs w:val="24"/>
        </w:rPr>
        <w:t xml:space="preserve">CAP arrearages.  </w:t>
      </w:r>
      <w:proofErr w:type="gramStart"/>
      <w:r>
        <w:rPr>
          <w:sz w:val="24"/>
          <w:szCs w:val="24"/>
        </w:rPr>
        <w:t>Tr.</w:t>
      </w:r>
      <w:r w:rsidR="00A101A3">
        <w:rPr>
          <w:sz w:val="24"/>
          <w:szCs w:val="24"/>
        </w:rPr>
        <w:t> </w:t>
      </w:r>
      <w:r>
        <w:rPr>
          <w:sz w:val="24"/>
          <w:szCs w:val="24"/>
        </w:rPr>
        <w:t>24.</w:t>
      </w:r>
      <w:proofErr w:type="gramEnd"/>
      <w:r>
        <w:rPr>
          <w:sz w:val="24"/>
          <w:szCs w:val="24"/>
        </w:rPr>
        <w:t xml:space="preserve">  </w:t>
      </w:r>
      <w:r w:rsidR="000A7D78">
        <w:rPr>
          <w:sz w:val="24"/>
          <w:szCs w:val="24"/>
        </w:rPr>
        <w:t xml:space="preserve">CAP arrearages </w:t>
      </w:r>
      <w:r w:rsidR="000A7D78" w:rsidRPr="00507B58">
        <w:rPr>
          <w:i/>
          <w:sz w:val="24"/>
          <w:szCs w:val="24"/>
        </w:rPr>
        <w:t>cannot</w:t>
      </w:r>
      <w:r w:rsidR="000A7D78">
        <w:rPr>
          <w:sz w:val="24"/>
          <w:szCs w:val="24"/>
        </w:rPr>
        <w:t xml:space="preserve"> be the subject of payment agreements negotiated or approved by the Commission.  66 </w:t>
      </w:r>
      <w:proofErr w:type="spellStart"/>
      <w:r w:rsidR="000A7D78">
        <w:rPr>
          <w:sz w:val="24"/>
          <w:szCs w:val="24"/>
        </w:rPr>
        <w:t>Pa.C</w:t>
      </w:r>
      <w:r w:rsidR="0050113E">
        <w:rPr>
          <w:sz w:val="24"/>
          <w:szCs w:val="24"/>
        </w:rPr>
        <w:t>.</w:t>
      </w:r>
      <w:r w:rsidR="000A7D78">
        <w:rPr>
          <w:sz w:val="24"/>
          <w:szCs w:val="24"/>
        </w:rPr>
        <w:t>S</w:t>
      </w:r>
      <w:proofErr w:type="spellEnd"/>
      <w:r w:rsidR="0050113E">
        <w:rPr>
          <w:sz w:val="24"/>
          <w:szCs w:val="24"/>
        </w:rPr>
        <w:t>.</w:t>
      </w:r>
      <w:r w:rsidR="000A7D78">
        <w:rPr>
          <w:sz w:val="24"/>
          <w:szCs w:val="24"/>
        </w:rPr>
        <w:t xml:space="preserve"> § 1405(c).  </w:t>
      </w:r>
      <w:r w:rsidR="00984343">
        <w:rPr>
          <w:sz w:val="24"/>
          <w:szCs w:val="24"/>
        </w:rPr>
        <w:t>Consequently, Complainant cannot obtain a Commission-ordered payment agreement for the CAP arrearages she owes</w:t>
      </w:r>
      <w:r>
        <w:rPr>
          <w:sz w:val="24"/>
          <w:szCs w:val="24"/>
        </w:rPr>
        <w:t xml:space="preserve"> ($5,970.15).  </w:t>
      </w:r>
    </w:p>
    <w:p w:rsidR="00C74C1C" w:rsidRDefault="00C74C1C" w:rsidP="00F72C85">
      <w:pPr>
        <w:spacing w:line="360" w:lineRule="auto"/>
        <w:ind w:firstLine="1440"/>
        <w:rPr>
          <w:sz w:val="24"/>
          <w:szCs w:val="24"/>
        </w:rPr>
      </w:pPr>
    </w:p>
    <w:p w:rsidR="00C74C1C" w:rsidRDefault="00C74C1C" w:rsidP="00C74C1C">
      <w:pPr>
        <w:spacing w:line="360" w:lineRule="auto"/>
        <w:ind w:firstLine="1440"/>
        <w:rPr>
          <w:snapToGrid w:val="0"/>
          <w:sz w:val="24"/>
          <w:szCs w:val="24"/>
        </w:rPr>
      </w:pPr>
      <w:r w:rsidRPr="00C74C1C">
        <w:rPr>
          <w:sz w:val="24"/>
          <w:szCs w:val="24"/>
        </w:rPr>
        <w:t xml:space="preserve">In </w:t>
      </w:r>
      <w:r w:rsidRPr="00C74C1C">
        <w:rPr>
          <w:snapToGrid w:val="0"/>
          <w:sz w:val="24"/>
          <w:szCs w:val="24"/>
          <w:u w:val="single"/>
        </w:rPr>
        <w:t>George Crawford v. National Fuel Gas Distribution Corp.</w:t>
      </w:r>
      <w:r w:rsidRPr="00C74C1C">
        <w:rPr>
          <w:snapToGrid w:val="0"/>
          <w:sz w:val="24"/>
          <w:szCs w:val="24"/>
        </w:rPr>
        <w:t>, C-20066348 (Order entered December 6, 2007)</w:t>
      </w:r>
      <w:r>
        <w:rPr>
          <w:snapToGrid w:val="0"/>
          <w:sz w:val="24"/>
          <w:szCs w:val="24"/>
        </w:rPr>
        <w:t>, the Commission</w:t>
      </w:r>
      <w:r w:rsidRPr="00C74C1C">
        <w:rPr>
          <w:sz w:val="24"/>
          <w:szCs w:val="24"/>
        </w:rPr>
        <w:t xml:space="preserve"> emphasized that, while the Commission has the authority to establish a payment agreement when a utility has lawfully terminated a customer for nonpayment, the Commission would exercise this authority very judiciously.  </w:t>
      </w:r>
      <w:r>
        <w:rPr>
          <w:sz w:val="24"/>
          <w:szCs w:val="24"/>
        </w:rPr>
        <w:t xml:space="preserve">The Commission </w:t>
      </w:r>
      <w:r w:rsidRPr="00C74C1C">
        <w:rPr>
          <w:sz w:val="24"/>
          <w:szCs w:val="24"/>
        </w:rPr>
        <w:t>stated, “[s]</w:t>
      </w:r>
      <w:proofErr w:type="spellStart"/>
      <w:r w:rsidRPr="00C74C1C">
        <w:rPr>
          <w:sz w:val="24"/>
          <w:szCs w:val="24"/>
        </w:rPr>
        <w:t>pecifically</w:t>
      </w:r>
      <w:proofErr w:type="spellEnd"/>
      <w:r w:rsidRPr="00C74C1C">
        <w:rPr>
          <w:sz w:val="24"/>
          <w:szCs w:val="24"/>
        </w:rPr>
        <w:t xml:space="preserve">, this Commission should exercise its discretion only on behalf of customers who have demonstrated some evidence of good faith efforts to pay their utility bills, or who have experienced a significant change of circumstance outside of their control.”  </w:t>
      </w:r>
      <w:r w:rsidRPr="00C74C1C">
        <w:rPr>
          <w:sz w:val="24"/>
          <w:szCs w:val="24"/>
          <w:u w:val="single"/>
        </w:rPr>
        <w:t xml:space="preserve">Crawford </w:t>
      </w:r>
      <w:r w:rsidRPr="00C74C1C">
        <w:rPr>
          <w:sz w:val="24"/>
          <w:szCs w:val="24"/>
        </w:rPr>
        <w:t xml:space="preserve">at 15-16.  </w:t>
      </w:r>
      <w:r>
        <w:rPr>
          <w:i/>
          <w:sz w:val="24"/>
          <w:szCs w:val="24"/>
        </w:rPr>
        <w:t xml:space="preserve">See, </w:t>
      </w:r>
      <w:r w:rsidRPr="00C74C1C">
        <w:rPr>
          <w:snapToGrid w:val="0"/>
          <w:sz w:val="24"/>
          <w:szCs w:val="24"/>
          <w:u w:val="single"/>
        </w:rPr>
        <w:t xml:space="preserve">Moses </w:t>
      </w:r>
      <w:proofErr w:type="spellStart"/>
      <w:r w:rsidRPr="00C74C1C">
        <w:rPr>
          <w:snapToGrid w:val="0"/>
          <w:sz w:val="24"/>
          <w:szCs w:val="24"/>
          <w:u w:val="single"/>
        </w:rPr>
        <w:t>Rogito</w:t>
      </w:r>
      <w:proofErr w:type="spellEnd"/>
      <w:r w:rsidRPr="00C74C1C">
        <w:rPr>
          <w:snapToGrid w:val="0"/>
          <w:sz w:val="24"/>
          <w:szCs w:val="24"/>
          <w:u w:val="single"/>
        </w:rPr>
        <w:t xml:space="preserve"> v. UGI Utilities Inc.</w:t>
      </w:r>
      <w:r w:rsidR="00DA61E0">
        <w:rPr>
          <w:snapToGrid w:val="0"/>
          <w:sz w:val="24"/>
          <w:szCs w:val="24"/>
          <w:u w:val="single"/>
        </w:rPr>
        <w:t xml:space="preserve"> – </w:t>
      </w:r>
      <w:r w:rsidRPr="00C74C1C">
        <w:rPr>
          <w:snapToGrid w:val="0"/>
          <w:sz w:val="24"/>
          <w:szCs w:val="24"/>
          <w:u w:val="single"/>
        </w:rPr>
        <w:t>Gas Division (Complaint-Appellant)</w:t>
      </w:r>
      <w:r w:rsidRPr="00C74C1C">
        <w:rPr>
          <w:snapToGrid w:val="0"/>
          <w:sz w:val="24"/>
          <w:szCs w:val="24"/>
        </w:rPr>
        <w:t>, F</w:t>
      </w:r>
      <w:r w:rsidR="0049472A">
        <w:rPr>
          <w:snapToGrid w:val="0"/>
          <w:sz w:val="24"/>
          <w:szCs w:val="24"/>
        </w:rPr>
        <w:noBreakHyphen/>
      </w:r>
      <w:r w:rsidRPr="00C74C1C">
        <w:rPr>
          <w:snapToGrid w:val="0"/>
          <w:sz w:val="24"/>
          <w:szCs w:val="24"/>
        </w:rPr>
        <w:t xml:space="preserve">02263457 </w:t>
      </w:r>
      <w:r>
        <w:rPr>
          <w:snapToGrid w:val="0"/>
          <w:sz w:val="24"/>
          <w:szCs w:val="24"/>
        </w:rPr>
        <w:t>(</w:t>
      </w:r>
      <w:r w:rsidRPr="00C74C1C">
        <w:rPr>
          <w:snapToGrid w:val="0"/>
          <w:sz w:val="24"/>
          <w:szCs w:val="24"/>
        </w:rPr>
        <w:t xml:space="preserve">Order entered </w:t>
      </w:r>
      <w:r>
        <w:rPr>
          <w:snapToGrid w:val="0"/>
          <w:sz w:val="24"/>
          <w:szCs w:val="24"/>
        </w:rPr>
        <w:t xml:space="preserve">December 3, 2008).  </w:t>
      </w:r>
    </w:p>
    <w:p w:rsidR="00C74C1C" w:rsidRDefault="00C74C1C" w:rsidP="00C74C1C">
      <w:pPr>
        <w:spacing w:line="360" w:lineRule="auto"/>
        <w:ind w:firstLine="1440"/>
        <w:rPr>
          <w:snapToGrid w:val="0"/>
          <w:sz w:val="24"/>
          <w:szCs w:val="24"/>
        </w:rPr>
      </w:pPr>
    </w:p>
    <w:p w:rsidR="00C74C1C" w:rsidRPr="00D7406B" w:rsidRDefault="00C74C1C" w:rsidP="00C74C1C">
      <w:pPr>
        <w:spacing w:line="360" w:lineRule="auto"/>
        <w:ind w:firstLine="1440"/>
        <w:rPr>
          <w:sz w:val="24"/>
          <w:szCs w:val="24"/>
        </w:rPr>
      </w:pPr>
      <w:r>
        <w:rPr>
          <w:snapToGrid w:val="0"/>
          <w:sz w:val="24"/>
          <w:szCs w:val="24"/>
        </w:rPr>
        <w:t xml:space="preserve">In the instant case, Complainant is </w:t>
      </w:r>
      <w:r w:rsidR="00DD6BFE">
        <w:rPr>
          <w:snapToGrid w:val="0"/>
          <w:sz w:val="24"/>
          <w:szCs w:val="24"/>
        </w:rPr>
        <w:t xml:space="preserve">also </w:t>
      </w:r>
      <w:r>
        <w:rPr>
          <w:snapToGrid w:val="0"/>
          <w:sz w:val="24"/>
          <w:szCs w:val="24"/>
        </w:rPr>
        <w:t>not entitled to a payment agreement from the Commission for the non-CAP portion of her arrearages (</w:t>
      </w:r>
      <w:r>
        <w:rPr>
          <w:sz w:val="24"/>
          <w:szCs w:val="24"/>
        </w:rPr>
        <w:t>$564.75).</w:t>
      </w:r>
      <w:r>
        <w:rPr>
          <w:snapToGrid w:val="0"/>
          <w:sz w:val="24"/>
          <w:szCs w:val="24"/>
        </w:rPr>
        <w:t xml:space="preserve">  Complainant has defaulted on four previous payment agreements with PECO.  In addition, she has failed to pay the full amount due and owing each month for her current usage.  Complainant has failed to demonstrate a good faith effort to pay her electric bill.  </w:t>
      </w:r>
      <w:r>
        <w:rPr>
          <w:sz w:val="24"/>
          <w:szCs w:val="24"/>
        </w:rPr>
        <w:t xml:space="preserve">Accordingly, the request for a payment agreement is denied.     </w:t>
      </w:r>
    </w:p>
    <w:p w:rsidR="00F5244F" w:rsidRPr="00D7406B" w:rsidRDefault="00F93567" w:rsidP="00C71557">
      <w:pPr>
        <w:pStyle w:val="BodyText"/>
        <w:jc w:val="left"/>
        <w:rPr>
          <w:sz w:val="24"/>
          <w:szCs w:val="24"/>
        </w:rPr>
      </w:pPr>
      <w:r w:rsidRPr="00D7406B">
        <w:rPr>
          <w:sz w:val="24"/>
          <w:szCs w:val="24"/>
        </w:rPr>
        <w:tab/>
      </w:r>
      <w:r w:rsidRPr="00D7406B">
        <w:rPr>
          <w:sz w:val="24"/>
          <w:szCs w:val="24"/>
        </w:rPr>
        <w:tab/>
      </w:r>
    </w:p>
    <w:p w:rsidR="00F5244F" w:rsidRPr="00D7406B" w:rsidRDefault="00F5244F" w:rsidP="00F5244F">
      <w:pPr>
        <w:pStyle w:val="BodyText"/>
        <w:jc w:val="center"/>
        <w:rPr>
          <w:sz w:val="24"/>
          <w:szCs w:val="24"/>
        </w:rPr>
      </w:pPr>
      <w:r w:rsidRPr="00D7406B">
        <w:rPr>
          <w:sz w:val="24"/>
          <w:szCs w:val="24"/>
          <w:u w:val="single"/>
        </w:rPr>
        <w:t>CONCLUSIONS OF LAW</w:t>
      </w:r>
    </w:p>
    <w:p w:rsidR="00F5244F" w:rsidRPr="00D7406B" w:rsidRDefault="00F5244F" w:rsidP="00F5244F">
      <w:pPr>
        <w:pStyle w:val="BodyText"/>
        <w:jc w:val="left"/>
        <w:rPr>
          <w:sz w:val="24"/>
          <w:szCs w:val="24"/>
        </w:rPr>
      </w:pPr>
    </w:p>
    <w:p w:rsidR="00D7406B" w:rsidRDefault="00F5244F" w:rsidP="00D7406B">
      <w:pPr>
        <w:pStyle w:val="BodyText"/>
        <w:numPr>
          <w:ilvl w:val="0"/>
          <w:numId w:val="2"/>
        </w:numPr>
        <w:tabs>
          <w:tab w:val="clear" w:pos="720"/>
          <w:tab w:val="num" w:pos="0"/>
        </w:tabs>
        <w:ind w:left="0" w:firstLine="1440"/>
        <w:jc w:val="left"/>
        <w:rPr>
          <w:sz w:val="24"/>
          <w:szCs w:val="24"/>
        </w:rPr>
      </w:pPr>
      <w:r w:rsidRPr="005B2728">
        <w:rPr>
          <w:sz w:val="24"/>
          <w:szCs w:val="24"/>
        </w:rPr>
        <w:t>The Commission has jurisdiction over the subject matter and the parties to this proceeding to the extent discussed in the foregoing section of this decision.</w:t>
      </w:r>
      <w:r w:rsidR="00E612B3" w:rsidRPr="005B2728">
        <w:rPr>
          <w:sz w:val="24"/>
          <w:szCs w:val="24"/>
        </w:rPr>
        <w:t xml:space="preserve">  </w:t>
      </w:r>
    </w:p>
    <w:p w:rsidR="001375EB" w:rsidRPr="005B2728" w:rsidRDefault="001375EB" w:rsidP="001375EB">
      <w:pPr>
        <w:pStyle w:val="BodyText"/>
        <w:ind w:left="1440"/>
        <w:jc w:val="left"/>
        <w:rPr>
          <w:sz w:val="24"/>
          <w:szCs w:val="24"/>
        </w:rPr>
      </w:pPr>
    </w:p>
    <w:p w:rsidR="00E612B3" w:rsidRDefault="00E612B3" w:rsidP="00F5244F">
      <w:pPr>
        <w:pStyle w:val="BodyText"/>
        <w:numPr>
          <w:ilvl w:val="0"/>
          <w:numId w:val="2"/>
        </w:numPr>
        <w:tabs>
          <w:tab w:val="clear" w:pos="720"/>
          <w:tab w:val="num" w:pos="0"/>
        </w:tabs>
        <w:ind w:left="0" w:firstLine="1440"/>
        <w:jc w:val="left"/>
        <w:rPr>
          <w:sz w:val="24"/>
          <w:szCs w:val="24"/>
        </w:rPr>
      </w:pPr>
      <w:r w:rsidRPr="00D7406B">
        <w:rPr>
          <w:sz w:val="24"/>
          <w:szCs w:val="24"/>
        </w:rPr>
        <w:lastRenderedPageBreak/>
        <w:t xml:space="preserve">Complainant has failed to meet her burden of proving that she is entitled to </w:t>
      </w:r>
      <w:r w:rsidR="005B2728">
        <w:rPr>
          <w:sz w:val="24"/>
          <w:szCs w:val="24"/>
        </w:rPr>
        <w:t xml:space="preserve">a payment agreement </w:t>
      </w:r>
      <w:r w:rsidRPr="00D7406B">
        <w:rPr>
          <w:sz w:val="24"/>
          <w:szCs w:val="24"/>
        </w:rPr>
        <w:t xml:space="preserve">from the Commission.  </w:t>
      </w:r>
      <w:proofErr w:type="gramStart"/>
      <w:r w:rsidRPr="00D7406B">
        <w:rPr>
          <w:sz w:val="24"/>
          <w:szCs w:val="24"/>
        </w:rPr>
        <w:t>66 </w:t>
      </w:r>
      <w:proofErr w:type="spellStart"/>
      <w:r w:rsidRPr="00D7406B">
        <w:rPr>
          <w:sz w:val="24"/>
          <w:szCs w:val="24"/>
        </w:rPr>
        <w:t>Pa.C.S</w:t>
      </w:r>
      <w:proofErr w:type="spellEnd"/>
      <w:r w:rsidRPr="00D7406B">
        <w:rPr>
          <w:sz w:val="24"/>
          <w:szCs w:val="24"/>
        </w:rPr>
        <w:t>.</w:t>
      </w:r>
      <w:proofErr w:type="gramEnd"/>
      <w:r w:rsidRPr="00D7406B">
        <w:rPr>
          <w:sz w:val="24"/>
          <w:szCs w:val="24"/>
        </w:rPr>
        <w:t xml:space="preserve"> §</w:t>
      </w:r>
      <w:r w:rsidR="002342DB" w:rsidRPr="00D7406B">
        <w:rPr>
          <w:sz w:val="24"/>
          <w:szCs w:val="24"/>
        </w:rPr>
        <w:t>§</w:t>
      </w:r>
      <w:r w:rsidR="002342DB">
        <w:rPr>
          <w:sz w:val="24"/>
          <w:szCs w:val="24"/>
        </w:rPr>
        <w:t xml:space="preserve"> </w:t>
      </w:r>
      <w:r w:rsidRPr="00D7406B">
        <w:rPr>
          <w:sz w:val="24"/>
          <w:szCs w:val="24"/>
        </w:rPr>
        <w:t>332(a)</w:t>
      </w:r>
      <w:r w:rsidR="005B2728">
        <w:rPr>
          <w:sz w:val="24"/>
          <w:szCs w:val="24"/>
        </w:rPr>
        <w:t xml:space="preserve">, 1405.  </w:t>
      </w:r>
    </w:p>
    <w:p w:rsidR="00C74C1C" w:rsidRDefault="00C74C1C" w:rsidP="00C74C1C">
      <w:pPr>
        <w:pStyle w:val="BodyText"/>
        <w:jc w:val="left"/>
        <w:rPr>
          <w:sz w:val="24"/>
          <w:szCs w:val="24"/>
        </w:rPr>
      </w:pPr>
    </w:p>
    <w:p w:rsidR="009A3006" w:rsidRPr="0090563E" w:rsidRDefault="009A3006" w:rsidP="009A3006">
      <w:pPr>
        <w:pStyle w:val="BodyText"/>
        <w:jc w:val="center"/>
        <w:rPr>
          <w:sz w:val="24"/>
          <w:szCs w:val="24"/>
        </w:rPr>
      </w:pPr>
      <w:r w:rsidRPr="0090563E">
        <w:rPr>
          <w:sz w:val="24"/>
          <w:szCs w:val="24"/>
          <w:u w:val="single"/>
        </w:rPr>
        <w:t>ORDER</w:t>
      </w:r>
    </w:p>
    <w:p w:rsidR="009A3006" w:rsidRDefault="009A3006" w:rsidP="009A3006">
      <w:pPr>
        <w:pStyle w:val="BodyText"/>
        <w:jc w:val="left"/>
        <w:rPr>
          <w:sz w:val="24"/>
          <w:szCs w:val="24"/>
        </w:rPr>
      </w:pPr>
    </w:p>
    <w:p w:rsidR="007413DA" w:rsidRPr="0090563E" w:rsidRDefault="007413DA" w:rsidP="009A3006">
      <w:pPr>
        <w:pStyle w:val="BodyText"/>
        <w:jc w:val="left"/>
        <w:rPr>
          <w:sz w:val="24"/>
          <w:szCs w:val="24"/>
        </w:rPr>
      </w:pPr>
    </w:p>
    <w:p w:rsidR="009A3006" w:rsidRPr="0090563E" w:rsidRDefault="009A3006" w:rsidP="009A3006">
      <w:pPr>
        <w:pStyle w:val="BodyText"/>
        <w:jc w:val="left"/>
        <w:rPr>
          <w:sz w:val="24"/>
          <w:szCs w:val="24"/>
        </w:rPr>
      </w:pPr>
      <w:r w:rsidRPr="0090563E">
        <w:rPr>
          <w:sz w:val="24"/>
          <w:szCs w:val="24"/>
        </w:rPr>
        <w:tab/>
      </w:r>
      <w:r w:rsidRPr="0090563E">
        <w:rPr>
          <w:sz w:val="24"/>
          <w:szCs w:val="24"/>
        </w:rPr>
        <w:tab/>
        <w:t>THEREFORE,</w:t>
      </w:r>
    </w:p>
    <w:p w:rsidR="009A3006" w:rsidRPr="0090563E" w:rsidRDefault="009A3006" w:rsidP="009A3006">
      <w:pPr>
        <w:pStyle w:val="BodyText"/>
        <w:jc w:val="left"/>
        <w:rPr>
          <w:sz w:val="24"/>
          <w:szCs w:val="24"/>
        </w:rPr>
      </w:pPr>
    </w:p>
    <w:p w:rsidR="009A3006" w:rsidRDefault="009A3006" w:rsidP="009A3006">
      <w:pPr>
        <w:pStyle w:val="BodyText"/>
        <w:jc w:val="left"/>
        <w:rPr>
          <w:sz w:val="24"/>
          <w:szCs w:val="24"/>
        </w:rPr>
      </w:pPr>
      <w:r w:rsidRPr="0090563E">
        <w:rPr>
          <w:sz w:val="24"/>
          <w:szCs w:val="24"/>
        </w:rPr>
        <w:tab/>
      </w:r>
      <w:r w:rsidRPr="0090563E">
        <w:rPr>
          <w:sz w:val="24"/>
          <w:szCs w:val="24"/>
        </w:rPr>
        <w:tab/>
        <w:t>IT IS ORDERED:</w:t>
      </w:r>
    </w:p>
    <w:p w:rsidR="005B2728" w:rsidRDefault="005B2728" w:rsidP="009A3006">
      <w:pPr>
        <w:pStyle w:val="BodyText"/>
        <w:jc w:val="left"/>
        <w:rPr>
          <w:sz w:val="24"/>
          <w:szCs w:val="24"/>
        </w:rPr>
      </w:pPr>
    </w:p>
    <w:p w:rsidR="005B2728" w:rsidRPr="005B2728" w:rsidRDefault="005B2728" w:rsidP="005B2728">
      <w:pPr>
        <w:spacing w:line="360" w:lineRule="auto"/>
        <w:ind w:firstLine="1440"/>
        <w:rPr>
          <w:sz w:val="24"/>
          <w:szCs w:val="24"/>
        </w:rPr>
      </w:pPr>
      <w:r w:rsidRPr="005B2728">
        <w:rPr>
          <w:sz w:val="24"/>
          <w:szCs w:val="24"/>
        </w:rPr>
        <w:t>1.</w:t>
      </w:r>
      <w:r w:rsidRPr="005B2728">
        <w:rPr>
          <w:sz w:val="24"/>
          <w:szCs w:val="24"/>
        </w:rPr>
        <w:tab/>
        <w:t xml:space="preserve">That the complaint of </w:t>
      </w:r>
      <w:r w:rsidR="00C74C1C">
        <w:rPr>
          <w:sz w:val="24"/>
          <w:szCs w:val="24"/>
        </w:rPr>
        <w:t xml:space="preserve">M. Heather </w:t>
      </w:r>
      <w:proofErr w:type="spellStart"/>
      <w:r w:rsidR="00C74C1C">
        <w:rPr>
          <w:sz w:val="24"/>
          <w:szCs w:val="24"/>
        </w:rPr>
        <w:t>Michail</w:t>
      </w:r>
      <w:proofErr w:type="spellEnd"/>
      <w:r w:rsidR="00C74C1C">
        <w:rPr>
          <w:sz w:val="24"/>
          <w:szCs w:val="24"/>
        </w:rPr>
        <w:t xml:space="preserve"> </w:t>
      </w:r>
      <w:r w:rsidRPr="005B2728">
        <w:rPr>
          <w:sz w:val="24"/>
          <w:szCs w:val="24"/>
        </w:rPr>
        <w:t xml:space="preserve">against </w:t>
      </w:r>
      <w:r w:rsidR="004B570F">
        <w:rPr>
          <w:sz w:val="24"/>
          <w:szCs w:val="24"/>
        </w:rPr>
        <w:t>PECO Energy Company</w:t>
      </w:r>
      <w:r w:rsidR="00C668DB">
        <w:rPr>
          <w:sz w:val="24"/>
          <w:szCs w:val="24"/>
        </w:rPr>
        <w:t xml:space="preserve"> </w:t>
      </w:r>
      <w:r w:rsidRPr="005B2728">
        <w:rPr>
          <w:sz w:val="24"/>
          <w:szCs w:val="24"/>
        </w:rPr>
        <w:t xml:space="preserve">at Docket No. </w:t>
      </w:r>
      <w:r w:rsidR="004B570F">
        <w:rPr>
          <w:sz w:val="24"/>
          <w:szCs w:val="24"/>
        </w:rPr>
        <w:t>F-2014-2404586</w:t>
      </w:r>
      <w:r w:rsidRPr="005B2728">
        <w:rPr>
          <w:sz w:val="24"/>
          <w:szCs w:val="24"/>
        </w:rPr>
        <w:t xml:space="preserve"> is hereby denied.</w:t>
      </w:r>
    </w:p>
    <w:p w:rsidR="005B2728" w:rsidRPr="005B2728" w:rsidRDefault="005B2728" w:rsidP="005B2728">
      <w:pPr>
        <w:spacing w:line="360" w:lineRule="auto"/>
        <w:ind w:firstLine="1440"/>
        <w:rPr>
          <w:sz w:val="24"/>
          <w:szCs w:val="24"/>
        </w:rPr>
      </w:pPr>
    </w:p>
    <w:p w:rsidR="005B2728" w:rsidRPr="0090563E" w:rsidRDefault="005B2728" w:rsidP="005B2728">
      <w:pPr>
        <w:spacing w:line="360" w:lineRule="auto"/>
        <w:ind w:firstLine="1440"/>
        <w:rPr>
          <w:sz w:val="24"/>
          <w:szCs w:val="24"/>
        </w:rPr>
      </w:pPr>
      <w:r w:rsidRPr="005B2728">
        <w:rPr>
          <w:sz w:val="24"/>
          <w:szCs w:val="24"/>
        </w:rPr>
        <w:t>2.</w:t>
      </w:r>
      <w:r w:rsidRPr="005B2728">
        <w:rPr>
          <w:sz w:val="24"/>
          <w:szCs w:val="24"/>
        </w:rPr>
        <w:tab/>
        <w:t xml:space="preserve">That the Docket in this proceeding, Docket No. </w:t>
      </w:r>
      <w:r w:rsidR="004B570F">
        <w:rPr>
          <w:sz w:val="24"/>
          <w:szCs w:val="24"/>
        </w:rPr>
        <w:t>F-2014-2404586</w:t>
      </w:r>
      <w:r w:rsidRPr="005B2728">
        <w:rPr>
          <w:sz w:val="24"/>
          <w:szCs w:val="24"/>
        </w:rPr>
        <w:t>, be marked closed.</w:t>
      </w:r>
    </w:p>
    <w:p w:rsidR="00165DCB" w:rsidRDefault="00165DCB" w:rsidP="00165DCB">
      <w:pPr>
        <w:pStyle w:val="BodyText"/>
        <w:jc w:val="left"/>
        <w:rPr>
          <w:sz w:val="24"/>
          <w:szCs w:val="24"/>
        </w:rPr>
      </w:pPr>
    </w:p>
    <w:p w:rsidR="00EE2DE4" w:rsidRDefault="00EE2DE4" w:rsidP="00165DCB">
      <w:pPr>
        <w:pStyle w:val="BodyText"/>
        <w:jc w:val="left"/>
        <w:rPr>
          <w:sz w:val="24"/>
          <w:szCs w:val="24"/>
        </w:rPr>
      </w:pPr>
    </w:p>
    <w:p w:rsidR="00EE2DE4" w:rsidRDefault="00EE2DE4" w:rsidP="00EE2DE4">
      <w:pPr>
        <w:ind w:firstLine="5760"/>
        <w:rPr>
          <w:sz w:val="24"/>
          <w:szCs w:val="24"/>
        </w:rPr>
      </w:pPr>
    </w:p>
    <w:p w:rsidR="00EE2DE4" w:rsidRPr="00555247" w:rsidRDefault="00165DCB" w:rsidP="00EE2DE4">
      <w:pPr>
        <w:rPr>
          <w:sz w:val="24"/>
          <w:szCs w:val="24"/>
        </w:rPr>
      </w:pPr>
      <w:r w:rsidRPr="0090563E">
        <w:rPr>
          <w:sz w:val="24"/>
          <w:szCs w:val="24"/>
        </w:rPr>
        <w:t xml:space="preserve">Date: </w:t>
      </w:r>
      <w:r w:rsidR="00B63579">
        <w:rPr>
          <w:sz w:val="24"/>
          <w:szCs w:val="24"/>
        </w:rPr>
        <w:t xml:space="preserve"> </w:t>
      </w:r>
      <w:r w:rsidR="005B2728">
        <w:rPr>
          <w:sz w:val="24"/>
          <w:szCs w:val="24"/>
          <w:u w:val="single"/>
        </w:rPr>
        <w:t>Ju</w:t>
      </w:r>
      <w:r w:rsidR="004B570F">
        <w:rPr>
          <w:sz w:val="24"/>
          <w:szCs w:val="24"/>
          <w:u w:val="single"/>
        </w:rPr>
        <w:t>ly 28</w:t>
      </w:r>
      <w:r w:rsidR="005B2728">
        <w:rPr>
          <w:sz w:val="24"/>
          <w:szCs w:val="24"/>
          <w:u w:val="single"/>
        </w:rPr>
        <w:t>, 2014</w:t>
      </w:r>
      <w:r w:rsidRPr="0090563E">
        <w:rPr>
          <w:sz w:val="24"/>
          <w:szCs w:val="24"/>
        </w:rPr>
        <w:tab/>
      </w:r>
      <w:r w:rsidRPr="0090563E">
        <w:rPr>
          <w:sz w:val="24"/>
          <w:szCs w:val="24"/>
        </w:rPr>
        <w:tab/>
      </w:r>
      <w:r w:rsidRPr="0090563E">
        <w:rPr>
          <w:sz w:val="24"/>
          <w:szCs w:val="24"/>
        </w:rPr>
        <w:tab/>
      </w:r>
      <w:r w:rsidRPr="0090563E">
        <w:rPr>
          <w:sz w:val="24"/>
          <w:szCs w:val="24"/>
        </w:rPr>
        <w:tab/>
      </w:r>
      <w:r w:rsidR="005B2728">
        <w:rPr>
          <w:sz w:val="24"/>
          <w:szCs w:val="24"/>
        </w:rPr>
        <w:tab/>
      </w:r>
      <w:r w:rsidR="00EE2DE4">
        <w:rPr>
          <w:sz w:val="24"/>
          <w:szCs w:val="24"/>
        </w:rPr>
        <w:tab/>
      </w:r>
      <w:r w:rsidR="00C21635">
        <w:rPr>
          <w:sz w:val="24"/>
          <w:szCs w:val="24"/>
        </w:rPr>
        <w:tab/>
      </w:r>
      <w:r w:rsidR="00EE2DE4" w:rsidRPr="00555247">
        <w:rPr>
          <w:sz w:val="24"/>
          <w:szCs w:val="24"/>
          <w:u w:val="single"/>
        </w:rPr>
        <w:tab/>
      </w:r>
      <w:r w:rsidR="00EE2DE4" w:rsidRPr="00555247">
        <w:rPr>
          <w:sz w:val="24"/>
          <w:szCs w:val="24"/>
          <w:u w:val="single"/>
        </w:rPr>
        <w:tab/>
        <w:t>/s/</w:t>
      </w:r>
      <w:r w:rsidR="00EE2DE4" w:rsidRPr="00555247">
        <w:rPr>
          <w:sz w:val="24"/>
          <w:szCs w:val="24"/>
          <w:u w:val="single"/>
        </w:rPr>
        <w:tab/>
      </w:r>
      <w:r w:rsidR="00EE2DE4" w:rsidRPr="00555247">
        <w:rPr>
          <w:sz w:val="24"/>
          <w:szCs w:val="24"/>
          <w:u w:val="single"/>
        </w:rPr>
        <w:tab/>
      </w:r>
    </w:p>
    <w:p w:rsidR="00165DCB" w:rsidRPr="0090563E" w:rsidRDefault="00165DCB" w:rsidP="00165DCB">
      <w:pPr>
        <w:pStyle w:val="BodyText"/>
        <w:spacing w:line="240" w:lineRule="auto"/>
        <w:jc w:val="left"/>
        <w:rPr>
          <w:sz w:val="24"/>
          <w:szCs w:val="24"/>
        </w:rPr>
      </w:pPr>
      <w:r w:rsidRPr="0090563E">
        <w:rPr>
          <w:sz w:val="24"/>
          <w:szCs w:val="24"/>
        </w:rPr>
        <w:tab/>
      </w:r>
      <w:r w:rsidRPr="0090563E">
        <w:rPr>
          <w:sz w:val="24"/>
          <w:szCs w:val="24"/>
        </w:rPr>
        <w:tab/>
      </w:r>
      <w:r w:rsidRPr="0090563E">
        <w:rPr>
          <w:sz w:val="24"/>
          <w:szCs w:val="24"/>
        </w:rPr>
        <w:tab/>
      </w:r>
      <w:r w:rsidRPr="0090563E">
        <w:rPr>
          <w:sz w:val="24"/>
          <w:szCs w:val="24"/>
        </w:rPr>
        <w:tab/>
      </w:r>
      <w:r w:rsidRPr="0090563E">
        <w:rPr>
          <w:sz w:val="24"/>
          <w:szCs w:val="24"/>
        </w:rPr>
        <w:tab/>
      </w:r>
      <w:r w:rsidRPr="0090563E">
        <w:rPr>
          <w:sz w:val="24"/>
          <w:szCs w:val="24"/>
        </w:rPr>
        <w:tab/>
      </w:r>
      <w:r w:rsidRPr="0090563E">
        <w:rPr>
          <w:sz w:val="24"/>
          <w:szCs w:val="24"/>
        </w:rPr>
        <w:tab/>
      </w:r>
      <w:r w:rsidR="00C21635">
        <w:rPr>
          <w:sz w:val="24"/>
          <w:szCs w:val="24"/>
        </w:rPr>
        <w:tab/>
      </w:r>
      <w:r w:rsidR="00EE2DE4">
        <w:rPr>
          <w:sz w:val="24"/>
          <w:szCs w:val="24"/>
        </w:rPr>
        <w:tab/>
      </w:r>
      <w:r w:rsidR="005B2728">
        <w:rPr>
          <w:sz w:val="24"/>
          <w:szCs w:val="24"/>
        </w:rPr>
        <w:t>Mark A. Hoyer</w:t>
      </w:r>
    </w:p>
    <w:p w:rsidR="0090563E" w:rsidRPr="0073116E" w:rsidRDefault="00165DCB" w:rsidP="0073116E">
      <w:pPr>
        <w:pStyle w:val="BodyText"/>
        <w:spacing w:line="240" w:lineRule="auto"/>
        <w:jc w:val="left"/>
        <w:rPr>
          <w:sz w:val="24"/>
          <w:szCs w:val="24"/>
        </w:rPr>
      </w:pPr>
      <w:r w:rsidRPr="0090563E">
        <w:tab/>
      </w:r>
      <w:r w:rsidRPr="0090563E">
        <w:tab/>
      </w:r>
      <w:r w:rsidRPr="0090563E">
        <w:tab/>
      </w:r>
      <w:r w:rsidRPr="0090563E">
        <w:tab/>
      </w:r>
      <w:r w:rsidRPr="0090563E">
        <w:tab/>
      </w:r>
      <w:r w:rsidRPr="0073116E">
        <w:rPr>
          <w:sz w:val="24"/>
          <w:szCs w:val="24"/>
        </w:rPr>
        <w:tab/>
      </w:r>
      <w:r w:rsidRPr="0073116E">
        <w:rPr>
          <w:sz w:val="24"/>
          <w:szCs w:val="24"/>
        </w:rPr>
        <w:tab/>
      </w:r>
      <w:r w:rsidR="00EE2DE4">
        <w:rPr>
          <w:sz w:val="24"/>
          <w:szCs w:val="24"/>
        </w:rPr>
        <w:tab/>
      </w:r>
      <w:r w:rsidR="00C21635">
        <w:rPr>
          <w:sz w:val="24"/>
          <w:szCs w:val="24"/>
        </w:rPr>
        <w:tab/>
      </w:r>
      <w:r w:rsidRPr="0073116E">
        <w:rPr>
          <w:sz w:val="24"/>
          <w:szCs w:val="24"/>
        </w:rPr>
        <w:t>Administrative Law Judge</w:t>
      </w:r>
    </w:p>
    <w:sectPr w:rsidR="0090563E" w:rsidRPr="0073116E">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6D5" w:rsidRDefault="007516D5">
      <w:r>
        <w:separator/>
      </w:r>
    </w:p>
  </w:endnote>
  <w:endnote w:type="continuationSeparator" w:id="0">
    <w:p w:rsidR="007516D5" w:rsidRDefault="0075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C4A" w:rsidRDefault="00115C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5C4A" w:rsidRDefault="00115C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C4A" w:rsidRDefault="00115C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28B1">
      <w:rPr>
        <w:rStyle w:val="PageNumber"/>
        <w:noProof/>
      </w:rPr>
      <w:t>3</w:t>
    </w:r>
    <w:r>
      <w:rPr>
        <w:rStyle w:val="PageNumber"/>
      </w:rPr>
      <w:fldChar w:fldCharType="end"/>
    </w:r>
  </w:p>
  <w:p w:rsidR="00115C4A" w:rsidRDefault="00115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6D5" w:rsidRDefault="007516D5">
      <w:r>
        <w:separator/>
      </w:r>
    </w:p>
  </w:footnote>
  <w:footnote w:type="continuationSeparator" w:id="0">
    <w:p w:rsidR="007516D5" w:rsidRDefault="007516D5">
      <w:r>
        <w:continuationSeparator/>
      </w:r>
    </w:p>
  </w:footnote>
  <w:footnote w:id="1">
    <w:p w:rsidR="002F3C2E" w:rsidRDefault="002F3C2E" w:rsidP="002F3C2E">
      <w:pPr>
        <w:pStyle w:val="FootnoteText"/>
      </w:pPr>
      <w:r>
        <w:rPr>
          <w:rStyle w:val="FootnoteReference"/>
        </w:rPr>
        <w:footnoteRef/>
      </w:r>
      <w:r>
        <w:t xml:space="preserve"> Ms. </w:t>
      </w:r>
      <w:proofErr w:type="spellStart"/>
      <w:r>
        <w:t>Michail</w:t>
      </w:r>
      <w:proofErr w:type="spellEnd"/>
      <w:r>
        <w:t xml:space="preserve"> timely appealed the decision of the Commission’s Bureau of Consumer Service</w:t>
      </w:r>
      <w:r w:rsidR="00FB5954">
        <w:t>s</w:t>
      </w:r>
      <w:r>
        <w:t xml:space="preserve"> (“BCS”) rendered on her informal complaint at BCS Case No. 3115100.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5672F"/>
    <w:multiLevelType w:val="hybridMultilevel"/>
    <w:tmpl w:val="8E8C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E5C2B03"/>
    <w:multiLevelType w:val="hybridMultilevel"/>
    <w:tmpl w:val="8E8C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2D6A7D"/>
    <w:multiLevelType w:val="hybridMultilevel"/>
    <w:tmpl w:val="FADE9C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AC4304"/>
    <w:multiLevelType w:val="hybridMultilevel"/>
    <w:tmpl w:val="8E8C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255773"/>
    <w:multiLevelType w:val="hybridMultilevel"/>
    <w:tmpl w:val="40FC79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95322296"/>
  </w:docVars>
  <w:rsids>
    <w:rsidRoot w:val="00BA77A7"/>
    <w:rsid w:val="00003C29"/>
    <w:rsid w:val="000129B7"/>
    <w:rsid w:val="00013C07"/>
    <w:rsid w:val="00016D54"/>
    <w:rsid w:val="000227B2"/>
    <w:rsid w:val="00024CE3"/>
    <w:rsid w:val="000262E7"/>
    <w:rsid w:val="00036B43"/>
    <w:rsid w:val="00063A50"/>
    <w:rsid w:val="00065184"/>
    <w:rsid w:val="00092AE9"/>
    <w:rsid w:val="000A5369"/>
    <w:rsid w:val="000A7D78"/>
    <w:rsid w:val="000D624D"/>
    <w:rsid w:val="000E31C8"/>
    <w:rsid w:val="000E3917"/>
    <w:rsid w:val="00105CF2"/>
    <w:rsid w:val="00115C4A"/>
    <w:rsid w:val="001173C4"/>
    <w:rsid w:val="001375EB"/>
    <w:rsid w:val="00165DCB"/>
    <w:rsid w:val="00167817"/>
    <w:rsid w:val="001B57D2"/>
    <w:rsid w:val="001C01DF"/>
    <w:rsid w:val="001C3157"/>
    <w:rsid w:val="001C4BD6"/>
    <w:rsid w:val="001E6CC1"/>
    <w:rsid w:val="001F1518"/>
    <w:rsid w:val="0020201F"/>
    <w:rsid w:val="00204751"/>
    <w:rsid w:val="00217E1B"/>
    <w:rsid w:val="00233928"/>
    <w:rsid w:val="002342DB"/>
    <w:rsid w:val="00234B1C"/>
    <w:rsid w:val="00285B44"/>
    <w:rsid w:val="002A318C"/>
    <w:rsid w:val="002A4C2F"/>
    <w:rsid w:val="002B0034"/>
    <w:rsid w:val="002D00BF"/>
    <w:rsid w:val="002E1EFF"/>
    <w:rsid w:val="002E272B"/>
    <w:rsid w:val="002F0B42"/>
    <w:rsid w:val="002F3C2E"/>
    <w:rsid w:val="002F7F81"/>
    <w:rsid w:val="00302D88"/>
    <w:rsid w:val="003070C8"/>
    <w:rsid w:val="0034063A"/>
    <w:rsid w:val="0034436A"/>
    <w:rsid w:val="00362D8D"/>
    <w:rsid w:val="00363807"/>
    <w:rsid w:val="0038011E"/>
    <w:rsid w:val="00390528"/>
    <w:rsid w:val="003A62E9"/>
    <w:rsid w:val="003C20BA"/>
    <w:rsid w:val="003C4FC4"/>
    <w:rsid w:val="003D68FB"/>
    <w:rsid w:val="003F2D6C"/>
    <w:rsid w:val="00421A6A"/>
    <w:rsid w:val="0043701B"/>
    <w:rsid w:val="004435A9"/>
    <w:rsid w:val="0049472A"/>
    <w:rsid w:val="004A2F2C"/>
    <w:rsid w:val="004A3D1D"/>
    <w:rsid w:val="004B0CB9"/>
    <w:rsid w:val="004B570F"/>
    <w:rsid w:val="004F07E9"/>
    <w:rsid w:val="004F273B"/>
    <w:rsid w:val="004F429D"/>
    <w:rsid w:val="0050113E"/>
    <w:rsid w:val="00507B58"/>
    <w:rsid w:val="00512AF2"/>
    <w:rsid w:val="0052045D"/>
    <w:rsid w:val="00555247"/>
    <w:rsid w:val="00583BB1"/>
    <w:rsid w:val="00593EA5"/>
    <w:rsid w:val="005B2728"/>
    <w:rsid w:val="005F33CC"/>
    <w:rsid w:val="00605164"/>
    <w:rsid w:val="00614465"/>
    <w:rsid w:val="00626E1C"/>
    <w:rsid w:val="00632861"/>
    <w:rsid w:val="0064275E"/>
    <w:rsid w:val="00650A0A"/>
    <w:rsid w:val="0065708C"/>
    <w:rsid w:val="007150DA"/>
    <w:rsid w:val="00716CF8"/>
    <w:rsid w:val="00723962"/>
    <w:rsid w:val="0073116E"/>
    <w:rsid w:val="007413DA"/>
    <w:rsid w:val="00742B98"/>
    <w:rsid w:val="00742E86"/>
    <w:rsid w:val="007516D5"/>
    <w:rsid w:val="00785DC8"/>
    <w:rsid w:val="007C6685"/>
    <w:rsid w:val="0080284A"/>
    <w:rsid w:val="00825D73"/>
    <w:rsid w:val="008335DF"/>
    <w:rsid w:val="0084551C"/>
    <w:rsid w:val="008562D1"/>
    <w:rsid w:val="00863581"/>
    <w:rsid w:val="008705C5"/>
    <w:rsid w:val="00894533"/>
    <w:rsid w:val="008D4B04"/>
    <w:rsid w:val="008E215E"/>
    <w:rsid w:val="008F106C"/>
    <w:rsid w:val="0090563E"/>
    <w:rsid w:val="009504D2"/>
    <w:rsid w:val="00973343"/>
    <w:rsid w:val="00977268"/>
    <w:rsid w:val="00983E1D"/>
    <w:rsid w:val="00984343"/>
    <w:rsid w:val="009A3006"/>
    <w:rsid w:val="009B4DC5"/>
    <w:rsid w:val="009D38E6"/>
    <w:rsid w:val="009E3AB6"/>
    <w:rsid w:val="009F2AC5"/>
    <w:rsid w:val="00A05A0F"/>
    <w:rsid w:val="00A101A3"/>
    <w:rsid w:val="00A23534"/>
    <w:rsid w:val="00A44279"/>
    <w:rsid w:val="00A449FE"/>
    <w:rsid w:val="00A465BE"/>
    <w:rsid w:val="00A52E69"/>
    <w:rsid w:val="00A627E7"/>
    <w:rsid w:val="00AA4BEA"/>
    <w:rsid w:val="00AC6259"/>
    <w:rsid w:val="00AE06DB"/>
    <w:rsid w:val="00AF5F85"/>
    <w:rsid w:val="00B04923"/>
    <w:rsid w:val="00B05C34"/>
    <w:rsid w:val="00B07C19"/>
    <w:rsid w:val="00B11F87"/>
    <w:rsid w:val="00B24116"/>
    <w:rsid w:val="00B355BA"/>
    <w:rsid w:val="00B521FD"/>
    <w:rsid w:val="00B63579"/>
    <w:rsid w:val="00B65060"/>
    <w:rsid w:val="00B75DCD"/>
    <w:rsid w:val="00B85F58"/>
    <w:rsid w:val="00B91D94"/>
    <w:rsid w:val="00B94503"/>
    <w:rsid w:val="00BA77A7"/>
    <w:rsid w:val="00BC4C77"/>
    <w:rsid w:val="00BE78D1"/>
    <w:rsid w:val="00C17DA9"/>
    <w:rsid w:val="00C21635"/>
    <w:rsid w:val="00C528B1"/>
    <w:rsid w:val="00C553BD"/>
    <w:rsid w:val="00C668DB"/>
    <w:rsid w:val="00C67C4D"/>
    <w:rsid w:val="00C71557"/>
    <w:rsid w:val="00C74C1C"/>
    <w:rsid w:val="00C74EA1"/>
    <w:rsid w:val="00C760B5"/>
    <w:rsid w:val="00C83793"/>
    <w:rsid w:val="00CB27C8"/>
    <w:rsid w:val="00CB640C"/>
    <w:rsid w:val="00CB6926"/>
    <w:rsid w:val="00CD3A55"/>
    <w:rsid w:val="00D1782C"/>
    <w:rsid w:val="00D256A8"/>
    <w:rsid w:val="00D43412"/>
    <w:rsid w:val="00D7406B"/>
    <w:rsid w:val="00DA61E0"/>
    <w:rsid w:val="00DD6BFE"/>
    <w:rsid w:val="00E02A70"/>
    <w:rsid w:val="00E1744B"/>
    <w:rsid w:val="00E41B45"/>
    <w:rsid w:val="00E4634F"/>
    <w:rsid w:val="00E555DE"/>
    <w:rsid w:val="00E612B3"/>
    <w:rsid w:val="00E76E6A"/>
    <w:rsid w:val="00ED0AAC"/>
    <w:rsid w:val="00ED1102"/>
    <w:rsid w:val="00EE2DE4"/>
    <w:rsid w:val="00EF4211"/>
    <w:rsid w:val="00F03360"/>
    <w:rsid w:val="00F250A8"/>
    <w:rsid w:val="00F3196D"/>
    <w:rsid w:val="00F5244F"/>
    <w:rsid w:val="00F53435"/>
    <w:rsid w:val="00F72C85"/>
    <w:rsid w:val="00F87FDA"/>
    <w:rsid w:val="00F93567"/>
    <w:rsid w:val="00FA3804"/>
    <w:rsid w:val="00FA3929"/>
    <w:rsid w:val="00FA656D"/>
    <w:rsid w:val="00FA6B14"/>
    <w:rsid w:val="00FB5954"/>
    <w:rsid w:val="00FC7C5C"/>
    <w:rsid w:val="00FD3923"/>
    <w:rsid w:val="00FD5336"/>
    <w:rsid w:val="00FD6BCF"/>
    <w:rsid w:val="00FF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rPr>
  </w:style>
  <w:style w:type="paragraph" w:styleId="Subtitle">
    <w:name w:val="Subtitle"/>
    <w:basedOn w:val="Normal"/>
    <w:qFormat/>
    <w:pPr>
      <w:jc w:val="center"/>
    </w:pPr>
    <w:rPr>
      <w:b/>
      <w:sz w:val="2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sid w:val="00512AF2"/>
    <w:pPr>
      <w:spacing w:line="360" w:lineRule="auto"/>
      <w:jc w:val="both"/>
    </w:pPr>
    <w:rPr>
      <w:sz w:val="26"/>
    </w:rPr>
  </w:style>
  <w:style w:type="paragraph" w:styleId="FootnoteText">
    <w:name w:val="footnote text"/>
    <w:basedOn w:val="Normal"/>
    <w:link w:val="FootnoteTextChar"/>
    <w:rsid w:val="004F07E9"/>
  </w:style>
  <w:style w:type="character" w:styleId="FootnoteReference">
    <w:name w:val="footnote reference"/>
    <w:semiHidden/>
    <w:rsid w:val="00C71557"/>
    <w:rPr>
      <w:vertAlign w:val="superscript"/>
    </w:rPr>
  </w:style>
  <w:style w:type="character" w:customStyle="1" w:styleId="FootnoteTextChar">
    <w:name w:val="Footnote Text Char"/>
    <w:link w:val="FootnoteText"/>
    <w:rsid w:val="005B2728"/>
  </w:style>
  <w:style w:type="paragraph" w:styleId="BalloonText">
    <w:name w:val="Balloon Text"/>
    <w:basedOn w:val="Normal"/>
    <w:link w:val="BalloonTextChar"/>
    <w:rsid w:val="00742E86"/>
    <w:rPr>
      <w:rFonts w:ascii="Tahoma" w:hAnsi="Tahoma" w:cs="Tahoma"/>
      <w:sz w:val="16"/>
      <w:szCs w:val="16"/>
    </w:rPr>
  </w:style>
  <w:style w:type="character" w:customStyle="1" w:styleId="BalloonTextChar">
    <w:name w:val="Balloon Text Char"/>
    <w:basedOn w:val="DefaultParagraphFont"/>
    <w:link w:val="BalloonText"/>
    <w:rsid w:val="00742E86"/>
    <w:rPr>
      <w:rFonts w:ascii="Tahoma" w:hAnsi="Tahoma" w:cs="Tahoma"/>
      <w:sz w:val="16"/>
      <w:szCs w:val="16"/>
    </w:rPr>
  </w:style>
  <w:style w:type="paragraph" w:styleId="ListParagraph">
    <w:name w:val="List Paragraph"/>
    <w:basedOn w:val="Normal"/>
    <w:uiPriority w:val="34"/>
    <w:qFormat/>
    <w:rsid w:val="004A3D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rPr>
  </w:style>
  <w:style w:type="paragraph" w:styleId="Subtitle">
    <w:name w:val="Subtitle"/>
    <w:basedOn w:val="Normal"/>
    <w:qFormat/>
    <w:pPr>
      <w:jc w:val="center"/>
    </w:pPr>
    <w:rPr>
      <w:b/>
      <w:sz w:val="2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sid w:val="00512AF2"/>
    <w:pPr>
      <w:spacing w:line="360" w:lineRule="auto"/>
      <w:jc w:val="both"/>
    </w:pPr>
    <w:rPr>
      <w:sz w:val="26"/>
    </w:rPr>
  </w:style>
  <w:style w:type="paragraph" w:styleId="FootnoteText">
    <w:name w:val="footnote text"/>
    <w:basedOn w:val="Normal"/>
    <w:link w:val="FootnoteTextChar"/>
    <w:rsid w:val="004F07E9"/>
  </w:style>
  <w:style w:type="character" w:styleId="FootnoteReference">
    <w:name w:val="footnote reference"/>
    <w:semiHidden/>
    <w:rsid w:val="00C71557"/>
    <w:rPr>
      <w:vertAlign w:val="superscript"/>
    </w:rPr>
  </w:style>
  <w:style w:type="character" w:customStyle="1" w:styleId="FootnoteTextChar">
    <w:name w:val="Footnote Text Char"/>
    <w:link w:val="FootnoteText"/>
    <w:rsid w:val="005B2728"/>
  </w:style>
  <w:style w:type="paragraph" w:styleId="BalloonText">
    <w:name w:val="Balloon Text"/>
    <w:basedOn w:val="Normal"/>
    <w:link w:val="BalloonTextChar"/>
    <w:rsid w:val="00742E86"/>
    <w:rPr>
      <w:rFonts w:ascii="Tahoma" w:hAnsi="Tahoma" w:cs="Tahoma"/>
      <w:sz w:val="16"/>
      <w:szCs w:val="16"/>
    </w:rPr>
  </w:style>
  <w:style w:type="character" w:customStyle="1" w:styleId="BalloonTextChar">
    <w:name w:val="Balloon Text Char"/>
    <w:basedOn w:val="DefaultParagraphFont"/>
    <w:link w:val="BalloonText"/>
    <w:rsid w:val="00742E86"/>
    <w:rPr>
      <w:rFonts w:ascii="Tahoma" w:hAnsi="Tahoma" w:cs="Tahoma"/>
      <w:sz w:val="16"/>
      <w:szCs w:val="16"/>
    </w:rPr>
  </w:style>
  <w:style w:type="paragraph" w:styleId="ListParagraph">
    <w:name w:val="List Paragraph"/>
    <w:basedOn w:val="Normal"/>
    <w:uiPriority w:val="34"/>
    <w:qFormat/>
    <w:rsid w:val="004A3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corbett\My%20Documents\PUC%20Documents\Templates\General%20Dec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 Decision.dot</Template>
  <TotalTime>12</TotalTime>
  <Pages>6</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CORBETT</dc:creator>
  <cp:lastModifiedBy>sandra elizabeth oldynski</cp:lastModifiedBy>
  <cp:revision>17</cp:revision>
  <cp:lastPrinted>2014-08-05T18:36:00Z</cp:lastPrinted>
  <dcterms:created xsi:type="dcterms:W3CDTF">2014-07-28T14:35:00Z</dcterms:created>
  <dcterms:modified xsi:type="dcterms:W3CDTF">2014-08-05T18:37:00Z</dcterms:modified>
</cp:coreProperties>
</file>