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978" w:rsidRPr="00060978" w:rsidRDefault="00060978" w:rsidP="00060978">
      <w:pPr>
        <w:tabs>
          <w:tab w:val="clear" w:pos="1440"/>
          <w:tab w:val="left" w:pos="0"/>
        </w:tabs>
        <w:spacing w:after="0" w:line="233" w:lineRule="auto"/>
        <w:jc w:val="center"/>
        <w:rPr>
          <w:rFonts w:eastAsia="SimSun"/>
          <w:b/>
        </w:rPr>
      </w:pPr>
      <w:r w:rsidRPr="00060978">
        <w:rPr>
          <w:rFonts w:eastAsia="SimSun"/>
          <w:b/>
        </w:rPr>
        <w:t>BEFORE THE</w:t>
      </w:r>
    </w:p>
    <w:p w:rsidR="00060978" w:rsidRPr="00060978" w:rsidRDefault="00060978" w:rsidP="00060978">
      <w:pPr>
        <w:tabs>
          <w:tab w:val="clear" w:pos="1440"/>
          <w:tab w:val="left" w:pos="0"/>
        </w:tabs>
        <w:spacing w:after="0" w:line="233" w:lineRule="auto"/>
        <w:jc w:val="center"/>
        <w:rPr>
          <w:rFonts w:eastAsia="SimSun"/>
          <w:b/>
        </w:rPr>
      </w:pPr>
      <w:r w:rsidRPr="00060978">
        <w:rPr>
          <w:rFonts w:eastAsia="SimSun"/>
          <w:b/>
        </w:rPr>
        <w:t>PENNSYLVANIA PUBLIC UTILITY COMMISSION</w:t>
      </w:r>
    </w:p>
    <w:p w:rsidR="00060978" w:rsidRPr="00060978" w:rsidRDefault="00060978" w:rsidP="00060978">
      <w:pPr>
        <w:tabs>
          <w:tab w:val="clear" w:pos="1440"/>
          <w:tab w:val="left" w:pos="0"/>
        </w:tabs>
        <w:spacing w:after="0" w:line="233" w:lineRule="auto"/>
        <w:jc w:val="both"/>
        <w:rPr>
          <w:rFonts w:eastAsia="SimSun"/>
          <w:b/>
        </w:rPr>
      </w:pPr>
    </w:p>
    <w:p w:rsidR="00060978" w:rsidRPr="00060978" w:rsidRDefault="00060978" w:rsidP="00060978">
      <w:pPr>
        <w:tabs>
          <w:tab w:val="clear" w:pos="1440"/>
          <w:tab w:val="left" w:pos="0"/>
        </w:tabs>
        <w:spacing w:after="0" w:line="233" w:lineRule="auto"/>
        <w:jc w:val="both"/>
        <w:rPr>
          <w:rFonts w:eastAsia="SimSun"/>
          <w:b/>
        </w:rPr>
      </w:pPr>
    </w:p>
    <w:p w:rsidR="00060978" w:rsidRPr="00060978" w:rsidRDefault="00060978" w:rsidP="00060978">
      <w:pPr>
        <w:tabs>
          <w:tab w:val="clear" w:pos="1440"/>
          <w:tab w:val="left" w:pos="0"/>
        </w:tabs>
        <w:spacing w:after="0" w:line="233" w:lineRule="auto"/>
        <w:jc w:val="both"/>
        <w:rPr>
          <w:rFonts w:eastAsia="SimSun"/>
          <w:b/>
        </w:rPr>
      </w:pPr>
    </w:p>
    <w:p w:rsidR="00060978" w:rsidRPr="00401577" w:rsidRDefault="00060978" w:rsidP="00060978">
      <w:pPr>
        <w:tabs>
          <w:tab w:val="clear" w:pos="1440"/>
          <w:tab w:val="left" w:pos="0"/>
        </w:tabs>
        <w:spacing w:after="0" w:line="233" w:lineRule="auto"/>
        <w:jc w:val="both"/>
        <w:rPr>
          <w:rFonts w:eastAsia="SimSun"/>
        </w:rPr>
      </w:pPr>
      <w:r w:rsidRPr="00060978">
        <w:rPr>
          <w:rFonts w:eastAsia="SimSun"/>
        </w:rPr>
        <w:t>James Coppedge</w:t>
      </w:r>
      <w:r w:rsidRPr="00060978">
        <w:rPr>
          <w:rFonts w:eastAsia="SimSun"/>
        </w:rPr>
        <w:tab/>
      </w:r>
      <w:r w:rsidRPr="00060978">
        <w:rPr>
          <w:rFonts w:eastAsia="SimSun"/>
        </w:rPr>
        <w:tab/>
      </w:r>
      <w:r w:rsidRPr="00060978">
        <w:rPr>
          <w:rFonts w:eastAsia="SimSun"/>
        </w:rPr>
        <w:tab/>
      </w:r>
      <w:r w:rsidRPr="00060978">
        <w:rPr>
          <w:rFonts w:eastAsia="SimSun"/>
        </w:rPr>
        <w:tab/>
      </w:r>
      <w:r w:rsidRPr="00060978">
        <w:rPr>
          <w:rFonts w:eastAsia="SimSun"/>
        </w:rPr>
        <w:tab/>
      </w:r>
      <w:r w:rsidRPr="00401577">
        <w:rPr>
          <w:rFonts w:eastAsia="SimSun"/>
        </w:rPr>
        <w:t>:</w:t>
      </w:r>
    </w:p>
    <w:p w:rsidR="00060978" w:rsidRPr="00401577" w:rsidRDefault="00060978" w:rsidP="00060978">
      <w:pPr>
        <w:tabs>
          <w:tab w:val="clear" w:pos="1440"/>
          <w:tab w:val="left" w:pos="0"/>
        </w:tabs>
        <w:spacing w:after="0" w:line="233" w:lineRule="auto"/>
        <w:jc w:val="both"/>
        <w:rPr>
          <w:rFonts w:eastAsia="SimSun"/>
        </w:rPr>
      </w:pPr>
      <w:r w:rsidRPr="00401577">
        <w:rPr>
          <w:rFonts w:eastAsia="SimSun"/>
        </w:rPr>
        <w:tab/>
      </w:r>
      <w:r w:rsidRPr="00401577">
        <w:rPr>
          <w:rFonts w:eastAsia="SimSun"/>
        </w:rPr>
        <w:tab/>
      </w:r>
      <w:r w:rsidRPr="00401577">
        <w:rPr>
          <w:rFonts w:eastAsia="SimSun"/>
        </w:rPr>
        <w:tab/>
      </w:r>
      <w:r w:rsidRPr="00401577">
        <w:rPr>
          <w:rFonts w:eastAsia="SimSun"/>
        </w:rPr>
        <w:tab/>
      </w:r>
      <w:r w:rsidRPr="00401577">
        <w:rPr>
          <w:rFonts w:eastAsia="SimSun"/>
        </w:rPr>
        <w:tab/>
      </w:r>
      <w:r w:rsidRPr="00401577">
        <w:rPr>
          <w:rFonts w:eastAsia="SimSun"/>
        </w:rPr>
        <w:tab/>
      </w:r>
      <w:r w:rsidRPr="00401577">
        <w:rPr>
          <w:rFonts w:eastAsia="SimSun"/>
        </w:rPr>
        <w:tab/>
        <w:t>:</w:t>
      </w:r>
    </w:p>
    <w:p w:rsidR="00060978" w:rsidRPr="00401577" w:rsidRDefault="00060978" w:rsidP="00060978">
      <w:pPr>
        <w:tabs>
          <w:tab w:val="clear" w:pos="1440"/>
          <w:tab w:val="left" w:pos="0"/>
        </w:tabs>
        <w:spacing w:after="0" w:line="233" w:lineRule="auto"/>
        <w:jc w:val="both"/>
        <w:rPr>
          <w:rFonts w:eastAsia="SimSun"/>
        </w:rPr>
      </w:pPr>
      <w:r w:rsidRPr="00401577">
        <w:rPr>
          <w:rFonts w:eastAsia="SimSun"/>
        </w:rPr>
        <w:tab/>
        <w:t>v.</w:t>
      </w:r>
      <w:r w:rsidRPr="00401577">
        <w:rPr>
          <w:rFonts w:eastAsia="SimSun"/>
        </w:rPr>
        <w:tab/>
      </w:r>
      <w:r w:rsidRPr="00401577">
        <w:rPr>
          <w:rFonts w:eastAsia="SimSun"/>
        </w:rPr>
        <w:tab/>
      </w:r>
      <w:r w:rsidRPr="00401577">
        <w:rPr>
          <w:rFonts w:eastAsia="SimSun"/>
        </w:rPr>
        <w:tab/>
      </w:r>
      <w:r w:rsidRPr="00401577">
        <w:rPr>
          <w:rFonts w:eastAsia="SimSun"/>
        </w:rPr>
        <w:tab/>
      </w:r>
      <w:r w:rsidRPr="00401577">
        <w:rPr>
          <w:rFonts w:eastAsia="SimSun"/>
        </w:rPr>
        <w:tab/>
      </w:r>
      <w:r w:rsidRPr="00401577">
        <w:rPr>
          <w:rFonts w:eastAsia="SimSun"/>
        </w:rPr>
        <w:tab/>
        <w:t>:</w:t>
      </w:r>
      <w:r w:rsidRPr="00401577">
        <w:rPr>
          <w:rFonts w:eastAsia="SimSun"/>
        </w:rPr>
        <w:tab/>
      </w:r>
      <w:r w:rsidRPr="00401577">
        <w:rPr>
          <w:rFonts w:eastAsia="SimSun"/>
        </w:rPr>
        <w:tab/>
        <w:t>F-2014-2406180</w:t>
      </w:r>
    </w:p>
    <w:p w:rsidR="00060978" w:rsidRPr="00401577" w:rsidRDefault="00060978" w:rsidP="00060978">
      <w:pPr>
        <w:tabs>
          <w:tab w:val="clear" w:pos="1440"/>
          <w:tab w:val="left" w:pos="0"/>
        </w:tabs>
        <w:spacing w:after="0" w:line="233" w:lineRule="auto"/>
        <w:jc w:val="both"/>
        <w:rPr>
          <w:rFonts w:eastAsia="SimSun"/>
        </w:rPr>
      </w:pPr>
      <w:r w:rsidRPr="00401577">
        <w:rPr>
          <w:rFonts w:eastAsia="SimSun"/>
        </w:rPr>
        <w:tab/>
      </w:r>
      <w:r w:rsidRPr="00401577">
        <w:rPr>
          <w:rFonts w:eastAsia="SimSun"/>
        </w:rPr>
        <w:tab/>
      </w:r>
      <w:r w:rsidRPr="00401577">
        <w:rPr>
          <w:rFonts w:eastAsia="SimSun"/>
        </w:rPr>
        <w:tab/>
      </w:r>
      <w:r w:rsidRPr="00401577">
        <w:rPr>
          <w:rFonts w:eastAsia="SimSun"/>
        </w:rPr>
        <w:tab/>
      </w:r>
      <w:r w:rsidRPr="00401577">
        <w:rPr>
          <w:rFonts w:eastAsia="SimSun"/>
        </w:rPr>
        <w:tab/>
      </w:r>
      <w:r w:rsidRPr="00401577">
        <w:rPr>
          <w:rFonts w:eastAsia="SimSun"/>
        </w:rPr>
        <w:tab/>
      </w:r>
      <w:r w:rsidRPr="00401577">
        <w:rPr>
          <w:rFonts w:eastAsia="SimSun"/>
        </w:rPr>
        <w:tab/>
        <w:t>:</w:t>
      </w:r>
    </w:p>
    <w:p w:rsidR="00060978" w:rsidRPr="00401577" w:rsidRDefault="00060978" w:rsidP="00060978">
      <w:pPr>
        <w:tabs>
          <w:tab w:val="clear" w:pos="1440"/>
          <w:tab w:val="left" w:pos="0"/>
        </w:tabs>
        <w:spacing w:after="0" w:line="233" w:lineRule="auto"/>
        <w:jc w:val="both"/>
        <w:rPr>
          <w:rFonts w:eastAsia="SimSun"/>
        </w:rPr>
      </w:pPr>
      <w:r w:rsidRPr="00401577">
        <w:rPr>
          <w:rFonts w:eastAsia="SimSun"/>
        </w:rPr>
        <w:t>PECO Energy Company</w:t>
      </w:r>
      <w:r w:rsidRPr="00401577">
        <w:rPr>
          <w:rFonts w:eastAsia="SimSun"/>
        </w:rPr>
        <w:tab/>
      </w:r>
      <w:r w:rsidRPr="00401577">
        <w:rPr>
          <w:rFonts w:eastAsia="SimSun"/>
        </w:rPr>
        <w:tab/>
      </w:r>
      <w:r w:rsidRPr="00401577">
        <w:rPr>
          <w:rFonts w:eastAsia="SimSun"/>
        </w:rPr>
        <w:tab/>
      </w:r>
      <w:r w:rsidRPr="00401577">
        <w:rPr>
          <w:rFonts w:eastAsia="SimSun"/>
        </w:rPr>
        <w:tab/>
        <w:t>:</w:t>
      </w:r>
    </w:p>
    <w:p w:rsidR="00060978" w:rsidRPr="00060978" w:rsidRDefault="00060978" w:rsidP="00060978">
      <w:pPr>
        <w:tabs>
          <w:tab w:val="clear" w:pos="1440"/>
          <w:tab w:val="left" w:pos="0"/>
        </w:tabs>
        <w:spacing w:after="0" w:line="233" w:lineRule="auto"/>
        <w:jc w:val="both"/>
        <w:rPr>
          <w:rFonts w:eastAsia="SimSun"/>
          <w:b/>
        </w:rPr>
      </w:pPr>
    </w:p>
    <w:p w:rsidR="00060978" w:rsidRPr="00060978" w:rsidRDefault="00060978" w:rsidP="00060978">
      <w:pPr>
        <w:tabs>
          <w:tab w:val="clear" w:pos="1440"/>
          <w:tab w:val="left" w:pos="0"/>
        </w:tabs>
        <w:spacing w:after="0" w:line="233" w:lineRule="auto"/>
        <w:jc w:val="both"/>
        <w:rPr>
          <w:rFonts w:eastAsia="SimSun"/>
          <w:b/>
        </w:rPr>
      </w:pPr>
    </w:p>
    <w:p w:rsidR="00060978" w:rsidRDefault="00060978" w:rsidP="00060978">
      <w:pPr>
        <w:spacing w:after="0" w:line="240" w:lineRule="auto"/>
      </w:pPr>
    </w:p>
    <w:p w:rsidR="00792796" w:rsidRDefault="00C37EB5" w:rsidP="00060978">
      <w:pPr>
        <w:spacing w:after="0" w:line="240" w:lineRule="auto"/>
        <w:jc w:val="center"/>
        <w:rPr>
          <w:b/>
          <w:u w:val="single"/>
        </w:rPr>
      </w:pPr>
      <w:r w:rsidRPr="00060978">
        <w:rPr>
          <w:b/>
          <w:u w:val="single"/>
        </w:rPr>
        <w:t>INITIAL DECISION</w:t>
      </w:r>
    </w:p>
    <w:p w:rsidR="008E3CBE" w:rsidRPr="00060978" w:rsidRDefault="008E3CBE" w:rsidP="00060978">
      <w:pPr>
        <w:spacing w:after="0" w:line="240" w:lineRule="auto"/>
        <w:jc w:val="center"/>
        <w:rPr>
          <w:b/>
          <w:u w:val="single"/>
        </w:rPr>
      </w:pPr>
    </w:p>
    <w:p w:rsidR="00060978" w:rsidRDefault="00060978" w:rsidP="00060978">
      <w:pPr>
        <w:spacing w:after="0" w:line="240" w:lineRule="auto"/>
        <w:jc w:val="center"/>
      </w:pPr>
    </w:p>
    <w:p w:rsidR="00C37EB5" w:rsidRDefault="00C37EB5" w:rsidP="00060978">
      <w:pPr>
        <w:spacing w:after="0" w:line="240" w:lineRule="auto"/>
        <w:jc w:val="center"/>
      </w:pPr>
      <w:r>
        <w:t>Before</w:t>
      </w:r>
    </w:p>
    <w:p w:rsidR="00C37EB5" w:rsidRDefault="00C37EB5" w:rsidP="00060978">
      <w:pPr>
        <w:spacing w:after="0" w:line="240" w:lineRule="auto"/>
        <w:jc w:val="center"/>
      </w:pPr>
      <w:r>
        <w:t>Mary D. Long</w:t>
      </w:r>
    </w:p>
    <w:p w:rsidR="00C37EB5" w:rsidRDefault="00C37EB5" w:rsidP="00060978">
      <w:pPr>
        <w:spacing w:after="0" w:line="240" w:lineRule="auto"/>
        <w:jc w:val="center"/>
      </w:pPr>
      <w:r>
        <w:t>Administrative Law Judge</w:t>
      </w:r>
    </w:p>
    <w:p w:rsidR="00A860AE" w:rsidRDefault="00A860AE">
      <w:r>
        <w:tab/>
      </w:r>
    </w:p>
    <w:p w:rsidR="00060978" w:rsidRDefault="00A860AE" w:rsidP="008E3CBE">
      <w:pPr>
        <w:spacing w:after="0"/>
      </w:pPr>
      <w:r>
        <w:tab/>
        <w:t>A customer of a residential electric distribution company failed to prove that the specific forms of payment accepted by the utility for payment of services rendered and the refusal of the utility to accept the alleged negotiable instrument tendered by the customer was a violation of the Public Utility Code or the Commission’s regulations.  The complaint is therefore dismissed.</w:t>
      </w:r>
    </w:p>
    <w:p w:rsidR="008E3CBE" w:rsidRDefault="008E3CBE" w:rsidP="008E3CBE">
      <w:pPr>
        <w:spacing w:after="0"/>
      </w:pPr>
    </w:p>
    <w:p w:rsidR="00C37EB5" w:rsidRDefault="00C37EB5" w:rsidP="008E3CBE">
      <w:pPr>
        <w:spacing w:after="0"/>
        <w:jc w:val="center"/>
        <w:rPr>
          <w:u w:val="single"/>
        </w:rPr>
      </w:pPr>
      <w:r w:rsidRPr="00060978">
        <w:rPr>
          <w:u w:val="single"/>
        </w:rPr>
        <w:t>HISTORY OF THE PROCEEDINGS</w:t>
      </w:r>
    </w:p>
    <w:p w:rsidR="008E3CBE" w:rsidRPr="00060978" w:rsidRDefault="008E3CBE" w:rsidP="008E3CBE">
      <w:pPr>
        <w:spacing w:after="0"/>
        <w:jc w:val="center"/>
        <w:rPr>
          <w:u w:val="single"/>
        </w:rPr>
      </w:pPr>
    </w:p>
    <w:p w:rsidR="00C37EB5" w:rsidRDefault="00C37EB5">
      <w:r>
        <w:tab/>
        <w:t>On February 8, 2014, James Coppedge (Complainant) filed a formal complaint against PECO Energy Company (PECO), which alleged that PECO had failed to properly credit his account for payments made “by other private negotiable debt instruments such as 1040V payment voucher, money order, UCC1 partial release, 1099’s and EFT checks in like kind.”  The Complainant also averred that he had accepted a payment arrangement from PECO under duress.  PECO filed an answer on March 6, 2014</w:t>
      </w:r>
      <w:r w:rsidR="000D1D95">
        <w:t>, which averred</w:t>
      </w:r>
      <w:r>
        <w:t xml:space="preserve"> the company only accepts cash, certified checks, money orders and valid bank checks or payments by certain enumerated credit cards in payment of utility accounts.  PECO also answered that the Complainant was not entitled to a further payment arrangement.</w:t>
      </w:r>
    </w:p>
    <w:p w:rsidR="00C37EB5" w:rsidRDefault="00C37EB5" w:rsidP="00873272">
      <w:pPr>
        <w:spacing w:after="0"/>
      </w:pPr>
      <w:r>
        <w:lastRenderedPageBreak/>
        <w:tab/>
      </w:r>
      <w:r w:rsidR="00183468">
        <w:t>By hearing notice dated March 7, 2014, this matter was assigned to me and scheduled for a telephonic hearing on April 30, 2014.  The hearing was held as scheduled.  The Complainant appeared representing himself and testified on his own behalf.  He presented one exhibit which was admitted into the record without objection.  Shawnee L. Lee, Esquire appeared on behalf of PECO.  Ms. Rene Tarpley testified on behalf of PECO and four exhibits were admitted into the record.  The hearing generated a transcript of 58 pages.   The record was closed by order dated May 15, 2014.</w:t>
      </w:r>
      <w:r w:rsidR="00183468">
        <w:rPr>
          <w:rStyle w:val="FootnoteReference"/>
        </w:rPr>
        <w:footnoteReference w:id="1"/>
      </w:r>
    </w:p>
    <w:p w:rsidR="00873272" w:rsidRDefault="00873272" w:rsidP="00873272">
      <w:pPr>
        <w:spacing w:after="0"/>
      </w:pPr>
    </w:p>
    <w:p w:rsidR="00AC6A9E" w:rsidRDefault="00AC6A9E" w:rsidP="00873272">
      <w:pPr>
        <w:spacing w:after="0"/>
        <w:jc w:val="center"/>
        <w:rPr>
          <w:u w:val="single"/>
        </w:rPr>
      </w:pPr>
      <w:r w:rsidRPr="00DC0BCC">
        <w:rPr>
          <w:u w:val="single"/>
        </w:rPr>
        <w:t>FINDINGS OF FACT</w:t>
      </w:r>
    </w:p>
    <w:p w:rsidR="00873272" w:rsidRPr="00DC0BCC" w:rsidRDefault="00873272" w:rsidP="00873272">
      <w:pPr>
        <w:spacing w:after="0"/>
        <w:jc w:val="center"/>
        <w:rPr>
          <w:u w:val="single"/>
        </w:rPr>
      </w:pPr>
    </w:p>
    <w:p w:rsidR="00E22790" w:rsidRDefault="00E22790" w:rsidP="00DD7BFA">
      <w:pPr>
        <w:pStyle w:val="ListParagraph"/>
      </w:pPr>
      <w:r>
        <w:t>James Coppedge owns a property at 3739 North 18</w:t>
      </w:r>
      <w:r w:rsidRPr="00E22790">
        <w:rPr>
          <w:vertAlign w:val="superscript"/>
        </w:rPr>
        <w:t>th</w:t>
      </w:r>
      <w:r>
        <w:t xml:space="preserve"> Street, Philadelphia, PA.  He resides there from time to time and receives residential electricity service from PECO at that address. </w:t>
      </w:r>
      <w:r w:rsidR="00873272">
        <w:t xml:space="preserve"> </w:t>
      </w:r>
      <w:r>
        <w:t>(N.T. 9-10</w:t>
      </w:r>
      <w:r w:rsidR="00594A87">
        <w:t>, 39</w:t>
      </w:r>
      <w:r>
        <w:t>)</w:t>
      </w:r>
    </w:p>
    <w:p w:rsidR="00873272" w:rsidRDefault="00873272" w:rsidP="008222DC">
      <w:pPr>
        <w:spacing w:after="0"/>
        <w:ind w:left="1440"/>
      </w:pPr>
    </w:p>
    <w:p w:rsidR="00E22790" w:rsidRDefault="00E22790" w:rsidP="00DD7BFA">
      <w:pPr>
        <w:pStyle w:val="ListParagraph"/>
      </w:pPr>
      <w:r>
        <w:t>The Complainant want</w:t>
      </w:r>
      <w:r w:rsidR="000D1D95">
        <w:t>s</w:t>
      </w:r>
      <w:r>
        <w:t xml:space="preserve"> to pay his PECO bills as follows:</w:t>
      </w:r>
    </w:p>
    <w:p w:rsidR="00873272" w:rsidRDefault="00873272" w:rsidP="001902EB">
      <w:pPr>
        <w:spacing w:after="0"/>
        <w:ind w:left="1440"/>
      </w:pPr>
    </w:p>
    <w:p w:rsidR="009A09D2" w:rsidRDefault="00873272" w:rsidP="008222DC">
      <w:pPr>
        <w:tabs>
          <w:tab w:val="clear" w:pos="1440"/>
        </w:tabs>
        <w:spacing w:after="0"/>
        <w:ind w:left="2160"/>
      </w:pPr>
      <w:r>
        <w:t>a.</w:t>
      </w:r>
      <w:r>
        <w:tab/>
      </w:r>
      <w:r w:rsidR="00E22790">
        <w:t>He uses the “original coupon” from PECO, which refers to the top portion of his PECO bill to “set the value”</w:t>
      </w:r>
      <w:r>
        <w:t>;</w:t>
      </w:r>
    </w:p>
    <w:p w:rsidR="008222DC" w:rsidRDefault="008222DC" w:rsidP="008222DC">
      <w:pPr>
        <w:tabs>
          <w:tab w:val="clear" w:pos="1440"/>
        </w:tabs>
        <w:spacing w:after="0"/>
        <w:ind w:firstLine="2160"/>
      </w:pPr>
    </w:p>
    <w:p w:rsidR="00873272" w:rsidRDefault="00873272" w:rsidP="00B6589E">
      <w:pPr>
        <w:spacing w:after="0"/>
        <w:ind w:left="2160"/>
      </w:pPr>
      <w:r>
        <w:t>b.</w:t>
      </w:r>
      <w:r>
        <w:tab/>
      </w:r>
      <w:r w:rsidR="00E22790">
        <w:t>He then creates a “money order” which includes his “Federal Reserve account number</w:t>
      </w:r>
      <w:r w:rsidR="00A42847">
        <w:t xml:space="preserve"> . . .  a routing number and account number . . .”  He signs the money order.  He also completes a “1040 –Z payable to the US Treasury”</w:t>
      </w:r>
      <w:r>
        <w:t>; and</w:t>
      </w:r>
    </w:p>
    <w:p w:rsidR="008222DC" w:rsidRDefault="008222DC" w:rsidP="001902EB">
      <w:pPr>
        <w:spacing w:after="0"/>
        <w:ind w:left="1440"/>
      </w:pPr>
    </w:p>
    <w:p w:rsidR="00873272" w:rsidRDefault="00873272" w:rsidP="00DD7BFA">
      <w:pPr>
        <w:ind w:left="2160"/>
      </w:pPr>
      <w:r>
        <w:t>c.</w:t>
      </w:r>
      <w:r>
        <w:tab/>
      </w:r>
      <w:r w:rsidR="00A42847">
        <w:t>He instructs the U</w:t>
      </w:r>
      <w:r w:rsidR="008222DC">
        <w:t>.</w:t>
      </w:r>
      <w:r w:rsidR="00A42847">
        <w:t>S</w:t>
      </w:r>
      <w:r w:rsidR="008222DC">
        <w:t>.</w:t>
      </w:r>
      <w:r w:rsidR="00A42847">
        <w:t xml:space="preserve"> Treasury to pay PECO by writing instructions on the “coupon” portion of the PECO bill and mails the documents.</w:t>
      </w:r>
      <w:r w:rsidR="008222DC">
        <w:t xml:space="preserve">  </w:t>
      </w:r>
      <w:r w:rsidR="001E5361">
        <w:t>(</w:t>
      </w:r>
      <w:r w:rsidR="00E550C4">
        <w:t>N.T.</w:t>
      </w:r>
      <w:r w:rsidR="00D16E89">
        <w:t> </w:t>
      </w:r>
      <w:r w:rsidR="00E550C4">
        <w:t>14-15, 24, 28; see also PECO Ex. 3 at page 3, 6</w:t>
      </w:r>
      <w:r w:rsidR="001E5361">
        <w:t>)</w:t>
      </w:r>
    </w:p>
    <w:p w:rsidR="009A09D2" w:rsidRDefault="00A42847" w:rsidP="00DD7BFA">
      <w:pPr>
        <w:pStyle w:val="ListParagraph"/>
      </w:pPr>
      <w:r>
        <w:lastRenderedPageBreak/>
        <w:t>He believes that the IRS will then telefax the amount to PECO to discharge the debt.</w:t>
      </w:r>
      <w:r w:rsidR="009A09D2">
        <w:t xml:space="preserve">  Although he does not get a specific confirmation from the IRS that the debt has been discharged, he believes that the IRS would return the money order to him if there was anything wrong with the documentation.  (N.T. 15)</w:t>
      </w:r>
    </w:p>
    <w:p w:rsidR="008222DC" w:rsidRDefault="008222DC" w:rsidP="00562B4D">
      <w:pPr>
        <w:spacing w:after="0"/>
        <w:ind w:left="1440"/>
      </w:pPr>
    </w:p>
    <w:p w:rsidR="00E550C4" w:rsidRDefault="00E550C4" w:rsidP="00DD7BFA">
      <w:pPr>
        <w:pStyle w:val="ListParagraph"/>
      </w:pPr>
      <w:r>
        <w:t>The Complaint refers to this process as “EFT” or “Electronic Funds Transfer.”</w:t>
      </w:r>
      <w:r w:rsidR="008222DC">
        <w:t xml:space="preserve"> </w:t>
      </w:r>
      <w:r>
        <w:t xml:space="preserve"> (N.T. 24)</w:t>
      </w:r>
    </w:p>
    <w:p w:rsidR="008222DC" w:rsidRDefault="008222DC" w:rsidP="00562B4D">
      <w:pPr>
        <w:spacing w:after="0"/>
        <w:ind w:left="1440"/>
      </w:pPr>
    </w:p>
    <w:p w:rsidR="009A09D2" w:rsidRDefault="009A09D2" w:rsidP="00DD7BFA">
      <w:pPr>
        <w:pStyle w:val="ListParagraph"/>
      </w:pPr>
      <w:r>
        <w:t xml:space="preserve"> </w:t>
      </w:r>
      <w:r w:rsidR="00E550C4">
        <w:t>The Complainant does occasionally pay his bill with a debit card which is connect</w:t>
      </w:r>
      <w:r w:rsidR="00B365B0">
        <w:t>ed</w:t>
      </w:r>
      <w:r w:rsidR="00E550C4">
        <w:t xml:space="preserve"> to his personal account at a bank such as Citizens Bank.  (N.T. 17)</w:t>
      </w:r>
    </w:p>
    <w:p w:rsidR="008222DC" w:rsidRDefault="008222DC" w:rsidP="00562B4D">
      <w:pPr>
        <w:spacing w:after="0"/>
        <w:ind w:left="1440"/>
      </w:pPr>
    </w:p>
    <w:p w:rsidR="00594A87" w:rsidRDefault="00594A87" w:rsidP="00DD7BFA">
      <w:pPr>
        <w:pStyle w:val="ListParagraph"/>
      </w:pPr>
      <w:r>
        <w:t>He does not dispute that the bills paid with his debit card or bank checks or certified checks have been credited to his PECO account.</w:t>
      </w:r>
      <w:r w:rsidR="008222DC">
        <w:t xml:space="preserve"> </w:t>
      </w:r>
      <w:r>
        <w:t xml:space="preserve"> (N.T. 28)</w:t>
      </w:r>
    </w:p>
    <w:p w:rsidR="008222DC" w:rsidRDefault="008222DC" w:rsidP="00562B4D">
      <w:pPr>
        <w:spacing w:after="0"/>
        <w:ind w:left="1440"/>
      </w:pPr>
    </w:p>
    <w:p w:rsidR="00594A87" w:rsidRDefault="00594A87" w:rsidP="00DD7BFA">
      <w:pPr>
        <w:pStyle w:val="ListParagraph"/>
      </w:pPr>
      <w:r>
        <w:t>PECO accepts cash, certified checks, money orders, validated checks or payment by credit card.  (N.T. 40</w:t>
      </w:r>
      <w:r w:rsidR="008222DC">
        <w:t>)</w:t>
      </w:r>
    </w:p>
    <w:p w:rsidR="008222DC" w:rsidRDefault="008222DC" w:rsidP="00562B4D">
      <w:pPr>
        <w:spacing w:after="0"/>
        <w:ind w:left="1440"/>
      </w:pPr>
    </w:p>
    <w:p w:rsidR="00594A87" w:rsidRDefault="00594A87" w:rsidP="00DD7BFA">
      <w:pPr>
        <w:pStyle w:val="ListParagraph"/>
      </w:pPr>
      <w:r>
        <w:t>PECO does not accept the “EFT” type of transaction described by the Complainant as payment for service.  (N.T. 42, 51)</w:t>
      </w:r>
    </w:p>
    <w:p w:rsidR="008222DC" w:rsidRDefault="008222DC" w:rsidP="005D62F8">
      <w:pPr>
        <w:spacing w:after="0"/>
        <w:ind w:left="1440"/>
      </w:pPr>
    </w:p>
    <w:p w:rsidR="00594A87" w:rsidRDefault="00594A87" w:rsidP="00DD7BFA">
      <w:pPr>
        <w:pStyle w:val="ListParagraph"/>
      </w:pPr>
      <w:r>
        <w:t>As of the date of the hearing the balance on the Complainant’s PECO account was $3,450.</w:t>
      </w:r>
      <w:r w:rsidR="008222DC">
        <w:t xml:space="preserve"> </w:t>
      </w:r>
      <w:r>
        <w:t xml:space="preserve"> (N.T. 39)</w:t>
      </w:r>
    </w:p>
    <w:p w:rsidR="00DD7BFA" w:rsidRDefault="00DD7BFA" w:rsidP="00E33C6C">
      <w:pPr>
        <w:jc w:val="center"/>
        <w:rPr>
          <w:u w:val="single"/>
        </w:rPr>
      </w:pPr>
    </w:p>
    <w:p w:rsidR="00AC6A9E" w:rsidRDefault="00AC6A9E" w:rsidP="00DD7BFA">
      <w:pPr>
        <w:spacing w:after="0"/>
        <w:jc w:val="center"/>
        <w:rPr>
          <w:u w:val="single"/>
        </w:rPr>
      </w:pPr>
      <w:r w:rsidRPr="00E33C6C">
        <w:rPr>
          <w:u w:val="single"/>
        </w:rPr>
        <w:t>DISCUSSION</w:t>
      </w:r>
    </w:p>
    <w:p w:rsidR="00DD7BFA" w:rsidRPr="00E33C6C" w:rsidRDefault="00DD7BFA" w:rsidP="00DD7BFA">
      <w:pPr>
        <w:spacing w:after="0"/>
        <w:jc w:val="center"/>
        <w:rPr>
          <w:u w:val="single"/>
        </w:rPr>
      </w:pPr>
    </w:p>
    <w:p w:rsidR="00AC6A9E" w:rsidRDefault="00AC6A9E" w:rsidP="00AC6A9E">
      <w:pPr>
        <w:ind w:firstLine="1440"/>
        <w:rPr>
          <w:szCs w:val="24"/>
        </w:rPr>
      </w:pPr>
      <w:r w:rsidRPr="00035CC2">
        <w:rPr>
          <w:szCs w:val="24"/>
        </w:rPr>
        <w:t xml:space="preserve">Section 701 of the Public Utility Code (Code), provides that any person may complain, in writing, about any act or thing done or omitted to be done by a public utility in violation, or claimed violation, of any law which the Commission has the jurisdiction to </w:t>
      </w:r>
      <w:r w:rsidRPr="00035CC2">
        <w:rPr>
          <w:szCs w:val="24"/>
        </w:rPr>
        <w:lastRenderedPageBreak/>
        <w:t>administer, or of any regulation or order of the Commission.</w:t>
      </w:r>
      <w:r w:rsidRPr="00035CC2">
        <w:rPr>
          <w:rStyle w:val="FootnoteReference"/>
          <w:szCs w:val="24"/>
        </w:rPr>
        <w:footnoteReference w:id="2"/>
      </w:r>
      <w:r w:rsidRPr="00035CC2">
        <w:rPr>
          <w:szCs w:val="24"/>
        </w:rPr>
        <w:t xml:space="preserve">  A person seeking affirmative relief from the Commission has the burden of proof.</w:t>
      </w:r>
      <w:r w:rsidRPr="00035CC2">
        <w:rPr>
          <w:rStyle w:val="FootnoteReference"/>
          <w:szCs w:val="24"/>
        </w:rPr>
        <w:footnoteReference w:id="3"/>
      </w:r>
    </w:p>
    <w:p w:rsidR="00925BA0" w:rsidRPr="00035CC2" w:rsidRDefault="00925BA0" w:rsidP="00925BA0">
      <w:pPr>
        <w:spacing w:after="0"/>
        <w:ind w:firstLine="1440"/>
        <w:rPr>
          <w:szCs w:val="24"/>
        </w:rPr>
      </w:pPr>
    </w:p>
    <w:p w:rsidR="00AC6A9E" w:rsidRDefault="00AC6A9E" w:rsidP="00925BA0">
      <w:pPr>
        <w:spacing w:after="0"/>
        <w:ind w:firstLine="1440"/>
        <w:rPr>
          <w:szCs w:val="24"/>
        </w:rPr>
      </w:pPr>
      <w:r w:rsidRPr="00035CC2">
        <w:rPr>
          <w:szCs w:val="24"/>
        </w:rPr>
        <w:t xml:space="preserve">In this matter, the Complainant is the party seeking affirmative relief from the Commission; therefore, he has the burden of proof.  This means that he has the duty to establish </w:t>
      </w:r>
      <w:r>
        <w:rPr>
          <w:szCs w:val="24"/>
        </w:rPr>
        <w:t>relevant facts which support his claim</w:t>
      </w:r>
      <w:r w:rsidRPr="00035CC2">
        <w:rPr>
          <w:szCs w:val="24"/>
        </w:rPr>
        <w:t xml:space="preserve"> by a preponderance of the evidence, and must show that </w:t>
      </w:r>
      <w:r>
        <w:rPr>
          <w:szCs w:val="24"/>
        </w:rPr>
        <w:t xml:space="preserve">the Company </w:t>
      </w:r>
      <w:r w:rsidRPr="00035CC2">
        <w:rPr>
          <w:szCs w:val="24"/>
        </w:rPr>
        <w:t>has violated the Public Utility Code or Commission regulations.</w:t>
      </w:r>
      <w:r w:rsidRPr="00035CC2">
        <w:rPr>
          <w:rStyle w:val="FootnoteReference"/>
          <w:szCs w:val="24"/>
        </w:rPr>
        <w:footnoteReference w:id="4"/>
      </w:r>
      <w:r w:rsidRPr="00035CC2">
        <w:rPr>
          <w:szCs w:val="24"/>
        </w:rPr>
        <w:t xml:space="preserve"> </w:t>
      </w:r>
      <w:r>
        <w:rPr>
          <w:szCs w:val="24"/>
        </w:rPr>
        <w:t xml:space="preserve"> </w:t>
      </w:r>
      <w:r w:rsidR="009E35DA">
        <w:rPr>
          <w:szCs w:val="24"/>
        </w:rPr>
        <w:t>Here, he</w:t>
      </w:r>
      <w:r>
        <w:rPr>
          <w:szCs w:val="24"/>
        </w:rPr>
        <w:t xml:space="preserve"> must establish that PECO’s policy of only accepting certain enumerated methods of payment is unreasonable within the meaning of the Public Utility Code and its regulations.  As explained more fully below, the Complainant failed to sustain this burden and his complaint will be dismissed.</w:t>
      </w:r>
    </w:p>
    <w:p w:rsidR="00925BA0" w:rsidRDefault="00925BA0" w:rsidP="00925BA0">
      <w:pPr>
        <w:spacing w:after="0"/>
        <w:ind w:firstLine="1440"/>
        <w:rPr>
          <w:szCs w:val="24"/>
        </w:rPr>
      </w:pPr>
    </w:p>
    <w:p w:rsidR="004100E8" w:rsidRDefault="004100E8" w:rsidP="00AC6A9E">
      <w:pPr>
        <w:ind w:firstLine="1440"/>
        <w:rPr>
          <w:szCs w:val="24"/>
        </w:rPr>
      </w:pPr>
      <w:r>
        <w:rPr>
          <w:szCs w:val="24"/>
        </w:rPr>
        <w:t>PECO, like all</w:t>
      </w:r>
      <w:r w:rsidR="00172D55">
        <w:rPr>
          <w:szCs w:val="24"/>
        </w:rPr>
        <w:t xml:space="preserve"> Commission-regulated</w:t>
      </w:r>
      <w:r>
        <w:rPr>
          <w:szCs w:val="24"/>
        </w:rPr>
        <w:t xml:space="preserve"> public utilities, is mandated to provide reasonable customer service:</w:t>
      </w:r>
    </w:p>
    <w:p w:rsidR="00E43D7C" w:rsidRDefault="00E43D7C" w:rsidP="00E43D7C">
      <w:pPr>
        <w:spacing w:line="240" w:lineRule="auto"/>
        <w:ind w:left="1440" w:right="1440"/>
        <w:rPr>
          <w:szCs w:val="24"/>
        </w:rPr>
      </w:pPr>
      <w:r w:rsidRPr="0062657B">
        <w:rPr>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r w:rsidRPr="0062657B">
        <w:rPr>
          <w:rStyle w:val="FootnoteReference"/>
          <w:szCs w:val="24"/>
        </w:rPr>
        <w:footnoteReference w:id="5"/>
      </w:r>
    </w:p>
    <w:p w:rsidR="00E43D7C" w:rsidRPr="0062657B" w:rsidRDefault="00E43D7C" w:rsidP="00E43D7C">
      <w:pPr>
        <w:spacing w:line="240" w:lineRule="auto"/>
        <w:ind w:left="1440" w:right="1440"/>
        <w:rPr>
          <w:szCs w:val="24"/>
        </w:rPr>
      </w:pPr>
    </w:p>
    <w:p w:rsidR="00E43D7C" w:rsidRPr="0062657B" w:rsidRDefault="00E43D7C" w:rsidP="00E43D7C">
      <w:pPr>
        <w:rPr>
          <w:szCs w:val="24"/>
        </w:rPr>
      </w:pPr>
      <w:r w:rsidRPr="0062657B">
        <w:rPr>
          <w:szCs w:val="24"/>
        </w:rPr>
        <w:t xml:space="preserve">The Commonwealth Court has cautioned that the Commission may not sustain a complaint pursuant to Section 1501 unless it finds that a utility has violated a duty to render reasonable and </w:t>
      </w:r>
      <w:r w:rsidRPr="0062657B">
        <w:rPr>
          <w:szCs w:val="24"/>
        </w:rPr>
        <w:lastRenderedPageBreak/>
        <w:t>reliable service.</w:t>
      </w:r>
      <w:r w:rsidRPr="0062657B">
        <w:rPr>
          <w:rStyle w:val="FootnoteReference"/>
          <w:szCs w:val="24"/>
        </w:rPr>
        <w:footnoteReference w:id="6"/>
      </w:r>
      <w:r w:rsidRPr="0062657B">
        <w:rPr>
          <w:szCs w:val="24"/>
        </w:rPr>
        <w:t xml:space="preserve">  The Commission has stated that a utility is not mandated to furnish perfect service:</w:t>
      </w:r>
    </w:p>
    <w:p w:rsidR="00E43D7C" w:rsidRDefault="00E43D7C" w:rsidP="00E43D7C">
      <w:pPr>
        <w:spacing w:line="240" w:lineRule="auto"/>
        <w:ind w:left="1440" w:right="1440"/>
        <w:rPr>
          <w:szCs w:val="24"/>
        </w:rPr>
      </w:pPr>
      <w:r w:rsidRPr="0062657B">
        <w:rPr>
          <w:szCs w:val="24"/>
        </w:rPr>
        <w:t>[Section 1501] does not mandate perfect service nor must a public utility provide the best possible service.  Most certainly, a public utility is not a guarantor of either perfect service or the best possible service.</w:t>
      </w:r>
      <w:r w:rsidRPr="0062657B">
        <w:rPr>
          <w:rStyle w:val="FootnoteReference"/>
          <w:szCs w:val="24"/>
        </w:rPr>
        <w:footnoteReference w:id="7"/>
      </w:r>
    </w:p>
    <w:p w:rsidR="00E43D7C" w:rsidRPr="0062657B" w:rsidRDefault="00E43D7C" w:rsidP="00E43D7C">
      <w:pPr>
        <w:spacing w:line="240" w:lineRule="auto"/>
        <w:ind w:left="1440" w:right="1440"/>
        <w:rPr>
          <w:szCs w:val="24"/>
        </w:rPr>
      </w:pPr>
    </w:p>
    <w:p w:rsidR="00E43D7C" w:rsidRDefault="00E43D7C" w:rsidP="00925BA0">
      <w:pPr>
        <w:spacing w:after="0"/>
        <w:rPr>
          <w:szCs w:val="24"/>
        </w:rPr>
      </w:pPr>
      <w:r w:rsidRPr="0062657B">
        <w:rPr>
          <w:szCs w:val="24"/>
        </w:rPr>
        <w:t>Thus the test to determine the adequacy of a utility’s service and facilities is that of reasonableness.</w:t>
      </w:r>
      <w:r w:rsidRPr="0062657B">
        <w:rPr>
          <w:rStyle w:val="FootnoteReference"/>
          <w:szCs w:val="24"/>
        </w:rPr>
        <w:footnoteReference w:id="8"/>
      </w:r>
      <w:r w:rsidRPr="0062657B">
        <w:rPr>
          <w:szCs w:val="24"/>
        </w:rPr>
        <w:t xml:space="preserve">  This is also the test to determine the adequacy of a utility’s response to customer service complaints, as well as repairs made to its facilities.</w:t>
      </w:r>
      <w:r w:rsidRPr="0062657B">
        <w:rPr>
          <w:rStyle w:val="FootnoteReference"/>
          <w:szCs w:val="24"/>
        </w:rPr>
        <w:footnoteReference w:id="9"/>
      </w:r>
    </w:p>
    <w:p w:rsidR="00925BA0" w:rsidRDefault="00925BA0" w:rsidP="00925BA0">
      <w:pPr>
        <w:spacing w:after="0"/>
        <w:rPr>
          <w:szCs w:val="24"/>
        </w:rPr>
      </w:pPr>
    </w:p>
    <w:p w:rsidR="008F643B" w:rsidRDefault="008F643B" w:rsidP="00925BA0">
      <w:pPr>
        <w:spacing w:after="0"/>
      </w:pPr>
      <w:r>
        <w:tab/>
        <w:t>The Commission’s regulations do not specifically address the forms of payment which a utility is required to accept from a customer as payment for services rendered.  However, the regulation</w:t>
      </w:r>
      <w:r w:rsidR="00A506B5">
        <w:t>s</w:t>
      </w:r>
      <w:r w:rsidR="0024517E">
        <w:t xml:space="preserve"> relating to </w:t>
      </w:r>
      <w:r w:rsidR="00A26A53">
        <w:t xml:space="preserve">termination note that a customer may avoid termination if “payment in full is tendered in </w:t>
      </w:r>
      <w:r w:rsidR="00A26A53" w:rsidRPr="00172D55">
        <w:rPr>
          <w:i/>
        </w:rPr>
        <w:t>any reasonable manner</w:t>
      </w:r>
      <w:r w:rsidR="00A26A53">
        <w:t>…”  The regulation also notes that payment “in any reasonable manner includes payment by personal check . . . “</w:t>
      </w:r>
      <w:r w:rsidR="00A26A53">
        <w:rPr>
          <w:rStyle w:val="FootnoteReference"/>
        </w:rPr>
        <w:footnoteReference w:id="10"/>
      </w:r>
      <w:r w:rsidR="00A26A53">
        <w:t xml:space="preserve">  PECO’s tariff also does not appear to directly define its view of payment in “any reasonable manner” except to note that customers who are deemed to not be “creditworthy” are required to make payment “by means of a certified, cashier’s, teller’s or bank </w:t>
      </w:r>
      <w:r w:rsidR="0027213B">
        <w:t>check</w:t>
      </w:r>
      <w:r w:rsidR="00A26A53">
        <w:t>, or by wire transfer, or in cash or other immediately available funds.”</w:t>
      </w:r>
      <w:r w:rsidR="00A26A53">
        <w:rPr>
          <w:rStyle w:val="FootnoteReference"/>
        </w:rPr>
        <w:footnoteReference w:id="11"/>
      </w:r>
    </w:p>
    <w:p w:rsidR="00925BA0" w:rsidRDefault="00925BA0" w:rsidP="00925BA0">
      <w:pPr>
        <w:spacing w:after="0"/>
      </w:pPr>
    </w:p>
    <w:p w:rsidR="00172D55" w:rsidRDefault="0024517E" w:rsidP="00373E22">
      <w:pPr>
        <w:spacing w:after="0"/>
      </w:pPr>
      <w:r>
        <w:tab/>
      </w:r>
      <w:r w:rsidR="0027213B">
        <w:t xml:space="preserve">The Complainant contends that PECO should accept </w:t>
      </w:r>
      <w:r w:rsidR="009E35DA">
        <w:t>the “EFT” form of debt discharge as payment for electricity service.</w:t>
      </w:r>
      <w:r w:rsidR="0027213B">
        <w:t xml:space="preserve"> </w:t>
      </w:r>
      <w:r w:rsidR="00F06388">
        <w:t xml:space="preserve"> </w:t>
      </w:r>
      <w:r w:rsidR="0027213B">
        <w:t xml:space="preserve">He claims that this mode of payment is an </w:t>
      </w:r>
      <w:r w:rsidR="0027213B">
        <w:lastRenderedPageBreak/>
        <w:t>acceptable “negotiable instrument” as defined by the Uniform Commercial Code.</w:t>
      </w:r>
      <w:r w:rsidR="00172D55">
        <w:t xml:space="preserve"> </w:t>
      </w:r>
      <w:r w:rsidR="00E013C2">
        <w:t xml:space="preserve"> </w:t>
      </w:r>
      <w:r w:rsidR="00172D55">
        <w:t>In his view, PECO is unlawfully demanding a specific form of payment.</w:t>
      </w:r>
    </w:p>
    <w:p w:rsidR="00373E22" w:rsidRDefault="00373E22" w:rsidP="00373E22">
      <w:pPr>
        <w:spacing w:after="0"/>
      </w:pPr>
    </w:p>
    <w:p w:rsidR="00172D55" w:rsidRDefault="00172D55" w:rsidP="00373E22">
      <w:pPr>
        <w:spacing w:after="0"/>
      </w:pPr>
      <w:r>
        <w:tab/>
      </w:r>
      <w:r w:rsidR="0027213B">
        <w:t xml:space="preserve">The </w:t>
      </w:r>
      <w:r w:rsidR="00BA259A">
        <w:t xml:space="preserve">Commission has held that the Commission does not have jurisdiction to </w:t>
      </w:r>
      <w:r>
        <w:t xml:space="preserve">interpret the Uniform Commercial Code to </w:t>
      </w:r>
      <w:r w:rsidR="00BA259A">
        <w:t>determine the negotiability of instruments.</w:t>
      </w:r>
      <w:r w:rsidR="00BA259A">
        <w:rPr>
          <w:rStyle w:val="FootnoteReference"/>
        </w:rPr>
        <w:footnoteReference w:id="12"/>
      </w:r>
      <w:r>
        <w:t xml:space="preserve">  </w:t>
      </w:r>
      <w:r w:rsidR="00FD500A">
        <w:t xml:space="preserve">However, even </w:t>
      </w:r>
      <w:r w:rsidR="00BF554E">
        <w:t xml:space="preserve">if </w:t>
      </w:r>
      <w:r w:rsidR="00FD500A">
        <w:t xml:space="preserve">the </w:t>
      </w:r>
      <w:r w:rsidR="009E35DA">
        <w:t xml:space="preserve">“EFT” </w:t>
      </w:r>
      <w:r w:rsidR="006732CC">
        <w:t>was</w:t>
      </w:r>
      <w:r w:rsidR="00FD500A">
        <w:t xml:space="preserve"> a properly negotiable debt instrument</w:t>
      </w:r>
      <w:r w:rsidR="000B1557">
        <w:rPr>
          <w:rStyle w:val="FootnoteReference"/>
        </w:rPr>
        <w:footnoteReference w:id="13"/>
      </w:r>
      <w:r>
        <w:t xml:space="preserve"> as claimed by the Complainant</w:t>
      </w:r>
      <w:r w:rsidR="00FD500A">
        <w:t xml:space="preserve">, there is no language in either the regulations or PECO’s tariff which mandates it to accept </w:t>
      </w:r>
      <w:r w:rsidR="00FD500A">
        <w:rPr>
          <w:i/>
        </w:rPr>
        <w:t xml:space="preserve">all </w:t>
      </w:r>
      <w:r w:rsidR="00FD500A">
        <w:t xml:space="preserve">forms of payment.  PECO’s witness testified that it is PECO’s policy to accept </w:t>
      </w:r>
      <w:r w:rsidR="009E35DA">
        <w:t xml:space="preserve">cash, certified checks, money orders, validated checks or payment by credit card.  </w:t>
      </w:r>
      <w:r w:rsidR="00FD500A">
        <w:t xml:space="preserve">She was unfamiliar with the Treasury account mechanism which the Complainant wants to utilize to pay his PECO bills.  She testified that it is not PECO’s policy to accept such documents as payment.  </w:t>
      </w:r>
    </w:p>
    <w:p w:rsidR="00373E22" w:rsidRDefault="00373E22" w:rsidP="00373E22">
      <w:pPr>
        <w:spacing w:after="0"/>
      </w:pPr>
    </w:p>
    <w:p w:rsidR="00FD500A" w:rsidRDefault="00172D55" w:rsidP="00373E22">
      <w:pPr>
        <w:spacing w:after="0"/>
      </w:pPr>
      <w:r>
        <w:tab/>
      </w:r>
      <w:r w:rsidR="00FD500A">
        <w:t xml:space="preserve">The Complainant did not demonstrate that PECO’s policy of only </w:t>
      </w:r>
      <w:r w:rsidR="009E35DA">
        <w:t>accepting cash, certified checks, money orders, validated checks or payment by credit card</w:t>
      </w:r>
      <w:r w:rsidR="00FD500A">
        <w:t xml:space="preserve"> and </w:t>
      </w:r>
      <w:r w:rsidR="00457D3A">
        <w:t>no</w:t>
      </w:r>
      <w:r w:rsidR="00FD500A">
        <w:t xml:space="preserve"> other allegedly negotiable instruments was unreasonable or in violation of the Public Utility Code or any regulation of the Commission.  He did not offer specific evidence which proved that he had successfully paid other debts in this manner or that his proposed method of payment is customary in any other commercial context or any other indicia that PECO’s policy is not reasonable.  Therefore, he failed to prove that PECO’s policy was unreasonable and his complaint will be dismissed.</w:t>
      </w:r>
    </w:p>
    <w:p w:rsidR="00373E22" w:rsidRDefault="00373E22" w:rsidP="00373E22">
      <w:pPr>
        <w:spacing w:after="0"/>
      </w:pPr>
    </w:p>
    <w:p w:rsidR="00C70E79" w:rsidRDefault="00C70E79" w:rsidP="008F643B">
      <w:r>
        <w:tab/>
        <w:t>The Complainant also alleged that he had accepted a payment arrangement from PECO “under duress.”  He offered no evidence on this point at the hearing.  Therefore, this claim is dismissed as well.</w:t>
      </w:r>
    </w:p>
    <w:p w:rsidR="00373E22" w:rsidRDefault="00373E22" w:rsidP="004675B2">
      <w:pPr>
        <w:jc w:val="center"/>
        <w:rPr>
          <w:u w:val="single"/>
        </w:rPr>
      </w:pPr>
    </w:p>
    <w:p w:rsidR="00BA6DAA" w:rsidRDefault="00BA6DAA" w:rsidP="00DB638D">
      <w:pPr>
        <w:spacing w:after="0"/>
        <w:jc w:val="center"/>
        <w:rPr>
          <w:u w:val="single"/>
        </w:rPr>
      </w:pPr>
      <w:r w:rsidRPr="004675B2">
        <w:rPr>
          <w:u w:val="single"/>
        </w:rPr>
        <w:lastRenderedPageBreak/>
        <w:t>CONCLUSIONS OF LAW</w:t>
      </w:r>
    </w:p>
    <w:p w:rsidR="00DB638D" w:rsidRPr="004675B2" w:rsidRDefault="00DB638D" w:rsidP="00DB638D">
      <w:pPr>
        <w:spacing w:after="0"/>
        <w:jc w:val="center"/>
        <w:rPr>
          <w:u w:val="single"/>
        </w:rPr>
      </w:pPr>
    </w:p>
    <w:p w:rsidR="00BA6DAA" w:rsidRDefault="00BA6DAA" w:rsidP="00DB638D">
      <w:pPr>
        <w:pStyle w:val="ListParagraph"/>
        <w:numPr>
          <w:ilvl w:val="0"/>
          <w:numId w:val="20"/>
        </w:numPr>
      </w:pPr>
      <w:r>
        <w:t>The Commission has jurisdiction over this dispute.</w:t>
      </w:r>
    </w:p>
    <w:p w:rsidR="00DB638D" w:rsidRDefault="00DB638D" w:rsidP="00DB638D">
      <w:pPr>
        <w:pStyle w:val="ListParagraph"/>
        <w:numPr>
          <w:ilvl w:val="0"/>
          <w:numId w:val="0"/>
        </w:numPr>
        <w:ind w:left="2160"/>
      </w:pPr>
    </w:p>
    <w:p w:rsidR="00BA6DAA" w:rsidRDefault="00BA6DAA" w:rsidP="00DB638D">
      <w:pPr>
        <w:pStyle w:val="ListParagraph"/>
        <w:numPr>
          <w:ilvl w:val="0"/>
          <w:numId w:val="20"/>
        </w:numPr>
        <w:ind w:left="0" w:firstLine="1440"/>
      </w:pPr>
      <w:r>
        <w:t>The Commission does not have jurisdiction to determine the negotiability of instruments.</w:t>
      </w:r>
    </w:p>
    <w:p w:rsidR="00DB638D" w:rsidRDefault="00DB638D" w:rsidP="00DB638D">
      <w:pPr>
        <w:pStyle w:val="ListParagraph"/>
        <w:numPr>
          <w:ilvl w:val="0"/>
          <w:numId w:val="0"/>
        </w:numPr>
        <w:ind w:left="1440"/>
      </w:pPr>
    </w:p>
    <w:p w:rsidR="00BA6DAA" w:rsidRDefault="00BA6DAA" w:rsidP="007843C4">
      <w:pPr>
        <w:spacing w:after="0"/>
      </w:pPr>
      <w:r>
        <w:tab/>
        <w:t>3.</w:t>
      </w:r>
      <w:r>
        <w:tab/>
        <w:t>The Complainant failed to prove that PECO’s policy of only accepting certain types of payment for electricity service was unreasonable or in violation of the Public Utility Code or the Commission’s regulations.</w:t>
      </w:r>
    </w:p>
    <w:p w:rsidR="007843C4" w:rsidRDefault="007843C4" w:rsidP="007843C4">
      <w:pPr>
        <w:spacing w:after="0"/>
      </w:pPr>
    </w:p>
    <w:p w:rsidR="007843C4" w:rsidRDefault="007843C4" w:rsidP="003350F1">
      <w:pPr>
        <w:spacing w:after="0" w:line="240" w:lineRule="auto"/>
      </w:pPr>
    </w:p>
    <w:p w:rsidR="00BA6DAA" w:rsidRDefault="00BA6DAA" w:rsidP="007843C4">
      <w:pPr>
        <w:spacing w:after="0"/>
        <w:jc w:val="center"/>
        <w:rPr>
          <w:u w:val="single"/>
        </w:rPr>
      </w:pPr>
      <w:r w:rsidRPr="004675B2">
        <w:rPr>
          <w:u w:val="single"/>
        </w:rPr>
        <w:t>ORDER</w:t>
      </w:r>
    </w:p>
    <w:p w:rsidR="007843C4" w:rsidRDefault="007843C4" w:rsidP="003350F1">
      <w:pPr>
        <w:spacing w:after="0" w:line="240" w:lineRule="auto"/>
        <w:jc w:val="center"/>
        <w:rPr>
          <w:u w:val="single"/>
        </w:rPr>
      </w:pPr>
    </w:p>
    <w:p w:rsidR="007843C4" w:rsidRPr="004675B2" w:rsidRDefault="007843C4" w:rsidP="004675B2">
      <w:pPr>
        <w:jc w:val="center"/>
        <w:rPr>
          <w:u w:val="single"/>
        </w:rPr>
      </w:pPr>
    </w:p>
    <w:p w:rsidR="00BA6DAA" w:rsidRDefault="007843C4" w:rsidP="007843C4">
      <w:pPr>
        <w:spacing w:after="0"/>
      </w:pPr>
      <w:r>
        <w:tab/>
      </w:r>
      <w:r w:rsidR="00BA6DAA">
        <w:t>THEREFORE</w:t>
      </w:r>
      <w:r>
        <w:t>,</w:t>
      </w:r>
    </w:p>
    <w:p w:rsidR="007843C4" w:rsidRDefault="007843C4" w:rsidP="007843C4">
      <w:pPr>
        <w:spacing w:after="0"/>
      </w:pPr>
    </w:p>
    <w:p w:rsidR="00BA6DAA" w:rsidRDefault="007843C4" w:rsidP="007843C4">
      <w:pPr>
        <w:spacing w:after="0"/>
      </w:pPr>
      <w:r>
        <w:tab/>
      </w:r>
      <w:r w:rsidR="00BA6DAA">
        <w:t>IT IS ORDERED:</w:t>
      </w:r>
    </w:p>
    <w:p w:rsidR="007843C4" w:rsidRDefault="007843C4" w:rsidP="007843C4">
      <w:pPr>
        <w:spacing w:after="0"/>
      </w:pPr>
    </w:p>
    <w:p w:rsidR="007843C4" w:rsidRDefault="00BA6DAA" w:rsidP="003350F1">
      <w:pPr>
        <w:pStyle w:val="ListParagraph"/>
        <w:numPr>
          <w:ilvl w:val="0"/>
          <w:numId w:val="21"/>
        </w:numPr>
        <w:ind w:left="0" w:firstLine="1440"/>
      </w:pPr>
      <w:r>
        <w:t>That the complaint of James Coppedge at PUC Docket No. F-2014-2406180 is dismissed.</w:t>
      </w:r>
    </w:p>
    <w:p w:rsidR="007843C4" w:rsidRDefault="007843C4" w:rsidP="007843C4">
      <w:pPr>
        <w:pStyle w:val="ListParagraph"/>
        <w:numPr>
          <w:ilvl w:val="0"/>
          <w:numId w:val="0"/>
        </w:numPr>
        <w:ind w:left="2160"/>
      </w:pPr>
    </w:p>
    <w:p w:rsidR="00BA6DAA" w:rsidRDefault="00BA6DAA" w:rsidP="003350F1">
      <w:pPr>
        <w:pStyle w:val="ListParagraph"/>
        <w:numPr>
          <w:ilvl w:val="0"/>
          <w:numId w:val="21"/>
        </w:numPr>
      </w:pPr>
      <w:r>
        <w:t>That the Secretary shall mark this docket closed.</w:t>
      </w:r>
    </w:p>
    <w:p w:rsidR="003350F1" w:rsidRDefault="003350F1" w:rsidP="003350F1">
      <w:pPr>
        <w:pStyle w:val="ListParagraph"/>
        <w:numPr>
          <w:ilvl w:val="0"/>
          <w:numId w:val="0"/>
        </w:numPr>
        <w:ind w:left="1440"/>
      </w:pPr>
    </w:p>
    <w:p w:rsidR="003350F1" w:rsidRDefault="003350F1" w:rsidP="003350F1">
      <w:pPr>
        <w:pStyle w:val="ListParagraph"/>
        <w:numPr>
          <w:ilvl w:val="0"/>
          <w:numId w:val="0"/>
        </w:numPr>
        <w:ind w:left="1440"/>
      </w:pPr>
    </w:p>
    <w:p w:rsidR="003350F1" w:rsidRDefault="003350F1" w:rsidP="003350F1">
      <w:pPr>
        <w:spacing w:after="0" w:line="240" w:lineRule="auto"/>
      </w:pPr>
      <w:r>
        <w:t xml:space="preserve">Date:  </w:t>
      </w:r>
      <w:r w:rsidRPr="003350F1">
        <w:rPr>
          <w:u w:val="single"/>
        </w:rPr>
        <w:t>July 29, 2014</w:t>
      </w:r>
      <w:r>
        <w:tab/>
      </w:r>
      <w:r>
        <w:tab/>
      </w:r>
      <w:r>
        <w:tab/>
      </w:r>
      <w:r>
        <w:tab/>
      </w:r>
      <w:r>
        <w:tab/>
      </w:r>
      <w:r>
        <w:tab/>
      </w:r>
      <w:r>
        <w:rPr>
          <w:u w:val="single"/>
        </w:rPr>
        <w:tab/>
      </w:r>
      <w:r>
        <w:rPr>
          <w:u w:val="single"/>
        </w:rPr>
        <w:tab/>
        <w:t>/s/</w:t>
      </w:r>
      <w:r>
        <w:rPr>
          <w:u w:val="single"/>
        </w:rPr>
        <w:tab/>
      </w:r>
      <w:r>
        <w:rPr>
          <w:u w:val="single"/>
        </w:rPr>
        <w:tab/>
      </w:r>
      <w:r>
        <w:rPr>
          <w:u w:val="single"/>
        </w:rPr>
        <w:tab/>
      </w:r>
      <w:r>
        <w:tab/>
      </w:r>
      <w:r>
        <w:tab/>
      </w:r>
      <w:r>
        <w:tab/>
      </w:r>
      <w:r>
        <w:tab/>
      </w:r>
      <w:r>
        <w:tab/>
      </w:r>
      <w:r>
        <w:tab/>
      </w:r>
      <w:r>
        <w:tab/>
        <w:t>Mary D. Long</w:t>
      </w:r>
    </w:p>
    <w:p w:rsidR="003350F1" w:rsidRDefault="003350F1" w:rsidP="003350F1">
      <w:pPr>
        <w:spacing w:line="240" w:lineRule="auto"/>
      </w:pPr>
      <w:r>
        <w:tab/>
      </w:r>
      <w:r>
        <w:tab/>
      </w:r>
      <w:r>
        <w:tab/>
      </w:r>
      <w:r>
        <w:tab/>
      </w:r>
      <w:r>
        <w:tab/>
      </w:r>
      <w:r>
        <w:tab/>
      </w:r>
      <w:r>
        <w:tab/>
        <w:t>Administrative Law Judge</w:t>
      </w:r>
    </w:p>
    <w:p w:rsidR="003350F1" w:rsidRPr="003350F1" w:rsidRDefault="003350F1" w:rsidP="003350F1">
      <w:pPr>
        <w:pStyle w:val="ListParagraph"/>
        <w:numPr>
          <w:ilvl w:val="0"/>
          <w:numId w:val="0"/>
        </w:numPr>
        <w:ind w:left="1440" w:hanging="1440"/>
      </w:pPr>
    </w:p>
    <w:p w:rsidR="004100E8" w:rsidRDefault="004100E8" w:rsidP="00AC6A9E">
      <w:pPr>
        <w:ind w:firstLine="1440"/>
        <w:rPr>
          <w:szCs w:val="24"/>
        </w:rPr>
      </w:pPr>
    </w:p>
    <w:p w:rsidR="00AC6A9E" w:rsidRDefault="00AC6A9E"/>
    <w:sectPr w:rsidR="00AC6A9E" w:rsidSect="00693DCE">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0F0" w:rsidRDefault="00D420F0" w:rsidP="00183468">
      <w:pPr>
        <w:spacing w:after="0" w:line="240" w:lineRule="auto"/>
      </w:pPr>
      <w:r>
        <w:separator/>
      </w:r>
    </w:p>
  </w:endnote>
  <w:endnote w:type="continuationSeparator" w:id="0">
    <w:p w:rsidR="00D420F0" w:rsidRDefault="00D420F0" w:rsidP="00183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994365"/>
      <w:docPartObj>
        <w:docPartGallery w:val="Page Numbers (Bottom of Page)"/>
        <w:docPartUnique/>
      </w:docPartObj>
    </w:sdtPr>
    <w:sdtEndPr>
      <w:rPr>
        <w:noProof/>
        <w:sz w:val="20"/>
      </w:rPr>
    </w:sdtEndPr>
    <w:sdtContent>
      <w:p w:rsidR="00693DCE" w:rsidRPr="00935A2E" w:rsidRDefault="00693DCE">
        <w:pPr>
          <w:pStyle w:val="Footer"/>
          <w:jc w:val="center"/>
          <w:rPr>
            <w:sz w:val="20"/>
          </w:rPr>
        </w:pPr>
        <w:r w:rsidRPr="00935A2E">
          <w:rPr>
            <w:sz w:val="20"/>
          </w:rPr>
          <w:fldChar w:fldCharType="begin"/>
        </w:r>
        <w:r w:rsidRPr="00935A2E">
          <w:rPr>
            <w:sz w:val="20"/>
          </w:rPr>
          <w:instrText xml:space="preserve"> PAGE   \* MERGEFORMAT </w:instrText>
        </w:r>
        <w:r w:rsidRPr="00935A2E">
          <w:rPr>
            <w:sz w:val="20"/>
          </w:rPr>
          <w:fldChar w:fldCharType="separate"/>
        </w:r>
        <w:r w:rsidR="00401577">
          <w:rPr>
            <w:noProof/>
            <w:sz w:val="20"/>
          </w:rPr>
          <w:t>6</w:t>
        </w:r>
        <w:r w:rsidRPr="00935A2E">
          <w:rPr>
            <w:noProof/>
            <w:sz w:val="20"/>
          </w:rPr>
          <w:fldChar w:fldCharType="end"/>
        </w:r>
      </w:p>
    </w:sdtContent>
  </w:sdt>
  <w:p w:rsidR="00693DCE" w:rsidRDefault="00693D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0F0" w:rsidRDefault="00D420F0" w:rsidP="00183468">
      <w:pPr>
        <w:spacing w:after="0" w:line="240" w:lineRule="auto"/>
      </w:pPr>
      <w:r>
        <w:separator/>
      </w:r>
    </w:p>
  </w:footnote>
  <w:footnote w:type="continuationSeparator" w:id="0">
    <w:p w:rsidR="00D420F0" w:rsidRDefault="00D420F0" w:rsidP="00183468">
      <w:pPr>
        <w:spacing w:after="0" w:line="240" w:lineRule="auto"/>
      </w:pPr>
      <w:r>
        <w:continuationSeparator/>
      </w:r>
    </w:p>
  </w:footnote>
  <w:footnote w:id="1">
    <w:p w:rsidR="00183468" w:rsidRDefault="00183468" w:rsidP="00183468">
      <w:pPr>
        <w:pStyle w:val="FootnoteText"/>
        <w:ind w:firstLine="720"/>
      </w:pPr>
      <w:r>
        <w:rPr>
          <w:rStyle w:val="FootnoteReference"/>
        </w:rPr>
        <w:footnoteRef/>
      </w:r>
      <w:r>
        <w:t xml:space="preserve">  </w:t>
      </w:r>
      <w:r>
        <w:tab/>
        <w:t>The Complainant filed a document on June 14, 2014, entitled “Notice of Default and Dishonor.”  As this filing was made after the record was closed and without leave, it has not been considered in the disposition of this matter.</w:t>
      </w:r>
    </w:p>
  </w:footnote>
  <w:footnote w:id="2">
    <w:p w:rsidR="00AC6A9E" w:rsidRDefault="00AC6A9E" w:rsidP="009A508F">
      <w:pPr>
        <w:pStyle w:val="FootnoteText"/>
        <w:spacing w:after="0"/>
        <w:ind w:firstLine="720"/>
      </w:pPr>
      <w:r w:rsidRPr="00C81B96">
        <w:rPr>
          <w:rStyle w:val="FootnoteReference"/>
        </w:rPr>
        <w:footnoteRef/>
      </w:r>
      <w:r w:rsidRPr="00C81B96">
        <w:t xml:space="preserve"> </w:t>
      </w:r>
      <w:r>
        <w:tab/>
        <w:t>66 Pa.</w:t>
      </w:r>
      <w:r w:rsidRPr="00C81B96">
        <w:t>C.S. §</w:t>
      </w:r>
      <w:r>
        <w:t xml:space="preserve"> </w:t>
      </w:r>
      <w:r w:rsidRPr="00C81B96">
        <w:t>701.</w:t>
      </w:r>
    </w:p>
    <w:p w:rsidR="00AC6A9E" w:rsidRPr="00C81B96" w:rsidRDefault="00AC6A9E" w:rsidP="00AC6A9E">
      <w:pPr>
        <w:pStyle w:val="FootnoteText"/>
        <w:spacing w:after="0"/>
      </w:pPr>
    </w:p>
  </w:footnote>
  <w:footnote w:id="3">
    <w:p w:rsidR="00AC6A9E" w:rsidRDefault="00AC6A9E" w:rsidP="009A508F">
      <w:pPr>
        <w:pStyle w:val="FootnoteText"/>
        <w:spacing w:after="0"/>
        <w:ind w:firstLine="720"/>
      </w:pPr>
      <w:r w:rsidRPr="00C81B96">
        <w:rPr>
          <w:rStyle w:val="FootnoteReference"/>
        </w:rPr>
        <w:footnoteRef/>
      </w:r>
      <w:r w:rsidRPr="00C81B96">
        <w:t xml:space="preserve"> </w:t>
      </w:r>
      <w:r>
        <w:tab/>
        <w:t>66 Pa.</w:t>
      </w:r>
      <w:r w:rsidRPr="00C81B96">
        <w:t>C.S. §</w:t>
      </w:r>
      <w:r>
        <w:t xml:space="preserve"> </w:t>
      </w:r>
      <w:r w:rsidRPr="00C81B96">
        <w:t>332(a).</w:t>
      </w:r>
    </w:p>
    <w:p w:rsidR="00AC6A9E" w:rsidRPr="00C81B96" w:rsidRDefault="00AC6A9E" w:rsidP="00AC6A9E">
      <w:pPr>
        <w:pStyle w:val="FootnoteText"/>
        <w:spacing w:after="0"/>
      </w:pPr>
    </w:p>
  </w:footnote>
  <w:footnote w:id="4">
    <w:p w:rsidR="00AC6A9E" w:rsidRDefault="00AC6A9E" w:rsidP="009A508F">
      <w:pPr>
        <w:pStyle w:val="FootnoteText"/>
        <w:spacing w:after="0"/>
        <w:ind w:firstLine="720"/>
      </w:pPr>
      <w:r w:rsidRPr="00C81B96">
        <w:rPr>
          <w:rStyle w:val="FootnoteReference"/>
        </w:rPr>
        <w:footnoteRef/>
      </w:r>
      <w:r w:rsidRPr="00C81B96">
        <w:t xml:space="preserve"> </w:t>
      </w:r>
      <w:r>
        <w:tab/>
      </w:r>
      <w:r w:rsidRPr="000637F9">
        <w:rPr>
          <w:i/>
        </w:rPr>
        <w:t>Se-Ling Hosiery, Inc. v. Margulies</w:t>
      </w:r>
      <w:r w:rsidRPr="00C81B96">
        <w:t xml:space="preserve">, 364 Pa. 45, 70 A.2d 854 (1950); </w:t>
      </w:r>
      <w:r w:rsidRPr="000637F9">
        <w:rPr>
          <w:i/>
        </w:rPr>
        <w:t>Feinstein v. Philadelphia Suburban Water Company</w:t>
      </w:r>
      <w:r w:rsidRPr="000213A4">
        <w:t>,</w:t>
      </w:r>
      <w:r w:rsidRPr="00C81B96">
        <w:t xml:space="preserve"> 50 P</w:t>
      </w:r>
      <w:r w:rsidR="00DA26DF">
        <w:t>a.</w:t>
      </w:r>
      <w:r w:rsidRPr="00C81B96">
        <w:t xml:space="preserve"> PUC 300 (1976).</w:t>
      </w:r>
    </w:p>
    <w:p w:rsidR="00AC6A9E" w:rsidRPr="00C81B96" w:rsidRDefault="00AC6A9E" w:rsidP="00AC6A9E">
      <w:pPr>
        <w:pStyle w:val="FootnoteText"/>
        <w:spacing w:after="0"/>
      </w:pPr>
    </w:p>
  </w:footnote>
  <w:footnote w:id="5">
    <w:p w:rsidR="00E43D7C" w:rsidRPr="00A64B1F" w:rsidRDefault="00E43D7C" w:rsidP="009A508F">
      <w:pPr>
        <w:pStyle w:val="FootnoteText"/>
        <w:ind w:firstLine="720"/>
      </w:pPr>
      <w:r w:rsidRPr="00A64B1F">
        <w:rPr>
          <w:rStyle w:val="FootnoteReference"/>
        </w:rPr>
        <w:footnoteRef/>
      </w:r>
      <w:r w:rsidRPr="00A64B1F">
        <w:t xml:space="preserve">  </w:t>
      </w:r>
      <w:r w:rsidRPr="00A64B1F">
        <w:tab/>
        <w:t>66 Pa.C.S. § 1501.</w:t>
      </w:r>
    </w:p>
  </w:footnote>
  <w:footnote w:id="6">
    <w:p w:rsidR="00E43D7C" w:rsidRDefault="00E43D7C" w:rsidP="00925BA0">
      <w:pPr>
        <w:pStyle w:val="FootnoteText"/>
        <w:spacing w:after="0"/>
        <w:ind w:left="720"/>
      </w:pPr>
      <w:r w:rsidRPr="00A64B1F">
        <w:rPr>
          <w:rStyle w:val="FootnoteReference"/>
        </w:rPr>
        <w:footnoteRef/>
      </w:r>
      <w:r w:rsidRPr="00A64B1F">
        <w:t xml:space="preserve">  </w:t>
      </w:r>
      <w:r w:rsidRPr="00A64B1F">
        <w:tab/>
      </w:r>
      <w:r w:rsidRPr="00931E61">
        <w:rPr>
          <w:i/>
        </w:rPr>
        <w:t>West Penn Power Co. v. Pa. Pub</w:t>
      </w:r>
      <w:r w:rsidR="00E013C2">
        <w:rPr>
          <w:i/>
        </w:rPr>
        <w:t>.</w:t>
      </w:r>
      <w:r w:rsidRPr="00931E61">
        <w:rPr>
          <w:i/>
        </w:rPr>
        <w:t xml:space="preserve"> Util. Comm’n</w:t>
      </w:r>
      <w:r w:rsidRPr="00A64B1F">
        <w:t>, 478 A.2d 947, 949 (Pa.Cmwlth. 1984).</w:t>
      </w:r>
    </w:p>
    <w:p w:rsidR="00925BA0" w:rsidRPr="00A64B1F" w:rsidRDefault="00925BA0" w:rsidP="00925BA0">
      <w:pPr>
        <w:pStyle w:val="FootnoteText"/>
        <w:spacing w:after="0"/>
        <w:ind w:left="720"/>
      </w:pPr>
    </w:p>
  </w:footnote>
  <w:footnote w:id="7">
    <w:p w:rsidR="00E43D7C" w:rsidRDefault="00E43D7C" w:rsidP="00925BA0">
      <w:pPr>
        <w:pStyle w:val="FootnoteText"/>
        <w:spacing w:after="0"/>
        <w:ind w:firstLine="720"/>
      </w:pPr>
      <w:r w:rsidRPr="00A64B1F">
        <w:rPr>
          <w:rStyle w:val="FootnoteReference"/>
        </w:rPr>
        <w:footnoteRef/>
      </w:r>
      <w:r w:rsidRPr="00A64B1F">
        <w:t xml:space="preserve">  </w:t>
      </w:r>
      <w:r w:rsidRPr="00A64B1F">
        <w:tab/>
      </w:r>
      <w:r w:rsidRPr="00A64B1F">
        <w:rPr>
          <w:i/>
        </w:rPr>
        <w:t>Re Metropolitan Edison Company</w:t>
      </w:r>
      <w:r w:rsidRPr="00A64B1F">
        <w:t>, 80 Pa. PUC 663, 672 (1993).</w:t>
      </w:r>
    </w:p>
    <w:p w:rsidR="00925BA0" w:rsidRPr="00A64B1F" w:rsidRDefault="00925BA0" w:rsidP="00925BA0">
      <w:pPr>
        <w:pStyle w:val="FootnoteText"/>
        <w:spacing w:after="0"/>
        <w:ind w:firstLine="720"/>
      </w:pPr>
    </w:p>
  </w:footnote>
  <w:footnote w:id="8">
    <w:p w:rsidR="00E43D7C" w:rsidRDefault="00E43D7C" w:rsidP="00925BA0">
      <w:pPr>
        <w:pStyle w:val="FootnoteText"/>
        <w:spacing w:after="0"/>
        <w:ind w:firstLine="720"/>
      </w:pPr>
      <w:r w:rsidRPr="00A64B1F">
        <w:rPr>
          <w:rStyle w:val="FootnoteReference"/>
        </w:rPr>
        <w:footnoteRef/>
      </w:r>
      <w:r w:rsidRPr="00A64B1F">
        <w:t xml:space="preserve"> </w:t>
      </w:r>
      <w:r w:rsidRPr="00A64B1F">
        <w:tab/>
      </w:r>
      <w:r w:rsidRPr="00A64B1F">
        <w:rPr>
          <w:i/>
        </w:rPr>
        <w:t>Scherich v. Verizon Pennsylvania Inc.</w:t>
      </w:r>
      <w:r w:rsidRPr="00A64B1F">
        <w:t>, PUC Docket Nos. C-2008-2061244, C-2008</w:t>
      </w:r>
      <w:r>
        <w:t>-</w:t>
      </w:r>
      <w:r w:rsidRPr="00A64B1F">
        <w:t>2068818 (Final Order January 28, 2010).</w:t>
      </w:r>
    </w:p>
    <w:p w:rsidR="00925BA0" w:rsidRPr="00A64B1F" w:rsidRDefault="00925BA0" w:rsidP="00925BA0">
      <w:pPr>
        <w:pStyle w:val="FootnoteText"/>
        <w:spacing w:after="0"/>
        <w:ind w:firstLine="720"/>
      </w:pPr>
    </w:p>
  </w:footnote>
  <w:footnote w:id="9">
    <w:p w:rsidR="00E43D7C" w:rsidRDefault="00E43D7C" w:rsidP="00925BA0">
      <w:pPr>
        <w:pStyle w:val="FootnoteText"/>
        <w:spacing w:after="0"/>
        <w:ind w:firstLine="720"/>
      </w:pPr>
      <w:r w:rsidRPr="00A64B1F">
        <w:rPr>
          <w:rStyle w:val="FootnoteReference"/>
        </w:rPr>
        <w:footnoteRef/>
      </w:r>
      <w:r w:rsidRPr="00A64B1F">
        <w:t xml:space="preserve">  </w:t>
      </w:r>
      <w:r w:rsidRPr="00A64B1F">
        <w:tab/>
      </w:r>
      <w:r w:rsidRPr="004A1C94">
        <w:rPr>
          <w:i/>
        </w:rPr>
        <w:t>Id</w:t>
      </w:r>
      <w:r w:rsidRPr="00A64B1F">
        <w:t>.</w:t>
      </w:r>
    </w:p>
    <w:p w:rsidR="00925BA0" w:rsidRPr="00A64B1F" w:rsidRDefault="00925BA0" w:rsidP="00925BA0">
      <w:pPr>
        <w:pStyle w:val="FootnoteText"/>
        <w:spacing w:after="0"/>
        <w:ind w:firstLine="720"/>
      </w:pPr>
    </w:p>
  </w:footnote>
  <w:footnote w:id="10">
    <w:p w:rsidR="00A26A53" w:rsidRDefault="00A26A53" w:rsidP="00925BA0">
      <w:pPr>
        <w:pStyle w:val="FootnoteText"/>
        <w:spacing w:after="0"/>
        <w:ind w:firstLine="720"/>
      </w:pPr>
      <w:r>
        <w:rPr>
          <w:rStyle w:val="FootnoteReference"/>
        </w:rPr>
        <w:footnoteRef/>
      </w:r>
      <w:r>
        <w:t xml:space="preserve">  </w:t>
      </w:r>
      <w:r>
        <w:tab/>
        <w:t>52 Pa.Code § 56.94</w:t>
      </w:r>
      <w:r w:rsidR="00172D55">
        <w:t xml:space="preserve"> (emphasis added)</w:t>
      </w:r>
      <w:r>
        <w:t>.</w:t>
      </w:r>
    </w:p>
    <w:p w:rsidR="00925BA0" w:rsidRDefault="00925BA0" w:rsidP="00925BA0">
      <w:pPr>
        <w:pStyle w:val="FootnoteText"/>
        <w:spacing w:after="0"/>
        <w:ind w:firstLine="720"/>
      </w:pPr>
    </w:p>
  </w:footnote>
  <w:footnote w:id="11">
    <w:p w:rsidR="00A26A53" w:rsidRDefault="00A26A53" w:rsidP="009A508F">
      <w:pPr>
        <w:pStyle w:val="FootnoteText"/>
        <w:ind w:left="720"/>
      </w:pPr>
      <w:r>
        <w:rPr>
          <w:rStyle w:val="FootnoteReference"/>
        </w:rPr>
        <w:footnoteRef/>
      </w:r>
      <w:r>
        <w:t xml:space="preserve">  </w:t>
      </w:r>
      <w:r>
        <w:tab/>
        <w:t>PECO Tariff Rule 17.3.</w:t>
      </w:r>
    </w:p>
  </w:footnote>
  <w:footnote w:id="12">
    <w:p w:rsidR="00BA259A" w:rsidRDefault="00BA259A" w:rsidP="00373E22">
      <w:pPr>
        <w:pStyle w:val="FootnoteText"/>
        <w:spacing w:after="0"/>
        <w:ind w:firstLine="720"/>
      </w:pPr>
      <w:r>
        <w:rPr>
          <w:rStyle w:val="FootnoteReference"/>
        </w:rPr>
        <w:footnoteRef/>
      </w:r>
      <w:r>
        <w:t xml:space="preserve">  </w:t>
      </w:r>
      <w:r>
        <w:tab/>
      </w:r>
      <w:r>
        <w:rPr>
          <w:i/>
        </w:rPr>
        <w:t xml:space="preserve">Alkhatib v. PECO Energy Company, </w:t>
      </w:r>
      <w:r>
        <w:t xml:space="preserve"> PUC Docket No.  C-2011-2242125 (Opinion and Order entered January 12, 2012); </w:t>
      </w:r>
      <w:r>
        <w:rPr>
          <w:i/>
        </w:rPr>
        <w:t>Coppedge v. PECO Energy Company,</w:t>
      </w:r>
      <w:r>
        <w:t xml:space="preserve"> PUC Docket No. F-2009-2135893 (Opinion and Order entered August 3, 2010).</w:t>
      </w:r>
    </w:p>
    <w:p w:rsidR="00373E22" w:rsidRPr="00BA259A" w:rsidRDefault="00373E22" w:rsidP="00373E22">
      <w:pPr>
        <w:pStyle w:val="FootnoteText"/>
        <w:spacing w:after="0"/>
        <w:ind w:firstLine="720"/>
      </w:pPr>
    </w:p>
  </w:footnote>
  <w:footnote w:id="13">
    <w:p w:rsidR="000B1557" w:rsidRPr="000B1557" w:rsidRDefault="000B1557" w:rsidP="009C1084">
      <w:pPr>
        <w:pStyle w:val="FootnoteText"/>
        <w:ind w:firstLine="720"/>
      </w:pPr>
      <w:r>
        <w:rPr>
          <w:rStyle w:val="FootnoteReference"/>
        </w:rPr>
        <w:footnoteRef/>
      </w:r>
      <w:r>
        <w:t xml:space="preserve">  </w:t>
      </w:r>
      <w:r>
        <w:tab/>
        <w:t>Several courts in othe</w:t>
      </w:r>
      <w:r w:rsidR="00401577">
        <w:t xml:space="preserve">r jurisdictions have found </w:t>
      </w:r>
      <w:bookmarkStart w:id="0" w:name="_GoBack"/>
      <w:bookmarkEnd w:id="0"/>
      <w:r>
        <w:t xml:space="preserve">“bills of exchange purporting to be drawn against a trust account at the U.S. Treasury to be ‘nothing more than a string of words that sound as though they belong in a legal document, but which, in reality, are incomprehensible, signifying nothing.’”  </w:t>
      </w:r>
      <w:r>
        <w:rPr>
          <w:i/>
        </w:rPr>
        <w:t>In re</w:t>
      </w:r>
      <w:r w:rsidR="00E013C2">
        <w:rPr>
          <w:i/>
        </w:rPr>
        <w:t>:</w:t>
      </w:r>
      <w:r w:rsidR="00B159C8">
        <w:rPr>
          <w:i/>
        </w:rPr>
        <w:t xml:space="preserve"> </w:t>
      </w:r>
      <w:r>
        <w:rPr>
          <w:i/>
        </w:rPr>
        <w:t xml:space="preserve"> Denise Fach</w:t>
      </w:r>
      <w:r w:rsidR="00457D3A">
        <w:rPr>
          <w:i/>
        </w:rPr>
        <w:t>i</w:t>
      </w:r>
      <w:r>
        <w:rPr>
          <w:i/>
        </w:rPr>
        <w:t>ni</w:t>
      </w:r>
      <w:r>
        <w:t>, 2012 Bankr. LEXIS 448 at 5 (</w:t>
      </w:r>
      <w:r w:rsidR="008D753A">
        <w:t>Bankr. M.D. Ga.  2012)</w:t>
      </w:r>
      <w:r w:rsidR="00374C13">
        <w:t xml:space="preserve"> </w:t>
      </w:r>
      <w:r w:rsidR="008D753A">
        <w:t>(and the cases cited therein).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B4C5B6"/>
    <w:lvl w:ilvl="0">
      <w:start w:val="1"/>
      <w:numFmt w:val="decimal"/>
      <w:lvlText w:val="%1."/>
      <w:lvlJc w:val="left"/>
      <w:pPr>
        <w:tabs>
          <w:tab w:val="num" w:pos="1800"/>
        </w:tabs>
        <w:ind w:left="1800" w:hanging="360"/>
      </w:pPr>
    </w:lvl>
  </w:abstractNum>
  <w:abstractNum w:abstractNumId="1">
    <w:nsid w:val="FFFFFF7D"/>
    <w:multiLevelType w:val="singleLevel"/>
    <w:tmpl w:val="45B0EE88"/>
    <w:lvl w:ilvl="0">
      <w:start w:val="1"/>
      <w:numFmt w:val="decimal"/>
      <w:lvlText w:val="%1."/>
      <w:lvlJc w:val="left"/>
      <w:pPr>
        <w:tabs>
          <w:tab w:val="num" w:pos="1440"/>
        </w:tabs>
        <w:ind w:left="1440" w:hanging="360"/>
      </w:pPr>
    </w:lvl>
  </w:abstractNum>
  <w:abstractNum w:abstractNumId="2">
    <w:nsid w:val="FFFFFF7E"/>
    <w:multiLevelType w:val="singleLevel"/>
    <w:tmpl w:val="F822BAB6"/>
    <w:lvl w:ilvl="0">
      <w:start w:val="1"/>
      <w:numFmt w:val="decimal"/>
      <w:lvlText w:val="%1."/>
      <w:lvlJc w:val="left"/>
      <w:pPr>
        <w:tabs>
          <w:tab w:val="num" w:pos="1080"/>
        </w:tabs>
        <w:ind w:left="1080" w:hanging="360"/>
      </w:pPr>
    </w:lvl>
  </w:abstractNum>
  <w:abstractNum w:abstractNumId="3">
    <w:nsid w:val="FFFFFF7F"/>
    <w:multiLevelType w:val="singleLevel"/>
    <w:tmpl w:val="392E1DA0"/>
    <w:lvl w:ilvl="0">
      <w:start w:val="1"/>
      <w:numFmt w:val="decimal"/>
      <w:lvlText w:val="%1."/>
      <w:lvlJc w:val="left"/>
      <w:pPr>
        <w:tabs>
          <w:tab w:val="num" w:pos="720"/>
        </w:tabs>
        <w:ind w:left="720" w:hanging="360"/>
      </w:pPr>
    </w:lvl>
  </w:abstractNum>
  <w:abstractNum w:abstractNumId="4">
    <w:nsid w:val="FFFFFF80"/>
    <w:multiLevelType w:val="singleLevel"/>
    <w:tmpl w:val="0B3678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89077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A74101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10AA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6485BB8"/>
    <w:lvl w:ilvl="0">
      <w:start w:val="1"/>
      <w:numFmt w:val="decimal"/>
      <w:lvlText w:val="%1."/>
      <w:lvlJc w:val="left"/>
      <w:pPr>
        <w:tabs>
          <w:tab w:val="num" w:pos="360"/>
        </w:tabs>
        <w:ind w:left="360" w:hanging="360"/>
      </w:pPr>
    </w:lvl>
  </w:abstractNum>
  <w:abstractNum w:abstractNumId="9">
    <w:nsid w:val="FFFFFF89"/>
    <w:multiLevelType w:val="singleLevel"/>
    <w:tmpl w:val="584A7692"/>
    <w:lvl w:ilvl="0">
      <w:start w:val="1"/>
      <w:numFmt w:val="bullet"/>
      <w:lvlText w:val=""/>
      <w:lvlJc w:val="left"/>
      <w:pPr>
        <w:tabs>
          <w:tab w:val="num" w:pos="360"/>
        </w:tabs>
        <w:ind w:left="360" w:hanging="360"/>
      </w:pPr>
      <w:rPr>
        <w:rFonts w:ascii="Symbol" w:hAnsi="Symbol" w:hint="default"/>
      </w:rPr>
    </w:lvl>
  </w:abstractNum>
  <w:abstractNum w:abstractNumId="10">
    <w:nsid w:val="21B42D60"/>
    <w:multiLevelType w:val="hybridMultilevel"/>
    <w:tmpl w:val="2E805826"/>
    <w:lvl w:ilvl="0" w:tplc="D9C85E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B351277"/>
    <w:multiLevelType w:val="hybridMultilevel"/>
    <w:tmpl w:val="DDEC6B96"/>
    <w:lvl w:ilvl="0" w:tplc="ECFC1F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A06036"/>
    <w:multiLevelType w:val="hybridMultilevel"/>
    <w:tmpl w:val="3B164C08"/>
    <w:lvl w:ilvl="0" w:tplc="241E12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C6A1664"/>
    <w:multiLevelType w:val="hybridMultilevel"/>
    <w:tmpl w:val="FCEEE7B0"/>
    <w:lvl w:ilvl="0" w:tplc="9BA8013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11C0C2F"/>
    <w:multiLevelType w:val="hybridMultilevel"/>
    <w:tmpl w:val="15AEFB0A"/>
    <w:lvl w:ilvl="0" w:tplc="6308AFD8">
      <w:start w:val="1"/>
      <w:numFmt w:val="decimal"/>
      <w:pStyle w:val="ListParagraph"/>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16"/>
  </w:num>
  <w:num w:numId="3">
    <w:abstractNumId w:val="18"/>
  </w:num>
  <w:num w:numId="4">
    <w:abstractNumId w:val="20"/>
  </w:num>
  <w:num w:numId="5">
    <w:abstractNumId w:val="12"/>
  </w:num>
  <w:num w:numId="6">
    <w:abstractNumId w:val="11"/>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7"/>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EB5"/>
    <w:rsid w:val="00004C37"/>
    <w:rsid w:val="00060978"/>
    <w:rsid w:val="000639B1"/>
    <w:rsid w:val="000B1557"/>
    <w:rsid w:val="000D1D95"/>
    <w:rsid w:val="00123DB3"/>
    <w:rsid w:val="00172D55"/>
    <w:rsid w:val="00173391"/>
    <w:rsid w:val="00183468"/>
    <w:rsid w:val="001902EB"/>
    <w:rsid w:val="001B1CBA"/>
    <w:rsid w:val="001E5361"/>
    <w:rsid w:val="00203B6F"/>
    <w:rsid w:val="00213167"/>
    <w:rsid w:val="0024517E"/>
    <w:rsid w:val="00253EEF"/>
    <w:rsid w:val="0027213B"/>
    <w:rsid w:val="0028709F"/>
    <w:rsid w:val="002F38BD"/>
    <w:rsid w:val="0032329E"/>
    <w:rsid w:val="003350F1"/>
    <w:rsid w:val="00373E22"/>
    <w:rsid w:val="00374C13"/>
    <w:rsid w:val="00393C92"/>
    <w:rsid w:val="00401577"/>
    <w:rsid w:val="004100E8"/>
    <w:rsid w:val="004247F2"/>
    <w:rsid w:val="00457D3A"/>
    <w:rsid w:val="004675B2"/>
    <w:rsid w:val="004D523C"/>
    <w:rsid w:val="00501154"/>
    <w:rsid w:val="00562B4D"/>
    <w:rsid w:val="00594A87"/>
    <w:rsid w:val="005D62F8"/>
    <w:rsid w:val="0061775F"/>
    <w:rsid w:val="006732CC"/>
    <w:rsid w:val="00693DCE"/>
    <w:rsid w:val="006A364B"/>
    <w:rsid w:val="007843C4"/>
    <w:rsid w:val="00792796"/>
    <w:rsid w:val="007A4DF8"/>
    <w:rsid w:val="007E6779"/>
    <w:rsid w:val="008222DC"/>
    <w:rsid w:val="008529D2"/>
    <w:rsid w:val="00873272"/>
    <w:rsid w:val="008B022F"/>
    <w:rsid w:val="008D753A"/>
    <w:rsid w:val="008E3CBE"/>
    <w:rsid w:val="008F643B"/>
    <w:rsid w:val="00925BA0"/>
    <w:rsid w:val="00935A2E"/>
    <w:rsid w:val="009A09D2"/>
    <w:rsid w:val="009A508F"/>
    <w:rsid w:val="009C1084"/>
    <w:rsid w:val="009E35DA"/>
    <w:rsid w:val="00A26A53"/>
    <w:rsid w:val="00A42847"/>
    <w:rsid w:val="00A506B5"/>
    <w:rsid w:val="00A860AE"/>
    <w:rsid w:val="00AA2EC5"/>
    <w:rsid w:val="00AB4C73"/>
    <w:rsid w:val="00AC6A9E"/>
    <w:rsid w:val="00AE0B7E"/>
    <w:rsid w:val="00AE6F47"/>
    <w:rsid w:val="00B159C8"/>
    <w:rsid w:val="00B365B0"/>
    <w:rsid w:val="00B6589E"/>
    <w:rsid w:val="00BA259A"/>
    <w:rsid w:val="00BA6DAA"/>
    <w:rsid w:val="00BC6B21"/>
    <w:rsid w:val="00BF554E"/>
    <w:rsid w:val="00C37EB5"/>
    <w:rsid w:val="00C70E79"/>
    <w:rsid w:val="00CB6518"/>
    <w:rsid w:val="00CD1A01"/>
    <w:rsid w:val="00D16E89"/>
    <w:rsid w:val="00D420F0"/>
    <w:rsid w:val="00DA26DF"/>
    <w:rsid w:val="00DB638D"/>
    <w:rsid w:val="00DC0BCC"/>
    <w:rsid w:val="00DD5C37"/>
    <w:rsid w:val="00DD7BFA"/>
    <w:rsid w:val="00E013C2"/>
    <w:rsid w:val="00E22790"/>
    <w:rsid w:val="00E33C6C"/>
    <w:rsid w:val="00E43D7C"/>
    <w:rsid w:val="00E550C4"/>
    <w:rsid w:val="00EC1CBA"/>
    <w:rsid w:val="00F06388"/>
    <w:rsid w:val="00F544E1"/>
    <w:rsid w:val="00FA0461"/>
    <w:rsid w:val="00FD5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EC5"/>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DD7BFA"/>
    <w:pPr>
      <w:numPr>
        <w:numId w:val="19"/>
      </w:numPr>
      <w:tabs>
        <w:tab w:val="clear" w:pos="1440"/>
      </w:tabs>
      <w:spacing w:after="0"/>
      <w:ind w:left="0" w:firstLine="1440"/>
    </w:pPr>
  </w:style>
  <w:style w:type="paragraph" w:styleId="FootnoteText">
    <w:name w:val="footnote text"/>
    <w:aliases w:val="C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unhideWhenUsed/>
    <w:rsid w:val="00183468"/>
    <w:rPr>
      <w:vertAlign w:val="superscript"/>
    </w:rPr>
  </w:style>
  <w:style w:type="paragraph" w:styleId="Header">
    <w:name w:val="header"/>
    <w:basedOn w:val="Normal"/>
    <w:link w:val="HeaderChar"/>
    <w:uiPriority w:val="99"/>
    <w:unhideWhenUsed/>
    <w:rsid w:val="00693DCE"/>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693DCE"/>
    <w:rPr>
      <w:rFonts w:ascii="Times New Roman" w:hAnsi="Times New Roman" w:cs="Times New Roman"/>
      <w:sz w:val="24"/>
      <w:szCs w:val="20"/>
    </w:rPr>
  </w:style>
  <w:style w:type="paragraph" w:styleId="Footer">
    <w:name w:val="footer"/>
    <w:basedOn w:val="Normal"/>
    <w:link w:val="FooterChar"/>
    <w:uiPriority w:val="99"/>
    <w:unhideWhenUsed/>
    <w:rsid w:val="00693DCE"/>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693DCE"/>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CB6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5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EC5"/>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DD7BFA"/>
    <w:pPr>
      <w:numPr>
        <w:numId w:val="19"/>
      </w:numPr>
      <w:tabs>
        <w:tab w:val="clear" w:pos="1440"/>
      </w:tabs>
      <w:spacing w:after="0"/>
      <w:ind w:left="0" w:firstLine="1440"/>
    </w:pPr>
  </w:style>
  <w:style w:type="paragraph" w:styleId="FootnoteText">
    <w:name w:val="footnote text"/>
    <w:aliases w:val="C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unhideWhenUsed/>
    <w:rsid w:val="00183468"/>
    <w:rPr>
      <w:vertAlign w:val="superscript"/>
    </w:rPr>
  </w:style>
  <w:style w:type="paragraph" w:styleId="Header">
    <w:name w:val="header"/>
    <w:basedOn w:val="Normal"/>
    <w:link w:val="HeaderChar"/>
    <w:uiPriority w:val="99"/>
    <w:unhideWhenUsed/>
    <w:rsid w:val="00693DCE"/>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693DCE"/>
    <w:rPr>
      <w:rFonts w:ascii="Times New Roman" w:hAnsi="Times New Roman" w:cs="Times New Roman"/>
      <w:sz w:val="24"/>
      <w:szCs w:val="20"/>
    </w:rPr>
  </w:style>
  <w:style w:type="paragraph" w:styleId="Footer">
    <w:name w:val="footer"/>
    <w:basedOn w:val="Normal"/>
    <w:link w:val="FooterChar"/>
    <w:uiPriority w:val="99"/>
    <w:unhideWhenUsed/>
    <w:rsid w:val="00693DCE"/>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693DCE"/>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CB6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5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Hunt, Tiffany</cp:lastModifiedBy>
  <cp:revision>32</cp:revision>
  <cp:lastPrinted>2014-07-29T13:50:00Z</cp:lastPrinted>
  <dcterms:created xsi:type="dcterms:W3CDTF">2014-07-29T13:47:00Z</dcterms:created>
  <dcterms:modified xsi:type="dcterms:W3CDTF">2014-08-01T12:37:00Z</dcterms:modified>
</cp:coreProperties>
</file>