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BB" w:rsidRDefault="00F100BB">
      <w:pPr>
        <w:tabs>
          <w:tab w:val="center" w:pos="4680"/>
        </w:tabs>
        <w:jc w:val="both"/>
        <w:rPr>
          <w:b/>
          <w:sz w:val="24"/>
        </w:rPr>
      </w:pPr>
      <w:r>
        <w:rPr>
          <w:sz w:val="24"/>
        </w:rPr>
        <w:tab/>
      </w:r>
      <w:r>
        <w:rPr>
          <w:b/>
          <w:sz w:val="24"/>
        </w:rPr>
        <w:t>BEFORE THE</w:t>
      </w:r>
    </w:p>
    <w:p w:rsidR="00F100BB" w:rsidRDefault="00F100BB">
      <w:pPr>
        <w:tabs>
          <w:tab w:val="center" w:pos="4680"/>
        </w:tabs>
        <w:jc w:val="both"/>
        <w:rPr>
          <w:b/>
          <w:sz w:val="24"/>
        </w:rPr>
      </w:pPr>
      <w:r>
        <w:rPr>
          <w:b/>
          <w:sz w:val="24"/>
        </w:rPr>
        <w:tab/>
        <w:t>PENNSYLVANIA PUBLIC UTILITY COMMISSION</w:t>
      </w:r>
    </w:p>
    <w:p w:rsidR="002839B6" w:rsidRDefault="002839B6">
      <w:pPr>
        <w:tabs>
          <w:tab w:val="center" w:pos="4680"/>
        </w:tabs>
        <w:jc w:val="both"/>
        <w:rPr>
          <w:sz w:val="24"/>
        </w:rPr>
      </w:pPr>
    </w:p>
    <w:p w:rsidR="00F100BB" w:rsidRDefault="00F100BB">
      <w:pPr>
        <w:jc w:val="both"/>
        <w:rPr>
          <w:sz w:val="24"/>
        </w:rPr>
      </w:pPr>
    </w:p>
    <w:p w:rsidR="0063093A" w:rsidRDefault="0063093A" w:rsidP="006B3433">
      <w:pPr>
        <w:tabs>
          <w:tab w:val="left" w:pos="-720"/>
        </w:tabs>
        <w:suppressAutoHyphens/>
        <w:rPr>
          <w:spacing w:val="-3"/>
          <w:sz w:val="24"/>
          <w:szCs w:val="24"/>
        </w:rPr>
      </w:pPr>
    </w:p>
    <w:p w:rsidR="003D2328" w:rsidRPr="004349C2" w:rsidRDefault="003D2328" w:rsidP="003D2328">
      <w:pPr>
        <w:rPr>
          <w:sz w:val="24"/>
        </w:rPr>
      </w:pPr>
      <w:r>
        <w:rPr>
          <w:sz w:val="24"/>
          <w:szCs w:val="24"/>
        </w:rPr>
        <w:t>Application of Rasier-PA</w:t>
      </w:r>
      <w:r w:rsidRPr="004349C2">
        <w:rPr>
          <w:sz w:val="24"/>
          <w:szCs w:val="24"/>
        </w:rPr>
        <w:t xml:space="preserve"> LLC, a limited liability company</w:t>
      </w:r>
      <w:r w:rsidRPr="004349C2">
        <w:rPr>
          <w:sz w:val="24"/>
          <w:szCs w:val="24"/>
        </w:rPr>
        <w:tab/>
      </w:r>
      <w:r w:rsidRPr="004349C2">
        <w:rPr>
          <w:sz w:val="24"/>
          <w:szCs w:val="24"/>
        </w:rPr>
        <w:tab/>
        <w:t>:</w:t>
      </w:r>
      <w:r w:rsidRPr="004349C2">
        <w:rPr>
          <w:sz w:val="24"/>
          <w:szCs w:val="24"/>
        </w:rPr>
        <w:tab/>
      </w:r>
      <w:r w:rsidRPr="003D2328">
        <w:rPr>
          <w:sz w:val="24"/>
        </w:rPr>
        <w:t>A-2014-24</w:t>
      </w:r>
      <w:r w:rsidR="00BE470B">
        <w:rPr>
          <w:sz w:val="24"/>
        </w:rPr>
        <w:t>24608</w:t>
      </w:r>
    </w:p>
    <w:p w:rsidR="003D2328" w:rsidRPr="004349C2" w:rsidRDefault="003D2328" w:rsidP="003D2328">
      <w:pPr>
        <w:rPr>
          <w:sz w:val="24"/>
          <w:szCs w:val="24"/>
        </w:rPr>
      </w:pPr>
      <w:proofErr w:type="gramStart"/>
      <w:r>
        <w:rPr>
          <w:sz w:val="24"/>
          <w:szCs w:val="24"/>
        </w:rPr>
        <w:t>of</w:t>
      </w:r>
      <w:proofErr w:type="gramEnd"/>
      <w:r>
        <w:rPr>
          <w:sz w:val="24"/>
          <w:szCs w:val="24"/>
        </w:rPr>
        <w:t xml:space="preserve"> the State of Delaware, </w:t>
      </w:r>
      <w:r w:rsidRPr="004349C2">
        <w:rPr>
          <w:sz w:val="24"/>
          <w:szCs w:val="24"/>
        </w:rPr>
        <w:t xml:space="preserve">for the right to begin to transport, </w:t>
      </w:r>
      <w:r w:rsidRPr="004349C2">
        <w:rPr>
          <w:sz w:val="24"/>
          <w:szCs w:val="24"/>
        </w:rPr>
        <w:tab/>
      </w:r>
      <w:r>
        <w:rPr>
          <w:sz w:val="24"/>
          <w:szCs w:val="24"/>
        </w:rPr>
        <w:tab/>
      </w:r>
      <w:r w:rsidRPr="004349C2">
        <w:rPr>
          <w:sz w:val="24"/>
          <w:szCs w:val="24"/>
        </w:rPr>
        <w:t>:</w:t>
      </w:r>
    </w:p>
    <w:p w:rsidR="003D2328" w:rsidRPr="004349C2" w:rsidRDefault="003D2328" w:rsidP="003D2328">
      <w:pPr>
        <w:rPr>
          <w:sz w:val="24"/>
          <w:szCs w:val="24"/>
        </w:rPr>
      </w:pPr>
      <w:proofErr w:type="gramStart"/>
      <w:r w:rsidRPr="004349C2">
        <w:rPr>
          <w:sz w:val="24"/>
          <w:szCs w:val="24"/>
        </w:rPr>
        <w:t>by</w:t>
      </w:r>
      <w:proofErr w:type="gramEnd"/>
      <w:r w:rsidRPr="004349C2">
        <w:rPr>
          <w:sz w:val="24"/>
          <w:szCs w:val="24"/>
        </w:rPr>
        <w:t xml:space="preserve"> motor vehicle</w:t>
      </w:r>
      <w:r>
        <w:rPr>
          <w:sz w:val="24"/>
          <w:szCs w:val="24"/>
        </w:rPr>
        <w:t>,</w:t>
      </w:r>
      <w:r w:rsidRPr="004349C2">
        <w:rPr>
          <w:sz w:val="24"/>
          <w:szCs w:val="24"/>
        </w:rPr>
        <w:t xml:space="preserve"> persons in the experimental service</w:t>
      </w:r>
      <w:r w:rsidRPr="004349C2">
        <w:rPr>
          <w:sz w:val="24"/>
          <w:szCs w:val="24"/>
        </w:rPr>
        <w:tab/>
      </w:r>
      <w:r w:rsidRPr="004349C2">
        <w:rPr>
          <w:sz w:val="24"/>
          <w:szCs w:val="24"/>
        </w:rPr>
        <w:tab/>
        <w:t>:</w:t>
      </w:r>
      <w:r w:rsidR="00003148">
        <w:rPr>
          <w:sz w:val="24"/>
          <w:szCs w:val="24"/>
        </w:rPr>
        <w:tab/>
      </w:r>
    </w:p>
    <w:p w:rsidR="003D2328" w:rsidRPr="004349C2" w:rsidRDefault="003D2328" w:rsidP="003D2328">
      <w:pPr>
        <w:jc w:val="both"/>
        <w:rPr>
          <w:sz w:val="24"/>
          <w:szCs w:val="24"/>
        </w:rPr>
      </w:pPr>
      <w:proofErr w:type="gramStart"/>
      <w:r w:rsidRPr="004349C2">
        <w:rPr>
          <w:sz w:val="24"/>
          <w:szCs w:val="24"/>
        </w:rPr>
        <w:t>of</w:t>
      </w:r>
      <w:proofErr w:type="gramEnd"/>
      <w:r w:rsidRPr="004349C2">
        <w:rPr>
          <w:sz w:val="24"/>
          <w:szCs w:val="24"/>
        </w:rPr>
        <w:t xml:space="preserve"> shared-ride network for passenger trips between points in </w:t>
      </w:r>
      <w:r w:rsidRPr="004349C2">
        <w:rPr>
          <w:sz w:val="24"/>
          <w:szCs w:val="24"/>
        </w:rPr>
        <w:tab/>
        <w:t>:</w:t>
      </w:r>
    </w:p>
    <w:p w:rsidR="00867414" w:rsidRPr="00867414" w:rsidRDefault="00867414" w:rsidP="00867414">
      <w:pPr>
        <w:jc w:val="both"/>
        <w:rPr>
          <w:sz w:val="24"/>
          <w:szCs w:val="24"/>
        </w:rPr>
      </w:pPr>
      <w:r w:rsidRPr="00867414">
        <w:rPr>
          <w:sz w:val="24"/>
          <w:szCs w:val="24"/>
        </w:rPr>
        <w:t>Pennsylvania, excluding those which originate or terminate</w:t>
      </w:r>
      <w:r w:rsidRPr="00867414">
        <w:rPr>
          <w:sz w:val="24"/>
          <w:szCs w:val="24"/>
        </w:rPr>
        <w:tab/>
      </w:r>
      <w:r w:rsidRPr="00867414">
        <w:rPr>
          <w:sz w:val="24"/>
          <w:szCs w:val="24"/>
        </w:rPr>
        <w:tab/>
        <w:t>:</w:t>
      </w:r>
    </w:p>
    <w:p w:rsidR="00867414" w:rsidRPr="00867414" w:rsidRDefault="004933F6" w:rsidP="00867414">
      <w:pPr>
        <w:jc w:val="both"/>
        <w:rPr>
          <w:sz w:val="24"/>
          <w:szCs w:val="24"/>
        </w:rPr>
      </w:pPr>
      <w:proofErr w:type="gramStart"/>
      <w:r>
        <w:rPr>
          <w:sz w:val="24"/>
          <w:szCs w:val="24"/>
        </w:rPr>
        <w:t>i</w:t>
      </w:r>
      <w:r w:rsidR="00867414" w:rsidRPr="00867414">
        <w:rPr>
          <w:sz w:val="24"/>
          <w:szCs w:val="24"/>
        </w:rPr>
        <w:t>n</w:t>
      </w:r>
      <w:proofErr w:type="gramEnd"/>
      <w:r w:rsidR="00867414" w:rsidRPr="00867414">
        <w:rPr>
          <w:sz w:val="24"/>
          <w:szCs w:val="24"/>
        </w:rPr>
        <w:t xml:space="preserve"> the Counties of Beaver, Clinton, Columbia, Crawford, </w:t>
      </w:r>
      <w:r w:rsidR="00867414" w:rsidRPr="00867414">
        <w:rPr>
          <w:sz w:val="24"/>
          <w:szCs w:val="24"/>
        </w:rPr>
        <w:tab/>
      </w:r>
      <w:r w:rsidR="00867414" w:rsidRPr="00867414">
        <w:rPr>
          <w:sz w:val="24"/>
          <w:szCs w:val="24"/>
        </w:rPr>
        <w:tab/>
        <w:t>:</w:t>
      </w:r>
    </w:p>
    <w:p w:rsidR="00867414" w:rsidRPr="00867414" w:rsidRDefault="00867414" w:rsidP="00867414">
      <w:pPr>
        <w:jc w:val="both"/>
        <w:rPr>
          <w:sz w:val="24"/>
          <w:szCs w:val="24"/>
        </w:rPr>
      </w:pPr>
      <w:r w:rsidRPr="00867414">
        <w:rPr>
          <w:sz w:val="24"/>
          <w:szCs w:val="24"/>
        </w:rPr>
        <w:t xml:space="preserve">Lawrence, Lycoming, Mercer, Northumberland and Union           </w:t>
      </w:r>
      <w:r>
        <w:rPr>
          <w:sz w:val="24"/>
          <w:szCs w:val="24"/>
        </w:rPr>
        <w:tab/>
      </w:r>
      <w:r w:rsidRPr="00867414">
        <w:rPr>
          <w:sz w:val="24"/>
          <w:szCs w:val="24"/>
        </w:rPr>
        <w:t xml:space="preserve">: </w:t>
      </w:r>
    </w:p>
    <w:p w:rsidR="00867414" w:rsidRPr="00867414" w:rsidRDefault="00867414" w:rsidP="00867414">
      <w:pPr>
        <w:jc w:val="both"/>
        <w:rPr>
          <w:b/>
          <w:sz w:val="24"/>
          <w:szCs w:val="24"/>
          <w:u w:val="single"/>
        </w:rPr>
      </w:pPr>
    </w:p>
    <w:p w:rsidR="003D2328" w:rsidRPr="004349C2" w:rsidRDefault="003D2328" w:rsidP="003D2328">
      <w:pPr>
        <w:jc w:val="both"/>
        <w:rPr>
          <w:sz w:val="24"/>
          <w:szCs w:val="24"/>
        </w:rPr>
      </w:pPr>
      <w:r w:rsidRPr="004349C2">
        <w:rPr>
          <w:sz w:val="24"/>
          <w:szCs w:val="24"/>
        </w:rPr>
        <w:tab/>
      </w:r>
      <w:r w:rsidRPr="004349C2">
        <w:rPr>
          <w:sz w:val="24"/>
          <w:szCs w:val="24"/>
        </w:rPr>
        <w:tab/>
      </w:r>
      <w:r w:rsidRPr="004349C2">
        <w:rPr>
          <w:sz w:val="24"/>
          <w:szCs w:val="24"/>
        </w:rPr>
        <w:tab/>
      </w:r>
      <w:r w:rsidRPr="004349C2">
        <w:rPr>
          <w:sz w:val="24"/>
          <w:szCs w:val="24"/>
        </w:rPr>
        <w:tab/>
      </w:r>
      <w:r w:rsidRPr="004349C2">
        <w:rPr>
          <w:sz w:val="24"/>
          <w:szCs w:val="24"/>
        </w:rPr>
        <w:tab/>
      </w:r>
      <w:r w:rsidRPr="004349C2">
        <w:rPr>
          <w:sz w:val="24"/>
          <w:szCs w:val="24"/>
        </w:rPr>
        <w:tab/>
      </w:r>
      <w:r w:rsidRPr="004349C2">
        <w:rPr>
          <w:sz w:val="24"/>
          <w:szCs w:val="24"/>
        </w:rPr>
        <w:tab/>
      </w:r>
    </w:p>
    <w:p w:rsidR="00C250A2" w:rsidRDefault="00C250A2" w:rsidP="001358C8">
      <w:pPr>
        <w:tabs>
          <w:tab w:val="left" w:pos="5040"/>
        </w:tabs>
        <w:jc w:val="both"/>
        <w:rPr>
          <w:sz w:val="24"/>
        </w:rPr>
      </w:pPr>
    </w:p>
    <w:p w:rsidR="004933F6" w:rsidRDefault="008C355D" w:rsidP="00AD4BBB">
      <w:pPr>
        <w:jc w:val="center"/>
        <w:rPr>
          <w:b/>
          <w:sz w:val="24"/>
          <w:szCs w:val="24"/>
        </w:rPr>
      </w:pPr>
      <w:r w:rsidRPr="004933F6">
        <w:rPr>
          <w:b/>
          <w:sz w:val="24"/>
          <w:szCs w:val="24"/>
        </w:rPr>
        <w:t xml:space="preserve">INTERIM ORDER DENYING PRELIMINARY OBJECTIONS TO THE PROTESTS OF </w:t>
      </w:r>
      <w:r w:rsidR="0054624F" w:rsidRPr="004933F6">
        <w:rPr>
          <w:b/>
          <w:sz w:val="24"/>
          <w:szCs w:val="24"/>
        </w:rPr>
        <w:t>VARIOUS CALL OR DEMAND CARRIERS</w:t>
      </w:r>
      <w:r w:rsidR="009C5BB0" w:rsidRPr="004933F6">
        <w:rPr>
          <w:b/>
          <w:sz w:val="24"/>
          <w:szCs w:val="24"/>
        </w:rPr>
        <w:t xml:space="preserve"> </w:t>
      </w:r>
      <w:r w:rsidR="00AD4BBB" w:rsidRPr="004933F6">
        <w:rPr>
          <w:b/>
          <w:sz w:val="24"/>
          <w:szCs w:val="24"/>
        </w:rPr>
        <w:t xml:space="preserve">(UNITED CAB LLC, GOOD CAB LLC, </w:t>
      </w:r>
    </w:p>
    <w:p w:rsidR="00AD4BBB" w:rsidRPr="004933F6" w:rsidRDefault="00AD4BBB" w:rsidP="00AD4BBB">
      <w:pPr>
        <w:jc w:val="center"/>
        <w:rPr>
          <w:b/>
          <w:sz w:val="24"/>
          <w:szCs w:val="24"/>
          <w:u w:val="single"/>
        </w:rPr>
      </w:pPr>
      <w:r w:rsidRPr="004933F6">
        <w:rPr>
          <w:b/>
          <w:sz w:val="24"/>
          <w:szCs w:val="24"/>
          <w:u w:val="single"/>
        </w:rPr>
        <w:t xml:space="preserve">EZ TAXI </w:t>
      </w:r>
      <w:proofErr w:type="gramStart"/>
      <w:r w:rsidRPr="004933F6">
        <w:rPr>
          <w:b/>
          <w:sz w:val="24"/>
          <w:szCs w:val="24"/>
          <w:u w:val="single"/>
        </w:rPr>
        <w:t>LLC,</w:t>
      </w:r>
      <w:proofErr w:type="gramEnd"/>
      <w:r w:rsidRPr="004933F6">
        <w:rPr>
          <w:b/>
          <w:sz w:val="24"/>
          <w:szCs w:val="24"/>
          <w:u w:val="single"/>
        </w:rPr>
        <w:t xml:space="preserve"> AND KEYSTONE CAB, INC.)</w:t>
      </w:r>
    </w:p>
    <w:p w:rsidR="00D272BA" w:rsidRPr="00FA7AA3" w:rsidRDefault="00D272BA" w:rsidP="00FB1D69">
      <w:pPr>
        <w:rPr>
          <w:sz w:val="24"/>
          <w:szCs w:val="24"/>
        </w:rPr>
      </w:pPr>
    </w:p>
    <w:p w:rsidR="00D272BA" w:rsidRDefault="00D272BA" w:rsidP="00FB1D69">
      <w:pPr>
        <w:rPr>
          <w:sz w:val="24"/>
          <w:szCs w:val="24"/>
        </w:rPr>
      </w:pPr>
    </w:p>
    <w:p w:rsidR="0071671C" w:rsidRPr="008B6FD2" w:rsidRDefault="00D272BA" w:rsidP="00D209B1">
      <w:pPr>
        <w:spacing w:line="360" w:lineRule="auto"/>
        <w:rPr>
          <w:sz w:val="24"/>
          <w:szCs w:val="24"/>
        </w:rPr>
      </w:pPr>
      <w:r>
        <w:rPr>
          <w:sz w:val="24"/>
          <w:szCs w:val="24"/>
        </w:rPr>
        <w:tab/>
      </w:r>
      <w:r>
        <w:rPr>
          <w:sz w:val="24"/>
          <w:szCs w:val="24"/>
        </w:rPr>
        <w:tab/>
      </w:r>
      <w:r w:rsidR="009827FD" w:rsidRPr="008B6FD2">
        <w:rPr>
          <w:sz w:val="24"/>
          <w:szCs w:val="24"/>
        </w:rPr>
        <w:t>O</w:t>
      </w:r>
      <w:r w:rsidR="00FA7AA3" w:rsidRPr="008B6FD2">
        <w:rPr>
          <w:sz w:val="24"/>
          <w:szCs w:val="24"/>
        </w:rPr>
        <w:t>n</w:t>
      </w:r>
      <w:r w:rsidR="009827FD" w:rsidRPr="008B6FD2">
        <w:rPr>
          <w:sz w:val="24"/>
          <w:szCs w:val="24"/>
        </w:rPr>
        <w:t xml:space="preserve"> </w:t>
      </w:r>
      <w:r w:rsidR="00867414" w:rsidRPr="008B6FD2">
        <w:rPr>
          <w:sz w:val="24"/>
          <w:szCs w:val="24"/>
        </w:rPr>
        <w:t>June 2</w:t>
      </w:r>
      <w:r w:rsidR="003D2328" w:rsidRPr="008B6FD2">
        <w:rPr>
          <w:sz w:val="24"/>
          <w:szCs w:val="24"/>
        </w:rPr>
        <w:t xml:space="preserve">, 2014, Rasier-PA LLC (Rasier or Applicant) filed with </w:t>
      </w:r>
      <w:r w:rsidR="00A8304E" w:rsidRPr="008B6FD2">
        <w:rPr>
          <w:sz w:val="24"/>
          <w:szCs w:val="24"/>
        </w:rPr>
        <w:t xml:space="preserve">the Pennsylvania Public </w:t>
      </w:r>
      <w:r w:rsidR="00834288" w:rsidRPr="008B6FD2">
        <w:rPr>
          <w:sz w:val="24"/>
          <w:szCs w:val="24"/>
        </w:rPr>
        <w:t xml:space="preserve">Utility </w:t>
      </w:r>
      <w:r w:rsidR="00A8304E" w:rsidRPr="008B6FD2">
        <w:rPr>
          <w:sz w:val="24"/>
          <w:szCs w:val="24"/>
        </w:rPr>
        <w:t>Commission (Commission)</w:t>
      </w:r>
      <w:r w:rsidR="001431E8" w:rsidRPr="008B6FD2">
        <w:rPr>
          <w:sz w:val="24"/>
          <w:szCs w:val="24"/>
        </w:rPr>
        <w:t>,</w:t>
      </w:r>
      <w:r w:rsidR="009827FD" w:rsidRPr="008B6FD2">
        <w:rPr>
          <w:sz w:val="24"/>
          <w:szCs w:val="24"/>
        </w:rPr>
        <w:t xml:space="preserve"> </w:t>
      </w:r>
      <w:r w:rsidR="001431E8" w:rsidRPr="008B6FD2">
        <w:rPr>
          <w:sz w:val="24"/>
          <w:szCs w:val="24"/>
        </w:rPr>
        <w:t xml:space="preserve">its </w:t>
      </w:r>
      <w:r w:rsidR="003D2328" w:rsidRPr="008B6FD2">
        <w:rPr>
          <w:sz w:val="24"/>
          <w:szCs w:val="24"/>
        </w:rPr>
        <w:t xml:space="preserve">Application for the right to begin to transport, by motor vehicle, persons in the experimental service of shared-ride network for passenger trips between points in </w:t>
      </w:r>
      <w:r w:rsidR="00867414" w:rsidRPr="008B6FD2">
        <w:rPr>
          <w:sz w:val="24"/>
          <w:szCs w:val="24"/>
        </w:rPr>
        <w:t xml:space="preserve">Pennsylvania, excluding those which originate or terminate </w:t>
      </w:r>
      <w:r w:rsidR="0086387B">
        <w:rPr>
          <w:sz w:val="24"/>
          <w:szCs w:val="24"/>
        </w:rPr>
        <w:t>i</w:t>
      </w:r>
      <w:r w:rsidR="00867414" w:rsidRPr="008B6FD2">
        <w:rPr>
          <w:sz w:val="24"/>
          <w:szCs w:val="24"/>
        </w:rPr>
        <w:t xml:space="preserve">n the Counties of Beaver, Clinton, Columbia, Crawford, Lawrence, Lycoming, Mercer, Northumberland and Union.   </w:t>
      </w:r>
    </w:p>
    <w:p w:rsidR="0071671C" w:rsidRPr="008B6FD2" w:rsidRDefault="0071671C" w:rsidP="00A11A04">
      <w:pPr>
        <w:tabs>
          <w:tab w:val="left" w:pos="90"/>
        </w:tabs>
        <w:ind w:left="86" w:right="994"/>
        <w:rPr>
          <w:sz w:val="24"/>
          <w:szCs w:val="24"/>
        </w:rPr>
      </w:pPr>
    </w:p>
    <w:p w:rsidR="0071671C" w:rsidRPr="008B6FD2" w:rsidRDefault="0071671C" w:rsidP="00D209B1">
      <w:pPr>
        <w:tabs>
          <w:tab w:val="left" w:pos="90"/>
        </w:tabs>
        <w:spacing w:after="120"/>
        <w:ind w:left="720" w:right="990" w:hanging="720"/>
        <w:rPr>
          <w:sz w:val="24"/>
          <w:szCs w:val="24"/>
        </w:rPr>
      </w:pPr>
      <w:r w:rsidRPr="008B6FD2">
        <w:rPr>
          <w:sz w:val="24"/>
          <w:szCs w:val="24"/>
        </w:rPr>
        <w:tab/>
      </w:r>
      <w:r w:rsidRPr="008B6FD2">
        <w:rPr>
          <w:sz w:val="24"/>
          <w:szCs w:val="24"/>
        </w:rPr>
        <w:tab/>
      </w:r>
      <w:r w:rsidR="00867414" w:rsidRPr="008B6FD2">
        <w:rPr>
          <w:sz w:val="24"/>
          <w:szCs w:val="24"/>
        </w:rPr>
        <w:t xml:space="preserve">            </w:t>
      </w:r>
      <w:r w:rsidRPr="008B6FD2">
        <w:rPr>
          <w:sz w:val="24"/>
          <w:szCs w:val="24"/>
        </w:rPr>
        <w:t xml:space="preserve">Applicant proposes to use a digital platform to connect passengers to </w:t>
      </w:r>
      <w:r w:rsidR="00867414" w:rsidRPr="008B6FD2">
        <w:rPr>
          <w:sz w:val="24"/>
          <w:szCs w:val="24"/>
        </w:rPr>
        <w:t>i</w:t>
      </w:r>
      <w:r w:rsidRPr="008B6FD2">
        <w:rPr>
          <w:sz w:val="24"/>
          <w:szCs w:val="24"/>
        </w:rPr>
        <w:t xml:space="preserve">ndependent ride-sharing operators (“Operators”) with whom Applicant intends to contract. Operators will use their personal, noncommercially licensed vehicles for the purpose of providing transportation services.  The Applicant plans to license the </w:t>
      </w:r>
      <w:proofErr w:type="spellStart"/>
      <w:r w:rsidRPr="008B6FD2">
        <w:rPr>
          <w:sz w:val="24"/>
          <w:szCs w:val="24"/>
        </w:rPr>
        <w:t>Uber</w:t>
      </w:r>
      <w:proofErr w:type="spellEnd"/>
      <w:r w:rsidRPr="008B6FD2">
        <w:rPr>
          <w:sz w:val="24"/>
          <w:szCs w:val="24"/>
        </w:rPr>
        <w:t xml:space="preserve"> </w:t>
      </w:r>
      <w:r w:rsidR="001C0313">
        <w:rPr>
          <w:sz w:val="24"/>
          <w:szCs w:val="24"/>
        </w:rPr>
        <w:t>T</w:t>
      </w:r>
      <w:r w:rsidRPr="008B6FD2">
        <w:rPr>
          <w:sz w:val="24"/>
          <w:szCs w:val="24"/>
        </w:rPr>
        <w:t>echnology to generate leads from riders who need transportation services.  Applicant does not own vehicles, employ drivers or transport passengers.</w:t>
      </w:r>
      <w:r w:rsidRPr="008B6FD2">
        <w:rPr>
          <w:sz w:val="24"/>
          <w:szCs w:val="24"/>
          <w:vertAlign w:val="superscript"/>
        </w:rPr>
        <w:footnoteReference w:id="1"/>
      </w:r>
    </w:p>
    <w:p w:rsidR="00E440CB" w:rsidRDefault="00E440CB">
      <w:pPr>
        <w:rPr>
          <w:sz w:val="24"/>
          <w:szCs w:val="24"/>
        </w:rPr>
      </w:pPr>
      <w:r>
        <w:rPr>
          <w:sz w:val="24"/>
          <w:szCs w:val="24"/>
        </w:rPr>
        <w:br w:type="page"/>
      </w:r>
    </w:p>
    <w:p w:rsidR="0071671C" w:rsidRDefault="0071671C" w:rsidP="000D3460">
      <w:pPr>
        <w:spacing w:line="360" w:lineRule="auto"/>
        <w:ind w:firstLine="1440"/>
        <w:rPr>
          <w:sz w:val="24"/>
          <w:szCs w:val="24"/>
        </w:rPr>
      </w:pPr>
      <w:r w:rsidRPr="008B6FD2">
        <w:rPr>
          <w:sz w:val="24"/>
          <w:szCs w:val="24"/>
        </w:rPr>
        <w:lastRenderedPageBreak/>
        <w:t>Commission regulations permit certification of transportation providers for “experimental” service in order to “allow . . . a new, innovative or experimental type or class of common carrier service.”</w:t>
      </w:r>
      <w:r w:rsidRPr="008B6FD2">
        <w:rPr>
          <w:sz w:val="24"/>
          <w:szCs w:val="24"/>
          <w:vertAlign w:val="superscript"/>
        </w:rPr>
        <w:footnoteReference w:id="2"/>
      </w:r>
    </w:p>
    <w:p w:rsidR="000D3B98" w:rsidRDefault="000D3B98" w:rsidP="000D3460">
      <w:pPr>
        <w:spacing w:line="360" w:lineRule="auto"/>
        <w:ind w:firstLine="1440"/>
        <w:rPr>
          <w:sz w:val="24"/>
          <w:szCs w:val="24"/>
        </w:rPr>
      </w:pPr>
    </w:p>
    <w:p w:rsidR="006D3719" w:rsidRDefault="0071671C" w:rsidP="000D3460">
      <w:pPr>
        <w:spacing w:line="360" w:lineRule="auto"/>
        <w:ind w:firstLine="1440"/>
        <w:rPr>
          <w:sz w:val="24"/>
          <w:szCs w:val="24"/>
        </w:rPr>
      </w:pPr>
      <w:r w:rsidRPr="008B6FD2">
        <w:rPr>
          <w:sz w:val="24"/>
          <w:szCs w:val="24"/>
        </w:rPr>
        <w:t xml:space="preserve">Notice of the application was published in the </w:t>
      </w:r>
      <w:r w:rsidRPr="007D3D2F">
        <w:rPr>
          <w:i/>
          <w:sz w:val="24"/>
          <w:szCs w:val="24"/>
        </w:rPr>
        <w:t>Pennsylvania Bulletin</w:t>
      </w:r>
      <w:r w:rsidRPr="008B6FD2">
        <w:rPr>
          <w:sz w:val="24"/>
          <w:szCs w:val="24"/>
        </w:rPr>
        <w:t xml:space="preserve"> on </w:t>
      </w:r>
      <w:r w:rsidR="00867414" w:rsidRPr="008B6FD2">
        <w:rPr>
          <w:sz w:val="24"/>
          <w:szCs w:val="24"/>
        </w:rPr>
        <w:t>June 14, 2014</w:t>
      </w:r>
      <w:r w:rsidRPr="008B6FD2">
        <w:rPr>
          <w:sz w:val="24"/>
          <w:szCs w:val="24"/>
        </w:rPr>
        <w:t xml:space="preserve">. </w:t>
      </w:r>
      <w:r w:rsidR="007D3D2F">
        <w:rPr>
          <w:sz w:val="24"/>
          <w:szCs w:val="24"/>
        </w:rPr>
        <w:t xml:space="preserve"> </w:t>
      </w:r>
      <w:r w:rsidRPr="008B6FD2">
        <w:rPr>
          <w:sz w:val="24"/>
          <w:szCs w:val="24"/>
        </w:rPr>
        <w:t xml:space="preserve">The notice provided that the deadline for the filing of protests was </w:t>
      </w:r>
      <w:r w:rsidR="008C355D" w:rsidRPr="008B6FD2">
        <w:rPr>
          <w:sz w:val="24"/>
          <w:szCs w:val="24"/>
        </w:rPr>
        <w:t>June 30, 2014.</w:t>
      </w:r>
    </w:p>
    <w:p w:rsidR="000D3460" w:rsidRPr="008B6FD2" w:rsidRDefault="000D3460" w:rsidP="000D3460">
      <w:pPr>
        <w:spacing w:line="360" w:lineRule="auto"/>
        <w:ind w:firstLine="1440"/>
        <w:rPr>
          <w:sz w:val="24"/>
          <w:szCs w:val="24"/>
        </w:rPr>
      </w:pPr>
    </w:p>
    <w:p w:rsidR="00DD34EE" w:rsidRPr="008B6FD2" w:rsidRDefault="006D3719" w:rsidP="00241530">
      <w:pPr>
        <w:spacing w:line="360" w:lineRule="auto"/>
        <w:rPr>
          <w:sz w:val="24"/>
          <w:szCs w:val="24"/>
        </w:rPr>
      </w:pPr>
      <w:r w:rsidRPr="008B6FD2">
        <w:rPr>
          <w:sz w:val="24"/>
          <w:szCs w:val="24"/>
        </w:rPr>
        <w:tab/>
      </w:r>
      <w:r w:rsidRPr="008B6FD2">
        <w:rPr>
          <w:sz w:val="24"/>
          <w:szCs w:val="24"/>
        </w:rPr>
        <w:tab/>
      </w:r>
      <w:r w:rsidR="00910145" w:rsidRPr="008B6FD2">
        <w:rPr>
          <w:sz w:val="24"/>
          <w:szCs w:val="24"/>
        </w:rPr>
        <w:t xml:space="preserve">On </w:t>
      </w:r>
      <w:r w:rsidR="008C355D" w:rsidRPr="008B6FD2">
        <w:rPr>
          <w:sz w:val="24"/>
          <w:szCs w:val="24"/>
        </w:rPr>
        <w:t xml:space="preserve">June 30, </w:t>
      </w:r>
      <w:r w:rsidR="00910145" w:rsidRPr="008B6FD2">
        <w:rPr>
          <w:sz w:val="24"/>
          <w:szCs w:val="24"/>
        </w:rPr>
        <w:t xml:space="preserve">2014, protests were filed by </w:t>
      </w:r>
      <w:r w:rsidR="009E5538" w:rsidRPr="009E5538">
        <w:rPr>
          <w:sz w:val="24"/>
          <w:szCs w:val="24"/>
        </w:rPr>
        <w:t>United Cab LLC, Good Cab LLC, EZ Taxi LLC, and Keystone Cab, Inc.</w:t>
      </w:r>
      <w:r w:rsidR="00AD4BBB">
        <w:rPr>
          <w:sz w:val="24"/>
          <w:szCs w:val="24"/>
        </w:rPr>
        <w:t xml:space="preserve"> </w:t>
      </w:r>
      <w:r w:rsidR="00DD34EE" w:rsidRPr="008B6FD2">
        <w:rPr>
          <w:sz w:val="24"/>
          <w:szCs w:val="24"/>
        </w:rPr>
        <w:t>(</w:t>
      </w:r>
      <w:r w:rsidR="00291C42" w:rsidRPr="008B6FD2">
        <w:rPr>
          <w:sz w:val="24"/>
          <w:szCs w:val="24"/>
        </w:rPr>
        <w:t>Protestants</w:t>
      </w:r>
      <w:r w:rsidR="0054624F">
        <w:rPr>
          <w:sz w:val="24"/>
          <w:szCs w:val="24"/>
        </w:rPr>
        <w:t xml:space="preserve"> or</w:t>
      </w:r>
      <w:r w:rsidR="00291C42" w:rsidRPr="008B6FD2">
        <w:rPr>
          <w:sz w:val="24"/>
          <w:szCs w:val="24"/>
        </w:rPr>
        <w:t xml:space="preserve"> </w:t>
      </w:r>
      <w:r w:rsidR="00DD34EE" w:rsidRPr="008B6FD2">
        <w:rPr>
          <w:sz w:val="24"/>
          <w:szCs w:val="24"/>
        </w:rPr>
        <w:t>Joint Protestants).</w:t>
      </w:r>
      <w:r w:rsidR="008C355D" w:rsidRPr="008B6FD2">
        <w:rPr>
          <w:rStyle w:val="FootnoteReference"/>
          <w:sz w:val="24"/>
          <w:szCs w:val="24"/>
        </w:rPr>
        <w:footnoteReference w:id="3"/>
      </w:r>
      <w:r w:rsidR="00910145" w:rsidRPr="008B6FD2">
        <w:rPr>
          <w:sz w:val="24"/>
          <w:szCs w:val="24"/>
        </w:rPr>
        <w:t xml:space="preserve"> </w:t>
      </w:r>
      <w:r w:rsidR="00FF37EF" w:rsidRPr="008B6FD2">
        <w:rPr>
          <w:sz w:val="24"/>
          <w:szCs w:val="24"/>
        </w:rPr>
        <w:t xml:space="preserve"> </w:t>
      </w:r>
      <w:r w:rsidR="00DD34EE" w:rsidRPr="008B6FD2">
        <w:rPr>
          <w:sz w:val="24"/>
          <w:szCs w:val="24"/>
        </w:rPr>
        <w:t xml:space="preserve">On July </w:t>
      </w:r>
      <w:r w:rsidR="009E5538">
        <w:rPr>
          <w:sz w:val="24"/>
          <w:szCs w:val="24"/>
        </w:rPr>
        <w:t>21</w:t>
      </w:r>
      <w:r w:rsidR="00DD34EE" w:rsidRPr="008B6FD2">
        <w:rPr>
          <w:sz w:val="24"/>
          <w:szCs w:val="24"/>
        </w:rPr>
        <w:t>, 2014,</w:t>
      </w:r>
      <w:r w:rsidR="00FF37EF" w:rsidRPr="008B6FD2">
        <w:rPr>
          <w:sz w:val="24"/>
          <w:szCs w:val="24"/>
        </w:rPr>
        <w:t xml:space="preserve"> </w:t>
      </w:r>
      <w:r w:rsidR="00DD34EE" w:rsidRPr="008B6FD2">
        <w:rPr>
          <w:sz w:val="24"/>
          <w:szCs w:val="24"/>
        </w:rPr>
        <w:t>p</w:t>
      </w:r>
      <w:r w:rsidR="00FF37EF" w:rsidRPr="008B6FD2">
        <w:rPr>
          <w:sz w:val="24"/>
          <w:szCs w:val="24"/>
        </w:rPr>
        <w:t>reliminary objections</w:t>
      </w:r>
      <w:r w:rsidR="00DD34EE" w:rsidRPr="008B6FD2">
        <w:rPr>
          <w:sz w:val="24"/>
          <w:szCs w:val="24"/>
        </w:rPr>
        <w:t xml:space="preserve"> were filed by the Applicant, seeking dismissal of the protests.   Protestants did not file a response to the preliminary objections of the Applicant.</w:t>
      </w:r>
    </w:p>
    <w:p w:rsidR="00910145" w:rsidRPr="008B6FD2" w:rsidRDefault="00FF37EF" w:rsidP="00025144">
      <w:pPr>
        <w:spacing w:line="360" w:lineRule="auto"/>
        <w:jc w:val="both"/>
        <w:rPr>
          <w:sz w:val="24"/>
          <w:szCs w:val="24"/>
        </w:rPr>
      </w:pPr>
      <w:r w:rsidRPr="008B6FD2">
        <w:rPr>
          <w:sz w:val="24"/>
          <w:szCs w:val="24"/>
        </w:rPr>
        <w:t xml:space="preserve"> </w:t>
      </w:r>
    </w:p>
    <w:p w:rsidR="00DD34EE" w:rsidRPr="008B6FD2" w:rsidRDefault="00DD34EE" w:rsidP="00665E30">
      <w:pPr>
        <w:spacing w:line="360" w:lineRule="auto"/>
        <w:jc w:val="center"/>
        <w:rPr>
          <w:sz w:val="24"/>
          <w:szCs w:val="24"/>
          <w:u w:val="single"/>
        </w:rPr>
      </w:pPr>
      <w:r w:rsidRPr="008B6FD2">
        <w:rPr>
          <w:sz w:val="24"/>
          <w:szCs w:val="24"/>
          <w:u w:val="single"/>
        </w:rPr>
        <w:t>DISCUSSION</w:t>
      </w:r>
    </w:p>
    <w:p w:rsidR="00DD34EE" w:rsidRPr="008B6FD2" w:rsidRDefault="00DD34EE" w:rsidP="00DD34EE">
      <w:pPr>
        <w:rPr>
          <w:b/>
          <w:sz w:val="24"/>
          <w:szCs w:val="24"/>
        </w:rPr>
      </w:pPr>
    </w:p>
    <w:p w:rsidR="00DD34EE" w:rsidRPr="008B6FD2" w:rsidRDefault="00DD34EE" w:rsidP="000D3460">
      <w:pPr>
        <w:spacing w:line="360" w:lineRule="auto"/>
        <w:rPr>
          <w:b/>
          <w:sz w:val="24"/>
          <w:szCs w:val="24"/>
        </w:rPr>
      </w:pPr>
      <w:r w:rsidRPr="008B6FD2">
        <w:rPr>
          <w:b/>
          <w:sz w:val="24"/>
          <w:szCs w:val="24"/>
        </w:rPr>
        <w:t>Legal Standard</w:t>
      </w:r>
    </w:p>
    <w:p w:rsidR="00DD34EE" w:rsidRPr="008B6FD2" w:rsidRDefault="00DD34EE" w:rsidP="00DD34EE">
      <w:pPr>
        <w:rPr>
          <w:sz w:val="24"/>
          <w:szCs w:val="24"/>
        </w:rPr>
      </w:pPr>
    </w:p>
    <w:p w:rsidR="00DD34EE" w:rsidRPr="008B6FD2" w:rsidRDefault="00DD34EE" w:rsidP="001C0313">
      <w:pPr>
        <w:spacing w:line="360" w:lineRule="auto"/>
        <w:ind w:firstLine="1440"/>
        <w:rPr>
          <w:sz w:val="24"/>
          <w:szCs w:val="24"/>
        </w:rPr>
      </w:pPr>
      <w:r w:rsidRPr="008B6FD2">
        <w:rPr>
          <w:sz w:val="24"/>
          <w:szCs w:val="24"/>
        </w:rPr>
        <w:t xml:space="preserve">Pursuant to the Commission’s rules of procedure, a protest to an application for transportation authority is treated as a pleading and an applicant may file a motion as provided by Section 5.101, relating to preliminary objections.  The grounds for preliminary objection are limited: </w:t>
      </w:r>
    </w:p>
    <w:p w:rsidR="00DD34EE" w:rsidRPr="008B6FD2" w:rsidRDefault="00DD34EE" w:rsidP="00DD34EE">
      <w:pPr>
        <w:pStyle w:val="Quote"/>
        <w:spacing w:after="0"/>
        <w:ind w:firstLine="720"/>
        <w:rPr>
          <w:szCs w:val="24"/>
        </w:rPr>
      </w:pPr>
    </w:p>
    <w:p w:rsidR="00DD34EE" w:rsidRPr="008B6FD2" w:rsidRDefault="00DD34EE" w:rsidP="00DD34EE">
      <w:pPr>
        <w:pStyle w:val="Quote"/>
        <w:spacing w:after="0"/>
        <w:ind w:firstLine="1440"/>
        <w:rPr>
          <w:szCs w:val="24"/>
        </w:rPr>
      </w:pPr>
      <w:r w:rsidRPr="008B6FD2">
        <w:rPr>
          <w:szCs w:val="24"/>
        </w:rPr>
        <w:t xml:space="preserve">§ 5.101.  </w:t>
      </w:r>
      <w:proofErr w:type="gramStart"/>
      <w:r w:rsidRPr="008B6FD2">
        <w:rPr>
          <w:szCs w:val="24"/>
        </w:rPr>
        <w:t>Preliminary objections.</w:t>
      </w:r>
      <w:proofErr w:type="gramEnd"/>
    </w:p>
    <w:p w:rsidR="00DD34EE" w:rsidRPr="008B6FD2" w:rsidRDefault="00DD34EE" w:rsidP="00DD34EE">
      <w:pPr>
        <w:rPr>
          <w:sz w:val="24"/>
          <w:szCs w:val="24"/>
        </w:rPr>
      </w:pPr>
    </w:p>
    <w:p w:rsidR="005F2EF3" w:rsidRDefault="00DD34EE" w:rsidP="00DD34EE">
      <w:pPr>
        <w:pStyle w:val="Quote"/>
        <w:spacing w:after="0"/>
        <w:ind w:left="1440" w:right="1440"/>
        <w:rPr>
          <w:szCs w:val="24"/>
        </w:rPr>
      </w:pPr>
      <w:r w:rsidRPr="008B6FD2">
        <w:rPr>
          <w:szCs w:val="24"/>
        </w:rPr>
        <w:t>(a)</w:t>
      </w:r>
      <w:r w:rsidRPr="008B6FD2">
        <w:rPr>
          <w:szCs w:val="24"/>
        </w:rPr>
        <w:tab/>
        <w:t xml:space="preserve">Grounds.  Preliminary objections are available to parties and may be filed in response to a pleading except motions and prior preliminary objections.  Preliminary objections must be </w:t>
      </w:r>
    </w:p>
    <w:p w:rsidR="00DD34EE" w:rsidRPr="008B6FD2" w:rsidRDefault="00DD34EE" w:rsidP="00DD34EE">
      <w:pPr>
        <w:pStyle w:val="Quote"/>
        <w:spacing w:after="0"/>
        <w:ind w:left="1440" w:right="1440"/>
        <w:rPr>
          <w:szCs w:val="24"/>
        </w:rPr>
      </w:pPr>
      <w:r w:rsidRPr="008B6FD2">
        <w:rPr>
          <w:szCs w:val="24"/>
        </w:rPr>
        <w:t>accompanied by a notice to plead, must state specifically the legal and factual grounds relied upon and be limited to the following:</w:t>
      </w:r>
    </w:p>
    <w:p w:rsidR="00DD34EE" w:rsidRPr="008B6FD2" w:rsidRDefault="00DD34EE" w:rsidP="00DD34EE">
      <w:pPr>
        <w:pStyle w:val="Quote"/>
        <w:spacing w:after="0"/>
        <w:ind w:left="1440" w:right="1440" w:firstLine="720"/>
        <w:rPr>
          <w:szCs w:val="24"/>
        </w:rPr>
      </w:pPr>
    </w:p>
    <w:p w:rsidR="00E41863" w:rsidRDefault="00DD34EE" w:rsidP="005F2EF3">
      <w:pPr>
        <w:pStyle w:val="Quote"/>
        <w:spacing w:after="0"/>
        <w:ind w:left="1440" w:right="1440" w:firstLine="720"/>
        <w:rPr>
          <w:szCs w:val="24"/>
        </w:rPr>
      </w:pPr>
      <w:r w:rsidRPr="008B6FD2">
        <w:rPr>
          <w:szCs w:val="24"/>
        </w:rPr>
        <w:t>(1)</w:t>
      </w:r>
      <w:r w:rsidRPr="008B6FD2">
        <w:rPr>
          <w:szCs w:val="24"/>
        </w:rPr>
        <w:tab/>
        <w:t>Lack of Commission jurisdiction or improper service of the pleading initiating the proceeding.</w:t>
      </w:r>
    </w:p>
    <w:p w:rsidR="005F2EF3" w:rsidRPr="005F2EF3" w:rsidRDefault="005F2EF3" w:rsidP="005F2EF3"/>
    <w:p w:rsidR="00DD34EE" w:rsidRDefault="00DD34EE" w:rsidP="00DD34EE">
      <w:pPr>
        <w:pStyle w:val="Quote"/>
        <w:spacing w:after="0"/>
        <w:ind w:left="1440" w:right="1440" w:firstLine="720"/>
        <w:rPr>
          <w:szCs w:val="24"/>
        </w:rPr>
      </w:pPr>
      <w:r w:rsidRPr="008B6FD2">
        <w:rPr>
          <w:szCs w:val="24"/>
        </w:rPr>
        <w:lastRenderedPageBreak/>
        <w:t>(2)</w:t>
      </w:r>
      <w:r w:rsidRPr="008B6FD2">
        <w:rPr>
          <w:szCs w:val="24"/>
        </w:rPr>
        <w:tab/>
        <w:t>Failure of a pleading to conform to this chapter or the inclusion of scandalous or impertinent matter.</w:t>
      </w:r>
    </w:p>
    <w:p w:rsidR="00E41863" w:rsidRPr="00E41863" w:rsidRDefault="00E41863" w:rsidP="00E41863"/>
    <w:p w:rsidR="00DD34EE" w:rsidRPr="008B6FD2" w:rsidRDefault="00DD34EE" w:rsidP="00DD34EE">
      <w:pPr>
        <w:pStyle w:val="Quote"/>
        <w:spacing w:after="0"/>
        <w:ind w:left="1440" w:right="1440" w:firstLine="720"/>
        <w:rPr>
          <w:szCs w:val="24"/>
        </w:rPr>
      </w:pPr>
      <w:r w:rsidRPr="008B6FD2">
        <w:rPr>
          <w:szCs w:val="24"/>
        </w:rPr>
        <w:t>(3)</w:t>
      </w:r>
      <w:r w:rsidRPr="008B6FD2">
        <w:rPr>
          <w:szCs w:val="24"/>
        </w:rPr>
        <w:tab/>
        <w:t>Insufficient specificity of a pleading.</w:t>
      </w:r>
    </w:p>
    <w:p w:rsidR="00DD34EE" w:rsidRPr="008B6FD2" w:rsidRDefault="00DD34EE" w:rsidP="00DD34EE">
      <w:pPr>
        <w:pStyle w:val="Quote"/>
        <w:spacing w:after="0"/>
        <w:ind w:left="1440" w:right="1440" w:firstLine="720"/>
        <w:rPr>
          <w:szCs w:val="24"/>
        </w:rPr>
      </w:pPr>
    </w:p>
    <w:p w:rsidR="00DD34EE" w:rsidRPr="008B6FD2" w:rsidRDefault="00DD34EE" w:rsidP="00DD34EE">
      <w:pPr>
        <w:pStyle w:val="Quote"/>
        <w:spacing w:after="0"/>
        <w:ind w:left="1440" w:right="1440" w:firstLine="720"/>
        <w:rPr>
          <w:szCs w:val="24"/>
        </w:rPr>
      </w:pPr>
      <w:r w:rsidRPr="008B6FD2">
        <w:rPr>
          <w:szCs w:val="24"/>
        </w:rPr>
        <w:t>(4)</w:t>
      </w:r>
      <w:r w:rsidRPr="008B6FD2">
        <w:rPr>
          <w:szCs w:val="24"/>
        </w:rPr>
        <w:tab/>
        <w:t>Legal insufficiency of a pleading.</w:t>
      </w:r>
    </w:p>
    <w:p w:rsidR="00DD34EE" w:rsidRPr="008B6FD2" w:rsidRDefault="00DD34EE" w:rsidP="00DD34EE">
      <w:pPr>
        <w:pStyle w:val="Quote"/>
        <w:spacing w:after="0"/>
        <w:ind w:left="1440" w:right="1440" w:firstLine="720"/>
        <w:rPr>
          <w:szCs w:val="24"/>
        </w:rPr>
      </w:pPr>
    </w:p>
    <w:p w:rsidR="00DD34EE" w:rsidRPr="008B6FD2" w:rsidRDefault="00DD34EE" w:rsidP="00DD34EE">
      <w:pPr>
        <w:pStyle w:val="Quote"/>
        <w:spacing w:after="0"/>
        <w:ind w:left="1440" w:right="1440" w:firstLine="720"/>
        <w:rPr>
          <w:szCs w:val="24"/>
        </w:rPr>
      </w:pPr>
      <w:r w:rsidRPr="008B6FD2">
        <w:rPr>
          <w:szCs w:val="24"/>
        </w:rPr>
        <w:t>(5)</w:t>
      </w:r>
      <w:r w:rsidRPr="008B6FD2">
        <w:rPr>
          <w:szCs w:val="24"/>
        </w:rPr>
        <w:tab/>
        <w:t>Lack of capacity to sue, nonjoinder of a necessary party or misjoinder of a cause of action.</w:t>
      </w:r>
    </w:p>
    <w:p w:rsidR="00DD34EE" w:rsidRPr="008B6FD2" w:rsidRDefault="00DD34EE" w:rsidP="00DD34EE">
      <w:pPr>
        <w:pStyle w:val="Quote"/>
        <w:spacing w:after="0"/>
        <w:ind w:left="1440" w:right="1440" w:firstLine="720"/>
        <w:rPr>
          <w:szCs w:val="24"/>
        </w:rPr>
      </w:pPr>
    </w:p>
    <w:p w:rsidR="00DD34EE" w:rsidRPr="008B6FD2" w:rsidRDefault="00DD34EE" w:rsidP="00DD34EE">
      <w:pPr>
        <w:pStyle w:val="Quote"/>
        <w:spacing w:after="0"/>
        <w:ind w:left="1440" w:right="1440" w:firstLine="720"/>
        <w:rPr>
          <w:szCs w:val="24"/>
        </w:rPr>
      </w:pPr>
      <w:r w:rsidRPr="008B6FD2">
        <w:rPr>
          <w:szCs w:val="24"/>
        </w:rPr>
        <w:t>(6)</w:t>
      </w:r>
      <w:r w:rsidRPr="008B6FD2">
        <w:rPr>
          <w:szCs w:val="24"/>
        </w:rPr>
        <w:tab/>
        <w:t>Pendency of a prior proceeding or agreement for alternative dispute resolution.</w:t>
      </w:r>
    </w:p>
    <w:p w:rsidR="00DD34EE" w:rsidRPr="008B6FD2" w:rsidRDefault="00DD34EE" w:rsidP="00DD34EE">
      <w:pPr>
        <w:ind w:firstLine="720"/>
        <w:rPr>
          <w:sz w:val="24"/>
          <w:szCs w:val="24"/>
        </w:rPr>
      </w:pPr>
      <w:r w:rsidRPr="008B6FD2">
        <w:rPr>
          <w:sz w:val="24"/>
          <w:szCs w:val="24"/>
        </w:rPr>
        <w:tab/>
      </w:r>
      <w:r w:rsidRPr="008B6FD2">
        <w:rPr>
          <w:sz w:val="24"/>
          <w:szCs w:val="24"/>
        </w:rPr>
        <w:tab/>
      </w:r>
    </w:p>
    <w:p w:rsidR="00DD34EE" w:rsidRPr="008B6FD2" w:rsidRDefault="00DD34EE" w:rsidP="00DD34EE">
      <w:pPr>
        <w:ind w:left="1440" w:firstLine="720"/>
        <w:rPr>
          <w:sz w:val="24"/>
          <w:szCs w:val="24"/>
        </w:rPr>
      </w:pPr>
      <w:r w:rsidRPr="008B6FD2">
        <w:rPr>
          <w:sz w:val="24"/>
          <w:szCs w:val="24"/>
        </w:rPr>
        <w:t xml:space="preserve">(7) </w:t>
      </w:r>
      <w:r w:rsidRPr="008B6FD2">
        <w:rPr>
          <w:sz w:val="24"/>
          <w:szCs w:val="24"/>
        </w:rPr>
        <w:tab/>
        <w:t>Standing of a party to participate in the proceeding.</w:t>
      </w:r>
    </w:p>
    <w:p w:rsidR="00DD34EE" w:rsidRDefault="00DD34EE" w:rsidP="00F67AEB">
      <w:pPr>
        <w:ind w:firstLine="1440"/>
        <w:rPr>
          <w:sz w:val="24"/>
          <w:szCs w:val="24"/>
        </w:rPr>
      </w:pPr>
    </w:p>
    <w:p w:rsidR="00B954CA" w:rsidRPr="008B6FD2" w:rsidRDefault="00B954CA" w:rsidP="00B954CA">
      <w:pPr>
        <w:ind w:firstLine="1440"/>
        <w:rPr>
          <w:sz w:val="24"/>
          <w:szCs w:val="24"/>
        </w:rPr>
      </w:pPr>
    </w:p>
    <w:p w:rsidR="00DD34EE" w:rsidRPr="008B6FD2" w:rsidRDefault="00DD34EE" w:rsidP="001C0313">
      <w:pPr>
        <w:spacing w:line="360" w:lineRule="auto"/>
        <w:ind w:firstLine="1440"/>
        <w:rPr>
          <w:sz w:val="24"/>
          <w:szCs w:val="24"/>
        </w:rPr>
      </w:pPr>
      <w:r w:rsidRPr="008B6FD2">
        <w:rPr>
          <w:sz w:val="24"/>
          <w:szCs w:val="24"/>
        </w:rPr>
        <w:t>Preliminary objection practice before the Commission is similar to Pennsylvania civil practice respecting preliminary objections.</w:t>
      </w:r>
      <w:r w:rsidRPr="008B6FD2">
        <w:rPr>
          <w:rStyle w:val="FootnoteReference"/>
          <w:sz w:val="24"/>
          <w:szCs w:val="24"/>
        </w:rPr>
        <w:footnoteReference w:id="4"/>
      </w:r>
      <w:r w:rsidRPr="008B6FD2">
        <w:rPr>
          <w:sz w:val="24"/>
          <w:szCs w:val="24"/>
        </w:rPr>
        <w:t xml:space="preserve">  In deciding the preliminary objections, the Commission must determine whether, based on well-pleaded factual averments of the petitioners, recovery or relief is possible.</w:t>
      </w:r>
      <w:r w:rsidRPr="008B6FD2">
        <w:rPr>
          <w:rStyle w:val="FootnoteReference"/>
          <w:sz w:val="24"/>
          <w:szCs w:val="24"/>
        </w:rPr>
        <w:footnoteReference w:id="5"/>
      </w:r>
      <w:r w:rsidRPr="008B6FD2">
        <w:rPr>
          <w:sz w:val="24"/>
          <w:szCs w:val="24"/>
        </w:rPr>
        <w:t xml:space="preserve">  Any doubt must be resolved in favor of the non-moving party by refusing to sustain the preliminary objections.</w:t>
      </w:r>
      <w:r w:rsidRPr="008B6FD2">
        <w:rPr>
          <w:rStyle w:val="FootnoteReference"/>
          <w:sz w:val="24"/>
          <w:szCs w:val="24"/>
        </w:rPr>
        <w:footnoteReference w:id="6"/>
      </w:r>
      <w:r w:rsidRPr="008B6FD2">
        <w:rPr>
          <w:sz w:val="24"/>
          <w:szCs w:val="24"/>
        </w:rPr>
        <w:t xml:space="preserve">  All of the non-moving party’s averments in the complaint must be viewed as true for purposes of deciding the preliminary objections, and only those facts specifically admitted may be considered against the non-moving party.</w:t>
      </w:r>
      <w:r w:rsidRPr="008B6FD2">
        <w:rPr>
          <w:rStyle w:val="FootnoteReference"/>
          <w:sz w:val="24"/>
          <w:szCs w:val="24"/>
        </w:rPr>
        <w:footnoteReference w:id="7"/>
      </w:r>
      <w:r w:rsidRPr="008B6FD2">
        <w:rPr>
          <w:sz w:val="24"/>
          <w:szCs w:val="24"/>
        </w:rPr>
        <w:t xml:space="preserve">  A preliminary objection which seeks dismissal of a pleading will only be granted where relief is clearly warranted and free from doubt.</w:t>
      </w:r>
      <w:r w:rsidRPr="008B6FD2">
        <w:rPr>
          <w:rStyle w:val="FootnoteReference"/>
          <w:sz w:val="24"/>
          <w:szCs w:val="24"/>
        </w:rPr>
        <w:footnoteReference w:id="8"/>
      </w:r>
    </w:p>
    <w:p w:rsidR="00C90968" w:rsidRDefault="00C90968" w:rsidP="002B5C99">
      <w:pPr>
        <w:spacing w:line="360" w:lineRule="auto"/>
        <w:rPr>
          <w:b/>
          <w:sz w:val="24"/>
          <w:szCs w:val="24"/>
        </w:rPr>
      </w:pPr>
    </w:p>
    <w:p w:rsidR="00922C01" w:rsidRDefault="00922C01" w:rsidP="002B5C99">
      <w:pPr>
        <w:spacing w:line="360" w:lineRule="auto"/>
        <w:rPr>
          <w:b/>
          <w:sz w:val="24"/>
          <w:szCs w:val="24"/>
        </w:rPr>
      </w:pPr>
    </w:p>
    <w:p w:rsidR="00922C01" w:rsidRDefault="00922C01" w:rsidP="002B5C99">
      <w:pPr>
        <w:spacing w:line="360" w:lineRule="auto"/>
        <w:rPr>
          <w:b/>
          <w:sz w:val="24"/>
          <w:szCs w:val="24"/>
        </w:rPr>
      </w:pPr>
    </w:p>
    <w:p w:rsidR="00922C01" w:rsidRDefault="00922C01" w:rsidP="002B5C99">
      <w:pPr>
        <w:spacing w:line="360" w:lineRule="auto"/>
        <w:rPr>
          <w:b/>
          <w:sz w:val="24"/>
          <w:szCs w:val="24"/>
        </w:rPr>
      </w:pPr>
    </w:p>
    <w:p w:rsidR="00DD34EE" w:rsidRPr="008B6FD2" w:rsidRDefault="00DD34EE" w:rsidP="00DD34EE">
      <w:pPr>
        <w:rPr>
          <w:b/>
          <w:sz w:val="24"/>
          <w:szCs w:val="24"/>
        </w:rPr>
      </w:pPr>
      <w:r w:rsidRPr="008B6FD2">
        <w:rPr>
          <w:b/>
          <w:sz w:val="24"/>
          <w:szCs w:val="24"/>
        </w:rPr>
        <w:lastRenderedPageBreak/>
        <w:t>The Protest</w:t>
      </w:r>
      <w:r w:rsidR="007951DE" w:rsidRPr="008B6FD2">
        <w:rPr>
          <w:b/>
          <w:sz w:val="24"/>
          <w:szCs w:val="24"/>
        </w:rPr>
        <w:t>s</w:t>
      </w:r>
    </w:p>
    <w:p w:rsidR="00DD34EE" w:rsidRPr="008B6FD2" w:rsidRDefault="00DD34EE" w:rsidP="00DD34EE">
      <w:pPr>
        <w:rPr>
          <w:sz w:val="24"/>
          <w:szCs w:val="24"/>
        </w:rPr>
      </w:pPr>
    </w:p>
    <w:p w:rsidR="00585640" w:rsidRDefault="00DD34EE" w:rsidP="00732507">
      <w:pPr>
        <w:spacing w:line="360" w:lineRule="auto"/>
        <w:rPr>
          <w:sz w:val="24"/>
          <w:szCs w:val="24"/>
        </w:rPr>
      </w:pPr>
      <w:r w:rsidRPr="008B6FD2">
        <w:rPr>
          <w:sz w:val="24"/>
          <w:szCs w:val="24"/>
        </w:rPr>
        <w:tab/>
      </w:r>
      <w:r w:rsidR="009B0D68">
        <w:rPr>
          <w:sz w:val="24"/>
          <w:szCs w:val="24"/>
        </w:rPr>
        <w:tab/>
      </w:r>
      <w:r w:rsidR="0077187F" w:rsidRPr="008B6FD2">
        <w:rPr>
          <w:sz w:val="24"/>
          <w:szCs w:val="24"/>
        </w:rPr>
        <w:t xml:space="preserve">The Joint </w:t>
      </w:r>
      <w:r w:rsidRPr="008B6FD2">
        <w:rPr>
          <w:sz w:val="24"/>
          <w:szCs w:val="24"/>
        </w:rPr>
        <w:t>Protestant</w:t>
      </w:r>
      <w:r w:rsidR="00291C42" w:rsidRPr="008B6FD2">
        <w:rPr>
          <w:sz w:val="24"/>
          <w:szCs w:val="24"/>
        </w:rPr>
        <w:t>s</w:t>
      </w:r>
      <w:r w:rsidR="0077187F" w:rsidRPr="008B6FD2">
        <w:rPr>
          <w:sz w:val="24"/>
          <w:szCs w:val="24"/>
        </w:rPr>
        <w:t xml:space="preserve"> </w:t>
      </w:r>
      <w:r w:rsidR="00585640" w:rsidRPr="008B6FD2">
        <w:rPr>
          <w:sz w:val="24"/>
          <w:szCs w:val="24"/>
        </w:rPr>
        <w:t>aver that they</w:t>
      </w:r>
      <w:r w:rsidRPr="008B6FD2">
        <w:rPr>
          <w:sz w:val="24"/>
          <w:szCs w:val="24"/>
        </w:rPr>
        <w:t xml:space="preserve"> hold </w:t>
      </w:r>
      <w:r w:rsidR="00732D11">
        <w:rPr>
          <w:sz w:val="24"/>
          <w:szCs w:val="24"/>
        </w:rPr>
        <w:t xml:space="preserve">authority </w:t>
      </w:r>
      <w:r w:rsidR="00585640" w:rsidRPr="008B6FD2">
        <w:rPr>
          <w:sz w:val="24"/>
          <w:szCs w:val="24"/>
        </w:rPr>
        <w:t xml:space="preserve">issued by the </w:t>
      </w:r>
      <w:r w:rsidR="00732507">
        <w:rPr>
          <w:sz w:val="24"/>
          <w:szCs w:val="24"/>
        </w:rPr>
        <w:t xml:space="preserve">Pennsylvania Public Utility Commission (PUC or Commission) authorizing them to </w:t>
      </w:r>
      <w:r w:rsidR="00732D11">
        <w:rPr>
          <w:sz w:val="24"/>
          <w:szCs w:val="24"/>
        </w:rPr>
        <w:t xml:space="preserve">provide </w:t>
      </w:r>
      <w:r w:rsidR="00732507">
        <w:rPr>
          <w:sz w:val="24"/>
          <w:szCs w:val="24"/>
        </w:rPr>
        <w:t>call or demand</w:t>
      </w:r>
      <w:r w:rsidR="00732D11">
        <w:rPr>
          <w:sz w:val="24"/>
          <w:szCs w:val="24"/>
        </w:rPr>
        <w:t xml:space="preserve"> service </w:t>
      </w:r>
      <w:r w:rsidR="00585640" w:rsidRPr="008B6FD2">
        <w:rPr>
          <w:sz w:val="24"/>
          <w:szCs w:val="24"/>
        </w:rPr>
        <w:t>to</w:t>
      </w:r>
      <w:r w:rsidR="00732507">
        <w:rPr>
          <w:sz w:val="24"/>
          <w:szCs w:val="24"/>
        </w:rPr>
        <w:t xml:space="preserve"> various</w:t>
      </w:r>
      <w:r w:rsidR="00585640" w:rsidRPr="008B6FD2">
        <w:rPr>
          <w:sz w:val="24"/>
          <w:szCs w:val="24"/>
        </w:rPr>
        <w:t xml:space="preserve"> points </w:t>
      </w:r>
      <w:r w:rsidR="00732507">
        <w:rPr>
          <w:sz w:val="24"/>
          <w:szCs w:val="24"/>
        </w:rPr>
        <w:t>within the Commonwealth of Pennsylvania.</w:t>
      </w:r>
    </w:p>
    <w:p w:rsidR="007C6EAB" w:rsidRPr="008B6FD2" w:rsidRDefault="007C6EAB" w:rsidP="00732507">
      <w:pPr>
        <w:spacing w:line="360" w:lineRule="auto"/>
        <w:rPr>
          <w:sz w:val="24"/>
          <w:szCs w:val="24"/>
        </w:rPr>
      </w:pPr>
    </w:p>
    <w:p w:rsidR="00EE212E" w:rsidRPr="008B6FD2" w:rsidRDefault="0077187F" w:rsidP="00B32B88">
      <w:pPr>
        <w:spacing w:line="360" w:lineRule="auto"/>
        <w:rPr>
          <w:sz w:val="24"/>
          <w:szCs w:val="24"/>
        </w:rPr>
      </w:pPr>
      <w:r w:rsidRPr="008B6FD2">
        <w:rPr>
          <w:sz w:val="24"/>
          <w:szCs w:val="24"/>
        </w:rPr>
        <w:tab/>
      </w:r>
      <w:r w:rsidR="001C0313">
        <w:rPr>
          <w:sz w:val="24"/>
          <w:szCs w:val="24"/>
        </w:rPr>
        <w:t xml:space="preserve">            </w:t>
      </w:r>
      <w:r w:rsidR="00DD34EE" w:rsidRPr="008B6FD2">
        <w:rPr>
          <w:sz w:val="24"/>
          <w:szCs w:val="24"/>
        </w:rPr>
        <w:t>The Protestant</w:t>
      </w:r>
      <w:r w:rsidR="00585640" w:rsidRPr="008B6FD2">
        <w:rPr>
          <w:sz w:val="24"/>
          <w:szCs w:val="24"/>
        </w:rPr>
        <w:t>s</w:t>
      </w:r>
      <w:r w:rsidR="00DD34EE" w:rsidRPr="008B6FD2">
        <w:rPr>
          <w:sz w:val="24"/>
          <w:szCs w:val="24"/>
        </w:rPr>
        <w:t xml:space="preserve"> object to the grant of experimental authority to the Applicant on a variety of grounds: </w:t>
      </w:r>
    </w:p>
    <w:p w:rsidR="00EE212E" w:rsidRPr="008B6FD2" w:rsidRDefault="00EE212E" w:rsidP="00585640">
      <w:pPr>
        <w:ind w:firstLine="720"/>
        <w:rPr>
          <w:sz w:val="24"/>
          <w:szCs w:val="24"/>
        </w:rPr>
      </w:pPr>
    </w:p>
    <w:p w:rsidR="00C33E9B" w:rsidRDefault="00EE212E" w:rsidP="004E68A1">
      <w:pPr>
        <w:pStyle w:val="ListParagraph"/>
        <w:numPr>
          <w:ilvl w:val="0"/>
          <w:numId w:val="8"/>
        </w:numPr>
        <w:ind w:left="1440" w:firstLine="0"/>
        <w:rPr>
          <w:sz w:val="24"/>
          <w:szCs w:val="24"/>
        </w:rPr>
      </w:pPr>
      <w:r w:rsidRPr="008B6FD2">
        <w:rPr>
          <w:sz w:val="24"/>
          <w:szCs w:val="24"/>
        </w:rPr>
        <w:t>That the Applicant</w:t>
      </w:r>
      <w:r w:rsidR="00732D11">
        <w:rPr>
          <w:sz w:val="24"/>
          <w:szCs w:val="24"/>
        </w:rPr>
        <w:t xml:space="preserve"> has not attached to its application, a balance sheet, projected revenue and expense statement, or any other financial information that is indicative of its financial fitness to provide </w:t>
      </w:r>
      <w:r w:rsidR="00C33E9B">
        <w:rPr>
          <w:sz w:val="24"/>
          <w:szCs w:val="24"/>
        </w:rPr>
        <w:t>the proposed service; and that Applicant does not possess the requisite financial fitness to provide the proposed service.</w:t>
      </w:r>
    </w:p>
    <w:p w:rsidR="004E68A1" w:rsidRDefault="004E68A1" w:rsidP="004E68A1">
      <w:pPr>
        <w:pStyle w:val="ListParagraph"/>
        <w:ind w:left="1440" w:hanging="720"/>
        <w:rPr>
          <w:sz w:val="24"/>
          <w:szCs w:val="24"/>
        </w:rPr>
      </w:pPr>
    </w:p>
    <w:p w:rsidR="00C33E9B" w:rsidRDefault="00C33E9B" w:rsidP="004E68A1">
      <w:pPr>
        <w:pStyle w:val="ListParagraph"/>
        <w:numPr>
          <w:ilvl w:val="0"/>
          <w:numId w:val="8"/>
        </w:numPr>
        <w:ind w:left="1440" w:firstLine="0"/>
        <w:rPr>
          <w:sz w:val="24"/>
          <w:szCs w:val="24"/>
        </w:rPr>
      </w:pPr>
      <w:r>
        <w:rPr>
          <w:sz w:val="24"/>
          <w:szCs w:val="24"/>
        </w:rPr>
        <w:t>Applicant has attached no information to its application that would indicate how Applicant intends to operate and accordingly does not possess the requisite technical fitness to provide the proposed service to the proposed service area.</w:t>
      </w:r>
    </w:p>
    <w:p w:rsidR="004E68A1" w:rsidRDefault="004E68A1" w:rsidP="004E68A1">
      <w:pPr>
        <w:pStyle w:val="ListParagraph"/>
        <w:ind w:left="1440" w:hanging="720"/>
        <w:rPr>
          <w:sz w:val="24"/>
          <w:szCs w:val="24"/>
        </w:rPr>
      </w:pPr>
    </w:p>
    <w:p w:rsidR="00C33E9B" w:rsidRDefault="00C33E9B" w:rsidP="004E68A1">
      <w:pPr>
        <w:pStyle w:val="ListParagraph"/>
        <w:numPr>
          <w:ilvl w:val="0"/>
          <w:numId w:val="8"/>
        </w:numPr>
        <w:ind w:left="1440" w:firstLine="0"/>
        <w:rPr>
          <w:sz w:val="24"/>
          <w:szCs w:val="24"/>
        </w:rPr>
      </w:pPr>
      <w:r>
        <w:rPr>
          <w:sz w:val="24"/>
          <w:szCs w:val="24"/>
        </w:rPr>
        <w:t>Approval of the application will not serve a useful public purpose or need, but will duplicate already existing service to the detriment of existing carriers.</w:t>
      </w:r>
    </w:p>
    <w:p w:rsidR="004E68A1" w:rsidRDefault="004E68A1" w:rsidP="004E68A1">
      <w:pPr>
        <w:pStyle w:val="ListParagraph"/>
        <w:ind w:left="1440" w:hanging="720"/>
        <w:rPr>
          <w:sz w:val="24"/>
          <w:szCs w:val="24"/>
        </w:rPr>
      </w:pPr>
    </w:p>
    <w:p w:rsidR="00C33E9B" w:rsidRDefault="00C33E9B" w:rsidP="004E68A1">
      <w:pPr>
        <w:pStyle w:val="ListParagraph"/>
        <w:numPr>
          <w:ilvl w:val="0"/>
          <w:numId w:val="8"/>
        </w:numPr>
        <w:ind w:left="1440" w:firstLine="0"/>
        <w:rPr>
          <w:sz w:val="24"/>
          <w:szCs w:val="24"/>
        </w:rPr>
      </w:pPr>
      <w:r>
        <w:rPr>
          <w:sz w:val="24"/>
          <w:szCs w:val="24"/>
        </w:rPr>
        <w:t>There is no need for the proposed service.</w:t>
      </w:r>
    </w:p>
    <w:p w:rsidR="004E68A1" w:rsidRDefault="004E68A1" w:rsidP="004E68A1">
      <w:pPr>
        <w:pStyle w:val="ListParagraph"/>
        <w:ind w:left="1440" w:hanging="720"/>
        <w:rPr>
          <w:sz w:val="24"/>
          <w:szCs w:val="24"/>
        </w:rPr>
      </w:pPr>
    </w:p>
    <w:p w:rsidR="00C33E9B" w:rsidRDefault="00C33E9B" w:rsidP="004E68A1">
      <w:pPr>
        <w:pStyle w:val="ListParagraph"/>
        <w:numPr>
          <w:ilvl w:val="0"/>
          <w:numId w:val="8"/>
        </w:numPr>
        <w:ind w:left="1440" w:firstLine="0"/>
        <w:rPr>
          <w:sz w:val="24"/>
          <w:szCs w:val="24"/>
        </w:rPr>
      </w:pPr>
      <w:r>
        <w:rPr>
          <w:sz w:val="24"/>
          <w:szCs w:val="24"/>
        </w:rPr>
        <w:t>It would authorize additional unnecessary and harmful competition into the area with the resulting loss of revenue to the Protestants and would be detrimental to the traveling public.</w:t>
      </w:r>
    </w:p>
    <w:p w:rsidR="004E68A1" w:rsidRDefault="004E68A1" w:rsidP="004E68A1">
      <w:pPr>
        <w:pStyle w:val="ListParagraph"/>
        <w:ind w:left="1440" w:hanging="720"/>
        <w:rPr>
          <w:sz w:val="24"/>
          <w:szCs w:val="24"/>
        </w:rPr>
      </w:pPr>
    </w:p>
    <w:p w:rsidR="002A77EA" w:rsidRDefault="00EE212E" w:rsidP="004E68A1">
      <w:pPr>
        <w:pStyle w:val="ListParagraph"/>
        <w:numPr>
          <w:ilvl w:val="0"/>
          <w:numId w:val="8"/>
        </w:numPr>
        <w:ind w:left="1440" w:firstLine="0"/>
        <w:rPr>
          <w:sz w:val="24"/>
          <w:szCs w:val="24"/>
        </w:rPr>
      </w:pPr>
      <w:r w:rsidRPr="00C33E9B">
        <w:rPr>
          <w:sz w:val="24"/>
          <w:szCs w:val="24"/>
        </w:rPr>
        <w:t xml:space="preserve">That Applicant </w:t>
      </w:r>
      <w:r w:rsidR="00C33E9B" w:rsidRPr="00C33E9B">
        <w:rPr>
          <w:sz w:val="24"/>
          <w:szCs w:val="24"/>
        </w:rPr>
        <w:t>is simply making an application for regular taxi service, under the guise of “experimental service of Transportation Network Service</w:t>
      </w:r>
      <w:r w:rsidR="009C10C1">
        <w:rPr>
          <w:sz w:val="24"/>
          <w:szCs w:val="24"/>
        </w:rPr>
        <w:t>.</w:t>
      </w:r>
      <w:r w:rsidR="00C33E9B" w:rsidRPr="00C33E9B">
        <w:rPr>
          <w:sz w:val="24"/>
          <w:szCs w:val="24"/>
        </w:rPr>
        <w:t xml:space="preserve">”  </w:t>
      </w:r>
    </w:p>
    <w:p w:rsidR="004E68A1" w:rsidRPr="00C33E9B" w:rsidRDefault="004E68A1" w:rsidP="004E68A1">
      <w:pPr>
        <w:pStyle w:val="ListParagraph"/>
        <w:ind w:left="1440" w:hanging="720"/>
        <w:rPr>
          <w:sz w:val="24"/>
          <w:szCs w:val="24"/>
        </w:rPr>
      </w:pPr>
    </w:p>
    <w:p w:rsidR="001C213F" w:rsidRDefault="002A77EA" w:rsidP="00264CFF">
      <w:pPr>
        <w:pStyle w:val="ListParagraph"/>
        <w:numPr>
          <w:ilvl w:val="0"/>
          <w:numId w:val="8"/>
        </w:numPr>
        <w:ind w:left="1440" w:firstLine="0"/>
        <w:rPr>
          <w:sz w:val="24"/>
          <w:szCs w:val="24"/>
        </w:rPr>
      </w:pPr>
      <w:r w:rsidRPr="00C33E9B">
        <w:rPr>
          <w:sz w:val="24"/>
          <w:szCs w:val="24"/>
        </w:rPr>
        <w:t xml:space="preserve">That the </w:t>
      </w:r>
      <w:r w:rsidR="001C213F">
        <w:rPr>
          <w:sz w:val="24"/>
          <w:szCs w:val="24"/>
        </w:rPr>
        <w:t>A</w:t>
      </w:r>
      <w:r w:rsidRPr="00C33E9B">
        <w:rPr>
          <w:sz w:val="24"/>
          <w:szCs w:val="24"/>
        </w:rPr>
        <w:t>pplica</w:t>
      </w:r>
      <w:r w:rsidR="00C33E9B" w:rsidRPr="00C33E9B">
        <w:rPr>
          <w:sz w:val="24"/>
          <w:szCs w:val="24"/>
        </w:rPr>
        <w:t>nt has filed the incorrect application before the Commission.</w:t>
      </w:r>
      <w:r w:rsidRPr="00C33E9B">
        <w:rPr>
          <w:sz w:val="24"/>
          <w:szCs w:val="24"/>
        </w:rPr>
        <w:t xml:space="preserve">      </w:t>
      </w:r>
    </w:p>
    <w:p w:rsidR="00A72886" w:rsidRDefault="009B0D68" w:rsidP="00A72886">
      <w:pPr>
        <w:ind w:firstLine="720"/>
        <w:rPr>
          <w:sz w:val="24"/>
          <w:szCs w:val="24"/>
        </w:rPr>
      </w:pPr>
      <w:r>
        <w:rPr>
          <w:sz w:val="24"/>
          <w:szCs w:val="24"/>
        </w:rPr>
        <w:tab/>
      </w:r>
    </w:p>
    <w:p w:rsidR="00A72886" w:rsidRDefault="00A72886" w:rsidP="00A72886">
      <w:pPr>
        <w:ind w:firstLine="720"/>
        <w:rPr>
          <w:sz w:val="24"/>
          <w:szCs w:val="24"/>
        </w:rPr>
      </w:pPr>
    </w:p>
    <w:p w:rsidR="005C2412" w:rsidRDefault="00A72886" w:rsidP="00F4669E">
      <w:pPr>
        <w:spacing w:line="360" w:lineRule="auto"/>
        <w:ind w:firstLine="720"/>
        <w:rPr>
          <w:sz w:val="24"/>
          <w:szCs w:val="24"/>
        </w:rPr>
      </w:pPr>
      <w:r>
        <w:rPr>
          <w:sz w:val="24"/>
          <w:szCs w:val="24"/>
        </w:rPr>
        <w:tab/>
      </w:r>
      <w:r w:rsidR="00DD34EE" w:rsidRPr="008B6FD2">
        <w:rPr>
          <w:sz w:val="24"/>
          <w:szCs w:val="24"/>
        </w:rPr>
        <w:t>The Applicant’s preliminary objection</w:t>
      </w:r>
      <w:r w:rsidR="00F4669E">
        <w:rPr>
          <w:sz w:val="24"/>
          <w:szCs w:val="24"/>
        </w:rPr>
        <w:t>s</w:t>
      </w:r>
      <w:r w:rsidR="00DD34EE" w:rsidRPr="008B6FD2">
        <w:rPr>
          <w:sz w:val="24"/>
          <w:szCs w:val="24"/>
        </w:rPr>
        <w:t xml:space="preserve"> seek dismissal of the protest</w:t>
      </w:r>
      <w:r w:rsidR="00900640" w:rsidRPr="008B6FD2">
        <w:rPr>
          <w:sz w:val="24"/>
          <w:szCs w:val="24"/>
        </w:rPr>
        <w:t xml:space="preserve">s, averring </w:t>
      </w:r>
      <w:r w:rsidR="00DD34EE" w:rsidRPr="008B6FD2">
        <w:rPr>
          <w:sz w:val="24"/>
          <w:szCs w:val="24"/>
        </w:rPr>
        <w:t>the Protestant</w:t>
      </w:r>
      <w:r w:rsidR="00900640" w:rsidRPr="008B6FD2">
        <w:rPr>
          <w:sz w:val="24"/>
          <w:szCs w:val="24"/>
        </w:rPr>
        <w:t>s</w:t>
      </w:r>
      <w:r w:rsidR="00DD34EE" w:rsidRPr="008B6FD2">
        <w:rPr>
          <w:sz w:val="24"/>
          <w:szCs w:val="24"/>
        </w:rPr>
        <w:t xml:space="preserve"> </w:t>
      </w:r>
      <w:r w:rsidR="00900640" w:rsidRPr="008B6FD2">
        <w:rPr>
          <w:sz w:val="24"/>
          <w:szCs w:val="24"/>
        </w:rPr>
        <w:t>lack standing</w:t>
      </w:r>
      <w:r w:rsidR="00E80B2F" w:rsidRPr="008B6FD2">
        <w:rPr>
          <w:sz w:val="24"/>
          <w:szCs w:val="24"/>
        </w:rPr>
        <w:t xml:space="preserve"> </w:t>
      </w:r>
      <w:r w:rsidR="003A41CA" w:rsidRPr="008B6FD2">
        <w:rPr>
          <w:sz w:val="24"/>
          <w:szCs w:val="24"/>
        </w:rPr>
        <w:t>as Protestants</w:t>
      </w:r>
      <w:r w:rsidR="005102B7">
        <w:rPr>
          <w:sz w:val="24"/>
          <w:szCs w:val="24"/>
        </w:rPr>
        <w:t>’</w:t>
      </w:r>
      <w:r w:rsidR="003A41CA" w:rsidRPr="008B6FD2">
        <w:rPr>
          <w:sz w:val="24"/>
          <w:szCs w:val="24"/>
        </w:rPr>
        <w:t xml:space="preserve"> authority to </w:t>
      </w:r>
      <w:r w:rsidR="000E21E5">
        <w:rPr>
          <w:sz w:val="24"/>
          <w:szCs w:val="24"/>
        </w:rPr>
        <w:t xml:space="preserve">operate as common carriers does not present an actual or potential conflict with the proposed service.  </w:t>
      </w:r>
    </w:p>
    <w:p w:rsidR="000E21E5" w:rsidRPr="008B6FD2" w:rsidRDefault="000E21E5" w:rsidP="00F4669E">
      <w:pPr>
        <w:spacing w:line="360" w:lineRule="auto"/>
        <w:ind w:firstLine="720"/>
        <w:rPr>
          <w:sz w:val="24"/>
          <w:szCs w:val="24"/>
        </w:rPr>
      </w:pPr>
    </w:p>
    <w:p w:rsidR="003A41CA" w:rsidRDefault="009B0D68" w:rsidP="00F4669E">
      <w:pPr>
        <w:spacing w:line="360" w:lineRule="auto"/>
        <w:ind w:firstLine="720"/>
        <w:rPr>
          <w:sz w:val="24"/>
          <w:szCs w:val="24"/>
        </w:rPr>
      </w:pPr>
      <w:r>
        <w:rPr>
          <w:sz w:val="24"/>
          <w:szCs w:val="24"/>
        </w:rPr>
        <w:lastRenderedPageBreak/>
        <w:tab/>
      </w:r>
      <w:r w:rsidR="003A41CA" w:rsidRPr="008B6FD2">
        <w:rPr>
          <w:sz w:val="24"/>
          <w:szCs w:val="24"/>
        </w:rPr>
        <w:t>Applicant</w:t>
      </w:r>
      <w:r w:rsidR="000E21E5">
        <w:rPr>
          <w:sz w:val="24"/>
          <w:szCs w:val="24"/>
        </w:rPr>
        <w:t xml:space="preserve"> further</w:t>
      </w:r>
      <w:r w:rsidR="003A41CA" w:rsidRPr="008B6FD2">
        <w:rPr>
          <w:sz w:val="24"/>
          <w:szCs w:val="24"/>
        </w:rPr>
        <w:t xml:space="preserve"> avers that the protests are legally insufficient pleadings that fail to state a claim upon which relief may be granted.</w:t>
      </w:r>
      <w:r w:rsidR="005C2412" w:rsidRPr="008B6FD2">
        <w:rPr>
          <w:sz w:val="24"/>
          <w:szCs w:val="24"/>
        </w:rPr>
        <w:t xml:space="preserve">  </w:t>
      </w:r>
      <w:r w:rsidR="002F39C3" w:rsidRPr="008B6FD2">
        <w:rPr>
          <w:sz w:val="24"/>
          <w:szCs w:val="24"/>
        </w:rPr>
        <w:t xml:space="preserve">Applicant argues the general allegations regarding public need does not present sufficient information to warrant a hearing or further consideration from the Commission.  </w:t>
      </w:r>
    </w:p>
    <w:p w:rsidR="000E21E5" w:rsidRPr="008B6FD2" w:rsidRDefault="000E21E5" w:rsidP="00F4669E">
      <w:pPr>
        <w:spacing w:line="360" w:lineRule="auto"/>
        <w:ind w:firstLine="720"/>
        <w:rPr>
          <w:sz w:val="24"/>
          <w:szCs w:val="24"/>
        </w:rPr>
      </w:pPr>
    </w:p>
    <w:p w:rsidR="00FE0170" w:rsidRDefault="00DD34EE" w:rsidP="00FE0170">
      <w:pPr>
        <w:spacing w:line="360" w:lineRule="auto"/>
        <w:ind w:firstLine="720"/>
        <w:rPr>
          <w:sz w:val="24"/>
          <w:szCs w:val="24"/>
        </w:rPr>
      </w:pPr>
      <w:r w:rsidRPr="008B6FD2">
        <w:rPr>
          <w:sz w:val="24"/>
          <w:szCs w:val="24"/>
        </w:rPr>
        <w:t xml:space="preserve">  </w:t>
      </w:r>
      <w:r w:rsidR="00FE0170">
        <w:rPr>
          <w:sz w:val="24"/>
          <w:szCs w:val="24"/>
        </w:rPr>
        <w:t xml:space="preserve">            </w:t>
      </w:r>
      <w:r w:rsidRPr="008B6FD2">
        <w:rPr>
          <w:sz w:val="24"/>
          <w:szCs w:val="24"/>
        </w:rPr>
        <w:t>Generally, Commission precedent provides that a protestant must have some operating rights in actual or potential conflict with the authority sought by an applicant in order to have standing to protest an application.</w:t>
      </w:r>
      <w:r w:rsidRPr="008B6FD2">
        <w:rPr>
          <w:rStyle w:val="FootnoteReference"/>
          <w:sz w:val="24"/>
          <w:szCs w:val="24"/>
        </w:rPr>
        <w:footnoteReference w:id="9"/>
      </w:r>
      <w:r w:rsidRPr="008B6FD2">
        <w:rPr>
          <w:sz w:val="24"/>
          <w:szCs w:val="24"/>
        </w:rPr>
        <w:t xml:space="preserve">  The Applicant contends that the Protestant</w:t>
      </w:r>
      <w:r w:rsidR="002F39C3" w:rsidRPr="008B6FD2">
        <w:rPr>
          <w:sz w:val="24"/>
          <w:szCs w:val="24"/>
        </w:rPr>
        <w:t xml:space="preserve">s </w:t>
      </w:r>
      <w:r w:rsidRPr="008B6FD2">
        <w:rPr>
          <w:sz w:val="24"/>
          <w:szCs w:val="24"/>
        </w:rPr>
        <w:t xml:space="preserve">do not </w:t>
      </w:r>
      <w:r w:rsidR="002F39C3" w:rsidRPr="008B6FD2">
        <w:rPr>
          <w:sz w:val="24"/>
          <w:szCs w:val="24"/>
        </w:rPr>
        <w:t xml:space="preserve">have operating authority in actual or potential conflict with the authority sought by </w:t>
      </w:r>
      <w:r w:rsidR="002C0CC9">
        <w:rPr>
          <w:sz w:val="24"/>
          <w:szCs w:val="24"/>
        </w:rPr>
        <w:t>A</w:t>
      </w:r>
      <w:r w:rsidR="002F39C3" w:rsidRPr="008B6FD2">
        <w:rPr>
          <w:sz w:val="24"/>
          <w:szCs w:val="24"/>
        </w:rPr>
        <w:t xml:space="preserve">pplicant to have the requisite standing to protest the application.  </w:t>
      </w:r>
    </w:p>
    <w:p w:rsidR="00FE0170" w:rsidRDefault="00FE0170" w:rsidP="00F4669E">
      <w:pPr>
        <w:spacing w:line="360" w:lineRule="auto"/>
        <w:rPr>
          <w:sz w:val="24"/>
          <w:szCs w:val="24"/>
        </w:rPr>
      </w:pPr>
    </w:p>
    <w:p w:rsidR="00DD34EE" w:rsidRPr="008B6FD2" w:rsidRDefault="00DD34EE" w:rsidP="00F4669E">
      <w:pPr>
        <w:spacing w:line="360" w:lineRule="auto"/>
        <w:rPr>
          <w:sz w:val="24"/>
          <w:szCs w:val="24"/>
        </w:rPr>
      </w:pPr>
      <w:r w:rsidRPr="008B6FD2">
        <w:rPr>
          <w:sz w:val="24"/>
          <w:szCs w:val="24"/>
        </w:rPr>
        <w:tab/>
      </w:r>
      <w:r w:rsidR="00FE0170">
        <w:rPr>
          <w:sz w:val="24"/>
          <w:szCs w:val="24"/>
        </w:rPr>
        <w:t xml:space="preserve">            </w:t>
      </w:r>
      <w:r w:rsidRPr="008B6FD2">
        <w:rPr>
          <w:sz w:val="24"/>
          <w:szCs w:val="24"/>
        </w:rPr>
        <w:t>Standing to participate in proceedings before an administrative agency is primarily within the discretion of the agency.</w:t>
      </w:r>
      <w:r w:rsidRPr="008B6FD2">
        <w:rPr>
          <w:rStyle w:val="FootnoteReference"/>
          <w:sz w:val="24"/>
          <w:szCs w:val="24"/>
        </w:rPr>
        <w:footnoteReference w:id="10"/>
      </w:r>
      <w:r w:rsidRPr="008B6FD2">
        <w:rPr>
          <w:sz w:val="24"/>
          <w:szCs w:val="24"/>
        </w:rPr>
        <w:t xml:space="preserve">  “In simple terms, </w:t>
      </w:r>
      <w:r w:rsidR="002C0CC9">
        <w:rPr>
          <w:sz w:val="24"/>
          <w:szCs w:val="24"/>
        </w:rPr>
        <w:t>“</w:t>
      </w:r>
      <w:r w:rsidRPr="008B6FD2">
        <w:rPr>
          <w:sz w:val="24"/>
          <w:szCs w:val="24"/>
        </w:rPr>
        <w:t>standing to sue</w:t>
      </w:r>
      <w:r w:rsidR="002C0CC9">
        <w:rPr>
          <w:sz w:val="24"/>
          <w:szCs w:val="24"/>
        </w:rPr>
        <w:t>”</w:t>
      </w:r>
      <w:r w:rsidRPr="008B6FD2">
        <w:rPr>
          <w:sz w:val="24"/>
          <w:szCs w:val="24"/>
        </w:rPr>
        <w:t xml:space="preserve"> is a legal concept assuring that the interest of the party who is suing is really and concretely at stake to a degree where he or she can properly bring an action before the court.”</w:t>
      </w:r>
      <w:r w:rsidRPr="008B6FD2">
        <w:rPr>
          <w:rStyle w:val="FootnoteReference"/>
          <w:sz w:val="24"/>
          <w:szCs w:val="24"/>
        </w:rPr>
        <w:footnoteReference w:id="11"/>
      </w:r>
      <w:r w:rsidRPr="008B6FD2">
        <w:rPr>
          <w:sz w:val="24"/>
          <w:szCs w:val="24"/>
        </w:rPr>
        <w:t xml:space="preserve">  Accordingly, we reject the notion that only carriers holding experimental authority which uses “App-based” technology are in a position to challenge the application.  By its very nature, the purpose of experimental authority is to provide the Commission with the flexibility to consider “innovative” transportation schemes that do not fit within the other types of service defined by the Commission’s regulations:</w:t>
      </w:r>
    </w:p>
    <w:p w:rsidR="00DD34EE" w:rsidRPr="008B6FD2" w:rsidRDefault="00DD34EE" w:rsidP="00DD34EE">
      <w:pPr>
        <w:ind w:left="1440" w:right="1440"/>
        <w:rPr>
          <w:sz w:val="24"/>
          <w:szCs w:val="24"/>
        </w:rPr>
      </w:pPr>
    </w:p>
    <w:p w:rsidR="00DD34EE" w:rsidRPr="008B6FD2" w:rsidRDefault="00DD34EE" w:rsidP="00DD34EE">
      <w:pPr>
        <w:ind w:left="1440" w:right="1440"/>
        <w:rPr>
          <w:sz w:val="24"/>
          <w:szCs w:val="24"/>
        </w:rPr>
      </w:pPr>
      <w:r w:rsidRPr="008B6FD2">
        <w:rPr>
          <w:sz w:val="24"/>
          <w:szCs w:val="24"/>
        </w:rPr>
        <w:t xml:space="preserve">In order to advance and promote the public necessity, safety and convenience, the Commission may, upon application, grant a new certificate or an amendment to an existing certificate in order to allow to be provided a new, innovative or experimental type or class of common carrier service.  An application for a certificate or amendment shall state that it is an application for an experimental service.  Holders of experimental certificates shall abide by this chapter except those which the Commission shall explicitly state </w:t>
      </w:r>
      <w:r w:rsidRPr="008B6FD2">
        <w:rPr>
          <w:sz w:val="24"/>
          <w:szCs w:val="24"/>
        </w:rPr>
        <w:lastRenderedPageBreak/>
        <w:t>do not apply.  Holders of experimental certificates shall abide by any additional regulations or requirements, including informational and reporting requirements, which the Commission shall stipulate upon granting the certificate.  A certificate for experimental service shall be valid only until the service is abandoned, until 2 years have elapsed from the time the certificate was approved or until the Commission enacts amendments to this chapter pertaining to the new class of service represented by the experimental service, whichever event occurs first.</w:t>
      </w:r>
      <w:r w:rsidRPr="008B6FD2">
        <w:rPr>
          <w:rStyle w:val="FootnoteReference"/>
          <w:sz w:val="24"/>
          <w:szCs w:val="24"/>
        </w:rPr>
        <w:footnoteReference w:id="12"/>
      </w:r>
    </w:p>
    <w:p w:rsidR="00DD34EE" w:rsidRPr="008B6FD2" w:rsidRDefault="00DD34EE" w:rsidP="00F4669E">
      <w:pPr>
        <w:spacing w:line="360" w:lineRule="auto"/>
        <w:rPr>
          <w:sz w:val="24"/>
          <w:szCs w:val="24"/>
        </w:rPr>
      </w:pPr>
    </w:p>
    <w:p w:rsidR="00DD34EE" w:rsidRPr="008B6FD2" w:rsidRDefault="00F4669E" w:rsidP="00FE0170">
      <w:pPr>
        <w:spacing w:line="360" w:lineRule="auto"/>
        <w:ind w:firstLine="720"/>
        <w:rPr>
          <w:sz w:val="24"/>
          <w:szCs w:val="24"/>
        </w:rPr>
      </w:pPr>
      <w:r>
        <w:rPr>
          <w:sz w:val="24"/>
          <w:szCs w:val="24"/>
        </w:rPr>
        <w:t xml:space="preserve">            </w:t>
      </w:r>
      <w:r w:rsidR="00DD34EE" w:rsidRPr="008B6FD2">
        <w:rPr>
          <w:sz w:val="24"/>
          <w:szCs w:val="24"/>
        </w:rPr>
        <w:t>The regulation provides the Commission with the discretion to apply the regulatory requirements from any of the other classes of transportation authority and to also create additional requirements, depending on the details of the service proposed.</w:t>
      </w:r>
      <w:r w:rsidR="00DD34EE" w:rsidRPr="008B6FD2">
        <w:rPr>
          <w:rStyle w:val="FootnoteReference"/>
          <w:sz w:val="24"/>
          <w:szCs w:val="24"/>
        </w:rPr>
        <w:footnoteReference w:id="13"/>
      </w:r>
      <w:r w:rsidR="00DD34EE" w:rsidRPr="008B6FD2">
        <w:rPr>
          <w:sz w:val="24"/>
          <w:szCs w:val="24"/>
        </w:rPr>
        <w:t xml:space="preserve">  To adopt the narrow view of standing espoused by the Applicant would be so limiting, that virtually no carriers would be in a position to protest.  </w:t>
      </w:r>
    </w:p>
    <w:p w:rsidR="00DD34EE" w:rsidRPr="008B6FD2" w:rsidRDefault="00DD34EE" w:rsidP="00FE0170">
      <w:pPr>
        <w:spacing w:line="360" w:lineRule="auto"/>
        <w:rPr>
          <w:sz w:val="24"/>
          <w:szCs w:val="24"/>
        </w:rPr>
      </w:pPr>
      <w:r w:rsidRPr="008B6FD2">
        <w:rPr>
          <w:sz w:val="24"/>
          <w:szCs w:val="24"/>
        </w:rPr>
        <w:tab/>
      </w:r>
    </w:p>
    <w:p w:rsidR="00DD34EE" w:rsidRDefault="00DD34EE" w:rsidP="00FE0170">
      <w:pPr>
        <w:spacing w:line="360" w:lineRule="auto"/>
        <w:ind w:firstLine="1440"/>
        <w:rPr>
          <w:sz w:val="24"/>
          <w:szCs w:val="24"/>
        </w:rPr>
      </w:pPr>
      <w:r w:rsidRPr="008B6FD2">
        <w:rPr>
          <w:sz w:val="24"/>
          <w:szCs w:val="24"/>
        </w:rPr>
        <w:t>The application provides that the vehicles which will be eligible to participate in the Applicant’s transportation program will include “street-legal coupes, sedans or light-duty vehicles, including vans, minivans, sport utility vehicles, hatchbacks, convertibles, and pickup trucks.”  The application does not explicitly state that there would be any particular restriction on the transportation, i.e. that it would be exclusive or non-exclusive, that the transportation would exclude trips to and from airports or that vans and minivans would only transport one person at a time.  Indeed, read as a whole, it appears that the Applicant would use the proposed service to meet nearly any sort of transportation need sought.  The Protestant</w:t>
      </w:r>
      <w:r w:rsidR="00226597" w:rsidRPr="008B6FD2">
        <w:rPr>
          <w:sz w:val="24"/>
          <w:szCs w:val="24"/>
        </w:rPr>
        <w:t>s</w:t>
      </w:r>
      <w:r w:rsidRPr="008B6FD2">
        <w:rPr>
          <w:sz w:val="24"/>
          <w:szCs w:val="24"/>
        </w:rPr>
        <w:t xml:space="preserve"> hold authority which provides transportation services similar to that which may be provided by the Applicant, under the auspices of traditional call or demand, paratransit or airport transfer authority.  Therefore, the application presents at least a potential conflict with the Protestants</w:t>
      </w:r>
      <w:r w:rsidR="000C74DD">
        <w:rPr>
          <w:sz w:val="24"/>
          <w:szCs w:val="24"/>
        </w:rPr>
        <w:t>’</w:t>
      </w:r>
      <w:r w:rsidRPr="008B6FD2">
        <w:rPr>
          <w:sz w:val="24"/>
          <w:szCs w:val="24"/>
        </w:rPr>
        <w:t xml:space="preserve"> authority and the preliminary objection based on standing will be dismissed.</w:t>
      </w:r>
    </w:p>
    <w:p w:rsidR="00E4726A" w:rsidRDefault="00E4726A" w:rsidP="00FE0170">
      <w:pPr>
        <w:spacing w:line="360" w:lineRule="auto"/>
        <w:ind w:firstLine="1440"/>
        <w:rPr>
          <w:sz w:val="24"/>
          <w:szCs w:val="24"/>
        </w:rPr>
      </w:pPr>
    </w:p>
    <w:p w:rsidR="00F4669E" w:rsidRDefault="00DD34EE" w:rsidP="00FE0170">
      <w:pPr>
        <w:spacing w:line="360" w:lineRule="auto"/>
        <w:ind w:firstLine="720"/>
        <w:rPr>
          <w:sz w:val="24"/>
          <w:szCs w:val="24"/>
        </w:rPr>
      </w:pPr>
      <w:r w:rsidRPr="008B6FD2">
        <w:rPr>
          <w:sz w:val="24"/>
          <w:szCs w:val="24"/>
        </w:rPr>
        <w:tab/>
        <w:t xml:space="preserve">The Applicant also seeks dismissal of the protest because </w:t>
      </w:r>
      <w:r w:rsidR="00226597" w:rsidRPr="008B6FD2">
        <w:rPr>
          <w:sz w:val="24"/>
          <w:szCs w:val="24"/>
        </w:rPr>
        <w:t>it alleges Protestants have failed to state a claim upon which relief may be granted.</w:t>
      </w:r>
      <w:r w:rsidR="00A17F52" w:rsidRPr="008B6FD2">
        <w:rPr>
          <w:sz w:val="24"/>
          <w:szCs w:val="24"/>
        </w:rPr>
        <w:t xml:space="preserve">  Essentially, Applicant argues that </w:t>
      </w:r>
      <w:r w:rsidR="00D85718" w:rsidRPr="008B6FD2">
        <w:rPr>
          <w:sz w:val="24"/>
          <w:szCs w:val="24"/>
        </w:rPr>
        <w:lastRenderedPageBreak/>
        <w:t xml:space="preserve">the general </w:t>
      </w:r>
      <w:proofErr w:type="gramStart"/>
      <w:r w:rsidR="00D85718" w:rsidRPr="008B6FD2">
        <w:rPr>
          <w:sz w:val="24"/>
          <w:szCs w:val="24"/>
        </w:rPr>
        <w:t>allegations</w:t>
      </w:r>
      <w:r w:rsidR="000E21E5">
        <w:rPr>
          <w:sz w:val="24"/>
          <w:szCs w:val="24"/>
        </w:rPr>
        <w:t xml:space="preserve"> made by Protestants </w:t>
      </w:r>
      <w:r w:rsidR="00D85718" w:rsidRPr="008B6FD2">
        <w:rPr>
          <w:sz w:val="24"/>
          <w:szCs w:val="24"/>
        </w:rPr>
        <w:t>need does</w:t>
      </w:r>
      <w:proofErr w:type="gramEnd"/>
      <w:r w:rsidR="00D85718" w:rsidRPr="008B6FD2">
        <w:rPr>
          <w:sz w:val="24"/>
          <w:szCs w:val="24"/>
        </w:rPr>
        <w:t xml:space="preserve"> not present sufficient information to warrant a hearing or further consideration from the Commission.  </w:t>
      </w:r>
    </w:p>
    <w:p w:rsidR="00FE0170" w:rsidRDefault="00F4669E" w:rsidP="00FE0170">
      <w:pPr>
        <w:spacing w:line="360" w:lineRule="auto"/>
        <w:ind w:firstLine="720"/>
        <w:rPr>
          <w:sz w:val="24"/>
          <w:szCs w:val="24"/>
        </w:rPr>
      </w:pPr>
      <w:r>
        <w:rPr>
          <w:sz w:val="24"/>
          <w:szCs w:val="24"/>
        </w:rPr>
        <w:t xml:space="preserve">           </w:t>
      </w:r>
    </w:p>
    <w:p w:rsidR="00A17F52" w:rsidRPr="008B6FD2" w:rsidRDefault="00AD4BBB" w:rsidP="00FE0170">
      <w:pPr>
        <w:spacing w:line="360" w:lineRule="auto"/>
        <w:ind w:firstLine="720"/>
        <w:rPr>
          <w:sz w:val="24"/>
          <w:szCs w:val="24"/>
        </w:rPr>
      </w:pPr>
      <w:r>
        <w:rPr>
          <w:sz w:val="24"/>
          <w:szCs w:val="24"/>
        </w:rPr>
        <w:t xml:space="preserve">            </w:t>
      </w:r>
      <w:r w:rsidR="00A17F52" w:rsidRPr="008B6FD2">
        <w:rPr>
          <w:sz w:val="24"/>
          <w:szCs w:val="24"/>
        </w:rPr>
        <w:t>Protestant</w:t>
      </w:r>
      <w:r w:rsidR="000E21E5">
        <w:rPr>
          <w:sz w:val="24"/>
          <w:szCs w:val="24"/>
        </w:rPr>
        <w:t xml:space="preserve">s </w:t>
      </w:r>
      <w:r w:rsidR="00A17F52" w:rsidRPr="008B6FD2">
        <w:rPr>
          <w:sz w:val="24"/>
          <w:szCs w:val="24"/>
        </w:rPr>
        <w:t>aver that</w:t>
      </w:r>
      <w:r w:rsidR="00B2267A">
        <w:rPr>
          <w:sz w:val="24"/>
          <w:szCs w:val="24"/>
        </w:rPr>
        <w:t xml:space="preserve"> </w:t>
      </w:r>
      <w:r w:rsidR="000E21E5">
        <w:rPr>
          <w:sz w:val="24"/>
          <w:szCs w:val="24"/>
        </w:rPr>
        <w:t xml:space="preserve">Applicant is applying for authority to provide taxi service under the guise of “experimental service of a Transportation Network Service.  Protestants further aver that Applicant has stated that it will </w:t>
      </w:r>
      <w:r w:rsidR="00976A7F">
        <w:rPr>
          <w:sz w:val="24"/>
          <w:szCs w:val="24"/>
        </w:rPr>
        <w:t xml:space="preserve">“pick up and transport persons”.  Protestants seem to argue that the proposed service is not a </w:t>
      </w:r>
      <w:r w:rsidR="00B2267A">
        <w:rPr>
          <w:sz w:val="24"/>
          <w:szCs w:val="24"/>
        </w:rPr>
        <w:t>new, innovative or experimental</w:t>
      </w:r>
      <w:r w:rsidR="00976A7F">
        <w:rPr>
          <w:sz w:val="24"/>
          <w:szCs w:val="24"/>
        </w:rPr>
        <w:t xml:space="preserve"> service.  </w:t>
      </w:r>
      <w:r w:rsidR="00FE0170">
        <w:rPr>
          <w:sz w:val="24"/>
          <w:szCs w:val="24"/>
        </w:rPr>
        <w:t xml:space="preserve">Protestants </w:t>
      </w:r>
      <w:r w:rsidR="00976A7F">
        <w:rPr>
          <w:sz w:val="24"/>
          <w:szCs w:val="24"/>
        </w:rPr>
        <w:t xml:space="preserve">seem to </w:t>
      </w:r>
      <w:r w:rsidR="00FE0170">
        <w:rPr>
          <w:sz w:val="24"/>
          <w:szCs w:val="24"/>
        </w:rPr>
        <w:t xml:space="preserve">further aver that the </w:t>
      </w:r>
      <w:r w:rsidR="00976A7F">
        <w:rPr>
          <w:sz w:val="24"/>
          <w:szCs w:val="24"/>
        </w:rPr>
        <w:t xml:space="preserve">service proposed by </w:t>
      </w:r>
      <w:r w:rsidR="00804528">
        <w:rPr>
          <w:sz w:val="24"/>
          <w:szCs w:val="24"/>
        </w:rPr>
        <w:t>A</w:t>
      </w:r>
      <w:r w:rsidR="00976A7F">
        <w:rPr>
          <w:sz w:val="24"/>
          <w:szCs w:val="24"/>
        </w:rPr>
        <w:t xml:space="preserve">pplicant </w:t>
      </w:r>
      <w:r w:rsidR="00FE0170">
        <w:rPr>
          <w:sz w:val="24"/>
          <w:szCs w:val="24"/>
        </w:rPr>
        <w:t xml:space="preserve">does not distinguish the proposed service from </w:t>
      </w:r>
      <w:r w:rsidR="00976A7F">
        <w:rPr>
          <w:sz w:val="24"/>
          <w:szCs w:val="24"/>
        </w:rPr>
        <w:t>the</w:t>
      </w:r>
      <w:r w:rsidR="00FE0170">
        <w:rPr>
          <w:sz w:val="24"/>
          <w:szCs w:val="24"/>
        </w:rPr>
        <w:t xml:space="preserve"> call or demand service being provided with Commission authority.</w:t>
      </w:r>
    </w:p>
    <w:p w:rsidR="00A17F52" w:rsidRPr="008B6FD2" w:rsidRDefault="00A17F52" w:rsidP="00FE0170">
      <w:pPr>
        <w:spacing w:line="360" w:lineRule="auto"/>
        <w:rPr>
          <w:sz w:val="24"/>
          <w:szCs w:val="24"/>
        </w:rPr>
      </w:pPr>
    </w:p>
    <w:p w:rsidR="00A17F52" w:rsidRPr="008B6FD2" w:rsidRDefault="00A17F52" w:rsidP="00FE0170">
      <w:pPr>
        <w:spacing w:line="360" w:lineRule="auto"/>
        <w:rPr>
          <w:sz w:val="24"/>
          <w:szCs w:val="24"/>
        </w:rPr>
      </w:pPr>
      <w:r w:rsidRPr="008B6FD2">
        <w:rPr>
          <w:sz w:val="24"/>
          <w:szCs w:val="24"/>
        </w:rPr>
        <w:tab/>
      </w:r>
      <w:r w:rsidR="00F4669E">
        <w:rPr>
          <w:sz w:val="24"/>
          <w:szCs w:val="24"/>
        </w:rPr>
        <w:t xml:space="preserve">            </w:t>
      </w:r>
      <w:r w:rsidRPr="008B6FD2">
        <w:rPr>
          <w:sz w:val="24"/>
          <w:szCs w:val="24"/>
        </w:rPr>
        <w:t>In the instant case, Protestant</w:t>
      </w:r>
      <w:r w:rsidR="008B6FD2" w:rsidRPr="008B6FD2">
        <w:rPr>
          <w:sz w:val="24"/>
          <w:szCs w:val="24"/>
        </w:rPr>
        <w:t xml:space="preserve">s have </w:t>
      </w:r>
      <w:r w:rsidRPr="008B6FD2">
        <w:rPr>
          <w:sz w:val="24"/>
          <w:szCs w:val="24"/>
        </w:rPr>
        <w:t xml:space="preserve">made sufficient averments in </w:t>
      </w:r>
      <w:r w:rsidR="008B6FD2" w:rsidRPr="008B6FD2">
        <w:rPr>
          <w:sz w:val="24"/>
          <w:szCs w:val="24"/>
        </w:rPr>
        <w:t xml:space="preserve">their </w:t>
      </w:r>
      <w:r w:rsidRPr="008B6FD2">
        <w:rPr>
          <w:sz w:val="24"/>
          <w:szCs w:val="24"/>
        </w:rPr>
        <w:t>protest</w:t>
      </w:r>
      <w:r w:rsidR="008B6FD2" w:rsidRPr="008B6FD2">
        <w:rPr>
          <w:sz w:val="24"/>
          <w:szCs w:val="24"/>
        </w:rPr>
        <w:t>s</w:t>
      </w:r>
      <w:r w:rsidRPr="008B6FD2">
        <w:rPr>
          <w:sz w:val="24"/>
          <w:szCs w:val="24"/>
        </w:rPr>
        <w:t xml:space="preserve"> to warrant a hearing or further proceedings in this matter.  Accordingly</w:t>
      </w:r>
      <w:r w:rsidR="00BB14ED">
        <w:rPr>
          <w:sz w:val="24"/>
          <w:szCs w:val="24"/>
        </w:rPr>
        <w:t>,</w:t>
      </w:r>
      <w:r w:rsidRPr="008B6FD2">
        <w:rPr>
          <w:sz w:val="24"/>
          <w:szCs w:val="24"/>
        </w:rPr>
        <w:t xml:space="preserve"> Applicant is not entitled to</w:t>
      </w:r>
      <w:r w:rsidR="008B6FD2" w:rsidRPr="008B6FD2">
        <w:rPr>
          <w:sz w:val="24"/>
          <w:szCs w:val="24"/>
        </w:rPr>
        <w:t xml:space="preserve"> dismissal of the protests under the circumstances.  </w:t>
      </w:r>
      <w:r w:rsidRPr="008B6FD2">
        <w:rPr>
          <w:sz w:val="24"/>
          <w:szCs w:val="24"/>
        </w:rPr>
        <w:t>Therefore, the application presents at least a potential conflict with the Protestants</w:t>
      </w:r>
      <w:r w:rsidR="00444DC0">
        <w:rPr>
          <w:sz w:val="24"/>
          <w:szCs w:val="24"/>
        </w:rPr>
        <w:t>’</w:t>
      </w:r>
      <w:r w:rsidRPr="008B6FD2">
        <w:rPr>
          <w:sz w:val="24"/>
          <w:szCs w:val="24"/>
        </w:rPr>
        <w:t xml:space="preserve"> authority and the </w:t>
      </w:r>
      <w:r w:rsidR="008B6FD2" w:rsidRPr="008B6FD2">
        <w:rPr>
          <w:sz w:val="24"/>
          <w:szCs w:val="24"/>
        </w:rPr>
        <w:t>preliminary objections filed by Applicant</w:t>
      </w:r>
      <w:r w:rsidRPr="008B6FD2">
        <w:rPr>
          <w:sz w:val="24"/>
          <w:szCs w:val="24"/>
        </w:rPr>
        <w:t xml:space="preserve"> will be dismissed.</w:t>
      </w:r>
    </w:p>
    <w:p w:rsidR="00A17F52" w:rsidRPr="008B6FD2" w:rsidRDefault="00A17F52" w:rsidP="00FE0170">
      <w:pPr>
        <w:spacing w:line="360" w:lineRule="auto"/>
        <w:rPr>
          <w:sz w:val="24"/>
          <w:szCs w:val="24"/>
        </w:rPr>
      </w:pPr>
    </w:p>
    <w:p w:rsidR="00DD34EE" w:rsidRPr="008B6FD2" w:rsidRDefault="00DD34EE" w:rsidP="0070090C">
      <w:pPr>
        <w:spacing w:line="360" w:lineRule="auto"/>
        <w:jc w:val="center"/>
        <w:rPr>
          <w:sz w:val="24"/>
          <w:szCs w:val="24"/>
          <w:u w:val="single"/>
        </w:rPr>
      </w:pPr>
      <w:r w:rsidRPr="008B6FD2">
        <w:rPr>
          <w:sz w:val="24"/>
          <w:szCs w:val="24"/>
          <w:u w:val="single"/>
        </w:rPr>
        <w:t>CONCLUSIONS OF LAW</w:t>
      </w:r>
    </w:p>
    <w:p w:rsidR="00DD34EE" w:rsidRPr="008B6FD2" w:rsidRDefault="00DD34EE" w:rsidP="00DD34EE">
      <w:pPr>
        <w:jc w:val="center"/>
        <w:rPr>
          <w:sz w:val="24"/>
          <w:szCs w:val="24"/>
          <w:u w:val="single"/>
        </w:rPr>
      </w:pPr>
    </w:p>
    <w:p w:rsidR="00DD34EE" w:rsidRPr="008B6FD2" w:rsidRDefault="00DD34EE" w:rsidP="00DD34EE">
      <w:pPr>
        <w:pStyle w:val="ListParagraph"/>
        <w:numPr>
          <w:ilvl w:val="0"/>
          <w:numId w:val="7"/>
        </w:numPr>
        <w:tabs>
          <w:tab w:val="left" w:pos="1440"/>
        </w:tabs>
        <w:spacing w:line="360" w:lineRule="auto"/>
        <w:ind w:left="0" w:firstLine="1440"/>
        <w:rPr>
          <w:sz w:val="24"/>
          <w:szCs w:val="24"/>
        </w:rPr>
      </w:pPr>
      <w:r w:rsidRPr="008B6FD2">
        <w:rPr>
          <w:sz w:val="24"/>
          <w:szCs w:val="24"/>
        </w:rPr>
        <w:t xml:space="preserve">The Commission has jurisdiction over the parties and the subject matter of this dispute.  </w:t>
      </w:r>
      <w:proofErr w:type="gramStart"/>
      <w:r w:rsidRPr="008B6FD2">
        <w:rPr>
          <w:sz w:val="24"/>
          <w:szCs w:val="24"/>
        </w:rPr>
        <w:t>66 Pa.C.S.</w:t>
      </w:r>
      <w:proofErr w:type="gramEnd"/>
      <w:r w:rsidRPr="008B6FD2">
        <w:rPr>
          <w:sz w:val="24"/>
          <w:szCs w:val="24"/>
        </w:rPr>
        <w:t xml:space="preserve"> § 701.</w:t>
      </w:r>
    </w:p>
    <w:p w:rsidR="00DD34EE" w:rsidRPr="008B6FD2" w:rsidRDefault="00DD34EE" w:rsidP="00584DB3">
      <w:pPr>
        <w:spacing w:line="360" w:lineRule="auto"/>
        <w:ind w:left="2160"/>
        <w:rPr>
          <w:sz w:val="24"/>
          <w:szCs w:val="24"/>
        </w:rPr>
      </w:pPr>
    </w:p>
    <w:p w:rsidR="00DD34EE" w:rsidRPr="008B6FD2" w:rsidRDefault="00DD34EE" w:rsidP="00DD34EE">
      <w:pPr>
        <w:pStyle w:val="ListParagraph"/>
        <w:numPr>
          <w:ilvl w:val="0"/>
          <w:numId w:val="7"/>
        </w:numPr>
        <w:tabs>
          <w:tab w:val="left" w:pos="1440"/>
        </w:tabs>
        <w:spacing w:line="360" w:lineRule="auto"/>
        <w:ind w:left="0" w:firstLine="1440"/>
        <w:rPr>
          <w:sz w:val="24"/>
          <w:szCs w:val="24"/>
        </w:rPr>
      </w:pPr>
      <w:r w:rsidRPr="008B6FD2">
        <w:rPr>
          <w:sz w:val="24"/>
          <w:szCs w:val="24"/>
        </w:rPr>
        <w:t>The Applicant failed to demonstrate that the Protestant</w:t>
      </w:r>
      <w:r w:rsidR="00E71463">
        <w:rPr>
          <w:sz w:val="24"/>
          <w:szCs w:val="24"/>
        </w:rPr>
        <w:t>s</w:t>
      </w:r>
      <w:r w:rsidRPr="008B6FD2">
        <w:rPr>
          <w:sz w:val="24"/>
          <w:szCs w:val="24"/>
        </w:rPr>
        <w:t xml:space="preserve"> did not adduce sufficient facts in its protest to assert standing to challenge the application.</w:t>
      </w:r>
    </w:p>
    <w:p w:rsidR="00A17F52" w:rsidRPr="00F4669E" w:rsidRDefault="00A17F52" w:rsidP="00F4669E">
      <w:pPr>
        <w:pStyle w:val="ListParagraph"/>
        <w:spacing w:line="360" w:lineRule="auto"/>
        <w:ind w:left="1440"/>
        <w:rPr>
          <w:sz w:val="24"/>
          <w:szCs w:val="24"/>
        </w:rPr>
      </w:pPr>
    </w:p>
    <w:p w:rsidR="00A17F52" w:rsidRPr="00AD4BBB" w:rsidRDefault="00AD4BBB" w:rsidP="00AD4BBB">
      <w:pPr>
        <w:spacing w:line="360" w:lineRule="auto"/>
        <w:ind w:firstLine="720"/>
        <w:rPr>
          <w:sz w:val="24"/>
          <w:szCs w:val="24"/>
        </w:rPr>
      </w:pPr>
      <w:r>
        <w:rPr>
          <w:sz w:val="24"/>
          <w:szCs w:val="24"/>
        </w:rPr>
        <w:t xml:space="preserve">            </w:t>
      </w:r>
      <w:r w:rsidR="008C4B08">
        <w:rPr>
          <w:sz w:val="24"/>
          <w:szCs w:val="24"/>
        </w:rPr>
        <w:t>3</w:t>
      </w:r>
      <w:r>
        <w:rPr>
          <w:sz w:val="24"/>
          <w:szCs w:val="24"/>
        </w:rPr>
        <w:t>.</w:t>
      </w:r>
      <w:r w:rsidRPr="00AD4BBB">
        <w:rPr>
          <w:sz w:val="24"/>
          <w:szCs w:val="24"/>
        </w:rPr>
        <w:t xml:space="preserve">        </w:t>
      </w:r>
      <w:r w:rsidR="00A17F52" w:rsidRPr="00AD4BBB">
        <w:rPr>
          <w:sz w:val="24"/>
          <w:szCs w:val="24"/>
        </w:rPr>
        <w:t>The Applicant failed to demonstrate there is no issue of material fact, authorizing the Commission to dismiss the protest</w:t>
      </w:r>
      <w:r w:rsidR="008B6FD2" w:rsidRPr="00AD4BBB">
        <w:rPr>
          <w:sz w:val="24"/>
          <w:szCs w:val="24"/>
        </w:rPr>
        <w:t xml:space="preserve">s </w:t>
      </w:r>
      <w:r w:rsidR="00A17F52" w:rsidRPr="00AD4BBB">
        <w:rPr>
          <w:sz w:val="24"/>
          <w:szCs w:val="24"/>
        </w:rPr>
        <w:t>for lack of standing as a matter of law.  52</w:t>
      </w:r>
      <w:r w:rsidR="008C4B08">
        <w:rPr>
          <w:sz w:val="24"/>
          <w:szCs w:val="24"/>
        </w:rPr>
        <w:t> </w:t>
      </w:r>
      <w:proofErr w:type="spellStart"/>
      <w:r w:rsidR="00A17F52" w:rsidRPr="00AD4BBB">
        <w:rPr>
          <w:sz w:val="24"/>
          <w:szCs w:val="24"/>
        </w:rPr>
        <w:t>Pa.Code</w:t>
      </w:r>
      <w:proofErr w:type="spellEnd"/>
      <w:r w:rsidR="00A17F52" w:rsidRPr="00AD4BBB">
        <w:rPr>
          <w:sz w:val="24"/>
          <w:szCs w:val="24"/>
        </w:rPr>
        <w:t xml:space="preserve"> § 5.102(d</w:t>
      </w:r>
      <w:proofErr w:type="gramStart"/>
      <w:r w:rsidR="00A17F52" w:rsidRPr="00AD4BBB">
        <w:rPr>
          <w:sz w:val="24"/>
          <w:szCs w:val="24"/>
        </w:rPr>
        <w:t>)(</w:t>
      </w:r>
      <w:proofErr w:type="gramEnd"/>
      <w:r w:rsidR="00A17F52" w:rsidRPr="00AD4BBB">
        <w:rPr>
          <w:sz w:val="24"/>
          <w:szCs w:val="24"/>
        </w:rPr>
        <w:t>2).</w:t>
      </w:r>
    </w:p>
    <w:p w:rsidR="00A17F52" w:rsidRPr="00F4669E" w:rsidRDefault="00A17F52" w:rsidP="00AD4BBB">
      <w:pPr>
        <w:spacing w:line="360" w:lineRule="auto"/>
        <w:rPr>
          <w:b/>
          <w:sz w:val="24"/>
          <w:szCs w:val="24"/>
        </w:rPr>
      </w:pPr>
    </w:p>
    <w:p w:rsidR="00A17F52" w:rsidRDefault="00A17F52" w:rsidP="00A17F52">
      <w:pPr>
        <w:spacing w:after="200"/>
        <w:rPr>
          <w:b/>
          <w:sz w:val="24"/>
          <w:szCs w:val="24"/>
          <w:u w:val="single"/>
        </w:rPr>
      </w:pPr>
    </w:p>
    <w:p w:rsidR="0010257C" w:rsidRDefault="0010257C" w:rsidP="00A17F52">
      <w:pPr>
        <w:spacing w:after="200"/>
        <w:rPr>
          <w:b/>
          <w:sz w:val="24"/>
          <w:szCs w:val="24"/>
          <w:u w:val="single"/>
        </w:rPr>
      </w:pPr>
    </w:p>
    <w:p w:rsidR="0010257C" w:rsidRPr="008B6FD2" w:rsidRDefault="0010257C" w:rsidP="00A17F52">
      <w:pPr>
        <w:spacing w:after="200"/>
        <w:rPr>
          <w:b/>
          <w:sz w:val="24"/>
          <w:szCs w:val="24"/>
          <w:u w:val="single"/>
        </w:rPr>
      </w:pPr>
      <w:bookmarkStart w:id="0" w:name="_GoBack"/>
      <w:bookmarkEnd w:id="0"/>
    </w:p>
    <w:p w:rsidR="00DD34EE" w:rsidRPr="008B6FD2" w:rsidRDefault="00DD34EE" w:rsidP="00DD34EE">
      <w:pPr>
        <w:jc w:val="center"/>
        <w:rPr>
          <w:sz w:val="24"/>
          <w:szCs w:val="24"/>
          <w:u w:val="single"/>
        </w:rPr>
      </w:pPr>
      <w:r w:rsidRPr="008B6FD2">
        <w:rPr>
          <w:sz w:val="24"/>
          <w:szCs w:val="24"/>
          <w:u w:val="single"/>
        </w:rPr>
        <w:lastRenderedPageBreak/>
        <w:t>ORDER</w:t>
      </w:r>
    </w:p>
    <w:p w:rsidR="00DD34EE" w:rsidRPr="008B6FD2" w:rsidRDefault="00DD34EE" w:rsidP="00DD34EE">
      <w:pPr>
        <w:jc w:val="center"/>
        <w:rPr>
          <w:sz w:val="24"/>
          <w:szCs w:val="24"/>
          <w:u w:val="single"/>
        </w:rPr>
      </w:pPr>
    </w:p>
    <w:p w:rsidR="00DD34EE" w:rsidRDefault="00DD34EE" w:rsidP="00DD34EE">
      <w:pPr>
        <w:ind w:firstLine="1440"/>
        <w:rPr>
          <w:sz w:val="24"/>
          <w:szCs w:val="24"/>
        </w:rPr>
      </w:pPr>
    </w:p>
    <w:p w:rsidR="008B6FD2" w:rsidRPr="008B6FD2" w:rsidRDefault="008B6FD2" w:rsidP="00DD34EE">
      <w:pPr>
        <w:ind w:firstLine="1440"/>
        <w:rPr>
          <w:sz w:val="24"/>
          <w:szCs w:val="24"/>
        </w:rPr>
      </w:pPr>
    </w:p>
    <w:p w:rsidR="00DD34EE" w:rsidRPr="008B6FD2" w:rsidRDefault="00DD34EE" w:rsidP="00DD34EE">
      <w:pPr>
        <w:ind w:firstLine="1440"/>
        <w:rPr>
          <w:sz w:val="24"/>
          <w:szCs w:val="24"/>
        </w:rPr>
      </w:pPr>
      <w:r w:rsidRPr="008B6FD2">
        <w:rPr>
          <w:sz w:val="24"/>
          <w:szCs w:val="24"/>
        </w:rPr>
        <w:t>THEREFORE,</w:t>
      </w:r>
    </w:p>
    <w:p w:rsidR="00DD34EE" w:rsidRDefault="00DD34EE" w:rsidP="00DD34EE">
      <w:pPr>
        <w:ind w:firstLine="1440"/>
        <w:rPr>
          <w:sz w:val="24"/>
          <w:szCs w:val="24"/>
        </w:rPr>
      </w:pPr>
    </w:p>
    <w:p w:rsidR="008B6FD2" w:rsidRPr="008B6FD2" w:rsidRDefault="008B6FD2" w:rsidP="00DD34EE">
      <w:pPr>
        <w:ind w:firstLine="1440"/>
        <w:rPr>
          <w:sz w:val="24"/>
          <w:szCs w:val="24"/>
        </w:rPr>
      </w:pPr>
    </w:p>
    <w:p w:rsidR="00DD34EE" w:rsidRPr="008B6FD2" w:rsidRDefault="00DD34EE" w:rsidP="00DD34EE">
      <w:pPr>
        <w:ind w:firstLine="1440"/>
        <w:rPr>
          <w:sz w:val="24"/>
          <w:szCs w:val="24"/>
        </w:rPr>
      </w:pPr>
      <w:r w:rsidRPr="008B6FD2">
        <w:rPr>
          <w:sz w:val="24"/>
          <w:szCs w:val="24"/>
        </w:rPr>
        <w:t>IT IS ORDERED:</w:t>
      </w:r>
    </w:p>
    <w:p w:rsidR="00DD34EE" w:rsidRDefault="00DD34EE" w:rsidP="00DD34EE">
      <w:pPr>
        <w:ind w:firstLine="1440"/>
        <w:rPr>
          <w:sz w:val="24"/>
          <w:szCs w:val="24"/>
        </w:rPr>
      </w:pPr>
    </w:p>
    <w:p w:rsidR="008B6FD2" w:rsidRPr="008B6FD2" w:rsidRDefault="008B6FD2" w:rsidP="00DD34EE">
      <w:pPr>
        <w:ind w:firstLine="1440"/>
        <w:rPr>
          <w:sz w:val="24"/>
          <w:szCs w:val="24"/>
        </w:rPr>
      </w:pPr>
    </w:p>
    <w:p w:rsidR="00DD34EE" w:rsidRPr="008B6FD2" w:rsidRDefault="00DD34EE" w:rsidP="00F4669E">
      <w:pPr>
        <w:spacing w:line="360" w:lineRule="auto"/>
        <w:rPr>
          <w:sz w:val="24"/>
          <w:szCs w:val="24"/>
        </w:rPr>
      </w:pPr>
      <w:r w:rsidRPr="008B6FD2">
        <w:rPr>
          <w:sz w:val="24"/>
          <w:szCs w:val="24"/>
        </w:rPr>
        <w:tab/>
      </w:r>
      <w:r w:rsidR="008C11E0">
        <w:rPr>
          <w:sz w:val="24"/>
          <w:szCs w:val="24"/>
        </w:rPr>
        <w:tab/>
      </w:r>
      <w:r w:rsidRPr="008B6FD2">
        <w:rPr>
          <w:sz w:val="24"/>
          <w:szCs w:val="24"/>
        </w:rPr>
        <w:t>That the preliminary objection</w:t>
      </w:r>
      <w:r w:rsidR="008B6FD2" w:rsidRPr="008B6FD2">
        <w:rPr>
          <w:sz w:val="24"/>
          <w:szCs w:val="24"/>
        </w:rPr>
        <w:t>s</w:t>
      </w:r>
      <w:r w:rsidRPr="008B6FD2">
        <w:rPr>
          <w:sz w:val="24"/>
          <w:szCs w:val="24"/>
        </w:rPr>
        <w:t xml:space="preserve"> of </w:t>
      </w:r>
      <w:r w:rsidR="008B6FD2" w:rsidRPr="008B6FD2">
        <w:rPr>
          <w:sz w:val="24"/>
          <w:szCs w:val="24"/>
        </w:rPr>
        <w:t>Rasier-PA LLC</w:t>
      </w:r>
      <w:r w:rsidRPr="008B6FD2">
        <w:rPr>
          <w:sz w:val="24"/>
          <w:szCs w:val="24"/>
        </w:rPr>
        <w:t xml:space="preserve"> to dismiss the protest</w:t>
      </w:r>
      <w:r w:rsidR="008B6FD2" w:rsidRPr="008B6FD2">
        <w:rPr>
          <w:sz w:val="24"/>
          <w:szCs w:val="24"/>
        </w:rPr>
        <w:t>s</w:t>
      </w:r>
      <w:r w:rsidRPr="008B6FD2">
        <w:rPr>
          <w:sz w:val="24"/>
          <w:szCs w:val="24"/>
        </w:rPr>
        <w:t xml:space="preserve"> of </w:t>
      </w:r>
      <w:r w:rsidR="00976A7F" w:rsidRPr="009E5538">
        <w:rPr>
          <w:sz w:val="24"/>
          <w:szCs w:val="24"/>
        </w:rPr>
        <w:t>United Cab LLC, Good Cab LLC, EZ Taxi LLC, and Keystone Cab, Inc.</w:t>
      </w:r>
      <w:r w:rsidR="00976A7F">
        <w:rPr>
          <w:sz w:val="24"/>
          <w:szCs w:val="24"/>
        </w:rPr>
        <w:t xml:space="preserve"> </w:t>
      </w:r>
      <w:r w:rsidR="008B6FD2" w:rsidRPr="008B6FD2">
        <w:rPr>
          <w:sz w:val="24"/>
          <w:szCs w:val="24"/>
        </w:rPr>
        <w:t xml:space="preserve">are </w:t>
      </w:r>
      <w:r w:rsidRPr="008B6FD2">
        <w:rPr>
          <w:sz w:val="24"/>
          <w:szCs w:val="24"/>
        </w:rPr>
        <w:t xml:space="preserve"> d</w:t>
      </w:r>
      <w:r w:rsidR="00A84F8C">
        <w:rPr>
          <w:sz w:val="24"/>
          <w:szCs w:val="24"/>
        </w:rPr>
        <w:t>enied</w:t>
      </w:r>
      <w:r w:rsidRPr="008B6FD2">
        <w:rPr>
          <w:sz w:val="24"/>
          <w:szCs w:val="24"/>
        </w:rPr>
        <w:t>.</w:t>
      </w:r>
    </w:p>
    <w:p w:rsidR="00DD34EE" w:rsidRPr="008B6FD2" w:rsidRDefault="00DD34EE" w:rsidP="00F4669E">
      <w:pPr>
        <w:spacing w:line="360" w:lineRule="auto"/>
        <w:rPr>
          <w:sz w:val="24"/>
          <w:szCs w:val="24"/>
        </w:rPr>
      </w:pPr>
    </w:p>
    <w:p w:rsidR="00DD34EE" w:rsidRDefault="00DD34EE" w:rsidP="008B6FD2">
      <w:pPr>
        <w:rPr>
          <w:sz w:val="24"/>
          <w:szCs w:val="24"/>
        </w:rPr>
      </w:pPr>
      <w:r w:rsidRPr="008B6FD2">
        <w:rPr>
          <w:sz w:val="24"/>
          <w:szCs w:val="24"/>
        </w:rPr>
        <w:tab/>
      </w:r>
    </w:p>
    <w:p w:rsidR="008C11E0" w:rsidRPr="008B6FD2" w:rsidRDefault="008C11E0" w:rsidP="008B6FD2">
      <w:pPr>
        <w:rPr>
          <w:sz w:val="24"/>
          <w:szCs w:val="24"/>
        </w:rPr>
      </w:pPr>
    </w:p>
    <w:p w:rsidR="00DD34EE" w:rsidRPr="008B6FD2" w:rsidRDefault="00DD34EE" w:rsidP="00DD34EE">
      <w:pPr>
        <w:tabs>
          <w:tab w:val="left" w:pos="0"/>
        </w:tabs>
        <w:jc w:val="both"/>
        <w:rPr>
          <w:sz w:val="24"/>
          <w:szCs w:val="24"/>
          <w:u w:val="single"/>
        </w:rPr>
      </w:pPr>
      <w:r w:rsidRPr="008B6FD2">
        <w:rPr>
          <w:sz w:val="24"/>
          <w:szCs w:val="24"/>
        </w:rPr>
        <w:tab/>
      </w:r>
      <w:r w:rsidRPr="008B6FD2">
        <w:rPr>
          <w:sz w:val="24"/>
          <w:szCs w:val="24"/>
        </w:rPr>
        <w:tab/>
      </w:r>
      <w:r w:rsidRPr="008B6FD2">
        <w:rPr>
          <w:sz w:val="24"/>
          <w:szCs w:val="24"/>
        </w:rPr>
        <w:tab/>
      </w:r>
      <w:r w:rsidRPr="008B6FD2">
        <w:rPr>
          <w:sz w:val="24"/>
          <w:szCs w:val="24"/>
        </w:rPr>
        <w:tab/>
      </w:r>
      <w:r w:rsidR="008C11E0">
        <w:rPr>
          <w:sz w:val="24"/>
          <w:szCs w:val="24"/>
        </w:rPr>
        <w:tab/>
      </w:r>
      <w:r w:rsidR="008C11E0">
        <w:rPr>
          <w:sz w:val="24"/>
          <w:szCs w:val="24"/>
        </w:rPr>
        <w:tab/>
      </w:r>
      <w:r w:rsidR="008C11E0">
        <w:rPr>
          <w:sz w:val="24"/>
          <w:szCs w:val="24"/>
        </w:rPr>
        <w:tab/>
      </w:r>
      <w:r w:rsidR="00477E1A">
        <w:rPr>
          <w:sz w:val="24"/>
          <w:szCs w:val="24"/>
        </w:rPr>
        <w:tab/>
      </w:r>
      <w:r w:rsidRPr="008B6FD2">
        <w:rPr>
          <w:sz w:val="24"/>
          <w:szCs w:val="24"/>
          <w:u w:val="single"/>
        </w:rPr>
        <w:tab/>
      </w:r>
      <w:r w:rsidRPr="008B6FD2">
        <w:rPr>
          <w:sz w:val="24"/>
          <w:szCs w:val="24"/>
          <w:u w:val="single"/>
        </w:rPr>
        <w:tab/>
      </w:r>
      <w:r w:rsidRPr="008B6FD2">
        <w:rPr>
          <w:sz w:val="24"/>
          <w:szCs w:val="24"/>
          <w:u w:val="single"/>
        </w:rPr>
        <w:tab/>
      </w:r>
      <w:r w:rsidRPr="008B6FD2">
        <w:rPr>
          <w:sz w:val="24"/>
          <w:szCs w:val="24"/>
          <w:u w:val="single"/>
        </w:rPr>
        <w:tab/>
      </w:r>
      <w:r w:rsidRPr="008B6FD2">
        <w:rPr>
          <w:sz w:val="24"/>
          <w:szCs w:val="24"/>
          <w:u w:val="single"/>
        </w:rPr>
        <w:tab/>
      </w:r>
    </w:p>
    <w:p w:rsidR="00DD34EE" w:rsidRPr="008B6FD2" w:rsidRDefault="00DD34EE" w:rsidP="00DD34EE">
      <w:pPr>
        <w:tabs>
          <w:tab w:val="left" w:pos="0"/>
        </w:tabs>
        <w:jc w:val="both"/>
        <w:rPr>
          <w:sz w:val="24"/>
          <w:szCs w:val="24"/>
        </w:rPr>
      </w:pP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00477E1A">
        <w:rPr>
          <w:sz w:val="24"/>
          <w:szCs w:val="24"/>
        </w:rPr>
        <w:tab/>
      </w:r>
      <w:r w:rsidRPr="008B6FD2">
        <w:rPr>
          <w:sz w:val="24"/>
          <w:szCs w:val="24"/>
        </w:rPr>
        <w:t>Mary D. Long</w:t>
      </w:r>
    </w:p>
    <w:p w:rsidR="00DD34EE" w:rsidRPr="008B6FD2" w:rsidRDefault="00DD34EE" w:rsidP="00DD34EE">
      <w:pPr>
        <w:tabs>
          <w:tab w:val="left" w:pos="0"/>
        </w:tabs>
        <w:jc w:val="both"/>
        <w:rPr>
          <w:sz w:val="24"/>
          <w:szCs w:val="24"/>
        </w:rPr>
      </w:pP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00477E1A">
        <w:rPr>
          <w:sz w:val="24"/>
          <w:szCs w:val="24"/>
        </w:rPr>
        <w:tab/>
      </w:r>
      <w:r w:rsidRPr="008B6FD2">
        <w:rPr>
          <w:sz w:val="24"/>
          <w:szCs w:val="24"/>
        </w:rPr>
        <w:t>Administrative Law Judge</w:t>
      </w:r>
    </w:p>
    <w:p w:rsidR="00DD34EE" w:rsidRPr="008B6FD2" w:rsidRDefault="00DD34EE" w:rsidP="00DD34EE">
      <w:pPr>
        <w:tabs>
          <w:tab w:val="left" w:pos="0"/>
        </w:tabs>
        <w:jc w:val="both"/>
        <w:rPr>
          <w:sz w:val="24"/>
          <w:szCs w:val="24"/>
        </w:rPr>
      </w:pPr>
    </w:p>
    <w:p w:rsidR="00DD34EE" w:rsidRPr="008B6FD2" w:rsidRDefault="00DD34EE" w:rsidP="00DD34EE">
      <w:pPr>
        <w:tabs>
          <w:tab w:val="left" w:pos="0"/>
        </w:tabs>
        <w:jc w:val="both"/>
        <w:rPr>
          <w:sz w:val="24"/>
          <w:szCs w:val="24"/>
        </w:rPr>
      </w:pPr>
    </w:p>
    <w:p w:rsidR="00DD34EE" w:rsidRPr="008B6FD2" w:rsidRDefault="00DD34EE" w:rsidP="00DD34EE">
      <w:pPr>
        <w:tabs>
          <w:tab w:val="left" w:pos="0"/>
        </w:tabs>
        <w:jc w:val="both"/>
        <w:rPr>
          <w:sz w:val="24"/>
          <w:szCs w:val="24"/>
        </w:rPr>
      </w:pPr>
    </w:p>
    <w:p w:rsidR="00DD34EE" w:rsidRPr="008B6FD2" w:rsidRDefault="008C11E0" w:rsidP="00DD34EE">
      <w:pPr>
        <w:tabs>
          <w:tab w:val="left" w:pos="0"/>
        </w:tabs>
        <w:jc w:val="both"/>
        <w:rPr>
          <w:sz w:val="24"/>
          <w:szCs w:val="24"/>
        </w:rPr>
      </w:pPr>
      <w:r w:rsidRPr="008B6FD2">
        <w:rPr>
          <w:sz w:val="24"/>
          <w:szCs w:val="24"/>
        </w:rPr>
        <w:t xml:space="preserve">Date:  </w:t>
      </w:r>
      <w:r w:rsidRPr="005650CA">
        <w:rPr>
          <w:sz w:val="24"/>
          <w:szCs w:val="24"/>
          <w:u w:val="single"/>
        </w:rPr>
        <w:t>August 11, 2014</w:t>
      </w:r>
      <w:r w:rsidR="00DD34EE" w:rsidRPr="008B6FD2">
        <w:rPr>
          <w:sz w:val="24"/>
          <w:szCs w:val="24"/>
        </w:rPr>
        <w:tab/>
      </w:r>
      <w:r w:rsidR="00DD34EE" w:rsidRPr="008B6FD2">
        <w:rPr>
          <w:sz w:val="24"/>
          <w:szCs w:val="24"/>
        </w:rPr>
        <w:tab/>
      </w:r>
      <w:r w:rsidR="00DD34EE" w:rsidRPr="008B6FD2">
        <w:rPr>
          <w:sz w:val="24"/>
          <w:szCs w:val="24"/>
        </w:rPr>
        <w:tab/>
      </w:r>
      <w:r w:rsidR="00DD34EE" w:rsidRPr="008B6FD2">
        <w:rPr>
          <w:sz w:val="24"/>
          <w:szCs w:val="24"/>
        </w:rPr>
        <w:tab/>
      </w:r>
      <w:r w:rsidR="00477E1A">
        <w:rPr>
          <w:sz w:val="24"/>
          <w:szCs w:val="24"/>
        </w:rPr>
        <w:tab/>
      </w:r>
      <w:r w:rsidR="00DD34EE" w:rsidRPr="008B6FD2">
        <w:rPr>
          <w:sz w:val="24"/>
          <w:szCs w:val="24"/>
          <w:u w:val="single"/>
        </w:rPr>
        <w:tab/>
      </w:r>
      <w:r w:rsidR="00DD34EE" w:rsidRPr="008B6FD2">
        <w:rPr>
          <w:sz w:val="24"/>
          <w:szCs w:val="24"/>
          <w:u w:val="single"/>
        </w:rPr>
        <w:tab/>
      </w:r>
      <w:r w:rsidR="00DD34EE" w:rsidRPr="008B6FD2">
        <w:rPr>
          <w:sz w:val="24"/>
          <w:szCs w:val="24"/>
          <w:u w:val="single"/>
        </w:rPr>
        <w:tab/>
      </w:r>
      <w:r w:rsidR="00DD34EE" w:rsidRPr="008B6FD2">
        <w:rPr>
          <w:sz w:val="24"/>
          <w:szCs w:val="24"/>
          <w:u w:val="single"/>
        </w:rPr>
        <w:tab/>
      </w:r>
      <w:r w:rsidR="00DD34EE" w:rsidRPr="008B6FD2">
        <w:rPr>
          <w:sz w:val="24"/>
          <w:szCs w:val="24"/>
          <w:u w:val="single"/>
        </w:rPr>
        <w:tab/>
      </w:r>
    </w:p>
    <w:p w:rsidR="00DD34EE" w:rsidRPr="008B6FD2" w:rsidRDefault="00DD34EE" w:rsidP="00DD34EE">
      <w:pPr>
        <w:tabs>
          <w:tab w:val="left" w:pos="0"/>
        </w:tabs>
        <w:jc w:val="both"/>
        <w:rPr>
          <w:sz w:val="24"/>
          <w:szCs w:val="24"/>
        </w:rPr>
      </w:pP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00477E1A">
        <w:rPr>
          <w:sz w:val="24"/>
          <w:szCs w:val="24"/>
        </w:rPr>
        <w:tab/>
      </w:r>
      <w:r w:rsidRPr="008B6FD2">
        <w:rPr>
          <w:sz w:val="24"/>
          <w:szCs w:val="24"/>
        </w:rPr>
        <w:t>Jeffrey A. Watson</w:t>
      </w:r>
    </w:p>
    <w:p w:rsidR="00AE13C1" w:rsidRPr="008B6FD2" w:rsidRDefault="00DD34EE" w:rsidP="00B2267A">
      <w:pPr>
        <w:tabs>
          <w:tab w:val="left" w:pos="0"/>
        </w:tabs>
        <w:jc w:val="both"/>
        <w:rPr>
          <w:sz w:val="24"/>
          <w:szCs w:val="24"/>
        </w:rPr>
      </w:pP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Pr="008B6FD2">
        <w:rPr>
          <w:sz w:val="24"/>
          <w:szCs w:val="24"/>
        </w:rPr>
        <w:tab/>
      </w:r>
      <w:r w:rsidR="00477E1A">
        <w:rPr>
          <w:sz w:val="24"/>
          <w:szCs w:val="24"/>
        </w:rPr>
        <w:tab/>
      </w:r>
      <w:r w:rsidRPr="008B6FD2">
        <w:rPr>
          <w:sz w:val="24"/>
          <w:szCs w:val="24"/>
        </w:rPr>
        <w:t>Administrative Law Judge</w:t>
      </w:r>
      <w:r w:rsidR="009C0DC5" w:rsidRPr="008B6FD2">
        <w:rPr>
          <w:sz w:val="24"/>
          <w:szCs w:val="24"/>
        </w:rPr>
        <w:tab/>
      </w:r>
    </w:p>
    <w:sectPr w:rsidR="00AE13C1" w:rsidRPr="008B6FD2" w:rsidSect="003D2328">
      <w:footerReference w:type="default" r:id="rId9"/>
      <w:footerReference w:type="first" r:id="rId10"/>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03E" w:rsidRDefault="00D7403E">
      <w:r>
        <w:separator/>
      </w:r>
    </w:p>
  </w:endnote>
  <w:endnote w:type="continuationSeparator" w:id="0">
    <w:p w:rsidR="00D7403E" w:rsidRDefault="00D7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678966"/>
      <w:docPartObj>
        <w:docPartGallery w:val="Page Numbers (Bottom of Page)"/>
        <w:docPartUnique/>
      </w:docPartObj>
    </w:sdtPr>
    <w:sdtEndPr/>
    <w:sdtContent>
      <w:p w:rsidR="00D40EA3" w:rsidRDefault="00DE656E">
        <w:pPr>
          <w:pStyle w:val="Footer"/>
          <w:jc w:val="center"/>
        </w:pPr>
        <w:r>
          <w:fldChar w:fldCharType="begin"/>
        </w:r>
        <w:r>
          <w:instrText xml:space="preserve"> PAGE   \* MERGEFORMAT </w:instrText>
        </w:r>
        <w:r>
          <w:fldChar w:fldCharType="separate"/>
        </w:r>
        <w:r w:rsidR="0010257C">
          <w:rPr>
            <w:noProof/>
          </w:rPr>
          <w:t>8</w:t>
        </w:r>
        <w:r>
          <w:rPr>
            <w:noProof/>
          </w:rPr>
          <w:fldChar w:fldCharType="end"/>
        </w:r>
      </w:p>
    </w:sdtContent>
  </w:sdt>
  <w:p w:rsidR="00D40EA3" w:rsidRDefault="00D40E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8E" w:rsidRDefault="00B11C8E">
    <w:pPr>
      <w:pStyle w:val="Footer"/>
      <w:jc w:val="center"/>
    </w:pPr>
  </w:p>
  <w:p w:rsidR="00B11C8E" w:rsidRDefault="00B11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03E" w:rsidRDefault="00D7403E">
      <w:r>
        <w:separator/>
      </w:r>
    </w:p>
  </w:footnote>
  <w:footnote w:type="continuationSeparator" w:id="0">
    <w:p w:rsidR="00D7403E" w:rsidRDefault="00D7403E">
      <w:r>
        <w:continuationSeparator/>
      </w:r>
    </w:p>
  </w:footnote>
  <w:footnote w:id="1">
    <w:p w:rsidR="0071671C" w:rsidRPr="008C355D" w:rsidRDefault="00014649" w:rsidP="0071671C">
      <w:pPr>
        <w:pStyle w:val="FootnoteText"/>
        <w:spacing w:after="240"/>
        <w:rPr>
          <w:sz w:val="20"/>
        </w:rPr>
      </w:pPr>
      <w:r>
        <w:rPr>
          <w:sz w:val="20"/>
        </w:rPr>
        <w:tab/>
      </w:r>
      <w:r w:rsidR="0071671C" w:rsidRPr="008C355D">
        <w:rPr>
          <w:rStyle w:val="FootnoteReference"/>
          <w:sz w:val="20"/>
        </w:rPr>
        <w:footnoteRef/>
      </w:r>
      <w:r w:rsidR="0071671C" w:rsidRPr="008C355D">
        <w:rPr>
          <w:sz w:val="20"/>
        </w:rPr>
        <w:t xml:space="preserve"> </w:t>
      </w:r>
      <w:r w:rsidR="0071671C" w:rsidRPr="008C355D">
        <w:rPr>
          <w:sz w:val="20"/>
        </w:rPr>
        <w:tab/>
        <w:t>Application at ¶ 10-11.</w:t>
      </w:r>
    </w:p>
  </w:footnote>
  <w:footnote w:id="2">
    <w:p w:rsidR="000D3D4C" w:rsidRDefault="000D3D4C" w:rsidP="00DD34EE">
      <w:pPr>
        <w:pStyle w:val="FootnoteText"/>
        <w:rPr>
          <w:sz w:val="20"/>
        </w:rPr>
      </w:pPr>
      <w:r>
        <w:rPr>
          <w:sz w:val="20"/>
        </w:rPr>
        <w:tab/>
      </w:r>
      <w:r w:rsidR="0071671C" w:rsidRPr="008C355D">
        <w:rPr>
          <w:rStyle w:val="FootnoteReference"/>
          <w:sz w:val="20"/>
        </w:rPr>
        <w:footnoteRef/>
      </w:r>
      <w:r w:rsidR="0071671C" w:rsidRPr="008C355D">
        <w:rPr>
          <w:sz w:val="20"/>
        </w:rPr>
        <w:t xml:space="preserve">  </w:t>
      </w:r>
      <w:r w:rsidR="0071671C" w:rsidRPr="008C355D">
        <w:rPr>
          <w:sz w:val="20"/>
        </w:rPr>
        <w:tab/>
      </w:r>
      <w:proofErr w:type="gramStart"/>
      <w:r w:rsidR="0071671C" w:rsidRPr="008C355D">
        <w:rPr>
          <w:sz w:val="20"/>
        </w:rPr>
        <w:t xml:space="preserve">52 </w:t>
      </w:r>
      <w:proofErr w:type="spellStart"/>
      <w:r w:rsidR="0071671C" w:rsidRPr="008C355D">
        <w:rPr>
          <w:sz w:val="20"/>
        </w:rPr>
        <w:t>Pa.Code</w:t>
      </w:r>
      <w:proofErr w:type="spellEnd"/>
      <w:r w:rsidR="0071671C" w:rsidRPr="008C355D">
        <w:rPr>
          <w:sz w:val="20"/>
        </w:rPr>
        <w:t xml:space="preserve"> § 29.352.</w:t>
      </w:r>
      <w:proofErr w:type="gramEnd"/>
    </w:p>
    <w:p w:rsidR="004860B0" w:rsidRPr="008C355D" w:rsidRDefault="004860B0" w:rsidP="00DD34EE">
      <w:pPr>
        <w:pStyle w:val="FootnoteText"/>
        <w:rPr>
          <w:sz w:val="20"/>
        </w:rPr>
      </w:pPr>
    </w:p>
  </w:footnote>
  <w:footnote w:id="3">
    <w:p w:rsidR="008C355D" w:rsidRDefault="000D3D4C" w:rsidP="00DD34EE">
      <w:pPr>
        <w:pStyle w:val="FootnoteText"/>
        <w:rPr>
          <w:sz w:val="20"/>
        </w:rPr>
      </w:pPr>
      <w:r>
        <w:rPr>
          <w:sz w:val="20"/>
        </w:rPr>
        <w:tab/>
      </w:r>
      <w:r w:rsidR="008C355D" w:rsidRPr="008C355D">
        <w:rPr>
          <w:rStyle w:val="FootnoteReference"/>
          <w:sz w:val="20"/>
        </w:rPr>
        <w:footnoteRef/>
      </w:r>
      <w:r w:rsidR="008C355D" w:rsidRPr="008C355D">
        <w:rPr>
          <w:sz w:val="20"/>
        </w:rPr>
        <w:t xml:space="preserve"> </w:t>
      </w:r>
      <w:r w:rsidR="008C355D" w:rsidRPr="008C355D">
        <w:rPr>
          <w:sz w:val="20"/>
        </w:rPr>
        <w:tab/>
        <w:t>Applicant referred to the enumerated Protestants as the “</w:t>
      </w:r>
      <w:r w:rsidR="0054624F">
        <w:rPr>
          <w:sz w:val="20"/>
        </w:rPr>
        <w:t>various call or demand carriers</w:t>
      </w:r>
      <w:r>
        <w:rPr>
          <w:sz w:val="20"/>
        </w:rPr>
        <w:t>.</w:t>
      </w:r>
      <w:r w:rsidR="008C355D" w:rsidRPr="008C355D">
        <w:rPr>
          <w:sz w:val="20"/>
        </w:rPr>
        <w:t>”</w:t>
      </w:r>
    </w:p>
    <w:p w:rsidR="000D3D4C" w:rsidRPr="008C355D" w:rsidRDefault="000D3D4C" w:rsidP="00DD34EE">
      <w:pPr>
        <w:pStyle w:val="FootnoteText"/>
        <w:rPr>
          <w:sz w:val="20"/>
        </w:rPr>
      </w:pPr>
    </w:p>
  </w:footnote>
  <w:footnote w:id="4">
    <w:p w:rsidR="00DD34EE" w:rsidRPr="00291C42" w:rsidRDefault="00DD34EE" w:rsidP="006C52D9">
      <w:pPr>
        <w:pStyle w:val="FootnoteText"/>
        <w:ind w:firstLine="720"/>
        <w:jc w:val="left"/>
        <w:rPr>
          <w:sz w:val="20"/>
        </w:rPr>
      </w:pPr>
      <w:r w:rsidRPr="00291C42">
        <w:rPr>
          <w:rStyle w:val="FootnoteReference"/>
          <w:sz w:val="20"/>
        </w:rPr>
        <w:footnoteRef/>
      </w:r>
      <w:r w:rsidRPr="00291C42">
        <w:rPr>
          <w:sz w:val="20"/>
        </w:rPr>
        <w:t xml:space="preserve"> </w:t>
      </w:r>
      <w:r w:rsidRPr="00291C42">
        <w:rPr>
          <w:sz w:val="20"/>
        </w:rPr>
        <w:tab/>
      </w:r>
      <w:r w:rsidRPr="00291C42">
        <w:rPr>
          <w:i/>
          <w:sz w:val="20"/>
        </w:rPr>
        <w:t>Equitable Small Transportation Intervenors v. Equitable Gas Company</w:t>
      </w:r>
      <w:r w:rsidRPr="00291C42">
        <w:rPr>
          <w:sz w:val="20"/>
        </w:rPr>
        <w:t xml:space="preserve">, 1994 Pa. PUC LEXIS 69, Docket No. </w:t>
      </w:r>
      <w:proofErr w:type="gramStart"/>
      <w:r w:rsidRPr="00291C42">
        <w:rPr>
          <w:sz w:val="20"/>
        </w:rPr>
        <w:t>C-00935435 (July 18, 1994).</w:t>
      </w:r>
      <w:proofErr w:type="gramEnd"/>
    </w:p>
    <w:p w:rsidR="00DD34EE" w:rsidRPr="00291C42" w:rsidRDefault="00DD34EE" w:rsidP="00DD34EE">
      <w:pPr>
        <w:pStyle w:val="FootnoteText"/>
        <w:ind w:firstLine="720"/>
        <w:rPr>
          <w:sz w:val="20"/>
        </w:rPr>
      </w:pPr>
      <w:r w:rsidRPr="00291C42">
        <w:rPr>
          <w:sz w:val="20"/>
        </w:rPr>
        <w:t xml:space="preserve"> </w:t>
      </w:r>
    </w:p>
  </w:footnote>
  <w:footnote w:id="5">
    <w:p w:rsidR="00DD34EE" w:rsidRPr="00291C42" w:rsidRDefault="00DD34EE" w:rsidP="006C52D9">
      <w:pPr>
        <w:pStyle w:val="FootnoteText"/>
        <w:ind w:firstLine="720"/>
        <w:jc w:val="left"/>
        <w:rPr>
          <w:sz w:val="20"/>
        </w:rPr>
      </w:pPr>
      <w:r w:rsidRPr="00291C42">
        <w:rPr>
          <w:rStyle w:val="FootnoteReference"/>
          <w:sz w:val="20"/>
        </w:rPr>
        <w:footnoteRef/>
      </w:r>
      <w:r w:rsidRPr="00291C42">
        <w:rPr>
          <w:sz w:val="20"/>
        </w:rPr>
        <w:t xml:space="preserve"> </w:t>
      </w:r>
      <w:r w:rsidRPr="00291C42">
        <w:rPr>
          <w:sz w:val="20"/>
        </w:rPr>
        <w:tab/>
      </w:r>
      <w:proofErr w:type="gramStart"/>
      <w:r w:rsidRPr="00291C42">
        <w:rPr>
          <w:i/>
          <w:sz w:val="20"/>
        </w:rPr>
        <w:t>Dept. of Auditor General v. SERS</w:t>
      </w:r>
      <w:r w:rsidRPr="00291C42">
        <w:rPr>
          <w:sz w:val="20"/>
        </w:rPr>
        <w:t xml:space="preserve">, 836 A.2d 1053, 1064 (Pa.Cmwlth. 2003); </w:t>
      </w:r>
      <w:r w:rsidRPr="00291C42">
        <w:rPr>
          <w:i/>
          <w:sz w:val="20"/>
        </w:rPr>
        <w:t>P.J.S. v. Pa. State Ethics Comm’n</w:t>
      </w:r>
      <w:r w:rsidRPr="00291C42">
        <w:rPr>
          <w:sz w:val="20"/>
        </w:rPr>
        <w:t>, 669 A.2d 1105 (Pa.Cmwlth. 1996).</w:t>
      </w:r>
      <w:proofErr w:type="gramEnd"/>
    </w:p>
    <w:p w:rsidR="00DD34EE" w:rsidRPr="00291C42" w:rsidRDefault="00DD34EE" w:rsidP="00DD34EE">
      <w:pPr>
        <w:pStyle w:val="FootnoteText"/>
        <w:ind w:firstLine="720"/>
        <w:rPr>
          <w:sz w:val="20"/>
        </w:rPr>
      </w:pPr>
    </w:p>
  </w:footnote>
  <w:footnote w:id="6">
    <w:p w:rsidR="00DD34EE" w:rsidRPr="00291C42" w:rsidRDefault="00DD34EE" w:rsidP="006C52D9">
      <w:pPr>
        <w:pStyle w:val="FootnoteText"/>
        <w:ind w:firstLine="720"/>
        <w:jc w:val="left"/>
        <w:rPr>
          <w:sz w:val="20"/>
        </w:rPr>
      </w:pPr>
      <w:r w:rsidRPr="00291C42">
        <w:rPr>
          <w:rStyle w:val="FootnoteReference"/>
          <w:sz w:val="20"/>
        </w:rPr>
        <w:footnoteRef/>
      </w:r>
      <w:r w:rsidRPr="00291C42">
        <w:rPr>
          <w:sz w:val="20"/>
        </w:rPr>
        <w:t xml:space="preserve"> </w:t>
      </w:r>
      <w:r w:rsidRPr="00291C42">
        <w:rPr>
          <w:sz w:val="20"/>
        </w:rPr>
        <w:tab/>
      </w:r>
      <w:proofErr w:type="gramStart"/>
      <w:r w:rsidRPr="00291C42">
        <w:rPr>
          <w:i/>
          <w:sz w:val="20"/>
        </w:rPr>
        <w:t>Boyd v. Ward</w:t>
      </w:r>
      <w:r w:rsidRPr="00291C42">
        <w:rPr>
          <w:sz w:val="20"/>
        </w:rPr>
        <w:t>, 802 A.2d 705 (Pa.Cmwlth. 2002).</w:t>
      </w:r>
      <w:proofErr w:type="gramEnd"/>
      <w:r w:rsidRPr="00291C42">
        <w:rPr>
          <w:sz w:val="20"/>
        </w:rPr>
        <w:t xml:space="preserve"> </w:t>
      </w:r>
    </w:p>
    <w:p w:rsidR="00DD34EE" w:rsidRPr="008652E6" w:rsidRDefault="00DD34EE" w:rsidP="00DD34EE">
      <w:pPr>
        <w:pStyle w:val="FootnoteText"/>
        <w:ind w:firstLine="720"/>
      </w:pPr>
      <w:r w:rsidRPr="008652E6">
        <w:t xml:space="preserve"> </w:t>
      </w:r>
    </w:p>
  </w:footnote>
  <w:footnote w:id="7">
    <w:p w:rsidR="00DD34EE" w:rsidRPr="00291C42" w:rsidRDefault="00DD34EE" w:rsidP="00A1517C">
      <w:pPr>
        <w:pStyle w:val="FootnoteText"/>
        <w:ind w:firstLine="720"/>
        <w:jc w:val="left"/>
        <w:rPr>
          <w:sz w:val="20"/>
        </w:rPr>
      </w:pPr>
      <w:r w:rsidRPr="00291C42">
        <w:rPr>
          <w:rStyle w:val="FootnoteReference"/>
          <w:sz w:val="20"/>
        </w:rPr>
        <w:footnoteRef/>
      </w:r>
      <w:r w:rsidRPr="00291C42">
        <w:rPr>
          <w:sz w:val="20"/>
        </w:rPr>
        <w:t xml:space="preserve"> </w:t>
      </w:r>
      <w:r w:rsidRPr="00291C42">
        <w:rPr>
          <w:sz w:val="20"/>
        </w:rPr>
        <w:tab/>
      </w:r>
      <w:proofErr w:type="gramStart"/>
      <w:r w:rsidRPr="00291C42">
        <w:rPr>
          <w:i/>
          <w:sz w:val="20"/>
        </w:rPr>
        <w:t>Ridge v. State Employees’ Retirement Board</w:t>
      </w:r>
      <w:r w:rsidRPr="00291C42">
        <w:rPr>
          <w:sz w:val="20"/>
        </w:rPr>
        <w:t>, 690 A.2d 1312 (Pa.Cmwlth. 1997).</w:t>
      </w:r>
      <w:proofErr w:type="gramEnd"/>
    </w:p>
    <w:p w:rsidR="00DD34EE" w:rsidRPr="00291C42" w:rsidRDefault="00DD34EE" w:rsidP="00DD34EE">
      <w:pPr>
        <w:pStyle w:val="FootnoteText"/>
        <w:ind w:firstLine="720"/>
        <w:rPr>
          <w:sz w:val="20"/>
        </w:rPr>
      </w:pPr>
      <w:r w:rsidRPr="00291C42">
        <w:rPr>
          <w:sz w:val="20"/>
        </w:rPr>
        <w:t xml:space="preserve"> </w:t>
      </w:r>
    </w:p>
  </w:footnote>
  <w:footnote w:id="8">
    <w:p w:rsidR="00DD34EE" w:rsidRPr="00291C42" w:rsidRDefault="00DD34EE" w:rsidP="00A1517C">
      <w:pPr>
        <w:pStyle w:val="FootnoteText"/>
        <w:ind w:firstLine="720"/>
        <w:jc w:val="left"/>
        <w:rPr>
          <w:sz w:val="20"/>
        </w:rPr>
      </w:pPr>
      <w:r w:rsidRPr="00291C42">
        <w:rPr>
          <w:rStyle w:val="FootnoteReference"/>
          <w:sz w:val="20"/>
        </w:rPr>
        <w:footnoteRef/>
      </w:r>
      <w:r w:rsidRPr="00291C42">
        <w:rPr>
          <w:sz w:val="20"/>
        </w:rPr>
        <w:t xml:space="preserve">  </w:t>
      </w:r>
      <w:r w:rsidRPr="00291C42">
        <w:rPr>
          <w:sz w:val="20"/>
        </w:rPr>
        <w:tab/>
      </w:r>
      <w:proofErr w:type="gramStart"/>
      <w:r w:rsidRPr="00291C42">
        <w:rPr>
          <w:i/>
          <w:sz w:val="20"/>
        </w:rPr>
        <w:t>Interstate Traveller Services, Inc. v. Pa. Department of Environmental Resources</w:t>
      </w:r>
      <w:r w:rsidRPr="00291C42">
        <w:rPr>
          <w:sz w:val="20"/>
        </w:rPr>
        <w:t xml:space="preserve">, 406 A.2d 1020 (Pa. 1979); </w:t>
      </w:r>
      <w:r w:rsidRPr="00291C42">
        <w:rPr>
          <w:i/>
          <w:sz w:val="20"/>
        </w:rPr>
        <w:t>Application of K&amp;F Medical Transport, LLC</w:t>
      </w:r>
      <w:r w:rsidRPr="00291C42">
        <w:rPr>
          <w:sz w:val="20"/>
        </w:rPr>
        <w:t>, PUC Docket No.</w:t>
      </w:r>
      <w:proofErr w:type="gramEnd"/>
      <w:r w:rsidRPr="00291C42">
        <w:rPr>
          <w:sz w:val="20"/>
        </w:rPr>
        <w:t xml:space="preserve"> A-2008-2020353 (Initial Decision dated April 25, 2008).</w:t>
      </w:r>
    </w:p>
  </w:footnote>
  <w:footnote w:id="9">
    <w:p w:rsidR="00DD34EE" w:rsidRPr="008B6FD2" w:rsidRDefault="00DD34EE" w:rsidP="001015F6">
      <w:pPr>
        <w:pStyle w:val="FootnoteText"/>
        <w:ind w:firstLine="720"/>
        <w:jc w:val="left"/>
        <w:rPr>
          <w:sz w:val="20"/>
        </w:rPr>
      </w:pPr>
      <w:r w:rsidRPr="008B6FD2">
        <w:rPr>
          <w:rStyle w:val="FootnoteReference"/>
          <w:sz w:val="20"/>
        </w:rPr>
        <w:footnoteRef/>
      </w:r>
      <w:r w:rsidRPr="008B6FD2">
        <w:rPr>
          <w:sz w:val="20"/>
        </w:rPr>
        <w:t xml:space="preserve">  </w:t>
      </w:r>
      <w:r w:rsidRPr="008B6FD2">
        <w:rPr>
          <w:sz w:val="20"/>
        </w:rPr>
        <w:tab/>
      </w:r>
      <w:proofErr w:type="gramStart"/>
      <w:r w:rsidRPr="008B6FD2">
        <w:rPr>
          <w:i/>
          <w:sz w:val="20"/>
        </w:rPr>
        <w:t>Application of Germantown Cab Company,</w:t>
      </w:r>
      <w:r w:rsidRPr="008B6FD2">
        <w:rPr>
          <w:sz w:val="20"/>
        </w:rPr>
        <w:t xml:space="preserve"> PUC Docket No.</w:t>
      </w:r>
      <w:proofErr w:type="gramEnd"/>
      <w:r w:rsidRPr="008B6FD2">
        <w:rPr>
          <w:sz w:val="20"/>
        </w:rPr>
        <w:t xml:space="preserve"> A-2012-2295131 (Initial </w:t>
      </w:r>
      <w:r w:rsidR="001015F6">
        <w:rPr>
          <w:sz w:val="20"/>
        </w:rPr>
        <w:t>D</w:t>
      </w:r>
      <w:r w:rsidRPr="008B6FD2">
        <w:rPr>
          <w:sz w:val="20"/>
        </w:rPr>
        <w:t>ecision served August 23, 2012) (and the cases cited therein).</w:t>
      </w:r>
    </w:p>
    <w:p w:rsidR="00DD34EE" w:rsidRPr="008B6FD2" w:rsidRDefault="00DD34EE" w:rsidP="00DD34EE">
      <w:pPr>
        <w:pStyle w:val="FootnoteText"/>
        <w:ind w:firstLine="720"/>
        <w:rPr>
          <w:sz w:val="20"/>
        </w:rPr>
      </w:pPr>
    </w:p>
  </w:footnote>
  <w:footnote w:id="10">
    <w:p w:rsidR="00DD34EE" w:rsidRPr="008B6FD2" w:rsidRDefault="00DD34EE" w:rsidP="00DD34EE">
      <w:pPr>
        <w:pStyle w:val="FootnoteText"/>
        <w:ind w:firstLine="720"/>
        <w:rPr>
          <w:sz w:val="20"/>
        </w:rPr>
      </w:pPr>
      <w:r w:rsidRPr="008B6FD2">
        <w:rPr>
          <w:rStyle w:val="FootnoteReference"/>
          <w:sz w:val="20"/>
        </w:rPr>
        <w:footnoteRef/>
      </w:r>
      <w:r w:rsidRPr="008B6FD2">
        <w:rPr>
          <w:sz w:val="20"/>
        </w:rPr>
        <w:t xml:space="preserve">  </w:t>
      </w:r>
      <w:r w:rsidRPr="008B6FD2">
        <w:rPr>
          <w:sz w:val="20"/>
        </w:rPr>
        <w:tab/>
      </w:r>
      <w:proofErr w:type="gramStart"/>
      <w:r w:rsidRPr="008B6FD2">
        <w:rPr>
          <w:i/>
          <w:sz w:val="20"/>
        </w:rPr>
        <w:t>Pennsylvania National Gas Association v. T.W. Phillips Gas and Oil Co</w:t>
      </w:r>
      <w:r w:rsidRPr="008B6FD2">
        <w:rPr>
          <w:sz w:val="20"/>
        </w:rPr>
        <w:t>., 75 Pa. PUC 598, 603 (1991).</w:t>
      </w:r>
      <w:proofErr w:type="gramEnd"/>
      <w:r w:rsidRPr="008B6FD2">
        <w:rPr>
          <w:sz w:val="20"/>
        </w:rPr>
        <w:t xml:space="preserve">  </w:t>
      </w:r>
    </w:p>
    <w:p w:rsidR="00DD34EE" w:rsidRPr="008B6FD2" w:rsidRDefault="00DD34EE" w:rsidP="00DD34EE">
      <w:pPr>
        <w:pStyle w:val="FootnoteText"/>
        <w:ind w:firstLine="720"/>
        <w:rPr>
          <w:sz w:val="20"/>
        </w:rPr>
      </w:pPr>
    </w:p>
  </w:footnote>
  <w:footnote w:id="11">
    <w:p w:rsidR="00DD34EE" w:rsidRPr="008B6FD2" w:rsidRDefault="00DD34EE" w:rsidP="00DD34EE">
      <w:pPr>
        <w:pStyle w:val="FootnoteText"/>
        <w:ind w:firstLine="720"/>
        <w:rPr>
          <w:sz w:val="20"/>
        </w:rPr>
      </w:pPr>
      <w:r w:rsidRPr="008B6FD2">
        <w:rPr>
          <w:rStyle w:val="FootnoteReference"/>
          <w:sz w:val="20"/>
        </w:rPr>
        <w:footnoteRef/>
      </w:r>
      <w:r w:rsidRPr="008B6FD2">
        <w:rPr>
          <w:sz w:val="20"/>
        </w:rPr>
        <w:t xml:space="preserve">  </w:t>
      </w:r>
      <w:r w:rsidRPr="008B6FD2">
        <w:rPr>
          <w:sz w:val="20"/>
        </w:rPr>
        <w:tab/>
      </w:r>
      <w:hyperlink r:id="rId1" w:tgtFrame="x" w:tooltip="Clicking this link retrieves the full text document in another window" w:history="1">
        <w:r w:rsidRPr="008B6FD2">
          <w:rPr>
            <w:i/>
            <w:sz w:val="20"/>
          </w:rPr>
          <w:t>In re Milton Hershey School</w:t>
        </w:r>
        <w:r w:rsidRPr="008B6FD2">
          <w:rPr>
            <w:sz w:val="20"/>
          </w:rPr>
          <w:t>, 867 A.2d 674, 683 (Pa.Cmwlth. 2005)</w:t>
        </w:r>
      </w:hyperlink>
      <w:r w:rsidRPr="008B6FD2">
        <w:rPr>
          <w:sz w:val="20"/>
        </w:rPr>
        <w:t xml:space="preserve">, </w:t>
      </w:r>
      <w:r w:rsidRPr="008B6FD2">
        <w:rPr>
          <w:i/>
          <w:sz w:val="20"/>
        </w:rPr>
        <w:t>reversed on other grounds</w:t>
      </w:r>
      <w:r w:rsidRPr="008B6FD2">
        <w:rPr>
          <w:sz w:val="20"/>
        </w:rPr>
        <w:t xml:space="preserve">, 911 A.2d 1258 (Pa. 2006) (citing </w:t>
      </w:r>
      <w:r w:rsidRPr="008B6FD2">
        <w:rPr>
          <w:i/>
          <w:sz w:val="20"/>
        </w:rPr>
        <w:t>Baker v. Carr</w:t>
      </w:r>
      <w:r w:rsidRPr="008B6FD2">
        <w:rPr>
          <w:sz w:val="20"/>
        </w:rPr>
        <w:t>, 369 U.S. 186 (1962)).</w:t>
      </w:r>
    </w:p>
  </w:footnote>
  <w:footnote w:id="12">
    <w:p w:rsidR="00DD34EE" w:rsidRPr="008B6FD2" w:rsidRDefault="00FC450D" w:rsidP="00DD34EE">
      <w:pPr>
        <w:pStyle w:val="FootnoteText"/>
        <w:rPr>
          <w:sz w:val="20"/>
        </w:rPr>
      </w:pPr>
      <w:r>
        <w:rPr>
          <w:sz w:val="20"/>
        </w:rPr>
        <w:tab/>
      </w:r>
      <w:r w:rsidR="00DD34EE" w:rsidRPr="008B6FD2">
        <w:rPr>
          <w:rStyle w:val="FootnoteReference"/>
          <w:sz w:val="20"/>
        </w:rPr>
        <w:footnoteRef/>
      </w:r>
      <w:r w:rsidR="00DD34EE" w:rsidRPr="008B6FD2">
        <w:rPr>
          <w:sz w:val="20"/>
        </w:rPr>
        <w:t xml:space="preserve"> </w:t>
      </w:r>
      <w:r w:rsidR="00DD34EE" w:rsidRPr="008B6FD2">
        <w:rPr>
          <w:sz w:val="20"/>
        </w:rPr>
        <w:tab/>
      </w:r>
      <w:proofErr w:type="gramStart"/>
      <w:r w:rsidR="00DD34EE" w:rsidRPr="008B6FD2">
        <w:rPr>
          <w:sz w:val="20"/>
        </w:rPr>
        <w:t xml:space="preserve">52 </w:t>
      </w:r>
      <w:proofErr w:type="spellStart"/>
      <w:r w:rsidR="00DD34EE" w:rsidRPr="008B6FD2">
        <w:rPr>
          <w:sz w:val="20"/>
        </w:rPr>
        <w:t>Pa.Code</w:t>
      </w:r>
      <w:proofErr w:type="spellEnd"/>
      <w:r w:rsidR="00DD34EE" w:rsidRPr="008B6FD2">
        <w:rPr>
          <w:sz w:val="20"/>
        </w:rPr>
        <w:t xml:space="preserve"> § 29.352.</w:t>
      </w:r>
      <w:proofErr w:type="gramEnd"/>
    </w:p>
    <w:p w:rsidR="00DD34EE" w:rsidRPr="008B6FD2" w:rsidRDefault="00DD34EE" w:rsidP="00DD34EE">
      <w:pPr>
        <w:pStyle w:val="FootnoteText"/>
        <w:rPr>
          <w:sz w:val="20"/>
        </w:rPr>
      </w:pPr>
    </w:p>
  </w:footnote>
  <w:footnote w:id="13">
    <w:p w:rsidR="00DD34EE" w:rsidRPr="008B6FD2" w:rsidRDefault="00FC450D" w:rsidP="00DD34EE">
      <w:pPr>
        <w:pStyle w:val="FootnoteText"/>
        <w:rPr>
          <w:sz w:val="20"/>
        </w:rPr>
      </w:pPr>
      <w:r>
        <w:rPr>
          <w:sz w:val="20"/>
        </w:rPr>
        <w:tab/>
      </w:r>
      <w:r w:rsidR="00DD34EE" w:rsidRPr="008B6FD2">
        <w:rPr>
          <w:rStyle w:val="FootnoteReference"/>
          <w:sz w:val="20"/>
        </w:rPr>
        <w:footnoteRef/>
      </w:r>
      <w:r w:rsidR="00DD34EE" w:rsidRPr="008B6FD2">
        <w:rPr>
          <w:sz w:val="20"/>
        </w:rPr>
        <w:t xml:space="preserve"> </w:t>
      </w:r>
      <w:r w:rsidR="00DD34EE" w:rsidRPr="008B6FD2">
        <w:rPr>
          <w:sz w:val="20"/>
        </w:rPr>
        <w:tab/>
      </w:r>
      <w:proofErr w:type="gramStart"/>
      <w:r w:rsidR="00DD34EE" w:rsidRPr="008B6FD2">
        <w:rPr>
          <w:sz w:val="20"/>
        </w:rPr>
        <w:t xml:space="preserve">52 </w:t>
      </w:r>
      <w:proofErr w:type="spellStart"/>
      <w:r w:rsidR="00DD34EE" w:rsidRPr="008B6FD2">
        <w:rPr>
          <w:sz w:val="20"/>
        </w:rPr>
        <w:t>Pa.Code</w:t>
      </w:r>
      <w:proofErr w:type="spellEnd"/>
      <w:r w:rsidR="00DD34EE" w:rsidRPr="008B6FD2">
        <w:rPr>
          <w:sz w:val="20"/>
        </w:rPr>
        <w:t xml:space="preserve"> §§ 29.351-29.352.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AE240DE"/>
    <w:multiLevelType w:val="hybridMultilevel"/>
    <w:tmpl w:val="816A3512"/>
    <w:lvl w:ilvl="0" w:tplc="3EE2B6F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61673ED"/>
    <w:multiLevelType w:val="hybridMultilevel"/>
    <w:tmpl w:val="7B94461E"/>
    <w:lvl w:ilvl="0" w:tplc="BA887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7B219C5"/>
    <w:multiLevelType w:val="hybridMultilevel"/>
    <w:tmpl w:val="BF107BDE"/>
    <w:lvl w:ilvl="0" w:tplc="89EC893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93C13DC"/>
    <w:multiLevelType w:val="hybridMultilevel"/>
    <w:tmpl w:val="19821978"/>
    <w:lvl w:ilvl="0" w:tplc="DA2447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8CF1A54"/>
    <w:multiLevelType w:val="hybridMultilevel"/>
    <w:tmpl w:val="763E84E8"/>
    <w:lvl w:ilvl="0" w:tplc="64F0A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BC0BBD"/>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7"/>
  </w:num>
  <w:num w:numId="6">
    <w:abstractNumId w:val="0"/>
  </w:num>
  <w:num w:numId="7">
    <w:abstractNumId w:val="1"/>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橄ㄴ瑨Ӊԋ찔㈇"/>
  </w:docVars>
  <w:rsids>
    <w:rsidRoot w:val="00CC101E"/>
    <w:rsid w:val="00003148"/>
    <w:rsid w:val="00004D34"/>
    <w:rsid w:val="0000658C"/>
    <w:rsid w:val="00014649"/>
    <w:rsid w:val="0001525A"/>
    <w:rsid w:val="00015D8E"/>
    <w:rsid w:val="00023375"/>
    <w:rsid w:val="00025144"/>
    <w:rsid w:val="000256F9"/>
    <w:rsid w:val="00027C21"/>
    <w:rsid w:val="000310FC"/>
    <w:rsid w:val="000351A6"/>
    <w:rsid w:val="00036077"/>
    <w:rsid w:val="00040600"/>
    <w:rsid w:val="00045A07"/>
    <w:rsid w:val="0005159B"/>
    <w:rsid w:val="00051B49"/>
    <w:rsid w:val="000532BB"/>
    <w:rsid w:val="00056AEC"/>
    <w:rsid w:val="00064C9E"/>
    <w:rsid w:val="000653C8"/>
    <w:rsid w:val="0006616F"/>
    <w:rsid w:val="000663E5"/>
    <w:rsid w:val="0007668B"/>
    <w:rsid w:val="00090961"/>
    <w:rsid w:val="000A055A"/>
    <w:rsid w:val="000C1954"/>
    <w:rsid w:val="000C47D7"/>
    <w:rsid w:val="000C74DD"/>
    <w:rsid w:val="000D03D4"/>
    <w:rsid w:val="000D12A6"/>
    <w:rsid w:val="000D3460"/>
    <w:rsid w:val="000D3B98"/>
    <w:rsid w:val="000D3D4C"/>
    <w:rsid w:val="000D410E"/>
    <w:rsid w:val="000E21E5"/>
    <w:rsid w:val="000F1A57"/>
    <w:rsid w:val="000F41BF"/>
    <w:rsid w:val="000F613C"/>
    <w:rsid w:val="000F7DF9"/>
    <w:rsid w:val="001015F6"/>
    <w:rsid w:val="0010257C"/>
    <w:rsid w:val="001129BB"/>
    <w:rsid w:val="00113368"/>
    <w:rsid w:val="00113681"/>
    <w:rsid w:val="001149B4"/>
    <w:rsid w:val="00126693"/>
    <w:rsid w:val="001307B0"/>
    <w:rsid w:val="001358C8"/>
    <w:rsid w:val="001411C1"/>
    <w:rsid w:val="0014202A"/>
    <w:rsid w:val="001431E8"/>
    <w:rsid w:val="00155B8E"/>
    <w:rsid w:val="001652B7"/>
    <w:rsid w:val="001661F9"/>
    <w:rsid w:val="00180EAC"/>
    <w:rsid w:val="00181D9C"/>
    <w:rsid w:val="00183FE8"/>
    <w:rsid w:val="001C0059"/>
    <w:rsid w:val="001C0313"/>
    <w:rsid w:val="001C213F"/>
    <w:rsid w:val="001C229B"/>
    <w:rsid w:val="001D3056"/>
    <w:rsid w:val="001E694B"/>
    <w:rsid w:val="001F10AB"/>
    <w:rsid w:val="001F77C2"/>
    <w:rsid w:val="00207802"/>
    <w:rsid w:val="00211517"/>
    <w:rsid w:val="00215B22"/>
    <w:rsid w:val="00222B95"/>
    <w:rsid w:val="00225CCD"/>
    <w:rsid w:val="00226597"/>
    <w:rsid w:val="0022672F"/>
    <w:rsid w:val="002337DB"/>
    <w:rsid w:val="00234F00"/>
    <w:rsid w:val="00241530"/>
    <w:rsid w:val="00242F41"/>
    <w:rsid w:val="00243F01"/>
    <w:rsid w:val="00251770"/>
    <w:rsid w:val="00251B15"/>
    <w:rsid w:val="00254726"/>
    <w:rsid w:val="00256074"/>
    <w:rsid w:val="0025638D"/>
    <w:rsid w:val="00262B34"/>
    <w:rsid w:val="00264CFF"/>
    <w:rsid w:val="00273A62"/>
    <w:rsid w:val="002839B6"/>
    <w:rsid w:val="002907F6"/>
    <w:rsid w:val="00291C42"/>
    <w:rsid w:val="00292D04"/>
    <w:rsid w:val="00296676"/>
    <w:rsid w:val="002A77EA"/>
    <w:rsid w:val="002B5C99"/>
    <w:rsid w:val="002B7C5A"/>
    <w:rsid w:val="002B7D6F"/>
    <w:rsid w:val="002C0CC9"/>
    <w:rsid w:val="002D149E"/>
    <w:rsid w:val="002D42C2"/>
    <w:rsid w:val="002F2EDF"/>
    <w:rsid w:val="002F39C3"/>
    <w:rsid w:val="002F3D56"/>
    <w:rsid w:val="0030131A"/>
    <w:rsid w:val="00313F37"/>
    <w:rsid w:val="003307C4"/>
    <w:rsid w:val="003312EF"/>
    <w:rsid w:val="00334D84"/>
    <w:rsid w:val="00336584"/>
    <w:rsid w:val="00344FD4"/>
    <w:rsid w:val="0036165A"/>
    <w:rsid w:val="00363841"/>
    <w:rsid w:val="003716EF"/>
    <w:rsid w:val="00371F8E"/>
    <w:rsid w:val="00375065"/>
    <w:rsid w:val="00383478"/>
    <w:rsid w:val="00385B12"/>
    <w:rsid w:val="00392254"/>
    <w:rsid w:val="00392B5A"/>
    <w:rsid w:val="00395AE9"/>
    <w:rsid w:val="00396F42"/>
    <w:rsid w:val="00397ADE"/>
    <w:rsid w:val="003A3C3B"/>
    <w:rsid w:val="003A41CA"/>
    <w:rsid w:val="003A4848"/>
    <w:rsid w:val="003B09BA"/>
    <w:rsid w:val="003B4244"/>
    <w:rsid w:val="003B444D"/>
    <w:rsid w:val="003B4F78"/>
    <w:rsid w:val="003B6657"/>
    <w:rsid w:val="003D2328"/>
    <w:rsid w:val="003D29CB"/>
    <w:rsid w:val="003D7DF4"/>
    <w:rsid w:val="003E7C44"/>
    <w:rsid w:val="003F0F5C"/>
    <w:rsid w:val="003F1FCE"/>
    <w:rsid w:val="004128EA"/>
    <w:rsid w:val="004240D7"/>
    <w:rsid w:val="00444DC0"/>
    <w:rsid w:val="00452421"/>
    <w:rsid w:val="00477E1A"/>
    <w:rsid w:val="004860B0"/>
    <w:rsid w:val="004933F6"/>
    <w:rsid w:val="004A19F6"/>
    <w:rsid w:val="004A5131"/>
    <w:rsid w:val="004C0578"/>
    <w:rsid w:val="004C6BAE"/>
    <w:rsid w:val="004E68A1"/>
    <w:rsid w:val="004F1163"/>
    <w:rsid w:val="004F22CA"/>
    <w:rsid w:val="005009E4"/>
    <w:rsid w:val="00502B92"/>
    <w:rsid w:val="00503C51"/>
    <w:rsid w:val="005102B7"/>
    <w:rsid w:val="00517116"/>
    <w:rsid w:val="00522FAD"/>
    <w:rsid w:val="00534E9D"/>
    <w:rsid w:val="005455D6"/>
    <w:rsid w:val="0054624F"/>
    <w:rsid w:val="00552AF2"/>
    <w:rsid w:val="00554289"/>
    <w:rsid w:val="00555C9A"/>
    <w:rsid w:val="0055694A"/>
    <w:rsid w:val="00563C44"/>
    <w:rsid w:val="005650CA"/>
    <w:rsid w:val="0057203E"/>
    <w:rsid w:val="00576251"/>
    <w:rsid w:val="00577981"/>
    <w:rsid w:val="00584449"/>
    <w:rsid w:val="00584DB3"/>
    <w:rsid w:val="00584FD4"/>
    <w:rsid w:val="00585640"/>
    <w:rsid w:val="005B020A"/>
    <w:rsid w:val="005B6EF2"/>
    <w:rsid w:val="005B767D"/>
    <w:rsid w:val="005B7F7B"/>
    <w:rsid w:val="005C1620"/>
    <w:rsid w:val="005C2412"/>
    <w:rsid w:val="005C66C1"/>
    <w:rsid w:val="005C7BB2"/>
    <w:rsid w:val="005D1A44"/>
    <w:rsid w:val="005D49B1"/>
    <w:rsid w:val="005D7995"/>
    <w:rsid w:val="005E4B29"/>
    <w:rsid w:val="005E6CA7"/>
    <w:rsid w:val="005F1341"/>
    <w:rsid w:val="005F27D4"/>
    <w:rsid w:val="005F2EF3"/>
    <w:rsid w:val="006016BD"/>
    <w:rsid w:val="00604306"/>
    <w:rsid w:val="0061329A"/>
    <w:rsid w:val="0061699B"/>
    <w:rsid w:val="006206AC"/>
    <w:rsid w:val="0063093A"/>
    <w:rsid w:val="006331C7"/>
    <w:rsid w:val="00634B50"/>
    <w:rsid w:val="00634E65"/>
    <w:rsid w:val="00637186"/>
    <w:rsid w:val="00642A25"/>
    <w:rsid w:val="00647A53"/>
    <w:rsid w:val="00650B0F"/>
    <w:rsid w:val="00650E84"/>
    <w:rsid w:val="006602CE"/>
    <w:rsid w:val="00662609"/>
    <w:rsid w:val="006657A1"/>
    <w:rsid w:val="00665E30"/>
    <w:rsid w:val="0066605D"/>
    <w:rsid w:val="0067160C"/>
    <w:rsid w:val="006742F0"/>
    <w:rsid w:val="006757C1"/>
    <w:rsid w:val="006A40F4"/>
    <w:rsid w:val="006A5F41"/>
    <w:rsid w:val="006B2624"/>
    <w:rsid w:val="006B3433"/>
    <w:rsid w:val="006B4A62"/>
    <w:rsid w:val="006B4DF7"/>
    <w:rsid w:val="006C52D9"/>
    <w:rsid w:val="006D3719"/>
    <w:rsid w:val="006D43E7"/>
    <w:rsid w:val="006E183F"/>
    <w:rsid w:val="006E2700"/>
    <w:rsid w:val="006E516E"/>
    <w:rsid w:val="006F2F0D"/>
    <w:rsid w:val="0070090C"/>
    <w:rsid w:val="00704BEC"/>
    <w:rsid w:val="00706B02"/>
    <w:rsid w:val="0071671C"/>
    <w:rsid w:val="007217D0"/>
    <w:rsid w:val="007218D2"/>
    <w:rsid w:val="007273EB"/>
    <w:rsid w:val="00732507"/>
    <w:rsid w:val="00732D11"/>
    <w:rsid w:val="00744553"/>
    <w:rsid w:val="0074778A"/>
    <w:rsid w:val="0075063D"/>
    <w:rsid w:val="007601AE"/>
    <w:rsid w:val="0076190C"/>
    <w:rsid w:val="007619F0"/>
    <w:rsid w:val="00763216"/>
    <w:rsid w:val="0077187F"/>
    <w:rsid w:val="00790484"/>
    <w:rsid w:val="00791926"/>
    <w:rsid w:val="00791BC9"/>
    <w:rsid w:val="007951DE"/>
    <w:rsid w:val="007B5BC9"/>
    <w:rsid w:val="007C6D62"/>
    <w:rsid w:val="007C6EAB"/>
    <w:rsid w:val="007D3D2F"/>
    <w:rsid w:val="007E083B"/>
    <w:rsid w:val="007E08C8"/>
    <w:rsid w:val="007E368F"/>
    <w:rsid w:val="007F54C9"/>
    <w:rsid w:val="00804528"/>
    <w:rsid w:val="00805C94"/>
    <w:rsid w:val="00821162"/>
    <w:rsid w:val="008274C5"/>
    <w:rsid w:val="00833190"/>
    <w:rsid w:val="00834288"/>
    <w:rsid w:val="0086286C"/>
    <w:rsid w:val="0086387B"/>
    <w:rsid w:val="0086609D"/>
    <w:rsid w:val="00867414"/>
    <w:rsid w:val="00867713"/>
    <w:rsid w:val="00872598"/>
    <w:rsid w:val="00872A8D"/>
    <w:rsid w:val="008737B0"/>
    <w:rsid w:val="0088555A"/>
    <w:rsid w:val="0089090A"/>
    <w:rsid w:val="00891AF5"/>
    <w:rsid w:val="00893C6C"/>
    <w:rsid w:val="008B09FA"/>
    <w:rsid w:val="008B6FD2"/>
    <w:rsid w:val="008B7A3E"/>
    <w:rsid w:val="008C11E0"/>
    <w:rsid w:val="008C32FF"/>
    <w:rsid w:val="008C355D"/>
    <w:rsid w:val="008C4B08"/>
    <w:rsid w:val="008E0E07"/>
    <w:rsid w:val="008E6F36"/>
    <w:rsid w:val="00900640"/>
    <w:rsid w:val="00901817"/>
    <w:rsid w:val="00907D59"/>
    <w:rsid w:val="00910145"/>
    <w:rsid w:val="0091286A"/>
    <w:rsid w:val="0091374A"/>
    <w:rsid w:val="00914683"/>
    <w:rsid w:val="00914751"/>
    <w:rsid w:val="00922C01"/>
    <w:rsid w:val="009270B7"/>
    <w:rsid w:val="009340C5"/>
    <w:rsid w:val="00935336"/>
    <w:rsid w:val="0094003B"/>
    <w:rsid w:val="009434DC"/>
    <w:rsid w:val="00951863"/>
    <w:rsid w:val="009671D2"/>
    <w:rsid w:val="00976A7F"/>
    <w:rsid w:val="009827FD"/>
    <w:rsid w:val="00994D89"/>
    <w:rsid w:val="009A2B76"/>
    <w:rsid w:val="009A3201"/>
    <w:rsid w:val="009A3DC4"/>
    <w:rsid w:val="009A4347"/>
    <w:rsid w:val="009B0D68"/>
    <w:rsid w:val="009B48B6"/>
    <w:rsid w:val="009C0DC5"/>
    <w:rsid w:val="009C10C1"/>
    <w:rsid w:val="009C1613"/>
    <w:rsid w:val="009C21C3"/>
    <w:rsid w:val="009C5BB0"/>
    <w:rsid w:val="009D4E2A"/>
    <w:rsid w:val="009D55EC"/>
    <w:rsid w:val="009D60E7"/>
    <w:rsid w:val="009E21B7"/>
    <w:rsid w:val="009E5538"/>
    <w:rsid w:val="009F09E3"/>
    <w:rsid w:val="009F0B58"/>
    <w:rsid w:val="009F65AF"/>
    <w:rsid w:val="00A11A04"/>
    <w:rsid w:val="00A1517C"/>
    <w:rsid w:val="00A163B6"/>
    <w:rsid w:val="00A1670E"/>
    <w:rsid w:val="00A17F52"/>
    <w:rsid w:val="00A22597"/>
    <w:rsid w:val="00A225B6"/>
    <w:rsid w:val="00A22C3B"/>
    <w:rsid w:val="00A42329"/>
    <w:rsid w:val="00A46356"/>
    <w:rsid w:val="00A463E4"/>
    <w:rsid w:val="00A50762"/>
    <w:rsid w:val="00A5183C"/>
    <w:rsid w:val="00A56211"/>
    <w:rsid w:val="00A6550F"/>
    <w:rsid w:val="00A656A9"/>
    <w:rsid w:val="00A66ACB"/>
    <w:rsid w:val="00A72886"/>
    <w:rsid w:val="00A73995"/>
    <w:rsid w:val="00A82FD8"/>
    <w:rsid w:val="00A8304E"/>
    <w:rsid w:val="00A84F8C"/>
    <w:rsid w:val="00A87081"/>
    <w:rsid w:val="00A90E12"/>
    <w:rsid w:val="00AB4C7C"/>
    <w:rsid w:val="00AD4BBB"/>
    <w:rsid w:val="00AD672D"/>
    <w:rsid w:val="00AE13C1"/>
    <w:rsid w:val="00AE17B0"/>
    <w:rsid w:val="00AE1D85"/>
    <w:rsid w:val="00AE6CA5"/>
    <w:rsid w:val="00AF0CD2"/>
    <w:rsid w:val="00AF2503"/>
    <w:rsid w:val="00B0423E"/>
    <w:rsid w:val="00B06FBA"/>
    <w:rsid w:val="00B11C8E"/>
    <w:rsid w:val="00B17080"/>
    <w:rsid w:val="00B2267A"/>
    <w:rsid w:val="00B242E2"/>
    <w:rsid w:val="00B26135"/>
    <w:rsid w:val="00B26563"/>
    <w:rsid w:val="00B32B88"/>
    <w:rsid w:val="00B35A96"/>
    <w:rsid w:val="00B4219B"/>
    <w:rsid w:val="00B444C0"/>
    <w:rsid w:val="00B45EA7"/>
    <w:rsid w:val="00B51C3D"/>
    <w:rsid w:val="00B61D11"/>
    <w:rsid w:val="00B661B8"/>
    <w:rsid w:val="00B7522E"/>
    <w:rsid w:val="00B954CA"/>
    <w:rsid w:val="00B96687"/>
    <w:rsid w:val="00B9740B"/>
    <w:rsid w:val="00B977D2"/>
    <w:rsid w:val="00BA33C0"/>
    <w:rsid w:val="00BB14ED"/>
    <w:rsid w:val="00BB1C71"/>
    <w:rsid w:val="00BC67CC"/>
    <w:rsid w:val="00BE470B"/>
    <w:rsid w:val="00BE4929"/>
    <w:rsid w:val="00BF62D2"/>
    <w:rsid w:val="00C05C23"/>
    <w:rsid w:val="00C24A39"/>
    <w:rsid w:val="00C250A2"/>
    <w:rsid w:val="00C31E65"/>
    <w:rsid w:val="00C32A8F"/>
    <w:rsid w:val="00C33E9B"/>
    <w:rsid w:val="00C36DE8"/>
    <w:rsid w:val="00C4241F"/>
    <w:rsid w:val="00C55CBE"/>
    <w:rsid w:val="00C57504"/>
    <w:rsid w:val="00C76351"/>
    <w:rsid w:val="00C77F39"/>
    <w:rsid w:val="00C90968"/>
    <w:rsid w:val="00C90E90"/>
    <w:rsid w:val="00C970AD"/>
    <w:rsid w:val="00CA06A0"/>
    <w:rsid w:val="00CA3117"/>
    <w:rsid w:val="00CA3825"/>
    <w:rsid w:val="00CB7FEF"/>
    <w:rsid w:val="00CC101E"/>
    <w:rsid w:val="00CC1E6B"/>
    <w:rsid w:val="00CC43EC"/>
    <w:rsid w:val="00CD02F5"/>
    <w:rsid w:val="00CD3F79"/>
    <w:rsid w:val="00CD51D9"/>
    <w:rsid w:val="00CD5F4C"/>
    <w:rsid w:val="00CE1A5F"/>
    <w:rsid w:val="00CE3300"/>
    <w:rsid w:val="00CE3E9C"/>
    <w:rsid w:val="00CE6DF0"/>
    <w:rsid w:val="00CF105A"/>
    <w:rsid w:val="00CF2A6C"/>
    <w:rsid w:val="00CF5A57"/>
    <w:rsid w:val="00CF5DF6"/>
    <w:rsid w:val="00D016AA"/>
    <w:rsid w:val="00D209B1"/>
    <w:rsid w:val="00D21CAD"/>
    <w:rsid w:val="00D22E6E"/>
    <w:rsid w:val="00D23153"/>
    <w:rsid w:val="00D272BA"/>
    <w:rsid w:val="00D40EA3"/>
    <w:rsid w:val="00D44C1A"/>
    <w:rsid w:val="00D454BC"/>
    <w:rsid w:val="00D50286"/>
    <w:rsid w:val="00D548FF"/>
    <w:rsid w:val="00D6431C"/>
    <w:rsid w:val="00D67864"/>
    <w:rsid w:val="00D7403E"/>
    <w:rsid w:val="00D74EFB"/>
    <w:rsid w:val="00D83604"/>
    <w:rsid w:val="00D84A2E"/>
    <w:rsid w:val="00D85718"/>
    <w:rsid w:val="00D86895"/>
    <w:rsid w:val="00D94FD2"/>
    <w:rsid w:val="00D9795F"/>
    <w:rsid w:val="00DA6735"/>
    <w:rsid w:val="00DB08FD"/>
    <w:rsid w:val="00DB0B40"/>
    <w:rsid w:val="00DB35D6"/>
    <w:rsid w:val="00DB4A58"/>
    <w:rsid w:val="00DB4C67"/>
    <w:rsid w:val="00DC478C"/>
    <w:rsid w:val="00DC6438"/>
    <w:rsid w:val="00DD05A4"/>
    <w:rsid w:val="00DD09E8"/>
    <w:rsid w:val="00DD34EE"/>
    <w:rsid w:val="00DD7480"/>
    <w:rsid w:val="00DE4A64"/>
    <w:rsid w:val="00DE656E"/>
    <w:rsid w:val="00DF39F4"/>
    <w:rsid w:val="00DF5498"/>
    <w:rsid w:val="00E047BB"/>
    <w:rsid w:val="00E061C1"/>
    <w:rsid w:val="00E13032"/>
    <w:rsid w:val="00E23DA8"/>
    <w:rsid w:val="00E41863"/>
    <w:rsid w:val="00E440CB"/>
    <w:rsid w:val="00E4726A"/>
    <w:rsid w:val="00E50C7E"/>
    <w:rsid w:val="00E50E0C"/>
    <w:rsid w:val="00E5205C"/>
    <w:rsid w:val="00E6101A"/>
    <w:rsid w:val="00E65661"/>
    <w:rsid w:val="00E65E27"/>
    <w:rsid w:val="00E71463"/>
    <w:rsid w:val="00E80B2F"/>
    <w:rsid w:val="00E85EF6"/>
    <w:rsid w:val="00E92BCB"/>
    <w:rsid w:val="00E95514"/>
    <w:rsid w:val="00EB4750"/>
    <w:rsid w:val="00EB477C"/>
    <w:rsid w:val="00EB7050"/>
    <w:rsid w:val="00EB7D20"/>
    <w:rsid w:val="00EE212E"/>
    <w:rsid w:val="00EF7B50"/>
    <w:rsid w:val="00F01675"/>
    <w:rsid w:val="00F100BB"/>
    <w:rsid w:val="00F1769C"/>
    <w:rsid w:val="00F26710"/>
    <w:rsid w:val="00F36642"/>
    <w:rsid w:val="00F40776"/>
    <w:rsid w:val="00F4621F"/>
    <w:rsid w:val="00F4638D"/>
    <w:rsid w:val="00F4669E"/>
    <w:rsid w:val="00F67AEB"/>
    <w:rsid w:val="00F7515D"/>
    <w:rsid w:val="00F8761A"/>
    <w:rsid w:val="00F90D51"/>
    <w:rsid w:val="00FA7AA3"/>
    <w:rsid w:val="00FB0240"/>
    <w:rsid w:val="00FB1D69"/>
    <w:rsid w:val="00FC41CE"/>
    <w:rsid w:val="00FC450D"/>
    <w:rsid w:val="00FC4C6E"/>
    <w:rsid w:val="00FC53DD"/>
    <w:rsid w:val="00FD191D"/>
    <w:rsid w:val="00FD363D"/>
    <w:rsid w:val="00FD56DC"/>
    <w:rsid w:val="00FE0170"/>
    <w:rsid w:val="00FE1065"/>
    <w:rsid w:val="00FF37EF"/>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paragraph" w:styleId="Heading2">
    <w:name w:val="heading 2"/>
    <w:basedOn w:val="Normal"/>
    <w:next w:val="Normal"/>
    <w:link w:val="Heading2Char"/>
    <w:semiHidden/>
    <w:unhideWhenUsed/>
    <w:qFormat/>
    <w:rsid w:val="00D272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
    <w:basedOn w:val="DefaultParagraphFont"/>
    <w:uiPriority w:val="99"/>
    <w:rsid w:val="00CF5A57"/>
    <w:rPr>
      <w:vertAlign w:val="superscript"/>
    </w:rPr>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 w:type="character" w:customStyle="1" w:styleId="Heading2Char">
    <w:name w:val="Heading 2 Char"/>
    <w:basedOn w:val="DefaultParagraphFont"/>
    <w:link w:val="Heading2"/>
    <w:semiHidden/>
    <w:rsid w:val="00D272BA"/>
    <w:rPr>
      <w:rFonts w:asciiTheme="majorHAnsi" w:eastAsiaTheme="majorEastAsia" w:hAnsiTheme="majorHAnsi" w:cstheme="majorBidi"/>
      <w:b/>
      <w:bCs/>
      <w:color w:val="4F81BD" w:themeColor="accent1"/>
      <w:sz w:val="26"/>
      <w:szCs w:val="26"/>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iPriority w:val="99"/>
    <w:unhideWhenUsed/>
    <w:qFormat/>
    <w:rsid w:val="00D272BA"/>
    <w:pPr>
      <w:jc w:val="both"/>
    </w:pPr>
    <w:rPr>
      <w:sz w:val="26"/>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D272BA"/>
    <w:rPr>
      <w:sz w:val="26"/>
    </w:rPr>
  </w:style>
  <w:style w:type="paragraph" w:styleId="BalloonText">
    <w:name w:val="Balloon Text"/>
    <w:basedOn w:val="Normal"/>
    <w:link w:val="BalloonTextChar"/>
    <w:rsid w:val="003716EF"/>
    <w:rPr>
      <w:rFonts w:ascii="Tahoma" w:hAnsi="Tahoma" w:cs="Tahoma"/>
      <w:sz w:val="16"/>
      <w:szCs w:val="16"/>
    </w:rPr>
  </w:style>
  <w:style w:type="character" w:customStyle="1" w:styleId="BalloonTextChar">
    <w:name w:val="Balloon Text Char"/>
    <w:basedOn w:val="DefaultParagraphFont"/>
    <w:link w:val="BalloonText"/>
    <w:rsid w:val="003716EF"/>
    <w:rPr>
      <w:rFonts w:ascii="Tahoma" w:hAnsi="Tahoma" w:cs="Tahoma"/>
      <w:sz w:val="16"/>
      <w:szCs w:val="16"/>
    </w:rPr>
  </w:style>
  <w:style w:type="table" w:styleId="TableGrid">
    <w:name w:val="Table Grid"/>
    <w:basedOn w:val="TableNormal"/>
    <w:uiPriority w:val="59"/>
    <w:rsid w:val="00DB08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DD34EE"/>
    <w:pPr>
      <w:tabs>
        <w:tab w:val="left" w:pos="1440"/>
      </w:tabs>
      <w:spacing w:after="120"/>
    </w:pPr>
    <w:rPr>
      <w:iCs/>
      <w:color w:val="000000" w:themeColor="text1"/>
      <w:sz w:val="24"/>
    </w:rPr>
  </w:style>
  <w:style w:type="character" w:customStyle="1" w:styleId="QuoteChar">
    <w:name w:val="Quote Char"/>
    <w:basedOn w:val="DefaultParagraphFont"/>
    <w:link w:val="Quote"/>
    <w:uiPriority w:val="29"/>
    <w:rsid w:val="00DD34EE"/>
    <w:rPr>
      <w:iCs/>
      <w:color w:val="000000" w:themeColor="text1"/>
      <w:sz w:val="24"/>
    </w:rPr>
  </w:style>
  <w:style w:type="paragraph" w:styleId="NormalWeb">
    <w:name w:val="Normal (Web)"/>
    <w:basedOn w:val="Normal"/>
    <w:uiPriority w:val="99"/>
    <w:unhideWhenUsed/>
    <w:rsid w:val="00DD34E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paragraph" w:styleId="Heading2">
    <w:name w:val="heading 2"/>
    <w:basedOn w:val="Normal"/>
    <w:next w:val="Normal"/>
    <w:link w:val="Heading2Char"/>
    <w:semiHidden/>
    <w:unhideWhenUsed/>
    <w:qFormat/>
    <w:rsid w:val="00D272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
    <w:basedOn w:val="DefaultParagraphFont"/>
    <w:uiPriority w:val="99"/>
    <w:rsid w:val="00CF5A57"/>
    <w:rPr>
      <w:vertAlign w:val="superscript"/>
    </w:rPr>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 w:type="character" w:customStyle="1" w:styleId="Heading2Char">
    <w:name w:val="Heading 2 Char"/>
    <w:basedOn w:val="DefaultParagraphFont"/>
    <w:link w:val="Heading2"/>
    <w:semiHidden/>
    <w:rsid w:val="00D272BA"/>
    <w:rPr>
      <w:rFonts w:asciiTheme="majorHAnsi" w:eastAsiaTheme="majorEastAsia" w:hAnsiTheme="majorHAnsi" w:cstheme="majorBidi"/>
      <w:b/>
      <w:bCs/>
      <w:color w:val="4F81BD" w:themeColor="accent1"/>
      <w:sz w:val="26"/>
      <w:szCs w:val="26"/>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iPriority w:val="99"/>
    <w:unhideWhenUsed/>
    <w:qFormat/>
    <w:rsid w:val="00D272BA"/>
    <w:pPr>
      <w:jc w:val="both"/>
    </w:pPr>
    <w:rPr>
      <w:sz w:val="26"/>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D272BA"/>
    <w:rPr>
      <w:sz w:val="26"/>
    </w:rPr>
  </w:style>
  <w:style w:type="paragraph" w:styleId="BalloonText">
    <w:name w:val="Balloon Text"/>
    <w:basedOn w:val="Normal"/>
    <w:link w:val="BalloonTextChar"/>
    <w:rsid w:val="003716EF"/>
    <w:rPr>
      <w:rFonts w:ascii="Tahoma" w:hAnsi="Tahoma" w:cs="Tahoma"/>
      <w:sz w:val="16"/>
      <w:szCs w:val="16"/>
    </w:rPr>
  </w:style>
  <w:style w:type="character" w:customStyle="1" w:styleId="BalloonTextChar">
    <w:name w:val="Balloon Text Char"/>
    <w:basedOn w:val="DefaultParagraphFont"/>
    <w:link w:val="BalloonText"/>
    <w:rsid w:val="003716EF"/>
    <w:rPr>
      <w:rFonts w:ascii="Tahoma" w:hAnsi="Tahoma" w:cs="Tahoma"/>
      <w:sz w:val="16"/>
      <w:szCs w:val="16"/>
    </w:rPr>
  </w:style>
  <w:style w:type="table" w:styleId="TableGrid">
    <w:name w:val="Table Grid"/>
    <w:basedOn w:val="TableNormal"/>
    <w:uiPriority w:val="59"/>
    <w:rsid w:val="00DB08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DD34EE"/>
    <w:pPr>
      <w:tabs>
        <w:tab w:val="left" w:pos="1440"/>
      </w:tabs>
      <w:spacing w:after="120"/>
    </w:pPr>
    <w:rPr>
      <w:iCs/>
      <w:color w:val="000000" w:themeColor="text1"/>
      <w:sz w:val="24"/>
    </w:rPr>
  </w:style>
  <w:style w:type="character" w:customStyle="1" w:styleId="QuoteChar">
    <w:name w:val="Quote Char"/>
    <w:basedOn w:val="DefaultParagraphFont"/>
    <w:link w:val="Quote"/>
    <w:uiPriority w:val="29"/>
    <w:rsid w:val="00DD34EE"/>
    <w:rPr>
      <w:iCs/>
      <w:color w:val="000000" w:themeColor="text1"/>
      <w:sz w:val="24"/>
    </w:rPr>
  </w:style>
  <w:style w:type="paragraph" w:styleId="NormalWeb">
    <w:name w:val="Normal (Web)"/>
    <w:basedOn w:val="Normal"/>
    <w:uiPriority w:val="99"/>
    <w:unhideWhenUsed/>
    <w:rsid w:val="00DD34E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6536">
      <w:bodyDiv w:val="1"/>
      <w:marLeft w:val="0"/>
      <w:marRight w:val="0"/>
      <w:marTop w:val="0"/>
      <w:marBottom w:val="0"/>
      <w:divBdr>
        <w:top w:val="none" w:sz="0" w:space="0" w:color="auto"/>
        <w:left w:val="none" w:sz="0" w:space="0" w:color="auto"/>
        <w:bottom w:val="none" w:sz="0" w:space="0" w:color="auto"/>
        <w:right w:val="none" w:sz="0" w:space="0" w:color="auto"/>
      </w:divBdr>
    </w:div>
    <w:div w:id="147787524">
      <w:bodyDiv w:val="1"/>
      <w:marLeft w:val="0"/>
      <w:marRight w:val="0"/>
      <w:marTop w:val="0"/>
      <w:marBottom w:val="0"/>
      <w:divBdr>
        <w:top w:val="none" w:sz="0" w:space="0" w:color="auto"/>
        <w:left w:val="none" w:sz="0" w:space="0" w:color="auto"/>
        <w:bottom w:val="none" w:sz="0" w:space="0" w:color="auto"/>
        <w:right w:val="none" w:sz="0" w:space="0" w:color="auto"/>
      </w:divBdr>
    </w:div>
    <w:div w:id="891431400">
      <w:bodyDiv w:val="1"/>
      <w:marLeft w:val="0"/>
      <w:marRight w:val="0"/>
      <w:marTop w:val="0"/>
      <w:marBottom w:val="0"/>
      <w:divBdr>
        <w:top w:val="none" w:sz="0" w:space="0" w:color="auto"/>
        <w:left w:val="none" w:sz="0" w:space="0" w:color="auto"/>
        <w:bottom w:val="none" w:sz="0" w:space="0" w:color="auto"/>
        <w:right w:val="none" w:sz="0" w:space="0" w:color="auto"/>
      </w:divBdr>
    </w:div>
    <w:div w:id="1742216722">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9051291">
      <w:bodyDiv w:val="1"/>
      <w:marLeft w:val="0"/>
      <w:marRight w:val="0"/>
      <w:marTop w:val="0"/>
      <w:marBottom w:val="0"/>
      <w:divBdr>
        <w:top w:val="none" w:sz="0" w:space="0" w:color="auto"/>
        <w:left w:val="none" w:sz="0" w:space="0" w:color="auto"/>
        <w:bottom w:val="none" w:sz="0" w:space="0" w:color="auto"/>
        <w:right w:val="none" w:sz="0" w:space="0" w:color="auto"/>
      </w:divBdr>
    </w:div>
    <w:div w:id="1962571946">
      <w:bodyDiv w:val="1"/>
      <w:marLeft w:val="0"/>
      <w:marRight w:val="0"/>
      <w:marTop w:val="0"/>
      <w:marBottom w:val="0"/>
      <w:divBdr>
        <w:top w:val="none" w:sz="0" w:space="0" w:color="auto"/>
        <w:left w:val="none" w:sz="0" w:space="0" w:color="auto"/>
        <w:bottom w:val="none" w:sz="0" w:space="0" w:color="auto"/>
        <w:right w:val="none" w:sz="0" w:space="0" w:color="auto"/>
      </w:divBdr>
    </w:div>
    <w:div w:id="20844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lexis.com/research/xlink?app=00075&amp;view=full&amp;searchtype=le&amp;search=867+A.2d+674%2520at%2520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1B617-1254-4CF0-9595-827362AA0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1865</Words>
  <Characters>10634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70</cp:revision>
  <cp:lastPrinted>2014-08-11T17:41:00Z</cp:lastPrinted>
  <dcterms:created xsi:type="dcterms:W3CDTF">2014-08-11T15:46:00Z</dcterms:created>
  <dcterms:modified xsi:type="dcterms:W3CDTF">2014-08-11T18:28:00Z</dcterms:modified>
</cp:coreProperties>
</file>