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Pr="00871563" w:rsidRDefault="00F56FBE" w:rsidP="00F56FBE">
      <w:pPr>
        <w:spacing w:line="240" w:lineRule="auto"/>
        <w:rPr>
          <w:b/>
        </w:rPr>
      </w:pPr>
      <w:r w:rsidRPr="00871563">
        <w:rPr>
          <w:b/>
        </w:rPr>
        <w:t>BEFORE THE</w:t>
      </w:r>
    </w:p>
    <w:p w:rsidR="00F56FBE" w:rsidRPr="00871563" w:rsidRDefault="00F56FBE" w:rsidP="00F56FBE">
      <w:pPr>
        <w:spacing w:line="240" w:lineRule="auto"/>
        <w:rPr>
          <w:b/>
        </w:rPr>
      </w:pPr>
      <w:r w:rsidRPr="00871563">
        <w:rPr>
          <w:b/>
        </w:rPr>
        <w:t>PENNSYLVANIA PUBLIC UTILITY COMMISSION</w:t>
      </w:r>
    </w:p>
    <w:p w:rsidR="00F56FBE" w:rsidRDefault="00F56FBE" w:rsidP="00F56FBE">
      <w:pPr>
        <w:spacing w:line="240" w:lineRule="auto"/>
        <w:rPr>
          <w:b/>
        </w:rPr>
      </w:pPr>
    </w:p>
    <w:p w:rsidR="00871563" w:rsidRPr="00871563" w:rsidRDefault="00871563" w:rsidP="00F56FBE">
      <w:pPr>
        <w:spacing w:line="240" w:lineRule="auto"/>
        <w:rPr>
          <w:b/>
        </w:rPr>
      </w:pPr>
    </w:p>
    <w:p w:rsidR="00F56FBE" w:rsidRPr="00871563" w:rsidRDefault="00F56FBE" w:rsidP="00F56FBE">
      <w:pPr>
        <w:spacing w:line="240" w:lineRule="auto"/>
        <w:rPr>
          <w:b/>
        </w:rPr>
      </w:pPr>
    </w:p>
    <w:p w:rsidR="00F56FBE" w:rsidRPr="00871563" w:rsidRDefault="00F56FBE" w:rsidP="00F56FBE">
      <w:pPr>
        <w:spacing w:line="240" w:lineRule="auto"/>
        <w:jc w:val="left"/>
      </w:pPr>
      <w:r w:rsidRPr="00871563">
        <w:t>Gilma Merkert</w:t>
      </w:r>
      <w:r w:rsidRPr="00871563">
        <w:tab/>
      </w:r>
      <w:r w:rsidRPr="00871563">
        <w:tab/>
      </w:r>
      <w:r w:rsidRPr="00871563">
        <w:tab/>
      </w:r>
      <w:r w:rsidRPr="00871563">
        <w:tab/>
      </w:r>
      <w:r w:rsidRPr="00871563">
        <w:tab/>
      </w:r>
      <w:r w:rsidRPr="00871563">
        <w:tab/>
        <w:t>:</w:t>
      </w:r>
    </w:p>
    <w:p w:rsidR="00F56FBE" w:rsidRPr="00871563" w:rsidRDefault="00F56FBE" w:rsidP="00F56FBE">
      <w:pPr>
        <w:spacing w:line="240" w:lineRule="auto"/>
        <w:jc w:val="left"/>
      </w:pPr>
      <w:r w:rsidRPr="00871563">
        <w:tab/>
      </w:r>
      <w:r w:rsidRPr="00871563">
        <w:tab/>
      </w:r>
      <w:r w:rsidRPr="00871563">
        <w:tab/>
      </w:r>
      <w:r w:rsidRPr="00871563">
        <w:tab/>
      </w:r>
      <w:r w:rsidRPr="00871563">
        <w:tab/>
      </w:r>
      <w:r w:rsidRPr="00871563">
        <w:tab/>
      </w:r>
      <w:r w:rsidRPr="00871563">
        <w:tab/>
        <w:t>:</w:t>
      </w:r>
    </w:p>
    <w:p w:rsidR="00F56FBE" w:rsidRPr="00871563" w:rsidRDefault="00F56FBE" w:rsidP="00F56FBE">
      <w:pPr>
        <w:spacing w:line="240" w:lineRule="auto"/>
        <w:jc w:val="left"/>
      </w:pPr>
      <w:r w:rsidRPr="00871563">
        <w:tab/>
        <w:t>v.</w:t>
      </w:r>
      <w:r w:rsidRPr="00871563">
        <w:tab/>
      </w:r>
      <w:r w:rsidRPr="00871563">
        <w:tab/>
      </w:r>
      <w:r w:rsidRPr="00871563">
        <w:tab/>
      </w:r>
      <w:r w:rsidRPr="00871563">
        <w:tab/>
      </w:r>
      <w:r w:rsidRPr="00871563">
        <w:tab/>
      </w:r>
      <w:r w:rsidRPr="00871563">
        <w:tab/>
      </w:r>
      <w:r w:rsidR="00871563">
        <w:t>:</w:t>
      </w:r>
      <w:r w:rsidR="00871563">
        <w:tab/>
      </w:r>
      <w:r w:rsidR="00871563">
        <w:tab/>
      </w:r>
      <w:r w:rsidRPr="00871563">
        <w:t>F-2014-2413585</w:t>
      </w:r>
    </w:p>
    <w:p w:rsidR="00F56FBE" w:rsidRPr="00871563" w:rsidRDefault="00F56FBE" w:rsidP="00F56FBE">
      <w:pPr>
        <w:spacing w:line="240" w:lineRule="auto"/>
        <w:jc w:val="left"/>
      </w:pPr>
      <w:r w:rsidRPr="00871563">
        <w:tab/>
      </w:r>
      <w:r w:rsidRPr="00871563">
        <w:tab/>
      </w:r>
      <w:r w:rsidRPr="00871563">
        <w:tab/>
      </w:r>
      <w:r w:rsidRPr="00871563">
        <w:tab/>
      </w:r>
      <w:r w:rsidRPr="00871563">
        <w:tab/>
      </w:r>
      <w:r w:rsidRPr="00871563">
        <w:tab/>
      </w:r>
      <w:r w:rsidRPr="00871563">
        <w:tab/>
        <w:t>:</w:t>
      </w:r>
    </w:p>
    <w:p w:rsidR="00F56FBE" w:rsidRPr="00871563" w:rsidRDefault="00F56FBE" w:rsidP="00F56FBE">
      <w:pPr>
        <w:spacing w:line="240" w:lineRule="auto"/>
        <w:jc w:val="left"/>
      </w:pPr>
      <w:r w:rsidRPr="00871563">
        <w:t>PECO Energy Company</w:t>
      </w:r>
      <w:r w:rsidRPr="00871563">
        <w:tab/>
      </w:r>
      <w:r w:rsidRPr="00871563">
        <w:tab/>
      </w:r>
      <w:r w:rsidRPr="00871563">
        <w:tab/>
      </w:r>
      <w:r w:rsidRPr="00871563">
        <w:tab/>
        <w:t>:</w:t>
      </w:r>
    </w:p>
    <w:p w:rsidR="00F56FBE" w:rsidRDefault="00F56FBE" w:rsidP="00F56FBE">
      <w:pPr>
        <w:spacing w:line="240" w:lineRule="auto"/>
        <w:jc w:val="left"/>
      </w:pPr>
    </w:p>
    <w:p w:rsidR="00871563" w:rsidRPr="00871563" w:rsidRDefault="00871563" w:rsidP="00F56FBE">
      <w:pPr>
        <w:spacing w:line="240" w:lineRule="auto"/>
        <w:jc w:val="left"/>
      </w:pPr>
    </w:p>
    <w:p w:rsidR="00F56FBE" w:rsidRPr="00871563" w:rsidRDefault="00F56FBE" w:rsidP="00F56FBE">
      <w:pPr>
        <w:spacing w:line="240" w:lineRule="auto"/>
        <w:jc w:val="left"/>
      </w:pPr>
    </w:p>
    <w:p w:rsidR="00F56FBE" w:rsidRPr="00871563" w:rsidRDefault="00F56FBE" w:rsidP="00F56FBE">
      <w:pPr>
        <w:spacing w:line="240" w:lineRule="auto"/>
        <w:rPr>
          <w:b/>
          <w:u w:val="single"/>
        </w:rPr>
      </w:pPr>
      <w:r w:rsidRPr="00871563">
        <w:rPr>
          <w:b/>
          <w:u w:val="single"/>
        </w:rPr>
        <w:t>INITIAL DECISION</w:t>
      </w:r>
    </w:p>
    <w:p w:rsidR="00F56FBE" w:rsidRDefault="00F56FBE" w:rsidP="00F56FBE">
      <w:pPr>
        <w:spacing w:line="240" w:lineRule="auto"/>
        <w:rPr>
          <w:b/>
          <w:u w:val="single"/>
        </w:rPr>
      </w:pPr>
    </w:p>
    <w:p w:rsidR="00871563" w:rsidRPr="00871563" w:rsidRDefault="00871563" w:rsidP="00F56FBE">
      <w:pPr>
        <w:spacing w:line="240" w:lineRule="auto"/>
        <w:rPr>
          <w:b/>
          <w:u w:val="single"/>
        </w:rPr>
      </w:pPr>
    </w:p>
    <w:p w:rsidR="00F56FBE" w:rsidRPr="00871563" w:rsidRDefault="00F56FBE" w:rsidP="00F56FBE">
      <w:pPr>
        <w:spacing w:line="240" w:lineRule="auto"/>
      </w:pPr>
      <w:r w:rsidRPr="00871563">
        <w:t>Before</w:t>
      </w:r>
    </w:p>
    <w:p w:rsidR="00F56FBE" w:rsidRPr="00871563" w:rsidRDefault="00F56FBE" w:rsidP="00F56FBE">
      <w:pPr>
        <w:spacing w:line="240" w:lineRule="auto"/>
      </w:pPr>
      <w:r w:rsidRPr="00871563">
        <w:t>Susan D. Colwell</w:t>
      </w:r>
    </w:p>
    <w:p w:rsidR="00F56FBE" w:rsidRPr="00871563" w:rsidRDefault="00F56FBE" w:rsidP="00F56FBE">
      <w:pPr>
        <w:spacing w:line="240" w:lineRule="auto"/>
      </w:pPr>
      <w:r w:rsidRPr="00871563">
        <w:t>Administrative Law Judge</w:t>
      </w:r>
    </w:p>
    <w:p w:rsidR="00F56FBE" w:rsidRPr="00871563" w:rsidRDefault="00F56FBE" w:rsidP="00F56FBE">
      <w:pPr>
        <w:spacing w:line="240" w:lineRule="auto"/>
      </w:pPr>
    </w:p>
    <w:p w:rsidR="00F56FBE" w:rsidRPr="00871563" w:rsidRDefault="00F56FBE" w:rsidP="00F56FBE">
      <w:pPr>
        <w:spacing w:line="240" w:lineRule="auto"/>
      </w:pPr>
    </w:p>
    <w:p w:rsidR="00F56FBE" w:rsidRPr="00871563" w:rsidRDefault="00F56FBE" w:rsidP="00F56FBE">
      <w:pPr>
        <w:spacing w:line="240" w:lineRule="auto"/>
        <w:rPr>
          <w:u w:val="single"/>
        </w:rPr>
      </w:pPr>
      <w:r w:rsidRPr="00871563">
        <w:rPr>
          <w:u w:val="single"/>
        </w:rPr>
        <w:t>HISTORY OF THE PROCEEDING</w:t>
      </w:r>
    </w:p>
    <w:p w:rsidR="00F56FBE" w:rsidRDefault="00F56FBE" w:rsidP="00871563">
      <w:pPr>
        <w:spacing w:line="240" w:lineRule="auto"/>
        <w:jc w:val="left"/>
      </w:pPr>
    </w:p>
    <w:p w:rsidR="00871563" w:rsidRPr="00871563" w:rsidRDefault="00871563" w:rsidP="00871563">
      <w:pPr>
        <w:spacing w:line="240" w:lineRule="auto"/>
        <w:jc w:val="left"/>
      </w:pPr>
    </w:p>
    <w:p w:rsidR="00F56FBE" w:rsidRPr="00871563" w:rsidRDefault="00F56FBE" w:rsidP="00F56FBE">
      <w:pPr>
        <w:jc w:val="left"/>
      </w:pPr>
      <w:r w:rsidRPr="00871563">
        <w:tab/>
      </w:r>
      <w:r w:rsidRPr="00871563">
        <w:tab/>
        <w:t>The purpose of this Initial Decision is to</w:t>
      </w:r>
      <w:r w:rsidR="003929CA">
        <w:t xml:space="preserve"> dismiss a complaint filed by a landlord seeking to have the balance of a tenant's account removed from her own following the transfer of the balance due to discovery of foreign load.</w:t>
      </w:r>
    </w:p>
    <w:p w:rsidR="00F56FBE" w:rsidRPr="00871563" w:rsidRDefault="00F56FBE" w:rsidP="00F56FBE">
      <w:pPr>
        <w:jc w:val="left"/>
      </w:pPr>
    </w:p>
    <w:p w:rsidR="00F56FBE" w:rsidRPr="00871563" w:rsidRDefault="00F56FBE" w:rsidP="00F56FBE">
      <w:pPr>
        <w:jc w:val="left"/>
      </w:pPr>
      <w:r w:rsidRPr="00871563">
        <w:tab/>
      </w:r>
      <w:r w:rsidRPr="00871563">
        <w:tab/>
        <w:t xml:space="preserve">On March 19, 2014, Gilma Merkert (Complainant) filed a formal Complaint with the Commission alleging that PECO Energy Company (Respondent or utility or PECO) had acted in error by placing an existing balance for a house that she rented in her name after discovering that it had one meter and two units.  She alleges that her renter was forced to act against his will and that </w:t>
      </w:r>
      <w:r w:rsidR="003929CA">
        <w:t>t</w:t>
      </w:r>
      <w:r w:rsidRPr="00871563">
        <w:t xml:space="preserve">his is one big misunderstanding.  </w:t>
      </w:r>
      <w:r w:rsidR="006C37CD" w:rsidRPr="00871563">
        <w:t>This is a timely appeal of a determination of the Commission's Bureau of Consumer Services (BCS) at #3174202.</w:t>
      </w:r>
    </w:p>
    <w:p w:rsidR="006C37CD" w:rsidRPr="00871563" w:rsidRDefault="006C37CD" w:rsidP="00F56FBE">
      <w:pPr>
        <w:jc w:val="left"/>
      </w:pPr>
    </w:p>
    <w:p w:rsidR="00254A4A" w:rsidRPr="00871563" w:rsidRDefault="006C37CD" w:rsidP="00F56FBE">
      <w:pPr>
        <w:jc w:val="left"/>
      </w:pPr>
      <w:r w:rsidRPr="00871563">
        <w:tab/>
      </w:r>
      <w:r w:rsidRPr="00871563">
        <w:tab/>
      </w:r>
      <w:r w:rsidR="0068155D" w:rsidRPr="00871563">
        <w:t>On April 16, 2014, PECO filed its Answer denying all material allegations of fact</w:t>
      </w:r>
      <w:r w:rsidR="001E1FE8">
        <w:t>.  </w:t>
      </w:r>
      <w:r w:rsidR="00254A4A" w:rsidRPr="00871563">
        <w:t>PECO alleges that it responded to a high bill complaint at the subject address and found foreign wiring in the form of an additional basement apartment connected to the lessee's meter.  The account was transferred to the Complainant landlord's name</w:t>
      </w:r>
      <w:r w:rsidR="006D5248">
        <w:t xml:space="preserve">, and by letter dated </w:t>
      </w:r>
      <w:r w:rsidR="006D5248">
        <w:lastRenderedPageBreak/>
        <w:t>September 17, </w:t>
      </w:r>
      <w:r w:rsidR="00254A4A" w:rsidRPr="00871563">
        <w:t xml:space="preserve">2013, </w:t>
      </w:r>
      <w:r w:rsidR="00660A79" w:rsidRPr="00871563">
        <w:t xml:space="preserve">PECO </w:t>
      </w:r>
      <w:r w:rsidR="00254A4A" w:rsidRPr="00871563">
        <w:t>advised the Complainant of its actions.  The foreign wiring was corrected according to an inspection by PECO on December 13, 2013, and an account was created for the basement apartment.  The original lessee left the premises, and an account was created for the new applicant.  The arrearage on the original account remains with the landlord in accordance with applicable law.</w:t>
      </w:r>
      <w:r w:rsidR="00660A79" w:rsidRPr="00871563">
        <w:t xml:space="preserve">  PECO seeks dismissal of the Complaint.</w:t>
      </w:r>
    </w:p>
    <w:p w:rsidR="00254A4A" w:rsidRPr="00871563" w:rsidRDefault="00254A4A" w:rsidP="00F56FBE">
      <w:pPr>
        <w:jc w:val="left"/>
      </w:pPr>
    </w:p>
    <w:p w:rsidR="005F169A" w:rsidRPr="00871563" w:rsidRDefault="00254A4A" w:rsidP="00F56FBE">
      <w:pPr>
        <w:jc w:val="left"/>
      </w:pPr>
      <w:r w:rsidRPr="00871563">
        <w:tab/>
      </w:r>
      <w:r w:rsidRPr="00871563">
        <w:tab/>
        <w:t>On April 25, 2014, a Telephonic Hearing Notice was issued which set the hearing for Wednesday, June 11, 2014, and assigned the case to me.  On April 28, 2014, I issued a Prehearing Order which set forth some of the requirements for a formal proceeding before the Commission.  On May 8, 2014, a Corrected Telephone Hearing Notice was issued</w:t>
      </w:r>
      <w:r w:rsidR="005F169A" w:rsidRPr="00871563">
        <w:t xml:space="preserve"> to </w:t>
      </w:r>
      <w:r w:rsidR="00660A79" w:rsidRPr="00871563">
        <w:t>address</w:t>
      </w:r>
      <w:r w:rsidR="005F169A" w:rsidRPr="00871563">
        <w:t xml:space="preserve"> an incorrect telephone number</w:t>
      </w:r>
      <w:r w:rsidRPr="00871563">
        <w:t>.</w:t>
      </w:r>
    </w:p>
    <w:p w:rsidR="005F169A" w:rsidRPr="00871563" w:rsidRDefault="005F169A" w:rsidP="00F56FBE">
      <w:pPr>
        <w:jc w:val="left"/>
      </w:pPr>
    </w:p>
    <w:p w:rsidR="005F169A" w:rsidRPr="00871563" w:rsidRDefault="005F169A" w:rsidP="00F56FBE">
      <w:pPr>
        <w:jc w:val="left"/>
      </w:pPr>
      <w:r w:rsidRPr="00871563">
        <w:tab/>
      </w:r>
      <w:r w:rsidRPr="00871563">
        <w:tab/>
        <w:t>The hearing was convened as scheduled, with Complainant appearing on her own behalf and PECO represented by Shawane Lee, Esq.  PECO presented two witnesses, who in turn sponsored 11 exhibits.  A transcript of 71 pages resulted, and the record closed upon its receipt on July 3, 2014.  The matter is ripe for disposition.</w:t>
      </w:r>
    </w:p>
    <w:p w:rsidR="002A2D26" w:rsidRPr="00871563" w:rsidRDefault="002A2D26" w:rsidP="002A2D26">
      <w:pPr>
        <w:spacing w:line="240" w:lineRule="auto"/>
        <w:jc w:val="left"/>
      </w:pPr>
    </w:p>
    <w:p w:rsidR="006C37CD" w:rsidRPr="00871563" w:rsidRDefault="005F169A" w:rsidP="005F169A">
      <w:pPr>
        <w:rPr>
          <w:u w:val="single"/>
        </w:rPr>
      </w:pPr>
      <w:r w:rsidRPr="00871563">
        <w:rPr>
          <w:u w:val="single"/>
        </w:rPr>
        <w:t>FINDINGS OF FACT</w:t>
      </w:r>
    </w:p>
    <w:p w:rsidR="005F169A" w:rsidRPr="00871563" w:rsidRDefault="005F169A" w:rsidP="005F169A">
      <w:pPr>
        <w:rPr>
          <w:u w:val="single"/>
        </w:rPr>
      </w:pPr>
    </w:p>
    <w:p w:rsidR="005F169A" w:rsidRPr="00871563" w:rsidRDefault="005F169A" w:rsidP="005F169A">
      <w:pPr>
        <w:jc w:val="left"/>
      </w:pPr>
      <w:r w:rsidRPr="00871563">
        <w:tab/>
      </w:r>
      <w:r w:rsidRPr="00871563">
        <w:tab/>
        <w:t>1.</w:t>
      </w:r>
      <w:r w:rsidRPr="00871563">
        <w:tab/>
        <w:t>Complainant is Gilma Merkert, mailing address of PO Box 144, Gladwyne PA 19035.  Tr. 7.</w:t>
      </w:r>
    </w:p>
    <w:p w:rsidR="005F169A" w:rsidRPr="00871563" w:rsidRDefault="005F169A" w:rsidP="005F169A">
      <w:pPr>
        <w:jc w:val="left"/>
      </w:pPr>
    </w:p>
    <w:p w:rsidR="005F169A" w:rsidRPr="00871563" w:rsidRDefault="005F169A" w:rsidP="005F169A">
      <w:pPr>
        <w:jc w:val="left"/>
      </w:pPr>
      <w:r w:rsidRPr="00871563">
        <w:tab/>
      </w:r>
      <w:r w:rsidRPr="00871563">
        <w:tab/>
        <w:t>2.</w:t>
      </w:r>
      <w:r w:rsidRPr="00871563">
        <w:tab/>
        <w:t>Respondent is PECO Energy Company, a jurisdictional public utility providing utility service to residential and commercial customers in the Commonwealth of Pennsylvania.</w:t>
      </w:r>
    </w:p>
    <w:p w:rsidR="005F169A" w:rsidRPr="00871563" w:rsidRDefault="005F169A" w:rsidP="005F169A">
      <w:pPr>
        <w:jc w:val="left"/>
      </w:pPr>
    </w:p>
    <w:p w:rsidR="005F169A" w:rsidRPr="00871563" w:rsidRDefault="005F169A" w:rsidP="005F169A">
      <w:pPr>
        <w:jc w:val="left"/>
      </w:pPr>
      <w:r w:rsidRPr="00871563">
        <w:tab/>
      </w:r>
      <w:r w:rsidRPr="00871563">
        <w:tab/>
        <w:t>3.</w:t>
      </w:r>
      <w:r w:rsidRPr="00871563">
        <w:tab/>
        <w:t xml:space="preserve">Complainant owns the subject property at </w:t>
      </w:r>
      <w:r w:rsidR="001F7253" w:rsidRPr="00871563">
        <w:t>4814 North 5th</w:t>
      </w:r>
      <w:r w:rsidRPr="00871563">
        <w:t xml:space="preserve"> Street, Philadelphia PA (</w:t>
      </w:r>
      <w:r w:rsidR="001F7253" w:rsidRPr="00871563">
        <w:t>North 5th</w:t>
      </w:r>
      <w:r w:rsidRPr="00871563">
        <w:t xml:space="preserve"> Street property).</w:t>
      </w:r>
    </w:p>
    <w:p w:rsidR="005F169A" w:rsidRPr="00871563" w:rsidRDefault="005F169A" w:rsidP="005F169A">
      <w:pPr>
        <w:jc w:val="left"/>
      </w:pPr>
    </w:p>
    <w:p w:rsidR="005F169A" w:rsidRPr="00871563" w:rsidRDefault="005F169A" w:rsidP="005F169A">
      <w:pPr>
        <w:jc w:val="left"/>
      </w:pPr>
      <w:r w:rsidRPr="00871563">
        <w:tab/>
      </w:r>
      <w:r w:rsidRPr="00871563">
        <w:tab/>
      </w:r>
      <w:r w:rsidR="009B676C">
        <w:t>4.</w:t>
      </w:r>
      <w:r w:rsidR="009B676C">
        <w:tab/>
      </w:r>
      <w:r w:rsidRPr="00871563">
        <w:t xml:space="preserve">Complainant rented the </w:t>
      </w:r>
      <w:r w:rsidR="001F7253" w:rsidRPr="00871563">
        <w:t>North 5</w:t>
      </w:r>
      <w:r w:rsidR="001F7253" w:rsidRPr="00871563">
        <w:rPr>
          <w:vertAlign w:val="superscript"/>
        </w:rPr>
        <w:t>th</w:t>
      </w:r>
      <w:r w:rsidR="001F7253" w:rsidRPr="00871563">
        <w:t xml:space="preserve"> </w:t>
      </w:r>
      <w:r w:rsidRPr="00871563">
        <w:t>Street property to Todd Nesbitt who moved in with his three children.  Tr. 7.</w:t>
      </w:r>
    </w:p>
    <w:p w:rsidR="001F7253" w:rsidRPr="00871563" w:rsidRDefault="005F169A" w:rsidP="005F169A">
      <w:pPr>
        <w:jc w:val="left"/>
      </w:pPr>
      <w:r w:rsidRPr="00871563">
        <w:tab/>
      </w:r>
      <w:r w:rsidRPr="00871563">
        <w:tab/>
        <w:t>5.</w:t>
      </w:r>
      <w:r w:rsidRPr="00871563">
        <w:tab/>
      </w:r>
      <w:r w:rsidR="001F7253" w:rsidRPr="00871563">
        <w:t>The North 5</w:t>
      </w:r>
      <w:r w:rsidR="001F7253" w:rsidRPr="00871563">
        <w:rPr>
          <w:vertAlign w:val="superscript"/>
        </w:rPr>
        <w:t>th</w:t>
      </w:r>
      <w:r w:rsidR="001F7253" w:rsidRPr="00871563">
        <w:t xml:space="preserve"> Street property is a big house with four bedrooms and a kitchen and basement.  Tr. 9.</w:t>
      </w:r>
    </w:p>
    <w:p w:rsidR="001F7253" w:rsidRPr="00871563" w:rsidRDefault="001F7253" w:rsidP="005F169A">
      <w:pPr>
        <w:jc w:val="left"/>
      </w:pPr>
    </w:p>
    <w:p w:rsidR="001F7253" w:rsidRPr="00871563" w:rsidRDefault="001F7253" w:rsidP="005F169A">
      <w:pPr>
        <w:jc w:val="left"/>
      </w:pPr>
      <w:r w:rsidRPr="00871563">
        <w:tab/>
      </w:r>
      <w:r w:rsidRPr="00871563">
        <w:tab/>
        <w:t>6.</w:t>
      </w:r>
      <w:r w:rsidRPr="00871563">
        <w:tab/>
        <w:t>The basement was not included in the lease to Mr. Nesbitt.  Tr. 9.</w:t>
      </w:r>
    </w:p>
    <w:p w:rsidR="001F7253" w:rsidRPr="00871563" w:rsidRDefault="001F7253" w:rsidP="005F169A">
      <w:pPr>
        <w:jc w:val="left"/>
      </w:pPr>
    </w:p>
    <w:p w:rsidR="005F169A" w:rsidRPr="00871563" w:rsidRDefault="001F7253" w:rsidP="005F169A">
      <w:pPr>
        <w:jc w:val="left"/>
      </w:pPr>
      <w:r w:rsidRPr="00871563">
        <w:tab/>
      </w:r>
      <w:r w:rsidRPr="00871563">
        <w:tab/>
        <w:t>7.</w:t>
      </w:r>
      <w:r w:rsidRPr="00871563">
        <w:tab/>
        <w:t>At the time of the lease, there was one electric meter for the entire building.  Tr. 9.</w:t>
      </w:r>
    </w:p>
    <w:p w:rsidR="008B5DEE" w:rsidRPr="00871563" w:rsidRDefault="008B5DEE" w:rsidP="005F169A">
      <w:pPr>
        <w:jc w:val="left"/>
      </w:pPr>
    </w:p>
    <w:p w:rsidR="008B5DEE" w:rsidRPr="00871563" w:rsidRDefault="008B5DEE" w:rsidP="005F169A">
      <w:pPr>
        <w:jc w:val="left"/>
      </w:pPr>
      <w:r w:rsidRPr="00871563">
        <w:tab/>
      </w:r>
      <w:r w:rsidRPr="00871563">
        <w:tab/>
        <w:t>8.</w:t>
      </w:r>
      <w:r w:rsidRPr="00871563">
        <w:tab/>
        <w:t>Michael Begley, regulatory assessor for PECO, appeared and testified on behalf of the Respondent.  Tr. 25.</w:t>
      </w:r>
    </w:p>
    <w:p w:rsidR="008B5DEE" w:rsidRPr="00871563" w:rsidRDefault="008B5DEE" w:rsidP="005F169A">
      <w:pPr>
        <w:jc w:val="left"/>
      </w:pPr>
    </w:p>
    <w:p w:rsidR="008B5DEE" w:rsidRPr="00871563" w:rsidRDefault="008B5DEE" w:rsidP="005F169A">
      <w:pPr>
        <w:jc w:val="left"/>
      </w:pPr>
      <w:r w:rsidRPr="00871563">
        <w:tab/>
      </w:r>
      <w:r w:rsidRPr="00871563">
        <w:tab/>
        <w:t>9.</w:t>
      </w:r>
      <w:r w:rsidRPr="00871563">
        <w:tab/>
        <w:t>PECO Exhibit 1 is a statement of account for Henry Washington, Jr., for service at 4814 North 5</w:t>
      </w:r>
      <w:r w:rsidRPr="00871563">
        <w:rPr>
          <w:vertAlign w:val="superscript"/>
        </w:rPr>
        <w:t>th</w:t>
      </w:r>
      <w:r w:rsidRPr="00871563">
        <w:t xml:space="preserve"> Street, established on May 9, 2012.  Tr. 28; PECO Ex. 1.</w:t>
      </w:r>
    </w:p>
    <w:p w:rsidR="008B5DEE" w:rsidRPr="00871563" w:rsidRDefault="008B5DEE" w:rsidP="005F169A">
      <w:pPr>
        <w:jc w:val="left"/>
      </w:pPr>
    </w:p>
    <w:p w:rsidR="008B5DEE" w:rsidRPr="00871563" w:rsidRDefault="008B5DEE" w:rsidP="005F169A">
      <w:pPr>
        <w:jc w:val="left"/>
      </w:pPr>
      <w:r w:rsidRPr="00871563">
        <w:tab/>
      </w:r>
      <w:r w:rsidRPr="00871563">
        <w:tab/>
        <w:t>10.</w:t>
      </w:r>
      <w:r w:rsidRPr="00871563">
        <w:tab/>
        <w:t>Mr. Washington contacted PECO on August 28, 201</w:t>
      </w:r>
      <w:r w:rsidR="006E1126" w:rsidRPr="00871563">
        <w:t>3</w:t>
      </w:r>
      <w:r w:rsidRPr="00871563">
        <w:t>, stating that there was a basement apartment at the property and only one meter.  Tr. 28.</w:t>
      </w:r>
    </w:p>
    <w:p w:rsidR="008B5DEE" w:rsidRPr="00871563" w:rsidRDefault="008B5DEE" w:rsidP="005F169A">
      <w:pPr>
        <w:jc w:val="left"/>
      </w:pPr>
    </w:p>
    <w:p w:rsidR="008B5DEE" w:rsidRPr="00871563" w:rsidRDefault="008B5DEE" w:rsidP="005F169A">
      <w:pPr>
        <w:jc w:val="left"/>
      </w:pPr>
      <w:r w:rsidRPr="00871563">
        <w:tab/>
      </w:r>
      <w:r w:rsidRPr="00871563">
        <w:tab/>
        <w:t>11.</w:t>
      </w:r>
      <w:r w:rsidRPr="00871563">
        <w:tab/>
        <w:t>PECO opened a high bill investigation and an appointment was set for September 10</w:t>
      </w:r>
      <w:r w:rsidRPr="00871563">
        <w:rPr>
          <w:vertAlign w:val="superscript"/>
        </w:rPr>
        <w:t>th</w:t>
      </w:r>
      <w:r w:rsidRPr="00871563">
        <w:t xml:space="preserve"> for a high bill field technician to visit the property.  Tr. 28.</w:t>
      </w:r>
    </w:p>
    <w:p w:rsidR="008B5DEE" w:rsidRPr="00871563" w:rsidRDefault="008B5DEE" w:rsidP="005F169A">
      <w:pPr>
        <w:jc w:val="left"/>
      </w:pPr>
    </w:p>
    <w:p w:rsidR="008B5DEE" w:rsidRPr="00871563" w:rsidRDefault="008B5DEE" w:rsidP="005F169A">
      <w:pPr>
        <w:jc w:val="left"/>
      </w:pPr>
      <w:r w:rsidRPr="00871563">
        <w:tab/>
      </w:r>
      <w:r w:rsidRPr="00871563">
        <w:tab/>
        <w:t>12.</w:t>
      </w:r>
      <w:r w:rsidRPr="00871563">
        <w:tab/>
        <w:t>PECO Exhibit 2 is a record of the field visit on September 10</w:t>
      </w:r>
      <w:r w:rsidRPr="00871563">
        <w:rPr>
          <w:vertAlign w:val="superscript"/>
        </w:rPr>
        <w:t>th</w:t>
      </w:r>
      <w:r w:rsidRPr="00871563">
        <w:t>, reflecting information received during the investigation, specifically, that Mr. Washington had no access to the basement but that some</w:t>
      </w:r>
      <w:r w:rsidR="006E1126" w:rsidRPr="00871563">
        <w:t>one had been living there for several years.  Tr. 29; PECO Ex. 2.</w:t>
      </w:r>
    </w:p>
    <w:p w:rsidR="006E1126" w:rsidRPr="00871563" w:rsidRDefault="006E1126" w:rsidP="005F169A">
      <w:pPr>
        <w:jc w:val="left"/>
      </w:pPr>
    </w:p>
    <w:p w:rsidR="006E1126" w:rsidRPr="00871563" w:rsidRDefault="006E1126" w:rsidP="005F169A">
      <w:pPr>
        <w:jc w:val="left"/>
      </w:pPr>
      <w:r w:rsidRPr="00871563">
        <w:tab/>
      </w:r>
      <w:r w:rsidRPr="00871563">
        <w:tab/>
        <w:t>13.</w:t>
      </w:r>
      <w:r w:rsidRPr="00871563">
        <w:tab/>
        <w:t>As a result of this field visit, PECO transferred service to the building's owner as of September 10, 2013, including the balance from the existing account.  Tr. 29.</w:t>
      </w:r>
    </w:p>
    <w:p w:rsidR="006E1126" w:rsidRPr="00871563" w:rsidRDefault="006E1126" w:rsidP="005F169A">
      <w:pPr>
        <w:jc w:val="left"/>
      </w:pPr>
    </w:p>
    <w:p w:rsidR="006E1126" w:rsidRPr="00871563" w:rsidRDefault="006E1126" w:rsidP="005F169A">
      <w:pPr>
        <w:jc w:val="left"/>
      </w:pPr>
      <w:r w:rsidRPr="00871563">
        <w:tab/>
      </w:r>
      <w:r w:rsidRPr="00871563">
        <w:tab/>
        <w:t>14.</w:t>
      </w:r>
      <w:r w:rsidRPr="00871563">
        <w:tab/>
        <w:t>PECO Exhibit 5 is the account statement established in Complainant's name pursuant to the field visit showing the transfer of a balance of $4,992.65.  Tr. 29; PECO Ex. 5.</w:t>
      </w:r>
    </w:p>
    <w:p w:rsidR="006E1126" w:rsidRPr="00871563" w:rsidRDefault="006E1126" w:rsidP="005F169A">
      <w:pPr>
        <w:jc w:val="left"/>
      </w:pPr>
    </w:p>
    <w:p w:rsidR="006E1126" w:rsidRPr="00871563" w:rsidRDefault="006E1126" w:rsidP="005F169A">
      <w:pPr>
        <w:jc w:val="left"/>
      </w:pPr>
      <w:r w:rsidRPr="00871563">
        <w:tab/>
      </w:r>
      <w:r w:rsidRPr="00871563">
        <w:tab/>
        <w:t>15.</w:t>
      </w:r>
      <w:r w:rsidRPr="00871563">
        <w:tab/>
        <w:t>PECO visited the property in October and was not able to verify that the foreign wiring had been rectified.  Tr. 30.</w:t>
      </w:r>
    </w:p>
    <w:p w:rsidR="006E1126" w:rsidRPr="00871563" w:rsidRDefault="006E1126" w:rsidP="005F169A">
      <w:pPr>
        <w:jc w:val="left"/>
      </w:pPr>
    </w:p>
    <w:p w:rsidR="006E1126" w:rsidRPr="00871563" w:rsidRDefault="006E1126" w:rsidP="005F169A">
      <w:pPr>
        <w:jc w:val="left"/>
      </w:pPr>
      <w:r w:rsidRPr="00871563">
        <w:tab/>
      </w:r>
      <w:r w:rsidRPr="00871563">
        <w:tab/>
        <w:t>16.</w:t>
      </w:r>
      <w:r w:rsidRPr="00871563">
        <w:tab/>
        <w:t>PECO visited the property on December 13, 2013 and verified that the foreign wiring had been corrected.  Tr. 30.</w:t>
      </w:r>
    </w:p>
    <w:p w:rsidR="006E1126" w:rsidRPr="00871563" w:rsidRDefault="006E1126" w:rsidP="005F169A">
      <w:pPr>
        <w:jc w:val="left"/>
      </w:pPr>
    </w:p>
    <w:p w:rsidR="00933F24" w:rsidRPr="00871563" w:rsidRDefault="006E1126" w:rsidP="005F169A">
      <w:pPr>
        <w:jc w:val="left"/>
      </w:pPr>
      <w:r w:rsidRPr="00871563">
        <w:tab/>
      </w:r>
      <w:r w:rsidRPr="00871563">
        <w:tab/>
        <w:t>17.</w:t>
      </w:r>
      <w:r w:rsidRPr="00871563">
        <w:tab/>
      </w:r>
      <w:r w:rsidR="00933F24" w:rsidRPr="00871563">
        <w:t>Service for the property was bille</w:t>
      </w:r>
      <w:r w:rsidR="0092637D">
        <w:t>d to Compla</w:t>
      </w:r>
      <w:r w:rsidR="001E1FE8">
        <w:t xml:space="preserve">inant until November 23, </w:t>
      </w:r>
      <w:r w:rsidR="00933F24" w:rsidRPr="00871563">
        <w:t>2013 when another person called and applied for service, which was</w:t>
      </w:r>
      <w:r w:rsidR="001E1FE8">
        <w:t xml:space="preserve"> transferred at that time.  Tr. </w:t>
      </w:r>
      <w:r w:rsidR="00933F24" w:rsidRPr="00871563">
        <w:t>30; PECO Ex. 5.</w:t>
      </w:r>
    </w:p>
    <w:p w:rsidR="00933F24" w:rsidRPr="00871563" w:rsidRDefault="00933F24" w:rsidP="005F169A">
      <w:pPr>
        <w:jc w:val="left"/>
      </w:pPr>
    </w:p>
    <w:p w:rsidR="00933F24" w:rsidRPr="00871563" w:rsidRDefault="00933F24" w:rsidP="005F169A">
      <w:pPr>
        <w:jc w:val="left"/>
      </w:pPr>
      <w:r w:rsidRPr="00871563">
        <w:tab/>
      </w:r>
      <w:r w:rsidRPr="00871563">
        <w:tab/>
        <w:t>18.</w:t>
      </w:r>
      <w:r w:rsidRPr="00871563">
        <w:tab/>
        <w:t>After transferring service to the new applicant, PECO created another account for Complainant because there had not yet been verification of the correction of the foreign wiring.  Tr. 30; PECO Ex. 6.</w:t>
      </w:r>
    </w:p>
    <w:p w:rsidR="00933F24" w:rsidRPr="00871563" w:rsidRDefault="00933F24" w:rsidP="005F169A">
      <w:pPr>
        <w:jc w:val="left"/>
      </w:pPr>
    </w:p>
    <w:p w:rsidR="006E1126" w:rsidRPr="00871563" w:rsidRDefault="00933F24" w:rsidP="005F169A">
      <w:pPr>
        <w:jc w:val="left"/>
      </w:pPr>
      <w:r w:rsidRPr="00871563">
        <w:tab/>
      </w:r>
      <w:r w:rsidRPr="00871563">
        <w:tab/>
        <w:t>19.</w:t>
      </w:r>
      <w:r w:rsidRPr="00871563">
        <w:tab/>
        <w:t>Following verification of the cor</w:t>
      </w:r>
      <w:r w:rsidR="008E145A">
        <w:t>rection of foreign wiring, PECO</w:t>
      </w:r>
      <w:r w:rsidRPr="00871563">
        <w:t xml:space="preserve"> transferred the account for the main house to the new tenant, leaving the balance in Complainant's name; and created an account for the basement apartment's meter and placed it in Complainant's name.  Tr. 31; PECO Exs. 5, 6.</w:t>
      </w:r>
    </w:p>
    <w:p w:rsidR="00933F24" w:rsidRPr="00871563" w:rsidRDefault="00933F24" w:rsidP="005F169A">
      <w:pPr>
        <w:jc w:val="left"/>
      </w:pPr>
    </w:p>
    <w:p w:rsidR="00933F24" w:rsidRPr="00871563" w:rsidRDefault="00933F24" w:rsidP="005F169A">
      <w:pPr>
        <w:jc w:val="left"/>
      </w:pPr>
      <w:r w:rsidRPr="00871563">
        <w:tab/>
      </w:r>
      <w:r w:rsidRPr="00871563">
        <w:tab/>
        <w:t>20.</w:t>
      </w:r>
      <w:r w:rsidRPr="00871563">
        <w:tab/>
      </w:r>
      <w:r w:rsidR="00B90143" w:rsidRPr="00871563">
        <w:t>PECO Exhibit 6 is the account statement for the account set up for the basement apartment.  Tr. 32; PECO Ex. 6.</w:t>
      </w:r>
    </w:p>
    <w:p w:rsidR="00B90143" w:rsidRPr="00871563" w:rsidRDefault="00B90143" w:rsidP="005F169A">
      <w:pPr>
        <w:jc w:val="left"/>
      </w:pPr>
    </w:p>
    <w:p w:rsidR="00B90143" w:rsidRPr="00871563" w:rsidRDefault="00B90143" w:rsidP="005F169A">
      <w:pPr>
        <w:jc w:val="left"/>
      </w:pPr>
      <w:r w:rsidRPr="00871563">
        <w:tab/>
      </w:r>
      <w:r w:rsidRPr="00871563">
        <w:tab/>
        <w:t>21.</w:t>
      </w:r>
      <w:r w:rsidRPr="00871563">
        <w:tab/>
        <w:t>Complainant was billed for services fro</w:t>
      </w:r>
      <w:r w:rsidR="000979BE">
        <w:t>m September 10, 2013 to January</w:t>
      </w:r>
      <w:r w:rsidR="001E1FE8">
        <w:t xml:space="preserve"> 2, </w:t>
      </w:r>
      <w:r w:rsidRPr="00871563">
        <w:t>2014.  Tr. 32.</w:t>
      </w:r>
    </w:p>
    <w:p w:rsidR="00B90143" w:rsidRPr="00871563" w:rsidRDefault="00B90143" w:rsidP="005F169A">
      <w:pPr>
        <w:jc w:val="left"/>
      </w:pPr>
    </w:p>
    <w:p w:rsidR="00B90143" w:rsidRPr="00871563" w:rsidRDefault="00B90143" w:rsidP="005F169A">
      <w:pPr>
        <w:jc w:val="left"/>
      </w:pPr>
      <w:r w:rsidRPr="00871563">
        <w:tab/>
      </w:r>
      <w:r w:rsidRPr="00871563">
        <w:tab/>
        <w:t>22.</w:t>
      </w:r>
      <w:r w:rsidRPr="00871563">
        <w:tab/>
        <w:t>The statement ending November 23, 2013 showed a balance of $5,478.34.  Tr. 33; PECO Ex. 5.</w:t>
      </w:r>
    </w:p>
    <w:p w:rsidR="00B90143" w:rsidRPr="00871563" w:rsidRDefault="00B90143" w:rsidP="005F169A">
      <w:pPr>
        <w:jc w:val="left"/>
      </w:pPr>
    </w:p>
    <w:p w:rsidR="00B90143" w:rsidRPr="00871563" w:rsidRDefault="00B90143" w:rsidP="005F169A">
      <w:pPr>
        <w:jc w:val="left"/>
      </w:pPr>
      <w:r w:rsidRPr="00871563">
        <w:tab/>
      </w:r>
      <w:r w:rsidRPr="00871563">
        <w:tab/>
        <w:t>23.</w:t>
      </w:r>
      <w:r w:rsidRPr="00871563">
        <w:tab/>
        <w:t>PECO Exhibit 6 shows the ending balance from PECO Exhibit 5, plus charges for the basement apartment, totaling a current balance overall of $6,305.89.  Tr. 34; PECO Ex. 6.</w:t>
      </w:r>
    </w:p>
    <w:p w:rsidR="00B90143" w:rsidRPr="00871563" w:rsidRDefault="00B90143" w:rsidP="005F169A">
      <w:pPr>
        <w:jc w:val="left"/>
      </w:pPr>
      <w:r w:rsidRPr="00871563">
        <w:tab/>
      </w:r>
      <w:r w:rsidRPr="00871563">
        <w:tab/>
        <w:t>24.</w:t>
      </w:r>
      <w:r w:rsidRPr="00871563">
        <w:tab/>
        <w:t>Complainant filed an informal complaint with the Commission's BCS on November 20, 2013 at case no. 3174202.  Tr. 34; PECO Ex. 10.</w:t>
      </w:r>
    </w:p>
    <w:p w:rsidR="00B90143" w:rsidRPr="00871563" w:rsidRDefault="00B90143" w:rsidP="005F169A">
      <w:pPr>
        <w:jc w:val="left"/>
      </w:pPr>
    </w:p>
    <w:p w:rsidR="00B90143" w:rsidRPr="00871563" w:rsidRDefault="00B90143" w:rsidP="005F169A">
      <w:pPr>
        <w:jc w:val="left"/>
      </w:pPr>
      <w:r w:rsidRPr="00871563">
        <w:tab/>
      </w:r>
      <w:r w:rsidRPr="00871563">
        <w:tab/>
        <w:t>25.</w:t>
      </w:r>
      <w:r w:rsidRPr="00871563">
        <w:tab/>
      </w:r>
      <w:r w:rsidR="003F6796" w:rsidRPr="00871563">
        <w:t>PECO sent a letter to Complainant explaining why the balance was transferred and providing a telephone number for further contact.  Tr. 36; PECO Ex. 11.</w:t>
      </w:r>
    </w:p>
    <w:p w:rsidR="003F6796" w:rsidRPr="00871563" w:rsidRDefault="003F6796" w:rsidP="005F169A">
      <w:pPr>
        <w:jc w:val="left"/>
      </w:pPr>
    </w:p>
    <w:p w:rsidR="003F6796" w:rsidRPr="00871563" w:rsidRDefault="003F6796" w:rsidP="005F169A">
      <w:pPr>
        <w:jc w:val="left"/>
      </w:pPr>
      <w:r w:rsidRPr="00871563">
        <w:tab/>
      </w:r>
      <w:r w:rsidRPr="00871563">
        <w:tab/>
        <w:t>26.</w:t>
      </w:r>
      <w:r w:rsidRPr="00871563">
        <w:tab/>
        <w:t>A person seeking service with PECO calls and provides their names, the service address and social security number for PECO to run a credit check.  Tr. 36.</w:t>
      </w:r>
    </w:p>
    <w:p w:rsidR="003F6796" w:rsidRPr="00871563" w:rsidRDefault="003F6796" w:rsidP="005F169A">
      <w:pPr>
        <w:jc w:val="left"/>
      </w:pPr>
    </w:p>
    <w:p w:rsidR="003F6796" w:rsidRPr="00871563" w:rsidRDefault="003F6796" w:rsidP="005F169A">
      <w:pPr>
        <w:jc w:val="left"/>
      </w:pPr>
      <w:r w:rsidRPr="00871563">
        <w:tab/>
      </w:r>
      <w:r w:rsidRPr="00871563">
        <w:tab/>
      </w:r>
      <w:r w:rsidR="00F24985">
        <w:t>27.</w:t>
      </w:r>
      <w:r w:rsidRPr="00871563">
        <w:tab/>
        <w:t>PECO does not require a lease or deed unless there is a large balance at the property.  Tr. 37.</w:t>
      </w:r>
    </w:p>
    <w:p w:rsidR="003F6796" w:rsidRPr="00871563" w:rsidRDefault="003F6796" w:rsidP="005F169A">
      <w:pPr>
        <w:jc w:val="left"/>
      </w:pPr>
    </w:p>
    <w:p w:rsidR="003F6796" w:rsidRPr="00871563" w:rsidRDefault="003F6796" w:rsidP="005F169A">
      <w:pPr>
        <w:jc w:val="left"/>
      </w:pPr>
      <w:r w:rsidRPr="00871563">
        <w:tab/>
      </w:r>
      <w:r w:rsidRPr="00871563">
        <w:tab/>
        <w:t>28.</w:t>
      </w:r>
      <w:r w:rsidRPr="00871563">
        <w:tab/>
        <w:t>Late payment charges for the account of Mr. Washington were not transferred to Complainant's account when the balance was transferred.  Tr. 37; PECO Ex. 1.</w:t>
      </w:r>
    </w:p>
    <w:p w:rsidR="003F6796" w:rsidRPr="00871563" w:rsidRDefault="003F6796" w:rsidP="005F169A">
      <w:pPr>
        <w:jc w:val="left"/>
      </w:pPr>
    </w:p>
    <w:p w:rsidR="003F6796" w:rsidRPr="00871563" w:rsidRDefault="003F6796" w:rsidP="005F169A">
      <w:pPr>
        <w:jc w:val="left"/>
      </w:pPr>
      <w:r w:rsidRPr="00871563">
        <w:tab/>
      </w:r>
      <w:r w:rsidRPr="00871563">
        <w:tab/>
        <w:t>29.</w:t>
      </w:r>
      <w:r w:rsidRPr="00871563">
        <w:tab/>
        <w:t>LIHEAP payments received for the account were received after the account was closed, and those payments were returned to the Dep</w:t>
      </w:r>
      <w:r w:rsidR="002966C5">
        <w:t>artment of Public Welfare.  Tr. </w:t>
      </w:r>
      <w:r w:rsidRPr="00871563">
        <w:t>37; PECO Ex. 1.</w:t>
      </w:r>
    </w:p>
    <w:p w:rsidR="003F6796" w:rsidRPr="00871563" w:rsidRDefault="003F6796" w:rsidP="005F169A">
      <w:pPr>
        <w:jc w:val="left"/>
      </w:pPr>
    </w:p>
    <w:p w:rsidR="003F6796" w:rsidRPr="00871563" w:rsidRDefault="003F6796" w:rsidP="005F169A">
      <w:pPr>
        <w:jc w:val="left"/>
      </w:pPr>
      <w:r w:rsidRPr="00871563">
        <w:tab/>
      </w:r>
      <w:r w:rsidRPr="00871563">
        <w:tab/>
        <w:t>30.</w:t>
      </w:r>
      <w:r w:rsidRPr="00871563">
        <w:tab/>
      </w:r>
      <w:r w:rsidR="00F14552" w:rsidRPr="00871563">
        <w:t>Thomas Leero, senior field foreman for high bill investigation department, appeared on behalf of PECO.  Tr. 47.</w:t>
      </w:r>
    </w:p>
    <w:p w:rsidR="00F14552" w:rsidRPr="00871563" w:rsidRDefault="00F14552" w:rsidP="005F169A">
      <w:pPr>
        <w:jc w:val="left"/>
      </w:pPr>
    </w:p>
    <w:p w:rsidR="00F14552" w:rsidRPr="00871563" w:rsidRDefault="00F14552" w:rsidP="005F169A">
      <w:pPr>
        <w:jc w:val="left"/>
      </w:pPr>
      <w:r w:rsidRPr="00871563">
        <w:tab/>
      </w:r>
      <w:r w:rsidRPr="00871563">
        <w:tab/>
        <w:t>31.</w:t>
      </w:r>
      <w:r w:rsidRPr="00871563">
        <w:tab/>
        <w:t>Mr. Leero oversees the fie</w:t>
      </w:r>
      <w:r w:rsidR="003929CA">
        <w:t>l</w:t>
      </w:r>
      <w:r w:rsidRPr="00871563">
        <w:t>d technicians and reviews their paperwork which is processed after field visits.  Tr. 48.</w:t>
      </w:r>
    </w:p>
    <w:p w:rsidR="00F14552" w:rsidRPr="00871563" w:rsidRDefault="00F14552" w:rsidP="005F169A">
      <w:pPr>
        <w:jc w:val="left"/>
      </w:pPr>
    </w:p>
    <w:p w:rsidR="00F14552" w:rsidRPr="00871563" w:rsidRDefault="00F14552" w:rsidP="005F169A">
      <w:pPr>
        <w:jc w:val="left"/>
      </w:pPr>
      <w:r w:rsidRPr="00871563">
        <w:tab/>
      </w:r>
      <w:r w:rsidRPr="00871563">
        <w:tab/>
        <w:t>32.</w:t>
      </w:r>
      <w:r w:rsidRPr="00871563">
        <w:tab/>
      </w:r>
      <w:r w:rsidR="00840499" w:rsidRPr="00871563">
        <w:t xml:space="preserve">After a field visit, the technician will prepare a high bill residential service investigation report, which </w:t>
      </w:r>
      <w:r w:rsidR="000F18A3">
        <w:t>is</w:t>
      </w:r>
      <w:r w:rsidR="00840499" w:rsidRPr="00871563">
        <w:t xml:space="preserve"> reviewed and saved.  Tr. 48.</w:t>
      </w:r>
    </w:p>
    <w:p w:rsidR="00840499" w:rsidRPr="00871563" w:rsidRDefault="00840499" w:rsidP="005F169A">
      <w:pPr>
        <w:jc w:val="left"/>
      </w:pPr>
    </w:p>
    <w:p w:rsidR="00840499" w:rsidRPr="00871563" w:rsidRDefault="00840499" w:rsidP="005F169A">
      <w:pPr>
        <w:jc w:val="left"/>
      </w:pPr>
      <w:r w:rsidRPr="00871563">
        <w:tab/>
      </w:r>
      <w:r w:rsidRPr="00871563">
        <w:tab/>
      </w:r>
      <w:r w:rsidR="006E4361">
        <w:t>33.</w:t>
      </w:r>
      <w:r w:rsidR="006E4361">
        <w:tab/>
      </w:r>
      <w:r w:rsidRPr="00871563">
        <w:t>PECO Exhibit 2 is a high bill investigation field report completed by technician Eric Riley on September 10, 2013.  Tr. 48; PECO Ex. 2.</w:t>
      </w:r>
    </w:p>
    <w:p w:rsidR="002A7BBD" w:rsidRPr="00871563" w:rsidRDefault="002A7BBD" w:rsidP="005F169A">
      <w:pPr>
        <w:jc w:val="left"/>
      </w:pPr>
    </w:p>
    <w:p w:rsidR="002A7BBD" w:rsidRPr="00871563" w:rsidRDefault="002A7BBD" w:rsidP="005F169A">
      <w:pPr>
        <w:jc w:val="left"/>
      </w:pPr>
      <w:r w:rsidRPr="00871563">
        <w:tab/>
      </w:r>
      <w:r w:rsidRPr="00871563">
        <w:tab/>
        <w:t>34.</w:t>
      </w:r>
      <w:r w:rsidRPr="00871563">
        <w:tab/>
      </w:r>
      <w:r w:rsidR="00963CA4" w:rsidRPr="00871563">
        <w:t>PECO Exhibit 3 is a copy of the letter sent to the Complainant after the discovery of foreign wiring.  Tr. 53; PECO Ex. 3.</w:t>
      </w:r>
    </w:p>
    <w:p w:rsidR="00963CA4" w:rsidRPr="00871563" w:rsidRDefault="00963CA4" w:rsidP="005F169A">
      <w:pPr>
        <w:jc w:val="left"/>
      </w:pPr>
    </w:p>
    <w:p w:rsidR="00963CA4" w:rsidRPr="00871563" w:rsidRDefault="00963CA4" w:rsidP="005F169A">
      <w:pPr>
        <w:jc w:val="left"/>
      </w:pPr>
      <w:r w:rsidRPr="00871563">
        <w:tab/>
      </w:r>
      <w:r w:rsidRPr="00871563">
        <w:tab/>
        <w:t>35.</w:t>
      </w:r>
      <w:r w:rsidRPr="00871563">
        <w:tab/>
        <w:t>PECO Exhibit 4 is a copy of the letter sent to Mr. Washington indicating that the account would be transferred to Complainant and why.  Tr. 54; PECO Ex. 4.</w:t>
      </w:r>
    </w:p>
    <w:p w:rsidR="00963CA4" w:rsidRPr="00871563" w:rsidRDefault="00963CA4" w:rsidP="005F169A">
      <w:pPr>
        <w:jc w:val="left"/>
      </w:pPr>
    </w:p>
    <w:p w:rsidR="00963CA4" w:rsidRPr="00871563" w:rsidRDefault="00963CA4" w:rsidP="005F169A">
      <w:pPr>
        <w:jc w:val="left"/>
      </w:pPr>
      <w:r w:rsidRPr="00871563">
        <w:tab/>
      </w:r>
      <w:r w:rsidRPr="00871563">
        <w:tab/>
        <w:t>36.</w:t>
      </w:r>
      <w:r w:rsidRPr="00871563">
        <w:tab/>
      </w:r>
      <w:r w:rsidR="00A07A5B" w:rsidRPr="00871563">
        <w:t>PECO Exhibit 7 is a copy of the technici</w:t>
      </w:r>
      <w:r w:rsidR="001E1FE8">
        <w:t xml:space="preserve">an report of a visit on October 8, </w:t>
      </w:r>
      <w:r w:rsidR="00A07A5B" w:rsidRPr="00871563">
        <w:t>2013, completed by technician Robert Alicia, which found no change to the foreign wiring but reporting that the property was vacant.  Tr. 55; PECO Ex. 7.</w:t>
      </w:r>
    </w:p>
    <w:p w:rsidR="00A07A5B" w:rsidRPr="00871563" w:rsidRDefault="00A07A5B" w:rsidP="005F169A">
      <w:pPr>
        <w:jc w:val="left"/>
      </w:pPr>
    </w:p>
    <w:p w:rsidR="00A07A5B" w:rsidRPr="00871563" w:rsidRDefault="00A07A5B" w:rsidP="005F169A">
      <w:pPr>
        <w:jc w:val="left"/>
      </w:pPr>
      <w:r w:rsidRPr="00871563">
        <w:tab/>
      </w:r>
      <w:r w:rsidRPr="00871563">
        <w:tab/>
        <w:t>37.</w:t>
      </w:r>
      <w:r w:rsidRPr="00871563">
        <w:tab/>
        <w:t>The basement was equipped with a refrigerator, an electric range, electric heat and lighting.  Tr. 55.</w:t>
      </w:r>
    </w:p>
    <w:p w:rsidR="00A07A5B" w:rsidRPr="00871563" w:rsidRDefault="00A07A5B" w:rsidP="005F169A">
      <w:pPr>
        <w:jc w:val="left"/>
      </w:pPr>
    </w:p>
    <w:p w:rsidR="00A07A5B" w:rsidRPr="00871563" w:rsidRDefault="00A07A5B" w:rsidP="005F169A">
      <w:pPr>
        <w:jc w:val="left"/>
      </w:pPr>
      <w:r w:rsidRPr="00871563">
        <w:tab/>
      </w:r>
      <w:r w:rsidRPr="00871563">
        <w:tab/>
        <w:t>38.</w:t>
      </w:r>
      <w:r w:rsidRPr="00871563">
        <w:tab/>
        <w:t>On December 13, 2013, technician Robert Alicia again visited the property and: (a) verified the separation of wiring, and (b) installed the new meter.  Tr. 56.</w:t>
      </w:r>
    </w:p>
    <w:p w:rsidR="00A07A5B" w:rsidRPr="00871563" w:rsidRDefault="00A07A5B" w:rsidP="005F169A">
      <w:pPr>
        <w:jc w:val="left"/>
      </w:pPr>
    </w:p>
    <w:p w:rsidR="00A07A5B" w:rsidRPr="00871563" w:rsidRDefault="00A07A5B" w:rsidP="005F169A">
      <w:pPr>
        <w:jc w:val="left"/>
      </w:pPr>
      <w:r w:rsidRPr="00871563">
        <w:tab/>
      </w:r>
      <w:r w:rsidRPr="00871563">
        <w:tab/>
        <w:t>39.</w:t>
      </w:r>
      <w:r w:rsidRPr="00871563">
        <w:tab/>
        <w:t>On December 13, 2013, someone was sleeping in the basement.  Tr. 56.</w:t>
      </w:r>
    </w:p>
    <w:p w:rsidR="00A07A5B" w:rsidRPr="00871563" w:rsidRDefault="00A07A5B" w:rsidP="005F169A">
      <w:pPr>
        <w:jc w:val="left"/>
      </w:pPr>
    </w:p>
    <w:p w:rsidR="005F169A" w:rsidRPr="00871563" w:rsidRDefault="005F169A" w:rsidP="00E01FDD">
      <w:pPr>
        <w:rPr>
          <w:u w:val="single"/>
        </w:rPr>
      </w:pPr>
      <w:r w:rsidRPr="00871563">
        <w:rPr>
          <w:u w:val="single"/>
        </w:rPr>
        <w:t>DISCUSSION</w:t>
      </w:r>
    </w:p>
    <w:p w:rsidR="005F169A" w:rsidRPr="00871563" w:rsidRDefault="005F169A" w:rsidP="005F169A">
      <w:pPr>
        <w:rPr>
          <w:u w:val="single"/>
        </w:rPr>
      </w:pPr>
    </w:p>
    <w:p w:rsidR="00E01FDD" w:rsidRPr="00871563" w:rsidRDefault="00E01FDD" w:rsidP="00E01FDD">
      <w:pPr>
        <w:jc w:val="left"/>
      </w:pPr>
      <w:r w:rsidRPr="00871563">
        <w:tab/>
      </w:r>
      <w:r w:rsidRPr="00871563">
        <w:tab/>
        <w:t xml:space="preserve">Complainant asks for removal of the charges which were transferred to her electric account upon discovery of foreign wiring at a </w:t>
      </w:r>
      <w:r w:rsidR="001C6F44" w:rsidRPr="00871563">
        <w:t>rental property th</w:t>
      </w:r>
      <w:r w:rsidRPr="00871563">
        <w:t>at she own</w:t>
      </w:r>
      <w:r w:rsidR="001C6F44" w:rsidRPr="00871563">
        <w:t>s because the electric service was in the name of a person who did not have a lease</w:t>
      </w:r>
      <w:r w:rsidRPr="00871563">
        <w:t>.</w:t>
      </w:r>
    </w:p>
    <w:p w:rsidR="00E01FDD" w:rsidRPr="00871563" w:rsidRDefault="00E01FDD" w:rsidP="00E01FDD">
      <w:pPr>
        <w:jc w:val="left"/>
      </w:pPr>
    </w:p>
    <w:p w:rsidR="00E01FDD" w:rsidRPr="00871563" w:rsidRDefault="00E01FDD" w:rsidP="00E01FDD">
      <w:pPr>
        <w:jc w:val="left"/>
      </w:pPr>
      <w:r w:rsidRPr="00871563">
        <w:tab/>
      </w:r>
      <w:r w:rsidRPr="00871563">
        <w:tab/>
        <w:t xml:space="preserve">The party seeking affirmative relief from the Commission bears the burden of proof.  66 Pa.C.S. § 332(a).  As a matter of law, a complainant must show that the named utility is responsible or accountable for the problem described in the Complaint in order to prevail.  </w:t>
      </w:r>
      <w:r w:rsidRPr="00871563">
        <w:rPr>
          <w:i/>
        </w:rPr>
        <w:t xml:space="preserve">Patterson v. Bell Tel. Co. of PA, </w:t>
      </w:r>
      <w:r w:rsidR="00B13EDF">
        <w:t>72 Pa. PUC</w:t>
      </w:r>
      <w:r w:rsidRPr="00871563">
        <w:t xml:space="preserve"> 196 (1990); </w:t>
      </w:r>
      <w:r w:rsidRPr="00871563">
        <w:rPr>
          <w:i/>
        </w:rPr>
        <w:t xml:space="preserve">Feinstein v. Phila. Suburban Water Co., </w:t>
      </w:r>
      <w:r w:rsidR="00B13EDF">
        <w:t>50 Pa. PUC</w:t>
      </w:r>
      <w:r w:rsidRPr="00871563">
        <w:t xml:space="preserve"> 300 (1976).  This must be shown by a </w:t>
      </w:r>
      <w:r w:rsidR="00B13EDF">
        <w:t xml:space="preserve">preponderance of the evidence. </w:t>
      </w:r>
      <w:r w:rsidRPr="00871563">
        <w:t xml:space="preserve"> </w:t>
      </w:r>
      <w:r w:rsidR="001E1FE8">
        <w:rPr>
          <w:i/>
        </w:rPr>
        <w:t>Samuel </w:t>
      </w:r>
      <w:r w:rsidRPr="00871563">
        <w:rPr>
          <w:i/>
        </w:rPr>
        <w:t xml:space="preserve">J. Lansberry, Inc. v. Pa. Pub. Util. Comm'n, </w:t>
      </w:r>
      <w:r w:rsidRPr="00871563">
        <w:t xml:space="preserve">578 A.2d 600 (1990), </w:t>
      </w:r>
      <w:r w:rsidRPr="00871563">
        <w:rPr>
          <w:i/>
        </w:rPr>
        <w:t>alloc, denied</w:t>
      </w:r>
      <w:r w:rsidRPr="00871563">
        <w:t xml:space="preserve">, 602 A.2d 863 (1992).  A preponderance of evidence is that which is more convincing, by even the smallest amount, than that presented by the other party.  </w:t>
      </w:r>
      <w:r w:rsidRPr="00871563">
        <w:rPr>
          <w:i/>
        </w:rPr>
        <w:t>Se-Ling Hosiery v. Margulies,</w:t>
      </w:r>
      <w:r w:rsidRPr="00871563">
        <w:t xml:space="preserve"> </w:t>
      </w:r>
      <w:r w:rsidRPr="00871563">
        <w:rPr>
          <w:color w:val="333333"/>
        </w:rPr>
        <w:t>364 Pa. 45, 70 A.2d 854, 1950 Pa. LEXIS 316 (1950)</w:t>
      </w:r>
      <w:r w:rsidRPr="00871563">
        <w:t>.</w:t>
      </w:r>
    </w:p>
    <w:p w:rsidR="00E01FDD" w:rsidRPr="00871563" w:rsidRDefault="00E01FDD" w:rsidP="00E01FDD">
      <w:pPr>
        <w:jc w:val="left"/>
      </w:pPr>
    </w:p>
    <w:p w:rsidR="00E01FDD" w:rsidRPr="00871563" w:rsidRDefault="00E01FDD" w:rsidP="00E01FDD">
      <w:pPr>
        <w:jc w:val="left"/>
      </w:pPr>
      <w:r w:rsidRPr="00871563">
        <w:tab/>
      </w:r>
      <w:r w:rsidRPr="00871563">
        <w:tab/>
        <w:t xml:space="preserve">Additionally, any finding of fact necessary to support the Commission's adjudication must be based upon substantial evidence.  </w:t>
      </w:r>
      <w:r w:rsidRPr="00871563">
        <w:rPr>
          <w:i/>
        </w:rPr>
        <w:t>Mill v. Pa. Pub. Util. Comm'n</w:t>
      </w:r>
      <w:r w:rsidR="005A2243">
        <w:t>, 447 A.2d </w:t>
      </w:r>
      <w:r w:rsidRPr="00871563">
        <w:t xml:space="preserve">1100 (Pa.Cmwlth. 1982); </w:t>
      </w:r>
      <w:r w:rsidRPr="00871563">
        <w:rPr>
          <w:i/>
        </w:rPr>
        <w:t xml:space="preserve">Edan Transportation Corp. v. Pa. Pub. Util. Comm'n, </w:t>
      </w:r>
      <w:r w:rsidRPr="00871563">
        <w:t xml:space="preserve">623 A.2d 6 (Pa. Cmwlth. 1993); 2 Pa.C.S. § 704.  More is required than a mere trace of evidence or a suspicion of the existence of a fact sought to be established.  </w:t>
      </w:r>
      <w:r w:rsidRPr="00871563">
        <w:rPr>
          <w:i/>
        </w:rPr>
        <w:t xml:space="preserve">Norfolk and Western Ry. v. Pa. Pub. Util. Comm'n, </w:t>
      </w:r>
      <w:r w:rsidRPr="00871563">
        <w:t xml:space="preserve">489 Pa. 109, 413 A.2d 1037 (1980); </w:t>
      </w:r>
      <w:r w:rsidRPr="00871563">
        <w:rPr>
          <w:i/>
        </w:rPr>
        <w:t xml:space="preserve">Erie Resistor Corp. v. Unemployment Compensation Bd. Of Review, </w:t>
      </w:r>
      <w:r w:rsidRPr="00871563">
        <w:t xml:space="preserve">166 A.2d 96 (Pa.Super. 1960); </w:t>
      </w:r>
      <w:r w:rsidRPr="00871563">
        <w:rPr>
          <w:i/>
        </w:rPr>
        <w:t xml:space="preserve">Murphy v. Dep't. of Public Welfare, White Haven Center, </w:t>
      </w:r>
      <w:r w:rsidRPr="00871563">
        <w:t>480 A.2d 382 (Pa. Cmwlth. 1984).</w:t>
      </w:r>
    </w:p>
    <w:p w:rsidR="00E01FDD" w:rsidRPr="00871563" w:rsidRDefault="00E01FDD" w:rsidP="00E01FDD">
      <w:pPr>
        <w:jc w:val="left"/>
      </w:pPr>
    </w:p>
    <w:p w:rsidR="00E01FDD" w:rsidRPr="00871563" w:rsidRDefault="00E01FDD" w:rsidP="00E01FDD">
      <w:pPr>
        <w:jc w:val="left"/>
      </w:pPr>
      <w:r w:rsidRPr="00871563">
        <w:tab/>
      </w:r>
      <w:r w:rsidRPr="00871563">
        <w:tab/>
        <w:t>The offense must be a violation of the Public Utility Code, the Commission's regulations, or an outstanding order of the Commission.  66 Pa.C.S. § 701.</w:t>
      </w:r>
    </w:p>
    <w:p w:rsidR="00E01FDD" w:rsidRPr="00871563" w:rsidRDefault="00E01FDD" w:rsidP="00E01FDD">
      <w:pPr>
        <w:jc w:val="left"/>
      </w:pPr>
    </w:p>
    <w:p w:rsidR="00E01FDD" w:rsidRPr="00871563" w:rsidRDefault="00E01FDD" w:rsidP="00E01FDD">
      <w:pPr>
        <w:ind w:firstLine="1440"/>
        <w:jc w:val="left"/>
      </w:pPr>
      <w:r w:rsidRPr="00871563">
        <w:t>As the proponent of a Commission order, complainant has the burden of proof in this case.  66 Pa.C.S.A. § 332(a).</w:t>
      </w:r>
    </w:p>
    <w:p w:rsidR="005F169A" w:rsidRPr="00871563" w:rsidRDefault="005F169A" w:rsidP="005F169A">
      <w:pPr>
        <w:jc w:val="left"/>
      </w:pPr>
    </w:p>
    <w:p w:rsidR="00F879FD" w:rsidRPr="00871563" w:rsidRDefault="001F7253" w:rsidP="00F879FD">
      <w:pPr>
        <w:jc w:val="left"/>
      </w:pPr>
      <w:r w:rsidRPr="00871563">
        <w:tab/>
      </w:r>
      <w:r w:rsidRPr="00871563">
        <w:tab/>
        <w:t xml:space="preserve">Complainant admits that there was a single meter for the building at the time that she rented it to Mr. Nesbitt.  Tr. 9.  She stated that she had an agreement with Mr. Nesbitt that </w:t>
      </w:r>
      <w:r w:rsidR="006E1162" w:rsidRPr="00871563">
        <w:t xml:space="preserve">he would pay 90% of the electric bill but he did not.  Tr. 9.  She eventually had him evicted for failure to pay his rent. </w:t>
      </w:r>
      <w:r w:rsidR="0099272C">
        <w:t xml:space="preserve"> </w:t>
      </w:r>
      <w:r w:rsidR="006E1162" w:rsidRPr="00871563">
        <w:t xml:space="preserve">Tr. 10.  Henry Washington, purportedly Mr. Nesbitt's father, came to live with Mr. Nesbitt prior to </w:t>
      </w:r>
      <w:r w:rsidR="00660A79" w:rsidRPr="00871563">
        <w:t>their</w:t>
      </w:r>
      <w:r w:rsidR="006E1162" w:rsidRPr="00871563">
        <w:t xml:space="preserve"> eviction.  Complainant stated that she had refused to rent the basement apartment to </w:t>
      </w:r>
      <w:r w:rsidR="00660A79" w:rsidRPr="00871563">
        <w:t>Mr. Washington</w:t>
      </w:r>
      <w:r w:rsidR="006E1162" w:rsidRPr="00871563">
        <w:t xml:space="preserve">, and she had no lease with him. </w:t>
      </w:r>
      <w:r w:rsidR="00BD6817">
        <w:t xml:space="preserve"> </w:t>
      </w:r>
      <w:r w:rsidR="006E1162" w:rsidRPr="00871563">
        <w:t xml:space="preserve">Tr. 11.  </w:t>
      </w:r>
      <w:r w:rsidR="00F879FD" w:rsidRPr="00871563">
        <w:t>Complainant testified that she did not know that Mr. Washington had place</w:t>
      </w:r>
      <w:r w:rsidR="00660A79" w:rsidRPr="00871563">
        <w:t>d</w:t>
      </w:r>
      <w:r w:rsidR="00F879FD" w:rsidRPr="00871563">
        <w:t xml:space="preserve"> the electric service</w:t>
      </w:r>
      <w:r w:rsidR="00E01FDD" w:rsidRPr="00871563">
        <w:t xml:space="preserve"> for the upstairs</w:t>
      </w:r>
      <w:r w:rsidR="00F879FD" w:rsidRPr="00871563">
        <w:t xml:space="preserve"> in his name until she received the exhibit package on May 27</w:t>
      </w:r>
      <w:r w:rsidR="00F879FD" w:rsidRPr="00871563">
        <w:rPr>
          <w:vertAlign w:val="superscript"/>
        </w:rPr>
        <w:t>th</w:t>
      </w:r>
      <w:r w:rsidR="00EA595D">
        <w:t xml:space="preserve">.  </w:t>
      </w:r>
      <w:r w:rsidR="00F879FD" w:rsidRPr="00871563">
        <w:t>Tr. 12.</w:t>
      </w:r>
    </w:p>
    <w:p w:rsidR="00AA3268" w:rsidRPr="00871563" w:rsidRDefault="00AA3268" w:rsidP="00F879FD">
      <w:pPr>
        <w:jc w:val="left"/>
      </w:pPr>
    </w:p>
    <w:p w:rsidR="00AA3268" w:rsidRPr="00871563" w:rsidRDefault="00AA3268" w:rsidP="00F879FD">
      <w:pPr>
        <w:jc w:val="left"/>
      </w:pPr>
      <w:r w:rsidRPr="00871563">
        <w:tab/>
      </w:r>
      <w:r w:rsidRPr="00871563">
        <w:tab/>
        <w:t xml:space="preserve">Complainant protests that PECO's practice of not asking for a lease or deed is wrong because it allows the present situation, where a tenant behind on his rent and electric bills who </w:t>
      </w:r>
      <w:r w:rsidR="00755D0A" w:rsidRPr="00871563">
        <w:t>"knows all the tricks" can stick her with the bills.  Tr. 39-40.  In other words, she finds it to be unreasonable that PECO can extend service to a building that she owns when the person asking for the service has no lease giving him the right to occupy the building.  In addition, the tenant who did have the lease, Mr. Nesbitt, was aware of the sing</w:t>
      </w:r>
      <w:r w:rsidR="003C1A40">
        <w:t>le meter and agreed to it.  Tr. </w:t>
      </w:r>
      <w:r w:rsidR="00755D0A" w:rsidRPr="00871563">
        <w:t>42.</w:t>
      </w:r>
    </w:p>
    <w:p w:rsidR="00F879FD" w:rsidRPr="00871563" w:rsidRDefault="00F879FD" w:rsidP="00F879FD">
      <w:pPr>
        <w:jc w:val="left"/>
      </w:pPr>
    </w:p>
    <w:p w:rsidR="00F879FD" w:rsidRPr="00871563" w:rsidRDefault="00F879FD" w:rsidP="00F879FD">
      <w:pPr>
        <w:jc w:val="left"/>
      </w:pPr>
      <w:r w:rsidRPr="00871563">
        <w:tab/>
      </w:r>
      <w:r w:rsidRPr="00871563">
        <w:tab/>
        <w:t>Complainant seeks to be relieved of the bill for usage at the rental property where she did not live, including late fees.  Tr. 14.  She is willing to pay for usage from the basement apartment's new meter.  Tr. 17.</w:t>
      </w:r>
      <w:r w:rsidR="000B5F3F" w:rsidRPr="00871563">
        <w:t xml:space="preserve">  She characterizes the basement unit as an efficiency or an office, where someone who needs a place to stay in an emergency can stay for a night or two, not an apartment.  Tr. 18-19.  A man named Luis DeArmas kept his things there but actually lived with Complainant.  He has since passed away.  Tr. 20.  The unit has a refrigerator, stove, lighting and a bathroom.  Tr. 22.</w:t>
      </w:r>
    </w:p>
    <w:p w:rsidR="006E1162" w:rsidRPr="00871563" w:rsidRDefault="006E1162" w:rsidP="006E1162">
      <w:pPr>
        <w:jc w:val="left"/>
      </w:pPr>
    </w:p>
    <w:p w:rsidR="001F7253" w:rsidRPr="00871563" w:rsidRDefault="00E01FDD" w:rsidP="001F7253">
      <w:pPr>
        <w:jc w:val="left"/>
      </w:pPr>
      <w:r w:rsidRPr="00871563">
        <w:tab/>
      </w:r>
      <w:r w:rsidRPr="00871563">
        <w:tab/>
      </w:r>
      <w:r w:rsidR="006B62A9" w:rsidRPr="00871563">
        <w:t>PECO's actions in response to this situation were appropriate and consistent with applicable law.</w:t>
      </w:r>
    </w:p>
    <w:p w:rsidR="002A7BBD" w:rsidRPr="00871563" w:rsidRDefault="002A7BBD" w:rsidP="001F7253">
      <w:pPr>
        <w:jc w:val="left"/>
      </w:pPr>
    </w:p>
    <w:p w:rsidR="002A7BBD" w:rsidRPr="00871563" w:rsidRDefault="002A7BBD" w:rsidP="001F7253">
      <w:pPr>
        <w:jc w:val="left"/>
      </w:pPr>
      <w:r w:rsidRPr="00871563">
        <w:tab/>
      </w:r>
      <w:r w:rsidRPr="00871563">
        <w:tab/>
        <w:t xml:space="preserve">While the PECO technician did not see the separate units, he determined that there was no access to the basement.  Logically, a tenant </w:t>
      </w:r>
      <w:r w:rsidR="00AF2031" w:rsidRPr="00871563">
        <w:t>of</w:t>
      </w:r>
      <w:r w:rsidRPr="00871563">
        <w:t xml:space="preserve"> the entire building would have access </w:t>
      </w:r>
      <w:r w:rsidR="00AF2031" w:rsidRPr="00871563">
        <w:t>t</w:t>
      </w:r>
      <w:r w:rsidRPr="00871563">
        <w:t xml:space="preserve">o the entire building.  </w:t>
      </w:r>
      <w:r w:rsidR="00963CA4" w:rsidRPr="00871563">
        <w:t>When added to the information provided by the ratepayer</w:t>
      </w:r>
      <w:r w:rsidR="001C6F44" w:rsidRPr="00871563">
        <w:t>, that there was someone living in the basement</w:t>
      </w:r>
      <w:r w:rsidR="00963CA4" w:rsidRPr="00871563">
        <w:t>, the PECO technician surmised that there was a separate residence in the basement.  Tr. 51.</w:t>
      </w:r>
    </w:p>
    <w:p w:rsidR="00AF2031" w:rsidRPr="00871563" w:rsidRDefault="00AF2031" w:rsidP="001F7253">
      <w:pPr>
        <w:jc w:val="left"/>
      </w:pPr>
    </w:p>
    <w:p w:rsidR="0001583F" w:rsidRPr="00871563" w:rsidRDefault="00AF2031" w:rsidP="0001583F">
      <w:pPr>
        <w:jc w:val="left"/>
      </w:pPr>
      <w:r w:rsidRPr="00871563">
        <w:tab/>
      </w:r>
      <w:r w:rsidRPr="00871563">
        <w:tab/>
        <w:t>Complainant admitted that there was usage in the basement and that the electricity was drawn through the single meter for the building.  Because the</w:t>
      </w:r>
      <w:r w:rsidR="003929CA">
        <w:t>re is</w:t>
      </w:r>
      <w:r w:rsidRPr="00871563">
        <w:t xml:space="preserve"> usage of a person in a portion of the building that is not part of the leased premises, foreign wiring exists.  </w:t>
      </w:r>
      <w:r w:rsidR="00CD1CFD" w:rsidRPr="00871563">
        <w:t>There is no provision in the law to permit a landlord and tenant to agree to an arrangement where the tenant will pay for the electricity of any portion of the premises which are not included in the lease.</w:t>
      </w:r>
      <w:r w:rsidR="00EE0031">
        <w:t xml:space="preserve">  </w:t>
      </w:r>
      <w:r w:rsidR="0001583F" w:rsidRPr="00871563">
        <w:t xml:space="preserve">In </w:t>
      </w:r>
      <w:r w:rsidR="000F18A3">
        <w:rPr>
          <w:i/>
        </w:rPr>
        <w:t>A-1 Realty v. Pa. Pub</w:t>
      </w:r>
      <w:r w:rsidR="0001583F" w:rsidRPr="00871563">
        <w:rPr>
          <w:i/>
        </w:rPr>
        <w:t>.</w:t>
      </w:r>
      <w:r w:rsidR="000F18A3">
        <w:rPr>
          <w:i/>
        </w:rPr>
        <w:t xml:space="preserve"> </w:t>
      </w:r>
      <w:r w:rsidR="0001583F" w:rsidRPr="00871563">
        <w:rPr>
          <w:i/>
        </w:rPr>
        <w:t>Util. Comm'n,</w:t>
      </w:r>
      <w:r w:rsidR="0001583F" w:rsidRPr="00871563">
        <w:t xml:space="preserve"> Docket No. 885 C.D. 2012 (January 4, 2013), 2013 Pa. Commw. LEXIS 4, ("</w:t>
      </w:r>
      <w:r w:rsidR="0001583F" w:rsidRPr="00871563">
        <w:rPr>
          <w:i/>
        </w:rPr>
        <w:t>A-1 Realty</w:t>
      </w:r>
      <w:r w:rsidR="0001583F" w:rsidRPr="00871563">
        <w:t xml:space="preserve">"), the Commonwealth Court affirmed the PUC's order adopting an Initial Decision which dismissed a complaint for a similar issue.  In </w:t>
      </w:r>
      <w:r w:rsidR="0001583F" w:rsidRPr="00871563">
        <w:rPr>
          <w:i/>
        </w:rPr>
        <w:t>A-1 Realty,</w:t>
      </w:r>
      <w:r w:rsidR="0001583F" w:rsidRPr="00871563">
        <w:t xml:space="preserve"> lots for the placement of mobile homes were leased by the owner of the park, and wiring for communal street lighting was connected to the nearest lot's electric box, at an estimated cost of $6.54 to $9.67 per box per month.  The lot owner gave tenants to whose property the street lights were wired a $10.00 monthly rental discount to compensate them for the additional electric expense.  When two lot lessors contacted the electric distribution company (EDC) to determine whether the $10 would be sufficient to cover a month's lighting, the EDC investigated, discovered the foreign load, and transferred the lot lessors' electric bills into the name of the lots' owner.  The foreign load was corrected, but the EDC refused to return the arrearage to the tenants' accounts.  The lot owner filed a complaint with the PUC, which found that the EDC's actions were consistent with the law.</w:t>
      </w:r>
    </w:p>
    <w:p w:rsidR="0001583F" w:rsidRPr="00871563" w:rsidRDefault="0001583F" w:rsidP="0001583F">
      <w:pPr>
        <w:jc w:val="left"/>
      </w:pPr>
    </w:p>
    <w:p w:rsidR="0001583F" w:rsidRPr="00871563" w:rsidRDefault="0001583F" w:rsidP="00CD1CFD">
      <w:pPr>
        <w:jc w:val="left"/>
      </w:pPr>
      <w:r w:rsidRPr="00871563">
        <w:tab/>
      </w:r>
      <w:r w:rsidR="00CD1CFD" w:rsidRPr="00871563">
        <w:tab/>
      </w:r>
      <w:r w:rsidRPr="00871563">
        <w:t>On appeal, the Commonwealth Court found that the Public Utility Code does not permit a utility customer to circumvent the wording of the statute by agreeing to foreign load.  The statute reads:</w:t>
      </w:r>
    </w:p>
    <w:p w:rsidR="0001583F" w:rsidRPr="00871563" w:rsidRDefault="0001583F" w:rsidP="0001583F">
      <w:pPr>
        <w:jc w:val="left"/>
      </w:pPr>
    </w:p>
    <w:p w:rsidR="0001583F" w:rsidRDefault="0001583F" w:rsidP="0001583F">
      <w:pPr>
        <w:spacing w:line="240" w:lineRule="auto"/>
        <w:ind w:left="1440" w:right="1440"/>
        <w:jc w:val="left"/>
        <w:rPr>
          <w:rFonts w:eastAsia="Times New Roman"/>
        </w:rPr>
      </w:pPr>
      <w:r w:rsidRPr="00871563">
        <w:rPr>
          <w:rFonts w:eastAsia="Times New Roman"/>
          <w:b/>
          <w:bCs/>
        </w:rPr>
        <w:t>[I]f the mobile home park . . . contains one or more dwelling units not individually metered, an affected public utility shall forthwith list the account for the premises in question in the name of the owner</w:t>
      </w:r>
      <w:r w:rsidRPr="00871563">
        <w:rPr>
          <w:rFonts w:eastAsia="Times New Roman"/>
        </w:rPr>
        <w:t>, and the owner shall thereafter be responsible for the payment for the utility services rendered thereunto.  In the case of individually metered dwelling units, unless notified to the contrary by the tenant or an authorized representative, an affected public utility shall list the account for the premises in question in the name of the owner, and the owner shall be responsible for the payment for utility services to the premises.</w:t>
      </w:r>
    </w:p>
    <w:p w:rsidR="00404BA8" w:rsidRPr="00871563" w:rsidRDefault="00404BA8" w:rsidP="0001583F">
      <w:pPr>
        <w:spacing w:line="240" w:lineRule="auto"/>
        <w:ind w:left="1440" w:right="1440"/>
        <w:jc w:val="left"/>
        <w:rPr>
          <w:rFonts w:eastAsia="Times New Roman"/>
        </w:rPr>
      </w:pPr>
    </w:p>
    <w:p w:rsidR="0001583F" w:rsidRPr="00871563" w:rsidRDefault="002B0E4A" w:rsidP="0001583F">
      <w:pPr>
        <w:jc w:val="left"/>
        <w:rPr>
          <w:rFonts w:eastAsia="Times New Roman"/>
        </w:rPr>
      </w:pPr>
      <w:hyperlink r:id="rId7" w:history="1">
        <w:r w:rsidR="0001583F" w:rsidRPr="00871563">
          <w:rPr>
            <w:rFonts w:eastAsia="Times New Roman"/>
          </w:rPr>
          <w:t>66 Pa.C.S. § 1529.1(b)</w:t>
        </w:r>
      </w:hyperlink>
      <w:r w:rsidR="0001583F" w:rsidRPr="00871563">
        <w:rPr>
          <w:rFonts w:eastAsia="Times New Roman"/>
        </w:rPr>
        <w:t xml:space="preserve"> (emphasis added by the Court).</w:t>
      </w:r>
    </w:p>
    <w:p w:rsidR="0001583F" w:rsidRPr="00871563" w:rsidRDefault="0001583F" w:rsidP="0001583F">
      <w:pPr>
        <w:jc w:val="left"/>
        <w:rPr>
          <w:rFonts w:eastAsia="Times New Roman"/>
        </w:rPr>
      </w:pPr>
    </w:p>
    <w:p w:rsidR="0001583F" w:rsidRDefault="0001583F" w:rsidP="0001583F">
      <w:pPr>
        <w:spacing w:line="240" w:lineRule="auto"/>
        <w:ind w:left="1440" w:right="1440"/>
        <w:jc w:val="left"/>
      </w:pPr>
      <w:r w:rsidRPr="00871563">
        <w:rPr>
          <w:rFonts w:eastAsia="Times New Roman"/>
        </w:rPr>
        <w:tab/>
        <w:t>The phrase "not individually metered"</w:t>
      </w:r>
      <w:bookmarkStart w:id="0" w:name="clsccl6"/>
      <w:bookmarkEnd w:id="0"/>
      <w:r w:rsidRPr="00871563">
        <w:t xml:space="preserve"> is defined as "the utility meter for the unit is registering a foreign load, or usage not exclusive to the dwelling unit or its occupants."  </w:t>
      </w:r>
      <w:r w:rsidRPr="00871563">
        <w:rPr>
          <w:i/>
          <w:iCs/>
        </w:rPr>
        <w:t>Del Vecchio v. PPL Elec. Util. Corp</w:t>
      </w:r>
      <w:r w:rsidRPr="00871563">
        <w:t xml:space="preserve">., Docket No. Z-01464793 (Pa. PUC 2005); </w:t>
      </w:r>
      <w:r w:rsidRPr="00871563">
        <w:rPr>
          <w:i/>
          <w:iCs/>
        </w:rPr>
        <w:t>see also Cosme v. PECO Energy Co</w:t>
      </w:r>
      <w:r w:rsidRPr="00871563">
        <w:t xml:space="preserve">., Docket No. C-2010-2171497 (Pa. PUC 2012); </w:t>
      </w:r>
      <w:r w:rsidRPr="00871563">
        <w:rPr>
          <w:i/>
          <w:iCs/>
        </w:rPr>
        <w:t>Albright v. UGI Penn Natural Gas Co., Inc</w:t>
      </w:r>
      <w:r w:rsidRPr="00871563">
        <w:t>., Docket No. F-2009-2139408 (Pa. PUC 2012).</w:t>
      </w:r>
      <w:r w:rsidRPr="00871563">
        <w:br/>
      </w:r>
      <w:r w:rsidRPr="00871563">
        <w:br/>
        <w:t xml:space="preserve">Based upon the above conclusion, we must review </w:t>
      </w:r>
      <w:hyperlink r:id="rId8" w:history="1">
        <w:r w:rsidRPr="00871563">
          <w:rPr>
            <w:rStyle w:val="Hyperlink"/>
            <w:color w:val="auto"/>
          </w:rPr>
          <w:t>Section 1529.1(b)</w:t>
        </w:r>
      </w:hyperlink>
      <w:r w:rsidRPr="00871563">
        <w:t xml:space="preserve"> of the Code to determine whether it permits tenants to accept utility service which is not exclusive to their homes.  </w:t>
      </w:r>
      <w:hyperlink r:id="rId9" w:history="1">
        <w:r w:rsidRPr="00871563">
          <w:rPr>
            <w:rStyle w:val="Hyperlink"/>
            <w:color w:val="auto"/>
          </w:rPr>
          <w:t>Section 1529.1(b)</w:t>
        </w:r>
      </w:hyperlink>
      <w:r w:rsidRPr="00871563">
        <w:t xml:space="preserve"> of the Code specifically states: "if the mobile home park . . . contains one or more dwelling units </w:t>
      </w:r>
      <w:r w:rsidRPr="00871563">
        <w:rPr>
          <w:b/>
          <w:bCs/>
        </w:rPr>
        <w:t>not individually metered</w:t>
      </w:r>
      <w:r w:rsidRPr="00871563">
        <w:t xml:space="preserve">, an </w:t>
      </w:r>
      <w:r w:rsidRPr="00871563">
        <w:rPr>
          <w:b/>
          <w:bCs/>
        </w:rPr>
        <w:t>affected public utility shall</w:t>
      </w:r>
      <w:r w:rsidRPr="00871563">
        <w:t xml:space="preserve"> forthwith </w:t>
      </w:r>
      <w:r w:rsidRPr="00871563">
        <w:rPr>
          <w:b/>
          <w:bCs/>
        </w:rPr>
        <w:t>list the account</w:t>
      </w:r>
      <w:r w:rsidRPr="00871563">
        <w:t xml:space="preserve"> for the premises in question </w:t>
      </w:r>
      <w:r w:rsidRPr="00871563">
        <w:rPr>
          <w:b/>
          <w:bCs/>
        </w:rPr>
        <w:t>in the name of the owner</w:t>
      </w:r>
      <w:r w:rsidRPr="00871563">
        <w:t xml:space="preserve"> . . . ." (Emphasis added).  It is well established that </w:t>
      </w:r>
      <w:bookmarkStart w:id="1" w:name="clsccl7"/>
      <w:bookmarkEnd w:id="1"/>
      <w:r w:rsidR="003929CA">
        <w:t>"shall"</w:t>
      </w:r>
      <w:r w:rsidRPr="00871563">
        <w:t xml:space="preserve"> is mandatory for purposes of statutory construction when a statute is unambiguous."  </w:t>
      </w:r>
      <w:hyperlink r:id="rId10" w:history="1">
        <w:r w:rsidRPr="00871563">
          <w:rPr>
            <w:rStyle w:val="Hyperlink"/>
            <w:i/>
            <w:iCs/>
            <w:color w:val="auto"/>
          </w:rPr>
          <w:t>Dep't of Transp. v. McCafferty</w:t>
        </w:r>
        <w:r w:rsidRPr="00871563">
          <w:rPr>
            <w:rStyle w:val="Hyperlink"/>
            <w:color w:val="auto"/>
          </w:rPr>
          <w:t>, 563 Pa. 146, 163, 758 A.2d 1155, 1164 (2000)</w:t>
        </w:r>
      </w:hyperlink>
      <w:r w:rsidRPr="00871563">
        <w:t xml:space="preserve">. </w:t>
      </w:r>
      <w:r w:rsidR="00404BA8">
        <w:t xml:space="preserve"> </w:t>
      </w:r>
      <w:r w:rsidRPr="00871563">
        <w:t>Thus, tenants are not permitted to accept utility service which is not exclusive to their homes.</w:t>
      </w:r>
    </w:p>
    <w:p w:rsidR="00404BA8" w:rsidRPr="00871563" w:rsidRDefault="00404BA8" w:rsidP="0001583F">
      <w:pPr>
        <w:spacing w:line="240" w:lineRule="auto"/>
        <w:ind w:left="1440" w:right="1440"/>
        <w:jc w:val="left"/>
      </w:pPr>
    </w:p>
    <w:p w:rsidR="0001583F" w:rsidRPr="00871563" w:rsidRDefault="0001583F" w:rsidP="0001583F">
      <w:pPr>
        <w:jc w:val="left"/>
      </w:pPr>
      <w:r w:rsidRPr="00871563">
        <w:rPr>
          <w:i/>
        </w:rPr>
        <w:t>A-1 Realty</w:t>
      </w:r>
      <w:r w:rsidRPr="00871563">
        <w:t xml:space="preserve"> at 6.</w:t>
      </w:r>
    </w:p>
    <w:p w:rsidR="0001583F" w:rsidRPr="00871563" w:rsidRDefault="0001583F" w:rsidP="0001583F">
      <w:pPr>
        <w:jc w:val="left"/>
      </w:pPr>
    </w:p>
    <w:p w:rsidR="0001583F" w:rsidRPr="00871563" w:rsidRDefault="0001583F" w:rsidP="0001583F">
      <w:pPr>
        <w:jc w:val="left"/>
      </w:pPr>
      <w:r w:rsidRPr="00871563">
        <w:tab/>
      </w:r>
      <w:r w:rsidRPr="00871563">
        <w:tab/>
        <w:t xml:space="preserve">Just as the PUC properly determined that the utility was obligated under the Code to list the lot lessors' accounts in lot owner's name in </w:t>
      </w:r>
      <w:r w:rsidRPr="00871563">
        <w:rPr>
          <w:i/>
        </w:rPr>
        <w:t xml:space="preserve">A-1 Realty, </w:t>
      </w:r>
      <w:r w:rsidRPr="00871563">
        <w:t xml:space="preserve">the Respondent here was also obligated to list the account in the Complainant's name as soon as the foreign load was identified.  The Respondent's action was required by statute.  </w:t>
      </w:r>
      <w:r w:rsidR="004A27F4" w:rsidRPr="00871563">
        <w:t>The</w:t>
      </w:r>
      <w:r w:rsidRPr="00871563">
        <w:t xml:space="preserve"> utility and this Commission are bound by the Public Utility Code, which does not permit either of them to recognize the applicability of a</w:t>
      </w:r>
      <w:r w:rsidR="005E7953" w:rsidRPr="00871563">
        <w:t>n agreement</w:t>
      </w:r>
      <w:r w:rsidRPr="00871563">
        <w:t xml:space="preserve"> between the owner and renter which permits the existence of the foreign load.</w:t>
      </w:r>
    </w:p>
    <w:p w:rsidR="0001583F" w:rsidRPr="00871563" w:rsidRDefault="0001583F" w:rsidP="0001583F">
      <w:pPr>
        <w:jc w:val="left"/>
      </w:pPr>
    </w:p>
    <w:p w:rsidR="0001583F" w:rsidRPr="00871563" w:rsidRDefault="0001583F" w:rsidP="0001583F">
      <w:pPr>
        <w:jc w:val="left"/>
      </w:pPr>
      <w:r w:rsidRPr="00871563">
        <w:tab/>
      </w:r>
      <w:r w:rsidRPr="00871563">
        <w:tab/>
        <w:t xml:space="preserve">In </w:t>
      </w:r>
      <w:r w:rsidRPr="00871563">
        <w:rPr>
          <w:i/>
        </w:rPr>
        <w:t>A-1 Realty,</w:t>
      </w:r>
      <w:r w:rsidRPr="00871563">
        <w:t xml:space="preserve"> as in the present case, the Complainant sought to have the arrearage transferred back to the tenants following correction of the foreign load.  There is no provision in the law to support a transfer back of the arrearage.</w:t>
      </w:r>
    </w:p>
    <w:p w:rsidR="0001583F" w:rsidRPr="00871563" w:rsidRDefault="0001583F" w:rsidP="0001583F">
      <w:pPr>
        <w:jc w:val="left"/>
      </w:pPr>
    </w:p>
    <w:p w:rsidR="0001583F" w:rsidRPr="00871563" w:rsidRDefault="0001583F" w:rsidP="0001583F">
      <w:pPr>
        <w:jc w:val="left"/>
      </w:pPr>
      <w:r w:rsidRPr="00871563">
        <w:tab/>
      </w:r>
      <w:r w:rsidRPr="00871563">
        <w:tab/>
        <w:t xml:space="preserve">While this may seem harsh, the intent of the statute is to prevent landlords from taking unfair advantage of tenants by placing responsibility </w:t>
      </w:r>
      <w:r w:rsidR="004A27F4" w:rsidRPr="00871563">
        <w:t xml:space="preserve">on the tenant </w:t>
      </w:r>
      <w:r w:rsidRPr="00871563">
        <w:t>for payment of electricity used in areas</w:t>
      </w:r>
      <w:r w:rsidR="004A27F4" w:rsidRPr="00871563">
        <w:t xml:space="preserve"> other than those specific to the lease</w:t>
      </w:r>
      <w:r w:rsidRPr="00871563">
        <w:t>.  The statute shifts the duty to pay for the meter which registers the public area usage to the landlord, and it does not shift responsibility for electricity already used back to the tenant even when the meter account is placed back in the tenant's name.  Any arrearage would include the usage</w:t>
      </w:r>
      <w:r w:rsidR="005E7953" w:rsidRPr="00871563">
        <w:t xml:space="preserve"> for the basement unit</w:t>
      </w:r>
      <w:r w:rsidRPr="00871563">
        <w:t xml:space="preserve">, and thus, </w:t>
      </w:r>
      <w:r w:rsidR="005E7953" w:rsidRPr="00871563">
        <w:t>responsibility for it</w:t>
      </w:r>
      <w:r w:rsidRPr="00871563">
        <w:t xml:space="preserve"> remains with the landlord.  This represents a policy decision reached by the legislature and memorialized and enforced through the Public Utility Code.  Accordingly, the statute requires that the arrearage from the tenant's account prior to the transfer to the Complainant's account must remain with the Complainant.</w:t>
      </w:r>
    </w:p>
    <w:p w:rsidR="001C6F44" w:rsidRPr="00871563" w:rsidRDefault="001C6F44" w:rsidP="0001583F">
      <w:pPr>
        <w:jc w:val="left"/>
      </w:pPr>
    </w:p>
    <w:p w:rsidR="006A2CB3" w:rsidRPr="00871563" w:rsidRDefault="001C6F44" w:rsidP="0001583F">
      <w:pPr>
        <w:jc w:val="left"/>
      </w:pPr>
      <w:r w:rsidRPr="00871563">
        <w:tab/>
      </w:r>
      <w:r w:rsidRPr="00871563">
        <w:tab/>
        <w:t xml:space="preserve">Complainant questions PECO's practice of extending service to a caller </w:t>
      </w:r>
      <w:r w:rsidR="004A27F4" w:rsidRPr="00871563">
        <w:t xml:space="preserve">who </w:t>
      </w:r>
      <w:r w:rsidRPr="00871563">
        <w:t xml:space="preserve">does not provide a lease or deed for the property, although </w:t>
      </w:r>
      <w:r w:rsidR="004A27F4" w:rsidRPr="00871563">
        <w:t>PECO d</w:t>
      </w:r>
      <w:r w:rsidRPr="00871563">
        <w:t>o</w:t>
      </w:r>
      <w:r w:rsidR="004A27F4" w:rsidRPr="00871563">
        <w:t>es</w:t>
      </w:r>
      <w:r w:rsidRPr="00871563">
        <w:t xml:space="preserve"> require identification and perform a credit check.  Here, </w:t>
      </w:r>
      <w:r w:rsidR="00261A06" w:rsidRPr="00871563">
        <w:t>PECO acted within its tariff:</w:t>
      </w:r>
    </w:p>
    <w:p w:rsidR="004A27F4" w:rsidRPr="00871563" w:rsidRDefault="004A27F4" w:rsidP="0001583F">
      <w:pPr>
        <w:jc w:val="left"/>
      </w:pPr>
    </w:p>
    <w:p w:rsidR="006A2CB3" w:rsidRPr="00871563" w:rsidRDefault="006A2CB3" w:rsidP="00261A06">
      <w:pPr>
        <w:autoSpaceDE w:val="0"/>
        <w:autoSpaceDN w:val="0"/>
        <w:adjustRightInd w:val="0"/>
        <w:spacing w:line="240" w:lineRule="auto"/>
        <w:ind w:left="1440" w:right="1440"/>
        <w:rPr>
          <w:b/>
          <w:bCs/>
        </w:rPr>
      </w:pPr>
      <w:r w:rsidRPr="00871563">
        <w:rPr>
          <w:b/>
          <w:bCs/>
        </w:rPr>
        <w:t>4. APPLICATION FOR SERVICE</w:t>
      </w:r>
    </w:p>
    <w:p w:rsidR="00261A06" w:rsidRPr="00871563" w:rsidRDefault="00261A06" w:rsidP="00261A06">
      <w:pPr>
        <w:autoSpaceDE w:val="0"/>
        <w:autoSpaceDN w:val="0"/>
        <w:adjustRightInd w:val="0"/>
        <w:spacing w:line="240" w:lineRule="auto"/>
        <w:ind w:left="1440" w:right="1440"/>
        <w:rPr>
          <w:b/>
          <w:bCs/>
        </w:rPr>
      </w:pPr>
    </w:p>
    <w:p w:rsidR="006A2CB3" w:rsidRPr="00871563" w:rsidRDefault="006A2CB3" w:rsidP="00261A06">
      <w:pPr>
        <w:autoSpaceDE w:val="0"/>
        <w:autoSpaceDN w:val="0"/>
        <w:adjustRightInd w:val="0"/>
        <w:spacing w:line="240" w:lineRule="auto"/>
        <w:ind w:left="1440" w:right="1440"/>
        <w:jc w:val="left"/>
      </w:pPr>
      <w:r w:rsidRPr="00871563">
        <w:rPr>
          <w:b/>
          <w:bCs/>
        </w:rPr>
        <w:t xml:space="preserve">4.1 PLACE OF APPLICATION. </w:t>
      </w:r>
      <w:r w:rsidR="006D00D3">
        <w:rPr>
          <w:b/>
          <w:bCs/>
        </w:rPr>
        <w:t xml:space="preserve"> </w:t>
      </w:r>
      <w:r w:rsidRPr="00871563">
        <w:t>Customers may apply for service at the Company’s Principle Office or, in some cases, over the</w:t>
      </w:r>
      <w:r w:rsidR="00261A06" w:rsidRPr="00871563">
        <w:t xml:space="preserve"> </w:t>
      </w:r>
      <w:r w:rsidRPr="00871563">
        <w:t>telephone.</w:t>
      </w:r>
    </w:p>
    <w:p w:rsidR="006A2CB3" w:rsidRPr="00871563" w:rsidRDefault="006A2CB3" w:rsidP="00261A06">
      <w:pPr>
        <w:autoSpaceDE w:val="0"/>
        <w:autoSpaceDN w:val="0"/>
        <w:adjustRightInd w:val="0"/>
        <w:spacing w:line="240" w:lineRule="auto"/>
        <w:ind w:left="1440" w:right="1440"/>
        <w:jc w:val="left"/>
      </w:pPr>
      <w:r w:rsidRPr="00871563">
        <w:rPr>
          <w:b/>
          <w:bCs/>
        </w:rPr>
        <w:t xml:space="preserve">4.2 SERVICE CONTRACT. </w:t>
      </w:r>
      <w:r w:rsidR="006D00D3">
        <w:rPr>
          <w:b/>
          <w:bCs/>
        </w:rPr>
        <w:t xml:space="preserve"> </w:t>
      </w:r>
      <w:r w:rsidRPr="00871563">
        <w:t>Every applicant for service may be required to sign a contract, agreement, or other form then in use by</w:t>
      </w:r>
    </w:p>
    <w:p w:rsidR="006A2CB3" w:rsidRPr="00871563" w:rsidRDefault="006A2CB3" w:rsidP="00261A06">
      <w:pPr>
        <w:autoSpaceDE w:val="0"/>
        <w:autoSpaceDN w:val="0"/>
        <w:adjustRightInd w:val="0"/>
        <w:spacing w:line="240" w:lineRule="auto"/>
        <w:ind w:left="1440" w:right="1440"/>
        <w:jc w:val="left"/>
      </w:pPr>
      <w:r w:rsidRPr="00871563">
        <w:t>the Company, covering the special circumstances of the use of service, and shall abide by these Rules and Regulations and the standard</w:t>
      </w:r>
      <w:r w:rsidR="00261A06" w:rsidRPr="00871563">
        <w:t xml:space="preserve"> </w:t>
      </w:r>
      <w:r w:rsidRPr="00871563">
        <w:t>requirements of the Company.</w:t>
      </w:r>
    </w:p>
    <w:p w:rsidR="006A2CB3" w:rsidRPr="00871563" w:rsidRDefault="006A2CB3" w:rsidP="00261A06">
      <w:pPr>
        <w:autoSpaceDE w:val="0"/>
        <w:autoSpaceDN w:val="0"/>
        <w:adjustRightInd w:val="0"/>
        <w:spacing w:line="240" w:lineRule="auto"/>
        <w:ind w:left="1440" w:right="1440"/>
        <w:jc w:val="left"/>
      </w:pPr>
      <w:r w:rsidRPr="00871563">
        <w:rPr>
          <w:b/>
          <w:bCs/>
        </w:rPr>
        <w:t xml:space="preserve">4.3 CONTRACT DATA. </w:t>
      </w:r>
      <w:r w:rsidR="00536F5C">
        <w:rPr>
          <w:b/>
          <w:bCs/>
        </w:rPr>
        <w:t xml:space="preserve"> </w:t>
      </w:r>
      <w:r w:rsidRPr="00871563">
        <w:t>The application shall contain a statement of the premises to be served, the rate under which service is</w:t>
      </w:r>
      <w:r w:rsidR="00261A06" w:rsidRPr="00871563">
        <w:t xml:space="preserve"> </w:t>
      </w:r>
      <w:r w:rsidRPr="00871563">
        <w:t>desired, and such conditions or riders as are applicable to the special circumstances of the case.</w:t>
      </w:r>
    </w:p>
    <w:p w:rsidR="006A2CB3" w:rsidRPr="00871563" w:rsidRDefault="006A2CB3" w:rsidP="00261A06">
      <w:pPr>
        <w:autoSpaceDE w:val="0"/>
        <w:autoSpaceDN w:val="0"/>
        <w:adjustRightInd w:val="0"/>
        <w:spacing w:line="240" w:lineRule="auto"/>
        <w:ind w:left="1440" w:right="1440"/>
        <w:jc w:val="left"/>
      </w:pPr>
      <w:r w:rsidRPr="00871563">
        <w:rPr>
          <w:b/>
          <w:bCs/>
        </w:rPr>
        <w:t xml:space="preserve">4.4 RIGHT TO REJECT. </w:t>
      </w:r>
      <w:r w:rsidR="00D3738D">
        <w:rPr>
          <w:b/>
          <w:bCs/>
        </w:rPr>
        <w:t xml:space="preserve"> </w:t>
      </w:r>
      <w:r w:rsidRPr="00871563">
        <w:t>The Company may place limitations on the amount and character of service it will supply or may reject</w:t>
      </w:r>
    </w:p>
    <w:p w:rsidR="006A2CB3" w:rsidRPr="00871563" w:rsidRDefault="006A2CB3" w:rsidP="00261A06">
      <w:pPr>
        <w:autoSpaceDE w:val="0"/>
        <w:autoSpaceDN w:val="0"/>
        <w:adjustRightInd w:val="0"/>
        <w:spacing w:line="240" w:lineRule="auto"/>
        <w:ind w:left="1440" w:right="1440"/>
        <w:jc w:val="left"/>
      </w:pPr>
      <w:r w:rsidRPr="00871563">
        <w:t>applications for service: not available under a standard rate; which might affect service to other customers; which is to be delivered at a</w:t>
      </w:r>
      <w:r w:rsidR="00261A06" w:rsidRPr="00871563">
        <w:t xml:space="preserve"> </w:t>
      </w:r>
      <w:r w:rsidRPr="00871563">
        <w:t>location or at a standard voltage that involves excessive cost; for bad credit; for the applicant's failure to provide identifying documentation;</w:t>
      </w:r>
      <w:r w:rsidR="00261A06" w:rsidRPr="00871563">
        <w:t xml:space="preserve"> </w:t>
      </w:r>
      <w:r w:rsidRPr="00871563">
        <w:t xml:space="preserve">when an applicant's self-identification cannot be verified; or for other good and sufficient reasons. </w:t>
      </w:r>
      <w:r w:rsidR="002B562D">
        <w:t xml:space="preserve"> </w:t>
      </w:r>
      <w:r w:rsidRPr="00871563">
        <w:t>Customers cannot be denied Default</w:t>
      </w:r>
      <w:r w:rsidR="00261A06" w:rsidRPr="00871563">
        <w:t xml:space="preserve"> </w:t>
      </w:r>
      <w:r w:rsidRPr="00871563">
        <w:t>Service or new service for failure to pay an EGS’s charges.</w:t>
      </w:r>
      <w:r w:rsidR="00261A06" w:rsidRPr="00871563">
        <w:t xml:space="preserve"> </w:t>
      </w:r>
      <w:r w:rsidR="002B562D">
        <w:t xml:space="preserve"> </w:t>
      </w:r>
      <w:r w:rsidRPr="00871563">
        <w:t>The Company has the right to restrict service to only those locations which will not expose the Company to liability for known or</w:t>
      </w:r>
      <w:r w:rsidR="00261A06" w:rsidRPr="00871563">
        <w:t xml:space="preserve"> </w:t>
      </w:r>
      <w:r w:rsidRPr="00871563">
        <w:t>suspected contamination, waste or hazardous materials or other adverse environmental conditions.</w:t>
      </w:r>
    </w:p>
    <w:p w:rsidR="006A2CB3" w:rsidRPr="00871563" w:rsidRDefault="002B562D" w:rsidP="00261A06">
      <w:pPr>
        <w:autoSpaceDE w:val="0"/>
        <w:autoSpaceDN w:val="0"/>
        <w:adjustRightInd w:val="0"/>
        <w:spacing w:line="240" w:lineRule="auto"/>
        <w:ind w:left="1440" w:right="1440"/>
        <w:jc w:val="left"/>
        <w:rPr>
          <w:b/>
          <w:bCs/>
        </w:rPr>
      </w:pPr>
      <w:r>
        <w:rPr>
          <w:b/>
          <w:bCs/>
        </w:rPr>
        <w:t>Tariff Electric Pa.PUC</w:t>
      </w:r>
      <w:r w:rsidR="006A2CB3" w:rsidRPr="00871563">
        <w:rPr>
          <w:b/>
          <w:bCs/>
        </w:rPr>
        <w:t xml:space="preserve"> No. 4</w:t>
      </w:r>
    </w:p>
    <w:p w:rsidR="001C6F44" w:rsidRPr="00871563" w:rsidRDefault="006A2CB3" w:rsidP="00261A06">
      <w:pPr>
        <w:spacing w:line="240" w:lineRule="auto"/>
        <w:ind w:left="1440" w:right="1440"/>
        <w:jc w:val="left"/>
      </w:pPr>
      <w:r w:rsidRPr="00871563">
        <w:rPr>
          <w:b/>
          <w:bCs/>
        </w:rPr>
        <w:t>PECO Energy Company Original Page No. 12</w:t>
      </w:r>
    </w:p>
    <w:p w:rsidR="0001583F" w:rsidRPr="00871563" w:rsidRDefault="0001583F" w:rsidP="0001583F">
      <w:pPr>
        <w:jc w:val="left"/>
      </w:pPr>
    </w:p>
    <w:p w:rsidR="008C42C3" w:rsidRDefault="008C42C3" w:rsidP="0001583F">
      <w:pPr>
        <w:jc w:val="left"/>
      </w:pPr>
      <w:r>
        <w:tab/>
      </w:r>
      <w:r>
        <w:tab/>
        <w:t xml:space="preserve">It is well-established that a tariff provision has the full force and effect of law and is binding on the utility and its customers, </w:t>
      </w:r>
      <w:r>
        <w:rPr>
          <w:i/>
        </w:rPr>
        <w:t xml:space="preserve">PPL Electric Utilities Corp. v. Pa. Pub. Util. Comm'n, </w:t>
      </w:r>
      <w:r w:rsidRPr="008C42C3">
        <w:t>912 A.2d 387, 402 (Pa.Cmwlth. 2006);</w:t>
      </w:r>
      <w:r>
        <w:rPr>
          <w:i/>
        </w:rPr>
        <w:t xml:space="preserve"> </w:t>
      </w:r>
      <w:r w:rsidRPr="008C42C3">
        <w:rPr>
          <w:i/>
        </w:rPr>
        <w:t>Pennsylvania Electric Co. v. Pa. Publ. Util. Comm'n,</w:t>
      </w:r>
      <w:r>
        <w:t xml:space="preserve"> 663 A.2d 281, 284 (Pa.Cmwlth. 1994; </w:t>
      </w:r>
      <w:r>
        <w:rPr>
          <w:i/>
        </w:rPr>
        <w:t xml:space="preserve">Brockway Glass Co. v. Pa. Publ. Util. Comm'n, </w:t>
      </w:r>
      <w:r>
        <w:t>437 A.2d 1067, 1070 (Pa.Cmwlth. 1981).  Absent a finding that the provision</w:t>
      </w:r>
      <w:r w:rsidR="00CF40A2">
        <w:t xml:space="preserve"> of the tariff</w:t>
      </w:r>
      <w:r>
        <w:t xml:space="preserve"> is discriminatory</w:t>
      </w:r>
      <w:r w:rsidR="00CF40A2">
        <w:t xml:space="preserve">, 66 Pa.C.S. § 1304, a utility must comply with it. </w:t>
      </w:r>
      <w:r w:rsidR="00261A06" w:rsidRPr="00871563">
        <w:tab/>
      </w:r>
      <w:r w:rsidR="00261A06" w:rsidRPr="00871563">
        <w:tab/>
      </w:r>
    </w:p>
    <w:p w:rsidR="008C42C3" w:rsidRDefault="008C42C3" w:rsidP="0001583F">
      <w:pPr>
        <w:jc w:val="left"/>
      </w:pPr>
    </w:p>
    <w:p w:rsidR="00261A06" w:rsidRPr="00871563" w:rsidRDefault="00CF40A2" w:rsidP="0001583F">
      <w:pPr>
        <w:jc w:val="left"/>
      </w:pPr>
      <w:r>
        <w:tab/>
      </w:r>
      <w:r>
        <w:tab/>
      </w:r>
      <w:r w:rsidR="00261A06" w:rsidRPr="00871563">
        <w:t xml:space="preserve">I note that PECO would be unable to hold Complainant responsible for the outstanding bill for her rental property if she had not permitted foreign wiring to exist.  </w:t>
      </w:r>
      <w:r w:rsidR="004A27F4" w:rsidRPr="00871563">
        <w:t xml:space="preserve">While Complainant can control to whom she leases her property, she has no control over whose name the utility service is in.  </w:t>
      </w:r>
      <w:r w:rsidR="00261A06" w:rsidRPr="00871563">
        <w:t xml:space="preserve">It is not PECO's service to the rental unit which results in her liability, it is the </w:t>
      </w:r>
      <w:r w:rsidR="00261A06" w:rsidRPr="00871563">
        <w:rPr>
          <w:i/>
        </w:rPr>
        <w:t>condition</w:t>
      </w:r>
      <w:r w:rsidR="00261A06" w:rsidRPr="00871563">
        <w:t xml:space="preserve"> of the rental unit, something that was completely within her control.</w:t>
      </w:r>
    </w:p>
    <w:p w:rsidR="00261A06" w:rsidRPr="00871563" w:rsidRDefault="00261A06" w:rsidP="0001583F">
      <w:pPr>
        <w:jc w:val="left"/>
      </w:pPr>
    </w:p>
    <w:p w:rsidR="0001583F" w:rsidRPr="00871563" w:rsidRDefault="0001583F" w:rsidP="0001583F">
      <w:pPr>
        <w:jc w:val="left"/>
      </w:pPr>
      <w:r w:rsidRPr="00871563">
        <w:tab/>
      </w:r>
      <w:r w:rsidRPr="00871563">
        <w:tab/>
        <w:t>The actions of the Respondent were legally sound</w:t>
      </w:r>
      <w:r w:rsidR="00261A06" w:rsidRPr="00871563">
        <w:t>, and Co</w:t>
      </w:r>
      <w:bookmarkStart w:id="2" w:name="_GoBack"/>
      <w:bookmarkEnd w:id="2"/>
      <w:r w:rsidR="00261A06" w:rsidRPr="00871563">
        <w:t>mplainant must seek compensation from her former tenants in another forum</w:t>
      </w:r>
      <w:r w:rsidRPr="00871563">
        <w:t xml:space="preserve">.  Accordingly, </w:t>
      </w:r>
      <w:r w:rsidR="00CD1CFD" w:rsidRPr="00871563">
        <w:t>t</w:t>
      </w:r>
      <w:r w:rsidRPr="00871563">
        <w:t>he Complaint is dismissed.</w:t>
      </w:r>
    </w:p>
    <w:p w:rsidR="00AF2031" w:rsidRPr="00871563" w:rsidRDefault="00AF2031" w:rsidP="00151279">
      <w:pPr>
        <w:jc w:val="left"/>
      </w:pPr>
    </w:p>
    <w:p w:rsidR="005E7953" w:rsidRPr="00871563" w:rsidRDefault="005E7953" w:rsidP="005E7953">
      <w:pPr>
        <w:rPr>
          <w:u w:val="single"/>
        </w:rPr>
      </w:pPr>
      <w:r w:rsidRPr="00871563">
        <w:rPr>
          <w:u w:val="single"/>
        </w:rPr>
        <w:t>CONCLUSIONS OF LAW</w:t>
      </w:r>
    </w:p>
    <w:p w:rsidR="005E7953" w:rsidRPr="00871563" w:rsidRDefault="005E7953" w:rsidP="005E7953"/>
    <w:p w:rsidR="005E7953" w:rsidRPr="00871563" w:rsidRDefault="005E7953" w:rsidP="005E7953">
      <w:pPr>
        <w:contextualSpacing/>
        <w:jc w:val="left"/>
      </w:pPr>
      <w:r w:rsidRPr="00871563">
        <w:tab/>
      </w:r>
      <w:r w:rsidRPr="00871563">
        <w:tab/>
        <w:t>1.</w:t>
      </w:r>
      <w:r w:rsidRPr="00871563">
        <w:tab/>
        <w:t>The Commission has jurisdiction over the subject matter of this case.</w:t>
      </w:r>
    </w:p>
    <w:p w:rsidR="005E7953" w:rsidRPr="00871563" w:rsidRDefault="005E7953" w:rsidP="005E7953">
      <w:pPr>
        <w:contextualSpacing/>
        <w:jc w:val="left"/>
      </w:pPr>
    </w:p>
    <w:p w:rsidR="00A741FC" w:rsidRPr="00871563" w:rsidRDefault="005E7953" w:rsidP="00A741FC">
      <w:pPr>
        <w:jc w:val="left"/>
      </w:pPr>
      <w:r w:rsidRPr="00871563">
        <w:tab/>
      </w:r>
      <w:r w:rsidRPr="00871563">
        <w:tab/>
        <w:t>2.</w:t>
      </w:r>
      <w:r w:rsidRPr="00871563">
        <w:tab/>
      </w:r>
      <w:r w:rsidR="00A741FC" w:rsidRPr="00871563">
        <w:t xml:space="preserve">The party seeking affirmative relief from the Commission bears the burden of proof.  66 Pa.C.S. § 332(a).  As a matter of law, a complainant must show that the named utility is responsible or accountable for the problem described in the Complaint in order to prevail.  </w:t>
      </w:r>
      <w:r w:rsidR="00A741FC" w:rsidRPr="00871563">
        <w:rPr>
          <w:i/>
        </w:rPr>
        <w:t xml:space="preserve">Patterson v. Bell Tel. Co. of PA, </w:t>
      </w:r>
      <w:r w:rsidR="00A741FC" w:rsidRPr="00871563">
        <w:t xml:space="preserve">72 Pa. PUC 196 (1990); </w:t>
      </w:r>
      <w:r w:rsidR="00A741FC" w:rsidRPr="00871563">
        <w:rPr>
          <w:i/>
        </w:rPr>
        <w:t xml:space="preserve">Feinstein v. Phila. Suburban Water Co., </w:t>
      </w:r>
      <w:r w:rsidR="00A741FC" w:rsidRPr="00871563">
        <w:t>50 Pa. PUC 300 (1976).</w:t>
      </w:r>
    </w:p>
    <w:p w:rsidR="00A741FC" w:rsidRPr="00871563" w:rsidRDefault="00A741FC" w:rsidP="00A741FC">
      <w:pPr>
        <w:jc w:val="left"/>
      </w:pPr>
    </w:p>
    <w:p w:rsidR="00A741FC" w:rsidRPr="00871563" w:rsidRDefault="00A741FC" w:rsidP="00A741FC">
      <w:pPr>
        <w:jc w:val="left"/>
      </w:pPr>
      <w:r w:rsidRPr="00871563">
        <w:tab/>
      </w:r>
      <w:r w:rsidRPr="00871563">
        <w:tab/>
        <w:t>3.</w:t>
      </w:r>
      <w:r w:rsidRPr="00871563">
        <w:tab/>
        <w:t>The burden of proof must be carried by a p</w:t>
      </w:r>
      <w:r w:rsidR="0024075E">
        <w:t xml:space="preserve">reponderance of the evidence.  </w:t>
      </w:r>
      <w:r w:rsidRPr="00871563">
        <w:rPr>
          <w:i/>
        </w:rPr>
        <w:t xml:space="preserve">Samuel J. Lansberry, Inc. v. Pa. Pub. Util. Comm'n, </w:t>
      </w:r>
      <w:r w:rsidRPr="00871563">
        <w:t xml:space="preserve">578 A.2d 600 (1990), </w:t>
      </w:r>
      <w:r w:rsidRPr="00871563">
        <w:rPr>
          <w:i/>
        </w:rPr>
        <w:t>alloc, denied</w:t>
      </w:r>
      <w:r w:rsidRPr="00871563">
        <w:t xml:space="preserve">, 602 A.2d 863 (1992).  A preponderance of evidence is that which is more convincing, by even the smallest amount, than that presented by the other party.  </w:t>
      </w:r>
      <w:r w:rsidRPr="00871563">
        <w:rPr>
          <w:i/>
        </w:rPr>
        <w:t>Se-Ling Hosiery v. Margulies,</w:t>
      </w:r>
      <w:r w:rsidRPr="00871563">
        <w:t xml:space="preserve"> </w:t>
      </w:r>
      <w:r w:rsidR="001A7B51">
        <w:rPr>
          <w:color w:val="333333"/>
        </w:rPr>
        <w:t>364 Pa. </w:t>
      </w:r>
      <w:r w:rsidRPr="00871563">
        <w:rPr>
          <w:color w:val="333333"/>
        </w:rPr>
        <w:t>45, 70 A.2d 854, 1950 Pa. LEXIS 316 (1950)</w:t>
      </w:r>
      <w:r w:rsidRPr="00871563">
        <w:t>.</w:t>
      </w:r>
    </w:p>
    <w:p w:rsidR="00A741FC" w:rsidRPr="00871563" w:rsidRDefault="00A741FC" w:rsidP="00A741FC">
      <w:pPr>
        <w:jc w:val="left"/>
      </w:pPr>
    </w:p>
    <w:p w:rsidR="00A741FC" w:rsidRPr="00871563" w:rsidRDefault="00A741FC" w:rsidP="00A741FC">
      <w:pPr>
        <w:jc w:val="left"/>
      </w:pPr>
      <w:r w:rsidRPr="00871563">
        <w:tab/>
      </w:r>
      <w:r w:rsidRPr="00871563">
        <w:tab/>
        <w:t>4.</w:t>
      </w:r>
      <w:r w:rsidRPr="00871563">
        <w:tab/>
        <w:t xml:space="preserve">Any finding of fact necessary to support the Commission's adjudication must be based upon substantial evidence.  </w:t>
      </w:r>
      <w:r w:rsidRPr="00871563">
        <w:rPr>
          <w:i/>
        </w:rPr>
        <w:t>Mill v. Pa. Pub. Util. Comm'n</w:t>
      </w:r>
      <w:r w:rsidRPr="00871563">
        <w:t xml:space="preserve">, 447 A.2d 1100 (Pa.Cmwlth. 1982); </w:t>
      </w:r>
      <w:r w:rsidRPr="00871563">
        <w:rPr>
          <w:i/>
        </w:rPr>
        <w:t xml:space="preserve">Edan Transportation Corp. v. Pa. Pub. Util. Comm'n, </w:t>
      </w:r>
      <w:r w:rsidRPr="00871563">
        <w:t xml:space="preserve">623 A.2d 6 (Pa. Cmwlth. 1993); 2 Pa.C.S. § 704.  More is required than a mere trace of evidence or a suspicion of the existence of a fact sought to be established.  </w:t>
      </w:r>
      <w:r w:rsidRPr="00871563">
        <w:rPr>
          <w:i/>
        </w:rPr>
        <w:t xml:space="preserve">Norfolk and Western Ry. v. Pa. Pub. Util. Comm'n, </w:t>
      </w:r>
      <w:r w:rsidRPr="00871563">
        <w:t xml:space="preserve">489 Pa. 109, 413 A.2d 1037 (1980); </w:t>
      </w:r>
      <w:r w:rsidRPr="00871563">
        <w:rPr>
          <w:i/>
        </w:rPr>
        <w:t xml:space="preserve">Erie Resistor Corp. v. Unemployment Compensation Bd. Of Review, </w:t>
      </w:r>
      <w:r w:rsidRPr="00871563">
        <w:t xml:space="preserve">166 A.2d 96 (Pa.Super. 1960); </w:t>
      </w:r>
      <w:r w:rsidRPr="00871563">
        <w:rPr>
          <w:i/>
        </w:rPr>
        <w:t xml:space="preserve">Murphy v. Dep't. of Public Welfare, White Haven Center, </w:t>
      </w:r>
      <w:r w:rsidRPr="00871563">
        <w:t>480 A.2d 382 (Pa. Cmwlth. 1984).</w:t>
      </w:r>
    </w:p>
    <w:p w:rsidR="00A741FC" w:rsidRPr="00871563" w:rsidRDefault="00A741FC" w:rsidP="00A741FC">
      <w:pPr>
        <w:jc w:val="left"/>
      </w:pPr>
    </w:p>
    <w:p w:rsidR="00A741FC" w:rsidRPr="00871563" w:rsidRDefault="00A741FC" w:rsidP="00A741FC">
      <w:pPr>
        <w:jc w:val="left"/>
      </w:pPr>
      <w:r w:rsidRPr="00871563">
        <w:tab/>
      </w:r>
      <w:r w:rsidRPr="00871563">
        <w:tab/>
        <w:t>5.</w:t>
      </w:r>
      <w:r w:rsidRPr="00871563">
        <w:tab/>
        <w:t>The offense must be a violation of the Public Utility Code, the Commission's regulations, or an outstanding order of the Commission.  66 Pa.C.S. § 701.</w:t>
      </w:r>
    </w:p>
    <w:p w:rsidR="00A741FC" w:rsidRPr="00871563" w:rsidRDefault="00A741FC" w:rsidP="00A741FC">
      <w:pPr>
        <w:jc w:val="left"/>
      </w:pPr>
    </w:p>
    <w:p w:rsidR="00A741FC" w:rsidRPr="00871563" w:rsidRDefault="00A741FC" w:rsidP="00A741FC">
      <w:pPr>
        <w:ind w:firstLine="1440"/>
        <w:jc w:val="left"/>
      </w:pPr>
      <w:r w:rsidRPr="00871563">
        <w:t>6.</w:t>
      </w:r>
      <w:r w:rsidRPr="00871563">
        <w:tab/>
        <w:t>As the proponent of a Commission order, complainant has the burden of proof in this case.  66 Pa.C.S.A. § 332(a).</w:t>
      </w:r>
    </w:p>
    <w:p w:rsidR="005E7953" w:rsidRPr="00871563" w:rsidRDefault="005E7953" w:rsidP="005E7953">
      <w:pPr>
        <w:jc w:val="left"/>
      </w:pPr>
    </w:p>
    <w:p w:rsidR="00A741FC" w:rsidRPr="00871563" w:rsidRDefault="005E7953" w:rsidP="005E7953">
      <w:pPr>
        <w:jc w:val="left"/>
        <w:rPr>
          <w:rFonts w:eastAsia="Times New Roman"/>
        </w:rPr>
      </w:pPr>
      <w:r w:rsidRPr="00871563">
        <w:tab/>
      </w:r>
      <w:r w:rsidRPr="00871563">
        <w:tab/>
        <w:t>7.</w:t>
      </w:r>
      <w:r w:rsidRPr="00871563">
        <w:tab/>
      </w:r>
      <w:r w:rsidRPr="00871563">
        <w:rPr>
          <w:rFonts w:eastAsia="Times New Roman"/>
        </w:rPr>
        <w:t xml:space="preserve">In the case of individually metered dwelling units, unless notified to the contrary by the tenant or an authorized representative, an affected public utility shall list the account for the premises in question in the name of the owner, and the owner shall be responsible for the payment for utility services to the premises.  </w:t>
      </w:r>
      <w:hyperlink r:id="rId11" w:history="1">
        <w:r w:rsidRPr="00871563">
          <w:rPr>
            <w:rFonts w:eastAsia="Times New Roman"/>
          </w:rPr>
          <w:t>66 Pa.C.S. § 1529.1(b)</w:t>
        </w:r>
      </w:hyperlink>
      <w:r w:rsidR="00A741FC" w:rsidRPr="00871563">
        <w:rPr>
          <w:rFonts w:eastAsia="Times New Roman"/>
        </w:rPr>
        <w:t>.</w:t>
      </w:r>
    </w:p>
    <w:p w:rsidR="005E7953" w:rsidRPr="00871563" w:rsidRDefault="00A741FC" w:rsidP="005E7953">
      <w:pPr>
        <w:jc w:val="left"/>
        <w:rPr>
          <w:rFonts w:eastAsia="Times New Roman"/>
        </w:rPr>
      </w:pPr>
      <w:r w:rsidRPr="00871563">
        <w:rPr>
          <w:rFonts w:eastAsia="Times New Roman"/>
        </w:rPr>
        <w:t xml:space="preserve"> </w:t>
      </w:r>
    </w:p>
    <w:p w:rsidR="005E7953" w:rsidRPr="00871563" w:rsidRDefault="005E7953" w:rsidP="005E7953">
      <w:pPr>
        <w:jc w:val="left"/>
      </w:pPr>
      <w:r w:rsidRPr="00871563">
        <w:rPr>
          <w:rFonts w:eastAsia="Times New Roman"/>
        </w:rPr>
        <w:tab/>
      </w:r>
      <w:r w:rsidRPr="00871563">
        <w:rPr>
          <w:rFonts w:eastAsia="Times New Roman"/>
        </w:rPr>
        <w:tab/>
        <w:t>8.</w:t>
      </w:r>
      <w:r w:rsidRPr="00871563">
        <w:rPr>
          <w:rFonts w:eastAsia="Times New Roman"/>
        </w:rPr>
        <w:tab/>
        <w:t>The phrase "not individually metered"</w:t>
      </w:r>
      <w:r w:rsidRPr="00871563">
        <w:t xml:space="preserve"> is defined as "the utility meter for the unit is registering a foreign load, or usage not exclusive to the dwelling unit or its occupants."  </w:t>
      </w:r>
      <w:r w:rsidRPr="00871563">
        <w:rPr>
          <w:i/>
          <w:iCs/>
        </w:rPr>
        <w:t>Del Vecchio v. PPL Elec. Util. Corp</w:t>
      </w:r>
      <w:r w:rsidRPr="00871563">
        <w:t xml:space="preserve">., Docket No. Z-01464793 (Pa. PUC 2005); </w:t>
      </w:r>
      <w:r w:rsidRPr="00871563">
        <w:rPr>
          <w:i/>
          <w:iCs/>
        </w:rPr>
        <w:t>see also Cosme v. PECO Energy Co</w:t>
      </w:r>
      <w:r w:rsidRPr="00871563">
        <w:t xml:space="preserve">., Docket No. C-2010-2171497 (Pa. PUC 2012); </w:t>
      </w:r>
      <w:r w:rsidRPr="00871563">
        <w:rPr>
          <w:i/>
          <w:iCs/>
        </w:rPr>
        <w:t>Albright v. UGI Penn Natural Gas Co., Inc</w:t>
      </w:r>
      <w:r w:rsidRPr="00871563">
        <w:t>., Docket No. F-2009-2139408 (Pa. PUC 2012).</w:t>
      </w:r>
      <w:r w:rsidRPr="00871563">
        <w:br/>
      </w:r>
      <w:r w:rsidRPr="00871563">
        <w:br/>
      </w:r>
      <w:r w:rsidRPr="00871563">
        <w:tab/>
      </w:r>
      <w:r w:rsidRPr="00871563">
        <w:tab/>
        <w:t>9.</w:t>
      </w:r>
      <w:r w:rsidRPr="00871563">
        <w:tab/>
        <w:t xml:space="preserve">It </w:t>
      </w:r>
      <w:r w:rsidR="003929CA">
        <w:t>is well established that "shall"</w:t>
      </w:r>
      <w:r w:rsidRPr="00871563">
        <w:t xml:space="preserve"> is mandatory for purposes of statutory construction when a statute is unambiguous."  </w:t>
      </w:r>
      <w:hyperlink r:id="rId12" w:history="1">
        <w:r w:rsidRPr="00871563">
          <w:rPr>
            <w:rStyle w:val="Hyperlink"/>
            <w:i/>
            <w:iCs/>
            <w:color w:val="auto"/>
          </w:rPr>
          <w:t>Dep't of Transp. v. McCafferty</w:t>
        </w:r>
        <w:r w:rsidRPr="00871563">
          <w:rPr>
            <w:rStyle w:val="Hyperlink"/>
            <w:color w:val="auto"/>
          </w:rPr>
          <w:t>, 563 Pa. 146, 163, 758 A.2d 1155, 1164 (2000)</w:t>
        </w:r>
      </w:hyperlink>
      <w:r w:rsidRPr="00871563">
        <w:t xml:space="preserve">. </w:t>
      </w:r>
    </w:p>
    <w:p w:rsidR="005E7953" w:rsidRPr="00871563" w:rsidRDefault="005E7953" w:rsidP="005E7953">
      <w:pPr>
        <w:jc w:val="left"/>
      </w:pPr>
    </w:p>
    <w:p w:rsidR="00CF40A2" w:rsidRDefault="005E7953" w:rsidP="005E7953">
      <w:pPr>
        <w:jc w:val="left"/>
      </w:pPr>
      <w:r w:rsidRPr="00871563">
        <w:tab/>
      </w:r>
      <w:r w:rsidRPr="00871563">
        <w:tab/>
        <w:t>10.</w:t>
      </w:r>
      <w:r w:rsidRPr="00871563">
        <w:tab/>
      </w:r>
      <w:r w:rsidR="00CF40A2">
        <w:t xml:space="preserve">A tariff provision has the full force and effect of law and is binding on the utility and its customers, </w:t>
      </w:r>
      <w:r w:rsidR="00CF40A2">
        <w:rPr>
          <w:i/>
        </w:rPr>
        <w:t xml:space="preserve">PPL Electric Utilities Corp. v. Pa. Pub. Util. Comm'n, </w:t>
      </w:r>
      <w:r w:rsidR="00CF40A2" w:rsidRPr="008C42C3">
        <w:t>912 A.2d 387, 402 (Pa.Cmwlth. 2006);</w:t>
      </w:r>
      <w:r w:rsidR="00CF40A2">
        <w:rPr>
          <w:i/>
        </w:rPr>
        <w:t xml:space="preserve"> </w:t>
      </w:r>
      <w:r w:rsidR="00CF40A2" w:rsidRPr="008C42C3">
        <w:rPr>
          <w:i/>
        </w:rPr>
        <w:t>Pennsylvania Electric Co. v. Pa. Publ. Util. Comm'n,</w:t>
      </w:r>
      <w:r w:rsidR="00CF40A2">
        <w:t xml:space="preserve"> 663 A.2d 281, 284 (Pa.Cmwlth. 1994; </w:t>
      </w:r>
      <w:r w:rsidR="00CF40A2">
        <w:rPr>
          <w:i/>
        </w:rPr>
        <w:t xml:space="preserve">Brockway Glass Co. v. Pa. Publ. Util. Comm'n, </w:t>
      </w:r>
      <w:r w:rsidR="00CF40A2">
        <w:t xml:space="preserve">437 A.2d 1067, 1070 (Pa.Cmwlth. 1981). </w:t>
      </w:r>
    </w:p>
    <w:p w:rsidR="00442195" w:rsidRDefault="00442195" w:rsidP="005E7953">
      <w:pPr>
        <w:jc w:val="left"/>
      </w:pPr>
    </w:p>
    <w:p w:rsidR="00CF40A2" w:rsidRDefault="00CF40A2" w:rsidP="00CF40A2">
      <w:pPr>
        <w:jc w:val="left"/>
      </w:pPr>
      <w:r>
        <w:tab/>
      </w:r>
      <w:r>
        <w:tab/>
        <w:t>11.</w:t>
      </w:r>
      <w:r>
        <w:tab/>
      </w:r>
      <w:r w:rsidRPr="00871563">
        <w:t>There is no provision in the law to support a transfer back of the arrearage.</w:t>
      </w:r>
    </w:p>
    <w:p w:rsidR="00CF40A2" w:rsidRDefault="00CF40A2" w:rsidP="00CF40A2">
      <w:pPr>
        <w:jc w:val="left"/>
      </w:pPr>
    </w:p>
    <w:p w:rsidR="00CF40A2" w:rsidRDefault="00CF40A2" w:rsidP="00CF40A2">
      <w:pPr>
        <w:jc w:val="left"/>
      </w:pPr>
      <w:r>
        <w:tab/>
      </w:r>
      <w:r>
        <w:tab/>
        <w:t>12.</w:t>
      </w:r>
      <w:r>
        <w:tab/>
      </w:r>
      <w:r w:rsidRPr="00871563">
        <w:t>The Complainant has failed to carry her burden of proof.</w:t>
      </w:r>
    </w:p>
    <w:p w:rsidR="00CF40A2" w:rsidRDefault="00CF40A2" w:rsidP="00CF40A2">
      <w:pPr>
        <w:jc w:val="left"/>
      </w:pPr>
    </w:p>
    <w:p w:rsidR="002F0598" w:rsidRDefault="002F0598" w:rsidP="00CF40A2">
      <w:pPr>
        <w:jc w:val="left"/>
        <w:rPr>
          <w:b/>
          <w:u w:val="single"/>
        </w:rPr>
      </w:pPr>
    </w:p>
    <w:p w:rsidR="00A741FC" w:rsidRPr="00871563" w:rsidRDefault="00A741FC" w:rsidP="00A741FC">
      <w:pPr>
        <w:rPr>
          <w:b/>
          <w:u w:val="single"/>
        </w:rPr>
      </w:pPr>
      <w:r w:rsidRPr="00871563">
        <w:rPr>
          <w:b/>
          <w:u w:val="single"/>
        </w:rPr>
        <w:t>ORDER</w:t>
      </w:r>
    </w:p>
    <w:p w:rsidR="00A741FC" w:rsidRDefault="00A741FC" w:rsidP="00A741FC">
      <w:pPr>
        <w:rPr>
          <w:b/>
          <w:u w:val="single"/>
        </w:rPr>
      </w:pPr>
    </w:p>
    <w:p w:rsidR="002F0598" w:rsidRPr="00871563" w:rsidRDefault="002F0598" w:rsidP="00A741FC">
      <w:pPr>
        <w:rPr>
          <w:b/>
          <w:u w:val="single"/>
        </w:rPr>
      </w:pPr>
    </w:p>
    <w:p w:rsidR="00A741FC" w:rsidRPr="00871563" w:rsidRDefault="00A741FC" w:rsidP="00A741FC">
      <w:pPr>
        <w:jc w:val="left"/>
      </w:pPr>
      <w:r w:rsidRPr="00871563">
        <w:tab/>
      </w:r>
      <w:r w:rsidRPr="00871563">
        <w:tab/>
        <w:t>THEREFORE,</w:t>
      </w:r>
    </w:p>
    <w:p w:rsidR="00A741FC" w:rsidRPr="00871563" w:rsidRDefault="00A741FC" w:rsidP="00A741FC">
      <w:pPr>
        <w:jc w:val="left"/>
      </w:pPr>
    </w:p>
    <w:p w:rsidR="00A741FC" w:rsidRPr="00871563" w:rsidRDefault="00A741FC" w:rsidP="00A741FC">
      <w:pPr>
        <w:jc w:val="left"/>
      </w:pPr>
      <w:r w:rsidRPr="00871563">
        <w:tab/>
      </w:r>
      <w:r w:rsidRPr="00871563">
        <w:tab/>
        <w:t>IT IS ORDERED:</w:t>
      </w:r>
    </w:p>
    <w:p w:rsidR="00A741FC" w:rsidRPr="00871563" w:rsidRDefault="00A741FC" w:rsidP="00A741FC">
      <w:pPr>
        <w:jc w:val="left"/>
      </w:pPr>
    </w:p>
    <w:p w:rsidR="00A741FC" w:rsidRPr="00871563" w:rsidRDefault="00A741FC" w:rsidP="00A741FC">
      <w:pPr>
        <w:jc w:val="left"/>
      </w:pPr>
      <w:r w:rsidRPr="00871563">
        <w:tab/>
      </w:r>
      <w:r w:rsidRPr="00871563">
        <w:tab/>
        <w:t>1.</w:t>
      </w:r>
      <w:r w:rsidRPr="00871563">
        <w:tab/>
      </w:r>
      <w:r w:rsidR="006B62A9" w:rsidRPr="00871563">
        <w:t>That the formal Complaint filed by Gilma Merkert against PECO Energy Company at docket number F-2014-2413585, is dismissed.</w:t>
      </w:r>
    </w:p>
    <w:p w:rsidR="006B62A9" w:rsidRPr="00871563" w:rsidRDefault="006B62A9" w:rsidP="00A741FC">
      <w:pPr>
        <w:jc w:val="left"/>
      </w:pPr>
    </w:p>
    <w:p w:rsidR="006B62A9" w:rsidRPr="00871563" w:rsidRDefault="006B62A9" w:rsidP="00A741FC">
      <w:pPr>
        <w:jc w:val="left"/>
      </w:pPr>
      <w:r w:rsidRPr="00871563">
        <w:tab/>
      </w:r>
      <w:r w:rsidRPr="00871563">
        <w:tab/>
        <w:t>2.</w:t>
      </w:r>
      <w:r w:rsidRPr="00871563">
        <w:tab/>
        <w:t>That the Secretary mark this docket closed.</w:t>
      </w:r>
    </w:p>
    <w:p w:rsidR="006B62A9" w:rsidRPr="00871563" w:rsidRDefault="006B62A9" w:rsidP="00A741FC">
      <w:pPr>
        <w:jc w:val="left"/>
      </w:pPr>
    </w:p>
    <w:p w:rsidR="006B62A9" w:rsidRPr="00871563" w:rsidRDefault="006B62A9" w:rsidP="00A741FC">
      <w:pPr>
        <w:jc w:val="left"/>
      </w:pPr>
    </w:p>
    <w:p w:rsidR="006B62A9" w:rsidRPr="00871563" w:rsidRDefault="006B62A9" w:rsidP="006B62A9">
      <w:pPr>
        <w:spacing w:line="240" w:lineRule="auto"/>
        <w:jc w:val="left"/>
      </w:pPr>
      <w:r w:rsidRPr="00871563">
        <w:t>Dated:</w:t>
      </w:r>
      <w:r w:rsidRPr="00871563">
        <w:tab/>
      </w:r>
      <w:r w:rsidRPr="00871563">
        <w:rPr>
          <w:u w:val="single"/>
        </w:rPr>
        <w:t>July 28, 2014</w:t>
      </w:r>
      <w:r w:rsidRPr="00871563">
        <w:tab/>
      </w:r>
      <w:r w:rsidRPr="00871563">
        <w:tab/>
      </w:r>
      <w:r w:rsidRPr="00871563">
        <w:tab/>
      </w:r>
      <w:r w:rsidRPr="00871563">
        <w:tab/>
      </w:r>
      <w:r w:rsidRPr="00871563">
        <w:tab/>
        <w:t>____</w:t>
      </w:r>
      <w:r w:rsidRPr="00871563">
        <w:rPr>
          <w:u w:val="single"/>
        </w:rPr>
        <w:t>/s/</w:t>
      </w:r>
      <w:r w:rsidRPr="00871563">
        <w:t>________________________</w:t>
      </w:r>
    </w:p>
    <w:p w:rsidR="006B62A9" w:rsidRPr="00871563" w:rsidRDefault="006B62A9" w:rsidP="006B62A9">
      <w:pPr>
        <w:spacing w:line="240" w:lineRule="auto"/>
        <w:jc w:val="left"/>
      </w:pPr>
      <w:r w:rsidRPr="00871563">
        <w:tab/>
      </w:r>
      <w:r w:rsidRPr="00871563">
        <w:tab/>
      </w:r>
      <w:r w:rsidRPr="00871563">
        <w:tab/>
      </w:r>
      <w:r w:rsidRPr="00871563">
        <w:tab/>
      </w:r>
      <w:r w:rsidRPr="00871563">
        <w:tab/>
      </w:r>
      <w:r w:rsidRPr="00871563">
        <w:tab/>
      </w:r>
      <w:r w:rsidRPr="00871563">
        <w:tab/>
        <w:t>Susan D. Colwell</w:t>
      </w:r>
    </w:p>
    <w:p w:rsidR="006B62A9" w:rsidRPr="00871563" w:rsidRDefault="006B62A9" w:rsidP="006B62A9">
      <w:pPr>
        <w:spacing w:line="240" w:lineRule="auto"/>
        <w:jc w:val="left"/>
      </w:pPr>
      <w:r w:rsidRPr="00871563">
        <w:tab/>
      </w:r>
      <w:r w:rsidRPr="00871563">
        <w:tab/>
      </w:r>
      <w:r w:rsidRPr="00871563">
        <w:tab/>
      </w:r>
      <w:r w:rsidRPr="00871563">
        <w:tab/>
      </w:r>
      <w:r w:rsidRPr="00871563">
        <w:tab/>
      </w:r>
      <w:r w:rsidRPr="00871563">
        <w:tab/>
      </w:r>
      <w:r w:rsidRPr="00871563">
        <w:tab/>
        <w:t>Administrative Law Judge</w:t>
      </w:r>
    </w:p>
    <w:p w:rsidR="005E7953" w:rsidRPr="00871563" w:rsidRDefault="005E7953" w:rsidP="005E7953">
      <w:pPr>
        <w:jc w:val="left"/>
      </w:pPr>
    </w:p>
    <w:p w:rsidR="005E7953" w:rsidRPr="00871563" w:rsidRDefault="005E7953" w:rsidP="005E7953">
      <w:pPr>
        <w:jc w:val="left"/>
      </w:pPr>
    </w:p>
    <w:sectPr w:rsidR="005E7953" w:rsidRPr="00871563" w:rsidSect="00660A79">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E4A" w:rsidRDefault="002B0E4A" w:rsidP="00660A79">
      <w:pPr>
        <w:spacing w:line="240" w:lineRule="auto"/>
      </w:pPr>
      <w:r>
        <w:separator/>
      </w:r>
    </w:p>
  </w:endnote>
  <w:endnote w:type="continuationSeparator" w:id="0">
    <w:p w:rsidR="002B0E4A" w:rsidRDefault="002B0E4A" w:rsidP="00660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371197314"/>
      <w:docPartObj>
        <w:docPartGallery w:val="Page Numbers (Bottom of Page)"/>
        <w:docPartUnique/>
      </w:docPartObj>
    </w:sdtPr>
    <w:sdtEndPr>
      <w:rPr>
        <w:noProof/>
      </w:rPr>
    </w:sdtEndPr>
    <w:sdtContent>
      <w:p w:rsidR="00660A79" w:rsidRPr="009B676C" w:rsidRDefault="00660A79" w:rsidP="009B676C">
        <w:pPr>
          <w:pStyle w:val="Footer"/>
          <w:rPr>
            <w:sz w:val="20"/>
            <w:szCs w:val="20"/>
          </w:rPr>
        </w:pPr>
        <w:r w:rsidRPr="009B676C">
          <w:rPr>
            <w:sz w:val="20"/>
            <w:szCs w:val="20"/>
          </w:rPr>
          <w:fldChar w:fldCharType="begin"/>
        </w:r>
        <w:r w:rsidRPr="009B676C">
          <w:rPr>
            <w:sz w:val="20"/>
            <w:szCs w:val="20"/>
          </w:rPr>
          <w:instrText xml:space="preserve"> PAGE   \* MERGEFORMAT </w:instrText>
        </w:r>
        <w:r w:rsidRPr="009B676C">
          <w:rPr>
            <w:sz w:val="20"/>
            <w:szCs w:val="20"/>
          </w:rPr>
          <w:fldChar w:fldCharType="separate"/>
        </w:r>
        <w:r w:rsidR="00151279">
          <w:rPr>
            <w:noProof/>
            <w:sz w:val="20"/>
            <w:szCs w:val="20"/>
          </w:rPr>
          <w:t>12</w:t>
        </w:r>
        <w:r w:rsidRPr="009B676C">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E4A" w:rsidRDefault="002B0E4A" w:rsidP="00660A79">
      <w:pPr>
        <w:spacing w:line="240" w:lineRule="auto"/>
      </w:pPr>
      <w:r>
        <w:separator/>
      </w:r>
    </w:p>
  </w:footnote>
  <w:footnote w:type="continuationSeparator" w:id="0">
    <w:p w:rsidR="002B0E4A" w:rsidRDefault="002B0E4A" w:rsidP="00660A7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FBE"/>
    <w:rsid w:val="00001E3A"/>
    <w:rsid w:val="00001EF6"/>
    <w:rsid w:val="000028EA"/>
    <w:rsid w:val="00003D11"/>
    <w:rsid w:val="00004AA3"/>
    <w:rsid w:val="00005558"/>
    <w:rsid w:val="000079FE"/>
    <w:rsid w:val="00012104"/>
    <w:rsid w:val="00012655"/>
    <w:rsid w:val="0001305A"/>
    <w:rsid w:val="0001583F"/>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9BE"/>
    <w:rsid w:val="00097D77"/>
    <w:rsid w:val="000A2192"/>
    <w:rsid w:val="000A4551"/>
    <w:rsid w:val="000A4E7A"/>
    <w:rsid w:val="000A5DEA"/>
    <w:rsid w:val="000A652E"/>
    <w:rsid w:val="000A770B"/>
    <w:rsid w:val="000B1BFC"/>
    <w:rsid w:val="000B2D0C"/>
    <w:rsid w:val="000B339A"/>
    <w:rsid w:val="000B5F3F"/>
    <w:rsid w:val="000B7111"/>
    <w:rsid w:val="000C0311"/>
    <w:rsid w:val="000C2696"/>
    <w:rsid w:val="000C2A2B"/>
    <w:rsid w:val="000C34F3"/>
    <w:rsid w:val="000C4163"/>
    <w:rsid w:val="000C5976"/>
    <w:rsid w:val="000C6B6E"/>
    <w:rsid w:val="000C6EF0"/>
    <w:rsid w:val="000C7A4F"/>
    <w:rsid w:val="000D29BA"/>
    <w:rsid w:val="000D3E49"/>
    <w:rsid w:val="000D5763"/>
    <w:rsid w:val="000D58DF"/>
    <w:rsid w:val="000E2F36"/>
    <w:rsid w:val="000E44C4"/>
    <w:rsid w:val="000E49E6"/>
    <w:rsid w:val="000E4A42"/>
    <w:rsid w:val="000E503F"/>
    <w:rsid w:val="000E6827"/>
    <w:rsid w:val="000E71B3"/>
    <w:rsid w:val="000E7515"/>
    <w:rsid w:val="000E7EF5"/>
    <w:rsid w:val="000F1890"/>
    <w:rsid w:val="000F18A3"/>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1279"/>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B5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C6F44"/>
    <w:rsid w:val="001D05DB"/>
    <w:rsid w:val="001D0876"/>
    <w:rsid w:val="001D0F91"/>
    <w:rsid w:val="001D1F1B"/>
    <w:rsid w:val="001D4223"/>
    <w:rsid w:val="001D556B"/>
    <w:rsid w:val="001E1FE8"/>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253"/>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075E"/>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4A4A"/>
    <w:rsid w:val="002557C7"/>
    <w:rsid w:val="002558A3"/>
    <w:rsid w:val="00255930"/>
    <w:rsid w:val="00255ABE"/>
    <w:rsid w:val="00256505"/>
    <w:rsid w:val="00260459"/>
    <w:rsid w:val="00260814"/>
    <w:rsid w:val="00261A06"/>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6C5"/>
    <w:rsid w:val="00296B74"/>
    <w:rsid w:val="00297286"/>
    <w:rsid w:val="002A05C6"/>
    <w:rsid w:val="002A1522"/>
    <w:rsid w:val="002A17F4"/>
    <w:rsid w:val="002A2D26"/>
    <w:rsid w:val="002A4E7E"/>
    <w:rsid w:val="002A5F4D"/>
    <w:rsid w:val="002A70E9"/>
    <w:rsid w:val="002A7A0A"/>
    <w:rsid w:val="002A7BBD"/>
    <w:rsid w:val="002B0D61"/>
    <w:rsid w:val="002B0E4A"/>
    <w:rsid w:val="002B2AF4"/>
    <w:rsid w:val="002B3E20"/>
    <w:rsid w:val="002B541A"/>
    <w:rsid w:val="002B562D"/>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0598"/>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217"/>
    <w:rsid w:val="00334F62"/>
    <w:rsid w:val="00336496"/>
    <w:rsid w:val="003364EB"/>
    <w:rsid w:val="00336CE8"/>
    <w:rsid w:val="003425CF"/>
    <w:rsid w:val="0034272B"/>
    <w:rsid w:val="00342BFE"/>
    <w:rsid w:val="00344C34"/>
    <w:rsid w:val="00345C65"/>
    <w:rsid w:val="00346679"/>
    <w:rsid w:val="003470E8"/>
    <w:rsid w:val="0035100D"/>
    <w:rsid w:val="00351CDE"/>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43F"/>
    <w:rsid w:val="00385BF0"/>
    <w:rsid w:val="00385DAD"/>
    <w:rsid w:val="00386626"/>
    <w:rsid w:val="003908D7"/>
    <w:rsid w:val="00390929"/>
    <w:rsid w:val="00390DBB"/>
    <w:rsid w:val="00391CFF"/>
    <w:rsid w:val="003924CC"/>
    <w:rsid w:val="003929CA"/>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1A40"/>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3F6796"/>
    <w:rsid w:val="00401386"/>
    <w:rsid w:val="004017C5"/>
    <w:rsid w:val="004047B1"/>
    <w:rsid w:val="00404BA8"/>
    <w:rsid w:val="00404E55"/>
    <w:rsid w:val="0040584C"/>
    <w:rsid w:val="00406807"/>
    <w:rsid w:val="00406DD6"/>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195"/>
    <w:rsid w:val="00442254"/>
    <w:rsid w:val="00443307"/>
    <w:rsid w:val="00444DBF"/>
    <w:rsid w:val="00444E41"/>
    <w:rsid w:val="00445003"/>
    <w:rsid w:val="00445B46"/>
    <w:rsid w:val="00446791"/>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27F4"/>
    <w:rsid w:val="004A3363"/>
    <w:rsid w:val="004A4B6C"/>
    <w:rsid w:val="004A5318"/>
    <w:rsid w:val="004A5D57"/>
    <w:rsid w:val="004A741E"/>
    <w:rsid w:val="004B0321"/>
    <w:rsid w:val="004B1ADE"/>
    <w:rsid w:val="004B2625"/>
    <w:rsid w:val="004B4657"/>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36F5C"/>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243"/>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E7953"/>
    <w:rsid w:val="005F064D"/>
    <w:rsid w:val="005F169A"/>
    <w:rsid w:val="005F512E"/>
    <w:rsid w:val="005F5A21"/>
    <w:rsid w:val="005F6A04"/>
    <w:rsid w:val="00600458"/>
    <w:rsid w:val="0060118D"/>
    <w:rsid w:val="0060369E"/>
    <w:rsid w:val="00603824"/>
    <w:rsid w:val="0060530E"/>
    <w:rsid w:val="00605D75"/>
    <w:rsid w:val="006073B5"/>
    <w:rsid w:val="00610CE1"/>
    <w:rsid w:val="006113D8"/>
    <w:rsid w:val="00612C6B"/>
    <w:rsid w:val="006144AD"/>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0A79"/>
    <w:rsid w:val="006621E9"/>
    <w:rsid w:val="00662904"/>
    <w:rsid w:val="00664A57"/>
    <w:rsid w:val="00664C73"/>
    <w:rsid w:val="00671999"/>
    <w:rsid w:val="006764EA"/>
    <w:rsid w:val="00677DDE"/>
    <w:rsid w:val="00680B65"/>
    <w:rsid w:val="00681287"/>
    <w:rsid w:val="0068155D"/>
    <w:rsid w:val="006815A6"/>
    <w:rsid w:val="00681FD9"/>
    <w:rsid w:val="0068285E"/>
    <w:rsid w:val="00684EF6"/>
    <w:rsid w:val="006856E2"/>
    <w:rsid w:val="00690E46"/>
    <w:rsid w:val="00693743"/>
    <w:rsid w:val="00693995"/>
    <w:rsid w:val="00693C61"/>
    <w:rsid w:val="00695397"/>
    <w:rsid w:val="0069562F"/>
    <w:rsid w:val="006A177A"/>
    <w:rsid w:val="006A1A5D"/>
    <w:rsid w:val="006A2CB3"/>
    <w:rsid w:val="006A3267"/>
    <w:rsid w:val="006A4533"/>
    <w:rsid w:val="006A5968"/>
    <w:rsid w:val="006A5F8B"/>
    <w:rsid w:val="006A600F"/>
    <w:rsid w:val="006B1A6D"/>
    <w:rsid w:val="006B2B00"/>
    <w:rsid w:val="006B2FA8"/>
    <w:rsid w:val="006B3210"/>
    <w:rsid w:val="006B3E08"/>
    <w:rsid w:val="006B49AE"/>
    <w:rsid w:val="006B529B"/>
    <w:rsid w:val="006B62A9"/>
    <w:rsid w:val="006C37CD"/>
    <w:rsid w:val="006C3BAF"/>
    <w:rsid w:val="006C4536"/>
    <w:rsid w:val="006C46F3"/>
    <w:rsid w:val="006C4D4E"/>
    <w:rsid w:val="006C51E2"/>
    <w:rsid w:val="006C5247"/>
    <w:rsid w:val="006C588E"/>
    <w:rsid w:val="006C62F8"/>
    <w:rsid w:val="006C71BB"/>
    <w:rsid w:val="006D00D3"/>
    <w:rsid w:val="006D071F"/>
    <w:rsid w:val="006D1276"/>
    <w:rsid w:val="006D13C4"/>
    <w:rsid w:val="006D1E5C"/>
    <w:rsid w:val="006D2C14"/>
    <w:rsid w:val="006D3945"/>
    <w:rsid w:val="006D4C15"/>
    <w:rsid w:val="006D5248"/>
    <w:rsid w:val="006D7692"/>
    <w:rsid w:val="006E1126"/>
    <w:rsid w:val="006E1162"/>
    <w:rsid w:val="006E1753"/>
    <w:rsid w:val="006E3BF0"/>
    <w:rsid w:val="006E4361"/>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2B08"/>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55D0A"/>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499"/>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1563"/>
    <w:rsid w:val="00876B32"/>
    <w:rsid w:val="00882CB8"/>
    <w:rsid w:val="00884366"/>
    <w:rsid w:val="00884650"/>
    <w:rsid w:val="008851B9"/>
    <w:rsid w:val="00885F50"/>
    <w:rsid w:val="00887314"/>
    <w:rsid w:val="00890EB4"/>
    <w:rsid w:val="00891D35"/>
    <w:rsid w:val="00893901"/>
    <w:rsid w:val="00894400"/>
    <w:rsid w:val="0089667B"/>
    <w:rsid w:val="0089728F"/>
    <w:rsid w:val="008A0874"/>
    <w:rsid w:val="008A0FF6"/>
    <w:rsid w:val="008A28F5"/>
    <w:rsid w:val="008A51AD"/>
    <w:rsid w:val="008B2982"/>
    <w:rsid w:val="008B2F05"/>
    <w:rsid w:val="008B456E"/>
    <w:rsid w:val="008B51B9"/>
    <w:rsid w:val="008B5BC6"/>
    <w:rsid w:val="008B5DEE"/>
    <w:rsid w:val="008B6119"/>
    <w:rsid w:val="008B62FA"/>
    <w:rsid w:val="008B7153"/>
    <w:rsid w:val="008C03AD"/>
    <w:rsid w:val="008C11EE"/>
    <w:rsid w:val="008C1485"/>
    <w:rsid w:val="008C175C"/>
    <w:rsid w:val="008C2DAF"/>
    <w:rsid w:val="008C3720"/>
    <w:rsid w:val="008C42C3"/>
    <w:rsid w:val="008C668F"/>
    <w:rsid w:val="008D2DBA"/>
    <w:rsid w:val="008D530C"/>
    <w:rsid w:val="008D56D1"/>
    <w:rsid w:val="008D638B"/>
    <w:rsid w:val="008D7ECE"/>
    <w:rsid w:val="008E01A0"/>
    <w:rsid w:val="008E145A"/>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2637D"/>
    <w:rsid w:val="00930061"/>
    <w:rsid w:val="00930EBA"/>
    <w:rsid w:val="0093151F"/>
    <w:rsid w:val="0093268C"/>
    <w:rsid w:val="00933F24"/>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3CA4"/>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272C"/>
    <w:rsid w:val="00997443"/>
    <w:rsid w:val="00997C3D"/>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676C"/>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A9C"/>
    <w:rsid w:val="009F5E68"/>
    <w:rsid w:val="009F69E5"/>
    <w:rsid w:val="009F7476"/>
    <w:rsid w:val="009F768D"/>
    <w:rsid w:val="00A00F26"/>
    <w:rsid w:val="00A018F7"/>
    <w:rsid w:val="00A02ABC"/>
    <w:rsid w:val="00A039B4"/>
    <w:rsid w:val="00A0555A"/>
    <w:rsid w:val="00A063F2"/>
    <w:rsid w:val="00A07477"/>
    <w:rsid w:val="00A0799C"/>
    <w:rsid w:val="00A07A5B"/>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41FC"/>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268"/>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2031"/>
    <w:rsid w:val="00AF32D8"/>
    <w:rsid w:val="00AF3F64"/>
    <w:rsid w:val="00AF40CA"/>
    <w:rsid w:val="00AF4C64"/>
    <w:rsid w:val="00AF70FF"/>
    <w:rsid w:val="00B01BE5"/>
    <w:rsid w:val="00B02385"/>
    <w:rsid w:val="00B0253B"/>
    <w:rsid w:val="00B03878"/>
    <w:rsid w:val="00B06DDF"/>
    <w:rsid w:val="00B07809"/>
    <w:rsid w:val="00B079A5"/>
    <w:rsid w:val="00B11C89"/>
    <w:rsid w:val="00B134C7"/>
    <w:rsid w:val="00B136CC"/>
    <w:rsid w:val="00B13EDF"/>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4079"/>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0143"/>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D6817"/>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2AE"/>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5074E"/>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1D0"/>
    <w:rsid w:val="00C97ED3"/>
    <w:rsid w:val="00CA043D"/>
    <w:rsid w:val="00CA069B"/>
    <w:rsid w:val="00CA09C4"/>
    <w:rsid w:val="00CA27F9"/>
    <w:rsid w:val="00CA28AD"/>
    <w:rsid w:val="00CA4F28"/>
    <w:rsid w:val="00CA7388"/>
    <w:rsid w:val="00CA78AC"/>
    <w:rsid w:val="00CB067C"/>
    <w:rsid w:val="00CB15CA"/>
    <w:rsid w:val="00CB26B3"/>
    <w:rsid w:val="00CB2830"/>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1CFD"/>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40A2"/>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3738D"/>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1FDD"/>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595D"/>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0031"/>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4552"/>
    <w:rsid w:val="00F1597D"/>
    <w:rsid w:val="00F16EF8"/>
    <w:rsid w:val="00F16FAB"/>
    <w:rsid w:val="00F170B7"/>
    <w:rsid w:val="00F21CA5"/>
    <w:rsid w:val="00F2498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6FBE"/>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9FD"/>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23F4"/>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A79"/>
    <w:pPr>
      <w:tabs>
        <w:tab w:val="center" w:pos="4680"/>
        <w:tab w:val="right" w:pos="9360"/>
      </w:tabs>
      <w:spacing w:line="240" w:lineRule="auto"/>
    </w:pPr>
  </w:style>
  <w:style w:type="character" w:customStyle="1" w:styleId="HeaderChar">
    <w:name w:val="Header Char"/>
    <w:basedOn w:val="DefaultParagraphFont"/>
    <w:link w:val="Header"/>
    <w:uiPriority w:val="99"/>
    <w:rsid w:val="00660A79"/>
  </w:style>
  <w:style w:type="paragraph" w:styleId="Footer">
    <w:name w:val="footer"/>
    <w:basedOn w:val="Normal"/>
    <w:link w:val="FooterChar"/>
    <w:uiPriority w:val="99"/>
    <w:unhideWhenUsed/>
    <w:rsid w:val="00660A79"/>
    <w:pPr>
      <w:tabs>
        <w:tab w:val="center" w:pos="4680"/>
        <w:tab w:val="right" w:pos="9360"/>
      </w:tabs>
      <w:spacing w:line="240" w:lineRule="auto"/>
    </w:pPr>
  </w:style>
  <w:style w:type="character" w:customStyle="1" w:styleId="FooterChar">
    <w:name w:val="Footer Char"/>
    <w:basedOn w:val="DefaultParagraphFont"/>
    <w:link w:val="Footer"/>
    <w:uiPriority w:val="99"/>
    <w:rsid w:val="00660A79"/>
  </w:style>
  <w:style w:type="character" w:styleId="Hyperlink">
    <w:name w:val="Hyperlink"/>
    <w:basedOn w:val="DefaultParagraphFont"/>
    <w:uiPriority w:val="99"/>
    <w:semiHidden/>
    <w:unhideWhenUsed/>
    <w:rsid w:val="0001583F"/>
    <w:rPr>
      <w:strike w:val="0"/>
      <w:dstrike w:val="0"/>
      <w:color w:val="004B91"/>
      <w:u w:val="none"/>
      <w:effect w:val="none"/>
    </w:rPr>
  </w:style>
  <w:style w:type="paragraph" w:styleId="BalloonText">
    <w:name w:val="Balloon Text"/>
    <w:basedOn w:val="Normal"/>
    <w:link w:val="BalloonTextChar"/>
    <w:uiPriority w:val="99"/>
    <w:semiHidden/>
    <w:unhideWhenUsed/>
    <w:rsid w:val="003929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9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A79"/>
    <w:pPr>
      <w:tabs>
        <w:tab w:val="center" w:pos="4680"/>
        <w:tab w:val="right" w:pos="9360"/>
      </w:tabs>
      <w:spacing w:line="240" w:lineRule="auto"/>
    </w:pPr>
  </w:style>
  <w:style w:type="character" w:customStyle="1" w:styleId="HeaderChar">
    <w:name w:val="Header Char"/>
    <w:basedOn w:val="DefaultParagraphFont"/>
    <w:link w:val="Header"/>
    <w:uiPriority w:val="99"/>
    <w:rsid w:val="00660A79"/>
  </w:style>
  <w:style w:type="paragraph" w:styleId="Footer">
    <w:name w:val="footer"/>
    <w:basedOn w:val="Normal"/>
    <w:link w:val="FooterChar"/>
    <w:uiPriority w:val="99"/>
    <w:unhideWhenUsed/>
    <w:rsid w:val="00660A79"/>
    <w:pPr>
      <w:tabs>
        <w:tab w:val="center" w:pos="4680"/>
        <w:tab w:val="right" w:pos="9360"/>
      </w:tabs>
      <w:spacing w:line="240" w:lineRule="auto"/>
    </w:pPr>
  </w:style>
  <w:style w:type="character" w:customStyle="1" w:styleId="FooterChar">
    <w:name w:val="Footer Char"/>
    <w:basedOn w:val="DefaultParagraphFont"/>
    <w:link w:val="Footer"/>
    <w:uiPriority w:val="99"/>
    <w:rsid w:val="00660A79"/>
  </w:style>
  <w:style w:type="character" w:styleId="Hyperlink">
    <w:name w:val="Hyperlink"/>
    <w:basedOn w:val="DefaultParagraphFont"/>
    <w:uiPriority w:val="99"/>
    <w:semiHidden/>
    <w:unhideWhenUsed/>
    <w:rsid w:val="0001583F"/>
    <w:rPr>
      <w:strike w:val="0"/>
      <w:dstrike w:val="0"/>
      <w:color w:val="004B91"/>
      <w:u w:val="none"/>
      <w:effect w:val="none"/>
    </w:rPr>
  </w:style>
  <w:style w:type="paragraph" w:styleId="BalloonText">
    <w:name w:val="Balloon Text"/>
    <w:basedOn w:val="Normal"/>
    <w:link w:val="BalloonTextChar"/>
    <w:uiPriority w:val="99"/>
    <w:semiHidden/>
    <w:unhideWhenUsed/>
    <w:rsid w:val="003929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9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xis.com/research/buttonTFLink?_m=8872105b304ec7b9345d7e70e8285000&amp;_xfercite=%3ccite%20cc%3d%22USA%22%3e%3c%21%5bCDATA%5b2013%20Pa.%20Commw.%20LEXIS%204%5d%5d%3e%3c%2fcite%3e&amp;_butType=4&amp;_butStat=0&amp;_butNum=42&amp;_butInline=1&amp;_butinfo=66%20PA.C.S.%201529.1&amp;_fmtstr=FULL&amp;docnum=1&amp;_startdoc=1&amp;wchp=dGLzVzB-zSkAl&amp;_md5=b78a6422a6c0633f5cd81ecc6eebec5c"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exis.com/research/buttonTFLink?_m=8872105b304ec7b9345d7e70e8285000&amp;_xfercite=%3ccite%20cc%3d%22USA%22%3e%3c%21%5bCDATA%5b2013%20Pa.%20Commw.%20LEXIS%204%5d%5d%3e%3c%2fcite%3e&amp;_butType=4&amp;_butStat=0&amp;_butNum=36&amp;_butInline=1&amp;_butinfo=66%20PA.C.S.%201529.1&amp;_fmtstr=FULL&amp;docnum=1&amp;_startdoc=1&amp;wchp=dGLzVzB-zSkAl&amp;_md5=accd0e0daae67d6d1b6d1b67529c02e2" TargetMode="External"/><Relationship Id="rId12" Type="http://schemas.openxmlformats.org/officeDocument/2006/relationships/hyperlink" Target="https://www.lexis.com/research/buttonTFLink?_m=8872105b304ec7b9345d7e70e8285000&amp;_xfercite=%3ccite%20cc%3d%22USA%22%3e%3c%21%5bCDATA%5b2013%20Pa.%20Commw.%20LEXIS%204%5d%5d%3e%3c%2fcite%3e&amp;_butType=3&amp;_butStat=2&amp;_butNum=45&amp;_butInline=1&amp;_butinfo=%3ccite%20cc%3d%22USA%22%3e%3c%21%5bCDATA%5b563%20Pa.%20146%2c%20163%5d%5d%3e%3c%2fcite%3e&amp;_fmtstr=FULL&amp;docnum=1&amp;_startdoc=1&amp;wchp=dGLzVzB-zSkAl&amp;_md5=3ccffd1c4b81c7f6e281bd3d3f5b605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lexis.com/research/buttonTFLink?_m=8872105b304ec7b9345d7e70e8285000&amp;_xfercite=%3ccite%20cc%3d%22USA%22%3e%3c%21%5bCDATA%5b2013%20Pa.%20Commw.%20LEXIS%204%5d%5d%3e%3c%2fcite%3e&amp;_butType=4&amp;_butStat=0&amp;_butNum=36&amp;_butInline=1&amp;_butinfo=66%20PA.C.S.%201529.1&amp;_fmtstr=FULL&amp;docnum=1&amp;_startdoc=1&amp;wchp=dGLzVzB-zSkAl&amp;_md5=accd0e0daae67d6d1b6d1b67529c02e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lexis.com/research/buttonTFLink?_m=8872105b304ec7b9345d7e70e8285000&amp;_xfercite=%3ccite%20cc%3d%22USA%22%3e%3c%21%5bCDATA%5b2013%20Pa.%20Commw.%20LEXIS%204%5d%5d%3e%3c%2fcite%3e&amp;_butType=3&amp;_butStat=2&amp;_butNum=45&amp;_butInline=1&amp;_butinfo=%3ccite%20cc%3d%22USA%22%3e%3c%21%5bCDATA%5b563%20Pa.%20146%2c%20163%5d%5d%3e%3c%2fcite%3e&amp;_fmtstr=FULL&amp;docnum=1&amp;_startdoc=1&amp;wchp=dGLzVzB-zSkAl&amp;_md5=3ccffd1c4b81c7f6e281bd3d3f5b605e" TargetMode="External"/><Relationship Id="rId4" Type="http://schemas.openxmlformats.org/officeDocument/2006/relationships/webSettings" Target="webSettings.xml"/><Relationship Id="rId9" Type="http://schemas.openxmlformats.org/officeDocument/2006/relationships/hyperlink" Target="https://www.lexis.com/research/buttonTFLink?_m=8872105b304ec7b9345d7e70e8285000&amp;_xfercite=%3ccite%20cc%3d%22USA%22%3e%3c%21%5bCDATA%5b2013%20Pa.%20Commw.%20LEXIS%204%5d%5d%3e%3c%2fcite%3e&amp;_butType=4&amp;_butStat=0&amp;_butNum=43&amp;_butInline=1&amp;_butinfo=66%20PA.C.S.%201529.1&amp;_fmtstr=FULL&amp;docnum=1&amp;_startdoc=1&amp;wchp=dGLzVzB-zSkAl&amp;_md5=340bd840f899e62fa0bb511f0219cd4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4047</Words>
  <Characters>23072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27065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4</cp:revision>
  <cp:lastPrinted>2014-08-11T13:19:00Z</cp:lastPrinted>
  <dcterms:created xsi:type="dcterms:W3CDTF">2014-08-11T13:19:00Z</dcterms:created>
  <dcterms:modified xsi:type="dcterms:W3CDTF">2014-08-15T13:24:00Z</dcterms:modified>
</cp:coreProperties>
</file>