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4F2" w:rsidRPr="001D131E" w:rsidRDefault="000574F2" w:rsidP="000574F2">
      <w:pPr>
        <w:jc w:val="center"/>
        <w:rPr>
          <w:b/>
          <w:sz w:val="24"/>
          <w:szCs w:val="24"/>
        </w:rPr>
      </w:pPr>
      <w:bookmarkStart w:id="0" w:name="_GoBack"/>
      <w:bookmarkEnd w:id="0"/>
      <w:r w:rsidRPr="001D131E">
        <w:rPr>
          <w:b/>
          <w:sz w:val="24"/>
          <w:szCs w:val="24"/>
        </w:rPr>
        <w:t>BEFORE THE</w:t>
      </w:r>
    </w:p>
    <w:p w:rsidR="000574F2" w:rsidRPr="001D131E" w:rsidRDefault="000574F2" w:rsidP="000574F2">
      <w:pPr>
        <w:jc w:val="center"/>
        <w:rPr>
          <w:b/>
          <w:sz w:val="24"/>
          <w:szCs w:val="24"/>
        </w:rPr>
      </w:pPr>
      <w:r w:rsidRPr="001D131E">
        <w:rPr>
          <w:b/>
          <w:sz w:val="24"/>
          <w:szCs w:val="24"/>
        </w:rPr>
        <w:t>PENNSYLVANIA PUBLIC UTILITY COMMISSION</w:t>
      </w:r>
    </w:p>
    <w:p w:rsidR="000574F2" w:rsidRDefault="000574F2" w:rsidP="000574F2">
      <w:pPr>
        <w:jc w:val="center"/>
        <w:rPr>
          <w:b/>
          <w:sz w:val="24"/>
          <w:szCs w:val="24"/>
        </w:rPr>
      </w:pPr>
    </w:p>
    <w:p w:rsidR="001D131E" w:rsidRPr="001D131E" w:rsidRDefault="001D131E" w:rsidP="000574F2">
      <w:pPr>
        <w:jc w:val="center"/>
        <w:rPr>
          <w:b/>
          <w:sz w:val="24"/>
          <w:szCs w:val="24"/>
        </w:rPr>
      </w:pPr>
    </w:p>
    <w:p w:rsidR="000574F2" w:rsidRPr="001D131E" w:rsidRDefault="000574F2" w:rsidP="000574F2">
      <w:pPr>
        <w:jc w:val="center"/>
        <w:rPr>
          <w:b/>
          <w:sz w:val="24"/>
          <w:szCs w:val="24"/>
        </w:rPr>
      </w:pPr>
    </w:p>
    <w:p w:rsidR="000574F2" w:rsidRPr="001D131E" w:rsidRDefault="000574F2" w:rsidP="000574F2">
      <w:pPr>
        <w:rPr>
          <w:sz w:val="24"/>
          <w:szCs w:val="24"/>
        </w:rPr>
      </w:pPr>
      <w:r w:rsidRPr="001D131E">
        <w:rPr>
          <w:sz w:val="24"/>
          <w:szCs w:val="24"/>
        </w:rPr>
        <w:t>Shakiera Morrison</w:t>
      </w: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t>:</w:t>
      </w:r>
    </w:p>
    <w:p w:rsidR="000574F2" w:rsidRPr="001D131E" w:rsidRDefault="000574F2" w:rsidP="000574F2">
      <w:pPr>
        <w:rPr>
          <w:sz w:val="24"/>
          <w:szCs w:val="24"/>
        </w:rPr>
      </w:pP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t>:</w:t>
      </w:r>
    </w:p>
    <w:p w:rsidR="000574F2" w:rsidRPr="001D131E" w:rsidRDefault="000574F2" w:rsidP="000574F2">
      <w:pPr>
        <w:rPr>
          <w:sz w:val="24"/>
          <w:szCs w:val="24"/>
        </w:rPr>
      </w:pPr>
      <w:r w:rsidRPr="001D131E">
        <w:rPr>
          <w:sz w:val="24"/>
          <w:szCs w:val="24"/>
        </w:rPr>
        <w:tab/>
        <w:t>v.</w:t>
      </w: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t>:</w:t>
      </w:r>
      <w:r w:rsidRPr="001D131E">
        <w:rPr>
          <w:sz w:val="24"/>
          <w:szCs w:val="24"/>
        </w:rPr>
        <w:tab/>
      </w:r>
      <w:r w:rsidRPr="001D131E">
        <w:rPr>
          <w:sz w:val="24"/>
          <w:szCs w:val="24"/>
        </w:rPr>
        <w:tab/>
        <w:t>C-2014-2420574</w:t>
      </w:r>
    </w:p>
    <w:p w:rsidR="000574F2" w:rsidRPr="001D131E" w:rsidRDefault="000574F2" w:rsidP="000574F2">
      <w:pPr>
        <w:rPr>
          <w:sz w:val="24"/>
          <w:szCs w:val="24"/>
        </w:rPr>
      </w:pP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t>:</w:t>
      </w:r>
    </w:p>
    <w:p w:rsidR="000574F2" w:rsidRPr="001D131E" w:rsidRDefault="000574F2" w:rsidP="000574F2">
      <w:pPr>
        <w:rPr>
          <w:sz w:val="24"/>
          <w:szCs w:val="24"/>
        </w:rPr>
      </w:pPr>
      <w:r w:rsidRPr="001D131E">
        <w:rPr>
          <w:sz w:val="24"/>
          <w:szCs w:val="24"/>
        </w:rPr>
        <w:t>PPL Electric Utilities Corporation</w:t>
      </w:r>
      <w:r w:rsidRPr="001D131E">
        <w:rPr>
          <w:sz w:val="24"/>
          <w:szCs w:val="24"/>
        </w:rPr>
        <w:tab/>
      </w:r>
      <w:r w:rsidRPr="001D131E">
        <w:rPr>
          <w:sz w:val="24"/>
          <w:szCs w:val="24"/>
        </w:rPr>
        <w:tab/>
      </w:r>
      <w:r w:rsidRPr="001D131E">
        <w:rPr>
          <w:sz w:val="24"/>
          <w:szCs w:val="24"/>
        </w:rPr>
        <w:tab/>
        <w:t>:</w:t>
      </w:r>
    </w:p>
    <w:p w:rsidR="000574F2" w:rsidRPr="001D131E" w:rsidRDefault="000574F2" w:rsidP="000574F2">
      <w:pPr>
        <w:rPr>
          <w:sz w:val="24"/>
          <w:szCs w:val="24"/>
        </w:rPr>
      </w:pPr>
    </w:p>
    <w:p w:rsidR="000574F2" w:rsidRPr="001D131E" w:rsidRDefault="000574F2" w:rsidP="000574F2">
      <w:pPr>
        <w:rPr>
          <w:sz w:val="24"/>
          <w:szCs w:val="24"/>
        </w:rPr>
      </w:pPr>
    </w:p>
    <w:p w:rsidR="000574F2" w:rsidRPr="001D131E" w:rsidRDefault="000574F2" w:rsidP="000574F2">
      <w:pPr>
        <w:rPr>
          <w:sz w:val="24"/>
          <w:szCs w:val="24"/>
        </w:rPr>
      </w:pPr>
    </w:p>
    <w:p w:rsidR="000574F2" w:rsidRPr="003806AE" w:rsidRDefault="000574F2" w:rsidP="000574F2">
      <w:pPr>
        <w:jc w:val="center"/>
        <w:rPr>
          <w:b/>
          <w:sz w:val="24"/>
          <w:szCs w:val="24"/>
          <w:u w:val="single"/>
        </w:rPr>
      </w:pPr>
      <w:r w:rsidRPr="003806AE">
        <w:rPr>
          <w:b/>
          <w:sz w:val="24"/>
          <w:szCs w:val="24"/>
          <w:u w:val="single"/>
        </w:rPr>
        <w:t>INITIAL DECISION</w:t>
      </w:r>
    </w:p>
    <w:p w:rsidR="000574F2" w:rsidRDefault="000574F2" w:rsidP="000574F2">
      <w:pPr>
        <w:jc w:val="center"/>
        <w:rPr>
          <w:b/>
          <w:sz w:val="24"/>
          <w:szCs w:val="24"/>
        </w:rPr>
      </w:pPr>
    </w:p>
    <w:p w:rsidR="001D131E" w:rsidRPr="001D131E" w:rsidRDefault="001D131E" w:rsidP="000574F2">
      <w:pPr>
        <w:jc w:val="center"/>
        <w:rPr>
          <w:b/>
          <w:sz w:val="24"/>
          <w:szCs w:val="24"/>
        </w:rPr>
      </w:pPr>
    </w:p>
    <w:p w:rsidR="000574F2" w:rsidRPr="001D131E" w:rsidRDefault="000574F2" w:rsidP="000574F2">
      <w:pPr>
        <w:jc w:val="center"/>
        <w:rPr>
          <w:sz w:val="24"/>
          <w:szCs w:val="24"/>
        </w:rPr>
      </w:pPr>
      <w:r w:rsidRPr="001D131E">
        <w:rPr>
          <w:sz w:val="24"/>
          <w:szCs w:val="24"/>
        </w:rPr>
        <w:t>Before</w:t>
      </w:r>
    </w:p>
    <w:p w:rsidR="000574F2" w:rsidRPr="001D131E" w:rsidRDefault="000574F2" w:rsidP="000574F2">
      <w:pPr>
        <w:jc w:val="center"/>
        <w:rPr>
          <w:sz w:val="24"/>
          <w:szCs w:val="24"/>
        </w:rPr>
      </w:pPr>
      <w:r w:rsidRPr="001D131E">
        <w:rPr>
          <w:sz w:val="24"/>
          <w:szCs w:val="24"/>
        </w:rPr>
        <w:t>Susan D. Colwell</w:t>
      </w:r>
    </w:p>
    <w:p w:rsidR="000574F2" w:rsidRPr="001D131E" w:rsidRDefault="000574F2" w:rsidP="000574F2">
      <w:pPr>
        <w:jc w:val="center"/>
        <w:rPr>
          <w:sz w:val="24"/>
          <w:szCs w:val="24"/>
        </w:rPr>
      </w:pPr>
      <w:r w:rsidRPr="001D131E">
        <w:rPr>
          <w:sz w:val="24"/>
          <w:szCs w:val="24"/>
        </w:rPr>
        <w:t>Administrative Law Judge</w:t>
      </w:r>
    </w:p>
    <w:p w:rsidR="000574F2" w:rsidRPr="001D131E" w:rsidRDefault="000574F2" w:rsidP="000574F2">
      <w:pPr>
        <w:jc w:val="center"/>
        <w:rPr>
          <w:sz w:val="24"/>
          <w:szCs w:val="24"/>
        </w:rPr>
      </w:pPr>
    </w:p>
    <w:p w:rsidR="000574F2" w:rsidRPr="001D131E" w:rsidRDefault="000574F2" w:rsidP="000574F2">
      <w:pPr>
        <w:jc w:val="center"/>
        <w:rPr>
          <w:sz w:val="24"/>
          <w:szCs w:val="24"/>
        </w:rPr>
      </w:pPr>
    </w:p>
    <w:p w:rsidR="000574F2" w:rsidRPr="001D131E" w:rsidRDefault="000574F2" w:rsidP="000574F2">
      <w:pPr>
        <w:jc w:val="center"/>
        <w:rPr>
          <w:sz w:val="24"/>
          <w:szCs w:val="24"/>
          <w:u w:val="single"/>
        </w:rPr>
      </w:pPr>
      <w:r w:rsidRPr="001D131E">
        <w:rPr>
          <w:sz w:val="24"/>
          <w:szCs w:val="24"/>
          <w:u w:val="single"/>
        </w:rPr>
        <w:t>HISTORY OF THE PROCEEDING</w:t>
      </w:r>
    </w:p>
    <w:p w:rsidR="000574F2" w:rsidRDefault="000574F2" w:rsidP="000574F2">
      <w:pPr>
        <w:jc w:val="center"/>
        <w:rPr>
          <w:b/>
          <w:sz w:val="24"/>
          <w:szCs w:val="24"/>
        </w:rPr>
      </w:pPr>
    </w:p>
    <w:p w:rsidR="001D131E" w:rsidRPr="001D131E" w:rsidRDefault="001D131E" w:rsidP="000574F2">
      <w:pPr>
        <w:jc w:val="center"/>
        <w:rPr>
          <w:b/>
          <w:sz w:val="24"/>
          <w:szCs w:val="24"/>
        </w:rPr>
      </w:pPr>
    </w:p>
    <w:p w:rsidR="000574F2" w:rsidRPr="001D131E" w:rsidRDefault="000574F2" w:rsidP="000574F2">
      <w:pPr>
        <w:rPr>
          <w:sz w:val="24"/>
          <w:szCs w:val="24"/>
        </w:rPr>
      </w:pPr>
      <w:r w:rsidRPr="001D131E">
        <w:rPr>
          <w:sz w:val="24"/>
          <w:szCs w:val="24"/>
        </w:rPr>
        <w:tab/>
      </w:r>
      <w:r w:rsidRPr="001D131E">
        <w:rPr>
          <w:sz w:val="24"/>
          <w:szCs w:val="24"/>
        </w:rPr>
        <w:tab/>
        <w:t>This Initial Decision dismisses a formal complaint for failure to prosecute.</w:t>
      </w:r>
    </w:p>
    <w:p w:rsidR="000574F2" w:rsidRPr="001D131E" w:rsidRDefault="000574F2" w:rsidP="001D131E">
      <w:pPr>
        <w:spacing w:line="360" w:lineRule="auto"/>
        <w:rPr>
          <w:sz w:val="24"/>
          <w:szCs w:val="24"/>
        </w:rPr>
      </w:pPr>
      <w:r w:rsidRPr="001D131E">
        <w:rPr>
          <w:sz w:val="24"/>
          <w:szCs w:val="24"/>
        </w:rPr>
        <w:tab/>
      </w:r>
      <w:r w:rsidRPr="001D131E">
        <w:rPr>
          <w:sz w:val="24"/>
          <w:szCs w:val="24"/>
        </w:rPr>
        <w:tab/>
      </w:r>
    </w:p>
    <w:p w:rsidR="000574F2" w:rsidRPr="001D131E" w:rsidRDefault="000574F2" w:rsidP="000574F2">
      <w:pPr>
        <w:spacing w:line="360" w:lineRule="auto"/>
        <w:rPr>
          <w:sz w:val="24"/>
          <w:szCs w:val="24"/>
        </w:rPr>
      </w:pPr>
      <w:r w:rsidRPr="001D131E">
        <w:rPr>
          <w:sz w:val="24"/>
          <w:szCs w:val="24"/>
        </w:rPr>
        <w:tab/>
      </w:r>
      <w:r w:rsidRPr="001D131E">
        <w:rPr>
          <w:sz w:val="24"/>
          <w:szCs w:val="24"/>
        </w:rPr>
        <w:tab/>
        <w:t>On May 8, 2014, Shakiera Morrison (Complainant) filed a formal Complaint against PPL Electric Utilities Corporation (PPL or Respondent or Company) alleging that her electric bills dated November</w:t>
      </w:r>
      <w:r w:rsidR="001D131E">
        <w:rPr>
          <w:sz w:val="24"/>
          <w:szCs w:val="24"/>
        </w:rPr>
        <w:t>,</w:t>
      </w:r>
      <w:r w:rsidRPr="001D131E">
        <w:rPr>
          <w:sz w:val="24"/>
          <w:szCs w:val="24"/>
        </w:rPr>
        <w:t xml:space="preserve"> </w:t>
      </w:r>
      <w:r w:rsidR="008A3F29" w:rsidRPr="001D131E">
        <w:rPr>
          <w:sz w:val="24"/>
          <w:szCs w:val="24"/>
        </w:rPr>
        <w:t>2013 through</w:t>
      </w:r>
      <w:r w:rsidRPr="001D131E">
        <w:rPr>
          <w:sz w:val="24"/>
          <w:szCs w:val="24"/>
        </w:rPr>
        <w:t xml:space="preserve"> April</w:t>
      </w:r>
      <w:r w:rsidR="001D131E">
        <w:rPr>
          <w:sz w:val="24"/>
          <w:szCs w:val="24"/>
        </w:rPr>
        <w:t>,</w:t>
      </w:r>
      <w:r w:rsidRPr="001D131E">
        <w:rPr>
          <w:sz w:val="24"/>
          <w:szCs w:val="24"/>
        </w:rPr>
        <w:t xml:space="preserve"> 2014 were too high.  She asks that the Company test her meter and verify that the charges are accurate.</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The Complaint was served by the Commission's Secretary on May 9, 2014.</w:t>
      </w:r>
    </w:p>
    <w:p w:rsidR="000574F2" w:rsidRPr="001D131E" w:rsidRDefault="000574F2" w:rsidP="000574F2">
      <w:pPr>
        <w:spacing w:line="360" w:lineRule="auto"/>
        <w:rPr>
          <w:sz w:val="24"/>
          <w:szCs w:val="24"/>
        </w:rPr>
      </w:pPr>
      <w:r w:rsidRPr="001D131E">
        <w:rPr>
          <w:sz w:val="24"/>
          <w:szCs w:val="24"/>
        </w:rPr>
        <w:t xml:space="preserve"> </w:t>
      </w:r>
    </w:p>
    <w:p w:rsidR="000574F2" w:rsidRPr="001D131E" w:rsidRDefault="000574F2" w:rsidP="000574F2">
      <w:pPr>
        <w:spacing w:line="360" w:lineRule="auto"/>
        <w:rPr>
          <w:sz w:val="24"/>
          <w:szCs w:val="24"/>
        </w:rPr>
      </w:pPr>
      <w:r w:rsidRPr="001D131E">
        <w:rPr>
          <w:sz w:val="24"/>
          <w:szCs w:val="24"/>
        </w:rPr>
        <w:tab/>
      </w:r>
      <w:r w:rsidRPr="001D131E">
        <w:rPr>
          <w:sz w:val="24"/>
          <w:szCs w:val="24"/>
        </w:rPr>
        <w:tab/>
        <w:t>On May 29, 2014, PPL filed its Answer which denied that the billing was improper but admitting that the Company had issued a notice of intent to terminate service based upon an unpaid balance.  PPL had extended a payment agreement of $762 due on April 22, 2014, and thereafter her monthly budget bill plus $52 per month towards arrearage until it is paid in full.</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lastRenderedPageBreak/>
        <w:tab/>
      </w:r>
      <w:r w:rsidRPr="001D131E">
        <w:rPr>
          <w:sz w:val="24"/>
          <w:szCs w:val="24"/>
        </w:rPr>
        <w:tab/>
        <w:t>On June 18, 2014, a Hearing Notice was issued which set the evidentiary hearing for Thursday, July 31, 2014 at 10:00 am in Hearing Room 3 of the Commonwealth Keystone Building and assigned the case to me.  On June 26, 2014, I issued a Prehearing Order which set forth some of the formal requirements for a formal hearing before the Commission and repeated the time, date and place of the scheduled hearing.  Neither of these documents was returned as undeliverable.</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r>
      <w:r w:rsidR="007B2181" w:rsidRPr="001D131E">
        <w:rPr>
          <w:sz w:val="24"/>
          <w:szCs w:val="24"/>
        </w:rPr>
        <w:t>On July 22, 2014, counsel for PPL submitted proposed exhibits</w:t>
      </w:r>
      <w:r w:rsidR="008A3F29" w:rsidRPr="001D131E">
        <w:rPr>
          <w:sz w:val="24"/>
          <w:szCs w:val="24"/>
        </w:rPr>
        <w:t>, including a statement of account and a meter accuracy report</w:t>
      </w:r>
      <w:r w:rsidR="007B2181" w:rsidRPr="001D131E">
        <w:rPr>
          <w:sz w:val="24"/>
          <w:szCs w:val="24"/>
        </w:rPr>
        <w:t>.  Through an email exchange with company counsel, Kimberly Krupka, Esq., on July 29, 2014, I offered the Company the option of participating in the hearing telephonically.</w:t>
      </w:r>
    </w:p>
    <w:p w:rsidR="007B2181" w:rsidRPr="001D131E" w:rsidRDefault="007B2181" w:rsidP="000574F2">
      <w:pPr>
        <w:spacing w:line="360" w:lineRule="auto"/>
        <w:rPr>
          <w:sz w:val="24"/>
          <w:szCs w:val="24"/>
        </w:rPr>
      </w:pPr>
    </w:p>
    <w:p w:rsidR="007B2181" w:rsidRPr="001D131E" w:rsidRDefault="007B2181" w:rsidP="000574F2">
      <w:pPr>
        <w:spacing w:line="360" w:lineRule="auto"/>
        <w:rPr>
          <w:sz w:val="24"/>
          <w:szCs w:val="24"/>
        </w:rPr>
      </w:pPr>
      <w:r w:rsidRPr="001D131E">
        <w:rPr>
          <w:sz w:val="24"/>
          <w:szCs w:val="24"/>
        </w:rPr>
        <w:tab/>
      </w:r>
      <w:r w:rsidRPr="001D131E">
        <w:rPr>
          <w:sz w:val="24"/>
          <w:szCs w:val="24"/>
        </w:rPr>
        <w:tab/>
        <w:t>On Thursday, July 31, 2014, at 10:00 am, I convened the hearing with the Company on the telephone.  Complainant had not appeared in the hearing room, and a telephone call to the number she provided in her formal Complaint resulted in a recorded message indicating that the person I had called had not set up her voice messaging system.</w:t>
      </w:r>
    </w:p>
    <w:p w:rsidR="007B2181" w:rsidRPr="001D131E" w:rsidRDefault="007B2181" w:rsidP="000574F2">
      <w:pPr>
        <w:spacing w:line="360" w:lineRule="auto"/>
        <w:rPr>
          <w:sz w:val="24"/>
          <w:szCs w:val="24"/>
        </w:rPr>
      </w:pPr>
    </w:p>
    <w:p w:rsidR="000574F2" w:rsidRPr="001D131E" w:rsidRDefault="007B2181" w:rsidP="000574F2">
      <w:pPr>
        <w:spacing w:line="360" w:lineRule="auto"/>
        <w:rPr>
          <w:sz w:val="24"/>
          <w:szCs w:val="24"/>
        </w:rPr>
      </w:pPr>
      <w:r w:rsidRPr="001D131E">
        <w:rPr>
          <w:sz w:val="24"/>
          <w:szCs w:val="24"/>
        </w:rPr>
        <w:tab/>
      </w:r>
      <w:r w:rsidRPr="001D131E">
        <w:rPr>
          <w:sz w:val="24"/>
          <w:szCs w:val="24"/>
        </w:rPr>
        <w:tab/>
        <w:t xml:space="preserve">I recessed the hearing for fifteen minutes to give the Complainant the opportunity to arrive and </w:t>
      </w:r>
      <w:r w:rsidR="008A3F29" w:rsidRPr="001D131E">
        <w:rPr>
          <w:sz w:val="24"/>
          <w:szCs w:val="24"/>
        </w:rPr>
        <w:t xml:space="preserve">then </w:t>
      </w:r>
      <w:r w:rsidRPr="001D131E">
        <w:rPr>
          <w:sz w:val="24"/>
          <w:szCs w:val="24"/>
        </w:rPr>
        <w:t>checked the atrium of the building to see if she were there.  Complainant did not appear, and the hearing reconvened without her.  Company counsel moved to dismiss the Complaint for failure to prosecute, and the hearing ended</w:t>
      </w:r>
      <w:r w:rsidR="007D31F5">
        <w:rPr>
          <w:sz w:val="24"/>
          <w:szCs w:val="24"/>
        </w:rPr>
        <w:t xml:space="preserve"> and the record closed</w:t>
      </w:r>
      <w:r w:rsidRPr="001D131E">
        <w:rPr>
          <w:sz w:val="24"/>
          <w:szCs w:val="24"/>
        </w:rPr>
        <w:t xml:space="preserve">.  A transcript was </w:t>
      </w:r>
      <w:r w:rsidR="000574F2" w:rsidRPr="001D131E">
        <w:rPr>
          <w:sz w:val="24"/>
          <w:szCs w:val="24"/>
        </w:rPr>
        <w:t>generated.</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The matter is ripe for decision.</w:t>
      </w:r>
    </w:p>
    <w:p w:rsidR="000574F2" w:rsidRDefault="000574F2" w:rsidP="001E116C">
      <w:pPr>
        <w:rPr>
          <w:sz w:val="24"/>
          <w:szCs w:val="24"/>
        </w:rPr>
      </w:pPr>
    </w:p>
    <w:p w:rsidR="001E116C" w:rsidRPr="001D131E" w:rsidRDefault="001E116C" w:rsidP="001E116C">
      <w:pPr>
        <w:rPr>
          <w:sz w:val="24"/>
          <w:szCs w:val="24"/>
        </w:rPr>
      </w:pPr>
    </w:p>
    <w:p w:rsidR="000574F2" w:rsidRPr="001D131E" w:rsidRDefault="000574F2" w:rsidP="000574F2">
      <w:pPr>
        <w:spacing w:line="360" w:lineRule="auto"/>
        <w:jc w:val="center"/>
        <w:rPr>
          <w:sz w:val="24"/>
          <w:szCs w:val="24"/>
          <w:u w:val="single"/>
        </w:rPr>
      </w:pPr>
      <w:r w:rsidRPr="001D131E">
        <w:rPr>
          <w:sz w:val="24"/>
          <w:szCs w:val="24"/>
          <w:u w:val="single"/>
        </w:rPr>
        <w:t>FINDINGS OF FACT</w:t>
      </w:r>
    </w:p>
    <w:p w:rsidR="000574F2" w:rsidRPr="001D131E" w:rsidRDefault="000574F2" w:rsidP="000574F2">
      <w:pPr>
        <w:spacing w:line="360" w:lineRule="auto"/>
        <w:jc w:val="center"/>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1.</w:t>
      </w:r>
      <w:r w:rsidRPr="001D131E">
        <w:rPr>
          <w:sz w:val="24"/>
          <w:szCs w:val="24"/>
        </w:rPr>
        <w:tab/>
        <w:t xml:space="preserve">Complainant is </w:t>
      </w:r>
      <w:r w:rsidR="007B2181" w:rsidRPr="001D131E">
        <w:rPr>
          <w:sz w:val="24"/>
          <w:szCs w:val="24"/>
        </w:rPr>
        <w:t>Shakiera Morrison, 2305 Buckingham Avenue, Me</w:t>
      </w:r>
      <w:r w:rsidR="008A3F29" w:rsidRPr="001D131E">
        <w:rPr>
          <w:sz w:val="24"/>
          <w:szCs w:val="24"/>
        </w:rPr>
        <w:t>chanicsburg PA 17055.</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2.</w:t>
      </w:r>
      <w:r w:rsidRPr="001D131E">
        <w:rPr>
          <w:sz w:val="24"/>
          <w:szCs w:val="24"/>
        </w:rPr>
        <w:tab/>
        <w:t>Respondent is PPL Electric Utilities Corporation, a jurisdictional public utility providing electric distribution service in the Commonwealth of Pennsylvania.</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3.</w:t>
      </w:r>
      <w:r w:rsidRPr="001D131E">
        <w:rPr>
          <w:sz w:val="24"/>
          <w:szCs w:val="24"/>
        </w:rPr>
        <w:tab/>
        <w:t xml:space="preserve">On </w:t>
      </w:r>
      <w:r w:rsidR="007B2181" w:rsidRPr="001D131E">
        <w:rPr>
          <w:sz w:val="24"/>
          <w:szCs w:val="24"/>
        </w:rPr>
        <w:t>May 8, 2014</w:t>
      </w:r>
      <w:r w:rsidRPr="001D131E">
        <w:rPr>
          <w:sz w:val="24"/>
          <w:szCs w:val="24"/>
        </w:rPr>
        <w:t>, Complainant filed a formal Complaint against Respondent.</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4.</w:t>
      </w:r>
      <w:r w:rsidRPr="001D131E">
        <w:rPr>
          <w:sz w:val="24"/>
          <w:szCs w:val="24"/>
        </w:rPr>
        <w:tab/>
        <w:t xml:space="preserve">On May </w:t>
      </w:r>
      <w:r w:rsidR="008A3F29" w:rsidRPr="001D131E">
        <w:rPr>
          <w:sz w:val="24"/>
          <w:szCs w:val="24"/>
        </w:rPr>
        <w:t>29</w:t>
      </w:r>
      <w:r w:rsidRPr="001D131E">
        <w:rPr>
          <w:sz w:val="24"/>
          <w:szCs w:val="24"/>
        </w:rPr>
        <w:t>, 201</w:t>
      </w:r>
      <w:r w:rsidR="008A3F29" w:rsidRPr="001D131E">
        <w:rPr>
          <w:sz w:val="24"/>
          <w:szCs w:val="24"/>
        </w:rPr>
        <w:t>4</w:t>
      </w:r>
      <w:r w:rsidRPr="001D131E">
        <w:rPr>
          <w:sz w:val="24"/>
          <w:szCs w:val="24"/>
        </w:rPr>
        <w:t xml:space="preserve">, Respondent filed its Answer denying </w:t>
      </w:r>
      <w:r w:rsidR="008A3F29" w:rsidRPr="001D131E">
        <w:rPr>
          <w:sz w:val="24"/>
          <w:szCs w:val="24"/>
        </w:rPr>
        <w:t>any wrongdoing and averring that the charges on the Complainant's bills were correct.</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5.</w:t>
      </w:r>
      <w:r w:rsidRPr="001D131E">
        <w:rPr>
          <w:sz w:val="24"/>
          <w:szCs w:val="24"/>
        </w:rPr>
        <w:tab/>
        <w:t xml:space="preserve">On </w:t>
      </w:r>
      <w:r w:rsidR="008A3F29" w:rsidRPr="001D131E">
        <w:rPr>
          <w:sz w:val="24"/>
          <w:szCs w:val="24"/>
        </w:rPr>
        <w:t>June 18, 2014</w:t>
      </w:r>
      <w:r w:rsidRPr="001D131E">
        <w:rPr>
          <w:sz w:val="24"/>
          <w:szCs w:val="24"/>
        </w:rPr>
        <w:t xml:space="preserve">, a Hearing Notice was issued which set the evidentiary hearing for Thursday, </w:t>
      </w:r>
      <w:r w:rsidR="008A3F29" w:rsidRPr="001D131E">
        <w:rPr>
          <w:sz w:val="24"/>
          <w:szCs w:val="24"/>
        </w:rPr>
        <w:t>July 31, 2014, at</w:t>
      </w:r>
      <w:r w:rsidRPr="001D131E">
        <w:rPr>
          <w:sz w:val="24"/>
          <w:szCs w:val="24"/>
        </w:rPr>
        <w:t xml:space="preserve"> 10:00 </w:t>
      </w:r>
      <w:r w:rsidR="001E4A43" w:rsidRPr="001D131E">
        <w:rPr>
          <w:sz w:val="24"/>
          <w:szCs w:val="24"/>
        </w:rPr>
        <w:t>am</w:t>
      </w:r>
      <w:r w:rsidRPr="001D131E">
        <w:rPr>
          <w:sz w:val="24"/>
          <w:szCs w:val="24"/>
        </w:rPr>
        <w:t xml:space="preserve"> in Hearing Room </w:t>
      </w:r>
      <w:r w:rsidR="008A3F29" w:rsidRPr="001D131E">
        <w:rPr>
          <w:sz w:val="24"/>
          <w:szCs w:val="24"/>
        </w:rPr>
        <w:t>3</w:t>
      </w:r>
      <w:r w:rsidRPr="001D131E">
        <w:rPr>
          <w:sz w:val="24"/>
          <w:szCs w:val="24"/>
        </w:rPr>
        <w:t>, Plaza Level, Commonwealth Keystone Building in Harrisburg.</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6.</w:t>
      </w:r>
      <w:r w:rsidRPr="001D131E">
        <w:rPr>
          <w:sz w:val="24"/>
          <w:szCs w:val="24"/>
        </w:rPr>
        <w:tab/>
        <w:t xml:space="preserve">On </w:t>
      </w:r>
      <w:r w:rsidR="008A3F29" w:rsidRPr="001D131E">
        <w:rPr>
          <w:sz w:val="24"/>
          <w:szCs w:val="24"/>
        </w:rPr>
        <w:t>June 26, 2014</w:t>
      </w:r>
      <w:r w:rsidRPr="001D131E">
        <w:rPr>
          <w:sz w:val="24"/>
          <w:szCs w:val="24"/>
        </w:rPr>
        <w:t xml:space="preserve">, a Prehearing </w:t>
      </w:r>
      <w:r w:rsidR="007D31F5">
        <w:rPr>
          <w:sz w:val="24"/>
          <w:szCs w:val="24"/>
        </w:rPr>
        <w:t>Order</w:t>
      </w:r>
      <w:r w:rsidRPr="001D131E">
        <w:rPr>
          <w:sz w:val="24"/>
          <w:szCs w:val="24"/>
        </w:rPr>
        <w:t xml:space="preserve"> was issued which set forth some of the requirements of a formal hearing, stated the date and location of the scheduled hearing, and warned the parties that failure to participate would result in dismissal.</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7.</w:t>
      </w:r>
      <w:r w:rsidRPr="001D131E">
        <w:rPr>
          <w:sz w:val="24"/>
          <w:szCs w:val="24"/>
        </w:rPr>
        <w:tab/>
        <w:t>Complainant failed to appear at the scheduled time for the hearing.</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8.</w:t>
      </w:r>
      <w:r w:rsidRPr="001D131E">
        <w:rPr>
          <w:sz w:val="24"/>
          <w:szCs w:val="24"/>
        </w:rPr>
        <w:tab/>
        <w:t xml:space="preserve">Complainant failed to seek a continuance or to provide an excuse for her </w:t>
      </w:r>
      <w:r w:rsidR="001E4A43" w:rsidRPr="001D131E">
        <w:rPr>
          <w:sz w:val="24"/>
          <w:szCs w:val="24"/>
        </w:rPr>
        <w:t>a</w:t>
      </w:r>
      <w:r w:rsidRPr="001D131E">
        <w:rPr>
          <w:sz w:val="24"/>
          <w:szCs w:val="24"/>
        </w:rPr>
        <w:t>bsence.</w:t>
      </w:r>
    </w:p>
    <w:p w:rsidR="000574F2" w:rsidRPr="001D131E" w:rsidRDefault="008A3F29" w:rsidP="000574F2">
      <w:pPr>
        <w:spacing w:line="360" w:lineRule="auto"/>
        <w:rPr>
          <w:sz w:val="24"/>
          <w:szCs w:val="24"/>
        </w:rPr>
      </w:pPr>
      <w:r w:rsidRPr="001D131E">
        <w:rPr>
          <w:sz w:val="24"/>
          <w:szCs w:val="24"/>
        </w:rPr>
        <w:tab/>
      </w:r>
      <w:r w:rsidRPr="001D131E">
        <w:rPr>
          <w:sz w:val="24"/>
          <w:szCs w:val="24"/>
        </w:rPr>
        <w:tab/>
      </w:r>
    </w:p>
    <w:p w:rsidR="000574F2" w:rsidRPr="001D131E" w:rsidRDefault="000574F2" w:rsidP="000574F2">
      <w:pPr>
        <w:spacing w:line="360" w:lineRule="auto"/>
        <w:jc w:val="center"/>
        <w:rPr>
          <w:sz w:val="24"/>
          <w:szCs w:val="24"/>
          <w:u w:val="single"/>
        </w:rPr>
      </w:pPr>
      <w:r w:rsidRPr="001D131E">
        <w:rPr>
          <w:sz w:val="24"/>
          <w:szCs w:val="24"/>
          <w:u w:val="single"/>
        </w:rPr>
        <w:t>DISCUSSION</w:t>
      </w:r>
    </w:p>
    <w:p w:rsidR="000574F2" w:rsidRPr="001D131E" w:rsidRDefault="000574F2" w:rsidP="000574F2">
      <w:pPr>
        <w:spacing w:line="360" w:lineRule="auto"/>
        <w:jc w:val="center"/>
        <w:rPr>
          <w:sz w:val="24"/>
          <w:szCs w:val="24"/>
        </w:rPr>
      </w:pPr>
    </w:p>
    <w:p w:rsidR="008A3F29" w:rsidRPr="001D131E" w:rsidRDefault="000574F2" w:rsidP="000574F2">
      <w:pPr>
        <w:spacing w:line="360" w:lineRule="auto"/>
        <w:rPr>
          <w:sz w:val="24"/>
          <w:szCs w:val="24"/>
        </w:rPr>
      </w:pPr>
      <w:r w:rsidRPr="001D131E">
        <w:rPr>
          <w:sz w:val="24"/>
          <w:szCs w:val="24"/>
        </w:rPr>
        <w:tab/>
      </w:r>
      <w:r w:rsidRPr="001D131E">
        <w:rPr>
          <w:sz w:val="24"/>
          <w:szCs w:val="24"/>
        </w:rPr>
        <w:tab/>
      </w:r>
      <w:r w:rsidR="008A3F29" w:rsidRPr="001D131E">
        <w:rPr>
          <w:sz w:val="24"/>
          <w:szCs w:val="24"/>
        </w:rPr>
        <w:t>Complainant questions her bills from November</w:t>
      </w:r>
      <w:r w:rsidR="003743D1">
        <w:rPr>
          <w:sz w:val="24"/>
          <w:szCs w:val="24"/>
        </w:rPr>
        <w:t>,</w:t>
      </w:r>
      <w:r w:rsidR="008A3F29" w:rsidRPr="001D131E">
        <w:rPr>
          <w:sz w:val="24"/>
          <w:szCs w:val="24"/>
        </w:rPr>
        <w:t xml:space="preserve"> 2013 through April</w:t>
      </w:r>
      <w:r w:rsidR="003743D1">
        <w:rPr>
          <w:sz w:val="24"/>
          <w:szCs w:val="24"/>
        </w:rPr>
        <w:t>,</w:t>
      </w:r>
      <w:r w:rsidR="008A3F29" w:rsidRPr="001D131E">
        <w:rPr>
          <w:sz w:val="24"/>
          <w:szCs w:val="24"/>
        </w:rPr>
        <w:t xml:space="preserve"> 2014 and asks that the Company perform a meter check and verify the accuracy of the bills.</w:t>
      </w:r>
    </w:p>
    <w:p w:rsidR="008A3F29" w:rsidRPr="001D131E" w:rsidRDefault="008A3F29" w:rsidP="000574F2">
      <w:pPr>
        <w:spacing w:line="360" w:lineRule="auto"/>
        <w:rPr>
          <w:sz w:val="24"/>
          <w:szCs w:val="24"/>
        </w:rPr>
      </w:pPr>
    </w:p>
    <w:p w:rsidR="000574F2" w:rsidRPr="001D131E" w:rsidRDefault="008A3F29" w:rsidP="000574F2">
      <w:pPr>
        <w:spacing w:line="360" w:lineRule="auto"/>
        <w:rPr>
          <w:sz w:val="24"/>
          <w:szCs w:val="24"/>
        </w:rPr>
      </w:pPr>
      <w:r w:rsidRPr="001D131E">
        <w:rPr>
          <w:sz w:val="24"/>
          <w:szCs w:val="24"/>
        </w:rPr>
        <w:tab/>
      </w:r>
      <w:r w:rsidRPr="001D131E">
        <w:rPr>
          <w:sz w:val="24"/>
          <w:szCs w:val="24"/>
        </w:rPr>
        <w:tab/>
      </w:r>
      <w:r w:rsidR="000574F2" w:rsidRPr="001D131E">
        <w:rPr>
          <w:sz w:val="24"/>
          <w:szCs w:val="24"/>
        </w:rPr>
        <w:t>The party seeking affirmative relief from the Commission bea</w:t>
      </w:r>
      <w:r w:rsidR="00F847ED">
        <w:rPr>
          <w:sz w:val="24"/>
          <w:szCs w:val="24"/>
        </w:rPr>
        <w:t>rs the burden of proof.  66 Pa.</w:t>
      </w:r>
      <w:r w:rsidR="000574F2" w:rsidRPr="001D131E">
        <w:rPr>
          <w:sz w:val="24"/>
          <w:szCs w:val="24"/>
        </w:rPr>
        <w:t xml:space="preserve">C.S. § 332(a).  As a matter of law, a complainant must show that the named utility is responsible or accountable for the problem described in the Complaint in order to prevail.  </w:t>
      </w:r>
      <w:r w:rsidR="000574F2" w:rsidRPr="001D131E">
        <w:rPr>
          <w:i/>
          <w:sz w:val="24"/>
          <w:szCs w:val="24"/>
        </w:rPr>
        <w:t>Patterson v. Bell Tel. Co. of PA</w:t>
      </w:r>
      <w:r w:rsidR="000574F2" w:rsidRPr="001D131E">
        <w:rPr>
          <w:sz w:val="24"/>
          <w:szCs w:val="24"/>
        </w:rPr>
        <w:t>, 72 Pa</w:t>
      </w:r>
      <w:r w:rsidR="00F43739">
        <w:rPr>
          <w:sz w:val="24"/>
          <w:szCs w:val="24"/>
        </w:rPr>
        <w:t>.</w:t>
      </w:r>
      <w:r w:rsidR="000574F2" w:rsidRPr="001D131E">
        <w:rPr>
          <w:sz w:val="24"/>
          <w:szCs w:val="24"/>
        </w:rPr>
        <w:t xml:space="preserve"> PUC 196 (1990); </w:t>
      </w:r>
      <w:r w:rsidR="000574F2" w:rsidRPr="001D131E">
        <w:rPr>
          <w:i/>
          <w:sz w:val="24"/>
          <w:szCs w:val="24"/>
        </w:rPr>
        <w:t>Feinstein v. Phila. Suburban Water Co.</w:t>
      </w:r>
      <w:r w:rsidR="007170DA">
        <w:rPr>
          <w:sz w:val="24"/>
          <w:szCs w:val="24"/>
        </w:rPr>
        <w:t>, </w:t>
      </w:r>
      <w:r w:rsidR="000574F2" w:rsidRPr="001D131E">
        <w:rPr>
          <w:sz w:val="24"/>
          <w:szCs w:val="24"/>
        </w:rPr>
        <w:t xml:space="preserve">50 Pa. PUC 300 (1976).  This must be shown by a preponderance of the evidence.  </w:t>
      </w:r>
      <w:r w:rsidR="000574F2" w:rsidRPr="001D131E">
        <w:rPr>
          <w:i/>
          <w:sz w:val="24"/>
          <w:szCs w:val="24"/>
        </w:rPr>
        <w:t>Samuel J. Lansberry, Inc. v. Pa. Pub. Util. Comm’n,</w:t>
      </w:r>
      <w:r w:rsidR="000574F2" w:rsidRPr="001D131E">
        <w:rPr>
          <w:sz w:val="24"/>
          <w:szCs w:val="24"/>
        </w:rPr>
        <w:t xml:space="preserve"> 578 A.2d 600 (Pa.Cmwlth.1990), </w:t>
      </w:r>
      <w:r w:rsidR="000574F2" w:rsidRPr="001D131E">
        <w:rPr>
          <w:i/>
          <w:sz w:val="24"/>
          <w:szCs w:val="24"/>
        </w:rPr>
        <w:t>alloc. denied</w:t>
      </w:r>
      <w:r w:rsidR="004954AA">
        <w:rPr>
          <w:sz w:val="24"/>
          <w:szCs w:val="24"/>
        </w:rPr>
        <w:t>, </w:t>
      </w:r>
      <w:r w:rsidR="000574F2" w:rsidRPr="001D131E">
        <w:rPr>
          <w:sz w:val="24"/>
          <w:szCs w:val="24"/>
        </w:rPr>
        <w:t xml:space="preserve">529 Pa. 654, 602 A.2d 863 (1992).  A preponderance of evidence is that which is more convincing, by even the smallest amount, than that presented by the other party.  </w:t>
      </w:r>
      <w:r w:rsidR="000574F2" w:rsidRPr="001D131E">
        <w:rPr>
          <w:i/>
          <w:sz w:val="24"/>
          <w:szCs w:val="24"/>
        </w:rPr>
        <w:t>Se-Ling Hosiery v. Marqulies</w:t>
      </w:r>
      <w:r w:rsidR="000574F2" w:rsidRPr="001D131E">
        <w:rPr>
          <w:sz w:val="24"/>
          <w:szCs w:val="24"/>
        </w:rPr>
        <w:t>, 364 Pa. 45, 70 A.2d 854 (1950).</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 xml:space="preserve">The Commission is required to provide due process to the parties appearing before them.  This requirement is satisfied when the parties are afforded notice and the opportunity to appear and be heard. </w:t>
      </w:r>
      <w:r w:rsidR="0046228C">
        <w:rPr>
          <w:sz w:val="24"/>
          <w:szCs w:val="24"/>
        </w:rPr>
        <w:t xml:space="preserve"> </w:t>
      </w:r>
      <w:r w:rsidRPr="001D131E">
        <w:rPr>
          <w:i/>
          <w:sz w:val="24"/>
          <w:szCs w:val="24"/>
        </w:rPr>
        <w:t>Schneider v. Pa. Pub. Util. Comm’n</w:t>
      </w:r>
      <w:r w:rsidRPr="001D131E">
        <w:rPr>
          <w:sz w:val="24"/>
          <w:szCs w:val="24"/>
        </w:rPr>
        <w:t xml:space="preserve">, 479 A.2d 10 (Pa. Cmwlth.1984).  Notice mailed to a party’s last known address and not returned by the post office is presumed to have been received.  </w:t>
      </w:r>
      <w:r w:rsidRPr="001D131E">
        <w:rPr>
          <w:i/>
          <w:sz w:val="24"/>
          <w:szCs w:val="24"/>
        </w:rPr>
        <w:t>Chartiers Industrial and Commercial Development Authority v. Allegheny County Board of Property Assessment Appeals and Review</w:t>
      </w:r>
      <w:r w:rsidRPr="001D131E">
        <w:rPr>
          <w:sz w:val="24"/>
          <w:szCs w:val="24"/>
        </w:rPr>
        <w:t xml:space="preserve">, 645 A.2d 944 (Pa. Cmwlth.1994), </w:t>
      </w:r>
      <w:r w:rsidRPr="001D131E">
        <w:rPr>
          <w:i/>
          <w:sz w:val="24"/>
          <w:szCs w:val="24"/>
        </w:rPr>
        <w:t>appeal denied</w:t>
      </w:r>
      <w:r w:rsidRPr="001D131E">
        <w:rPr>
          <w:sz w:val="24"/>
          <w:szCs w:val="24"/>
        </w:rPr>
        <w:t xml:space="preserve"> 539 Pa. 696, 653 A.2d 1234 (1994).</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 xml:space="preserve">The Hearing Notice and Prehearing Order were sent to the address provided by the Complainant.  Neither was returned as undeliverable.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r w:rsidRPr="001D131E">
        <w:rPr>
          <w:i/>
          <w:sz w:val="24"/>
          <w:szCs w:val="24"/>
        </w:rPr>
        <w:t>Sentner v. Bell Tel. Co. of PA</w:t>
      </w:r>
      <w:r w:rsidRPr="001D131E">
        <w:rPr>
          <w:sz w:val="24"/>
          <w:szCs w:val="24"/>
        </w:rPr>
        <w:t>, Opinion and Order entered October 25, 2003 at PUC Docket No. F-00161106.</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Both the Hearing Notice and the Prehearing Order warned the parties that failure to participate could result in the dismissal of the case.  In the present case, Complainant was clearly warned in two different documents that her failure to participate in the evidentiary hearing could result in the loss of her claim.  No further contact was received from Complainant.</w:t>
      </w:r>
    </w:p>
    <w:p w:rsidR="000574F2" w:rsidRPr="001D131E" w:rsidRDefault="000574F2" w:rsidP="000574F2">
      <w:pPr>
        <w:spacing w:line="360" w:lineRule="auto"/>
        <w:rPr>
          <w:sz w:val="24"/>
          <w:szCs w:val="24"/>
        </w:rPr>
      </w:pPr>
      <w:r w:rsidRPr="001D131E">
        <w:rPr>
          <w:sz w:val="24"/>
          <w:szCs w:val="24"/>
        </w:rPr>
        <w:tab/>
      </w:r>
      <w:r w:rsidRPr="001D131E">
        <w:rPr>
          <w:sz w:val="24"/>
          <w:szCs w:val="24"/>
        </w:rPr>
        <w:tab/>
      </w:r>
    </w:p>
    <w:p w:rsidR="000574F2" w:rsidRPr="001D131E" w:rsidRDefault="000574F2" w:rsidP="000574F2">
      <w:pPr>
        <w:spacing w:line="360" w:lineRule="auto"/>
        <w:rPr>
          <w:sz w:val="24"/>
          <w:szCs w:val="24"/>
        </w:rPr>
      </w:pPr>
      <w:r w:rsidRPr="001D131E">
        <w:rPr>
          <w:sz w:val="24"/>
          <w:szCs w:val="24"/>
        </w:rPr>
        <w:tab/>
      </w:r>
      <w:r w:rsidRPr="001D131E">
        <w:rPr>
          <w:sz w:val="24"/>
          <w:szCs w:val="24"/>
        </w:rPr>
        <w:tab/>
        <w:t>Complainant’s absence is unexcused.</w:t>
      </w:r>
      <w:r w:rsidR="001E4A43" w:rsidRPr="001D131E">
        <w:rPr>
          <w:sz w:val="24"/>
          <w:szCs w:val="24"/>
        </w:rPr>
        <w:t xml:space="preserve">  By her failure to attend the hearing and present evidence, Complainant failed to sustain her burden of proof.</w:t>
      </w:r>
    </w:p>
    <w:p w:rsidR="000574F2" w:rsidRPr="001D131E" w:rsidRDefault="000574F2" w:rsidP="000574F2">
      <w:pPr>
        <w:spacing w:line="360" w:lineRule="auto"/>
        <w:rPr>
          <w:sz w:val="24"/>
          <w:szCs w:val="24"/>
        </w:rPr>
      </w:pPr>
    </w:p>
    <w:p w:rsidR="001E4A43" w:rsidRPr="001D131E" w:rsidRDefault="000574F2" w:rsidP="007D31F5">
      <w:pPr>
        <w:spacing w:line="360" w:lineRule="auto"/>
        <w:rPr>
          <w:sz w:val="24"/>
          <w:szCs w:val="24"/>
        </w:rPr>
      </w:pPr>
      <w:r w:rsidRPr="001D131E">
        <w:rPr>
          <w:sz w:val="24"/>
          <w:szCs w:val="24"/>
        </w:rPr>
        <w:tab/>
      </w:r>
      <w:r w:rsidRPr="001D131E">
        <w:rPr>
          <w:sz w:val="24"/>
          <w:szCs w:val="24"/>
        </w:rPr>
        <w:tab/>
        <w:t xml:space="preserve">The Company was prepared with counsel and witness. </w:t>
      </w:r>
      <w:r w:rsidR="003762BE">
        <w:rPr>
          <w:sz w:val="24"/>
          <w:szCs w:val="24"/>
        </w:rPr>
        <w:t xml:space="preserve"> </w:t>
      </w:r>
      <w:r w:rsidRPr="001D131E">
        <w:rPr>
          <w:sz w:val="24"/>
          <w:szCs w:val="24"/>
        </w:rPr>
        <w:t>The Company’s motion to dismiss the Complaint with prejudice is</w:t>
      </w:r>
      <w:r w:rsidR="003762BE">
        <w:rPr>
          <w:sz w:val="24"/>
          <w:szCs w:val="24"/>
        </w:rPr>
        <w:t xml:space="preserve"> granted.</w:t>
      </w:r>
    </w:p>
    <w:p w:rsidR="000574F2" w:rsidRPr="001D131E" w:rsidRDefault="000574F2" w:rsidP="000574F2">
      <w:pPr>
        <w:spacing w:line="360" w:lineRule="auto"/>
        <w:jc w:val="center"/>
        <w:rPr>
          <w:sz w:val="24"/>
          <w:szCs w:val="24"/>
          <w:u w:val="single"/>
        </w:rPr>
      </w:pPr>
      <w:r w:rsidRPr="001D131E">
        <w:rPr>
          <w:sz w:val="24"/>
          <w:szCs w:val="24"/>
          <w:u w:val="single"/>
        </w:rPr>
        <w:t>CONCLUSIONS OF LAW</w:t>
      </w:r>
    </w:p>
    <w:p w:rsidR="000574F2" w:rsidRPr="001D131E" w:rsidRDefault="000574F2" w:rsidP="000574F2">
      <w:pPr>
        <w:spacing w:line="360" w:lineRule="auto"/>
        <w:jc w:val="center"/>
        <w:rPr>
          <w:sz w:val="24"/>
          <w:szCs w:val="24"/>
          <w:u w:val="single"/>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1.</w:t>
      </w:r>
      <w:r w:rsidRPr="001D131E">
        <w:rPr>
          <w:sz w:val="24"/>
          <w:szCs w:val="24"/>
        </w:rPr>
        <w:tab/>
        <w:t>The Commission has jurisdiction over the parties and the subject mat</w:t>
      </w:r>
      <w:r w:rsidR="008A3F29" w:rsidRPr="001D131E">
        <w:rPr>
          <w:sz w:val="24"/>
          <w:szCs w:val="24"/>
        </w:rPr>
        <w:t>ter of this proceeding.  66 Pa.</w:t>
      </w:r>
      <w:r w:rsidRPr="001D131E">
        <w:rPr>
          <w:sz w:val="24"/>
          <w:szCs w:val="24"/>
        </w:rPr>
        <w:t>C.S. § 701.</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2.</w:t>
      </w:r>
      <w:r w:rsidRPr="001D131E">
        <w:rPr>
          <w:sz w:val="24"/>
          <w:szCs w:val="24"/>
        </w:rPr>
        <w:tab/>
        <w:t xml:space="preserve">Notice mailed to a party’s last known address and not returned by the post office is presumed to have been received.  </w:t>
      </w:r>
      <w:r w:rsidRPr="001D131E">
        <w:rPr>
          <w:i/>
          <w:sz w:val="24"/>
          <w:szCs w:val="24"/>
        </w:rPr>
        <w:t>Chartiers Industrial and Commercial Development Authority v. Allegheny County Board of Property Assessment Appeals and Review</w:t>
      </w:r>
      <w:r w:rsidRPr="001D131E">
        <w:rPr>
          <w:sz w:val="24"/>
          <w:szCs w:val="24"/>
        </w:rPr>
        <w:t xml:space="preserve">, 645 A.2d 944 (Pa.Cmwlth.1994), </w:t>
      </w:r>
      <w:r w:rsidRPr="001D131E">
        <w:rPr>
          <w:i/>
          <w:sz w:val="24"/>
          <w:szCs w:val="24"/>
        </w:rPr>
        <w:t>appeal denied</w:t>
      </w:r>
      <w:r w:rsidRPr="001D131E">
        <w:rPr>
          <w:sz w:val="24"/>
          <w:szCs w:val="24"/>
        </w:rPr>
        <w:t xml:space="preserve"> 539 Pa. 696, 653 A.2d 1234 (1994).</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3.</w:t>
      </w:r>
      <w:r w:rsidRPr="001D131E">
        <w:rPr>
          <w:sz w:val="24"/>
          <w:szCs w:val="24"/>
        </w:rPr>
        <w:tab/>
        <w:t>As the party seeking affirmative relief from the Commission, Complainant bears the burden of proof.  66 Pa.C.S. § 332(a).</w:t>
      </w:r>
    </w:p>
    <w:p w:rsidR="000574F2" w:rsidRPr="001D131E" w:rsidRDefault="000574F2" w:rsidP="000574F2">
      <w:pPr>
        <w:spacing w:line="360" w:lineRule="auto"/>
        <w:rPr>
          <w:sz w:val="24"/>
          <w:szCs w:val="24"/>
        </w:rPr>
      </w:pPr>
      <w:r w:rsidRPr="001D131E">
        <w:rPr>
          <w:sz w:val="24"/>
          <w:szCs w:val="24"/>
        </w:rPr>
        <w:tab/>
      </w:r>
    </w:p>
    <w:p w:rsidR="000574F2" w:rsidRPr="001D131E" w:rsidRDefault="000574F2" w:rsidP="000574F2">
      <w:pPr>
        <w:spacing w:line="360" w:lineRule="auto"/>
        <w:rPr>
          <w:sz w:val="24"/>
          <w:szCs w:val="24"/>
        </w:rPr>
      </w:pPr>
      <w:r w:rsidRPr="001D131E">
        <w:rPr>
          <w:sz w:val="24"/>
          <w:szCs w:val="24"/>
        </w:rPr>
        <w:tab/>
      </w:r>
      <w:r w:rsidRPr="001D131E">
        <w:rPr>
          <w:sz w:val="24"/>
          <w:szCs w:val="24"/>
        </w:rPr>
        <w:tab/>
        <w:t>4.</w:t>
      </w:r>
      <w:r w:rsidRPr="001D131E">
        <w:rPr>
          <w:sz w:val="24"/>
          <w:szCs w:val="24"/>
        </w:rPr>
        <w:tab/>
        <w:t xml:space="preserve">Due process is provided when the parties are afforded notice and the opportunity to appear and be heard.  </w:t>
      </w:r>
      <w:r w:rsidRPr="001D131E">
        <w:rPr>
          <w:i/>
          <w:sz w:val="24"/>
          <w:szCs w:val="24"/>
        </w:rPr>
        <w:t>Schneider v. Pa. Pub. Util. Comm’n</w:t>
      </w:r>
      <w:r w:rsidRPr="001D131E">
        <w:rPr>
          <w:sz w:val="24"/>
          <w:szCs w:val="24"/>
        </w:rPr>
        <w:t>, 479 A.2d 10 (Pa. Cmwlth. 1984).</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5.</w:t>
      </w:r>
      <w:r w:rsidRPr="001D131E">
        <w:rPr>
          <w:sz w:val="24"/>
          <w:szCs w:val="24"/>
        </w:rPr>
        <w:tab/>
        <w:t>By her unexcused failure to appear, Complainant has failed to carry her burden of proof.</w:t>
      </w:r>
    </w:p>
    <w:p w:rsidR="000574F2" w:rsidRPr="001D131E" w:rsidRDefault="000574F2" w:rsidP="000574F2">
      <w:pPr>
        <w:spacing w:line="360" w:lineRule="auto"/>
        <w:rPr>
          <w:sz w:val="24"/>
          <w:szCs w:val="24"/>
        </w:rPr>
      </w:pPr>
    </w:p>
    <w:p w:rsidR="000574F2" w:rsidRPr="001D131E" w:rsidRDefault="000574F2" w:rsidP="000574F2">
      <w:pPr>
        <w:spacing w:line="360" w:lineRule="auto"/>
        <w:jc w:val="center"/>
        <w:rPr>
          <w:sz w:val="24"/>
          <w:szCs w:val="24"/>
          <w:u w:val="single"/>
        </w:rPr>
      </w:pPr>
      <w:r w:rsidRPr="001D131E">
        <w:rPr>
          <w:sz w:val="24"/>
          <w:szCs w:val="24"/>
          <w:u w:val="single"/>
        </w:rPr>
        <w:t>ORDER</w:t>
      </w:r>
    </w:p>
    <w:p w:rsidR="000574F2" w:rsidRPr="001D131E" w:rsidRDefault="000574F2" w:rsidP="000574F2">
      <w:pPr>
        <w:spacing w:line="360" w:lineRule="auto"/>
        <w:jc w:val="center"/>
        <w:rPr>
          <w:b/>
          <w:sz w:val="24"/>
          <w:szCs w:val="24"/>
        </w:rPr>
      </w:pPr>
    </w:p>
    <w:p w:rsidR="000574F2" w:rsidRPr="001D131E" w:rsidRDefault="000574F2" w:rsidP="000574F2">
      <w:pPr>
        <w:spacing w:line="360" w:lineRule="auto"/>
        <w:jc w:val="center"/>
        <w:rPr>
          <w:b/>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THEREFORE,</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IT IS ORDERED:</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1.</w:t>
      </w:r>
      <w:r w:rsidRPr="001D131E">
        <w:rPr>
          <w:sz w:val="24"/>
          <w:szCs w:val="24"/>
        </w:rPr>
        <w:tab/>
        <w:t xml:space="preserve">That the motion of PPL Electric Utilities Corporation to dismiss the Complaint of </w:t>
      </w:r>
      <w:r w:rsidR="008A3F29" w:rsidRPr="001D131E">
        <w:rPr>
          <w:sz w:val="24"/>
          <w:szCs w:val="24"/>
        </w:rPr>
        <w:t>Shakiera Morrison</w:t>
      </w:r>
      <w:r w:rsidRPr="001D131E">
        <w:rPr>
          <w:sz w:val="24"/>
          <w:szCs w:val="24"/>
        </w:rPr>
        <w:t xml:space="preserve"> is granted.</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2.</w:t>
      </w:r>
      <w:r w:rsidRPr="001D131E">
        <w:rPr>
          <w:sz w:val="24"/>
          <w:szCs w:val="24"/>
        </w:rPr>
        <w:tab/>
        <w:t xml:space="preserve">That the Formal Complaint filed by </w:t>
      </w:r>
      <w:r w:rsidR="008A3F29" w:rsidRPr="001D131E">
        <w:rPr>
          <w:sz w:val="24"/>
          <w:szCs w:val="24"/>
        </w:rPr>
        <w:t>Shakiera Morrison</w:t>
      </w:r>
      <w:r w:rsidRPr="001D131E">
        <w:rPr>
          <w:sz w:val="24"/>
          <w:szCs w:val="24"/>
        </w:rPr>
        <w:t xml:space="preserve"> against PPL Electric Utilities Corporation at PUC Docket No. C-</w:t>
      </w:r>
      <w:r w:rsidR="008A3F29" w:rsidRPr="001D131E">
        <w:rPr>
          <w:sz w:val="24"/>
          <w:szCs w:val="24"/>
        </w:rPr>
        <w:t>2</w:t>
      </w:r>
      <w:r w:rsidR="007D31F5">
        <w:rPr>
          <w:sz w:val="24"/>
          <w:szCs w:val="24"/>
        </w:rPr>
        <w:t>0</w:t>
      </w:r>
      <w:r w:rsidR="008A3F29" w:rsidRPr="001D131E">
        <w:rPr>
          <w:sz w:val="24"/>
          <w:szCs w:val="24"/>
        </w:rPr>
        <w:t>14-2420574</w:t>
      </w:r>
      <w:r w:rsidRPr="001D131E">
        <w:rPr>
          <w:sz w:val="24"/>
          <w:szCs w:val="24"/>
        </w:rPr>
        <w:t xml:space="preserve"> is dismissed with prejudice.</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r w:rsidRPr="001D131E">
        <w:rPr>
          <w:sz w:val="24"/>
          <w:szCs w:val="24"/>
        </w:rPr>
        <w:tab/>
      </w:r>
      <w:r w:rsidRPr="001D131E">
        <w:rPr>
          <w:sz w:val="24"/>
          <w:szCs w:val="24"/>
        </w:rPr>
        <w:tab/>
        <w:t>3.</w:t>
      </w:r>
      <w:r w:rsidRPr="001D131E">
        <w:rPr>
          <w:sz w:val="24"/>
          <w:szCs w:val="24"/>
        </w:rPr>
        <w:tab/>
        <w:t>That the Secretary mark this docket closed.</w:t>
      </w:r>
    </w:p>
    <w:p w:rsidR="000574F2" w:rsidRPr="001D131E" w:rsidRDefault="000574F2" w:rsidP="000574F2">
      <w:pPr>
        <w:spacing w:line="360" w:lineRule="auto"/>
        <w:rPr>
          <w:sz w:val="24"/>
          <w:szCs w:val="24"/>
        </w:rPr>
      </w:pPr>
    </w:p>
    <w:p w:rsidR="000574F2" w:rsidRPr="001D131E" w:rsidRDefault="000574F2" w:rsidP="000574F2">
      <w:pPr>
        <w:spacing w:line="360" w:lineRule="auto"/>
        <w:rPr>
          <w:sz w:val="24"/>
          <w:szCs w:val="24"/>
        </w:rPr>
      </w:pPr>
    </w:p>
    <w:p w:rsidR="000574F2" w:rsidRPr="001D131E" w:rsidRDefault="000574F2" w:rsidP="000574F2">
      <w:pPr>
        <w:rPr>
          <w:sz w:val="24"/>
          <w:szCs w:val="24"/>
        </w:rPr>
      </w:pPr>
      <w:r w:rsidRPr="001D131E">
        <w:rPr>
          <w:sz w:val="24"/>
          <w:szCs w:val="24"/>
        </w:rPr>
        <w:t>Dated:</w:t>
      </w:r>
      <w:r w:rsidRPr="001D131E">
        <w:rPr>
          <w:sz w:val="24"/>
          <w:szCs w:val="24"/>
        </w:rPr>
        <w:tab/>
      </w:r>
      <w:r w:rsidR="008A3F29" w:rsidRPr="001D131E">
        <w:rPr>
          <w:sz w:val="24"/>
          <w:szCs w:val="24"/>
          <w:u w:val="single"/>
        </w:rPr>
        <w:t>July 31, 2014</w:t>
      </w:r>
      <w:r w:rsidR="008A3F29" w:rsidRPr="001D131E">
        <w:rPr>
          <w:sz w:val="24"/>
          <w:szCs w:val="24"/>
        </w:rPr>
        <w:tab/>
      </w:r>
      <w:r w:rsidRPr="001D131E">
        <w:rPr>
          <w:sz w:val="24"/>
          <w:szCs w:val="24"/>
        </w:rPr>
        <w:tab/>
      </w:r>
      <w:r w:rsidRPr="001D131E">
        <w:rPr>
          <w:sz w:val="24"/>
          <w:szCs w:val="24"/>
        </w:rPr>
        <w:tab/>
      </w:r>
      <w:r w:rsidR="00305D76">
        <w:rPr>
          <w:sz w:val="24"/>
          <w:szCs w:val="24"/>
        </w:rPr>
        <w:tab/>
      </w:r>
      <w:r w:rsidR="00305D76">
        <w:rPr>
          <w:sz w:val="24"/>
          <w:szCs w:val="24"/>
        </w:rPr>
        <w:tab/>
      </w:r>
      <w:r w:rsidRPr="001D131E">
        <w:rPr>
          <w:sz w:val="24"/>
          <w:szCs w:val="24"/>
        </w:rPr>
        <w:t>____</w:t>
      </w:r>
      <w:r w:rsidR="008A3F29" w:rsidRPr="001D131E">
        <w:rPr>
          <w:sz w:val="24"/>
          <w:szCs w:val="24"/>
          <w:u w:val="single"/>
        </w:rPr>
        <w:t>/s/</w:t>
      </w:r>
      <w:r w:rsidRPr="001D131E">
        <w:rPr>
          <w:sz w:val="24"/>
          <w:szCs w:val="24"/>
        </w:rPr>
        <w:t>_</w:t>
      </w:r>
      <w:r w:rsidR="00305D76">
        <w:rPr>
          <w:sz w:val="24"/>
          <w:szCs w:val="24"/>
        </w:rPr>
        <w:t>_____________________________</w:t>
      </w:r>
    </w:p>
    <w:p w:rsidR="000574F2" w:rsidRPr="001D131E" w:rsidRDefault="000574F2" w:rsidP="000574F2">
      <w:pPr>
        <w:rPr>
          <w:sz w:val="24"/>
          <w:szCs w:val="24"/>
        </w:rPr>
      </w:pP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r>
      <w:r w:rsidR="00305D76">
        <w:rPr>
          <w:sz w:val="24"/>
          <w:szCs w:val="24"/>
        </w:rPr>
        <w:tab/>
      </w:r>
      <w:r w:rsidRPr="001D131E">
        <w:rPr>
          <w:sz w:val="24"/>
          <w:szCs w:val="24"/>
        </w:rPr>
        <w:t>Susan D. Colwell</w:t>
      </w:r>
    </w:p>
    <w:p w:rsidR="000574F2" w:rsidRPr="001D131E" w:rsidRDefault="000574F2" w:rsidP="000574F2">
      <w:pPr>
        <w:rPr>
          <w:sz w:val="24"/>
          <w:szCs w:val="24"/>
        </w:rPr>
      </w:pP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r>
      <w:r w:rsidRPr="001D131E">
        <w:rPr>
          <w:sz w:val="24"/>
          <w:szCs w:val="24"/>
        </w:rPr>
        <w:tab/>
      </w:r>
      <w:r w:rsidR="00305D76">
        <w:rPr>
          <w:sz w:val="24"/>
          <w:szCs w:val="24"/>
        </w:rPr>
        <w:tab/>
      </w:r>
      <w:r w:rsidRPr="001D131E">
        <w:rPr>
          <w:sz w:val="24"/>
          <w:szCs w:val="24"/>
        </w:rPr>
        <w:t>Administrative Law Judge</w:t>
      </w:r>
      <w:r w:rsidRPr="001D131E">
        <w:rPr>
          <w:sz w:val="24"/>
          <w:szCs w:val="24"/>
        </w:rPr>
        <w:tab/>
      </w:r>
      <w:r w:rsidRPr="001D131E">
        <w:rPr>
          <w:sz w:val="24"/>
          <w:szCs w:val="24"/>
        </w:rPr>
        <w:tab/>
      </w:r>
    </w:p>
    <w:p w:rsidR="000574F2" w:rsidRPr="001D131E" w:rsidRDefault="000574F2" w:rsidP="000574F2">
      <w:pPr>
        <w:spacing w:line="360" w:lineRule="auto"/>
        <w:rPr>
          <w:sz w:val="24"/>
          <w:szCs w:val="24"/>
        </w:rPr>
      </w:pPr>
    </w:p>
    <w:p w:rsidR="000574F2" w:rsidRPr="001D131E" w:rsidRDefault="000574F2" w:rsidP="000574F2">
      <w:pPr>
        <w:spacing w:line="360" w:lineRule="auto"/>
        <w:rPr>
          <w:b/>
          <w:sz w:val="24"/>
          <w:szCs w:val="24"/>
        </w:rPr>
      </w:pPr>
    </w:p>
    <w:p w:rsidR="000574F2" w:rsidRPr="001D131E" w:rsidRDefault="000574F2" w:rsidP="000574F2">
      <w:pPr>
        <w:spacing w:line="360" w:lineRule="auto"/>
        <w:rPr>
          <w:b/>
          <w:sz w:val="24"/>
          <w:szCs w:val="24"/>
        </w:rPr>
      </w:pPr>
    </w:p>
    <w:p w:rsidR="00C04960" w:rsidRPr="001D131E" w:rsidRDefault="00C04960" w:rsidP="000574F2">
      <w:pPr>
        <w:rPr>
          <w:sz w:val="24"/>
          <w:szCs w:val="24"/>
        </w:rPr>
      </w:pPr>
    </w:p>
    <w:sectPr w:rsidR="00C04960" w:rsidRPr="001D131E" w:rsidSect="00A35EF6">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415" w:rsidRDefault="00471415" w:rsidP="008A3F29">
      <w:r>
        <w:separator/>
      </w:r>
    </w:p>
  </w:endnote>
  <w:endnote w:type="continuationSeparator" w:id="0">
    <w:p w:rsidR="00471415" w:rsidRDefault="00471415" w:rsidP="008A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659962316"/>
      <w:docPartObj>
        <w:docPartGallery w:val="Page Numbers (Bottom of Page)"/>
        <w:docPartUnique/>
      </w:docPartObj>
    </w:sdtPr>
    <w:sdtEndPr>
      <w:rPr>
        <w:noProof/>
      </w:rPr>
    </w:sdtEndPr>
    <w:sdtContent>
      <w:p w:rsidR="00A35EF6" w:rsidRPr="003743D1" w:rsidRDefault="008A3F29" w:rsidP="003743D1">
        <w:pPr>
          <w:pStyle w:val="Footer"/>
          <w:jc w:val="center"/>
          <w:rPr>
            <w:sz w:val="20"/>
            <w:szCs w:val="20"/>
          </w:rPr>
        </w:pPr>
        <w:r w:rsidRPr="003743D1">
          <w:rPr>
            <w:sz w:val="20"/>
            <w:szCs w:val="20"/>
          </w:rPr>
          <w:fldChar w:fldCharType="begin"/>
        </w:r>
        <w:r w:rsidRPr="003743D1">
          <w:rPr>
            <w:sz w:val="20"/>
            <w:szCs w:val="20"/>
          </w:rPr>
          <w:instrText xml:space="preserve"> PAGE   \* MERGEFORMAT </w:instrText>
        </w:r>
        <w:r w:rsidRPr="003743D1">
          <w:rPr>
            <w:sz w:val="20"/>
            <w:szCs w:val="20"/>
          </w:rPr>
          <w:fldChar w:fldCharType="separate"/>
        </w:r>
        <w:r w:rsidR="002E78AA">
          <w:rPr>
            <w:noProof/>
            <w:sz w:val="20"/>
            <w:szCs w:val="20"/>
          </w:rPr>
          <w:t>6</w:t>
        </w:r>
        <w:r w:rsidRPr="003743D1">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415" w:rsidRDefault="00471415" w:rsidP="008A3F29">
      <w:r>
        <w:separator/>
      </w:r>
    </w:p>
  </w:footnote>
  <w:footnote w:type="continuationSeparator" w:id="0">
    <w:p w:rsidR="00471415" w:rsidRDefault="00471415" w:rsidP="008A3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4F2"/>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4F2"/>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574C"/>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31E"/>
    <w:rsid w:val="001D1F1B"/>
    <w:rsid w:val="001D4223"/>
    <w:rsid w:val="001D556B"/>
    <w:rsid w:val="001E116C"/>
    <w:rsid w:val="001E2642"/>
    <w:rsid w:val="001E3C9A"/>
    <w:rsid w:val="001E4A43"/>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8AA"/>
    <w:rsid w:val="002E7DDB"/>
    <w:rsid w:val="002F21B6"/>
    <w:rsid w:val="002F222D"/>
    <w:rsid w:val="002F2A4A"/>
    <w:rsid w:val="002F42FC"/>
    <w:rsid w:val="002F5C03"/>
    <w:rsid w:val="002F6F4F"/>
    <w:rsid w:val="002F75DA"/>
    <w:rsid w:val="00303526"/>
    <w:rsid w:val="00303761"/>
    <w:rsid w:val="00304AA1"/>
    <w:rsid w:val="00305D76"/>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4728C"/>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43D1"/>
    <w:rsid w:val="00375889"/>
    <w:rsid w:val="003760EB"/>
    <w:rsid w:val="003762BE"/>
    <w:rsid w:val="003806AE"/>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28C"/>
    <w:rsid w:val="0046238B"/>
    <w:rsid w:val="004625E8"/>
    <w:rsid w:val="00464B18"/>
    <w:rsid w:val="00465D71"/>
    <w:rsid w:val="00466D15"/>
    <w:rsid w:val="0047070D"/>
    <w:rsid w:val="00471415"/>
    <w:rsid w:val="00477A71"/>
    <w:rsid w:val="00481269"/>
    <w:rsid w:val="004839FC"/>
    <w:rsid w:val="00483C70"/>
    <w:rsid w:val="00484589"/>
    <w:rsid w:val="00484BCE"/>
    <w:rsid w:val="00487E8F"/>
    <w:rsid w:val="00491F39"/>
    <w:rsid w:val="004938B5"/>
    <w:rsid w:val="00493AC3"/>
    <w:rsid w:val="0049422F"/>
    <w:rsid w:val="0049475D"/>
    <w:rsid w:val="004954AA"/>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5C07"/>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A4A"/>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357"/>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2AD8"/>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0DA"/>
    <w:rsid w:val="00717AF6"/>
    <w:rsid w:val="00720157"/>
    <w:rsid w:val="00720579"/>
    <w:rsid w:val="00721ECF"/>
    <w:rsid w:val="00722D13"/>
    <w:rsid w:val="007230FE"/>
    <w:rsid w:val="00724EE6"/>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E39"/>
    <w:rsid w:val="00786FA8"/>
    <w:rsid w:val="00787AF1"/>
    <w:rsid w:val="0079132B"/>
    <w:rsid w:val="0079360E"/>
    <w:rsid w:val="00795245"/>
    <w:rsid w:val="007969E6"/>
    <w:rsid w:val="00796DA1"/>
    <w:rsid w:val="007A2C57"/>
    <w:rsid w:val="007A3440"/>
    <w:rsid w:val="007A34B3"/>
    <w:rsid w:val="007B1039"/>
    <w:rsid w:val="007B1644"/>
    <w:rsid w:val="007B2181"/>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31F5"/>
    <w:rsid w:val="007D5B1C"/>
    <w:rsid w:val="007D6D87"/>
    <w:rsid w:val="007D6FD6"/>
    <w:rsid w:val="007E0ADA"/>
    <w:rsid w:val="007E15CF"/>
    <w:rsid w:val="007E1DB4"/>
    <w:rsid w:val="007E5866"/>
    <w:rsid w:val="007F07AF"/>
    <w:rsid w:val="007F1018"/>
    <w:rsid w:val="007F2A44"/>
    <w:rsid w:val="007F6E2B"/>
    <w:rsid w:val="007F7699"/>
    <w:rsid w:val="007F773D"/>
    <w:rsid w:val="008003C8"/>
    <w:rsid w:val="00802118"/>
    <w:rsid w:val="00804065"/>
    <w:rsid w:val="008047DD"/>
    <w:rsid w:val="00805885"/>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3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3632"/>
    <w:rsid w:val="00994BFC"/>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739"/>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47ED"/>
    <w:rsid w:val="00F86EF9"/>
    <w:rsid w:val="00F86FB1"/>
    <w:rsid w:val="00F87E61"/>
    <w:rsid w:val="00F9058E"/>
    <w:rsid w:val="00F908E0"/>
    <w:rsid w:val="00F90B86"/>
    <w:rsid w:val="00F92F88"/>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F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74F2"/>
    <w:pPr>
      <w:tabs>
        <w:tab w:val="center" w:pos="4680"/>
        <w:tab w:val="right" w:pos="9360"/>
      </w:tabs>
    </w:pPr>
  </w:style>
  <w:style w:type="character" w:customStyle="1" w:styleId="FooterChar">
    <w:name w:val="Footer Char"/>
    <w:basedOn w:val="DefaultParagraphFont"/>
    <w:link w:val="Footer"/>
    <w:uiPriority w:val="99"/>
    <w:rsid w:val="000574F2"/>
    <w:rPr>
      <w:rFonts w:eastAsia="Times New Roman"/>
      <w:sz w:val="26"/>
      <w:szCs w:val="26"/>
    </w:rPr>
  </w:style>
  <w:style w:type="paragraph" w:styleId="Header">
    <w:name w:val="header"/>
    <w:basedOn w:val="Normal"/>
    <w:link w:val="HeaderChar"/>
    <w:uiPriority w:val="99"/>
    <w:unhideWhenUsed/>
    <w:rsid w:val="008A3F29"/>
    <w:pPr>
      <w:tabs>
        <w:tab w:val="center" w:pos="4680"/>
        <w:tab w:val="right" w:pos="9360"/>
      </w:tabs>
    </w:pPr>
  </w:style>
  <w:style w:type="character" w:customStyle="1" w:styleId="HeaderChar">
    <w:name w:val="Header Char"/>
    <w:basedOn w:val="DefaultParagraphFont"/>
    <w:link w:val="Header"/>
    <w:uiPriority w:val="99"/>
    <w:rsid w:val="008A3F29"/>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F2"/>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74F2"/>
    <w:pPr>
      <w:tabs>
        <w:tab w:val="center" w:pos="4680"/>
        <w:tab w:val="right" w:pos="9360"/>
      </w:tabs>
    </w:pPr>
  </w:style>
  <w:style w:type="character" w:customStyle="1" w:styleId="FooterChar">
    <w:name w:val="Footer Char"/>
    <w:basedOn w:val="DefaultParagraphFont"/>
    <w:link w:val="Footer"/>
    <w:uiPriority w:val="99"/>
    <w:rsid w:val="000574F2"/>
    <w:rPr>
      <w:rFonts w:eastAsia="Times New Roman"/>
      <w:sz w:val="26"/>
      <w:szCs w:val="26"/>
    </w:rPr>
  </w:style>
  <w:style w:type="paragraph" w:styleId="Header">
    <w:name w:val="header"/>
    <w:basedOn w:val="Normal"/>
    <w:link w:val="HeaderChar"/>
    <w:uiPriority w:val="99"/>
    <w:unhideWhenUsed/>
    <w:rsid w:val="008A3F29"/>
    <w:pPr>
      <w:tabs>
        <w:tab w:val="center" w:pos="4680"/>
        <w:tab w:val="right" w:pos="9360"/>
      </w:tabs>
    </w:pPr>
  </w:style>
  <w:style w:type="character" w:customStyle="1" w:styleId="HeaderChar">
    <w:name w:val="Header Char"/>
    <w:basedOn w:val="DefaultParagraphFont"/>
    <w:link w:val="Header"/>
    <w:uiPriority w:val="99"/>
    <w:rsid w:val="008A3F29"/>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dcterms:created xsi:type="dcterms:W3CDTF">2014-08-20T16:32:00Z</dcterms:created>
  <dcterms:modified xsi:type="dcterms:W3CDTF">2014-08-20T16:32:00Z</dcterms:modified>
</cp:coreProperties>
</file>