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8C2B8B" w:rsidRDefault="00DD04D4" w:rsidP="0062545F">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IN PART AND DENYING IN PART</w:t>
      </w:r>
    </w:p>
    <w:p w:rsidR="00DD04D4" w:rsidRPr="00550B34" w:rsidRDefault="00DD04D4" w:rsidP="0062545F">
      <w:pPr>
        <w:tabs>
          <w:tab w:val="center" w:pos="4680"/>
        </w:tabs>
        <w:suppressAutoHyphens/>
        <w:jc w:val="center"/>
        <w:rPr>
          <w:b/>
          <w:bCs/>
          <w:spacing w:val="-3"/>
          <w:u w:val="single"/>
        </w:rPr>
      </w:pPr>
      <w:r>
        <w:rPr>
          <w:b/>
          <w:bCs/>
          <w:spacing w:val="-3"/>
          <w:u w:val="single"/>
        </w:rPr>
        <w:t>PRELIMINARY OBJECTION</w:t>
      </w:r>
      <w:r w:rsidR="00897507">
        <w:rPr>
          <w:b/>
          <w:bCs/>
          <w:spacing w:val="-3"/>
          <w:u w:val="single"/>
        </w:rPr>
        <w: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0D3CEC">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 Respond Power LLC (Respond or “the Company”), </w:t>
      </w:r>
      <w:r w:rsidR="00366F51">
        <w:rPr>
          <w:bCs/>
          <w:color w:val="000000"/>
        </w:rPr>
        <w:t xml:space="preserve">at </w:t>
      </w:r>
      <w:r w:rsidR="00C610DB">
        <w:rPr>
          <w:bCs/>
          <w:color w:val="000000"/>
        </w:rPr>
        <w:t xml:space="preserve">Docket Number C-2014-2427659.  </w:t>
      </w:r>
      <w:r w:rsidR="00366F51">
        <w:rPr>
          <w:bCs/>
          <w:color w:val="000000"/>
        </w:rPr>
        <w:t>T</w:t>
      </w:r>
      <w:r w:rsidR="00C610DB">
        <w:rPr>
          <w:bCs/>
          <w:color w:val="000000"/>
        </w:rPr>
        <w:t>he Joint Complainants averred that they had received numerous contacts and complaints from consumers related to variable rates charged by Respond, including approximately twenty formal complaints filed by consumers at the Commission.  The Joint Complainants further averred that Respond used a variety of marketing and advertising mediums to solicit residential customers for its variable rate plan.  As a result, the Joint Complainants averred nine separate counts against Respond, including</w:t>
      </w:r>
      <w:r w:rsidR="00CA22A8">
        <w:rPr>
          <w:bCs/>
          <w:color w:val="000000"/>
        </w:rPr>
        <w:t xml:space="preserve">, </w:t>
      </w:r>
      <w:r w:rsidR="00366F51">
        <w:rPr>
          <w:bCs/>
          <w:color w:val="000000"/>
        </w:rPr>
        <w:t>but not limited to</w:t>
      </w:r>
      <w:r w:rsidR="00CA22A8">
        <w:rPr>
          <w:bCs/>
          <w:color w:val="000000"/>
        </w:rPr>
        <w:t xml:space="preserve">, making misleading and deceptive claims, making misleading and deceptive promises of savings, slamming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deceptive practices in the future.  The Joint Complainants provided several attachments to their Complaint.</w:t>
      </w:r>
    </w:p>
    <w:p w:rsidR="00B62154" w:rsidRDefault="00B62154" w:rsidP="0094648D">
      <w:pPr>
        <w:widowControl w:val="0"/>
        <w:adjustRightInd w:val="0"/>
        <w:spacing w:line="360" w:lineRule="auto"/>
        <w:ind w:firstLine="1440"/>
        <w:rPr>
          <w:bCs/>
          <w:color w:val="000000"/>
        </w:rPr>
      </w:pPr>
    </w:p>
    <w:p w:rsidR="000117EE" w:rsidRDefault="00B62154" w:rsidP="0094648D">
      <w:pPr>
        <w:widowControl w:val="0"/>
        <w:adjustRightInd w:val="0"/>
        <w:spacing w:line="360" w:lineRule="auto"/>
        <w:ind w:firstLine="1440"/>
        <w:rPr>
          <w:bCs/>
          <w:color w:val="000000"/>
        </w:rPr>
      </w:pPr>
      <w:r>
        <w:rPr>
          <w:bCs/>
          <w:color w:val="000000"/>
        </w:rPr>
        <w:lastRenderedPageBreak/>
        <w:t xml:space="preserve">On July 10, 2014, Respond filed an Answer and New Matter in response to the Complaint.  In its Answer, Respond admitted or denied the various averments made by the Joint Complainants.  In particular, Respond specifically denied that multiple violations of Pennsylvania law have occurred and that consumers were misled or deceived as to the price they would pay for electricity.  Respond averred that, on the contrary, consumers knowingly entered into agreements with Respond to purchase electric generation service through variable rate plans under which prices would vary month to month on the basis of wholesale market conditions.  </w:t>
      </w:r>
    </w:p>
    <w:p w:rsidR="000117EE" w:rsidRDefault="000117EE" w:rsidP="0094648D">
      <w:pPr>
        <w:widowControl w:val="0"/>
        <w:adjustRightInd w:val="0"/>
        <w:spacing w:line="360" w:lineRule="auto"/>
        <w:ind w:firstLine="1440"/>
        <w:rPr>
          <w:bCs/>
          <w:color w:val="000000"/>
        </w:rPr>
      </w:pPr>
    </w:p>
    <w:p w:rsidR="00B62154" w:rsidRDefault="00B62154" w:rsidP="0094648D">
      <w:pPr>
        <w:widowControl w:val="0"/>
        <w:adjustRightInd w:val="0"/>
        <w:spacing w:line="360" w:lineRule="auto"/>
        <w:ind w:firstLine="1440"/>
        <w:rPr>
          <w:bCs/>
          <w:color w:val="000000"/>
        </w:rPr>
      </w:pPr>
      <w:r>
        <w:rPr>
          <w:bCs/>
          <w:color w:val="000000"/>
        </w:rPr>
        <w:t>In its New Matter, which was accompanied by a Notice to Plead, Respond averred</w:t>
      </w:r>
      <w:r w:rsidR="000117EE">
        <w:rPr>
          <w:bCs/>
          <w:color w:val="000000"/>
        </w:rPr>
        <w:t>, among other things,</w:t>
      </w:r>
      <w:r>
        <w:rPr>
          <w:bCs/>
          <w:color w:val="000000"/>
        </w:rPr>
        <w:t xml:space="preserve"> that </w:t>
      </w:r>
      <w:r w:rsidR="000117EE">
        <w:rPr>
          <w:bCs/>
          <w:color w:val="000000"/>
        </w:rPr>
        <w:t>the Complaint ignor</w:t>
      </w:r>
      <w:r w:rsidR="00436D29">
        <w:rPr>
          <w:bCs/>
          <w:color w:val="000000"/>
        </w:rPr>
        <w:t>es the market conditions that started</w:t>
      </w:r>
      <w:r w:rsidR="000117EE">
        <w:rPr>
          <w:bCs/>
          <w:color w:val="000000"/>
        </w:rPr>
        <w:t xml:space="preserve"> in January 2014 that precipitated the variable price increases to which many consumers were exposed resulting in a spike in the volume of informal and formal complaints filed by consumers with the Commission.  Respond further noted the Polar Vortex </w:t>
      </w:r>
      <w:r w:rsidR="00D3584A">
        <w:rPr>
          <w:bCs/>
          <w:color w:val="000000"/>
        </w:rPr>
        <w:t xml:space="preserve">weather </w:t>
      </w:r>
      <w:r w:rsidR="000117EE">
        <w:rPr>
          <w:bCs/>
          <w:color w:val="000000"/>
        </w:rPr>
        <w:t>crisis that occurred that increased Respond’s costs.  Respond averred that various issues raised by the Joint Complainants are beyond the Commission’s jurisdiction.  Respond requested that the Complaint be dismissed with prejudice.</w:t>
      </w:r>
    </w:p>
    <w:p w:rsidR="000117EE" w:rsidRDefault="000117EE" w:rsidP="0094648D">
      <w:pPr>
        <w:widowControl w:val="0"/>
        <w:adjustRightInd w:val="0"/>
        <w:spacing w:line="360" w:lineRule="auto"/>
        <w:ind w:firstLine="1440"/>
        <w:rPr>
          <w:bCs/>
          <w:color w:val="000000"/>
        </w:rPr>
      </w:pPr>
    </w:p>
    <w:p w:rsidR="000117EE" w:rsidRDefault="000117EE" w:rsidP="0094648D">
      <w:pPr>
        <w:widowControl w:val="0"/>
        <w:adjustRightInd w:val="0"/>
        <w:spacing w:line="360" w:lineRule="auto"/>
        <w:ind w:firstLine="1440"/>
        <w:rPr>
          <w:bCs/>
          <w:color w:val="000000"/>
        </w:rPr>
      </w:pPr>
      <w:r>
        <w:rPr>
          <w:bCs/>
          <w:color w:val="000000"/>
        </w:rPr>
        <w:t xml:space="preserve">Also on July 10, 2014, Respond filed Preliminary Objections in response to the Complaint.  In its Preliminary Objections, which was also accompanied by a Notice to Plead, Respond averred that </w:t>
      </w:r>
      <w:r w:rsidR="00EA5C78">
        <w:rPr>
          <w:bCs/>
          <w:color w:val="000000"/>
        </w:rPr>
        <w:t>five of the nine counts in the Complaint should be dismissed for lack of Commission jurisdiction, insufficient specificity of a pleading and/or legal insufficiency of a pleading</w:t>
      </w:r>
      <w:r w:rsidR="00F12B16">
        <w:rPr>
          <w:bCs/>
          <w:color w:val="000000"/>
        </w:rPr>
        <w:t>, as discussed further below</w:t>
      </w:r>
      <w:r w:rsidR="00EA5C78">
        <w:rPr>
          <w:bCs/>
          <w:color w:val="000000"/>
        </w:rPr>
        <w:t>.</w:t>
      </w:r>
    </w:p>
    <w:p w:rsidR="00EA5C78" w:rsidRDefault="00EA5C78" w:rsidP="0094648D">
      <w:pPr>
        <w:widowControl w:val="0"/>
        <w:adjustRightInd w:val="0"/>
        <w:spacing w:line="360" w:lineRule="auto"/>
        <w:ind w:firstLine="1440"/>
        <w:rPr>
          <w:bCs/>
          <w:color w:val="000000"/>
        </w:rPr>
      </w:pPr>
    </w:p>
    <w:p w:rsidR="00EA5C78" w:rsidRDefault="00EA5C78" w:rsidP="0094648D">
      <w:pPr>
        <w:widowControl w:val="0"/>
        <w:adjustRightInd w:val="0"/>
        <w:spacing w:line="360" w:lineRule="auto"/>
        <w:ind w:firstLine="1440"/>
        <w:rPr>
          <w:bCs/>
          <w:color w:val="000000"/>
        </w:rPr>
      </w:pPr>
      <w:r>
        <w:rPr>
          <w:bCs/>
          <w:color w:val="000000"/>
        </w:rPr>
        <w:t>On July 21, 2014, the Joint Complainants filed an Answer to Respond</w:t>
      </w:r>
      <w:r w:rsidR="00FD636E">
        <w:rPr>
          <w:bCs/>
          <w:color w:val="000000"/>
        </w:rPr>
        <w:t>’</w:t>
      </w:r>
      <w:r>
        <w:rPr>
          <w:bCs/>
          <w:color w:val="000000"/>
        </w:rPr>
        <w:t>s Preliminary Objection</w:t>
      </w:r>
      <w:r w:rsidR="007F6BDD">
        <w:rPr>
          <w:bCs/>
          <w:color w:val="000000"/>
        </w:rPr>
        <w:t>s</w:t>
      </w:r>
      <w:r>
        <w:rPr>
          <w:bCs/>
          <w:color w:val="000000"/>
        </w:rPr>
        <w:t xml:space="preserve">.  In </w:t>
      </w:r>
      <w:r w:rsidR="00436D29">
        <w:rPr>
          <w:bCs/>
          <w:color w:val="000000"/>
        </w:rPr>
        <w:t xml:space="preserve">their </w:t>
      </w:r>
      <w:r>
        <w:rPr>
          <w:bCs/>
          <w:color w:val="000000"/>
        </w:rPr>
        <w:t xml:space="preserve">Answer, the Joint Complainants </w:t>
      </w:r>
      <w:r w:rsidR="00FD636E">
        <w:rPr>
          <w:bCs/>
          <w:color w:val="000000"/>
        </w:rPr>
        <w:t>asserted that Respond’s Preliminary Objections are unsupported and should be overruled.  The Joint Complainants argued that it is clear and free from doubt that the Complaint is sufficiently pleaded and seeks that the Commission make determinations pursuant to the Commission’s powers and jurisdiction.  More specifically, the Joint Complainants aver</w:t>
      </w:r>
      <w:r w:rsidR="00436D29">
        <w:rPr>
          <w:bCs/>
          <w:color w:val="000000"/>
        </w:rPr>
        <w:t>red</w:t>
      </w:r>
      <w:r w:rsidR="00FD636E">
        <w:rPr>
          <w:bCs/>
          <w:color w:val="000000"/>
        </w:rPr>
        <w:t xml:space="preserve"> that the Commission has jurisdiction to hear cases brought pursuant to the Unfair Trade Practices/Consumer Protection Law </w:t>
      </w:r>
      <w:r w:rsidR="007F19A5">
        <w:rPr>
          <w:bCs/>
          <w:color w:val="000000"/>
        </w:rPr>
        <w:t xml:space="preserve">(UTP/CPL) </w:t>
      </w:r>
      <w:r w:rsidR="00FD636E">
        <w:rPr>
          <w:bCs/>
          <w:color w:val="000000"/>
        </w:rPr>
        <w:t>and the Telemarketer Registration Act</w:t>
      </w:r>
      <w:r w:rsidR="007F19A5">
        <w:rPr>
          <w:bCs/>
          <w:color w:val="000000"/>
        </w:rPr>
        <w:t xml:space="preserve"> (TRA)</w:t>
      </w:r>
      <w:r w:rsidR="00FD636E">
        <w:rPr>
          <w:bCs/>
          <w:color w:val="000000"/>
        </w:rPr>
        <w:t>.</w:t>
      </w:r>
    </w:p>
    <w:p w:rsidR="00B62154" w:rsidRDefault="00B62154" w:rsidP="0094648D">
      <w:pPr>
        <w:widowControl w:val="0"/>
        <w:adjustRightInd w:val="0"/>
        <w:spacing w:line="360" w:lineRule="auto"/>
        <w:ind w:firstLine="1440"/>
        <w:rPr>
          <w:bCs/>
          <w:color w:val="000000"/>
        </w:rPr>
      </w:pPr>
    </w:p>
    <w:p w:rsidR="00EA5C78" w:rsidRDefault="00EA5C78" w:rsidP="00EA5C78">
      <w:pPr>
        <w:widowControl w:val="0"/>
        <w:adjustRightInd w:val="0"/>
        <w:spacing w:line="360" w:lineRule="auto"/>
        <w:ind w:firstLine="1440"/>
        <w:rPr>
          <w:bCs/>
          <w:color w:val="000000"/>
        </w:rPr>
      </w:pPr>
      <w:r>
        <w:rPr>
          <w:bCs/>
          <w:color w:val="000000"/>
        </w:rPr>
        <w:t xml:space="preserve">On July </w:t>
      </w:r>
      <w:r w:rsidR="007F6BDD">
        <w:rPr>
          <w:bCs/>
          <w:color w:val="000000"/>
        </w:rPr>
        <w:t>30</w:t>
      </w:r>
      <w:r>
        <w:rPr>
          <w:bCs/>
          <w:color w:val="000000"/>
        </w:rPr>
        <w:t>, 2014, the Joint Complainants filed an Answer to Respond</w:t>
      </w:r>
      <w:r w:rsidR="007F6BDD">
        <w:rPr>
          <w:bCs/>
          <w:color w:val="000000"/>
        </w:rPr>
        <w:t>’</w:t>
      </w:r>
      <w:r>
        <w:rPr>
          <w:bCs/>
          <w:color w:val="000000"/>
        </w:rPr>
        <w:t xml:space="preserve">s New Matter.  In </w:t>
      </w:r>
      <w:r w:rsidR="00AA3DE8">
        <w:rPr>
          <w:bCs/>
          <w:color w:val="000000"/>
        </w:rPr>
        <w:t>their</w:t>
      </w:r>
      <w:r>
        <w:rPr>
          <w:bCs/>
          <w:color w:val="000000"/>
        </w:rPr>
        <w:t xml:space="preserve"> Answer, the Joint Complainants </w:t>
      </w:r>
      <w:r w:rsidR="00325C82">
        <w:rPr>
          <w:bCs/>
          <w:color w:val="000000"/>
        </w:rPr>
        <w:t>deny that they have ignored market conditions and not</w:t>
      </w:r>
      <w:r w:rsidR="006A45DF">
        <w:rPr>
          <w:bCs/>
          <w:color w:val="000000"/>
        </w:rPr>
        <w:t>e</w:t>
      </w:r>
      <w:r w:rsidR="00325C82">
        <w:rPr>
          <w:bCs/>
          <w:color w:val="000000"/>
        </w:rPr>
        <w:t xml:space="preserve"> the affidavit attached to the Complaint regarding the cost to serve the average residential heating customer in the period in question.  The Joint Complainants also denied that Respond adjusted its variable prices consistent with the terms and conditions of its Disclosure Statement in early 2014.  The Joint Complainants further responded to each of the averments made by Respond in its New Matter</w:t>
      </w:r>
      <w:r w:rsidR="006A45DF">
        <w:rPr>
          <w:bCs/>
          <w:color w:val="000000"/>
        </w:rPr>
        <w:t>.</w:t>
      </w:r>
    </w:p>
    <w:p w:rsidR="00FD636E" w:rsidRDefault="00FD636E" w:rsidP="0094648D">
      <w:pPr>
        <w:widowControl w:val="0"/>
        <w:adjustRightInd w:val="0"/>
        <w:spacing w:line="360" w:lineRule="auto"/>
        <w:ind w:firstLine="1440"/>
        <w:rPr>
          <w:bCs/>
          <w:color w:val="000000"/>
        </w:rPr>
      </w:pPr>
    </w:p>
    <w:p w:rsidR="00FD636E" w:rsidRDefault="00436D29" w:rsidP="0094648D">
      <w:pPr>
        <w:widowControl w:val="0"/>
        <w:adjustRightInd w:val="0"/>
        <w:spacing w:line="360" w:lineRule="auto"/>
        <w:ind w:firstLine="1440"/>
        <w:rPr>
          <w:bCs/>
          <w:color w:val="000000"/>
        </w:rPr>
      </w:pPr>
      <w:r>
        <w:rPr>
          <w:bCs/>
          <w:color w:val="000000"/>
        </w:rPr>
        <w:t>Also o</w:t>
      </w:r>
      <w:r w:rsidR="00FD636E">
        <w:rPr>
          <w:bCs/>
          <w:color w:val="000000"/>
        </w:rPr>
        <w:t xml:space="preserve">n July </w:t>
      </w:r>
      <w:r w:rsidR="00366F51">
        <w:rPr>
          <w:bCs/>
          <w:color w:val="000000"/>
        </w:rPr>
        <w:t>30</w:t>
      </w:r>
      <w:r w:rsidR="00FD636E">
        <w:rPr>
          <w:bCs/>
          <w:color w:val="000000"/>
        </w:rPr>
        <w:t xml:space="preserve">, 2014, the Commission issued a Prehearing Conference Notice establishing an Initial Prehearing Conference for this matter for Monday, August 25, 2014 at 10:00 a.m. in Hearing Room </w:t>
      </w:r>
      <w:r w:rsidR="007F6BDD">
        <w:rPr>
          <w:bCs/>
          <w:color w:val="000000"/>
        </w:rPr>
        <w:t>1</w:t>
      </w:r>
      <w:r w:rsidR="00FD636E">
        <w:rPr>
          <w:bCs/>
          <w:color w:val="000000"/>
        </w:rPr>
        <w:t xml:space="preserve"> of the Commonwealth Keystone Building in Harrisburg and assigning us as Presiding Officers.  </w:t>
      </w:r>
    </w:p>
    <w:p w:rsidR="00FD636E" w:rsidRDefault="00FD636E" w:rsidP="0094648D">
      <w:pPr>
        <w:widowControl w:val="0"/>
        <w:adjustRightInd w:val="0"/>
        <w:spacing w:line="360" w:lineRule="auto"/>
        <w:ind w:firstLine="1440"/>
        <w:rPr>
          <w:bCs/>
          <w:color w:val="000000"/>
        </w:rPr>
      </w:pPr>
    </w:p>
    <w:p w:rsidR="00CF5705" w:rsidRPr="00FD636E" w:rsidRDefault="00FD636E" w:rsidP="00E20D55">
      <w:pPr>
        <w:spacing w:line="360" w:lineRule="auto"/>
        <w:ind w:firstLine="1440"/>
        <w:rPr>
          <w:bCs/>
          <w:color w:val="000000"/>
        </w:rPr>
      </w:pPr>
      <w:r w:rsidRPr="00FD636E">
        <w:rPr>
          <w:bCs/>
          <w:color w:val="000000"/>
        </w:rPr>
        <w:t>Respond’s Preliminary Objection</w:t>
      </w:r>
      <w:r w:rsidR="00EF26AE" w:rsidRPr="00FD636E">
        <w:rPr>
          <w:bCs/>
          <w:color w:val="000000"/>
        </w:rPr>
        <w:t>s</w:t>
      </w:r>
      <w:r w:rsidRPr="00FD636E">
        <w:rPr>
          <w:bCs/>
          <w:color w:val="000000"/>
        </w:rPr>
        <w:t xml:space="preserve"> are</w:t>
      </w:r>
      <w:r w:rsidR="00EF26AE" w:rsidRPr="00FD636E">
        <w:rPr>
          <w:bCs/>
          <w:color w:val="000000"/>
        </w:rPr>
        <w:t xml:space="preserve"> ready for disposition.  For the reasons discussed further below, </w:t>
      </w:r>
      <w:r w:rsidRPr="00FD636E">
        <w:rPr>
          <w:bCs/>
          <w:color w:val="000000"/>
        </w:rPr>
        <w:t xml:space="preserve">Respond’s </w:t>
      </w:r>
      <w:r w:rsidR="00EF26AE" w:rsidRPr="00FD636E">
        <w:rPr>
          <w:bCs/>
          <w:color w:val="000000"/>
        </w:rPr>
        <w:t>Preliminary Objection</w:t>
      </w:r>
      <w:r w:rsidRPr="00FD636E">
        <w:rPr>
          <w:bCs/>
          <w:color w:val="000000"/>
        </w:rPr>
        <w:t>s</w:t>
      </w:r>
      <w:r w:rsidR="00EF26AE" w:rsidRPr="00FD636E">
        <w:rPr>
          <w:bCs/>
          <w:color w:val="000000"/>
        </w:rPr>
        <w:t xml:space="preserve"> will be </w:t>
      </w:r>
      <w:r w:rsidR="008C2B8B" w:rsidRPr="00FD636E">
        <w:rPr>
          <w:bCs/>
          <w:color w:val="000000"/>
        </w:rPr>
        <w:t>granted in part and denied in part</w:t>
      </w:r>
      <w:r w:rsidR="00EF26AE" w:rsidRPr="00FD636E">
        <w:rPr>
          <w:bCs/>
          <w:color w:val="000000"/>
        </w:rPr>
        <w:t>.</w:t>
      </w:r>
    </w:p>
    <w:p w:rsidR="00C773A3" w:rsidRPr="00FD636E" w:rsidRDefault="00C773A3" w:rsidP="00C773A3">
      <w:pPr>
        <w:spacing w:line="360" w:lineRule="auto"/>
        <w:rPr>
          <w:bCs/>
          <w:color w:val="000000"/>
        </w:rPr>
      </w:pPr>
    </w:p>
    <w:p w:rsidR="00C773A3" w:rsidRPr="00FD636E" w:rsidRDefault="00C773A3" w:rsidP="00C773A3">
      <w:pPr>
        <w:spacing w:line="360" w:lineRule="auto"/>
        <w:rPr>
          <w:b/>
          <w:bCs/>
          <w:color w:val="000000"/>
          <w:u w:val="single"/>
        </w:rPr>
      </w:pPr>
      <w:r w:rsidRPr="00FD636E">
        <w:rPr>
          <w:b/>
          <w:bCs/>
          <w:color w:val="000000"/>
          <w:u w:val="single"/>
        </w:rPr>
        <w:t>Legal Standard</w:t>
      </w:r>
    </w:p>
    <w:p w:rsidR="00C773A3" w:rsidRPr="00FD636E" w:rsidRDefault="00C773A3" w:rsidP="00C773A3">
      <w:pPr>
        <w:spacing w:line="360" w:lineRule="auto"/>
        <w:rPr>
          <w:bCs/>
          <w:color w:val="000000"/>
        </w:rPr>
      </w:pPr>
    </w:p>
    <w:p w:rsidR="004F664A" w:rsidRPr="00FD636E" w:rsidRDefault="004F664A" w:rsidP="004F664A">
      <w:pPr>
        <w:widowControl w:val="0"/>
        <w:adjustRightInd w:val="0"/>
        <w:spacing w:line="360" w:lineRule="auto"/>
        <w:ind w:firstLine="1440"/>
        <w:rPr>
          <w:color w:val="000000"/>
        </w:rPr>
      </w:pPr>
      <w:r w:rsidRPr="00FD636E">
        <w:rPr>
          <w:color w:val="000000"/>
        </w:rPr>
        <w:t xml:space="preserve">Section 5.101 of the Commission’s Rules of Administrative Practice and Procedure provides for the filing of Preliminary Objections.  </w:t>
      </w:r>
      <w:proofErr w:type="gramStart"/>
      <w:r w:rsidRPr="00FD636E">
        <w:rPr>
          <w:color w:val="000000"/>
        </w:rPr>
        <w:t xml:space="preserve">52 Pa.Code </w:t>
      </w:r>
      <w:r w:rsidRPr="00FD636E">
        <w:rPr>
          <w:color w:val="000000"/>
          <w:w w:val="86"/>
        </w:rPr>
        <w:t xml:space="preserve">§ </w:t>
      </w:r>
      <w:r w:rsidRPr="00FD636E">
        <w:rPr>
          <w:color w:val="000000"/>
        </w:rPr>
        <w:t>5.101.</w:t>
      </w:r>
      <w:proofErr w:type="gramEnd"/>
      <w:r w:rsidRPr="00FD636E">
        <w:rPr>
          <w:color w:val="000000"/>
        </w:rPr>
        <w:t xml:space="preserve">  Commission Preliminary Objection practice is comparable to Pennsylvania civil practice respecting the filing of Preliminary Objections.  </w:t>
      </w:r>
      <w:r w:rsidRPr="00FD636E">
        <w:rPr>
          <w:iCs/>
          <w:color w:val="000000"/>
          <w:u w:val="single"/>
        </w:rPr>
        <w:t>Equitable Small Transportation Intervenors v. Equitable Gas Company</w:t>
      </w:r>
      <w:r w:rsidRPr="00FD636E">
        <w:rPr>
          <w:i/>
          <w:iCs/>
          <w:color w:val="000000"/>
        </w:rPr>
        <w:t xml:space="preserve">, </w:t>
      </w:r>
      <w:r w:rsidRPr="00FD636E">
        <w:rPr>
          <w:color w:val="000000"/>
        </w:rPr>
        <w:t xml:space="preserve">1994 Pa PUC LEXIS 69, Docket No. </w:t>
      </w:r>
      <w:proofErr w:type="gramStart"/>
      <w:r w:rsidRPr="00FD636E">
        <w:rPr>
          <w:color w:val="000000"/>
        </w:rPr>
        <w:t>C-00935435 (July 18, 1994) (</w:t>
      </w:r>
      <w:r w:rsidRPr="00FD636E">
        <w:rPr>
          <w:color w:val="000000"/>
          <w:u w:val="single"/>
        </w:rPr>
        <w:t>Equitable</w:t>
      </w:r>
      <w:r w:rsidRPr="00FD636E">
        <w:rPr>
          <w:color w:val="000000"/>
        </w:rPr>
        <w:t>).</w:t>
      </w:r>
      <w:proofErr w:type="gramEnd"/>
      <w:r w:rsidRPr="00FD636E">
        <w:rPr>
          <w:color w:val="000000"/>
        </w:rPr>
        <w:t xml:space="preserve">  Section 5.101(a) provides:</w:t>
      </w:r>
    </w:p>
    <w:p w:rsidR="004F664A" w:rsidRPr="00FD636E" w:rsidRDefault="004F664A" w:rsidP="004F664A">
      <w:pPr>
        <w:widowControl w:val="0"/>
        <w:tabs>
          <w:tab w:val="left" w:pos="1469"/>
          <w:tab w:val="left" w:pos="2196"/>
        </w:tabs>
        <w:adjustRightInd w:val="0"/>
        <w:spacing w:line="360" w:lineRule="auto"/>
        <w:ind w:left="1440" w:right="1440"/>
        <w:rPr>
          <w:color w:val="000000"/>
        </w:rPr>
      </w:pPr>
    </w:p>
    <w:p w:rsidR="004F664A" w:rsidRPr="00FD636E" w:rsidRDefault="004F664A" w:rsidP="003B2D14">
      <w:pPr>
        <w:widowControl w:val="0"/>
        <w:tabs>
          <w:tab w:val="left" w:pos="1469"/>
          <w:tab w:val="left" w:pos="2196"/>
        </w:tabs>
        <w:adjustRightInd w:val="0"/>
        <w:ind w:left="1440" w:right="1440"/>
        <w:rPr>
          <w:color w:val="000000"/>
        </w:rPr>
      </w:pPr>
      <w:r w:rsidRPr="00FD636E">
        <w:rPr>
          <w:color w:val="000000"/>
        </w:rPr>
        <w:t xml:space="preserve">(a) </w:t>
      </w:r>
      <w:r w:rsidRPr="00FD636E">
        <w:rPr>
          <w:color w:val="000000"/>
        </w:rPr>
        <w:tab/>
      </w:r>
      <w:r w:rsidRPr="00FD636E">
        <w:rPr>
          <w:i/>
          <w:iCs/>
          <w:color w:val="000000"/>
        </w:rPr>
        <w:t xml:space="preserve">Grounds.  </w:t>
      </w:r>
      <w:r w:rsidRPr="00FD636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FD636E" w:rsidRDefault="004F664A" w:rsidP="003B2D14">
      <w:pPr>
        <w:widowControl w:val="0"/>
        <w:tabs>
          <w:tab w:val="left" w:pos="2203"/>
          <w:tab w:val="left" w:pos="2909"/>
        </w:tabs>
        <w:adjustRightInd w:val="0"/>
        <w:ind w:right="1440"/>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Lack of Commission jurisdiction or improper service of the pleading initiating the proceeding.</w:t>
      </w:r>
    </w:p>
    <w:p w:rsidR="004F664A" w:rsidRPr="00FD636E" w:rsidRDefault="004F664A" w:rsidP="003B2D14">
      <w:pPr>
        <w:widowControl w:val="0"/>
        <w:tabs>
          <w:tab w:val="left" w:pos="2203"/>
          <w:tab w:val="left" w:pos="2909"/>
        </w:tabs>
        <w:adjustRightInd w:val="0"/>
        <w:ind w:left="2520" w:right="1440" w:hanging="360"/>
        <w:rPr>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Failure of a pleading to conform to this chapter or the inclusion of scandalous or impertinent matter.</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Insufficient specificity of a pleading.</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Legal insufficiency of a pleading.</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 xml:space="preserve">Lack of capacity to sue, </w:t>
      </w:r>
      <w:proofErr w:type="spellStart"/>
      <w:r w:rsidRPr="00FD636E">
        <w:rPr>
          <w:color w:val="000000"/>
        </w:rPr>
        <w:t>nonjoinder</w:t>
      </w:r>
      <w:proofErr w:type="spellEnd"/>
      <w:r w:rsidRPr="00FD636E">
        <w:rPr>
          <w:color w:val="000000"/>
        </w:rPr>
        <w:t xml:space="preserve"> of a necessary party or misjoinder of a cause of action.</w:t>
      </w:r>
    </w:p>
    <w:p w:rsidR="004F664A" w:rsidRPr="00FD636E" w:rsidRDefault="004F664A" w:rsidP="003B2D14">
      <w:pPr>
        <w:autoSpaceDE/>
        <w:autoSpaceDN/>
        <w:ind w:left="720"/>
        <w:contextualSpacing/>
        <w:rPr>
          <w:rFonts w:eastAsiaTheme="minorEastAsia"/>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Pendency of a prior proceeding or agreement for alternative dispute resolution.</w:t>
      </w:r>
    </w:p>
    <w:p w:rsidR="004F664A" w:rsidRPr="00FD636E" w:rsidRDefault="004F664A" w:rsidP="003B2D14">
      <w:pPr>
        <w:autoSpaceDE/>
        <w:autoSpaceDN/>
        <w:ind w:left="720"/>
        <w:contextualSpacing/>
        <w:rPr>
          <w:color w:val="000000"/>
        </w:rPr>
      </w:pPr>
    </w:p>
    <w:p w:rsidR="004F664A" w:rsidRPr="00FD636E" w:rsidRDefault="004F664A" w:rsidP="003B2D14">
      <w:pPr>
        <w:widowControl w:val="0"/>
        <w:numPr>
          <w:ilvl w:val="0"/>
          <w:numId w:val="18"/>
        </w:numPr>
        <w:tabs>
          <w:tab w:val="left" w:pos="2203"/>
          <w:tab w:val="left" w:pos="2909"/>
        </w:tabs>
        <w:autoSpaceDE/>
        <w:autoSpaceDN/>
        <w:adjustRightInd w:val="0"/>
        <w:ind w:right="1440"/>
        <w:rPr>
          <w:color w:val="000000"/>
        </w:rPr>
      </w:pPr>
      <w:r w:rsidRPr="00FD636E">
        <w:rPr>
          <w:color w:val="000000"/>
        </w:rPr>
        <w:t>Standing of a party to participate in a proceeding.</w:t>
      </w:r>
    </w:p>
    <w:p w:rsidR="004F664A" w:rsidRPr="00FD636E" w:rsidRDefault="004F664A" w:rsidP="004F664A">
      <w:pPr>
        <w:widowControl w:val="0"/>
        <w:tabs>
          <w:tab w:val="left" w:pos="2203"/>
          <w:tab w:val="left" w:pos="2909"/>
        </w:tabs>
        <w:adjustRightInd w:val="0"/>
        <w:ind w:left="1440" w:right="1440"/>
        <w:rPr>
          <w:color w:val="000000"/>
        </w:rPr>
      </w:pPr>
    </w:p>
    <w:p w:rsidR="004F664A" w:rsidRPr="00FD636E" w:rsidRDefault="004F664A" w:rsidP="004F664A">
      <w:pPr>
        <w:widowControl w:val="0"/>
        <w:adjustRightInd w:val="0"/>
        <w:ind w:right="1440"/>
        <w:rPr>
          <w:color w:val="000000"/>
        </w:rPr>
      </w:pPr>
      <w:r w:rsidRPr="00FD636E">
        <w:rPr>
          <w:color w:val="000000"/>
        </w:rPr>
        <w:t>52 Pa.Code § 5.101(a</w:t>
      </w:r>
      <w:proofErr w:type="gramStart"/>
      <w:r w:rsidRPr="00FD636E">
        <w:rPr>
          <w:color w:val="000000"/>
        </w:rPr>
        <w:t>)(</w:t>
      </w:r>
      <w:proofErr w:type="gramEnd"/>
      <w:r w:rsidRPr="00FD636E">
        <w:rPr>
          <w:color w:val="000000"/>
        </w:rPr>
        <w:t>1)-(7).</w:t>
      </w:r>
    </w:p>
    <w:p w:rsidR="004F664A" w:rsidRPr="00FD636E" w:rsidRDefault="004F664A" w:rsidP="004F664A">
      <w:pPr>
        <w:widowControl w:val="0"/>
        <w:adjustRightInd w:val="0"/>
        <w:spacing w:line="360" w:lineRule="auto"/>
        <w:ind w:right="200"/>
        <w:rPr>
          <w:color w:val="000000"/>
        </w:rPr>
      </w:pPr>
    </w:p>
    <w:p w:rsidR="004F664A" w:rsidRPr="00FD636E" w:rsidRDefault="004F664A" w:rsidP="004F664A">
      <w:pPr>
        <w:tabs>
          <w:tab w:val="left" w:pos="-720"/>
        </w:tabs>
        <w:suppressAutoHyphens/>
        <w:spacing w:line="360" w:lineRule="auto"/>
        <w:ind w:firstLine="1440"/>
      </w:pPr>
      <w:r w:rsidRPr="00FD636E">
        <w:t xml:space="preserve">For purposes of disposing of Preliminary Objections, the Commission must accept as true all well </w:t>
      </w:r>
      <w:proofErr w:type="gramStart"/>
      <w:r w:rsidRPr="00FD636E">
        <w:t>pleaded,</w:t>
      </w:r>
      <w:proofErr w:type="gramEnd"/>
      <w:r w:rsidRPr="00FD636E">
        <w:t xml:space="preserve"> material facts of the nonmoving party, as well as every reasonable inference from those facts.  </w:t>
      </w:r>
      <w:proofErr w:type="gramStart"/>
      <w:r w:rsidRPr="00FD636E">
        <w:rPr>
          <w:u w:val="single"/>
        </w:rPr>
        <w:t>County of Allegheny v. Commonwealth of Pennsylvania</w:t>
      </w:r>
      <w:r w:rsidRPr="00FD636E">
        <w:t xml:space="preserve">, 490 A.2d 402 (Pa. 1985); </w:t>
      </w:r>
      <w:r w:rsidRPr="00FD636E">
        <w:rPr>
          <w:u w:val="single"/>
        </w:rPr>
        <w:t>Commonwealth of Pennsylvania v. Bell Telephone Co. of Pa.</w:t>
      </w:r>
      <w:r w:rsidRPr="00FD636E">
        <w:t>, 551 A.2d 602 (Pa. Cmwlth. 1988).</w:t>
      </w:r>
      <w:proofErr w:type="gramEnd"/>
      <w:r w:rsidRPr="00FD636E">
        <w:t xml:space="preserve">  The Commission must view the Complaint in this case in the light most favorable to </w:t>
      </w:r>
      <w:r w:rsidR="00FD636E">
        <w:t>the Joint Complainants</w:t>
      </w:r>
      <w:r w:rsidR="00C13C5A" w:rsidRPr="00FD636E">
        <w:t xml:space="preserve"> </w:t>
      </w:r>
      <w:r w:rsidRPr="00FD636E">
        <w:t xml:space="preserve">and should dismiss the Complaint only if it appears that </w:t>
      </w:r>
      <w:r w:rsidR="00FD636E">
        <w:t xml:space="preserve">the Joint Complainants </w:t>
      </w:r>
      <w:r w:rsidRPr="00FD636E">
        <w:t xml:space="preserve">would not be entitled to relief under any circumstances as a matter of law.  </w:t>
      </w:r>
      <w:r w:rsidRPr="00FD636E">
        <w:rPr>
          <w:u w:val="single"/>
        </w:rPr>
        <w:t>Equitable</w:t>
      </w:r>
      <w:r w:rsidRPr="00FD636E">
        <w:t xml:space="preserve">, </w:t>
      </w:r>
      <w:r w:rsidRPr="00FD636E">
        <w:rPr>
          <w:i/>
        </w:rPr>
        <w:t>supra</w:t>
      </w:r>
      <w:r w:rsidRPr="00FD636E">
        <w:t xml:space="preserve">; </w:t>
      </w:r>
      <w:r w:rsidRPr="00FD636E">
        <w:rPr>
          <w:i/>
        </w:rPr>
        <w:t>see also</w:t>
      </w:r>
      <w:r w:rsidRPr="00FD636E">
        <w:t xml:space="preserve">, </w:t>
      </w:r>
      <w:r w:rsidRPr="00FD636E">
        <w:rPr>
          <w:u w:val="single"/>
        </w:rPr>
        <w:t>Interstate Traveler Services, Inc. v. Commonwealth, Department of Environmental Resources</w:t>
      </w:r>
      <w:r w:rsidRPr="00FD636E">
        <w:t>, 406 A.2d 1020 (Pa. 1979).</w:t>
      </w:r>
    </w:p>
    <w:p w:rsidR="004F664A" w:rsidRDefault="004F664A" w:rsidP="004F664A">
      <w:pPr>
        <w:tabs>
          <w:tab w:val="left" w:pos="-720"/>
        </w:tabs>
        <w:suppressAutoHyphens/>
        <w:spacing w:line="360" w:lineRule="auto"/>
        <w:ind w:firstLine="1350"/>
      </w:pPr>
    </w:p>
    <w:p w:rsidR="00FD636E" w:rsidRDefault="00B74492" w:rsidP="004F664A">
      <w:pPr>
        <w:tabs>
          <w:tab w:val="left" w:pos="-720"/>
        </w:tabs>
        <w:suppressAutoHyphens/>
        <w:spacing w:line="360" w:lineRule="auto"/>
        <w:ind w:firstLine="1350"/>
      </w:pPr>
      <w:r>
        <w:t xml:space="preserve">In its Preliminary Objections, Respond seeks dismissal with prejudice of Count III (Failing to Disclose Material Terms), </w:t>
      </w:r>
      <w:r w:rsidR="007F6BDD">
        <w:t xml:space="preserve">Count </w:t>
      </w:r>
      <w:r>
        <w:t xml:space="preserve">IV (Deceptive and Misleading Welcome Letter and Inserts), </w:t>
      </w:r>
      <w:r w:rsidR="007F6BDD">
        <w:t xml:space="preserve">Count </w:t>
      </w:r>
      <w:r>
        <w:t xml:space="preserve">VII (Failing to Provide Accurate Pricing Information), </w:t>
      </w:r>
      <w:r w:rsidR="007F6BDD">
        <w:t xml:space="preserve">Count </w:t>
      </w:r>
      <w:r>
        <w:t xml:space="preserve">VIII (Prices Nonconforming to Disclosure Statement) and </w:t>
      </w:r>
      <w:r w:rsidR="007F6BDD">
        <w:t xml:space="preserve">Count </w:t>
      </w:r>
      <w:r>
        <w:t>IX (Failure to Comply with the Telemarketer Registration Act).  Each of these Counts will be addressed in turn below.</w:t>
      </w:r>
    </w:p>
    <w:p w:rsidR="00B74492" w:rsidRDefault="00B74492" w:rsidP="00B74492">
      <w:pPr>
        <w:tabs>
          <w:tab w:val="left" w:pos="-720"/>
        </w:tabs>
        <w:suppressAutoHyphens/>
        <w:spacing w:line="360" w:lineRule="auto"/>
      </w:pPr>
    </w:p>
    <w:p w:rsidR="00B74492" w:rsidRDefault="00F139D5" w:rsidP="00B74492">
      <w:pPr>
        <w:tabs>
          <w:tab w:val="left" w:pos="-720"/>
        </w:tabs>
        <w:suppressAutoHyphens/>
        <w:spacing w:line="360" w:lineRule="auto"/>
      </w:pPr>
      <w:r>
        <w:rPr>
          <w:b/>
          <w:u w:val="single"/>
        </w:rPr>
        <w:t xml:space="preserve">Count III – The </w:t>
      </w:r>
      <w:r w:rsidR="000A248E">
        <w:rPr>
          <w:b/>
          <w:u w:val="single"/>
        </w:rPr>
        <w:t xml:space="preserve">Commission Lacks Jurisdiction </w:t>
      </w:r>
      <w:proofErr w:type="gramStart"/>
      <w:r w:rsidR="000A248E">
        <w:rPr>
          <w:b/>
          <w:u w:val="single"/>
        </w:rPr>
        <w:t>To</w:t>
      </w:r>
      <w:proofErr w:type="gramEnd"/>
      <w:r w:rsidR="000A248E">
        <w:rPr>
          <w:b/>
          <w:u w:val="single"/>
        </w:rPr>
        <w:t xml:space="preserve"> Determine Whether Respond</w:t>
      </w:r>
      <w:r w:rsidR="00565DDE">
        <w:rPr>
          <w:b/>
          <w:u w:val="single"/>
        </w:rPr>
        <w:t xml:space="preserve"> </w:t>
      </w:r>
      <w:r w:rsidR="000A248E">
        <w:rPr>
          <w:b/>
          <w:u w:val="single"/>
        </w:rPr>
        <w:t>Violate</w:t>
      </w:r>
      <w:r w:rsidR="00565DDE">
        <w:rPr>
          <w:b/>
          <w:u w:val="single"/>
        </w:rPr>
        <w:t>d</w:t>
      </w:r>
      <w:r w:rsidR="000A248E">
        <w:rPr>
          <w:b/>
          <w:u w:val="single"/>
        </w:rPr>
        <w:t xml:space="preserve"> The Unfair Trade Practices/Consumer Protection Law But </w:t>
      </w:r>
      <w:r w:rsidR="00565DDE">
        <w:rPr>
          <w:b/>
          <w:u w:val="single"/>
        </w:rPr>
        <w:t xml:space="preserve">Has Jurisdiction To Determine Whether Respond Violated Commission </w:t>
      </w:r>
      <w:r w:rsidR="00CA666C">
        <w:rPr>
          <w:b/>
          <w:u w:val="single"/>
        </w:rPr>
        <w:t xml:space="preserve">Consumer Protection </w:t>
      </w:r>
      <w:r w:rsidR="00565DDE">
        <w:rPr>
          <w:b/>
          <w:u w:val="single"/>
        </w:rPr>
        <w:t>Regulations</w:t>
      </w:r>
    </w:p>
    <w:p w:rsidR="00F139D5" w:rsidRDefault="00F139D5" w:rsidP="00B74492">
      <w:pPr>
        <w:tabs>
          <w:tab w:val="left" w:pos="-720"/>
        </w:tabs>
        <w:suppressAutoHyphens/>
        <w:spacing w:line="360" w:lineRule="auto"/>
      </w:pPr>
    </w:p>
    <w:p w:rsidR="00F139D5" w:rsidRDefault="00F139D5" w:rsidP="00B74492">
      <w:pPr>
        <w:tabs>
          <w:tab w:val="left" w:pos="-720"/>
        </w:tabs>
        <w:suppressAutoHyphens/>
        <w:spacing w:line="360" w:lineRule="auto"/>
      </w:pPr>
      <w:r>
        <w:tab/>
      </w:r>
      <w:r>
        <w:tab/>
        <w:t xml:space="preserve">In their Complaint, the Joint Complainants averred </w:t>
      </w:r>
      <w:r w:rsidR="007F19A5">
        <w:t xml:space="preserve">that Respond supplied some consumer complainants with Terms and Conditions of Service that did not state whether the price was fixed or variable.  The Joint Complainants averred that such actions violate the UTP/CPL and various Commission orders and regulations.  </w:t>
      </w:r>
      <w:r>
        <w:t xml:space="preserve">In its Preliminary Objection, Respond argued that </w:t>
      </w:r>
      <w:r w:rsidR="00BF5D32">
        <w:t xml:space="preserve">Count III should be dismissed because it is legally insufficient and states no claim upon which relief may be granted because the Disclosure Statement clearly provides that the price of service may vary from month to month.  Respond also noted that the Commission approved the Disclosure Statement during the licensing process.  </w:t>
      </w:r>
      <w:r>
        <w:t xml:space="preserve">In </w:t>
      </w:r>
      <w:r w:rsidR="006A45DF">
        <w:t xml:space="preserve">their </w:t>
      </w:r>
      <w:r>
        <w:t xml:space="preserve">Answer to the Preliminary Objection, the Joint Complainants argued that </w:t>
      </w:r>
      <w:r w:rsidR="001B7656">
        <w:t>the Commission can make determinations pursuant to the UTP/CPL because it has incorporated those regulations into its own</w:t>
      </w:r>
      <w:r w:rsidR="007F6BDD">
        <w:t xml:space="preserve"> regulations</w:t>
      </w:r>
      <w:r w:rsidR="001B7656">
        <w:t>.  The Joint Complainants also argued that the Commission’s approval of the Disclosure Statement by the Bureau of Consumer Services</w:t>
      </w:r>
      <w:r w:rsidR="00436D29">
        <w:t>, which Respond relie</w:t>
      </w:r>
      <w:r w:rsidR="000A248E">
        <w:t>d</w:t>
      </w:r>
      <w:r w:rsidR="00436D29">
        <w:t xml:space="preserve"> on </w:t>
      </w:r>
      <w:r w:rsidR="00AA3DE8">
        <w:t xml:space="preserve">in </w:t>
      </w:r>
      <w:r w:rsidR="00436D29">
        <w:t>its Preliminary Objection,</w:t>
      </w:r>
      <w:r w:rsidR="001B7656">
        <w:t xml:space="preserve"> is not binding on the Commission.  </w:t>
      </w:r>
      <w:r>
        <w:t xml:space="preserve">For the reasons discussed below, Respond’s Preliminary Objection will be </w:t>
      </w:r>
      <w:r w:rsidR="000A248E">
        <w:t xml:space="preserve">granted in part and </w:t>
      </w:r>
      <w:r>
        <w:t>denied</w:t>
      </w:r>
      <w:r w:rsidR="000A248E">
        <w:t xml:space="preserve"> in part</w:t>
      </w:r>
      <w:r>
        <w:t>.</w:t>
      </w:r>
    </w:p>
    <w:p w:rsidR="000A248E" w:rsidRDefault="000A248E" w:rsidP="00B74492">
      <w:pPr>
        <w:tabs>
          <w:tab w:val="left" w:pos="-720"/>
        </w:tabs>
        <w:suppressAutoHyphens/>
        <w:spacing w:line="360" w:lineRule="auto"/>
      </w:pPr>
    </w:p>
    <w:p w:rsidR="001019BE" w:rsidRDefault="000A248E" w:rsidP="001019BE">
      <w:pPr>
        <w:tabs>
          <w:tab w:val="left" w:pos="-720"/>
        </w:tabs>
        <w:suppressAutoHyphens/>
        <w:spacing w:line="360" w:lineRule="auto"/>
      </w:pPr>
      <w:r>
        <w:tab/>
      </w:r>
      <w:r>
        <w:tab/>
        <w:t xml:space="preserve">To begin, with regard to issues pertaining to enforcement of the UTP/CPL, </w:t>
      </w:r>
      <w:r w:rsidR="001019BE">
        <w:t>i</w:t>
      </w:r>
      <w:r w:rsidR="001019BE" w:rsidRPr="00174C87">
        <w:rPr>
          <w:color w:val="000000"/>
        </w:rPr>
        <w:t xml:space="preserve">t is well settled that the Commission may not exceed its jurisdiction and must act within it.  </w:t>
      </w:r>
      <w:proofErr w:type="gramStart"/>
      <w:r w:rsidR="001019BE" w:rsidRPr="00C768EE">
        <w:rPr>
          <w:color w:val="000000"/>
          <w:u w:val="single"/>
        </w:rPr>
        <w:t>City of Pittsburgh v. Pa. Pub.</w:t>
      </w:r>
      <w:proofErr w:type="gramEnd"/>
      <w:r w:rsidR="001019BE" w:rsidRPr="00C768EE">
        <w:rPr>
          <w:color w:val="000000"/>
          <w:u w:val="single"/>
        </w:rPr>
        <w:t xml:space="preserve"> </w:t>
      </w:r>
      <w:proofErr w:type="gramStart"/>
      <w:r w:rsidR="001019BE" w:rsidRPr="00C768EE">
        <w:rPr>
          <w:color w:val="000000"/>
          <w:u w:val="single"/>
        </w:rPr>
        <w:t>Util. Comm’n.</w:t>
      </w:r>
      <w:r w:rsidR="001019BE" w:rsidRPr="00C768EE">
        <w:rPr>
          <w:color w:val="000000"/>
        </w:rPr>
        <w:t>, 43 A.2d 348 (Pa. Super 1945</w:t>
      </w:r>
      <w:r w:rsidR="001019BE">
        <w:rPr>
          <w:color w:val="000000"/>
        </w:rPr>
        <w:t>) (</w:t>
      </w:r>
      <w:r w:rsidR="001019BE">
        <w:rPr>
          <w:color w:val="000000"/>
          <w:u w:val="single"/>
        </w:rPr>
        <w:t>Pittsburgh</w:t>
      </w:r>
      <w:r w:rsidR="001019BE">
        <w:rPr>
          <w:color w:val="000000"/>
        </w:rPr>
        <w:t>)</w:t>
      </w:r>
      <w:r w:rsidR="001019BE" w:rsidRPr="00174C87">
        <w:rPr>
          <w:color w:val="000000"/>
        </w:rPr>
        <w:t>.</w:t>
      </w:r>
      <w:proofErr w:type="gramEnd"/>
      <w:r w:rsidR="001019BE" w:rsidRPr="00174C87">
        <w:rPr>
          <w:color w:val="000000"/>
        </w:rPr>
        <w:t xml:space="preserve">  Jurisdiction may not be conferred by the parties where none exists.  </w:t>
      </w:r>
      <w:proofErr w:type="gramStart"/>
      <w:r w:rsidR="001019BE" w:rsidRPr="00174C87">
        <w:rPr>
          <w:color w:val="000000"/>
          <w:u w:val="single"/>
        </w:rPr>
        <w:t xml:space="preserve">Roberts v. </w:t>
      </w:r>
      <w:proofErr w:type="spellStart"/>
      <w:r w:rsidR="001019BE" w:rsidRPr="00174C87">
        <w:rPr>
          <w:color w:val="000000"/>
          <w:u w:val="single"/>
        </w:rPr>
        <w:t>Martorano</w:t>
      </w:r>
      <w:proofErr w:type="spellEnd"/>
      <w:r w:rsidR="001019BE" w:rsidRPr="00174C87">
        <w:rPr>
          <w:color w:val="000000"/>
        </w:rPr>
        <w:t>, 235 A.2d 602 (Pa. 1967</w:t>
      </w:r>
      <w:r w:rsidR="001019BE">
        <w:rPr>
          <w:color w:val="000000"/>
        </w:rPr>
        <w:t>) (</w:t>
      </w:r>
      <w:r w:rsidR="001019BE">
        <w:rPr>
          <w:color w:val="000000"/>
          <w:u w:val="single"/>
        </w:rPr>
        <w:t>Roberts</w:t>
      </w:r>
      <w:r w:rsidR="001019BE" w:rsidRPr="00174C87">
        <w:rPr>
          <w:color w:val="000000"/>
        </w:rPr>
        <w:t>).</w:t>
      </w:r>
      <w:proofErr w:type="gramEnd"/>
      <w:r w:rsidR="001019BE" w:rsidRPr="00174C87">
        <w:rPr>
          <w:color w:val="000000"/>
        </w:rPr>
        <w:t xml:space="preserve">  Subject matter jurisdiction is a prerequisite to the exercise of the power to decide a controversy.  </w:t>
      </w:r>
      <w:proofErr w:type="gramStart"/>
      <w:r w:rsidR="001019BE" w:rsidRPr="00174C87">
        <w:rPr>
          <w:color w:val="000000"/>
          <w:u w:val="single"/>
        </w:rPr>
        <w:t>Hughes v. Pa. State Police</w:t>
      </w:r>
      <w:r w:rsidR="001019BE" w:rsidRPr="00174C87">
        <w:rPr>
          <w:color w:val="000000"/>
        </w:rPr>
        <w:t>, 619 A.2d 390 (Pa. Cmwlth 1992</w:t>
      </w:r>
      <w:r w:rsidR="001019BE">
        <w:rPr>
          <w:color w:val="000000"/>
        </w:rPr>
        <w:t>) (</w:t>
      </w:r>
      <w:r w:rsidR="001019BE">
        <w:rPr>
          <w:color w:val="000000"/>
          <w:u w:val="single"/>
        </w:rPr>
        <w:t>Hughes</w:t>
      </w:r>
      <w:r w:rsidR="001019BE" w:rsidRPr="00174C87">
        <w:rPr>
          <w:color w:val="000000"/>
        </w:rPr>
        <w:t>).</w:t>
      </w:r>
      <w:proofErr w:type="gramEnd"/>
      <w:r w:rsidR="001019BE" w:rsidRPr="00174C87">
        <w:rPr>
          <w:color w:val="000000"/>
        </w:rPr>
        <w:t xml:space="preserve">  As a creation of the legislature, the Commission possesses only the authority that the state legislature has specifically granted to it in the Public Utility Code.  </w:t>
      </w:r>
      <w:proofErr w:type="gramStart"/>
      <w:r w:rsidR="001019BE" w:rsidRPr="00174C87">
        <w:rPr>
          <w:color w:val="000000"/>
        </w:rPr>
        <w:t>66 Pa.C.S.</w:t>
      </w:r>
      <w:proofErr w:type="gramEnd"/>
      <w:r w:rsidR="001019BE" w:rsidRPr="00174C87">
        <w:rPr>
          <w:color w:val="000000"/>
        </w:rPr>
        <w:t xml:space="preserve"> </w:t>
      </w:r>
      <w:proofErr w:type="gramStart"/>
      <w:r w:rsidR="001019BE" w:rsidRPr="00174C87">
        <w:rPr>
          <w:color w:val="000000"/>
        </w:rPr>
        <w:t xml:space="preserve">§§ 101, </w:t>
      </w:r>
      <w:r w:rsidR="001019BE" w:rsidRPr="00174C87">
        <w:rPr>
          <w:i/>
          <w:color w:val="000000"/>
        </w:rPr>
        <w:t>et seq</w:t>
      </w:r>
      <w:r w:rsidR="001019BE" w:rsidRPr="00174C87">
        <w:rPr>
          <w:color w:val="000000"/>
        </w:rPr>
        <w:t>.</w:t>
      </w:r>
      <w:proofErr w:type="gramEnd"/>
      <w:r w:rsidR="001019BE" w:rsidRPr="00174C87">
        <w:rPr>
          <w:color w:val="000000"/>
        </w:rPr>
        <w:t xml:space="preserve">  Its jurisdiction must arise from the express language of the pertinent enabling legislation or by strong and necessary implication therefrom.  </w:t>
      </w:r>
      <w:proofErr w:type="gramStart"/>
      <w:r w:rsidR="001019BE" w:rsidRPr="00174C87">
        <w:rPr>
          <w:color w:val="000000"/>
          <w:u w:val="single"/>
        </w:rPr>
        <w:t>Feingold v. Bell</w:t>
      </w:r>
      <w:r w:rsidR="001019BE" w:rsidRPr="00174C87">
        <w:rPr>
          <w:color w:val="000000"/>
        </w:rPr>
        <w:t>, 383 A.2d 791 (Pa. 1977</w:t>
      </w:r>
      <w:r w:rsidR="001019BE">
        <w:rPr>
          <w:color w:val="000000"/>
        </w:rPr>
        <w:t>) (</w:t>
      </w:r>
      <w:r w:rsidR="001019BE">
        <w:rPr>
          <w:color w:val="000000"/>
          <w:u w:val="single"/>
        </w:rPr>
        <w:t>Feingold</w:t>
      </w:r>
      <w:r w:rsidR="001019BE">
        <w:rPr>
          <w:color w:val="000000"/>
        </w:rPr>
        <w:t>)</w:t>
      </w:r>
      <w:r w:rsidR="001019BE" w:rsidRPr="00174C87">
        <w:rPr>
          <w:color w:val="000000"/>
        </w:rPr>
        <w:t>.</w:t>
      </w:r>
      <w:proofErr w:type="gramEnd"/>
      <w:r w:rsidR="001019BE" w:rsidRPr="00174C87">
        <w:rPr>
          <w:color w:val="000000"/>
        </w:rPr>
        <w:t xml:space="preserve"> </w:t>
      </w:r>
      <w:r w:rsidR="001019BE">
        <w:t xml:space="preserve"> </w:t>
      </w:r>
    </w:p>
    <w:p w:rsidR="001019BE" w:rsidRDefault="001019BE" w:rsidP="001019BE">
      <w:pPr>
        <w:tabs>
          <w:tab w:val="left" w:pos="-720"/>
        </w:tabs>
        <w:suppressAutoHyphens/>
        <w:spacing w:line="360" w:lineRule="auto"/>
      </w:pPr>
    </w:p>
    <w:p w:rsidR="001019BE" w:rsidRDefault="001019BE" w:rsidP="001019BE">
      <w:pPr>
        <w:tabs>
          <w:tab w:val="left" w:pos="-720"/>
        </w:tabs>
        <w:suppressAutoHyphens/>
        <w:spacing w:line="360" w:lineRule="auto"/>
      </w:pPr>
      <w:r>
        <w:tab/>
      </w:r>
      <w:r>
        <w:tab/>
        <w:t xml:space="preserve">With specific regard to the UTP/CPL, the Commission has stated that </w:t>
      </w:r>
      <w:r>
        <w:rPr>
          <w:bCs/>
          <w:color w:val="000000"/>
        </w:rPr>
        <w:t xml:space="preserve">it </w:t>
      </w:r>
      <w:r w:rsidRPr="00085EE1">
        <w:rPr>
          <w:bCs/>
          <w:color w:val="000000"/>
        </w:rPr>
        <w:t xml:space="preserve">does not have jurisdiction to enforce the UTP/CPL.  </w:t>
      </w:r>
      <w:r w:rsidRPr="00085EE1">
        <w:rPr>
          <w:bCs/>
          <w:i/>
          <w:color w:val="000000"/>
        </w:rPr>
        <w:t>See</w:t>
      </w:r>
      <w:r w:rsidRPr="00085EE1">
        <w:rPr>
          <w:bCs/>
          <w:color w:val="000000"/>
        </w:rPr>
        <w:t xml:space="preserve">, </w:t>
      </w:r>
      <w:r w:rsidRPr="00085EE1">
        <w:rPr>
          <w:bCs/>
          <w:color w:val="000000"/>
          <w:u w:val="single"/>
        </w:rPr>
        <w:t>Mid-Atlantic Power Supply Assoc. v. PECO Energy Co.</w:t>
      </w:r>
      <w:r w:rsidRPr="00085EE1">
        <w:rPr>
          <w:bCs/>
          <w:color w:val="000000"/>
        </w:rPr>
        <w:t>, Docket No. P-00981615, 1999 Pa PUC LEXIS 30 (entered May 19, 1999</w:t>
      </w:r>
      <w:r>
        <w:rPr>
          <w:bCs/>
          <w:color w:val="000000"/>
        </w:rPr>
        <w:t>) (</w:t>
      </w:r>
      <w:r>
        <w:rPr>
          <w:bCs/>
          <w:color w:val="000000"/>
          <w:u w:val="single"/>
        </w:rPr>
        <w:t>MAPSA</w:t>
      </w:r>
      <w:r w:rsidRPr="00085EE1">
        <w:rPr>
          <w:bCs/>
          <w:color w:val="000000"/>
        </w:rPr>
        <w:t>)</w:t>
      </w:r>
      <w:r>
        <w:rPr>
          <w:bCs/>
          <w:color w:val="000000"/>
        </w:rPr>
        <w:t xml:space="preserve">; </w:t>
      </w:r>
      <w:r>
        <w:rPr>
          <w:bCs/>
          <w:i/>
          <w:color w:val="000000"/>
        </w:rPr>
        <w:t>see also</w:t>
      </w:r>
      <w:r>
        <w:rPr>
          <w:bCs/>
          <w:color w:val="000000"/>
        </w:rPr>
        <w:t xml:space="preserve">, </w:t>
      </w:r>
      <w:r>
        <w:rPr>
          <w:bCs/>
          <w:color w:val="000000"/>
          <w:u w:val="single"/>
        </w:rPr>
        <w:t xml:space="preserve">David P. </w:t>
      </w:r>
      <w:proofErr w:type="spellStart"/>
      <w:r>
        <w:rPr>
          <w:bCs/>
          <w:color w:val="000000"/>
          <w:u w:val="single"/>
        </w:rPr>
        <w:t>Torakeo</w:t>
      </w:r>
      <w:proofErr w:type="spellEnd"/>
      <w:r>
        <w:rPr>
          <w:bCs/>
          <w:color w:val="000000"/>
          <w:u w:val="single"/>
        </w:rPr>
        <w:t xml:space="preserve"> v. Pennsylvania American Water Co.</w:t>
      </w:r>
      <w:r>
        <w:rPr>
          <w:bCs/>
          <w:color w:val="000000"/>
        </w:rPr>
        <w:t xml:space="preserve">, Docket No. C-2013-2359123, Opinion and Order (entered April 3, 2014) (“to the extent that the Complainant is challenging the ALJ’s finding regarding our jurisdiction over the allegations that PAWC’s actions violated the UTPCPL, this Exception is also denied.  As the ALJ determined, it is clear under Pennsylvania law that the Commission does not have jurisdiction over such claims.”).  </w:t>
      </w:r>
    </w:p>
    <w:p w:rsidR="001019BE" w:rsidRDefault="001019BE" w:rsidP="001019BE">
      <w:pPr>
        <w:tabs>
          <w:tab w:val="left" w:pos="-720"/>
        </w:tabs>
        <w:suppressAutoHyphens/>
        <w:spacing w:line="360" w:lineRule="auto"/>
      </w:pPr>
    </w:p>
    <w:p w:rsidR="001019BE" w:rsidRDefault="001019BE" w:rsidP="001019BE">
      <w:pPr>
        <w:tabs>
          <w:tab w:val="left" w:pos="-720"/>
        </w:tabs>
        <w:suppressAutoHyphens/>
        <w:spacing w:line="360" w:lineRule="auto"/>
      </w:pPr>
      <w:r>
        <w:tab/>
      </w:r>
      <w:r>
        <w:tab/>
        <w:t xml:space="preserve">In this case, the Joint Complainants rely on the UTP/CPL as the basis for their position in Count III that Respond failed to disclose material terms of the variable rate service.  The Complaint also references various Commission regulations that prohibit </w:t>
      </w:r>
      <w:r w:rsidR="006A45DF">
        <w:t xml:space="preserve">Electric Generation Suppliers (EGS) </w:t>
      </w:r>
      <w:r>
        <w:t xml:space="preserve">from engaging in fraudulent deceptive or other unlawful marketing.  </w:t>
      </w:r>
      <w:proofErr w:type="gramStart"/>
      <w:r>
        <w:rPr>
          <w:i/>
        </w:rPr>
        <w:t>See</w:t>
      </w:r>
      <w:r>
        <w:t xml:space="preserve"> </w:t>
      </w:r>
      <w:r>
        <w:rPr>
          <w:i/>
        </w:rPr>
        <w:t>e.g.</w:t>
      </w:r>
      <w:r>
        <w:t>, 52 Pa.Code §§ 54.5(b) and 111.11.</w:t>
      </w:r>
      <w:proofErr w:type="gramEnd"/>
      <w:r>
        <w:t xml:space="preserve">  The Joint Complainants contend that these regulations give the Commission jurisdiction over the UTP/CPL by reference.  These regulations, however, do not equate to providing the Commission with jurisdiction to hear claims brought pursuant to UTP/CPL.  The Commission, however, does have jurisdiction to determine whether its own regulations prohibiting deceptive or misleading conduct have been violated.  The Commission can therefore hear claims regarding misleading and deceptive practices under Title 52 but not under UTP/CPL.</w:t>
      </w:r>
    </w:p>
    <w:p w:rsidR="001019BE" w:rsidRDefault="001019BE" w:rsidP="001019BE">
      <w:pPr>
        <w:tabs>
          <w:tab w:val="left" w:pos="-720"/>
        </w:tabs>
        <w:suppressAutoHyphens/>
        <w:spacing w:line="360" w:lineRule="auto"/>
      </w:pPr>
    </w:p>
    <w:p w:rsidR="001019BE" w:rsidRDefault="001019BE" w:rsidP="001019BE">
      <w:pPr>
        <w:tabs>
          <w:tab w:val="left" w:pos="-720"/>
        </w:tabs>
        <w:suppressAutoHyphens/>
        <w:spacing w:line="360" w:lineRule="auto"/>
      </w:pPr>
      <w:r>
        <w:tab/>
      </w:r>
      <w:r>
        <w:tab/>
        <w:t xml:space="preserve">The Joint Complainants argued in their Answer to </w:t>
      </w:r>
      <w:proofErr w:type="gramStart"/>
      <w:r>
        <w:t>Respond’s</w:t>
      </w:r>
      <w:proofErr w:type="gramEnd"/>
      <w:r>
        <w:t xml:space="preserve"> Preliminary Objection that the Commission is within its jurisdiction to hear Count I</w:t>
      </w:r>
      <w:r w:rsidR="00AA3DE8">
        <w:t>II</w:t>
      </w:r>
      <w:r>
        <w:t xml:space="preserve"> because it is allowed to “incorporate other laws, including the Consumer Protection Law, into its decisions.”  </w:t>
      </w:r>
      <w:proofErr w:type="gramStart"/>
      <w:r>
        <w:rPr>
          <w:i/>
        </w:rPr>
        <w:t xml:space="preserve">Citing, </w:t>
      </w:r>
      <w:r>
        <w:rPr>
          <w:u w:val="single"/>
        </w:rPr>
        <w:t>Harrisburg Taxicab &amp; Baggage Co. v. Pa. Pub.</w:t>
      </w:r>
      <w:proofErr w:type="gramEnd"/>
      <w:r>
        <w:rPr>
          <w:u w:val="single"/>
        </w:rPr>
        <w:t xml:space="preserve"> </w:t>
      </w:r>
      <w:proofErr w:type="gramStart"/>
      <w:r>
        <w:rPr>
          <w:u w:val="single"/>
        </w:rPr>
        <w:t>Util. Comm’n.</w:t>
      </w:r>
      <w:r>
        <w:t>, 786 A.2d 288, 292-93 (Pa. Commw. 2001) (</w:t>
      </w:r>
      <w:r>
        <w:rPr>
          <w:u w:val="single"/>
        </w:rPr>
        <w:t>Harrisburg Taxi</w:t>
      </w:r>
      <w:r>
        <w:t>).</w:t>
      </w:r>
      <w:proofErr w:type="gramEnd"/>
      <w:r>
        <w:t xml:space="preserve">  In </w:t>
      </w:r>
      <w:r>
        <w:rPr>
          <w:u w:val="single"/>
        </w:rPr>
        <w:t>Harrisburg Taxi</w:t>
      </w:r>
      <w:r>
        <w:t xml:space="preserve">, the Commonwealth Court determined that the Commission had authority to enforce provisions of the Pennsylvania Vehicle Code pursuant its authority under Section 1501 of the Public Utility Code that requires the Commission to ensure the safety of utility facilities, such as a taxicab.  </w:t>
      </w:r>
      <w:proofErr w:type="gramStart"/>
      <w:r>
        <w:rPr>
          <w:u w:val="single"/>
        </w:rPr>
        <w:t>Id.</w:t>
      </w:r>
      <w:r>
        <w:t xml:space="preserve"> at 293.</w:t>
      </w:r>
      <w:proofErr w:type="gramEnd"/>
      <w:r>
        <w:t xml:space="preserve">  The Court saw such overlapping jurisdiction as “exactly the type of sensible cooperation and mutual adjustment between the agencies.”  </w:t>
      </w:r>
      <w:r>
        <w:rPr>
          <w:u w:val="single"/>
        </w:rPr>
        <w:t>Id.</w:t>
      </w:r>
      <w:r>
        <w:t xml:space="preserve">  In this case, however, the Joint Complainants rely on the Commission’s own regulations – not statutory authority – in support of their position that the Commission has jurisdiction to hear cases regarding the UTP/CPL.  Reliance on its own regulations is not comparable to the Commission’s express authority to regulate the safety of taxicabs </w:t>
      </w:r>
      <w:r w:rsidR="00565DDE">
        <w:t xml:space="preserve">explicitly granted by the General Assembly in </w:t>
      </w:r>
      <w:r>
        <w:t>Section 1501.</w:t>
      </w:r>
    </w:p>
    <w:p w:rsidR="001019BE" w:rsidRDefault="001019BE" w:rsidP="001019BE">
      <w:pPr>
        <w:tabs>
          <w:tab w:val="left" w:pos="-720"/>
        </w:tabs>
        <w:suppressAutoHyphens/>
        <w:spacing w:line="360" w:lineRule="auto"/>
      </w:pPr>
    </w:p>
    <w:p w:rsidR="00565DDE" w:rsidRDefault="001019BE" w:rsidP="001019BE">
      <w:pPr>
        <w:tabs>
          <w:tab w:val="left" w:pos="-720"/>
        </w:tabs>
        <w:suppressAutoHyphens/>
        <w:spacing w:line="360" w:lineRule="auto"/>
      </w:pPr>
      <w:r>
        <w:tab/>
      </w:r>
      <w:r>
        <w:tab/>
      </w:r>
      <w:r w:rsidR="00CA666C">
        <w:t>In addition, i</w:t>
      </w:r>
      <w:r>
        <w:t xml:space="preserve">n </w:t>
      </w:r>
      <w:r>
        <w:rPr>
          <w:u w:val="single"/>
        </w:rPr>
        <w:t>MAPSA</w:t>
      </w:r>
      <w:r>
        <w:t xml:space="preserve">, </w:t>
      </w:r>
      <w:r>
        <w:rPr>
          <w:i/>
        </w:rPr>
        <w:t>supra</w:t>
      </w:r>
      <w:r>
        <w:t xml:space="preserve">, the Commission found that the electric distribution company (EDC) created confusion regarding customer choice through its advertising campaign but noted that Section 2811 limits the Commission’s remedial authority in this area.  In particular, Section 2811(d) requires the Commission to refer findings of anticompetitive or discriminatory conduct to the Attorney General.  </w:t>
      </w:r>
      <w:proofErr w:type="gramStart"/>
      <w:r>
        <w:t>66 Pa.C.S.</w:t>
      </w:r>
      <w:proofErr w:type="gramEnd"/>
      <w:r>
        <w:t xml:space="preserve"> § 2811(d</w:t>
      </w:r>
      <w:proofErr w:type="gramStart"/>
      <w:r>
        <w:t>)(</w:t>
      </w:r>
      <w:proofErr w:type="gramEnd"/>
      <w:r>
        <w:t xml:space="preserve">1).  </w:t>
      </w:r>
      <w:r w:rsidR="00565DDE">
        <w:t>The Commission noted that “there is an administrative agency having more extensive expertise in this area to which this matter is deferred.”</w:t>
      </w:r>
    </w:p>
    <w:p w:rsidR="00565DDE" w:rsidRDefault="00565DDE" w:rsidP="001019BE">
      <w:pPr>
        <w:tabs>
          <w:tab w:val="left" w:pos="-720"/>
        </w:tabs>
        <w:suppressAutoHyphens/>
        <w:spacing w:line="360" w:lineRule="auto"/>
      </w:pPr>
    </w:p>
    <w:p w:rsidR="00565DDE" w:rsidRDefault="001019BE" w:rsidP="00565DDE">
      <w:pPr>
        <w:tabs>
          <w:tab w:val="left" w:pos="-720"/>
        </w:tabs>
        <w:suppressAutoHyphens/>
        <w:spacing w:line="360" w:lineRule="auto"/>
      </w:pPr>
      <w:r>
        <w:tab/>
      </w:r>
      <w:r>
        <w:tab/>
      </w:r>
      <w:r w:rsidRPr="00174C87">
        <w:rPr>
          <w:color w:val="000000"/>
        </w:rPr>
        <w:t xml:space="preserve">As </w:t>
      </w:r>
      <w:r>
        <w:rPr>
          <w:color w:val="000000"/>
        </w:rPr>
        <w:t xml:space="preserve">noted above, the Commission is a </w:t>
      </w:r>
      <w:r w:rsidRPr="00174C87">
        <w:rPr>
          <w:color w:val="000000"/>
        </w:rPr>
        <w:t>creation of the legislature</w:t>
      </w:r>
      <w:r>
        <w:rPr>
          <w:color w:val="000000"/>
        </w:rPr>
        <w:t xml:space="preserve"> and </w:t>
      </w:r>
      <w:r w:rsidRPr="00174C87">
        <w:rPr>
          <w:color w:val="000000"/>
        </w:rPr>
        <w:t xml:space="preserve">possesses only the authority that the state legislature has specifically granted to it </w:t>
      </w:r>
      <w:r>
        <w:rPr>
          <w:color w:val="000000"/>
        </w:rPr>
        <w:t>and i</w:t>
      </w:r>
      <w:r w:rsidRPr="00174C87">
        <w:rPr>
          <w:color w:val="000000"/>
        </w:rPr>
        <w:t xml:space="preserve">ts jurisdiction must arise from the express language of the pertinent enabling legislation or by strong and necessary implication therefrom.  </w:t>
      </w:r>
      <w:proofErr w:type="gramStart"/>
      <w:r w:rsidRPr="00F808F8">
        <w:rPr>
          <w:color w:val="000000"/>
          <w:u w:val="single"/>
        </w:rPr>
        <w:t>Feingold</w:t>
      </w:r>
      <w:r>
        <w:rPr>
          <w:color w:val="000000"/>
        </w:rPr>
        <w:t>.</w:t>
      </w:r>
      <w:proofErr w:type="gramEnd"/>
      <w:r>
        <w:rPr>
          <w:color w:val="000000"/>
        </w:rPr>
        <w:t xml:space="preserve">  Neither such express or strong and necessary implication is present here.  </w:t>
      </w:r>
      <w:r>
        <w:t>In contrast, for example</w:t>
      </w:r>
      <w:r w:rsidR="00AA3DE8">
        <w:t>,</w:t>
      </w:r>
      <w:r>
        <w:t xml:space="preserve"> authority conferred by the General Assembly</w:t>
      </w:r>
      <w:r w:rsidR="000D3CEC">
        <w:t xml:space="preserve"> through Section 1501 of the Public Utility Code to regulate taxi</w:t>
      </w:r>
      <w:r w:rsidR="00CA666C">
        <w:t>cab</w:t>
      </w:r>
      <w:r w:rsidR="000D3CEC">
        <w:t xml:space="preserve"> facilities</w:t>
      </w:r>
      <w:r>
        <w:t xml:space="preserve">, as was the case in </w:t>
      </w:r>
      <w:r>
        <w:rPr>
          <w:u w:val="single"/>
        </w:rPr>
        <w:t>Harrisburg Taxi</w:t>
      </w:r>
      <w:r>
        <w:t xml:space="preserve">, does </w:t>
      </w:r>
      <w:r w:rsidR="00AA3DE8">
        <w:t xml:space="preserve">create overlapping </w:t>
      </w:r>
      <w:r>
        <w:t xml:space="preserve">jurisdiction.  </w:t>
      </w:r>
      <w:r>
        <w:rPr>
          <w:i/>
        </w:rPr>
        <w:t>Cf.</w:t>
      </w:r>
      <w:r>
        <w:t xml:space="preserve">, </w:t>
      </w:r>
      <w:r>
        <w:rPr>
          <w:u w:val="single"/>
        </w:rPr>
        <w:t>MAPSA</w:t>
      </w:r>
      <w:r>
        <w:t xml:space="preserve"> (noting that the Attorney General has more extensive expertise in this area) and </w:t>
      </w:r>
      <w:r>
        <w:rPr>
          <w:u w:val="single"/>
        </w:rPr>
        <w:t>Harrisburg Taxi</w:t>
      </w:r>
      <w:r>
        <w:t xml:space="preserve"> (noting that two agencies p</w:t>
      </w:r>
      <w:r w:rsidR="00AA3DE8">
        <w:t>ossess overlapping authority).</w:t>
      </w:r>
      <w:r w:rsidR="00565DDE">
        <w:t xml:space="preserve">  </w:t>
      </w:r>
      <w:r w:rsidR="00CA666C">
        <w:t>O</w:t>
      </w:r>
      <w:r w:rsidR="00565DDE">
        <w:t xml:space="preserve">verlapping jurisdiction is not present here where, for example, </w:t>
      </w:r>
      <w:r w:rsidR="00EE7BAA">
        <w:t xml:space="preserve">the remedies for findings of deceptive trade practices vary.  </w:t>
      </w:r>
      <w:r w:rsidR="00565DDE">
        <w:rPr>
          <w:u w:val="single"/>
        </w:rPr>
        <w:t xml:space="preserve">C. Leslie </w:t>
      </w:r>
      <w:proofErr w:type="spellStart"/>
      <w:r w:rsidR="00565DDE">
        <w:rPr>
          <w:u w:val="single"/>
        </w:rPr>
        <w:t>Pettko</w:t>
      </w:r>
      <w:proofErr w:type="spellEnd"/>
      <w:r w:rsidR="00565DDE">
        <w:rPr>
          <w:u w:val="single"/>
        </w:rPr>
        <w:t xml:space="preserve">, </w:t>
      </w:r>
      <w:r w:rsidR="00565DDE">
        <w:rPr>
          <w:i/>
          <w:u w:val="single"/>
        </w:rPr>
        <w:t>et al</w:t>
      </w:r>
      <w:r w:rsidR="00565DDE">
        <w:rPr>
          <w:u w:val="single"/>
        </w:rPr>
        <w:t>. v. Pennsylvania American Water Co.</w:t>
      </w:r>
      <w:r w:rsidR="00565DDE">
        <w:t>, 39 A.3d 473, 484 (Pa. Cmwlth 2012) (</w:t>
      </w:r>
      <w:r w:rsidR="00CA666C">
        <w:t>the Commission does not have the authority to award civil penalties up to $5,000, as is allowed under the UTP/CPL</w:t>
      </w:r>
      <w:r w:rsidR="00565DDE">
        <w:t>)</w:t>
      </w:r>
      <w:r w:rsidR="00CA666C">
        <w:t xml:space="preserve">; </w:t>
      </w:r>
      <w:r w:rsidR="00CA666C">
        <w:rPr>
          <w:i/>
        </w:rPr>
        <w:t>see also</w:t>
      </w:r>
      <w:r w:rsidR="00CA666C">
        <w:t>,</w:t>
      </w:r>
      <w:r w:rsidR="00CA666C" w:rsidRPr="00CA666C">
        <w:t xml:space="preserve"> </w:t>
      </w:r>
      <w:r w:rsidR="00CA666C">
        <w:t>73 Pa.C.S. § 201-8</w:t>
      </w:r>
      <w:r w:rsidR="00565DDE">
        <w:t>.  Respond’s Preliminary Objection will therefore be granted in part.</w:t>
      </w:r>
    </w:p>
    <w:p w:rsidR="001019BE" w:rsidRDefault="001019BE" w:rsidP="001019BE">
      <w:pPr>
        <w:tabs>
          <w:tab w:val="left" w:pos="-720"/>
        </w:tabs>
        <w:suppressAutoHyphens/>
        <w:spacing w:line="360" w:lineRule="auto"/>
      </w:pPr>
    </w:p>
    <w:p w:rsidR="00CD3D18" w:rsidRDefault="00CD3D18" w:rsidP="00CD3D18">
      <w:pPr>
        <w:tabs>
          <w:tab w:val="left" w:pos="-720"/>
        </w:tabs>
        <w:suppressAutoHyphens/>
        <w:spacing w:line="360" w:lineRule="auto"/>
      </w:pPr>
      <w:r>
        <w:tab/>
      </w:r>
      <w:r>
        <w:tab/>
        <w:t>Having determined that the Commission does not have jurisdiction to hear cases brought under the UTP/CPL</w:t>
      </w:r>
      <w:r w:rsidR="00CA666C">
        <w:t>, however,</w:t>
      </w:r>
      <w:r>
        <w:t xml:space="preserve"> does not equate to allowing utilities to engage in misleading or deceptive conduct.  Utilities must still comply with the Commission’s regulations which prohibit such activities.  </w:t>
      </w:r>
      <w:r w:rsidR="00565DDE">
        <w:t xml:space="preserve">In Count III, the Joint Complainants averred violations of various provisions of the Commission’s regulations.  The Commission does have jurisdiction to hear claims that its own regulations have been violated.  </w:t>
      </w:r>
      <w:r w:rsidR="00AA3DE8">
        <w:t xml:space="preserve">This portion of Respond’s Preliminary Objection will be </w:t>
      </w:r>
      <w:r w:rsidR="00565DDE">
        <w:t>denied in part</w:t>
      </w:r>
      <w:r w:rsidR="00AA3DE8">
        <w:t>.</w:t>
      </w:r>
    </w:p>
    <w:p w:rsidR="00CD3D18" w:rsidRDefault="00CD3D18" w:rsidP="001019BE">
      <w:pPr>
        <w:tabs>
          <w:tab w:val="left" w:pos="-720"/>
        </w:tabs>
        <w:suppressAutoHyphens/>
        <w:spacing w:line="360" w:lineRule="auto"/>
      </w:pPr>
    </w:p>
    <w:p w:rsidR="001A62B0" w:rsidRDefault="00F139D5" w:rsidP="00565DDE">
      <w:pPr>
        <w:tabs>
          <w:tab w:val="left" w:pos="-720"/>
        </w:tabs>
        <w:suppressAutoHyphens/>
        <w:spacing w:line="360" w:lineRule="auto"/>
      </w:pPr>
      <w:r>
        <w:tab/>
      </w:r>
      <w:r>
        <w:tab/>
      </w:r>
      <w:r w:rsidR="001B7656">
        <w:t xml:space="preserve">With regard to Respond’s claim that Count III is legally insufficient, </w:t>
      </w:r>
      <w:r w:rsidR="001A62B0">
        <w:t xml:space="preserve">this claim will </w:t>
      </w:r>
      <w:r w:rsidR="00A61874">
        <w:t xml:space="preserve">also </w:t>
      </w:r>
      <w:r w:rsidR="001A62B0">
        <w:t xml:space="preserve">be denied.  </w:t>
      </w:r>
      <w:r w:rsidR="001A62B0" w:rsidRPr="00E3227F">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001A62B0" w:rsidRPr="00E3227F">
        <w:rPr>
          <w:u w:val="single"/>
        </w:rPr>
        <w:t xml:space="preserve">Community Life Support Systems, Inc., </w:t>
      </w:r>
      <w:r w:rsidR="001A62B0" w:rsidRPr="00E3227F">
        <w:rPr>
          <w:i/>
          <w:u w:val="single"/>
        </w:rPr>
        <w:t>et al</w:t>
      </w:r>
      <w:r w:rsidR="001A62B0" w:rsidRPr="00E3227F">
        <w:rPr>
          <w:u w:val="single"/>
        </w:rPr>
        <w:t>. v. Commonwealth of Pennsylvania</w:t>
      </w:r>
      <w:r w:rsidR="001A62B0" w:rsidRPr="00E3227F">
        <w:t>, 689 A.2d 1014, 1017 (Pa. Cmwlth. 1997</w:t>
      </w:r>
      <w:r w:rsidR="003C50EB">
        <w:t>) (</w:t>
      </w:r>
      <w:r w:rsidR="003C50EB" w:rsidRPr="00E3227F">
        <w:rPr>
          <w:u w:val="single"/>
        </w:rPr>
        <w:t>Community Life</w:t>
      </w:r>
      <w:r w:rsidR="001A62B0" w:rsidRPr="00E3227F">
        <w:t>).</w:t>
      </w:r>
      <w:proofErr w:type="gramEnd"/>
      <w:r w:rsidR="001A62B0" w:rsidRPr="00E3227F">
        <w:t xml:space="preserve">  Any doubt must be resolved in favor of overruling a demurrer.  </w:t>
      </w:r>
      <w:r w:rsidR="001A62B0" w:rsidRPr="00E3227F">
        <w:rPr>
          <w:u w:val="single"/>
        </w:rPr>
        <w:t>Id.</w:t>
      </w:r>
      <w:r w:rsidR="001A62B0" w:rsidRPr="00E3227F">
        <w:t xml:space="preserve">; </w:t>
      </w:r>
      <w:r w:rsidR="001A62B0" w:rsidRPr="00E3227F">
        <w:rPr>
          <w:i/>
        </w:rPr>
        <w:t>see also</w:t>
      </w:r>
      <w:r w:rsidR="001A62B0" w:rsidRPr="00E3227F">
        <w:t xml:space="preserve">, </w:t>
      </w:r>
      <w:r w:rsidR="001A62B0" w:rsidRPr="00E3227F">
        <w:rPr>
          <w:u w:val="single"/>
        </w:rPr>
        <w:t xml:space="preserve">Hoffman v. </w:t>
      </w:r>
      <w:proofErr w:type="spellStart"/>
      <w:r w:rsidR="001A62B0" w:rsidRPr="00E3227F">
        <w:rPr>
          <w:u w:val="single"/>
        </w:rPr>
        <w:t>Misericordia</w:t>
      </w:r>
      <w:proofErr w:type="spellEnd"/>
      <w:r w:rsidR="001A62B0" w:rsidRPr="00E3227F">
        <w:rPr>
          <w:u w:val="single"/>
        </w:rPr>
        <w:t xml:space="preserve"> Hospital of Philadelphia</w:t>
      </w:r>
      <w:r w:rsidR="001A62B0" w:rsidRPr="00E3227F">
        <w:t xml:space="preserve">, 439 Pa. 501, 267 A.2d 867 (1970) </w:t>
      </w:r>
      <w:r w:rsidR="003C50EB">
        <w:t>(</w:t>
      </w:r>
      <w:r w:rsidR="003C50EB">
        <w:rPr>
          <w:u w:val="single"/>
        </w:rPr>
        <w:t>Hoffman</w:t>
      </w:r>
      <w:r w:rsidR="003C50EB">
        <w:t xml:space="preserve">) </w:t>
      </w:r>
      <w:r w:rsidR="001A62B0" w:rsidRPr="00E3227F">
        <w:t>(“the question presented by the demurrer is whether on the facts averred, the law states with certainty that no recovery is possible”).</w:t>
      </w:r>
    </w:p>
    <w:p w:rsidR="001A62B0" w:rsidRDefault="001A62B0" w:rsidP="001A62B0">
      <w:pPr>
        <w:tabs>
          <w:tab w:val="left" w:pos="-720"/>
        </w:tabs>
        <w:suppressAutoHyphens/>
        <w:spacing w:line="360" w:lineRule="auto"/>
        <w:ind w:firstLine="1440"/>
      </w:pPr>
    </w:p>
    <w:p w:rsidR="00CB1772" w:rsidRDefault="001A62B0" w:rsidP="00861C19">
      <w:pPr>
        <w:tabs>
          <w:tab w:val="left" w:pos="-720"/>
        </w:tabs>
        <w:suppressAutoHyphens/>
        <w:spacing w:line="360" w:lineRule="auto"/>
        <w:ind w:firstLine="1440"/>
      </w:pPr>
      <w:r>
        <w:t xml:space="preserve">In </w:t>
      </w:r>
      <w:r w:rsidR="00565DDE">
        <w:t>Count III</w:t>
      </w:r>
      <w:r>
        <w:t xml:space="preserve">, </w:t>
      </w:r>
      <w:r w:rsidR="00FA66AD">
        <w:t>the Joint Complainants averred that at least five of the 20 formal complaints filed at the Commission against Respond</w:t>
      </w:r>
      <w:r w:rsidR="00F12B16">
        <w:t xml:space="preserve"> contained averments that those complainants </w:t>
      </w:r>
      <w:r w:rsidR="003A5D4E">
        <w:t xml:space="preserve">were not informed by Respond’s salesperson that they had signed up for a variable rate.  The Joint Complainants further averred that Respond supplied some of these complainants with Terms and Conditions of Service that did not state whether the price was fixed or variable.  The Joint Complainants provided </w:t>
      </w:r>
      <w:r w:rsidR="007F6BDD">
        <w:t>similar information with regard</w:t>
      </w:r>
      <w:r w:rsidR="003A5D4E">
        <w:t xml:space="preserve"> to complaints filed with OAG.  The Joint Complainants argued in </w:t>
      </w:r>
      <w:r w:rsidR="00565DDE">
        <w:t xml:space="preserve">Count III </w:t>
      </w:r>
      <w:r w:rsidR="003A5D4E">
        <w:t xml:space="preserve">that these actions violate various Commission regulations, including Section 111.12, which requires suppliers to provide accurate and timely information to customers about their products and services, and Section 54.4, which requires </w:t>
      </w:r>
      <w:r w:rsidR="00861C19">
        <w:t xml:space="preserve">that supplier prices billed must reflect the marketed prices.  </w:t>
      </w:r>
      <w:r w:rsidR="00861C19">
        <w:rPr>
          <w:i/>
        </w:rPr>
        <w:t>See</w:t>
      </w:r>
      <w:r w:rsidR="00861C19">
        <w:t xml:space="preserve">, 52 Pa.Code § 54.4 and 111.12.  </w:t>
      </w:r>
    </w:p>
    <w:p w:rsidR="00CB1772" w:rsidRDefault="00CB1772" w:rsidP="00861C19">
      <w:pPr>
        <w:tabs>
          <w:tab w:val="left" w:pos="-720"/>
        </w:tabs>
        <w:suppressAutoHyphens/>
        <w:spacing w:line="360" w:lineRule="auto"/>
        <w:ind w:firstLine="1440"/>
      </w:pPr>
    </w:p>
    <w:p w:rsidR="00F139D5" w:rsidRDefault="00861C19" w:rsidP="00861C19">
      <w:pPr>
        <w:tabs>
          <w:tab w:val="left" w:pos="-720"/>
        </w:tabs>
        <w:suppressAutoHyphens/>
        <w:spacing w:line="360" w:lineRule="auto"/>
        <w:ind w:firstLine="1440"/>
      </w:pPr>
      <w:r>
        <w:t>When accepting as true the Joint Complainants’ averment that consumers were not informed by Respond’s salesperson that they signed up for a variable rate</w:t>
      </w:r>
      <w:r w:rsidR="00F12B16">
        <w:t xml:space="preserve"> and that the Terms and Conditions of Service provided did not state whether the price was fixed or variable</w:t>
      </w:r>
      <w:r>
        <w:t xml:space="preserve">, it does not appear </w:t>
      </w:r>
      <w:r w:rsidRPr="00FD636E">
        <w:t xml:space="preserve">that </w:t>
      </w:r>
      <w:r>
        <w:t xml:space="preserve">the Joint Complainants </w:t>
      </w:r>
      <w:r w:rsidRPr="00FD636E">
        <w:t>would not be entitled to relief under any circumstances as a matter of law</w:t>
      </w:r>
      <w:r>
        <w:t>.</w:t>
      </w:r>
      <w:r w:rsidR="00F12B16">
        <w:t xml:space="preserve">  The Joint Complainants have averred claims upon which relief can be granted </w:t>
      </w:r>
      <w:r w:rsidR="007F6BDD">
        <w:t>regarding whether</w:t>
      </w:r>
      <w:r w:rsidR="00F12B16">
        <w:t xml:space="preserve"> </w:t>
      </w:r>
      <w:proofErr w:type="gramStart"/>
      <w:r w:rsidR="00CB1772">
        <w:t>Respond</w:t>
      </w:r>
      <w:proofErr w:type="gramEnd"/>
      <w:r w:rsidR="00CB1772">
        <w:t xml:space="preserve"> violated Commission regulations</w:t>
      </w:r>
      <w:r w:rsidR="007F6BDD">
        <w:t xml:space="preserve"> because it was averred, for example, </w:t>
      </w:r>
      <w:r w:rsidR="00436D29">
        <w:t xml:space="preserve">that </w:t>
      </w:r>
      <w:r w:rsidR="007F6BDD">
        <w:t>some complainants were not provide accurate and timely information about their rates</w:t>
      </w:r>
      <w:r w:rsidR="00CB1772">
        <w:t xml:space="preserve">.  </w:t>
      </w:r>
      <w:r w:rsidR="00436D29">
        <w:t>When accepting this averment as true</w:t>
      </w:r>
      <w:r w:rsidR="00CD3D18">
        <w:t xml:space="preserve">, it </w:t>
      </w:r>
      <w:r w:rsidR="00CB1772">
        <w:t xml:space="preserve">is not </w:t>
      </w:r>
      <w:r w:rsidR="00CB1772" w:rsidRPr="00E3227F">
        <w:t xml:space="preserve">free and clear of doubt </w:t>
      </w:r>
      <w:r w:rsidR="00CB1772">
        <w:t xml:space="preserve">that </w:t>
      </w:r>
      <w:r w:rsidR="00CB1772" w:rsidRPr="00E3227F">
        <w:t>dismissal is clearly warranted by the record</w:t>
      </w:r>
      <w:r w:rsidR="00CB1772">
        <w:t>.</w:t>
      </w:r>
    </w:p>
    <w:p w:rsidR="00F139D5" w:rsidRDefault="00F139D5" w:rsidP="00B74492">
      <w:pPr>
        <w:tabs>
          <w:tab w:val="left" w:pos="-720"/>
        </w:tabs>
        <w:suppressAutoHyphens/>
        <w:spacing w:line="360" w:lineRule="auto"/>
      </w:pPr>
    </w:p>
    <w:p w:rsidR="00D3584A" w:rsidRDefault="00F139D5" w:rsidP="00B74492">
      <w:pPr>
        <w:tabs>
          <w:tab w:val="left" w:pos="-720"/>
        </w:tabs>
        <w:suppressAutoHyphens/>
        <w:spacing w:line="360" w:lineRule="auto"/>
      </w:pPr>
      <w:r>
        <w:tab/>
      </w:r>
      <w:r>
        <w:tab/>
        <w:t xml:space="preserve">As such, </w:t>
      </w:r>
      <w:r w:rsidR="00861C19">
        <w:t xml:space="preserve">Respond’s Preliminary Objection </w:t>
      </w:r>
      <w:r w:rsidR="00CD3D18">
        <w:t>regarding</w:t>
      </w:r>
      <w:r w:rsidR="00861C19">
        <w:t xml:space="preserve"> Count III of the </w:t>
      </w:r>
    </w:p>
    <w:p w:rsidR="00F139D5" w:rsidRDefault="00861C19" w:rsidP="00B74492">
      <w:pPr>
        <w:tabs>
          <w:tab w:val="left" w:pos="-720"/>
        </w:tabs>
        <w:suppressAutoHyphens/>
        <w:spacing w:line="360" w:lineRule="auto"/>
      </w:pPr>
      <w:r>
        <w:t xml:space="preserve">Complaint </w:t>
      </w:r>
      <w:r w:rsidR="00CD3D18">
        <w:t>will be granted in part and denied in part.  The Preliminary Objection will be granted to the extent the Complaint seeks Commission jurisdiction over the UTP/CPL but will be denied with regard to the Commission’s jurisdiction over its own consumer protection regulation</w:t>
      </w:r>
      <w:r w:rsidR="00565DDE">
        <w:t>s</w:t>
      </w:r>
      <w:r w:rsidR="00CD3D18">
        <w:t xml:space="preserve"> and with regard to Respond’s arguments regarding the </w:t>
      </w:r>
      <w:r>
        <w:t xml:space="preserve">legal insufficiency </w:t>
      </w:r>
      <w:r w:rsidR="00CD3D18">
        <w:t>of the Complaint</w:t>
      </w:r>
      <w:r>
        <w:t>.</w:t>
      </w:r>
    </w:p>
    <w:p w:rsidR="00F139D5" w:rsidRDefault="00F139D5" w:rsidP="00B74492">
      <w:pPr>
        <w:tabs>
          <w:tab w:val="left" w:pos="-720"/>
        </w:tabs>
        <w:suppressAutoHyphens/>
        <w:spacing w:line="360" w:lineRule="auto"/>
      </w:pPr>
    </w:p>
    <w:p w:rsidR="005E7BB9" w:rsidRDefault="005E7BB9">
      <w:pPr>
        <w:autoSpaceDE/>
        <w:autoSpaceDN/>
        <w:rPr>
          <w:b/>
          <w:u w:val="single"/>
        </w:rPr>
      </w:pPr>
      <w:r>
        <w:rPr>
          <w:b/>
          <w:u w:val="single"/>
        </w:rPr>
        <w:br w:type="page"/>
      </w:r>
    </w:p>
    <w:p w:rsidR="00F139D5" w:rsidRDefault="00F139D5" w:rsidP="00F139D5">
      <w:pPr>
        <w:tabs>
          <w:tab w:val="left" w:pos="-720"/>
        </w:tabs>
        <w:suppressAutoHyphens/>
        <w:spacing w:line="360" w:lineRule="auto"/>
      </w:pPr>
      <w:r>
        <w:rPr>
          <w:b/>
          <w:u w:val="single"/>
        </w:rPr>
        <w:t xml:space="preserve">Count </w:t>
      </w:r>
      <w:r w:rsidR="00DB112D">
        <w:rPr>
          <w:b/>
          <w:u w:val="single"/>
        </w:rPr>
        <w:t xml:space="preserve">IV </w:t>
      </w:r>
      <w:r w:rsidR="00861C19">
        <w:rPr>
          <w:b/>
          <w:u w:val="single"/>
        </w:rPr>
        <w:t>–</w:t>
      </w:r>
      <w:r w:rsidR="00DB112D">
        <w:rPr>
          <w:b/>
          <w:u w:val="single"/>
        </w:rPr>
        <w:t xml:space="preserve"> </w:t>
      </w:r>
      <w:r w:rsidR="00861C19">
        <w:rPr>
          <w:b/>
          <w:u w:val="single"/>
        </w:rPr>
        <w:t xml:space="preserve">The Commission Lacks Jurisdiction </w:t>
      </w:r>
      <w:proofErr w:type="gramStart"/>
      <w:r w:rsidR="00861C19">
        <w:rPr>
          <w:b/>
          <w:u w:val="single"/>
        </w:rPr>
        <w:t>To</w:t>
      </w:r>
      <w:proofErr w:type="gramEnd"/>
      <w:r w:rsidR="00861C19">
        <w:rPr>
          <w:b/>
          <w:u w:val="single"/>
        </w:rPr>
        <w:t xml:space="preserve"> Consider The Joint Complainants’ Claim That Responds Welcome Letter</w:t>
      </w:r>
      <w:r w:rsidR="00565DDE">
        <w:rPr>
          <w:b/>
          <w:u w:val="single"/>
        </w:rPr>
        <w:t>s</w:t>
      </w:r>
      <w:r w:rsidR="00861C19">
        <w:rPr>
          <w:b/>
          <w:u w:val="single"/>
        </w:rPr>
        <w:t xml:space="preserve"> and Inserts </w:t>
      </w:r>
      <w:r w:rsidR="0021277F">
        <w:rPr>
          <w:b/>
          <w:u w:val="single"/>
        </w:rPr>
        <w:t>Violate The Unfair Trade Practices/Consumer Protection Law</w:t>
      </w:r>
      <w:r w:rsidR="00DA0C66" w:rsidRPr="00DA0C66">
        <w:rPr>
          <w:b/>
          <w:u w:val="single"/>
        </w:rPr>
        <w:t xml:space="preserve"> </w:t>
      </w:r>
      <w:r w:rsidR="00DA0C66">
        <w:rPr>
          <w:b/>
          <w:u w:val="single"/>
        </w:rPr>
        <w:t xml:space="preserve">But Has Jurisdiction To </w:t>
      </w:r>
      <w:r w:rsidR="007F6BDD">
        <w:rPr>
          <w:b/>
          <w:u w:val="single"/>
        </w:rPr>
        <w:t>Consider Whether The</w:t>
      </w:r>
      <w:r w:rsidR="00436D29">
        <w:rPr>
          <w:b/>
          <w:u w:val="single"/>
        </w:rPr>
        <w:t>y</w:t>
      </w:r>
      <w:r w:rsidR="007F6BDD">
        <w:rPr>
          <w:b/>
          <w:u w:val="single"/>
        </w:rPr>
        <w:t xml:space="preserve"> Violate </w:t>
      </w:r>
      <w:r w:rsidR="00436D29">
        <w:rPr>
          <w:b/>
          <w:u w:val="single"/>
        </w:rPr>
        <w:t xml:space="preserve">Relevant </w:t>
      </w:r>
      <w:r w:rsidR="007F6BDD">
        <w:rPr>
          <w:b/>
          <w:u w:val="single"/>
        </w:rPr>
        <w:t>Commission Regulations</w:t>
      </w:r>
    </w:p>
    <w:p w:rsidR="00F139D5" w:rsidRDefault="00F139D5" w:rsidP="00F139D5">
      <w:pPr>
        <w:tabs>
          <w:tab w:val="left" w:pos="-720"/>
        </w:tabs>
        <w:suppressAutoHyphens/>
        <w:spacing w:line="360" w:lineRule="auto"/>
      </w:pPr>
    </w:p>
    <w:p w:rsidR="002164E5" w:rsidRDefault="00F139D5" w:rsidP="00F139D5">
      <w:pPr>
        <w:tabs>
          <w:tab w:val="left" w:pos="-720"/>
        </w:tabs>
        <w:suppressAutoHyphens/>
        <w:spacing w:line="360" w:lineRule="auto"/>
      </w:pPr>
      <w:r>
        <w:tab/>
      </w:r>
      <w:r>
        <w:tab/>
        <w:t>In their Complaint, the Joint Complainants averred</w:t>
      </w:r>
      <w:r w:rsidR="0053143A">
        <w:t xml:space="preserve"> that, in its Welcome Letters and Inserts to customers, Respond makes statements they believe represent benefits</w:t>
      </w:r>
      <w:r>
        <w:t xml:space="preserve"> </w:t>
      </w:r>
      <w:r w:rsidR="0053143A">
        <w:t xml:space="preserve">of its services that were not provided to customers </w:t>
      </w:r>
      <w:r w:rsidR="00436D29">
        <w:t xml:space="preserve">and thus violated </w:t>
      </w:r>
      <w:r w:rsidR="0053143A">
        <w:t xml:space="preserve">the UTP/CPL.  The Joint Complainants aver that the statements were deceptive and created, and continue to create, a likelihood of confusion and misunderstanding.  In its Preliminary Objection, Respond argued that Count IV should be dismissed for lack of Commission jurisdiction because it alleges only violations of the UTP/CPL, which the Commission does not have jurisdiction to </w:t>
      </w:r>
      <w:r w:rsidR="007F6BDD">
        <w:t>address</w:t>
      </w:r>
      <w:r w:rsidR="0053143A">
        <w:t xml:space="preserve">.  </w:t>
      </w:r>
      <w:r>
        <w:t xml:space="preserve">In </w:t>
      </w:r>
      <w:r w:rsidR="00AA3DE8">
        <w:t>their</w:t>
      </w:r>
      <w:r>
        <w:t xml:space="preserve"> Answer to the Preliminary Objection, the Joint Complainants argued that </w:t>
      </w:r>
      <w:r w:rsidR="002164E5">
        <w:t xml:space="preserve">the Commission is charged with determining whether an </w:t>
      </w:r>
      <w:r w:rsidR="006A45DF">
        <w:t xml:space="preserve">EGS </w:t>
      </w:r>
      <w:r w:rsidR="002164E5">
        <w:t xml:space="preserve">has engaged in misleading or deceptive conduct as defined by State or Federal </w:t>
      </w:r>
      <w:proofErr w:type="gramStart"/>
      <w:r w:rsidR="002164E5">
        <w:t>law,</w:t>
      </w:r>
      <w:proofErr w:type="gramEnd"/>
      <w:r w:rsidR="002164E5">
        <w:t xml:space="preserve"> or by Commission rule, regulation or order. </w:t>
      </w:r>
      <w:r w:rsidR="007F6BDD">
        <w:t xml:space="preserve"> </w:t>
      </w:r>
      <w:r w:rsidR="002164E5">
        <w:t>For the reasons discussed below, Respond’s Preliminary Objection regarding Count IV will be granted</w:t>
      </w:r>
      <w:r w:rsidR="00B25A1A">
        <w:t xml:space="preserve"> in part and denied in part</w:t>
      </w:r>
      <w:r w:rsidR="002164E5">
        <w:t>.</w:t>
      </w:r>
    </w:p>
    <w:p w:rsidR="002164E5" w:rsidRDefault="002164E5" w:rsidP="00F139D5">
      <w:pPr>
        <w:tabs>
          <w:tab w:val="left" w:pos="-720"/>
        </w:tabs>
        <w:suppressAutoHyphens/>
        <w:spacing w:line="360" w:lineRule="auto"/>
      </w:pPr>
    </w:p>
    <w:p w:rsidR="00AA3DE8" w:rsidRDefault="002164E5" w:rsidP="001019BE">
      <w:pPr>
        <w:tabs>
          <w:tab w:val="left" w:pos="-720"/>
        </w:tabs>
        <w:suppressAutoHyphens/>
        <w:spacing w:line="360" w:lineRule="auto"/>
      </w:pPr>
      <w:r>
        <w:tab/>
      </w:r>
      <w:r>
        <w:tab/>
      </w:r>
      <w:r w:rsidR="00CD3D18">
        <w:t>As noted above, the Commission does not have jurisdiction to hear claims brought pursuant to the UTP/CPL.  That portion of Respond’s Preliminary Objection will be granted</w:t>
      </w:r>
      <w:r w:rsidR="00AA3DE8">
        <w:t xml:space="preserve"> </w:t>
      </w:r>
      <w:r w:rsidR="00565DDE">
        <w:t xml:space="preserve">consistent with the discussion </w:t>
      </w:r>
      <w:r w:rsidR="00AA3DE8">
        <w:t>above</w:t>
      </w:r>
      <w:r w:rsidR="00CD3D18">
        <w:t xml:space="preserve">.  </w:t>
      </w:r>
    </w:p>
    <w:p w:rsidR="00AA3DE8" w:rsidRDefault="00AA3DE8" w:rsidP="001019BE">
      <w:pPr>
        <w:tabs>
          <w:tab w:val="left" w:pos="-720"/>
        </w:tabs>
        <w:suppressAutoHyphens/>
        <w:spacing w:line="360" w:lineRule="auto"/>
      </w:pPr>
    </w:p>
    <w:p w:rsidR="00F03989" w:rsidRDefault="00AA3DE8" w:rsidP="00F03989">
      <w:pPr>
        <w:tabs>
          <w:tab w:val="left" w:pos="-720"/>
        </w:tabs>
        <w:suppressAutoHyphens/>
        <w:spacing w:line="360" w:lineRule="auto"/>
      </w:pPr>
      <w:r>
        <w:tab/>
      </w:r>
      <w:r>
        <w:tab/>
      </w:r>
      <w:r w:rsidR="00565DDE">
        <w:t>Similarly, i</w:t>
      </w:r>
      <w:r w:rsidR="00CD3D18">
        <w:t xml:space="preserve">n Count IV, the Joint Complainants assert that Respond’s Welcome Letter and Inserts were misleading and also reference various Commission regulations that prohibit EGS’s from engaging in fraudulent, deceptive or other unlawful marketing.  </w:t>
      </w:r>
      <w:r w:rsidR="00CD3D18">
        <w:rPr>
          <w:i/>
        </w:rPr>
        <w:t>See</w:t>
      </w:r>
      <w:r w:rsidR="00CD3D18">
        <w:t>, 52 Pa.Code §§ 54.43(f), 54.122(3) and 111.12(d</w:t>
      </w:r>
      <w:proofErr w:type="gramStart"/>
      <w:r w:rsidR="00CD3D18">
        <w:t>)(</w:t>
      </w:r>
      <w:proofErr w:type="gramEnd"/>
      <w:r w:rsidR="00CD3D18">
        <w:t>1).  The Commission does have jurisdiction to determine whether these regulations have been violated.</w:t>
      </w:r>
      <w:r>
        <w:t xml:space="preserve">  </w:t>
      </w:r>
      <w:r w:rsidR="00CD3D18">
        <w:t xml:space="preserve">Therefore, </w:t>
      </w:r>
      <w:r w:rsidR="00F03989">
        <w:t>Respond’s Preliminary Objection regarding C</w:t>
      </w:r>
      <w:r w:rsidR="00CD3D18">
        <w:t xml:space="preserve">ount IV will be denied in part </w:t>
      </w:r>
      <w:r w:rsidR="00F03989">
        <w:t xml:space="preserve">to the extent Count IV references violations of the Commission’s regulations.  When accepting as true all well pleaded material averments made in the Complaint, as well as every reasonable inference from those averments, and viewing the Complaint in the light most favorable to the Joint Complainants, it does not appear that the Joint Complainants would not be entitled to relief under any circumstances as a matter of law with regard to Respond’s compliance with the Commission’s </w:t>
      </w:r>
      <w:r w:rsidR="00347167">
        <w:t xml:space="preserve">consumer protection </w:t>
      </w:r>
      <w:r w:rsidR="00F03989">
        <w:t>regulations.  The Commission clearly has jurisdiction over its own regulations.  The Commission can determine whether Respond has engaged in misleading or deceptive conduct, for example, pursuant to Section 111.12(d</w:t>
      </w:r>
      <w:proofErr w:type="gramStart"/>
      <w:r w:rsidR="00F03989">
        <w:t>)(</w:t>
      </w:r>
      <w:proofErr w:type="gramEnd"/>
      <w:r w:rsidR="00F03989">
        <w:t>1) because this regulation specifically prohibits suppliers from engaging in such conduct.  The Commission can hear this issue separate from any claim of whether Respond violated UTP/CPL.  As a result, Respond’s Preliminary Objection will be denied in part.</w:t>
      </w:r>
    </w:p>
    <w:p w:rsidR="00B65A70" w:rsidRDefault="00B65A70" w:rsidP="00F139D5">
      <w:pPr>
        <w:tabs>
          <w:tab w:val="left" w:pos="-720"/>
        </w:tabs>
        <w:suppressAutoHyphens/>
        <w:spacing w:line="360" w:lineRule="auto"/>
      </w:pPr>
    </w:p>
    <w:p w:rsidR="00291D9A" w:rsidRDefault="00436D29" w:rsidP="00291D9A">
      <w:pPr>
        <w:tabs>
          <w:tab w:val="left" w:pos="-720"/>
        </w:tabs>
        <w:suppressAutoHyphens/>
        <w:spacing w:line="360" w:lineRule="auto"/>
      </w:pPr>
      <w:r>
        <w:tab/>
      </w:r>
      <w:r>
        <w:tab/>
      </w:r>
      <w:r w:rsidR="003F0F78">
        <w:t>When accepting as true all well pleaded material facts, as well as every reasonable inference from those facts, and viewing the Complaint in the light most favorable to the Joint Complainants it is not clear that the Joint Complainants would not be entitled to relief under any circumstances as a matter of law with regard to Count IV</w:t>
      </w:r>
      <w:r w:rsidR="00291D9A">
        <w:t>.</w:t>
      </w:r>
      <w:r>
        <w:t xml:space="preserve">  </w:t>
      </w:r>
      <w:r w:rsidR="00291D9A">
        <w:t>As such, Respond’s Preliminary Objection that Count I</w:t>
      </w:r>
      <w:r w:rsidR="00347167">
        <w:t>V</w:t>
      </w:r>
      <w:r w:rsidR="00291D9A">
        <w:t xml:space="preserve"> of the Complaint must be dismissed on the basis of lack of jurisdiction will be granted</w:t>
      </w:r>
      <w:r w:rsidR="0037752B">
        <w:t xml:space="preserve"> </w:t>
      </w:r>
      <w:r w:rsidR="005A268E">
        <w:t>in part because the Commission lacks jurisdiction over claims arising under the UTP/CPL but denied in part because the Commission has authority to hear cases brought pursuant to its own regulations.</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rPr>
          <w:b/>
          <w:u w:val="single"/>
        </w:rPr>
        <w:t xml:space="preserve">Count </w:t>
      </w:r>
      <w:r w:rsidR="00DB112D">
        <w:rPr>
          <w:b/>
          <w:u w:val="single"/>
        </w:rPr>
        <w:t xml:space="preserve">VII - </w:t>
      </w:r>
      <w:r w:rsidR="00201F77">
        <w:rPr>
          <w:b/>
          <w:u w:val="single"/>
        </w:rPr>
        <w:t xml:space="preserve">The Joint Complainants’ Claim That Respond Failed To Provide Accurate Pricing Information Is Sufficiently Plead </w:t>
      </w:r>
      <w:proofErr w:type="gramStart"/>
      <w:r w:rsidR="00201F77">
        <w:rPr>
          <w:b/>
          <w:u w:val="single"/>
        </w:rPr>
        <w:t>And</w:t>
      </w:r>
      <w:proofErr w:type="gramEnd"/>
      <w:r w:rsidR="00201F77">
        <w:rPr>
          <w:b/>
          <w:u w:val="single"/>
        </w:rPr>
        <w:t xml:space="preserve"> States A Claim Upon Which Relief Can Be Granted</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tab/>
      </w:r>
      <w:r>
        <w:tab/>
        <w:t>In their Complaint, the Joint Complainants averred</w:t>
      </w:r>
      <w:r w:rsidR="00016BEB">
        <w:t xml:space="preserve"> that </w:t>
      </w:r>
      <w:r w:rsidR="00BF3079">
        <w:t xml:space="preserve">Respond failed to provide accurate pricing information.  The Joint Complainants articulate Respond’s variable rate Disclosure Statement and contend, among other things, that the Statement fails to disclose variable pricing terms including the conditions of, and limits on, variability in violation of the Commission’s regulations.  </w:t>
      </w:r>
      <w:r>
        <w:t xml:space="preserve">In its Preliminary Objection, Respond argued that </w:t>
      </w:r>
      <w:r w:rsidR="00BF3079">
        <w:t>Count VII should be dismissed because it is insufficiently plead and because it is legally insufficient.  Respond contends that Count VII does not explain or describe how the Disclosure Statement is allegedly deficient and, in the alternative, to the extent it is sufficiently plead, does not state a claim upon which relief can be granted on th</w:t>
      </w:r>
      <w:r w:rsidR="001F24B7">
        <w:t>e basis that it did not disclos</w:t>
      </w:r>
      <w:r w:rsidR="00BF3079">
        <w:t xml:space="preserve">e the initial price or the conditions of variability.  </w:t>
      </w:r>
      <w:r>
        <w:t xml:space="preserve">In </w:t>
      </w:r>
      <w:r w:rsidR="00D62F2F">
        <w:t>their</w:t>
      </w:r>
      <w:r>
        <w:t xml:space="preserve"> Answer to the Preliminary Objection, the Joint Complainants argued that </w:t>
      </w:r>
      <w:r w:rsidR="001D5FA3">
        <w:t xml:space="preserve">Count VII is sufficiently </w:t>
      </w:r>
      <w:proofErr w:type="gramStart"/>
      <w:r w:rsidR="001D5FA3">
        <w:t>plead</w:t>
      </w:r>
      <w:proofErr w:type="gramEnd"/>
      <w:r w:rsidR="001D5FA3">
        <w:t xml:space="preserve"> because, among other things, the Complaint provides Respond with enough information and facts to prepare and file an adequate answer and a proper defense.  The Joint Complainants also argued that Count VII is legally sufficient because, among other things, Respond does not include initial prices in its Disclosure Statement or a limit on price variability.  </w:t>
      </w:r>
      <w:r>
        <w:t xml:space="preserve">For the reasons discussed below, Respond’s Preliminary Objection </w:t>
      </w:r>
      <w:r w:rsidR="001D5FA3">
        <w:t xml:space="preserve">regarding Count VII </w:t>
      </w:r>
      <w:r>
        <w:t>will be denied.</w:t>
      </w:r>
    </w:p>
    <w:p w:rsidR="00F139D5" w:rsidRDefault="00F139D5" w:rsidP="00F139D5">
      <w:pPr>
        <w:tabs>
          <w:tab w:val="left" w:pos="-720"/>
        </w:tabs>
        <w:suppressAutoHyphens/>
        <w:spacing w:line="360" w:lineRule="auto"/>
      </w:pPr>
    </w:p>
    <w:p w:rsidR="007F2D04" w:rsidRDefault="00F139D5" w:rsidP="003C50EB">
      <w:pPr>
        <w:tabs>
          <w:tab w:val="left" w:pos="-720"/>
        </w:tabs>
        <w:suppressAutoHyphens/>
        <w:spacing w:line="360" w:lineRule="auto"/>
      </w:pPr>
      <w:r>
        <w:tab/>
      </w:r>
      <w:r>
        <w:tab/>
        <w:t xml:space="preserve">To begin, </w:t>
      </w:r>
      <w:r w:rsidR="003C50EB">
        <w:t xml:space="preserve">with regard to Respond’s claim that the Complaint is insufficiently specific, a formal complaint must set forth “the act or thing done or omitted to be done” by a public utility “in violation, or claimed violation, of any law which the commission has jurisdiction to administer, or of any regulation or order of the commission.”  </w:t>
      </w:r>
      <w:r w:rsidR="003C50EB" w:rsidRPr="00B42392">
        <w:t>66 Pa. C.S. §</w:t>
      </w:r>
      <w:r w:rsidR="003C50EB">
        <w:t xml:space="preserve"> </w:t>
      </w:r>
      <w:r w:rsidR="003C50EB" w:rsidRPr="00B42392">
        <w:t>701; 52 Pa. Code §</w:t>
      </w:r>
      <w:r w:rsidR="003C50EB">
        <w:t xml:space="preserve"> </w:t>
      </w:r>
      <w:r w:rsidR="003C50EB" w:rsidRPr="00B42392">
        <w:t>5.22(a</w:t>
      </w:r>
      <w:proofErr w:type="gramStart"/>
      <w:r w:rsidR="003C50EB" w:rsidRPr="00B42392">
        <w:t>)(</w:t>
      </w:r>
      <w:proofErr w:type="gramEnd"/>
      <w:r w:rsidR="003C50EB" w:rsidRPr="00B42392">
        <w:t>4).</w:t>
      </w:r>
      <w:r w:rsidR="003C50EB">
        <w:t xml:space="preserve">  The Commission’s regulations require that a complaint contain a clear statement of the relief sought.</w:t>
      </w:r>
      <w:r w:rsidR="003C50EB" w:rsidRPr="00B42392">
        <w:t xml:space="preserve">  52 Pa. Code §</w:t>
      </w:r>
      <w:r w:rsidR="003C50EB">
        <w:t xml:space="preserve"> </w:t>
      </w:r>
      <w:r w:rsidR="003C50EB" w:rsidRPr="00B42392">
        <w:t>5.22(a</w:t>
      </w:r>
      <w:proofErr w:type="gramStart"/>
      <w:r w:rsidR="003C50EB" w:rsidRPr="00B42392">
        <w:t>)(</w:t>
      </w:r>
      <w:proofErr w:type="gramEnd"/>
      <w:r w:rsidR="003C50EB" w:rsidRPr="00B42392">
        <w:t>5)</w:t>
      </w:r>
      <w:r w:rsidR="003C50EB">
        <w:t xml:space="preserve">.  A complaint should contain information specific enough to allow the respondent to understand the allegations against it, in order to conduct a meaningful investigation of the allegations and to prepare a coherent response or defense.  </w:t>
      </w:r>
      <w:r w:rsidR="007F2D04">
        <w:rPr>
          <w:u w:val="single"/>
        </w:rPr>
        <w:t>Angelo Rodriguez v. Philadelphia Gas Works</w:t>
      </w:r>
      <w:r w:rsidR="007F2D04">
        <w:t>, Docket No. F-2009-2110772, Initial Decision (Final Order entered Jan. 5, 2010).</w:t>
      </w:r>
      <w:r w:rsidR="00BF25F0">
        <w:t xml:space="preserve">  </w:t>
      </w:r>
      <w:r w:rsidR="007F2D04">
        <w:t>The Commission has held with regard to complaints:</w:t>
      </w:r>
    </w:p>
    <w:p w:rsidR="003F21D9" w:rsidRDefault="003F21D9" w:rsidP="003F21D9">
      <w:pPr>
        <w:tabs>
          <w:tab w:val="left" w:pos="-720"/>
        </w:tabs>
        <w:suppressAutoHyphens/>
        <w:ind w:left="1440" w:right="1440"/>
      </w:pPr>
    </w:p>
    <w:p w:rsidR="007F2D04" w:rsidRDefault="007F2D04" w:rsidP="003F21D9">
      <w:pPr>
        <w:tabs>
          <w:tab w:val="left" w:pos="-720"/>
        </w:tabs>
        <w:suppressAutoHyphens/>
        <w:ind w:left="1440" w:right="1440"/>
      </w:pPr>
      <w:r>
        <w:t>The purpose of our rules of practice is to facilitate orderly proceedings to afford the parties notice and an opportunity to participate.  It is well settled that if these purposes have been met, application of the rules will be relaxed.  Hence, a complaint filed with this commission is adequate if it gives the respondent notice and an opportunity to defend; it need not be drawn with technical accuracy.</w:t>
      </w:r>
    </w:p>
    <w:p w:rsidR="003F21D9" w:rsidRDefault="003F21D9" w:rsidP="003C50EB">
      <w:pPr>
        <w:tabs>
          <w:tab w:val="left" w:pos="-720"/>
        </w:tabs>
        <w:suppressAutoHyphens/>
        <w:spacing w:line="360" w:lineRule="auto"/>
        <w:rPr>
          <w:u w:val="single"/>
        </w:rPr>
      </w:pPr>
    </w:p>
    <w:p w:rsidR="007F2D04" w:rsidRPr="00661ABA" w:rsidRDefault="007F2D04" w:rsidP="003C50EB">
      <w:pPr>
        <w:tabs>
          <w:tab w:val="left" w:pos="-720"/>
        </w:tabs>
        <w:suppressAutoHyphens/>
        <w:spacing w:line="360" w:lineRule="auto"/>
      </w:pPr>
      <w:proofErr w:type="gramStart"/>
      <w:r>
        <w:rPr>
          <w:u w:val="single"/>
        </w:rPr>
        <w:t xml:space="preserve">Green Cab Co. v. </w:t>
      </w:r>
      <w:proofErr w:type="spellStart"/>
      <w:r>
        <w:rPr>
          <w:u w:val="single"/>
        </w:rPr>
        <w:t>Hajducho</w:t>
      </w:r>
      <w:proofErr w:type="spellEnd"/>
      <w:r>
        <w:t>, 50 Pa PUC 745, 746 (1977)</w:t>
      </w:r>
      <w:r w:rsidR="00661ABA">
        <w:t xml:space="preserve"> (</w:t>
      </w:r>
      <w:r w:rsidR="00661ABA">
        <w:rPr>
          <w:u w:val="single"/>
        </w:rPr>
        <w:t>Green Cab</w:t>
      </w:r>
      <w:r w:rsidR="00661ABA">
        <w:t>).</w:t>
      </w:r>
      <w:proofErr w:type="gramEnd"/>
    </w:p>
    <w:p w:rsidR="007F2D04" w:rsidRDefault="007F2D04" w:rsidP="003C50EB">
      <w:pPr>
        <w:tabs>
          <w:tab w:val="left" w:pos="-720"/>
        </w:tabs>
        <w:suppressAutoHyphens/>
        <w:spacing w:line="360" w:lineRule="auto"/>
      </w:pPr>
    </w:p>
    <w:p w:rsidR="006871DC" w:rsidRDefault="007F2D04" w:rsidP="003C50EB">
      <w:pPr>
        <w:tabs>
          <w:tab w:val="left" w:pos="-720"/>
        </w:tabs>
        <w:suppressAutoHyphens/>
        <w:spacing w:line="360" w:lineRule="auto"/>
      </w:pPr>
      <w:r>
        <w:tab/>
      </w:r>
      <w:r>
        <w:tab/>
        <w:t xml:space="preserve">In this case, </w:t>
      </w:r>
      <w:r w:rsidR="006871DC">
        <w:t xml:space="preserve">the Joint Complainants averred in their Complaint that the language of Respond’s Disclosure Statement does not provide pricing information in plain language </w:t>
      </w:r>
      <w:r w:rsidR="00565DDE">
        <w:t xml:space="preserve">or use </w:t>
      </w:r>
      <w:r w:rsidR="006871DC">
        <w:t xml:space="preserve">common terms that consumers understand.  The Joint Complainants further averred that consumers could not determine from the Disclosure Statement the price that they would or could be charged by Respond or how the price would be calculated by Respond and that such failures do not allow customers the ability to compare offers.  These allegations are sufficiently specific to allow Respond the opportunity to understand the allegations against it, in order to conduct a meaningful investigation of the allegations and to prepare a coherent response or defense.  </w:t>
      </w:r>
      <w:r w:rsidR="00AA3DE8">
        <w:t xml:space="preserve">To the extent that Respond believes this Count is not sufficiently plead and does not have sufficient information to defend against this claim, it can avail itself of the Commission’s discovery process, among other things, to acquire more information.  </w:t>
      </w:r>
      <w:r w:rsidR="006871DC">
        <w:t>Respond’s argument that Count VII is insufficiently specific will, therefore, be rejected.</w:t>
      </w:r>
    </w:p>
    <w:p w:rsidR="006871DC" w:rsidRDefault="006871DC" w:rsidP="003C50EB">
      <w:pPr>
        <w:tabs>
          <w:tab w:val="left" w:pos="-720"/>
        </w:tabs>
        <w:suppressAutoHyphens/>
        <w:spacing w:line="360" w:lineRule="auto"/>
      </w:pPr>
    </w:p>
    <w:p w:rsidR="00F476E8" w:rsidRPr="00217594" w:rsidRDefault="003C50EB" w:rsidP="00F476E8">
      <w:pPr>
        <w:tabs>
          <w:tab w:val="left" w:pos="-720"/>
        </w:tabs>
        <w:suppressAutoHyphens/>
        <w:spacing w:line="360" w:lineRule="auto"/>
        <w:ind w:firstLine="1440"/>
      </w:pPr>
      <w:r w:rsidRPr="00217594">
        <w:t xml:space="preserve">With regard to Respond’s claim that the Complaint is legally insufficient, as noted above, </w:t>
      </w:r>
      <w:r w:rsidR="00565DDE" w:rsidRPr="00217594">
        <w:t>in civil practice</w:t>
      </w:r>
      <w:r w:rsidR="00565DDE">
        <w:t>,</w:t>
      </w:r>
      <w:r w:rsidR="00565DDE" w:rsidRPr="00217594">
        <w:t xml:space="preserve"> </w:t>
      </w:r>
      <w:r w:rsidR="00F476E8" w:rsidRPr="00217594">
        <w:t xml:space="preserve">a Preliminary Objection based on legal insufficiency is referred to as a demurrer.  Preliminary Objections in the form of a demurrer will be sustained only in cases which are free and clear of doubt and where dismissal is clearly warranted by the record.  </w:t>
      </w:r>
      <w:r w:rsidR="00F476E8" w:rsidRPr="00217594">
        <w:rPr>
          <w:u w:val="single"/>
        </w:rPr>
        <w:t>Community Life</w:t>
      </w:r>
      <w:r w:rsidRPr="00217594">
        <w:t xml:space="preserve">, </w:t>
      </w:r>
      <w:r w:rsidRPr="00217594">
        <w:rPr>
          <w:i/>
        </w:rPr>
        <w:t>supra</w:t>
      </w:r>
      <w:r w:rsidR="00F476E8" w:rsidRPr="00217594">
        <w:t xml:space="preserve">.  Any doubt must be resolved in favor of overruling a demurrer.  </w:t>
      </w:r>
      <w:r w:rsidR="00F476E8" w:rsidRPr="00217594">
        <w:rPr>
          <w:u w:val="single"/>
        </w:rPr>
        <w:t>Id.</w:t>
      </w:r>
      <w:r w:rsidR="00F476E8" w:rsidRPr="00217594">
        <w:t xml:space="preserve">; </w:t>
      </w:r>
      <w:r w:rsidR="00F476E8" w:rsidRPr="00217594">
        <w:rPr>
          <w:i/>
        </w:rPr>
        <w:t>see also</w:t>
      </w:r>
      <w:r w:rsidR="00F476E8" w:rsidRPr="00217594">
        <w:t xml:space="preserve">, </w:t>
      </w:r>
      <w:r w:rsidR="00F476E8" w:rsidRPr="00217594">
        <w:rPr>
          <w:u w:val="single"/>
        </w:rPr>
        <w:t>Hoffman</w:t>
      </w:r>
      <w:r w:rsidR="00F476E8" w:rsidRPr="00217594">
        <w:t xml:space="preserve"> (“the question presented by the demurrer is whether on the facts averred, the law states with certainty that no recovery is possible”).</w:t>
      </w:r>
    </w:p>
    <w:p w:rsidR="00F476E8" w:rsidRPr="00217594" w:rsidRDefault="00F476E8" w:rsidP="00F139D5">
      <w:pPr>
        <w:tabs>
          <w:tab w:val="left" w:pos="-720"/>
        </w:tabs>
        <w:suppressAutoHyphens/>
        <w:spacing w:line="360" w:lineRule="auto"/>
      </w:pPr>
    </w:p>
    <w:p w:rsidR="001F24B7" w:rsidRDefault="00386B3E" w:rsidP="00F139D5">
      <w:pPr>
        <w:tabs>
          <w:tab w:val="left" w:pos="-720"/>
        </w:tabs>
        <w:suppressAutoHyphens/>
        <w:spacing w:line="360" w:lineRule="auto"/>
      </w:pPr>
      <w:r w:rsidRPr="00217594">
        <w:tab/>
      </w:r>
      <w:r w:rsidRPr="00217594">
        <w:tab/>
        <w:t xml:space="preserve">In this case, </w:t>
      </w:r>
      <w:r w:rsidR="009F3DEF" w:rsidRPr="00217594">
        <w:t>the Joint Complainants identified in their Complaint various Commission regulations it contends Respond’s actions violate</w:t>
      </w:r>
      <w:r w:rsidR="00217594">
        <w:t xml:space="preserve">.  For example, the Joint Complainants averred that “the Commission’s regulations require that variable pricing terms include the conditions of variability and the limits on price variability.”  </w:t>
      </w:r>
      <w:proofErr w:type="gramStart"/>
      <w:r w:rsidR="00217594">
        <w:rPr>
          <w:i/>
        </w:rPr>
        <w:t>Citing</w:t>
      </w:r>
      <w:r w:rsidR="00217594">
        <w:t>, 52 Pa.Code § 54.5(c).</w:t>
      </w:r>
      <w:proofErr w:type="gramEnd"/>
      <w:r w:rsidR="00217594">
        <w:t xml:space="preserve">  Section 54.5(c) requires disclosure statements to contain the terms of the contract, including conditions of variability and limits on price variability.  The Joint Complainants </w:t>
      </w:r>
      <w:r w:rsidR="00583F87">
        <w:t xml:space="preserve">argued that </w:t>
      </w:r>
      <w:r w:rsidR="00217594">
        <w:t>Respond’s Disclosure Statement fail</w:t>
      </w:r>
      <w:r w:rsidR="001F24B7">
        <w:t>s</w:t>
      </w:r>
      <w:r w:rsidR="00217594">
        <w:t xml:space="preserve"> to adequately state the conditions of variability and limits on price variability in violation of the Commission’s regulations.  </w:t>
      </w:r>
    </w:p>
    <w:p w:rsidR="001F24B7" w:rsidRDefault="001F24B7" w:rsidP="00F139D5">
      <w:pPr>
        <w:tabs>
          <w:tab w:val="left" w:pos="-720"/>
        </w:tabs>
        <w:suppressAutoHyphens/>
        <w:spacing w:line="360" w:lineRule="auto"/>
      </w:pPr>
    </w:p>
    <w:p w:rsidR="00386B3E" w:rsidRDefault="001F24B7" w:rsidP="00F139D5">
      <w:pPr>
        <w:tabs>
          <w:tab w:val="left" w:pos="-720"/>
        </w:tabs>
        <w:suppressAutoHyphens/>
        <w:spacing w:line="360" w:lineRule="auto"/>
      </w:pPr>
      <w:r>
        <w:tab/>
      </w:r>
      <w:r>
        <w:tab/>
      </w:r>
      <w:r w:rsidR="00217594">
        <w:t>When disposing of Respond’s Preliminary Objection, the Commission must accept as true all well pleaded material averments contained in the Complaint, as well as every reasonable inference from those averments, and view the Complaint in the light most favorable to the Joint Complainants.  When accepting as true the</w:t>
      </w:r>
      <w:r>
        <w:t xml:space="preserve"> Joint Complainant</w:t>
      </w:r>
      <w:r w:rsidR="00217594">
        <w:t>s</w:t>
      </w:r>
      <w:r>
        <w:t>’</w:t>
      </w:r>
      <w:r w:rsidR="00217594">
        <w:t xml:space="preserve"> averment that Respond’s Disclosure Statement fails to adequate</w:t>
      </w:r>
      <w:r>
        <w:t>ly</w:t>
      </w:r>
      <w:r w:rsidR="00217594">
        <w:t xml:space="preserve"> state the conditions of variability and limits on price variability, it is not clear that the Joint Complainants would not be entitled to relief under any circumstances as a matter of law.</w:t>
      </w:r>
      <w:r>
        <w:t xml:space="preserve">  The Commission could find that Respond failed to include the conditions of variability or the limit on pricing which constitutes a violation of a Commission regulation.</w:t>
      </w:r>
    </w:p>
    <w:p w:rsidR="00F139D5" w:rsidRDefault="00F139D5" w:rsidP="00F139D5">
      <w:pPr>
        <w:tabs>
          <w:tab w:val="left" w:pos="-720"/>
        </w:tabs>
        <w:suppressAutoHyphens/>
        <w:spacing w:line="360" w:lineRule="auto"/>
      </w:pPr>
    </w:p>
    <w:p w:rsidR="00D3584A" w:rsidRDefault="00F139D5" w:rsidP="00F139D5">
      <w:pPr>
        <w:tabs>
          <w:tab w:val="left" w:pos="-720"/>
        </w:tabs>
        <w:suppressAutoHyphens/>
        <w:spacing w:line="360" w:lineRule="auto"/>
      </w:pPr>
      <w:r>
        <w:tab/>
      </w:r>
      <w:r>
        <w:tab/>
        <w:t xml:space="preserve">As such, </w:t>
      </w:r>
      <w:r w:rsidR="00DF1668">
        <w:t xml:space="preserve">Respond’s Preliminary Objection that Count VII of the </w:t>
      </w:r>
    </w:p>
    <w:p w:rsidR="00F139D5" w:rsidRDefault="00D3584A" w:rsidP="00F139D5">
      <w:pPr>
        <w:tabs>
          <w:tab w:val="left" w:pos="-720"/>
        </w:tabs>
        <w:suppressAutoHyphens/>
        <w:spacing w:line="360" w:lineRule="auto"/>
      </w:pPr>
      <w:r>
        <w:t>C</w:t>
      </w:r>
      <w:r w:rsidR="00DF1668">
        <w:t xml:space="preserve">omplaint must be dismissed because </w:t>
      </w:r>
      <w:r w:rsidR="00CB4220">
        <w:t xml:space="preserve">it is insufficiently </w:t>
      </w:r>
      <w:proofErr w:type="gramStart"/>
      <w:r w:rsidR="00CB4220">
        <w:t>plead</w:t>
      </w:r>
      <w:proofErr w:type="gramEnd"/>
      <w:r w:rsidR="00CB4220">
        <w:t xml:space="preserve"> or because it is legally insufficient </w:t>
      </w:r>
      <w:r w:rsidR="00CD3D18">
        <w:t>is</w:t>
      </w:r>
      <w:r w:rsidR="00CB4220">
        <w:t xml:space="preserve"> without merit and will be rejected.</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rPr>
          <w:b/>
          <w:u w:val="single"/>
        </w:rPr>
        <w:t xml:space="preserve">Count </w:t>
      </w:r>
      <w:r w:rsidR="00DB112D">
        <w:rPr>
          <w:b/>
          <w:u w:val="single"/>
        </w:rPr>
        <w:t>V</w:t>
      </w:r>
      <w:r>
        <w:rPr>
          <w:b/>
          <w:u w:val="single"/>
        </w:rPr>
        <w:t xml:space="preserve">III – </w:t>
      </w:r>
      <w:r w:rsidR="00960F5B">
        <w:rPr>
          <w:b/>
          <w:u w:val="single"/>
        </w:rPr>
        <w:t xml:space="preserve">The Commission Lacks Jurisdiction </w:t>
      </w:r>
      <w:proofErr w:type="gramStart"/>
      <w:r w:rsidR="00960F5B">
        <w:rPr>
          <w:b/>
          <w:u w:val="single"/>
        </w:rPr>
        <w:t>To</w:t>
      </w:r>
      <w:proofErr w:type="gramEnd"/>
      <w:r w:rsidR="00960F5B">
        <w:rPr>
          <w:b/>
          <w:u w:val="single"/>
        </w:rPr>
        <w:t xml:space="preserve"> Regulate Respond’s Prices</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tab/>
      </w:r>
      <w:r>
        <w:tab/>
        <w:t xml:space="preserve">In their Complaint, the Joint Complainants averred </w:t>
      </w:r>
      <w:r w:rsidR="00AC54DB">
        <w:t xml:space="preserve">in Count VIII that Respond charged its variable rate customers prices at least as high as $0.40 per kilowatt hour (kwh) for electricity and that such prices in 2014 were not reflective of the cost to serve residential customers.  The Joint Complainants then contend that such </w:t>
      </w:r>
      <w:r w:rsidR="00583F87">
        <w:t xml:space="preserve">prices </w:t>
      </w:r>
      <w:r w:rsidR="00AC54DB">
        <w:t xml:space="preserve">do not conform to the variable rate pricing provisions of Respond’s Disclosure Statement.  </w:t>
      </w:r>
      <w:r>
        <w:t xml:space="preserve">In its Preliminary Objection, Respond argued that </w:t>
      </w:r>
      <w:r w:rsidR="00AC54DB">
        <w:t xml:space="preserve">Count VIII should be dismissed because the Commission lacks jurisdiction and it is legally insufficient.  </w:t>
      </w:r>
      <w:r w:rsidR="00F336A1">
        <w:t xml:space="preserve">Respond claimed that </w:t>
      </w:r>
      <w:r w:rsidR="007B2C93">
        <w:t xml:space="preserve">Count VIII alleges no violation of the Public Utility Code, Commission regulations or orders or other laws and that the Complaint is legally insufficient because the Commission does not regulate the prices of EGSs.  </w:t>
      </w:r>
      <w:r>
        <w:t xml:space="preserve">In </w:t>
      </w:r>
      <w:r w:rsidR="00AA3DE8">
        <w:t>their</w:t>
      </w:r>
      <w:r>
        <w:t xml:space="preserve"> Answer to the Preliminary Objection, the Joint Complainants </w:t>
      </w:r>
      <w:r w:rsidR="00A17814">
        <w:t>responded to each of the claims made by Respo</w:t>
      </w:r>
      <w:r w:rsidR="00EC41FA">
        <w:t>nd in its Preliminary Objection</w:t>
      </w:r>
      <w:r w:rsidR="00A17814">
        <w:t xml:space="preserve">, most notably </w:t>
      </w:r>
      <w:r>
        <w:t xml:space="preserve">that </w:t>
      </w:r>
      <w:r w:rsidR="00A17814">
        <w:t>the Public Utility Code reserved the Commission’s jurisdiction to regulate certain aspects of generation service</w:t>
      </w:r>
      <w:r>
        <w:t xml:space="preserve">.  For the reasons discussed below, Respond’s Preliminary Objection will be </w:t>
      </w:r>
      <w:r w:rsidR="00A545FB">
        <w:t>granted</w:t>
      </w:r>
      <w:r w:rsidR="001F24B7">
        <w:t xml:space="preserve"> and Count VIII will be stricken</w:t>
      </w:r>
      <w:r>
        <w:t>.</w:t>
      </w:r>
    </w:p>
    <w:p w:rsidR="00F139D5" w:rsidRDefault="00F139D5" w:rsidP="00F139D5">
      <w:pPr>
        <w:tabs>
          <w:tab w:val="left" w:pos="-720"/>
        </w:tabs>
        <w:suppressAutoHyphens/>
        <w:spacing w:line="360" w:lineRule="auto"/>
      </w:pPr>
    </w:p>
    <w:p w:rsidR="001D1D69" w:rsidRDefault="00F139D5" w:rsidP="00F139D5">
      <w:pPr>
        <w:tabs>
          <w:tab w:val="left" w:pos="-720"/>
        </w:tabs>
        <w:suppressAutoHyphens/>
        <w:spacing w:line="360" w:lineRule="auto"/>
      </w:pPr>
      <w:r>
        <w:tab/>
      </w:r>
      <w:r>
        <w:tab/>
        <w:t xml:space="preserve">To begin, </w:t>
      </w:r>
      <w:r w:rsidR="00677021">
        <w:t xml:space="preserve">as noted above, </w:t>
      </w:r>
      <w:r w:rsidR="00677021">
        <w:rPr>
          <w:color w:val="000000"/>
        </w:rPr>
        <w:t>i</w:t>
      </w:r>
      <w:r w:rsidR="00677021" w:rsidRPr="00174C87">
        <w:rPr>
          <w:color w:val="000000"/>
        </w:rPr>
        <w:t xml:space="preserve">t is well settled that the Commission may not exceed its jurisdiction and must act within it.  </w:t>
      </w:r>
      <w:r w:rsidR="00677021">
        <w:rPr>
          <w:color w:val="000000"/>
          <w:u w:val="single"/>
        </w:rPr>
        <w:t>Pittsburgh</w:t>
      </w:r>
      <w:r w:rsidR="00677021" w:rsidRPr="00174C87">
        <w:rPr>
          <w:color w:val="000000"/>
        </w:rPr>
        <w:t xml:space="preserve">.  Jurisdiction may not be conferred by the parties where none exists.  </w:t>
      </w:r>
      <w:r w:rsidR="00677021">
        <w:rPr>
          <w:color w:val="000000"/>
          <w:u w:val="single"/>
        </w:rPr>
        <w:t>Roberts</w:t>
      </w:r>
      <w:r w:rsidR="00677021" w:rsidRPr="00174C87">
        <w:rPr>
          <w:color w:val="000000"/>
        </w:rPr>
        <w:t xml:space="preserve">.  Subject matter jurisdiction is a prerequisite to the exercise of the power to decide a controversy.  </w:t>
      </w:r>
      <w:r w:rsidR="00677021">
        <w:rPr>
          <w:color w:val="000000"/>
          <w:u w:val="single"/>
        </w:rPr>
        <w:t>Hughes</w:t>
      </w:r>
      <w:r w:rsidR="00677021" w:rsidRPr="00174C87">
        <w:rPr>
          <w:color w:val="000000"/>
        </w:rPr>
        <w:t xml:space="preserve">.  As a creation of the legislature, the Commission possesses only the authority that the state legislature has specifically granted to it in the Public Utility Code.  </w:t>
      </w:r>
      <w:proofErr w:type="gramStart"/>
      <w:r w:rsidR="00677021" w:rsidRPr="00174C87">
        <w:rPr>
          <w:color w:val="000000"/>
        </w:rPr>
        <w:t>66 Pa.C.S.</w:t>
      </w:r>
      <w:proofErr w:type="gramEnd"/>
      <w:r w:rsidR="00677021" w:rsidRPr="00174C87">
        <w:rPr>
          <w:color w:val="000000"/>
        </w:rPr>
        <w:t xml:space="preserve"> </w:t>
      </w:r>
      <w:proofErr w:type="gramStart"/>
      <w:r w:rsidR="00677021" w:rsidRPr="00174C87">
        <w:rPr>
          <w:color w:val="000000"/>
        </w:rPr>
        <w:t xml:space="preserve">§§ 101, </w:t>
      </w:r>
      <w:r w:rsidR="00677021" w:rsidRPr="00174C87">
        <w:rPr>
          <w:i/>
          <w:color w:val="000000"/>
        </w:rPr>
        <w:t>et seq</w:t>
      </w:r>
      <w:r w:rsidR="00677021" w:rsidRPr="00174C87">
        <w:rPr>
          <w:color w:val="000000"/>
        </w:rPr>
        <w:t>.</w:t>
      </w:r>
      <w:proofErr w:type="gramEnd"/>
      <w:r w:rsidR="00677021" w:rsidRPr="00174C87">
        <w:rPr>
          <w:color w:val="000000"/>
        </w:rPr>
        <w:t xml:space="preserve">  Its jurisdiction must arise from the express language of the pertinent enabling legislation or by strong and necessary implication therefrom.  </w:t>
      </w:r>
      <w:proofErr w:type="gramStart"/>
      <w:r w:rsidR="00677021">
        <w:rPr>
          <w:color w:val="000000"/>
          <w:u w:val="single"/>
        </w:rPr>
        <w:t>Feingold</w:t>
      </w:r>
      <w:r w:rsidR="00677021" w:rsidRPr="00174C87">
        <w:rPr>
          <w:color w:val="000000"/>
        </w:rPr>
        <w:t>.</w:t>
      </w:r>
      <w:proofErr w:type="gramEnd"/>
      <w:r w:rsidR="00677021" w:rsidRPr="00174C87">
        <w:rPr>
          <w:color w:val="000000"/>
        </w:rPr>
        <w:t xml:space="preserve"> </w:t>
      </w:r>
      <w:r w:rsidR="00677021">
        <w:t xml:space="preserve">  </w:t>
      </w:r>
    </w:p>
    <w:p w:rsidR="001D1D69" w:rsidRDefault="001D1D69" w:rsidP="00F139D5">
      <w:pPr>
        <w:tabs>
          <w:tab w:val="left" w:pos="-720"/>
        </w:tabs>
        <w:suppressAutoHyphens/>
        <w:spacing w:line="360" w:lineRule="auto"/>
      </w:pPr>
    </w:p>
    <w:p w:rsidR="00A545FB" w:rsidRDefault="001D1D69" w:rsidP="00F139D5">
      <w:pPr>
        <w:tabs>
          <w:tab w:val="left" w:pos="-720"/>
        </w:tabs>
        <w:suppressAutoHyphens/>
        <w:spacing w:line="360" w:lineRule="auto"/>
      </w:pPr>
      <w:r>
        <w:tab/>
      </w:r>
      <w:r>
        <w:tab/>
      </w:r>
      <w:r w:rsidR="007653FA">
        <w:t xml:space="preserve">Section 2806 of the Public Utility Code provides that “the generation of electricity shall no longer be regulated as a public utility service or function, accept as otherwise provided for in this chapter.”  </w:t>
      </w:r>
      <w:proofErr w:type="gramStart"/>
      <w:r w:rsidR="007653FA">
        <w:t>66 Pa.C.S.</w:t>
      </w:r>
      <w:proofErr w:type="gramEnd"/>
      <w:r w:rsidR="007653FA">
        <w:t xml:space="preserve"> § 2806.  </w:t>
      </w:r>
      <w:r w:rsidR="00A545FB">
        <w:t xml:space="preserve">The Joint Complainants argue </w:t>
      </w:r>
      <w:r w:rsidR="001F24B7">
        <w:t xml:space="preserve">in their Answer to </w:t>
      </w:r>
      <w:proofErr w:type="gramStart"/>
      <w:r w:rsidR="001F24B7">
        <w:t>Respond’s</w:t>
      </w:r>
      <w:proofErr w:type="gramEnd"/>
      <w:r w:rsidR="001F24B7">
        <w:t xml:space="preserve"> Preliminary Objection </w:t>
      </w:r>
      <w:r w:rsidR="00A545FB">
        <w:t>that the Commission’s regulations allow for regulation of EGS billing practices</w:t>
      </w:r>
      <w:r w:rsidR="001F24B7">
        <w:t xml:space="preserve">.  </w:t>
      </w:r>
      <w:proofErr w:type="gramStart"/>
      <w:r w:rsidR="001F24B7">
        <w:rPr>
          <w:i/>
        </w:rPr>
        <w:t>C</w:t>
      </w:r>
      <w:r w:rsidR="00A545FB" w:rsidRPr="00A545FB">
        <w:rPr>
          <w:i/>
        </w:rPr>
        <w:t>iting</w:t>
      </w:r>
      <w:r w:rsidR="00A545FB">
        <w:t>, 52 Pa.Code § 54.43(f)</w:t>
      </w:r>
      <w:r w:rsidR="001F24B7">
        <w:t>.</w:t>
      </w:r>
      <w:proofErr w:type="gramEnd"/>
      <w:r w:rsidR="001F24B7">
        <w:t xml:space="preserve">  B</w:t>
      </w:r>
      <w:r w:rsidR="00A545FB">
        <w:t>illing practices</w:t>
      </w:r>
      <w:r w:rsidR="001F24B7">
        <w:t>, however,</w:t>
      </w:r>
      <w:r w:rsidR="00A545FB">
        <w:t xml:space="preserve"> are not at issue in Count VIII.</w:t>
      </w:r>
    </w:p>
    <w:p w:rsidR="00A545FB" w:rsidRDefault="00A545FB" w:rsidP="00F139D5">
      <w:pPr>
        <w:tabs>
          <w:tab w:val="left" w:pos="-720"/>
        </w:tabs>
        <w:suppressAutoHyphens/>
        <w:spacing w:line="360" w:lineRule="auto"/>
      </w:pPr>
    </w:p>
    <w:p w:rsidR="001F24B7" w:rsidRDefault="001F24B7" w:rsidP="001F24B7">
      <w:pPr>
        <w:tabs>
          <w:tab w:val="left" w:pos="-720"/>
        </w:tabs>
        <w:suppressAutoHyphens/>
        <w:spacing w:line="360" w:lineRule="auto"/>
      </w:pPr>
      <w:r>
        <w:tab/>
      </w:r>
      <w:r>
        <w:tab/>
        <w:t xml:space="preserve">Count VIII of the Complaint avers that Respond charged its variable rate customers prices at least as high as $0.40 per kwh for electricity and that such prices were not reflective of the cost to serve residential customers.  The Joint Complainants then provide an example of the cost to serve the average residential heating customer in January 2014 and claim, based on an Affidavit attached to the Complaint, that such cost should not have exceeded approximately $0.23 per </w:t>
      </w:r>
      <w:proofErr w:type="gramStart"/>
      <w:r>
        <w:t>kwh</w:t>
      </w:r>
      <w:proofErr w:type="gramEnd"/>
      <w:r>
        <w:t>.  The Joint Complainants then conclude that the aforementioned prices do not conform to the variable rate</w:t>
      </w:r>
      <w:r w:rsidR="00EC41FA">
        <w:t xml:space="preserve"> pricing provision of Respond</w:t>
      </w:r>
      <w:r>
        <w:t>’s Disclosure Statement.  The gravamen of Count VIII is clearly the rate at which Respond charged its variable rate customers, not conformance of those rates with the variable rate pricing provisions in the Disclosure Statement</w:t>
      </w:r>
      <w:r w:rsidR="003A64CC">
        <w:t xml:space="preserve"> or billing practices</w:t>
      </w:r>
      <w:r>
        <w:t>.  There is no other averment in Count VIII regarding the Disclosure Statement.  Yet, multiple other Counts in the Complaint make averments regarding the Disclosure Statement.</w:t>
      </w:r>
    </w:p>
    <w:p w:rsidR="001F24B7" w:rsidRDefault="001F24B7" w:rsidP="001F24B7">
      <w:pPr>
        <w:tabs>
          <w:tab w:val="left" w:pos="-720"/>
        </w:tabs>
        <w:suppressAutoHyphens/>
        <w:spacing w:line="360" w:lineRule="auto"/>
      </w:pPr>
    </w:p>
    <w:p w:rsidR="001F24B7" w:rsidRDefault="001F24B7" w:rsidP="001F24B7">
      <w:pPr>
        <w:tabs>
          <w:tab w:val="left" w:pos="-720"/>
        </w:tabs>
        <w:suppressAutoHyphens/>
        <w:spacing w:line="360" w:lineRule="auto"/>
      </w:pPr>
      <w:r>
        <w:tab/>
      </w:r>
      <w:r>
        <w:tab/>
        <w:t>Nor does the attached Affidavit provided in support of Count VIII mention the Disclosure Statement.  Rather</w:t>
      </w:r>
      <w:r w:rsidR="003A64CC">
        <w:t>,</w:t>
      </w:r>
      <w:r>
        <w:t xml:space="preserve"> the Affidavit provides details regarding analyses “addressing residential variable rate pricing in Pennsylvania during the winter of 2014.  Specifically, I conducted an analysis regarding day-ahead and real-time market prices for electric energy during the winter of 2014.”  Nothing in the Affidavit correlates the prices charged by Respond to the Disclosure Statement.  Rather, the Affidavit concludes:  “the results obtained from this analysis suggest that the cost to serve residential consumers covering any of the four billing cycles examined would not be more than $0.23 per kwh in any of the six EDC zones examined, even under the assumption that all supply were procured on the PJM spot markets.”  </w:t>
      </w:r>
      <w:r w:rsidR="00EC41FA">
        <w:t>T</w:t>
      </w:r>
      <w:r>
        <w:t>he Commission</w:t>
      </w:r>
      <w:r w:rsidR="00EC41FA">
        <w:t>, however,</w:t>
      </w:r>
      <w:r>
        <w:t xml:space="preserve"> lacks jurisdiction to hear any such arguments.  The concept of “cost to serve,” for example, is irrelevant to EGS pricing.</w:t>
      </w:r>
    </w:p>
    <w:p w:rsidR="001F24B7" w:rsidRDefault="001F24B7" w:rsidP="001F24B7">
      <w:pPr>
        <w:tabs>
          <w:tab w:val="left" w:pos="-720"/>
        </w:tabs>
        <w:suppressAutoHyphens/>
        <w:spacing w:line="360" w:lineRule="auto"/>
      </w:pPr>
    </w:p>
    <w:p w:rsidR="007653FA" w:rsidRDefault="00A545FB" w:rsidP="00F139D5">
      <w:pPr>
        <w:tabs>
          <w:tab w:val="left" w:pos="-720"/>
        </w:tabs>
        <w:suppressAutoHyphens/>
        <w:spacing w:line="360" w:lineRule="auto"/>
      </w:pPr>
      <w:r>
        <w:tab/>
      </w:r>
      <w:r>
        <w:tab/>
      </w:r>
      <w:r w:rsidR="00EC41FA">
        <w:t>In addition to the intention expressed by the General Assembly in Section 2806, t</w:t>
      </w:r>
      <w:r w:rsidR="002636A2">
        <w:t>he Commission does not have authority to regulate an</w:t>
      </w:r>
      <w:r w:rsidR="007653FA">
        <w:t xml:space="preserve"> </w:t>
      </w:r>
      <w:r w:rsidR="00677021">
        <w:t>EGS</w:t>
      </w:r>
      <w:r w:rsidR="003A64CC">
        <w:t>’</w:t>
      </w:r>
      <w:r w:rsidR="00677021">
        <w:t>s</w:t>
      </w:r>
      <w:r w:rsidR="002636A2">
        <w:t xml:space="preserve"> rates</w:t>
      </w:r>
      <w:r w:rsidR="00423069">
        <w:t>, such as Respond</w:t>
      </w:r>
      <w:r w:rsidR="002636A2">
        <w:t>’s</w:t>
      </w:r>
      <w:r w:rsidR="00423069">
        <w:t>,</w:t>
      </w:r>
      <w:r w:rsidR="002636A2">
        <w:t xml:space="preserve"> because EGSs</w:t>
      </w:r>
      <w:r w:rsidR="00423069">
        <w:t xml:space="preserve"> are not </w:t>
      </w:r>
      <w:r w:rsidR="004D1B9A">
        <w:t xml:space="preserve">included in the definition of </w:t>
      </w:r>
      <w:r w:rsidR="00423069">
        <w:t>public utilities subject to Commission regulation</w:t>
      </w:r>
      <w:r w:rsidR="004D1B9A">
        <w:t xml:space="preserve"> as defined by the Public Utility Code</w:t>
      </w:r>
      <w:r w:rsidR="00423069">
        <w:t xml:space="preserve">, except in limited </w:t>
      </w:r>
      <w:r w:rsidR="004D1B9A">
        <w:t xml:space="preserve">purposes as described in </w:t>
      </w:r>
      <w:r>
        <w:t>S</w:t>
      </w:r>
      <w:r w:rsidR="004D1B9A">
        <w:t>ection</w:t>
      </w:r>
      <w:r>
        <w:t>s</w:t>
      </w:r>
      <w:r w:rsidR="004D1B9A">
        <w:t xml:space="preserve"> 2809 and 2810</w:t>
      </w:r>
      <w:r w:rsidR="00423069">
        <w:t xml:space="preserve">.  </w:t>
      </w:r>
      <w:proofErr w:type="gramStart"/>
      <w:r w:rsidR="004D1B9A">
        <w:t>66 Pa.C.S.</w:t>
      </w:r>
      <w:proofErr w:type="gramEnd"/>
      <w:r w:rsidR="004D1B9A">
        <w:t xml:space="preserve"> §§ 102, 2809 (requirements for electric generation suppliers), 2810 (revenue-neutral reconciliation); </w:t>
      </w:r>
      <w:r w:rsidR="004D1B9A">
        <w:rPr>
          <w:i/>
        </w:rPr>
        <w:t>see also</w:t>
      </w:r>
      <w:r w:rsidR="004D1B9A">
        <w:t xml:space="preserve">, </w:t>
      </w:r>
      <w:r w:rsidR="00423069">
        <w:rPr>
          <w:u w:val="single"/>
        </w:rPr>
        <w:t>Delmarva Power &amp; Light Co. v. Pa. Pub. Util. Comm’n</w:t>
      </w:r>
      <w:r w:rsidR="00423069">
        <w:t>, 870 A.2d 901 (Pa. 2005) (</w:t>
      </w:r>
      <w:r w:rsidR="002636A2" w:rsidRPr="002636A2">
        <w:t>notin</w:t>
      </w:r>
      <w:r w:rsidR="00565DDE">
        <w:t xml:space="preserve">g </w:t>
      </w:r>
      <w:r w:rsidR="004D1B9A">
        <w:t>that the Commission could forbear from regulating EGSs pursuant to Section 2809(e) of the Public Utility Code if it were determined that the requirements of Section 2809 were unnecessary due to competition among EGSs</w:t>
      </w:r>
      <w:r w:rsidR="002636A2">
        <w:t>)</w:t>
      </w:r>
      <w:r w:rsidR="004D1B9A">
        <w:t>.</w:t>
      </w:r>
      <w:r w:rsidR="007653FA">
        <w:t xml:space="preserve">  </w:t>
      </w:r>
    </w:p>
    <w:p w:rsidR="004D1B9A" w:rsidRDefault="004D1B9A" w:rsidP="00F139D5">
      <w:pPr>
        <w:tabs>
          <w:tab w:val="left" w:pos="-720"/>
        </w:tabs>
        <w:suppressAutoHyphens/>
        <w:spacing w:line="360" w:lineRule="auto"/>
      </w:pPr>
    </w:p>
    <w:p w:rsidR="0037752B" w:rsidRPr="0037752B" w:rsidRDefault="0037752B" w:rsidP="00F139D5">
      <w:pPr>
        <w:tabs>
          <w:tab w:val="left" w:pos="-720"/>
        </w:tabs>
        <w:suppressAutoHyphens/>
        <w:spacing w:line="360" w:lineRule="auto"/>
      </w:pPr>
      <w:r>
        <w:tab/>
      </w:r>
      <w:r>
        <w:tab/>
        <w:t xml:space="preserve">The Joint Complainants argued in their Answer to Respond’s Preliminary Objection that “Section 2809(e) allows the Commission to forbear from applying the Public Utility Code but does not limit the Commission in this instance.  Moreover, with regard to standards and billing practices, the Commission must impose requirements assuring they are maintained by EGSs.”  </w:t>
      </w:r>
      <w:proofErr w:type="gramStart"/>
      <w:r>
        <w:rPr>
          <w:i/>
        </w:rPr>
        <w:t>Citing</w:t>
      </w:r>
      <w:r>
        <w:t>, 66 Pa.C.S.</w:t>
      </w:r>
      <w:proofErr w:type="gramEnd"/>
      <w:r>
        <w:t xml:space="preserve"> § 2809(e).  Yet, the Joint Complainants omit from their quoting of Section 2809(e) that such requirements may be imposed “to ensure that the present </w:t>
      </w:r>
      <w:r w:rsidRPr="00986603">
        <w:rPr>
          <w:b/>
          <w:i/>
        </w:rPr>
        <w:t>quality of service</w:t>
      </w:r>
      <w:r>
        <w:t xml:space="preserve"> provided by electric utilities does not deteriorate, including that adequate reserve margins of electric supply are maintained”</w:t>
      </w:r>
      <w:r w:rsidR="00EC41FA">
        <w:t>.</w:t>
      </w:r>
      <w:r>
        <w:t xml:space="preserve">  </w:t>
      </w:r>
      <w:r>
        <w:rPr>
          <w:u w:val="single"/>
        </w:rPr>
        <w:t>Id.</w:t>
      </w:r>
      <w:r>
        <w:t xml:space="preserve"> </w:t>
      </w:r>
      <w:r w:rsidR="00986603">
        <w:t xml:space="preserve"> (</w:t>
      </w:r>
      <w:proofErr w:type="gramStart"/>
      <w:r w:rsidR="00986603">
        <w:t>emphasis</w:t>
      </w:r>
      <w:proofErr w:type="gramEnd"/>
      <w:r w:rsidR="00986603">
        <w:t xml:space="preserve"> added). </w:t>
      </w:r>
      <w:r>
        <w:t xml:space="preserve"> Clearly, the averments made in Count VIII of the Complaint do not pertain to maintaining “the present quality of service provided by electric utilities.”  The Joint Complainants’ argument regarding Section 2809(e) will, therefore, be rejected.</w:t>
      </w:r>
    </w:p>
    <w:p w:rsidR="007B2C93" w:rsidRDefault="007B2C93" w:rsidP="00F139D5">
      <w:pPr>
        <w:tabs>
          <w:tab w:val="left" w:pos="-720"/>
        </w:tabs>
        <w:suppressAutoHyphens/>
        <w:spacing w:line="360" w:lineRule="auto"/>
      </w:pPr>
    </w:p>
    <w:p w:rsidR="007B2C93" w:rsidRPr="007B2C93" w:rsidRDefault="007B2C93" w:rsidP="00F139D5">
      <w:pPr>
        <w:tabs>
          <w:tab w:val="left" w:pos="-720"/>
        </w:tabs>
        <w:suppressAutoHyphens/>
        <w:spacing w:line="360" w:lineRule="auto"/>
      </w:pPr>
      <w:r>
        <w:tab/>
      </w:r>
      <w:r>
        <w:tab/>
        <w:t xml:space="preserve">The Joint Complainants argued that they “are not asserting that the Commission has the authority to regulate EGS prices [but] instead, the Joint Complainants seek Commission review of Respondent’s deceptive marketing practices of promising, </w:t>
      </w:r>
      <w:r>
        <w:rPr>
          <w:i/>
        </w:rPr>
        <w:t>inter alia</w:t>
      </w:r>
      <w:r>
        <w:t xml:space="preserve">, savings over the [Price to Compare] and then billing customers at prices greatly in excess of the [Price to Compare].”  This argument will be rejected because it is not consistent with Count VIII as averred.  Count VIII is titled “Prices Nonconforming to Disclosure Statement” but the substantive paragraphs in the Complaint, as well as the accompanying Affidavit attached to the Complaint in support of Count VIII, focus on the price charged by </w:t>
      </w:r>
      <w:r w:rsidR="00986603">
        <w:t>Respond</w:t>
      </w:r>
      <w:r>
        <w:t>.</w:t>
      </w:r>
      <w:r w:rsidR="00B50F61">
        <w:t xml:space="preserve">  The substance of Count VIII is not focused on deceptive marketing practices, an issue that is clearly addressed in other counts in the Complaint.</w:t>
      </w:r>
      <w:r w:rsidR="001B6119">
        <w:t xml:space="preserve">  To the extent that the Joint Complainants contest the nature of the Disclosure Statement as deceptive, that issue can be addressed in other Counts</w:t>
      </w:r>
      <w:r w:rsidR="00EC41FA">
        <w:t xml:space="preserve"> that raise that issue</w:t>
      </w:r>
      <w:r w:rsidR="001B6119">
        <w:t>.</w:t>
      </w:r>
      <w:r w:rsidR="00A17814">
        <w:t xml:space="preserve">  The Joint Complainants focus in </w:t>
      </w:r>
      <w:r w:rsidR="00D62F2F">
        <w:t>their</w:t>
      </w:r>
      <w:r w:rsidR="00A17814">
        <w:t xml:space="preserve"> Answer to </w:t>
      </w:r>
      <w:proofErr w:type="gramStart"/>
      <w:r w:rsidR="00A17814">
        <w:t>Respond’s</w:t>
      </w:r>
      <w:proofErr w:type="gramEnd"/>
      <w:r w:rsidR="00A17814">
        <w:t xml:space="preserve"> Preliminary Objection that Count VIII pertains to standards and billing practices is not consistent with a plain reading of Count VIII.</w:t>
      </w:r>
    </w:p>
    <w:p w:rsidR="00AC54DB" w:rsidRDefault="00AC54DB" w:rsidP="00F139D5">
      <w:pPr>
        <w:tabs>
          <w:tab w:val="left" w:pos="-720"/>
        </w:tabs>
        <w:suppressAutoHyphens/>
        <w:spacing w:line="360" w:lineRule="auto"/>
      </w:pPr>
    </w:p>
    <w:p w:rsidR="001F24B7" w:rsidRDefault="00AC54DB" w:rsidP="001F24B7">
      <w:pPr>
        <w:tabs>
          <w:tab w:val="left" w:pos="-720"/>
        </w:tabs>
        <w:suppressAutoHyphens/>
        <w:spacing w:line="360" w:lineRule="auto"/>
      </w:pPr>
      <w:r>
        <w:tab/>
      </w:r>
      <w:r>
        <w:tab/>
        <w:t xml:space="preserve">Respond’s </w:t>
      </w:r>
      <w:r w:rsidR="002636A2">
        <w:t>additional arguments</w:t>
      </w:r>
      <w:r>
        <w:t xml:space="preserve"> that Count VIII should be dismissed because it is legally insufficient</w:t>
      </w:r>
      <w:r w:rsidR="007B2C93">
        <w:t>, as well as other issues raised in this Preliminary Objection</w:t>
      </w:r>
      <w:r w:rsidR="00B50F61">
        <w:t>, such as the authority of the OCA and OAG to represent individual consumers</w:t>
      </w:r>
      <w:r w:rsidR="007B2C93">
        <w:t>,</w:t>
      </w:r>
      <w:r w:rsidR="002636A2">
        <w:t xml:space="preserve"> are </w:t>
      </w:r>
      <w:r>
        <w:t>moot and will not be considered here</w:t>
      </w:r>
      <w:r w:rsidR="00B50F61" w:rsidRPr="00B50F61">
        <w:t xml:space="preserve"> </w:t>
      </w:r>
      <w:r w:rsidR="00B50F61">
        <w:t>because we find that the Commission lacks jurisdiction to consider Count VIII and grant Respond’s Preliminary Objection on that basis</w:t>
      </w:r>
      <w:r>
        <w:t>.</w:t>
      </w:r>
      <w:r w:rsidR="003A64CC">
        <w:t xml:space="preserve">  </w:t>
      </w:r>
      <w:r w:rsidR="001F24B7">
        <w:t>Even when accepting as true all well-pleaded material facts contained in the Complaint, as well as every reasonable inference from those facts, and viewing the Complaint in the light most favorable to the Joint Complainants, it is clear that the Joint Complainants would not be entitled to relief under any circumstances as a matter of law with regard to Count VIII.</w:t>
      </w:r>
    </w:p>
    <w:p w:rsidR="001F24B7" w:rsidRDefault="001F24B7" w:rsidP="0037752B">
      <w:pPr>
        <w:tabs>
          <w:tab w:val="left" w:pos="-720"/>
        </w:tabs>
        <w:suppressAutoHyphens/>
        <w:spacing w:line="360" w:lineRule="auto"/>
      </w:pPr>
    </w:p>
    <w:p w:rsidR="0037752B" w:rsidRDefault="0037752B" w:rsidP="0037752B">
      <w:pPr>
        <w:tabs>
          <w:tab w:val="left" w:pos="-720"/>
        </w:tabs>
        <w:suppressAutoHyphens/>
        <w:spacing w:line="360" w:lineRule="auto"/>
      </w:pPr>
      <w:r>
        <w:tab/>
      </w:r>
      <w:r>
        <w:tab/>
        <w:t>As such, Respond’s Preliminary Objection that Count VIII of the Complaint must be dismissed on the basis of lack of jurisdiction will be granted and Count VIII of the Complain</w:t>
      </w:r>
      <w:r w:rsidR="00986603">
        <w:t>t</w:t>
      </w:r>
      <w:r>
        <w:t xml:space="preserve"> will be stricken.</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rPr>
          <w:b/>
          <w:u w:val="single"/>
        </w:rPr>
        <w:t xml:space="preserve">Count </w:t>
      </w:r>
      <w:r w:rsidR="00DB112D">
        <w:rPr>
          <w:b/>
          <w:u w:val="single"/>
        </w:rPr>
        <w:t xml:space="preserve">IX </w:t>
      </w:r>
      <w:r w:rsidR="00C56AEC">
        <w:rPr>
          <w:b/>
          <w:u w:val="single"/>
        </w:rPr>
        <w:t>–</w:t>
      </w:r>
      <w:r w:rsidR="00DB112D">
        <w:rPr>
          <w:b/>
          <w:u w:val="single"/>
        </w:rPr>
        <w:t xml:space="preserve"> </w:t>
      </w:r>
      <w:r w:rsidR="00C56AEC">
        <w:rPr>
          <w:b/>
          <w:u w:val="single"/>
        </w:rPr>
        <w:t xml:space="preserve">The Commission Lacks Jurisdiction </w:t>
      </w:r>
      <w:proofErr w:type="gramStart"/>
      <w:r w:rsidR="00C56AEC">
        <w:rPr>
          <w:b/>
          <w:u w:val="single"/>
        </w:rPr>
        <w:t>To</w:t>
      </w:r>
      <w:proofErr w:type="gramEnd"/>
      <w:r w:rsidR="00C56AEC">
        <w:rPr>
          <w:b/>
          <w:u w:val="single"/>
        </w:rPr>
        <w:t xml:space="preserve"> Hear Complaints Brought Under The Telemarketing Registration Act But Has Jurisdiction To Hear Complaints Brought Under Its Own </w:t>
      </w:r>
      <w:r w:rsidR="00986603">
        <w:rPr>
          <w:b/>
          <w:u w:val="single"/>
        </w:rPr>
        <w:t xml:space="preserve">Telemarketing </w:t>
      </w:r>
      <w:r w:rsidR="00C56AEC">
        <w:rPr>
          <w:b/>
          <w:u w:val="single"/>
        </w:rPr>
        <w:t>Regulations</w:t>
      </w:r>
    </w:p>
    <w:p w:rsidR="00F139D5" w:rsidRDefault="00F139D5" w:rsidP="00F139D5">
      <w:pPr>
        <w:tabs>
          <w:tab w:val="left" w:pos="-720"/>
        </w:tabs>
        <w:suppressAutoHyphens/>
        <w:spacing w:line="360" w:lineRule="auto"/>
      </w:pPr>
    </w:p>
    <w:p w:rsidR="00F139D5" w:rsidRDefault="00F139D5" w:rsidP="00F139D5">
      <w:pPr>
        <w:tabs>
          <w:tab w:val="left" w:pos="-720"/>
        </w:tabs>
        <w:suppressAutoHyphens/>
        <w:spacing w:line="360" w:lineRule="auto"/>
      </w:pPr>
      <w:r>
        <w:tab/>
      </w:r>
      <w:r>
        <w:tab/>
        <w:t xml:space="preserve">In their Complaint, the Joint Complainants averred </w:t>
      </w:r>
      <w:r w:rsidR="00723CC9">
        <w:t xml:space="preserve">that approximately 10% of the complaints received by the OAG against Respond averred that they received a telemarketing call that initiated the switch to </w:t>
      </w:r>
      <w:proofErr w:type="gramStart"/>
      <w:r w:rsidR="00723CC9">
        <w:t>Respond</w:t>
      </w:r>
      <w:proofErr w:type="gramEnd"/>
      <w:r w:rsidR="00723CC9">
        <w:t xml:space="preserve">.  The Joint Complainants further averred that the Telemarketer Registration Act (TRA) requires any sale of goods or services through the use of a telemarketing call be reduced to a written contract signed by the customer.  The Joint Complainants aver that Respond failed to comply with the TRA.  </w:t>
      </w:r>
      <w:r>
        <w:t xml:space="preserve">In its Preliminary Objection, Respond argued that </w:t>
      </w:r>
      <w:r w:rsidR="00451DD1">
        <w:t xml:space="preserve">the Commission does not have jurisdiction to enforce the TRA and that Count IX is, therefore, legally insufficient because it fails to state a claim on which relief can be granted.  Respond also argued that it is exempt from providing a written contract pursuant to the TRA because the sale of electricity is regulated by the Commission.  </w:t>
      </w:r>
      <w:r>
        <w:t xml:space="preserve">In </w:t>
      </w:r>
      <w:r w:rsidR="006A01EF">
        <w:t xml:space="preserve">their </w:t>
      </w:r>
      <w:r>
        <w:t>Answer to the Preliminary Objection, the Joint Complainants argued</w:t>
      </w:r>
      <w:r w:rsidR="002636A2">
        <w:t>, among other things,</w:t>
      </w:r>
      <w:r>
        <w:t xml:space="preserve"> that </w:t>
      </w:r>
      <w:r w:rsidR="00451DD1">
        <w:t>its jurisdiction to enforce the TRA arises from an advisory opinion issued by then-Attorney General Tom Corbett in response to an inquiry from the Commission</w:t>
      </w:r>
      <w:r>
        <w:t xml:space="preserve">.  For the reasons discussed below, Respond’s Preliminary Objection will be </w:t>
      </w:r>
      <w:r w:rsidR="0059318E">
        <w:t>granted</w:t>
      </w:r>
      <w:r w:rsidR="006A01EF">
        <w:t xml:space="preserve"> in part and denied in part</w:t>
      </w:r>
      <w:r>
        <w:t>.</w:t>
      </w:r>
    </w:p>
    <w:p w:rsidR="00F139D5" w:rsidRDefault="00F139D5" w:rsidP="00F139D5">
      <w:pPr>
        <w:tabs>
          <w:tab w:val="left" w:pos="-720"/>
        </w:tabs>
        <w:suppressAutoHyphens/>
        <w:spacing w:line="360" w:lineRule="auto"/>
      </w:pPr>
    </w:p>
    <w:p w:rsidR="0059318E" w:rsidRDefault="00F139D5" w:rsidP="00F139D5">
      <w:pPr>
        <w:tabs>
          <w:tab w:val="left" w:pos="-720"/>
        </w:tabs>
        <w:suppressAutoHyphens/>
        <w:spacing w:line="360" w:lineRule="auto"/>
      </w:pPr>
      <w:r>
        <w:tab/>
      </w:r>
      <w:r>
        <w:tab/>
        <w:t>To begin,</w:t>
      </w:r>
      <w:r w:rsidR="0059318E" w:rsidRPr="0059318E">
        <w:t xml:space="preserve"> </w:t>
      </w:r>
      <w:r w:rsidR="0059318E">
        <w:t xml:space="preserve">as noted above, </w:t>
      </w:r>
      <w:r w:rsidR="0059318E">
        <w:rPr>
          <w:color w:val="000000"/>
        </w:rPr>
        <w:t>i</w:t>
      </w:r>
      <w:r w:rsidR="0059318E" w:rsidRPr="00174C87">
        <w:rPr>
          <w:color w:val="000000"/>
        </w:rPr>
        <w:t xml:space="preserve">t is well settled that the Commission may not exceed its jurisdiction and must act within it.  </w:t>
      </w:r>
      <w:r w:rsidR="0059318E">
        <w:rPr>
          <w:color w:val="000000"/>
          <w:u w:val="single"/>
        </w:rPr>
        <w:t>Pittsburgh</w:t>
      </w:r>
      <w:r w:rsidR="0059318E" w:rsidRPr="00174C87">
        <w:rPr>
          <w:color w:val="000000"/>
        </w:rPr>
        <w:t xml:space="preserve">.  Jurisdiction may not be conferred by the parties where none exists.  </w:t>
      </w:r>
      <w:r w:rsidR="0059318E">
        <w:rPr>
          <w:color w:val="000000"/>
          <w:u w:val="single"/>
        </w:rPr>
        <w:t>Roberts</w:t>
      </w:r>
      <w:r w:rsidR="0059318E" w:rsidRPr="00174C87">
        <w:rPr>
          <w:color w:val="000000"/>
        </w:rPr>
        <w:t xml:space="preserve">.  Subject matter jurisdiction is a prerequisite to the exercise of the power to decide a controversy.  </w:t>
      </w:r>
      <w:r w:rsidR="0059318E">
        <w:rPr>
          <w:color w:val="000000"/>
          <w:u w:val="single"/>
        </w:rPr>
        <w:t>Hughes</w:t>
      </w:r>
      <w:r w:rsidR="0059318E" w:rsidRPr="00174C87">
        <w:rPr>
          <w:color w:val="000000"/>
        </w:rPr>
        <w:t xml:space="preserve">.  As a creation of the legislature, the Commission possesses only the authority that the state legislature has specifically granted to it in the Public Utility Code.  </w:t>
      </w:r>
      <w:proofErr w:type="gramStart"/>
      <w:r w:rsidR="0059318E" w:rsidRPr="00174C87">
        <w:rPr>
          <w:color w:val="000000"/>
        </w:rPr>
        <w:t>66 Pa.C.S.</w:t>
      </w:r>
      <w:proofErr w:type="gramEnd"/>
      <w:r w:rsidR="0059318E" w:rsidRPr="00174C87">
        <w:rPr>
          <w:color w:val="000000"/>
        </w:rPr>
        <w:t xml:space="preserve"> </w:t>
      </w:r>
      <w:proofErr w:type="gramStart"/>
      <w:r w:rsidR="0059318E" w:rsidRPr="00174C87">
        <w:rPr>
          <w:color w:val="000000"/>
        </w:rPr>
        <w:t xml:space="preserve">§§ 101, </w:t>
      </w:r>
      <w:r w:rsidR="0059318E" w:rsidRPr="00174C87">
        <w:rPr>
          <w:i/>
          <w:color w:val="000000"/>
        </w:rPr>
        <w:t>et seq</w:t>
      </w:r>
      <w:r w:rsidR="0059318E" w:rsidRPr="00174C87">
        <w:rPr>
          <w:color w:val="000000"/>
        </w:rPr>
        <w:t>.</w:t>
      </w:r>
      <w:proofErr w:type="gramEnd"/>
      <w:r w:rsidR="0059318E" w:rsidRPr="00174C87">
        <w:rPr>
          <w:color w:val="000000"/>
        </w:rPr>
        <w:t xml:space="preserve">  Its jurisdiction must arise from the express language of the pertinent enabling legislation or by strong and necessary implication therefrom.  </w:t>
      </w:r>
      <w:proofErr w:type="gramStart"/>
      <w:r w:rsidR="0059318E">
        <w:rPr>
          <w:color w:val="000000"/>
          <w:u w:val="single"/>
        </w:rPr>
        <w:t>Feingold</w:t>
      </w:r>
      <w:r w:rsidR="0059318E" w:rsidRPr="00174C87">
        <w:rPr>
          <w:color w:val="000000"/>
        </w:rPr>
        <w:t>.</w:t>
      </w:r>
      <w:proofErr w:type="gramEnd"/>
      <w:r w:rsidR="0059318E" w:rsidRPr="00174C87">
        <w:rPr>
          <w:color w:val="000000"/>
        </w:rPr>
        <w:t xml:space="preserve"> </w:t>
      </w:r>
      <w:r w:rsidR="0059318E">
        <w:t xml:space="preserve">  </w:t>
      </w:r>
    </w:p>
    <w:p w:rsidR="0059318E" w:rsidRDefault="0059318E" w:rsidP="00F139D5">
      <w:pPr>
        <w:tabs>
          <w:tab w:val="left" w:pos="-720"/>
        </w:tabs>
        <w:suppressAutoHyphens/>
        <w:spacing w:line="360" w:lineRule="auto"/>
      </w:pPr>
    </w:p>
    <w:p w:rsidR="0013576E" w:rsidRDefault="0059318E" w:rsidP="00F139D5">
      <w:pPr>
        <w:tabs>
          <w:tab w:val="left" w:pos="-720"/>
        </w:tabs>
        <w:suppressAutoHyphens/>
        <w:spacing w:line="360" w:lineRule="auto"/>
      </w:pPr>
      <w:r>
        <w:tab/>
      </w:r>
      <w:r>
        <w:tab/>
        <w:t>The Joint Complainants</w:t>
      </w:r>
      <w:r w:rsidR="00986603">
        <w:t xml:space="preserve"> argued </w:t>
      </w:r>
      <w:r>
        <w:t xml:space="preserve">in their Answer to </w:t>
      </w:r>
      <w:proofErr w:type="gramStart"/>
      <w:r>
        <w:t>Respond’s</w:t>
      </w:r>
      <w:proofErr w:type="gramEnd"/>
      <w:r>
        <w:t xml:space="preserve"> Preliminary Objection that </w:t>
      </w:r>
      <w:r w:rsidR="00E2272C">
        <w:t xml:space="preserve">the Attorney General previously issued an advisory opinion </w:t>
      </w:r>
      <w:r w:rsidR="0013576E">
        <w:t xml:space="preserve">regarding the “applicability of the TRA to electric generation suppliers.”  A review of the Advisory Opinion, however, reveals that, while EGSs must comply with the TRA, except for the registration requirement, nothing in the Advisory Opinion grants the Commission jurisdiction </w:t>
      </w:r>
      <w:r w:rsidR="00565DDE">
        <w:t>to determine whether EGSs have been compliant</w:t>
      </w:r>
      <w:r w:rsidR="0013576E">
        <w:t xml:space="preserve">.  The Advisory Opinion responds to four specific questions:  </w:t>
      </w:r>
    </w:p>
    <w:p w:rsidR="0013576E" w:rsidRDefault="0013576E" w:rsidP="0013576E">
      <w:pPr>
        <w:tabs>
          <w:tab w:val="left" w:pos="-720"/>
        </w:tabs>
        <w:suppressAutoHyphens/>
        <w:ind w:left="1440" w:right="1440"/>
      </w:pPr>
    </w:p>
    <w:p w:rsidR="0059318E" w:rsidRDefault="0013576E" w:rsidP="0013576E">
      <w:pPr>
        <w:pStyle w:val="ListParagraph"/>
        <w:numPr>
          <w:ilvl w:val="0"/>
          <w:numId w:val="21"/>
        </w:numPr>
        <w:tabs>
          <w:tab w:val="left" w:pos="-720"/>
        </w:tabs>
        <w:suppressAutoHyphens/>
        <w:ind w:left="1440" w:right="1440"/>
      </w:pPr>
      <w:proofErr w:type="gramStart"/>
      <w:r>
        <w:t>is</w:t>
      </w:r>
      <w:proofErr w:type="gramEnd"/>
      <w:r>
        <w:t xml:space="preserve"> electric generation supply a “consumer good or service” as defined by the Telemarketer Act?</w:t>
      </w:r>
    </w:p>
    <w:p w:rsidR="004D6775" w:rsidRDefault="004D6775" w:rsidP="004D6775">
      <w:pPr>
        <w:pStyle w:val="ListParagraph"/>
        <w:tabs>
          <w:tab w:val="left" w:pos="-720"/>
        </w:tabs>
        <w:suppressAutoHyphens/>
        <w:ind w:left="1440" w:right="1440"/>
      </w:pPr>
    </w:p>
    <w:p w:rsidR="0013576E" w:rsidRDefault="0013576E" w:rsidP="0013576E">
      <w:pPr>
        <w:pStyle w:val="ListParagraph"/>
        <w:numPr>
          <w:ilvl w:val="0"/>
          <w:numId w:val="21"/>
        </w:numPr>
        <w:tabs>
          <w:tab w:val="left" w:pos="-720"/>
        </w:tabs>
        <w:suppressAutoHyphens/>
        <w:ind w:left="1440" w:right="1440"/>
      </w:pPr>
      <w:r>
        <w:t>Is an electric generation supplier excluded from the definition of “telemarketer</w:t>
      </w:r>
      <w:r w:rsidR="00986603">
        <w:t>”</w:t>
      </w:r>
      <w:r>
        <w:t xml:space="preserve"> in the Telemarketer Act?  If so, what is the scope of the exclusion under the Act, does it extend to an agent of a supplier, and does it matter that the source of customer information used for telephone solicitation by a supplier or its agent is an electric distribution company?</w:t>
      </w:r>
    </w:p>
    <w:p w:rsidR="0013576E" w:rsidRDefault="0013576E" w:rsidP="0013576E">
      <w:pPr>
        <w:tabs>
          <w:tab w:val="left" w:pos="-720"/>
        </w:tabs>
        <w:suppressAutoHyphens/>
        <w:ind w:left="1440" w:right="1440"/>
      </w:pPr>
    </w:p>
    <w:p w:rsidR="0013576E" w:rsidRDefault="0013576E" w:rsidP="0013576E">
      <w:pPr>
        <w:pStyle w:val="ListParagraph"/>
        <w:numPr>
          <w:ilvl w:val="0"/>
          <w:numId w:val="21"/>
        </w:numPr>
        <w:tabs>
          <w:tab w:val="left" w:pos="-720"/>
        </w:tabs>
        <w:suppressAutoHyphens/>
        <w:ind w:left="1440" w:right="1440"/>
      </w:pPr>
      <w:r>
        <w:t>Is customer consent to release of information given to an electric distribution company to enable competitive solicitations “an express request” to receive telephone solicitations from electric generation suppliers or their agents within the meaning of the Telemarketer Act?</w:t>
      </w:r>
    </w:p>
    <w:p w:rsidR="0013576E" w:rsidRDefault="0013576E" w:rsidP="0013576E">
      <w:pPr>
        <w:pStyle w:val="ListParagraph"/>
        <w:ind w:left="1440" w:right="1440"/>
      </w:pPr>
    </w:p>
    <w:p w:rsidR="0013576E" w:rsidRDefault="0013576E" w:rsidP="0013576E">
      <w:pPr>
        <w:pStyle w:val="ListParagraph"/>
        <w:numPr>
          <w:ilvl w:val="0"/>
          <w:numId w:val="21"/>
        </w:numPr>
        <w:tabs>
          <w:tab w:val="left" w:pos="-720"/>
        </w:tabs>
        <w:suppressAutoHyphens/>
        <w:ind w:left="1440" w:right="1440"/>
      </w:pPr>
      <w:r>
        <w:t>Is an electric generation supplier using customer information supplied by an electric distribution company for telephone solicitations shielded from liability under the “error” provision of the Telemarketer Act?</w:t>
      </w:r>
    </w:p>
    <w:p w:rsidR="0013576E" w:rsidRDefault="0013576E" w:rsidP="0013576E">
      <w:pPr>
        <w:pStyle w:val="ListParagraph"/>
        <w:ind w:left="1440" w:right="1440"/>
      </w:pPr>
    </w:p>
    <w:p w:rsidR="004D6775" w:rsidRDefault="0013576E" w:rsidP="0013576E">
      <w:pPr>
        <w:tabs>
          <w:tab w:val="left" w:pos="-720"/>
        </w:tabs>
        <w:suppressAutoHyphens/>
        <w:spacing w:line="360" w:lineRule="auto"/>
      </w:pPr>
      <w:r>
        <w:t xml:space="preserve">None of these questions, however, </w:t>
      </w:r>
      <w:proofErr w:type="gramStart"/>
      <w:r>
        <w:t>nor</w:t>
      </w:r>
      <w:proofErr w:type="gramEnd"/>
      <w:r>
        <w:t xml:space="preserve"> the answers to them, grant the Commission authority to hear claims brought under the TRA.</w:t>
      </w:r>
      <w:r w:rsidR="004D6775">
        <w:t xml:space="preserve">  </w:t>
      </w:r>
      <w:r w:rsidR="00986603">
        <w:t>Rather, t</w:t>
      </w:r>
      <w:r w:rsidR="004D6775">
        <w:t xml:space="preserve">hese questions, and the answers to them, require EGS compliance with the TRA, except for the registration requirement.  Enforcement of EGS compliance with the TRA would appropriately be done in a forum with </w:t>
      </w:r>
      <w:r w:rsidR="00986603">
        <w:t xml:space="preserve">jurisdiction </w:t>
      </w:r>
      <w:r w:rsidR="004D6775">
        <w:t>over the TRA</w:t>
      </w:r>
      <w:r w:rsidR="002636A2">
        <w:t>, not the Commission</w:t>
      </w:r>
      <w:r w:rsidR="004D6775">
        <w:t>.</w:t>
      </w:r>
    </w:p>
    <w:p w:rsidR="004D6775" w:rsidRDefault="004D6775" w:rsidP="0013576E">
      <w:pPr>
        <w:tabs>
          <w:tab w:val="left" w:pos="-720"/>
        </w:tabs>
        <w:suppressAutoHyphens/>
        <w:spacing w:line="360" w:lineRule="auto"/>
      </w:pPr>
    </w:p>
    <w:p w:rsidR="002636A2" w:rsidRDefault="004D6775" w:rsidP="002636A2">
      <w:pPr>
        <w:tabs>
          <w:tab w:val="left" w:pos="-720"/>
        </w:tabs>
        <w:suppressAutoHyphens/>
        <w:spacing w:line="360" w:lineRule="auto"/>
      </w:pPr>
      <w:r>
        <w:tab/>
      </w:r>
      <w:r>
        <w:tab/>
        <w:t xml:space="preserve">As with </w:t>
      </w:r>
      <w:r w:rsidR="00371F6E">
        <w:t xml:space="preserve">Respond’s Preliminary Objection above seeking dismissal of </w:t>
      </w:r>
      <w:r>
        <w:t xml:space="preserve">Count </w:t>
      </w:r>
      <w:r w:rsidR="00371F6E">
        <w:t>IV</w:t>
      </w:r>
      <w:r>
        <w:t xml:space="preserve"> regarding the Commission’s jurisdiction over the UTP/CPL,</w:t>
      </w:r>
      <w:r w:rsidR="00CC3879">
        <w:t xml:space="preserve"> </w:t>
      </w:r>
      <w:r w:rsidR="00CC3879">
        <w:rPr>
          <w:i/>
        </w:rPr>
        <w:t>supra</w:t>
      </w:r>
      <w:r w:rsidR="00CC3879">
        <w:t xml:space="preserve">, </w:t>
      </w:r>
      <w:r w:rsidR="002636A2">
        <w:t xml:space="preserve">the Joint Complainants </w:t>
      </w:r>
      <w:r w:rsidR="00565DDE">
        <w:t xml:space="preserve">rely </w:t>
      </w:r>
      <w:r w:rsidR="002636A2">
        <w:t xml:space="preserve">in </w:t>
      </w:r>
      <w:r w:rsidR="00D62F2F">
        <w:t>their</w:t>
      </w:r>
      <w:r w:rsidR="002636A2">
        <w:t xml:space="preserve"> Answer on </w:t>
      </w:r>
      <w:r w:rsidR="002636A2">
        <w:rPr>
          <w:u w:val="single"/>
        </w:rPr>
        <w:t>Harrisburg Taxi</w:t>
      </w:r>
      <w:r w:rsidR="002636A2">
        <w:t xml:space="preserve">, </w:t>
      </w:r>
      <w:r w:rsidR="002636A2">
        <w:rPr>
          <w:i/>
        </w:rPr>
        <w:t>supra</w:t>
      </w:r>
      <w:r w:rsidR="002636A2">
        <w:t xml:space="preserve">, where the express statutory authority to regulate the safety of taxicabs is specifically found in Section 1501 of the Public Utility </w:t>
      </w:r>
      <w:proofErr w:type="gramStart"/>
      <w:r w:rsidR="002636A2">
        <w:t>Code,</w:t>
      </w:r>
      <w:proofErr w:type="gramEnd"/>
      <w:r w:rsidR="002636A2">
        <w:t xml:space="preserve"> also is without merit</w:t>
      </w:r>
      <w:r w:rsidR="006A01EF">
        <w:t xml:space="preserve"> here</w:t>
      </w:r>
      <w:r w:rsidR="002636A2">
        <w:t xml:space="preserve">.  In Count IX, the Joint Complainants rely again on the Commission’s own regulations in support of </w:t>
      </w:r>
      <w:r w:rsidR="003A64CC">
        <w:t xml:space="preserve">their </w:t>
      </w:r>
      <w:r w:rsidR="002636A2">
        <w:t xml:space="preserve">position that the Commission has jurisdiction </w:t>
      </w:r>
      <w:r w:rsidR="00565DDE">
        <w:t xml:space="preserve">to </w:t>
      </w:r>
      <w:r w:rsidR="002636A2">
        <w:t>hear cases regarding the TRA.  Such reliance will be rejected as it relates to the Commission’s authority to enforce the provisions of the TRA.</w:t>
      </w:r>
    </w:p>
    <w:p w:rsidR="002636A2" w:rsidRDefault="002636A2" w:rsidP="004D6775">
      <w:pPr>
        <w:tabs>
          <w:tab w:val="left" w:pos="-720"/>
        </w:tabs>
        <w:suppressAutoHyphens/>
        <w:spacing w:line="360" w:lineRule="auto"/>
      </w:pPr>
    </w:p>
    <w:p w:rsidR="00E14396" w:rsidRDefault="002636A2" w:rsidP="004D6775">
      <w:pPr>
        <w:tabs>
          <w:tab w:val="left" w:pos="-720"/>
        </w:tabs>
        <w:suppressAutoHyphens/>
        <w:spacing w:line="360" w:lineRule="auto"/>
      </w:pPr>
      <w:r>
        <w:tab/>
      </w:r>
      <w:r>
        <w:tab/>
      </w:r>
      <w:r w:rsidR="00E14396">
        <w:t xml:space="preserve">Section 111.10 requires EGSs to “comply with other provisions of [the TRA]” and establishes other requirements regarding telemarketing.  This provision, however, similar to the UTP/CPL, does not equate to providing the Commission with jurisdiction </w:t>
      </w:r>
      <w:r w:rsidR="006A01EF">
        <w:t xml:space="preserve">to </w:t>
      </w:r>
      <w:r w:rsidR="00E14396">
        <w:t>hear claims brought pursuant to the TRA.  The Commission is a creation of the legislature and possesses only the authority that the legislature has granted to it.</w:t>
      </w:r>
      <w:r w:rsidR="00E81B85">
        <w:t xml:space="preserve">  </w:t>
      </w:r>
      <w:r w:rsidR="00E14396">
        <w:t xml:space="preserve">With regard to the TRA, it is the Commission that has given itself the authority to enforce the provisions of the TRA, not the General Assembly.  The Joint Complainants have not </w:t>
      </w:r>
      <w:r w:rsidR="00986603">
        <w:t xml:space="preserve">demonstrated </w:t>
      </w:r>
      <w:r w:rsidR="00E14396">
        <w:t xml:space="preserve">any </w:t>
      </w:r>
      <w:r w:rsidR="00490F28">
        <w:t xml:space="preserve">“strong and necessary” </w:t>
      </w:r>
      <w:r w:rsidR="00E14396">
        <w:t>statutory implication that the Commission has jurisdiction over the TRA.</w:t>
      </w:r>
      <w:r>
        <w:t xml:space="preserve">  Respond’s Preliminary Objection will be granted in part.</w:t>
      </w:r>
    </w:p>
    <w:p w:rsidR="00E14396" w:rsidRDefault="00E14396" w:rsidP="004D6775">
      <w:pPr>
        <w:tabs>
          <w:tab w:val="left" w:pos="-720"/>
        </w:tabs>
        <w:suppressAutoHyphens/>
        <w:spacing w:line="360" w:lineRule="auto"/>
      </w:pPr>
    </w:p>
    <w:p w:rsidR="006235A7" w:rsidRDefault="006235A7" w:rsidP="004D6775">
      <w:pPr>
        <w:tabs>
          <w:tab w:val="left" w:pos="-720"/>
        </w:tabs>
        <w:suppressAutoHyphens/>
        <w:spacing w:line="360" w:lineRule="auto"/>
      </w:pPr>
      <w:r>
        <w:tab/>
      </w:r>
      <w:r>
        <w:tab/>
        <w:t>Also similar to the disposition of Respond’s Preliminary Objection regarding Count IV and the UTP/CPL,</w:t>
      </w:r>
      <w:r w:rsidR="00F03989">
        <w:t xml:space="preserve"> however,</w:t>
      </w:r>
      <w:r>
        <w:t xml:space="preserve"> Respond’s Preliminary Objection regarding Count IX will be denied in part to the extent </w:t>
      </w:r>
      <w:r w:rsidR="002636A2">
        <w:t xml:space="preserve">Count IX </w:t>
      </w:r>
      <w:r w:rsidR="00490F28">
        <w:t xml:space="preserve">avers </w:t>
      </w:r>
      <w:r>
        <w:t xml:space="preserve">violations of Section 54.43(f), 111.10 and 111.12(d)(1) of the Commission’s regulations.  </w:t>
      </w:r>
      <w:r w:rsidR="002636A2">
        <w:t xml:space="preserve">The Joint Complainant’s </w:t>
      </w:r>
      <w:r w:rsidR="00490F28">
        <w:t xml:space="preserve">also </w:t>
      </w:r>
      <w:r w:rsidR="002636A2">
        <w:t xml:space="preserve">averred that Respond’s telemarketers did not provide consumers a contract that contained certain information after the telemarketing call was made.  A reasonable inference from that averment is that the telemarketing agent did not send a copy of the disclosure statement and other material about the service to the consumer and, therefore, violated a Commission regulation.  </w:t>
      </w:r>
      <w:r w:rsidR="00490F28">
        <w:t xml:space="preserve">The Commission clearly has jurisdiction to hear claims of alleged violations of its own regulations.  </w:t>
      </w:r>
      <w:r w:rsidR="002636A2">
        <w:t>Respond’s Preliminary Objection will, therefore, be denied in part.</w:t>
      </w:r>
    </w:p>
    <w:p w:rsidR="006235A7" w:rsidRDefault="006235A7" w:rsidP="004D6775">
      <w:pPr>
        <w:tabs>
          <w:tab w:val="left" w:pos="-720"/>
        </w:tabs>
        <w:suppressAutoHyphens/>
        <w:spacing w:line="360" w:lineRule="auto"/>
      </w:pPr>
    </w:p>
    <w:p w:rsidR="006235A7" w:rsidRDefault="006235A7" w:rsidP="004D6775">
      <w:pPr>
        <w:tabs>
          <w:tab w:val="left" w:pos="-720"/>
        </w:tabs>
        <w:suppressAutoHyphens/>
        <w:spacing w:line="360" w:lineRule="auto"/>
      </w:pPr>
      <w:r>
        <w:tab/>
      </w:r>
      <w:r>
        <w:tab/>
      </w:r>
      <w:r w:rsidR="00661ABA">
        <w:t xml:space="preserve">To the extent that Respond’s Preliminary Objection also avers that Count IX should be dismissed because it is insufficiently plead, this argument will also be rejected.  As noted above, a complaint filed with the Commission is sufficiently </w:t>
      </w:r>
      <w:proofErr w:type="gramStart"/>
      <w:r w:rsidR="00661ABA">
        <w:t>plead</w:t>
      </w:r>
      <w:proofErr w:type="gramEnd"/>
      <w:r w:rsidR="00661ABA">
        <w:t xml:space="preserve"> if it gives the respondent notice and an opportunity to defend.  </w:t>
      </w:r>
      <w:r w:rsidR="00661ABA">
        <w:rPr>
          <w:u w:val="single"/>
        </w:rPr>
        <w:t>Green Cab</w:t>
      </w:r>
      <w:r w:rsidR="001C4B7B">
        <w:t xml:space="preserve">, </w:t>
      </w:r>
      <w:r w:rsidR="001C4B7B">
        <w:rPr>
          <w:i/>
        </w:rPr>
        <w:t>supra</w:t>
      </w:r>
      <w:r w:rsidR="001C4B7B">
        <w:t xml:space="preserve">.  In this case, the Joint Complainants have averred that Respond failed to provide consumers </w:t>
      </w:r>
      <w:r w:rsidR="00986603">
        <w:t xml:space="preserve">solicited by a telemarketer </w:t>
      </w:r>
      <w:r w:rsidR="001C4B7B">
        <w:t>with a contract that contained all of the required information in writing.  The Joint Complainants also identify various Commission regulations it believes Respond’s actions violate.  These allegations are sufficiently specific to allow Respond the opportunity to under</w:t>
      </w:r>
      <w:r w:rsidR="00986603">
        <w:t>stand</w:t>
      </w:r>
      <w:r w:rsidR="001C4B7B">
        <w:t xml:space="preserve"> the allegations against it, in order to conduct a meaningful investigation of the allegations and to prepare a coherent response or defense.  </w:t>
      </w:r>
      <w:r w:rsidR="00F750F4">
        <w:t xml:space="preserve">To the extent that Respond believes this Count is not sufficiently plead and does not have sufficient information to defend against this claim, it can avail itself of the Commission’s discovery process, among other things, to acquire more information.  </w:t>
      </w:r>
      <w:r w:rsidR="001C4B7B">
        <w:t xml:space="preserve">Respond’s Preliminary Objection that Count IX is insufficiently </w:t>
      </w:r>
      <w:proofErr w:type="gramStart"/>
      <w:r w:rsidR="001C4B7B">
        <w:t>plead</w:t>
      </w:r>
      <w:proofErr w:type="gramEnd"/>
      <w:r w:rsidR="001C4B7B">
        <w:t xml:space="preserve"> will be rejected.</w:t>
      </w:r>
    </w:p>
    <w:p w:rsidR="006235A7" w:rsidRDefault="006235A7" w:rsidP="004D6775">
      <w:pPr>
        <w:tabs>
          <w:tab w:val="left" w:pos="-720"/>
        </w:tabs>
        <w:suppressAutoHyphens/>
        <w:spacing w:line="360" w:lineRule="auto"/>
      </w:pPr>
    </w:p>
    <w:p w:rsidR="00F139D5" w:rsidRDefault="004D6775" w:rsidP="00F139D5">
      <w:pPr>
        <w:tabs>
          <w:tab w:val="left" w:pos="-720"/>
        </w:tabs>
        <w:suppressAutoHyphens/>
        <w:spacing w:line="360" w:lineRule="auto"/>
      </w:pPr>
      <w:r>
        <w:tab/>
      </w:r>
      <w:r>
        <w:tab/>
      </w:r>
      <w:r w:rsidR="00F139D5">
        <w:t xml:space="preserve">As such, </w:t>
      </w:r>
      <w:r w:rsidR="006235A7">
        <w:t xml:space="preserve">Respond’s Preliminary Objection that Count IX of the Complaint should be dismissed on the basis of insufficiency of pleading and lack of Commission jurisdiction will be granted in part because the Commission lacks authority over the TRA but denied in part because the Commission has authority to hear cases brought pursuant to its own </w:t>
      </w:r>
      <w:r w:rsidR="00986603">
        <w:t xml:space="preserve">telemarketing </w:t>
      </w:r>
      <w:r w:rsidR="006235A7">
        <w:t>regulations and because the Complaint is sufficiently plead.</w:t>
      </w:r>
    </w:p>
    <w:p w:rsidR="00F139D5" w:rsidRDefault="00F139D5" w:rsidP="00F139D5">
      <w:pPr>
        <w:tabs>
          <w:tab w:val="left" w:pos="-720"/>
        </w:tabs>
        <w:suppressAutoHyphens/>
        <w:spacing w:line="360" w:lineRule="auto"/>
      </w:pPr>
    </w:p>
    <w:p w:rsidR="00F139D5" w:rsidRDefault="00F139D5" w:rsidP="00B74492">
      <w:pPr>
        <w:tabs>
          <w:tab w:val="left" w:pos="-720"/>
        </w:tabs>
        <w:suppressAutoHyphens/>
        <w:spacing w:line="360" w:lineRule="auto"/>
      </w:pPr>
      <w:r>
        <w:rPr>
          <w:b/>
          <w:u w:val="single"/>
        </w:rPr>
        <w:t>Conclusion</w:t>
      </w:r>
    </w:p>
    <w:p w:rsidR="00F139D5" w:rsidRDefault="00F139D5" w:rsidP="00B74492">
      <w:pPr>
        <w:tabs>
          <w:tab w:val="left" w:pos="-720"/>
        </w:tabs>
        <w:suppressAutoHyphens/>
        <w:spacing w:line="360" w:lineRule="auto"/>
      </w:pPr>
    </w:p>
    <w:p w:rsidR="005C1B4B" w:rsidRPr="00897507" w:rsidRDefault="00F139D5" w:rsidP="00B356D9">
      <w:pPr>
        <w:tabs>
          <w:tab w:val="left" w:pos="-720"/>
        </w:tabs>
        <w:suppressAutoHyphens/>
        <w:spacing w:line="360" w:lineRule="auto"/>
        <w:rPr>
          <w:rFonts w:eastAsiaTheme="minorEastAsia"/>
          <w:strike/>
        </w:rPr>
      </w:pPr>
      <w:r>
        <w:tab/>
      </w:r>
      <w:r>
        <w:tab/>
        <w:t xml:space="preserve">In conclusion, </w:t>
      </w:r>
      <w:r w:rsidR="00986603">
        <w:t xml:space="preserve">the standard for granting a Preliminary Objection is high.  All well pleaded material facts, as well as every reasonable inference from those facts, must be accepted as true and the Complaint must be viewed in the light most favorable to the Joint Complainants.  Even then, a Complaint will only be dismissed if it appears that the Joint Complainants would not be entitled to relief under any circumstances as a matter of law.  Respond has failed to satisfy this high standard with regard to its claims that certain Counts in the Complaint are insufficiently plead.  Respond has satisfied this high standard, however, with regard to Count VIII which pertains to the specific prices charged by Respond.  </w:t>
      </w:r>
      <w:r w:rsidR="002636A2">
        <w:t>Finally</w:t>
      </w:r>
      <w:r w:rsidR="00B356D9">
        <w:t xml:space="preserve">, Respond has demonstrated that the Commission has no jurisdiction to hear claims regarding the </w:t>
      </w:r>
      <w:r w:rsidR="006A01EF">
        <w:t>UTP/CPL</w:t>
      </w:r>
      <w:r w:rsidR="00B356D9">
        <w:t xml:space="preserve"> and the </w:t>
      </w:r>
      <w:r w:rsidR="006A01EF">
        <w:t>TRA</w:t>
      </w:r>
      <w:r w:rsidR="00B356D9">
        <w:t xml:space="preserve">.  Nonetheless, however, the Commission can hear claims regarding its own consumer protection and telemarketing regulations.  Those Preliminary Objections brought by Respond will, therefore, be granted in part and denied in part.  </w:t>
      </w:r>
    </w:p>
    <w:p w:rsidR="006A01EF" w:rsidRDefault="006A01EF">
      <w:pPr>
        <w:autoSpaceDE/>
        <w:autoSpaceDN/>
        <w:rPr>
          <w:u w:val="single"/>
        </w:rPr>
      </w:pPr>
    </w:p>
    <w:p w:rsidR="005E7BB9" w:rsidRDefault="005E7BB9" w:rsidP="00FA0DC0">
      <w:pPr>
        <w:spacing w:line="360" w:lineRule="auto"/>
        <w:jc w:val="center"/>
        <w:rPr>
          <w:u w:val="single"/>
        </w:rPr>
      </w:pPr>
    </w:p>
    <w:p w:rsidR="00AA5A3B" w:rsidRPr="00700B9E" w:rsidRDefault="00FA0DC0" w:rsidP="00FA0DC0">
      <w:pPr>
        <w:spacing w:line="360" w:lineRule="auto"/>
        <w:jc w:val="center"/>
      </w:pPr>
      <w:r w:rsidRPr="00700B9E">
        <w:rPr>
          <w:u w:val="single"/>
        </w:rPr>
        <w:t>ORDER</w:t>
      </w:r>
    </w:p>
    <w:p w:rsidR="00FA0DC0" w:rsidRDefault="00FA0DC0" w:rsidP="00E93D93">
      <w:pPr>
        <w:spacing w:line="360" w:lineRule="auto"/>
      </w:pPr>
    </w:p>
    <w:p w:rsidR="005E7BB9" w:rsidRPr="00700B9E" w:rsidRDefault="005E7BB9" w:rsidP="00E93D93">
      <w:pPr>
        <w:spacing w:line="360" w:lineRule="auto"/>
      </w:pPr>
    </w:p>
    <w:p w:rsidR="006D33B5" w:rsidRPr="00700B9E" w:rsidRDefault="006D33B5">
      <w:pPr>
        <w:spacing w:line="360" w:lineRule="auto"/>
        <w:ind w:firstLine="1440"/>
        <w:rPr>
          <w:bCs/>
        </w:rPr>
      </w:pPr>
      <w:r w:rsidRPr="00700B9E">
        <w:rPr>
          <w:bCs/>
        </w:rPr>
        <w:t>THEREFORE,</w:t>
      </w:r>
    </w:p>
    <w:p w:rsidR="006D33B5" w:rsidRPr="00700B9E" w:rsidRDefault="006D33B5">
      <w:pPr>
        <w:spacing w:line="360" w:lineRule="auto"/>
        <w:ind w:firstLine="1440"/>
      </w:pPr>
    </w:p>
    <w:p w:rsidR="0013770C" w:rsidRPr="00700B9E" w:rsidRDefault="006D33B5" w:rsidP="0013770C">
      <w:pPr>
        <w:spacing w:line="360" w:lineRule="auto"/>
        <w:ind w:firstLine="1440"/>
        <w:rPr>
          <w:bCs/>
        </w:rPr>
      </w:pPr>
      <w:r w:rsidRPr="00700B9E">
        <w:rPr>
          <w:bCs/>
        </w:rPr>
        <w:t>IT IS ORDERED:</w:t>
      </w:r>
    </w:p>
    <w:p w:rsidR="0013770C" w:rsidRPr="00700B9E" w:rsidRDefault="0013770C" w:rsidP="0013770C">
      <w:pPr>
        <w:spacing w:line="360" w:lineRule="auto"/>
        <w:ind w:firstLine="1440"/>
        <w:rPr>
          <w:bCs/>
        </w:rPr>
      </w:pPr>
    </w:p>
    <w:p w:rsidR="00D626EC" w:rsidRPr="00700B9E" w:rsidRDefault="00143290" w:rsidP="00223B03">
      <w:pPr>
        <w:pStyle w:val="ListParagraph"/>
        <w:numPr>
          <w:ilvl w:val="0"/>
          <w:numId w:val="11"/>
        </w:numPr>
        <w:spacing w:line="360" w:lineRule="auto"/>
        <w:ind w:left="0" w:firstLine="1440"/>
      </w:pPr>
      <w:r w:rsidRPr="00700B9E">
        <w:t>That</w:t>
      </w:r>
      <w:r w:rsidR="00144EB5" w:rsidRPr="00700B9E">
        <w:t xml:space="preserve"> </w:t>
      </w:r>
      <w:r w:rsidR="00D626EC" w:rsidRPr="00700B9E">
        <w:t xml:space="preserve">the </w:t>
      </w:r>
      <w:r w:rsidR="00033858" w:rsidRPr="00700B9E">
        <w:t>Preliminary Objection</w:t>
      </w:r>
      <w:r w:rsidR="00DB39B4">
        <w:t>s</w:t>
      </w:r>
      <w:r w:rsidR="00033858" w:rsidRPr="00700B9E">
        <w:t xml:space="preserve"> filed by </w:t>
      </w:r>
      <w:r w:rsidR="00700B9E">
        <w:t xml:space="preserve">Respond Power LLC </w:t>
      </w:r>
      <w:r w:rsidR="00033858" w:rsidRPr="00700B9E">
        <w:t xml:space="preserve">against </w:t>
      </w:r>
      <w:r w:rsidR="00700B9E">
        <w:t xml:space="preserve">Commonwealth of Pennsylvania, by Attorney General Kathleen G. Kane, through the Bureau of Consumer Protection, and Tanya J. McCloskey, Acting Consumer Advocate, </w:t>
      </w:r>
      <w:r w:rsidR="005C1B4B" w:rsidRPr="00700B9E">
        <w:t>at Docket Number C-</w:t>
      </w:r>
      <w:r w:rsidR="00700B9E">
        <w:t xml:space="preserve">2014-2427659 </w:t>
      </w:r>
      <w:r w:rsidR="00033858" w:rsidRPr="00700B9E">
        <w:t xml:space="preserve">on </w:t>
      </w:r>
      <w:r w:rsidR="003A64CC">
        <w:t>July 10</w:t>
      </w:r>
      <w:r w:rsidR="00033858" w:rsidRPr="00700B9E">
        <w:t xml:space="preserve">, 2014 </w:t>
      </w:r>
      <w:r w:rsidR="000D3CEC">
        <w:t>are</w:t>
      </w:r>
      <w:r w:rsidR="00033858" w:rsidRPr="00700B9E">
        <w:t xml:space="preserve"> hereby </w:t>
      </w:r>
      <w:r w:rsidR="00C773A3" w:rsidRPr="00700B9E">
        <w:t>granted in part and denied in part</w:t>
      </w:r>
      <w:r w:rsidR="00033858" w:rsidRPr="00700B9E">
        <w:t>.</w:t>
      </w:r>
    </w:p>
    <w:p w:rsidR="00C773A3" w:rsidRPr="00700B9E" w:rsidRDefault="00C773A3" w:rsidP="00C773A3">
      <w:pPr>
        <w:pStyle w:val="ListParagraph"/>
        <w:spacing w:line="360" w:lineRule="auto"/>
        <w:ind w:left="1440"/>
      </w:pPr>
    </w:p>
    <w:p w:rsidR="002508B3" w:rsidRDefault="00C773A3" w:rsidP="009D16D6">
      <w:pPr>
        <w:pStyle w:val="ListParagraph"/>
        <w:numPr>
          <w:ilvl w:val="0"/>
          <w:numId w:val="11"/>
        </w:numPr>
        <w:autoSpaceDE/>
        <w:autoSpaceDN/>
        <w:spacing w:line="360" w:lineRule="auto"/>
        <w:ind w:left="0" w:firstLine="1440"/>
      </w:pPr>
      <w:r w:rsidRPr="00700B9E">
        <w:t xml:space="preserve">That </w:t>
      </w:r>
      <w:r w:rsidR="00700B9E">
        <w:t xml:space="preserve">Count </w:t>
      </w:r>
      <w:r w:rsidR="00F27B16">
        <w:t xml:space="preserve">VIII </w:t>
      </w:r>
      <w:proofErr w:type="gramStart"/>
      <w:r w:rsidR="00700B9E">
        <w:t>raised</w:t>
      </w:r>
      <w:proofErr w:type="gramEnd"/>
      <w:r w:rsidR="00700B9E">
        <w:t xml:space="preserve"> in the Complaint </w:t>
      </w:r>
      <w:r w:rsidR="00F27B16">
        <w:t xml:space="preserve">is </w:t>
      </w:r>
      <w:r w:rsidRPr="00700B9E">
        <w:t>hereby stricken</w:t>
      </w:r>
      <w:r w:rsidR="00BE726C">
        <w:t xml:space="preserve"> in </w:t>
      </w:r>
      <w:r w:rsidR="00F27B16">
        <w:t xml:space="preserve">its </w:t>
      </w:r>
      <w:r w:rsidR="00BE726C">
        <w:t>entirety</w:t>
      </w:r>
      <w:r w:rsidRPr="00700B9E">
        <w:t>.</w:t>
      </w:r>
    </w:p>
    <w:p w:rsidR="00BE726C" w:rsidRDefault="00BE726C" w:rsidP="00BE726C">
      <w:pPr>
        <w:pStyle w:val="ListParagraph"/>
      </w:pPr>
    </w:p>
    <w:p w:rsidR="00BE726C" w:rsidRPr="00700B9E" w:rsidRDefault="00BE726C" w:rsidP="00BE726C">
      <w:pPr>
        <w:pStyle w:val="ListParagraph"/>
        <w:numPr>
          <w:ilvl w:val="0"/>
          <w:numId w:val="11"/>
        </w:numPr>
        <w:autoSpaceDE/>
        <w:autoSpaceDN/>
        <w:spacing w:line="360" w:lineRule="auto"/>
        <w:ind w:left="0" w:firstLine="1440"/>
      </w:pPr>
      <w:r w:rsidRPr="00700B9E">
        <w:t xml:space="preserve">That </w:t>
      </w:r>
      <w:r>
        <w:t xml:space="preserve">Count </w:t>
      </w:r>
      <w:r w:rsidR="003A64CC">
        <w:t xml:space="preserve">III, </w:t>
      </w:r>
      <w:r w:rsidR="00787F5D">
        <w:t>IV</w:t>
      </w:r>
      <w:r w:rsidR="00F27B16">
        <w:t xml:space="preserve"> and IX </w:t>
      </w:r>
      <w:r>
        <w:t xml:space="preserve">raised in the Complaint are </w:t>
      </w:r>
      <w:r w:rsidRPr="00700B9E">
        <w:t>hereby stricken</w:t>
      </w:r>
      <w:r>
        <w:t xml:space="preserve"> </w:t>
      </w:r>
      <w:r w:rsidR="00F27B16">
        <w:t xml:space="preserve">in part </w:t>
      </w:r>
      <w:r>
        <w:t>consistent with the above discussion.</w:t>
      </w:r>
    </w:p>
    <w:p w:rsidR="005E7BB9" w:rsidRDefault="005E7BB9">
      <w:pPr>
        <w:autoSpaceDE/>
        <w:autoSpaceDN/>
      </w:pPr>
      <w:r>
        <w:br w:type="page"/>
      </w:r>
    </w:p>
    <w:p w:rsidR="002508B3" w:rsidRPr="00700B9E" w:rsidRDefault="002508B3" w:rsidP="002508B3">
      <w:pPr>
        <w:pStyle w:val="ListParagraph"/>
      </w:pPr>
    </w:p>
    <w:p w:rsidR="00223B03" w:rsidRPr="00700B9E" w:rsidRDefault="00223B03" w:rsidP="002508B3">
      <w:pPr>
        <w:pStyle w:val="ListParagraph"/>
        <w:numPr>
          <w:ilvl w:val="0"/>
          <w:numId w:val="11"/>
        </w:numPr>
        <w:spacing w:line="360" w:lineRule="auto"/>
        <w:ind w:left="0" w:firstLine="1440"/>
      </w:pPr>
      <w:r w:rsidRPr="00700B9E">
        <w:t xml:space="preserve">That all other </w:t>
      </w:r>
      <w:r w:rsidR="00787F5D">
        <w:t>Counts</w:t>
      </w:r>
      <w:r w:rsidRPr="00700B9E">
        <w:t xml:space="preserve"> </w:t>
      </w:r>
      <w:proofErr w:type="gramStart"/>
      <w:r w:rsidRPr="00700B9E">
        <w:t>raised</w:t>
      </w:r>
      <w:proofErr w:type="gramEnd"/>
      <w:r w:rsidRPr="00700B9E">
        <w:t xml:space="preserve"> in the </w:t>
      </w:r>
      <w:r w:rsidR="00DD04D4" w:rsidRPr="00700B9E">
        <w:t xml:space="preserve">Complaint </w:t>
      </w:r>
      <w:r w:rsidR="000D3CEC">
        <w:t xml:space="preserve">shall </w:t>
      </w:r>
      <w:r w:rsidRPr="00700B9E">
        <w:t>proceed to a Hearing.</w:t>
      </w:r>
    </w:p>
    <w:p w:rsidR="00444E27" w:rsidRPr="00700B9E" w:rsidRDefault="00444E27" w:rsidP="00444E27"/>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897507">
        <w:rPr>
          <w:u w:val="single"/>
        </w:rPr>
        <w:t xml:space="preserve">August </w:t>
      </w:r>
      <w:r w:rsidR="000D3CEC">
        <w:rPr>
          <w:u w:val="single"/>
        </w:rPr>
        <w:t>20</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FF479F" w:rsidRDefault="00FF479F" w:rsidP="00444E27"/>
    <w:p w:rsidR="00FF479F" w:rsidRDefault="00FF479F" w:rsidP="00444E27">
      <w:pPr>
        <w:sectPr w:rsidR="00FF479F" w:rsidSect="00713D64">
          <w:footerReference w:type="default" r:id="rId9"/>
          <w:pgSz w:w="12240" w:h="15840"/>
          <w:pgMar w:top="1440" w:right="1800" w:bottom="1440" w:left="1800" w:header="720" w:footer="720" w:gutter="0"/>
          <w:cols w:space="720"/>
          <w:titlePg/>
        </w:sectPr>
      </w:pPr>
    </w:p>
    <w:p w:rsidR="00C93D31" w:rsidRDefault="00C93D31" w:rsidP="00FF479F">
      <w:pPr>
        <w:rPr>
          <w:rFonts w:ascii="Microsoft Sans Serif" w:hAnsi="Microsoft Sans Serif" w:cs="Microsoft Sans Serif"/>
          <w:b/>
          <w:u w:val="single"/>
        </w:rPr>
      </w:pPr>
    </w:p>
    <w:p w:rsidR="00C93D31" w:rsidRDefault="00C93D31" w:rsidP="00FF479F">
      <w:pPr>
        <w:rPr>
          <w:rFonts w:ascii="Microsoft Sans Serif" w:hAnsi="Microsoft Sans Serif" w:cs="Microsoft Sans Serif"/>
          <w:b/>
          <w:u w:val="single"/>
        </w:rPr>
      </w:pPr>
    </w:p>
    <w:p w:rsidR="00C93D31" w:rsidRDefault="00C93D31" w:rsidP="00FF479F">
      <w:pPr>
        <w:rPr>
          <w:rFonts w:ascii="Microsoft Sans Serif" w:hAnsi="Microsoft Sans Serif" w:cs="Microsoft Sans Serif"/>
          <w:b/>
          <w:u w:val="single"/>
        </w:rPr>
      </w:pPr>
    </w:p>
    <w:p w:rsidR="00FF479F" w:rsidRPr="00483E47" w:rsidRDefault="00FF479F" w:rsidP="00FF479F">
      <w:pPr>
        <w:rPr>
          <w:rFonts w:ascii="Microsoft Sans Serif" w:hAnsi="Microsoft Sans Serif" w:cs="Microsoft Sans Serif"/>
          <w:b/>
          <w:u w:val="single"/>
        </w:rPr>
      </w:pPr>
      <w:r w:rsidRPr="00483E47">
        <w:rPr>
          <w:rFonts w:ascii="Microsoft Sans Serif" w:hAnsi="Microsoft Sans Serif" w:cs="Microsoft Sans Serif"/>
          <w:b/>
          <w:u w:val="single"/>
        </w:rPr>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FF479F" w:rsidRPr="00E91C8E" w:rsidRDefault="00FF479F" w:rsidP="00FF479F">
      <w:pPr>
        <w:rPr>
          <w:rFonts w:ascii="Microsoft Sans Serif" w:hAnsi="Microsoft Sans Serif" w:cs="Microsoft Sans Serif"/>
          <w:b/>
          <w:i/>
          <w:u w:val="single"/>
        </w:rPr>
      </w:pPr>
      <w:r>
        <w:rPr>
          <w:rFonts w:ascii="Microsoft Sans Serif" w:hAnsi="Microsoft Sans Serif" w:cs="Microsoft Sans Serif"/>
          <w:b/>
          <w:i/>
          <w:u w:val="single"/>
        </w:rPr>
        <w:t>REVISED 8/20/14</w:t>
      </w:r>
    </w:p>
    <w:p w:rsidR="00FF479F" w:rsidRPr="00483E47" w:rsidRDefault="00FF479F" w:rsidP="00FF479F">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FF479F" w:rsidRPr="00483E47" w:rsidRDefault="00FF479F" w:rsidP="00FF479F">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FF479F" w:rsidRPr="00E91C8E" w:rsidRDefault="00FF479F" w:rsidP="00FF479F">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r>
      <w:bookmarkStart w:id="0" w:name="_GoBack"/>
      <w:bookmarkEnd w:id="0"/>
      <w:r w:rsidRPr="00483E47">
        <w:rPr>
          <w:rFonts w:ascii="Microsoft Sans Serif" w:hAnsi="Microsoft Sans Serif" w:cs="Microsoft Sans Serif"/>
        </w:rP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t>717-783-2525</w:t>
      </w:r>
      <w:r w:rsidRPr="00E91C8E">
        <w:rPr>
          <w:rFonts w:ascii="Microsoft Sans Serif" w:hAnsi="Microsoft Sans Serif" w:cs="Microsoft Sans Serif"/>
        </w:rPr>
        <w:cr/>
      </w:r>
    </w:p>
    <w:p w:rsidR="00FF479F" w:rsidRPr="00E91C8E" w:rsidRDefault="00FF479F" w:rsidP="00FF479F">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FF479F" w:rsidRPr="00E91C8E" w:rsidRDefault="00FF479F" w:rsidP="00FF479F">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FF479F" w:rsidRPr="00E91C8E" w:rsidRDefault="00FF479F" w:rsidP="00FF479F">
      <w:pPr>
        <w:rPr>
          <w:rFonts w:ascii="Microsoft Sans Serif" w:hAnsi="Microsoft Sans Serif" w:cs="Microsoft Sans Serif"/>
        </w:rPr>
      </w:pPr>
      <w:r w:rsidRPr="00E91C8E">
        <w:rPr>
          <w:rFonts w:ascii="Microsoft Sans Serif" w:hAnsi="Microsoft Sans Serif" w:cs="Microsoft Sans Serif"/>
        </w:rPr>
        <w:t>PO BOX 3265</w:t>
      </w:r>
    </w:p>
    <w:p w:rsidR="00FF479F" w:rsidRPr="00E91C8E" w:rsidRDefault="00FF479F" w:rsidP="00FF479F">
      <w:pPr>
        <w:rPr>
          <w:rFonts w:ascii="Microsoft Sans Serif" w:hAnsi="Microsoft Sans Serif" w:cs="Microsoft Sans Serif"/>
        </w:rPr>
      </w:pPr>
      <w:r w:rsidRPr="00E91C8E">
        <w:rPr>
          <w:rFonts w:ascii="Microsoft Sans Serif" w:hAnsi="Microsoft Sans Serif" w:cs="Microsoft Sans Serif"/>
        </w:rPr>
        <w:t>HARRISBURG PA  17105-3265</w:t>
      </w:r>
    </w:p>
    <w:p w:rsidR="00FF479F" w:rsidRPr="00E91C8E" w:rsidRDefault="00FF479F" w:rsidP="00FF479F">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FF479F" w:rsidRPr="00E91C8E" w:rsidRDefault="00FF479F" w:rsidP="00FF479F">
      <w:pPr>
        <w:rPr>
          <w:rFonts w:ascii="Microsoft Sans Serif" w:hAnsi="Microsoft Sans Serif" w:cs="Microsoft Sans Serif"/>
        </w:rPr>
      </w:pPr>
    </w:p>
    <w:p w:rsidR="00FF479F" w:rsidRPr="00E91C8E" w:rsidRDefault="00FF479F" w:rsidP="00FF479F">
      <w:pPr>
        <w:rPr>
          <w:rFonts w:ascii="Microsoft Sans Serif" w:hAnsi="Microsoft Sans Serif" w:cs="Microsoft Sans Serif"/>
        </w:rPr>
      </w:pPr>
      <w:r w:rsidRPr="00E91C8E">
        <w:rPr>
          <w:rFonts w:ascii="Microsoft Sans Serif" w:hAnsi="Microsoft Sans Serif" w:cs="Microsoft Sans Serif"/>
        </w:rPr>
        <w:t>KAREN MOURY ESQUIRE</w:t>
      </w:r>
    </w:p>
    <w:p w:rsidR="00FF479F" w:rsidRPr="00483E47" w:rsidRDefault="00FF479F" w:rsidP="00FF479F">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FF479F" w:rsidRPr="002E3B05" w:rsidRDefault="00FF479F" w:rsidP="00FF479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FF479F" w:rsidRPr="00550B34" w:rsidRDefault="00FF479F" w:rsidP="00444E27"/>
    <w:sectPr w:rsidR="00FF479F" w:rsidRPr="00550B34"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C11" w:rsidRDefault="00FD4C11">
      <w:r>
        <w:separator/>
      </w:r>
    </w:p>
  </w:endnote>
  <w:endnote w:type="continuationSeparator" w:id="0">
    <w:p w:rsidR="00FD4C11" w:rsidRDefault="00FD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93D31">
      <w:rPr>
        <w:rStyle w:val="PageNumber"/>
        <w:noProof/>
        <w:sz w:val="23"/>
        <w:szCs w:val="23"/>
      </w:rPr>
      <w:t>24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C11" w:rsidRDefault="00FD4C11">
      <w:r>
        <w:separator/>
      </w:r>
    </w:p>
  </w:footnote>
  <w:footnote w:type="continuationSeparator" w:id="0">
    <w:p w:rsidR="00FD4C11" w:rsidRDefault="00FD4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A248E"/>
    <w:rsid w:val="000B27E2"/>
    <w:rsid w:val="000B2BD1"/>
    <w:rsid w:val="000B6D6C"/>
    <w:rsid w:val="000C3A73"/>
    <w:rsid w:val="000C5271"/>
    <w:rsid w:val="000C541F"/>
    <w:rsid w:val="000C5888"/>
    <w:rsid w:val="000D2CCA"/>
    <w:rsid w:val="000D3CEC"/>
    <w:rsid w:val="000D4032"/>
    <w:rsid w:val="000D67B4"/>
    <w:rsid w:val="000D6D75"/>
    <w:rsid w:val="000E6B3B"/>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3F4C"/>
    <w:rsid w:val="0019509B"/>
    <w:rsid w:val="00197B84"/>
    <w:rsid w:val="001A1495"/>
    <w:rsid w:val="001A397D"/>
    <w:rsid w:val="001A62B0"/>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4E5"/>
    <w:rsid w:val="00217594"/>
    <w:rsid w:val="0022121D"/>
    <w:rsid w:val="00223B03"/>
    <w:rsid w:val="00224765"/>
    <w:rsid w:val="002251CE"/>
    <w:rsid w:val="0023008A"/>
    <w:rsid w:val="0024311B"/>
    <w:rsid w:val="002508B3"/>
    <w:rsid w:val="00252F51"/>
    <w:rsid w:val="0025436A"/>
    <w:rsid w:val="0026329B"/>
    <w:rsid w:val="002636A2"/>
    <w:rsid w:val="00266583"/>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30C99"/>
    <w:rsid w:val="00331314"/>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424C"/>
    <w:rsid w:val="003C50EB"/>
    <w:rsid w:val="003C66F8"/>
    <w:rsid w:val="003D419D"/>
    <w:rsid w:val="003E04E8"/>
    <w:rsid w:val="003E3839"/>
    <w:rsid w:val="003E44F8"/>
    <w:rsid w:val="003E5E54"/>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814"/>
    <w:rsid w:val="0048022D"/>
    <w:rsid w:val="00484CA9"/>
    <w:rsid w:val="00485942"/>
    <w:rsid w:val="00487C67"/>
    <w:rsid w:val="0049010E"/>
    <w:rsid w:val="004907E0"/>
    <w:rsid w:val="00490F28"/>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50B34"/>
    <w:rsid w:val="005534AB"/>
    <w:rsid w:val="00555AB2"/>
    <w:rsid w:val="0056090B"/>
    <w:rsid w:val="00562740"/>
    <w:rsid w:val="0056328E"/>
    <w:rsid w:val="00564A1C"/>
    <w:rsid w:val="00565DDE"/>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3C2"/>
    <w:rsid w:val="00694651"/>
    <w:rsid w:val="0069608E"/>
    <w:rsid w:val="0069608F"/>
    <w:rsid w:val="006A01EF"/>
    <w:rsid w:val="006A2304"/>
    <w:rsid w:val="006A45DF"/>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DA0"/>
    <w:rsid w:val="007653FA"/>
    <w:rsid w:val="00771201"/>
    <w:rsid w:val="00774975"/>
    <w:rsid w:val="00780958"/>
    <w:rsid w:val="00783F05"/>
    <w:rsid w:val="00784AE9"/>
    <w:rsid w:val="007876C7"/>
    <w:rsid w:val="00787F5D"/>
    <w:rsid w:val="007945B3"/>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D71F8"/>
    <w:rsid w:val="008E6D84"/>
    <w:rsid w:val="008E79BF"/>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749E"/>
    <w:rsid w:val="00A92373"/>
    <w:rsid w:val="00A93FB7"/>
    <w:rsid w:val="00AA23BA"/>
    <w:rsid w:val="00AA3B44"/>
    <w:rsid w:val="00AA3DE8"/>
    <w:rsid w:val="00AA5A3B"/>
    <w:rsid w:val="00AB2C39"/>
    <w:rsid w:val="00AB35A6"/>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4A94"/>
    <w:rsid w:val="00B067D4"/>
    <w:rsid w:val="00B105BD"/>
    <w:rsid w:val="00B10BE1"/>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407D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93D31"/>
    <w:rsid w:val="00CA22A8"/>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4490"/>
    <w:rsid w:val="00CF5705"/>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3584A"/>
    <w:rsid w:val="00D44B05"/>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B39B4"/>
    <w:rsid w:val="00DC451E"/>
    <w:rsid w:val="00DC5FA1"/>
    <w:rsid w:val="00DC7C98"/>
    <w:rsid w:val="00DD04D4"/>
    <w:rsid w:val="00DD0CE4"/>
    <w:rsid w:val="00DE3721"/>
    <w:rsid w:val="00DF1668"/>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1B85"/>
    <w:rsid w:val="00E83487"/>
    <w:rsid w:val="00E87CF0"/>
    <w:rsid w:val="00E9187B"/>
    <w:rsid w:val="00E91EAA"/>
    <w:rsid w:val="00E92FD0"/>
    <w:rsid w:val="00E93B0A"/>
    <w:rsid w:val="00E93D93"/>
    <w:rsid w:val="00EA5C78"/>
    <w:rsid w:val="00EB045D"/>
    <w:rsid w:val="00EB41C4"/>
    <w:rsid w:val="00EC1909"/>
    <w:rsid w:val="00EC1DDA"/>
    <w:rsid w:val="00EC2835"/>
    <w:rsid w:val="00EC41FA"/>
    <w:rsid w:val="00EC4455"/>
    <w:rsid w:val="00EC77BB"/>
    <w:rsid w:val="00EC7E13"/>
    <w:rsid w:val="00ED1828"/>
    <w:rsid w:val="00ED4EEA"/>
    <w:rsid w:val="00EE16DD"/>
    <w:rsid w:val="00EE7BAA"/>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D25"/>
    <w:rsid w:val="00F441B2"/>
    <w:rsid w:val="00F46A84"/>
    <w:rsid w:val="00F476E8"/>
    <w:rsid w:val="00F5660C"/>
    <w:rsid w:val="00F63836"/>
    <w:rsid w:val="00F750F4"/>
    <w:rsid w:val="00F76819"/>
    <w:rsid w:val="00F808F8"/>
    <w:rsid w:val="00F824FC"/>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C11"/>
    <w:rsid w:val="00FD636E"/>
    <w:rsid w:val="00FD795C"/>
    <w:rsid w:val="00FE1C67"/>
    <w:rsid w:val="00FE1CDD"/>
    <w:rsid w:val="00FF479F"/>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4B0C-770D-4386-A030-783AB852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2014-08-20T18:23:00Z</cp:lastPrinted>
  <dcterms:created xsi:type="dcterms:W3CDTF">2014-08-20T18:18:00Z</dcterms:created>
  <dcterms:modified xsi:type="dcterms:W3CDTF">2014-08-20T18:24:00Z</dcterms:modified>
</cp:coreProperties>
</file>