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BE152B">
        <w:rPr>
          <w:bCs/>
          <w:color w:val="000000"/>
        </w:rPr>
        <w:t>2427656</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BE152B" w:rsidP="00D65D31">
      <w:pPr>
        <w:widowControl w:val="0"/>
        <w:adjustRightInd w:val="0"/>
        <w:rPr>
          <w:bCs/>
          <w:color w:val="000000"/>
        </w:rPr>
      </w:pPr>
      <w:r>
        <w:rPr>
          <w:bCs/>
          <w:color w:val="000000"/>
        </w:rPr>
        <w:t>Energy Services Providers, Inc. d/b/a</w:t>
      </w:r>
      <w:r w:rsidR="00D65D31" w:rsidRPr="00D65D31">
        <w:rPr>
          <w:bCs/>
          <w:color w:val="000000"/>
        </w:rPr>
        <w:tab/>
      </w:r>
      <w:r w:rsidR="00D65D31" w:rsidRPr="00D65D31">
        <w:rPr>
          <w:bCs/>
          <w:color w:val="000000"/>
        </w:rPr>
        <w:tab/>
      </w:r>
      <w:r w:rsidR="00D65D31" w:rsidRPr="00D65D31">
        <w:rPr>
          <w:bCs/>
          <w:color w:val="000000"/>
        </w:rPr>
        <w:tab/>
        <w:t>:</w:t>
      </w:r>
    </w:p>
    <w:p w:rsidR="00BE152B" w:rsidRPr="00D65D31" w:rsidRDefault="00BE152B" w:rsidP="00D65D31">
      <w:pPr>
        <w:widowControl w:val="0"/>
        <w:adjustRightInd w:val="0"/>
        <w:rPr>
          <w:bCs/>
          <w:color w:val="000000"/>
        </w:rPr>
      </w:pPr>
      <w:r>
        <w:rPr>
          <w:bCs/>
          <w:color w:val="000000"/>
        </w:rPr>
        <w:t>Pennsylvania Gas &amp; Electric</w:t>
      </w:r>
      <w:r>
        <w:rPr>
          <w:bCs/>
          <w:color w:val="000000"/>
        </w:rPr>
        <w:tab/>
      </w:r>
      <w:r>
        <w:rPr>
          <w:bCs/>
          <w:color w:val="000000"/>
        </w:rPr>
        <w:tab/>
      </w:r>
      <w:r>
        <w:rPr>
          <w:bCs/>
          <w:color w:val="000000"/>
        </w:rPr>
        <w:tab/>
      </w:r>
      <w:r>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8C2B8B" w:rsidRDefault="00DD04D4" w:rsidP="0062545F">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IN PART AND DENYING IN PART</w:t>
      </w:r>
    </w:p>
    <w:p w:rsidR="00DD04D4" w:rsidRPr="00550B34" w:rsidRDefault="00DD04D4" w:rsidP="0062545F">
      <w:pPr>
        <w:tabs>
          <w:tab w:val="center" w:pos="4680"/>
        </w:tabs>
        <w:suppressAutoHyphens/>
        <w:jc w:val="center"/>
        <w:rPr>
          <w:b/>
          <w:bCs/>
          <w:spacing w:val="-3"/>
          <w:u w:val="single"/>
        </w:rPr>
      </w:pPr>
      <w:r>
        <w:rPr>
          <w:b/>
          <w:bCs/>
          <w:spacing w:val="-3"/>
          <w:u w:val="single"/>
        </w:rPr>
        <w:t>PRELIMINARY OBJECTION</w:t>
      </w:r>
      <w:r w:rsidR="00897507">
        <w:rPr>
          <w:b/>
          <w:bCs/>
          <w:spacing w:val="-3"/>
          <w:u w:val="single"/>
        </w:rPr>
        <w:t>S</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C773A3" w:rsidRPr="00C773A3" w:rsidRDefault="003B2D14" w:rsidP="00C773A3">
      <w:pPr>
        <w:widowControl w:val="0"/>
        <w:adjustRightInd w:val="0"/>
        <w:spacing w:line="360" w:lineRule="auto"/>
        <w:rPr>
          <w:b/>
          <w:bCs/>
          <w:color w:val="000000"/>
          <w:u w:val="single"/>
        </w:rPr>
      </w:pPr>
      <w:r>
        <w:rPr>
          <w:b/>
          <w:bCs/>
          <w:color w:val="000000"/>
          <w:u w:val="single"/>
        </w:rPr>
        <w:t>Procedural History</w:t>
      </w:r>
    </w:p>
    <w:p w:rsidR="00C773A3" w:rsidRDefault="00C773A3" w:rsidP="0094648D">
      <w:pPr>
        <w:widowControl w:val="0"/>
        <w:adjustRightInd w:val="0"/>
        <w:spacing w:line="360" w:lineRule="auto"/>
        <w:ind w:firstLine="1440"/>
        <w:rPr>
          <w:bCs/>
          <w:color w:val="000000"/>
        </w:rPr>
      </w:pPr>
    </w:p>
    <w:p w:rsidR="00B62154" w:rsidRPr="00C7317B" w:rsidRDefault="00897507" w:rsidP="0094648D">
      <w:pPr>
        <w:widowControl w:val="0"/>
        <w:adjustRightInd w:val="0"/>
        <w:spacing w:line="360" w:lineRule="auto"/>
        <w:ind w:firstLine="1440"/>
        <w:rPr>
          <w:bCs/>
          <w:color w:val="000000"/>
        </w:rPr>
      </w:pPr>
      <w:r w:rsidRPr="00C7317B">
        <w:rPr>
          <w:bCs/>
          <w:color w:val="000000"/>
        </w:rPr>
        <w:t xml:space="preserve">On </w:t>
      </w:r>
      <w:r w:rsidR="00C610DB" w:rsidRPr="00C7317B">
        <w:rPr>
          <w:bCs/>
          <w:color w:val="000000"/>
        </w:rPr>
        <w:t>June 20, 2014, the Commonwealth of Pennsylvania, by Atto</w:t>
      </w:r>
      <w:r w:rsidR="00366F51" w:rsidRPr="00C7317B">
        <w:rPr>
          <w:bCs/>
          <w:color w:val="000000"/>
        </w:rPr>
        <w:t>rney General Kathleen G. Kane, t</w:t>
      </w:r>
      <w:r w:rsidR="00C610DB" w:rsidRPr="00C7317B">
        <w:rPr>
          <w:bCs/>
          <w:color w:val="000000"/>
        </w:rPr>
        <w:t>hrough the Bureau of Consumer Protection (OAG)</w:t>
      </w:r>
      <w:r w:rsidR="006E5176">
        <w:rPr>
          <w:bCs/>
          <w:color w:val="000000"/>
        </w:rPr>
        <w:t>,</w:t>
      </w:r>
      <w:r w:rsidR="00C610DB" w:rsidRPr="00C7317B">
        <w:rPr>
          <w:bCs/>
          <w:color w:val="000000"/>
        </w:rPr>
        <w:t xml:space="preserve"> and Tanya J. McCloskey, Acting Consumer Advocate (OCA) (collectively referred to as “the Joint Complainants”) filed</w:t>
      </w:r>
      <w:r w:rsidR="00F12B16" w:rsidRPr="00C7317B">
        <w:rPr>
          <w:bCs/>
          <w:color w:val="000000"/>
        </w:rPr>
        <w:t xml:space="preserve"> with the Pennsylvania Public Utility Commission (Commission)</w:t>
      </w:r>
      <w:r w:rsidR="00C610DB" w:rsidRPr="00C7317B">
        <w:rPr>
          <w:bCs/>
          <w:color w:val="000000"/>
        </w:rPr>
        <w:t xml:space="preserve"> a formal Complaint against </w:t>
      </w:r>
      <w:r w:rsidR="00C7317B" w:rsidRPr="00C7317B">
        <w:rPr>
          <w:bCs/>
          <w:color w:val="000000"/>
        </w:rPr>
        <w:t xml:space="preserve">Energy Services Providers, Inc. d/b/a Pennsylvania Gas &amp; Electric (ESP or “the Company”), at Docket Number C-2014-2427656.  The Joint Complainants averred that </w:t>
      </w:r>
      <w:r w:rsidR="00C610DB" w:rsidRPr="00C7317B">
        <w:rPr>
          <w:bCs/>
          <w:color w:val="000000"/>
        </w:rPr>
        <w:t xml:space="preserve">they had received numerous contacts and complaints from consumers related to variable rates charged by </w:t>
      </w:r>
      <w:r w:rsidR="00C7317B" w:rsidRPr="00C7317B">
        <w:rPr>
          <w:bCs/>
          <w:color w:val="000000"/>
        </w:rPr>
        <w:t>ESP</w:t>
      </w:r>
      <w:r w:rsidR="00C610DB" w:rsidRPr="00C7317B">
        <w:rPr>
          <w:bCs/>
          <w:color w:val="000000"/>
        </w:rPr>
        <w:t xml:space="preserve">, including approximately </w:t>
      </w:r>
      <w:r w:rsidR="00C7317B" w:rsidRPr="00C7317B">
        <w:rPr>
          <w:bCs/>
          <w:color w:val="000000"/>
        </w:rPr>
        <w:t xml:space="preserve">23 </w:t>
      </w:r>
      <w:r w:rsidR="00C610DB" w:rsidRPr="00C7317B">
        <w:rPr>
          <w:bCs/>
          <w:color w:val="000000"/>
        </w:rPr>
        <w:t xml:space="preserve">formal complaints filed by consumers at the Commission.  The Joint Complainants further averred that </w:t>
      </w:r>
      <w:r w:rsidR="00C7317B" w:rsidRPr="00C7317B">
        <w:rPr>
          <w:bCs/>
          <w:color w:val="000000"/>
        </w:rPr>
        <w:t xml:space="preserve">ESP </w:t>
      </w:r>
      <w:r w:rsidR="00C610DB" w:rsidRPr="00C7317B">
        <w:rPr>
          <w:bCs/>
          <w:color w:val="000000"/>
        </w:rPr>
        <w:t xml:space="preserve">used a variety of marketing and advertising mediums to solicit residential customers for its variable rate plan.  As a result, the Joint Complainants averred </w:t>
      </w:r>
      <w:r w:rsidR="00C7317B" w:rsidRPr="00C7317B">
        <w:rPr>
          <w:bCs/>
          <w:color w:val="000000"/>
        </w:rPr>
        <w:t xml:space="preserve">seven </w:t>
      </w:r>
      <w:r w:rsidR="00C610DB" w:rsidRPr="00C7317B">
        <w:rPr>
          <w:bCs/>
          <w:color w:val="000000"/>
        </w:rPr>
        <w:t xml:space="preserve">separate counts against </w:t>
      </w:r>
      <w:r w:rsidR="00C7317B" w:rsidRPr="00C7317B">
        <w:rPr>
          <w:bCs/>
          <w:color w:val="000000"/>
        </w:rPr>
        <w:t>ESP</w:t>
      </w:r>
      <w:r w:rsidR="00C610DB" w:rsidRPr="00C7317B">
        <w:rPr>
          <w:bCs/>
          <w:color w:val="000000"/>
        </w:rPr>
        <w:t>, including</w:t>
      </w:r>
      <w:r w:rsidR="00CA22A8" w:rsidRPr="00C7317B">
        <w:rPr>
          <w:bCs/>
          <w:color w:val="000000"/>
        </w:rPr>
        <w:t xml:space="preserve">, </w:t>
      </w:r>
      <w:r w:rsidR="00366F51" w:rsidRPr="00C7317B">
        <w:rPr>
          <w:bCs/>
          <w:color w:val="000000"/>
        </w:rPr>
        <w:t>but not limited to</w:t>
      </w:r>
      <w:r w:rsidR="00CA22A8" w:rsidRPr="00C7317B">
        <w:rPr>
          <w:bCs/>
          <w:color w:val="000000"/>
        </w:rPr>
        <w:t xml:space="preserve">, making misleading and deceptive promises of savings, slamming and failing to provide accurate pricing information.  The Joint Complainants </w:t>
      </w:r>
      <w:r w:rsidR="00B62154" w:rsidRPr="00C7317B">
        <w:rPr>
          <w:bCs/>
          <w:color w:val="000000"/>
        </w:rPr>
        <w:t>made several requests</w:t>
      </w:r>
      <w:r w:rsidR="00436D29" w:rsidRPr="00C7317B">
        <w:rPr>
          <w:bCs/>
          <w:color w:val="000000"/>
        </w:rPr>
        <w:t xml:space="preserve"> for relief</w:t>
      </w:r>
      <w:r w:rsidR="00B62154" w:rsidRPr="00C7317B">
        <w:rPr>
          <w:bCs/>
          <w:color w:val="000000"/>
        </w:rPr>
        <w:t>, including providing restitution and prohibit</w:t>
      </w:r>
      <w:r w:rsidR="00D3584A" w:rsidRPr="00C7317B">
        <w:rPr>
          <w:bCs/>
          <w:color w:val="000000"/>
        </w:rPr>
        <w:t>ing</w:t>
      </w:r>
      <w:r w:rsidR="00B62154" w:rsidRPr="00C7317B">
        <w:rPr>
          <w:bCs/>
          <w:color w:val="000000"/>
        </w:rPr>
        <w:t xml:space="preserve"> deceptive practices in the future.  The Joint Complainants provided several attachments to their Complaint.</w:t>
      </w:r>
    </w:p>
    <w:p w:rsidR="00B62154" w:rsidRPr="00BE152B" w:rsidRDefault="00B62154" w:rsidP="0094648D">
      <w:pPr>
        <w:widowControl w:val="0"/>
        <w:adjustRightInd w:val="0"/>
        <w:spacing w:line="360" w:lineRule="auto"/>
        <w:ind w:firstLine="1440"/>
        <w:rPr>
          <w:bCs/>
          <w:strike/>
          <w:color w:val="000000"/>
        </w:rPr>
      </w:pPr>
    </w:p>
    <w:p w:rsidR="000117EE" w:rsidRDefault="00B62154" w:rsidP="0094648D">
      <w:pPr>
        <w:widowControl w:val="0"/>
        <w:adjustRightInd w:val="0"/>
        <w:spacing w:line="360" w:lineRule="auto"/>
        <w:ind w:firstLine="1440"/>
        <w:rPr>
          <w:bCs/>
          <w:color w:val="000000"/>
        </w:rPr>
      </w:pPr>
      <w:r w:rsidRPr="00C7317B">
        <w:rPr>
          <w:bCs/>
          <w:color w:val="000000"/>
        </w:rPr>
        <w:t xml:space="preserve">On July 10, 2014, </w:t>
      </w:r>
      <w:r w:rsidR="00C7317B" w:rsidRPr="00C7317B">
        <w:rPr>
          <w:bCs/>
          <w:color w:val="000000"/>
        </w:rPr>
        <w:t xml:space="preserve">ESP </w:t>
      </w:r>
      <w:r w:rsidRPr="00C7317B">
        <w:rPr>
          <w:bCs/>
          <w:color w:val="000000"/>
        </w:rPr>
        <w:t xml:space="preserve">filed an Answer and New Matter in response to the Complaint.  In its Answer, </w:t>
      </w:r>
      <w:r w:rsidR="00C7317B" w:rsidRPr="00C7317B">
        <w:rPr>
          <w:bCs/>
          <w:color w:val="000000"/>
        </w:rPr>
        <w:t xml:space="preserve">ESP </w:t>
      </w:r>
      <w:r w:rsidRPr="00C7317B">
        <w:rPr>
          <w:bCs/>
          <w:color w:val="000000"/>
        </w:rPr>
        <w:t xml:space="preserve">admitted or denied the various averments made by the Joint Complainants.  In particular, </w:t>
      </w:r>
      <w:r w:rsidR="00C7317B">
        <w:rPr>
          <w:bCs/>
          <w:color w:val="000000"/>
        </w:rPr>
        <w:t>ESP</w:t>
      </w:r>
      <w:r w:rsidRPr="00C7317B">
        <w:rPr>
          <w:bCs/>
          <w:color w:val="000000"/>
        </w:rPr>
        <w:t xml:space="preserve"> specifically denied that </w:t>
      </w:r>
      <w:r w:rsidR="00C7317B">
        <w:rPr>
          <w:bCs/>
          <w:color w:val="000000"/>
        </w:rPr>
        <w:t xml:space="preserve">any of its actions violated Pennsylvania law or the orders and regulations of the Commission.  ESP also denied that it misled or deceived any of its customers regarding the price customers would pay for their electricity to their harm or detriment.  ESP </w:t>
      </w:r>
      <w:r w:rsidRPr="00C7317B">
        <w:rPr>
          <w:bCs/>
          <w:color w:val="000000"/>
        </w:rPr>
        <w:t xml:space="preserve">averred that, on the contrary, </w:t>
      </w:r>
      <w:r w:rsidR="00C7317B">
        <w:rPr>
          <w:bCs/>
          <w:color w:val="000000"/>
        </w:rPr>
        <w:t>its variable pricing followed the wholesale price of electricity in precisely the manner disclosed by ESP and agreed to by its customers.</w:t>
      </w:r>
    </w:p>
    <w:p w:rsidR="00C7317B" w:rsidRDefault="00C7317B" w:rsidP="0094648D">
      <w:pPr>
        <w:widowControl w:val="0"/>
        <w:adjustRightInd w:val="0"/>
        <w:spacing w:line="360" w:lineRule="auto"/>
        <w:ind w:firstLine="1440"/>
        <w:rPr>
          <w:bCs/>
          <w:color w:val="000000"/>
        </w:rPr>
      </w:pPr>
    </w:p>
    <w:p w:rsidR="00C7317B" w:rsidRDefault="00C7317B" w:rsidP="0094648D">
      <w:pPr>
        <w:widowControl w:val="0"/>
        <w:adjustRightInd w:val="0"/>
        <w:spacing w:line="360" w:lineRule="auto"/>
        <w:ind w:firstLine="1440"/>
        <w:rPr>
          <w:bCs/>
          <w:color w:val="000000"/>
        </w:rPr>
      </w:pPr>
      <w:r>
        <w:rPr>
          <w:bCs/>
          <w:color w:val="000000"/>
        </w:rPr>
        <w:t xml:space="preserve">In its New Matter, which was accompanied by a Notice to Plead, ESP averred, among other things, that </w:t>
      </w:r>
      <w:r w:rsidR="002C5171">
        <w:rPr>
          <w:bCs/>
          <w:color w:val="000000"/>
        </w:rPr>
        <w:t xml:space="preserve">the Commission previously reviewed and approved ESP’s Disclosure Statement and that at all times during the period covered by the allegations in the Complaint, ESP’s pricing was consistent with the Disclosure Statement, except to the extent that ESP voluntarily absorbed extremely high wholesale electricity prices.  ESP also averred that its customer service department historically was staffed with approximately ten individuals and had a very favorable response time for calls.  ESP </w:t>
      </w:r>
      <w:r w:rsidR="002516D4">
        <w:rPr>
          <w:bCs/>
          <w:color w:val="000000"/>
        </w:rPr>
        <w:t>averred</w:t>
      </w:r>
      <w:r w:rsidR="002C5171">
        <w:rPr>
          <w:bCs/>
          <w:color w:val="000000"/>
        </w:rPr>
        <w:t xml:space="preserve"> thirteen affirmative defenses and concluded by requesting that the Commission dismiss the Complaint with prejudice.</w:t>
      </w:r>
    </w:p>
    <w:p w:rsidR="002C5171" w:rsidRDefault="002C5171" w:rsidP="0094648D">
      <w:pPr>
        <w:widowControl w:val="0"/>
        <w:adjustRightInd w:val="0"/>
        <w:spacing w:line="360" w:lineRule="auto"/>
        <w:ind w:firstLine="1440"/>
        <w:rPr>
          <w:bCs/>
          <w:color w:val="000000"/>
        </w:rPr>
      </w:pPr>
    </w:p>
    <w:p w:rsidR="002C5171" w:rsidRDefault="002C5171" w:rsidP="0094648D">
      <w:pPr>
        <w:widowControl w:val="0"/>
        <w:adjustRightInd w:val="0"/>
        <w:spacing w:line="360" w:lineRule="auto"/>
        <w:ind w:firstLine="1440"/>
        <w:rPr>
          <w:bCs/>
          <w:color w:val="000000"/>
        </w:rPr>
      </w:pPr>
      <w:r>
        <w:rPr>
          <w:bCs/>
          <w:color w:val="000000"/>
        </w:rPr>
        <w:t>Also on July 10, 2014, ESP filed Preliminary Objections in response to the Complaint.  In its Preliminary Objections, which was also accompanied by a Notice to Plead, ESP seeks dismissal of each Count of the Complaint</w:t>
      </w:r>
      <w:r w:rsidR="00D4089A">
        <w:rPr>
          <w:bCs/>
          <w:color w:val="000000"/>
        </w:rPr>
        <w:t xml:space="preserve"> for various reasons, including insufficient specificity, lack of Commission jurisdiction and legal insufficiency, as discussed further below.</w:t>
      </w:r>
    </w:p>
    <w:p w:rsidR="00D4089A" w:rsidRDefault="00D4089A" w:rsidP="0094648D">
      <w:pPr>
        <w:widowControl w:val="0"/>
        <w:adjustRightInd w:val="0"/>
        <w:spacing w:line="360" w:lineRule="auto"/>
        <w:ind w:firstLine="1440"/>
        <w:rPr>
          <w:bCs/>
          <w:color w:val="000000"/>
        </w:rPr>
      </w:pPr>
    </w:p>
    <w:p w:rsidR="00EA5C78" w:rsidRPr="00070025" w:rsidRDefault="00D4089A" w:rsidP="0094648D">
      <w:pPr>
        <w:widowControl w:val="0"/>
        <w:adjustRightInd w:val="0"/>
        <w:spacing w:line="360" w:lineRule="auto"/>
        <w:ind w:firstLine="1440"/>
        <w:rPr>
          <w:bCs/>
          <w:color w:val="000000"/>
        </w:rPr>
      </w:pPr>
      <w:r>
        <w:rPr>
          <w:bCs/>
          <w:color w:val="000000"/>
        </w:rPr>
        <w:t xml:space="preserve">On July 21, 2014, the Joint Complainants filed an Answer to ESP’s Preliminary Objections.  In their Answer, the Joint Complainants asserted that </w:t>
      </w:r>
      <w:r w:rsidR="00070025">
        <w:rPr>
          <w:bCs/>
          <w:color w:val="000000"/>
        </w:rPr>
        <w:t xml:space="preserve">ESP’s Preliminary Objections are unsupported and should be overruled.  The Joint Complainants added that it is clear and free from doubt that the Joint Complaint is sufficiently pleaded and seeks that the Commission make determinations pursuant to its jurisdiction and powers.  </w:t>
      </w:r>
      <w:r w:rsidR="00FD636E" w:rsidRPr="00070025">
        <w:rPr>
          <w:bCs/>
          <w:color w:val="000000"/>
        </w:rPr>
        <w:t>More specifically, the Joint Complainants aver</w:t>
      </w:r>
      <w:r w:rsidR="00436D29" w:rsidRPr="00070025">
        <w:rPr>
          <w:bCs/>
          <w:color w:val="000000"/>
        </w:rPr>
        <w:t>red</w:t>
      </w:r>
      <w:r w:rsidR="00FD636E" w:rsidRPr="00070025">
        <w:rPr>
          <w:bCs/>
          <w:color w:val="000000"/>
        </w:rPr>
        <w:t xml:space="preserve"> that the Commission has jurisdiction to hear cases brought pursuant to the Unfair Trade Practices/Consumer Protection Law </w:t>
      </w:r>
      <w:r w:rsidR="007F19A5" w:rsidRPr="00070025">
        <w:rPr>
          <w:bCs/>
          <w:color w:val="000000"/>
        </w:rPr>
        <w:t xml:space="preserve">(UTP/CPL) </w:t>
      </w:r>
      <w:r w:rsidR="00FD636E" w:rsidRPr="00070025">
        <w:rPr>
          <w:bCs/>
          <w:color w:val="000000"/>
        </w:rPr>
        <w:t>and the Telemarketer Registration Act</w:t>
      </w:r>
      <w:r w:rsidR="007F19A5" w:rsidRPr="00070025">
        <w:rPr>
          <w:bCs/>
          <w:color w:val="000000"/>
        </w:rPr>
        <w:t xml:space="preserve"> (TRA)</w:t>
      </w:r>
      <w:r w:rsidR="00FD636E" w:rsidRPr="00070025">
        <w:rPr>
          <w:bCs/>
          <w:color w:val="000000"/>
        </w:rPr>
        <w:t>.</w:t>
      </w:r>
    </w:p>
    <w:p w:rsidR="00B62154" w:rsidRPr="00070025" w:rsidRDefault="00B62154" w:rsidP="0094648D">
      <w:pPr>
        <w:widowControl w:val="0"/>
        <w:adjustRightInd w:val="0"/>
        <w:spacing w:line="360" w:lineRule="auto"/>
        <w:ind w:firstLine="1440"/>
        <w:rPr>
          <w:bCs/>
          <w:color w:val="000000"/>
        </w:rPr>
      </w:pPr>
    </w:p>
    <w:p w:rsidR="00070025" w:rsidRDefault="00EA5C78" w:rsidP="00EA5C78">
      <w:pPr>
        <w:widowControl w:val="0"/>
        <w:adjustRightInd w:val="0"/>
        <w:spacing w:line="360" w:lineRule="auto"/>
        <w:ind w:firstLine="1440"/>
        <w:rPr>
          <w:bCs/>
          <w:color w:val="000000"/>
        </w:rPr>
      </w:pPr>
      <w:r w:rsidRPr="00070025">
        <w:rPr>
          <w:bCs/>
          <w:color w:val="000000"/>
        </w:rPr>
        <w:t xml:space="preserve">On July </w:t>
      </w:r>
      <w:r w:rsidR="007F6BDD" w:rsidRPr="00070025">
        <w:rPr>
          <w:bCs/>
          <w:color w:val="000000"/>
        </w:rPr>
        <w:t>30</w:t>
      </w:r>
      <w:r w:rsidRPr="00070025">
        <w:rPr>
          <w:bCs/>
          <w:color w:val="000000"/>
        </w:rPr>
        <w:t xml:space="preserve">, 2014, the Joint Complainants filed an Answer to </w:t>
      </w:r>
      <w:r w:rsidR="00070025">
        <w:rPr>
          <w:bCs/>
          <w:color w:val="000000"/>
        </w:rPr>
        <w:t>ESP’s</w:t>
      </w:r>
      <w:r w:rsidRPr="00070025">
        <w:rPr>
          <w:bCs/>
          <w:color w:val="000000"/>
        </w:rPr>
        <w:t xml:space="preserve"> New Matter.  In its Answer, the Joint Complainants </w:t>
      </w:r>
      <w:r w:rsidR="00F36AB5">
        <w:rPr>
          <w:bCs/>
          <w:color w:val="000000"/>
        </w:rPr>
        <w:t xml:space="preserve">specifically denied the averments made in ESP’s New Matter, including that the Commission reviewed and approved ESP’s Disclosure Statement and </w:t>
      </w:r>
      <w:r w:rsidR="002516D4">
        <w:rPr>
          <w:bCs/>
          <w:color w:val="000000"/>
        </w:rPr>
        <w:t xml:space="preserve">denied </w:t>
      </w:r>
      <w:r w:rsidR="00F36AB5">
        <w:rPr>
          <w:bCs/>
          <w:color w:val="000000"/>
        </w:rPr>
        <w:t>that the stated information in any way absolves ESP of the violations alleged in the Complaint.  The Joint Complainants further responded to each of the Affirmative Defenses raised by ESP and concluded by requesting that the Commission enter judgment against ESP and in their favor.</w:t>
      </w:r>
    </w:p>
    <w:p w:rsidR="00FD636E" w:rsidRPr="00BE152B" w:rsidRDefault="00FD636E" w:rsidP="0094648D">
      <w:pPr>
        <w:widowControl w:val="0"/>
        <w:adjustRightInd w:val="0"/>
        <w:spacing w:line="360" w:lineRule="auto"/>
        <w:ind w:firstLine="1440"/>
        <w:rPr>
          <w:bCs/>
          <w:strike/>
          <w:color w:val="000000"/>
        </w:rPr>
      </w:pPr>
    </w:p>
    <w:p w:rsidR="00FD636E" w:rsidRPr="00070025" w:rsidRDefault="00436D29" w:rsidP="0094648D">
      <w:pPr>
        <w:widowControl w:val="0"/>
        <w:adjustRightInd w:val="0"/>
        <w:spacing w:line="360" w:lineRule="auto"/>
        <w:ind w:firstLine="1440"/>
        <w:rPr>
          <w:bCs/>
          <w:color w:val="000000"/>
        </w:rPr>
      </w:pPr>
      <w:r w:rsidRPr="00070025">
        <w:rPr>
          <w:bCs/>
          <w:color w:val="000000"/>
        </w:rPr>
        <w:t>Also o</w:t>
      </w:r>
      <w:r w:rsidR="00FD636E" w:rsidRPr="00070025">
        <w:rPr>
          <w:bCs/>
          <w:color w:val="000000"/>
        </w:rPr>
        <w:t xml:space="preserve">n July </w:t>
      </w:r>
      <w:r w:rsidR="00366F51" w:rsidRPr="00070025">
        <w:rPr>
          <w:bCs/>
          <w:color w:val="000000"/>
        </w:rPr>
        <w:t>30</w:t>
      </w:r>
      <w:r w:rsidR="00FD636E" w:rsidRPr="00070025">
        <w:rPr>
          <w:bCs/>
          <w:color w:val="000000"/>
        </w:rPr>
        <w:t>, 2014, the Commission issued a Prehearing Conference Notice establishing an Initial Prehearing Conference for this matter f</w:t>
      </w:r>
      <w:r w:rsidR="00070025">
        <w:rPr>
          <w:bCs/>
          <w:color w:val="000000"/>
        </w:rPr>
        <w:t>or Monday, August 25, 2014 at 11</w:t>
      </w:r>
      <w:r w:rsidR="00FD636E" w:rsidRPr="00070025">
        <w:rPr>
          <w:bCs/>
          <w:color w:val="000000"/>
        </w:rPr>
        <w:t xml:space="preserve">:00 a.m. in Hearing Room </w:t>
      </w:r>
      <w:r w:rsidR="007F6BDD" w:rsidRPr="00070025">
        <w:rPr>
          <w:bCs/>
          <w:color w:val="000000"/>
        </w:rPr>
        <w:t>1</w:t>
      </w:r>
      <w:r w:rsidR="00FD636E" w:rsidRPr="00070025">
        <w:rPr>
          <w:bCs/>
          <w:color w:val="000000"/>
        </w:rPr>
        <w:t xml:space="preserve"> of the Commonwealth Keystone Building in Harrisburg and assigning us as Presiding Officers.  </w:t>
      </w:r>
    </w:p>
    <w:p w:rsidR="00FD636E" w:rsidRPr="00070025" w:rsidRDefault="00FD636E" w:rsidP="0094648D">
      <w:pPr>
        <w:widowControl w:val="0"/>
        <w:adjustRightInd w:val="0"/>
        <w:spacing w:line="360" w:lineRule="auto"/>
        <w:ind w:firstLine="1440"/>
        <w:rPr>
          <w:bCs/>
          <w:color w:val="000000"/>
        </w:rPr>
      </w:pPr>
    </w:p>
    <w:p w:rsidR="00CF5705" w:rsidRPr="00070025" w:rsidRDefault="00070025" w:rsidP="00E20D55">
      <w:pPr>
        <w:spacing w:line="360" w:lineRule="auto"/>
        <w:ind w:firstLine="1440"/>
        <w:rPr>
          <w:bCs/>
          <w:color w:val="000000"/>
        </w:rPr>
      </w:pPr>
      <w:r w:rsidRPr="00070025">
        <w:rPr>
          <w:bCs/>
          <w:color w:val="000000"/>
        </w:rPr>
        <w:t>ESP’s</w:t>
      </w:r>
      <w:r w:rsidR="00FD636E" w:rsidRPr="00070025">
        <w:rPr>
          <w:bCs/>
          <w:color w:val="000000"/>
        </w:rPr>
        <w:t xml:space="preserve"> Preliminary Objection</w:t>
      </w:r>
      <w:r w:rsidR="00EF26AE" w:rsidRPr="00070025">
        <w:rPr>
          <w:bCs/>
          <w:color w:val="000000"/>
        </w:rPr>
        <w:t>s</w:t>
      </w:r>
      <w:r w:rsidR="00FD636E" w:rsidRPr="00070025">
        <w:rPr>
          <w:bCs/>
          <w:color w:val="000000"/>
        </w:rPr>
        <w:t xml:space="preserve"> are</w:t>
      </w:r>
      <w:r w:rsidR="00EF26AE" w:rsidRPr="00070025">
        <w:rPr>
          <w:bCs/>
          <w:color w:val="000000"/>
        </w:rPr>
        <w:t xml:space="preserve"> ready for disposition.  For the reasons discussed further below, </w:t>
      </w:r>
      <w:r w:rsidRPr="00070025">
        <w:rPr>
          <w:bCs/>
          <w:color w:val="000000"/>
        </w:rPr>
        <w:t>ESP’s</w:t>
      </w:r>
      <w:r w:rsidR="00FD636E" w:rsidRPr="00070025">
        <w:rPr>
          <w:bCs/>
          <w:color w:val="000000"/>
        </w:rPr>
        <w:t xml:space="preserve"> </w:t>
      </w:r>
      <w:r w:rsidR="00EF26AE" w:rsidRPr="00070025">
        <w:rPr>
          <w:bCs/>
          <w:color w:val="000000"/>
        </w:rPr>
        <w:t>Preliminary Objection</w:t>
      </w:r>
      <w:r w:rsidR="00FD636E" w:rsidRPr="00070025">
        <w:rPr>
          <w:bCs/>
          <w:color w:val="000000"/>
        </w:rPr>
        <w:t>s</w:t>
      </w:r>
      <w:r w:rsidR="00EF26AE" w:rsidRPr="00070025">
        <w:rPr>
          <w:bCs/>
          <w:color w:val="000000"/>
        </w:rPr>
        <w:t xml:space="preserve"> will be </w:t>
      </w:r>
      <w:r w:rsidR="008C2B8B" w:rsidRPr="00070025">
        <w:rPr>
          <w:bCs/>
          <w:color w:val="000000"/>
        </w:rPr>
        <w:t>granted in part and denied in part</w:t>
      </w:r>
      <w:r w:rsidR="00EF26AE" w:rsidRPr="00070025">
        <w:rPr>
          <w:bCs/>
          <w:color w:val="000000"/>
        </w:rPr>
        <w:t>.</w:t>
      </w:r>
    </w:p>
    <w:p w:rsidR="00C773A3" w:rsidRPr="00070025" w:rsidRDefault="00C773A3" w:rsidP="00C773A3">
      <w:pPr>
        <w:spacing w:line="360" w:lineRule="auto"/>
        <w:rPr>
          <w:bCs/>
          <w:color w:val="000000"/>
        </w:rPr>
      </w:pPr>
    </w:p>
    <w:p w:rsidR="00C773A3" w:rsidRPr="00070025" w:rsidRDefault="00C773A3" w:rsidP="00C773A3">
      <w:pPr>
        <w:spacing w:line="360" w:lineRule="auto"/>
        <w:rPr>
          <w:b/>
          <w:bCs/>
          <w:color w:val="000000"/>
          <w:u w:val="single"/>
        </w:rPr>
      </w:pPr>
      <w:r w:rsidRPr="00070025">
        <w:rPr>
          <w:b/>
          <w:bCs/>
          <w:color w:val="000000"/>
          <w:u w:val="single"/>
        </w:rPr>
        <w:t>Legal Standard</w:t>
      </w:r>
    </w:p>
    <w:p w:rsidR="00C773A3" w:rsidRPr="00070025" w:rsidRDefault="00C773A3" w:rsidP="00C773A3">
      <w:pPr>
        <w:spacing w:line="360" w:lineRule="auto"/>
        <w:rPr>
          <w:bCs/>
          <w:color w:val="000000"/>
        </w:rPr>
      </w:pPr>
    </w:p>
    <w:p w:rsidR="004F664A" w:rsidRPr="00070025" w:rsidRDefault="004F664A" w:rsidP="004F664A">
      <w:pPr>
        <w:widowControl w:val="0"/>
        <w:adjustRightInd w:val="0"/>
        <w:spacing w:line="360" w:lineRule="auto"/>
        <w:ind w:firstLine="1440"/>
        <w:rPr>
          <w:color w:val="000000"/>
        </w:rPr>
      </w:pPr>
      <w:r w:rsidRPr="00070025">
        <w:rPr>
          <w:color w:val="000000"/>
        </w:rPr>
        <w:t xml:space="preserve">Section 5.101 of the Commission’s Rules of Administrative Practice and Procedure provides for the filing of Preliminary Objections.  </w:t>
      </w:r>
      <w:proofErr w:type="gramStart"/>
      <w:r w:rsidRPr="00070025">
        <w:rPr>
          <w:color w:val="000000"/>
        </w:rPr>
        <w:t xml:space="preserve">52 Pa.Code </w:t>
      </w:r>
      <w:r w:rsidRPr="00070025">
        <w:rPr>
          <w:color w:val="000000"/>
          <w:w w:val="86"/>
        </w:rPr>
        <w:t xml:space="preserve">§ </w:t>
      </w:r>
      <w:r w:rsidRPr="00070025">
        <w:rPr>
          <w:color w:val="000000"/>
        </w:rPr>
        <w:t>5.101.</w:t>
      </w:r>
      <w:proofErr w:type="gramEnd"/>
      <w:r w:rsidRPr="00070025">
        <w:rPr>
          <w:color w:val="000000"/>
        </w:rPr>
        <w:t xml:space="preserve">  Commission Preliminary Objection practice is comparable to Pennsylvania civil practice respecting the filing of Preliminary Objections.  </w:t>
      </w:r>
      <w:r w:rsidRPr="00070025">
        <w:rPr>
          <w:iCs/>
          <w:color w:val="000000"/>
          <w:u w:val="single"/>
        </w:rPr>
        <w:t>Equitable Small Transportation Intervenors v. Equitable Gas Company</w:t>
      </w:r>
      <w:r w:rsidRPr="00070025">
        <w:rPr>
          <w:i/>
          <w:iCs/>
          <w:color w:val="000000"/>
        </w:rPr>
        <w:t xml:space="preserve">, </w:t>
      </w:r>
      <w:r w:rsidRPr="00070025">
        <w:rPr>
          <w:color w:val="000000"/>
        </w:rPr>
        <w:t>199</w:t>
      </w:r>
      <w:r w:rsidR="000F4B2C">
        <w:rPr>
          <w:color w:val="000000"/>
        </w:rPr>
        <w:t xml:space="preserve">4 Pa PUC LEXIS 69, Docket No. </w:t>
      </w:r>
      <w:proofErr w:type="gramStart"/>
      <w:r w:rsidR="000F4B2C">
        <w:rPr>
          <w:color w:val="000000"/>
        </w:rPr>
        <w:t>C</w:t>
      </w:r>
      <w:r w:rsidR="000F4B2C">
        <w:rPr>
          <w:color w:val="000000"/>
        </w:rPr>
        <w:noBreakHyphen/>
      </w:r>
      <w:r w:rsidRPr="00070025">
        <w:rPr>
          <w:color w:val="000000"/>
        </w:rPr>
        <w:t>00935435 (July 18, 1994) (</w:t>
      </w:r>
      <w:r w:rsidRPr="00070025">
        <w:rPr>
          <w:color w:val="000000"/>
          <w:u w:val="single"/>
        </w:rPr>
        <w:t>Equitable</w:t>
      </w:r>
      <w:r w:rsidRPr="00070025">
        <w:rPr>
          <w:color w:val="000000"/>
        </w:rPr>
        <w:t>).</w:t>
      </w:r>
      <w:proofErr w:type="gramEnd"/>
      <w:r w:rsidRPr="00070025">
        <w:rPr>
          <w:color w:val="000000"/>
        </w:rPr>
        <w:t xml:space="preserve">  Section 5.101(a) provides:</w:t>
      </w:r>
    </w:p>
    <w:p w:rsidR="004F664A" w:rsidRPr="00070025" w:rsidRDefault="004F664A" w:rsidP="004F664A">
      <w:pPr>
        <w:widowControl w:val="0"/>
        <w:tabs>
          <w:tab w:val="left" w:pos="1469"/>
          <w:tab w:val="left" w:pos="2196"/>
        </w:tabs>
        <w:adjustRightInd w:val="0"/>
        <w:spacing w:line="360" w:lineRule="auto"/>
        <w:ind w:left="1440" w:right="1440"/>
        <w:rPr>
          <w:color w:val="000000"/>
        </w:rPr>
      </w:pPr>
    </w:p>
    <w:p w:rsidR="004F664A" w:rsidRPr="00070025" w:rsidRDefault="004F664A" w:rsidP="003B2D14">
      <w:pPr>
        <w:widowControl w:val="0"/>
        <w:tabs>
          <w:tab w:val="left" w:pos="1469"/>
          <w:tab w:val="left" w:pos="2196"/>
        </w:tabs>
        <w:adjustRightInd w:val="0"/>
        <w:ind w:left="1440" w:right="1440"/>
        <w:rPr>
          <w:color w:val="000000"/>
        </w:rPr>
      </w:pPr>
      <w:r w:rsidRPr="00070025">
        <w:rPr>
          <w:color w:val="000000"/>
        </w:rPr>
        <w:t xml:space="preserve">(a) </w:t>
      </w:r>
      <w:r w:rsidRPr="00070025">
        <w:rPr>
          <w:color w:val="000000"/>
        </w:rPr>
        <w:tab/>
      </w:r>
      <w:r w:rsidRPr="00070025">
        <w:rPr>
          <w:i/>
          <w:iCs/>
          <w:color w:val="000000"/>
        </w:rPr>
        <w:t xml:space="preserve">Grounds.  </w:t>
      </w:r>
      <w:r w:rsidRPr="00070025">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F664A" w:rsidRPr="00070025" w:rsidRDefault="004F664A" w:rsidP="003B2D14">
      <w:pPr>
        <w:widowControl w:val="0"/>
        <w:tabs>
          <w:tab w:val="left" w:pos="2203"/>
          <w:tab w:val="left" w:pos="2909"/>
        </w:tabs>
        <w:adjustRightInd w:val="0"/>
        <w:ind w:right="1440"/>
      </w:pPr>
    </w:p>
    <w:p w:rsidR="004F664A" w:rsidRPr="00070025" w:rsidRDefault="004F664A" w:rsidP="003B2D14">
      <w:pPr>
        <w:widowControl w:val="0"/>
        <w:numPr>
          <w:ilvl w:val="0"/>
          <w:numId w:val="18"/>
        </w:numPr>
        <w:tabs>
          <w:tab w:val="left" w:pos="2203"/>
          <w:tab w:val="left" w:pos="2909"/>
        </w:tabs>
        <w:autoSpaceDE/>
        <w:autoSpaceDN/>
        <w:adjustRightInd w:val="0"/>
        <w:ind w:right="1440"/>
        <w:rPr>
          <w:color w:val="000000"/>
        </w:rPr>
      </w:pPr>
      <w:r w:rsidRPr="00070025">
        <w:rPr>
          <w:color w:val="000000"/>
        </w:rPr>
        <w:t>Lack of Commission jurisdiction or improper service of the pleading initiating the proceeding.</w:t>
      </w:r>
    </w:p>
    <w:p w:rsidR="004F664A" w:rsidRPr="00070025" w:rsidRDefault="004F664A" w:rsidP="003B2D14">
      <w:pPr>
        <w:widowControl w:val="0"/>
        <w:tabs>
          <w:tab w:val="left" w:pos="2203"/>
          <w:tab w:val="left" w:pos="2909"/>
        </w:tabs>
        <w:adjustRightInd w:val="0"/>
        <w:ind w:left="2520" w:right="1440" w:hanging="360"/>
        <w:rPr>
          <w:color w:val="000000"/>
        </w:rPr>
      </w:pPr>
    </w:p>
    <w:p w:rsidR="004F664A" w:rsidRPr="00070025" w:rsidRDefault="004F664A" w:rsidP="003B2D14">
      <w:pPr>
        <w:widowControl w:val="0"/>
        <w:numPr>
          <w:ilvl w:val="0"/>
          <w:numId w:val="18"/>
        </w:numPr>
        <w:tabs>
          <w:tab w:val="left" w:pos="2203"/>
          <w:tab w:val="left" w:pos="2909"/>
        </w:tabs>
        <w:autoSpaceDE/>
        <w:autoSpaceDN/>
        <w:adjustRightInd w:val="0"/>
        <w:ind w:right="1440"/>
        <w:rPr>
          <w:color w:val="000000"/>
        </w:rPr>
      </w:pPr>
      <w:r w:rsidRPr="00070025">
        <w:rPr>
          <w:color w:val="000000"/>
        </w:rPr>
        <w:t>Failure of a pleading to conform to this chapter or the inclusion of scandalous or impertinent matter.</w:t>
      </w:r>
    </w:p>
    <w:p w:rsidR="004F664A" w:rsidRPr="00070025" w:rsidRDefault="004F664A" w:rsidP="003B2D14">
      <w:pPr>
        <w:autoSpaceDE/>
        <w:autoSpaceDN/>
        <w:ind w:left="720"/>
        <w:contextualSpacing/>
        <w:rPr>
          <w:rFonts w:eastAsiaTheme="minorEastAsia"/>
          <w:color w:val="000000"/>
        </w:rPr>
      </w:pPr>
    </w:p>
    <w:p w:rsidR="004F664A" w:rsidRPr="00070025" w:rsidRDefault="004F664A" w:rsidP="003B2D14">
      <w:pPr>
        <w:widowControl w:val="0"/>
        <w:numPr>
          <w:ilvl w:val="0"/>
          <w:numId w:val="18"/>
        </w:numPr>
        <w:tabs>
          <w:tab w:val="left" w:pos="2203"/>
          <w:tab w:val="left" w:pos="2909"/>
        </w:tabs>
        <w:autoSpaceDE/>
        <w:autoSpaceDN/>
        <w:adjustRightInd w:val="0"/>
        <w:ind w:right="1440"/>
        <w:rPr>
          <w:color w:val="000000"/>
        </w:rPr>
      </w:pPr>
      <w:r w:rsidRPr="00070025">
        <w:rPr>
          <w:color w:val="000000"/>
        </w:rPr>
        <w:t>Insufficient specificity of a pleading.</w:t>
      </w:r>
    </w:p>
    <w:p w:rsidR="004F664A" w:rsidRPr="00070025" w:rsidRDefault="004F664A" w:rsidP="003B2D14">
      <w:pPr>
        <w:autoSpaceDE/>
        <w:autoSpaceDN/>
        <w:ind w:left="720"/>
        <w:contextualSpacing/>
        <w:rPr>
          <w:rFonts w:eastAsiaTheme="minorEastAsia"/>
          <w:color w:val="000000"/>
        </w:rPr>
      </w:pPr>
    </w:p>
    <w:p w:rsidR="004F664A" w:rsidRPr="00070025" w:rsidRDefault="004F664A" w:rsidP="003B2D14">
      <w:pPr>
        <w:widowControl w:val="0"/>
        <w:numPr>
          <w:ilvl w:val="0"/>
          <w:numId w:val="18"/>
        </w:numPr>
        <w:tabs>
          <w:tab w:val="left" w:pos="2203"/>
          <w:tab w:val="left" w:pos="2909"/>
        </w:tabs>
        <w:autoSpaceDE/>
        <w:autoSpaceDN/>
        <w:adjustRightInd w:val="0"/>
        <w:ind w:right="1440"/>
        <w:rPr>
          <w:color w:val="000000"/>
        </w:rPr>
      </w:pPr>
      <w:r w:rsidRPr="00070025">
        <w:rPr>
          <w:color w:val="000000"/>
        </w:rPr>
        <w:t>Legal insufficiency of a pleading.</w:t>
      </w:r>
    </w:p>
    <w:p w:rsidR="004F664A" w:rsidRPr="00070025" w:rsidRDefault="004F664A" w:rsidP="003B2D14">
      <w:pPr>
        <w:autoSpaceDE/>
        <w:autoSpaceDN/>
        <w:ind w:left="720"/>
        <w:contextualSpacing/>
        <w:rPr>
          <w:rFonts w:eastAsiaTheme="minorEastAsia"/>
          <w:color w:val="000000"/>
        </w:rPr>
      </w:pPr>
    </w:p>
    <w:p w:rsidR="004F664A" w:rsidRPr="00070025" w:rsidRDefault="004F664A" w:rsidP="003B2D14">
      <w:pPr>
        <w:widowControl w:val="0"/>
        <w:numPr>
          <w:ilvl w:val="0"/>
          <w:numId w:val="18"/>
        </w:numPr>
        <w:tabs>
          <w:tab w:val="left" w:pos="2203"/>
          <w:tab w:val="left" w:pos="2909"/>
        </w:tabs>
        <w:autoSpaceDE/>
        <w:autoSpaceDN/>
        <w:adjustRightInd w:val="0"/>
        <w:ind w:right="1440"/>
        <w:rPr>
          <w:color w:val="000000"/>
        </w:rPr>
      </w:pPr>
      <w:r w:rsidRPr="00070025">
        <w:rPr>
          <w:color w:val="000000"/>
        </w:rPr>
        <w:t xml:space="preserve">Lack of capacity to sue, </w:t>
      </w:r>
      <w:proofErr w:type="spellStart"/>
      <w:r w:rsidRPr="00070025">
        <w:rPr>
          <w:color w:val="000000"/>
        </w:rPr>
        <w:t>nonjoinder</w:t>
      </w:r>
      <w:proofErr w:type="spellEnd"/>
      <w:r w:rsidRPr="00070025">
        <w:rPr>
          <w:color w:val="000000"/>
        </w:rPr>
        <w:t xml:space="preserve"> of a necessary party or misjoinder of a cause of action.</w:t>
      </w:r>
    </w:p>
    <w:p w:rsidR="004F664A" w:rsidRPr="00070025" w:rsidRDefault="004F664A" w:rsidP="003B2D14">
      <w:pPr>
        <w:autoSpaceDE/>
        <w:autoSpaceDN/>
        <w:ind w:left="720"/>
        <w:contextualSpacing/>
        <w:rPr>
          <w:rFonts w:eastAsiaTheme="minorEastAsia"/>
          <w:color w:val="000000"/>
        </w:rPr>
      </w:pPr>
    </w:p>
    <w:p w:rsidR="004F664A" w:rsidRPr="00070025" w:rsidRDefault="004F664A" w:rsidP="003B2D14">
      <w:pPr>
        <w:widowControl w:val="0"/>
        <w:numPr>
          <w:ilvl w:val="0"/>
          <w:numId w:val="18"/>
        </w:numPr>
        <w:tabs>
          <w:tab w:val="left" w:pos="2203"/>
          <w:tab w:val="left" w:pos="2909"/>
        </w:tabs>
        <w:autoSpaceDE/>
        <w:autoSpaceDN/>
        <w:adjustRightInd w:val="0"/>
        <w:ind w:right="1440"/>
        <w:rPr>
          <w:color w:val="000000"/>
        </w:rPr>
      </w:pPr>
      <w:r w:rsidRPr="00070025">
        <w:rPr>
          <w:color w:val="000000"/>
        </w:rPr>
        <w:t>Pendency of a prior proceeding or agreement for alternative dispute resolution.</w:t>
      </w:r>
    </w:p>
    <w:p w:rsidR="004F664A" w:rsidRPr="00070025" w:rsidRDefault="004F664A" w:rsidP="003B2D14">
      <w:pPr>
        <w:autoSpaceDE/>
        <w:autoSpaceDN/>
        <w:ind w:left="720"/>
        <w:contextualSpacing/>
        <w:rPr>
          <w:color w:val="000000"/>
        </w:rPr>
      </w:pPr>
    </w:p>
    <w:p w:rsidR="004F664A" w:rsidRPr="00070025" w:rsidRDefault="004F664A" w:rsidP="003B2D14">
      <w:pPr>
        <w:widowControl w:val="0"/>
        <w:numPr>
          <w:ilvl w:val="0"/>
          <w:numId w:val="18"/>
        </w:numPr>
        <w:tabs>
          <w:tab w:val="left" w:pos="2203"/>
          <w:tab w:val="left" w:pos="2909"/>
        </w:tabs>
        <w:autoSpaceDE/>
        <w:autoSpaceDN/>
        <w:adjustRightInd w:val="0"/>
        <w:ind w:right="1440"/>
        <w:rPr>
          <w:color w:val="000000"/>
        </w:rPr>
      </w:pPr>
      <w:r w:rsidRPr="00070025">
        <w:rPr>
          <w:color w:val="000000"/>
        </w:rPr>
        <w:t>Standing of a party to participate in a proceeding.</w:t>
      </w:r>
    </w:p>
    <w:p w:rsidR="004F664A" w:rsidRPr="00070025" w:rsidRDefault="004F664A" w:rsidP="004F664A">
      <w:pPr>
        <w:widowControl w:val="0"/>
        <w:tabs>
          <w:tab w:val="left" w:pos="2203"/>
          <w:tab w:val="left" w:pos="2909"/>
        </w:tabs>
        <w:adjustRightInd w:val="0"/>
        <w:ind w:left="1440" w:right="1440"/>
        <w:rPr>
          <w:color w:val="000000"/>
        </w:rPr>
      </w:pPr>
    </w:p>
    <w:p w:rsidR="004F664A" w:rsidRPr="00070025" w:rsidRDefault="004F664A" w:rsidP="004F664A">
      <w:pPr>
        <w:widowControl w:val="0"/>
        <w:adjustRightInd w:val="0"/>
        <w:ind w:right="1440"/>
        <w:rPr>
          <w:color w:val="000000"/>
        </w:rPr>
      </w:pPr>
      <w:r w:rsidRPr="00070025">
        <w:rPr>
          <w:color w:val="000000"/>
        </w:rPr>
        <w:t>52 Pa.Code § 5.101(a</w:t>
      </w:r>
      <w:proofErr w:type="gramStart"/>
      <w:r w:rsidRPr="00070025">
        <w:rPr>
          <w:color w:val="000000"/>
        </w:rPr>
        <w:t>)(</w:t>
      </w:r>
      <w:proofErr w:type="gramEnd"/>
      <w:r w:rsidRPr="00070025">
        <w:rPr>
          <w:color w:val="000000"/>
        </w:rPr>
        <w:t>1)-(7).</w:t>
      </w:r>
    </w:p>
    <w:p w:rsidR="004F664A" w:rsidRPr="00070025" w:rsidRDefault="004F664A" w:rsidP="004F664A">
      <w:pPr>
        <w:widowControl w:val="0"/>
        <w:adjustRightInd w:val="0"/>
        <w:spacing w:line="360" w:lineRule="auto"/>
        <w:ind w:right="200"/>
        <w:rPr>
          <w:color w:val="000000"/>
        </w:rPr>
      </w:pPr>
    </w:p>
    <w:p w:rsidR="004F664A" w:rsidRPr="00070025" w:rsidRDefault="004F664A" w:rsidP="004F664A">
      <w:pPr>
        <w:tabs>
          <w:tab w:val="left" w:pos="-720"/>
        </w:tabs>
        <w:suppressAutoHyphens/>
        <w:spacing w:line="360" w:lineRule="auto"/>
        <w:ind w:firstLine="1440"/>
      </w:pPr>
      <w:r w:rsidRPr="00070025">
        <w:t xml:space="preserve">For purposes of disposing of Preliminary Objections, the Commission must accept as true all well </w:t>
      </w:r>
      <w:proofErr w:type="gramStart"/>
      <w:r w:rsidRPr="00070025">
        <w:t>pleaded,</w:t>
      </w:r>
      <w:proofErr w:type="gramEnd"/>
      <w:r w:rsidRPr="00070025">
        <w:t xml:space="preserve"> material facts of the nonmoving party, as well as every reasonable inference from those facts.  </w:t>
      </w:r>
      <w:proofErr w:type="gramStart"/>
      <w:r w:rsidRPr="00070025">
        <w:rPr>
          <w:u w:val="single"/>
        </w:rPr>
        <w:t>County of Allegheny v. Commonwealth of Pennsylvania</w:t>
      </w:r>
      <w:r w:rsidRPr="00070025">
        <w:t xml:space="preserve">, 490 A.2d 402 (Pa. 1985); </w:t>
      </w:r>
      <w:r w:rsidRPr="00070025">
        <w:rPr>
          <w:u w:val="single"/>
        </w:rPr>
        <w:t>Commonwealth of Pennsylvania v. Bell Telephone Co. of Pa.</w:t>
      </w:r>
      <w:r w:rsidRPr="00070025">
        <w:t>, 551 A.2d 602 (Pa. Cmwlth. 1988).</w:t>
      </w:r>
      <w:proofErr w:type="gramEnd"/>
      <w:r w:rsidRPr="00070025">
        <w:t xml:space="preserve">  The Commission must view the Complaint in this case in the light most favorable to </w:t>
      </w:r>
      <w:r w:rsidR="00FD636E" w:rsidRPr="00070025">
        <w:t>the Joint Complainants</w:t>
      </w:r>
      <w:r w:rsidR="00C13C5A" w:rsidRPr="00070025">
        <w:t xml:space="preserve"> </w:t>
      </w:r>
      <w:r w:rsidRPr="00070025">
        <w:t xml:space="preserve">and should dismiss the Complaint only if it appears that </w:t>
      </w:r>
      <w:r w:rsidR="00FD636E" w:rsidRPr="00070025">
        <w:t xml:space="preserve">the Joint Complainants </w:t>
      </w:r>
      <w:r w:rsidRPr="00070025">
        <w:t xml:space="preserve">would not be entitled to relief under any circumstances as a matter of law.  </w:t>
      </w:r>
      <w:r w:rsidRPr="00070025">
        <w:rPr>
          <w:u w:val="single"/>
        </w:rPr>
        <w:t>Equitable</w:t>
      </w:r>
      <w:r w:rsidRPr="00070025">
        <w:t xml:space="preserve">, </w:t>
      </w:r>
      <w:r w:rsidRPr="00070025">
        <w:rPr>
          <w:i/>
        </w:rPr>
        <w:t>supra</w:t>
      </w:r>
      <w:r w:rsidRPr="00070025">
        <w:t xml:space="preserve">; </w:t>
      </w:r>
      <w:r w:rsidRPr="00070025">
        <w:rPr>
          <w:i/>
        </w:rPr>
        <w:t>see also</w:t>
      </w:r>
      <w:r w:rsidRPr="00070025">
        <w:t xml:space="preserve">, </w:t>
      </w:r>
      <w:r w:rsidRPr="00070025">
        <w:rPr>
          <w:u w:val="single"/>
        </w:rPr>
        <w:t>Interstate Traveler Services, Inc. v. Commonwealth, Department of Environmental Resources</w:t>
      </w:r>
      <w:r w:rsidRPr="00070025">
        <w:t>, 406 A.2d 1020 (Pa. 1979).</w:t>
      </w:r>
    </w:p>
    <w:p w:rsidR="004F664A" w:rsidRPr="00070025" w:rsidRDefault="004F664A" w:rsidP="004F664A">
      <w:pPr>
        <w:tabs>
          <w:tab w:val="left" w:pos="-720"/>
        </w:tabs>
        <w:suppressAutoHyphens/>
        <w:spacing w:line="360" w:lineRule="auto"/>
        <w:ind w:firstLine="1350"/>
      </w:pPr>
    </w:p>
    <w:p w:rsidR="00FD636E" w:rsidRDefault="00B74492" w:rsidP="004F664A">
      <w:pPr>
        <w:tabs>
          <w:tab w:val="left" w:pos="-720"/>
        </w:tabs>
        <w:suppressAutoHyphens/>
        <w:spacing w:line="360" w:lineRule="auto"/>
        <w:ind w:firstLine="1350"/>
      </w:pPr>
      <w:r w:rsidRPr="00070025">
        <w:t xml:space="preserve">In its Preliminary Objections, </w:t>
      </w:r>
      <w:r w:rsidR="00070025">
        <w:t>ESP</w:t>
      </w:r>
      <w:r w:rsidRPr="00070025">
        <w:t xml:space="preserve"> seeks dismissal with prejudice of</w:t>
      </w:r>
      <w:r w:rsidR="00070025">
        <w:t xml:space="preserve"> every Count raised in the Complaint.  The Preliminary Objections are organized by issue.  </w:t>
      </w:r>
      <w:r w:rsidRPr="00070025">
        <w:t xml:space="preserve">Each of these </w:t>
      </w:r>
      <w:r w:rsidR="00070025">
        <w:t xml:space="preserve">issues </w:t>
      </w:r>
      <w:r w:rsidRPr="00070025">
        <w:t>will be addressed in turn below.</w:t>
      </w:r>
    </w:p>
    <w:p w:rsidR="00070025" w:rsidRDefault="00070025" w:rsidP="004F664A">
      <w:pPr>
        <w:tabs>
          <w:tab w:val="left" w:pos="-720"/>
        </w:tabs>
        <w:suppressAutoHyphens/>
        <w:spacing w:line="360" w:lineRule="auto"/>
        <w:ind w:firstLine="1350"/>
      </w:pPr>
    </w:p>
    <w:p w:rsidR="0006006D" w:rsidRDefault="0006006D" w:rsidP="0006006D">
      <w:pPr>
        <w:tabs>
          <w:tab w:val="left" w:pos="-720"/>
        </w:tabs>
        <w:suppressAutoHyphens/>
        <w:spacing w:line="360" w:lineRule="auto"/>
      </w:pPr>
      <w:r>
        <w:rPr>
          <w:b/>
          <w:u w:val="single"/>
        </w:rPr>
        <w:t xml:space="preserve">Preliminary Objection #1: Counts I, II, IV </w:t>
      </w:r>
      <w:proofErr w:type="gramStart"/>
      <w:r>
        <w:rPr>
          <w:b/>
          <w:u w:val="single"/>
        </w:rPr>
        <w:t>And</w:t>
      </w:r>
      <w:proofErr w:type="gramEnd"/>
      <w:r>
        <w:rPr>
          <w:b/>
          <w:u w:val="single"/>
        </w:rPr>
        <w:t xml:space="preserve"> V Are Pled With Sufficient Specificity</w:t>
      </w:r>
    </w:p>
    <w:p w:rsidR="0006006D" w:rsidRDefault="0006006D" w:rsidP="0006006D">
      <w:pPr>
        <w:tabs>
          <w:tab w:val="left" w:pos="-720"/>
        </w:tabs>
        <w:suppressAutoHyphens/>
        <w:spacing w:line="360" w:lineRule="auto"/>
      </w:pPr>
    </w:p>
    <w:p w:rsidR="000A37EC" w:rsidRDefault="002605DC" w:rsidP="004F664A">
      <w:pPr>
        <w:tabs>
          <w:tab w:val="left" w:pos="-720"/>
        </w:tabs>
        <w:suppressAutoHyphens/>
        <w:spacing w:line="360" w:lineRule="auto"/>
        <w:ind w:firstLine="1350"/>
      </w:pPr>
      <w:r w:rsidRPr="002605DC">
        <w:t>In their Complaint, the Joint Complainants averred</w:t>
      </w:r>
      <w:r>
        <w:t xml:space="preserve"> </w:t>
      </w:r>
      <w:r w:rsidR="001B7A2B">
        <w:t>in Counts I, II, IV and V respectively that ESP mislead and deceived consumers regarding promised savings, slammed consumers, lacked good faith</w:t>
      </w:r>
      <w:r w:rsidR="001540BB">
        <w:t xml:space="preserve"> in</w:t>
      </w:r>
      <w:r w:rsidR="001B7A2B">
        <w:t xml:space="preserve"> handling complaints and failed to provide accurate pricing information.  The Joint Complainants made various factual averments and identified various statutes and regulations that it believes ESP has violated.  In its Preliminary Objection, ESP argued that these Counts should be dismissed because they are not pled with sufficient specificity.  In particular, ESP argued that these Counts do not provide the Company with an opportunity to conduct a meaningful investigation and prepare a coherent defense because those claims are based on “bare-bones allegations of vague accusations by unnamed individuals who are purported to be customers of ESP.”  In their Answer to the Preliminary Objection, the Joint Complainants </w:t>
      </w:r>
      <w:r w:rsidR="001540BB">
        <w:t xml:space="preserve">argued </w:t>
      </w:r>
      <w:r w:rsidR="001B7A2B">
        <w:t>that these Counts are averred with sufficient specificity</w:t>
      </w:r>
      <w:r w:rsidR="000A37EC">
        <w:t xml:space="preserve"> in accordance with the Commission’s regulations.  Furthermore, the Joint Complainants averred that ESP is in a position to know the information the Company now seeks in its Preliminary Objection.  For the reasons discussed below, ESP’s Preliminary Objection will be dismissed.</w:t>
      </w:r>
    </w:p>
    <w:p w:rsidR="000A37EC" w:rsidRDefault="000A37EC" w:rsidP="004F664A">
      <w:pPr>
        <w:tabs>
          <w:tab w:val="left" w:pos="-720"/>
        </w:tabs>
        <w:suppressAutoHyphens/>
        <w:spacing w:line="360" w:lineRule="auto"/>
        <w:ind w:firstLine="1350"/>
      </w:pPr>
    </w:p>
    <w:p w:rsidR="00557163" w:rsidRDefault="00557163" w:rsidP="00557163">
      <w:pPr>
        <w:tabs>
          <w:tab w:val="left" w:pos="-720"/>
        </w:tabs>
        <w:suppressAutoHyphens/>
        <w:spacing w:line="360" w:lineRule="auto"/>
      </w:pPr>
      <w:r>
        <w:tab/>
      </w:r>
      <w:r>
        <w:tab/>
      </w:r>
      <w:r w:rsidR="000A37EC">
        <w:t xml:space="preserve">To begin, </w:t>
      </w:r>
      <w:r>
        <w:t xml:space="preserve">a formal complaint must set forth “the act or thing done or omitted to be done” by a public utility “in violation, or claimed violation, of any law which the commission has jurisdiction to administer, or of any regulation or order of the commission.”  </w:t>
      </w:r>
      <w:r w:rsidRPr="00B42392">
        <w:t>66 Pa. C.S. §</w:t>
      </w:r>
      <w:r>
        <w:t xml:space="preserve"> </w:t>
      </w:r>
      <w:r w:rsidRPr="00B42392">
        <w:t>701; 52 Pa. Code §</w:t>
      </w:r>
      <w:r>
        <w:t xml:space="preserve"> </w:t>
      </w:r>
      <w:r w:rsidRPr="00B42392">
        <w:t>5.22(a</w:t>
      </w:r>
      <w:proofErr w:type="gramStart"/>
      <w:r w:rsidRPr="00B42392">
        <w:t>)(</w:t>
      </w:r>
      <w:proofErr w:type="gramEnd"/>
      <w:r w:rsidRPr="00B42392">
        <w:t>4).</w:t>
      </w:r>
      <w:r>
        <w:t xml:space="preserve">  The Commission’s regulations require that a complaint contain a clear statement of the relief sought.</w:t>
      </w:r>
      <w:r w:rsidRPr="00B42392">
        <w:t xml:space="preserve">  52 Pa. Code §</w:t>
      </w:r>
      <w:r>
        <w:t xml:space="preserve"> </w:t>
      </w:r>
      <w:r w:rsidRPr="00B42392">
        <w:t>5.22(a</w:t>
      </w:r>
      <w:proofErr w:type="gramStart"/>
      <w:r w:rsidRPr="00B42392">
        <w:t>)(</w:t>
      </w:r>
      <w:proofErr w:type="gramEnd"/>
      <w:r w:rsidRPr="00B42392">
        <w:t>5)</w:t>
      </w:r>
      <w:r>
        <w:t xml:space="preserve">.  A complaint should contain information specific enough to allow the respondent to understand the allegations against it, in order to conduct a meaningful investigation of the allegations and to prepare a coherent response or defense.  </w:t>
      </w:r>
      <w:r>
        <w:rPr>
          <w:u w:val="single"/>
        </w:rPr>
        <w:t>Angelo Rodriguez v. Philadelphia Gas Works</w:t>
      </w:r>
      <w:r>
        <w:t>, Docket No. F-2009-2110772, Initial Decision (Final Order entered Jan. 5, 2010).  The Commission has held with regard to complaints:</w:t>
      </w:r>
    </w:p>
    <w:p w:rsidR="00557163" w:rsidRDefault="00557163" w:rsidP="00557163">
      <w:pPr>
        <w:tabs>
          <w:tab w:val="left" w:pos="-720"/>
        </w:tabs>
        <w:suppressAutoHyphens/>
        <w:ind w:left="1440" w:right="1440"/>
      </w:pPr>
    </w:p>
    <w:p w:rsidR="00557163" w:rsidRDefault="00557163" w:rsidP="00557163">
      <w:pPr>
        <w:tabs>
          <w:tab w:val="left" w:pos="-720"/>
        </w:tabs>
        <w:suppressAutoHyphens/>
        <w:ind w:left="1440" w:right="1440"/>
      </w:pPr>
      <w:r>
        <w:t>The purpose of our rules of practice is to facilitate orderly proceedings to afford the parties notice and an opportunity to participate.  It is well settled that if these purposes have been met, application of the rules will be relaxed.  Hence, a complaint filed with this commission is adequate if it gives the respondent notice and an opportunity to defend; it need not be drawn with technical accuracy.</w:t>
      </w:r>
    </w:p>
    <w:p w:rsidR="00557163" w:rsidRDefault="00557163" w:rsidP="00557163">
      <w:pPr>
        <w:tabs>
          <w:tab w:val="left" w:pos="-720"/>
        </w:tabs>
        <w:suppressAutoHyphens/>
        <w:spacing w:line="360" w:lineRule="auto"/>
        <w:rPr>
          <w:u w:val="single"/>
        </w:rPr>
      </w:pPr>
    </w:p>
    <w:p w:rsidR="00557163" w:rsidRPr="00661ABA" w:rsidRDefault="00557163" w:rsidP="00557163">
      <w:pPr>
        <w:tabs>
          <w:tab w:val="left" w:pos="-720"/>
        </w:tabs>
        <w:suppressAutoHyphens/>
        <w:spacing w:line="360" w:lineRule="auto"/>
      </w:pPr>
      <w:proofErr w:type="gramStart"/>
      <w:r>
        <w:rPr>
          <w:u w:val="single"/>
        </w:rPr>
        <w:t xml:space="preserve">Green Cab Co. v. </w:t>
      </w:r>
      <w:proofErr w:type="spellStart"/>
      <w:r>
        <w:rPr>
          <w:u w:val="single"/>
        </w:rPr>
        <w:t>Hajducho</w:t>
      </w:r>
      <w:proofErr w:type="spellEnd"/>
      <w:r>
        <w:t>, 50 Pa PUC 745, 746 (1977) (</w:t>
      </w:r>
      <w:r>
        <w:rPr>
          <w:u w:val="single"/>
        </w:rPr>
        <w:t>Green Cab</w:t>
      </w:r>
      <w:r>
        <w:t>).</w:t>
      </w:r>
      <w:proofErr w:type="gramEnd"/>
    </w:p>
    <w:p w:rsidR="00557163" w:rsidRDefault="00557163" w:rsidP="00557163">
      <w:pPr>
        <w:tabs>
          <w:tab w:val="left" w:pos="-720"/>
        </w:tabs>
        <w:suppressAutoHyphens/>
        <w:spacing w:line="360" w:lineRule="auto"/>
      </w:pPr>
    </w:p>
    <w:p w:rsidR="00B018D4" w:rsidRDefault="00557163" w:rsidP="00557163">
      <w:pPr>
        <w:tabs>
          <w:tab w:val="left" w:pos="-720"/>
        </w:tabs>
        <w:suppressAutoHyphens/>
        <w:spacing w:line="360" w:lineRule="auto"/>
        <w:ind w:firstLine="1350"/>
      </w:pPr>
      <w:r>
        <w:t xml:space="preserve">In this case, the Joint Complainants </w:t>
      </w:r>
      <w:r w:rsidR="00827705">
        <w:t xml:space="preserve">have satisfied this standard.  </w:t>
      </w:r>
      <w:r w:rsidR="00350245">
        <w:t xml:space="preserve">The Joint Complainants averred that 23 formal complaints were filed with the Commission against ESP.  </w:t>
      </w:r>
      <w:r w:rsidR="00827705">
        <w:t xml:space="preserve">In Count I, the Joint Complainants </w:t>
      </w:r>
      <w:r>
        <w:t>averred in their Complaint</w:t>
      </w:r>
      <w:r w:rsidR="002605DC" w:rsidRPr="002605DC">
        <w:t xml:space="preserve"> </w:t>
      </w:r>
      <w:r>
        <w:t xml:space="preserve">that </w:t>
      </w:r>
      <w:r w:rsidR="00827705">
        <w:t xml:space="preserve">four formal complaints were filed with the Commission against ESP wherein the complainants averred that ESP salespeople promised savings as an inducement to switch to ESP.  </w:t>
      </w:r>
      <w:r w:rsidR="00350245">
        <w:t>I</w:t>
      </w:r>
      <w:r w:rsidR="00827705">
        <w:t xml:space="preserve">n Count II, the Joint Complainants averred that three complaints were filed with the Commission wherein the complainants indicated they did not consent to switching. </w:t>
      </w:r>
      <w:r w:rsidR="00350245">
        <w:t xml:space="preserve"> In Count IV, the Joint Complainants averred that eight complaints were filed with the Commission wherein the complainants indicated they could not get through to ESP on the phone and/or their messages for ESP went unanswered.  </w:t>
      </w:r>
    </w:p>
    <w:p w:rsidR="00B018D4" w:rsidRDefault="00B018D4" w:rsidP="00557163">
      <w:pPr>
        <w:tabs>
          <w:tab w:val="left" w:pos="-720"/>
        </w:tabs>
        <w:suppressAutoHyphens/>
        <w:spacing w:line="360" w:lineRule="auto"/>
        <w:ind w:firstLine="1350"/>
      </w:pPr>
    </w:p>
    <w:p w:rsidR="00350245" w:rsidRDefault="00827705" w:rsidP="00557163">
      <w:pPr>
        <w:tabs>
          <w:tab w:val="left" w:pos="-720"/>
        </w:tabs>
        <w:suppressAutoHyphens/>
        <w:spacing w:line="360" w:lineRule="auto"/>
        <w:ind w:firstLine="1350"/>
      </w:pPr>
      <w:r>
        <w:t xml:space="preserve">ESP </w:t>
      </w:r>
      <w:r w:rsidR="0032777F">
        <w:t xml:space="preserve">is </w:t>
      </w:r>
      <w:r>
        <w:t>aware of the details regarding these complainants</w:t>
      </w:r>
      <w:r w:rsidR="00350245">
        <w:t>, especially given ESP’s assertion elsewhere that they have settled all of the formal complaints filed against them</w:t>
      </w:r>
      <w:r>
        <w:t>.</w:t>
      </w:r>
      <w:r w:rsidR="00350245">
        <w:t xml:space="preserve">  </w:t>
      </w:r>
      <w:r w:rsidR="00B018D4">
        <w:t>A</w:t>
      </w:r>
      <w:r w:rsidR="00350245">
        <w:t>t a minimum, these averments give ESP “notice and an opportunity to defend” with regard to these claims.  To the extent that ESP desires more information, it could avail itself of the Commission’s discovery process, or conduct other informal information gathering, to acquire additional information.</w:t>
      </w:r>
      <w:r w:rsidR="00B018D4">
        <w:t xml:space="preserve">  But, when accepting as true the Joint Complainants’ averments regarding the 23 formal complaints filed by consumers with the Commission, as well as every reasonable inference from th</w:t>
      </w:r>
      <w:r w:rsidR="00CB4AB8">
        <w:t>ose</w:t>
      </w:r>
      <w:r w:rsidR="00B018D4">
        <w:t xml:space="preserve"> averment</w:t>
      </w:r>
      <w:r w:rsidR="00CB4AB8">
        <w:t>s</w:t>
      </w:r>
      <w:r w:rsidR="00B018D4">
        <w:t xml:space="preserve">, and viewing the Complaint in the light most favorable to the Joint Complainants, it does not appear </w:t>
      </w:r>
      <w:r w:rsidR="00B018D4" w:rsidRPr="00070025">
        <w:t xml:space="preserve">that the Joint Complainants would not be entitled to relief under any </w:t>
      </w:r>
      <w:r w:rsidR="00B018D4">
        <w:t>circumstances as a matter of law.</w:t>
      </w:r>
    </w:p>
    <w:p w:rsidR="00350245" w:rsidRDefault="00350245" w:rsidP="00557163">
      <w:pPr>
        <w:tabs>
          <w:tab w:val="left" w:pos="-720"/>
        </w:tabs>
        <w:suppressAutoHyphens/>
        <w:spacing w:line="360" w:lineRule="auto"/>
        <w:ind w:firstLine="1350"/>
      </w:pPr>
    </w:p>
    <w:p w:rsidR="004D6F0B" w:rsidRDefault="00B018D4" w:rsidP="00557163">
      <w:pPr>
        <w:tabs>
          <w:tab w:val="left" w:pos="-720"/>
        </w:tabs>
        <w:suppressAutoHyphens/>
        <w:spacing w:line="360" w:lineRule="auto"/>
        <w:ind w:firstLine="1350"/>
      </w:pPr>
      <w:r>
        <w:t>Similarly, w</w:t>
      </w:r>
      <w:r w:rsidR="00350245">
        <w:t xml:space="preserve">ith regard to Count V, although the Joint Complainants have not identified specific complaints filed with the Commission regarding the issue of failing to provide accurate pricing information, the Complaint provides multiple averments upon which ESP has “notice and an opportunity to defend” with regard to this claim.  </w:t>
      </w:r>
      <w:r w:rsidR="00CB4AB8">
        <w:t xml:space="preserve">It is reasonable to infer, for example, that ESP provided a response to the complaints filed against the Company with the OAG, </w:t>
      </w:r>
      <w:r w:rsidR="001540BB">
        <w:t xml:space="preserve">just </w:t>
      </w:r>
      <w:r w:rsidR="00CB4AB8">
        <w:t xml:space="preserve">as it responded to the complaints filed against the Company with the Commission.  Therefore, similar to Counts I, II and IV, ESP has sufficient notice and opportunity to defend with regard to this claim based on the averment in the Complaint.  Again, to </w:t>
      </w:r>
      <w:r w:rsidR="00350245">
        <w:t>the extent that ESP desires more information</w:t>
      </w:r>
      <w:r w:rsidR="00FE1D28">
        <w:t xml:space="preserve"> regarding these claims</w:t>
      </w:r>
      <w:r w:rsidR="00350245">
        <w:t xml:space="preserve">, it could avail itself of the Commission’s discovery process, or conduct other informal information gathering, to acquire additional information.  Dismissing this claim on a preliminary basis </w:t>
      </w:r>
      <w:r w:rsidR="004D6F0B">
        <w:t>is not appropriate at this time.  This is particularly true when examining the Complaint in the light most favorable to the Joint Complainants, as is required when disposing of ESP’s Preliminary Objections.</w:t>
      </w:r>
    </w:p>
    <w:p w:rsidR="004D6F0B" w:rsidRDefault="004D6F0B" w:rsidP="00557163">
      <w:pPr>
        <w:tabs>
          <w:tab w:val="left" w:pos="-720"/>
        </w:tabs>
        <w:suppressAutoHyphens/>
        <w:spacing w:line="360" w:lineRule="auto"/>
        <w:ind w:firstLine="1350"/>
      </w:pPr>
    </w:p>
    <w:p w:rsidR="004D6F0B" w:rsidRDefault="004D6F0B" w:rsidP="00557163">
      <w:pPr>
        <w:tabs>
          <w:tab w:val="left" w:pos="-720"/>
        </w:tabs>
        <w:suppressAutoHyphens/>
        <w:spacing w:line="360" w:lineRule="auto"/>
        <w:ind w:firstLine="1350"/>
      </w:pPr>
      <w:r>
        <w:t xml:space="preserve">As such, ESP’s Preliminary Objection that Counts I, II, IV and V of the Complaint should be dismissed because they are pled with </w:t>
      </w:r>
      <w:r w:rsidR="001540BB">
        <w:t>in</w:t>
      </w:r>
      <w:r>
        <w:t>sufficient specificity will be denied.</w:t>
      </w:r>
    </w:p>
    <w:p w:rsidR="004D6F0B" w:rsidRDefault="004D6F0B" w:rsidP="00557163">
      <w:pPr>
        <w:tabs>
          <w:tab w:val="left" w:pos="-720"/>
        </w:tabs>
        <w:suppressAutoHyphens/>
        <w:spacing w:line="360" w:lineRule="auto"/>
        <w:ind w:firstLine="1350"/>
      </w:pPr>
    </w:p>
    <w:p w:rsidR="0006006D" w:rsidRDefault="0006006D" w:rsidP="00B74492">
      <w:pPr>
        <w:tabs>
          <w:tab w:val="left" w:pos="-720"/>
        </w:tabs>
        <w:suppressAutoHyphens/>
        <w:spacing w:line="360" w:lineRule="auto"/>
      </w:pPr>
      <w:r>
        <w:rPr>
          <w:b/>
          <w:u w:val="single"/>
        </w:rPr>
        <w:t xml:space="preserve">Preliminary Objection #2: The Commission Lacks Jurisdiction Over Claims Arising Under The Unfair Trade Practices/Consumer Protection Law But Can Hear Claims </w:t>
      </w:r>
      <w:r w:rsidR="002605DC">
        <w:rPr>
          <w:b/>
          <w:u w:val="single"/>
        </w:rPr>
        <w:t>Brought Pursuant To The Commission’s Consumer Protection Regulations</w:t>
      </w:r>
    </w:p>
    <w:p w:rsidR="002605DC" w:rsidRDefault="002605DC" w:rsidP="00B74492">
      <w:pPr>
        <w:tabs>
          <w:tab w:val="left" w:pos="-720"/>
        </w:tabs>
        <w:suppressAutoHyphens/>
        <w:spacing w:line="360" w:lineRule="auto"/>
      </w:pPr>
    </w:p>
    <w:p w:rsidR="00B018D4" w:rsidRDefault="00B018D4" w:rsidP="004D6F0B">
      <w:pPr>
        <w:tabs>
          <w:tab w:val="left" w:pos="-720"/>
        </w:tabs>
        <w:suppressAutoHyphens/>
        <w:spacing w:line="360" w:lineRule="auto"/>
        <w:ind w:firstLine="1350"/>
      </w:pPr>
      <w:r w:rsidRPr="00B018D4">
        <w:t>In their Complaint, the Joint Complainants aver</w:t>
      </w:r>
      <w:r w:rsidR="00B3741D">
        <w:t>red in Counts I, II, III, V, VI and VII</w:t>
      </w:r>
      <w:r w:rsidRPr="00B018D4">
        <w:t xml:space="preserve"> that</w:t>
      </w:r>
      <w:r>
        <w:t xml:space="preserve"> </w:t>
      </w:r>
      <w:r w:rsidR="00B3741D">
        <w:t xml:space="preserve">ESP mislead and deceived customers regarding promises of savings, slammed customers, mislead and deceived customers in their welcome letter, failed to provide accurate pricing information, failed to conform its prices to the Disclosure Statement and failed to comply with the </w:t>
      </w:r>
      <w:r w:rsidR="001540BB">
        <w:t>TRA</w:t>
      </w:r>
      <w:r w:rsidR="00B3741D">
        <w:t xml:space="preserve">.  </w:t>
      </w:r>
      <w:r w:rsidR="000A6EC8">
        <w:t xml:space="preserve">ESP argued in its </w:t>
      </w:r>
      <w:r w:rsidR="001425EE">
        <w:t>Preliminary Objections that these Counts should be dismissed because the Commission lacks jurisdiction to enforce the UTP/CPL.  ESP argued that these Counts are therefore legally insufficient.  In their Answer to the Preliminary Objection, the Joint Complainants argued that the Commission has jurisdiction to find violations of the UTP/CPL.  For the reasons discussed below, ESP’s Preliminary Objection will be granted in part and denied in part.</w:t>
      </w:r>
    </w:p>
    <w:p w:rsidR="001425EE" w:rsidRDefault="001425EE" w:rsidP="004D6F0B">
      <w:pPr>
        <w:tabs>
          <w:tab w:val="left" w:pos="-720"/>
        </w:tabs>
        <w:suppressAutoHyphens/>
        <w:spacing w:line="360" w:lineRule="auto"/>
        <w:ind w:firstLine="1350"/>
      </w:pPr>
    </w:p>
    <w:p w:rsidR="00C0259F" w:rsidRPr="00C0259F" w:rsidRDefault="00C0259F" w:rsidP="00C0259F">
      <w:pPr>
        <w:tabs>
          <w:tab w:val="left" w:pos="-720"/>
        </w:tabs>
        <w:suppressAutoHyphens/>
        <w:spacing w:line="360" w:lineRule="auto"/>
      </w:pPr>
      <w:r w:rsidRPr="00C0259F">
        <w:tab/>
      </w:r>
      <w:r w:rsidRPr="00C0259F">
        <w:tab/>
        <w:t>To begin, i</w:t>
      </w:r>
      <w:r w:rsidRPr="00C0259F">
        <w:rPr>
          <w:color w:val="000000"/>
        </w:rPr>
        <w:t xml:space="preserve">t is well settled that the Commission may not exceed its jurisdiction and must act within it.  </w:t>
      </w:r>
      <w:proofErr w:type="gramStart"/>
      <w:r w:rsidRPr="00C0259F">
        <w:rPr>
          <w:color w:val="000000"/>
          <w:u w:val="single"/>
        </w:rPr>
        <w:t>City of Pittsburgh v. Pa. Pub.</w:t>
      </w:r>
      <w:proofErr w:type="gramEnd"/>
      <w:r w:rsidRPr="00C0259F">
        <w:rPr>
          <w:color w:val="000000"/>
          <w:u w:val="single"/>
        </w:rPr>
        <w:t xml:space="preserve"> </w:t>
      </w:r>
      <w:proofErr w:type="gramStart"/>
      <w:r w:rsidRPr="00C0259F">
        <w:rPr>
          <w:color w:val="000000"/>
          <w:u w:val="single"/>
        </w:rPr>
        <w:t>Util. Comm’n.</w:t>
      </w:r>
      <w:r w:rsidRPr="00C0259F">
        <w:rPr>
          <w:color w:val="000000"/>
        </w:rPr>
        <w:t>, 43 A.2d 348 (Pa. Super 1945) (</w:t>
      </w:r>
      <w:r w:rsidRPr="00C0259F">
        <w:rPr>
          <w:color w:val="000000"/>
          <w:u w:val="single"/>
        </w:rPr>
        <w:t>Pittsburgh</w:t>
      </w:r>
      <w:r w:rsidRPr="00C0259F">
        <w:rPr>
          <w:color w:val="000000"/>
        </w:rPr>
        <w:t>).</w:t>
      </w:r>
      <w:proofErr w:type="gramEnd"/>
      <w:r w:rsidRPr="00C0259F">
        <w:rPr>
          <w:color w:val="000000"/>
        </w:rPr>
        <w:t xml:space="preserve">  Jurisdiction may not be conferred by the parties where none exists.  </w:t>
      </w:r>
      <w:proofErr w:type="gramStart"/>
      <w:r w:rsidRPr="00C0259F">
        <w:rPr>
          <w:color w:val="000000"/>
          <w:u w:val="single"/>
        </w:rPr>
        <w:t xml:space="preserve">Roberts v. </w:t>
      </w:r>
      <w:proofErr w:type="spellStart"/>
      <w:r w:rsidRPr="00C0259F">
        <w:rPr>
          <w:color w:val="000000"/>
          <w:u w:val="single"/>
        </w:rPr>
        <w:t>Martorano</w:t>
      </w:r>
      <w:proofErr w:type="spellEnd"/>
      <w:r w:rsidRPr="00C0259F">
        <w:rPr>
          <w:color w:val="000000"/>
        </w:rPr>
        <w:t>, 235 A.2d 602 (Pa. 1967) (</w:t>
      </w:r>
      <w:r w:rsidRPr="00C0259F">
        <w:rPr>
          <w:color w:val="000000"/>
          <w:u w:val="single"/>
        </w:rPr>
        <w:t>Roberts</w:t>
      </w:r>
      <w:r w:rsidRPr="00C0259F">
        <w:rPr>
          <w:color w:val="000000"/>
        </w:rPr>
        <w:t>).</w:t>
      </w:r>
      <w:proofErr w:type="gramEnd"/>
      <w:r w:rsidRPr="00C0259F">
        <w:rPr>
          <w:color w:val="000000"/>
        </w:rPr>
        <w:t xml:space="preserve">  Subject matter jurisdiction is a prerequisite to the exercise of the power to decide a controversy.  </w:t>
      </w:r>
      <w:proofErr w:type="gramStart"/>
      <w:r w:rsidRPr="00C0259F">
        <w:rPr>
          <w:color w:val="000000"/>
          <w:u w:val="single"/>
        </w:rPr>
        <w:t>Hughes v. Pa. State Police</w:t>
      </w:r>
      <w:r w:rsidRPr="00C0259F">
        <w:rPr>
          <w:color w:val="000000"/>
        </w:rPr>
        <w:t>, 619 A.2d 390 (Pa. Cmwlth 1992) (</w:t>
      </w:r>
      <w:r w:rsidRPr="00C0259F">
        <w:rPr>
          <w:color w:val="000000"/>
          <w:u w:val="single"/>
        </w:rPr>
        <w:t>Hughes</w:t>
      </w:r>
      <w:r w:rsidRPr="00C0259F">
        <w:rPr>
          <w:color w:val="000000"/>
        </w:rPr>
        <w:t>).</w:t>
      </w:r>
      <w:proofErr w:type="gramEnd"/>
      <w:r w:rsidRPr="00C0259F">
        <w:rPr>
          <w:color w:val="000000"/>
        </w:rPr>
        <w:t xml:space="preserve">  As a creation of the legislature, the Commission possesses only the authority that the state legislature has specifically granted to it in the Public Utility Code.  </w:t>
      </w:r>
      <w:proofErr w:type="gramStart"/>
      <w:r w:rsidRPr="00C0259F">
        <w:rPr>
          <w:color w:val="000000"/>
        </w:rPr>
        <w:t>66 Pa.C.S.</w:t>
      </w:r>
      <w:proofErr w:type="gramEnd"/>
      <w:r w:rsidRPr="00C0259F">
        <w:rPr>
          <w:color w:val="000000"/>
        </w:rPr>
        <w:t xml:space="preserve"> </w:t>
      </w:r>
      <w:proofErr w:type="gramStart"/>
      <w:r w:rsidRPr="00C0259F">
        <w:rPr>
          <w:color w:val="000000"/>
        </w:rPr>
        <w:t xml:space="preserve">§§ 101, </w:t>
      </w:r>
      <w:r w:rsidRPr="00C0259F">
        <w:rPr>
          <w:i/>
          <w:color w:val="000000"/>
        </w:rPr>
        <w:t>et seq</w:t>
      </w:r>
      <w:r w:rsidRPr="00C0259F">
        <w:rPr>
          <w:color w:val="000000"/>
        </w:rPr>
        <w:t>.</w:t>
      </w:r>
      <w:proofErr w:type="gramEnd"/>
      <w:r w:rsidRPr="00C0259F">
        <w:rPr>
          <w:color w:val="000000"/>
        </w:rPr>
        <w:t xml:space="preserve">  Its jurisdiction must arise from the express language of the pertinent enabling legislation or by strong and necessary implication therefrom.  </w:t>
      </w:r>
      <w:proofErr w:type="gramStart"/>
      <w:r w:rsidRPr="00C0259F">
        <w:rPr>
          <w:color w:val="000000"/>
          <w:u w:val="single"/>
        </w:rPr>
        <w:t>Feingold v. Bell</w:t>
      </w:r>
      <w:r w:rsidRPr="00C0259F">
        <w:rPr>
          <w:color w:val="000000"/>
        </w:rPr>
        <w:t>, 383 A.2d 791 (Pa. 1977) (</w:t>
      </w:r>
      <w:r w:rsidRPr="00C0259F">
        <w:rPr>
          <w:color w:val="000000"/>
          <w:u w:val="single"/>
        </w:rPr>
        <w:t>Feingold</w:t>
      </w:r>
      <w:r w:rsidRPr="00C0259F">
        <w:rPr>
          <w:color w:val="000000"/>
        </w:rPr>
        <w:t>).</w:t>
      </w:r>
      <w:proofErr w:type="gramEnd"/>
      <w:r w:rsidRPr="00C0259F">
        <w:rPr>
          <w:color w:val="000000"/>
        </w:rPr>
        <w:t xml:space="preserve"> </w:t>
      </w:r>
      <w:r w:rsidRPr="00C0259F">
        <w:t xml:space="preserve"> </w:t>
      </w:r>
    </w:p>
    <w:p w:rsidR="00C0259F" w:rsidRPr="00C0259F" w:rsidRDefault="00C0259F" w:rsidP="00C0259F">
      <w:pPr>
        <w:tabs>
          <w:tab w:val="left" w:pos="-720"/>
        </w:tabs>
        <w:suppressAutoHyphens/>
        <w:spacing w:line="360" w:lineRule="auto"/>
      </w:pPr>
    </w:p>
    <w:p w:rsidR="00C0259F" w:rsidRPr="00C0259F" w:rsidRDefault="00C0259F" w:rsidP="00C0259F">
      <w:pPr>
        <w:tabs>
          <w:tab w:val="left" w:pos="-720"/>
        </w:tabs>
        <w:suppressAutoHyphens/>
        <w:spacing w:line="360" w:lineRule="auto"/>
      </w:pPr>
      <w:r w:rsidRPr="00C0259F">
        <w:tab/>
      </w:r>
      <w:r w:rsidRPr="00C0259F">
        <w:tab/>
        <w:t xml:space="preserve">With specific regard to the UTP/CPL, the Commission has stated that </w:t>
      </w:r>
      <w:r w:rsidRPr="00C0259F">
        <w:rPr>
          <w:bCs/>
          <w:color w:val="000000"/>
        </w:rPr>
        <w:t xml:space="preserve">it does not have jurisdiction to enforce the UTP/CPL.  </w:t>
      </w:r>
      <w:r w:rsidRPr="00C0259F">
        <w:rPr>
          <w:bCs/>
          <w:i/>
          <w:color w:val="000000"/>
        </w:rPr>
        <w:t>See</w:t>
      </w:r>
      <w:r w:rsidRPr="00C0259F">
        <w:rPr>
          <w:bCs/>
          <w:color w:val="000000"/>
        </w:rPr>
        <w:t xml:space="preserve">, </w:t>
      </w:r>
      <w:r w:rsidRPr="00C0259F">
        <w:rPr>
          <w:bCs/>
          <w:color w:val="000000"/>
          <w:u w:val="single"/>
        </w:rPr>
        <w:t>Mid-Atlantic Power Supply Assoc. v. PECO Energy Co.</w:t>
      </w:r>
      <w:r w:rsidRPr="00C0259F">
        <w:rPr>
          <w:bCs/>
          <w:color w:val="000000"/>
        </w:rPr>
        <w:t>, Docket No. P-00981615, 1999 Pa PUC LEXIS 30 (entered May 19, 1999) (</w:t>
      </w:r>
      <w:r w:rsidRPr="00C0259F">
        <w:rPr>
          <w:bCs/>
          <w:color w:val="000000"/>
          <w:u w:val="single"/>
        </w:rPr>
        <w:t>MAPSA</w:t>
      </w:r>
      <w:r w:rsidRPr="00C0259F">
        <w:rPr>
          <w:bCs/>
          <w:color w:val="000000"/>
        </w:rPr>
        <w:t xml:space="preserve">); </w:t>
      </w:r>
      <w:r w:rsidRPr="00C0259F">
        <w:rPr>
          <w:bCs/>
          <w:i/>
          <w:color w:val="000000"/>
        </w:rPr>
        <w:t>see also</w:t>
      </w:r>
      <w:r w:rsidRPr="00C0259F">
        <w:rPr>
          <w:bCs/>
          <w:color w:val="000000"/>
        </w:rPr>
        <w:t xml:space="preserve">, </w:t>
      </w:r>
      <w:r w:rsidRPr="00C0259F">
        <w:rPr>
          <w:bCs/>
          <w:color w:val="000000"/>
          <w:u w:val="single"/>
        </w:rPr>
        <w:t xml:space="preserve">David P. </w:t>
      </w:r>
      <w:proofErr w:type="spellStart"/>
      <w:r w:rsidRPr="00C0259F">
        <w:rPr>
          <w:bCs/>
          <w:color w:val="000000"/>
          <w:u w:val="single"/>
        </w:rPr>
        <w:t>Torakeo</w:t>
      </w:r>
      <w:proofErr w:type="spellEnd"/>
      <w:r w:rsidRPr="00C0259F">
        <w:rPr>
          <w:bCs/>
          <w:color w:val="000000"/>
          <w:u w:val="single"/>
        </w:rPr>
        <w:t xml:space="preserve"> v. Pennsylvania American Water Co.</w:t>
      </w:r>
      <w:r w:rsidRPr="00C0259F">
        <w:rPr>
          <w:bCs/>
          <w:color w:val="000000"/>
        </w:rPr>
        <w:t xml:space="preserve">, Docket No. C-2013-2359123, Opinion and Order (entered April 3, 2014) (“to the extent that the Complainant is challenging the ALJ’s finding regarding our jurisdiction over the allegations that PAWC’s actions violated the UTPCPL, this Exception is also denied.  As the ALJ determined, it is clear under Pennsylvania law that the Commission does not have jurisdiction over such claims.”).  </w:t>
      </w:r>
    </w:p>
    <w:p w:rsidR="00C0259F" w:rsidRPr="00C0259F" w:rsidRDefault="00C0259F" w:rsidP="00C0259F">
      <w:pPr>
        <w:tabs>
          <w:tab w:val="left" w:pos="-720"/>
        </w:tabs>
        <w:suppressAutoHyphens/>
        <w:spacing w:line="360" w:lineRule="auto"/>
      </w:pPr>
    </w:p>
    <w:p w:rsidR="00C0259F" w:rsidRPr="00C0259F" w:rsidRDefault="00C0259F" w:rsidP="00C0259F">
      <w:pPr>
        <w:tabs>
          <w:tab w:val="left" w:pos="-720"/>
        </w:tabs>
        <w:suppressAutoHyphens/>
        <w:spacing w:line="360" w:lineRule="auto"/>
      </w:pPr>
      <w:r w:rsidRPr="00C0259F">
        <w:tab/>
      </w:r>
      <w:r w:rsidRPr="00C0259F">
        <w:tab/>
        <w:t xml:space="preserve">In this case, the Joint Complainants rely on the UTP/CPL in Count </w:t>
      </w:r>
      <w:r>
        <w:t xml:space="preserve">I, II, </w:t>
      </w:r>
      <w:r w:rsidRPr="00C0259F">
        <w:t>III</w:t>
      </w:r>
      <w:r>
        <w:t>, V and VII</w:t>
      </w:r>
      <w:r w:rsidRPr="00C0259F">
        <w:t xml:space="preserve">.  </w:t>
      </w:r>
      <w:r w:rsidR="00E072E4">
        <w:t>Those Counts</w:t>
      </w:r>
      <w:r>
        <w:t>, however,</w:t>
      </w:r>
      <w:r w:rsidRPr="00C0259F">
        <w:t xml:space="preserve"> also reference various Commission regulations that prohibit </w:t>
      </w:r>
      <w:r w:rsidR="005F024B">
        <w:t>Electric Generation Suppliers (</w:t>
      </w:r>
      <w:r w:rsidRPr="00C0259F">
        <w:t>EGS’s</w:t>
      </w:r>
      <w:r w:rsidR="005F024B">
        <w:t>)</w:t>
      </w:r>
      <w:r w:rsidRPr="00C0259F">
        <w:t xml:space="preserve"> from engaging in fraudulent</w:t>
      </w:r>
      <w:r w:rsidR="001540BB">
        <w:t>,</w:t>
      </w:r>
      <w:r w:rsidRPr="00C0259F">
        <w:t xml:space="preserve"> deceptive or other unlawful marketing.  </w:t>
      </w:r>
      <w:r w:rsidRPr="00C0259F">
        <w:rPr>
          <w:i/>
        </w:rPr>
        <w:t>See</w:t>
      </w:r>
      <w:r w:rsidRPr="00C0259F">
        <w:t xml:space="preserve"> </w:t>
      </w:r>
      <w:r w:rsidRPr="00C0259F">
        <w:rPr>
          <w:i/>
        </w:rPr>
        <w:t>e.g.</w:t>
      </w:r>
      <w:r w:rsidRPr="00C0259F">
        <w:t xml:space="preserve">, 52 Pa.Code §§ </w:t>
      </w:r>
      <w:r w:rsidR="00E072E4">
        <w:t>54.42(a</w:t>
      </w:r>
      <w:proofErr w:type="gramStart"/>
      <w:r w:rsidR="00E072E4">
        <w:t>)(</w:t>
      </w:r>
      <w:proofErr w:type="gramEnd"/>
      <w:r w:rsidR="00E072E4">
        <w:t xml:space="preserve">9), 54.43(f), </w:t>
      </w:r>
      <w:r w:rsidRPr="00C0259F">
        <w:t>54.5(b)</w:t>
      </w:r>
      <w:r w:rsidR="00E072E4">
        <w:t xml:space="preserve">, 54.5(c), </w:t>
      </w:r>
      <w:r w:rsidRPr="00C0259F">
        <w:t>111.1</w:t>
      </w:r>
      <w:r w:rsidR="00E072E4">
        <w:t>0(a) and 111.12(d)(1)</w:t>
      </w:r>
      <w:r w:rsidRPr="00C0259F">
        <w:t>.  The Joint Co</w:t>
      </w:r>
      <w:r w:rsidR="00E072E4">
        <w:t xml:space="preserve">mplainants contend, among other things, </w:t>
      </w:r>
      <w:r w:rsidRPr="00C0259F">
        <w:t>that these regulations give the Commission jurisdiction over the UTP/CPL by reference.  These regulations, however, do not equate to providing the Commission with jurisdiction to hear claims brought pursuant to UTP/CPL.  The Commission, however, does have jurisdiction to determine whether its own regulations prohibiting deceptive or misleading conduct have been violated.  The Commission can therefore hear claims regarding misleading and deceptive practices under Title 52 but not under UTP/CPL.</w:t>
      </w:r>
    </w:p>
    <w:p w:rsidR="00C0259F" w:rsidRPr="00C0259F" w:rsidRDefault="00C0259F" w:rsidP="00C0259F">
      <w:pPr>
        <w:tabs>
          <w:tab w:val="left" w:pos="-720"/>
        </w:tabs>
        <w:suppressAutoHyphens/>
        <w:spacing w:line="360" w:lineRule="auto"/>
      </w:pPr>
    </w:p>
    <w:p w:rsidR="00C0259F" w:rsidRPr="00C0259F" w:rsidRDefault="00C0259F" w:rsidP="00C0259F">
      <w:pPr>
        <w:tabs>
          <w:tab w:val="left" w:pos="-720"/>
        </w:tabs>
        <w:suppressAutoHyphens/>
        <w:spacing w:line="360" w:lineRule="auto"/>
      </w:pPr>
      <w:r w:rsidRPr="00C0259F">
        <w:tab/>
      </w:r>
      <w:r w:rsidRPr="00C0259F">
        <w:tab/>
        <w:t xml:space="preserve">The Joint Complainants argued in their Answer to </w:t>
      </w:r>
      <w:r w:rsidR="00E072E4">
        <w:t xml:space="preserve">ESP’s </w:t>
      </w:r>
      <w:r w:rsidRPr="00C0259F">
        <w:t>Preliminary Objection that the Commission is within its jurisdiction to hear Count</w:t>
      </w:r>
      <w:r w:rsidR="00E072E4">
        <w:t>s I, II, II</w:t>
      </w:r>
      <w:r w:rsidR="001540BB">
        <w:t>I</w:t>
      </w:r>
      <w:r w:rsidR="00E072E4">
        <w:t>, V and VII</w:t>
      </w:r>
      <w:r w:rsidRPr="00C0259F">
        <w:t xml:space="preserve"> because </w:t>
      </w:r>
      <w:r w:rsidR="00E072E4">
        <w:t xml:space="preserve">the Commission’s regulations require compliance with the UTP/CPL.  The Joint Complainants argued that the UTP/CPL is “incorporated into the Commission’s regulations.”  </w:t>
      </w:r>
      <w:proofErr w:type="gramStart"/>
      <w:r w:rsidRPr="00C0259F">
        <w:rPr>
          <w:i/>
        </w:rPr>
        <w:t xml:space="preserve">Citing, </w:t>
      </w:r>
      <w:r w:rsidRPr="00C0259F">
        <w:rPr>
          <w:u w:val="single"/>
        </w:rPr>
        <w:t>Harrisburg Taxicab &amp; Baggage Co. v. Pa. Pub.</w:t>
      </w:r>
      <w:proofErr w:type="gramEnd"/>
      <w:r w:rsidRPr="00C0259F">
        <w:rPr>
          <w:u w:val="single"/>
        </w:rPr>
        <w:t xml:space="preserve"> </w:t>
      </w:r>
      <w:proofErr w:type="gramStart"/>
      <w:r w:rsidRPr="00C0259F">
        <w:rPr>
          <w:u w:val="single"/>
        </w:rPr>
        <w:t>Util. Comm’n.</w:t>
      </w:r>
      <w:r w:rsidRPr="00C0259F">
        <w:t>, 786 A.2d 288, 292-93 (Pa. Commw. 2001) (</w:t>
      </w:r>
      <w:r w:rsidRPr="00C0259F">
        <w:rPr>
          <w:u w:val="single"/>
        </w:rPr>
        <w:t>Harrisburg Taxi</w:t>
      </w:r>
      <w:r w:rsidRPr="00C0259F">
        <w:t>).</w:t>
      </w:r>
      <w:proofErr w:type="gramEnd"/>
      <w:r w:rsidRPr="00C0259F">
        <w:t xml:space="preserve">  In </w:t>
      </w:r>
      <w:r w:rsidRPr="00C0259F">
        <w:rPr>
          <w:u w:val="single"/>
        </w:rPr>
        <w:t>Harrisburg Taxi</w:t>
      </w:r>
      <w:r w:rsidRPr="00C0259F">
        <w:t xml:space="preserve">, the Commonwealth Court determined that the Commission had authority to enforce provisions of the Pennsylvania Vehicle Code pursuant its authority under Section 1501 of the Public Utility Code that requires the Commission to ensure the safety of utility facilities, such as a taxicab.  </w:t>
      </w:r>
      <w:proofErr w:type="gramStart"/>
      <w:r w:rsidRPr="00C0259F">
        <w:rPr>
          <w:u w:val="single"/>
        </w:rPr>
        <w:t>Id.</w:t>
      </w:r>
      <w:r w:rsidRPr="00C0259F">
        <w:t xml:space="preserve"> at 293.</w:t>
      </w:r>
      <w:proofErr w:type="gramEnd"/>
      <w:r w:rsidRPr="00C0259F">
        <w:t xml:space="preserve">  The Court saw such overlapping jurisdiction as “exactly the type of sensible cooperation and mutual adjustment between the agencies.”  </w:t>
      </w:r>
      <w:r w:rsidRPr="00C0259F">
        <w:rPr>
          <w:u w:val="single"/>
        </w:rPr>
        <w:t>Id.</w:t>
      </w:r>
      <w:r w:rsidRPr="00C0259F">
        <w:t xml:space="preserve">  In this case, however, the Joint Complainants rely on the Commission’s own regulations – not statutory authority – in support of their position that the Commission has jurisdiction to hear cases regarding the UTP/CPL.  Reliance on its own regulations is not comparable to the Commission’s express authority to regulate the safety of taxicabs </w:t>
      </w:r>
      <w:r w:rsidR="00FE1D28">
        <w:t xml:space="preserve">explicitly granted by the General Assembly </w:t>
      </w:r>
      <w:r w:rsidRPr="00C0259F">
        <w:t>under Section 1501.</w:t>
      </w:r>
    </w:p>
    <w:p w:rsidR="00C0259F" w:rsidRPr="00C0259F" w:rsidRDefault="00C0259F" w:rsidP="00C0259F">
      <w:pPr>
        <w:tabs>
          <w:tab w:val="left" w:pos="-720"/>
        </w:tabs>
        <w:suppressAutoHyphens/>
        <w:spacing w:line="360" w:lineRule="auto"/>
      </w:pPr>
    </w:p>
    <w:p w:rsidR="00A72819" w:rsidRDefault="00C0259F" w:rsidP="00A72819">
      <w:pPr>
        <w:tabs>
          <w:tab w:val="left" w:pos="-720"/>
        </w:tabs>
        <w:suppressAutoHyphens/>
        <w:spacing w:line="360" w:lineRule="auto"/>
      </w:pPr>
      <w:r w:rsidRPr="00C0259F">
        <w:tab/>
      </w:r>
      <w:r w:rsidRPr="00C0259F">
        <w:tab/>
      </w:r>
      <w:r w:rsidR="00FE1D28">
        <w:t>I</w:t>
      </w:r>
      <w:r w:rsidRPr="00C0259F">
        <w:t xml:space="preserve">n </w:t>
      </w:r>
      <w:r w:rsidRPr="00C0259F">
        <w:rPr>
          <w:u w:val="single"/>
        </w:rPr>
        <w:t>MAPSA</w:t>
      </w:r>
      <w:r w:rsidRPr="00C0259F">
        <w:t xml:space="preserve">, </w:t>
      </w:r>
      <w:r w:rsidRPr="00C0259F">
        <w:rPr>
          <w:i/>
        </w:rPr>
        <w:t>supra</w:t>
      </w:r>
      <w:r w:rsidRPr="00C0259F">
        <w:t xml:space="preserve">, the Commission found that the electric distribution company (EDC) created confusion regarding customer choice through its advertising campaign but noted that Section 2811 limits the Commission’s remedial authority in this area.  In particular, Section 2811(d) requires the Commission to refer findings of anticompetitive or discriminatory conduct to the </w:t>
      </w:r>
      <w:r w:rsidR="000F4B2C">
        <w:t xml:space="preserve">Attorney General.  </w:t>
      </w:r>
      <w:proofErr w:type="gramStart"/>
      <w:r w:rsidR="000F4B2C">
        <w:t>66 Pa.C.S.</w:t>
      </w:r>
      <w:proofErr w:type="gramEnd"/>
      <w:r w:rsidR="000F4B2C">
        <w:t xml:space="preserve"> § </w:t>
      </w:r>
      <w:r w:rsidRPr="00C0259F">
        <w:t>2811(d</w:t>
      </w:r>
      <w:proofErr w:type="gramStart"/>
      <w:r w:rsidRPr="00C0259F">
        <w:t>)(</w:t>
      </w:r>
      <w:proofErr w:type="gramEnd"/>
      <w:r w:rsidRPr="00C0259F">
        <w:t xml:space="preserve">1).  </w:t>
      </w:r>
      <w:r w:rsidR="00A72819">
        <w:t>The Commission noted that “there is an administrative agency having more extensive expertise in this area to which this matter is deferred.”</w:t>
      </w:r>
    </w:p>
    <w:p w:rsidR="00C0259F" w:rsidRPr="00C0259F" w:rsidRDefault="00C0259F" w:rsidP="00C0259F">
      <w:pPr>
        <w:tabs>
          <w:tab w:val="left" w:pos="-720"/>
        </w:tabs>
        <w:suppressAutoHyphens/>
        <w:spacing w:line="360" w:lineRule="auto"/>
      </w:pPr>
    </w:p>
    <w:p w:rsidR="00C0259F" w:rsidRPr="00C0259F" w:rsidRDefault="00C0259F" w:rsidP="00C0259F">
      <w:pPr>
        <w:tabs>
          <w:tab w:val="left" w:pos="-720"/>
        </w:tabs>
        <w:suppressAutoHyphens/>
        <w:spacing w:line="360" w:lineRule="auto"/>
      </w:pPr>
      <w:r w:rsidRPr="00C0259F">
        <w:tab/>
      </w:r>
      <w:r w:rsidRPr="00C0259F">
        <w:tab/>
      </w:r>
      <w:r w:rsidRPr="00C0259F">
        <w:rPr>
          <w:color w:val="000000"/>
        </w:rPr>
        <w:t xml:space="preserve">As noted above, the Commission is a creation of the legislature and possesses only the authority that the state legislature has specifically granted to it and its jurisdiction must arise from the express language of the pertinent enabling legislation or by strong and necessary implication therefrom.  </w:t>
      </w:r>
      <w:proofErr w:type="gramStart"/>
      <w:r w:rsidRPr="00C0259F">
        <w:rPr>
          <w:color w:val="000000"/>
          <w:u w:val="single"/>
        </w:rPr>
        <w:t>Feingold</w:t>
      </w:r>
      <w:r w:rsidRPr="00C0259F">
        <w:rPr>
          <w:color w:val="000000"/>
        </w:rPr>
        <w:t>.</w:t>
      </w:r>
      <w:proofErr w:type="gramEnd"/>
      <w:r w:rsidRPr="00C0259F">
        <w:rPr>
          <w:color w:val="000000"/>
        </w:rPr>
        <w:t xml:space="preserve">  Neither such express or strong and necessary implication is present here.  </w:t>
      </w:r>
      <w:r w:rsidRPr="00C0259F">
        <w:t>In contrast, for example</w:t>
      </w:r>
      <w:r w:rsidR="001540BB">
        <w:t>,</w:t>
      </w:r>
      <w:r w:rsidRPr="00C0259F">
        <w:t xml:space="preserve"> authority conferred by the General Assembly</w:t>
      </w:r>
      <w:r w:rsidR="001540BB">
        <w:t xml:space="preserve"> through Section 1501 of the Public Utility Code to regulate taxi </w:t>
      </w:r>
      <w:proofErr w:type="spellStart"/>
      <w:r w:rsidR="001540BB">
        <w:t>facilites</w:t>
      </w:r>
      <w:proofErr w:type="spellEnd"/>
      <w:r w:rsidRPr="00C0259F">
        <w:t xml:space="preserve">, as was the case in </w:t>
      </w:r>
      <w:r w:rsidRPr="00C0259F">
        <w:rPr>
          <w:u w:val="single"/>
        </w:rPr>
        <w:t>Harrisburg Taxi</w:t>
      </w:r>
      <w:r w:rsidRPr="00C0259F">
        <w:t xml:space="preserve">, does give the Commission such jurisdiction.  </w:t>
      </w:r>
      <w:r w:rsidRPr="00C0259F">
        <w:rPr>
          <w:i/>
        </w:rPr>
        <w:t>Cf.</w:t>
      </w:r>
      <w:r w:rsidRPr="00C0259F">
        <w:t xml:space="preserve">, </w:t>
      </w:r>
      <w:r w:rsidRPr="00C0259F">
        <w:rPr>
          <w:u w:val="single"/>
        </w:rPr>
        <w:t>MAPSA</w:t>
      </w:r>
      <w:r w:rsidRPr="00C0259F">
        <w:t xml:space="preserve"> (noting that the Attorney General has more extensive expertise in this area) and </w:t>
      </w:r>
      <w:r w:rsidRPr="00C0259F">
        <w:rPr>
          <w:u w:val="single"/>
        </w:rPr>
        <w:t>Harrisburg Taxi</w:t>
      </w:r>
      <w:r w:rsidRPr="00C0259F">
        <w:t xml:space="preserve"> (noting that two agencies possess overlapping authority).  </w:t>
      </w:r>
      <w:r w:rsidR="00A72819">
        <w:t xml:space="preserve">Overlapping jurisdiction is not present here where, for example, the remedies for findings of deceptive trade practices vary.  </w:t>
      </w:r>
      <w:r w:rsidR="00A72819">
        <w:rPr>
          <w:u w:val="single"/>
        </w:rPr>
        <w:t xml:space="preserve">C. Leslie </w:t>
      </w:r>
      <w:proofErr w:type="spellStart"/>
      <w:r w:rsidR="00A72819">
        <w:rPr>
          <w:u w:val="single"/>
        </w:rPr>
        <w:t>Pettko</w:t>
      </w:r>
      <w:proofErr w:type="spellEnd"/>
      <w:r w:rsidR="00A72819">
        <w:rPr>
          <w:u w:val="single"/>
        </w:rPr>
        <w:t xml:space="preserve">, </w:t>
      </w:r>
      <w:r w:rsidR="00A72819">
        <w:rPr>
          <w:i/>
          <w:u w:val="single"/>
        </w:rPr>
        <w:t>et al</w:t>
      </w:r>
      <w:r w:rsidR="00A72819">
        <w:rPr>
          <w:u w:val="single"/>
        </w:rPr>
        <w:t>. v. Pennsylvania American Water Co.</w:t>
      </w:r>
      <w:r w:rsidR="00A72819">
        <w:t xml:space="preserve">, 39 A.3d 473, 484 (Pa. Cmwlth 2012) (the Commission does not have the authority to award civil penalties up to $5,000, as is allowed under the UTP/CPL); </w:t>
      </w:r>
      <w:r w:rsidR="00A72819">
        <w:rPr>
          <w:i/>
        </w:rPr>
        <w:t>see also</w:t>
      </w:r>
      <w:r w:rsidR="00A72819">
        <w:t>,</w:t>
      </w:r>
      <w:r w:rsidR="00A72819" w:rsidRPr="00CA666C">
        <w:t xml:space="preserve"> </w:t>
      </w:r>
      <w:r w:rsidR="00A72819">
        <w:t xml:space="preserve">73 Pa.C.S. § 201-8.  </w:t>
      </w:r>
      <w:r w:rsidRPr="00C0259F">
        <w:t xml:space="preserve">This portion of </w:t>
      </w:r>
      <w:r w:rsidR="00E072E4">
        <w:t>ESP’s</w:t>
      </w:r>
      <w:r w:rsidRPr="00C0259F">
        <w:t xml:space="preserve"> Preliminary Objection will be granted.</w:t>
      </w:r>
    </w:p>
    <w:p w:rsidR="00C0259F" w:rsidRPr="00C0259F" w:rsidRDefault="00C0259F" w:rsidP="00C0259F">
      <w:pPr>
        <w:tabs>
          <w:tab w:val="left" w:pos="-720"/>
        </w:tabs>
        <w:suppressAutoHyphens/>
        <w:spacing w:line="360" w:lineRule="auto"/>
      </w:pPr>
    </w:p>
    <w:p w:rsidR="00E072E4" w:rsidRDefault="00C0259F" w:rsidP="00E072E4">
      <w:pPr>
        <w:tabs>
          <w:tab w:val="left" w:pos="-720"/>
        </w:tabs>
        <w:suppressAutoHyphens/>
        <w:spacing w:line="360" w:lineRule="auto"/>
        <w:ind w:firstLine="1350"/>
      </w:pPr>
      <w:r w:rsidRPr="00C0259F">
        <w:t>Having determined that the Commission does not have jurisdiction to hear cases brought under the UTP/CPL does not equate to allowing utilities to engage in misleading or deceptive conduct.  Utilities must still comply with the Commission’s regulations which prohibit such activities</w:t>
      </w:r>
      <w:r w:rsidR="009A1902">
        <w:t>, which they have properly averred in the Complaint</w:t>
      </w:r>
      <w:r w:rsidRPr="00C0259F">
        <w:t>.  Yet, in this case, where misleading and deceptive conduct is being alleged, the Joint Complainants cannot bring a claim under the UTP/CPL before the Commission but can bring a claim averring a violation of the Commission’s regulations.  The Joint Complainants may be able to bring claims of violations of the UTP/CPL in another forum that has jurisdiction over such claims.</w:t>
      </w:r>
      <w:r w:rsidR="00E072E4">
        <w:t xml:space="preserve">  </w:t>
      </w:r>
      <w:r w:rsidR="00A72819">
        <w:t>This is particularly true w</w:t>
      </w:r>
      <w:r w:rsidR="00E072E4">
        <w:t>hen accepting as true every well pled averment in the Complaint, as well as every reasonable inference from those averments, and viewing the Complaint in the light most favorable to the Joint Complainants</w:t>
      </w:r>
      <w:r w:rsidR="00A72819">
        <w:t>.  When doing so</w:t>
      </w:r>
      <w:r w:rsidR="00E072E4">
        <w:t xml:space="preserve">, it does not appear </w:t>
      </w:r>
      <w:r w:rsidR="00E072E4" w:rsidRPr="00070025">
        <w:t xml:space="preserve">that the Joint Complainants would not be entitled to relief under any </w:t>
      </w:r>
      <w:r w:rsidR="00E072E4">
        <w:t>circumstances as a matter of law</w:t>
      </w:r>
      <w:r w:rsidR="00275A41">
        <w:t xml:space="preserve"> with regard to violations of the Commission regulations prohibiting deceptive and fraudulent practices</w:t>
      </w:r>
      <w:r w:rsidR="00E072E4">
        <w:t>.</w:t>
      </w:r>
      <w:r w:rsidR="00A72819" w:rsidRPr="00A72819">
        <w:t xml:space="preserve"> </w:t>
      </w:r>
      <w:r w:rsidR="00A72819">
        <w:t xml:space="preserve"> Therefore, ESP’s Preliminary Objection will be denied in part.  </w:t>
      </w:r>
    </w:p>
    <w:p w:rsidR="00C0259F" w:rsidRDefault="00C0259F" w:rsidP="00C0259F">
      <w:pPr>
        <w:tabs>
          <w:tab w:val="left" w:pos="-720"/>
        </w:tabs>
        <w:suppressAutoHyphens/>
        <w:spacing w:line="360" w:lineRule="auto"/>
      </w:pPr>
    </w:p>
    <w:p w:rsidR="00E072E4" w:rsidRDefault="00E072E4" w:rsidP="00C0259F">
      <w:pPr>
        <w:tabs>
          <w:tab w:val="left" w:pos="-720"/>
        </w:tabs>
        <w:suppressAutoHyphens/>
        <w:spacing w:line="360" w:lineRule="auto"/>
      </w:pPr>
      <w:r>
        <w:tab/>
      </w:r>
      <w:r>
        <w:tab/>
        <w:t xml:space="preserve">As such, ESP’s Preliminary Objection will be granted in part to the extent the Joint Complainants seek that the Commission </w:t>
      </w:r>
      <w:proofErr w:type="gramStart"/>
      <w:r>
        <w:t>make</w:t>
      </w:r>
      <w:proofErr w:type="gramEnd"/>
      <w:r>
        <w:t xml:space="preserve"> rulings under the UTP/CPL and denied in part to the extent the Joint Complainants seek that the Commission make rulings pursuant to its own consumer protection regulations that prohibit fraudulent and deceptive practices.</w:t>
      </w:r>
    </w:p>
    <w:p w:rsidR="00230E9A" w:rsidRDefault="00230E9A" w:rsidP="00230E9A">
      <w:pPr>
        <w:tabs>
          <w:tab w:val="left" w:pos="-720"/>
        </w:tabs>
        <w:suppressAutoHyphens/>
        <w:spacing w:line="360" w:lineRule="auto"/>
      </w:pPr>
    </w:p>
    <w:p w:rsidR="00230E9A" w:rsidRDefault="00230E9A" w:rsidP="00230E9A">
      <w:pPr>
        <w:tabs>
          <w:tab w:val="left" w:pos="-720"/>
        </w:tabs>
        <w:suppressAutoHyphens/>
        <w:spacing w:line="360" w:lineRule="auto"/>
      </w:pPr>
      <w:r>
        <w:rPr>
          <w:b/>
          <w:u w:val="single"/>
        </w:rPr>
        <w:t xml:space="preserve">Preliminary Objection #3: The Commission Lacks Jurisdiction </w:t>
      </w:r>
      <w:proofErr w:type="gramStart"/>
      <w:r>
        <w:rPr>
          <w:b/>
          <w:u w:val="single"/>
        </w:rPr>
        <w:t>To</w:t>
      </w:r>
      <w:proofErr w:type="gramEnd"/>
      <w:r>
        <w:rPr>
          <w:b/>
          <w:u w:val="single"/>
        </w:rPr>
        <w:t xml:space="preserve"> Award Monetary Damages But Can Direct ESP To Provide Refunds </w:t>
      </w:r>
    </w:p>
    <w:p w:rsidR="00E072E4" w:rsidRPr="00230E9A" w:rsidRDefault="00E072E4" w:rsidP="00C0259F">
      <w:pPr>
        <w:tabs>
          <w:tab w:val="left" w:pos="-720"/>
        </w:tabs>
        <w:suppressAutoHyphens/>
        <w:spacing w:line="360" w:lineRule="auto"/>
      </w:pPr>
    </w:p>
    <w:p w:rsidR="00230E9A" w:rsidRPr="00230E9A" w:rsidRDefault="00230E9A" w:rsidP="00C0259F">
      <w:pPr>
        <w:tabs>
          <w:tab w:val="left" w:pos="-720"/>
        </w:tabs>
        <w:suppressAutoHyphens/>
        <w:spacing w:line="360" w:lineRule="auto"/>
      </w:pPr>
      <w:r w:rsidRPr="00230E9A">
        <w:tab/>
      </w:r>
      <w:r w:rsidRPr="00230E9A">
        <w:tab/>
        <w:t xml:space="preserve">In the Complaint, the Joint Complainants </w:t>
      </w:r>
      <w:r w:rsidR="000A68BE">
        <w:t xml:space="preserve">seek as requested relief, in part, that ESP be directed to “provide appropriate restitution, including without limitation to, refunding all charges to its customers that were over and above the Price to Compare in the customers’ respective service territories” during the relevant time period.  In its Preliminary Objections, ESP argued that the Commission lacks jurisdiction to award monetary damages or direct ESP to provide refunds to customers.  </w:t>
      </w:r>
      <w:r w:rsidR="00CE0CA0">
        <w:t xml:space="preserve">ESP requests that the Commission dismiss the request for relief.  </w:t>
      </w:r>
      <w:r w:rsidR="00C2702D">
        <w:t xml:space="preserve">In their Answer to the Preliminary Objection, the Joint Complainants aver that the Commission has jurisdiction to award penalties and restitution in this matter.  </w:t>
      </w:r>
      <w:r w:rsidR="00CE0CA0">
        <w:t>The Joint Complainants cited various Commission decisions wherein equitable relief was granted.  For the reasons discussed below,</w:t>
      </w:r>
      <w:r w:rsidR="00DB696C">
        <w:t xml:space="preserve"> ESP’s Preliminary Objection will be granted in part and denied in part.</w:t>
      </w:r>
      <w:r w:rsidR="00CE0CA0">
        <w:t xml:space="preserve"> </w:t>
      </w:r>
    </w:p>
    <w:p w:rsidR="001425EE" w:rsidRPr="00230E9A" w:rsidRDefault="001425EE" w:rsidP="004D6F0B">
      <w:pPr>
        <w:tabs>
          <w:tab w:val="left" w:pos="-720"/>
        </w:tabs>
        <w:suppressAutoHyphens/>
        <w:spacing w:line="360" w:lineRule="auto"/>
        <w:ind w:firstLine="1350"/>
      </w:pPr>
    </w:p>
    <w:p w:rsidR="00E7549F" w:rsidRDefault="00E7549F" w:rsidP="00E7549F">
      <w:pPr>
        <w:tabs>
          <w:tab w:val="left" w:pos="-720"/>
        </w:tabs>
        <w:suppressAutoHyphens/>
        <w:spacing w:line="360" w:lineRule="auto"/>
        <w:ind w:firstLine="1440"/>
      </w:pPr>
      <w:r>
        <w:t>To begin, i</w:t>
      </w:r>
      <w:r w:rsidRPr="00E3227F">
        <w:t xml:space="preserve">n civil practice, a Preliminary Objection based on legal insufficiency is referred to as a demurrer.  Preliminary Objections in the form of a demurrer will be sustained only in cases which are free and clear of doubt and where dismissal is clearly warranted by the record.  </w:t>
      </w:r>
      <w:proofErr w:type="gramStart"/>
      <w:r w:rsidRPr="00E3227F">
        <w:rPr>
          <w:u w:val="single"/>
        </w:rPr>
        <w:t xml:space="preserve">Community Life Support Systems, Inc., </w:t>
      </w:r>
      <w:r w:rsidRPr="00E3227F">
        <w:rPr>
          <w:i/>
          <w:u w:val="single"/>
        </w:rPr>
        <w:t>et al</w:t>
      </w:r>
      <w:r w:rsidRPr="00E3227F">
        <w:rPr>
          <w:u w:val="single"/>
        </w:rPr>
        <w:t>. v. Commonwealth of Pennsylvania</w:t>
      </w:r>
      <w:r w:rsidRPr="00E3227F">
        <w:t>, 689 A.2d 1014, 1017 (Pa. Cmwlth. 1997</w:t>
      </w:r>
      <w:r>
        <w:t>) (</w:t>
      </w:r>
      <w:r w:rsidRPr="00E3227F">
        <w:rPr>
          <w:u w:val="single"/>
        </w:rPr>
        <w:t>Community Life</w:t>
      </w:r>
      <w:r w:rsidRPr="00E3227F">
        <w:t>).</w:t>
      </w:r>
      <w:proofErr w:type="gramEnd"/>
      <w:r w:rsidRPr="00E3227F">
        <w:t xml:space="preserve">  Any doubt must be resolved in favor of overruling a demurrer.  </w:t>
      </w:r>
      <w:r w:rsidRPr="00E3227F">
        <w:rPr>
          <w:u w:val="single"/>
        </w:rPr>
        <w:t>Id.</w:t>
      </w:r>
      <w:r w:rsidRPr="00E3227F">
        <w:t xml:space="preserve">; </w:t>
      </w:r>
      <w:r w:rsidRPr="00E3227F">
        <w:rPr>
          <w:i/>
        </w:rPr>
        <w:t>see also</w:t>
      </w:r>
      <w:r w:rsidRPr="00E3227F">
        <w:t xml:space="preserve">, </w:t>
      </w:r>
      <w:r w:rsidRPr="00E3227F">
        <w:rPr>
          <w:u w:val="single"/>
        </w:rPr>
        <w:t xml:space="preserve">Hoffman v. </w:t>
      </w:r>
      <w:proofErr w:type="spellStart"/>
      <w:r w:rsidRPr="00E3227F">
        <w:rPr>
          <w:u w:val="single"/>
        </w:rPr>
        <w:t>Misericordia</w:t>
      </w:r>
      <w:proofErr w:type="spellEnd"/>
      <w:r w:rsidRPr="00E3227F">
        <w:rPr>
          <w:u w:val="single"/>
        </w:rPr>
        <w:t xml:space="preserve"> Hospital of Philadelphia</w:t>
      </w:r>
      <w:r w:rsidRPr="00E3227F">
        <w:t xml:space="preserve">, 439 Pa. 501, 267 A.2d 867 (1970) </w:t>
      </w:r>
      <w:r>
        <w:t>(</w:t>
      </w:r>
      <w:r>
        <w:rPr>
          <w:u w:val="single"/>
        </w:rPr>
        <w:t>Hoffman</w:t>
      </w:r>
      <w:r>
        <w:t xml:space="preserve">) </w:t>
      </w:r>
      <w:r w:rsidRPr="00E3227F">
        <w:t>(“the question presented by the demurrer is whether on the facts averred, the law states with certainty that no recovery is possible”).</w:t>
      </w:r>
    </w:p>
    <w:p w:rsidR="00E7549F" w:rsidRDefault="00E7549F" w:rsidP="00E7549F">
      <w:pPr>
        <w:tabs>
          <w:tab w:val="left" w:pos="-720"/>
        </w:tabs>
        <w:suppressAutoHyphens/>
        <w:spacing w:line="360" w:lineRule="auto"/>
      </w:pPr>
    </w:p>
    <w:p w:rsidR="00E7549F" w:rsidRDefault="00E7549F" w:rsidP="00E7549F">
      <w:pPr>
        <w:tabs>
          <w:tab w:val="left" w:pos="-720"/>
        </w:tabs>
        <w:suppressAutoHyphens/>
        <w:spacing w:line="360" w:lineRule="auto"/>
      </w:pPr>
      <w:r>
        <w:tab/>
      </w:r>
      <w:r>
        <w:tab/>
      </w:r>
      <w:r w:rsidR="007B1227">
        <w:t>Furthermore, r</w:t>
      </w:r>
      <w:r>
        <w:t xml:space="preserve">estitution is an equitable remedy under which a person is restored to his or her original position prior to loss or injury, or placed in the position he or she would have been, had the breach not occurred.  </w:t>
      </w:r>
      <w:r>
        <w:rPr>
          <w:u w:val="single"/>
        </w:rPr>
        <w:t>Black’s Law Dictionary</w:t>
      </w:r>
      <w:r>
        <w:t>, 6</w:t>
      </w:r>
      <w:r w:rsidRPr="00030AC9">
        <w:rPr>
          <w:vertAlign w:val="superscript"/>
        </w:rPr>
        <w:t>th</w:t>
      </w:r>
      <w:r>
        <w:t xml:space="preserve"> Ed., p. 1313.  Although the Commission has approved settlements wherein a respondent has agreed to pay restitution, the Commission lacks authority to impose such a remedy on an unwilling </w:t>
      </w:r>
      <w:r w:rsidR="00850DA2">
        <w:t>party</w:t>
      </w:r>
      <w:r>
        <w:t xml:space="preserve">.  </w:t>
      </w:r>
      <w:r>
        <w:rPr>
          <w:u w:val="single"/>
        </w:rPr>
        <w:t>Roger McCall v. Pennsylvania Electric Co.</w:t>
      </w:r>
      <w:r>
        <w:t>, Docket No. C-2009-2105240, Opinion and Order (entered June 7, 2010).</w:t>
      </w:r>
    </w:p>
    <w:p w:rsidR="00E7549F" w:rsidRDefault="00E7549F" w:rsidP="00E7549F">
      <w:pPr>
        <w:tabs>
          <w:tab w:val="left" w:pos="-720"/>
        </w:tabs>
        <w:suppressAutoHyphens/>
        <w:spacing w:line="360" w:lineRule="auto"/>
      </w:pPr>
    </w:p>
    <w:p w:rsidR="00E7549F" w:rsidRDefault="00E7549F" w:rsidP="00E7549F">
      <w:pPr>
        <w:tabs>
          <w:tab w:val="left" w:pos="-720"/>
        </w:tabs>
        <w:suppressAutoHyphens/>
        <w:spacing w:line="360" w:lineRule="auto"/>
      </w:pPr>
      <w:r>
        <w:tab/>
      </w:r>
      <w:r>
        <w:tab/>
        <w:t xml:space="preserve">In response to the Preliminary Objection, the Joint Complainants have argued that the Commission has authority to order equitable relief and provided instances where the Commission has done so.  In particular, the Joint Complainants cite to </w:t>
      </w:r>
      <w:r>
        <w:rPr>
          <w:u w:val="single"/>
        </w:rPr>
        <w:t>OCA v. Utility.com, Inc.</w:t>
      </w:r>
      <w:r>
        <w:t>, 212 P.U.R. 4</w:t>
      </w:r>
      <w:r w:rsidRPr="00327B53">
        <w:rPr>
          <w:vertAlign w:val="superscript"/>
        </w:rPr>
        <w:t>th</w:t>
      </w:r>
      <w:r>
        <w:t xml:space="preserve"> 255 (2001) (</w:t>
      </w:r>
      <w:r>
        <w:rPr>
          <w:u w:val="single"/>
        </w:rPr>
        <w:t>Utility.com</w:t>
      </w:r>
      <w:r>
        <w:t xml:space="preserve">).  In </w:t>
      </w:r>
      <w:r>
        <w:rPr>
          <w:u w:val="single"/>
        </w:rPr>
        <w:t>Utility.com</w:t>
      </w:r>
      <w:r>
        <w:t xml:space="preserve">, the Commission considered a complaint filed by the OCA against an EGS </w:t>
      </w:r>
      <w:r w:rsidR="00275A41">
        <w:t xml:space="preserve">that </w:t>
      </w:r>
      <w:r>
        <w:t xml:space="preserve">went bankrupt </w:t>
      </w:r>
      <w:r w:rsidR="00DB696C">
        <w:t xml:space="preserve">wherein the OCA sought </w:t>
      </w:r>
      <w:r>
        <w:t xml:space="preserve">refunds for customers who overpaid for service not received and for </w:t>
      </w:r>
      <w:r w:rsidR="00850DA2">
        <w:t>“</w:t>
      </w:r>
      <w:r>
        <w:t>lost savings.</w:t>
      </w:r>
      <w:r w:rsidR="00850DA2">
        <w:t>”</w:t>
      </w:r>
      <w:r>
        <w:t xml:space="preserve">  The claim for lost savings represented the amount of money that a customer could have been able to save either staying with the EGS or transferring to a comparable supplier had the EGS given proper written notice prior to its departure from the Pennsylvania generation market as required by the Commission’s regulations.  The Commission agreed with the recommendation of the Administrative Law Judge that lost savings could be viewed as damages for breach of contract, over which the Commission does not have jurisdiction, </w:t>
      </w:r>
      <w:r w:rsidR="00850DA2">
        <w:t xml:space="preserve">because </w:t>
      </w:r>
      <w:r>
        <w:t>the provisions of the Public Utility Code are in addition to the rights of actions under other statutory or common law.</w:t>
      </w:r>
    </w:p>
    <w:p w:rsidR="00E7549F" w:rsidRDefault="00E7549F" w:rsidP="00E7549F">
      <w:pPr>
        <w:tabs>
          <w:tab w:val="left" w:pos="-720"/>
        </w:tabs>
        <w:suppressAutoHyphens/>
        <w:spacing w:line="360" w:lineRule="auto"/>
      </w:pPr>
    </w:p>
    <w:p w:rsidR="00E7549F" w:rsidRPr="00B507E3" w:rsidRDefault="00E7549F" w:rsidP="00E7549F">
      <w:pPr>
        <w:tabs>
          <w:tab w:val="left" w:pos="-720"/>
        </w:tabs>
        <w:suppressAutoHyphens/>
        <w:spacing w:line="360" w:lineRule="auto"/>
      </w:pPr>
      <w:r>
        <w:tab/>
      </w:r>
      <w:r>
        <w:tab/>
      </w:r>
      <w:r>
        <w:rPr>
          <w:u w:val="single"/>
        </w:rPr>
        <w:t>Utility.com</w:t>
      </w:r>
      <w:r>
        <w:t xml:space="preserve">, however, is distinguishable from the instant case.  Most notably, in </w:t>
      </w:r>
      <w:r>
        <w:rPr>
          <w:u w:val="single"/>
        </w:rPr>
        <w:t>Utility.com</w:t>
      </w:r>
      <w:r>
        <w:t xml:space="preserve">, the respondent’s Terms of Service with its customers committed both the customer and the EGS to “submit to the personal and exclusive jurisdiction of the courts located within the Commonwealth of Pennsylvania and/or including administrative hearings by the PA PUC, for resolution of any disputes under this Agreement.”  Essentially, the respondent in </w:t>
      </w:r>
      <w:r>
        <w:rPr>
          <w:u w:val="single"/>
        </w:rPr>
        <w:t>Utility.com</w:t>
      </w:r>
      <w:r>
        <w:t xml:space="preserve"> agreed to Commission jurisdiction.  No such agreement </w:t>
      </w:r>
      <w:r w:rsidR="00DB696C">
        <w:t>has been averred</w:t>
      </w:r>
      <w:r>
        <w:t xml:space="preserve"> here.  Furthermore, in </w:t>
      </w:r>
      <w:r>
        <w:rPr>
          <w:u w:val="single"/>
        </w:rPr>
        <w:t>Utility.com</w:t>
      </w:r>
      <w:r>
        <w:t>, the respondent did not contest the fact that it failed to provide appropriate notice for abandonment of service in violation of Commission regulations.  As a result, the customers had no opportunity to cho</w:t>
      </w:r>
      <w:r w:rsidR="007B1227">
        <w:t>o</w:t>
      </w:r>
      <w:r>
        <w:t>se an alternative provider and were returned to the provider of last resort where they paid a higher rate.  Again, no such fact is present here</w:t>
      </w:r>
      <w:r w:rsidR="00275A41">
        <w:t xml:space="preserve"> – ESP does contest allegations that it violated any Commission regulations</w:t>
      </w:r>
      <w:r>
        <w:t xml:space="preserve">.  </w:t>
      </w:r>
      <w:r>
        <w:rPr>
          <w:u w:val="single"/>
        </w:rPr>
        <w:t>Utility.com</w:t>
      </w:r>
      <w:r>
        <w:t xml:space="preserve"> is, therefore, distinguishable from this case where </w:t>
      </w:r>
      <w:r w:rsidR="00DB696C">
        <w:t>ESP</w:t>
      </w:r>
      <w:r>
        <w:t xml:space="preserve"> has not assented to Commission jurisdiction, has contested that it has violated any Commission regulation and its customers had an opportunity to choose an alternative EGS for their electric generation service.</w:t>
      </w:r>
      <w:r w:rsidR="00DB696C">
        <w:t xml:space="preserve">  ESP’s Preliminary Objection will, therefore, be granted in part.</w:t>
      </w:r>
    </w:p>
    <w:p w:rsidR="00E7549F" w:rsidRDefault="00E7549F" w:rsidP="00E7549F">
      <w:pPr>
        <w:tabs>
          <w:tab w:val="left" w:pos="-720"/>
        </w:tabs>
        <w:suppressAutoHyphens/>
        <w:spacing w:line="360" w:lineRule="auto"/>
      </w:pPr>
    </w:p>
    <w:p w:rsidR="00E7549F" w:rsidRDefault="00E7549F" w:rsidP="00E7549F">
      <w:pPr>
        <w:tabs>
          <w:tab w:val="left" w:pos="-720"/>
        </w:tabs>
        <w:suppressAutoHyphens/>
        <w:spacing w:line="360" w:lineRule="auto"/>
      </w:pPr>
      <w:r>
        <w:tab/>
      </w:r>
      <w:r>
        <w:tab/>
      </w:r>
      <w:r w:rsidR="007B1227">
        <w:t>ESP’s</w:t>
      </w:r>
      <w:r>
        <w:t xml:space="preserve"> Preliminary Objection will be denied</w:t>
      </w:r>
      <w:r w:rsidR="00DB696C">
        <w:t xml:space="preserve"> in part</w:t>
      </w:r>
      <w:r>
        <w:t>, however, because Section 1312 of the Public Utility Code allows the Commission authority to direct refunds.  Section 1312 provides, in pertinent part:</w:t>
      </w:r>
    </w:p>
    <w:p w:rsidR="00E7549F" w:rsidRDefault="00E7549F" w:rsidP="00E7549F">
      <w:pPr>
        <w:tabs>
          <w:tab w:val="left" w:pos="-720"/>
        </w:tabs>
        <w:suppressAutoHyphens/>
        <w:spacing w:line="360" w:lineRule="auto"/>
      </w:pPr>
    </w:p>
    <w:p w:rsidR="00E7549F" w:rsidRPr="00030AC9" w:rsidRDefault="00E7549F" w:rsidP="00E7549F">
      <w:pPr>
        <w:pStyle w:val="ListParagraph"/>
        <w:numPr>
          <w:ilvl w:val="0"/>
          <w:numId w:val="22"/>
        </w:numPr>
        <w:tabs>
          <w:tab w:val="left" w:pos="-720"/>
        </w:tabs>
        <w:suppressAutoHyphens/>
        <w:ind w:left="1440" w:right="1440" w:firstLine="0"/>
        <w:rPr>
          <w:b/>
        </w:rPr>
      </w:pPr>
      <w:r>
        <w:rPr>
          <w:b/>
        </w:rPr>
        <w:t>General Rule.—</w:t>
      </w:r>
      <w:r>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w:t>
      </w:r>
    </w:p>
    <w:p w:rsidR="00E7549F" w:rsidRDefault="00E7549F" w:rsidP="00E7549F">
      <w:pPr>
        <w:tabs>
          <w:tab w:val="left" w:pos="-720"/>
        </w:tabs>
        <w:suppressAutoHyphens/>
        <w:spacing w:line="360" w:lineRule="auto"/>
      </w:pPr>
    </w:p>
    <w:p w:rsidR="00E7549F" w:rsidRDefault="00E7549F" w:rsidP="00E7549F">
      <w:pPr>
        <w:tabs>
          <w:tab w:val="left" w:pos="-720"/>
        </w:tabs>
        <w:suppressAutoHyphens/>
        <w:spacing w:line="360" w:lineRule="auto"/>
      </w:pPr>
      <w:proofErr w:type="gramStart"/>
      <w:r>
        <w:t>66 Pa.C.S.</w:t>
      </w:r>
      <w:proofErr w:type="gramEnd"/>
      <w:r>
        <w:t xml:space="preserve"> § 1312(a).  The Joint Complainants indicated in the Complaint that the relief sought included refunding all charges that were over and above the Price to Compare.  The Joint Complainants should be given the opportunity to be heard </w:t>
      </w:r>
      <w:r w:rsidR="00DB696C">
        <w:t>in</w:t>
      </w:r>
      <w:r>
        <w:t xml:space="preserve"> an administrative hearing </w:t>
      </w:r>
      <w:r w:rsidR="00DB696C">
        <w:t xml:space="preserve">regarding </w:t>
      </w:r>
      <w:r w:rsidR="00275A41">
        <w:t xml:space="preserve">their </w:t>
      </w:r>
      <w:r w:rsidR="00DB696C">
        <w:t xml:space="preserve">request </w:t>
      </w:r>
      <w:r w:rsidR="00275A41">
        <w:t xml:space="preserve">for refunds </w:t>
      </w:r>
      <w:r>
        <w:t>and not have this request be dismissed on a preliminary basis.</w:t>
      </w:r>
    </w:p>
    <w:p w:rsidR="00E7549F" w:rsidRDefault="00E7549F" w:rsidP="00E7549F">
      <w:pPr>
        <w:tabs>
          <w:tab w:val="left" w:pos="-720"/>
        </w:tabs>
        <w:suppressAutoHyphens/>
        <w:spacing w:line="360" w:lineRule="auto"/>
      </w:pPr>
    </w:p>
    <w:p w:rsidR="00E7549F" w:rsidRDefault="00E7549F" w:rsidP="00E7549F">
      <w:pPr>
        <w:tabs>
          <w:tab w:val="left" w:pos="-720"/>
        </w:tabs>
        <w:suppressAutoHyphens/>
        <w:spacing w:line="360" w:lineRule="auto"/>
      </w:pPr>
      <w:r>
        <w:tab/>
      </w:r>
      <w:r>
        <w:tab/>
      </w:r>
      <w:r w:rsidR="007B1227">
        <w:t>ESP</w:t>
      </w:r>
      <w:r>
        <w:t xml:space="preserve"> </w:t>
      </w:r>
      <w:r w:rsidR="00846FB5">
        <w:t xml:space="preserve">has argued that EGSs are not public utilities except for the limited purposes defined in Sections 2809 and 2810 of the Public Utility Code and that, therefore, the Commission cannot regulate the rates that an EGS charges to its customers or order an EGS to provide refunds or credits to its customers.  </w:t>
      </w:r>
      <w:r>
        <w:t>Section 1312</w:t>
      </w:r>
      <w:r w:rsidR="00850DA2">
        <w:t>, however,</w:t>
      </w:r>
      <w:r>
        <w:t xml:space="preserve"> gives the Commission jurisdiction to order </w:t>
      </w:r>
      <w:r w:rsidR="00846FB5">
        <w:t>ESP</w:t>
      </w:r>
      <w:r>
        <w:t xml:space="preserve"> to issue refunds.  To hold otherwise would be contrary to the public interest.  To the extent that the Commission would not be allowed to direct EGSs like </w:t>
      </w:r>
      <w:r w:rsidR="00846FB5">
        <w:t>ESP</w:t>
      </w:r>
      <w:r>
        <w:t xml:space="preserve"> to issue </w:t>
      </w:r>
      <w:r w:rsidRPr="00973C43">
        <w:t>refunds</w:t>
      </w:r>
      <w:r>
        <w:t xml:space="preserve"> to its customers under Section 1312 when, after notice and an opportunity to be heard, refunds are deemed appropriate, it would likewise lose its ability to regulate EGSs for other purposes essential to the public interest, such as ensuring adherence to the Commission’s </w:t>
      </w:r>
      <w:r w:rsidR="00D06A84">
        <w:t>consumer protection</w:t>
      </w:r>
      <w:r>
        <w:t xml:space="preserve"> regulations, as discussed above, and issuing civil penalties.  </w:t>
      </w:r>
      <w:r w:rsidRPr="00973C43">
        <w:rPr>
          <w:i/>
        </w:rPr>
        <w:t>See</w:t>
      </w:r>
      <w:r>
        <w:t xml:space="preserve">, </w:t>
      </w:r>
      <w:proofErr w:type="gramStart"/>
      <w:r>
        <w:t>66 Pa.C.S</w:t>
      </w:r>
      <w:proofErr w:type="gramEnd"/>
      <w:r>
        <w:t xml:space="preserve">. § 3301.  Holding that the Commission </w:t>
      </w:r>
      <w:r w:rsidR="00D06A84">
        <w:t xml:space="preserve">is prohibited </w:t>
      </w:r>
      <w:r>
        <w:t xml:space="preserve">from directing refunds be issued in this case creates an unreasonable result.  This is particularly true </w:t>
      </w:r>
      <w:r w:rsidR="00850DA2">
        <w:t xml:space="preserve">at this preliminary stage </w:t>
      </w:r>
      <w:r>
        <w:t xml:space="preserve">when accepting as true all well pleaded materials facts averred in the Complaint, as well as every reasonable inference from those facts, and viewing the Complaint in the light most favorable to the Joint Complainants as is required when disposing of </w:t>
      </w:r>
      <w:r w:rsidR="00D06A84">
        <w:t>ESP’s</w:t>
      </w:r>
      <w:r>
        <w:t xml:space="preserve"> Preliminary Objection.  When doing so, it is not clear and free from doubt that dismissal of this requested relief is warranted by the current record.</w:t>
      </w:r>
    </w:p>
    <w:p w:rsidR="00E7549F" w:rsidRDefault="00E7549F" w:rsidP="00E7549F">
      <w:pPr>
        <w:tabs>
          <w:tab w:val="left" w:pos="-720"/>
        </w:tabs>
        <w:suppressAutoHyphens/>
        <w:spacing w:line="360" w:lineRule="auto"/>
      </w:pPr>
    </w:p>
    <w:p w:rsidR="00E7549F" w:rsidRDefault="00E7549F" w:rsidP="00E7549F">
      <w:pPr>
        <w:tabs>
          <w:tab w:val="left" w:pos="-720"/>
        </w:tabs>
        <w:suppressAutoHyphens/>
        <w:spacing w:line="360" w:lineRule="auto"/>
      </w:pPr>
      <w:r>
        <w:tab/>
      </w:r>
      <w:r>
        <w:tab/>
        <w:t xml:space="preserve">As such, ESP’s Preliminary Objection that the Joint Complainants’ requested relief of restitution in the form of refunds should be stricken because it is legally insufficient will be </w:t>
      </w:r>
      <w:r w:rsidR="00DB696C">
        <w:t>granted in part and denied in part</w:t>
      </w:r>
      <w:r>
        <w:t>.  The Commission has authority to direct ESP to issue refunds</w:t>
      </w:r>
      <w:r w:rsidR="00D06A84">
        <w:t xml:space="preserve"> </w:t>
      </w:r>
      <w:r>
        <w:t>pursuant to the Public Utility Code</w:t>
      </w:r>
      <w:r w:rsidR="00850DA2">
        <w:t>, if appropriate</w:t>
      </w:r>
      <w:r>
        <w:t>.</w:t>
      </w:r>
    </w:p>
    <w:p w:rsidR="002605DC" w:rsidRDefault="002605DC" w:rsidP="00B74492">
      <w:pPr>
        <w:tabs>
          <w:tab w:val="left" w:pos="-720"/>
        </w:tabs>
        <w:suppressAutoHyphens/>
        <w:spacing w:line="360" w:lineRule="auto"/>
      </w:pPr>
    </w:p>
    <w:p w:rsidR="004B6CB6" w:rsidRDefault="002605DC" w:rsidP="00B74492">
      <w:pPr>
        <w:tabs>
          <w:tab w:val="left" w:pos="-720"/>
        </w:tabs>
        <w:suppressAutoHyphens/>
        <w:spacing w:line="360" w:lineRule="auto"/>
        <w:rPr>
          <w:b/>
          <w:u w:val="single"/>
        </w:rPr>
      </w:pPr>
      <w:r>
        <w:rPr>
          <w:b/>
          <w:u w:val="single"/>
        </w:rPr>
        <w:t xml:space="preserve">Preliminary Objection #4: </w:t>
      </w:r>
      <w:r w:rsidR="004B6CB6">
        <w:rPr>
          <w:b/>
          <w:u w:val="single"/>
        </w:rPr>
        <w:t>Counts I, II and IV</w:t>
      </w:r>
      <w:r w:rsidR="00587FE9">
        <w:rPr>
          <w:b/>
          <w:u w:val="single"/>
        </w:rPr>
        <w:t xml:space="preserve"> </w:t>
      </w:r>
      <w:proofErr w:type="gramStart"/>
      <w:r w:rsidR="00587FE9">
        <w:rPr>
          <w:b/>
          <w:u w:val="single"/>
        </w:rPr>
        <w:t>Of</w:t>
      </w:r>
      <w:proofErr w:type="gramEnd"/>
      <w:r w:rsidR="00587FE9">
        <w:rPr>
          <w:b/>
          <w:u w:val="single"/>
        </w:rPr>
        <w:t xml:space="preserve"> The Complaint Are Not Legally Insufficient</w:t>
      </w:r>
    </w:p>
    <w:p w:rsidR="004B6CB6" w:rsidRDefault="004B6CB6" w:rsidP="00B74492">
      <w:pPr>
        <w:tabs>
          <w:tab w:val="left" w:pos="-720"/>
        </w:tabs>
        <w:suppressAutoHyphens/>
        <w:spacing w:line="360" w:lineRule="auto"/>
        <w:rPr>
          <w:b/>
          <w:u w:val="single"/>
        </w:rPr>
      </w:pPr>
    </w:p>
    <w:p w:rsidR="00594F19" w:rsidRDefault="001D1113" w:rsidP="00D06A84">
      <w:pPr>
        <w:tabs>
          <w:tab w:val="left" w:pos="-720"/>
        </w:tabs>
        <w:suppressAutoHyphens/>
        <w:spacing w:line="360" w:lineRule="auto"/>
      </w:pPr>
      <w:r>
        <w:tab/>
      </w:r>
      <w:r>
        <w:tab/>
        <w:t>In their Complaint, the Joint Complainants aver</w:t>
      </w:r>
      <w:r w:rsidR="001B2461">
        <w:t xml:space="preserve">red that ESP made misleading and deceptive promises of savings, slammed customers and failed to handle complaints in good faith.  ESP argued in its Preliminary Objection that </w:t>
      </w:r>
      <w:r w:rsidR="00D97C8B">
        <w:t xml:space="preserve">these Counts should be dismissed because the underlying formal complaints have been satisfied through settlements.  ESP argued that these Counts are therefore legally insufficient to the extent they rely on information contained in </w:t>
      </w:r>
      <w:r w:rsidR="000A14E9">
        <w:t xml:space="preserve">the </w:t>
      </w:r>
      <w:r w:rsidR="00D97C8B">
        <w:t>formal complaints filed.</w:t>
      </w:r>
      <w:r w:rsidR="00B253D7">
        <w:t xml:space="preserve">  </w:t>
      </w:r>
      <w:r w:rsidR="00594F19">
        <w:t xml:space="preserve">In their Answer to the Preliminary Objection, the Joint Complainants averred that ESP’s purported settlement of the formal complaints referenced in the Complaint does not foreclose the relief sought by the Joint Complainants.  The Joint Complainants added, among other things, that this action is being brought in part by the Attorney General “in the name of the Commonwealth” and that the Attorney General is not acting on behalf of any one single claimant but pursuant to her </w:t>
      </w:r>
      <w:proofErr w:type="spellStart"/>
      <w:r w:rsidR="00594F19">
        <w:rPr>
          <w:i/>
        </w:rPr>
        <w:t>parens</w:t>
      </w:r>
      <w:proofErr w:type="spellEnd"/>
      <w:r w:rsidR="00594F19">
        <w:rPr>
          <w:i/>
        </w:rPr>
        <w:t xml:space="preserve"> </w:t>
      </w:r>
      <w:proofErr w:type="spellStart"/>
      <w:r w:rsidR="00594F19">
        <w:rPr>
          <w:i/>
        </w:rPr>
        <w:t>patriae</w:t>
      </w:r>
      <w:proofErr w:type="spellEnd"/>
      <w:r w:rsidR="00594F19">
        <w:t xml:space="preserve"> powers.  For the reasons discussed below, ESP’s Preliminary Objection will be denied.</w:t>
      </w:r>
    </w:p>
    <w:p w:rsidR="00594F19" w:rsidRDefault="00594F19" w:rsidP="00D06A84">
      <w:pPr>
        <w:tabs>
          <w:tab w:val="left" w:pos="-720"/>
        </w:tabs>
        <w:suppressAutoHyphens/>
        <w:spacing w:line="360" w:lineRule="auto"/>
      </w:pPr>
    </w:p>
    <w:p w:rsidR="00907E35" w:rsidRDefault="006C040A" w:rsidP="00907E35">
      <w:pPr>
        <w:tabs>
          <w:tab w:val="left" w:pos="-720"/>
        </w:tabs>
        <w:suppressAutoHyphens/>
        <w:spacing w:line="360" w:lineRule="auto"/>
        <w:ind w:firstLine="1440"/>
      </w:pPr>
      <w:r>
        <w:t xml:space="preserve">As noted above, </w:t>
      </w:r>
      <w:r w:rsidR="00907E35" w:rsidRPr="00E3227F">
        <w:t xml:space="preserve">a Preliminary Objection based on legal insufficiency is referred to as a demurrer.  Preliminary Objections in the form of a demurrer will be sustained only in cases which are free and clear of doubt and where dismissal is clearly warranted by the record.  </w:t>
      </w:r>
      <w:r w:rsidR="00907E35" w:rsidRPr="00E3227F">
        <w:rPr>
          <w:u w:val="single"/>
        </w:rPr>
        <w:t>Community Life</w:t>
      </w:r>
      <w:r w:rsidR="001935F0">
        <w:t xml:space="preserve">, </w:t>
      </w:r>
      <w:r w:rsidR="001935F0">
        <w:rPr>
          <w:i/>
        </w:rPr>
        <w:t>supra</w:t>
      </w:r>
      <w:r w:rsidR="00907E35" w:rsidRPr="00E3227F">
        <w:t xml:space="preserve">.  Any doubt must be resolved in favor of overruling a demurrer.  </w:t>
      </w:r>
      <w:proofErr w:type="gramStart"/>
      <w:r w:rsidR="00907E35" w:rsidRPr="00E3227F">
        <w:rPr>
          <w:u w:val="single"/>
        </w:rPr>
        <w:t>Id.</w:t>
      </w:r>
      <w:r w:rsidR="00907E35">
        <w:t xml:space="preserve">; </w:t>
      </w:r>
      <w:r w:rsidR="00907E35">
        <w:rPr>
          <w:u w:val="single"/>
        </w:rPr>
        <w:t>Hoffman</w:t>
      </w:r>
      <w:r w:rsidR="00907E35">
        <w:t>.</w:t>
      </w:r>
      <w:proofErr w:type="gramEnd"/>
      <w:r w:rsidR="00907E35">
        <w:t xml:space="preserve">  </w:t>
      </w:r>
      <w:r w:rsidR="000A14E9">
        <w:t xml:space="preserve">It is not clear and free from doubt or clearly warranted by the record that Counts I, II and IV should be dismissed.  Therefore, </w:t>
      </w:r>
      <w:r w:rsidR="00907E35">
        <w:t>ESP’s Preliminary Objection must be denied.</w:t>
      </w:r>
    </w:p>
    <w:p w:rsidR="00907E35" w:rsidRDefault="00907E35" w:rsidP="00907E35">
      <w:pPr>
        <w:tabs>
          <w:tab w:val="left" w:pos="-720"/>
        </w:tabs>
        <w:suppressAutoHyphens/>
        <w:spacing w:line="360" w:lineRule="auto"/>
        <w:ind w:firstLine="1440"/>
      </w:pPr>
    </w:p>
    <w:p w:rsidR="00907E35" w:rsidRDefault="00907E35" w:rsidP="00907E35">
      <w:pPr>
        <w:tabs>
          <w:tab w:val="left" w:pos="-720"/>
        </w:tabs>
        <w:suppressAutoHyphens/>
        <w:spacing w:line="360" w:lineRule="auto"/>
        <w:ind w:firstLine="1440"/>
      </w:pPr>
      <w:r>
        <w:t xml:space="preserve">To begin, Counts I and II reference complaints filed both with the Commission as well as the OAG. </w:t>
      </w:r>
      <w:r w:rsidR="000A14E9">
        <w:t xml:space="preserve"> </w:t>
      </w:r>
      <w:r>
        <w:t>ESP’s Preliminary Objection does not address the complaints filed with the OAG, but focusses on why purported resolution of the formal complaints filed with the Commission warrant dismissal of Counts I, II and IV.  At a minimum, ESP’s Preliminary Objection will be denied because it only addresses the complaints filed with the Commission, and not the complaints filed with the OAG – both of which were averred in the Complaint.</w:t>
      </w:r>
    </w:p>
    <w:p w:rsidR="00907E35" w:rsidRDefault="00907E35" w:rsidP="00907E35">
      <w:pPr>
        <w:tabs>
          <w:tab w:val="left" w:pos="-720"/>
        </w:tabs>
        <w:suppressAutoHyphens/>
        <w:spacing w:line="360" w:lineRule="auto"/>
        <w:ind w:firstLine="1440"/>
      </w:pPr>
    </w:p>
    <w:p w:rsidR="00907E35" w:rsidRDefault="000A14E9" w:rsidP="00907E35">
      <w:pPr>
        <w:tabs>
          <w:tab w:val="left" w:pos="-720"/>
        </w:tabs>
        <w:suppressAutoHyphens/>
        <w:spacing w:line="360" w:lineRule="auto"/>
        <w:ind w:firstLine="1440"/>
      </w:pPr>
      <w:r>
        <w:t xml:space="preserve">Additionally, </w:t>
      </w:r>
      <w:r w:rsidR="00907E35">
        <w:t xml:space="preserve">ESP’s Preliminary Objection will also be rejected </w:t>
      </w:r>
      <w:r w:rsidR="008C4577">
        <w:t xml:space="preserve">because, when accepting as true every well pled averment in the Complaint, and every reasonable inference from those averments, and viewing the Complaint in the light most favorable to the Joint Complainants, it does not appear that the Joint Complainants would not be entitled to relief under any circumstances as a matter of law.  </w:t>
      </w:r>
      <w:r w:rsidR="003F6F42">
        <w:t xml:space="preserve">Count I </w:t>
      </w:r>
      <w:r w:rsidR="008C4577">
        <w:t>avers</w:t>
      </w:r>
      <w:r w:rsidR="00E62FBF">
        <w:t xml:space="preserve">, for example, </w:t>
      </w:r>
      <w:r>
        <w:t xml:space="preserve">that </w:t>
      </w:r>
      <w:r w:rsidR="00E62FBF">
        <w:t xml:space="preserve">consumer complainants believed that ESP would provide them a guaranteed rate but that they received bills for generation service from ESP that were at least two or three times more than the Price To Compare.  </w:t>
      </w:r>
      <w:r w:rsidR="003F6F42">
        <w:t xml:space="preserve">Count I </w:t>
      </w:r>
      <w:r w:rsidR="00E62FBF">
        <w:t xml:space="preserve">also avers that the Commission’s regulations require that a licensed EGS, such as ESP, is responsible for any fraudulent, deceptive or other unlawful marketing act by its employees, agents and representatives.  </w:t>
      </w:r>
      <w:r w:rsidR="003F6F42">
        <w:t xml:space="preserve">Count II makes similar averments.  </w:t>
      </w:r>
      <w:r w:rsidR="00850DA2">
        <w:t>When accepting t</w:t>
      </w:r>
      <w:r w:rsidR="003F6F42">
        <w:t xml:space="preserve">hese averments, and every reasonable inference from them, </w:t>
      </w:r>
      <w:r w:rsidR="00850DA2">
        <w:t xml:space="preserve">as true, </w:t>
      </w:r>
      <w:r w:rsidR="003F6F42">
        <w:t>ESP’s Preliminary Objection</w:t>
      </w:r>
      <w:r w:rsidR="00850DA2">
        <w:t xml:space="preserve"> must be denied</w:t>
      </w:r>
      <w:r w:rsidR="003F6F42">
        <w:t>.</w:t>
      </w:r>
    </w:p>
    <w:p w:rsidR="008C4577" w:rsidRDefault="008C4577" w:rsidP="00907E35">
      <w:pPr>
        <w:tabs>
          <w:tab w:val="left" w:pos="-720"/>
        </w:tabs>
        <w:suppressAutoHyphens/>
        <w:spacing w:line="360" w:lineRule="auto"/>
        <w:ind w:firstLine="1440"/>
      </w:pPr>
    </w:p>
    <w:p w:rsidR="008C4577" w:rsidRDefault="008C4577" w:rsidP="00907E35">
      <w:pPr>
        <w:tabs>
          <w:tab w:val="left" w:pos="-720"/>
        </w:tabs>
        <w:suppressAutoHyphens/>
        <w:spacing w:line="360" w:lineRule="auto"/>
        <w:ind w:firstLine="1440"/>
      </w:pPr>
      <w:r>
        <w:t>Although Count IV raises no allegations of complaints filed with the OAG</w:t>
      </w:r>
      <w:r w:rsidR="000A14E9">
        <w:t xml:space="preserve"> </w:t>
      </w:r>
      <w:r w:rsidR="003F6F42">
        <w:t>that warrants denying ESP’s Preliminary Objection</w:t>
      </w:r>
      <w:r w:rsidR="000A14E9">
        <w:t xml:space="preserve">, as do Counts I and II, </w:t>
      </w:r>
      <w:r>
        <w:t xml:space="preserve">ESP’s Preliminary Objection with regard to Count IV will also be rejected because of the standard required when disposing </w:t>
      </w:r>
      <w:r w:rsidR="00850DA2">
        <w:t xml:space="preserve">of </w:t>
      </w:r>
      <w:r>
        <w:t xml:space="preserve">Preliminary Objections.  That is, </w:t>
      </w:r>
      <w:r w:rsidR="003F6F42">
        <w:t xml:space="preserve">Count IV </w:t>
      </w:r>
      <w:r>
        <w:t>avers</w:t>
      </w:r>
      <w:r w:rsidR="003F6F42">
        <w:t xml:space="preserve">, for example, that </w:t>
      </w:r>
      <w:r w:rsidR="00F178D1">
        <w:t xml:space="preserve">consumer complainants could not get through to ESP on the telephone and/or their messages left for ESP went unanswered when they attempted to contact ESP regarding the variable rate charges on their bills.  Count IV further notes that Commission regulations require EGS’s to utilize good faith, honesty and fair dealing with residential consumers, including procedures to use when receiving notice of a dispute.  </w:t>
      </w:r>
      <w:r w:rsidR="000A14E9">
        <w:t>These averments are</w:t>
      </w:r>
      <w:r>
        <w:t xml:space="preserve"> sufficient to deny disposing of Count</w:t>
      </w:r>
      <w:r w:rsidR="000A14E9">
        <w:t xml:space="preserve"> </w:t>
      </w:r>
      <w:r>
        <w:t xml:space="preserve">IV on a preliminary basis and giving the Joint Complainants an opportunity to be heard regarding the issues raised in </w:t>
      </w:r>
      <w:r w:rsidR="000A14E9">
        <w:t xml:space="preserve">Count IV </w:t>
      </w:r>
      <w:r w:rsidR="00F178D1">
        <w:t>when accepting these averments as true, as well as every reasonable inference from those averments, and viewing the Complaint in the light most favorable to the Joint Complainants</w:t>
      </w:r>
      <w:r>
        <w:t>.</w:t>
      </w:r>
    </w:p>
    <w:p w:rsidR="00F178D1" w:rsidRDefault="00F178D1" w:rsidP="00907E35">
      <w:pPr>
        <w:tabs>
          <w:tab w:val="left" w:pos="-720"/>
        </w:tabs>
        <w:suppressAutoHyphens/>
        <w:spacing w:line="360" w:lineRule="auto"/>
        <w:ind w:firstLine="1440"/>
      </w:pPr>
    </w:p>
    <w:p w:rsidR="00932C4C" w:rsidRDefault="00F178D1" w:rsidP="00932C4C">
      <w:pPr>
        <w:tabs>
          <w:tab w:val="left" w:pos="-720"/>
        </w:tabs>
        <w:suppressAutoHyphens/>
        <w:spacing w:line="360" w:lineRule="auto"/>
        <w:ind w:firstLine="1440"/>
      </w:pPr>
      <w:r>
        <w:t xml:space="preserve">ESP argued in its Preliminary Objection that it has resolved through settlements all formal complaints that were filed by consumers against the Company through the filing of Certificates of Satisfaction.  </w:t>
      </w:r>
      <w:r w:rsidR="00932C4C">
        <w:t>ESP is correct that Section 703 of the Public Utility Code provides:</w:t>
      </w:r>
    </w:p>
    <w:p w:rsidR="00932C4C" w:rsidRDefault="00932C4C" w:rsidP="00932C4C">
      <w:pPr>
        <w:tabs>
          <w:tab w:val="left" w:pos="-720"/>
        </w:tabs>
        <w:suppressAutoHyphens/>
        <w:spacing w:line="360" w:lineRule="auto"/>
        <w:ind w:firstLine="1440"/>
      </w:pPr>
    </w:p>
    <w:p w:rsidR="00932C4C" w:rsidRPr="00932C4C" w:rsidRDefault="00932C4C" w:rsidP="00932C4C">
      <w:pPr>
        <w:pStyle w:val="ListParagraph"/>
        <w:numPr>
          <w:ilvl w:val="0"/>
          <w:numId w:val="23"/>
        </w:numPr>
        <w:tabs>
          <w:tab w:val="left" w:pos="-720"/>
        </w:tabs>
        <w:suppressAutoHyphens/>
        <w:ind w:left="1440" w:right="1440" w:firstLine="0"/>
        <w:rPr>
          <w:b/>
        </w:rPr>
      </w:pPr>
      <w:r>
        <w:rPr>
          <w:b/>
        </w:rPr>
        <w:t>Satisfaction of complaint or hearing.—</w:t>
      </w:r>
      <w:proofErr w:type="gramStart"/>
      <w:r>
        <w:t>If</w:t>
      </w:r>
      <w:proofErr w:type="gramEnd"/>
      <w:r>
        <w:t xml:space="preserve"> any party complained against, within the time specified by the commission, shall satisfy the complaint, the commission shall dismiss the complaint.  Such party shall be relieved from responsibility only for the specific matter complained of.</w:t>
      </w:r>
    </w:p>
    <w:p w:rsidR="00932C4C" w:rsidRPr="00932C4C" w:rsidRDefault="00932C4C" w:rsidP="00932C4C">
      <w:pPr>
        <w:pStyle w:val="ListParagraph"/>
        <w:tabs>
          <w:tab w:val="left" w:pos="-720"/>
        </w:tabs>
        <w:suppressAutoHyphens/>
        <w:ind w:left="1440" w:right="1440"/>
        <w:rPr>
          <w:b/>
        </w:rPr>
      </w:pPr>
    </w:p>
    <w:p w:rsidR="000A14E9" w:rsidRDefault="00932C4C" w:rsidP="00D06A84">
      <w:pPr>
        <w:tabs>
          <w:tab w:val="left" w:pos="-720"/>
        </w:tabs>
        <w:suppressAutoHyphens/>
        <w:spacing w:line="360" w:lineRule="auto"/>
      </w:pPr>
      <w:proofErr w:type="gramStart"/>
      <w:r w:rsidRPr="00932C4C">
        <w:t>66 Pa.C.S.</w:t>
      </w:r>
      <w:proofErr w:type="gramEnd"/>
      <w:r w:rsidRPr="00932C4C">
        <w:t xml:space="preserve"> § 703(a).</w:t>
      </w:r>
      <w:r>
        <w:t xml:space="preserve">  </w:t>
      </w:r>
      <w:r w:rsidR="00303920">
        <w:t xml:space="preserve">In this case, however, it is unclear </w:t>
      </w:r>
      <w:r w:rsidR="000A79FD">
        <w:t xml:space="preserve">at this preliminary stage </w:t>
      </w:r>
      <w:r w:rsidR="00303920">
        <w:t xml:space="preserve">that </w:t>
      </w:r>
      <w:r w:rsidR="000A79FD">
        <w:t xml:space="preserve">the averments raised in the underlying complaints, and the settlements of them, </w:t>
      </w:r>
      <w:r w:rsidR="000A14E9">
        <w:t xml:space="preserve">warrant </w:t>
      </w:r>
      <w:r w:rsidR="00275A41">
        <w:t>dismissing Counts I, II and IV.</w:t>
      </w:r>
    </w:p>
    <w:p w:rsidR="000A14E9" w:rsidRDefault="000A14E9" w:rsidP="00D06A84">
      <w:pPr>
        <w:tabs>
          <w:tab w:val="left" w:pos="-720"/>
        </w:tabs>
        <w:suppressAutoHyphens/>
        <w:spacing w:line="360" w:lineRule="auto"/>
      </w:pPr>
    </w:p>
    <w:p w:rsidR="000A79FD" w:rsidRDefault="000A14E9" w:rsidP="00D06A84">
      <w:pPr>
        <w:tabs>
          <w:tab w:val="left" w:pos="-720"/>
        </w:tabs>
        <w:suppressAutoHyphens/>
        <w:spacing w:line="360" w:lineRule="auto"/>
      </w:pPr>
      <w:r>
        <w:tab/>
      </w:r>
      <w:r>
        <w:tab/>
        <w:t xml:space="preserve">To the extent that ESP’s argument is akin to an argument of </w:t>
      </w:r>
      <w:r>
        <w:rPr>
          <w:i/>
        </w:rPr>
        <w:t>res judicata</w:t>
      </w:r>
      <w:r>
        <w:t xml:space="preserve">, this argument fails because there is no final valid judgment on the merits by the Commission that is required by </w:t>
      </w:r>
      <w:r>
        <w:rPr>
          <w:i/>
        </w:rPr>
        <w:t>res judicata</w:t>
      </w:r>
      <w:r>
        <w:t xml:space="preserve"> to bar any future suit between the same parties on the same cause of action because the cases were </w:t>
      </w:r>
      <w:r w:rsidR="00275A41">
        <w:t>resolved via settlements</w:t>
      </w:r>
      <w:r>
        <w:t xml:space="preserve">.  </w:t>
      </w:r>
      <w:r>
        <w:rPr>
          <w:i/>
        </w:rPr>
        <w:t>See</w:t>
      </w:r>
      <w:r>
        <w:t xml:space="preserve">, </w:t>
      </w:r>
      <w:r>
        <w:rPr>
          <w:u w:val="single"/>
        </w:rPr>
        <w:t>McCarthy, et al. v. Township of McCandless</w:t>
      </w:r>
      <w:r>
        <w:t xml:space="preserve">, 7 Pa. Commw. </w:t>
      </w:r>
      <w:proofErr w:type="gramStart"/>
      <w:r>
        <w:t>Ct. 611, 300 A.2d 815 (1973).</w:t>
      </w:r>
      <w:proofErr w:type="gramEnd"/>
      <w:r>
        <w:t xml:space="preserve">  </w:t>
      </w:r>
      <w:r w:rsidR="00275A41">
        <w:t xml:space="preserve">Furthermore, </w:t>
      </w:r>
      <w:r w:rsidR="00850DA2">
        <w:t xml:space="preserve">for </w:t>
      </w:r>
      <w:r>
        <w:t xml:space="preserve">the doctrine of </w:t>
      </w:r>
      <w:r>
        <w:rPr>
          <w:i/>
        </w:rPr>
        <w:t>res judicata</w:t>
      </w:r>
      <w:r>
        <w:t xml:space="preserve"> to prevail, </w:t>
      </w:r>
      <w:r w:rsidR="00963BD5" w:rsidRPr="006D316B">
        <w:t xml:space="preserve">four conditions must be met: (1) identity of issues, (2) identity of causes of action, (3) identity of persons and parties to the action, and (4) identity of the quality and capacity of the parties suing or sued.  </w:t>
      </w:r>
      <w:proofErr w:type="gramStart"/>
      <w:r w:rsidR="00963BD5" w:rsidRPr="006D316B">
        <w:rPr>
          <w:u w:val="single"/>
        </w:rPr>
        <w:t>Safeguard Mutual Insurance Co. v. Williams</w:t>
      </w:r>
      <w:r w:rsidR="00963BD5" w:rsidRPr="006D316B">
        <w:t>, 463 Pa. 567, 345 A.2d 664 (1975</w:t>
      </w:r>
      <w:r w:rsidR="00963BD5">
        <w:t>).</w:t>
      </w:r>
      <w:proofErr w:type="gramEnd"/>
      <w:r w:rsidR="00963BD5">
        <w:t xml:space="preserve">  At a minimum, the identity of persons and parties to the action do not warrant granting ESP’s Preliminary Objection in this case.  </w:t>
      </w:r>
    </w:p>
    <w:p w:rsidR="00963BD5" w:rsidRDefault="00963BD5" w:rsidP="00D06A84">
      <w:pPr>
        <w:tabs>
          <w:tab w:val="left" w:pos="-720"/>
        </w:tabs>
        <w:suppressAutoHyphens/>
        <w:spacing w:line="360" w:lineRule="auto"/>
      </w:pPr>
    </w:p>
    <w:p w:rsidR="00D06A84" w:rsidRPr="00747E2E" w:rsidRDefault="000A79FD" w:rsidP="00D06A84">
      <w:pPr>
        <w:tabs>
          <w:tab w:val="left" w:pos="-720"/>
        </w:tabs>
        <w:suppressAutoHyphens/>
        <w:spacing w:line="360" w:lineRule="auto"/>
      </w:pPr>
      <w:r>
        <w:tab/>
      </w:r>
      <w:r>
        <w:tab/>
      </w:r>
      <w:r w:rsidR="00275A41">
        <w:t>Additionally</w:t>
      </w:r>
      <w:r>
        <w:t xml:space="preserve">, </w:t>
      </w:r>
      <w:r w:rsidR="00963BD5">
        <w:t xml:space="preserve">it is a reasonable inference from the well pled material facts in Counts I, II and IV </w:t>
      </w:r>
      <w:r w:rsidR="00275A41">
        <w:t>t</w:t>
      </w:r>
      <w:r>
        <w:t xml:space="preserve">hat the Joint Complainants intend to argue that the alleged </w:t>
      </w:r>
      <w:r w:rsidR="00963BD5">
        <w:t xml:space="preserve">multiple </w:t>
      </w:r>
      <w:r>
        <w:t xml:space="preserve">violations of Commission regulations </w:t>
      </w:r>
      <w:r w:rsidR="00275A41">
        <w:t xml:space="preserve">raise additional issues beyond the individual complaints filed that </w:t>
      </w:r>
      <w:r>
        <w:t>warrant a hearing</w:t>
      </w:r>
      <w:r w:rsidR="00963BD5">
        <w:t xml:space="preserve"> – an issue that an individual </w:t>
      </w:r>
      <w:r>
        <w:t>complainant could not raise on behalf of another consumer.</w:t>
      </w:r>
      <w:r w:rsidR="00747E2E">
        <w:t xml:space="preserve">  </w:t>
      </w:r>
      <w:r w:rsidR="00275A41">
        <w:t xml:space="preserve">This would be consistent with the Attorney General’s </w:t>
      </w:r>
      <w:proofErr w:type="spellStart"/>
      <w:r w:rsidR="00275A41">
        <w:rPr>
          <w:i/>
        </w:rPr>
        <w:t>parens</w:t>
      </w:r>
      <w:proofErr w:type="spellEnd"/>
      <w:r w:rsidR="00275A41">
        <w:rPr>
          <w:i/>
        </w:rPr>
        <w:t xml:space="preserve"> </w:t>
      </w:r>
      <w:proofErr w:type="spellStart"/>
      <w:r w:rsidR="00275A41">
        <w:rPr>
          <w:i/>
        </w:rPr>
        <w:t>patraie</w:t>
      </w:r>
      <w:proofErr w:type="spellEnd"/>
      <w:r w:rsidR="00275A41">
        <w:t xml:space="preserve"> powers, as the Joint Complainants argued.  </w:t>
      </w:r>
      <w:r w:rsidR="00747E2E">
        <w:t xml:space="preserve">At this preliminary stage, dismissal of Counts I, II and IV is not clear and free of doubt or clearly warranted by the record.  Any doubts about the Complaint must be resolved in favor of denying the Preliminary Objection.  </w:t>
      </w:r>
      <w:proofErr w:type="gramStart"/>
      <w:r w:rsidR="00747E2E">
        <w:rPr>
          <w:u w:val="single"/>
        </w:rPr>
        <w:t>Community Life</w:t>
      </w:r>
      <w:r w:rsidR="00747E2E">
        <w:t>.</w:t>
      </w:r>
      <w:proofErr w:type="gramEnd"/>
      <w:r w:rsidR="00963BD5">
        <w:t xml:space="preserve">  Counts I, II and IV should not be dismissed on a preliminary basis.</w:t>
      </w:r>
    </w:p>
    <w:p w:rsidR="00303920" w:rsidRDefault="00303920" w:rsidP="00D06A84">
      <w:pPr>
        <w:tabs>
          <w:tab w:val="left" w:pos="-720"/>
        </w:tabs>
        <w:suppressAutoHyphens/>
        <w:spacing w:line="360" w:lineRule="auto"/>
      </w:pPr>
    </w:p>
    <w:p w:rsidR="00303920" w:rsidRDefault="00303920" w:rsidP="00B74492">
      <w:pPr>
        <w:tabs>
          <w:tab w:val="left" w:pos="-720"/>
        </w:tabs>
        <w:suppressAutoHyphens/>
        <w:spacing w:line="360" w:lineRule="auto"/>
      </w:pPr>
      <w:r>
        <w:tab/>
      </w:r>
      <w:r>
        <w:tab/>
        <w:t xml:space="preserve">As such, ESP’s Preliminary Objection that Counts I, II and IV should be dismissed because </w:t>
      </w:r>
      <w:r w:rsidR="00963BD5">
        <w:t xml:space="preserve">they are legally insufficient </w:t>
      </w:r>
      <w:r w:rsidR="00850DA2">
        <w:t xml:space="preserve">since </w:t>
      </w:r>
      <w:r>
        <w:t>the underlying formal complaints have been satisfied through settlements will be denied.</w:t>
      </w:r>
    </w:p>
    <w:p w:rsidR="001D1113" w:rsidRDefault="001D1113" w:rsidP="00B74492">
      <w:pPr>
        <w:tabs>
          <w:tab w:val="left" w:pos="-720"/>
        </w:tabs>
        <w:suppressAutoHyphens/>
        <w:spacing w:line="360" w:lineRule="auto"/>
      </w:pPr>
    </w:p>
    <w:p w:rsidR="002605DC" w:rsidRDefault="002605DC" w:rsidP="00B74492">
      <w:pPr>
        <w:tabs>
          <w:tab w:val="left" w:pos="-720"/>
        </w:tabs>
        <w:suppressAutoHyphens/>
        <w:spacing w:line="360" w:lineRule="auto"/>
      </w:pPr>
      <w:r>
        <w:rPr>
          <w:b/>
          <w:u w:val="single"/>
        </w:rPr>
        <w:t xml:space="preserve">Preliminary Objections #5 and #6: The Commission Lacks Jurisdiction </w:t>
      </w:r>
      <w:proofErr w:type="gramStart"/>
      <w:r>
        <w:rPr>
          <w:b/>
          <w:u w:val="single"/>
        </w:rPr>
        <w:t>To</w:t>
      </w:r>
      <w:proofErr w:type="gramEnd"/>
      <w:r>
        <w:rPr>
          <w:b/>
          <w:u w:val="single"/>
        </w:rPr>
        <w:t xml:space="preserve"> Hear Complaints Brought Pursuant To The Telemarketers Registration Act But Can Hear Complaints Brought Pursuant To Its Own Telemarketing Regulations</w:t>
      </w:r>
    </w:p>
    <w:p w:rsidR="002605DC" w:rsidRDefault="002605DC" w:rsidP="00B74492">
      <w:pPr>
        <w:tabs>
          <w:tab w:val="left" w:pos="-720"/>
        </w:tabs>
        <w:suppressAutoHyphens/>
        <w:spacing w:line="360" w:lineRule="auto"/>
      </w:pPr>
    </w:p>
    <w:p w:rsidR="007341C8" w:rsidRDefault="001D1113" w:rsidP="001D1113">
      <w:pPr>
        <w:tabs>
          <w:tab w:val="left" w:pos="-720"/>
        </w:tabs>
        <w:suppressAutoHyphens/>
        <w:spacing w:line="360" w:lineRule="auto"/>
      </w:pPr>
      <w:r>
        <w:tab/>
      </w:r>
      <w:r>
        <w:tab/>
        <w:t xml:space="preserve">In </w:t>
      </w:r>
      <w:r w:rsidR="00B14A8E">
        <w:t>Count VII of their Complaint</w:t>
      </w:r>
      <w:r>
        <w:t>, the Joint Complainants aver</w:t>
      </w:r>
      <w:r w:rsidR="00B14A8E">
        <w:t xml:space="preserve">red, among other things, that ESP failed to comply with the </w:t>
      </w:r>
      <w:r w:rsidR="00275A41">
        <w:t xml:space="preserve">TRA </w:t>
      </w:r>
      <w:r w:rsidR="00B14A8E">
        <w:t xml:space="preserve">because ESP sold its service through the use of a telemarketing call without reducing any sale made during such call to a written contract and obtaining the consumer’s signature on the written contract.  ESP filed two Preliminary Objections in response to Count VII.  First, ESP argued that </w:t>
      </w:r>
      <w:r w:rsidR="009155D9">
        <w:t xml:space="preserve">Count VII should be dismissed for lack of jurisdiction because the Commission cannot enforce the TRA.  Second, ESP argued that Count VII should be dismissed for legal insufficiency.  In their Answer to the Preliminary Objections, the Joint Complainants argued that </w:t>
      </w:r>
      <w:r w:rsidR="001C319A">
        <w:t>the Commission has jurisdiction to make determinations pursuant to the TRA and that ESP is not exempt from the TRA.  The Joint Complainants noted, among other things, that the Commission has incorporated the TRA into its regulations</w:t>
      </w:r>
      <w:r w:rsidR="007341C8">
        <w:t xml:space="preserve"> and therefore has the authority to make determinations pursuant to it.  </w:t>
      </w:r>
      <w:r w:rsidR="008C0769">
        <w:t xml:space="preserve">These Preliminary Objections will be addressed together.  </w:t>
      </w:r>
      <w:r w:rsidR="007341C8">
        <w:t>For the reasons discussed below, ESP’s Preliminary Objection</w:t>
      </w:r>
      <w:r w:rsidR="008C0769">
        <w:t>s</w:t>
      </w:r>
      <w:r w:rsidR="007341C8">
        <w:t xml:space="preserve"> will be granted in part and denied in part.  </w:t>
      </w:r>
    </w:p>
    <w:p w:rsidR="007341C8" w:rsidRDefault="007341C8" w:rsidP="001D1113">
      <w:pPr>
        <w:tabs>
          <w:tab w:val="left" w:pos="-720"/>
        </w:tabs>
        <w:suppressAutoHyphens/>
        <w:spacing w:line="360" w:lineRule="auto"/>
      </w:pPr>
    </w:p>
    <w:p w:rsidR="00BB1CAC" w:rsidRDefault="007341C8" w:rsidP="00BB1CAC">
      <w:pPr>
        <w:tabs>
          <w:tab w:val="left" w:pos="-720"/>
        </w:tabs>
        <w:suppressAutoHyphens/>
        <w:spacing w:line="360" w:lineRule="auto"/>
      </w:pPr>
      <w:r>
        <w:tab/>
      </w:r>
      <w:r>
        <w:tab/>
      </w:r>
      <w:r w:rsidR="00BB1CAC" w:rsidRPr="00C0259F">
        <w:t xml:space="preserve">To begin, </w:t>
      </w:r>
      <w:r w:rsidR="00722FF8">
        <w:t xml:space="preserve">with regard to ESP’s claim that the Commission lacks jurisdiction to hear claims brought under the TRA, </w:t>
      </w:r>
      <w:r w:rsidR="00BB1CAC">
        <w:t xml:space="preserve">as noted above, </w:t>
      </w:r>
      <w:r w:rsidR="00BB1CAC" w:rsidRPr="00C0259F">
        <w:t>i</w:t>
      </w:r>
      <w:r w:rsidR="00BB1CAC" w:rsidRPr="00C0259F">
        <w:rPr>
          <w:color w:val="000000"/>
        </w:rPr>
        <w:t xml:space="preserve">t is well settled that the Commission may not exceed its jurisdiction and must act within it.  </w:t>
      </w:r>
      <w:r w:rsidR="00BB1CAC" w:rsidRPr="00C0259F">
        <w:rPr>
          <w:color w:val="000000"/>
          <w:u w:val="single"/>
        </w:rPr>
        <w:t>Pittsburgh</w:t>
      </w:r>
      <w:r w:rsidR="00BB1CAC" w:rsidRPr="00C0259F">
        <w:rPr>
          <w:color w:val="000000"/>
        </w:rPr>
        <w:t xml:space="preserve">.  Jurisdiction may not be conferred by the parties where none exists.  </w:t>
      </w:r>
      <w:r w:rsidR="00BB1CAC" w:rsidRPr="00C0259F">
        <w:rPr>
          <w:color w:val="000000"/>
          <w:u w:val="single"/>
        </w:rPr>
        <w:t>Roberts</w:t>
      </w:r>
      <w:r w:rsidR="00BB1CAC" w:rsidRPr="00C0259F">
        <w:rPr>
          <w:color w:val="000000"/>
        </w:rPr>
        <w:t xml:space="preserve">.  Subject matter jurisdiction is a prerequisite to the exercise of the power to decide a controversy.  </w:t>
      </w:r>
      <w:r w:rsidR="00BB1CAC" w:rsidRPr="00C0259F">
        <w:rPr>
          <w:color w:val="000000"/>
          <w:u w:val="single"/>
        </w:rPr>
        <w:t>Hughes</w:t>
      </w:r>
      <w:r w:rsidR="00BB1CAC" w:rsidRPr="00C0259F">
        <w:rPr>
          <w:color w:val="000000"/>
        </w:rPr>
        <w:t xml:space="preserve">.  As a creation of the legislature, the Commission possesses only the authority that the state legislature has specifically granted to it in the Public Utility Code.  </w:t>
      </w:r>
      <w:proofErr w:type="gramStart"/>
      <w:r w:rsidR="00BB1CAC" w:rsidRPr="00C0259F">
        <w:rPr>
          <w:color w:val="000000"/>
        </w:rPr>
        <w:t>66 Pa.C.S.</w:t>
      </w:r>
      <w:proofErr w:type="gramEnd"/>
      <w:r w:rsidR="00BB1CAC" w:rsidRPr="00C0259F">
        <w:rPr>
          <w:color w:val="000000"/>
        </w:rPr>
        <w:t xml:space="preserve"> </w:t>
      </w:r>
      <w:proofErr w:type="gramStart"/>
      <w:r w:rsidR="00BB1CAC" w:rsidRPr="00C0259F">
        <w:rPr>
          <w:color w:val="000000"/>
        </w:rPr>
        <w:t xml:space="preserve">§§ 101, </w:t>
      </w:r>
      <w:r w:rsidR="00BB1CAC" w:rsidRPr="00C0259F">
        <w:rPr>
          <w:i/>
          <w:color w:val="000000"/>
        </w:rPr>
        <w:t>et seq</w:t>
      </w:r>
      <w:r w:rsidR="00BB1CAC" w:rsidRPr="00C0259F">
        <w:rPr>
          <w:color w:val="000000"/>
        </w:rPr>
        <w:t>.</w:t>
      </w:r>
      <w:proofErr w:type="gramEnd"/>
      <w:r w:rsidR="00BB1CAC" w:rsidRPr="00C0259F">
        <w:rPr>
          <w:color w:val="000000"/>
        </w:rPr>
        <w:t xml:space="preserve">  Its jurisdiction must arise from the express language of the pertinent enabling legislation or by strong and necessary implication therefrom.  </w:t>
      </w:r>
      <w:proofErr w:type="gramStart"/>
      <w:r w:rsidR="00BB1CAC" w:rsidRPr="00C0259F">
        <w:rPr>
          <w:color w:val="000000"/>
          <w:u w:val="single"/>
        </w:rPr>
        <w:t>Feingold</w:t>
      </w:r>
      <w:r w:rsidR="00BB1CAC" w:rsidRPr="00C0259F">
        <w:rPr>
          <w:color w:val="000000"/>
        </w:rPr>
        <w:t>.</w:t>
      </w:r>
      <w:proofErr w:type="gramEnd"/>
      <w:r w:rsidR="00BB1CAC" w:rsidRPr="00C0259F">
        <w:rPr>
          <w:color w:val="000000"/>
        </w:rPr>
        <w:t xml:space="preserve"> </w:t>
      </w:r>
      <w:r w:rsidR="00BB1CAC" w:rsidRPr="00C0259F">
        <w:t xml:space="preserve"> </w:t>
      </w:r>
    </w:p>
    <w:p w:rsidR="00BB1CAC" w:rsidRPr="00965501" w:rsidRDefault="00BB1CAC" w:rsidP="00BB1CAC">
      <w:pPr>
        <w:tabs>
          <w:tab w:val="left" w:pos="-720"/>
        </w:tabs>
        <w:suppressAutoHyphens/>
        <w:spacing w:line="360" w:lineRule="auto"/>
      </w:pPr>
    </w:p>
    <w:p w:rsidR="00965501" w:rsidRPr="00965501" w:rsidRDefault="00BB1CAC" w:rsidP="00965501">
      <w:pPr>
        <w:tabs>
          <w:tab w:val="left" w:pos="-720"/>
        </w:tabs>
        <w:suppressAutoHyphens/>
        <w:spacing w:line="360" w:lineRule="auto"/>
      </w:pPr>
      <w:r w:rsidRPr="00965501">
        <w:tab/>
      </w:r>
      <w:r w:rsidRPr="00965501">
        <w:tab/>
      </w:r>
      <w:r w:rsidR="00965501" w:rsidRPr="00965501">
        <w:t xml:space="preserve">As with </w:t>
      </w:r>
      <w:r w:rsidR="00965501">
        <w:t xml:space="preserve">ESP’s </w:t>
      </w:r>
      <w:r w:rsidR="00965501" w:rsidRPr="00965501">
        <w:t xml:space="preserve">Preliminary Objection above seeking dismissal of </w:t>
      </w:r>
      <w:r w:rsidR="00024AE0">
        <w:t>Counts I, II, III, V, VI and VII</w:t>
      </w:r>
      <w:r w:rsidR="00024AE0" w:rsidRPr="00B018D4">
        <w:t xml:space="preserve"> </w:t>
      </w:r>
      <w:r w:rsidR="00965501" w:rsidRPr="00965501">
        <w:t xml:space="preserve">regarding the Commission’s jurisdiction over the UTP/CPL, </w:t>
      </w:r>
      <w:r w:rsidR="00965501" w:rsidRPr="00965501">
        <w:rPr>
          <w:i/>
        </w:rPr>
        <w:t>supra</w:t>
      </w:r>
      <w:r w:rsidR="00965501" w:rsidRPr="00965501">
        <w:t>, the Joint Complainants</w:t>
      </w:r>
      <w:r w:rsidR="00AA65A0">
        <w:t>’</w:t>
      </w:r>
      <w:r w:rsidR="00965501" w:rsidRPr="00965501">
        <w:t xml:space="preserve"> reliance in its Answer on </w:t>
      </w:r>
      <w:r w:rsidR="00965501" w:rsidRPr="00965501">
        <w:rPr>
          <w:u w:val="single"/>
        </w:rPr>
        <w:t>Harrisburg Taxi</w:t>
      </w:r>
      <w:r w:rsidR="00965501" w:rsidRPr="00965501">
        <w:t xml:space="preserve">, </w:t>
      </w:r>
      <w:r w:rsidR="00965501" w:rsidRPr="00965501">
        <w:rPr>
          <w:i/>
        </w:rPr>
        <w:t>supra</w:t>
      </w:r>
      <w:r w:rsidR="00965501" w:rsidRPr="00965501">
        <w:t xml:space="preserve">, where the express statutory authority to regulate the safety of taxicabs is specifically found in Section 1501 of the Public Utility Code, also is without merit.  In Count </w:t>
      </w:r>
      <w:r w:rsidR="00024AE0">
        <w:t>VII</w:t>
      </w:r>
      <w:r w:rsidR="00965501" w:rsidRPr="00965501">
        <w:t>, the Joint Complainants rely again on the Commission’s own regulations in support of their position that the Commission has jurisdiction hear cases regarding the TRA.  Such reliance is not reasonable and will be rejected as it relates to the Commission’s authority to enforce the provisions of the TRA.</w:t>
      </w:r>
    </w:p>
    <w:p w:rsidR="00965501" w:rsidRPr="00965501" w:rsidRDefault="00965501" w:rsidP="00965501">
      <w:pPr>
        <w:tabs>
          <w:tab w:val="left" w:pos="-720"/>
        </w:tabs>
        <w:suppressAutoHyphens/>
        <w:spacing w:line="360" w:lineRule="auto"/>
      </w:pPr>
    </w:p>
    <w:p w:rsidR="00965501" w:rsidRPr="00965501" w:rsidRDefault="00965501" w:rsidP="00965501">
      <w:pPr>
        <w:tabs>
          <w:tab w:val="left" w:pos="-720"/>
        </w:tabs>
        <w:suppressAutoHyphens/>
        <w:spacing w:line="360" w:lineRule="auto"/>
      </w:pPr>
      <w:r w:rsidRPr="00965501">
        <w:tab/>
      </w:r>
      <w:r w:rsidRPr="00965501">
        <w:tab/>
        <w:t xml:space="preserve">Count </w:t>
      </w:r>
      <w:r w:rsidR="00024AE0">
        <w:t xml:space="preserve">VII </w:t>
      </w:r>
      <w:r w:rsidRPr="00965501">
        <w:t xml:space="preserve">of the Complaint references various Commission regulations that governing telemarketing.  </w:t>
      </w:r>
      <w:proofErr w:type="gramStart"/>
      <w:r w:rsidRPr="00965501">
        <w:rPr>
          <w:i/>
        </w:rPr>
        <w:t>See e.g.</w:t>
      </w:r>
      <w:r w:rsidRPr="00965501">
        <w:t>, 52 Pa.Code § 111.10.</w:t>
      </w:r>
      <w:proofErr w:type="gramEnd"/>
      <w:r w:rsidRPr="00965501">
        <w:t xml:space="preserve">  Section 111.10 requires EGSs to “comply with other provisions of [the TRA]” and establishes other requirements regarding telemarketing.  This provision, however, similar to the UTP/CPL, does not equate to providing the Commission with jurisdiction hear claims brought pursuant to the TRA.  The Commission is a creation of the legislature and possesses only the authority that the legislature has granted to it.  With regard to the TRA, it is the Commission that has given itself the authority to enforce the provisions of the TRA, not the General Assembly.  The Joint Complainants have not demonstrated any </w:t>
      </w:r>
      <w:r w:rsidR="00275A41">
        <w:t xml:space="preserve">“strong and necessary” </w:t>
      </w:r>
      <w:r w:rsidRPr="00965501">
        <w:t xml:space="preserve">implication that the Commission has jurisdiction over the TRA.  </w:t>
      </w:r>
      <w:r w:rsidR="00024AE0">
        <w:t xml:space="preserve">ESP’s </w:t>
      </w:r>
      <w:r w:rsidRPr="00965501">
        <w:t>Preliminary Objection will be granted in part.</w:t>
      </w:r>
    </w:p>
    <w:p w:rsidR="00965501" w:rsidRPr="00965501" w:rsidRDefault="00965501" w:rsidP="00965501">
      <w:pPr>
        <w:tabs>
          <w:tab w:val="left" w:pos="-720"/>
        </w:tabs>
        <w:suppressAutoHyphens/>
        <w:spacing w:line="360" w:lineRule="auto"/>
      </w:pPr>
    </w:p>
    <w:p w:rsidR="00965501" w:rsidRPr="00965501" w:rsidRDefault="00965501" w:rsidP="00965501">
      <w:pPr>
        <w:tabs>
          <w:tab w:val="left" w:pos="-720"/>
        </w:tabs>
        <w:suppressAutoHyphens/>
        <w:spacing w:line="360" w:lineRule="auto"/>
      </w:pPr>
      <w:r w:rsidRPr="00965501">
        <w:tab/>
      </w:r>
      <w:r w:rsidRPr="00965501">
        <w:tab/>
        <w:t xml:space="preserve">Also similar to the disposition of </w:t>
      </w:r>
      <w:r w:rsidR="00024AE0">
        <w:t xml:space="preserve">ESP’s </w:t>
      </w:r>
      <w:r w:rsidRPr="00965501">
        <w:t xml:space="preserve">Preliminary Objection regarding the UTP/CPL, however, </w:t>
      </w:r>
      <w:r w:rsidR="00024AE0">
        <w:t xml:space="preserve">ESP’s </w:t>
      </w:r>
      <w:r w:rsidRPr="00965501">
        <w:t xml:space="preserve">Preliminary Objection regarding Count </w:t>
      </w:r>
      <w:r w:rsidR="00024AE0">
        <w:t xml:space="preserve">VII </w:t>
      </w:r>
      <w:r w:rsidRPr="00965501">
        <w:t xml:space="preserve">will be denied in part to the extent Count </w:t>
      </w:r>
      <w:r w:rsidR="00024AE0">
        <w:t xml:space="preserve">VII </w:t>
      </w:r>
      <w:r w:rsidRPr="00965501">
        <w:t xml:space="preserve">references violations of Section 54.43(f), 111.10 and 111.12(d)(1) of the Commission’s regulations.  When accepting as true all well pleaded material averments made in the Complaint, as well as every reasonable inference from those averments, and viewing the Complaint in the light most favorable to the Joint Complainants, it does not appear that the Joint Complainants would not be entitled to relief under any circumstances as a matter of law with regard to </w:t>
      </w:r>
      <w:r w:rsidR="00024AE0">
        <w:t xml:space="preserve">ESP’s </w:t>
      </w:r>
      <w:r w:rsidRPr="00965501">
        <w:t xml:space="preserve">compliance with the Commission’s telemarketing regulations.  The Joint Complainants have averred that </w:t>
      </w:r>
      <w:r w:rsidR="00024AE0">
        <w:t xml:space="preserve">ESP’s </w:t>
      </w:r>
      <w:r w:rsidRPr="00965501">
        <w:t xml:space="preserve">telemarketers did not provide consumers a contract that contained certain information after the telemarketing call was made.  A reasonable inference from that averment is that the telemarketing agent did not send a copy of the disclosure statement and other material about the service to the consumer and, therefore, violated a Commission regulation.  </w:t>
      </w:r>
      <w:r w:rsidR="00024AE0">
        <w:t xml:space="preserve">ESP’s </w:t>
      </w:r>
      <w:r w:rsidRPr="00965501">
        <w:t>Preliminary Objection will, therefore, be denied in part.</w:t>
      </w:r>
    </w:p>
    <w:p w:rsidR="002605DC" w:rsidRDefault="002605DC" w:rsidP="00B74492">
      <w:pPr>
        <w:tabs>
          <w:tab w:val="left" w:pos="-720"/>
        </w:tabs>
        <w:suppressAutoHyphens/>
        <w:spacing w:line="360" w:lineRule="auto"/>
      </w:pPr>
    </w:p>
    <w:p w:rsidR="009E3F91" w:rsidRPr="001935F0" w:rsidRDefault="00722FF8" w:rsidP="009E3F91">
      <w:pPr>
        <w:tabs>
          <w:tab w:val="left" w:pos="-720"/>
        </w:tabs>
        <w:suppressAutoHyphens/>
        <w:spacing w:line="360" w:lineRule="auto"/>
        <w:ind w:firstLine="1440"/>
      </w:pPr>
      <w:r>
        <w:t xml:space="preserve">With regard to ESP’s claim that Count VII should be dismissed because it is legally insufficient, as noted above, </w:t>
      </w:r>
      <w:r w:rsidR="009E3F91" w:rsidRPr="00E3227F">
        <w:t xml:space="preserve">a Preliminary Objection based on legal insufficiency is referred to as a demurrer.  Preliminary Objections in the form of a demurrer will be sustained only in cases which are free and clear of doubt and where dismissal is clearly warranted by the record.  </w:t>
      </w:r>
      <w:r w:rsidR="009E3F91" w:rsidRPr="00E3227F">
        <w:rPr>
          <w:u w:val="single"/>
        </w:rPr>
        <w:t>Community Life</w:t>
      </w:r>
      <w:r w:rsidR="001935F0">
        <w:t xml:space="preserve">, </w:t>
      </w:r>
      <w:r w:rsidR="001935F0" w:rsidRPr="001935F0">
        <w:rPr>
          <w:i/>
        </w:rPr>
        <w:t>supra</w:t>
      </w:r>
      <w:r w:rsidR="009E3F91" w:rsidRPr="00E3227F">
        <w:t xml:space="preserve">.  Any doubt must be resolved in favor of overruling a demurrer.  </w:t>
      </w:r>
      <w:proofErr w:type="gramStart"/>
      <w:r w:rsidR="009E3F91" w:rsidRPr="00E3227F">
        <w:rPr>
          <w:u w:val="single"/>
        </w:rPr>
        <w:t>Id.</w:t>
      </w:r>
      <w:r w:rsidR="009E3F91" w:rsidRPr="00E3227F">
        <w:t xml:space="preserve">; </w:t>
      </w:r>
      <w:r w:rsidR="009E3F91" w:rsidRPr="00E3227F">
        <w:rPr>
          <w:u w:val="single"/>
        </w:rPr>
        <w:t>Hoffman</w:t>
      </w:r>
      <w:r w:rsidR="001935F0">
        <w:t>.</w:t>
      </w:r>
      <w:proofErr w:type="gramEnd"/>
    </w:p>
    <w:p w:rsidR="009E3F91" w:rsidRDefault="009E3F91" w:rsidP="009E3F91">
      <w:pPr>
        <w:tabs>
          <w:tab w:val="left" w:pos="-720"/>
        </w:tabs>
        <w:suppressAutoHyphens/>
        <w:spacing w:line="360" w:lineRule="auto"/>
        <w:ind w:firstLine="1440"/>
      </w:pPr>
    </w:p>
    <w:p w:rsidR="009E3F91" w:rsidRDefault="005457C5" w:rsidP="009E3F91">
      <w:pPr>
        <w:tabs>
          <w:tab w:val="left" w:pos="-720"/>
        </w:tabs>
        <w:suppressAutoHyphens/>
        <w:spacing w:line="360" w:lineRule="auto"/>
        <w:ind w:firstLine="1440"/>
      </w:pPr>
      <w:r>
        <w:t xml:space="preserve">In Count VII, </w:t>
      </w:r>
      <w:r w:rsidR="00D21366">
        <w:t xml:space="preserve">the Joint Complainants have averred that </w:t>
      </w:r>
      <w:r w:rsidR="002F686B">
        <w:t>nearly 400 of the consumer complaints filed against ESP with the OAG indicated that their service with ESP was initiated by a telemarketing call from ESP.  Count VII further avers that ESP failed to provide consumers with a contract that contained all of the required information set forth in the TRA.  Count VII also references Section 54.43(f) and 111.10(a) o</w:t>
      </w:r>
      <w:r w:rsidR="00850DA2">
        <w:t>f the Commission’s regulations.</w:t>
      </w:r>
      <w:r w:rsidR="002F686B">
        <w:t xml:space="preserve">  These regulations require, among other </w:t>
      </w:r>
      <w:proofErr w:type="gramStart"/>
      <w:r w:rsidR="002F686B">
        <w:t>things, that</w:t>
      </w:r>
      <w:proofErr w:type="gramEnd"/>
      <w:r w:rsidR="002F686B">
        <w:t xml:space="preserve"> “a licensee is responsible for any fraudulent deceptive or other unlawful marketing or billing acts performed by the licensee, its </w:t>
      </w:r>
      <w:proofErr w:type="spellStart"/>
      <w:r w:rsidR="002F686B">
        <w:t>employes</w:t>
      </w:r>
      <w:proofErr w:type="spellEnd"/>
      <w:r w:rsidR="002F686B">
        <w:t xml:space="preserve">, agents or </w:t>
      </w:r>
      <w:r w:rsidR="000F4B2C">
        <w:t xml:space="preserve">representatives.”  </w:t>
      </w:r>
      <w:proofErr w:type="gramStart"/>
      <w:r w:rsidR="000F4B2C">
        <w:t>52 Pa.Code § </w:t>
      </w:r>
      <w:r w:rsidR="002F686B">
        <w:t>54.43(f).</w:t>
      </w:r>
      <w:proofErr w:type="gramEnd"/>
      <w:r w:rsidR="002F686B">
        <w:t xml:space="preserve">  As a result, it is not clear and free from doubt or clearly warranted by the record that Count VII should be dismissed.  Count VII makes averments that may give rise to a violation of a Commission regulation, especially when resolving any doubt about the averments in favor of the Joint Complainants</w:t>
      </w:r>
      <w:r w:rsidR="00275A41">
        <w:t>, as is required when disposing of Preliminary Objections</w:t>
      </w:r>
      <w:r w:rsidR="002F686B">
        <w:t>.  Count VII, therefore, should not be dismissed on a preliminary basis because it is legally insufficient.</w:t>
      </w:r>
    </w:p>
    <w:p w:rsidR="008E2CB5" w:rsidRDefault="008E2CB5" w:rsidP="009E3F91">
      <w:pPr>
        <w:tabs>
          <w:tab w:val="left" w:pos="-720"/>
        </w:tabs>
        <w:suppressAutoHyphens/>
        <w:spacing w:line="360" w:lineRule="auto"/>
        <w:ind w:firstLine="1440"/>
      </w:pPr>
    </w:p>
    <w:p w:rsidR="008E2CB5" w:rsidRDefault="008E2CB5" w:rsidP="009E3F91">
      <w:pPr>
        <w:tabs>
          <w:tab w:val="left" w:pos="-720"/>
        </w:tabs>
        <w:suppressAutoHyphens/>
        <w:spacing w:line="360" w:lineRule="auto"/>
        <w:ind w:firstLine="1440"/>
      </w:pPr>
      <w:r>
        <w:t>As such, ESP’s Preliminary Objections that Count VII of the Complaint should be dismissed because the Commission cannot enforce the TRA and because it is legally insufficient will be granted in part and denied in part.</w:t>
      </w:r>
    </w:p>
    <w:p w:rsidR="007341C8" w:rsidRDefault="007341C8" w:rsidP="00B74492">
      <w:pPr>
        <w:tabs>
          <w:tab w:val="left" w:pos="-720"/>
        </w:tabs>
        <w:suppressAutoHyphens/>
        <w:spacing w:line="360" w:lineRule="auto"/>
      </w:pPr>
    </w:p>
    <w:p w:rsidR="002605DC" w:rsidRPr="002605DC" w:rsidRDefault="002605DC" w:rsidP="00B74492">
      <w:pPr>
        <w:tabs>
          <w:tab w:val="left" w:pos="-720"/>
        </w:tabs>
        <w:suppressAutoHyphens/>
        <w:spacing w:line="360" w:lineRule="auto"/>
        <w:rPr>
          <w:b/>
          <w:u w:val="single"/>
        </w:rPr>
      </w:pPr>
      <w:r>
        <w:rPr>
          <w:b/>
          <w:u w:val="single"/>
        </w:rPr>
        <w:t xml:space="preserve">Preliminary Objection #7: </w:t>
      </w:r>
      <w:r w:rsidR="00A9604D">
        <w:rPr>
          <w:b/>
          <w:u w:val="single"/>
        </w:rPr>
        <w:t>The Joint Complainants’ Argument That ESP Failed To Provide Accurate Pricing Information Is Not Legally Insufficient</w:t>
      </w:r>
    </w:p>
    <w:p w:rsidR="001D1113" w:rsidRDefault="001D1113" w:rsidP="001D1113">
      <w:pPr>
        <w:tabs>
          <w:tab w:val="left" w:pos="-720"/>
        </w:tabs>
        <w:suppressAutoHyphens/>
        <w:spacing w:line="360" w:lineRule="auto"/>
      </w:pPr>
    </w:p>
    <w:p w:rsidR="003D7B43" w:rsidRDefault="001D1113" w:rsidP="001D1113">
      <w:pPr>
        <w:tabs>
          <w:tab w:val="left" w:pos="-720"/>
        </w:tabs>
        <w:suppressAutoHyphens/>
        <w:spacing w:line="360" w:lineRule="auto"/>
      </w:pPr>
      <w:r>
        <w:tab/>
      </w:r>
      <w:r>
        <w:tab/>
        <w:t xml:space="preserve">In </w:t>
      </w:r>
      <w:r w:rsidR="00A732ED">
        <w:t xml:space="preserve">Count V of </w:t>
      </w:r>
      <w:r>
        <w:t>their Complaint, the Joint Complainants aver</w:t>
      </w:r>
      <w:r w:rsidR="00A732ED">
        <w:t xml:space="preserve">red that ESP failed to provide accurate pricing information to its customers.  The Joint Complainants averred, among other things, that 246 consumers complained to the OAG that ESP would not provide the rate they were being charged when they contacted ESP for such information.  </w:t>
      </w:r>
      <w:r w:rsidR="003D7B43">
        <w:t>In its Preliminary Objection, ESP argued that Count V should be dismissed because it is legally insufficient.  ESP argued that its Disclosure Statement complies with all Commission regulations and, therefore, Count V is legally insufficient.  In their Answer to the Preliminary Objection, the Joint Complainants aver that Count V is legally sufficient because ESP’s Disclosure Statement does not comply with Section 54.5(c) of the Commission’s regulations because the Disclosure Statement does not provide a limit on the price variability.  The Joint Complainants added that the Disclosure Statement does not use terms that are easily understood by consumers.  For the reasons discussed below, ESP’s Preliminary Objection will be denied.</w:t>
      </w:r>
    </w:p>
    <w:p w:rsidR="003D7B43" w:rsidRDefault="003D7B43" w:rsidP="001D1113">
      <w:pPr>
        <w:tabs>
          <w:tab w:val="left" w:pos="-720"/>
        </w:tabs>
        <w:suppressAutoHyphens/>
        <w:spacing w:line="360" w:lineRule="auto"/>
      </w:pPr>
    </w:p>
    <w:p w:rsidR="009B23BE" w:rsidRPr="001935F0" w:rsidRDefault="003D7B43" w:rsidP="009B23BE">
      <w:pPr>
        <w:tabs>
          <w:tab w:val="left" w:pos="-720"/>
        </w:tabs>
        <w:suppressAutoHyphens/>
        <w:spacing w:line="360" w:lineRule="auto"/>
        <w:ind w:firstLine="1440"/>
      </w:pPr>
      <w:r>
        <w:t xml:space="preserve">To begin, </w:t>
      </w:r>
      <w:r w:rsidR="009B23BE">
        <w:t xml:space="preserve">as noted above, </w:t>
      </w:r>
      <w:r w:rsidR="009B23BE" w:rsidRPr="00E3227F">
        <w:t xml:space="preserve">a Preliminary Objection based on legal insufficiency is referred to as a demurrer.  Preliminary Objections in the form of a demurrer will be sustained only in cases which are free and clear of doubt and where dismissal is clearly warranted by the record.  </w:t>
      </w:r>
      <w:r w:rsidR="009B23BE" w:rsidRPr="00E3227F">
        <w:rPr>
          <w:u w:val="single"/>
        </w:rPr>
        <w:t>Community Life</w:t>
      </w:r>
      <w:r w:rsidR="009B23BE">
        <w:t xml:space="preserve">, </w:t>
      </w:r>
      <w:r w:rsidR="009B23BE" w:rsidRPr="001935F0">
        <w:rPr>
          <w:i/>
        </w:rPr>
        <w:t>supra</w:t>
      </w:r>
      <w:r w:rsidR="009B23BE" w:rsidRPr="00E3227F">
        <w:t xml:space="preserve">.  Any doubt must be resolved in favor of overruling a demurrer.  </w:t>
      </w:r>
      <w:proofErr w:type="gramStart"/>
      <w:r w:rsidR="009B23BE" w:rsidRPr="00E3227F">
        <w:rPr>
          <w:u w:val="single"/>
        </w:rPr>
        <w:t>Id.</w:t>
      </w:r>
      <w:r w:rsidR="009B23BE" w:rsidRPr="00E3227F">
        <w:t xml:space="preserve">; </w:t>
      </w:r>
      <w:r w:rsidR="009B23BE" w:rsidRPr="00E3227F">
        <w:rPr>
          <w:u w:val="single"/>
        </w:rPr>
        <w:t>Hoffman</w:t>
      </w:r>
      <w:r w:rsidR="009B23BE">
        <w:t>.</w:t>
      </w:r>
      <w:proofErr w:type="gramEnd"/>
    </w:p>
    <w:p w:rsidR="009B23BE" w:rsidRDefault="009B23BE" w:rsidP="001D1113">
      <w:pPr>
        <w:tabs>
          <w:tab w:val="left" w:pos="-720"/>
        </w:tabs>
        <w:suppressAutoHyphens/>
        <w:spacing w:line="360" w:lineRule="auto"/>
      </w:pPr>
    </w:p>
    <w:p w:rsidR="00F70BE3" w:rsidRDefault="009B23BE" w:rsidP="001D1113">
      <w:pPr>
        <w:tabs>
          <w:tab w:val="left" w:pos="-720"/>
        </w:tabs>
        <w:suppressAutoHyphens/>
        <w:spacing w:line="360" w:lineRule="auto"/>
      </w:pPr>
      <w:r>
        <w:tab/>
      </w:r>
      <w:r>
        <w:tab/>
      </w:r>
      <w:r w:rsidR="00A9604D">
        <w:t xml:space="preserve">In this case, the Joint Complainants averred in Count V that </w:t>
      </w:r>
      <w:r w:rsidR="00F70BE3">
        <w:t xml:space="preserve">246 consumers contacted the OAG to complain that ESP would not provide the rate they were being charged when they contacted ESP for such information.  The Joint Complainants further stated ESP’s Disclosure Statement regarding variable pricing and attached a copy to the Complaint.  The Joint Complainants identified various Commission regulations it claimed ESP’s actions violated.  In particular, the Joint Complainants noted that Section 54.43(1) of the Commission’s regulations require that EGSs, such as ESP, provide accurate information about their electric generation services using plain language and common terms in communications with consumers.  </w:t>
      </w:r>
      <w:r w:rsidR="00F70BE3">
        <w:rPr>
          <w:i/>
        </w:rPr>
        <w:t>See</w:t>
      </w:r>
      <w:r w:rsidR="00F70BE3">
        <w:t>, 52 Pa.Code § 54.43(1).  The Joint Complainants averred that ESP has violated</w:t>
      </w:r>
      <w:r w:rsidR="00275A41">
        <w:t>,</w:t>
      </w:r>
      <w:r w:rsidR="00F70BE3">
        <w:t xml:space="preserve"> and continues to violate</w:t>
      </w:r>
      <w:r w:rsidR="00275A41">
        <w:t>,</w:t>
      </w:r>
      <w:r w:rsidR="00F70BE3">
        <w:t xml:space="preserve"> the Commission’s regulations by failing to provide pricing information requested by its consumers in accordance with ESP’s Disclosure Statement.</w:t>
      </w:r>
    </w:p>
    <w:p w:rsidR="00F70BE3" w:rsidRDefault="00F70BE3" w:rsidP="001D1113">
      <w:pPr>
        <w:tabs>
          <w:tab w:val="left" w:pos="-720"/>
        </w:tabs>
        <w:suppressAutoHyphens/>
        <w:spacing w:line="360" w:lineRule="auto"/>
      </w:pPr>
    </w:p>
    <w:p w:rsidR="001D1113" w:rsidRDefault="00332070" w:rsidP="001D1113">
      <w:pPr>
        <w:tabs>
          <w:tab w:val="left" w:pos="-720"/>
        </w:tabs>
        <w:suppressAutoHyphens/>
        <w:spacing w:line="360" w:lineRule="auto"/>
      </w:pPr>
      <w:r>
        <w:tab/>
      </w:r>
      <w:r>
        <w:tab/>
      </w:r>
      <w:r w:rsidR="00275A41">
        <w:t>Additionally, i</w:t>
      </w:r>
      <w:r w:rsidR="00E14ED8">
        <w:t>n its Preliminary Objection</w:t>
      </w:r>
      <w:r w:rsidR="00275A41">
        <w:t xml:space="preserve"> </w:t>
      </w:r>
      <w:r w:rsidR="00E14ED8">
        <w:t xml:space="preserve">ESP argued </w:t>
      </w:r>
      <w:r>
        <w:t xml:space="preserve">that </w:t>
      </w:r>
      <w:r w:rsidR="00E14ED8">
        <w:t xml:space="preserve">the variable pricing statement in ESP’s Disclosure Statement plainly provides a statement regarding the basis on which a customer’s price for electricity will vary.  ESP argued that because the variable pricing statement in its Disclosure Statement “quite obviously” discloses “on what basis prices will vary,” the Joint Complainants’ allegation that ESP violated Section 54.5(c) by failing to state the conditions of variability within its Disclosure Statement must fail as a matter of law.  Additionally, ESP argued in its Preliminary Objection that its Disclosure Statement provides information to consumers using “plain language and common terms” that are “easily understood by ordinary customers.”  ESP added that “given the complexities and nuances of electricity markets and the fact that the price for electricity at the wholesale level is subject to fluctuations, it is difficult (if not impossible) to imagine how else ESP could simply and succinctly describe the various factors that affect the variable rates charged to ESP’s customers.”  These </w:t>
      </w:r>
      <w:r w:rsidR="00850DA2">
        <w:t xml:space="preserve">arguments are without merit because they </w:t>
      </w:r>
      <w:r w:rsidR="00E14ED8">
        <w:t>are all factual issues that require a hearing and cannot be dismissed on a preliminary basis.</w:t>
      </w:r>
    </w:p>
    <w:p w:rsidR="00B74492" w:rsidRDefault="00B74492" w:rsidP="00B74492">
      <w:pPr>
        <w:tabs>
          <w:tab w:val="left" w:pos="-720"/>
        </w:tabs>
        <w:suppressAutoHyphens/>
        <w:spacing w:line="360" w:lineRule="auto"/>
        <w:rPr>
          <w:strike/>
        </w:rPr>
      </w:pPr>
    </w:p>
    <w:p w:rsidR="00275A41" w:rsidRDefault="00275A41" w:rsidP="00275A41">
      <w:pPr>
        <w:tabs>
          <w:tab w:val="left" w:pos="-720"/>
        </w:tabs>
        <w:suppressAutoHyphens/>
        <w:spacing w:line="360" w:lineRule="auto"/>
      </w:pPr>
      <w:r>
        <w:tab/>
      </w:r>
      <w:r>
        <w:tab/>
        <w:t xml:space="preserve">Therefore, when accepting as true all well pleaded material facts averred in the Complaint, as well as every reasonable inference from those facts, and viewing the Complaint in the light most favorable to the Joint Complainants, it does not appear that the Joint Complainants would not be entitled to relief under any circumstances as a matter of law.  It is not clear and free from doubt or clearly warranted by the record that Count V is legally insufficient and therefore should be dismissed </w:t>
      </w:r>
      <w:r w:rsidR="0032777F">
        <w:t>at this preliminary stage</w:t>
      </w:r>
      <w:r>
        <w:t>.  This is particularly true because the Joint Complainants have specifically averred facts that, if found to be true, may rise to a violation of Commission regulations.  Dismissing Count V on a preliminary basis is not appropriate.</w:t>
      </w:r>
    </w:p>
    <w:p w:rsidR="00275A41" w:rsidRPr="00BE152B" w:rsidRDefault="00275A41" w:rsidP="00B74492">
      <w:pPr>
        <w:tabs>
          <w:tab w:val="left" w:pos="-720"/>
        </w:tabs>
        <w:suppressAutoHyphens/>
        <w:spacing w:line="360" w:lineRule="auto"/>
        <w:rPr>
          <w:strike/>
        </w:rPr>
      </w:pPr>
    </w:p>
    <w:p w:rsidR="00FB49BD" w:rsidRDefault="00F40A93" w:rsidP="001019BE">
      <w:pPr>
        <w:tabs>
          <w:tab w:val="left" w:pos="-720"/>
        </w:tabs>
        <w:suppressAutoHyphens/>
        <w:spacing w:line="360" w:lineRule="auto"/>
      </w:pPr>
      <w:r>
        <w:tab/>
      </w:r>
      <w:r>
        <w:tab/>
      </w:r>
      <w:r w:rsidR="00275A41">
        <w:t xml:space="preserve">As such, </w:t>
      </w:r>
      <w:r>
        <w:t xml:space="preserve">ESP’s Preliminary Objection that </w:t>
      </w:r>
      <w:r w:rsidR="00E14ED8">
        <w:t>Count V of the Complaint should be dismissed because it is not legally sufficient is without merit and will be rejected.</w:t>
      </w:r>
    </w:p>
    <w:p w:rsidR="00F40A93" w:rsidRPr="00FB49BD" w:rsidRDefault="00F40A93" w:rsidP="001019BE">
      <w:pPr>
        <w:tabs>
          <w:tab w:val="left" w:pos="-720"/>
        </w:tabs>
        <w:suppressAutoHyphens/>
        <w:spacing w:line="360" w:lineRule="auto"/>
      </w:pPr>
    </w:p>
    <w:p w:rsidR="00FB49BD" w:rsidRPr="00FB49BD" w:rsidRDefault="00FB49BD" w:rsidP="001019BE">
      <w:pPr>
        <w:tabs>
          <w:tab w:val="left" w:pos="-720"/>
        </w:tabs>
        <w:suppressAutoHyphens/>
        <w:spacing w:line="360" w:lineRule="auto"/>
      </w:pPr>
      <w:r w:rsidRPr="00FB49BD">
        <w:rPr>
          <w:b/>
          <w:u w:val="single"/>
        </w:rPr>
        <w:t>Conclusion</w:t>
      </w:r>
    </w:p>
    <w:p w:rsidR="00FB49BD" w:rsidRPr="00FB49BD" w:rsidRDefault="00FB49BD" w:rsidP="001019BE">
      <w:pPr>
        <w:tabs>
          <w:tab w:val="left" w:pos="-720"/>
        </w:tabs>
        <w:suppressAutoHyphens/>
        <w:spacing w:line="360" w:lineRule="auto"/>
      </w:pPr>
    </w:p>
    <w:p w:rsidR="00FB49BD" w:rsidRPr="00B8361F" w:rsidRDefault="00FB49BD" w:rsidP="00FB49BD">
      <w:pPr>
        <w:tabs>
          <w:tab w:val="left" w:pos="-720"/>
        </w:tabs>
        <w:suppressAutoHyphens/>
        <w:spacing w:line="360" w:lineRule="auto"/>
        <w:rPr>
          <w:rFonts w:eastAsiaTheme="minorEastAsia"/>
        </w:rPr>
      </w:pPr>
      <w:r w:rsidRPr="00FB49BD">
        <w:tab/>
      </w:r>
      <w:r w:rsidRPr="00B8361F">
        <w:tab/>
        <w:t>In conclusion, the standard for granting a Preliminary Objection is high.  All well pleaded material facts, as well as every reasonable inference from those facts, must be accepted as true and the Complaint must be viewed in the light most favorable to the Joint Complainants.  Even then, a Complaint will only be dismissed if it appears that the Joint Complainants would not be entitled to relief under any circumstances as a matter of law.  ESP has failed to satisfy this high standard with regard to</w:t>
      </w:r>
      <w:r w:rsidR="002B202A" w:rsidRPr="00B8361F">
        <w:t xml:space="preserve"> its arguments that various Counts in the Complaint are insufficiently plead or legally insufficient.  ESP has satisfied this standard in part with regard to the Joint Complainants claims that the Commission has jurisdiction over </w:t>
      </w:r>
      <w:r w:rsidR="00B8361F" w:rsidRPr="00B8361F">
        <w:t>the UTP/CPL</w:t>
      </w:r>
      <w:r w:rsidR="00275A41">
        <w:t xml:space="preserve"> and</w:t>
      </w:r>
      <w:r w:rsidR="00B8361F" w:rsidRPr="00B8361F">
        <w:t xml:space="preserve"> the TRA or the ability to order restitution.  ESP has failed to satisfy this standard in part with the regard to the Commission’s authority to enforce its own regulations regarding consumer protection and telemarketing as well as the Commission’s ability to direct ESP to provide its customers with refunds.  The </w:t>
      </w:r>
      <w:r w:rsidRPr="00B8361F">
        <w:t xml:space="preserve">Preliminary Objections brought by </w:t>
      </w:r>
      <w:r w:rsidR="00B8361F" w:rsidRPr="00B8361F">
        <w:t xml:space="preserve">ESP </w:t>
      </w:r>
      <w:r w:rsidRPr="00B8361F">
        <w:t xml:space="preserve">will, therefore, be granted in part and denied in part.  </w:t>
      </w:r>
    </w:p>
    <w:p w:rsidR="00FB49BD" w:rsidRPr="00FB49BD" w:rsidRDefault="00FB49BD" w:rsidP="001019BE">
      <w:pPr>
        <w:tabs>
          <w:tab w:val="left" w:pos="-720"/>
        </w:tabs>
        <w:suppressAutoHyphens/>
        <w:spacing w:line="360" w:lineRule="auto"/>
        <w:rPr>
          <w:strike/>
        </w:rPr>
      </w:pPr>
    </w:p>
    <w:p w:rsidR="003233E4" w:rsidRDefault="003233E4">
      <w:pPr>
        <w:autoSpaceDE/>
        <w:autoSpaceDN/>
        <w:rPr>
          <w:u w:val="single"/>
        </w:rPr>
      </w:pPr>
      <w:r>
        <w:rPr>
          <w:u w:val="single"/>
        </w:rPr>
        <w:br w:type="page"/>
      </w:r>
    </w:p>
    <w:p w:rsidR="00AA5A3B" w:rsidRPr="00FB49BD" w:rsidRDefault="00FA0DC0" w:rsidP="00FA0DC0">
      <w:pPr>
        <w:spacing w:line="360" w:lineRule="auto"/>
        <w:jc w:val="center"/>
      </w:pPr>
      <w:r w:rsidRPr="00FB49BD">
        <w:rPr>
          <w:u w:val="single"/>
        </w:rPr>
        <w:t>ORDER</w:t>
      </w:r>
    </w:p>
    <w:p w:rsidR="00FA0DC0" w:rsidRDefault="00FA0DC0" w:rsidP="00E93D93">
      <w:pPr>
        <w:spacing w:line="360" w:lineRule="auto"/>
      </w:pPr>
    </w:p>
    <w:p w:rsidR="003233E4" w:rsidRPr="00FB49BD" w:rsidRDefault="003233E4" w:rsidP="00E93D93">
      <w:pPr>
        <w:spacing w:line="360" w:lineRule="auto"/>
      </w:pPr>
    </w:p>
    <w:p w:rsidR="006D33B5" w:rsidRPr="00FB49BD" w:rsidRDefault="006D33B5">
      <w:pPr>
        <w:spacing w:line="360" w:lineRule="auto"/>
        <w:ind w:firstLine="1440"/>
        <w:rPr>
          <w:bCs/>
        </w:rPr>
      </w:pPr>
      <w:r w:rsidRPr="00FB49BD">
        <w:rPr>
          <w:bCs/>
        </w:rPr>
        <w:t>THEREFORE,</w:t>
      </w:r>
    </w:p>
    <w:p w:rsidR="006D33B5" w:rsidRPr="00FB49BD" w:rsidRDefault="006D33B5">
      <w:pPr>
        <w:spacing w:line="360" w:lineRule="auto"/>
        <w:ind w:firstLine="1440"/>
      </w:pPr>
    </w:p>
    <w:p w:rsidR="0013770C" w:rsidRPr="00FB49BD" w:rsidRDefault="006D33B5" w:rsidP="0013770C">
      <w:pPr>
        <w:spacing w:line="360" w:lineRule="auto"/>
        <w:ind w:firstLine="1440"/>
        <w:rPr>
          <w:bCs/>
        </w:rPr>
      </w:pPr>
      <w:r w:rsidRPr="00FB49BD">
        <w:rPr>
          <w:bCs/>
        </w:rPr>
        <w:t>IT IS ORDERED:</w:t>
      </w:r>
    </w:p>
    <w:p w:rsidR="0013770C" w:rsidRPr="00FB49BD" w:rsidRDefault="0013770C" w:rsidP="0013770C">
      <w:pPr>
        <w:spacing w:line="360" w:lineRule="auto"/>
        <w:ind w:firstLine="1440"/>
        <w:rPr>
          <w:bCs/>
        </w:rPr>
      </w:pPr>
    </w:p>
    <w:p w:rsidR="00D626EC" w:rsidRDefault="00143290" w:rsidP="00223B03">
      <w:pPr>
        <w:pStyle w:val="ListParagraph"/>
        <w:numPr>
          <w:ilvl w:val="0"/>
          <w:numId w:val="11"/>
        </w:numPr>
        <w:spacing w:line="360" w:lineRule="auto"/>
        <w:ind w:left="0" w:firstLine="1440"/>
      </w:pPr>
      <w:r w:rsidRPr="00FB49BD">
        <w:t>That</w:t>
      </w:r>
      <w:r w:rsidR="00144EB5" w:rsidRPr="00FB49BD">
        <w:t xml:space="preserve"> </w:t>
      </w:r>
      <w:r w:rsidR="00D626EC" w:rsidRPr="00FB49BD">
        <w:t xml:space="preserve">the </w:t>
      </w:r>
      <w:r w:rsidR="00033858" w:rsidRPr="00FB49BD">
        <w:t>Preliminary Objection</w:t>
      </w:r>
      <w:r w:rsidR="00275A41">
        <w:t>s</w:t>
      </w:r>
      <w:r w:rsidR="00033858" w:rsidRPr="00FB49BD">
        <w:t xml:space="preserve"> filed by </w:t>
      </w:r>
      <w:r w:rsidR="00FB49BD">
        <w:t xml:space="preserve">Energy Services Providers, Inc. d/b/a Pennsylvania Gas &amp; Electric </w:t>
      </w:r>
      <w:r w:rsidR="00033858" w:rsidRPr="00FB49BD">
        <w:t xml:space="preserve">against </w:t>
      </w:r>
      <w:r w:rsidR="00700B9E" w:rsidRPr="00FB49BD">
        <w:t xml:space="preserve">Commonwealth of Pennsylvania, by Attorney General Kathleen G. Kane, through the Bureau of Consumer Protection, and Tanya J. McCloskey, Acting Consumer Advocate, </w:t>
      </w:r>
      <w:r w:rsidR="000F4B2C">
        <w:t>at Docket Number C</w:t>
      </w:r>
      <w:r w:rsidR="000F4B2C">
        <w:noBreakHyphen/>
      </w:r>
      <w:r w:rsidR="00700B9E" w:rsidRPr="00FB49BD">
        <w:t>2014-</w:t>
      </w:r>
      <w:r w:rsidR="00FB49BD">
        <w:t xml:space="preserve">2427656 </w:t>
      </w:r>
      <w:r w:rsidR="00033858" w:rsidRPr="00FB49BD">
        <w:t xml:space="preserve">on </w:t>
      </w:r>
      <w:r w:rsidR="003A64CC" w:rsidRPr="00FB49BD">
        <w:t>July 10</w:t>
      </w:r>
      <w:r w:rsidR="00033858" w:rsidRPr="00FB49BD">
        <w:t xml:space="preserve">, 2014 </w:t>
      </w:r>
      <w:r w:rsidR="00B8361F">
        <w:t xml:space="preserve">are </w:t>
      </w:r>
      <w:r w:rsidR="00033858" w:rsidRPr="00FB49BD">
        <w:t xml:space="preserve">hereby </w:t>
      </w:r>
      <w:r w:rsidR="00C773A3" w:rsidRPr="00FB49BD">
        <w:t>granted in part and denied in part</w:t>
      </w:r>
      <w:r w:rsidR="00033858" w:rsidRPr="00FB49BD">
        <w:t>.</w:t>
      </w:r>
    </w:p>
    <w:p w:rsidR="00B8361F" w:rsidRDefault="00B8361F" w:rsidP="00B8361F">
      <w:pPr>
        <w:pStyle w:val="ListParagraph"/>
        <w:spacing w:line="360" w:lineRule="auto"/>
        <w:ind w:left="1440"/>
      </w:pPr>
    </w:p>
    <w:p w:rsidR="00B8361F" w:rsidRPr="00FB49BD" w:rsidRDefault="00B8361F" w:rsidP="00223B03">
      <w:pPr>
        <w:pStyle w:val="ListParagraph"/>
        <w:numPr>
          <w:ilvl w:val="0"/>
          <w:numId w:val="11"/>
        </w:numPr>
        <w:spacing w:line="360" w:lineRule="auto"/>
        <w:ind w:left="0" w:firstLine="1440"/>
      </w:pPr>
      <w:r>
        <w:t xml:space="preserve">That </w:t>
      </w:r>
      <w:r w:rsidR="00BD1572">
        <w:t xml:space="preserve">Counts </w:t>
      </w:r>
      <w:proofErr w:type="gramStart"/>
      <w:r w:rsidR="00BD1572">
        <w:t>I</w:t>
      </w:r>
      <w:proofErr w:type="gramEnd"/>
      <w:r w:rsidR="00BD1572">
        <w:t xml:space="preserve">, II, III, V, VI and VII are hereby stricken in part </w:t>
      </w:r>
      <w:r>
        <w:t>consistent with above discussion.</w:t>
      </w:r>
    </w:p>
    <w:p w:rsidR="002508B3" w:rsidRPr="00B8361F" w:rsidRDefault="002508B3" w:rsidP="002508B3">
      <w:pPr>
        <w:pStyle w:val="ListParagraph"/>
      </w:pPr>
    </w:p>
    <w:p w:rsidR="00223B03" w:rsidRPr="00B8361F" w:rsidRDefault="00223B03" w:rsidP="002508B3">
      <w:pPr>
        <w:pStyle w:val="ListParagraph"/>
        <w:numPr>
          <w:ilvl w:val="0"/>
          <w:numId w:val="11"/>
        </w:numPr>
        <w:spacing w:line="360" w:lineRule="auto"/>
        <w:ind w:left="0" w:firstLine="1440"/>
      </w:pPr>
      <w:r w:rsidRPr="00B8361F">
        <w:t xml:space="preserve">That </w:t>
      </w:r>
      <w:r w:rsidR="00BD1572">
        <w:t xml:space="preserve">all other Counts raised </w:t>
      </w:r>
      <w:r w:rsidRPr="00B8361F">
        <w:t xml:space="preserve">the </w:t>
      </w:r>
      <w:r w:rsidR="00DD04D4" w:rsidRPr="00B8361F">
        <w:t xml:space="preserve">Complaint </w:t>
      </w:r>
      <w:r w:rsidR="00B8361F">
        <w:t xml:space="preserve">shall </w:t>
      </w:r>
      <w:r w:rsidRPr="00B8361F">
        <w:t>proceed to a Hearing.</w:t>
      </w:r>
    </w:p>
    <w:p w:rsidR="00444E27" w:rsidRPr="00B8361F" w:rsidRDefault="00444E27" w:rsidP="00444E27"/>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897507">
        <w:rPr>
          <w:u w:val="single"/>
        </w:rPr>
        <w:t xml:space="preserve">August </w:t>
      </w:r>
      <w:r w:rsidR="00B8361F">
        <w:rPr>
          <w:u w:val="single"/>
        </w:rPr>
        <w:t>20</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0F4B2C" w:rsidRDefault="000F4B2C" w:rsidP="00444E27"/>
    <w:p w:rsidR="000F4B2C" w:rsidRDefault="000F4B2C" w:rsidP="00444E27">
      <w:pPr>
        <w:sectPr w:rsidR="000F4B2C" w:rsidSect="00713D64">
          <w:footerReference w:type="default" r:id="rId9"/>
          <w:pgSz w:w="12240" w:h="15840"/>
          <w:pgMar w:top="1440" w:right="1800" w:bottom="1440" w:left="1800" w:header="720" w:footer="720" w:gutter="0"/>
          <w:cols w:space="720"/>
          <w:titlePg/>
        </w:sectPr>
      </w:pPr>
    </w:p>
    <w:p w:rsidR="000F4B2C" w:rsidRPr="00483E47" w:rsidRDefault="000F4B2C" w:rsidP="000F4B2C">
      <w:pPr>
        <w:rPr>
          <w:rFonts w:ascii="Microsoft Sans Serif" w:hAnsi="Microsoft Sans Serif" w:cs="Microsoft Sans Serif"/>
          <w:b/>
          <w:u w:val="single"/>
        </w:rPr>
      </w:pPr>
      <w:r w:rsidRPr="00483E47">
        <w:rPr>
          <w:rFonts w:ascii="Microsoft Sans Serif" w:hAnsi="Microsoft Sans Serif" w:cs="Microsoft Sans Serif"/>
          <w:b/>
          <w:u w:val="single"/>
        </w:rPr>
        <w:t>C-2014-242765</w:t>
      </w:r>
      <w:r>
        <w:rPr>
          <w:rFonts w:ascii="Microsoft Sans Serif" w:hAnsi="Microsoft Sans Serif" w:cs="Microsoft Sans Serif"/>
          <w:b/>
          <w:u w:val="single"/>
        </w:rPr>
        <w:t>6</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ENERGY SERVICE PROVIDERS, INC D/B/A PENNSYLVANIA GAS &amp; ELECTRIC</w:t>
      </w:r>
    </w:p>
    <w:p w:rsidR="000F4B2C" w:rsidRPr="00820858" w:rsidRDefault="000F4B2C" w:rsidP="000F4B2C">
      <w:pPr>
        <w:rPr>
          <w:rFonts w:ascii="Microsoft Sans Serif" w:hAnsi="Microsoft Sans Serif" w:cs="Microsoft Sans Serif"/>
          <w:b/>
          <w:i/>
          <w:u w:val="single"/>
        </w:rPr>
      </w:pPr>
    </w:p>
    <w:p w:rsidR="000F4B2C" w:rsidRPr="00820858" w:rsidRDefault="000F4B2C" w:rsidP="000F4B2C">
      <w:pPr>
        <w:rPr>
          <w:rFonts w:ascii="Microsoft Sans Serif" w:hAnsi="Microsoft Sans Serif" w:cs="Microsoft Sans Serif"/>
          <w:b/>
          <w:i/>
          <w:u w:val="single"/>
        </w:rPr>
      </w:pPr>
      <w:r>
        <w:rPr>
          <w:rFonts w:ascii="Microsoft Sans Serif" w:hAnsi="Microsoft Sans Serif" w:cs="Microsoft Sans Serif"/>
          <w:b/>
          <w:i/>
          <w:u w:val="single"/>
        </w:rPr>
        <w:t>REVISED 08/20/14</w:t>
      </w:r>
      <w:r w:rsidRPr="00483E47">
        <w:rPr>
          <w:rFonts w:ascii="Microsoft Sans Serif" w:hAnsi="Microsoft Sans Serif" w:cs="Microsoft Sans Serif"/>
          <w:b/>
          <w:u w:val="single"/>
        </w:rPr>
        <w:cr/>
      </w:r>
    </w:p>
    <w:p w:rsidR="000F4B2C" w:rsidRPr="00483E47" w:rsidRDefault="000F4B2C" w:rsidP="000F4B2C">
      <w:pPr>
        <w:rPr>
          <w:rFonts w:ascii="Microsoft Sans Serif" w:hAnsi="Microsoft Sans Serif" w:cs="Microsoft Sans Serif"/>
        </w:rPr>
      </w:pP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NICOLE R BECK</w:t>
      </w:r>
      <w:r w:rsidRPr="00483E47">
        <w:rPr>
          <w:rFonts w:ascii="Microsoft Sans Serif" w:hAnsi="Microsoft Sans Serif" w:cs="Microsoft Sans Serif"/>
        </w:rPr>
        <w:t xml:space="preserve"> ESQUIRE</w:t>
      </w:r>
    </w:p>
    <w:p w:rsidR="000F4B2C" w:rsidRPr="00483E47" w:rsidRDefault="000F4B2C" w:rsidP="000F4B2C">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r>
      <w:r>
        <w:rPr>
          <w:rFonts w:ascii="Microsoft Sans Serif" w:hAnsi="Microsoft Sans Serif" w:cs="Microsoft Sans Serif"/>
        </w:rPr>
        <w:t>BRANDON J PIERCE</w:t>
      </w:r>
      <w:r w:rsidRPr="00483E47">
        <w:rPr>
          <w:rFonts w:ascii="Microsoft Sans Serif" w:hAnsi="Microsoft Sans Serif" w:cs="Microsoft Sans Serif"/>
        </w:rPr>
        <w:t xml:space="preserve"> ESQUIRE</w:t>
      </w:r>
      <w:r w:rsidRPr="00483E47">
        <w:rPr>
          <w:rFonts w:ascii="Microsoft Sans Serif" w:hAnsi="Microsoft Sans Serif" w:cs="Microsoft Sans Serif"/>
        </w:rPr>
        <w:cr/>
        <w:t>KRISTINE E ROBINSON ESQUIRE</w:t>
      </w:r>
    </w:p>
    <w:p w:rsidR="000F4B2C" w:rsidRPr="00820858" w:rsidRDefault="000F4B2C" w:rsidP="000F4B2C">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t>OFFICE OF SMALL BUSINESS ADVOCATE</w:t>
      </w:r>
      <w:r w:rsidRPr="00483E47">
        <w:rPr>
          <w:rFonts w:ascii="Microsoft Sans Serif" w:hAnsi="Microsoft Sans Serif" w:cs="Microsoft Sans Serif"/>
        </w:rPr>
        <w:cr/>
        <w:t>SUITE 1102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HARRISBURG PA  17101</w:t>
      </w:r>
      <w:r w:rsidRPr="00483E47">
        <w:rPr>
          <w:rFonts w:ascii="Microsoft Sans Serif" w:hAnsi="Microsoft Sans Serif" w:cs="Microsoft Sans Serif"/>
        </w:rPr>
        <w:cr/>
        <w:t>717-783-2525</w:t>
      </w:r>
      <w:r w:rsidRPr="00483E47">
        <w:rPr>
          <w:rFonts w:ascii="Microsoft Sans Serif" w:hAnsi="Microsoft Sans Serif" w:cs="Microsoft Sans Serif"/>
        </w:rPr>
        <w:cr/>
      </w:r>
      <w:bookmarkStart w:id="0" w:name="_GoBack"/>
      <w:bookmarkEnd w:id="0"/>
    </w:p>
    <w:p w:rsidR="000F4B2C" w:rsidRPr="00820858" w:rsidRDefault="000F4B2C" w:rsidP="000F4B2C">
      <w:pPr>
        <w:rPr>
          <w:rFonts w:ascii="Microsoft Sans Serif" w:hAnsi="Microsoft Sans Serif" w:cs="Microsoft Sans Serif"/>
        </w:rPr>
      </w:pPr>
      <w:r w:rsidRPr="00820858">
        <w:rPr>
          <w:rFonts w:ascii="Microsoft Sans Serif" w:hAnsi="Microsoft Sans Serif" w:cs="Microsoft Sans Serif"/>
        </w:rPr>
        <w:t>STEPHANIE WIMER ESQUIRE</w:t>
      </w:r>
    </w:p>
    <w:p w:rsidR="000F4B2C" w:rsidRPr="00820858" w:rsidRDefault="000F4B2C" w:rsidP="000F4B2C">
      <w:pPr>
        <w:rPr>
          <w:rFonts w:ascii="Microsoft Sans Serif" w:hAnsi="Microsoft Sans Serif" w:cs="Microsoft Sans Serif"/>
        </w:rPr>
      </w:pPr>
      <w:r w:rsidRPr="00820858">
        <w:rPr>
          <w:rFonts w:ascii="Microsoft Sans Serif" w:hAnsi="Microsoft Sans Serif" w:cs="Microsoft Sans Serif"/>
        </w:rPr>
        <w:t>PA PUC LAW BUREAU</w:t>
      </w:r>
    </w:p>
    <w:p w:rsidR="000F4B2C" w:rsidRPr="00820858" w:rsidRDefault="000F4B2C" w:rsidP="000F4B2C">
      <w:pPr>
        <w:rPr>
          <w:rFonts w:ascii="Microsoft Sans Serif" w:hAnsi="Microsoft Sans Serif" w:cs="Microsoft Sans Serif"/>
        </w:rPr>
      </w:pPr>
      <w:r w:rsidRPr="00820858">
        <w:rPr>
          <w:rFonts w:ascii="Microsoft Sans Serif" w:hAnsi="Microsoft Sans Serif" w:cs="Microsoft Sans Serif"/>
        </w:rPr>
        <w:t>PO BOX 3265</w:t>
      </w:r>
    </w:p>
    <w:p w:rsidR="000F4B2C" w:rsidRPr="00820858" w:rsidRDefault="000F4B2C" w:rsidP="000F4B2C">
      <w:pPr>
        <w:rPr>
          <w:rFonts w:ascii="Microsoft Sans Serif" w:hAnsi="Microsoft Sans Serif" w:cs="Microsoft Sans Serif"/>
        </w:rPr>
      </w:pPr>
      <w:r w:rsidRPr="00820858">
        <w:rPr>
          <w:rFonts w:ascii="Microsoft Sans Serif" w:hAnsi="Microsoft Sans Serif" w:cs="Microsoft Sans Serif"/>
        </w:rPr>
        <w:t>HARRISBURG PA  17105-3265</w:t>
      </w:r>
    </w:p>
    <w:p w:rsidR="000F4B2C" w:rsidRPr="00820858" w:rsidRDefault="000F4B2C" w:rsidP="000F4B2C">
      <w:pPr>
        <w:rPr>
          <w:rFonts w:ascii="Microsoft Sans Serif" w:hAnsi="Microsoft Sans Serif" w:cs="Microsoft Sans Serif"/>
          <w:b/>
          <w:i/>
          <w:u w:val="single"/>
        </w:rPr>
      </w:pPr>
      <w:r w:rsidRPr="00820858">
        <w:rPr>
          <w:rFonts w:ascii="Microsoft Sans Serif" w:hAnsi="Microsoft Sans Serif" w:cs="Microsoft Sans Serif"/>
          <w:b/>
          <w:i/>
          <w:u w:val="single"/>
        </w:rPr>
        <w:t>Accepts eService</w:t>
      </w:r>
    </w:p>
    <w:p w:rsidR="000F4B2C" w:rsidRPr="00820858" w:rsidRDefault="000F4B2C" w:rsidP="000F4B2C">
      <w:pPr>
        <w:rPr>
          <w:rFonts w:ascii="Microsoft Sans Serif" w:hAnsi="Microsoft Sans Serif" w:cs="Microsoft Sans Serif"/>
        </w:rPr>
      </w:pPr>
    </w:p>
    <w:p w:rsidR="000F4B2C" w:rsidRDefault="000F4B2C" w:rsidP="000F4B2C">
      <w:pPr>
        <w:rPr>
          <w:rFonts w:ascii="Microsoft Sans Serif" w:hAnsi="Microsoft Sans Serif" w:cs="Microsoft Sans Serif"/>
        </w:rPr>
      </w:pPr>
      <w:r>
        <w:rPr>
          <w:rFonts w:ascii="Microsoft Sans Serif" w:hAnsi="Microsoft Sans Serif" w:cs="Microsoft Sans Serif"/>
        </w:rPr>
        <w:t>TODD S STEWART ESQUIRE</w:t>
      </w:r>
    </w:p>
    <w:p w:rsidR="000F4B2C" w:rsidRDefault="000F4B2C" w:rsidP="000F4B2C">
      <w:pPr>
        <w:rPr>
          <w:rFonts w:ascii="Microsoft Sans Serif" w:hAnsi="Microsoft Sans Serif" w:cs="Microsoft Sans Serif"/>
        </w:rPr>
      </w:pPr>
      <w:r>
        <w:rPr>
          <w:rFonts w:ascii="Microsoft Sans Serif" w:hAnsi="Microsoft Sans Serif" w:cs="Microsoft Sans Serif"/>
        </w:rPr>
        <w:t>HAWKE MCKEON &amp; SNISCAK LLP</w:t>
      </w:r>
    </w:p>
    <w:p w:rsidR="000F4B2C" w:rsidRDefault="000F4B2C" w:rsidP="000F4B2C">
      <w:pPr>
        <w:rPr>
          <w:rFonts w:ascii="Microsoft Sans Serif" w:hAnsi="Microsoft Sans Serif" w:cs="Microsoft Sans Serif"/>
        </w:rPr>
      </w:pPr>
      <w:r>
        <w:rPr>
          <w:rFonts w:ascii="Microsoft Sans Serif" w:hAnsi="Microsoft Sans Serif" w:cs="Microsoft Sans Serif"/>
        </w:rPr>
        <w:t>100 NORTH TENTH STREET</w:t>
      </w:r>
    </w:p>
    <w:p w:rsidR="000F4B2C" w:rsidRDefault="000F4B2C" w:rsidP="000F4B2C">
      <w:pPr>
        <w:rPr>
          <w:rFonts w:ascii="Microsoft Sans Serif" w:hAnsi="Microsoft Sans Serif" w:cs="Microsoft Sans Serif"/>
        </w:rPr>
      </w:pPr>
      <w:r>
        <w:rPr>
          <w:rFonts w:ascii="Microsoft Sans Serif" w:hAnsi="Microsoft Sans Serif" w:cs="Microsoft Sans Serif"/>
        </w:rPr>
        <w:t>PO BOX 1778</w:t>
      </w:r>
    </w:p>
    <w:p w:rsidR="000F4B2C" w:rsidRPr="00483E47" w:rsidRDefault="000F4B2C" w:rsidP="000F4B2C">
      <w:pPr>
        <w:rPr>
          <w:rFonts w:ascii="Microsoft Sans Serif" w:hAnsi="Microsoft Sans Serif" w:cs="Microsoft Sans Serif"/>
        </w:rPr>
      </w:pPr>
      <w:r>
        <w:rPr>
          <w:rFonts w:ascii="Microsoft Sans Serif" w:hAnsi="Microsoft Sans Serif" w:cs="Microsoft Sans Serif"/>
        </w:rPr>
        <w:t>HARRISBURG PA  17105-1778</w:t>
      </w:r>
    </w:p>
    <w:p w:rsidR="000F4B2C" w:rsidRDefault="000F4B2C" w:rsidP="000F4B2C">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0F4B2C" w:rsidRDefault="000F4B2C" w:rsidP="000F4B2C">
      <w:pPr>
        <w:rPr>
          <w:rFonts w:ascii="Microsoft Sans Serif" w:hAnsi="Microsoft Sans Serif" w:cs="Microsoft Sans Serif"/>
          <w:b/>
          <w:i/>
          <w:u w:val="single"/>
        </w:rPr>
      </w:pPr>
    </w:p>
    <w:p w:rsidR="000F4B2C" w:rsidRDefault="000F4B2C" w:rsidP="000F4B2C">
      <w:pPr>
        <w:rPr>
          <w:rFonts w:ascii="Microsoft Sans Serif" w:hAnsi="Microsoft Sans Serif" w:cs="Microsoft Sans Serif"/>
        </w:rPr>
      </w:pPr>
      <w:r>
        <w:rPr>
          <w:rFonts w:ascii="Microsoft Sans Serif" w:hAnsi="Microsoft Sans Serif" w:cs="Microsoft Sans Serif"/>
        </w:rPr>
        <w:t>CHRISTOPHER A LEWIS ESQUIRE</w:t>
      </w:r>
    </w:p>
    <w:p w:rsidR="000F4B2C" w:rsidRDefault="000F4B2C" w:rsidP="000F4B2C">
      <w:pPr>
        <w:rPr>
          <w:rFonts w:ascii="Microsoft Sans Serif" w:hAnsi="Microsoft Sans Serif" w:cs="Microsoft Sans Serif"/>
        </w:rPr>
      </w:pPr>
      <w:r>
        <w:rPr>
          <w:rFonts w:ascii="Microsoft Sans Serif" w:hAnsi="Microsoft Sans Serif" w:cs="Microsoft Sans Serif"/>
        </w:rPr>
        <w:t>CHARLES A FITZPATRICK IV ESQUIRE</w:t>
      </w:r>
    </w:p>
    <w:p w:rsidR="000F4B2C" w:rsidRDefault="000F4B2C" w:rsidP="000F4B2C">
      <w:pPr>
        <w:rPr>
          <w:rFonts w:ascii="Microsoft Sans Serif" w:hAnsi="Microsoft Sans Serif" w:cs="Microsoft Sans Serif"/>
        </w:rPr>
      </w:pPr>
      <w:r>
        <w:rPr>
          <w:rFonts w:ascii="Microsoft Sans Serif" w:hAnsi="Microsoft Sans Serif" w:cs="Microsoft Sans Serif"/>
        </w:rPr>
        <w:t>BLANK ROME LLP</w:t>
      </w:r>
    </w:p>
    <w:p w:rsidR="000F4B2C" w:rsidRDefault="000F4B2C" w:rsidP="000F4B2C">
      <w:pPr>
        <w:rPr>
          <w:rFonts w:ascii="Microsoft Sans Serif" w:hAnsi="Microsoft Sans Serif" w:cs="Microsoft Sans Serif"/>
        </w:rPr>
      </w:pPr>
      <w:r>
        <w:rPr>
          <w:rFonts w:ascii="Microsoft Sans Serif" w:hAnsi="Microsoft Sans Serif" w:cs="Microsoft Sans Serif"/>
        </w:rPr>
        <w:t>ONE LOGAN SQUARE</w:t>
      </w:r>
    </w:p>
    <w:p w:rsidR="000F4B2C" w:rsidRDefault="000F4B2C" w:rsidP="000F4B2C">
      <w:pPr>
        <w:rPr>
          <w:rFonts w:ascii="Microsoft Sans Serif" w:hAnsi="Microsoft Sans Serif" w:cs="Microsoft Sans Serif"/>
        </w:rPr>
      </w:pPr>
      <w:r>
        <w:rPr>
          <w:rFonts w:ascii="Microsoft Sans Serif" w:hAnsi="Microsoft Sans Serif" w:cs="Microsoft Sans Serif"/>
        </w:rPr>
        <w:t>130 NORTH 18</w:t>
      </w:r>
      <w:r w:rsidRPr="00E233F4">
        <w:rPr>
          <w:rFonts w:ascii="Microsoft Sans Serif" w:hAnsi="Microsoft Sans Serif" w:cs="Microsoft Sans Serif"/>
          <w:vertAlign w:val="superscript"/>
        </w:rPr>
        <w:t>TH</w:t>
      </w:r>
      <w:r>
        <w:rPr>
          <w:rFonts w:ascii="Microsoft Sans Serif" w:hAnsi="Microsoft Sans Serif" w:cs="Microsoft Sans Serif"/>
        </w:rPr>
        <w:t xml:space="preserve"> STREET</w:t>
      </w:r>
    </w:p>
    <w:p w:rsidR="000F4B2C" w:rsidRDefault="000F4B2C" w:rsidP="000F4B2C">
      <w:pPr>
        <w:rPr>
          <w:rFonts w:ascii="Microsoft Sans Serif" w:hAnsi="Microsoft Sans Serif" w:cs="Microsoft Sans Serif"/>
        </w:rPr>
      </w:pPr>
      <w:r>
        <w:rPr>
          <w:rFonts w:ascii="Microsoft Sans Serif" w:hAnsi="Microsoft Sans Serif" w:cs="Microsoft Sans Serif"/>
        </w:rPr>
        <w:t>PHILADELPHIA PA  19130</w:t>
      </w:r>
    </w:p>
    <w:p w:rsidR="000F4B2C" w:rsidRDefault="000F4B2C" w:rsidP="000F4B2C">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0F4B2C" w:rsidRPr="00E233F4" w:rsidRDefault="000F4B2C" w:rsidP="000F4B2C">
      <w:pPr>
        <w:rPr>
          <w:rFonts w:ascii="Microsoft Sans Serif" w:hAnsi="Microsoft Sans Serif" w:cs="Microsoft Sans Serif"/>
        </w:rPr>
      </w:pPr>
    </w:p>
    <w:p w:rsidR="000F4B2C" w:rsidRPr="00550B34" w:rsidRDefault="000F4B2C" w:rsidP="00444E27"/>
    <w:sectPr w:rsidR="000F4B2C" w:rsidRPr="00550B34"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1FE" w:rsidRDefault="005161FE">
      <w:r>
        <w:separator/>
      </w:r>
    </w:p>
  </w:endnote>
  <w:endnote w:type="continuationSeparator" w:id="0">
    <w:p w:rsidR="005161FE" w:rsidRDefault="0051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D10B36">
      <w:rPr>
        <w:rStyle w:val="PageNumber"/>
        <w:noProof/>
        <w:sz w:val="23"/>
        <w:szCs w:val="23"/>
      </w:rPr>
      <w:t>25</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1FE" w:rsidRDefault="005161FE">
      <w:r>
        <w:separator/>
      </w:r>
    </w:p>
  </w:footnote>
  <w:footnote w:type="continuationSeparator" w:id="0">
    <w:p w:rsidR="005161FE" w:rsidRDefault="00516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B7A8B"/>
    <w:multiLevelType w:val="hybridMultilevel"/>
    <w:tmpl w:val="2C4CB718"/>
    <w:lvl w:ilvl="0" w:tplc="92BE1D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8"/>
  </w:num>
  <w:num w:numId="5">
    <w:abstractNumId w:val="4"/>
  </w:num>
  <w:num w:numId="6">
    <w:abstractNumId w:val="22"/>
  </w:num>
  <w:num w:numId="7">
    <w:abstractNumId w:val="1"/>
  </w:num>
  <w:num w:numId="8">
    <w:abstractNumId w:val="13"/>
  </w:num>
  <w:num w:numId="9">
    <w:abstractNumId w:val="7"/>
  </w:num>
  <w:num w:numId="10">
    <w:abstractNumId w:val="21"/>
  </w:num>
  <w:num w:numId="11">
    <w:abstractNumId w:val="16"/>
  </w:num>
  <w:num w:numId="12">
    <w:abstractNumId w:val="6"/>
  </w:num>
  <w:num w:numId="13">
    <w:abstractNumId w:val="15"/>
  </w:num>
  <w:num w:numId="14">
    <w:abstractNumId w:val="0"/>
  </w:num>
  <w:num w:numId="15">
    <w:abstractNumId w:val="17"/>
  </w:num>
  <w:num w:numId="16">
    <w:abstractNumId w:val="10"/>
  </w:num>
  <w:num w:numId="17">
    <w:abstractNumId w:val="12"/>
  </w:num>
  <w:num w:numId="18">
    <w:abstractNumId w:val="5"/>
  </w:num>
  <w:num w:numId="19">
    <w:abstractNumId w:val="14"/>
  </w:num>
  <w:num w:numId="20">
    <w:abstractNumId w:val="3"/>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4AE0"/>
    <w:rsid w:val="000253F8"/>
    <w:rsid w:val="00031CED"/>
    <w:rsid w:val="00033858"/>
    <w:rsid w:val="00037E8B"/>
    <w:rsid w:val="00040542"/>
    <w:rsid w:val="000447F9"/>
    <w:rsid w:val="00050489"/>
    <w:rsid w:val="00050AF1"/>
    <w:rsid w:val="00054540"/>
    <w:rsid w:val="00054A10"/>
    <w:rsid w:val="00055FCB"/>
    <w:rsid w:val="0006006D"/>
    <w:rsid w:val="00060BB1"/>
    <w:rsid w:val="00063F87"/>
    <w:rsid w:val="00070025"/>
    <w:rsid w:val="00073240"/>
    <w:rsid w:val="00080E54"/>
    <w:rsid w:val="00081A6A"/>
    <w:rsid w:val="000851FC"/>
    <w:rsid w:val="000878EC"/>
    <w:rsid w:val="000A14E9"/>
    <w:rsid w:val="000A1610"/>
    <w:rsid w:val="000A248E"/>
    <w:rsid w:val="000A37EC"/>
    <w:rsid w:val="000A68BE"/>
    <w:rsid w:val="000A6EC8"/>
    <w:rsid w:val="000A79FD"/>
    <w:rsid w:val="000B2BD1"/>
    <w:rsid w:val="000B6D6C"/>
    <w:rsid w:val="000C3A73"/>
    <w:rsid w:val="000C5271"/>
    <w:rsid w:val="000C541F"/>
    <w:rsid w:val="000C5888"/>
    <w:rsid w:val="000D2CCA"/>
    <w:rsid w:val="000D4032"/>
    <w:rsid w:val="000D67B4"/>
    <w:rsid w:val="000D6D75"/>
    <w:rsid w:val="000E6B3B"/>
    <w:rsid w:val="000F0A49"/>
    <w:rsid w:val="000F4B2C"/>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770C"/>
    <w:rsid w:val="00140883"/>
    <w:rsid w:val="00141DCE"/>
    <w:rsid w:val="001425EE"/>
    <w:rsid w:val="00142EE0"/>
    <w:rsid w:val="00143290"/>
    <w:rsid w:val="001441F9"/>
    <w:rsid w:val="00144EB5"/>
    <w:rsid w:val="00153529"/>
    <w:rsid w:val="001540BB"/>
    <w:rsid w:val="001547B2"/>
    <w:rsid w:val="001611E5"/>
    <w:rsid w:val="001714A2"/>
    <w:rsid w:val="001767DF"/>
    <w:rsid w:val="00181BAB"/>
    <w:rsid w:val="00182ECA"/>
    <w:rsid w:val="00187495"/>
    <w:rsid w:val="00187940"/>
    <w:rsid w:val="001900E6"/>
    <w:rsid w:val="00190843"/>
    <w:rsid w:val="001935F0"/>
    <w:rsid w:val="00193F4C"/>
    <w:rsid w:val="0019509B"/>
    <w:rsid w:val="00197B84"/>
    <w:rsid w:val="001A1495"/>
    <w:rsid w:val="001A397D"/>
    <w:rsid w:val="001A62B0"/>
    <w:rsid w:val="001B2461"/>
    <w:rsid w:val="001B6119"/>
    <w:rsid w:val="001B7656"/>
    <w:rsid w:val="001B7A2B"/>
    <w:rsid w:val="001C23B6"/>
    <w:rsid w:val="001C319A"/>
    <w:rsid w:val="001C4B7B"/>
    <w:rsid w:val="001C7376"/>
    <w:rsid w:val="001C7DC7"/>
    <w:rsid w:val="001C7E2F"/>
    <w:rsid w:val="001D0606"/>
    <w:rsid w:val="001D1113"/>
    <w:rsid w:val="001D1D69"/>
    <w:rsid w:val="001D36BC"/>
    <w:rsid w:val="001D46D2"/>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12459"/>
    <w:rsid w:val="0021277F"/>
    <w:rsid w:val="00216197"/>
    <w:rsid w:val="002164E5"/>
    <w:rsid w:val="00217594"/>
    <w:rsid w:val="0022121D"/>
    <w:rsid w:val="00223B03"/>
    <w:rsid w:val="00224765"/>
    <w:rsid w:val="002251CE"/>
    <w:rsid w:val="0023008A"/>
    <w:rsid w:val="00230E9A"/>
    <w:rsid w:val="0024311B"/>
    <w:rsid w:val="002508B3"/>
    <w:rsid w:val="002516D4"/>
    <w:rsid w:val="00252F51"/>
    <w:rsid w:val="0025436A"/>
    <w:rsid w:val="002605DC"/>
    <w:rsid w:val="0026329B"/>
    <w:rsid w:val="002636A2"/>
    <w:rsid w:val="00266583"/>
    <w:rsid w:val="0027269F"/>
    <w:rsid w:val="00275A41"/>
    <w:rsid w:val="00276158"/>
    <w:rsid w:val="002825EF"/>
    <w:rsid w:val="002860B7"/>
    <w:rsid w:val="002872AD"/>
    <w:rsid w:val="00291D9A"/>
    <w:rsid w:val="00295A8E"/>
    <w:rsid w:val="002967E5"/>
    <w:rsid w:val="002A5F90"/>
    <w:rsid w:val="002A6146"/>
    <w:rsid w:val="002A6540"/>
    <w:rsid w:val="002B04F4"/>
    <w:rsid w:val="002B1DB7"/>
    <w:rsid w:val="002B202A"/>
    <w:rsid w:val="002B5A65"/>
    <w:rsid w:val="002C06C1"/>
    <w:rsid w:val="002C13F5"/>
    <w:rsid w:val="002C2C4E"/>
    <w:rsid w:val="002C32C8"/>
    <w:rsid w:val="002C370F"/>
    <w:rsid w:val="002C40FB"/>
    <w:rsid w:val="002C5171"/>
    <w:rsid w:val="002C66E9"/>
    <w:rsid w:val="002D275A"/>
    <w:rsid w:val="002E2B8A"/>
    <w:rsid w:val="002E4F5F"/>
    <w:rsid w:val="002E5F7E"/>
    <w:rsid w:val="002E64EF"/>
    <w:rsid w:val="002E76DB"/>
    <w:rsid w:val="002F05AF"/>
    <w:rsid w:val="002F61D3"/>
    <w:rsid w:val="002F686B"/>
    <w:rsid w:val="003038D5"/>
    <w:rsid w:val="00303920"/>
    <w:rsid w:val="00304A73"/>
    <w:rsid w:val="00311AFC"/>
    <w:rsid w:val="00312F22"/>
    <w:rsid w:val="00316851"/>
    <w:rsid w:val="00317051"/>
    <w:rsid w:val="00321207"/>
    <w:rsid w:val="003233E4"/>
    <w:rsid w:val="003234C9"/>
    <w:rsid w:val="00325C82"/>
    <w:rsid w:val="00326FA4"/>
    <w:rsid w:val="0032777F"/>
    <w:rsid w:val="00330C99"/>
    <w:rsid w:val="00331314"/>
    <w:rsid w:val="00332070"/>
    <w:rsid w:val="00333129"/>
    <w:rsid w:val="00333A41"/>
    <w:rsid w:val="00334E63"/>
    <w:rsid w:val="00337DC7"/>
    <w:rsid w:val="00342A79"/>
    <w:rsid w:val="00345906"/>
    <w:rsid w:val="00345AF2"/>
    <w:rsid w:val="00347167"/>
    <w:rsid w:val="00350245"/>
    <w:rsid w:val="00353CE7"/>
    <w:rsid w:val="00360A2F"/>
    <w:rsid w:val="0036322E"/>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C02CC"/>
    <w:rsid w:val="003C424C"/>
    <w:rsid w:val="003C50EB"/>
    <w:rsid w:val="003C66F8"/>
    <w:rsid w:val="003D419D"/>
    <w:rsid w:val="003D7B43"/>
    <w:rsid w:val="003E04E8"/>
    <w:rsid w:val="003E3839"/>
    <w:rsid w:val="003E44F8"/>
    <w:rsid w:val="003F0F78"/>
    <w:rsid w:val="003F21D9"/>
    <w:rsid w:val="003F49DD"/>
    <w:rsid w:val="003F68D9"/>
    <w:rsid w:val="003F6945"/>
    <w:rsid w:val="003F6F42"/>
    <w:rsid w:val="004013F7"/>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4A88"/>
    <w:rsid w:val="00476814"/>
    <w:rsid w:val="0048022D"/>
    <w:rsid w:val="00484CA9"/>
    <w:rsid w:val="00485942"/>
    <w:rsid w:val="00487C67"/>
    <w:rsid w:val="0049010E"/>
    <w:rsid w:val="004907E0"/>
    <w:rsid w:val="00491200"/>
    <w:rsid w:val="004A44C7"/>
    <w:rsid w:val="004A6217"/>
    <w:rsid w:val="004A744B"/>
    <w:rsid w:val="004B12AD"/>
    <w:rsid w:val="004B3128"/>
    <w:rsid w:val="004B4716"/>
    <w:rsid w:val="004B66DA"/>
    <w:rsid w:val="004B6CB6"/>
    <w:rsid w:val="004B73DA"/>
    <w:rsid w:val="004C0C8D"/>
    <w:rsid w:val="004C19EA"/>
    <w:rsid w:val="004C54A1"/>
    <w:rsid w:val="004C5959"/>
    <w:rsid w:val="004D1B9A"/>
    <w:rsid w:val="004D5EDA"/>
    <w:rsid w:val="004D6775"/>
    <w:rsid w:val="004D6F0B"/>
    <w:rsid w:val="004E3BB5"/>
    <w:rsid w:val="004E5B21"/>
    <w:rsid w:val="004E5BAC"/>
    <w:rsid w:val="004E665A"/>
    <w:rsid w:val="004E6F0A"/>
    <w:rsid w:val="004F0FF9"/>
    <w:rsid w:val="004F664A"/>
    <w:rsid w:val="005040DC"/>
    <w:rsid w:val="0050525A"/>
    <w:rsid w:val="00506ED2"/>
    <w:rsid w:val="00506F36"/>
    <w:rsid w:val="00511327"/>
    <w:rsid w:val="00511838"/>
    <w:rsid w:val="0051332A"/>
    <w:rsid w:val="005161FE"/>
    <w:rsid w:val="005173E3"/>
    <w:rsid w:val="0052063B"/>
    <w:rsid w:val="00522D71"/>
    <w:rsid w:val="00526B7E"/>
    <w:rsid w:val="0053143A"/>
    <w:rsid w:val="00531C6A"/>
    <w:rsid w:val="0053303C"/>
    <w:rsid w:val="0053542E"/>
    <w:rsid w:val="00535728"/>
    <w:rsid w:val="00535B47"/>
    <w:rsid w:val="00541FA5"/>
    <w:rsid w:val="005457C5"/>
    <w:rsid w:val="00550B34"/>
    <w:rsid w:val="005534AB"/>
    <w:rsid w:val="00555AB2"/>
    <w:rsid w:val="00557163"/>
    <w:rsid w:val="0056090B"/>
    <w:rsid w:val="00562740"/>
    <w:rsid w:val="0056328E"/>
    <w:rsid w:val="00564A1C"/>
    <w:rsid w:val="0056671B"/>
    <w:rsid w:val="00566D50"/>
    <w:rsid w:val="00577041"/>
    <w:rsid w:val="00582CDA"/>
    <w:rsid w:val="0058333F"/>
    <w:rsid w:val="00583F87"/>
    <w:rsid w:val="005877DE"/>
    <w:rsid w:val="00587965"/>
    <w:rsid w:val="00587FE9"/>
    <w:rsid w:val="0059163B"/>
    <w:rsid w:val="0059318E"/>
    <w:rsid w:val="00593CE6"/>
    <w:rsid w:val="00594F19"/>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E66B4"/>
    <w:rsid w:val="005F024B"/>
    <w:rsid w:val="005F179B"/>
    <w:rsid w:val="005F1FD3"/>
    <w:rsid w:val="005F2817"/>
    <w:rsid w:val="005F36A0"/>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93C"/>
    <w:rsid w:val="00672EC0"/>
    <w:rsid w:val="006747F7"/>
    <w:rsid w:val="006763F3"/>
    <w:rsid w:val="00677021"/>
    <w:rsid w:val="006803CC"/>
    <w:rsid w:val="006816B8"/>
    <w:rsid w:val="00684075"/>
    <w:rsid w:val="006849B4"/>
    <w:rsid w:val="006871DC"/>
    <w:rsid w:val="00694651"/>
    <w:rsid w:val="0069608E"/>
    <w:rsid w:val="0069608F"/>
    <w:rsid w:val="006A2304"/>
    <w:rsid w:val="006A5824"/>
    <w:rsid w:val="006A7A0E"/>
    <w:rsid w:val="006B0982"/>
    <w:rsid w:val="006C040A"/>
    <w:rsid w:val="006C2C4C"/>
    <w:rsid w:val="006C393A"/>
    <w:rsid w:val="006C5A4D"/>
    <w:rsid w:val="006D0F1E"/>
    <w:rsid w:val="006D1934"/>
    <w:rsid w:val="006D33B5"/>
    <w:rsid w:val="006D48B8"/>
    <w:rsid w:val="006D528C"/>
    <w:rsid w:val="006D5523"/>
    <w:rsid w:val="006E3B8A"/>
    <w:rsid w:val="006E5176"/>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FF8"/>
    <w:rsid w:val="00723CC9"/>
    <w:rsid w:val="00724ABE"/>
    <w:rsid w:val="00725BFC"/>
    <w:rsid w:val="00726EC8"/>
    <w:rsid w:val="007341C8"/>
    <w:rsid w:val="00735291"/>
    <w:rsid w:val="0074212A"/>
    <w:rsid w:val="00746EC7"/>
    <w:rsid w:val="00747E2E"/>
    <w:rsid w:val="00752614"/>
    <w:rsid w:val="00756EAF"/>
    <w:rsid w:val="0075751F"/>
    <w:rsid w:val="00761AAA"/>
    <w:rsid w:val="00763DA0"/>
    <w:rsid w:val="007653FA"/>
    <w:rsid w:val="00771201"/>
    <w:rsid w:val="00774975"/>
    <w:rsid w:val="00780958"/>
    <w:rsid w:val="00783F05"/>
    <w:rsid w:val="00784AE9"/>
    <w:rsid w:val="007876C7"/>
    <w:rsid w:val="00787F5D"/>
    <w:rsid w:val="007945B3"/>
    <w:rsid w:val="007B1227"/>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7C41"/>
    <w:rsid w:val="0082084D"/>
    <w:rsid w:val="00820EA8"/>
    <w:rsid w:val="008253A9"/>
    <w:rsid w:val="00827705"/>
    <w:rsid w:val="00830CF6"/>
    <w:rsid w:val="008413F8"/>
    <w:rsid w:val="008438CF"/>
    <w:rsid w:val="00843D58"/>
    <w:rsid w:val="00845486"/>
    <w:rsid w:val="008454B9"/>
    <w:rsid w:val="00845A5B"/>
    <w:rsid w:val="0084613F"/>
    <w:rsid w:val="00846FB5"/>
    <w:rsid w:val="00850DA2"/>
    <w:rsid w:val="008540FD"/>
    <w:rsid w:val="00854EC8"/>
    <w:rsid w:val="008563EB"/>
    <w:rsid w:val="00861C19"/>
    <w:rsid w:val="0086399C"/>
    <w:rsid w:val="00864D29"/>
    <w:rsid w:val="008733C7"/>
    <w:rsid w:val="00874F41"/>
    <w:rsid w:val="008773BF"/>
    <w:rsid w:val="0088262B"/>
    <w:rsid w:val="0088305E"/>
    <w:rsid w:val="00883E39"/>
    <w:rsid w:val="00884C0B"/>
    <w:rsid w:val="00886427"/>
    <w:rsid w:val="008921ED"/>
    <w:rsid w:val="00894A7C"/>
    <w:rsid w:val="00897507"/>
    <w:rsid w:val="008A048B"/>
    <w:rsid w:val="008A28B8"/>
    <w:rsid w:val="008A6027"/>
    <w:rsid w:val="008A7776"/>
    <w:rsid w:val="008C0504"/>
    <w:rsid w:val="008C0769"/>
    <w:rsid w:val="008C17E3"/>
    <w:rsid w:val="008C2266"/>
    <w:rsid w:val="008C2B8B"/>
    <w:rsid w:val="008C4577"/>
    <w:rsid w:val="008C53F0"/>
    <w:rsid w:val="008C6629"/>
    <w:rsid w:val="008C6C08"/>
    <w:rsid w:val="008C7929"/>
    <w:rsid w:val="008D2A90"/>
    <w:rsid w:val="008D34B8"/>
    <w:rsid w:val="008D59A2"/>
    <w:rsid w:val="008E2CB5"/>
    <w:rsid w:val="008E6D84"/>
    <w:rsid w:val="008E79BF"/>
    <w:rsid w:val="008F755E"/>
    <w:rsid w:val="009065DB"/>
    <w:rsid w:val="00907551"/>
    <w:rsid w:val="00907E35"/>
    <w:rsid w:val="00907E93"/>
    <w:rsid w:val="0091132C"/>
    <w:rsid w:val="009155D9"/>
    <w:rsid w:val="00922597"/>
    <w:rsid w:val="009242C7"/>
    <w:rsid w:val="00926832"/>
    <w:rsid w:val="00932C4C"/>
    <w:rsid w:val="00933A0A"/>
    <w:rsid w:val="00935A17"/>
    <w:rsid w:val="009422A8"/>
    <w:rsid w:val="009435E2"/>
    <w:rsid w:val="0094648D"/>
    <w:rsid w:val="009479D5"/>
    <w:rsid w:val="00951B5E"/>
    <w:rsid w:val="00951BBB"/>
    <w:rsid w:val="00952807"/>
    <w:rsid w:val="00957662"/>
    <w:rsid w:val="00960F5B"/>
    <w:rsid w:val="00961913"/>
    <w:rsid w:val="00963BD5"/>
    <w:rsid w:val="009651D5"/>
    <w:rsid w:val="00965501"/>
    <w:rsid w:val="00967192"/>
    <w:rsid w:val="009701FB"/>
    <w:rsid w:val="00970AF3"/>
    <w:rsid w:val="009712E6"/>
    <w:rsid w:val="00973E46"/>
    <w:rsid w:val="0098199E"/>
    <w:rsid w:val="00985B9C"/>
    <w:rsid w:val="00986603"/>
    <w:rsid w:val="0099051F"/>
    <w:rsid w:val="00991840"/>
    <w:rsid w:val="00994060"/>
    <w:rsid w:val="009971D9"/>
    <w:rsid w:val="009A1902"/>
    <w:rsid w:val="009A241C"/>
    <w:rsid w:val="009A2760"/>
    <w:rsid w:val="009B0651"/>
    <w:rsid w:val="009B23BE"/>
    <w:rsid w:val="009B3671"/>
    <w:rsid w:val="009B76B9"/>
    <w:rsid w:val="009C228F"/>
    <w:rsid w:val="009C25F1"/>
    <w:rsid w:val="009C2A10"/>
    <w:rsid w:val="009C416F"/>
    <w:rsid w:val="009C44F8"/>
    <w:rsid w:val="009C5580"/>
    <w:rsid w:val="009D16D6"/>
    <w:rsid w:val="009D17D2"/>
    <w:rsid w:val="009D2069"/>
    <w:rsid w:val="009D37EA"/>
    <w:rsid w:val="009D7DAC"/>
    <w:rsid w:val="009E1824"/>
    <w:rsid w:val="009E2517"/>
    <w:rsid w:val="009E3F91"/>
    <w:rsid w:val="009E69D3"/>
    <w:rsid w:val="009F01F6"/>
    <w:rsid w:val="009F3DEF"/>
    <w:rsid w:val="009F421F"/>
    <w:rsid w:val="009F57DD"/>
    <w:rsid w:val="009F6BF1"/>
    <w:rsid w:val="00A004FE"/>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172B"/>
    <w:rsid w:val="00A543D6"/>
    <w:rsid w:val="00A545FB"/>
    <w:rsid w:val="00A54F8A"/>
    <w:rsid w:val="00A62BBE"/>
    <w:rsid w:val="00A72819"/>
    <w:rsid w:val="00A732ED"/>
    <w:rsid w:val="00A74AF3"/>
    <w:rsid w:val="00A76336"/>
    <w:rsid w:val="00A76480"/>
    <w:rsid w:val="00A77426"/>
    <w:rsid w:val="00A80EB1"/>
    <w:rsid w:val="00A8749E"/>
    <w:rsid w:val="00A92373"/>
    <w:rsid w:val="00A93FB7"/>
    <w:rsid w:val="00A9604D"/>
    <w:rsid w:val="00AA0F79"/>
    <w:rsid w:val="00AA23BA"/>
    <w:rsid w:val="00AA3B44"/>
    <w:rsid w:val="00AA5A3B"/>
    <w:rsid w:val="00AA65A0"/>
    <w:rsid w:val="00AB35A6"/>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18D4"/>
    <w:rsid w:val="00B04A94"/>
    <w:rsid w:val="00B067D4"/>
    <w:rsid w:val="00B105BD"/>
    <w:rsid w:val="00B10BE1"/>
    <w:rsid w:val="00B12632"/>
    <w:rsid w:val="00B13E2F"/>
    <w:rsid w:val="00B14A8E"/>
    <w:rsid w:val="00B150EE"/>
    <w:rsid w:val="00B16B10"/>
    <w:rsid w:val="00B17D2D"/>
    <w:rsid w:val="00B17E29"/>
    <w:rsid w:val="00B22385"/>
    <w:rsid w:val="00B2251B"/>
    <w:rsid w:val="00B22579"/>
    <w:rsid w:val="00B253D7"/>
    <w:rsid w:val="00B25A1A"/>
    <w:rsid w:val="00B34D51"/>
    <w:rsid w:val="00B356D9"/>
    <w:rsid w:val="00B3741D"/>
    <w:rsid w:val="00B42052"/>
    <w:rsid w:val="00B42143"/>
    <w:rsid w:val="00B4231E"/>
    <w:rsid w:val="00B4241D"/>
    <w:rsid w:val="00B428B5"/>
    <w:rsid w:val="00B44A3E"/>
    <w:rsid w:val="00B50F61"/>
    <w:rsid w:val="00B606E5"/>
    <w:rsid w:val="00B62154"/>
    <w:rsid w:val="00B6233D"/>
    <w:rsid w:val="00B65A70"/>
    <w:rsid w:val="00B67038"/>
    <w:rsid w:val="00B70E1E"/>
    <w:rsid w:val="00B715DC"/>
    <w:rsid w:val="00B73F8B"/>
    <w:rsid w:val="00B74492"/>
    <w:rsid w:val="00B7459D"/>
    <w:rsid w:val="00B76E4E"/>
    <w:rsid w:val="00B806F4"/>
    <w:rsid w:val="00B83324"/>
    <w:rsid w:val="00B8361F"/>
    <w:rsid w:val="00B8363B"/>
    <w:rsid w:val="00B852ED"/>
    <w:rsid w:val="00B85855"/>
    <w:rsid w:val="00B85A59"/>
    <w:rsid w:val="00B87D27"/>
    <w:rsid w:val="00B87F4C"/>
    <w:rsid w:val="00B905A3"/>
    <w:rsid w:val="00B9621C"/>
    <w:rsid w:val="00B97AB5"/>
    <w:rsid w:val="00BA0600"/>
    <w:rsid w:val="00BA156B"/>
    <w:rsid w:val="00BA19C5"/>
    <w:rsid w:val="00BA5156"/>
    <w:rsid w:val="00BA5877"/>
    <w:rsid w:val="00BA7656"/>
    <w:rsid w:val="00BB0A31"/>
    <w:rsid w:val="00BB1CAC"/>
    <w:rsid w:val="00BB229F"/>
    <w:rsid w:val="00BB28CB"/>
    <w:rsid w:val="00BB5DF1"/>
    <w:rsid w:val="00BB6570"/>
    <w:rsid w:val="00BC1B7C"/>
    <w:rsid w:val="00BC484E"/>
    <w:rsid w:val="00BC5CA3"/>
    <w:rsid w:val="00BC689D"/>
    <w:rsid w:val="00BD1572"/>
    <w:rsid w:val="00BD2783"/>
    <w:rsid w:val="00BE0854"/>
    <w:rsid w:val="00BE152B"/>
    <w:rsid w:val="00BE1ED2"/>
    <w:rsid w:val="00BE726C"/>
    <w:rsid w:val="00BF25F0"/>
    <w:rsid w:val="00BF3079"/>
    <w:rsid w:val="00BF341D"/>
    <w:rsid w:val="00BF3473"/>
    <w:rsid w:val="00BF5D32"/>
    <w:rsid w:val="00BF6876"/>
    <w:rsid w:val="00BF718F"/>
    <w:rsid w:val="00C0065E"/>
    <w:rsid w:val="00C0259F"/>
    <w:rsid w:val="00C12AD7"/>
    <w:rsid w:val="00C13C5A"/>
    <w:rsid w:val="00C16397"/>
    <w:rsid w:val="00C201CA"/>
    <w:rsid w:val="00C23D73"/>
    <w:rsid w:val="00C241A1"/>
    <w:rsid w:val="00C2702D"/>
    <w:rsid w:val="00C27500"/>
    <w:rsid w:val="00C27ADF"/>
    <w:rsid w:val="00C306E8"/>
    <w:rsid w:val="00C33F0C"/>
    <w:rsid w:val="00C3576E"/>
    <w:rsid w:val="00C35956"/>
    <w:rsid w:val="00C407D6"/>
    <w:rsid w:val="00C5657B"/>
    <w:rsid w:val="00C56AEC"/>
    <w:rsid w:val="00C60A73"/>
    <w:rsid w:val="00C610DB"/>
    <w:rsid w:val="00C6203D"/>
    <w:rsid w:val="00C67551"/>
    <w:rsid w:val="00C72120"/>
    <w:rsid w:val="00C7317B"/>
    <w:rsid w:val="00C75DCE"/>
    <w:rsid w:val="00C773A3"/>
    <w:rsid w:val="00C77DA0"/>
    <w:rsid w:val="00C843D7"/>
    <w:rsid w:val="00C90325"/>
    <w:rsid w:val="00C90EDA"/>
    <w:rsid w:val="00C92C0C"/>
    <w:rsid w:val="00CA22A8"/>
    <w:rsid w:val="00CA3396"/>
    <w:rsid w:val="00CA3B90"/>
    <w:rsid w:val="00CA4020"/>
    <w:rsid w:val="00CA73E2"/>
    <w:rsid w:val="00CB1772"/>
    <w:rsid w:val="00CB18E0"/>
    <w:rsid w:val="00CB4220"/>
    <w:rsid w:val="00CB4AB8"/>
    <w:rsid w:val="00CB4DB1"/>
    <w:rsid w:val="00CB748F"/>
    <w:rsid w:val="00CC3542"/>
    <w:rsid w:val="00CC3879"/>
    <w:rsid w:val="00CD3D18"/>
    <w:rsid w:val="00CD68CE"/>
    <w:rsid w:val="00CE08CE"/>
    <w:rsid w:val="00CE0CA0"/>
    <w:rsid w:val="00CE20E9"/>
    <w:rsid w:val="00CE3773"/>
    <w:rsid w:val="00CE6FC5"/>
    <w:rsid w:val="00CE701C"/>
    <w:rsid w:val="00CF0E33"/>
    <w:rsid w:val="00CF4490"/>
    <w:rsid w:val="00CF5705"/>
    <w:rsid w:val="00CF5A8F"/>
    <w:rsid w:val="00D00379"/>
    <w:rsid w:val="00D02279"/>
    <w:rsid w:val="00D06A84"/>
    <w:rsid w:val="00D10467"/>
    <w:rsid w:val="00D10652"/>
    <w:rsid w:val="00D10B36"/>
    <w:rsid w:val="00D13DB2"/>
    <w:rsid w:val="00D209B6"/>
    <w:rsid w:val="00D21366"/>
    <w:rsid w:val="00D22294"/>
    <w:rsid w:val="00D22442"/>
    <w:rsid w:val="00D2255F"/>
    <w:rsid w:val="00D22EBC"/>
    <w:rsid w:val="00D24374"/>
    <w:rsid w:val="00D24620"/>
    <w:rsid w:val="00D3123C"/>
    <w:rsid w:val="00D3584A"/>
    <w:rsid w:val="00D4089A"/>
    <w:rsid w:val="00D44B05"/>
    <w:rsid w:val="00D51B5E"/>
    <w:rsid w:val="00D55377"/>
    <w:rsid w:val="00D557D5"/>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97C8B"/>
    <w:rsid w:val="00DA0323"/>
    <w:rsid w:val="00DA0C66"/>
    <w:rsid w:val="00DA3FF9"/>
    <w:rsid w:val="00DB112D"/>
    <w:rsid w:val="00DB13BD"/>
    <w:rsid w:val="00DB1971"/>
    <w:rsid w:val="00DB696C"/>
    <w:rsid w:val="00DC451E"/>
    <w:rsid w:val="00DC5FA1"/>
    <w:rsid w:val="00DC7C98"/>
    <w:rsid w:val="00DD04D4"/>
    <w:rsid w:val="00DD0CE4"/>
    <w:rsid w:val="00DE3721"/>
    <w:rsid w:val="00DF1668"/>
    <w:rsid w:val="00DF2742"/>
    <w:rsid w:val="00DF3A9C"/>
    <w:rsid w:val="00DF448C"/>
    <w:rsid w:val="00DF6F53"/>
    <w:rsid w:val="00DF71A5"/>
    <w:rsid w:val="00E061D8"/>
    <w:rsid w:val="00E072E4"/>
    <w:rsid w:val="00E07EE4"/>
    <w:rsid w:val="00E14245"/>
    <w:rsid w:val="00E14396"/>
    <w:rsid w:val="00E14ED8"/>
    <w:rsid w:val="00E20D55"/>
    <w:rsid w:val="00E21F02"/>
    <w:rsid w:val="00E22703"/>
    <w:rsid w:val="00E2272C"/>
    <w:rsid w:val="00E24228"/>
    <w:rsid w:val="00E25125"/>
    <w:rsid w:val="00E27B5F"/>
    <w:rsid w:val="00E445D8"/>
    <w:rsid w:val="00E46ACA"/>
    <w:rsid w:val="00E47B07"/>
    <w:rsid w:val="00E50FFA"/>
    <w:rsid w:val="00E526F5"/>
    <w:rsid w:val="00E53FAB"/>
    <w:rsid w:val="00E5528B"/>
    <w:rsid w:val="00E5593B"/>
    <w:rsid w:val="00E62FBF"/>
    <w:rsid w:val="00E63F24"/>
    <w:rsid w:val="00E70A61"/>
    <w:rsid w:val="00E7549F"/>
    <w:rsid w:val="00E77251"/>
    <w:rsid w:val="00E817EE"/>
    <w:rsid w:val="00E818B6"/>
    <w:rsid w:val="00E83487"/>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828"/>
    <w:rsid w:val="00ED4EEA"/>
    <w:rsid w:val="00EF1723"/>
    <w:rsid w:val="00EF26AE"/>
    <w:rsid w:val="00F00D62"/>
    <w:rsid w:val="00F0305C"/>
    <w:rsid w:val="00F03989"/>
    <w:rsid w:val="00F12B16"/>
    <w:rsid w:val="00F139D5"/>
    <w:rsid w:val="00F1692D"/>
    <w:rsid w:val="00F178D1"/>
    <w:rsid w:val="00F23018"/>
    <w:rsid w:val="00F25BF4"/>
    <w:rsid w:val="00F27B16"/>
    <w:rsid w:val="00F32383"/>
    <w:rsid w:val="00F33096"/>
    <w:rsid w:val="00F336A1"/>
    <w:rsid w:val="00F36048"/>
    <w:rsid w:val="00F36AB5"/>
    <w:rsid w:val="00F40A93"/>
    <w:rsid w:val="00F40D25"/>
    <w:rsid w:val="00F441B2"/>
    <w:rsid w:val="00F46A84"/>
    <w:rsid w:val="00F476E8"/>
    <w:rsid w:val="00F53AAF"/>
    <w:rsid w:val="00F5660C"/>
    <w:rsid w:val="00F63836"/>
    <w:rsid w:val="00F70BE3"/>
    <w:rsid w:val="00F76819"/>
    <w:rsid w:val="00F808F8"/>
    <w:rsid w:val="00F9081A"/>
    <w:rsid w:val="00F90A9D"/>
    <w:rsid w:val="00FA0DC0"/>
    <w:rsid w:val="00FA0E84"/>
    <w:rsid w:val="00FA5B52"/>
    <w:rsid w:val="00FA66AD"/>
    <w:rsid w:val="00FA73C3"/>
    <w:rsid w:val="00FA7A69"/>
    <w:rsid w:val="00FA7F14"/>
    <w:rsid w:val="00FB49BD"/>
    <w:rsid w:val="00FB4D87"/>
    <w:rsid w:val="00FC4FC1"/>
    <w:rsid w:val="00FD25D2"/>
    <w:rsid w:val="00FD342D"/>
    <w:rsid w:val="00FD4C02"/>
    <w:rsid w:val="00FD636E"/>
    <w:rsid w:val="00FD795C"/>
    <w:rsid w:val="00FE1C67"/>
    <w:rsid w:val="00FE1CDD"/>
    <w:rsid w:val="00FE1D28"/>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218AD-CF6B-4246-80C5-E3BACBBE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7585</Words>
  <Characters>43241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50725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3</cp:revision>
  <cp:lastPrinted>2014-08-20T17:55:00Z</cp:lastPrinted>
  <dcterms:created xsi:type="dcterms:W3CDTF">2014-08-20T18:40:00Z</dcterms:created>
  <dcterms:modified xsi:type="dcterms:W3CDTF">2014-08-20T18:47:00Z</dcterms:modified>
</cp:coreProperties>
</file>