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57E8E" w:rsidRDefault="00F514FB" w:rsidP="00C17D8C">
      <w:pPr>
        <w:widowControl/>
        <w:tabs>
          <w:tab w:val="center" w:pos="4680"/>
        </w:tabs>
        <w:suppressAutoHyphens/>
        <w:jc w:val="center"/>
        <w:rPr>
          <w:b/>
          <w:sz w:val="26"/>
          <w:szCs w:val="26"/>
        </w:rPr>
      </w:pPr>
      <w:r w:rsidRPr="00D57E8E">
        <w:rPr>
          <w:b/>
          <w:sz w:val="26"/>
          <w:szCs w:val="26"/>
        </w:rPr>
        <w:t>PENNSYLVANIA</w:t>
      </w:r>
    </w:p>
    <w:p w:rsidR="00F514FB" w:rsidRPr="00D57E8E" w:rsidRDefault="00F514FB" w:rsidP="00C17D8C">
      <w:pPr>
        <w:widowControl/>
        <w:tabs>
          <w:tab w:val="center" w:pos="4680"/>
        </w:tabs>
        <w:suppressAutoHyphens/>
        <w:jc w:val="center"/>
        <w:rPr>
          <w:sz w:val="26"/>
          <w:szCs w:val="26"/>
        </w:rPr>
      </w:pPr>
      <w:r w:rsidRPr="00D57E8E">
        <w:rPr>
          <w:b/>
          <w:sz w:val="26"/>
          <w:szCs w:val="26"/>
        </w:rPr>
        <w:t>PUBLIC UTILITY COMMISSION</w:t>
      </w:r>
    </w:p>
    <w:p w:rsidR="00F514FB" w:rsidRPr="00D57E8E" w:rsidRDefault="00F514FB" w:rsidP="00C17D8C">
      <w:pPr>
        <w:widowControl/>
        <w:tabs>
          <w:tab w:val="center" w:pos="4680"/>
        </w:tabs>
        <w:suppressAutoHyphens/>
        <w:jc w:val="center"/>
        <w:rPr>
          <w:sz w:val="26"/>
          <w:szCs w:val="26"/>
        </w:rPr>
      </w:pPr>
      <w:r w:rsidRPr="00D57E8E">
        <w:rPr>
          <w:b/>
          <w:sz w:val="26"/>
          <w:szCs w:val="26"/>
        </w:rPr>
        <w:t>Harrisburg, PA 17105-3265</w:t>
      </w:r>
    </w:p>
    <w:p w:rsidR="00F514FB" w:rsidRPr="00D57E8E" w:rsidRDefault="00F514FB" w:rsidP="00C17D8C">
      <w:pPr>
        <w:widowControl/>
        <w:tabs>
          <w:tab w:val="left" w:pos="-720"/>
        </w:tabs>
        <w:suppressAutoHyphens/>
        <w:rPr>
          <w:sz w:val="26"/>
          <w:szCs w:val="26"/>
        </w:rPr>
      </w:pPr>
    </w:p>
    <w:p w:rsidR="00F514FB" w:rsidRPr="00D57E8E" w:rsidRDefault="00F514FB" w:rsidP="00C17D8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57E8E" w:rsidTr="00F06C72">
        <w:tc>
          <w:tcPr>
            <w:tcW w:w="5058" w:type="dxa"/>
          </w:tcPr>
          <w:p w:rsidR="00F514FB" w:rsidRPr="00D57E8E" w:rsidRDefault="00F514FB" w:rsidP="00C17D8C">
            <w:pPr>
              <w:widowControl/>
              <w:rPr>
                <w:sz w:val="26"/>
                <w:szCs w:val="26"/>
              </w:rPr>
            </w:pPr>
          </w:p>
        </w:tc>
        <w:tc>
          <w:tcPr>
            <w:tcW w:w="4428" w:type="dxa"/>
          </w:tcPr>
          <w:p w:rsidR="00F514FB" w:rsidRPr="00D57E8E" w:rsidRDefault="00F514FB" w:rsidP="00C17D8C">
            <w:pPr>
              <w:widowControl/>
              <w:ind w:left="-108"/>
              <w:jc w:val="right"/>
              <w:rPr>
                <w:sz w:val="26"/>
                <w:szCs w:val="26"/>
              </w:rPr>
            </w:pPr>
            <w:r w:rsidRPr="00D57E8E">
              <w:rPr>
                <w:sz w:val="26"/>
                <w:szCs w:val="26"/>
              </w:rPr>
              <w:t xml:space="preserve">Public Meeting held </w:t>
            </w:r>
            <w:r w:rsidR="00033A51">
              <w:rPr>
                <w:sz w:val="26"/>
                <w:szCs w:val="26"/>
              </w:rPr>
              <w:t>August 21</w:t>
            </w:r>
            <w:r w:rsidR="007D3752">
              <w:rPr>
                <w:sz w:val="26"/>
                <w:szCs w:val="26"/>
              </w:rPr>
              <w:t>, 201</w:t>
            </w:r>
            <w:r w:rsidR="00CA1CCC">
              <w:rPr>
                <w:sz w:val="26"/>
                <w:szCs w:val="26"/>
              </w:rPr>
              <w:t>4</w:t>
            </w:r>
          </w:p>
          <w:p w:rsidR="00F514FB" w:rsidRPr="00D57E8E" w:rsidRDefault="00F514FB" w:rsidP="00C17D8C">
            <w:pPr>
              <w:widowControl/>
              <w:jc w:val="right"/>
              <w:rPr>
                <w:sz w:val="26"/>
                <w:szCs w:val="26"/>
              </w:rPr>
            </w:pPr>
          </w:p>
          <w:p w:rsidR="00F514FB" w:rsidRPr="00D57E8E" w:rsidRDefault="00F514FB" w:rsidP="00C17D8C">
            <w:pPr>
              <w:widowControl/>
              <w:jc w:val="right"/>
              <w:rPr>
                <w:sz w:val="26"/>
                <w:szCs w:val="26"/>
              </w:rPr>
            </w:pPr>
          </w:p>
        </w:tc>
      </w:tr>
      <w:tr w:rsidR="00291600" w:rsidRPr="00D57E8E" w:rsidTr="00F06C72">
        <w:tc>
          <w:tcPr>
            <w:tcW w:w="9486" w:type="dxa"/>
            <w:gridSpan w:val="2"/>
          </w:tcPr>
          <w:p w:rsidR="00291600" w:rsidRPr="00D57E8E" w:rsidRDefault="00291600" w:rsidP="00C17D8C">
            <w:pPr>
              <w:widowControl/>
              <w:rPr>
                <w:sz w:val="26"/>
                <w:szCs w:val="26"/>
              </w:rPr>
            </w:pPr>
            <w:r w:rsidRPr="00D57E8E">
              <w:rPr>
                <w:sz w:val="26"/>
                <w:szCs w:val="26"/>
              </w:rPr>
              <w:t>Commissioners Present:</w:t>
            </w:r>
          </w:p>
          <w:p w:rsidR="00291600" w:rsidRPr="00D57E8E" w:rsidRDefault="00291600" w:rsidP="00C17D8C">
            <w:pPr>
              <w:widowControl/>
              <w:rPr>
                <w:sz w:val="26"/>
                <w:szCs w:val="26"/>
              </w:rPr>
            </w:pPr>
          </w:p>
          <w:p w:rsidR="00291600" w:rsidRPr="00D57E8E" w:rsidRDefault="00291600" w:rsidP="00C17D8C">
            <w:pPr>
              <w:widowControl/>
              <w:tabs>
                <w:tab w:val="left" w:pos="705"/>
              </w:tabs>
              <w:ind w:firstLine="720"/>
              <w:rPr>
                <w:sz w:val="26"/>
                <w:szCs w:val="26"/>
              </w:rPr>
            </w:pPr>
            <w:r w:rsidRPr="00D57E8E">
              <w:rPr>
                <w:sz w:val="26"/>
                <w:szCs w:val="26"/>
              </w:rPr>
              <w:t>Robert F. Powelson, Chairman</w:t>
            </w:r>
          </w:p>
          <w:p w:rsidR="00291600" w:rsidRPr="00D57E8E" w:rsidRDefault="00291600" w:rsidP="00C17D8C">
            <w:pPr>
              <w:widowControl/>
              <w:tabs>
                <w:tab w:val="left" w:pos="705"/>
              </w:tabs>
              <w:ind w:firstLine="720"/>
              <w:rPr>
                <w:sz w:val="26"/>
                <w:szCs w:val="26"/>
              </w:rPr>
            </w:pPr>
            <w:r w:rsidRPr="00D57E8E">
              <w:rPr>
                <w:sz w:val="26"/>
                <w:szCs w:val="26"/>
              </w:rPr>
              <w:t>John F. Coleman, Jr., Vice Chairman</w:t>
            </w:r>
          </w:p>
          <w:p w:rsidR="00291600" w:rsidRPr="00D57E8E" w:rsidRDefault="00291600" w:rsidP="00C17D8C">
            <w:pPr>
              <w:widowControl/>
              <w:tabs>
                <w:tab w:val="left" w:pos="705"/>
              </w:tabs>
              <w:ind w:firstLine="720"/>
              <w:rPr>
                <w:sz w:val="26"/>
                <w:szCs w:val="26"/>
              </w:rPr>
            </w:pPr>
            <w:r w:rsidRPr="00D57E8E">
              <w:rPr>
                <w:sz w:val="26"/>
                <w:szCs w:val="26"/>
              </w:rPr>
              <w:t>James H. Cawley</w:t>
            </w:r>
          </w:p>
          <w:p w:rsidR="00291600" w:rsidRDefault="00291600" w:rsidP="00C17D8C">
            <w:pPr>
              <w:widowControl/>
              <w:tabs>
                <w:tab w:val="left" w:pos="705"/>
              </w:tabs>
              <w:ind w:firstLine="720"/>
              <w:rPr>
                <w:sz w:val="26"/>
                <w:szCs w:val="26"/>
              </w:rPr>
            </w:pPr>
            <w:r w:rsidRPr="00D57E8E">
              <w:rPr>
                <w:sz w:val="26"/>
                <w:szCs w:val="26"/>
              </w:rPr>
              <w:t>Pamela A. Witmer</w:t>
            </w:r>
          </w:p>
          <w:p w:rsidR="00BF1C3C" w:rsidRPr="00D57E8E" w:rsidRDefault="00BF1C3C" w:rsidP="00C17D8C">
            <w:pPr>
              <w:widowControl/>
              <w:tabs>
                <w:tab w:val="left" w:pos="705"/>
              </w:tabs>
              <w:ind w:firstLine="720"/>
              <w:rPr>
                <w:sz w:val="26"/>
                <w:szCs w:val="26"/>
              </w:rPr>
            </w:pPr>
            <w:r>
              <w:rPr>
                <w:sz w:val="26"/>
                <w:szCs w:val="26"/>
              </w:rPr>
              <w:t>Gladys M. Brown</w:t>
            </w:r>
          </w:p>
          <w:p w:rsidR="00291600" w:rsidRDefault="00291600" w:rsidP="00C17D8C">
            <w:pPr>
              <w:widowControl/>
              <w:jc w:val="right"/>
              <w:rPr>
                <w:sz w:val="26"/>
                <w:szCs w:val="26"/>
              </w:rPr>
            </w:pPr>
          </w:p>
          <w:p w:rsidR="009A779A" w:rsidRPr="00D57E8E" w:rsidRDefault="009A779A" w:rsidP="00C17D8C">
            <w:pPr>
              <w:widowControl/>
              <w:jc w:val="right"/>
              <w:rPr>
                <w:sz w:val="26"/>
                <w:szCs w:val="26"/>
              </w:rPr>
            </w:pPr>
          </w:p>
        </w:tc>
      </w:tr>
      <w:tr w:rsidR="00F514FB" w:rsidRPr="00D57E8E" w:rsidTr="00F06C72">
        <w:tc>
          <w:tcPr>
            <w:tcW w:w="5058" w:type="dxa"/>
          </w:tcPr>
          <w:p w:rsidR="00F514FB" w:rsidRPr="00D57E8E" w:rsidRDefault="00D2258E" w:rsidP="00C17D8C">
            <w:pPr>
              <w:widowControl/>
              <w:rPr>
                <w:sz w:val="26"/>
                <w:szCs w:val="26"/>
              </w:rPr>
            </w:pPr>
            <w:r>
              <w:rPr>
                <w:sz w:val="26"/>
                <w:szCs w:val="26"/>
              </w:rPr>
              <w:t>Leona Oliphant</w:t>
            </w:r>
          </w:p>
          <w:p w:rsidR="00F514FB" w:rsidRPr="00D57E8E" w:rsidRDefault="00F514FB" w:rsidP="00C17D8C">
            <w:pPr>
              <w:widowControl/>
              <w:rPr>
                <w:sz w:val="26"/>
                <w:szCs w:val="26"/>
              </w:rPr>
            </w:pPr>
          </w:p>
        </w:tc>
        <w:tc>
          <w:tcPr>
            <w:tcW w:w="4428" w:type="dxa"/>
          </w:tcPr>
          <w:p w:rsidR="00F514FB" w:rsidRPr="00D57E8E" w:rsidRDefault="00D2258E" w:rsidP="00C17D8C">
            <w:pPr>
              <w:widowControl/>
              <w:jc w:val="right"/>
              <w:rPr>
                <w:sz w:val="26"/>
                <w:szCs w:val="26"/>
              </w:rPr>
            </w:pPr>
            <w:r>
              <w:rPr>
                <w:sz w:val="26"/>
                <w:szCs w:val="26"/>
              </w:rPr>
              <w:t>C-2013-2397029</w:t>
            </w:r>
          </w:p>
        </w:tc>
      </w:tr>
      <w:tr w:rsidR="00F514FB" w:rsidRPr="00D57E8E" w:rsidTr="00F06C72">
        <w:tc>
          <w:tcPr>
            <w:tcW w:w="5058" w:type="dxa"/>
          </w:tcPr>
          <w:p w:rsidR="00F514FB" w:rsidRPr="00D57E8E" w:rsidRDefault="00340217" w:rsidP="00C17D8C">
            <w:pPr>
              <w:widowControl/>
              <w:rPr>
                <w:sz w:val="26"/>
                <w:szCs w:val="26"/>
              </w:rPr>
            </w:pPr>
            <w:r w:rsidRPr="00D57E8E">
              <w:rPr>
                <w:sz w:val="26"/>
                <w:szCs w:val="26"/>
              </w:rPr>
              <w:t xml:space="preserve">          </w:t>
            </w:r>
            <w:r w:rsidR="00F514FB" w:rsidRPr="00D57E8E">
              <w:rPr>
                <w:sz w:val="26"/>
                <w:szCs w:val="26"/>
              </w:rPr>
              <w:t>v.</w:t>
            </w:r>
          </w:p>
          <w:p w:rsidR="00F514FB" w:rsidRPr="00D57E8E" w:rsidRDefault="00F514FB" w:rsidP="00C17D8C">
            <w:pPr>
              <w:widowControl/>
              <w:ind w:firstLine="1440"/>
              <w:rPr>
                <w:sz w:val="26"/>
                <w:szCs w:val="26"/>
              </w:rPr>
            </w:pPr>
          </w:p>
        </w:tc>
        <w:tc>
          <w:tcPr>
            <w:tcW w:w="4428" w:type="dxa"/>
          </w:tcPr>
          <w:p w:rsidR="00F514FB" w:rsidRPr="00D57E8E" w:rsidRDefault="00F514FB" w:rsidP="00C17D8C">
            <w:pPr>
              <w:widowControl/>
              <w:rPr>
                <w:sz w:val="26"/>
                <w:szCs w:val="26"/>
              </w:rPr>
            </w:pPr>
          </w:p>
        </w:tc>
      </w:tr>
      <w:tr w:rsidR="00F514FB" w:rsidRPr="00D57E8E" w:rsidTr="00F06C72">
        <w:tc>
          <w:tcPr>
            <w:tcW w:w="5058" w:type="dxa"/>
          </w:tcPr>
          <w:p w:rsidR="00F514FB" w:rsidRPr="00D57E8E" w:rsidRDefault="00D2258E" w:rsidP="00C17D8C">
            <w:pPr>
              <w:widowControl/>
              <w:rPr>
                <w:sz w:val="26"/>
                <w:szCs w:val="26"/>
              </w:rPr>
            </w:pPr>
            <w:r>
              <w:rPr>
                <w:sz w:val="26"/>
                <w:szCs w:val="26"/>
              </w:rPr>
              <w:t>Philadelphia Gas Works</w:t>
            </w:r>
          </w:p>
        </w:tc>
        <w:tc>
          <w:tcPr>
            <w:tcW w:w="4428" w:type="dxa"/>
          </w:tcPr>
          <w:p w:rsidR="00F514FB" w:rsidRPr="00D57E8E" w:rsidRDefault="00F514FB" w:rsidP="00C17D8C">
            <w:pPr>
              <w:widowControl/>
              <w:rPr>
                <w:sz w:val="26"/>
                <w:szCs w:val="26"/>
              </w:rPr>
            </w:pPr>
          </w:p>
        </w:tc>
      </w:tr>
    </w:tbl>
    <w:p w:rsidR="00F514FB" w:rsidRPr="00D57E8E" w:rsidRDefault="00F514FB" w:rsidP="00C17D8C">
      <w:pPr>
        <w:widowControl/>
        <w:rPr>
          <w:sz w:val="26"/>
          <w:szCs w:val="26"/>
        </w:rPr>
      </w:pPr>
    </w:p>
    <w:p w:rsidR="00F514FB" w:rsidRPr="00D57E8E" w:rsidRDefault="00F514FB" w:rsidP="00C17D8C">
      <w:pPr>
        <w:widowControl/>
        <w:rPr>
          <w:sz w:val="26"/>
          <w:szCs w:val="26"/>
        </w:rPr>
      </w:pPr>
    </w:p>
    <w:p w:rsidR="00F514FB" w:rsidRPr="00D57E8E" w:rsidRDefault="00F514FB" w:rsidP="00C17D8C">
      <w:pPr>
        <w:widowControl/>
        <w:jc w:val="center"/>
        <w:rPr>
          <w:b/>
          <w:sz w:val="26"/>
          <w:szCs w:val="26"/>
        </w:rPr>
      </w:pPr>
      <w:r w:rsidRPr="00D57E8E">
        <w:rPr>
          <w:b/>
          <w:sz w:val="26"/>
          <w:szCs w:val="26"/>
        </w:rPr>
        <w:t>OPINION AND ORDER</w:t>
      </w:r>
    </w:p>
    <w:p w:rsidR="00F514FB" w:rsidRPr="00D57E8E" w:rsidRDefault="00F514FB" w:rsidP="00C17D8C">
      <w:pPr>
        <w:widowControl/>
        <w:jc w:val="center"/>
        <w:rPr>
          <w:b/>
          <w:sz w:val="26"/>
          <w:szCs w:val="26"/>
        </w:rPr>
      </w:pPr>
    </w:p>
    <w:p w:rsidR="00F514FB" w:rsidRPr="00D57E8E" w:rsidRDefault="00F514FB" w:rsidP="00C17D8C">
      <w:pPr>
        <w:widowControl/>
        <w:jc w:val="center"/>
        <w:rPr>
          <w:b/>
          <w:sz w:val="26"/>
          <w:szCs w:val="26"/>
        </w:rPr>
      </w:pPr>
    </w:p>
    <w:p w:rsidR="00F514FB" w:rsidRPr="00D57E8E" w:rsidRDefault="00F514FB" w:rsidP="00C17D8C">
      <w:pPr>
        <w:widowControl/>
        <w:rPr>
          <w:b/>
          <w:sz w:val="26"/>
          <w:szCs w:val="26"/>
        </w:rPr>
      </w:pPr>
      <w:r w:rsidRPr="00D57E8E">
        <w:rPr>
          <w:b/>
          <w:sz w:val="26"/>
          <w:szCs w:val="26"/>
        </w:rPr>
        <w:t>BY THE COMMISSION:</w:t>
      </w:r>
    </w:p>
    <w:p w:rsidR="00F514FB" w:rsidRPr="00D57E8E" w:rsidRDefault="00F514FB" w:rsidP="00C17D8C">
      <w:pPr>
        <w:widowControl/>
        <w:rPr>
          <w:sz w:val="26"/>
          <w:szCs w:val="26"/>
        </w:rPr>
      </w:pPr>
    </w:p>
    <w:p w:rsidR="00F514FB" w:rsidRPr="00D57E8E" w:rsidRDefault="00F514FB" w:rsidP="00C17D8C">
      <w:pPr>
        <w:widowControl/>
        <w:rPr>
          <w:sz w:val="26"/>
          <w:szCs w:val="26"/>
        </w:rPr>
      </w:pPr>
    </w:p>
    <w:p w:rsidR="00CA43A5" w:rsidRPr="00D57E8E" w:rsidRDefault="00CA43A5" w:rsidP="00C17D8C">
      <w:pPr>
        <w:widowControl/>
        <w:spacing w:line="360" w:lineRule="auto"/>
        <w:ind w:firstLine="1440"/>
        <w:rPr>
          <w:sz w:val="26"/>
          <w:szCs w:val="26"/>
        </w:rPr>
      </w:pPr>
      <w:r w:rsidRPr="00D57E8E">
        <w:rPr>
          <w:sz w:val="26"/>
          <w:szCs w:val="26"/>
        </w:rPr>
        <w:t xml:space="preserve">Before the Pennsylvania Public Utility Commission (Commission) for consideration and disposition </w:t>
      </w:r>
      <w:r w:rsidR="00340217" w:rsidRPr="00D57E8E">
        <w:rPr>
          <w:color w:val="000000"/>
          <w:sz w:val="26"/>
          <w:szCs w:val="26"/>
        </w:rPr>
        <w:t xml:space="preserve">are the Exceptions </w:t>
      </w:r>
      <w:r w:rsidR="00671E4C" w:rsidRPr="00D57E8E">
        <w:rPr>
          <w:color w:val="000000"/>
          <w:sz w:val="26"/>
          <w:szCs w:val="26"/>
        </w:rPr>
        <w:t xml:space="preserve">of </w:t>
      </w:r>
      <w:r w:rsidR="00D2258E">
        <w:rPr>
          <w:color w:val="000000"/>
          <w:sz w:val="26"/>
          <w:szCs w:val="26"/>
        </w:rPr>
        <w:t>Philadelphia Gas Works</w:t>
      </w:r>
      <w:r w:rsidR="00671E4C" w:rsidRPr="00D57E8E">
        <w:rPr>
          <w:color w:val="000000"/>
          <w:sz w:val="26"/>
          <w:szCs w:val="26"/>
        </w:rPr>
        <w:t xml:space="preserve"> (</w:t>
      </w:r>
      <w:r w:rsidR="00D2258E">
        <w:rPr>
          <w:color w:val="000000"/>
          <w:sz w:val="26"/>
          <w:szCs w:val="26"/>
        </w:rPr>
        <w:t>PGW</w:t>
      </w:r>
      <w:r w:rsidR="00671E4C" w:rsidRPr="00D57E8E">
        <w:rPr>
          <w:color w:val="000000"/>
          <w:sz w:val="26"/>
          <w:szCs w:val="26"/>
        </w:rPr>
        <w:t xml:space="preserve">) filed on </w:t>
      </w:r>
      <w:r w:rsidR="00D2258E">
        <w:rPr>
          <w:color w:val="000000"/>
          <w:sz w:val="26"/>
          <w:szCs w:val="26"/>
        </w:rPr>
        <w:t>June 24, 2014</w:t>
      </w:r>
      <w:r w:rsidR="00671E4C" w:rsidRPr="00D57E8E">
        <w:rPr>
          <w:color w:val="000000"/>
          <w:sz w:val="26"/>
          <w:szCs w:val="26"/>
        </w:rPr>
        <w:t xml:space="preserve">, to the Initial Decision (I.D.) of Administrative Law Judge (ALJ) </w:t>
      </w:r>
      <w:r w:rsidR="00D2258E">
        <w:rPr>
          <w:color w:val="000000"/>
          <w:sz w:val="26"/>
          <w:szCs w:val="26"/>
        </w:rPr>
        <w:t>Joel H. Cheskis</w:t>
      </w:r>
      <w:r w:rsidR="00671E4C" w:rsidRPr="00D57E8E">
        <w:rPr>
          <w:color w:val="000000"/>
          <w:sz w:val="26"/>
          <w:szCs w:val="26"/>
        </w:rPr>
        <w:t xml:space="preserve">, </w:t>
      </w:r>
      <w:r w:rsidR="00473AC7">
        <w:rPr>
          <w:color w:val="000000"/>
          <w:sz w:val="26"/>
          <w:szCs w:val="26"/>
        </w:rPr>
        <w:t xml:space="preserve">issued herein </w:t>
      </w:r>
      <w:r w:rsidR="00671E4C" w:rsidRPr="00D57E8E">
        <w:rPr>
          <w:color w:val="000000"/>
          <w:sz w:val="26"/>
          <w:szCs w:val="26"/>
        </w:rPr>
        <w:t xml:space="preserve">on </w:t>
      </w:r>
      <w:r w:rsidR="00D2258E">
        <w:rPr>
          <w:color w:val="000000"/>
          <w:sz w:val="26"/>
          <w:szCs w:val="26"/>
        </w:rPr>
        <w:t>June 4</w:t>
      </w:r>
      <w:r w:rsidR="00671E4C" w:rsidRPr="00D57E8E">
        <w:rPr>
          <w:color w:val="000000"/>
          <w:sz w:val="26"/>
          <w:szCs w:val="26"/>
        </w:rPr>
        <w:t>,</w:t>
      </w:r>
      <w:r w:rsidR="00D2258E">
        <w:rPr>
          <w:color w:val="000000"/>
          <w:sz w:val="26"/>
          <w:szCs w:val="26"/>
        </w:rPr>
        <w:t xml:space="preserve"> 2014</w:t>
      </w:r>
      <w:r w:rsidR="00671E4C" w:rsidRPr="00D57E8E">
        <w:rPr>
          <w:color w:val="000000"/>
          <w:sz w:val="26"/>
          <w:szCs w:val="26"/>
        </w:rPr>
        <w:t xml:space="preserve">.  </w:t>
      </w:r>
      <w:r w:rsidR="00D2258E">
        <w:rPr>
          <w:color w:val="000000"/>
          <w:sz w:val="26"/>
          <w:szCs w:val="26"/>
        </w:rPr>
        <w:t xml:space="preserve">No </w:t>
      </w:r>
      <w:r w:rsidR="00671E4C" w:rsidRPr="00D57E8E">
        <w:rPr>
          <w:color w:val="000000"/>
          <w:sz w:val="26"/>
          <w:szCs w:val="26"/>
        </w:rPr>
        <w:t>Rep</w:t>
      </w:r>
      <w:r w:rsidR="00D2258E">
        <w:rPr>
          <w:color w:val="000000"/>
          <w:sz w:val="26"/>
          <w:szCs w:val="26"/>
        </w:rPr>
        <w:t>lies to Exceptions were filed</w:t>
      </w:r>
      <w:r w:rsidR="005418FE">
        <w:rPr>
          <w:color w:val="000000"/>
          <w:sz w:val="26"/>
          <w:szCs w:val="26"/>
        </w:rPr>
        <w:t>.</w:t>
      </w:r>
      <w:r w:rsidR="005418FE" w:rsidRPr="005418FE">
        <w:rPr>
          <w:color w:val="000000"/>
        </w:rPr>
        <w:t xml:space="preserve"> </w:t>
      </w:r>
      <w:r w:rsidR="005418FE">
        <w:rPr>
          <w:color w:val="000000"/>
          <w:sz w:val="26"/>
          <w:szCs w:val="26"/>
        </w:rPr>
        <w:t xml:space="preserve"> </w:t>
      </w:r>
      <w:r w:rsidRPr="00D57E8E">
        <w:rPr>
          <w:sz w:val="26"/>
          <w:szCs w:val="26"/>
        </w:rPr>
        <w:t xml:space="preserve">For the reasons stated below, we </w:t>
      </w:r>
      <w:r w:rsidR="00205D86">
        <w:rPr>
          <w:sz w:val="26"/>
          <w:szCs w:val="26"/>
        </w:rPr>
        <w:t xml:space="preserve">will modify the Initial Decision and find </w:t>
      </w:r>
      <w:r w:rsidR="00A909BD">
        <w:rPr>
          <w:sz w:val="26"/>
          <w:szCs w:val="26"/>
        </w:rPr>
        <w:t>PGW’s</w:t>
      </w:r>
      <w:r w:rsidR="00205D86">
        <w:rPr>
          <w:sz w:val="26"/>
          <w:szCs w:val="26"/>
        </w:rPr>
        <w:t xml:space="preserve"> </w:t>
      </w:r>
      <w:r w:rsidR="00EC6312">
        <w:rPr>
          <w:sz w:val="26"/>
          <w:szCs w:val="26"/>
        </w:rPr>
        <w:t xml:space="preserve">Exceptions </w:t>
      </w:r>
      <w:r w:rsidR="00205D86">
        <w:rPr>
          <w:sz w:val="26"/>
          <w:szCs w:val="26"/>
        </w:rPr>
        <w:t>moot</w:t>
      </w:r>
      <w:r w:rsidRPr="00D57E8E">
        <w:rPr>
          <w:sz w:val="26"/>
          <w:szCs w:val="26"/>
        </w:rPr>
        <w:t>.</w:t>
      </w:r>
    </w:p>
    <w:p w:rsidR="00CA43A5" w:rsidRPr="00D57E8E" w:rsidRDefault="00CA43A5" w:rsidP="00C17D8C">
      <w:pPr>
        <w:widowControl/>
        <w:spacing w:line="360" w:lineRule="auto"/>
        <w:rPr>
          <w:sz w:val="26"/>
          <w:szCs w:val="26"/>
        </w:rPr>
      </w:pPr>
    </w:p>
    <w:p w:rsidR="00CA43A5" w:rsidRDefault="00CA43A5" w:rsidP="00C17D8C">
      <w:pPr>
        <w:keepNext/>
        <w:widowControl/>
        <w:spacing w:line="360" w:lineRule="auto"/>
        <w:jc w:val="center"/>
        <w:rPr>
          <w:b/>
          <w:sz w:val="26"/>
          <w:szCs w:val="26"/>
        </w:rPr>
      </w:pPr>
      <w:bookmarkStart w:id="0" w:name="OLE_LINK1"/>
      <w:bookmarkStart w:id="1" w:name="OLE_LINK2"/>
      <w:r w:rsidRPr="00D57E8E">
        <w:rPr>
          <w:b/>
          <w:sz w:val="26"/>
          <w:szCs w:val="26"/>
        </w:rPr>
        <w:lastRenderedPageBreak/>
        <w:t>History of the Proceeding</w:t>
      </w:r>
    </w:p>
    <w:p w:rsidR="00C17D8C" w:rsidRPr="00D57E8E" w:rsidRDefault="00C17D8C" w:rsidP="00C17D8C">
      <w:pPr>
        <w:keepNext/>
        <w:widowControl/>
        <w:spacing w:line="360" w:lineRule="auto"/>
        <w:jc w:val="center"/>
        <w:rPr>
          <w:b/>
          <w:sz w:val="26"/>
          <w:szCs w:val="26"/>
        </w:rPr>
      </w:pPr>
    </w:p>
    <w:bookmarkEnd w:id="0"/>
    <w:bookmarkEnd w:id="1"/>
    <w:p w:rsidR="006466D7" w:rsidRPr="006466D7" w:rsidRDefault="006466D7" w:rsidP="006466D7">
      <w:pPr>
        <w:tabs>
          <w:tab w:val="left" w:pos="-720"/>
        </w:tabs>
        <w:suppressAutoHyphens/>
        <w:autoSpaceDE w:val="0"/>
        <w:autoSpaceDN w:val="0"/>
        <w:spacing w:line="360" w:lineRule="auto"/>
        <w:rPr>
          <w:sz w:val="26"/>
          <w:szCs w:val="26"/>
        </w:rPr>
      </w:pPr>
      <w:r>
        <w:rPr>
          <w:sz w:val="24"/>
          <w:szCs w:val="24"/>
        </w:rPr>
        <w:tab/>
      </w:r>
      <w:r>
        <w:rPr>
          <w:sz w:val="24"/>
          <w:szCs w:val="24"/>
        </w:rPr>
        <w:tab/>
      </w:r>
      <w:r w:rsidRPr="006466D7">
        <w:rPr>
          <w:sz w:val="26"/>
          <w:szCs w:val="26"/>
        </w:rPr>
        <w:t xml:space="preserve">On December 11, 2013, Leona Oliphant </w:t>
      </w:r>
      <w:r>
        <w:rPr>
          <w:sz w:val="26"/>
          <w:szCs w:val="26"/>
        </w:rPr>
        <w:t>(Complainant) filed with the Commission a F</w:t>
      </w:r>
      <w:r w:rsidRPr="006466D7">
        <w:rPr>
          <w:sz w:val="26"/>
          <w:szCs w:val="26"/>
        </w:rPr>
        <w:t xml:space="preserve">ormal Complaint against </w:t>
      </w:r>
      <w:r>
        <w:rPr>
          <w:sz w:val="26"/>
          <w:szCs w:val="26"/>
        </w:rPr>
        <w:t>PGW in which she</w:t>
      </w:r>
      <w:r w:rsidRPr="006466D7">
        <w:rPr>
          <w:sz w:val="26"/>
          <w:szCs w:val="26"/>
        </w:rPr>
        <w:t xml:space="preserve"> requested that the Commission direct PGW to restore her gas service and have the outstanding balance </w:t>
      </w:r>
      <w:r w:rsidR="00D34365">
        <w:rPr>
          <w:sz w:val="26"/>
          <w:szCs w:val="26"/>
        </w:rPr>
        <w:t xml:space="preserve">of her arrearage </w:t>
      </w:r>
      <w:r w:rsidRPr="006466D7">
        <w:rPr>
          <w:sz w:val="26"/>
          <w:szCs w:val="26"/>
        </w:rPr>
        <w:t>paid through a payment agreement.</w:t>
      </w:r>
    </w:p>
    <w:p w:rsidR="006466D7" w:rsidRPr="006466D7" w:rsidRDefault="006466D7" w:rsidP="006466D7">
      <w:pPr>
        <w:tabs>
          <w:tab w:val="left" w:pos="-720"/>
        </w:tabs>
        <w:suppressAutoHyphens/>
        <w:autoSpaceDE w:val="0"/>
        <w:autoSpaceDN w:val="0"/>
        <w:spacing w:line="360" w:lineRule="auto"/>
        <w:rPr>
          <w:sz w:val="26"/>
          <w:szCs w:val="26"/>
        </w:rPr>
      </w:pPr>
    </w:p>
    <w:p w:rsidR="006466D7" w:rsidRPr="006466D7" w:rsidRDefault="006466D7" w:rsidP="006466D7">
      <w:pPr>
        <w:tabs>
          <w:tab w:val="left" w:pos="-720"/>
        </w:tabs>
        <w:suppressAutoHyphens/>
        <w:autoSpaceDE w:val="0"/>
        <w:autoSpaceDN w:val="0"/>
        <w:spacing w:line="360" w:lineRule="auto"/>
        <w:rPr>
          <w:sz w:val="26"/>
          <w:szCs w:val="26"/>
        </w:rPr>
      </w:pPr>
      <w:r w:rsidRPr="006466D7">
        <w:rPr>
          <w:sz w:val="26"/>
          <w:szCs w:val="26"/>
        </w:rPr>
        <w:tab/>
      </w:r>
      <w:r w:rsidRPr="006466D7">
        <w:rPr>
          <w:sz w:val="26"/>
          <w:szCs w:val="26"/>
        </w:rPr>
        <w:tab/>
        <w:t xml:space="preserve">On January 6, 2014, PGW filed an Answer to </w:t>
      </w:r>
      <w:r w:rsidR="00A81612">
        <w:rPr>
          <w:sz w:val="26"/>
          <w:szCs w:val="26"/>
        </w:rPr>
        <w:t>the Complaint in which it</w:t>
      </w:r>
      <w:r w:rsidRPr="006466D7">
        <w:rPr>
          <w:sz w:val="26"/>
          <w:szCs w:val="26"/>
        </w:rPr>
        <w:t xml:space="preserve"> admitted that the gas service at </w:t>
      </w:r>
      <w:r w:rsidR="00A81612">
        <w:rPr>
          <w:sz w:val="26"/>
          <w:szCs w:val="26"/>
        </w:rPr>
        <w:t>the Complainant’s</w:t>
      </w:r>
      <w:r w:rsidRPr="006466D7">
        <w:rPr>
          <w:sz w:val="26"/>
          <w:szCs w:val="26"/>
        </w:rPr>
        <w:t xml:space="preserve"> home is </w:t>
      </w:r>
      <w:r w:rsidR="00A81612">
        <w:rPr>
          <w:sz w:val="26"/>
          <w:szCs w:val="26"/>
        </w:rPr>
        <w:t>turned off</w:t>
      </w:r>
      <w:r w:rsidR="00A00FF2">
        <w:rPr>
          <w:sz w:val="26"/>
          <w:szCs w:val="26"/>
        </w:rPr>
        <w:t>.  PGW also averred that</w:t>
      </w:r>
      <w:r w:rsidR="00D90B4A">
        <w:rPr>
          <w:sz w:val="26"/>
          <w:szCs w:val="26"/>
        </w:rPr>
        <w:t xml:space="preserve"> the Compl</w:t>
      </w:r>
      <w:r w:rsidR="00A81612">
        <w:rPr>
          <w:sz w:val="26"/>
          <w:szCs w:val="26"/>
        </w:rPr>
        <w:t>ainant</w:t>
      </w:r>
      <w:r w:rsidRPr="006466D7">
        <w:rPr>
          <w:sz w:val="26"/>
          <w:szCs w:val="26"/>
        </w:rPr>
        <w:t xml:space="preserve"> </w:t>
      </w:r>
      <w:r w:rsidR="00D90B4A">
        <w:rPr>
          <w:sz w:val="26"/>
          <w:szCs w:val="26"/>
        </w:rPr>
        <w:t>i</w:t>
      </w:r>
      <w:r w:rsidRPr="006466D7">
        <w:rPr>
          <w:sz w:val="26"/>
          <w:szCs w:val="26"/>
        </w:rPr>
        <w:t>s</w:t>
      </w:r>
      <w:r w:rsidR="00D90B4A">
        <w:rPr>
          <w:sz w:val="26"/>
          <w:szCs w:val="26"/>
        </w:rPr>
        <w:t xml:space="preserve"> not eligible for a payment</w:t>
      </w:r>
      <w:r w:rsidR="00A81612">
        <w:rPr>
          <w:sz w:val="26"/>
          <w:szCs w:val="26"/>
        </w:rPr>
        <w:t xml:space="preserve"> agreement </w:t>
      </w:r>
      <w:r w:rsidR="00D90B4A">
        <w:rPr>
          <w:sz w:val="26"/>
          <w:szCs w:val="26"/>
        </w:rPr>
        <w:t>because she has a balance of approximately</w:t>
      </w:r>
      <w:r w:rsidRPr="006466D7">
        <w:rPr>
          <w:sz w:val="26"/>
          <w:szCs w:val="26"/>
        </w:rPr>
        <w:t xml:space="preserve"> $3,047.90</w:t>
      </w:r>
      <w:r w:rsidR="00A00FF2">
        <w:rPr>
          <w:sz w:val="26"/>
          <w:szCs w:val="26"/>
        </w:rPr>
        <w:t>,</w:t>
      </w:r>
      <w:r w:rsidR="00D90B4A">
        <w:rPr>
          <w:sz w:val="26"/>
          <w:szCs w:val="26"/>
        </w:rPr>
        <w:t xml:space="preserve"> and has not complied with four previous PGW payment agreements, including</w:t>
      </w:r>
      <w:r w:rsidRPr="006466D7">
        <w:rPr>
          <w:sz w:val="26"/>
          <w:szCs w:val="26"/>
        </w:rPr>
        <w:t xml:space="preserve"> </w:t>
      </w:r>
      <w:r w:rsidR="00787F1E">
        <w:rPr>
          <w:sz w:val="26"/>
          <w:szCs w:val="26"/>
        </w:rPr>
        <w:t>c</w:t>
      </w:r>
      <w:r w:rsidRPr="006466D7">
        <w:rPr>
          <w:sz w:val="26"/>
          <w:szCs w:val="26"/>
        </w:rPr>
        <w:t xml:space="preserve">ustomer </w:t>
      </w:r>
      <w:r w:rsidR="00787F1E">
        <w:rPr>
          <w:sz w:val="26"/>
          <w:szCs w:val="26"/>
        </w:rPr>
        <w:t>assistance</w:t>
      </w:r>
      <w:r w:rsidRPr="006466D7">
        <w:rPr>
          <w:sz w:val="26"/>
          <w:szCs w:val="26"/>
        </w:rPr>
        <w:t xml:space="preserve"> </w:t>
      </w:r>
      <w:r w:rsidR="00787F1E">
        <w:rPr>
          <w:sz w:val="26"/>
          <w:szCs w:val="26"/>
        </w:rPr>
        <w:t>p</w:t>
      </w:r>
      <w:r w:rsidRPr="006466D7">
        <w:rPr>
          <w:sz w:val="26"/>
          <w:szCs w:val="26"/>
        </w:rPr>
        <w:t>rogram (C</w:t>
      </w:r>
      <w:r w:rsidR="00787F1E">
        <w:rPr>
          <w:sz w:val="26"/>
          <w:szCs w:val="26"/>
        </w:rPr>
        <w:t>A</w:t>
      </w:r>
      <w:r w:rsidRPr="006466D7">
        <w:rPr>
          <w:sz w:val="26"/>
          <w:szCs w:val="26"/>
        </w:rPr>
        <w:t>P)</w:t>
      </w:r>
      <w:r w:rsidR="00787F1E">
        <w:rPr>
          <w:rStyle w:val="FootnoteReference"/>
          <w:sz w:val="26"/>
          <w:szCs w:val="26"/>
        </w:rPr>
        <w:footnoteReference w:id="1"/>
      </w:r>
      <w:r w:rsidRPr="006466D7">
        <w:rPr>
          <w:sz w:val="26"/>
          <w:szCs w:val="26"/>
        </w:rPr>
        <w:t xml:space="preserve"> </w:t>
      </w:r>
      <w:r w:rsidR="00D90B4A">
        <w:rPr>
          <w:sz w:val="26"/>
          <w:szCs w:val="26"/>
        </w:rPr>
        <w:t xml:space="preserve">agreements.  </w:t>
      </w:r>
      <w:r w:rsidR="005217E8">
        <w:rPr>
          <w:sz w:val="26"/>
          <w:szCs w:val="26"/>
        </w:rPr>
        <w:t xml:space="preserve">PGW </w:t>
      </w:r>
      <w:r w:rsidR="00D90B4A">
        <w:rPr>
          <w:sz w:val="26"/>
          <w:szCs w:val="26"/>
        </w:rPr>
        <w:t xml:space="preserve">requested that </w:t>
      </w:r>
      <w:r w:rsidR="00A00FF2">
        <w:rPr>
          <w:sz w:val="26"/>
          <w:szCs w:val="26"/>
        </w:rPr>
        <w:t xml:space="preserve">the </w:t>
      </w:r>
      <w:r w:rsidRPr="006466D7">
        <w:rPr>
          <w:sz w:val="26"/>
          <w:szCs w:val="26"/>
        </w:rPr>
        <w:t>Commissio</w:t>
      </w:r>
      <w:r w:rsidR="00A81612">
        <w:rPr>
          <w:sz w:val="26"/>
          <w:szCs w:val="26"/>
        </w:rPr>
        <w:t xml:space="preserve">n </w:t>
      </w:r>
      <w:r w:rsidRPr="006466D7">
        <w:rPr>
          <w:sz w:val="26"/>
          <w:szCs w:val="26"/>
        </w:rPr>
        <w:t>dis</w:t>
      </w:r>
      <w:r w:rsidR="00D90B4A">
        <w:rPr>
          <w:sz w:val="26"/>
          <w:szCs w:val="26"/>
        </w:rPr>
        <w:t>miss the</w:t>
      </w:r>
      <w:r w:rsidR="00313F93">
        <w:rPr>
          <w:sz w:val="26"/>
          <w:szCs w:val="26"/>
        </w:rPr>
        <w:t xml:space="preserve"> Complaint. </w:t>
      </w:r>
    </w:p>
    <w:p w:rsidR="006466D7" w:rsidRPr="006466D7" w:rsidRDefault="006466D7" w:rsidP="006466D7">
      <w:pPr>
        <w:tabs>
          <w:tab w:val="left" w:pos="-720"/>
        </w:tabs>
        <w:suppressAutoHyphens/>
        <w:autoSpaceDE w:val="0"/>
        <w:autoSpaceDN w:val="0"/>
        <w:spacing w:line="360" w:lineRule="auto"/>
        <w:rPr>
          <w:sz w:val="26"/>
          <w:szCs w:val="26"/>
        </w:rPr>
      </w:pPr>
    </w:p>
    <w:p w:rsidR="006466D7" w:rsidRPr="006466D7" w:rsidRDefault="00A81612" w:rsidP="006466D7">
      <w:pPr>
        <w:tabs>
          <w:tab w:val="left" w:pos="-720"/>
        </w:tabs>
        <w:suppressAutoHyphens/>
        <w:autoSpaceDE w:val="0"/>
        <w:autoSpaceDN w:val="0"/>
        <w:spacing w:line="360" w:lineRule="auto"/>
        <w:rPr>
          <w:sz w:val="26"/>
          <w:szCs w:val="26"/>
        </w:rPr>
      </w:pPr>
      <w:r>
        <w:rPr>
          <w:sz w:val="26"/>
          <w:szCs w:val="26"/>
        </w:rPr>
        <w:tab/>
      </w:r>
      <w:r>
        <w:rPr>
          <w:sz w:val="26"/>
          <w:szCs w:val="26"/>
        </w:rPr>
        <w:tab/>
        <w:t>A</w:t>
      </w:r>
      <w:r w:rsidR="00D90B4A">
        <w:rPr>
          <w:sz w:val="26"/>
          <w:szCs w:val="26"/>
        </w:rPr>
        <w:t>n i</w:t>
      </w:r>
      <w:r w:rsidR="006466D7" w:rsidRPr="006466D7">
        <w:rPr>
          <w:sz w:val="26"/>
          <w:szCs w:val="26"/>
        </w:rPr>
        <w:t xml:space="preserve">nitial </w:t>
      </w:r>
      <w:r w:rsidR="00D90B4A">
        <w:rPr>
          <w:sz w:val="26"/>
          <w:szCs w:val="26"/>
        </w:rPr>
        <w:t>t</w:t>
      </w:r>
      <w:r w:rsidR="006466D7" w:rsidRPr="006466D7">
        <w:rPr>
          <w:sz w:val="26"/>
          <w:szCs w:val="26"/>
        </w:rPr>
        <w:t xml:space="preserve">elephonic </w:t>
      </w:r>
      <w:r w:rsidR="00D90B4A">
        <w:rPr>
          <w:sz w:val="26"/>
          <w:szCs w:val="26"/>
        </w:rPr>
        <w:t>h</w:t>
      </w:r>
      <w:r w:rsidR="006466D7" w:rsidRPr="006466D7">
        <w:rPr>
          <w:sz w:val="26"/>
          <w:szCs w:val="26"/>
        </w:rPr>
        <w:t xml:space="preserve">earing for this matter </w:t>
      </w:r>
      <w:r>
        <w:rPr>
          <w:sz w:val="26"/>
          <w:szCs w:val="26"/>
        </w:rPr>
        <w:t xml:space="preserve">was </w:t>
      </w:r>
      <w:r w:rsidR="00D90B4A">
        <w:rPr>
          <w:sz w:val="26"/>
          <w:szCs w:val="26"/>
        </w:rPr>
        <w:t xml:space="preserve">held as </w:t>
      </w:r>
      <w:r>
        <w:rPr>
          <w:sz w:val="26"/>
          <w:szCs w:val="26"/>
        </w:rPr>
        <w:t xml:space="preserve">scheduled </w:t>
      </w:r>
      <w:r w:rsidR="00D90B4A">
        <w:rPr>
          <w:sz w:val="26"/>
          <w:szCs w:val="26"/>
        </w:rPr>
        <w:t>on</w:t>
      </w:r>
      <w:r w:rsidR="006466D7" w:rsidRPr="006466D7">
        <w:rPr>
          <w:sz w:val="26"/>
          <w:szCs w:val="26"/>
        </w:rPr>
        <w:t xml:space="preserve"> March 20, 2014</w:t>
      </w:r>
      <w:r>
        <w:rPr>
          <w:sz w:val="26"/>
          <w:szCs w:val="26"/>
        </w:rPr>
        <w:t>, before</w:t>
      </w:r>
      <w:r w:rsidR="006466D7" w:rsidRPr="006466D7">
        <w:rPr>
          <w:sz w:val="26"/>
          <w:szCs w:val="26"/>
        </w:rPr>
        <w:t xml:space="preserve"> </w:t>
      </w:r>
      <w:r>
        <w:rPr>
          <w:sz w:val="26"/>
          <w:szCs w:val="26"/>
        </w:rPr>
        <w:t>ALJ Cheskis.  The Complainant a</w:t>
      </w:r>
      <w:r w:rsidR="006466D7" w:rsidRPr="006466D7">
        <w:rPr>
          <w:sz w:val="26"/>
          <w:szCs w:val="26"/>
        </w:rPr>
        <w:t xml:space="preserve">ppeared </w:t>
      </w:r>
      <w:r w:rsidR="006466D7" w:rsidRPr="006466D7">
        <w:rPr>
          <w:i/>
          <w:sz w:val="26"/>
          <w:szCs w:val="26"/>
        </w:rPr>
        <w:t>pro se</w:t>
      </w:r>
      <w:r w:rsidR="00D90B4A">
        <w:rPr>
          <w:sz w:val="26"/>
          <w:szCs w:val="26"/>
        </w:rPr>
        <w:t xml:space="preserve"> and testified on her own behalf.  </w:t>
      </w:r>
      <w:r>
        <w:rPr>
          <w:sz w:val="26"/>
          <w:szCs w:val="26"/>
        </w:rPr>
        <w:t xml:space="preserve">PGW was represented by counsel </w:t>
      </w:r>
      <w:r w:rsidR="006466D7" w:rsidRPr="006466D7">
        <w:rPr>
          <w:sz w:val="26"/>
          <w:szCs w:val="26"/>
        </w:rPr>
        <w:t>and presented one witness</w:t>
      </w:r>
      <w:r>
        <w:rPr>
          <w:sz w:val="26"/>
          <w:szCs w:val="26"/>
        </w:rPr>
        <w:t>, who sponsored six E</w:t>
      </w:r>
      <w:r w:rsidR="006466D7" w:rsidRPr="006466D7">
        <w:rPr>
          <w:sz w:val="26"/>
          <w:szCs w:val="26"/>
        </w:rPr>
        <w:t xml:space="preserve">xhibits that were admitted into the record.  </w:t>
      </w:r>
      <w:r>
        <w:rPr>
          <w:sz w:val="26"/>
          <w:szCs w:val="26"/>
        </w:rPr>
        <w:t xml:space="preserve">A transcript of forty-five </w:t>
      </w:r>
      <w:r w:rsidR="006466D7" w:rsidRPr="006466D7">
        <w:rPr>
          <w:sz w:val="26"/>
          <w:szCs w:val="26"/>
        </w:rPr>
        <w:t>pages was created.  The record in this case closed on April 4, 2014 when the transcript was submitted to the Commission.</w:t>
      </w:r>
    </w:p>
    <w:p w:rsidR="006466D7" w:rsidRPr="006466D7" w:rsidRDefault="006466D7" w:rsidP="006466D7">
      <w:pPr>
        <w:tabs>
          <w:tab w:val="left" w:pos="-720"/>
        </w:tabs>
        <w:suppressAutoHyphens/>
        <w:autoSpaceDE w:val="0"/>
        <w:autoSpaceDN w:val="0"/>
        <w:spacing w:line="360" w:lineRule="auto"/>
        <w:rPr>
          <w:sz w:val="26"/>
          <w:szCs w:val="26"/>
        </w:rPr>
      </w:pPr>
    </w:p>
    <w:p w:rsidR="0052586A" w:rsidRDefault="00A81612" w:rsidP="00A633D2">
      <w:pPr>
        <w:tabs>
          <w:tab w:val="left" w:pos="-720"/>
        </w:tabs>
        <w:suppressAutoHyphens/>
        <w:autoSpaceDE w:val="0"/>
        <w:autoSpaceDN w:val="0"/>
        <w:spacing w:line="360" w:lineRule="auto"/>
        <w:rPr>
          <w:sz w:val="26"/>
          <w:szCs w:val="26"/>
        </w:rPr>
      </w:pPr>
      <w:r>
        <w:rPr>
          <w:sz w:val="26"/>
          <w:szCs w:val="26"/>
        </w:rPr>
        <w:tab/>
      </w:r>
      <w:r>
        <w:rPr>
          <w:sz w:val="26"/>
          <w:szCs w:val="26"/>
        </w:rPr>
        <w:tab/>
        <w:t xml:space="preserve">In his Initial Decision, issued on June 4, 2014, ALJ Cheskis recommended that the Complaint </w:t>
      </w:r>
      <w:r w:rsidRPr="006466D7">
        <w:rPr>
          <w:sz w:val="26"/>
          <w:szCs w:val="26"/>
        </w:rPr>
        <w:t>be sustained</w:t>
      </w:r>
      <w:r>
        <w:rPr>
          <w:sz w:val="26"/>
          <w:szCs w:val="26"/>
        </w:rPr>
        <w:t>,</w:t>
      </w:r>
      <w:r w:rsidRPr="006466D7">
        <w:rPr>
          <w:sz w:val="26"/>
          <w:szCs w:val="26"/>
        </w:rPr>
        <w:t xml:space="preserve"> in part</w:t>
      </w:r>
      <w:r>
        <w:rPr>
          <w:sz w:val="26"/>
          <w:szCs w:val="26"/>
        </w:rPr>
        <w:t>,</w:t>
      </w:r>
      <w:r w:rsidRPr="006466D7">
        <w:rPr>
          <w:sz w:val="26"/>
          <w:szCs w:val="26"/>
        </w:rPr>
        <w:t xml:space="preserve"> and dismissed</w:t>
      </w:r>
      <w:r>
        <w:rPr>
          <w:sz w:val="26"/>
          <w:szCs w:val="26"/>
        </w:rPr>
        <w:t>,</w:t>
      </w:r>
      <w:r w:rsidR="00A633D2">
        <w:rPr>
          <w:sz w:val="26"/>
          <w:szCs w:val="26"/>
        </w:rPr>
        <w:t xml:space="preserve"> in part.  </w:t>
      </w:r>
      <w:r>
        <w:rPr>
          <w:sz w:val="26"/>
          <w:szCs w:val="26"/>
        </w:rPr>
        <w:t>The ALJ also recommended that PG</w:t>
      </w:r>
      <w:r w:rsidR="00A633D2">
        <w:rPr>
          <w:sz w:val="26"/>
          <w:szCs w:val="26"/>
        </w:rPr>
        <w:t>W</w:t>
      </w:r>
      <w:r>
        <w:rPr>
          <w:sz w:val="26"/>
          <w:szCs w:val="26"/>
        </w:rPr>
        <w:t xml:space="preserve"> </w:t>
      </w:r>
      <w:r w:rsidRPr="006466D7">
        <w:rPr>
          <w:sz w:val="26"/>
          <w:szCs w:val="26"/>
        </w:rPr>
        <w:t xml:space="preserve">be directed to reconnect </w:t>
      </w:r>
      <w:r>
        <w:rPr>
          <w:sz w:val="26"/>
          <w:szCs w:val="26"/>
        </w:rPr>
        <w:t>the Complainant’s</w:t>
      </w:r>
      <w:r w:rsidRPr="006466D7">
        <w:rPr>
          <w:sz w:val="26"/>
          <w:szCs w:val="26"/>
        </w:rPr>
        <w:t xml:space="preserve"> utility service and provide a payment agreement for her to pay her outstanding balance accrued while she was not enrolled in C</w:t>
      </w:r>
      <w:r w:rsidR="00D72A48">
        <w:rPr>
          <w:sz w:val="26"/>
          <w:szCs w:val="26"/>
        </w:rPr>
        <w:t>A</w:t>
      </w:r>
      <w:r w:rsidRPr="006466D7">
        <w:rPr>
          <w:sz w:val="26"/>
          <w:szCs w:val="26"/>
        </w:rPr>
        <w:t>P.</w:t>
      </w:r>
      <w:r w:rsidR="00A633D2">
        <w:rPr>
          <w:sz w:val="26"/>
          <w:szCs w:val="26"/>
        </w:rPr>
        <w:t xml:space="preserve">  I.D. at 12-13.  </w:t>
      </w:r>
      <w:r w:rsidR="0052586A">
        <w:rPr>
          <w:sz w:val="26"/>
          <w:szCs w:val="26"/>
        </w:rPr>
        <w:t xml:space="preserve">Exceptions </w:t>
      </w:r>
      <w:r w:rsidR="00A633D2">
        <w:rPr>
          <w:sz w:val="26"/>
          <w:szCs w:val="26"/>
        </w:rPr>
        <w:t>to the Initial Decision were filed as</w:t>
      </w:r>
      <w:r w:rsidR="0052586A">
        <w:rPr>
          <w:sz w:val="26"/>
          <w:szCs w:val="26"/>
        </w:rPr>
        <w:t xml:space="preserve"> above noted.</w:t>
      </w:r>
      <w:r w:rsidR="00153003">
        <w:rPr>
          <w:sz w:val="26"/>
          <w:szCs w:val="26"/>
        </w:rPr>
        <w:t xml:space="preserve">  No Replies to Exceptions were filed.</w:t>
      </w:r>
    </w:p>
    <w:p w:rsidR="00E152E4" w:rsidRPr="0034252B" w:rsidRDefault="00E152E4" w:rsidP="007A2590">
      <w:pPr>
        <w:tabs>
          <w:tab w:val="left" w:pos="900"/>
        </w:tabs>
        <w:spacing w:line="360" w:lineRule="auto"/>
        <w:jc w:val="center"/>
        <w:rPr>
          <w:sz w:val="26"/>
        </w:rPr>
      </w:pPr>
      <w:r w:rsidRPr="0034252B">
        <w:rPr>
          <w:b/>
          <w:sz w:val="26"/>
        </w:rPr>
        <w:lastRenderedPageBreak/>
        <w:t>Discussion</w:t>
      </w:r>
    </w:p>
    <w:p w:rsidR="00E152E4" w:rsidRDefault="00E152E4" w:rsidP="00E152E4">
      <w:pPr>
        <w:tabs>
          <w:tab w:val="left" w:pos="-720"/>
        </w:tabs>
        <w:suppressAutoHyphens/>
        <w:spacing w:line="360" w:lineRule="auto"/>
        <w:rPr>
          <w:sz w:val="26"/>
        </w:rPr>
      </w:pPr>
    </w:p>
    <w:p w:rsidR="007A2590" w:rsidRPr="007A2590" w:rsidRDefault="007A2590" w:rsidP="00E152E4">
      <w:pPr>
        <w:tabs>
          <w:tab w:val="left" w:pos="-720"/>
        </w:tabs>
        <w:suppressAutoHyphens/>
        <w:spacing w:line="360" w:lineRule="auto"/>
        <w:rPr>
          <w:b/>
          <w:sz w:val="26"/>
        </w:rPr>
      </w:pPr>
      <w:r w:rsidRPr="007A2590">
        <w:rPr>
          <w:b/>
          <w:sz w:val="26"/>
        </w:rPr>
        <w:t>Legal Standards</w:t>
      </w:r>
    </w:p>
    <w:p w:rsidR="007A2590" w:rsidRDefault="007A2590" w:rsidP="00E152E4">
      <w:pPr>
        <w:tabs>
          <w:tab w:val="left" w:pos="-720"/>
        </w:tabs>
        <w:suppressAutoHyphens/>
        <w:spacing w:line="360" w:lineRule="auto"/>
        <w:rPr>
          <w:sz w:val="26"/>
        </w:rPr>
      </w:pPr>
    </w:p>
    <w:p w:rsidR="008E56EF" w:rsidRPr="008E56EF" w:rsidRDefault="008E56EF" w:rsidP="008E56EF">
      <w:pPr>
        <w:spacing w:line="360" w:lineRule="auto"/>
        <w:rPr>
          <w:sz w:val="26"/>
          <w:szCs w:val="26"/>
        </w:rPr>
      </w:pPr>
      <w:r>
        <w:rPr>
          <w:sz w:val="26"/>
          <w:szCs w:val="26"/>
        </w:rPr>
        <w:tab/>
      </w:r>
      <w:r>
        <w:rPr>
          <w:sz w:val="26"/>
          <w:szCs w:val="26"/>
        </w:rPr>
        <w:tab/>
      </w:r>
      <w:r w:rsidRPr="008E56EF">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8E56EF">
        <w:rPr>
          <w:i/>
          <w:sz w:val="26"/>
          <w:szCs w:val="26"/>
        </w:rPr>
        <w:t>Patterson v. The Bell Telephone Company of Pennsylvania</w:t>
      </w:r>
      <w:r w:rsidRPr="008E56EF">
        <w:rPr>
          <w:sz w:val="26"/>
          <w:szCs w:val="26"/>
        </w:rPr>
        <w:t xml:space="preserve">, 72 Pa. P.U.C. 196 (1990).  Such a showing must be by a preponderance of the evidence.  </w:t>
      </w:r>
      <w:r w:rsidRPr="008E56EF">
        <w:rPr>
          <w:i/>
          <w:iCs/>
          <w:sz w:val="26"/>
          <w:szCs w:val="26"/>
        </w:rPr>
        <w:t>Samuel J. Lansberry, Inc. v. Pa. PUC</w:t>
      </w:r>
      <w:r w:rsidRPr="008E56EF">
        <w:rPr>
          <w:sz w:val="26"/>
          <w:szCs w:val="26"/>
        </w:rPr>
        <w:t xml:space="preserve">, 578 A.2d 600 (Pa. Cmwlth. 1990), </w:t>
      </w:r>
      <w:r w:rsidRPr="008E56EF">
        <w:rPr>
          <w:i/>
          <w:sz w:val="26"/>
          <w:szCs w:val="26"/>
        </w:rPr>
        <w:t>alloc. denied,</w:t>
      </w:r>
      <w:r w:rsidRPr="008E56EF">
        <w:rPr>
          <w:sz w:val="26"/>
          <w:szCs w:val="26"/>
        </w:rPr>
        <w:t xml:space="preserve"> 529 Pa. 654, 602 A.2d 863 (1992).  That is, the Complainant’s evidence must be more convincing, by even the smallest amount, than that presented by the Respondent.  </w:t>
      </w:r>
      <w:r w:rsidRPr="008E56EF">
        <w:rPr>
          <w:i/>
          <w:sz w:val="26"/>
          <w:szCs w:val="26"/>
        </w:rPr>
        <w:t>Se-Ling Hosiery, Inc. v. Margulies</w:t>
      </w:r>
      <w:r w:rsidRPr="008E56EF">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8E56EF">
        <w:rPr>
          <w:i/>
          <w:sz w:val="26"/>
          <w:szCs w:val="26"/>
        </w:rPr>
        <w:t xml:space="preserve">Norfolk &amp; Western Ry. Co. v. Pa. PUC, </w:t>
      </w:r>
      <w:r w:rsidRPr="008E56EF">
        <w:rPr>
          <w:sz w:val="26"/>
          <w:szCs w:val="26"/>
        </w:rPr>
        <w:t>489 Pa. 109, 413 A.2d 1037 (1980).</w:t>
      </w:r>
    </w:p>
    <w:p w:rsidR="008E56EF" w:rsidRPr="008E56EF" w:rsidRDefault="008E56EF" w:rsidP="008E56EF">
      <w:pPr>
        <w:spacing w:line="360" w:lineRule="auto"/>
        <w:rPr>
          <w:sz w:val="26"/>
          <w:szCs w:val="26"/>
        </w:rPr>
      </w:pPr>
    </w:p>
    <w:p w:rsidR="008E56EF" w:rsidRPr="00214561" w:rsidRDefault="008E56EF" w:rsidP="008E56EF">
      <w:pPr>
        <w:spacing w:line="360" w:lineRule="auto"/>
        <w:rPr>
          <w:i/>
          <w:sz w:val="26"/>
          <w:szCs w:val="26"/>
        </w:rPr>
      </w:pPr>
      <w:r>
        <w:rPr>
          <w:sz w:val="26"/>
          <w:szCs w:val="26"/>
        </w:rPr>
        <w:tab/>
      </w:r>
      <w:r>
        <w:rPr>
          <w:sz w:val="26"/>
          <w:szCs w:val="26"/>
        </w:rPr>
        <w:tab/>
      </w:r>
      <w:r w:rsidRPr="008E56EF">
        <w:rPr>
          <w:sz w:val="26"/>
          <w:szCs w:val="26"/>
        </w:rPr>
        <w:t xml:space="preserve">Upon the presentation by a complainant of evidence sufficient to initially satisfy the burden of proof, the burden of going forward with the evidence,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8E56EF">
        <w:rPr>
          <w:iCs/>
          <w:sz w:val="26"/>
          <w:szCs w:val="26"/>
        </w:rPr>
        <w:t xml:space="preserve"> </w:t>
      </w:r>
      <w:hyperlink r:id="rId9" w:history="1">
        <w:r w:rsidRPr="008E56EF">
          <w:rPr>
            <w:i/>
            <w:iCs/>
            <w:sz w:val="26"/>
            <w:szCs w:val="26"/>
          </w:rPr>
          <w:t>Burleson v. Pa. PUC,</w:t>
        </w:r>
        <w:r w:rsidRPr="008E56EF">
          <w:rPr>
            <w:iCs/>
            <w:sz w:val="26"/>
            <w:szCs w:val="26"/>
          </w:rPr>
          <w:t xml:space="preserve"> 443 A.2d 1373 (Pa. Cmwlth. 1982), </w:t>
        </w:r>
        <w:r w:rsidRPr="008E56EF">
          <w:rPr>
            <w:i/>
            <w:iCs/>
            <w:sz w:val="26"/>
            <w:szCs w:val="26"/>
          </w:rPr>
          <w:t>aff’d,</w:t>
        </w:r>
        <w:r w:rsidRPr="008E56EF">
          <w:rPr>
            <w:iCs/>
            <w:sz w:val="26"/>
            <w:szCs w:val="26"/>
          </w:rPr>
          <w:t xml:space="preserve"> 501 Pa. 433, 461 A.2d 1234 (1983).</w:t>
        </w:r>
      </w:hyperlink>
      <w:r w:rsidRPr="008E56EF">
        <w:rPr>
          <w:iCs/>
          <w:sz w:val="26"/>
          <w:szCs w:val="26"/>
        </w:rPr>
        <w:t xml:space="preserve">  </w:t>
      </w:r>
      <w:r w:rsidRPr="008E56EF">
        <w:rPr>
          <w:sz w:val="26"/>
          <w:szCs w:val="26"/>
        </w:rPr>
        <w:t xml:space="preserve">While the burden of persuasion may shift back and forth during a proceeding, the burden of proof never shifts. The burden of proof always remains on the party seeking affirmative relief from the Commission.  </w:t>
      </w:r>
      <w:r w:rsidRPr="008E56EF">
        <w:rPr>
          <w:i/>
          <w:sz w:val="26"/>
          <w:szCs w:val="26"/>
        </w:rPr>
        <w:t xml:space="preserve">Milkie v. Pa. PUC, </w:t>
      </w:r>
      <w:r w:rsidRPr="008E56EF">
        <w:rPr>
          <w:sz w:val="26"/>
          <w:szCs w:val="26"/>
        </w:rPr>
        <w:t>768 A.2d 1217 (Pa. Cmwlth. 2001).</w:t>
      </w:r>
    </w:p>
    <w:p w:rsidR="008E56EF" w:rsidRPr="008E56EF" w:rsidRDefault="00D700BB" w:rsidP="008E56EF">
      <w:pPr>
        <w:spacing w:line="360" w:lineRule="auto"/>
        <w:rPr>
          <w:sz w:val="26"/>
          <w:szCs w:val="26"/>
        </w:rPr>
      </w:pPr>
      <w:r>
        <w:rPr>
          <w:sz w:val="26"/>
          <w:szCs w:val="26"/>
        </w:rPr>
        <w:lastRenderedPageBreak/>
        <w:tab/>
      </w:r>
      <w:r>
        <w:rPr>
          <w:sz w:val="26"/>
          <w:szCs w:val="26"/>
        </w:rPr>
        <w:tab/>
      </w:r>
      <w:r w:rsidR="008E56EF" w:rsidRPr="008E56EF">
        <w:rPr>
          <w:sz w:val="26"/>
          <w:szCs w:val="26"/>
        </w:rPr>
        <w:t xml:space="preserve">As a preliminary matter, we note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008E56EF" w:rsidRPr="008E56EF">
        <w:rPr>
          <w:i/>
          <w:sz w:val="26"/>
          <w:szCs w:val="26"/>
        </w:rPr>
        <w:t>Consolidated Rail Corp. v. Pa. PUC</w:t>
      </w:r>
      <w:r w:rsidR="008E56EF" w:rsidRPr="008E56EF">
        <w:rPr>
          <w:sz w:val="26"/>
          <w:szCs w:val="26"/>
        </w:rPr>
        <w:t xml:space="preserve">, 625 A.2d 741 (Pa. Cmwlth. 1993); </w:t>
      </w:r>
      <w:r w:rsidR="008E56EF" w:rsidRPr="008E56EF">
        <w:rPr>
          <w:i/>
          <w:sz w:val="26"/>
          <w:szCs w:val="26"/>
        </w:rPr>
        <w:t>see also</w:t>
      </w:r>
      <w:r w:rsidR="008E56EF" w:rsidRPr="008E56EF">
        <w:rPr>
          <w:sz w:val="26"/>
          <w:szCs w:val="26"/>
        </w:rPr>
        <w:t xml:space="preserve">, </w:t>
      </w:r>
      <w:r w:rsidR="008E56EF" w:rsidRPr="008E56EF">
        <w:rPr>
          <w:i/>
          <w:sz w:val="26"/>
          <w:szCs w:val="26"/>
        </w:rPr>
        <w:t>generally</w:t>
      </w:r>
      <w:r w:rsidR="008E56EF" w:rsidRPr="008E56EF">
        <w:rPr>
          <w:sz w:val="26"/>
          <w:szCs w:val="26"/>
        </w:rPr>
        <w:t xml:space="preserve">, </w:t>
      </w:r>
      <w:r w:rsidR="008E56EF" w:rsidRPr="008E56EF">
        <w:rPr>
          <w:i/>
          <w:sz w:val="26"/>
          <w:szCs w:val="26"/>
        </w:rPr>
        <w:t>University of Pennsylvania v. Pa. PUC</w:t>
      </w:r>
      <w:r w:rsidR="008E56EF" w:rsidRPr="008E56EF">
        <w:rPr>
          <w:sz w:val="26"/>
          <w:szCs w:val="26"/>
        </w:rPr>
        <w:t>, 485 A.2d 1217 (Pa. Cmwlth. 1984).</w:t>
      </w:r>
    </w:p>
    <w:p w:rsidR="001705D4" w:rsidRDefault="001705D4" w:rsidP="008E56EF">
      <w:pPr>
        <w:spacing w:line="360" w:lineRule="auto"/>
        <w:rPr>
          <w:sz w:val="26"/>
          <w:szCs w:val="26"/>
        </w:rPr>
      </w:pPr>
    </w:p>
    <w:p w:rsidR="0062663C" w:rsidRPr="0062663C" w:rsidRDefault="0062663C" w:rsidP="008E56EF">
      <w:pPr>
        <w:spacing w:line="360" w:lineRule="auto"/>
        <w:rPr>
          <w:b/>
          <w:sz w:val="26"/>
          <w:szCs w:val="26"/>
        </w:rPr>
      </w:pPr>
      <w:r w:rsidRPr="0062663C">
        <w:rPr>
          <w:b/>
          <w:sz w:val="26"/>
          <w:szCs w:val="26"/>
        </w:rPr>
        <w:t>ALJ’s Initial Decision</w:t>
      </w:r>
    </w:p>
    <w:p w:rsidR="0062663C" w:rsidRDefault="0062663C" w:rsidP="008E56EF">
      <w:pPr>
        <w:spacing w:line="360" w:lineRule="auto"/>
        <w:rPr>
          <w:sz w:val="26"/>
          <w:szCs w:val="26"/>
        </w:rPr>
      </w:pPr>
    </w:p>
    <w:p w:rsidR="00214561" w:rsidRDefault="00214561" w:rsidP="008E56EF">
      <w:pPr>
        <w:spacing w:line="360" w:lineRule="auto"/>
        <w:rPr>
          <w:sz w:val="26"/>
          <w:szCs w:val="26"/>
        </w:rPr>
      </w:pPr>
      <w:r>
        <w:rPr>
          <w:sz w:val="26"/>
          <w:szCs w:val="26"/>
        </w:rPr>
        <w:tab/>
      </w:r>
      <w:r>
        <w:rPr>
          <w:sz w:val="26"/>
          <w:szCs w:val="26"/>
        </w:rPr>
        <w:tab/>
        <w:t>ALJ Cheskis made thirty-four</w:t>
      </w:r>
      <w:r w:rsidRPr="008E56EF">
        <w:rPr>
          <w:sz w:val="26"/>
          <w:szCs w:val="26"/>
        </w:rPr>
        <w:t xml:space="preserve"> Findings of Fact and reached </w:t>
      </w:r>
      <w:r>
        <w:rPr>
          <w:sz w:val="26"/>
          <w:szCs w:val="26"/>
        </w:rPr>
        <w:t>six</w:t>
      </w:r>
      <w:r w:rsidRPr="008E56EF">
        <w:rPr>
          <w:sz w:val="26"/>
          <w:szCs w:val="26"/>
        </w:rPr>
        <w:t>teen Conclusions of Law.  I.</w:t>
      </w:r>
      <w:r>
        <w:rPr>
          <w:sz w:val="26"/>
          <w:szCs w:val="26"/>
        </w:rPr>
        <w:t>D. at 2-6, 13-15</w:t>
      </w:r>
      <w:r w:rsidRPr="008E56EF">
        <w:rPr>
          <w:sz w:val="26"/>
          <w:szCs w:val="26"/>
        </w:rPr>
        <w:t>.  The Findings of Fact and Conclusions of Law are incorporated herein by reference and are adopted without comment unless they are either expressly or by necessary implication rejected or modified by this Opinion and Order.</w:t>
      </w:r>
    </w:p>
    <w:p w:rsidR="00214561" w:rsidRDefault="00214561" w:rsidP="008E56EF">
      <w:pPr>
        <w:spacing w:line="360" w:lineRule="auto"/>
        <w:rPr>
          <w:sz w:val="26"/>
          <w:szCs w:val="26"/>
        </w:rPr>
      </w:pPr>
    </w:p>
    <w:p w:rsidR="0062663C" w:rsidRDefault="004D462A" w:rsidP="008E56EF">
      <w:pPr>
        <w:spacing w:line="360" w:lineRule="auto"/>
        <w:rPr>
          <w:sz w:val="26"/>
          <w:szCs w:val="26"/>
        </w:rPr>
      </w:pPr>
      <w:r>
        <w:rPr>
          <w:sz w:val="26"/>
          <w:szCs w:val="26"/>
        </w:rPr>
        <w:tab/>
      </w:r>
      <w:r>
        <w:rPr>
          <w:sz w:val="26"/>
          <w:szCs w:val="26"/>
        </w:rPr>
        <w:tab/>
        <w:t>After his analysis, the ALJ determined that the instant Complaint should be sustained, in part, and dismissed, in part.  I.D. at 12-13.  Specifically,</w:t>
      </w:r>
      <w:r w:rsidR="006952C9">
        <w:rPr>
          <w:sz w:val="26"/>
          <w:szCs w:val="26"/>
        </w:rPr>
        <w:t xml:space="preserve"> the ALJ found that the Complainant was eligible for one Commission-ordered payment agreement because she </w:t>
      </w:r>
      <w:r w:rsidR="005217E8">
        <w:rPr>
          <w:sz w:val="26"/>
          <w:szCs w:val="26"/>
        </w:rPr>
        <w:t xml:space="preserve">has </w:t>
      </w:r>
      <w:r w:rsidR="006952C9">
        <w:rPr>
          <w:sz w:val="26"/>
          <w:szCs w:val="26"/>
        </w:rPr>
        <w:t>never received one and has demonstrated a good faith effort to pay her utility bill</w:t>
      </w:r>
      <w:r w:rsidR="00DC5D14">
        <w:rPr>
          <w:sz w:val="26"/>
          <w:szCs w:val="26"/>
        </w:rPr>
        <w:t>,</w:t>
      </w:r>
      <w:r w:rsidR="006952C9">
        <w:rPr>
          <w:sz w:val="26"/>
          <w:szCs w:val="26"/>
        </w:rPr>
        <w:t xml:space="preserve"> even though she has not experienced a change of circum</w:t>
      </w:r>
      <w:r w:rsidR="006152F3">
        <w:rPr>
          <w:sz w:val="26"/>
          <w:szCs w:val="26"/>
        </w:rPr>
        <w:t xml:space="preserve">stance outside of her control.  </w:t>
      </w:r>
      <w:r w:rsidR="006152F3" w:rsidRPr="006152F3">
        <w:rPr>
          <w:i/>
          <w:sz w:val="26"/>
          <w:szCs w:val="26"/>
        </w:rPr>
        <w:t>Id.</w:t>
      </w:r>
      <w:r w:rsidR="006152F3">
        <w:rPr>
          <w:sz w:val="26"/>
          <w:szCs w:val="26"/>
        </w:rPr>
        <w:t xml:space="preserve"> at 12.  After applying the relevant statutory law and Commission precedent to the record, the ALJ</w:t>
      </w:r>
      <w:r>
        <w:rPr>
          <w:sz w:val="26"/>
          <w:szCs w:val="26"/>
        </w:rPr>
        <w:t xml:space="preserve"> </w:t>
      </w:r>
      <w:r w:rsidR="006152F3">
        <w:rPr>
          <w:sz w:val="26"/>
          <w:szCs w:val="26"/>
        </w:rPr>
        <w:t>determined that the Complainant should be given sixty months to pay the portion of her outstanding balance that accrued while she was not enrolled in PGW’s C</w:t>
      </w:r>
      <w:r w:rsidR="00DC5D14">
        <w:rPr>
          <w:sz w:val="26"/>
          <w:szCs w:val="26"/>
        </w:rPr>
        <w:t>A</w:t>
      </w:r>
      <w:r w:rsidR="006152F3">
        <w:rPr>
          <w:sz w:val="26"/>
          <w:szCs w:val="26"/>
        </w:rPr>
        <w:t xml:space="preserve">P.  </w:t>
      </w:r>
    </w:p>
    <w:p w:rsidR="00A57DBE" w:rsidRDefault="00A57DBE" w:rsidP="008E56EF">
      <w:pPr>
        <w:spacing w:line="360" w:lineRule="auto"/>
        <w:rPr>
          <w:sz w:val="26"/>
          <w:szCs w:val="26"/>
        </w:rPr>
      </w:pPr>
    </w:p>
    <w:p w:rsidR="00D459E2" w:rsidRDefault="00D459E2" w:rsidP="008E56EF">
      <w:pPr>
        <w:spacing w:line="360" w:lineRule="auto"/>
        <w:rPr>
          <w:sz w:val="26"/>
          <w:szCs w:val="26"/>
        </w:rPr>
      </w:pPr>
      <w:r>
        <w:rPr>
          <w:sz w:val="26"/>
          <w:szCs w:val="26"/>
        </w:rPr>
        <w:tab/>
      </w:r>
      <w:r>
        <w:rPr>
          <w:sz w:val="26"/>
          <w:szCs w:val="26"/>
        </w:rPr>
        <w:tab/>
        <w:t xml:space="preserve">The ALJ </w:t>
      </w:r>
      <w:r w:rsidR="00C85DCE">
        <w:rPr>
          <w:sz w:val="26"/>
          <w:szCs w:val="26"/>
        </w:rPr>
        <w:t xml:space="preserve">also </w:t>
      </w:r>
      <w:r>
        <w:rPr>
          <w:sz w:val="26"/>
          <w:szCs w:val="26"/>
        </w:rPr>
        <w:t xml:space="preserve">recommended that the Complaint be dismissed, in part, because a portion of her past due balance accrued </w:t>
      </w:r>
      <w:r w:rsidR="00C85DCE">
        <w:rPr>
          <w:sz w:val="26"/>
          <w:szCs w:val="26"/>
        </w:rPr>
        <w:t>while she w</w:t>
      </w:r>
      <w:r w:rsidR="00CD0F7A">
        <w:rPr>
          <w:sz w:val="26"/>
          <w:szCs w:val="26"/>
        </w:rPr>
        <w:t>as enrolled in PGW’s C</w:t>
      </w:r>
      <w:r w:rsidR="00DC5D14">
        <w:rPr>
          <w:sz w:val="26"/>
          <w:szCs w:val="26"/>
        </w:rPr>
        <w:t>A</w:t>
      </w:r>
      <w:r w:rsidR="00CD0F7A">
        <w:rPr>
          <w:sz w:val="26"/>
          <w:szCs w:val="26"/>
        </w:rPr>
        <w:t xml:space="preserve">P.  I.D. </w:t>
      </w:r>
      <w:r w:rsidR="00C85DCE">
        <w:rPr>
          <w:sz w:val="26"/>
          <w:szCs w:val="26"/>
        </w:rPr>
        <w:t xml:space="preserve">at 13.  </w:t>
      </w:r>
      <w:r w:rsidR="005217E8">
        <w:rPr>
          <w:sz w:val="26"/>
          <w:szCs w:val="26"/>
        </w:rPr>
        <w:t xml:space="preserve">Additionally, the </w:t>
      </w:r>
      <w:r w:rsidR="00C85DCE">
        <w:rPr>
          <w:sz w:val="26"/>
          <w:szCs w:val="26"/>
        </w:rPr>
        <w:t>ALJ noted that the Commission does not have the authority to order a utility to establi</w:t>
      </w:r>
      <w:r w:rsidR="00C900A3">
        <w:rPr>
          <w:sz w:val="26"/>
          <w:szCs w:val="26"/>
        </w:rPr>
        <w:t>sh a second payment agreement if</w:t>
      </w:r>
      <w:r w:rsidR="00C85DCE">
        <w:rPr>
          <w:sz w:val="26"/>
          <w:szCs w:val="26"/>
        </w:rPr>
        <w:t xml:space="preserve"> the customer defaults, absent a change in income as defined by Chapter 14</w:t>
      </w:r>
      <w:r w:rsidR="000C5057">
        <w:rPr>
          <w:sz w:val="26"/>
          <w:szCs w:val="26"/>
        </w:rPr>
        <w:t xml:space="preserve"> of the Code</w:t>
      </w:r>
      <w:r w:rsidR="00C85DCE">
        <w:rPr>
          <w:sz w:val="26"/>
          <w:szCs w:val="26"/>
        </w:rPr>
        <w:t>.</w:t>
      </w:r>
      <w:r w:rsidR="00C900A3">
        <w:rPr>
          <w:sz w:val="26"/>
          <w:szCs w:val="26"/>
        </w:rPr>
        <w:t xml:space="preserve">  </w:t>
      </w:r>
      <w:r w:rsidR="00C900A3" w:rsidRPr="00C900A3">
        <w:rPr>
          <w:i/>
          <w:sz w:val="26"/>
          <w:szCs w:val="26"/>
        </w:rPr>
        <w:t>Id.</w:t>
      </w:r>
    </w:p>
    <w:p w:rsidR="00C900A3" w:rsidRDefault="00C900A3" w:rsidP="001705D4">
      <w:pPr>
        <w:widowControl/>
        <w:spacing w:line="360" w:lineRule="auto"/>
        <w:rPr>
          <w:b/>
          <w:sz w:val="26"/>
          <w:szCs w:val="26"/>
        </w:rPr>
      </w:pPr>
    </w:p>
    <w:p w:rsidR="001705D4" w:rsidRPr="005771A0" w:rsidRDefault="00DE619E" w:rsidP="001705D4">
      <w:pPr>
        <w:widowControl/>
        <w:spacing w:line="360" w:lineRule="auto"/>
        <w:rPr>
          <w:b/>
          <w:sz w:val="26"/>
          <w:szCs w:val="26"/>
        </w:rPr>
      </w:pPr>
      <w:r>
        <w:rPr>
          <w:b/>
          <w:sz w:val="26"/>
          <w:szCs w:val="26"/>
        </w:rPr>
        <w:t>Exceptions and Disposition</w:t>
      </w:r>
    </w:p>
    <w:p w:rsidR="001705D4" w:rsidRDefault="001705D4" w:rsidP="008E56EF">
      <w:pPr>
        <w:spacing w:line="360" w:lineRule="auto"/>
        <w:rPr>
          <w:sz w:val="26"/>
          <w:szCs w:val="26"/>
        </w:rPr>
      </w:pPr>
    </w:p>
    <w:p w:rsidR="00600EC1" w:rsidRDefault="008E56EF" w:rsidP="008E56EF">
      <w:pPr>
        <w:pStyle w:val="Style"/>
        <w:widowControl/>
        <w:spacing w:line="360" w:lineRule="auto"/>
        <w:ind w:firstLine="1440"/>
        <w:rPr>
          <w:color w:val="000000"/>
          <w:sz w:val="26"/>
          <w:szCs w:val="26"/>
        </w:rPr>
      </w:pPr>
      <w:r w:rsidRPr="008E56EF">
        <w:rPr>
          <w:color w:val="000000"/>
          <w:sz w:val="26"/>
          <w:szCs w:val="26"/>
        </w:rPr>
        <w:t xml:space="preserve">In his Initial Decision, the ALJ </w:t>
      </w:r>
      <w:r w:rsidR="00D700BB">
        <w:rPr>
          <w:color w:val="000000"/>
          <w:sz w:val="26"/>
          <w:szCs w:val="26"/>
        </w:rPr>
        <w:t>held that the Complainant is eligible for a payment arrangement on the non-C</w:t>
      </w:r>
      <w:r w:rsidR="00E01B29">
        <w:rPr>
          <w:color w:val="000000"/>
          <w:sz w:val="26"/>
          <w:szCs w:val="26"/>
        </w:rPr>
        <w:t>A</w:t>
      </w:r>
      <w:r w:rsidR="00D700BB">
        <w:rPr>
          <w:color w:val="000000"/>
          <w:sz w:val="26"/>
          <w:szCs w:val="26"/>
        </w:rPr>
        <w:t>P arrearage of her total account balance under 66 Pa. C.S. § 1405(b), (c) and (d).</w:t>
      </w:r>
      <w:r w:rsidR="00600EC1">
        <w:rPr>
          <w:color w:val="000000"/>
          <w:sz w:val="26"/>
          <w:szCs w:val="26"/>
        </w:rPr>
        <w:t xml:space="preserve">  Accordingly, the C</w:t>
      </w:r>
      <w:r w:rsidRPr="008E56EF">
        <w:rPr>
          <w:color w:val="000000"/>
          <w:sz w:val="26"/>
          <w:szCs w:val="26"/>
        </w:rPr>
        <w:t>omplainant</w:t>
      </w:r>
      <w:r w:rsidR="00600EC1">
        <w:rPr>
          <w:color w:val="000000"/>
          <w:sz w:val="26"/>
          <w:szCs w:val="26"/>
        </w:rPr>
        <w:t>’s request for a payment arrangement was granted, in part, and denied, in part.  Specifically,</w:t>
      </w:r>
      <w:r w:rsidR="00E9737C">
        <w:rPr>
          <w:color w:val="000000"/>
          <w:sz w:val="26"/>
          <w:szCs w:val="26"/>
        </w:rPr>
        <w:t xml:space="preserve"> Ordering Paragraphs 5 and 6 of the Initial Decision are as follows:</w:t>
      </w:r>
    </w:p>
    <w:p w:rsidR="00600EC1" w:rsidRDefault="00600EC1" w:rsidP="00E9737C">
      <w:pPr>
        <w:pStyle w:val="Style"/>
        <w:widowControl/>
        <w:spacing w:line="360" w:lineRule="auto"/>
        <w:rPr>
          <w:color w:val="000000"/>
          <w:sz w:val="26"/>
          <w:szCs w:val="26"/>
        </w:rPr>
      </w:pPr>
    </w:p>
    <w:p w:rsidR="00AD7534" w:rsidRPr="00B83359" w:rsidRDefault="00AD7534" w:rsidP="00AD7534">
      <w:pPr>
        <w:tabs>
          <w:tab w:val="left" w:pos="-720"/>
        </w:tabs>
        <w:suppressAutoHyphens/>
        <w:autoSpaceDE w:val="0"/>
        <w:autoSpaceDN w:val="0"/>
        <w:ind w:left="1440" w:right="1440"/>
        <w:rPr>
          <w:spacing w:val="-3"/>
          <w:sz w:val="26"/>
          <w:szCs w:val="26"/>
        </w:rPr>
      </w:pPr>
      <w:r w:rsidRPr="00B83359">
        <w:rPr>
          <w:spacing w:val="-3"/>
          <w:sz w:val="26"/>
          <w:szCs w:val="26"/>
        </w:rPr>
        <w:t>5.</w:t>
      </w:r>
      <w:r w:rsidRPr="00B83359">
        <w:rPr>
          <w:spacing w:val="-3"/>
          <w:sz w:val="26"/>
          <w:szCs w:val="26"/>
        </w:rPr>
        <w:tab/>
        <w:t>That within thirty (30) days of the date the Commission enters its Order in this case, Philadelphia Gas Works shall tender a bill to Leona Oliphant for the unpaid balance of her gas separated by arrearages accrued while enrolled in the Customer Responsibility Program and those accrued while not enrolled in the Customer Responsibility Program.</w:t>
      </w:r>
    </w:p>
    <w:p w:rsidR="00AD7534" w:rsidRPr="00B83359" w:rsidRDefault="00AD7534" w:rsidP="00AD7534">
      <w:pPr>
        <w:tabs>
          <w:tab w:val="left" w:pos="-720"/>
        </w:tabs>
        <w:suppressAutoHyphens/>
        <w:autoSpaceDE w:val="0"/>
        <w:autoSpaceDN w:val="0"/>
        <w:ind w:left="1440" w:right="1440"/>
        <w:rPr>
          <w:spacing w:val="-3"/>
          <w:sz w:val="26"/>
          <w:szCs w:val="26"/>
        </w:rPr>
      </w:pPr>
    </w:p>
    <w:p w:rsidR="00AD7534" w:rsidRPr="00B83359" w:rsidRDefault="00AD7534" w:rsidP="00AD7534">
      <w:pPr>
        <w:tabs>
          <w:tab w:val="left" w:pos="-720"/>
        </w:tabs>
        <w:suppressAutoHyphens/>
        <w:autoSpaceDE w:val="0"/>
        <w:autoSpaceDN w:val="0"/>
        <w:ind w:left="1440" w:right="1440"/>
        <w:rPr>
          <w:spacing w:val="-3"/>
          <w:sz w:val="26"/>
          <w:szCs w:val="26"/>
        </w:rPr>
      </w:pPr>
      <w:r w:rsidRPr="00B83359">
        <w:rPr>
          <w:spacing w:val="-3"/>
          <w:sz w:val="26"/>
          <w:szCs w:val="26"/>
        </w:rPr>
        <w:t>6.</w:t>
      </w:r>
      <w:r w:rsidRPr="00B83359">
        <w:rPr>
          <w:spacing w:val="-3"/>
          <w:sz w:val="26"/>
          <w:szCs w:val="26"/>
        </w:rPr>
        <w:tab/>
        <w:t>That within thirty (30) days of the date Philadelphia Gas Works tenders the bill described in paragraph 3,</w:t>
      </w:r>
      <w:r w:rsidRPr="00B83359">
        <w:rPr>
          <w:rStyle w:val="FootnoteReference"/>
          <w:spacing w:val="-3"/>
          <w:sz w:val="26"/>
          <w:szCs w:val="26"/>
        </w:rPr>
        <w:footnoteReference w:id="2"/>
      </w:r>
      <w:r w:rsidRPr="00B83359">
        <w:rPr>
          <w:spacing w:val="-3"/>
          <w:sz w:val="26"/>
          <w:szCs w:val="26"/>
        </w:rPr>
        <w:t xml:space="preserve"> Leona Oliphant shall pay Philadelphia Gas Works the regular amount of her bills as they come due, plus the reconnection fee and 1/60</w:t>
      </w:r>
      <w:r w:rsidRPr="00B83359">
        <w:rPr>
          <w:spacing w:val="-3"/>
          <w:sz w:val="26"/>
          <w:szCs w:val="26"/>
          <w:vertAlign w:val="superscript"/>
        </w:rPr>
        <w:t>th</w:t>
      </w:r>
      <w:r w:rsidRPr="00B83359">
        <w:rPr>
          <w:spacing w:val="-3"/>
          <w:sz w:val="26"/>
          <w:szCs w:val="26"/>
        </w:rPr>
        <w:t xml:space="preserve"> of the arrearage owed on her account that accrued while she was not enrolled in the Customer Responsibility Program, continuing thereafter on the due date for the payment of each regular monthly bill, until the arrearage on this account has been paid in full.</w:t>
      </w:r>
    </w:p>
    <w:p w:rsidR="00AD7534" w:rsidRDefault="00AD7534" w:rsidP="00E9737C">
      <w:pPr>
        <w:pStyle w:val="Style"/>
        <w:widowControl/>
        <w:spacing w:line="360" w:lineRule="auto"/>
        <w:rPr>
          <w:color w:val="000000"/>
          <w:sz w:val="26"/>
          <w:szCs w:val="26"/>
        </w:rPr>
      </w:pPr>
    </w:p>
    <w:p w:rsidR="008E56EF" w:rsidRPr="008E56EF" w:rsidRDefault="00E9737C" w:rsidP="00E9737C">
      <w:pPr>
        <w:pStyle w:val="Style"/>
        <w:widowControl/>
        <w:spacing w:line="360" w:lineRule="auto"/>
        <w:rPr>
          <w:color w:val="000000"/>
          <w:sz w:val="26"/>
          <w:szCs w:val="26"/>
        </w:rPr>
      </w:pPr>
      <w:r>
        <w:rPr>
          <w:color w:val="000000"/>
          <w:sz w:val="26"/>
          <w:szCs w:val="26"/>
        </w:rPr>
        <w:t>I.D. at</w:t>
      </w:r>
      <w:r w:rsidR="00AD7534">
        <w:rPr>
          <w:color w:val="000000"/>
          <w:sz w:val="26"/>
          <w:szCs w:val="26"/>
        </w:rPr>
        <w:t xml:space="preserve"> 16.</w:t>
      </w:r>
      <w:r>
        <w:rPr>
          <w:color w:val="000000"/>
          <w:sz w:val="26"/>
          <w:szCs w:val="26"/>
        </w:rPr>
        <w:t xml:space="preserve"> </w:t>
      </w:r>
      <w:r w:rsidR="008E56EF" w:rsidRPr="008E56EF">
        <w:rPr>
          <w:color w:val="000000"/>
          <w:sz w:val="26"/>
          <w:szCs w:val="26"/>
        </w:rPr>
        <w:t xml:space="preserve">  </w:t>
      </w:r>
    </w:p>
    <w:p w:rsidR="008E56EF" w:rsidRDefault="008E56EF" w:rsidP="00E152E4">
      <w:pPr>
        <w:tabs>
          <w:tab w:val="left" w:pos="-720"/>
        </w:tabs>
        <w:suppressAutoHyphens/>
        <w:spacing w:line="360" w:lineRule="auto"/>
        <w:rPr>
          <w:sz w:val="26"/>
        </w:rPr>
      </w:pPr>
    </w:p>
    <w:p w:rsidR="001C7322" w:rsidRDefault="00677F12" w:rsidP="00E152E4">
      <w:pPr>
        <w:tabs>
          <w:tab w:val="left" w:pos="-720"/>
        </w:tabs>
        <w:suppressAutoHyphens/>
        <w:spacing w:line="360" w:lineRule="auto"/>
        <w:rPr>
          <w:sz w:val="26"/>
        </w:rPr>
      </w:pPr>
      <w:r>
        <w:rPr>
          <w:sz w:val="26"/>
        </w:rPr>
        <w:tab/>
      </w:r>
      <w:r>
        <w:rPr>
          <w:sz w:val="26"/>
        </w:rPr>
        <w:tab/>
      </w:r>
      <w:r w:rsidR="00FD3E25">
        <w:rPr>
          <w:sz w:val="26"/>
        </w:rPr>
        <w:t xml:space="preserve">In </w:t>
      </w:r>
      <w:r w:rsidR="007B328E">
        <w:rPr>
          <w:sz w:val="26"/>
        </w:rPr>
        <w:t>its</w:t>
      </w:r>
      <w:r w:rsidR="00FD3E25">
        <w:rPr>
          <w:sz w:val="26"/>
        </w:rPr>
        <w:t xml:space="preserve"> Exception</w:t>
      </w:r>
      <w:r w:rsidR="007B328E">
        <w:rPr>
          <w:sz w:val="26"/>
        </w:rPr>
        <w:t>s</w:t>
      </w:r>
      <w:r w:rsidR="00FD3E25">
        <w:rPr>
          <w:sz w:val="26"/>
        </w:rPr>
        <w:t xml:space="preserve">, </w:t>
      </w:r>
      <w:r w:rsidR="00465EE3">
        <w:rPr>
          <w:sz w:val="26"/>
        </w:rPr>
        <w:t xml:space="preserve">PGW </w:t>
      </w:r>
      <w:r w:rsidR="007B328E">
        <w:rPr>
          <w:sz w:val="26"/>
        </w:rPr>
        <w:t xml:space="preserve">objects to the ALJ’s directive that the Complainant is to commence making payments on the past due, non-CAP, balance with the receipt of her first monthly bill after the entry of a final order.  Citing to </w:t>
      </w:r>
      <w:r w:rsidR="007B328E" w:rsidRPr="001C7322">
        <w:rPr>
          <w:i/>
          <w:sz w:val="26"/>
        </w:rPr>
        <w:t>Cooper v. PECO Energy Company</w:t>
      </w:r>
      <w:r w:rsidR="001D1092">
        <w:rPr>
          <w:sz w:val="26"/>
        </w:rPr>
        <w:t xml:space="preserve">, </w:t>
      </w:r>
      <w:r w:rsidR="004B62E0">
        <w:rPr>
          <w:sz w:val="26"/>
        </w:rPr>
        <w:t xml:space="preserve">Docket No. F-2011-2254904 (Order entered August 2, 2012), PGW argues that, in order for the Complainant to benefit from a Commission issued payment </w:t>
      </w:r>
      <w:r w:rsidR="004B62E0">
        <w:rPr>
          <w:sz w:val="26"/>
        </w:rPr>
        <w:lastRenderedPageBreak/>
        <w:t>arrangement on her non-CAP arrearage, she must first pay all of the arrearage accrued while she participated in CAP.  PGW requests that the Commission find that the payment agreement set by the ALJ is to commence upon payment of the CAP portion of the arrearage.  Exc. at 3-4.</w:t>
      </w:r>
      <w:r w:rsidR="007B328E">
        <w:rPr>
          <w:sz w:val="26"/>
        </w:rPr>
        <w:t xml:space="preserve">        </w:t>
      </w:r>
    </w:p>
    <w:p w:rsidR="004B62E0" w:rsidRDefault="0042543C" w:rsidP="00E152E4">
      <w:pPr>
        <w:tabs>
          <w:tab w:val="left" w:pos="-720"/>
        </w:tabs>
        <w:suppressAutoHyphens/>
        <w:spacing w:line="360" w:lineRule="auto"/>
        <w:rPr>
          <w:sz w:val="26"/>
        </w:rPr>
      </w:pPr>
      <w:r>
        <w:rPr>
          <w:sz w:val="26"/>
        </w:rPr>
        <w:t xml:space="preserve"> </w:t>
      </w:r>
      <w:r w:rsidR="004B62E0">
        <w:rPr>
          <w:sz w:val="26"/>
        </w:rPr>
        <w:t xml:space="preserve">    </w:t>
      </w:r>
    </w:p>
    <w:p w:rsidR="0042543C" w:rsidRDefault="004B62E0" w:rsidP="00DC5CF7">
      <w:pPr>
        <w:widowControl/>
        <w:spacing w:line="360" w:lineRule="auto"/>
        <w:rPr>
          <w:sz w:val="26"/>
        </w:rPr>
      </w:pPr>
      <w:r>
        <w:rPr>
          <w:sz w:val="26"/>
        </w:rPr>
        <w:tab/>
      </w:r>
      <w:r>
        <w:rPr>
          <w:sz w:val="26"/>
        </w:rPr>
        <w:tab/>
        <w:t xml:space="preserve">Upon review of the Initial Decision, </w:t>
      </w:r>
      <w:r w:rsidR="00414686">
        <w:rPr>
          <w:sz w:val="26"/>
        </w:rPr>
        <w:t>we disagree with the ALJ’s decision to set a payment arrangement f</w:t>
      </w:r>
      <w:r w:rsidR="00D00D30">
        <w:rPr>
          <w:sz w:val="26"/>
        </w:rPr>
        <w:t>or the Complainant’s non-CAP arrearage</w:t>
      </w:r>
      <w:r w:rsidR="00414686">
        <w:rPr>
          <w:sz w:val="26"/>
        </w:rPr>
        <w:t>, due to the Complainant’s failure to make a good faith effort to pay the bill.</w:t>
      </w:r>
      <w:r w:rsidR="006F4AC7">
        <w:rPr>
          <w:sz w:val="26"/>
        </w:rPr>
        <w:t xml:space="preserve">  </w:t>
      </w:r>
      <w:r w:rsidR="00414686" w:rsidRPr="006F4AC7">
        <w:rPr>
          <w:i/>
          <w:sz w:val="26"/>
        </w:rPr>
        <w:t xml:space="preserve">Joy Turner v. </w:t>
      </w:r>
      <w:r w:rsidR="006F4AC7" w:rsidRPr="006F4AC7">
        <w:rPr>
          <w:i/>
          <w:sz w:val="26"/>
        </w:rPr>
        <w:t>Philadelphia Gas Works</w:t>
      </w:r>
      <w:r w:rsidR="00D00D30">
        <w:rPr>
          <w:sz w:val="26"/>
        </w:rPr>
        <w:t>, Docket No. C-2013-238831</w:t>
      </w:r>
      <w:r w:rsidR="00525C26">
        <w:rPr>
          <w:sz w:val="26"/>
        </w:rPr>
        <w:t xml:space="preserve">9 (Order entered June 19, 2014); </w:t>
      </w:r>
      <w:r w:rsidR="00525C26" w:rsidRPr="00525C26">
        <w:rPr>
          <w:i/>
          <w:sz w:val="26"/>
        </w:rPr>
        <w:t>George Crawford v. National Fuel Gas Distribution Corporation</w:t>
      </w:r>
      <w:r w:rsidR="00525C26">
        <w:rPr>
          <w:sz w:val="26"/>
        </w:rPr>
        <w:t>, Docket No. C</w:t>
      </w:r>
      <w:r w:rsidR="00525C26">
        <w:rPr>
          <w:sz w:val="26"/>
        </w:rPr>
        <w:noBreakHyphen/>
        <w:t xml:space="preserve">20066348 (Opinion and Order entered December 6, 2007) at 15, 16.  </w:t>
      </w:r>
      <w:r w:rsidR="009F41F2">
        <w:rPr>
          <w:sz w:val="26"/>
          <w:szCs w:val="26"/>
        </w:rPr>
        <w:t xml:space="preserve">In this case, the Complainant had a past due balance of $3,049.93 when her account was closed on July 11, 2013.  Tr. at 20; Finding of Fact No. 19, I.D. at 4.  </w:t>
      </w:r>
      <w:r w:rsidR="0042543C">
        <w:rPr>
          <w:sz w:val="26"/>
        </w:rPr>
        <w:t xml:space="preserve">Between April 1, 2010 and December 31, 2010, the Complainant made only four payments on her account.  During all of 2011, she made only three payments on her account.  The Complainant made nine payments on her account from January through October of 2012, but made only one payment on her account between October 16, 2012 and the date she became unemployed (April 15, 2013).  In fact, she made no further payments on her account until </w:t>
      </w:r>
      <w:r w:rsidR="009F41F2">
        <w:rPr>
          <w:sz w:val="26"/>
        </w:rPr>
        <w:t>several months after her account was closed</w:t>
      </w:r>
      <w:r w:rsidR="0042543C">
        <w:rPr>
          <w:sz w:val="26"/>
        </w:rPr>
        <w:t>.  PGW Exh. 4.</w:t>
      </w:r>
      <w:r w:rsidR="009F41F2">
        <w:rPr>
          <w:sz w:val="26"/>
        </w:rPr>
        <w:t xml:space="preserve">  In addition, </w:t>
      </w:r>
      <w:r w:rsidR="009F41F2">
        <w:rPr>
          <w:sz w:val="26"/>
          <w:szCs w:val="26"/>
        </w:rPr>
        <w:t>the Complainant defaulted on four payment arrangements with PGW.</w:t>
      </w:r>
      <w:r w:rsidR="0042543C">
        <w:rPr>
          <w:sz w:val="26"/>
        </w:rPr>
        <w:t xml:space="preserve">  </w:t>
      </w:r>
    </w:p>
    <w:p w:rsidR="0042543C" w:rsidRDefault="0042543C" w:rsidP="00DC5CF7">
      <w:pPr>
        <w:widowControl/>
        <w:spacing w:line="360" w:lineRule="auto"/>
        <w:rPr>
          <w:sz w:val="26"/>
        </w:rPr>
      </w:pPr>
    </w:p>
    <w:p w:rsidR="009625B2" w:rsidRDefault="009625B2" w:rsidP="009625B2">
      <w:pPr>
        <w:widowControl/>
        <w:spacing w:line="360" w:lineRule="auto"/>
        <w:contextualSpacing/>
        <w:rPr>
          <w:sz w:val="26"/>
          <w:szCs w:val="26"/>
        </w:rPr>
      </w:pPr>
      <w:r>
        <w:rPr>
          <w:sz w:val="26"/>
          <w:szCs w:val="26"/>
        </w:rPr>
        <w:tab/>
      </w:r>
      <w:r>
        <w:rPr>
          <w:sz w:val="26"/>
          <w:szCs w:val="26"/>
        </w:rPr>
        <w:tab/>
        <w:t>Although S</w:t>
      </w:r>
      <w:r w:rsidRPr="00F20976">
        <w:rPr>
          <w:sz w:val="26"/>
          <w:szCs w:val="26"/>
        </w:rPr>
        <w:t xml:space="preserve">ection 1405(c) of the Code, 66 Pa. C.S. § 1405(c), prohibits </w:t>
      </w:r>
      <w:r>
        <w:rPr>
          <w:sz w:val="26"/>
          <w:szCs w:val="26"/>
        </w:rPr>
        <w:t>the Commission from setting a payment arrangement on an arrearage accrued under CAP rates, in the</w:t>
      </w:r>
      <w:r w:rsidRPr="00F20976">
        <w:rPr>
          <w:sz w:val="26"/>
          <w:szCs w:val="26"/>
        </w:rPr>
        <w:t xml:space="preserve"> case where a Complainant has </w:t>
      </w:r>
      <w:r>
        <w:rPr>
          <w:sz w:val="26"/>
          <w:szCs w:val="26"/>
        </w:rPr>
        <w:t xml:space="preserve">a </w:t>
      </w:r>
      <w:r w:rsidRPr="00F20976">
        <w:rPr>
          <w:sz w:val="26"/>
          <w:szCs w:val="26"/>
        </w:rPr>
        <w:t>mixed arrearage, that is, some of which are CAP and some of which are non-CAP,</w:t>
      </w:r>
      <w:r>
        <w:rPr>
          <w:sz w:val="26"/>
          <w:szCs w:val="26"/>
        </w:rPr>
        <w:t xml:space="preserve"> the Commission may bifurcate the arrearage and set a payment arrangement on the non-CAP arrearage.  </w:t>
      </w:r>
      <w:r w:rsidRPr="001B7B8C">
        <w:rPr>
          <w:i/>
          <w:sz w:val="26"/>
          <w:szCs w:val="26"/>
        </w:rPr>
        <w:t>Cooper</w:t>
      </w:r>
      <w:r>
        <w:rPr>
          <w:i/>
          <w:sz w:val="26"/>
          <w:szCs w:val="26"/>
        </w:rPr>
        <w:t>,</w:t>
      </w:r>
      <w:r>
        <w:rPr>
          <w:sz w:val="26"/>
          <w:szCs w:val="26"/>
        </w:rPr>
        <w:t xml:space="preserve"> at 7.  The Commission is not required to set a payment arrangement on a bifurcated arrearage and may decline to do so where a complainant has exhibited a poor payment history and inability to keep prior payment agreements with the company.  </w:t>
      </w:r>
      <w:r w:rsidRPr="001B7B8C">
        <w:rPr>
          <w:i/>
          <w:sz w:val="26"/>
          <w:szCs w:val="26"/>
        </w:rPr>
        <w:t>Hewitt v. PECO Energy Co</w:t>
      </w:r>
      <w:r>
        <w:rPr>
          <w:sz w:val="26"/>
          <w:szCs w:val="26"/>
        </w:rPr>
        <w:t xml:space="preserve">., Docket No. </w:t>
      </w:r>
      <w:r>
        <w:rPr>
          <w:sz w:val="26"/>
          <w:szCs w:val="26"/>
        </w:rPr>
        <w:lastRenderedPageBreak/>
        <w:t xml:space="preserve">F-2011-2273271 (Order entered September 12, 2013).  Further, given the limitations on the number of payment agreements the Commission may set, a payment agreement issued on a non-CAP arrearage in a scenario where the Complainant is likely to default is not in the customer’s best interest.  </w:t>
      </w:r>
      <w:r w:rsidRPr="001B7B8C">
        <w:rPr>
          <w:i/>
          <w:sz w:val="26"/>
          <w:szCs w:val="26"/>
        </w:rPr>
        <w:t xml:space="preserve">See </w:t>
      </w:r>
      <w:r>
        <w:rPr>
          <w:i/>
          <w:sz w:val="26"/>
          <w:szCs w:val="26"/>
        </w:rPr>
        <w:t>i</w:t>
      </w:r>
      <w:r w:rsidRPr="001B7B8C">
        <w:rPr>
          <w:i/>
          <w:sz w:val="26"/>
          <w:szCs w:val="26"/>
        </w:rPr>
        <w:t>d</w:t>
      </w:r>
      <w:r>
        <w:rPr>
          <w:sz w:val="26"/>
          <w:szCs w:val="26"/>
        </w:rPr>
        <w:t xml:space="preserve">. at 11 n. 4. As the Complainant has demonstrated a poor payment history and history of default, we will modify the Initial Decision and deny the request for a payment arrangement.  </w:t>
      </w:r>
      <w:r w:rsidR="00B34B34">
        <w:rPr>
          <w:sz w:val="26"/>
          <w:szCs w:val="26"/>
        </w:rPr>
        <w:t>Because of this determination, we find that PGW’s Exceptions are moot.</w:t>
      </w:r>
    </w:p>
    <w:p w:rsidR="00B34B34" w:rsidRDefault="00B34B34" w:rsidP="009625B2">
      <w:pPr>
        <w:widowControl/>
        <w:spacing w:line="360" w:lineRule="auto"/>
        <w:contextualSpacing/>
        <w:rPr>
          <w:sz w:val="26"/>
          <w:szCs w:val="26"/>
        </w:rPr>
      </w:pPr>
    </w:p>
    <w:p w:rsidR="00B34B34" w:rsidRDefault="00B34B34" w:rsidP="00637778">
      <w:pPr>
        <w:widowControl/>
        <w:spacing w:line="360" w:lineRule="auto"/>
        <w:ind w:firstLine="1440"/>
        <w:contextualSpacing/>
        <w:rPr>
          <w:sz w:val="26"/>
          <w:szCs w:val="26"/>
        </w:rPr>
      </w:pPr>
      <w:r>
        <w:rPr>
          <w:sz w:val="26"/>
          <w:szCs w:val="26"/>
        </w:rPr>
        <w:t>Finally, we note that the ALJ directed, in Ordering Paragraph No. 2, as follows:</w:t>
      </w:r>
    </w:p>
    <w:p w:rsidR="00B34B34" w:rsidRDefault="00B34B34" w:rsidP="00637778">
      <w:pPr>
        <w:widowControl/>
        <w:spacing w:line="360" w:lineRule="auto"/>
        <w:ind w:firstLine="1440"/>
        <w:contextualSpacing/>
        <w:rPr>
          <w:sz w:val="26"/>
          <w:szCs w:val="26"/>
        </w:rPr>
      </w:pPr>
    </w:p>
    <w:p w:rsidR="00B34B34" w:rsidRDefault="00B34B34" w:rsidP="00637778">
      <w:pPr>
        <w:widowControl/>
        <w:ind w:left="1440" w:right="1440" w:firstLine="720"/>
        <w:contextualSpacing/>
        <w:rPr>
          <w:sz w:val="26"/>
          <w:szCs w:val="26"/>
        </w:rPr>
      </w:pPr>
      <w:r>
        <w:rPr>
          <w:sz w:val="26"/>
          <w:szCs w:val="26"/>
        </w:rPr>
        <w:t>2.</w:t>
      </w:r>
      <w:r>
        <w:rPr>
          <w:sz w:val="26"/>
          <w:szCs w:val="26"/>
        </w:rPr>
        <w:tab/>
        <w:t>That Philadelphia Gas Works shall reconnect the utility service at [the service address].</w:t>
      </w:r>
    </w:p>
    <w:p w:rsidR="00B34B34" w:rsidRDefault="00B34B34" w:rsidP="00637778">
      <w:pPr>
        <w:widowControl/>
        <w:spacing w:line="360" w:lineRule="auto"/>
        <w:ind w:firstLine="1440"/>
        <w:contextualSpacing/>
        <w:rPr>
          <w:sz w:val="26"/>
          <w:szCs w:val="26"/>
        </w:rPr>
      </w:pPr>
    </w:p>
    <w:p w:rsidR="00B34B34" w:rsidRDefault="00B34B34">
      <w:pPr>
        <w:widowControl/>
        <w:spacing w:line="360" w:lineRule="auto"/>
        <w:contextualSpacing/>
        <w:rPr>
          <w:sz w:val="26"/>
          <w:szCs w:val="26"/>
        </w:rPr>
      </w:pPr>
      <w:r>
        <w:rPr>
          <w:sz w:val="26"/>
          <w:szCs w:val="26"/>
        </w:rPr>
        <w:t>I.D. at 16.  Due to our determinations herein, we shall reverse the Initial Decision on this point.  Section 1407 of the Code, 66 Pa. C.S. § 1407, permits PGW to require the Complainant to pay the outstanding balance in full, together with any applicable reconnection fee, before reconnecting service.</w:t>
      </w:r>
    </w:p>
    <w:p w:rsidR="00214561" w:rsidRDefault="00214561" w:rsidP="00C17D8C">
      <w:pPr>
        <w:widowControl/>
        <w:spacing w:line="360" w:lineRule="auto"/>
        <w:rPr>
          <w:b/>
          <w:sz w:val="26"/>
          <w:szCs w:val="26"/>
        </w:rPr>
      </w:pPr>
    </w:p>
    <w:p w:rsidR="00CA43A5" w:rsidRPr="00D57E8E" w:rsidRDefault="00CA43A5" w:rsidP="008D0834">
      <w:pPr>
        <w:keepNext/>
        <w:widowControl/>
        <w:spacing w:line="360" w:lineRule="auto"/>
        <w:jc w:val="center"/>
        <w:rPr>
          <w:b/>
          <w:sz w:val="26"/>
          <w:szCs w:val="26"/>
        </w:rPr>
      </w:pPr>
      <w:r w:rsidRPr="00D57E8E">
        <w:rPr>
          <w:b/>
          <w:sz w:val="26"/>
          <w:szCs w:val="26"/>
        </w:rPr>
        <w:t>Conclusion</w:t>
      </w:r>
    </w:p>
    <w:p w:rsidR="00CA43A5" w:rsidRPr="00D57E8E" w:rsidRDefault="00CA43A5" w:rsidP="008D0834">
      <w:pPr>
        <w:keepNext/>
        <w:widowControl/>
        <w:spacing w:line="360" w:lineRule="auto"/>
        <w:ind w:firstLine="1440"/>
        <w:rPr>
          <w:sz w:val="26"/>
          <w:szCs w:val="26"/>
        </w:rPr>
      </w:pPr>
    </w:p>
    <w:p w:rsidR="00CA43A5" w:rsidRDefault="00CA43A5" w:rsidP="00C17D8C">
      <w:pPr>
        <w:widowControl/>
        <w:spacing w:line="360" w:lineRule="auto"/>
        <w:ind w:firstLine="1440"/>
        <w:rPr>
          <w:sz w:val="26"/>
          <w:szCs w:val="26"/>
        </w:rPr>
      </w:pPr>
      <w:r w:rsidRPr="00D57E8E">
        <w:rPr>
          <w:sz w:val="26"/>
          <w:szCs w:val="26"/>
        </w:rPr>
        <w:t xml:space="preserve">Based upon the foregoing discussion, we </w:t>
      </w:r>
      <w:r w:rsidR="00214561">
        <w:rPr>
          <w:sz w:val="26"/>
          <w:szCs w:val="26"/>
        </w:rPr>
        <w:t>will modify the Initial Decision and find</w:t>
      </w:r>
      <w:r w:rsidR="0059421B">
        <w:rPr>
          <w:sz w:val="26"/>
          <w:szCs w:val="26"/>
        </w:rPr>
        <w:t xml:space="preserve"> PGW’s</w:t>
      </w:r>
      <w:r w:rsidR="008A17C1">
        <w:rPr>
          <w:sz w:val="26"/>
          <w:szCs w:val="26"/>
        </w:rPr>
        <w:t xml:space="preserve"> Exceptions</w:t>
      </w:r>
      <w:r w:rsidR="00214561">
        <w:rPr>
          <w:sz w:val="26"/>
          <w:szCs w:val="26"/>
        </w:rPr>
        <w:t xml:space="preserve"> moot, consistent with the foregoing discussion</w:t>
      </w:r>
      <w:r w:rsidRPr="00D57E8E">
        <w:rPr>
          <w:sz w:val="26"/>
          <w:szCs w:val="26"/>
        </w:rPr>
        <w:t xml:space="preserve">; </w:t>
      </w:r>
      <w:r w:rsidRPr="00D57E8E">
        <w:rPr>
          <w:b/>
          <w:sz w:val="26"/>
          <w:szCs w:val="26"/>
        </w:rPr>
        <w:t>THEREFORE,</w:t>
      </w:r>
      <w:r w:rsidRPr="00D57E8E">
        <w:rPr>
          <w:sz w:val="26"/>
          <w:szCs w:val="26"/>
        </w:rPr>
        <w:t xml:space="preserve"> </w:t>
      </w:r>
    </w:p>
    <w:p w:rsidR="005F08B2" w:rsidRPr="00D57E8E" w:rsidRDefault="005F08B2" w:rsidP="00C17D8C">
      <w:pPr>
        <w:widowControl/>
        <w:spacing w:line="360" w:lineRule="auto"/>
        <w:ind w:firstLine="1440"/>
        <w:rPr>
          <w:sz w:val="26"/>
          <w:szCs w:val="26"/>
        </w:rPr>
      </w:pPr>
    </w:p>
    <w:p w:rsidR="00CA43A5" w:rsidRPr="00D57E8E" w:rsidRDefault="00CA43A5" w:rsidP="00BE2ABE">
      <w:pPr>
        <w:widowControl/>
        <w:spacing w:line="360" w:lineRule="auto"/>
        <w:ind w:firstLine="1440"/>
        <w:rPr>
          <w:b/>
          <w:sz w:val="26"/>
          <w:szCs w:val="26"/>
        </w:rPr>
      </w:pPr>
      <w:r w:rsidRPr="00D57E8E">
        <w:rPr>
          <w:b/>
          <w:sz w:val="26"/>
          <w:szCs w:val="26"/>
        </w:rPr>
        <w:t>IT IS ORDERED:</w:t>
      </w:r>
    </w:p>
    <w:p w:rsidR="00CA43A5" w:rsidRPr="00D57E8E" w:rsidRDefault="00CA43A5" w:rsidP="00C17D8C">
      <w:pPr>
        <w:widowControl/>
        <w:spacing w:line="360" w:lineRule="auto"/>
        <w:rPr>
          <w:sz w:val="26"/>
          <w:szCs w:val="26"/>
        </w:rPr>
      </w:pPr>
    </w:p>
    <w:p w:rsidR="009155F7" w:rsidRPr="00D57E8E" w:rsidRDefault="009155F7"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Exceptions of</w:t>
      </w:r>
      <w:r w:rsidR="00666078">
        <w:rPr>
          <w:sz w:val="26"/>
          <w:szCs w:val="26"/>
        </w:rPr>
        <w:t xml:space="preserve"> </w:t>
      </w:r>
      <w:r w:rsidR="00B30AAA">
        <w:rPr>
          <w:sz w:val="26"/>
          <w:szCs w:val="26"/>
        </w:rPr>
        <w:t>Philadelphia Gas Works</w:t>
      </w:r>
      <w:r w:rsidR="00B216E9">
        <w:rPr>
          <w:sz w:val="26"/>
          <w:szCs w:val="26"/>
        </w:rPr>
        <w:t xml:space="preserve"> </w:t>
      </w:r>
      <w:r w:rsidR="00AF740A">
        <w:rPr>
          <w:sz w:val="26"/>
          <w:szCs w:val="26"/>
        </w:rPr>
        <w:t>filed on June 24, 2014</w:t>
      </w:r>
      <w:r w:rsidR="002117D4">
        <w:rPr>
          <w:sz w:val="26"/>
          <w:szCs w:val="26"/>
        </w:rPr>
        <w:t xml:space="preserve"> </w:t>
      </w:r>
      <w:r w:rsidRPr="00D57E8E">
        <w:rPr>
          <w:sz w:val="26"/>
          <w:szCs w:val="26"/>
        </w:rPr>
        <w:t xml:space="preserve">are </w:t>
      </w:r>
      <w:r w:rsidR="00B216E9">
        <w:rPr>
          <w:sz w:val="26"/>
          <w:szCs w:val="26"/>
        </w:rPr>
        <w:t>moot</w:t>
      </w:r>
      <w:r w:rsidRPr="00D57E8E">
        <w:rPr>
          <w:sz w:val="26"/>
          <w:szCs w:val="26"/>
        </w:rPr>
        <w:t>.</w:t>
      </w:r>
    </w:p>
    <w:p w:rsidR="003F51F4" w:rsidRPr="00D57E8E" w:rsidRDefault="003F51F4" w:rsidP="00C17D8C">
      <w:pPr>
        <w:widowControl/>
        <w:spacing w:line="360" w:lineRule="auto"/>
        <w:ind w:left="1440"/>
        <w:rPr>
          <w:sz w:val="26"/>
          <w:szCs w:val="26"/>
        </w:rPr>
      </w:pPr>
    </w:p>
    <w:p w:rsidR="00CA43A5" w:rsidRDefault="00CA43A5"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Initial Decision of Administrative Law Judge</w:t>
      </w:r>
      <w:r w:rsidR="005F08B2">
        <w:rPr>
          <w:sz w:val="26"/>
          <w:szCs w:val="26"/>
        </w:rPr>
        <w:t xml:space="preserve"> </w:t>
      </w:r>
      <w:r w:rsidR="00B30AAA">
        <w:rPr>
          <w:sz w:val="26"/>
          <w:szCs w:val="26"/>
        </w:rPr>
        <w:t>Joel H. Cheskis</w:t>
      </w:r>
      <w:r w:rsidR="00AF740A">
        <w:rPr>
          <w:sz w:val="26"/>
          <w:szCs w:val="26"/>
        </w:rPr>
        <w:t>, issued on June 4, 2014,</w:t>
      </w:r>
      <w:r w:rsidR="00B216E9">
        <w:rPr>
          <w:sz w:val="26"/>
          <w:szCs w:val="26"/>
        </w:rPr>
        <w:t xml:space="preserve"> </w:t>
      </w:r>
      <w:r w:rsidR="00B30AAA">
        <w:rPr>
          <w:sz w:val="26"/>
          <w:szCs w:val="26"/>
        </w:rPr>
        <w:t>i</w:t>
      </w:r>
      <w:r w:rsidRPr="00D57E8E">
        <w:rPr>
          <w:sz w:val="26"/>
          <w:szCs w:val="26"/>
        </w:rPr>
        <w:t xml:space="preserve">s </w:t>
      </w:r>
      <w:r w:rsidR="00B30AAA">
        <w:rPr>
          <w:sz w:val="26"/>
          <w:szCs w:val="26"/>
        </w:rPr>
        <w:t>mod</w:t>
      </w:r>
      <w:r w:rsidR="00736306">
        <w:rPr>
          <w:sz w:val="26"/>
          <w:szCs w:val="26"/>
        </w:rPr>
        <w:t>i</w:t>
      </w:r>
      <w:r w:rsidR="00B30AAA">
        <w:rPr>
          <w:sz w:val="26"/>
          <w:szCs w:val="26"/>
        </w:rPr>
        <w:t>fied</w:t>
      </w:r>
      <w:r w:rsidR="007319FE">
        <w:rPr>
          <w:sz w:val="26"/>
          <w:szCs w:val="26"/>
        </w:rPr>
        <w:t>, c</w:t>
      </w:r>
      <w:r w:rsidRPr="00D57E8E">
        <w:rPr>
          <w:sz w:val="26"/>
          <w:szCs w:val="26"/>
        </w:rPr>
        <w:t>onsistent with this Opinion and Order.</w:t>
      </w:r>
    </w:p>
    <w:p w:rsidR="00CF4F36" w:rsidRDefault="00CF4F36" w:rsidP="00CF4F36">
      <w:pPr>
        <w:widowControl/>
        <w:spacing w:line="360" w:lineRule="auto"/>
        <w:ind w:left="1440"/>
        <w:rPr>
          <w:sz w:val="26"/>
          <w:szCs w:val="26"/>
        </w:rPr>
      </w:pPr>
    </w:p>
    <w:p w:rsidR="008A17C1" w:rsidRDefault="008A17C1" w:rsidP="00C17D8C">
      <w:pPr>
        <w:widowControl/>
        <w:numPr>
          <w:ilvl w:val="0"/>
          <w:numId w:val="1"/>
        </w:numPr>
        <w:tabs>
          <w:tab w:val="clear" w:pos="2160"/>
          <w:tab w:val="num" w:pos="0"/>
        </w:tabs>
        <w:spacing w:line="360" w:lineRule="auto"/>
        <w:ind w:left="0" w:firstLine="1440"/>
        <w:rPr>
          <w:sz w:val="26"/>
          <w:szCs w:val="26"/>
        </w:rPr>
      </w:pPr>
      <w:r>
        <w:rPr>
          <w:sz w:val="26"/>
          <w:szCs w:val="26"/>
        </w:rPr>
        <w:t xml:space="preserve">That the Formal Complaint filed by </w:t>
      </w:r>
      <w:r w:rsidR="00B30AAA">
        <w:rPr>
          <w:sz w:val="26"/>
          <w:szCs w:val="26"/>
        </w:rPr>
        <w:t>Leona Oliphant</w:t>
      </w:r>
      <w:r w:rsidR="000C3711">
        <w:rPr>
          <w:sz w:val="26"/>
          <w:szCs w:val="26"/>
        </w:rPr>
        <w:t>,</w:t>
      </w:r>
      <w:r>
        <w:rPr>
          <w:sz w:val="26"/>
          <w:szCs w:val="26"/>
        </w:rPr>
        <w:t xml:space="preserve"> at Docket N</w:t>
      </w:r>
      <w:r w:rsidR="00A8382A">
        <w:rPr>
          <w:sz w:val="26"/>
          <w:szCs w:val="26"/>
        </w:rPr>
        <w:t>o.</w:t>
      </w:r>
      <w:r>
        <w:rPr>
          <w:sz w:val="26"/>
          <w:szCs w:val="26"/>
        </w:rPr>
        <w:t xml:space="preserve"> </w:t>
      </w:r>
      <w:r w:rsidR="00B30AAA">
        <w:rPr>
          <w:sz w:val="26"/>
          <w:szCs w:val="26"/>
        </w:rPr>
        <w:t>C-2013-2397029</w:t>
      </w:r>
      <w:r w:rsidR="000C3711">
        <w:rPr>
          <w:sz w:val="26"/>
          <w:szCs w:val="26"/>
        </w:rPr>
        <w:t>,</w:t>
      </w:r>
      <w:r w:rsidR="005F08B2">
        <w:rPr>
          <w:sz w:val="26"/>
          <w:szCs w:val="26"/>
        </w:rPr>
        <w:t xml:space="preserve"> against </w:t>
      </w:r>
      <w:r w:rsidR="00B30AAA">
        <w:rPr>
          <w:sz w:val="26"/>
          <w:szCs w:val="26"/>
        </w:rPr>
        <w:t xml:space="preserve">Philadelphia Gas Works is </w:t>
      </w:r>
      <w:r w:rsidR="005F08B2">
        <w:rPr>
          <w:sz w:val="26"/>
          <w:szCs w:val="26"/>
        </w:rPr>
        <w:t>d</w:t>
      </w:r>
      <w:r w:rsidR="00BE36C3">
        <w:rPr>
          <w:sz w:val="26"/>
          <w:szCs w:val="26"/>
        </w:rPr>
        <w:t>ismissed</w:t>
      </w:r>
      <w:r w:rsidR="00681093">
        <w:rPr>
          <w:sz w:val="26"/>
          <w:szCs w:val="26"/>
        </w:rPr>
        <w:t>.</w:t>
      </w:r>
    </w:p>
    <w:p w:rsidR="000F15DF" w:rsidRDefault="006F4C28" w:rsidP="00637778">
      <w:pPr>
        <w:widowControl/>
        <w:spacing w:line="360" w:lineRule="auto"/>
        <w:ind w:firstLine="1440"/>
        <w:rPr>
          <w:sz w:val="26"/>
          <w:szCs w:val="26"/>
        </w:rPr>
      </w:pPr>
      <w:r>
        <w:rPr>
          <w:sz w:val="26"/>
          <w:szCs w:val="26"/>
        </w:rPr>
        <w:tab/>
      </w:r>
      <w:r>
        <w:rPr>
          <w:sz w:val="26"/>
          <w:szCs w:val="26"/>
        </w:rPr>
        <w:tab/>
      </w:r>
      <w:r w:rsidR="009F41F2">
        <w:rPr>
          <w:sz w:val="26"/>
          <w:szCs w:val="26"/>
        </w:rPr>
        <w:br/>
      </w:r>
      <w:r w:rsidR="009F41F2">
        <w:rPr>
          <w:sz w:val="26"/>
          <w:szCs w:val="26"/>
        </w:rPr>
        <w:tab/>
      </w:r>
      <w:r w:rsidR="009F41F2">
        <w:rPr>
          <w:sz w:val="26"/>
          <w:szCs w:val="26"/>
        </w:rPr>
        <w:tab/>
      </w:r>
      <w:r w:rsidR="00B9530E">
        <w:rPr>
          <w:sz w:val="26"/>
          <w:szCs w:val="26"/>
        </w:rPr>
        <w:t>4</w:t>
      </w:r>
      <w:r>
        <w:rPr>
          <w:sz w:val="26"/>
          <w:szCs w:val="26"/>
        </w:rPr>
        <w:t>.</w:t>
      </w:r>
      <w:r>
        <w:rPr>
          <w:sz w:val="26"/>
          <w:szCs w:val="26"/>
        </w:rPr>
        <w:tab/>
        <w:t xml:space="preserve">That the </w:t>
      </w:r>
      <w:r w:rsidR="00B9530E">
        <w:rPr>
          <w:sz w:val="26"/>
          <w:szCs w:val="26"/>
        </w:rPr>
        <w:t xml:space="preserve">docket at </w:t>
      </w:r>
      <w:r>
        <w:rPr>
          <w:sz w:val="26"/>
          <w:szCs w:val="26"/>
        </w:rPr>
        <w:t>C-2013-2397029 be</w:t>
      </w:r>
      <w:r w:rsidR="00736306">
        <w:rPr>
          <w:sz w:val="26"/>
          <w:szCs w:val="26"/>
        </w:rPr>
        <w:t xml:space="preserve"> marked closed.</w:t>
      </w:r>
      <w:r w:rsidR="00A84F08">
        <w:rPr>
          <w:sz w:val="26"/>
          <w:szCs w:val="26"/>
        </w:rPr>
        <w:t xml:space="preserve"> </w:t>
      </w:r>
      <w:r w:rsidR="00BD7581">
        <w:rPr>
          <w:sz w:val="26"/>
          <w:szCs w:val="26"/>
        </w:rPr>
        <w:tab/>
      </w:r>
      <w:r w:rsidR="004F662A" w:rsidRPr="00BD7581">
        <w:rPr>
          <w:sz w:val="26"/>
          <w:szCs w:val="26"/>
        </w:rPr>
        <w:tab/>
      </w:r>
    </w:p>
    <w:p w:rsidR="00470CC2" w:rsidRPr="00D57E8E" w:rsidRDefault="00514051" w:rsidP="00C17D8C">
      <w:pPr>
        <w:widowControl/>
        <w:spacing w:line="360" w:lineRule="auto"/>
        <w:rPr>
          <w:sz w:val="26"/>
          <w:szCs w:val="26"/>
        </w:rPr>
      </w:pPr>
      <w:r>
        <w:rPr>
          <w:noProof/>
        </w:rPr>
        <w:drawing>
          <wp:anchor distT="0" distB="0" distL="114300" distR="114300" simplePos="0" relativeHeight="251658240" behindDoc="1" locked="0" layoutInCell="1" allowOverlap="1" wp14:anchorId="7330B356" wp14:editId="2E5CE0B5">
            <wp:simplePos x="0" y="0"/>
            <wp:positionH relativeFrom="column">
              <wp:posOffset>2673350</wp:posOffset>
            </wp:positionH>
            <wp:positionV relativeFrom="paragraph">
              <wp:posOffset>236220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D57E8E" w:rsidRDefault="00CA43A5" w:rsidP="00C17D8C">
      <w:pPr>
        <w:widowControl/>
        <w:tabs>
          <w:tab w:val="left" w:pos="-720"/>
        </w:tabs>
        <w:ind w:firstLine="5040"/>
        <w:rPr>
          <w:sz w:val="26"/>
          <w:szCs w:val="26"/>
        </w:rPr>
      </w:pPr>
      <w:r w:rsidRPr="00D57E8E">
        <w:rPr>
          <w:b/>
          <w:sz w:val="26"/>
          <w:szCs w:val="26"/>
        </w:rPr>
        <w:t>BY THE COMMISSION,</w:t>
      </w: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564565" w:rsidP="00C17D8C">
      <w:pPr>
        <w:widowControl/>
        <w:tabs>
          <w:tab w:val="left" w:pos="-720"/>
        </w:tabs>
        <w:ind w:firstLine="5040"/>
        <w:rPr>
          <w:b/>
          <w:sz w:val="26"/>
          <w:szCs w:val="26"/>
        </w:rPr>
      </w:pPr>
      <w:r w:rsidRPr="00D57E8E">
        <w:rPr>
          <w:sz w:val="26"/>
          <w:szCs w:val="26"/>
        </w:rPr>
        <w:t>Rosemary Chiavetta</w:t>
      </w:r>
    </w:p>
    <w:p w:rsidR="00CA43A5" w:rsidRPr="00D57E8E" w:rsidRDefault="00CA43A5" w:rsidP="00C17D8C">
      <w:pPr>
        <w:widowControl/>
        <w:tabs>
          <w:tab w:val="left" w:pos="-720"/>
        </w:tabs>
        <w:ind w:firstLine="5040"/>
        <w:rPr>
          <w:sz w:val="26"/>
          <w:szCs w:val="26"/>
        </w:rPr>
      </w:pPr>
      <w:r w:rsidRPr="00D57E8E">
        <w:rPr>
          <w:sz w:val="26"/>
          <w:szCs w:val="26"/>
        </w:rPr>
        <w:t>Secretary</w:t>
      </w:r>
    </w:p>
    <w:p w:rsidR="00CA43A5" w:rsidRPr="00D57E8E" w:rsidRDefault="00CA43A5" w:rsidP="00C17D8C">
      <w:pPr>
        <w:widowControl/>
        <w:tabs>
          <w:tab w:val="left" w:pos="-720"/>
        </w:tabs>
        <w:spacing w:line="360" w:lineRule="auto"/>
        <w:rPr>
          <w:sz w:val="26"/>
          <w:szCs w:val="26"/>
        </w:rPr>
      </w:pPr>
    </w:p>
    <w:p w:rsidR="00CA43A5" w:rsidRPr="00D57E8E" w:rsidRDefault="00CA43A5" w:rsidP="00C17D8C">
      <w:pPr>
        <w:widowControl/>
        <w:tabs>
          <w:tab w:val="left" w:pos="-720"/>
        </w:tabs>
        <w:rPr>
          <w:sz w:val="26"/>
          <w:szCs w:val="26"/>
        </w:rPr>
      </w:pPr>
      <w:r w:rsidRPr="00D57E8E">
        <w:rPr>
          <w:sz w:val="26"/>
          <w:szCs w:val="26"/>
        </w:rPr>
        <w:t>(SEAL)</w:t>
      </w:r>
    </w:p>
    <w:p w:rsidR="00CA43A5" w:rsidRPr="00D57E8E" w:rsidRDefault="00CA43A5" w:rsidP="00C17D8C">
      <w:pPr>
        <w:widowControl/>
        <w:tabs>
          <w:tab w:val="left" w:pos="-720"/>
        </w:tabs>
        <w:rPr>
          <w:sz w:val="26"/>
          <w:szCs w:val="26"/>
        </w:rPr>
      </w:pPr>
    </w:p>
    <w:p w:rsidR="00857172" w:rsidRDefault="004D2DE1" w:rsidP="00C17D8C">
      <w:pPr>
        <w:widowControl/>
        <w:tabs>
          <w:tab w:val="left" w:pos="-720"/>
        </w:tabs>
        <w:rPr>
          <w:sz w:val="26"/>
          <w:szCs w:val="26"/>
        </w:rPr>
      </w:pPr>
      <w:r>
        <w:rPr>
          <w:sz w:val="26"/>
          <w:szCs w:val="26"/>
        </w:rPr>
        <w:t xml:space="preserve">ORDER ADOPTED:  </w:t>
      </w:r>
      <w:r w:rsidR="00033A51">
        <w:rPr>
          <w:sz w:val="26"/>
          <w:szCs w:val="26"/>
        </w:rPr>
        <w:t>August 21, 2014</w:t>
      </w:r>
    </w:p>
    <w:p w:rsidR="00CF4F36" w:rsidRPr="00D57E8E" w:rsidRDefault="00CF4F36" w:rsidP="00C17D8C">
      <w:pPr>
        <w:widowControl/>
        <w:tabs>
          <w:tab w:val="left" w:pos="-720"/>
        </w:tabs>
        <w:rPr>
          <w:sz w:val="26"/>
          <w:szCs w:val="26"/>
        </w:rPr>
      </w:pPr>
    </w:p>
    <w:p w:rsidR="00344804" w:rsidRPr="00CA43A5" w:rsidRDefault="00CA43A5" w:rsidP="005771A0">
      <w:pPr>
        <w:widowControl/>
        <w:tabs>
          <w:tab w:val="left" w:pos="-720"/>
        </w:tabs>
        <w:rPr>
          <w:sz w:val="26"/>
          <w:szCs w:val="26"/>
        </w:rPr>
      </w:pPr>
      <w:r w:rsidRPr="00D57E8E">
        <w:rPr>
          <w:sz w:val="26"/>
          <w:szCs w:val="26"/>
        </w:rPr>
        <w:t xml:space="preserve">ORDER ENTERED:  </w:t>
      </w:r>
      <w:r w:rsidR="00514051">
        <w:rPr>
          <w:sz w:val="26"/>
          <w:szCs w:val="26"/>
        </w:rPr>
        <w:t>August 21, 2014</w:t>
      </w:r>
      <w:bookmarkStart w:id="2" w:name="_GoBack"/>
      <w:bookmarkEnd w:id="2"/>
    </w:p>
    <w:sectPr w:rsidR="00344804" w:rsidRPr="00CA43A5" w:rsidSect="00F916E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3A" w:rsidRDefault="006F723A" w:rsidP="00251814">
      <w:r>
        <w:separator/>
      </w:r>
    </w:p>
  </w:endnote>
  <w:endnote w:type="continuationSeparator" w:id="0">
    <w:p w:rsidR="006F723A" w:rsidRDefault="006F723A" w:rsidP="002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45435"/>
      <w:docPartObj>
        <w:docPartGallery w:val="Page Numbers (Bottom of Page)"/>
        <w:docPartUnique/>
      </w:docPartObj>
    </w:sdtPr>
    <w:sdtEndPr>
      <w:rPr>
        <w:noProof/>
        <w:sz w:val="26"/>
        <w:szCs w:val="26"/>
      </w:rPr>
    </w:sdtEndPr>
    <w:sdtContent>
      <w:p w:rsidR="001C6100" w:rsidRPr="00F05EDE" w:rsidRDefault="001C6100">
        <w:pPr>
          <w:pStyle w:val="Footer"/>
          <w:jc w:val="center"/>
          <w:rPr>
            <w:sz w:val="26"/>
            <w:szCs w:val="26"/>
          </w:rPr>
        </w:pPr>
        <w:r w:rsidRPr="00F05EDE">
          <w:rPr>
            <w:sz w:val="26"/>
            <w:szCs w:val="26"/>
          </w:rPr>
          <w:fldChar w:fldCharType="begin"/>
        </w:r>
        <w:r w:rsidRPr="00F05EDE">
          <w:rPr>
            <w:sz w:val="26"/>
            <w:szCs w:val="26"/>
          </w:rPr>
          <w:instrText xml:space="preserve"> PAGE   \* MERGEFORMAT </w:instrText>
        </w:r>
        <w:r w:rsidRPr="00F05EDE">
          <w:rPr>
            <w:sz w:val="26"/>
            <w:szCs w:val="26"/>
          </w:rPr>
          <w:fldChar w:fldCharType="separate"/>
        </w:r>
        <w:r w:rsidR="00514051">
          <w:rPr>
            <w:noProof/>
            <w:sz w:val="26"/>
            <w:szCs w:val="26"/>
          </w:rPr>
          <w:t>8</w:t>
        </w:r>
        <w:r w:rsidRPr="00F05EDE">
          <w:rPr>
            <w:noProof/>
            <w:sz w:val="26"/>
            <w:szCs w:val="26"/>
          </w:rPr>
          <w:fldChar w:fldCharType="end"/>
        </w:r>
      </w:p>
    </w:sdtContent>
  </w:sdt>
  <w:p w:rsidR="001C6100" w:rsidRDefault="001C6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3A" w:rsidRDefault="006F723A" w:rsidP="00251814">
      <w:r>
        <w:separator/>
      </w:r>
    </w:p>
  </w:footnote>
  <w:footnote w:type="continuationSeparator" w:id="0">
    <w:p w:rsidR="006F723A" w:rsidRDefault="006F723A" w:rsidP="00251814">
      <w:r>
        <w:continuationSeparator/>
      </w:r>
    </w:p>
  </w:footnote>
  <w:footnote w:id="1">
    <w:p w:rsidR="00787F1E" w:rsidRPr="00637778" w:rsidRDefault="00787F1E">
      <w:pPr>
        <w:pStyle w:val="FootnoteText"/>
        <w:rPr>
          <w:rFonts w:ascii="Times New Roman" w:hAnsi="Times New Roman"/>
          <w:sz w:val="26"/>
          <w:szCs w:val="26"/>
        </w:rPr>
      </w:pPr>
      <w:r w:rsidRPr="00637778">
        <w:rPr>
          <w:rFonts w:ascii="Times New Roman" w:hAnsi="Times New Roman"/>
          <w:sz w:val="26"/>
          <w:szCs w:val="26"/>
        </w:rPr>
        <w:tab/>
      </w:r>
      <w:r w:rsidRPr="00637778">
        <w:rPr>
          <w:rStyle w:val="FootnoteReference"/>
          <w:rFonts w:ascii="Times New Roman" w:hAnsi="Times New Roman"/>
          <w:sz w:val="26"/>
          <w:szCs w:val="26"/>
        </w:rPr>
        <w:footnoteRef/>
      </w:r>
      <w:r w:rsidRPr="00637778">
        <w:rPr>
          <w:rFonts w:ascii="Times New Roman" w:hAnsi="Times New Roman"/>
          <w:sz w:val="26"/>
          <w:szCs w:val="26"/>
        </w:rPr>
        <w:t xml:space="preserve"> </w:t>
      </w:r>
      <w:r w:rsidRPr="00637778">
        <w:rPr>
          <w:rFonts w:ascii="Times New Roman" w:hAnsi="Times New Roman"/>
          <w:sz w:val="26"/>
          <w:szCs w:val="26"/>
        </w:rPr>
        <w:tab/>
        <w:t>PGW’</w:t>
      </w:r>
      <w:r w:rsidR="00D72A48" w:rsidRPr="00D72A48">
        <w:rPr>
          <w:rFonts w:ascii="Times New Roman" w:hAnsi="Times New Roman"/>
          <w:sz w:val="26"/>
          <w:szCs w:val="26"/>
        </w:rPr>
        <w:t>s customer assistan</w:t>
      </w:r>
      <w:r w:rsidR="00D72A48">
        <w:rPr>
          <w:rFonts w:ascii="Times New Roman" w:hAnsi="Times New Roman"/>
          <w:sz w:val="26"/>
          <w:szCs w:val="26"/>
        </w:rPr>
        <w:t>ce</w:t>
      </w:r>
      <w:r w:rsidRPr="00637778">
        <w:rPr>
          <w:rFonts w:ascii="Times New Roman" w:hAnsi="Times New Roman"/>
          <w:sz w:val="26"/>
          <w:szCs w:val="26"/>
        </w:rPr>
        <w:t xml:space="preserve"> program provides reduced payments for income eligible customers and is called the Customer Responsibility Program.</w:t>
      </w:r>
    </w:p>
  </w:footnote>
  <w:footnote w:id="2">
    <w:p w:rsidR="00AD7534" w:rsidRPr="00AD7534" w:rsidRDefault="00AD7534">
      <w:pPr>
        <w:pStyle w:val="FootnoteText"/>
        <w:rPr>
          <w:rFonts w:ascii="Times New Roman" w:hAnsi="Times New Roman"/>
          <w:sz w:val="26"/>
          <w:szCs w:val="26"/>
        </w:rPr>
      </w:pPr>
      <w:r>
        <w:tab/>
      </w:r>
      <w:r w:rsidRPr="00A56F82">
        <w:rPr>
          <w:rStyle w:val="FootnoteReference"/>
          <w:rFonts w:ascii="Times New Roman" w:hAnsi="Times New Roman"/>
        </w:rPr>
        <w:footnoteRef/>
      </w:r>
      <w:r>
        <w:rPr>
          <w:rFonts w:ascii="Times New Roman" w:hAnsi="Times New Roman"/>
          <w:sz w:val="26"/>
          <w:szCs w:val="26"/>
        </w:rPr>
        <w:tab/>
        <w:t>The ALJ apparently meant to refer to Paragraph 5 rather than Paragraph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A9A"/>
    <w:multiLevelType w:val="hybridMultilevel"/>
    <w:tmpl w:val="020E2F40"/>
    <w:lvl w:ilvl="0" w:tplc="F91A098E">
      <w:start w:val="1"/>
      <w:numFmt w:val="decimal"/>
      <w:lvlText w:val="(%1)"/>
      <w:lvlJc w:val="left"/>
      <w:pPr>
        <w:ind w:left="1956" w:hanging="396"/>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5DDE"/>
    <w:rsid w:val="00006685"/>
    <w:rsid w:val="00006F35"/>
    <w:rsid w:val="00011D3B"/>
    <w:rsid w:val="000156F8"/>
    <w:rsid w:val="00016D57"/>
    <w:rsid w:val="00017852"/>
    <w:rsid w:val="00021E46"/>
    <w:rsid w:val="00022B74"/>
    <w:rsid w:val="0002308F"/>
    <w:rsid w:val="0002524C"/>
    <w:rsid w:val="00025F3F"/>
    <w:rsid w:val="00026293"/>
    <w:rsid w:val="00026CD2"/>
    <w:rsid w:val="00031B2E"/>
    <w:rsid w:val="000321C5"/>
    <w:rsid w:val="00033711"/>
    <w:rsid w:val="000337F5"/>
    <w:rsid w:val="00033A51"/>
    <w:rsid w:val="00040A8E"/>
    <w:rsid w:val="00040AEA"/>
    <w:rsid w:val="00041754"/>
    <w:rsid w:val="00042A74"/>
    <w:rsid w:val="00046980"/>
    <w:rsid w:val="00047780"/>
    <w:rsid w:val="00047874"/>
    <w:rsid w:val="00047F4A"/>
    <w:rsid w:val="00051C8E"/>
    <w:rsid w:val="000523D1"/>
    <w:rsid w:val="00052B8F"/>
    <w:rsid w:val="00052BBB"/>
    <w:rsid w:val="00053536"/>
    <w:rsid w:val="00054612"/>
    <w:rsid w:val="0005572E"/>
    <w:rsid w:val="00056286"/>
    <w:rsid w:val="000612FD"/>
    <w:rsid w:val="000642AA"/>
    <w:rsid w:val="000649EC"/>
    <w:rsid w:val="00066EE5"/>
    <w:rsid w:val="00067260"/>
    <w:rsid w:val="00072808"/>
    <w:rsid w:val="00073B25"/>
    <w:rsid w:val="00076505"/>
    <w:rsid w:val="00076F35"/>
    <w:rsid w:val="00084573"/>
    <w:rsid w:val="00084AF9"/>
    <w:rsid w:val="000918D4"/>
    <w:rsid w:val="00093164"/>
    <w:rsid w:val="0009612D"/>
    <w:rsid w:val="00097504"/>
    <w:rsid w:val="00097BC9"/>
    <w:rsid w:val="000A0020"/>
    <w:rsid w:val="000A365D"/>
    <w:rsid w:val="000B216D"/>
    <w:rsid w:val="000B2755"/>
    <w:rsid w:val="000B4EAE"/>
    <w:rsid w:val="000B5238"/>
    <w:rsid w:val="000B607A"/>
    <w:rsid w:val="000B6B15"/>
    <w:rsid w:val="000B720A"/>
    <w:rsid w:val="000C2AE3"/>
    <w:rsid w:val="000C3711"/>
    <w:rsid w:val="000C4230"/>
    <w:rsid w:val="000C5057"/>
    <w:rsid w:val="000C6480"/>
    <w:rsid w:val="000C709A"/>
    <w:rsid w:val="000C7962"/>
    <w:rsid w:val="000D50D8"/>
    <w:rsid w:val="000D5B8C"/>
    <w:rsid w:val="000F15DF"/>
    <w:rsid w:val="000F179E"/>
    <w:rsid w:val="000F1C6E"/>
    <w:rsid w:val="000F4307"/>
    <w:rsid w:val="001009DE"/>
    <w:rsid w:val="0010158F"/>
    <w:rsid w:val="00101F51"/>
    <w:rsid w:val="001026CA"/>
    <w:rsid w:val="0010385A"/>
    <w:rsid w:val="00104D9B"/>
    <w:rsid w:val="0010722C"/>
    <w:rsid w:val="00107286"/>
    <w:rsid w:val="00112097"/>
    <w:rsid w:val="00116066"/>
    <w:rsid w:val="00117CB2"/>
    <w:rsid w:val="00120B39"/>
    <w:rsid w:val="001238E5"/>
    <w:rsid w:val="00123A2E"/>
    <w:rsid w:val="00124071"/>
    <w:rsid w:val="001267D4"/>
    <w:rsid w:val="00130EBD"/>
    <w:rsid w:val="00131227"/>
    <w:rsid w:val="001334CF"/>
    <w:rsid w:val="00135972"/>
    <w:rsid w:val="00136015"/>
    <w:rsid w:val="001360FC"/>
    <w:rsid w:val="0014131B"/>
    <w:rsid w:val="001418DE"/>
    <w:rsid w:val="001435C6"/>
    <w:rsid w:val="001447A0"/>
    <w:rsid w:val="0014497F"/>
    <w:rsid w:val="00145772"/>
    <w:rsid w:val="00146DDD"/>
    <w:rsid w:val="00146E58"/>
    <w:rsid w:val="00147145"/>
    <w:rsid w:val="00150096"/>
    <w:rsid w:val="001508E4"/>
    <w:rsid w:val="00151397"/>
    <w:rsid w:val="001514DA"/>
    <w:rsid w:val="00153003"/>
    <w:rsid w:val="0015380A"/>
    <w:rsid w:val="00154CB6"/>
    <w:rsid w:val="00164DA4"/>
    <w:rsid w:val="00166298"/>
    <w:rsid w:val="001663C8"/>
    <w:rsid w:val="001705D4"/>
    <w:rsid w:val="00174340"/>
    <w:rsid w:val="00174ACD"/>
    <w:rsid w:val="00174D3D"/>
    <w:rsid w:val="001755FE"/>
    <w:rsid w:val="00175D06"/>
    <w:rsid w:val="00182478"/>
    <w:rsid w:val="00186A97"/>
    <w:rsid w:val="0019530E"/>
    <w:rsid w:val="00195F2E"/>
    <w:rsid w:val="00196CE3"/>
    <w:rsid w:val="001A7045"/>
    <w:rsid w:val="001A77F4"/>
    <w:rsid w:val="001B1DB4"/>
    <w:rsid w:val="001B34FA"/>
    <w:rsid w:val="001C2425"/>
    <w:rsid w:val="001C4978"/>
    <w:rsid w:val="001C6100"/>
    <w:rsid w:val="001C7322"/>
    <w:rsid w:val="001C78C5"/>
    <w:rsid w:val="001D0ED2"/>
    <w:rsid w:val="001D1092"/>
    <w:rsid w:val="001D2D7D"/>
    <w:rsid w:val="001E0B61"/>
    <w:rsid w:val="001E1276"/>
    <w:rsid w:val="001F252F"/>
    <w:rsid w:val="001F285E"/>
    <w:rsid w:val="00202524"/>
    <w:rsid w:val="00202D3F"/>
    <w:rsid w:val="00205D86"/>
    <w:rsid w:val="00206850"/>
    <w:rsid w:val="00210736"/>
    <w:rsid w:val="00210F81"/>
    <w:rsid w:val="00211622"/>
    <w:rsid w:val="002117D4"/>
    <w:rsid w:val="00212C0F"/>
    <w:rsid w:val="00214561"/>
    <w:rsid w:val="00214B3E"/>
    <w:rsid w:val="00225EE2"/>
    <w:rsid w:val="002268E5"/>
    <w:rsid w:val="0022698E"/>
    <w:rsid w:val="00227912"/>
    <w:rsid w:val="002311EE"/>
    <w:rsid w:val="002370F5"/>
    <w:rsid w:val="00240A33"/>
    <w:rsid w:val="00240ACA"/>
    <w:rsid w:val="00240D7B"/>
    <w:rsid w:val="00241299"/>
    <w:rsid w:val="0024284E"/>
    <w:rsid w:val="00250E4A"/>
    <w:rsid w:val="00251814"/>
    <w:rsid w:val="00251B0C"/>
    <w:rsid w:val="00255462"/>
    <w:rsid w:val="00257CCC"/>
    <w:rsid w:val="00260957"/>
    <w:rsid w:val="002619A6"/>
    <w:rsid w:val="00264646"/>
    <w:rsid w:val="0026789E"/>
    <w:rsid w:val="00267F00"/>
    <w:rsid w:val="002717A8"/>
    <w:rsid w:val="0027232D"/>
    <w:rsid w:val="00273193"/>
    <w:rsid w:val="00274D0F"/>
    <w:rsid w:val="00277500"/>
    <w:rsid w:val="00281A5F"/>
    <w:rsid w:val="002873F4"/>
    <w:rsid w:val="00287484"/>
    <w:rsid w:val="00290A80"/>
    <w:rsid w:val="0029158F"/>
    <w:rsid w:val="00291600"/>
    <w:rsid w:val="00291F68"/>
    <w:rsid w:val="002925CA"/>
    <w:rsid w:val="002928EB"/>
    <w:rsid w:val="00297174"/>
    <w:rsid w:val="002A060A"/>
    <w:rsid w:val="002A4450"/>
    <w:rsid w:val="002A6750"/>
    <w:rsid w:val="002B0837"/>
    <w:rsid w:val="002B2296"/>
    <w:rsid w:val="002B4407"/>
    <w:rsid w:val="002B67B7"/>
    <w:rsid w:val="002C0429"/>
    <w:rsid w:val="002C19E4"/>
    <w:rsid w:val="002C6CC4"/>
    <w:rsid w:val="002D0B52"/>
    <w:rsid w:val="002D13C4"/>
    <w:rsid w:val="002D275E"/>
    <w:rsid w:val="002D37FB"/>
    <w:rsid w:val="002D6357"/>
    <w:rsid w:val="002D7584"/>
    <w:rsid w:val="002E3026"/>
    <w:rsid w:val="002E315B"/>
    <w:rsid w:val="002E339B"/>
    <w:rsid w:val="002E3F06"/>
    <w:rsid w:val="002E6FFA"/>
    <w:rsid w:val="002E7F8F"/>
    <w:rsid w:val="002F3F04"/>
    <w:rsid w:val="002F41BA"/>
    <w:rsid w:val="002F5ED5"/>
    <w:rsid w:val="00300BF6"/>
    <w:rsid w:val="00300E62"/>
    <w:rsid w:val="003018AA"/>
    <w:rsid w:val="00303B99"/>
    <w:rsid w:val="0030714F"/>
    <w:rsid w:val="003073E2"/>
    <w:rsid w:val="00307DDF"/>
    <w:rsid w:val="00313F93"/>
    <w:rsid w:val="00314A43"/>
    <w:rsid w:val="00322040"/>
    <w:rsid w:val="00322170"/>
    <w:rsid w:val="0032224F"/>
    <w:rsid w:val="003240B8"/>
    <w:rsid w:val="00325422"/>
    <w:rsid w:val="00333FDA"/>
    <w:rsid w:val="003340DE"/>
    <w:rsid w:val="0033690B"/>
    <w:rsid w:val="00340217"/>
    <w:rsid w:val="00340D19"/>
    <w:rsid w:val="00344804"/>
    <w:rsid w:val="00345B6D"/>
    <w:rsid w:val="0034743D"/>
    <w:rsid w:val="003518C8"/>
    <w:rsid w:val="0035304F"/>
    <w:rsid w:val="003533B5"/>
    <w:rsid w:val="003552F8"/>
    <w:rsid w:val="00355479"/>
    <w:rsid w:val="003622CA"/>
    <w:rsid w:val="00363030"/>
    <w:rsid w:val="0036462C"/>
    <w:rsid w:val="00364A42"/>
    <w:rsid w:val="003755FB"/>
    <w:rsid w:val="0037577C"/>
    <w:rsid w:val="003802CB"/>
    <w:rsid w:val="00385502"/>
    <w:rsid w:val="00386D50"/>
    <w:rsid w:val="00391100"/>
    <w:rsid w:val="00391A43"/>
    <w:rsid w:val="00391BA7"/>
    <w:rsid w:val="003956D4"/>
    <w:rsid w:val="003B0611"/>
    <w:rsid w:val="003B16DD"/>
    <w:rsid w:val="003B42D9"/>
    <w:rsid w:val="003B51C4"/>
    <w:rsid w:val="003C19BB"/>
    <w:rsid w:val="003C3140"/>
    <w:rsid w:val="003C385B"/>
    <w:rsid w:val="003C3E02"/>
    <w:rsid w:val="003C3FE8"/>
    <w:rsid w:val="003C4F77"/>
    <w:rsid w:val="003C73F9"/>
    <w:rsid w:val="003C74E7"/>
    <w:rsid w:val="003D47FE"/>
    <w:rsid w:val="003D5F07"/>
    <w:rsid w:val="003D6AB5"/>
    <w:rsid w:val="003D746C"/>
    <w:rsid w:val="003E06A9"/>
    <w:rsid w:val="003E3FF5"/>
    <w:rsid w:val="003E5354"/>
    <w:rsid w:val="003F0AD3"/>
    <w:rsid w:val="003F4ABB"/>
    <w:rsid w:val="003F4E46"/>
    <w:rsid w:val="003F51F4"/>
    <w:rsid w:val="003F52C6"/>
    <w:rsid w:val="003F558E"/>
    <w:rsid w:val="00403D6E"/>
    <w:rsid w:val="00407AC0"/>
    <w:rsid w:val="00412E30"/>
    <w:rsid w:val="00414686"/>
    <w:rsid w:val="004170AF"/>
    <w:rsid w:val="00421CDB"/>
    <w:rsid w:val="0042543C"/>
    <w:rsid w:val="00432BB7"/>
    <w:rsid w:val="004331E9"/>
    <w:rsid w:val="00433E8D"/>
    <w:rsid w:val="0043592C"/>
    <w:rsid w:val="004411B9"/>
    <w:rsid w:val="00441207"/>
    <w:rsid w:val="004422CA"/>
    <w:rsid w:val="00443807"/>
    <w:rsid w:val="00444EB8"/>
    <w:rsid w:val="004462F7"/>
    <w:rsid w:val="00447209"/>
    <w:rsid w:val="004506FA"/>
    <w:rsid w:val="00453944"/>
    <w:rsid w:val="0046019D"/>
    <w:rsid w:val="00460259"/>
    <w:rsid w:val="00464536"/>
    <w:rsid w:val="00464FC5"/>
    <w:rsid w:val="0046514E"/>
    <w:rsid w:val="00465EE3"/>
    <w:rsid w:val="0046623C"/>
    <w:rsid w:val="00467469"/>
    <w:rsid w:val="00467739"/>
    <w:rsid w:val="00470CC2"/>
    <w:rsid w:val="00470D0C"/>
    <w:rsid w:val="00473AC7"/>
    <w:rsid w:val="00474E22"/>
    <w:rsid w:val="00475935"/>
    <w:rsid w:val="0047608F"/>
    <w:rsid w:val="00476554"/>
    <w:rsid w:val="0048055E"/>
    <w:rsid w:val="004813D4"/>
    <w:rsid w:val="004831C8"/>
    <w:rsid w:val="00483617"/>
    <w:rsid w:val="00484E22"/>
    <w:rsid w:val="00491D91"/>
    <w:rsid w:val="0049243A"/>
    <w:rsid w:val="00493C66"/>
    <w:rsid w:val="0049580C"/>
    <w:rsid w:val="004965D4"/>
    <w:rsid w:val="0049768F"/>
    <w:rsid w:val="004A04E5"/>
    <w:rsid w:val="004A1495"/>
    <w:rsid w:val="004A2165"/>
    <w:rsid w:val="004A5F74"/>
    <w:rsid w:val="004B1052"/>
    <w:rsid w:val="004B5B7A"/>
    <w:rsid w:val="004B62E0"/>
    <w:rsid w:val="004B66A8"/>
    <w:rsid w:val="004B6B14"/>
    <w:rsid w:val="004C24B6"/>
    <w:rsid w:val="004D2DE1"/>
    <w:rsid w:val="004D3F35"/>
    <w:rsid w:val="004D462A"/>
    <w:rsid w:val="004D5372"/>
    <w:rsid w:val="004E2AA8"/>
    <w:rsid w:val="004E47EC"/>
    <w:rsid w:val="004E513F"/>
    <w:rsid w:val="004E514F"/>
    <w:rsid w:val="004E737F"/>
    <w:rsid w:val="004F0398"/>
    <w:rsid w:val="004F03DE"/>
    <w:rsid w:val="004F22DA"/>
    <w:rsid w:val="004F662A"/>
    <w:rsid w:val="00502165"/>
    <w:rsid w:val="00504834"/>
    <w:rsid w:val="00504C7A"/>
    <w:rsid w:val="00505AEE"/>
    <w:rsid w:val="0050632E"/>
    <w:rsid w:val="0050752D"/>
    <w:rsid w:val="00511EF3"/>
    <w:rsid w:val="00514051"/>
    <w:rsid w:val="00514507"/>
    <w:rsid w:val="005148FD"/>
    <w:rsid w:val="00515C3D"/>
    <w:rsid w:val="00515C61"/>
    <w:rsid w:val="0051751C"/>
    <w:rsid w:val="00521350"/>
    <w:rsid w:val="005217E8"/>
    <w:rsid w:val="00523FB6"/>
    <w:rsid w:val="0052586A"/>
    <w:rsid w:val="00525C26"/>
    <w:rsid w:val="00531ACD"/>
    <w:rsid w:val="00534D0A"/>
    <w:rsid w:val="00534D85"/>
    <w:rsid w:val="005351B9"/>
    <w:rsid w:val="00536011"/>
    <w:rsid w:val="00537094"/>
    <w:rsid w:val="00540287"/>
    <w:rsid w:val="005410B3"/>
    <w:rsid w:val="005418FE"/>
    <w:rsid w:val="0054342A"/>
    <w:rsid w:val="00545E1F"/>
    <w:rsid w:val="00550B79"/>
    <w:rsid w:val="00551012"/>
    <w:rsid w:val="0055150B"/>
    <w:rsid w:val="00551DCE"/>
    <w:rsid w:val="005532F9"/>
    <w:rsid w:val="0055440B"/>
    <w:rsid w:val="0055708D"/>
    <w:rsid w:val="00561CA6"/>
    <w:rsid w:val="00563F93"/>
    <w:rsid w:val="00564565"/>
    <w:rsid w:val="005647BE"/>
    <w:rsid w:val="00566299"/>
    <w:rsid w:val="005722B0"/>
    <w:rsid w:val="005725F6"/>
    <w:rsid w:val="005771A0"/>
    <w:rsid w:val="00581D16"/>
    <w:rsid w:val="005856F9"/>
    <w:rsid w:val="00586817"/>
    <w:rsid w:val="00586D92"/>
    <w:rsid w:val="00587507"/>
    <w:rsid w:val="005936C0"/>
    <w:rsid w:val="0059421B"/>
    <w:rsid w:val="005950B6"/>
    <w:rsid w:val="00596A0B"/>
    <w:rsid w:val="00596E05"/>
    <w:rsid w:val="00596F85"/>
    <w:rsid w:val="005970FA"/>
    <w:rsid w:val="005A0176"/>
    <w:rsid w:val="005A088E"/>
    <w:rsid w:val="005A2298"/>
    <w:rsid w:val="005A28C1"/>
    <w:rsid w:val="005A3E72"/>
    <w:rsid w:val="005A72FC"/>
    <w:rsid w:val="005A7717"/>
    <w:rsid w:val="005B0388"/>
    <w:rsid w:val="005B0D83"/>
    <w:rsid w:val="005B109A"/>
    <w:rsid w:val="005C1658"/>
    <w:rsid w:val="005C2FD5"/>
    <w:rsid w:val="005C5378"/>
    <w:rsid w:val="005C671C"/>
    <w:rsid w:val="005D11FC"/>
    <w:rsid w:val="005D2AB9"/>
    <w:rsid w:val="005D34E2"/>
    <w:rsid w:val="005D496E"/>
    <w:rsid w:val="005D564C"/>
    <w:rsid w:val="005D6E35"/>
    <w:rsid w:val="005D7C20"/>
    <w:rsid w:val="005E3119"/>
    <w:rsid w:val="005E3F0B"/>
    <w:rsid w:val="005E667F"/>
    <w:rsid w:val="005E6960"/>
    <w:rsid w:val="005E767E"/>
    <w:rsid w:val="005E7EB8"/>
    <w:rsid w:val="005F08B2"/>
    <w:rsid w:val="005F18D6"/>
    <w:rsid w:val="005F1F51"/>
    <w:rsid w:val="005F3D82"/>
    <w:rsid w:val="005F5307"/>
    <w:rsid w:val="005F65CD"/>
    <w:rsid w:val="00600EC1"/>
    <w:rsid w:val="00603024"/>
    <w:rsid w:val="00605D32"/>
    <w:rsid w:val="006116E3"/>
    <w:rsid w:val="00614EAD"/>
    <w:rsid w:val="006152F3"/>
    <w:rsid w:val="006169BC"/>
    <w:rsid w:val="00616A5A"/>
    <w:rsid w:val="00617443"/>
    <w:rsid w:val="00617D24"/>
    <w:rsid w:val="006205AE"/>
    <w:rsid w:val="006243DD"/>
    <w:rsid w:val="00624400"/>
    <w:rsid w:val="00624E51"/>
    <w:rsid w:val="00626162"/>
    <w:rsid w:val="0062663C"/>
    <w:rsid w:val="00634719"/>
    <w:rsid w:val="00635B20"/>
    <w:rsid w:val="00637778"/>
    <w:rsid w:val="006420A9"/>
    <w:rsid w:val="00645DCA"/>
    <w:rsid w:val="006466D7"/>
    <w:rsid w:val="006503E8"/>
    <w:rsid w:val="00654A4A"/>
    <w:rsid w:val="006551FF"/>
    <w:rsid w:val="0065545A"/>
    <w:rsid w:val="00656591"/>
    <w:rsid w:val="00660BBC"/>
    <w:rsid w:val="0066115E"/>
    <w:rsid w:val="00661A22"/>
    <w:rsid w:val="006647D3"/>
    <w:rsid w:val="00666078"/>
    <w:rsid w:val="006661CF"/>
    <w:rsid w:val="00667737"/>
    <w:rsid w:val="00670BFD"/>
    <w:rsid w:val="00670DBE"/>
    <w:rsid w:val="00671E4C"/>
    <w:rsid w:val="00673813"/>
    <w:rsid w:val="00674295"/>
    <w:rsid w:val="00677F12"/>
    <w:rsid w:val="00681093"/>
    <w:rsid w:val="006818A8"/>
    <w:rsid w:val="00681A51"/>
    <w:rsid w:val="00682469"/>
    <w:rsid w:val="006833EC"/>
    <w:rsid w:val="00683D97"/>
    <w:rsid w:val="00684FCA"/>
    <w:rsid w:val="00685D3E"/>
    <w:rsid w:val="00686B5C"/>
    <w:rsid w:val="00690B86"/>
    <w:rsid w:val="00694865"/>
    <w:rsid w:val="006952C9"/>
    <w:rsid w:val="0069634D"/>
    <w:rsid w:val="00696997"/>
    <w:rsid w:val="00697731"/>
    <w:rsid w:val="006A0564"/>
    <w:rsid w:val="006A24B7"/>
    <w:rsid w:val="006A758C"/>
    <w:rsid w:val="006B2D47"/>
    <w:rsid w:val="006B3E86"/>
    <w:rsid w:val="006B5B2B"/>
    <w:rsid w:val="006C0899"/>
    <w:rsid w:val="006C1EEC"/>
    <w:rsid w:val="006C296E"/>
    <w:rsid w:val="006C3FEA"/>
    <w:rsid w:val="006C69E7"/>
    <w:rsid w:val="006D10AE"/>
    <w:rsid w:val="006D29F2"/>
    <w:rsid w:val="006D5087"/>
    <w:rsid w:val="006D6760"/>
    <w:rsid w:val="006D797F"/>
    <w:rsid w:val="006D7CA2"/>
    <w:rsid w:val="006E065B"/>
    <w:rsid w:val="006E09D3"/>
    <w:rsid w:val="006E1E6C"/>
    <w:rsid w:val="006E4A5B"/>
    <w:rsid w:val="006E4A88"/>
    <w:rsid w:val="006E5505"/>
    <w:rsid w:val="006F240A"/>
    <w:rsid w:val="006F270C"/>
    <w:rsid w:val="006F2FB3"/>
    <w:rsid w:val="006F4AC7"/>
    <w:rsid w:val="006F4C28"/>
    <w:rsid w:val="006F531B"/>
    <w:rsid w:val="006F62BC"/>
    <w:rsid w:val="006F723A"/>
    <w:rsid w:val="00702493"/>
    <w:rsid w:val="00710545"/>
    <w:rsid w:val="00714F3B"/>
    <w:rsid w:val="007166F7"/>
    <w:rsid w:val="00716AEF"/>
    <w:rsid w:val="00717076"/>
    <w:rsid w:val="00717296"/>
    <w:rsid w:val="00726354"/>
    <w:rsid w:val="00727370"/>
    <w:rsid w:val="007319FE"/>
    <w:rsid w:val="00734956"/>
    <w:rsid w:val="00735D9E"/>
    <w:rsid w:val="00735EEC"/>
    <w:rsid w:val="0073602B"/>
    <w:rsid w:val="00736306"/>
    <w:rsid w:val="00740BD4"/>
    <w:rsid w:val="0074109C"/>
    <w:rsid w:val="00742335"/>
    <w:rsid w:val="00742842"/>
    <w:rsid w:val="007460C3"/>
    <w:rsid w:val="007476D9"/>
    <w:rsid w:val="007478BA"/>
    <w:rsid w:val="00753376"/>
    <w:rsid w:val="007539CC"/>
    <w:rsid w:val="007543B0"/>
    <w:rsid w:val="007568A9"/>
    <w:rsid w:val="007602FB"/>
    <w:rsid w:val="00761514"/>
    <w:rsid w:val="0076226A"/>
    <w:rsid w:val="00763CE7"/>
    <w:rsid w:val="00764CAE"/>
    <w:rsid w:val="00767FE6"/>
    <w:rsid w:val="00772177"/>
    <w:rsid w:val="00774EEF"/>
    <w:rsid w:val="00775C65"/>
    <w:rsid w:val="00775EE7"/>
    <w:rsid w:val="0077639A"/>
    <w:rsid w:val="0078100C"/>
    <w:rsid w:val="0078157F"/>
    <w:rsid w:val="00786F48"/>
    <w:rsid w:val="0078772C"/>
    <w:rsid w:val="007878E4"/>
    <w:rsid w:val="00787F1E"/>
    <w:rsid w:val="007963BD"/>
    <w:rsid w:val="007A1B9B"/>
    <w:rsid w:val="007A2590"/>
    <w:rsid w:val="007A4783"/>
    <w:rsid w:val="007A5191"/>
    <w:rsid w:val="007B0500"/>
    <w:rsid w:val="007B111B"/>
    <w:rsid w:val="007B2A40"/>
    <w:rsid w:val="007B328E"/>
    <w:rsid w:val="007B3AE8"/>
    <w:rsid w:val="007B4418"/>
    <w:rsid w:val="007B567D"/>
    <w:rsid w:val="007B5F62"/>
    <w:rsid w:val="007B66B3"/>
    <w:rsid w:val="007B7077"/>
    <w:rsid w:val="007C01A6"/>
    <w:rsid w:val="007C3003"/>
    <w:rsid w:val="007C4702"/>
    <w:rsid w:val="007C6B60"/>
    <w:rsid w:val="007C6F85"/>
    <w:rsid w:val="007D12D4"/>
    <w:rsid w:val="007D3752"/>
    <w:rsid w:val="007D3AA0"/>
    <w:rsid w:val="007D3FE2"/>
    <w:rsid w:val="007D5531"/>
    <w:rsid w:val="007D5690"/>
    <w:rsid w:val="007D69FA"/>
    <w:rsid w:val="007E1600"/>
    <w:rsid w:val="007E716D"/>
    <w:rsid w:val="007F0F7B"/>
    <w:rsid w:val="007F7E10"/>
    <w:rsid w:val="0081036B"/>
    <w:rsid w:val="00810603"/>
    <w:rsid w:val="00814283"/>
    <w:rsid w:val="00820209"/>
    <w:rsid w:val="00820F35"/>
    <w:rsid w:val="00820FEC"/>
    <w:rsid w:val="00822A99"/>
    <w:rsid w:val="0082393D"/>
    <w:rsid w:val="00824126"/>
    <w:rsid w:val="00824834"/>
    <w:rsid w:val="00825C03"/>
    <w:rsid w:val="0083324D"/>
    <w:rsid w:val="00841733"/>
    <w:rsid w:val="0084222D"/>
    <w:rsid w:val="00844D38"/>
    <w:rsid w:val="00844D85"/>
    <w:rsid w:val="00850D9A"/>
    <w:rsid w:val="00851590"/>
    <w:rsid w:val="008524BE"/>
    <w:rsid w:val="00853BC2"/>
    <w:rsid w:val="00854278"/>
    <w:rsid w:val="00856063"/>
    <w:rsid w:val="00857172"/>
    <w:rsid w:val="0086236A"/>
    <w:rsid w:val="00864300"/>
    <w:rsid w:val="00866294"/>
    <w:rsid w:val="008675D5"/>
    <w:rsid w:val="0087035A"/>
    <w:rsid w:val="0087347D"/>
    <w:rsid w:val="008754F1"/>
    <w:rsid w:val="00882DAD"/>
    <w:rsid w:val="00885263"/>
    <w:rsid w:val="00885703"/>
    <w:rsid w:val="00890765"/>
    <w:rsid w:val="00892215"/>
    <w:rsid w:val="00892DA5"/>
    <w:rsid w:val="00894469"/>
    <w:rsid w:val="008949B1"/>
    <w:rsid w:val="0089713E"/>
    <w:rsid w:val="008A10F3"/>
    <w:rsid w:val="008A17C1"/>
    <w:rsid w:val="008A5C0F"/>
    <w:rsid w:val="008B1596"/>
    <w:rsid w:val="008C09C4"/>
    <w:rsid w:val="008C09FF"/>
    <w:rsid w:val="008C1F44"/>
    <w:rsid w:val="008C58B0"/>
    <w:rsid w:val="008C646F"/>
    <w:rsid w:val="008D0834"/>
    <w:rsid w:val="008E2843"/>
    <w:rsid w:val="008E3E4B"/>
    <w:rsid w:val="008E4EF9"/>
    <w:rsid w:val="008E56EF"/>
    <w:rsid w:val="008E60D6"/>
    <w:rsid w:val="008E6DFC"/>
    <w:rsid w:val="008E7710"/>
    <w:rsid w:val="009001D5"/>
    <w:rsid w:val="00900D4D"/>
    <w:rsid w:val="00903F34"/>
    <w:rsid w:val="00905C0A"/>
    <w:rsid w:val="00910BE5"/>
    <w:rsid w:val="00911BEF"/>
    <w:rsid w:val="009122F8"/>
    <w:rsid w:val="009124DD"/>
    <w:rsid w:val="00915520"/>
    <w:rsid w:val="009155F7"/>
    <w:rsid w:val="009168CB"/>
    <w:rsid w:val="00921131"/>
    <w:rsid w:val="009247F5"/>
    <w:rsid w:val="00926AB2"/>
    <w:rsid w:val="009319E3"/>
    <w:rsid w:val="00934B51"/>
    <w:rsid w:val="009407FE"/>
    <w:rsid w:val="00942436"/>
    <w:rsid w:val="009529C7"/>
    <w:rsid w:val="00957603"/>
    <w:rsid w:val="00957A1D"/>
    <w:rsid w:val="00961323"/>
    <w:rsid w:val="009625B2"/>
    <w:rsid w:val="009625DD"/>
    <w:rsid w:val="00964680"/>
    <w:rsid w:val="0096487B"/>
    <w:rsid w:val="00967726"/>
    <w:rsid w:val="009757D1"/>
    <w:rsid w:val="00980754"/>
    <w:rsid w:val="009808C7"/>
    <w:rsid w:val="00981535"/>
    <w:rsid w:val="009825C8"/>
    <w:rsid w:val="0098409F"/>
    <w:rsid w:val="00985537"/>
    <w:rsid w:val="00987193"/>
    <w:rsid w:val="00991649"/>
    <w:rsid w:val="00991698"/>
    <w:rsid w:val="00991C17"/>
    <w:rsid w:val="00992D1E"/>
    <w:rsid w:val="00992DA8"/>
    <w:rsid w:val="00997EB2"/>
    <w:rsid w:val="009A06F5"/>
    <w:rsid w:val="009A0788"/>
    <w:rsid w:val="009A0E92"/>
    <w:rsid w:val="009A17EC"/>
    <w:rsid w:val="009A25AD"/>
    <w:rsid w:val="009A779A"/>
    <w:rsid w:val="009B03DF"/>
    <w:rsid w:val="009B1D28"/>
    <w:rsid w:val="009B6AF0"/>
    <w:rsid w:val="009B6AF6"/>
    <w:rsid w:val="009C292D"/>
    <w:rsid w:val="009C46E1"/>
    <w:rsid w:val="009C5F0C"/>
    <w:rsid w:val="009C67C0"/>
    <w:rsid w:val="009D1035"/>
    <w:rsid w:val="009D13D0"/>
    <w:rsid w:val="009D2068"/>
    <w:rsid w:val="009D2105"/>
    <w:rsid w:val="009D38D6"/>
    <w:rsid w:val="009D5F08"/>
    <w:rsid w:val="009D7D33"/>
    <w:rsid w:val="009E2E46"/>
    <w:rsid w:val="009E485E"/>
    <w:rsid w:val="009E4DD4"/>
    <w:rsid w:val="009E4E3F"/>
    <w:rsid w:val="009E4F52"/>
    <w:rsid w:val="009E698B"/>
    <w:rsid w:val="009F1547"/>
    <w:rsid w:val="009F41F2"/>
    <w:rsid w:val="009F4ABA"/>
    <w:rsid w:val="009F4F86"/>
    <w:rsid w:val="009F66D1"/>
    <w:rsid w:val="009F6A2B"/>
    <w:rsid w:val="00A00FF2"/>
    <w:rsid w:val="00A0150D"/>
    <w:rsid w:val="00A066AE"/>
    <w:rsid w:val="00A10DD9"/>
    <w:rsid w:val="00A12C6B"/>
    <w:rsid w:val="00A14117"/>
    <w:rsid w:val="00A149FA"/>
    <w:rsid w:val="00A17DF0"/>
    <w:rsid w:val="00A20F78"/>
    <w:rsid w:val="00A218F1"/>
    <w:rsid w:val="00A242D7"/>
    <w:rsid w:val="00A25073"/>
    <w:rsid w:val="00A26448"/>
    <w:rsid w:val="00A26A07"/>
    <w:rsid w:val="00A26D31"/>
    <w:rsid w:val="00A27DEE"/>
    <w:rsid w:val="00A31B93"/>
    <w:rsid w:val="00A375EF"/>
    <w:rsid w:val="00A50B09"/>
    <w:rsid w:val="00A528C2"/>
    <w:rsid w:val="00A54AFD"/>
    <w:rsid w:val="00A54E69"/>
    <w:rsid w:val="00A552C7"/>
    <w:rsid w:val="00A56F82"/>
    <w:rsid w:val="00A57DBE"/>
    <w:rsid w:val="00A61165"/>
    <w:rsid w:val="00A61B06"/>
    <w:rsid w:val="00A62113"/>
    <w:rsid w:val="00A633D2"/>
    <w:rsid w:val="00A6759C"/>
    <w:rsid w:val="00A67923"/>
    <w:rsid w:val="00A713ED"/>
    <w:rsid w:val="00A714B8"/>
    <w:rsid w:val="00A74901"/>
    <w:rsid w:val="00A74DA7"/>
    <w:rsid w:val="00A75733"/>
    <w:rsid w:val="00A76308"/>
    <w:rsid w:val="00A77B5B"/>
    <w:rsid w:val="00A77C08"/>
    <w:rsid w:val="00A80AE0"/>
    <w:rsid w:val="00A81527"/>
    <w:rsid w:val="00A81612"/>
    <w:rsid w:val="00A82058"/>
    <w:rsid w:val="00A8382A"/>
    <w:rsid w:val="00A84AE7"/>
    <w:rsid w:val="00A84F08"/>
    <w:rsid w:val="00A869B0"/>
    <w:rsid w:val="00A909BD"/>
    <w:rsid w:val="00A9289F"/>
    <w:rsid w:val="00A92C1D"/>
    <w:rsid w:val="00A95227"/>
    <w:rsid w:val="00A97B26"/>
    <w:rsid w:val="00AA07AF"/>
    <w:rsid w:val="00AA0C77"/>
    <w:rsid w:val="00AA13CC"/>
    <w:rsid w:val="00AA1D27"/>
    <w:rsid w:val="00AA204C"/>
    <w:rsid w:val="00AA2D57"/>
    <w:rsid w:val="00AA3941"/>
    <w:rsid w:val="00AA56D0"/>
    <w:rsid w:val="00AB0C9F"/>
    <w:rsid w:val="00AB143A"/>
    <w:rsid w:val="00AB15AB"/>
    <w:rsid w:val="00AC003C"/>
    <w:rsid w:val="00AC0103"/>
    <w:rsid w:val="00AC1404"/>
    <w:rsid w:val="00AC3158"/>
    <w:rsid w:val="00AD039F"/>
    <w:rsid w:val="00AD11F3"/>
    <w:rsid w:val="00AD3902"/>
    <w:rsid w:val="00AD6010"/>
    <w:rsid w:val="00AD7534"/>
    <w:rsid w:val="00AE33FF"/>
    <w:rsid w:val="00AF06D5"/>
    <w:rsid w:val="00AF09DD"/>
    <w:rsid w:val="00AF2C9E"/>
    <w:rsid w:val="00AF740A"/>
    <w:rsid w:val="00B00381"/>
    <w:rsid w:val="00B02655"/>
    <w:rsid w:val="00B033ED"/>
    <w:rsid w:val="00B05102"/>
    <w:rsid w:val="00B16A34"/>
    <w:rsid w:val="00B203B8"/>
    <w:rsid w:val="00B216E9"/>
    <w:rsid w:val="00B23846"/>
    <w:rsid w:val="00B25453"/>
    <w:rsid w:val="00B26B69"/>
    <w:rsid w:val="00B30AAA"/>
    <w:rsid w:val="00B31B9C"/>
    <w:rsid w:val="00B34B34"/>
    <w:rsid w:val="00B34D6C"/>
    <w:rsid w:val="00B4017D"/>
    <w:rsid w:val="00B462FF"/>
    <w:rsid w:val="00B475B4"/>
    <w:rsid w:val="00B5544F"/>
    <w:rsid w:val="00B55CE6"/>
    <w:rsid w:val="00B55E5D"/>
    <w:rsid w:val="00B60A36"/>
    <w:rsid w:val="00B61FC1"/>
    <w:rsid w:val="00B63874"/>
    <w:rsid w:val="00B66867"/>
    <w:rsid w:val="00B66994"/>
    <w:rsid w:val="00B66A49"/>
    <w:rsid w:val="00B71AFB"/>
    <w:rsid w:val="00B71C35"/>
    <w:rsid w:val="00B71F3A"/>
    <w:rsid w:val="00B73C97"/>
    <w:rsid w:val="00B74B9C"/>
    <w:rsid w:val="00B76340"/>
    <w:rsid w:val="00B80C43"/>
    <w:rsid w:val="00B826DC"/>
    <w:rsid w:val="00B83359"/>
    <w:rsid w:val="00B940D5"/>
    <w:rsid w:val="00B94786"/>
    <w:rsid w:val="00B9530E"/>
    <w:rsid w:val="00BA2138"/>
    <w:rsid w:val="00BA6300"/>
    <w:rsid w:val="00BA78B6"/>
    <w:rsid w:val="00BB26AD"/>
    <w:rsid w:val="00BB79BD"/>
    <w:rsid w:val="00BC0822"/>
    <w:rsid w:val="00BC7208"/>
    <w:rsid w:val="00BC795A"/>
    <w:rsid w:val="00BD0B48"/>
    <w:rsid w:val="00BD2A0A"/>
    <w:rsid w:val="00BD2A3A"/>
    <w:rsid w:val="00BD3BE0"/>
    <w:rsid w:val="00BD5D0F"/>
    <w:rsid w:val="00BD7581"/>
    <w:rsid w:val="00BD7C68"/>
    <w:rsid w:val="00BE1CBC"/>
    <w:rsid w:val="00BE29DC"/>
    <w:rsid w:val="00BE2ABE"/>
    <w:rsid w:val="00BE36C3"/>
    <w:rsid w:val="00BE54A8"/>
    <w:rsid w:val="00BE5F9A"/>
    <w:rsid w:val="00BE76EC"/>
    <w:rsid w:val="00BF1C3C"/>
    <w:rsid w:val="00BF27E1"/>
    <w:rsid w:val="00BF4AB8"/>
    <w:rsid w:val="00BF697A"/>
    <w:rsid w:val="00BF6ADB"/>
    <w:rsid w:val="00C03776"/>
    <w:rsid w:val="00C05904"/>
    <w:rsid w:val="00C12127"/>
    <w:rsid w:val="00C13821"/>
    <w:rsid w:val="00C13D37"/>
    <w:rsid w:val="00C14051"/>
    <w:rsid w:val="00C15D3B"/>
    <w:rsid w:val="00C15F73"/>
    <w:rsid w:val="00C17D8C"/>
    <w:rsid w:val="00C2037B"/>
    <w:rsid w:val="00C22FF7"/>
    <w:rsid w:val="00C27F76"/>
    <w:rsid w:val="00C30DA4"/>
    <w:rsid w:val="00C333E8"/>
    <w:rsid w:val="00C34EB2"/>
    <w:rsid w:val="00C36C48"/>
    <w:rsid w:val="00C43758"/>
    <w:rsid w:val="00C44719"/>
    <w:rsid w:val="00C46378"/>
    <w:rsid w:val="00C50108"/>
    <w:rsid w:val="00C50FEF"/>
    <w:rsid w:val="00C51ECB"/>
    <w:rsid w:val="00C61C93"/>
    <w:rsid w:val="00C64E5A"/>
    <w:rsid w:val="00C65496"/>
    <w:rsid w:val="00C6572C"/>
    <w:rsid w:val="00C70CFF"/>
    <w:rsid w:val="00C71787"/>
    <w:rsid w:val="00C71B4E"/>
    <w:rsid w:val="00C75655"/>
    <w:rsid w:val="00C75935"/>
    <w:rsid w:val="00C76F15"/>
    <w:rsid w:val="00C779C2"/>
    <w:rsid w:val="00C837C3"/>
    <w:rsid w:val="00C84497"/>
    <w:rsid w:val="00C852E2"/>
    <w:rsid w:val="00C85A64"/>
    <w:rsid w:val="00C85DCE"/>
    <w:rsid w:val="00C868F6"/>
    <w:rsid w:val="00C900A3"/>
    <w:rsid w:val="00C90F37"/>
    <w:rsid w:val="00C9137C"/>
    <w:rsid w:val="00C91644"/>
    <w:rsid w:val="00C9663B"/>
    <w:rsid w:val="00CA0EC7"/>
    <w:rsid w:val="00CA115C"/>
    <w:rsid w:val="00CA1CCC"/>
    <w:rsid w:val="00CA43A5"/>
    <w:rsid w:val="00CA656F"/>
    <w:rsid w:val="00CA7C0B"/>
    <w:rsid w:val="00CB0D42"/>
    <w:rsid w:val="00CB1F21"/>
    <w:rsid w:val="00CB65C6"/>
    <w:rsid w:val="00CB6E2B"/>
    <w:rsid w:val="00CB6FF7"/>
    <w:rsid w:val="00CB7302"/>
    <w:rsid w:val="00CC1E9F"/>
    <w:rsid w:val="00CC292F"/>
    <w:rsid w:val="00CC5896"/>
    <w:rsid w:val="00CD0F7A"/>
    <w:rsid w:val="00CD1394"/>
    <w:rsid w:val="00CE0C35"/>
    <w:rsid w:val="00CE22CE"/>
    <w:rsid w:val="00CE3810"/>
    <w:rsid w:val="00CE52B4"/>
    <w:rsid w:val="00CE58BB"/>
    <w:rsid w:val="00CE5DCD"/>
    <w:rsid w:val="00CE701C"/>
    <w:rsid w:val="00CE7599"/>
    <w:rsid w:val="00CF414A"/>
    <w:rsid w:val="00CF4F36"/>
    <w:rsid w:val="00CF4FF0"/>
    <w:rsid w:val="00CF5B47"/>
    <w:rsid w:val="00D00812"/>
    <w:rsid w:val="00D00D30"/>
    <w:rsid w:val="00D03F67"/>
    <w:rsid w:val="00D104F9"/>
    <w:rsid w:val="00D14323"/>
    <w:rsid w:val="00D16008"/>
    <w:rsid w:val="00D166D4"/>
    <w:rsid w:val="00D16CFB"/>
    <w:rsid w:val="00D2258E"/>
    <w:rsid w:val="00D30254"/>
    <w:rsid w:val="00D30A15"/>
    <w:rsid w:val="00D30D0C"/>
    <w:rsid w:val="00D31B58"/>
    <w:rsid w:val="00D32692"/>
    <w:rsid w:val="00D32ED2"/>
    <w:rsid w:val="00D33768"/>
    <w:rsid w:val="00D33D87"/>
    <w:rsid w:val="00D34365"/>
    <w:rsid w:val="00D35077"/>
    <w:rsid w:val="00D35A6E"/>
    <w:rsid w:val="00D408A8"/>
    <w:rsid w:val="00D459E2"/>
    <w:rsid w:val="00D46DAE"/>
    <w:rsid w:val="00D51C8F"/>
    <w:rsid w:val="00D5204B"/>
    <w:rsid w:val="00D54C10"/>
    <w:rsid w:val="00D55191"/>
    <w:rsid w:val="00D55CD0"/>
    <w:rsid w:val="00D55D75"/>
    <w:rsid w:val="00D567EF"/>
    <w:rsid w:val="00D57544"/>
    <w:rsid w:val="00D57973"/>
    <w:rsid w:val="00D57E8E"/>
    <w:rsid w:val="00D60CE2"/>
    <w:rsid w:val="00D612EC"/>
    <w:rsid w:val="00D6153E"/>
    <w:rsid w:val="00D623C4"/>
    <w:rsid w:val="00D63B97"/>
    <w:rsid w:val="00D66504"/>
    <w:rsid w:val="00D700BB"/>
    <w:rsid w:val="00D722DF"/>
    <w:rsid w:val="00D72A48"/>
    <w:rsid w:val="00D73A96"/>
    <w:rsid w:val="00D73B60"/>
    <w:rsid w:val="00D73DB2"/>
    <w:rsid w:val="00D774B8"/>
    <w:rsid w:val="00D84675"/>
    <w:rsid w:val="00D8526A"/>
    <w:rsid w:val="00D86252"/>
    <w:rsid w:val="00D90B4A"/>
    <w:rsid w:val="00D917F3"/>
    <w:rsid w:val="00D9419A"/>
    <w:rsid w:val="00D95CA7"/>
    <w:rsid w:val="00D97BAA"/>
    <w:rsid w:val="00DA2BB5"/>
    <w:rsid w:val="00DA3AF3"/>
    <w:rsid w:val="00DA5455"/>
    <w:rsid w:val="00DA5C2B"/>
    <w:rsid w:val="00DA6100"/>
    <w:rsid w:val="00DB5EFB"/>
    <w:rsid w:val="00DB6EF1"/>
    <w:rsid w:val="00DB7098"/>
    <w:rsid w:val="00DC0276"/>
    <w:rsid w:val="00DC19BB"/>
    <w:rsid w:val="00DC5CF7"/>
    <w:rsid w:val="00DC5D14"/>
    <w:rsid w:val="00DC6404"/>
    <w:rsid w:val="00DC67F3"/>
    <w:rsid w:val="00DD4050"/>
    <w:rsid w:val="00DD7FDF"/>
    <w:rsid w:val="00DE1703"/>
    <w:rsid w:val="00DE25AC"/>
    <w:rsid w:val="00DE3209"/>
    <w:rsid w:val="00DE619E"/>
    <w:rsid w:val="00DF1C6F"/>
    <w:rsid w:val="00DF3F41"/>
    <w:rsid w:val="00DF568D"/>
    <w:rsid w:val="00E00CCB"/>
    <w:rsid w:val="00E01589"/>
    <w:rsid w:val="00E01B29"/>
    <w:rsid w:val="00E036B1"/>
    <w:rsid w:val="00E042C7"/>
    <w:rsid w:val="00E05BD9"/>
    <w:rsid w:val="00E0781A"/>
    <w:rsid w:val="00E11475"/>
    <w:rsid w:val="00E152E4"/>
    <w:rsid w:val="00E17098"/>
    <w:rsid w:val="00E175A7"/>
    <w:rsid w:val="00E20168"/>
    <w:rsid w:val="00E20740"/>
    <w:rsid w:val="00E20E92"/>
    <w:rsid w:val="00E243CC"/>
    <w:rsid w:val="00E245DA"/>
    <w:rsid w:val="00E24645"/>
    <w:rsid w:val="00E25492"/>
    <w:rsid w:val="00E31BCB"/>
    <w:rsid w:val="00E32963"/>
    <w:rsid w:val="00E337BC"/>
    <w:rsid w:val="00E350CD"/>
    <w:rsid w:val="00E372A9"/>
    <w:rsid w:val="00E4001B"/>
    <w:rsid w:val="00E414F9"/>
    <w:rsid w:val="00E455A3"/>
    <w:rsid w:val="00E45850"/>
    <w:rsid w:val="00E47C08"/>
    <w:rsid w:val="00E51DA6"/>
    <w:rsid w:val="00E51FDE"/>
    <w:rsid w:val="00E530CD"/>
    <w:rsid w:val="00E534B2"/>
    <w:rsid w:val="00E54719"/>
    <w:rsid w:val="00E553C1"/>
    <w:rsid w:val="00E563F6"/>
    <w:rsid w:val="00E56B66"/>
    <w:rsid w:val="00E579AF"/>
    <w:rsid w:val="00E61DD8"/>
    <w:rsid w:val="00E6613F"/>
    <w:rsid w:val="00E705B7"/>
    <w:rsid w:val="00E7086E"/>
    <w:rsid w:val="00E708EE"/>
    <w:rsid w:val="00E70ECC"/>
    <w:rsid w:val="00E71A89"/>
    <w:rsid w:val="00E77197"/>
    <w:rsid w:val="00E81B1A"/>
    <w:rsid w:val="00E84FB3"/>
    <w:rsid w:val="00E87037"/>
    <w:rsid w:val="00E9737C"/>
    <w:rsid w:val="00EA0F03"/>
    <w:rsid w:val="00EA1EF9"/>
    <w:rsid w:val="00EA2CA0"/>
    <w:rsid w:val="00EA4BEE"/>
    <w:rsid w:val="00EA7237"/>
    <w:rsid w:val="00EB055B"/>
    <w:rsid w:val="00EB112A"/>
    <w:rsid w:val="00EB20B0"/>
    <w:rsid w:val="00EB2BBF"/>
    <w:rsid w:val="00EB574E"/>
    <w:rsid w:val="00EC1212"/>
    <w:rsid w:val="00EC1D3D"/>
    <w:rsid w:val="00EC3331"/>
    <w:rsid w:val="00EC5537"/>
    <w:rsid w:val="00EC6312"/>
    <w:rsid w:val="00EC677E"/>
    <w:rsid w:val="00EC7E67"/>
    <w:rsid w:val="00EC7FBC"/>
    <w:rsid w:val="00ED4CA0"/>
    <w:rsid w:val="00ED5B5C"/>
    <w:rsid w:val="00ED5CE4"/>
    <w:rsid w:val="00ED70BD"/>
    <w:rsid w:val="00EE0B3E"/>
    <w:rsid w:val="00EE37BB"/>
    <w:rsid w:val="00EE4EF3"/>
    <w:rsid w:val="00EF4099"/>
    <w:rsid w:val="00EF6BDC"/>
    <w:rsid w:val="00EF7F84"/>
    <w:rsid w:val="00F01C4C"/>
    <w:rsid w:val="00F02786"/>
    <w:rsid w:val="00F0434F"/>
    <w:rsid w:val="00F05EDE"/>
    <w:rsid w:val="00F0670F"/>
    <w:rsid w:val="00F06C72"/>
    <w:rsid w:val="00F07FA6"/>
    <w:rsid w:val="00F11BB3"/>
    <w:rsid w:val="00F12FEB"/>
    <w:rsid w:val="00F13036"/>
    <w:rsid w:val="00F1306C"/>
    <w:rsid w:val="00F13415"/>
    <w:rsid w:val="00F13659"/>
    <w:rsid w:val="00F21D1A"/>
    <w:rsid w:val="00F22865"/>
    <w:rsid w:val="00F24D75"/>
    <w:rsid w:val="00F25A7B"/>
    <w:rsid w:val="00F261E3"/>
    <w:rsid w:val="00F32586"/>
    <w:rsid w:val="00F32D2C"/>
    <w:rsid w:val="00F336DB"/>
    <w:rsid w:val="00F34B2F"/>
    <w:rsid w:val="00F34F33"/>
    <w:rsid w:val="00F36D1F"/>
    <w:rsid w:val="00F3769E"/>
    <w:rsid w:val="00F40F06"/>
    <w:rsid w:val="00F42669"/>
    <w:rsid w:val="00F4749B"/>
    <w:rsid w:val="00F50324"/>
    <w:rsid w:val="00F511D8"/>
    <w:rsid w:val="00F514FB"/>
    <w:rsid w:val="00F53BF7"/>
    <w:rsid w:val="00F56B7F"/>
    <w:rsid w:val="00F56CE9"/>
    <w:rsid w:val="00F61151"/>
    <w:rsid w:val="00F619D5"/>
    <w:rsid w:val="00F64ECE"/>
    <w:rsid w:val="00F674A5"/>
    <w:rsid w:val="00F67B6E"/>
    <w:rsid w:val="00F77765"/>
    <w:rsid w:val="00F77EC3"/>
    <w:rsid w:val="00F85E98"/>
    <w:rsid w:val="00F864E7"/>
    <w:rsid w:val="00F916E5"/>
    <w:rsid w:val="00F95BB9"/>
    <w:rsid w:val="00FA7C8B"/>
    <w:rsid w:val="00FB0249"/>
    <w:rsid w:val="00FB793A"/>
    <w:rsid w:val="00FC0497"/>
    <w:rsid w:val="00FC5915"/>
    <w:rsid w:val="00FC5D6D"/>
    <w:rsid w:val="00FD0BE3"/>
    <w:rsid w:val="00FD1F95"/>
    <w:rsid w:val="00FD3DD0"/>
    <w:rsid w:val="00FD3E25"/>
    <w:rsid w:val="00FD6657"/>
    <w:rsid w:val="00FE223C"/>
    <w:rsid w:val="00FF0FCA"/>
    <w:rsid w:val="00FF1A54"/>
    <w:rsid w:val="00FF282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Style">
    <w:name w:val="Style"/>
    <w:rsid w:val="008E56E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Style">
    <w:name w:val="Style"/>
    <w:rsid w:val="008E56E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17B07-721F-4448-B9A7-889F9207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5</cp:revision>
  <cp:lastPrinted>2014-08-21T14:27:00Z</cp:lastPrinted>
  <dcterms:created xsi:type="dcterms:W3CDTF">2014-08-08T19:21:00Z</dcterms:created>
  <dcterms:modified xsi:type="dcterms:W3CDTF">2014-08-21T14:27:00Z</dcterms:modified>
</cp:coreProperties>
</file>