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5B05E3" w:rsidRDefault="00F514FB" w:rsidP="00CE5857">
      <w:pPr>
        <w:widowControl/>
        <w:tabs>
          <w:tab w:val="center" w:pos="4680"/>
        </w:tabs>
        <w:suppressAutoHyphens/>
        <w:jc w:val="center"/>
        <w:rPr>
          <w:b/>
          <w:sz w:val="26"/>
          <w:szCs w:val="26"/>
        </w:rPr>
      </w:pPr>
      <w:r w:rsidRPr="005B05E3">
        <w:rPr>
          <w:b/>
          <w:sz w:val="26"/>
          <w:szCs w:val="26"/>
        </w:rPr>
        <w:t>PENNSYLVANIA</w:t>
      </w:r>
    </w:p>
    <w:p w:rsidR="00F514FB" w:rsidRPr="005B05E3" w:rsidRDefault="00F514FB" w:rsidP="00CE5857">
      <w:pPr>
        <w:widowControl/>
        <w:tabs>
          <w:tab w:val="center" w:pos="4680"/>
        </w:tabs>
        <w:suppressAutoHyphens/>
        <w:jc w:val="center"/>
        <w:rPr>
          <w:sz w:val="26"/>
          <w:szCs w:val="26"/>
        </w:rPr>
      </w:pPr>
      <w:r w:rsidRPr="005B05E3">
        <w:rPr>
          <w:b/>
          <w:sz w:val="26"/>
          <w:szCs w:val="26"/>
        </w:rPr>
        <w:t>PUBLIC UTILITY COMMISSION</w:t>
      </w:r>
    </w:p>
    <w:p w:rsidR="00F514FB" w:rsidRPr="005B05E3" w:rsidRDefault="00F514FB" w:rsidP="00CE5857">
      <w:pPr>
        <w:widowControl/>
        <w:tabs>
          <w:tab w:val="center" w:pos="4680"/>
        </w:tabs>
        <w:suppressAutoHyphens/>
        <w:jc w:val="center"/>
        <w:rPr>
          <w:sz w:val="26"/>
          <w:szCs w:val="26"/>
        </w:rPr>
      </w:pPr>
      <w:r w:rsidRPr="005B05E3">
        <w:rPr>
          <w:b/>
          <w:sz w:val="26"/>
          <w:szCs w:val="26"/>
        </w:rPr>
        <w:t>Harrisburg, PA 17105-3265</w:t>
      </w:r>
    </w:p>
    <w:p w:rsidR="00F514FB" w:rsidRPr="005B05E3" w:rsidRDefault="00F514FB" w:rsidP="00CE5857">
      <w:pPr>
        <w:widowControl/>
        <w:tabs>
          <w:tab w:val="left" w:pos="-720"/>
        </w:tabs>
        <w:suppressAutoHyphens/>
        <w:rPr>
          <w:sz w:val="26"/>
          <w:szCs w:val="26"/>
        </w:rPr>
      </w:pPr>
    </w:p>
    <w:p w:rsidR="00F514FB" w:rsidRPr="005B05E3" w:rsidRDefault="00F514FB" w:rsidP="00CE585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5B05E3" w:rsidRPr="005B05E3" w:rsidTr="00716C74">
        <w:tc>
          <w:tcPr>
            <w:tcW w:w="5058" w:type="dxa"/>
          </w:tcPr>
          <w:p w:rsidR="00F514FB" w:rsidRPr="005B05E3" w:rsidRDefault="00F514FB" w:rsidP="00CE5857">
            <w:pPr>
              <w:widowControl/>
              <w:rPr>
                <w:sz w:val="26"/>
                <w:szCs w:val="26"/>
              </w:rPr>
            </w:pPr>
          </w:p>
        </w:tc>
        <w:tc>
          <w:tcPr>
            <w:tcW w:w="4500" w:type="dxa"/>
          </w:tcPr>
          <w:p w:rsidR="00F514FB" w:rsidRPr="005B05E3" w:rsidRDefault="00DD5D3F" w:rsidP="00CE5857">
            <w:pPr>
              <w:widowControl/>
              <w:jc w:val="right"/>
              <w:rPr>
                <w:sz w:val="26"/>
                <w:szCs w:val="26"/>
              </w:rPr>
            </w:pPr>
            <w:r w:rsidRPr="005B05E3">
              <w:rPr>
                <w:sz w:val="26"/>
                <w:szCs w:val="26"/>
              </w:rPr>
              <w:t>Public Meeting held</w:t>
            </w:r>
            <w:r w:rsidR="006444E8" w:rsidRPr="005B05E3">
              <w:rPr>
                <w:sz w:val="26"/>
                <w:szCs w:val="26"/>
              </w:rPr>
              <w:t xml:space="preserve"> </w:t>
            </w:r>
            <w:r w:rsidR="00F94C7D">
              <w:rPr>
                <w:sz w:val="26"/>
                <w:szCs w:val="26"/>
              </w:rPr>
              <w:t>August 21</w:t>
            </w:r>
            <w:r w:rsidR="006444E8" w:rsidRPr="005B05E3">
              <w:rPr>
                <w:sz w:val="26"/>
                <w:szCs w:val="26"/>
              </w:rPr>
              <w:t>, 2014</w:t>
            </w:r>
          </w:p>
          <w:p w:rsidR="00F514FB" w:rsidRPr="005B05E3" w:rsidRDefault="00F514FB" w:rsidP="00CE5857">
            <w:pPr>
              <w:widowControl/>
              <w:jc w:val="right"/>
              <w:rPr>
                <w:sz w:val="26"/>
                <w:szCs w:val="26"/>
              </w:rPr>
            </w:pPr>
          </w:p>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F514FB" w:rsidP="00CE5857">
            <w:pPr>
              <w:widowControl/>
              <w:rPr>
                <w:sz w:val="26"/>
                <w:szCs w:val="26"/>
              </w:rPr>
            </w:pPr>
            <w:r w:rsidRPr="005B05E3">
              <w:rPr>
                <w:sz w:val="26"/>
                <w:szCs w:val="26"/>
              </w:rPr>
              <w:t>Commissioners Present:</w:t>
            </w:r>
          </w:p>
          <w:p w:rsidR="00F514FB" w:rsidRPr="005B05E3" w:rsidRDefault="00F514FB" w:rsidP="00CE5857">
            <w:pPr>
              <w:widowControl/>
              <w:rPr>
                <w:sz w:val="26"/>
                <w:szCs w:val="26"/>
              </w:rPr>
            </w:pPr>
          </w:p>
          <w:p w:rsidR="006444E8" w:rsidRPr="005B05E3" w:rsidRDefault="006444E8" w:rsidP="00CE5857">
            <w:pPr>
              <w:widowControl/>
              <w:tabs>
                <w:tab w:val="left" w:pos="705"/>
              </w:tabs>
              <w:ind w:firstLine="720"/>
              <w:rPr>
                <w:sz w:val="26"/>
                <w:szCs w:val="26"/>
              </w:rPr>
            </w:pPr>
            <w:r w:rsidRPr="005B05E3">
              <w:rPr>
                <w:sz w:val="26"/>
                <w:szCs w:val="26"/>
              </w:rPr>
              <w:t>Robert F. Powelson, Chairman</w:t>
            </w:r>
          </w:p>
          <w:p w:rsidR="006444E8" w:rsidRPr="005B05E3" w:rsidRDefault="006444E8" w:rsidP="00CE5857">
            <w:pPr>
              <w:widowControl/>
              <w:tabs>
                <w:tab w:val="left" w:pos="705"/>
              </w:tabs>
              <w:ind w:firstLine="720"/>
              <w:rPr>
                <w:sz w:val="26"/>
                <w:szCs w:val="26"/>
              </w:rPr>
            </w:pPr>
            <w:r w:rsidRPr="005B05E3">
              <w:rPr>
                <w:sz w:val="26"/>
                <w:szCs w:val="26"/>
              </w:rPr>
              <w:t>John F. Coleman, Jr., Vice Chairman</w:t>
            </w:r>
          </w:p>
          <w:p w:rsidR="006444E8" w:rsidRPr="005B05E3" w:rsidRDefault="006444E8" w:rsidP="00CE5857">
            <w:pPr>
              <w:widowControl/>
              <w:tabs>
                <w:tab w:val="left" w:pos="705"/>
              </w:tabs>
              <w:ind w:firstLine="720"/>
              <w:rPr>
                <w:sz w:val="26"/>
                <w:szCs w:val="26"/>
              </w:rPr>
            </w:pPr>
            <w:r w:rsidRPr="005B05E3">
              <w:rPr>
                <w:sz w:val="26"/>
                <w:szCs w:val="26"/>
              </w:rPr>
              <w:t>James H. Cawley</w:t>
            </w:r>
          </w:p>
          <w:p w:rsidR="006444E8" w:rsidRPr="005B05E3" w:rsidRDefault="006444E8" w:rsidP="00CE5857">
            <w:pPr>
              <w:widowControl/>
              <w:tabs>
                <w:tab w:val="left" w:pos="705"/>
              </w:tabs>
              <w:ind w:firstLine="720"/>
              <w:rPr>
                <w:sz w:val="26"/>
                <w:szCs w:val="26"/>
              </w:rPr>
            </w:pPr>
            <w:r w:rsidRPr="005B05E3">
              <w:rPr>
                <w:sz w:val="26"/>
                <w:szCs w:val="26"/>
              </w:rPr>
              <w:t>Pamela A. Witmer</w:t>
            </w:r>
          </w:p>
          <w:p w:rsidR="00F514FB" w:rsidRPr="005B05E3" w:rsidRDefault="006444E8" w:rsidP="00CE5857">
            <w:pPr>
              <w:widowControl/>
              <w:tabs>
                <w:tab w:val="left" w:pos="705"/>
              </w:tabs>
              <w:ind w:firstLine="720"/>
              <w:rPr>
                <w:sz w:val="26"/>
                <w:szCs w:val="26"/>
              </w:rPr>
            </w:pPr>
            <w:r w:rsidRPr="005B05E3">
              <w:rPr>
                <w:sz w:val="26"/>
                <w:szCs w:val="26"/>
              </w:rPr>
              <w:t>Gladys M. Brown</w:t>
            </w:r>
          </w:p>
          <w:p w:rsidR="00F514FB" w:rsidRPr="005B05E3" w:rsidRDefault="00F514FB" w:rsidP="00CE5857">
            <w:pPr>
              <w:widowControl/>
              <w:rPr>
                <w:sz w:val="26"/>
                <w:szCs w:val="26"/>
              </w:rPr>
            </w:pPr>
          </w:p>
          <w:p w:rsidR="00F514FB" w:rsidRPr="005B05E3" w:rsidRDefault="00F514FB" w:rsidP="00CE5857">
            <w:pPr>
              <w:widowControl/>
              <w:rPr>
                <w:sz w:val="26"/>
                <w:szCs w:val="26"/>
              </w:rPr>
            </w:pPr>
          </w:p>
        </w:tc>
        <w:tc>
          <w:tcPr>
            <w:tcW w:w="4500" w:type="dxa"/>
          </w:tcPr>
          <w:p w:rsidR="00F514FB" w:rsidRPr="005B05E3" w:rsidRDefault="00F514FB" w:rsidP="00CE5857">
            <w:pPr>
              <w:widowControl/>
              <w:jc w:val="right"/>
              <w:rPr>
                <w:sz w:val="26"/>
                <w:szCs w:val="26"/>
              </w:rPr>
            </w:pPr>
          </w:p>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6444E8" w:rsidP="00CE5857">
            <w:pPr>
              <w:widowControl/>
              <w:rPr>
                <w:sz w:val="26"/>
                <w:szCs w:val="26"/>
              </w:rPr>
            </w:pPr>
            <w:r w:rsidRPr="005B05E3">
              <w:rPr>
                <w:sz w:val="26"/>
                <w:szCs w:val="26"/>
              </w:rPr>
              <w:t>Michael Prendergast</w:t>
            </w:r>
          </w:p>
          <w:p w:rsidR="00F514FB" w:rsidRPr="005B05E3" w:rsidRDefault="00F514FB" w:rsidP="00CE5857">
            <w:pPr>
              <w:widowControl/>
              <w:rPr>
                <w:sz w:val="26"/>
                <w:szCs w:val="26"/>
              </w:rPr>
            </w:pPr>
          </w:p>
        </w:tc>
        <w:tc>
          <w:tcPr>
            <w:tcW w:w="4500" w:type="dxa"/>
          </w:tcPr>
          <w:p w:rsidR="00F514FB" w:rsidRPr="005B05E3" w:rsidRDefault="00992D66" w:rsidP="00CE5857">
            <w:pPr>
              <w:widowControl/>
              <w:jc w:val="right"/>
              <w:rPr>
                <w:sz w:val="26"/>
                <w:szCs w:val="26"/>
              </w:rPr>
            </w:pPr>
            <w:r w:rsidRPr="005B05E3">
              <w:rPr>
                <w:sz w:val="26"/>
                <w:szCs w:val="26"/>
              </w:rPr>
              <w:t>F-201</w:t>
            </w:r>
            <w:r w:rsidR="004064EA" w:rsidRPr="005B05E3">
              <w:rPr>
                <w:sz w:val="26"/>
                <w:szCs w:val="26"/>
              </w:rPr>
              <w:t>2</w:t>
            </w:r>
            <w:r w:rsidRPr="005B05E3">
              <w:rPr>
                <w:sz w:val="26"/>
                <w:szCs w:val="26"/>
              </w:rPr>
              <w:t>-</w:t>
            </w:r>
            <w:r w:rsidR="004064EA" w:rsidRPr="005B05E3">
              <w:rPr>
                <w:sz w:val="26"/>
                <w:szCs w:val="26"/>
              </w:rPr>
              <w:t>23</w:t>
            </w:r>
            <w:r w:rsidR="006444E8" w:rsidRPr="005B05E3">
              <w:rPr>
                <w:sz w:val="26"/>
                <w:szCs w:val="26"/>
              </w:rPr>
              <w:t>17187</w:t>
            </w:r>
          </w:p>
        </w:tc>
      </w:tr>
      <w:tr w:rsidR="005B05E3" w:rsidRPr="005B05E3" w:rsidTr="00716C74">
        <w:tc>
          <w:tcPr>
            <w:tcW w:w="5058" w:type="dxa"/>
          </w:tcPr>
          <w:p w:rsidR="00F514FB" w:rsidRPr="005B05E3" w:rsidRDefault="00F514FB" w:rsidP="00CE5857">
            <w:pPr>
              <w:widowControl/>
              <w:ind w:firstLine="900"/>
              <w:rPr>
                <w:sz w:val="26"/>
                <w:szCs w:val="26"/>
              </w:rPr>
            </w:pPr>
            <w:r w:rsidRPr="005B05E3">
              <w:rPr>
                <w:sz w:val="26"/>
                <w:szCs w:val="26"/>
              </w:rPr>
              <w:t>v.</w:t>
            </w:r>
          </w:p>
          <w:p w:rsidR="00F514FB" w:rsidRPr="005B05E3" w:rsidRDefault="00F514FB" w:rsidP="00CE5857">
            <w:pPr>
              <w:widowControl/>
              <w:ind w:firstLine="1440"/>
              <w:rPr>
                <w:sz w:val="26"/>
                <w:szCs w:val="26"/>
              </w:rPr>
            </w:pPr>
          </w:p>
        </w:tc>
        <w:tc>
          <w:tcPr>
            <w:tcW w:w="4500" w:type="dxa"/>
          </w:tcPr>
          <w:p w:rsidR="00F514FB" w:rsidRPr="005B05E3" w:rsidRDefault="00F514FB" w:rsidP="00CE5857">
            <w:pPr>
              <w:widowControl/>
              <w:rPr>
                <w:sz w:val="26"/>
                <w:szCs w:val="26"/>
              </w:rPr>
            </w:pPr>
          </w:p>
        </w:tc>
      </w:tr>
      <w:tr w:rsidR="00F514FB" w:rsidRPr="005B05E3" w:rsidTr="00716C74">
        <w:tc>
          <w:tcPr>
            <w:tcW w:w="5058" w:type="dxa"/>
          </w:tcPr>
          <w:p w:rsidR="00F514FB" w:rsidRPr="005B05E3" w:rsidRDefault="00992D66" w:rsidP="00CE5857">
            <w:pPr>
              <w:widowControl/>
              <w:rPr>
                <w:sz w:val="26"/>
                <w:szCs w:val="26"/>
              </w:rPr>
            </w:pPr>
            <w:r w:rsidRPr="005B05E3">
              <w:rPr>
                <w:sz w:val="26"/>
                <w:szCs w:val="26"/>
              </w:rPr>
              <w:t>Philadelphia Gas Works</w:t>
            </w:r>
          </w:p>
        </w:tc>
        <w:tc>
          <w:tcPr>
            <w:tcW w:w="4500" w:type="dxa"/>
          </w:tcPr>
          <w:p w:rsidR="00F514FB" w:rsidRPr="005B05E3" w:rsidRDefault="00F514FB" w:rsidP="00CE5857">
            <w:pPr>
              <w:widowControl/>
              <w:rPr>
                <w:sz w:val="26"/>
                <w:szCs w:val="26"/>
              </w:rPr>
            </w:pPr>
          </w:p>
        </w:tc>
      </w:tr>
    </w:tbl>
    <w:p w:rsidR="00F514FB" w:rsidRPr="005B05E3" w:rsidRDefault="00F514FB" w:rsidP="00CE5857">
      <w:pPr>
        <w:widowControl/>
        <w:rPr>
          <w:sz w:val="26"/>
          <w:szCs w:val="26"/>
        </w:rPr>
      </w:pPr>
    </w:p>
    <w:p w:rsidR="00F514FB" w:rsidRPr="005B05E3" w:rsidRDefault="00F514FB" w:rsidP="00CE5857">
      <w:pPr>
        <w:widowControl/>
        <w:rPr>
          <w:sz w:val="26"/>
          <w:szCs w:val="26"/>
        </w:rPr>
      </w:pPr>
    </w:p>
    <w:p w:rsidR="00F514FB" w:rsidRPr="005B05E3" w:rsidRDefault="00F514FB" w:rsidP="00CE5857">
      <w:pPr>
        <w:widowControl/>
        <w:jc w:val="center"/>
        <w:rPr>
          <w:b/>
          <w:sz w:val="26"/>
          <w:szCs w:val="26"/>
        </w:rPr>
      </w:pPr>
      <w:r w:rsidRPr="005B05E3">
        <w:rPr>
          <w:b/>
          <w:sz w:val="26"/>
          <w:szCs w:val="26"/>
        </w:rPr>
        <w:t>OPINION AND ORDER</w:t>
      </w:r>
    </w:p>
    <w:p w:rsidR="00F514FB" w:rsidRPr="005B05E3" w:rsidRDefault="00F514FB" w:rsidP="00CE5857">
      <w:pPr>
        <w:widowControl/>
        <w:jc w:val="center"/>
        <w:rPr>
          <w:b/>
          <w:sz w:val="26"/>
          <w:szCs w:val="26"/>
        </w:rPr>
      </w:pPr>
    </w:p>
    <w:p w:rsidR="00F514FB" w:rsidRPr="005B05E3" w:rsidRDefault="00F514FB" w:rsidP="00CE5857">
      <w:pPr>
        <w:widowControl/>
        <w:jc w:val="center"/>
        <w:rPr>
          <w:b/>
          <w:sz w:val="26"/>
          <w:szCs w:val="26"/>
        </w:rPr>
      </w:pPr>
    </w:p>
    <w:p w:rsidR="00F514FB" w:rsidRPr="005B05E3" w:rsidRDefault="00F514FB" w:rsidP="00CE5857">
      <w:pPr>
        <w:widowControl/>
        <w:rPr>
          <w:b/>
          <w:sz w:val="26"/>
          <w:szCs w:val="26"/>
        </w:rPr>
      </w:pPr>
      <w:r w:rsidRPr="005B05E3">
        <w:rPr>
          <w:b/>
          <w:sz w:val="26"/>
          <w:szCs w:val="26"/>
        </w:rPr>
        <w:t>BY THE COMMISSION:</w:t>
      </w:r>
    </w:p>
    <w:p w:rsidR="00F514FB" w:rsidRPr="005B05E3" w:rsidRDefault="00F514FB" w:rsidP="00CE5857">
      <w:pPr>
        <w:widowControl/>
        <w:rPr>
          <w:sz w:val="26"/>
          <w:szCs w:val="26"/>
        </w:rPr>
      </w:pPr>
    </w:p>
    <w:p w:rsidR="00F514FB" w:rsidRPr="005B05E3" w:rsidRDefault="00F514FB" w:rsidP="00CE5857">
      <w:pPr>
        <w:widowControl/>
        <w:rPr>
          <w:sz w:val="26"/>
          <w:szCs w:val="26"/>
        </w:rPr>
      </w:pPr>
    </w:p>
    <w:p w:rsidR="00CA43A5" w:rsidRPr="005B05E3" w:rsidRDefault="00CA43A5" w:rsidP="00B57501">
      <w:pPr>
        <w:widowControl/>
        <w:spacing w:line="360" w:lineRule="auto"/>
        <w:ind w:firstLine="1440"/>
        <w:rPr>
          <w:sz w:val="26"/>
          <w:szCs w:val="26"/>
        </w:rPr>
      </w:pPr>
      <w:r w:rsidRPr="005B05E3">
        <w:rPr>
          <w:sz w:val="26"/>
          <w:szCs w:val="26"/>
        </w:rPr>
        <w:t xml:space="preserve">Before the Pennsylvania Public Utility Commission (Commission) for consideration and disposition </w:t>
      </w:r>
      <w:r w:rsidR="005C39B0">
        <w:rPr>
          <w:sz w:val="26"/>
        </w:rPr>
        <w:t>is the Petition for Reconsideration</w:t>
      </w:r>
      <w:r w:rsidR="00671E4C" w:rsidRPr="005B05E3">
        <w:rPr>
          <w:sz w:val="26"/>
        </w:rPr>
        <w:t xml:space="preserve"> </w:t>
      </w:r>
      <w:r w:rsidR="00663528">
        <w:rPr>
          <w:sz w:val="26"/>
        </w:rPr>
        <w:t xml:space="preserve">(Petition) </w:t>
      </w:r>
      <w:r w:rsidR="00A16587" w:rsidRPr="005B05E3">
        <w:rPr>
          <w:sz w:val="26"/>
        </w:rPr>
        <w:t xml:space="preserve">of </w:t>
      </w:r>
      <w:r w:rsidR="005C39B0">
        <w:rPr>
          <w:sz w:val="26"/>
        </w:rPr>
        <w:t xml:space="preserve">Philadelphia Gas Works </w:t>
      </w:r>
      <w:r w:rsidR="00671E4C" w:rsidRPr="005B05E3">
        <w:rPr>
          <w:sz w:val="26"/>
        </w:rPr>
        <w:t>(</w:t>
      </w:r>
      <w:r w:rsidR="005C39B0">
        <w:rPr>
          <w:sz w:val="26"/>
        </w:rPr>
        <w:t>PGW</w:t>
      </w:r>
      <w:r w:rsidR="00102E27">
        <w:rPr>
          <w:sz w:val="26"/>
        </w:rPr>
        <w:t xml:space="preserve"> or Company</w:t>
      </w:r>
      <w:r w:rsidR="00346C47" w:rsidRPr="005B05E3">
        <w:rPr>
          <w:sz w:val="26"/>
        </w:rPr>
        <w:t xml:space="preserve">) filed on </w:t>
      </w:r>
      <w:r w:rsidR="005C39B0">
        <w:rPr>
          <w:sz w:val="26"/>
        </w:rPr>
        <w:t>March 14, 2014</w:t>
      </w:r>
      <w:r w:rsidR="00671E4C" w:rsidRPr="005B05E3">
        <w:rPr>
          <w:sz w:val="26"/>
        </w:rPr>
        <w:t>,</w:t>
      </w:r>
      <w:r w:rsidR="005C39B0">
        <w:rPr>
          <w:sz w:val="26"/>
        </w:rPr>
        <w:t xml:space="preserve"> seeking reconsideration of our Opinion and Order entered on February </w:t>
      </w:r>
      <w:r w:rsidR="00AA4370">
        <w:rPr>
          <w:sz w:val="26"/>
        </w:rPr>
        <w:t>27, 2014</w:t>
      </w:r>
      <w:r w:rsidR="00414B8E">
        <w:rPr>
          <w:sz w:val="26"/>
        </w:rPr>
        <w:t xml:space="preserve"> (</w:t>
      </w:r>
      <w:r w:rsidR="00414B8E">
        <w:rPr>
          <w:i/>
          <w:sz w:val="26"/>
        </w:rPr>
        <w:t>February 2014 Order</w:t>
      </w:r>
      <w:r w:rsidR="00414B8E">
        <w:rPr>
          <w:sz w:val="26"/>
        </w:rPr>
        <w:t>)</w:t>
      </w:r>
      <w:r w:rsidR="00AA4370">
        <w:rPr>
          <w:sz w:val="26"/>
        </w:rPr>
        <w:t>, relative to the above-</w:t>
      </w:r>
      <w:r w:rsidR="005C39B0">
        <w:rPr>
          <w:sz w:val="26"/>
        </w:rPr>
        <w:t xml:space="preserve">captioned proceeding.  </w:t>
      </w:r>
      <w:r w:rsidR="00671E4C" w:rsidRPr="005B05E3">
        <w:rPr>
          <w:sz w:val="26"/>
        </w:rPr>
        <w:t xml:space="preserve"> </w:t>
      </w:r>
      <w:r w:rsidR="00663528">
        <w:rPr>
          <w:sz w:val="26"/>
        </w:rPr>
        <w:t xml:space="preserve">On March 26, 2014, Michael Prendergast (Complainant) filed an Answer to the Petition.  </w:t>
      </w:r>
      <w:r w:rsidRPr="005B05E3">
        <w:rPr>
          <w:sz w:val="26"/>
          <w:szCs w:val="26"/>
        </w:rPr>
        <w:t>For the reason</w:t>
      </w:r>
      <w:r w:rsidR="0006356A" w:rsidRPr="005B05E3">
        <w:rPr>
          <w:sz w:val="26"/>
          <w:szCs w:val="26"/>
        </w:rPr>
        <w:t xml:space="preserve">s stated below, we </w:t>
      </w:r>
      <w:r w:rsidR="000E0295" w:rsidRPr="005B05E3">
        <w:rPr>
          <w:sz w:val="26"/>
          <w:szCs w:val="26"/>
        </w:rPr>
        <w:t>sha</w:t>
      </w:r>
      <w:r w:rsidR="0006356A" w:rsidRPr="005B05E3">
        <w:rPr>
          <w:sz w:val="26"/>
          <w:szCs w:val="26"/>
        </w:rPr>
        <w:t xml:space="preserve">ll </w:t>
      </w:r>
      <w:r w:rsidR="00341FF1">
        <w:rPr>
          <w:sz w:val="26"/>
          <w:szCs w:val="26"/>
        </w:rPr>
        <w:t xml:space="preserve">deny </w:t>
      </w:r>
      <w:r w:rsidR="006D3B05">
        <w:rPr>
          <w:sz w:val="26"/>
          <w:szCs w:val="26"/>
        </w:rPr>
        <w:t>the Petition</w:t>
      </w:r>
      <w:r w:rsidR="00E139EC">
        <w:rPr>
          <w:sz w:val="26"/>
          <w:szCs w:val="26"/>
        </w:rPr>
        <w:t xml:space="preserve">, in part, </w:t>
      </w:r>
      <w:r w:rsidR="00341FF1">
        <w:rPr>
          <w:sz w:val="26"/>
          <w:szCs w:val="26"/>
        </w:rPr>
        <w:t>grant it, in part</w:t>
      </w:r>
      <w:r w:rsidR="00E139EC">
        <w:rPr>
          <w:sz w:val="26"/>
          <w:szCs w:val="26"/>
        </w:rPr>
        <w:t xml:space="preserve">, and remand the matter to the Office of Administrative Law Judge (OALJ) for further hearings, as deemed necessary.  </w:t>
      </w:r>
      <w:r w:rsidR="00B57501">
        <w:rPr>
          <w:sz w:val="26"/>
          <w:szCs w:val="26"/>
        </w:rPr>
        <w:t xml:space="preserve">  </w:t>
      </w:r>
    </w:p>
    <w:p w:rsidR="000C31E4" w:rsidRPr="005B05E3" w:rsidRDefault="004064EA" w:rsidP="00CE5857">
      <w:pPr>
        <w:keepNext/>
        <w:widowControl/>
        <w:spacing w:line="360" w:lineRule="auto"/>
        <w:jc w:val="center"/>
        <w:rPr>
          <w:b/>
          <w:sz w:val="26"/>
          <w:szCs w:val="26"/>
        </w:rPr>
      </w:pPr>
      <w:bookmarkStart w:id="0" w:name="OLE_LINK1"/>
      <w:bookmarkStart w:id="1" w:name="OLE_LINK2"/>
      <w:r w:rsidRPr="005B05E3">
        <w:rPr>
          <w:b/>
          <w:sz w:val="26"/>
          <w:szCs w:val="26"/>
        </w:rPr>
        <w:lastRenderedPageBreak/>
        <w:t>History of the Proceeding</w:t>
      </w:r>
    </w:p>
    <w:p w:rsidR="000C31E4" w:rsidRPr="005B05E3" w:rsidRDefault="000C31E4" w:rsidP="00CE5857">
      <w:pPr>
        <w:keepNext/>
        <w:widowControl/>
        <w:spacing w:line="360" w:lineRule="auto"/>
        <w:rPr>
          <w:sz w:val="26"/>
          <w:szCs w:val="26"/>
        </w:rPr>
      </w:pPr>
    </w:p>
    <w:p w:rsidR="00C56C99" w:rsidRPr="005B05E3" w:rsidRDefault="00285DEC" w:rsidP="00E23A83">
      <w:pPr>
        <w:widowControl/>
        <w:spacing w:line="360" w:lineRule="auto"/>
        <w:ind w:firstLine="1440"/>
        <w:rPr>
          <w:sz w:val="26"/>
          <w:szCs w:val="26"/>
        </w:rPr>
      </w:pPr>
      <w:r w:rsidRPr="005B05E3">
        <w:rPr>
          <w:sz w:val="26"/>
          <w:szCs w:val="26"/>
        </w:rPr>
        <w:t xml:space="preserve">On July 16, 2012, the Complainant filed a Formal Complaint </w:t>
      </w:r>
      <w:r w:rsidR="00B46304">
        <w:rPr>
          <w:sz w:val="26"/>
          <w:szCs w:val="26"/>
        </w:rPr>
        <w:t>(Complaint)</w:t>
      </w:r>
      <w:r w:rsidR="00842216">
        <w:rPr>
          <w:rStyle w:val="FootnoteReference"/>
          <w:sz w:val="26"/>
          <w:szCs w:val="26"/>
        </w:rPr>
        <w:footnoteReference w:id="1"/>
      </w:r>
      <w:r w:rsidR="00B46304">
        <w:rPr>
          <w:sz w:val="26"/>
          <w:szCs w:val="26"/>
        </w:rPr>
        <w:t xml:space="preserve"> </w:t>
      </w:r>
      <w:r w:rsidRPr="005B05E3">
        <w:rPr>
          <w:sz w:val="26"/>
          <w:szCs w:val="26"/>
        </w:rPr>
        <w:t>against PGW alleging that there were incorrect charges on his gas bill.  Specifically, the Complainant asserted that</w:t>
      </w:r>
      <w:r w:rsidR="00A31E5B">
        <w:rPr>
          <w:sz w:val="26"/>
          <w:szCs w:val="26"/>
        </w:rPr>
        <w:t>, in May 2012,</w:t>
      </w:r>
      <w:r w:rsidRPr="005B05E3">
        <w:rPr>
          <w:sz w:val="26"/>
          <w:szCs w:val="26"/>
        </w:rPr>
        <w:t xml:space="preserve"> he received a bill for previously unbilled gas </w:t>
      </w:r>
      <w:r w:rsidR="005C5145" w:rsidRPr="005B05E3">
        <w:rPr>
          <w:sz w:val="26"/>
          <w:szCs w:val="26"/>
        </w:rPr>
        <w:t xml:space="preserve">usage </w:t>
      </w:r>
      <w:r w:rsidR="005C5145">
        <w:rPr>
          <w:sz w:val="26"/>
          <w:szCs w:val="26"/>
        </w:rPr>
        <w:t>in</w:t>
      </w:r>
      <w:r w:rsidR="00A31E5B">
        <w:rPr>
          <w:sz w:val="26"/>
          <w:szCs w:val="26"/>
        </w:rPr>
        <w:t xml:space="preserve"> the amount of $6,429.40</w:t>
      </w:r>
      <w:r w:rsidR="005C5145">
        <w:rPr>
          <w:sz w:val="26"/>
          <w:szCs w:val="26"/>
        </w:rPr>
        <w:t xml:space="preserve">, </w:t>
      </w:r>
      <w:r w:rsidR="005C5145" w:rsidRPr="005B05E3">
        <w:rPr>
          <w:sz w:val="26"/>
          <w:szCs w:val="26"/>
        </w:rPr>
        <w:t>subsequent</w:t>
      </w:r>
      <w:r w:rsidR="00A31E5B">
        <w:rPr>
          <w:sz w:val="26"/>
          <w:szCs w:val="26"/>
        </w:rPr>
        <w:t xml:space="preserve"> to </w:t>
      </w:r>
      <w:r w:rsidRPr="005B05E3">
        <w:rPr>
          <w:sz w:val="26"/>
          <w:szCs w:val="26"/>
        </w:rPr>
        <w:t>a PGW representative calibrat</w:t>
      </w:r>
      <w:r w:rsidR="00A31E5B">
        <w:rPr>
          <w:sz w:val="26"/>
          <w:szCs w:val="26"/>
        </w:rPr>
        <w:t>ing</w:t>
      </w:r>
      <w:r w:rsidRPr="005B05E3">
        <w:rPr>
          <w:sz w:val="26"/>
          <w:szCs w:val="26"/>
        </w:rPr>
        <w:t xml:space="preserve"> his gas meter.</w:t>
      </w:r>
      <w:r w:rsidR="00C56C99" w:rsidRPr="005B05E3">
        <w:rPr>
          <w:sz w:val="26"/>
          <w:szCs w:val="26"/>
        </w:rPr>
        <w:t xml:space="preserve">  The Complainant questioned, </w:t>
      </w:r>
      <w:r w:rsidR="00C56C99" w:rsidRPr="005B05E3">
        <w:rPr>
          <w:i/>
          <w:sz w:val="26"/>
          <w:szCs w:val="26"/>
        </w:rPr>
        <w:t>inter alia,</w:t>
      </w:r>
      <w:r w:rsidR="00C56C99" w:rsidRPr="005B05E3">
        <w:rPr>
          <w:sz w:val="26"/>
          <w:szCs w:val="26"/>
        </w:rPr>
        <w:t xml:space="preserve"> the amount of time it took PGW to discover this previously unbilled usage and th</w:t>
      </w:r>
      <w:r w:rsidR="00DF66C3">
        <w:rPr>
          <w:sz w:val="26"/>
          <w:szCs w:val="26"/>
        </w:rPr>
        <w:t>e accuracy of PGW’s equipment.</w:t>
      </w:r>
    </w:p>
    <w:p w:rsidR="00E146A9" w:rsidRPr="005B05E3" w:rsidRDefault="00E146A9" w:rsidP="00E23A83">
      <w:pPr>
        <w:widowControl/>
        <w:spacing w:line="360" w:lineRule="auto"/>
        <w:ind w:firstLine="1440"/>
        <w:rPr>
          <w:sz w:val="26"/>
          <w:szCs w:val="26"/>
        </w:rPr>
      </w:pPr>
    </w:p>
    <w:p w:rsidR="00361DD8" w:rsidRPr="005B05E3" w:rsidRDefault="00E146A9" w:rsidP="00E23A83">
      <w:pPr>
        <w:widowControl/>
        <w:spacing w:line="360" w:lineRule="auto"/>
        <w:ind w:firstLine="1440"/>
        <w:rPr>
          <w:sz w:val="26"/>
          <w:szCs w:val="26"/>
        </w:rPr>
      </w:pPr>
      <w:r w:rsidRPr="005B05E3">
        <w:rPr>
          <w:sz w:val="26"/>
          <w:szCs w:val="26"/>
        </w:rPr>
        <w:t>On August 22, 2012, PGW filed an Answer to the Complaint</w:t>
      </w:r>
      <w:r w:rsidR="005C5145">
        <w:rPr>
          <w:sz w:val="26"/>
          <w:szCs w:val="26"/>
        </w:rPr>
        <w:t>,</w:t>
      </w:r>
      <w:r w:rsidR="005C5145" w:rsidRPr="005B05E3">
        <w:rPr>
          <w:sz w:val="26"/>
          <w:szCs w:val="26"/>
        </w:rPr>
        <w:t xml:space="preserve"> in</w:t>
      </w:r>
      <w:r w:rsidR="003C6112" w:rsidRPr="005B05E3">
        <w:rPr>
          <w:sz w:val="26"/>
          <w:szCs w:val="26"/>
        </w:rPr>
        <w:t xml:space="preserve"> </w:t>
      </w:r>
      <w:r w:rsidR="00CE3D74">
        <w:rPr>
          <w:sz w:val="26"/>
          <w:szCs w:val="26"/>
        </w:rPr>
        <w:t xml:space="preserve">which it </w:t>
      </w:r>
      <w:r w:rsidR="00A069FB" w:rsidRPr="005B05E3">
        <w:rPr>
          <w:sz w:val="26"/>
          <w:szCs w:val="26"/>
        </w:rPr>
        <w:t>denied the material allegations of the Complaint.  PGW asserted that</w:t>
      </w:r>
      <w:r w:rsidR="00D069ED">
        <w:rPr>
          <w:sz w:val="26"/>
          <w:szCs w:val="26"/>
        </w:rPr>
        <w:t>,</w:t>
      </w:r>
      <w:r w:rsidR="00A069FB" w:rsidRPr="005B05E3">
        <w:rPr>
          <w:sz w:val="26"/>
          <w:szCs w:val="26"/>
        </w:rPr>
        <w:t xml:space="preserve"> upon completion of an internal investigation of the Complainant’s monthly bills, it determined that the Encoder Recorder Transmitter (ERT) device used to obtain </w:t>
      </w:r>
      <w:r w:rsidR="00834BD9" w:rsidRPr="005B05E3">
        <w:rPr>
          <w:sz w:val="26"/>
          <w:szCs w:val="26"/>
        </w:rPr>
        <w:t xml:space="preserve">the Complainant’s meter readings failed to record all of the usage from the meter due to undetermined conditions at the Service Address.  PGW also asserted that a PGW technician noticed a large magnet </w:t>
      </w:r>
      <w:r w:rsidR="00E97078">
        <w:rPr>
          <w:sz w:val="26"/>
          <w:szCs w:val="26"/>
        </w:rPr>
        <w:t xml:space="preserve">on </w:t>
      </w:r>
      <w:r w:rsidR="00834BD9" w:rsidRPr="005B05E3">
        <w:rPr>
          <w:sz w:val="26"/>
          <w:szCs w:val="26"/>
        </w:rPr>
        <w:t xml:space="preserve">top of the ERT head when he visited the Service Address </w:t>
      </w:r>
      <w:r w:rsidR="00E97078">
        <w:rPr>
          <w:sz w:val="26"/>
          <w:szCs w:val="26"/>
        </w:rPr>
        <w:t>on March 21, 2012</w:t>
      </w:r>
      <w:r w:rsidR="00DF66C3">
        <w:rPr>
          <w:sz w:val="26"/>
          <w:szCs w:val="26"/>
        </w:rPr>
        <w:t>,</w:t>
      </w:r>
      <w:r w:rsidR="00E97078">
        <w:rPr>
          <w:sz w:val="26"/>
          <w:szCs w:val="26"/>
        </w:rPr>
        <w:t xml:space="preserve"> </w:t>
      </w:r>
      <w:r w:rsidR="00834BD9" w:rsidRPr="005B05E3">
        <w:rPr>
          <w:sz w:val="26"/>
          <w:szCs w:val="26"/>
        </w:rPr>
        <w:t xml:space="preserve">to complete a </w:t>
      </w:r>
      <w:r w:rsidR="00E97078">
        <w:rPr>
          <w:sz w:val="26"/>
          <w:szCs w:val="26"/>
        </w:rPr>
        <w:t>u</w:t>
      </w:r>
      <w:r w:rsidR="00834BD9" w:rsidRPr="005B05E3">
        <w:rPr>
          <w:sz w:val="26"/>
          <w:szCs w:val="26"/>
        </w:rPr>
        <w:t xml:space="preserve">sage </w:t>
      </w:r>
      <w:r w:rsidR="00E97078">
        <w:rPr>
          <w:sz w:val="26"/>
          <w:szCs w:val="26"/>
        </w:rPr>
        <w:t>d</w:t>
      </w:r>
      <w:r w:rsidR="00834BD9" w:rsidRPr="005B05E3">
        <w:rPr>
          <w:sz w:val="26"/>
          <w:szCs w:val="26"/>
        </w:rPr>
        <w:t>iscrepancy investigation</w:t>
      </w:r>
      <w:r w:rsidR="00E97078">
        <w:rPr>
          <w:sz w:val="26"/>
          <w:szCs w:val="26"/>
        </w:rPr>
        <w:t>.</w:t>
      </w:r>
      <w:r w:rsidR="00834BD9" w:rsidRPr="005B05E3">
        <w:rPr>
          <w:sz w:val="26"/>
          <w:szCs w:val="26"/>
        </w:rPr>
        <w:t xml:space="preserve">  </w:t>
      </w:r>
      <w:r w:rsidR="00E97078">
        <w:rPr>
          <w:sz w:val="26"/>
          <w:szCs w:val="26"/>
        </w:rPr>
        <w:t xml:space="preserve">The technician </w:t>
      </w:r>
      <w:r w:rsidR="00834BD9" w:rsidRPr="005B05E3">
        <w:rPr>
          <w:sz w:val="26"/>
          <w:szCs w:val="26"/>
        </w:rPr>
        <w:t>also noticed that the manual meter reading differed from the reading on the ERT device.  PGW</w:t>
      </w:r>
      <w:r w:rsidR="00DF66C3">
        <w:rPr>
          <w:sz w:val="26"/>
          <w:szCs w:val="26"/>
        </w:rPr>
        <w:t xml:space="preserve"> further </w:t>
      </w:r>
      <w:r w:rsidR="00E97078">
        <w:rPr>
          <w:sz w:val="26"/>
          <w:szCs w:val="26"/>
        </w:rPr>
        <w:t>stated</w:t>
      </w:r>
      <w:r w:rsidR="00834BD9" w:rsidRPr="005B05E3">
        <w:rPr>
          <w:sz w:val="26"/>
          <w:szCs w:val="26"/>
        </w:rPr>
        <w:t xml:space="preserve"> that when </w:t>
      </w:r>
      <w:r w:rsidR="005C5145">
        <w:rPr>
          <w:sz w:val="26"/>
          <w:szCs w:val="26"/>
        </w:rPr>
        <w:t xml:space="preserve">a </w:t>
      </w:r>
      <w:r w:rsidR="005C5145" w:rsidRPr="005B05E3">
        <w:rPr>
          <w:sz w:val="26"/>
          <w:szCs w:val="26"/>
        </w:rPr>
        <w:t>PGW</w:t>
      </w:r>
      <w:r w:rsidR="00737D36" w:rsidRPr="005B05E3">
        <w:rPr>
          <w:sz w:val="26"/>
          <w:szCs w:val="26"/>
        </w:rPr>
        <w:t xml:space="preserve"> representative visited the Service Address on March 26, 2012</w:t>
      </w:r>
      <w:r w:rsidR="00DF66C3">
        <w:rPr>
          <w:sz w:val="26"/>
          <w:szCs w:val="26"/>
        </w:rPr>
        <w:t xml:space="preserve">, </w:t>
      </w:r>
      <w:r w:rsidR="00737D36" w:rsidRPr="005B05E3">
        <w:rPr>
          <w:sz w:val="26"/>
          <w:szCs w:val="26"/>
        </w:rPr>
        <w:t>to recalibrate the Complainant’s gas meter, he found no visible signs of tampering or damage to the meter</w:t>
      </w:r>
      <w:r w:rsidR="00915A82">
        <w:rPr>
          <w:sz w:val="26"/>
          <w:szCs w:val="26"/>
        </w:rPr>
        <w:t>, but did find a high number of magnetic counts</w:t>
      </w:r>
      <w:r w:rsidR="00737D36" w:rsidRPr="005B05E3">
        <w:rPr>
          <w:sz w:val="26"/>
          <w:szCs w:val="26"/>
        </w:rPr>
        <w:t xml:space="preserve">.  </w:t>
      </w:r>
      <w:r w:rsidR="00E97078">
        <w:rPr>
          <w:sz w:val="26"/>
          <w:szCs w:val="26"/>
        </w:rPr>
        <w:t xml:space="preserve">Finally, </w:t>
      </w:r>
      <w:r w:rsidR="006C1271" w:rsidRPr="005B05E3">
        <w:rPr>
          <w:sz w:val="26"/>
          <w:szCs w:val="26"/>
        </w:rPr>
        <w:t>PGW a</w:t>
      </w:r>
      <w:r w:rsidR="00EA6F81" w:rsidRPr="005B05E3">
        <w:rPr>
          <w:sz w:val="26"/>
          <w:szCs w:val="26"/>
        </w:rPr>
        <w:t>ssert</w:t>
      </w:r>
      <w:r w:rsidR="006C1271" w:rsidRPr="005B05E3">
        <w:rPr>
          <w:sz w:val="26"/>
          <w:szCs w:val="26"/>
        </w:rPr>
        <w:t>ed that pursuant to 52 Pa. Code § 56.12(5)(ii), it is permitted to rebill an account</w:t>
      </w:r>
      <w:r w:rsidR="00737D36" w:rsidRPr="005B05E3">
        <w:rPr>
          <w:sz w:val="26"/>
          <w:szCs w:val="26"/>
        </w:rPr>
        <w:t xml:space="preserve"> for previously under-billed usage</w:t>
      </w:r>
      <w:r w:rsidR="006C1271" w:rsidRPr="005B05E3">
        <w:rPr>
          <w:sz w:val="26"/>
          <w:szCs w:val="26"/>
        </w:rPr>
        <w:t xml:space="preserve">. </w:t>
      </w:r>
      <w:r w:rsidR="00B7619A" w:rsidRPr="005B05E3">
        <w:rPr>
          <w:sz w:val="26"/>
          <w:szCs w:val="26"/>
        </w:rPr>
        <w:t xml:space="preserve"> </w:t>
      </w:r>
      <w:r w:rsidR="00772B76" w:rsidRPr="005B05E3">
        <w:rPr>
          <w:sz w:val="26"/>
          <w:szCs w:val="26"/>
        </w:rPr>
        <w:t xml:space="preserve">PGW requested that the Complaint be dismissed.  </w:t>
      </w:r>
    </w:p>
    <w:p w:rsidR="006C1271" w:rsidRPr="005B05E3" w:rsidRDefault="006C1271" w:rsidP="00AD462E">
      <w:pPr>
        <w:widowControl/>
        <w:spacing w:line="360" w:lineRule="auto"/>
        <w:rPr>
          <w:sz w:val="26"/>
          <w:szCs w:val="26"/>
        </w:rPr>
      </w:pPr>
    </w:p>
    <w:p w:rsidR="00536401" w:rsidRPr="005B05E3" w:rsidRDefault="006C1271" w:rsidP="00AD462E">
      <w:pPr>
        <w:widowControl/>
        <w:spacing w:line="360" w:lineRule="auto"/>
        <w:rPr>
          <w:sz w:val="26"/>
          <w:szCs w:val="26"/>
        </w:rPr>
      </w:pPr>
      <w:r w:rsidRPr="005B05E3">
        <w:rPr>
          <w:sz w:val="26"/>
          <w:szCs w:val="26"/>
        </w:rPr>
        <w:lastRenderedPageBreak/>
        <w:tab/>
      </w:r>
      <w:r w:rsidRPr="005B05E3">
        <w:rPr>
          <w:sz w:val="26"/>
          <w:szCs w:val="26"/>
        </w:rPr>
        <w:tab/>
      </w:r>
      <w:r w:rsidR="006239EE">
        <w:rPr>
          <w:sz w:val="26"/>
          <w:szCs w:val="26"/>
        </w:rPr>
        <w:t>At the scheduled hearing o</w:t>
      </w:r>
      <w:r w:rsidRPr="005B05E3">
        <w:rPr>
          <w:sz w:val="26"/>
          <w:szCs w:val="26"/>
        </w:rPr>
        <w:t xml:space="preserve">n </w:t>
      </w:r>
      <w:r w:rsidR="00120DE1" w:rsidRPr="005B05E3">
        <w:rPr>
          <w:sz w:val="26"/>
          <w:szCs w:val="26"/>
        </w:rPr>
        <w:t>December 27</w:t>
      </w:r>
      <w:r w:rsidRPr="005B05E3">
        <w:rPr>
          <w:sz w:val="26"/>
          <w:szCs w:val="26"/>
        </w:rPr>
        <w:t xml:space="preserve">, 2012, </w:t>
      </w:r>
      <w:r w:rsidR="006239EE">
        <w:rPr>
          <w:sz w:val="26"/>
          <w:szCs w:val="26"/>
        </w:rPr>
        <w:t>t</w:t>
      </w:r>
      <w:r w:rsidRPr="005B05E3">
        <w:rPr>
          <w:sz w:val="26"/>
          <w:szCs w:val="26"/>
        </w:rPr>
        <w:t xml:space="preserve">he Complainant </w:t>
      </w:r>
      <w:r w:rsidR="001E6885" w:rsidRPr="005B05E3">
        <w:rPr>
          <w:sz w:val="26"/>
          <w:szCs w:val="26"/>
        </w:rPr>
        <w:t xml:space="preserve">appeared </w:t>
      </w:r>
      <w:r w:rsidR="001E6885" w:rsidRPr="00530E44">
        <w:rPr>
          <w:i/>
          <w:sz w:val="26"/>
          <w:szCs w:val="26"/>
        </w:rPr>
        <w:t>pro se</w:t>
      </w:r>
      <w:r w:rsidR="001E6885" w:rsidRPr="005B05E3">
        <w:rPr>
          <w:sz w:val="26"/>
          <w:szCs w:val="26"/>
        </w:rPr>
        <w:t xml:space="preserve"> </w:t>
      </w:r>
      <w:r w:rsidR="00DF5BA6">
        <w:rPr>
          <w:sz w:val="26"/>
          <w:szCs w:val="26"/>
        </w:rPr>
        <w:t xml:space="preserve">and testified </w:t>
      </w:r>
      <w:r w:rsidRPr="005B05E3">
        <w:rPr>
          <w:sz w:val="26"/>
          <w:szCs w:val="26"/>
        </w:rPr>
        <w:t>in support of h</w:t>
      </w:r>
      <w:r w:rsidR="00120DE1" w:rsidRPr="005B05E3">
        <w:rPr>
          <w:sz w:val="26"/>
          <w:szCs w:val="26"/>
        </w:rPr>
        <w:t>is</w:t>
      </w:r>
      <w:r w:rsidRPr="005B05E3">
        <w:rPr>
          <w:sz w:val="26"/>
          <w:szCs w:val="26"/>
        </w:rPr>
        <w:t xml:space="preserve"> </w:t>
      </w:r>
      <w:r w:rsidR="006E73C1" w:rsidRPr="005B05E3">
        <w:rPr>
          <w:sz w:val="26"/>
          <w:szCs w:val="26"/>
        </w:rPr>
        <w:t>C</w:t>
      </w:r>
      <w:r w:rsidRPr="005B05E3">
        <w:rPr>
          <w:sz w:val="26"/>
          <w:szCs w:val="26"/>
        </w:rPr>
        <w:t>omplaint</w:t>
      </w:r>
      <w:r w:rsidR="00120DE1" w:rsidRPr="005B05E3">
        <w:rPr>
          <w:sz w:val="26"/>
          <w:szCs w:val="26"/>
        </w:rPr>
        <w:t xml:space="preserve">.  </w:t>
      </w:r>
      <w:r w:rsidRPr="005B05E3">
        <w:rPr>
          <w:sz w:val="26"/>
          <w:szCs w:val="26"/>
        </w:rPr>
        <w:t xml:space="preserve">PGW was </w:t>
      </w:r>
      <w:r w:rsidR="00505FDF" w:rsidRPr="005B05E3">
        <w:rPr>
          <w:sz w:val="26"/>
          <w:szCs w:val="26"/>
        </w:rPr>
        <w:t xml:space="preserve">represented by counsel, presented the testimony of </w:t>
      </w:r>
      <w:r w:rsidR="00120DE1" w:rsidRPr="005B05E3">
        <w:rPr>
          <w:sz w:val="26"/>
          <w:szCs w:val="26"/>
        </w:rPr>
        <w:t>two</w:t>
      </w:r>
      <w:r w:rsidR="00505FDF" w:rsidRPr="005B05E3">
        <w:rPr>
          <w:sz w:val="26"/>
          <w:szCs w:val="26"/>
        </w:rPr>
        <w:t xml:space="preserve"> witness</w:t>
      </w:r>
      <w:r w:rsidR="00120DE1" w:rsidRPr="005B05E3">
        <w:rPr>
          <w:sz w:val="26"/>
          <w:szCs w:val="26"/>
        </w:rPr>
        <w:t>es</w:t>
      </w:r>
      <w:r w:rsidR="00505FDF" w:rsidRPr="005B05E3">
        <w:rPr>
          <w:sz w:val="26"/>
          <w:szCs w:val="26"/>
        </w:rPr>
        <w:t xml:space="preserve">, and submitted </w:t>
      </w:r>
      <w:r w:rsidR="00120DE1" w:rsidRPr="005B05E3">
        <w:rPr>
          <w:sz w:val="26"/>
          <w:szCs w:val="26"/>
        </w:rPr>
        <w:t>six</w:t>
      </w:r>
      <w:r w:rsidR="00505FDF" w:rsidRPr="005B05E3">
        <w:rPr>
          <w:sz w:val="26"/>
          <w:szCs w:val="26"/>
        </w:rPr>
        <w:t xml:space="preserve"> exhibits, all of which were admitted into the record.  </w:t>
      </w:r>
      <w:r w:rsidR="005C5145">
        <w:rPr>
          <w:sz w:val="26"/>
          <w:szCs w:val="26"/>
        </w:rPr>
        <w:t>During</w:t>
      </w:r>
      <w:r w:rsidR="00120DE1" w:rsidRPr="005B05E3">
        <w:rPr>
          <w:sz w:val="26"/>
          <w:szCs w:val="26"/>
        </w:rPr>
        <w:t xml:space="preserve"> the hearing, </w:t>
      </w:r>
      <w:r w:rsidR="0087004F">
        <w:rPr>
          <w:sz w:val="26"/>
          <w:szCs w:val="26"/>
        </w:rPr>
        <w:t>Administrative Law Judge (</w:t>
      </w:r>
      <w:r w:rsidR="00120DE1" w:rsidRPr="005B05E3">
        <w:rPr>
          <w:sz w:val="26"/>
          <w:szCs w:val="26"/>
        </w:rPr>
        <w:t>ALJ</w:t>
      </w:r>
      <w:r w:rsidR="0087004F">
        <w:rPr>
          <w:sz w:val="26"/>
          <w:szCs w:val="26"/>
        </w:rPr>
        <w:t>) Eranda</w:t>
      </w:r>
      <w:r w:rsidR="00120DE1" w:rsidRPr="005B05E3">
        <w:rPr>
          <w:sz w:val="26"/>
          <w:szCs w:val="26"/>
        </w:rPr>
        <w:t xml:space="preserve"> Vero instructed PGW to test the Complainant’s meter for accuracy and to submit the results of the test as a late-filed exhibit.  </w:t>
      </w:r>
      <w:r w:rsidR="00536401" w:rsidRPr="005B05E3">
        <w:rPr>
          <w:sz w:val="26"/>
          <w:szCs w:val="26"/>
        </w:rPr>
        <w:t xml:space="preserve">The ALJ also </w:t>
      </w:r>
      <w:r w:rsidR="00AB4213">
        <w:rPr>
          <w:sz w:val="26"/>
          <w:szCs w:val="26"/>
        </w:rPr>
        <w:t xml:space="preserve">instructed </w:t>
      </w:r>
      <w:r w:rsidR="00536401" w:rsidRPr="005B05E3">
        <w:rPr>
          <w:sz w:val="26"/>
          <w:szCs w:val="26"/>
        </w:rPr>
        <w:t xml:space="preserve">both Parties to submit information concerning the potential for gas usage of the Complainant’s appliances as indicated on the plate rating on each appliance.  </w:t>
      </w:r>
    </w:p>
    <w:p w:rsidR="00536401" w:rsidRPr="005B05E3" w:rsidRDefault="00536401" w:rsidP="00AD462E">
      <w:pPr>
        <w:widowControl/>
        <w:spacing w:line="360" w:lineRule="auto"/>
        <w:rPr>
          <w:sz w:val="26"/>
          <w:szCs w:val="26"/>
        </w:rPr>
      </w:pPr>
    </w:p>
    <w:p w:rsidR="006239EE" w:rsidRDefault="00536401" w:rsidP="00AD462E">
      <w:pPr>
        <w:widowControl/>
        <w:spacing w:line="360" w:lineRule="auto"/>
        <w:rPr>
          <w:sz w:val="26"/>
          <w:szCs w:val="26"/>
        </w:rPr>
      </w:pPr>
      <w:r w:rsidRPr="005B05E3">
        <w:rPr>
          <w:sz w:val="26"/>
          <w:szCs w:val="26"/>
        </w:rPr>
        <w:tab/>
      </w:r>
      <w:r w:rsidRPr="005B05E3">
        <w:rPr>
          <w:sz w:val="26"/>
          <w:szCs w:val="26"/>
        </w:rPr>
        <w:tab/>
      </w:r>
      <w:r w:rsidR="00E1419D" w:rsidRPr="005B05E3">
        <w:rPr>
          <w:sz w:val="26"/>
          <w:szCs w:val="26"/>
        </w:rPr>
        <w:t xml:space="preserve">In her Initial Decision, issued </w:t>
      </w:r>
      <w:r w:rsidR="00720BDD" w:rsidRPr="005B05E3">
        <w:rPr>
          <w:sz w:val="26"/>
          <w:szCs w:val="26"/>
        </w:rPr>
        <w:t>August 9, 2013</w:t>
      </w:r>
      <w:r w:rsidR="00E1419D" w:rsidRPr="005B05E3">
        <w:rPr>
          <w:sz w:val="26"/>
          <w:szCs w:val="26"/>
        </w:rPr>
        <w:t xml:space="preserve">, the ALJ dismissed </w:t>
      </w:r>
      <w:r w:rsidR="00720BDD" w:rsidRPr="005B05E3">
        <w:rPr>
          <w:sz w:val="26"/>
          <w:szCs w:val="26"/>
        </w:rPr>
        <w:t xml:space="preserve">the Complaint in part, </w:t>
      </w:r>
      <w:r w:rsidR="00B76628">
        <w:rPr>
          <w:sz w:val="26"/>
          <w:szCs w:val="26"/>
        </w:rPr>
        <w:t>finding that Mr. Prendergast failed to carry his burden of proving that PGW had inappropriately and incorrectly billed him for previously unbilled services.  Accordingly, the ALJ ordered the Complainant to pay a makeup bill in the amount of $3,183.77</w:t>
      </w:r>
      <w:r w:rsidR="00266538">
        <w:rPr>
          <w:sz w:val="26"/>
          <w:szCs w:val="26"/>
        </w:rPr>
        <w:t xml:space="preserve"> in forty-eight monthly installments of $66.33 each</w:t>
      </w:r>
      <w:r w:rsidR="00B76628">
        <w:rPr>
          <w:sz w:val="26"/>
          <w:szCs w:val="26"/>
        </w:rPr>
        <w:t xml:space="preserve">.  </w:t>
      </w:r>
      <w:r w:rsidR="00720BDD" w:rsidRPr="005B05E3">
        <w:rPr>
          <w:sz w:val="26"/>
          <w:szCs w:val="26"/>
        </w:rPr>
        <w:t xml:space="preserve">I.D. at </w:t>
      </w:r>
      <w:r w:rsidR="00B76628">
        <w:rPr>
          <w:sz w:val="26"/>
          <w:szCs w:val="26"/>
        </w:rPr>
        <w:t xml:space="preserve">18, </w:t>
      </w:r>
      <w:r w:rsidR="00266538">
        <w:rPr>
          <w:sz w:val="26"/>
          <w:szCs w:val="26"/>
        </w:rPr>
        <w:t>21</w:t>
      </w:r>
      <w:r w:rsidR="00E1419D" w:rsidRPr="005B05E3">
        <w:rPr>
          <w:sz w:val="26"/>
          <w:szCs w:val="26"/>
        </w:rPr>
        <w:t xml:space="preserve">.  </w:t>
      </w:r>
      <w:r w:rsidR="00266538">
        <w:rPr>
          <w:sz w:val="26"/>
          <w:szCs w:val="26"/>
        </w:rPr>
        <w:t>However, the ALJ sustained the Complaint, in part, determining that Mr. Prendergast successfully carried his burden of proving that PGW had improperly imposed late payment charges on his account on July 12, 2012, and ordered PGW to credit the Complainant’s account in the amount of $85</w:t>
      </w:r>
      <w:r w:rsidR="006239EE">
        <w:rPr>
          <w:sz w:val="26"/>
          <w:szCs w:val="26"/>
        </w:rPr>
        <w:t xml:space="preserve">.82.  </w:t>
      </w:r>
      <w:r w:rsidR="006239EE">
        <w:rPr>
          <w:i/>
          <w:sz w:val="26"/>
          <w:szCs w:val="26"/>
        </w:rPr>
        <w:t>Id.</w:t>
      </w:r>
      <w:r w:rsidR="006239EE">
        <w:rPr>
          <w:sz w:val="26"/>
          <w:szCs w:val="26"/>
        </w:rPr>
        <w:t xml:space="preserve">  </w:t>
      </w:r>
    </w:p>
    <w:p w:rsidR="006239EE" w:rsidRDefault="006239EE" w:rsidP="00AD462E">
      <w:pPr>
        <w:widowControl/>
        <w:spacing w:line="360" w:lineRule="auto"/>
        <w:rPr>
          <w:sz w:val="26"/>
          <w:szCs w:val="26"/>
        </w:rPr>
      </w:pPr>
    </w:p>
    <w:p w:rsidR="00377DA4" w:rsidRDefault="006239EE" w:rsidP="006239EE">
      <w:pPr>
        <w:widowControl/>
        <w:spacing w:line="360" w:lineRule="auto"/>
        <w:ind w:firstLine="1440"/>
        <w:rPr>
          <w:sz w:val="26"/>
          <w:szCs w:val="26"/>
        </w:rPr>
      </w:pPr>
      <w:r>
        <w:rPr>
          <w:sz w:val="26"/>
          <w:szCs w:val="26"/>
        </w:rPr>
        <w:t xml:space="preserve">The </w:t>
      </w:r>
      <w:r w:rsidR="00E1419D" w:rsidRPr="005B05E3">
        <w:rPr>
          <w:sz w:val="26"/>
          <w:szCs w:val="26"/>
        </w:rPr>
        <w:t xml:space="preserve">Complainant filed Exceptions on </w:t>
      </w:r>
      <w:r w:rsidR="00720BDD" w:rsidRPr="005B05E3">
        <w:rPr>
          <w:sz w:val="26"/>
          <w:szCs w:val="26"/>
        </w:rPr>
        <w:t>August 27</w:t>
      </w:r>
      <w:r w:rsidR="00E1419D" w:rsidRPr="005B05E3">
        <w:rPr>
          <w:sz w:val="26"/>
          <w:szCs w:val="26"/>
        </w:rPr>
        <w:t>, 2013</w:t>
      </w:r>
      <w:r w:rsidR="00FD5AD0">
        <w:rPr>
          <w:sz w:val="26"/>
          <w:szCs w:val="26"/>
        </w:rPr>
        <w:t>,</w:t>
      </w:r>
      <w:r w:rsidR="00E1419D" w:rsidRPr="005B05E3">
        <w:rPr>
          <w:sz w:val="26"/>
          <w:szCs w:val="26"/>
        </w:rPr>
        <w:t xml:space="preserve"> </w:t>
      </w:r>
      <w:r w:rsidR="00DF5BA6">
        <w:rPr>
          <w:sz w:val="26"/>
          <w:szCs w:val="26"/>
        </w:rPr>
        <w:t xml:space="preserve">and </w:t>
      </w:r>
      <w:r w:rsidR="00E1419D" w:rsidRPr="005B05E3">
        <w:rPr>
          <w:sz w:val="26"/>
          <w:szCs w:val="26"/>
        </w:rPr>
        <w:t xml:space="preserve">PGW filed Replies to Exceptions on </w:t>
      </w:r>
      <w:r w:rsidR="00720BDD" w:rsidRPr="005B05E3">
        <w:rPr>
          <w:sz w:val="26"/>
          <w:szCs w:val="26"/>
        </w:rPr>
        <w:t>September</w:t>
      </w:r>
      <w:r w:rsidR="00FD5AD0">
        <w:rPr>
          <w:sz w:val="26"/>
          <w:szCs w:val="26"/>
        </w:rPr>
        <w:t> </w:t>
      </w:r>
      <w:r w:rsidR="00720BDD" w:rsidRPr="005B05E3">
        <w:rPr>
          <w:sz w:val="26"/>
          <w:szCs w:val="26"/>
        </w:rPr>
        <w:t>9</w:t>
      </w:r>
      <w:r w:rsidR="00E1419D" w:rsidRPr="005B05E3">
        <w:rPr>
          <w:sz w:val="26"/>
          <w:szCs w:val="26"/>
        </w:rPr>
        <w:t>, 2013.</w:t>
      </w:r>
      <w:r w:rsidR="00B57501">
        <w:rPr>
          <w:sz w:val="26"/>
          <w:szCs w:val="26"/>
        </w:rPr>
        <w:t xml:space="preserve">  </w:t>
      </w:r>
      <w:r w:rsidR="00C129DF">
        <w:rPr>
          <w:sz w:val="26"/>
          <w:szCs w:val="26"/>
        </w:rPr>
        <w:t>The Exceptions included objections to the ALJ’s admission of the Complainant’s record of gas usage between 2004 and 2007.  The Complainant questioned why PGW was permitted to submit records that were more than four years old when it is only permitted to back-bill him for the period after March 2008. Exc. at 1-2.  Additionally,</w:t>
      </w:r>
      <w:r>
        <w:rPr>
          <w:sz w:val="26"/>
          <w:szCs w:val="26"/>
        </w:rPr>
        <w:t xml:space="preserve"> </w:t>
      </w:r>
      <w:r w:rsidR="00C129DF">
        <w:rPr>
          <w:sz w:val="26"/>
          <w:szCs w:val="26"/>
        </w:rPr>
        <w:t xml:space="preserve">Mr. Prendergast objected to the ALJ’s finding that the make-up bill was correct and questioned the timing of the subsequent credits PGW applied.  Finally, the Complainant excepted to the ALJ’s discussion and findings regarding the underlying cause of his usage discrepancy.  </w:t>
      </w:r>
      <w:r w:rsidR="00C129DF">
        <w:rPr>
          <w:i/>
          <w:sz w:val="26"/>
          <w:szCs w:val="26"/>
        </w:rPr>
        <w:t xml:space="preserve">Id. </w:t>
      </w:r>
      <w:r w:rsidR="00C129DF">
        <w:rPr>
          <w:sz w:val="26"/>
          <w:szCs w:val="26"/>
        </w:rPr>
        <w:t>at 2-3.  PGW’s Replies to Exceptions argued that the Complainant</w:t>
      </w:r>
      <w:r w:rsidR="00377DA4">
        <w:rPr>
          <w:sz w:val="26"/>
          <w:szCs w:val="26"/>
        </w:rPr>
        <w:t xml:space="preserve"> </w:t>
      </w:r>
      <w:r w:rsidR="00C129DF">
        <w:rPr>
          <w:sz w:val="26"/>
          <w:szCs w:val="26"/>
        </w:rPr>
        <w:t xml:space="preserve">failed to state an error of fact or law in the Initial Decision </w:t>
      </w:r>
      <w:r w:rsidR="00C129DF">
        <w:rPr>
          <w:sz w:val="26"/>
          <w:szCs w:val="26"/>
        </w:rPr>
        <w:lastRenderedPageBreak/>
        <w:t xml:space="preserve">and requested that the </w:t>
      </w:r>
      <w:r w:rsidR="00377DA4">
        <w:rPr>
          <w:sz w:val="26"/>
          <w:szCs w:val="26"/>
        </w:rPr>
        <w:t xml:space="preserve">Commission deny the Exceptions and adopt the Initial Decision.  R. Exc. 3-4.  </w:t>
      </w:r>
    </w:p>
    <w:p w:rsidR="00377DA4" w:rsidRDefault="00377DA4" w:rsidP="006239EE">
      <w:pPr>
        <w:widowControl/>
        <w:spacing w:line="360" w:lineRule="auto"/>
        <w:ind w:firstLine="1440"/>
        <w:rPr>
          <w:sz w:val="26"/>
          <w:szCs w:val="26"/>
        </w:rPr>
      </w:pPr>
    </w:p>
    <w:p w:rsidR="00720BDD" w:rsidRPr="00E56F83" w:rsidRDefault="009E1D2A" w:rsidP="006239EE">
      <w:pPr>
        <w:widowControl/>
        <w:spacing w:line="360" w:lineRule="auto"/>
        <w:ind w:firstLine="1440"/>
        <w:rPr>
          <w:sz w:val="26"/>
          <w:szCs w:val="26"/>
        </w:rPr>
      </w:pPr>
      <w:r>
        <w:rPr>
          <w:sz w:val="26"/>
          <w:szCs w:val="26"/>
        </w:rPr>
        <w:t xml:space="preserve">In our </w:t>
      </w:r>
      <w:r w:rsidR="00414B8E">
        <w:rPr>
          <w:i/>
          <w:sz w:val="26"/>
          <w:szCs w:val="26"/>
        </w:rPr>
        <w:t>February 2014 Order</w:t>
      </w:r>
      <w:r>
        <w:rPr>
          <w:sz w:val="26"/>
          <w:szCs w:val="26"/>
        </w:rPr>
        <w:t xml:space="preserve">, we denied the Complainant’s Exceptions and modified the ALJ’s Initial Decision.  As previously stated, the </w:t>
      </w:r>
      <w:r w:rsidR="00102E27">
        <w:rPr>
          <w:sz w:val="26"/>
          <w:szCs w:val="26"/>
        </w:rPr>
        <w:t>Company</w:t>
      </w:r>
      <w:r>
        <w:rPr>
          <w:sz w:val="26"/>
          <w:szCs w:val="26"/>
        </w:rPr>
        <w:t xml:space="preserve"> filed the instant Petition on </w:t>
      </w:r>
      <w:r w:rsidR="00E56F83">
        <w:rPr>
          <w:sz w:val="26"/>
          <w:szCs w:val="26"/>
        </w:rPr>
        <w:t xml:space="preserve">March 14, 2014.  </w:t>
      </w:r>
      <w:r w:rsidR="00E56F83" w:rsidRPr="00E56F83">
        <w:rPr>
          <w:sz w:val="26"/>
          <w:szCs w:val="26"/>
        </w:rPr>
        <w:t xml:space="preserve">By Order entered </w:t>
      </w:r>
      <w:r w:rsidR="00E56F83">
        <w:rPr>
          <w:sz w:val="26"/>
          <w:szCs w:val="26"/>
        </w:rPr>
        <w:t>March 20, 2014</w:t>
      </w:r>
      <w:r w:rsidR="00E56F83" w:rsidRPr="00E56F83">
        <w:rPr>
          <w:sz w:val="26"/>
          <w:szCs w:val="26"/>
        </w:rPr>
        <w:t>, we granted the Petition, pending further review of, and consideration on, the merits</w:t>
      </w:r>
      <w:r w:rsidR="00E56F83">
        <w:rPr>
          <w:sz w:val="26"/>
          <w:szCs w:val="26"/>
        </w:rPr>
        <w:t xml:space="preserve">.  On March 26, 2014, the Complainant filed an Answer to the Petition.  </w:t>
      </w:r>
    </w:p>
    <w:p w:rsidR="006D4CAB" w:rsidRPr="005B05E3" w:rsidRDefault="006D4CAB" w:rsidP="00AD462E">
      <w:pPr>
        <w:widowControl/>
        <w:spacing w:line="360" w:lineRule="auto"/>
        <w:rPr>
          <w:sz w:val="26"/>
          <w:szCs w:val="26"/>
        </w:rPr>
      </w:pPr>
    </w:p>
    <w:bookmarkEnd w:id="0"/>
    <w:bookmarkEnd w:id="1"/>
    <w:p w:rsidR="00154CB6" w:rsidRPr="005B05E3" w:rsidRDefault="00CA43A5" w:rsidP="00AD462E">
      <w:pPr>
        <w:widowControl/>
        <w:spacing w:line="360" w:lineRule="auto"/>
        <w:jc w:val="center"/>
        <w:rPr>
          <w:b/>
          <w:sz w:val="26"/>
          <w:szCs w:val="26"/>
        </w:rPr>
      </w:pPr>
      <w:r w:rsidRPr="005B05E3">
        <w:rPr>
          <w:b/>
          <w:sz w:val="26"/>
          <w:szCs w:val="26"/>
        </w:rPr>
        <w:t>Discussion</w:t>
      </w:r>
    </w:p>
    <w:p w:rsidR="00EA6F81" w:rsidRPr="005B05E3" w:rsidRDefault="00EA6F81" w:rsidP="00AD462E">
      <w:pPr>
        <w:widowControl/>
        <w:spacing w:line="360" w:lineRule="auto"/>
        <w:rPr>
          <w:b/>
          <w:sz w:val="26"/>
          <w:szCs w:val="26"/>
        </w:rPr>
      </w:pPr>
    </w:p>
    <w:p w:rsidR="00CB244C" w:rsidRPr="005B05E3" w:rsidRDefault="00CB244C" w:rsidP="00AD462E">
      <w:pPr>
        <w:widowControl/>
        <w:spacing w:line="360" w:lineRule="auto"/>
        <w:rPr>
          <w:b/>
          <w:sz w:val="26"/>
          <w:szCs w:val="26"/>
        </w:rPr>
      </w:pPr>
      <w:r w:rsidRPr="005B05E3">
        <w:rPr>
          <w:b/>
          <w:sz w:val="26"/>
          <w:szCs w:val="26"/>
        </w:rPr>
        <w:t>Legal Standards</w:t>
      </w:r>
    </w:p>
    <w:p w:rsidR="00CB244C" w:rsidRPr="005B05E3" w:rsidRDefault="00CB244C" w:rsidP="00AD462E">
      <w:pPr>
        <w:widowControl/>
        <w:spacing w:line="360" w:lineRule="auto"/>
        <w:rPr>
          <w:sz w:val="26"/>
          <w:szCs w:val="26"/>
        </w:rPr>
      </w:pPr>
    </w:p>
    <w:p w:rsidR="00515320" w:rsidRPr="00116593" w:rsidRDefault="00515320" w:rsidP="00515320">
      <w:pPr>
        <w:suppressAutoHyphens/>
        <w:spacing w:line="360" w:lineRule="auto"/>
        <w:ind w:firstLine="1440"/>
        <w:rPr>
          <w:rFonts w:ascii="Times New (W1)" w:hAnsi="Times New (W1)"/>
          <w:sz w:val="26"/>
        </w:rPr>
      </w:pPr>
      <w:r w:rsidRPr="00116593">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116593">
        <w:rPr>
          <w:rFonts w:ascii="Times New (W1)" w:hAnsi="Times New (W1)"/>
          <w:i/>
          <w:sz w:val="26"/>
        </w:rPr>
        <w:t xml:space="preserve">Consolidated Rail Corp. v. Pennsylvania Public Utility Commission, </w:t>
      </w:r>
      <w:r w:rsidRPr="00116593">
        <w:rPr>
          <w:rFonts w:ascii="Times New (W1)" w:hAnsi="Times New (W1)"/>
          <w:sz w:val="26"/>
        </w:rPr>
        <w:t>625 A.2d 741 (Pa. Cmwlth. 1993).</w:t>
      </w:r>
    </w:p>
    <w:p w:rsidR="00515320" w:rsidRPr="00116593" w:rsidRDefault="00515320" w:rsidP="00515320">
      <w:pPr>
        <w:suppressAutoHyphens/>
        <w:spacing w:line="360" w:lineRule="auto"/>
        <w:ind w:firstLine="1440"/>
        <w:rPr>
          <w:spacing w:val="-3"/>
          <w:sz w:val="26"/>
        </w:rPr>
      </w:pPr>
    </w:p>
    <w:p w:rsidR="00515320" w:rsidRPr="00116593" w:rsidRDefault="00515320" w:rsidP="00515320">
      <w:pPr>
        <w:widowControl/>
        <w:spacing w:line="360" w:lineRule="auto"/>
        <w:ind w:firstLine="1440"/>
        <w:rPr>
          <w:sz w:val="26"/>
        </w:rPr>
      </w:pPr>
      <w:r w:rsidRPr="00116593">
        <w:rPr>
          <w:sz w:val="26"/>
        </w:rPr>
        <w:t xml:space="preserve">The Code establishes a party’s right to seek relief following the issuance of our final decisions pursuant to Subsections 703(f) and (g), 66 Pa. C.S. § 703(f) </w:t>
      </w:r>
    </w:p>
    <w:p w:rsidR="00515320" w:rsidRPr="00116593" w:rsidRDefault="00515320" w:rsidP="00515320">
      <w:pPr>
        <w:spacing w:line="360" w:lineRule="auto"/>
        <w:rPr>
          <w:sz w:val="26"/>
        </w:rPr>
      </w:pPr>
      <w:r w:rsidRPr="00116593">
        <w:rPr>
          <w:sz w:val="26"/>
        </w:rPr>
        <w:t xml:space="preserve">and § 703(g), relating to rehearings, as well as the rescission and amendment of orders.  Such requests for relief must be consistent with Section 5.572 of our Regulations,      52 Pa. Code § 5.572, relating to petitions for relief following the issuance of a final decision.  </w:t>
      </w:r>
    </w:p>
    <w:p w:rsidR="00515320" w:rsidRPr="00116593" w:rsidRDefault="00515320" w:rsidP="00515320">
      <w:pPr>
        <w:spacing w:line="360" w:lineRule="auto"/>
        <w:rPr>
          <w:sz w:val="26"/>
        </w:rPr>
      </w:pPr>
    </w:p>
    <w:p w:rsidR="00515320" w:rsidRPr="00116593" w:rsidRDefault="00515320" w:rsidP="00515320">
      <w:pPr>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  </w:t>
      </w:r>
    </w:p>
    <w:p w:rsidR="00515320" w:rsidRPr="00116593" w:rsidRDefault="00515320" w:rsidP="00515320">
      <w:pPr>
        <w:widowControl/>
        <w:rPr>
          <w:sz w:val="26"/>
        </w:rPr>
      </w:pPr>
    </w:p>
    <w:p w:rsidR="00515320" w:rsidRPr="00116593" w:rsidRDefault="00515320" w:rsidP="00515320">
      <w:pPr>
        <w:widowControl/>
        <w:ind w:left="1440" w:right="1440"/>
        <w:rPr>
          <w:sz w:val="26"/>
        </w:rPr>
      </w:pPr>
      <w:r w:rsidRPr="00116593">
        <w:rPr>
          <w:sz w:val="26"/>
        </w:rPr>
        <w:lastRenderedPageBreak/>
        <w:t xml:space="preserve">A Petition for Reconsideration, under the provisions of </w:t>
      </w:r>
    </w:p>
    <w:p w:rsidR="00515320" w:rsidRPr="00116593" w:rsidRDefault="00515320" w:rsidP="00515320">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515320" w:rsidRPr="00116593" w:rsidRDefault="00515320" w:rsidP="00515320">
      <w:pPr>
        <w:widowControl/>
        <w:ind w:left="1440" w:right="1440"/>
        <w:rPr>
          <w:sz w:val="26"/>
        </w:rPr>
      </w:pPr>
    </w:p>
    <w:p w:rsidR="00515320" w:rsidRPr="00116593" w:rsidRDefault="00515320" w:rsidP="00515320">
      <w:pPr>
        <w:widowControl/>
        <w:ind w:left="1440" w:right="1440"/>
        <w:rPr>
          <w:sz w:val="26"/>
        </w:rPr>
      </w:pPr>
      <w:r w:rsidRPr="00116593">
        <w:rPr>
          <w:sz w:val="26"/>
        </w:rPr>
        <w:tab/>
        <w:t xml:space="preserve">In this regard we agree with the court in the </w:t>
      </w:r>
      <w:r w:rsidRPr="0087004F">
        <w:rPr>
          <w:i/>
          <w:sz w:val="26"/>
        </w:rPr>
        <w:t>Pennsyl</w:t>
      </w:r>
      <w:r w:rsidRPr="0087004F">
        <w:rPr>
          <w:i/>
          <w:sz w:val="26"/>
        </w:rPr>
        <w:softHyphen/>
        <w:t>vania Railroad Company</w:t>
      </w:r>
      <w:r w:rsidRPr="00116593">
        <w:rPr>
          <w:sz w:val="26"/>
        </w:rPr>
        <w:t xml:space="preserve"> case, wherein it was stated that:  </w:t>
      </w:r>
    </w:p>
    <w:p w:rsidR="00515320" w:rsidRPr="00116593" w:rsidRDefault="00515320" w:rsidP="00515320">
      <w:pPr>
        <w:widowControl/>
        <w:ind w:left="2160" w:right="2160"/>
        <w:rPr>
          <w:sz w:val="26"/>
        </w:rPr>
      </w:pPr>
    </w:p>
    <w:p w:rsidR="00515320" w:rsidRPr="00116593" w:rsidRDefault="00515320" w:rsidP="00515320">
      <w:pPr>
        <w:widowControl/>
        <w:tabs>
          <w:tab w:val="left" w:pos="-720"/>
        </w:tabs>
        <w:ind w:left="2160" w:right="2160"/>
        <w:rPr>
          <w:sz w:val="26"/>
        </w:rPr>
      </w:pPr>
      <w:r w:rsidRPr="00116593">
        <w:rPr>
          <w:sz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116593">
        <w:rPr>
          <w:sz w:val="26"/>
        </w:rPr>
        <w:softHyphen/>
        <w:t xml:space="preserve">tions which appear to have been overlooked by the Commission.  </w:t>
      </w:r>
    </w:p>
    <w:p w:rsidR="00515320" w:rsidRPr="00116593" w:rsidRDefault="00515320" w:rsidP="007F193A">
      <w:pPr>
        <w:widowControl/>
        <w:tabs>
          <w:tab w:val="left" w:pos="-720"/>
        </w:tabs>
        <w:spacing w:line="360" w:lineRule="auto"/>
        <w:ind w:left="2160" w:right="2160"/>
        <w:rPr>
          <w:sz w:val="26"/>
        </w:rPr>
      </w:pPr>
    </w:p>
    <w:p w:rsidR="00515320" w:rsidRPr="00116593" w:rsidRDefault="00515320" w:rsidP="00515320">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515320" w:rsidRPr="00116593" w:rsidRDefault="00515320" w:rsidP="00515320">
      <w:pPr>
        <w:widowControl/>
        <w:spacing w:line="360" w:lineRule="auto"/>
        <w:rPr>
          <w:sz w:val="26"/>
        </w:rPr>
      </w:pPr>
    </w:p>
    <w:p w:rsidR="00515320" w:rsidRPr="00116593" w:rsidRDefault="00515320" w:rsidP="00515320">
      <w:pPr>
        <w:widowControl/>
        <w:suppressAutoHyphens/>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xml:space="preserve">, 56 Pa. P.U.C. at 559.     </w:t>
      </w:r>
    </w:p>
    <w:p w:rsidR="00EB0A51" w:rsidRPr="005B05E3" w:rsidRDefault="00EB0A51" w:rsidP="00515320">
      <w:pPr>
        <w:widowControl/>
        <w:spacing w:line="360" w:lineRule="auto"/>
        <w:rPr>
          <w:sz w:val="26"/>
          <w:szCs w:val="26"/>
        </w:rPr>
      </w:pPr>
    </w:p>
    <w:p w:rsidR="00716C74" w:rsidRPr="00414B8E" w:rsidRDefault="00414B8E" w:rsidP="00CE5857">
      <w:pPr>
        <w:keepNext/>
        <w:widowControl/>
        <w:spacing w:line="360" w:lineRule="auto"/>
        <w:rPr>
          <w:b/>
          <w:i/>
          <w:sz w:val="26"/>
          <w:szCs w:val="26"/>
        </w:rPr>
      </w:pPr>
      <w:r>
        <w:rPr>
          <w:b/>
          <w:i/>
          <w:sz w:val="26"/>
          <w:szCs w:val="26"/>
        </w:rPr>
        <w:t>February 2014 Order</w:t>
      </w:r>
    </w:p>
    <w:p w:rsidR="00716C74" w:rsidRPr="005B05E3" w:rsidRDefault="00716C74" w:rsidP="00CE5857">
      <w:pPr>
        <w:widowControl/>
        <w:spacing w:line="360" w:lineRule="auto"/>
        <w:rPr>
          <w:sz w:val="26"/>
          <w:szCs w:val="26"/>
        </w:rPr>
      </w:pPr>
    </w:p>
    <w:p w:rsidR="00792484" w:rsidRPr="00F56AFA" w:rsidRDefault="00A251EE" w:rsidP="00CE5857">
      <w:pPr>
        <w:widowControl/>
        <w:spacing w:line="360" w:lineRule="auto"/>
        <w:rPr>
          <w:sz w:val="26"/>
          <w:szCs w:val="26"/>
        </w:rPr>
      </w:pPr>
      <w:r>
        <w:rPr>
          <w:sz w:val="26"/>
          <w:szCs w:val="26"/>
        </w:rPr>
        <w:tab/>
      </w:r>
      <w:r>
        <w:rPr>
          <w:sz w:val="26"/>
          <w:szCs w:val="26"/>
        </w:rPr>
        <w:tab/>
        <w:t xml:space="preserve">In our </w:t>
      </w:r>
      <w:r>
        <w:rPr>
          <w:i/>
          <w:sz w:val="26"/>
          <w:szCs w:val="26"/>
        </w:rPr>
        <w:t>February 2014 Order</w:t>
      </w:r>
      <w:r w:rsidR="00F40468">
        <w:rPr>
          <w:sz w:val="26"/>
          <w:szCs w:val="26"/>
        </w:rPr>
        <w:t>,</w:t>
      </w:r>
      <w:r>
        <w:rPr>
          <w:sz w:val="26"/>
          <w:szCs w:val="26"/>
        </w:rPr>
        <w:t xml:space="preserve"> we denied the Complainant’s Exceptions </w:t>
      </w:r>
      <w:r w:rsidR="00A9590F">
        <w:rPr>
          <w:sz w:val="26"/>
          <w:szCs w:val="26"/>
        </w:rPr>
        <w:t>determining, in part, that the make-up bills</w:t>
      </w:r>
      <w:r w:rsidR="00F56AFA">
        <w:rPr>
          <w:sz w:val="26"/>
          <w:szCs w:val="26"/>
        </w:rPr>
        <w:t xml:space="preserve"> issued by PGW were correct and that the </w:t>
      </w:r>
      <w:r w:rsidR="00A9590F">
        <w:rPr>
          <w:sz w:val="26"/>
          <w:szCs w:val="26"/>
        </w:rPr>
        <w:lastRenderedPageBreak/>
        <w:t>Complainant failed to meet his burden of proving that PGW unjustly or unreasonably back-billed him for prior usage.</w:t>
      </w:r>
      <w:r w:rsidR="00335955">
        <w:rPr>
          <w:rStyle w:val="FootnoteReference"/>
          <w:sz w:val="26"/>
          <w:szCs w:val="26"/>
        </w:rPr>
        <w:footnoteReference w:id="2"/>
      </w:r>
      <w:r>
        <w:rPr>
          <w:sz w:val="26"/>
          <w:szCs w:val="26"/>
        </w:rPr>
        <w:t xml:space="preserve">  </w:t>
      </w:r>
      <w:r w:rsidR="00F56AFA">
        <w:rPr>
          <w:i/>
          <w:sz w:val="26"/>
          <w:szCs w:val="26"/>
        </w:rPr>
        <w:t>February 2014 Order</w:t>
      </w:r>
      <w:r w:rsidR="00F56AFA">
        <w:rPr>
          <w:sz w:val="26"/>
          <w:szCs w:val="26"/>
        </w:rPr>
        <w:t xml:space="preserve"> at 12-13.</w:t>
      </w:r>
    </w:p>
    <w:p w:rsidR="00F56AFA" w:rsidRDefault="00F56AFA" w:rsidP="00335955">
      <w:pPr>
        <w:widowControl/>
        <w:spacing w:line="360" w:lineRule="auto"/>
        <w:ind w:firstLine="1440"/>
        <w:rPr>
          <w:sz w:val="26"/>
          <w:szCs w:val="26"/>
        </w:rPr>
      </w:pPr>
    </w:p>
    <w:p w:rsidR="00F56AFA" w:rsidRDefault="00F56AFA" w:rsidP="00335955">
      <w:pPr>
        <w:widowControl/>
        <w:spacing w:line="360" w:lineRule="auto"/>
        <w:ind w:firstLine="1440"/>
        <w:rPr>
          <w:sz w:val="26"/>
          <w:szCs w:val="26"/>
        </w:rPr>
      </w:pPr>
      <w:r>
        <w:rPr>
          <w:sz w:val="26"/>
          <w:szCs w:val="26"/>
        </w:rPr>
        <w:t xml:space="preserve">Additionally, we </w:t>
      </w:r>
      <w:r w:rsidR="00A9590F">
        <w:rPr>
          <w:sz w:val="26"/>
          <w:szCs w:val="26"/>
        </w:rPr>
        <w:t xml:space="preserve">modified the Initial Decision to require PGW to issue a twenty percent conservation credit to Mr. Prendergast.  </w:t>
      </w:r>
      <w:r w:rsidR="00335955">
        <w:rPr>
          <w:sz w:val="26"/>
          <w:szCs w:val="26"/>
        </w:rPr>
        <w:t xml:space="preserve">Although we noted our agreement with the ALJ’s </w:t>
      </w:r>
      <w:r>
        <w:rPr>
          <w:sz w:val="26"/>
          <w:szCs w:val="26"/>
        </w:rPr>
        <w:t>Initial</w:t>
      </w:r>
      <w:r w:rsidR="00335955">
        <w:rPr>
          <w:sz w:val="26"/>
          <w:szCs w:val="26"/>
        </w:rPr>
        <w:t xml:space="preserve"> Decision, we recognized that</w:t>
      </w:r>
      <w:r w:rsidR="00C37384">
        <w:rPr>
          <w:sz w:val="26"/>
          <w:szCs w:val="26"/>
        </w:rPr>
        <w:t>,</w:t>
      </w:r>
      <w:r w:rsidR="00335955">
        <w:rPr>
          <w:sz w:val="26"/>
          <w:szCs w:val="26"/>
        </w:rPr>
        <w:t xml:space="preserve"> between June 2006 and March 2012, the period in which the meter malfunction occurred, the Complainant did not receive adequate price signals related to his gas consumption.  </w:t>
      </w:r>
      <w:r>
        <w:rPr>
          <w:sz w:val="26"/>
          <w:szCs w:val="26"/>
        </w:rPr>
        <w:t>We</w:t>
      </w:r>
      <w:r w:rsidR="00335955">
        <w:rPr>
          <w:sz w:val="26"/>
          <w:szCs w:val="26"/>
        </w:rPr>
        <w:t xml:space="preserve"> explained that there was no record evidence to indicate that the Complainant was at fault for the equipment malfunction.  Given the totality of the circumstances, as well as the length of time during which the usage discrepancy occurred, we concluded that the Complainant should be awarded a conservation credit, in addition to the two revenue credit adjustments PGW has already made to reduce the make-up bill.  We further noted our approval of the implementation of such credits in similar circumstances,</w:t>
      </w:r>
      <w:r w:rsidR="00335955">
        <w:rPr>
          <w:rStyle w:val="FootnoteReference"/>
          <w:sz w:val="26"/>
          <w:szCs w:val="26"/>
        </w:rPr>
        <w:footnoteReference w:id="3"/>
      </w:r>
      <w:r w:rsidR="00335955">
        <w:rPr>
          <w:sz w:val="26"/>
          <w:szCs w:val="26"/>
        </w:rPr>
        <w:t xml:space="preserve"> and we </w:t>
      </w:r>
      <w:r>
        <w:rPr>
          <w:sz w:val="26"/>
          <w:szCs w:val="26"/>
        </w:rPr>
        <w:t>found</w:t>
      </w:r>
      <w:r w:rsidR="00335955">
        <w:rPr>
          <w:sz w:val="26"/>
          <w:szCs w:val="26"/>
        </w:rPr>
        <w:t xml:space="preserve"> that it </w:t>
      </w:r>
      <w:r>
        <w:rPr>
          <w:sz w:val="26"/>
          <w:szCs w:val="26"/>
        </w:rPr>
        <w:t>was</w:t>
      </w:r>
      <w:r w:rsidR="00335955">
        <w:rPr>
          <w:sz w:val="26"/>
          <w:szCs w:val="26"/>
        </w:rPr>
        <w:t xml:space="preserve"> appropriate </w:t>
      </w:r>
      <w:r>
        <w:rPr>
          <w:sz w:val="26"/>
          <w:szCs w:val="26"/>
        </w:rPr>
        <w:t xml:space="preserve">to </w:t>
      </w:r>
      <w:r w:rsidR="00335955">
        <w:rPr>
          <w:sz w:val="26"/>
          <w:szCs w:val="26"/>
        </w:rPr>
        <w:t xml:space="preserve">apply a conservation credit to the Complainant in this instance.  </w:t>
      </w:r>
      <w:r>
        <w:rPr>
          <w:i/>
          <w:sz w:val="26"/>
          <w:szCs w:val="26"/>
        </w:rPr>
        <w:t>February 2014 Order</w:t>
      </w:r>
      <w:r>
        <w:rPr>
          <w:sz w:val="26"/>
          <w:szCs w:val="26"/>
        </w:rPr>
        <w:t xml:space="preserve"> at 13-14.</w:t>
      </w:r>
    </w:p>
    <w:p w:rsidR="00F56AFA" w:rsidRDefault="00F56AFA" w:rsidP="00335955">
      <w:pPr>
        <w:widowControl/>
        <w:spacing w:line="360" w:lineRule="auto"/>
        <w:ind w:firstLine="1440"/>
        <w:rPr>
          <w:sz w:val="26"/>
          <w:szCs w:val="26"/>
        </w:rPr>
      </w:pPr>
    </w:p>
    <w:p w:rsidR="00335955" w:rsidRPr="00FE5DB4" w:rsidRDefault="00335955" w:rsidP="00335955">
      <w:pPr>
        <w:widowControl/>
        <w:spacing w:line="360" w:lineRule="auto"/>
        <w:ind w:firstLine="1440"/>
        <w:rPr>
          <w:sz w:val="26"/>
          <w:szCs w:val="26"/>
        </w:rPr>
      </w:pPr>
      <w:r>
        <w:rPr>
          <w:sz w:val="26"/>
          <w:szCs w:val="26"/>
        </w:rPr>
        <w:t xml:space="preserve">Accordingly, we </w:t>
      </w:r>
      <w:r w:rsidR="00F56AFA">
        <w:rPr>
          <w:sz w:val="26"/>
          <w:szCs w:val="26"/>
        </w:rPr>
        <w:t>modified</w:t>
      </w:r>
      <w:r>
        <w:rPr>
          <w:sz w:val="26"/>
          <w:szCs w:val="26"/>
        </w:rPr>
        <w:t xml:space="preserve"> the ALJ’s </w:t>
      </w:r>
      <w:r w:rsidR="00F56AFA">
        <w:rPr>
          <w:sz w:val="26"/>
          <w:szCs w:val="26"/>
        </w:rPr>
        <w:t>Initial</w:t>
      </w:r>
      <w:r>
        <w:rPr>
          <w:sz w:val="26"/>
          <w:szCs w:val="26"/>
        </w:rPr>
        <w:t xml:space="preserve"> Decision by directing PGW to apply a </w:t>
      </w:r>
      <w:r w:rsidR="00F56AFA">
        <w:rPr>
          <w:sz w:val="26"/>
          <w:szCs w:val="26"/>
        </w:rPr>
        <w:t>twenty percent</w:t>
      </w:r>
      <w:r>
        <w:rPr>
          <w:sz w:val="26"/>
          <w:szCs w:val="26"/>
        </w:rPr>
        <w:t xml:space="preserve"> conservation credit to the Complainant’s remaining make-up bill balance of $3,183.77.  </w:t>
      </w:r>
      <w:r w:rsidR="009633AE">
        <w:rPr>
          <w:sz w:val="26"/>
          <w:szCs w:val="26"/>
        </w:rPr>
        <w:t xml:space="preserve">We calculated the </w:t>
      </w:r>
      <w:r>
        <w:rPr>
          <w:sz w:val="26"/>
          <w:szCs w:val="26"/>
        </w:rPr>
        <w:t xml:space="preserve">conservation credit </w:t>
      </w:r>
      <w:r w:rsidR="009633AE">
        <w:rPr>
          <w:sz w:val="26"/>
          <w:szCs w:val="26"/>
        </w:rPr>
        <w:t xml:space="preserve">to </w:t>
      </w:r>
      <w:r>
        <w:rPr>
          <w:sz w:val="26"/>
          <w:szCs w:val="26"/>
        </w:rPr>
        <w:t>reduce the Complainant’s make-up bill balance by $636.75, for a remain</w:t>
      </w:r>
      <w:r w:rsidR="009633AE">
        <w:rPr>
          <w:sz w:val="26"/>
          <w:szCs w:val="26"/>
        </w:rPr>
        <w:t>ing balance of $2,547.02, and directed the</w:t>
      </w:r>
      <w:r>
        <w:rPr>
          <w:sz w:val="26"/>
          <w:szCs w:val="26"/>
        </w:rPr>
        <w:t xml:space="preserve"> Complainant to pay</w:t>
      </w:r>
      <w:r w:rsidR="009633AE">
        <w:rPr>
          <w:sz w:val="26"/>
          <w:szCs w:val="26"/>
        </w:rPr>
        <w:t xml:space="preserve"> $53.06 over forty-eight monthly installments</w:t>
      </w:r>
      <w:r>
        <w:rPr>
          <w:sz w:val="26"/>
          <w:szCs w:val="26"/>
        </w:rPr>
        <w:t>.</w:t>
      </w:r>
      <w:r>
        <w:rPr>
          <w:rStyle w:val="FootnoteReference"/>
          <w:sz w:val="26"/>
          <w:szCs w:val="26"/>
        </w:rPr>
        <w:footnoteReference w:id="4"/>
      </w:r>
      <w:r>
        <w:rPr>
          <w:sz w:val="26"/>
          <w:szCs w:val="26"/>
        </w:rPr>
        <w:t xml:space="preserve">  In addition, we direct</w:t>
      </w:r>
      <w:r w:rsidR="001B6C39">
        <w:rPr>
          <w:sz w:val="26"/>
          <w:szCs w:val="26"/>
        </w:rPr>
        <w:t>ed</w:t>
      </w:r>
      <w:r>
        <w:rPr>
          <w:sz w:val="26"/>
          <w:szCs w:val="26"/>
        </w:rPr>
        <w:t xml:space="preserve"> PGW to refrain from assessing any late payment or interest charges on the </w:t>
      </w:r>
      <w:r>
        <w:rPr>
          <w:sz w:val="26"/>
          <w:szCs w:val="26"/>
        </w:rPr>
        <w:lastRenderedPageBreak/>
        <w:t xml:space="preserve">amount of the make-up bill, as long as the Complainant adheres to the terms of the payment agreement.  </w:t>
      </w:r>
      <w:r w:rsidR="00FE5DB4">
        <w:rPr>
          <w:i/>
          <w:sz w:val="26"/>
          <w:szCs w:val="26"/>
        </w:rPr>
        <w:t xml:space="preserve">Id. </w:t>
      </w:r>
      <w:r w:rsidR="00FE5DB4">
        <w:rPr>
          <w:sz w:val="26"/>
          <w:szCs w:val="26"/>
        </w:rPr>
        <w:t>at 14.</w:t>
      </w:r>
    </w:p>
    <w:p w:rsidR="00335955" w:rsidRPr="00400436" w:rsidRDefault="00335955" w:rsidP="00335955">
      <w:pPr>
        <w:widowControl/>
        <w:spacing w:line="360" w:lineRule="auto"/>
        <w:ind w:firstLine="1440"/>
        <w:rPr>
          <w:sz w:val="26"/>
          <w:szCs w:val="26"/>
        </w:rPr>
      </w:pPr>
    </w:p>
    <w:p w:rsidR="00335955" w:rsidRPr="00FE5DB4" w:rsidRDefault="00335955" w:rsidP="00335955">
      <w:pPr>
        <w:widowControl/>
        <w:spacing w:line="360" w:lineRule="auto"/>
        <w:rPr>
          <w:sz w:val="26"/>
          <w:szCs w:val="26"/>
        </w:rPr>
      </w:pPr>
      <w:r w:rsidRPr="00400436">
        <w:rPr>
          <w:sz w:val="26"/>
          <w:szCs w:val="26"/>
        </w:rPr>
        <w:tab/>
      </w:r>
      <w:r w:rsidRPr="00400436">
        <w:rPr>
          <w:sz w:val="26"/>
          <w:szCs w:val="26"/>
        </w:rPr>
        <w:tab/>
      </w:r>
      <w:r w:rsidR="00FE5DB4">
        <w:rPr>
          <w:sz w:val="26"/>
          <w:szCs w:val="26"/>
        </w:rPr>
        <w:t>Further, w</w:t>
      </w:r>
      <w:r>
        <w:rPr>
          <w:sz w:val="26"/>
          <w:szCs w:val="26"/>
        </w:rPr>
        <w:t>e</w:t>
      </w:r>
      <w:r w:rsidRPr="00400436">
        <w:rPr>
          <w:sz w:val="26"/>
          <w:szCs w:val="26"/>
        </w:rPr>
        <w:t xml:space="preserve"> emphasize</w:t>
      </w:r>
      <w:r w:rsidR="00FE5DB4">
        <w:rPr>
          <w:sz w:val="26"/>
          <w:szCs w:val="26"/>
        </w:rPr>
        <w:t>d</w:t>
      </w:r>
      <w:r w:rsidRPr="00400436">
        <w:rPr>
          <w:sz w:val="26"/>
          <w:szCs w:val="26"/>
        </w:rPr>
        <w:t xml:space="preserve"> that requiring the Complainant to pay for previously unbilled consumption </w:t>
      </w:r>
      <w:r w:rsidR="00FE5DB4">
        <w:rPr>
          <w:sz w:val="26"/>
          <w:szCs w:val="26"/>
        </w:rPr>
        <w:t>was</w:t>
      </w:r>
      <w:r w:rsidRPr="00400436">
        <w:rPr>
          <w:sz w:val="26"/>
          <w:szCs w:val="26"/>
        </w:rPr>
        <w:t xml:space="preserve"> not an attempt to hold him responsible for the failure of the ERT device to transmit accurate information to PGW.  </w:t>
      </w:r>
      <w:r w:rsidR="00FE5DB4">
        <w:rPr>
          <w:sz w:val="26"/>
          <w:szCs w:val="26"/>
        </w:rPr>
        <w:t>We explained that t</w:t>
      </w:r>
      <w:r w:rsidRPr="00400436">
        <w:rPr>
          <w:sz w:val="26"/>
          <w:szCs w:val="26"/>
        </w:rPr>
        <w:t xml:space="preserve">he Complainant </w:t>
      </w:r>
      <w:r w:rsidR="00FE5DB4">
        <w:rPr>
          <w:sz w:val="26"/>
          <w:szCs w:val="26"/>
        </w:rPr>
        <w:t>wa</w:t>
      </w:r>
      <w:r w:rsidRPr="00400436">
        <w:rPr>
          <w:sz w:val="26"/>
          <w:szCs w:val="26"/>
        </w:rPr>
        <w:t xml:space="preserve">s not being blamed for the equipment malfunction, nor </w:t>
      </w:r>
      <w:r w:rsidR="00FE5DB4">
        <w:rPr>
          <w:sz w:val="26"/>
          <w:szCs w:val="26"/>
        </w:rPr>
        <w:t>was</w:t>
      </w:r>
      <w:r w:rsidRPr="00400436">
        <w:rPr>
          <w:sz w:val="26"/>
          <w:szCs w:val="26"/>
        </w:rPr>
        <w:t xml:space="preserve"> he being made to pay a penalty for it.  Rather, we simply recogniz</w:t>
      </w:r>
      <w:r w:rsidR="00FE5DB4">
        <w:rPr>
          <w:sz w:val="26"/>
          <w:szCs w:val="26"/>
        </w:rPr>
        <w:t>ed</w:t>
      </w:r>
      <w:r w:rsidRPr="00400436">
        <w:rPr>
          <w:sz w:val="26"/>
          <w:szCs w:val="26"/>
        </w:rPr>
        <w:t xml:space="preserve"> the fact, supported by the evidence in this case, that the Complainant consumed more gas than was originally recorded on h</w:t>
      </w:r>
      <w:r>
        <w:rPr>
          <w:sz w:val="26"/>
          <w:szCs w:val="26"/>
        </w:rPr>
        <w:t>is</w:t>
      </w:r>
      <w:r w:rsidRPr="00400436">
        <w:rPr>
          <w:sz w:val="26"/>
          <w:szCs w:val="26"/>
        </w:rPr>
        <w:t xml:space="preserve"> account, and that he is obligat</w:t>
      </w:r>
      <w:r>
        <w:rPr>
          <w:sz w:val="26"/>
          <w:szCs w:val="26"/>
        </w:rPr>
        <w:t xml:space="preserve">ed to pay PGW for the gas that </w:t>
      </w:r>
      <w:r w:rsidRPr="00400436">
        <w:rPr>
          <w:sz w:val="26"/>
          <w:szCs w:val="26"/>
        </w:rPr>
        <w:t xml:space="preserve">he actually used. </w:t>
      </w:r>
      <w:r w:rsidR="00FE5DB4">
        <w:rPr>
          <w:sz w:val="26"/>
          <w:szCs w:val="26"/>
        </w:rPr>
        <w:t xml:space="preserve"> </w:t>
      </w:r>
      <w:r w:rsidR="00FE5DB4">
        <w:rPr>
          <w:i/>
          <w:sz w:val="26"/>
          <w:szCs w:val="26"/>
        </w:rPr>
        <w:t xml:space="preserve">Id. </w:t>
      </w:r>
      <w:r w:rsidR="00FE5DB4">
        <w:rPr>
          <w:sz w:val="26"/>
          <w:szCs w:val="26"/>
        </w:rPr>
        <w:t>at 14-15.</w:t>
      </w:r>
    </w:p>
    <w:p w:rsidR="00A251EE" w:rsidRPr="00A251EE" w:rsidRDefault="00A251EE" w:rsidP="00CE5857">
      <w:pPr>
        <w:widowControl/>
        <w:spacing w:line="360" w:lineRule="auto"/>
        <w:rPr>
          <w:sz w:val="26"/>
          <w:szCs w:val="26"/>
        </w:rPr>
      </w:pPr>
    </w:p>
    <w:p w:rsidR="00006F35" w:rsidRDefault="00414B8E" w:rsidP="00CE5857">
      <w:pPr>
        <w:widowControl/>
        <w:spacing w:line="360" w:lineRule="auto"/>
        <w:rPr>
          <w:rFonts w:eastAsia="Calibri"/>
          <w:b/>
          <w:sz w:val="26"/>
          <w:szCs w:val="26"/>
        </w:rPr>
      </w:pPr>
      <w:r>
        <w:rPr>
          <w:rFonts w:eastAsia="Calibri"/>
          <w:b/>
          <w:sz w:val="26"/>
          <w:szCs w:val="26"/>
        </w:rPr>
        <w:t>Petition and Answer</w:t>
      </w:r>
    </w:p>
    <w:p w:rsidR="004E2F9E" w:rsidRDefault="004E2F9E" w:rsidP="00CE5857">
      <w:pPr>
        <w:widowControl/>
        <w:spacing w:line="360" w:lineRule="auto"/>
        <w:rPr>
          <w:rFonts w:eastAsia="Calibri"/>
          <w:b/>
          <w:sz w:val="26"/>
          <w:szCs w:val="26"/>
        </w:rPr>
      </w:pPr>
    </w:p>
    <w:p w:rsidR="00102E27" w:rsidRDefault="00102E27" w:rsidP="00CE5857">
      <w:pPr>
        <w:widowControl/>
        <w:spacing w:line="360" w:lineRule="auto"/>
        <w:rPr>
          <w:sz w:val="26"/>
          <w:szCs w:val="26"/>
        </w:rPr>
      </w:pPr>
      <w:r>
        <w:rPr>
          <w:rFonts w:eastAsia="Calibri"/>
          <w:b/>
          <w:sz w:val="26"/>
          <w:szCs w:val="26"/>
        </w:rPr>
        <w:tab/>
      </w:r>
      <w:r>
        <w:rPr>
          <w:rFonts w:eastAsia="Calibri"/>
          <w:b/>
          <w:sz w:val="26"/>
          <w:szCs w:val="26"/>
        </w:rPr>
        <w:tab/>
      </w:r>
      <w:r>
        <w:rPr>
          <w:rFonts w:eastAsia="Calibri"/>
          <w:sz w:val="26"/>
          <w:szCs w:val="26"/>
        </w:rPr>
        <w:t xml:space="preserve">In its Petition, PGW argues that the conservation credit constitutes impermissible compensatory damages.  According to the Company, the conservation credit applied in the </w:t>
      </w:r>
      <w:r>
        <w:rPr>
          <w:i/>
          <w:sz w:val="26"/>
          <w:szCs w:val="26"/>
        </w:rPr>
        <w:t xml:space="preserve">February 2014 Order </w:t>
      </w:r>
      <w:r>
        <w:rPr>
          <w:sz w:val="26"/>
          <w:szCs w:val="26"/>
        </w:rPr>
        <w:t>does not represent a correction of a bill to reflect actual usage</w:t>
      </w:r>
      <w:r w:rsidR="006A597B">
        <w:rPr>
          <w:sz w:val="26"/>
          <w:szCs w:val="26"/>
        </w:rPr>
        <w:t>,</w:t>
      </w:r>
      <w:r>
        <w:rPr>
          <w:sz w:val="26"/>
          <w:szCs w:val="26"/>
        </w:rPr>
        <w:t xml:space="preserve"> </w:t>
      </w:r>
      <w:r w:rsidR="006A597B">
        <w:rPr>
          <w:sz w:val="26"/>
          <w:szCs w:val="26"/>
        </w:rPr>
        <w:t xml:space="preserve">which may </w:t>
      </w:r>
      <w:r w:rsidR="000F2261">
        <w:rPr>
          <w:sz w:val="26"/>
          <w:szCs w:val="26"/>
        </w:rPr>
        <w:t>be permitted</w:t>
      </w:r>
      <w:r>
        <w:rPr>
          <w:sz w:val="26"/>
          <w:szCs w:val="26"/>
        </w:rPr>
        <w:t xml:space="preserve"> in cases involving a miscalculation of a rate or a fast meter.  Rather, </w:t>
      </w:r>
      <w:r w:rsidR="00E30B77">
        <w:rPr>
          <w:sz w:val="26"/>
          <w:szCs w:val="26"/>
        </w:rPr>
        <w:t xml:space="preserve">PGW describes </w:t>
      </w:r>
      <w:r>
        <w:rPr>
          <w:sz w:val="26"/>
          <w:szCs w:val="26"/>
        </w:rPr>
        <w:t xml:space="preserve">the credit </w:t>
      </w:r>
      <w:r w:rsidR="00E30B77">
        <w:rPr>
          <w:sz w:val="26"/>
          <w:szCs w:val="26"/>
        </w:rPr>
        <w:t xml:space="preserve">as </w:t>
      </w:r>
      <w:r>
        <w:rPr>
          <w:sz w:val="26"/>
          <w:szCs w:val="26"/>
        </w:rPr>
        <w:t>a reduction in the bill that permits the</w:t>
      </w:r>
      <w:r w:rsidR="00E30B77">
        <w:rPr>
          <w:sz w:val="26"/>
          <w:szCs w:val="26"/>
        </w:rPr>
        <w:t xml:space="preserve"> Complainant to pay less than what he actually used.  PGW </w:t>
      </w:r>
      <w:r w:rsidR="006A597B">
        <w:rPr>
          <w:sz w:val="26"/>
          <w:szCs w:val="26"/>
        </w:rPr>
        <w:t>states that</w:t>
      </w:r>
      <w:r w:rsidR="00E30B77">
        <w:rPr>
          <w:sz w:val="26"/>
          <w:szCs w:val="26"/>
        </w:rPr>
        <w:t xml:space="preserve"> the purpose of the credit</w:t>
      </w:r>
      <w:r w:rsidR="006A597B">
        <w:rPr>
          <w:sz w:val="26"/>
          <w:szCs w:val="26"/>
        </w:rPr>
        <w:t xml:space="preserve">, as applied in this case, </w:t>
      </w:r>
      <w:r w:rsidR="000F2261">
        <w:rPr>
          <w:sz w:val="26"/>
          <w:szCs w:val="26"/>
        </w:rPr>
        <w:t>was</w:t>
      </w:r>
      <w:r w:rsidR="006A597B">
        <w:rPr>
          <w:sz w:val="26"/>
          <w:szCs w:val="26"/>
        </w:rPr>
        <w:t xml:space="preserve"> </w:t>
      </w:r>
      <w:r w:rsidR="00E30B77">
        <w:rPr>
          <w:sz w:val="26"/>
          <w:szCs w:val="26"/>
        </w:rPr>
        <w:t xml:space="preserve">compensation for the missed opportunity to conserve consumption and the inconvenience of the bill for previously unbilled service.  Such a remedy, the Company avers, </w:t>
      </w:r>
      <w:r w:rsidR="006A597B">
        <w:rPr>
          <w:sz w:val="26"/>
          <w:szCs w:val="26"/>
        </w:rPr>
        <w:t xml:space="preserve">is a compensatory damage award which is beyond the Commission’s authority.  Petition at 4. </w:t>
      </w:r>
    </w:p>
    <w:p w:rsidR="006A597B" w:rsidRDefault="006A597B" w:rsidP="00CE5857">
      <w:pPr>
        <w:widowControl/>
        <w:spacing w:line="360" w:lineRule="auto"/>
        <w:rPr>
          <w:sz w:val="26"/>
          <w:szCs w:val="26"/>
        </w:rPr>
      </w:pPr>
    </w:p>
    <w:p w:rsidR="009B70A6" w:rsidRDefault="006A597B" w:rsidP="00CE5857">
      <w:pPr>
        <w:widowControl/>
        <w:spacing w:line="360" w:lineRule="auto"/>
        <w:rPr>
          <w:sz w:val="26"/>
          <w:szCs w:val="26"/>
        </w:rPr>
      </w:pPr>
      <w:r>
        <w:rPr>
          <w:sz w:val="26"/>
          <w:szCs w:val="26"/>
        </w:rPr>
        <w:tab/>
      </w:r>
      <w:r>
        <w:rPr>
          <w:sz w:val="26"/>
          <w:szCs w:val="26"/>
        </w:rPr>
        <w:tab/>
      </w:r>
      <w:r w:rsidR="00CE49DB">
        <w:rPr>
          <w:sz w:val="26"/>
          <w:szCs w:val="26"/>
        </w:rPr>
        <w:t xml:space="preserve">Initially, </w:t>
      </w:r>
      <w:r>
        <w:rPr>
          <w:sz w:val="26"/>
          <w:szCs w:val="26"/>
        </w:rPr>
        <w:t xml:space="preserve">PGW cites to Chapter 14 of the Code, 66 Pa. C.S. § 1401, </w:t>
      </w:r>
      <w:r w:rsidRPr="006A597B">
        <w:rPr>
          <w:i/>
          <w:sz w:val="26"/>
          <w:szCs w:val="26"/>
        </w:rPr>
        <w:t>et seq.</w:t>
      </w:r>
      <w:r>
        <w:rPr>
          <w:sz w:val="26"/>
          <w:szCs w:val="26"/>
        </w:rPr>
        <w:t xml:space="preserve">, as setting forth the parameters of payment agreements and waiver of charges on customer accounts for late payment charges.  </w:t>
      </w:r>
      <w:r w:rsidR="00CE49DB">
        <w:rPr>
          <w:sz w:val="26"/>
          <w:szCs w:val="26"/>
        </w:rPr>
        <w:t xml:space="preserve">The Company notes that Chapter 14 contains no authorization for the reduction of charges for gas usage in the form of a conservation </w:t>
      </w:r>
      <w:r w:rsidR="00CE49DB">
        <w:rPr>
          <w:sz w:val="26"/>
          <w:szCs w:val="26"/>
        </w:rPr>
        <w:lastRenderedPageBreak/>
        <w:t xml:space="preserve">credit.  Next, PGW </w:t>
      </w:r>
      <w:r w:rsidR="004726E1">
        <w:rPr>
          <w:sz w:val="26"/>
          <w:szCs w:val="26"/>
        </w:rPr>
        <w:t>argues</w:t>
      </w:r>
      <w:r w:rsidR="00CE49DB">
        <w:rPr>
          <w:sz w:val="26"/>
          <w:szCs w:val="26"/>
        </w:rPr>
        <w:t xml:space="preserve"> that the Commission is without power to award monetary damages to a private litigant</w:t>
      </w:r>
      <w:r w:rsidR="001B6C39">
        <w:rPr>
          <w:sz w:val="26"/>
          <w:szCs w:val="26"/>
        </w:rPr>
        <w:t xml:space="preserve"> and</w:t>
      </w:r>
      <w:r w:rsidR="00CE49DB">
        <w:rPr>
          <w:sz w:val="26"/>
          <w:szCs w:val="26"/>
        </w:rPr>
        <w:t xml:space="preserve"> that a public utility is entitled to full payment for services provided to customers.  Customers are obligated to pay for the utility service provided to them; otherwise, the unpaid bills are included in the utility’s uncollectible expenses and ultimately paid by other utility customers. </w:t>
      </w:r>
      <w:r w:rsidR="009B70A6">
        <w:rPr>
          <w:sz w:val="26"/>
          <w:szCs w:val="26"/>
        </w:rPr>
        <w:t xml:space="preserve"> Petition at 4.  </w:t>
      </w:r>
    </w:p>
    <w:p w:rsidR="009B70A6" w:rsidRDefault="009B70A6" w:rsidP="00CE5857">
      <w:pPr>
        <w:widowControl/>
        <w:spacing w:line="360" w:lineRule="auto"/>
        <w:rPr>
          <w:sz w:val="26"/>
          <w:szCs w:val="26"/>
        </w:rPr>
      </w:pPr>
    </w:p>
    <w:p w:rsidR="006A597B" w:rsidRPr="007E43A2" w:rsidRDefault="009B70A6" w:rsidP="009B70A6">
      <w:pPr>
        <w:widowControl/>
        <w:spacing w:line="360" w:lineRule="auto"/>
        <w:ind w:firstLine="1440"/>
        <w:rPr>
          <w:sz w:val="26"/>
          <w:szCs w:val="26"/>
        </w:rPr>
      </w:pPr>
      <w:r>
        <w:rPr>
          <w:sz w:val="26"/>
          <w:szCs w:val="26"/>
        </w:rPr>
        <w:t xml:space="preserve">PGW states that </w:t>
      </w:r>
      <w:r w:rsidR="0087004F">
        <w:rPr>
          <w:sz w:val="26"/>
          <w:szCs w:val="26"/>
        </w:rPr>
        <w:t>it</w:t>
      </w:r>
      <w:r>
        <w:rPr>
          <w:sz w:val="26"/>
          <w:szCs w:val="26"/>
        </w:rPr>
        <w:t xml:space="preserve"> properly billed the Complainant for previously unbilled usage for a four-year period and </w:t>
      </w:r>
      <w:r w:rsidR="0087004F">
        <w:rPr>
          <w:sz w:val="26"/>
          <w:szCs w:val="26"/>
        </w:rPr>
        <w:t xml:space="preserve">the Commission agreed that </w:t>
      </w:r>
      <w:r>
        <w:rPr>
          <w:sz w:val="26"/>
          <w:szCs w:val="26"/>
        </w:rPr>
        <w:t>he must pay his outstanding bill in accord with the Commission’s regulations.  As such, the Company argues, the Commission should have refrained from issuing a conservation credit.</w:t>
      </w:r>
      <w:r w:rsidR="007E43A2">
        <w:rPr>
          <w:sz w:val="26"/>
          <w:szCs w:val="26"/>
        </w:rPr>
        <w:t xml:space="preserve">  </w:t>
      </w:r>
      <w:r w:rsidR="007E43A2">
        <w:rPr>
          <w:i/>
          <w:sz w:val="26"/>
          <w:szCs w:val="26"/>
        </w:rPr>
        <w:t>Id.</w:t>
      </w:r>
      <w:r w:rsidR="007E43A2">
        <w:rPr>
          <w:sz w:val="26"/>
          <w:szCs w:val="26"/>
        </w:rPr>
        <w:t xml:space="preserve"> at 5.</w:t>
      </w:r>
    </w:p>
    <w:p w:rsidR="009B70A6" w:rsidRDefault="009B70A6" w:rsidP="009B70A6">
      <w:pPr>
        <w:widowControl/>
        <w:spacing w:line="360" w:lineRule="auto"/>
        <w:ind w:firstLine="1440"/>
        <w:rPr>
          <w:sz w:val="26"/>
          <w:szCs w:val="26"/>
        </w:rPr>
      </w:pPr>
    </w:p>
    <w:p w:rsidR="009B70A6" w:rsidRDefault="007E43A2" w:rsidP="009B70A6">
      <w:pPr>
        <w:widowControl/>
        <w:spacing w:line="360" w:lineRule="auto"/>
        <w:ind w:firstLine="1440"/>
        <w:rPr>
          <w:sz w:val="26"/>
          <w:szCs w:val="26"/>
        </w:rPr>
      </w:pPr>
      <w:r>
        <w:rPr>
          <w:sz w:val="26"/>
          <w:szCs w:val="26"/>
        </w:rPr>
        <w:t>In addition,</w:t>
      </w:r>
      <w:r w:rsidR="009B70A6">
        <w:rPr>
          <w:sz w:val="26"/>
          <w:szCs w:val="26"/>
        </w:rPr>
        <w:t xml:space="preserve"> the Company </w:t>
      </w:r>
      <w:r>
        <w:rPr>
          <w:sz w:val="26"/>
          <w:szCs w:val="26"/>
        </w:rPr>
        <w:t xml:space="preserve">argues that we improperly relied on </w:t>
      </w:r>
      <w:r w:rsidR="00F02CC3">
        <w:rPr>
          <w:sz w:val="26"/>
          <w:szCs w:val="26"/>
        </w:rPr>
        <w:t xml:space="preserve">the </w:t>
      </w:r>
      <w:r>
        <w:rPr>
          <w:sz w:val="26"/>
          <w:szCs w:val="26"/>
        </w:rPr>
        <w:t>prior Commission decision</w:t>
      </w:r>
      <w:r w:rsidR="009B70A6">
        <w:rPr>
          <w:sz w:val="26"/>
          <w:szCs w:val="26"/>
        </w:rPr>
        <w:t xml:space="preserve"> in </w:t>
      </w:r>
      <w:r>
        <w:rPr>
          <w:i/>
          <w:sz w:val="26"/>
          <w:szCs w:val="26"/>
        </w:rPr>
        <w:t>Lewis</w:t>
      </w:r>
      <w:r w:rsidR="008476B4">
        <w:rPr>
          <w:sz w:val="26"/>
          <w:szCs w:val="26"/>
        </w:rPr>
        <w:t xml:space="preserve">, </w:t>
      </w:r>
      <w:r w:rsidR="008476B4">
        <w:rPr>
          <w:i/>
          <w:sz w:val="26"/>
          <w:szCs w:val="26"/>
        </w:rPr>
        <w:t>supra</w:t>
      </w:r>
      <w:r>
        <w:rPr>
          <w:sz w:val="26"/>
          <w:szCs w:val="26"/>
        </w:rPr>
        <w:t xml:space="preserve">.   </w:t>
      </w:r>
      <w:r>
        <w:rPr>
          <w:i/>
          <w:sz w:val="26"/>
          <w:szCs w:val="26"/>
        </w:rPr>
        <w:t>Lewis</w:t>
      </w:r>
      <w:r>
        <w:rPr>
          <w:sz w:val="26"/>
          <w:szCs w:val="26"/>
        </w:rPr>
        <w:t>, PGW asserts, referenced a conservation credit originating by agreement with PGW in limited circumstances after the Commission obtained jurisdiction over PGW in 2000.  As background, PGW explains that it had been winding down its program to replace or retrofit PGW meters with Automatic Meter Reading devices (AMRs)</w:t>
      </w:r>
      <w:r w:rsidR="00F02CC3">
        <w:rPr>
          <w:sz w:val="26"/>
          <w:szCs w:val="26"/>
        </w:rPr>
        <w:t>, which began in the mid-1990s, as follows:</w:t>
      </w:r>
      <w:r>
        <w:rPr>
          <w:sz w:val="26"/>
          <w:szCs w:val="26"/>
        </w:rPr>
        <w:t xml:space="preserve">  </w:t>
      </w:r>
    </w:p>
    <w:p w:rsidR="001E250E" w:rsidRDefault="001E250E" w:rsidP="009B70A6">
      <w:pPr>
        <w:widowControl/>
        <w:spacing w:line="360" w:lineRule="auto"/>
        <w:ind w:firstLine="1440"/>
        <w:rPr>
          <w:sz w:val="26"/>
          <w:szCs w:val="26"/>
        </w:rPr>
      </w:pPr>
    </w:p>
    <w:p w:rsidR="00E23A83" w:rsidRDefault="001E250E" w:rsidP="00F02CC3">
      <w:pPr>
        <w:widowControl/>
        <w:ind w:left="1440" w:right="1440"/>
        <w:rPr>
          <w:sz w:val="26"/>
          <w:szCs w:val="26"/>
        </w:rPr>
      </w:pPr>
      <w:r>
        <w:rPr>
          <w:sz w:val="26"/>
          <w:szCs w:val="26"/>
        </w:rPr>
        <w:t xml:space="preserve">Due to the lack of </w:t>
      </w:r>
      <w:r w:rsidR="00F02CC3">
        <w:rPr>
          <w:sz w:val="26"/>
          <w:szCs w:val="26"/>
        </w:rPr>
        <w:t xml:space="preserve">customer availability and access to service addresses, there remained a significant number of PGW meters that had not been replaced or retrofitted with an AMR.  As a result, a significant number of PGW customer accounts without AMRs began to bill with estimated meter readings.  After PGW obtained access and AMR installation occurred, those customers received make-up bills.  For several years following 2000, a significant number of PGW informal complaints and formal complaints concerned this type of bill for previously unbilled service.  To conserve resources in the disposition of the complaints stemming from the new category of bills for previously unbilled service, PGW agreed to accept the short term twenty percent (20%) credit to be </w:t>
      </w:r>
    </w:p>
    <w:p w:rsidR="00E23A83" w:rsidRDefault="00E23A83">
      <w:pPr>
        <w:widowControl/>
        <w:spacing w:after="200" w:line="276" w:lineRule="auto"/>
        <w:rPr>
          <w:sz w:val="26"/>
          <w:szCs w:val="26"/>
        </w:rPr>
      </w:pPr>
      <w:r>
        <w:rPr>
          <w:sz w:val="26"/>
          <w:szCs w:val="26"/>
        </w:rPr>
        <w:br w:type="page"/>
      </w:r>
    </w:p>
    <w:p w:rsidR="001E250E" w:rsidRDefault="00F02CC3" w:rsidP="00F02CC3">
      <w:pPr>
        <w:widowControl/>
        <w:ind w:left="1440" w:right="1440"/>
        <w:rPr>
          <w:sz w:val="26"/>
          <w:szCs w:val="26"/>
        </w:rPr>
      </w:pPr>
      <w:r>
        <w:rPr>
          <w:sz w:val="26"/>
          <w:szCs w:val="26"/>
        </w:rPr>
        <w:lastRenderedPageBreak/>
        <w:t>implemented by the BCS to the make-up bill (now the “Conservation Credit”) along with the requisite payment agreement.</w:t>
      </w:r>
    </w:p>
    <w:p w:rsidR="00F02CC3" w:rsidRDefault="00F02CC3" w:rsidP="007F193A">
      <w:pPr>
        <w:widowControl/>
        <w:spacing w:line="360" w:lineRule="auto"/>
        <w:ind w:left="1440" w:right="1440"/>
        <w:rPr>
          <w:sz w:val="26"/>
          <w:szCs w:val="26"/>
        </w:rPr>
      </w:pPr>
    </w:p>
    <w:p w:rsidR="00F02CC3" w:rsidRDefault="00F02CC3" w:rsidP="00F02CC3">
      <w:pPr>
        <w:widowControl/>
        <w:spacing w:line="360" w:lineRule="auto"/>
        <w:ind w:right="1440"/>
        <w:rPr>
          <w:sz w:val="26"/>
          <w:szCs w:val="26"/>
        </w:rPr>
      </w:pPr>
      <w:r>
        <w:rPr>
          <w:sz w:val="26"/>
          <w:szCs w:val="26"/>
        </w:rPr>
        <w:t xml:space="preserve">Petition at 5.  </w:t>
      </w:r>
    </w:p>
    <w:p w:rsidR="007739D8" w:rsidRDefault="007739D8" w:rsidP="00F02CC3">
      <w:pPr>
        <w:widowControl/>
        <w:spacing w:line="360" w:lineRule="auto"/>
        <w:ind w:right="1440"/>
        <w:rPr>
          <w:sz w:val="26"/>
          <w:szCs w:val="26"/>
        </w:rPr>
      </w:pPr>
    </w:p>
    <w:p w:rsidR="00CE427E" w:rsidRDefault="007739D8" w:rsidP="009F2E53">
      <w:pPr>
        <w:widowControl/>
        <w:spacing w:line="360" w:lineRule="auto"/>
        <w:rPr>
          <w:rFonts w:eastAsia="Calibri"/>
          <w:sz w:val="26"/>
          <w:szCs w:val="26"/>
        </w:rPr>
      </w:pPr>
      <w:r>
        <w:rPr>
          <w:sz w:val="26"/>
          <w:szCs w:val="26"/>
        </w:rPr>
        <w:tab/>
      </w:r>
      <w:r>
        <w:rPr>
          <w:sz w:val="26"/>
          <w:szCs w:val="26"/>
        </w:rPr>
        <w:tab/>
        <w:t xml:space="preserve">PGW states that </w:t>
      </w:r>
      <w:r w:rsidR="00CE427E">
        <w:rPr>
          <w:sz w:val="26"/>
          <w:szCs w:val="26"/>
        </w:rPr>
        <w:t xml:space="preserve">it originally agreed to the twenty percent conservation credit as a remedy to customers who experienced the inconvenience of receiving bills for previously unbilled services.   The arrangement prevented a portion of the informal complaints from becoming formal complaints.  In those cases, which PGW describes as limited, the Company agreed not to dispute the conservation credit as “damages” because it was a way for PGW to voluntarily provide customer satisfaction.  </w:t>
      </w:r>
      <w:r w:rsidR="00CE427E">
        <w:rPr>
          <w:i/>
          <w:sz w:val="26"/>
          <w:szCs w:val="26"/>
        </w:rPr>
        <w:t>Id.</w:t>
      </w:r>
      <w:r w:rsidR="00CE427E">
        <w:rPr>
          <w:sz w:val="26"/>
          <w:szCs w:val="26"/>
        </w:rPr>
        <w:t xml:space="preserve"> </w:t>
      </w:r>
    </w:p>
    <w:p w:rsidR="00CE427E" w:rsidRDefault="00CE427E" w:rsidP="00CE427E">
      <w:pPr>
        <w:widowControl/>
        <w:spacing w:line="360" w:lineRule="auto"/>
        <w:ind w:right="1440"/>
        <w:rPr>
          <w:rFonts w:eastAsia="Calibri"/>
          <w:sz w:val="26"/>
          <w:szCs w:val="26"/>
        </w:rPr>
      </w:pPr>
    </w:p>
    <w:p w:rsidR="00CE427E" w:rsidRPr="00150554" w:rsidRDefault="00CE427E" w:rsidP="009F2E53">
      <w:pPr>
        <w:widowControl/>
        <w:spacing w:line="360" w:lineRule="auto"/>
        <w:rPr>
          <w:rFonts w:eastAsia="Calibri"/>
          <w:sz w:val="26"/>
          <w:szCs w:val="26"/>
        </w:rPr>
      </w:pPr>
      <w:r>
        <w:rPr>
          <w:rFonts w:eastAsia="Calibri"/>
          <w:sz w:val="26"/>
          <w:szCs w:val="26"/>
        </w:rPr>
        <w:tab/>
      </w:r>
      <w:r>
        <w:rPr>
          <w:rFonts w:eastAsia="Calibri"/>
          <w:sz w:val="26"/>
          <w:szCs w:val="26"/>
        </w:rPr>
        <w:tab/>
        <w:t xml:space="preserve">PGW now claims that the number of complaints </w:t>
      </w:r>
      <w:r w:rsidR="001F62CE">
        <w:rPr>
          <w:rFonts w:eastAsia="Calibri"/>
          <w:sz w:val="26"/>
          <w:szCs w:val="26"/>
        </w:rPr>
        <w:t>involving bills for previously unbilled service has decreased with “full AMR saturation.”  As such, it has requested BCS to stop using the conservation credit mechanism; and</w:t>
      </w:r>
      <w:r w:rsidR="00B412D4">
        <w:rPr>
          <w:rFonts w:eastAsia="Calibri"/>
          <w:sz w:val="26"/>
          <w:szCs w:val="26"/>
        </w:rPr>
        <w:t>, according to PGW, BCS</w:t>
      </w:r>
      <w:r w:rsidR="001F62CE">
        <w:rPr>
          <w:rFonts w:eastAsia="Calibri"/>
          <w:sz w:val="26"/>
          <w:szCs w:val="26"/>
        </w:rPr>
        <w:t xml:space="preserve"> has “largely done so.”  Further, PGW believes that BCS does not apply the conservation credit to make-up bills for all jurisdictional utilities, but only to PGW’s make-up bills.  </w:t>
      </w:r>
      <w:r w:rsidR="00717DFE">
        <w:rPr>
          <w:rFonts w:eastAsia="Calibri"/>
          <w:sz w:val="26"/>
          <w:szCs w:val="26"/>
        </w:rPr>
        <w:t xml:space="preserve">Although PGW did not object to the application of the conservation credit in </w:t>
      </w:r>
      <w:r w:rsidR="00717DFE">
        <w:rPr>
          <w:rFonts w:eastAsia="Calibri"/>
          <w:i/>
          <w:sz w:val="26"/>
          <w:szCs w:val="26"/>
        </w:rPr>
        <w:t>Lewis</w:t>
      </w:r>
      <w:r w:rsidR="00717DFE">
        <w:rPr>
          <w:rFonts w:eastAsia="Calibri"/>
          <w:sz w:val="26"/>
          <w:szCs w:val="26"/>
        </w:rPr>
        <w:t xml:space="preserve">, the Company avers that its </w:t>
      </w:r>
      <w:r w:rsidR="001708D6">
        <w:rPr>
          <w:rFonts w:eastAsia="Calibri"/>
          <w:sz w:val="26"/>
          <w:szCs w:val="26"/>
        </w:rPr>
        <w:t xml:space="preserve">previous </w:t>
      </w:r>
      <w:r w:rsidR="00717DFE">
        <w:rPr>
          <w:rFonts w:eastAsia="Calibri"/>
          <w:sz w:val="26"/>
          <w:szCs w:val="26"/>
        </w:rPr>
        <w:t xml:space="preserve">consent does not enable the Commission to </w:t>
      </w:r>
      <w:r w:rsidR="00370B21">
        <w:rPr>
          <w:rFonts w:eastAsia="Calibri"/>
          <w:sz w:val="26"/>
          <w:szCs w:val="26"/>
        </w:rPr>
        <w:t>apply such compensatory damages unilaterally</w:t>
      </w:r>
      <w:r w:rsidR="001708D6">
        <w:rPr>
          <w:rFonts w:eastAsia="Calibri"/>
          <w:sz w:val="26"/>
          <w:szCs w:val="26"/>
        </w:rPr>
        <w:t xml:space="preserve"> in future cases</w:t>
      </w:r>
      <w:r w:rsidR="00370B21">
        <w:rPr>
          <w:rFonts w:eastAsia="Calibri"/>
          <w:sz w:val="26"/>
          <w:szCs w:val="26"/>
        </w:rPr>
        <w:t xml:space="preserve">.  </w:t>
      </w:r>
      <w:r w:rsidR="00370B21">
        <w:rPr>
          <w:rFonts w:eastAsia="Calibri"/>
          <w:i/>
          <w:sz w:val="26"/>
          <w:szCs w:val="26"/>
        </w:rPr>
        <w:t>Id.</w:t>
      </w:r>
      <w:r w:rsidR="00150554">
        <w:rPr>
          <w:rFonts w:eastAsia="Calibri"/>
          <w:i/>
          <w:sz w:val="26"/>
          <w:szCs w:val="26"/>
        </w:rPr>
        <w:t xml:space="preserve"> </w:t>
      </w:r>
      <w:r w:rsidR="00150554">
        <w:rPr>
          <w:rFonts w:eastAsia="Calibri"/>
          <w:sz w:val="26"/>
          <w:szCs w:val="26"/>
        </w:rPr>
        <w:t xml:space="preserve">at 5-6.  </w:t>
      </w:r>
    </w:p>
    <w:p w:rsidR="00370B21" w:rsidRDefault="00370B21" w:rsidP="00CE427E">
      <w:pPr>
        <w:widowControl/>
        <w:spacing w:line="360" w:lineRule="auto"/>
        <w:ind w:right="1440"/>
        <w:rPr>
          <w:rFonts w:eastAsia="Calibri"/>
          <w:i/>
          <w:sz w:val="26"/>
          <w:szCs w:val="26"/>
        </w:rPr>
      </w:pPr>
    </w:p>
    <w:p w:rsidR="00370B21" w:rsidRPr="00150554" w:rsidRDefault="00370B21" w:rsidP="009F2E53">
      <w:pPr>
        <w:widowControl/>
        <w:spacing w:line="360" w:lineRule="auto"/>
        <w:rPr>
          <w:rFonts w:eastAsia="Calibri"/>
          <w:sz w:val="26"/>
          <w:szCs w:val="26"/>
        </w:rPr>
      </w:pPr>
      <w:r>
        <w:rPr>
          <w:rFonts w:eastAsia="Calibri"/>
          <w:i/>
          <w:sz w:val="26"/>
          <w:szCs w:val="26"/>
        </w:rPr>
        <w:tab/>
      </w:r>
      <w:r>
        <w:rPr>
          <w:rFonts w:eastAsia="Calibri"/>
          <w:i/>
          <w:sz w:val="26"/>
          <w:szCs w:val="26"/>
        </w:rPr>
        <w:tab/>
      </w:r>
      <w:r>
        <w:rPr>
          <w:rFonts w:eastAsia="Calibri"/>
          <w:sz w:val="26"/>
          <w:szCs w:val="26"/>
        </w:rPr>
        <w:t>Alternatively, PGW argues that, even if the Commission ha</w:t>
      </w:r>
      <w:r w:rsidR="00730BA0">
        <w:rPr>
          <w:rFonts w:eastAsia="Calibri"/>
          <w:sz w:val="26"/>
          <w:szCs w:val="26"/>
        </w:rPr>
        <w:t>s</w:t>
      </w:r>
      <w:r>
        <w:rPr>
          <w:rFonts w:eastAsia="Calibri"/>
          <w:sz w:val="26"/>
          <w:szCs w:val="26"/>
        </w:rPr>
        <w:t xml:space="preserve"> authority to unilaterally grant a conservation credit, the record evidence in this case does not support such an award.  According to the Company, the Initial Decision and supporting record lacks an analysis or discussion of the Complainant’s hypothetical lesser usage had he been issued bills based on actual usage during the disputed period.  For example, PGW states there is no record evidence of Mr. Prendergast’s usage after the exchange of his meter to determine whether the twenty percent credit is supported by an actual decrease in usage now that he can j</w:t>
      </w:r>
      <w:r w:rsidR="00150554">
        <w:rPr>
          <w:rFonts w:eastAsia="Calibri"/>
          <w:sz w:val="26"/>
          <w:szCs w:val="26"/>
        </w:rPr>
        <w:t xml:space="preserve">udiciously manage consumption.  </w:t>
      </w:r>
      <w:r w:rsidR="00150554">
        <w:rPr>
          <w:rFonts w:eastAsia="Calibri"/>
          <w:i/>
          <w:sz w:val="26"/>
          <w:szCs w:val="26"/>
        </w:rPr>
        <w:t xml:space="preserve">Id. </w:t>
      </w:r>
      <w:r w:rsidR="00150554">
        <w:rPr>
          <w:rFonts w:eastAsia="Calibri"/>
          <w:sz w:val="26"/>
          <w:szCs w:val="26"/>
        </w:rPr>
        <w:t xml:space="preserve">at 6.  </w:t>
      </w:r>
    </w:p>
    <w:p w:rsidR="00717DFE" w:rsidRDefault="00717DFE" w:rsidP="00CE427E">
      <w:pPr>
        <w:widowControl/>
        <w:spacing w:line="360" w:lineRule="auto"/>
        <w:ind w:right="1440"/>
        <w:rPr>
          <w:rFonts w:eastAsia="Calibri"/>
          <w:i/>
          <w:sz w:val="26"/>
          <w:szCs w:val="26"/>
        </w:rPr>
      </w:pPr>
    </w:p>
    <w:p w:rsidR="001708D6" w:rsidRDefault="001708D6" w:rsidP="009F2E53">
      <w:pPr>
        <w:widowControl/>
        <w:spacing w:line="360" w:lineRule="auto"/>
        <w:rPr>
          <w:rFonts w:eastAsia="Calibri"/>
          <w:sz w:val="26"/>
          <w:szCs w:val="26"/>
        </w:rPr>
      </w:pPr>
      <w:r>
        <w:rPr>
          <w:rFonts w:eastAsia="Calibri"/>
          <w:i/>
          <w:sz w:val="26"/>
          <w:szCs w:val="26"/>
        </w:rPr>
        <w:tab/>
      </w:r>
      <w:r>
        <w:rPr>
          <w:rFonts w:eastAsia="Calibri"/>
          <w:i/>
          <w:sz w:val="26"/>
          <w:szCs w:val="26"/>
        </w:rPr>
        <w:tab/>
      </w:r>
      <w:r>
        <w:rPr>
          <w:rFonts w:eastAsia="Calibri"/>
          <w:sz w:val="26"/>
          <w:szCs w:val="26"/>
        </w:rPr>
        <w:t xml:space="preserve">In his Answer to the Petition, Mr. Prendergast attached copies </w:t>
      </w:r>
      <w:r w:rsidR="00E85861">
        <w:rPr>
          <w:rFonts w:eastAsia="Calibri"/>
          <w:sz w:val="26"/>
          <w:szCs w:val="26"/>
        </w:rPr>
        <w:t xml:space="preserve">of his PGW gas bills for </w:t>
      </w:r>
      <w:r w:rsidR="00113713">
        <w:rPr>
          <w:rFonts w:eastAsia="Calibri"/>
          <w:sz w:val="26"/>
          <w:szCs w:val="26"/>
        </w:rPr>
        <w:t xml:space="preserve">January to March of </w:t>
      </w:r>
      <w:r w:rsidR="00E85861">
        <w:rPr>
          <w:rFonts w:eastAsia="Calibri"/>
          <w:sz w:val="26"/>
          <w:szCs w:val="26"/>
        </w:rPr>
        <w:t xml:space="preserve">2014.  </w:t>
      </w:r>
      <w:r w:rsidR="00113713">
        <w:rPr>
          <w:rFonts w:eastAsia="Calibri"/>
          <w:sz w:val="26"/>
          <w:szCs w:val="26"/>
        </w:rPr>
        <w:t>The Complainant appears to argue that the</w:t>
      </w:r>
      <w:r w:rsidR="00E85861">
        <w:rPr>
          <w:rFonts w:eastAsia="Calibri"/>
          <w:sz w:val="26"/>
          <w:szCs w:val="26"/>
        </w:rPr>
        <w:t xml:space="preserve">se bills show </w:t>
      </w:r>
      <w:r w:rsidR="00113713">
        <w:rPr>
          <w:rFonts w:eastAsia="Calibri"/>
          <w:sz w:val="26"/>
          <w:szCs w:val="26"/>
        </w:rPr>
        <w:t>that PGW is overcharging him again for gas service and that the consumption charts in the bills are inaccurate.</w:t>
      </w:r>
      <w:r w:rsidR="00B412D4" w:rsidRPr="00B412D4">
        <w:rPr>
          <w:rStyle w:val="FootnoteReference"/>
          <w:rFonts w:eastAsia="Calibri"/>
          <w:sz w:val="26"/>
          <w:szCs w:val="26"/>
        </w:rPr>
        <w:t xml:space="preserve"> </w:t>
      </w:r>
      <w:r w:rsidR="00B412D4">
        <w:rPr>
          <w:rStyle w:val="FootnoteReference"/>
          <w:rFonts w:eastAsia="Calibri"/>
          <w:sz w:val="26"/>
          <w:szCs w:val="26"/>
        </w:rPr>
        <w:footnoteReference w:id="5"/>
      </w:r>
      <w:r w:rsidR="00113713">
        <w:rPr>
          <w:rFonts w:eastAsia="Calibri"/>
          <w:sz w:val="26"/>
          <w:szCs w:val="26"/>
        </w:rPr>
        <w:t xml:space="preserve">  As relief, the Complainant requests the removal of all charges from his bill.  Answer to Petition at 2-3.  </w:t>
      </w:r>
    </w:p>
    <w:p w:rsidR="009F2E53" w:rsidRDefault="009F2E53" w:rsidP="00CE427E">
      <w:pPr>
        <w:widowControl/>
        <w:spacing w:line="360" w:lineRule="auto"/>
        <w:ind w:right="1440"/>
        <w:rPr>
          <w:rFonts w:eastAsia="Calibri"/>
          <w:sz w:val="26"/>
          <w:szCs w:val="26"/>
        </w:rPr>
      </w:pPr>
    </w:p>
    <w:p w:rsidR="009F2E53" w:rsidRPr="009F2E53" w:rsidRDefault="009F2E53" w:rsidP="00CE427E">
      <w:pPr>
        <w:widowControl/>
        <w:spacing w:line="360" w:lineRule="auto"/>
        <w:ind w:right="1440"/>
        <w:rPr>
          <w:rFonts w:eastAsia="Calibri"/>
          <w:b/>
          <w:sz w:val="26"/>
          <w:szCs w:val="26"/>
        </w:rPr>
      </w:pPr>
      <w:r>
        <w:rPr>
          <w:rFonts w:eastAsia="Calibri"/>
          <w:b/>
          <w:sz w:val="26"/>
          <w:szCs w:val="26"/>
        </w:rPr>
        <w:t>Disposition</w:t>
      </w:r>
    </w:p>
    <w:p w:rsidR="009F2E53" w:rsidRDefault="009F2E53" w:rsidP="00CE427E">
      <w:pPr>
        <w:widowControl/>
        <w:spacing w:line="360" w:lineRule="auto"/>
        <w:ind w:right="1440"/>
        <w:rPr>
          <w:rFonts w:eastAsia="Calibri"/>
          <w:sz w:val="26"/>
          <w:szCs w:val="26"/>
        </w:rPr>
      </w:pPr>
    </w:p>
    <w:p w:rsidR="009F2E53" w:rsidRDefault="009F2E53" w:rsidP="009F2E53">
      <w:pPr>
        <w:widowControl/>
        <w:spacing w:line="360" w:lineRule="auto"/>
        <w:rPr>
          <w:sz w:val="26"/>
          <w:szCs w:val="26"/>
        </w:rPr>
      </w:pPr>
      <w:r>
        <w:rPr>
          <w:rFonts w:eastAsia="Calibri"/>
          <w:sz w:val="26"/>
          <w:szCs w:val="26"/>
        </w:rPr>
        <w:tab/>
      </w:r>
      <w:r>
        <w:rPr>
          <w:rFonts w:eastAsia="Calibri"/>
          <w:sz w:val="26"/>
          <w:szCs w:val="26"/>
        </w:rPr>
        <w:tab/>
      </w:r>
      <w:r w:rsidR="00DE397C">
        <w:rPr>
          <w:rFonts w:eastAsia="Calibri"/>
          <w:sz w:val="26"/>
          <w:szCs w:val="26"/>
        </w:rPr>
        <w:t xml:space="preserve">With regard to the first argument that the conservation credit constitutes impermissible compensatory damages, </w:t>
      </w:r>
      <w:r>
        <w:rPr>
          <w:rFonts w:eastAsia="Calibri"/>
          <w:sz w:val="26"/>
          <w:szCs w:val="26"/>
        </w:rPr>
        <w:t xml:space="preserve">we find that PGW has </w:t>
      </w:r>
      <w:r w:rsidR="00DE397C">
        <w:rPr>
          <w:rFonts w:eastAsia="Calibri"/>
          <w:sz w:val="26"/>
          <w:szCs w:val="26"/>
        </w:rPr>
        <w:t xml:space="preserve">failed to </w:t>
      </w:r>
      <w:r>
        <w:rPr>
          <w:rFonts w:eastAsia="Calibri"/>
          <w:sz w:val="26"/>
          <w:szCs w:val="26"/>
        </w:rPr>
        <w:t>satisf</w:t>
      </w:r>
      <w:r w:rsidR="00DE397C">
        <w:rPr>
          <w:rFonts w:eastAsia="Calibri"/>
          <w:sz w:val="26"/>
          <w:szCs w:val="26"/>
        </w:rPr>
        <w:t>y</w:t>
      </w:r>
      <w:r>
        <w:rPr>
          <w:rFonts w:eastAsia="Calibri"/>
          <w:sz w:val="26"/>
          <w:szCs w:val="26"/>
        </w:rPr>
        <w:t xml:space="preserve"> the standards in </w:t>
      </w:r>
      <w:r>
        <w:rPr>
          <w:rFonts w:eastAsia="Calibri"/>
          <w:i/>
          <w:sz w:val="26"/>
          <w:szCs w:val="26"/>
        </w:rPr>
        <w:t>Duick, supra</w:t>
      </w:r>
      <w:r>
        <w:rPr>
          <w:rFonts w:eastAsia="Calibri"/>
          <w:sz w:val="26"/>
          <w:szCs w:val="26"/>
        </w:rPr>
        <w:t xml:space="preserve">, for reconsideration by setting forth new arguments that were not previously considered in our </w:t>
      </w:r>
      <w:r>
        <w:rPr>
          <w:i/>
          <w:sz w:val="26"/>
          <w:szCs w:val="26"/>
        </w:rPr>
        <w:t>February 2014 Order</w:t>
      </w:r>
      <w:r>
        <w:rPr>
          <w:sz w:val="26"/>
          <w:szCs w:val="26"/>
        </w:rPr>
        <w:t xml:space="preserve">.  </w:t>
      </w:r>
    </w:p>
    <w:p w:rsidR="009F2E53" w:rsidRDefault="009F2E53" w:rsidP="00CE427E">
      <w:pPr>
        <w:widowControl/>
        <w:spacing w:line="360" w:lineRule="auto"/>
        <w:ind w:right="1440"/>
        <w:rPr>
          <w:sz w:val="26"/>
          <w:szCs w:val="26"/>
        </w:rPr>
      </w:pPr>
    </w:p>
    <w:p w:rsidR="00105BAD" w:rsidRDefault="009F2E53" w:rsidP="003E2EED">
      <w:pPr>
        <w:widowControl/>
        <w:spacing w:line="360" w:lineRule="auto"/>
        <w:rPr>
          <w:sz w:val="26"/>
          <w:szCs w:val="26"/>
        </w:rPr>
      </w:pPr>
      <w:r>
        <w:rPr>
          <w:sz w:val="26"/>
          <w:szCs w:val="26"/>
        </w:rPr>
        <w:tab/>
      </w:r>
      <w:r>
        <w:rPr>
          <w:sz w:val="26"/>
          <w:szCs w:val="26"/>
        </w:rPr>
        <w:tab/>
      </w:r>
      <w:r w:rsidR="0052754E">
        <w:rPr>
          <w:sz w:val="26"/>
          <w:szCs w:val="26"/>
        </w:rPr>
        <w:t xml:space="preserve">The remedial and enforcement powers of the Commission </w:t>
      </w:r>
      <w:r w:rsidR="009415F4">
        <w:rPr>
          <w:sz w:val="26"/>
          <w:szCs w:val="26"/>
        </w:rPr>
        <w:t xml:space="preserve">do not include the authority to award civil damages.  In </w:t>
      </w:r>
      <w:r w:rsidR="00105BAD">
        <w:rPr>
          <w:i/>
          <w:sz w:val="26"/>
          <w:szCs w:val="26"/>
        </w:rPr>
        <w:t>Elkin v. Bell of Pa.</w:t>
      </w:r>
      <w:r w:rsidR="00105BAD">
        <w:rPr>
          <w:sz w:val="26"/>
          <w:szCs w:val="26"/>
        </w:rPr>
        <w:t>, the Pennsylvania Supreme Court stated:</w:t>
      </w:r>
    </w:p>
    <w:p w:rsidR="00873683" w:rsidRDefault="00873683" w:rsidP="007F193A">
      <w:pPr>
        <w:widowControl/>
        <w:spacing w:line="360" w:lineRule="auto"/>
        <w:ind w:left="1440" w:right="1440"/>
        <w:rPr>
          <w:sz w:val="26"/>
          <w:szCs w:val="26"/>
        </w:rPr>
      </w:pPr>
    </w:p>
    <w:p w:rsidR="00105BAD" w:rsidRDefault="00105BAD" w:rsidP="007F193A">
      <w:pPr>
        <w:widowControl/>
        <w:ind w:left="1440" w:right="1440"/>
        <w:rPr>
          <w:sz w:val="26"/>
          <w:szCs w:val="26"/>
        </w:rPr>
      </w:pPr>
      <w:r w:rsidRPr="00105BAD">
        <w:rPr>
          <w:sz w:val="26"/>
          <w:szCs w:val="26"/>
        </w:rPr>
        <w:t xml:space="preserve">[W]e recognized in </w:t>
      </w:r>
      <w:r w:rsidRPr="00105BAD">
        <w:rPr>
          <w:i/>
          <w:sz w:val="26"/>
          <w:szCs w:val="26"/>
        </w:rPr>
        <w:t>Feingold v. Bell of Pennsylvania</w:t>
      </w:r>
      <w:r w:rsidRPr="00105BAD">
        <w:rPr>
          <w:sz w:val="26"/>
          <w:szCs w:val="26"/>
        </w:rPr>
        <w:t xml:space="preserve">, … that the Courts of Common Pleas have original jurisdiction to entertain suits for damages against public utilities based upon asserted failure to provide adequate services, even though the subject matter of the complaint is encompassed by the [Code]. 477 Pa. at 7-11, 383 A.2d at 795-96. Traditional </w:t>
      </w:r>
      <w:r w:rsidRPr="00105BAD">
        <w:rPr>
          <w:sz w:val="26"/>
          <w:szCs w:val="26"/>
        </w:rPr>
        <w:lastRenderedPageBreak/>
        <w:t xml:space="preserve">judicial remedies such as damages had been preserved by the Public Utility Law, </w:t>
      </w:r>
      <w:r w:rsidRPr="007F193A">
        <w:rPr>
          <w:i/>
          <w:sz w:val="26"/>
          <w:szCs w:val="26"/>
        </w:rPr>
        <w:t>id</w:t>
      </w:r>
      <w:r w:rsidRPr="00105BAD">
        <w:rPr>
          <w:sz w:val="26"/>
          <w:szCs w:val="26"/>
        </w:rPr>
        <w:t xml:space="preserve">. </w:t>
      </w:r>
      <w:r w:rsidR="008F3196">
        <w:rPr>
          <w:sz w:val="26"/>
          <w:szCs w:val="26"/>
        </w:rPr>
        <w:t xml:space="preserve">477 Pa. </w:t>
      </w:r>
      <w:r w:rsidRPr="00105BAD">
        <w:rPr>
          <w:sz w:val="26"/>
          <w:szCs w:val="26"/>
        </w:rPr>
        <w:t xml:space="preserve">at 8-9, 383 A.2d at 795, 66 P.S. §§ 1357, 1500 (1959) (replaced by 66 Pa.C.S. § 103), and, since the legislature had withheld from the PUC the power to award damages, </w:t>
      </w:r>
      <w:r w:rsidRPr="00105BAD">
        <w:rPr>
          <w:i/>
          <w:sz w:val="26"/>
          <w:szCs w:val="26"/>
        </w:rPr>
        <w:t>Feingold v. Bell of Pennsylvania</w:t>
      </w:r>
      <w:r w:rsidRPr="00105BAD">
        <w:rPr>
          <w:sz w:val="26"/>
          <w:szCs w:val="26"/>
        </w:rPr>
        <w:t xml:space="preserve">, </w:t>
      </w:r>
      <w:r w:rsidRPr="00105BAD">
        <w:rPr>
          <w:i/>
          <w:sz w:val="26"/>
          <w:szCs w:val="26"/>
        </w:rPr>
        <w:t>supra</w:t>
      </w:r>
      <w:r w:rsidR="008F3196">
        <w:rPr>
          <w:i/>
          <w:sz w:val="26"/>
          <w:szCs w:val="26"/>
        </w:rPr>
        <w:t xml:space="preserve">, </w:t>
      </w:r>
      <w:r w:rsidR="008F3196" w:rsidRPr="007F193A">
        <w:rPr>
          <w:sz w:val="26"/>
          <w:szCs w:val="26"/>
        </w:rPr>
        <w:t>477 Pa.</w:t>
      </w:r>
      <w:r w:rsidRPr="008F3196">
        <w:rPr>
          <w:sz w:val="26"/>
          <w:szCs w:val="26"/>
        </w:rPr>
        <w:t xml:space="preserve"> at</w:t>
      </w:r>
      <w:r w:rsidRPr="00105BAD">
        <w:rPr>
          <w:sz w:val="26"/>
          <w:szCs w:val="26"/>
        </w:rPr>
        <w:t xml:space="preserve"> 8, 383 A.2d at 794, this Court concluded that the courts must have jurisdiction over all damage actions.</w:t>
      </w:r>
    </w:p>
    <w:p w:rsidR="00873683" w:rsidRPr="00105BAD" w:rsidRDefault="00873683" w:rsidP="007F193A">
      <w:pPr>
        <w:widowControl/>
        <w:spacing w:line="360" w:lineRule="auto"/>
        <w:ind w:left="1440" w:right="1440"/>
        <w:rPr>
          <w:sz w:val="26"/>
          <w:szCs w:val="26"/>
        </w:rPr>
      </w:pPr>
    </w:p>
    <w:p w:rsidR="00FC4636" w:rsidRDefault="00105BAD" w:rsidP="00FC4636">
      <w:pPr>
        <w:widowControl/>
        <w:spacing w:line="360" w:lineRule="auto"/>
        <w:rPr>
          <w:sz w:val="26"/>
          <w:szCs w:val="26"/>
        </w:rPr>
      </w:pPr>
      <w:r w:rsidRPr="00105BAD">
        <w:rPr>
          <w:sz w:val="26"/>
          <w:szCs w:val="26"/>
        </w:rPr>
        <w:t>491 Pa. 123, 129-30, 420 A.2d 371, 375 (1980)</w:t>
      </w:r>
      <w:r>
        <w:rPr>
          <w:sz w:val="26"/>
          <w:szCs w:val="26"/>
        </w:rPr>
        <w:t>.</w:t>
      </w:r>
      <w:r w:rsidR="00A06CE2">
        <w:rPr>
          <w:sz w:val="26"/>
          <w:szCs w:val="26"/>
        </w:rPr>
        <w:t xml:space="preserve">  </w:t>
      </w:r>
      <w:r w:rsidR="00F645EF">
        <w:rPr>
          <w:sz w:val="26"/>
          <w:szCs w:val="26"/>
        </w:rPr>
        <w:t xml:space="preserve">Nonetheless, the Pennsylvania Supreme Court has </w:t>
      </w:r>
      <w:r w:rsidR="00DE397C">
        <w:rPr>
          <w:sz w:val="26"/>
          <w:szCs w:val="26"/>
        </w:rPr>
        <w:t xml:space="preserve">also </w:t>
      </w:r>
      <w:r w:rsidR="00F645EF">
        <w:rPr>
          <w:sz w:val="26"/>
          <w:szCs w:val="26"/>
        </w:rPr>
        <w:t xml:space="preserve">recognized the Commission’s authority to allow equitable relief </w:t>
      </w:r>
      <w:r w:rsidR="00DE397C">
        <w:rPr>
          <w:sz w:val="26"/>
          <w:szCs w:val="26"/>
        </w:rPr>
        <w:t>involving</w:t>
      </w:r>
      <w:r w:rsidR="00F645EF">
        <w:rPr>
          <w:sz w:val="26"/>
          <w:szCs w:val="26"/>
        </w:rPr>
        <w:t xml:space="preserve"> disputes within the purview of the Commission.  </w:t>
      </w:r>
      <w:r w:rsidR="00F645EF">
        <w:rPr>
          <w:i/>
          <w:sz w:val="26"/>
          <w:szCs w:val="26"/>
        </w:rPr>
        <w:t>Feingold v. Bell of Pennsylvania</w:t>
      </w:r>
      <w:r w:rsidR="00F645EF">
        <w:rPr>
          <w:sz w:val="26"/>
          <w:szCs w:val="26"/>
        </w:rPr>
        <w:t xml:space="preserve">, 477 Pa. 1, 9, 383 A.2d </w:t>
      </w:r>
      <w:r w:rsidR="002F07D2">
        <w:rPr>
          <w:sz w:val="26"/>
          <w:szCs w:val="26"/>
        </w:rPr>
        <w:t xml:space="preserve">791, </w:t>
      </w:r>
      <w:r w:rsidR="00F645EF">
        <w:rPr>
          <w:sz w:val="26"/>
          <w:szCs w:val="26"/>
        </w:rPr>
        <w:t>795</w:t>
      </w:r>
      <w:r w:rsidR="002F07D2">
        <w:rPr>
          <w:sz w:val="26"/>
          <w:szCs w:val="26"/>
        </w:rPr>
        <w:t xml:space="preserve"> (1977)</w:t>
      </w:r>
      <w:r w:rsidR="00F645EF">
        <w:rPr>
          <w:sz w:val="26"/>
          <w:szCs w:val="26"/>
        </w:rPr>
        <w:t xml:space="preserve">.  </w:t>
      </w:r>
      <w:r w:rsidR="00DE397C">
        <w:rPr>
          <w:sz w:val="26"/>
          <w:szCs w:val="26"/>
        </w:rPr>
        <w:t xml:space="preserve"> </w:t>
      </w:r>
      <w:r w:rsidR="00FC4636">
        <w:rPr>
          <w:sz w:val="26"/>
          <w:szCs w:val="26"/>
        </w:rPr>
        <w:t>Accordingly, whereas a request for consequential damages based on theories of negligence and/or breach of contract are not within our statutory authority, we do have jurisdiction to address and resolve matters that fall within our equitable powers to grant relief in regard to disputed matters of rates or terms of service.</w:t>
      </w:r>
    </w:p>
    <w:p w:rsidR="00A06CE2" w:rsidRDefault="00A06CE2" w:rsidP="00105BAD">
      <w:pPr>
        <w:widowControl/>
        <w:spacing w:line="360" w:lineRule="auto"/>
        <w:rPr>
          <w:sz w:val="26"/>
          <w:szCs w:val="26"/>
        </w:rPr>
      </w:pPr>
    </w:p>
    <w:p w:rsidR="00F645EF" w:rsidRDefault="00DE397C" w:rsidP="00A06CE2">
      <w:pPr>
        <w:widowControl/>
        <w:spacing w:line="360" w:lineRule="auto"/>
        <w:ind w:firstLine="1440"/>
        <w:rPr>
          <w:sz w:val="26"/>
          <w:szCs w:val="26"/>
        </w:rPr>
      </w:pPr>
      <w:r>
        <w:rPr>
          <w:sz w:val="26"/>
          <w:szCs w:val="26"/>
        </w:rPr>
        <w:t xml:space="preserve">Furthermore, although Section 1303 of the Code, 66 Pa. C.S. § 1303, prohibits a public utility from demanding or receiving a rate less than that established in its applicable tariff, Section 1304 of the Code, 66 Pa. C.S. § 1304, “modifies that </w:t>
      </w:r>
      <w:r w:rsidR="00F270BB">
        <w:rPr>
          <w:sz w:val="26"/>
          <w:szCs w:val="26"/>
        </w:rPr>
        <w:t xml:space="preserve">prohibition by providing that a utility shall not grant any </w:t>
      </w:r>
      <w:r w:rsidR="00F270BB">
        <w:rPr>
          <w:i/>
          <w:sz w:val="26"/>
          <w:szCs w:val="26"/>
        </w:rPr>
        <w:t xml:space="preserve">unreasonable </w:t>
      </w:r>
      <w:r w:rsidR="00F270BB">
        <w:rPr>
          <w:sz w:val="26"/>
          <w:szCs w:val="26"/>
        </w:rPr>
        <w:t xml:space="preserve">preference or advantage to any person.”  </w:t>
      </w:r>
      <w:r w:rsidR="00F270BB">
        <w:rPr>
          <w:i/>
          <w:sz w:val="26"/>
          <w:szCs w:val="26"/>
        </w:rPr>
        <w:t>Mill v. Pa. PUC</w:t>
      </w:r>
      <w:r w:rsidR="00F270BB">
        <w:rPr>
          <w:sz w:val="26"/>
          <w:szCs w:val="26"/>
        </w:rPr>
        <w:t xml:space="preserve">, 447 A.2d 1100, 1102 (Pa. Cmwlth. 1982) (emphasis in original).  The clear implication of the language in Section 1304 of the Code is that a rate preference for an individual is permissible so long as it is reasonable.  </w:t>
      </w:r>
      <w:r w:rsidR="00A06CE2">
        <w:rPr>
          <w:i/>
          <w:sz w:val="26"/>
          <w:szCs w:val="26"/>
        </w:rPr>
        <w:t xml:space="preserve">Id.  </w:t>
      </w:r>
      <w:r w:rsidR="00F270BB">
        <w:rPr>
          <w:sz w:val="26"/>
          <w:szCs w:val="26"/>
        </w:rPr>
        <w:t xml:space="preserve">The Commonwealth Court in </w:t>
      </w:r>
      <w:r w:rsidR="00F270BB">
        <w:rPr>
          <w:i/>
          <w:sz w:val="26"/>
          <w:szCs w:val="26"/>
        </w:rPr>
        <w:t xml:space="preserve">Mill </w:t>
      </w:r>
      <w:r w:rsidR="00F270BB">
        <w:rPr>
          <w:sz w:val="26"/>
          <w:szCs w:val="26"/>
        </w:rPr>
        <w:t xml:space="preserve">concluded that the Commission has the authority “to determine under what circumstances and in what amounts such a preference would be reasonable.”  </w:t>
      </w:r>
      <w:r w:rsidR="00F270BB">
        <w:rPr>
          <w:i/>
          <w:sz w:val="26"/>
          <w:szCs w:val="26"/>
        </w:rPr>
        <w:t>Id.</w:t>
      </w:r>
      <w:r w:rsidR="00F270BB">
        <w:rPr>
          <w:sz w:val="26"/>
          <w:szCs w:val="26"/>
        </w:rPr>
        <w:t xml:space="preserve">; </w:t>
      </w:r>
      <w:r w:rsidR="00F270BB">
        <w:rPr>
          <w:i/>
          <w:sz w:val="26"/>
          <w:szCs w:val="26"/>
        </w:rPr>
        <w:t xml:space="preserve">see also </w:t>
      </w:r>
      <w:r w:rsidR="00A06CE2">
        <w:rPr>
          <w:i/>
          <w:sz w:val="26"/>
          <w:szCs w:val="26"/>
        </w:rPr>
        <w:t>C. Leslie Pettko v. P</w:t>
      </w:r>
      <w:r w:rsidR="00660C9F">
        <w:rPr>
          <w:i/>
          <w:sz w:val="26"/>
          <w:szCs w:val="26"/>
        </w:rPr>
        <w:t>ennsylvania-American Water Company</w:t>
      </w:r>
      <w:r w:rsidR="00A06CE2">
        <w:rPr>
          <w:sz w:val="26"/>
          <w:szCs w:val="26"/>
        </w:rPr>
        <w:t>, Docket No. C-2011-2226096 (Ord</w:t>
      </w:r>
      <w:r w:rsidR="00E23A83">
        <w:rPr>
          <w:sz w:val="26"/>
          <w:szCs w:val="26"/>
        </w:rPr>
        <w:t>er entered February 28, 2013).</w:t>
      </w:r>
    </w:p>
    <w:p w:rsidR="00F645EF" w:rsidRDefault="00F645EF" w:rsidP="00105BAD">
      <w:pPr>
        <w:widowControl/>
        <w:spacing w:line="360" w:lineRule="auto"/>
        <w:rPr>
          <w:sz w:val="26"/>
          <w:szCs w:val="26"/>
        </w:rPr>
      </w:pPr>
    </w:p>
    <w:p w:rsidR="00373602" w:rsidRDefault="0055560F" w:rsidP="00355EA8">
      <w:pPr>
        <w:widowControl/>
        <w:spacing w:line="360" w:lineRule="auto"/>
        <w:rPr>
          <w:sz w:val="26"/>
          <w:szCs w:val="26"/>
        </w:rPr>
      </w:pPr>
      <w:r>
        <w:rPr>
          <w:rFonts w:eastAsia="Calibri"/>
          <w:sz w:val="26"/>
          <w:szCs w:val="26"/>
        </w:rPr>
        <w:tab/>
      </w:r>
      <w:r>
        <w:rPr>
          <w:rFonts w:eastAsia="Calibri"/>
          <w:sz w:val="26"/>
          <w:szCs w:val="26"/>
        </w:rPr>
        <w:tab/>
      </w:r>
      <w:r w:rsidR="008401B6">
        <w:rPr>
          <w:sz w:val="26"/>
          <w:szCs w:val="26"/>
        </w:rPr>
        <w:t xml:space="preserve">Here, PGW argues that it voluntarily agreed to the application of conservation credits </w:t>
      </w:r>
      <w:r w:rsidR="00355EA8">
        <w:rPr>
          <w:sz w:val="26"/>
          <w:szCs w:val="26"/>
        </w:rPr>
        <w:t xml:space="preserve">in the past </w:t>
      </w:r>
      <w:r w:rsidR="008401B6">
        <w:rPr>
          <w:sz w:val="26"/>
          <w:szCs w:val="26"/>
        </w:rPr>
        <w:t xml:space="preserve">in order to avoid the costs of litigating formal complaints </w:t>
      </w:r>
      <w:r w:rsidR="008401B6">
        <w:rPr>
          <w:sz w:val="26"/>
          <w:szCs w:val="26"/>
        </w:rPr>
        <w:lastRenderedPageBreak/>
        <w:t xml:space="preserve">filed by consumers and to provide customer </w:t>
      </w:r>
      <w:r w:rsidR="00AE1C51">
        <w:rPr>
          <w:sz w:val="26"/>
          <w:szCs w:val="26"/>
        </w:rPr>
        <w:t xml:space="preserve">satisfaction.  However, </w:t>
      </w:r>
      <w:r w:rsidR="00BC1F97">
        <w:rPr>
          <w:sz w:val="26"/>
          <w:szCs w:val="26"/>
        </w:rPr>
        <w:t>PGW</w:t>
      </w:r>
      <w:r w:rsidR="00AE1C51">
        <w:rPr>
          <w:sz w:val="26"/>
          <w:szCs w:val="26"/>
        </w:rPr>
        <w:t xml:space="preserve"> now claims</w:t>
      </w:r>
      <w:r w:rsidR="008401B6">
        <w:rPr>
          <w:sz w:val="26"/>
          <w:szCs w:val="26"/>
        </w:rPr>
        <w:t xml:space="preserve"> that it is no longer necessary to issue the credit and is withdrawing its consent for BCS to issue them.  </w:t>
      </w:r>
      <w:r w:rsidR="00D16954">
        <w:rPr>
          <w:sz w:val="26"/>
          <w:szCs w:val="26"/>
        </w:rPr>
        <w:t xml:space="preserve">In light of PGW’s prior history of agreeing to the issuance of conservation credits in past consumer complaints filed with the Commission, we are troubled by PGW’s sudden unwillingness to </w:t>
      </w:r>
      <w:r w:rsidR="00BC1F97">
        <w:rPr>
          <w:sz w:val="26"/>
          <w:szCs w:val="26"/>
        </w:rPr>
        <w:t>agree to such a credit</w:t>
      </w:r>
      <w:r w:rsidR="00EE5571">
        <w:rPr>
          <w:sz w:val="26"/>
          <w:szCs w:val="26"/>
        </w:rPr>
        <w:t xml:space="preserve"> in this matter</w:t>
      </w:r>
      <w:r w:rsidR="00296F64">
        <w:rPr>
          <w:sz w:val="26"/>
          <w:szCs w:val="26"/>
        </w:rPr>
        <w:t xml:space="preserve"> given the length of time during which PGW’s meter was malfunctioning and the</w:t>
      </w:r>
      <w:r w:rsidR="00BC1F97">
        <w:rPr>
          <w:sz w:val="26"/>
          <w:szCs w:val="26"/>
        </w:rPr>
        <w:t xml:space="preserve"> lack of any </w:t>
      </w:r>
      <w:r w:rsidR="00296F64">
        <w:rPr>
          <w:sz w:val="26"/>
          <w:szCs w:val="26"/>
        </w:rPr>
        <w:t>indication that the Complainant was at fault</w:t>
      </w:r>
      <w:r w:rsidR="00EE5571">
        <w:rPr>
          <w:sz w:val="26"/>
          <w:szCs w:val="26"/>
        </w:rPr>
        <w:t xml:space="preserve">.  </w:t>
      </w:r>
      <w:r w:rsidR="00296F64">
        <w:rPr>
          <w:sz w:val="26"/>
          <w:szCs w:val="26"/>
        </w:rPr>
        <w:t xml:space="preserve">Furthermore, we note that </w:t>
      </w:r>
      <w:r w:rsidR="00EE5571">
        <w:rPr>
          <w:sz w:val="26"/>
          <w:szCs w:val="26"/>
        </w:rPr>
        <w:t xml:space="preserve">in the recent case of </w:t>
      </w:r>
      <w:r w:rsidR="00EE5571">
        <w:rPr>
          <w:i/>
          <w:sz w:val="26"/>
          <w:szCs w:val="26"/>
        </w:rPr>
        <w:t>Robyn Irving v. PGW</w:t>
      </w:r>
      <w:r w:rsidR="00EE5571">
        <w:rPr>
          <w:sz w:val="26"/>
          <w:szCs w:val="26"/>
        </w:rPr>
        <w:t>, Docket No. C-2011-2279259 (Order entered February 6, 2014)</w:t>
      </w:r>
      <w:r w:rsidR="00F647E7">
        <w:rPr>
          <w:sz w:val="26"/>
          <w:szCs w:val="26"/>
        </w:rPr>
        <w:t xml:space="preserve"> (</w:t>
      </w:r>
      <w:r w:rsidR="00F647E7">
        <w:rPr>
          <w:i/>
          <w:sz w:val="26"/>
          <w:szCs w:val="26"/>
        </w:rPr>
        <w:t>Irving</w:t>
      </w:r>
      <w:r w:rsidR="00F647E7">
        <w:rPr>
          <w:sz w:val="26"/>
          <w:szCs w:val="26"/>
        </w:rPr>
        <w:t>)</w:t>
      </w:r>
      <w:r w:rsidR="00EE5571">
        <w:rPr>
          <w:sz w:val="26"/>
          <w:szCs w:val="26"/>
        </w:rPr>
        <w:t>, BCS recommended a twenty percent conservation credit and PGW applied it.</w:t>
      </w:r>
      <w:r w:rsidR="00AE1C51">
        <w:rPr>
          <w:rStyle w:val="FootnoteReference"/>
          <w:sz w:val="26"/>
          <w:szCs w:val="26"/>
        </w:rPr>
        <w:footnoteReference w:id="6"/>
      </w:r>
      <w:r w:rsidR="00E01029">
        <w:rPr>
          <w:sz w:val="26"/>
          <w:szCs w:val="26"/>
        </w:rPr>
        <w:t xml:space="preserve"> </w:t>
      </w:r>
      <w:r w:rsidR="00EE5571">
        <w:rPr>
          <w:sz w:val="26"/>
          <w:szCs w:val="26"/>
        </w:rPr>
        <w:t xml:space="preserve">   </w:t>
      </w:r>
      <w:r w:rsidR="00373602">
        <w:rPr>
          <w:sz w:val="26"/>
          <w:szCs w:val="26"/>
        </w:rPr>
        <w:t xml:space="preserve"> </w:t>
      </w:r>
    </w:p>
    <w:p w:rsidR="008A5436" w:rsidRDefault="008A5436" w:rsidP="0076397A">
      <w:pPr>
        <w:widowControl/>
        <w:spacing w:line="360" w:lineRule="auto"/>
        <w:rPr>
          <w:sz w:val="26"/>
          <w:szCs w:val="26"/>
        </w:rPr>
      </w:pPr>
    </w:p>
    <w:p w:rsidR="00883C0D" w:rsidRDefault="008A5436" w:rsidP="0076397A">
      <w:pPr>
        <w:widowControl/>
        <w:spacing w:line="360" w:lineRule="auto"/>
        <w:rPr>
          <w:sz w:val="26"/>
          <w:szCs w:val="26"/>
        </w:rPr>
      </w:pPr>
      <w:r>
        <w:rPr>
          <w:sz w:val="26"/>
          <w:szCs w:val="26"/>
        </w:rPr>
        <w:tab/>
      </w:r>
      <w:r w:rsidR="009E6E7C">
        <w:rPr>
          <w:sz w:val="26"/>
          <w:szCs w:val="26"/>
        </w:rPr>
        <w:tab/>
      </w:r>
      <w:r w:rsidR="00842982">
        <w:rPr>
          <w:rFonts w:eastAsia="Calibri"/>
          <w:sz w:val="26"/>
          <w:szCs w:val="26"/>
        </w:rPr>
        <w:t xml:space="preserve">In our </w:t>
      </w:r>
      <w:r w:rsidR="00842982">
        <w:rPr>
          <w:i/>
          <w:sz w:val="26"/>
          <w:szCs w:val="26"/>
        </w:rPr>
        <w:t>February 2014 Order</w:t>
      </w:r>
      <w:r w:rsidR="00842982">
        <w:rPr>
          <w:sz w:val="26"/>
          <w:szCs w:val="26"/>
        </w:rPr>
        <w:t>,</w:t>
      </w:r>
      <w:r w:rsidR="00842982">
        <w:rPr>
          <w:i/>
          <w:sz w:val="26"/>
          <w:szCs w:val="26"/>
        </w:rPr>
        <w:t xml:space="preserve"> </w:t>
      </w:r>
      <w:r w:rsidR="00842982">
        <w:rPr>
          <w:sz w:val="26"/>
          <w:szCs w:val="26"/>
        </w:rPr>
        <w:t xml:space="preserve">we concluded that PGW properly billed the Complainant for previously unbilled usage and that he must pay his outstanding bill.  </w:t>
      </w:r>
      <w:r w:rsidR="00D16954">
        <w:rPr>
          <w:sz w:val="26"/>
          <w:szCs w:val="26"/>
        </w:rPr>
        <w:t>Nonetheless,</w:t>
      </w:r>
      <w:r w:rsidR="006B5CC3">
        <w:rPr>
          <w:sz w:val="26"/>
          <w:szCs w:val="26"/>
        </w:rPr>
        <w:t xml:space="preserve"> w</w:t>
      </w:r>
      <w:r w:rsidR="00842982">
        <w:rPr>
          <w:rFonts w:eastAsia="Calibri"/>
          <w:sz w:val="26"/>
          <w:szCs w:val="26"/>
        </w:rPr>
        <w:t xml:space="preserve">e applied a conservation credit of twenty percent because of the malfunctioning meter and the Complainant’s receipt of inadequate price signals </w:t>
      </w:r>
      <w:r w:rsidR="00D16954">
        <w:rPr>
          <w:rFonts w:eastAsia="Calibri"/>
          <w:sz w:val="26"/>
          <w:szCs w:val="26"/>
        </w:rPr>
        <w:t xml:space="preserve">over a period of </w:t>
      </w:r>
      <w:r w:rsidR="00842982">
        <w:rPr>
          <w:rFonts w:eastAsia="Calibri"/>
          <w:sz w:val="26"/>
          <w:szCs w:val="26"/>
        </w:rPr>
        <w:t>nearly six years.  PGW argues that such a credit, which did not re</w:t>
      </w:r>
      <w:r w:rsidR="00842982">
        <w:rPr>
          <w:sz w:val="26"/>
          <w:szCs w:val="26"/>
        </w:rPr>
        <w:t xml:space="preserve">present a correction of a bill resulting from a miscalculation of a rate or a fast meter, was an improper </w:t>
      </w:r>
      <w:r w:rsidR="00E23A83">
        <w:rPr>
          <w:sz w:val="26"/>
          <w:szCs w:val="26"/>
        </w:rPr>
        <w:t xml:space="preserve">award of compensatory damages. </w:t>
      </w:r>
      <w:r w:rsidR="00842982">
        <w:rPr>
          <w:sz w:val="26"/>
          <w:szCs w:val="26"/>
        </w:rPr>
        <w:t xml:space="preserve"> We disagree with PGW’s characterization of the conservation credit as monetary damages.  Rather, we conclude that the credit </w:t>
      </w:r>
      <w:r w:rsidR="00842982">
        <w:rPr>
          <w:sz w:val="26"/>
          <w:szCs w:val="26"/>
        </w:rPr>
        <w:lastRenderedPageBreak/>
        <w:t>constitutes an individual rate preference for the Complainant</w:t>
      </w:r>
      <w:r w:rsidR="00883C0D">
        <w:rPr>
          <w:sz w:val="26"/>
          <w:szCs w:val="26"/>
        </w:rPr>
        <w:t>, which under the circumstances of this case, we deem to be reasonable</w:t>
      </w:r>
      <w:r w:rsidR="00F647E7">
        <w:rPr>
          <w:sz w:val="26"/>
          <w:szCs w:val="26"/>
        </w:rPr>
        <w:t>.</w:t>
      </w:r>
      <w:r w:rsidR="00F84ED9">
        <w:rPr>
          <w:rStyle w:val="FootnoteReference"/>
          <w:sz w:val="26"/>
          <w:szCs w:val="26"/>
        </w:rPr>
        <w:footnoteReference w:id="7"/>
      </w:r>
      <w:r w:rsidR="00F647E7">
        <w:rPr>
          <w:sz w:val="26"/>
          <w:szCs w:val="26"/>
        </w:rPr>
        <w:t xml:space="preserve">  </w:t>
      </w:r>
    </w:p>
    <w:p w:rsidR="00883C0D" w:rsidRDefault="00883C0D" w:rsidP="0076397A">
      <w:pPr>
        <w:widowControl/>
        <w:spacing w:line="360" w:lineRule="auto"/>
        <w:rPr>
          <w:sz w:val="26"/>
          <w:szCs w:val="26"/>
        </w:rPr>
      </w:pPr>
    </w:p>
    <w:p w:rsidR="005B297A" w:rsidRDefault="00883C0D" w:rsidP="005B297A">
      <w:pPr>
        <w:widowControl/>
        <w:spacing w:line="360" w:lineRule="auto"/>
        <w:ind w:firstLine="1440"/>
        <w:rPr>
          <w:sz w:val="26"/>
          <w:szCs w:val="26"/>
        </w:rPr>
      </w:pPr>
      <w:r>
        <w:rPr>
          <w:sz w:val="26"/>
          <w:szCs w:val="26"/>
        </w:rPr>
        <w:t xml:space="preserve">According to the record, </w:t>
      </w:r>
      <w:r w:rsidR="005B297A">
        <w:rPr>
          <w:sz w:val="26"/>
          <w:szCs w:val="26"/>
        </w:rPr>
        <w:t xml:space="preserve">the Complainant’s meter reported abnormally low gas consumption on numerous occasions </w:t>
      </w:r>
      <w:r w:rsidR="00554E43">
        <w:rPr>
          <w:sz w:val="26"/>
          <w:szCs w:val="26"/>
        </w:rPr>
        <w:t>from</w:t>
      </w:r>
      <w:r w:rsidR="005B297A">
        <w:rPr>
          <w:sz w:val="26"/>
          <w:szCs w:val="26"/>
        </w:rPr>
        <w:t xml:space="preserve"> 2006</w:t>
      </w:r>
      <w:r w:rsidR="00554E43">
        <w:rPr>
          <w:sz w:val="26"/>
          <w:szCs w:val="26"/>
        </w:rPr>
        <w:t xml:space="preserve"> through 2012</w:t>
      </w:r>
      <w:r w:rsidR="005B297A">
        <w:rPr>
          <w:sz w:val="26"/>
          <w:szCs w:val="26"/>
        </w:rPr>
        <w:t xml:space="preserve">.  For example, </w:t>
      </w:r>
      <w:r w:rsidR="00C635A4">
        <w:rPr>
          <w:sz w:val="26"/>
          <w:szCs w:val="26"/>
        </w:rPr>
        <w:t xml:space="preserve">during </w:t>
      </w:r>
      <w:r w:rsidR="005B297A">
        <w:rPr>
          <w:sz w:val="26"/>
          <w:szCs w:val="26"/>
        </w:rPr>
        <w:t>the heating months of 2006, the Complainant’s meter reported the following:</w:t>
      </w:r>
    </w:p>
    <w:p w:rsidR="005B297A" w:rsidRDefault="005B297A" w:rsidP="005B297A">
      <w:pPr>
        <w:widowControl/>
        <w:spacing w:line="360" w:lineRule="auto"/>
        <w:ind w:firstLine="1440"/>
        <w:rPr>
          <w:sz w:val="26"/>
          <w:szCs w:val="2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764"/>
        <w:gridCol w:w="1890"/>
        <w:gridCol w:w="2340"/>
      </w:tblGrid>
      <w:tr w:rsidR="005B297A" w:rsidRPr="00A2170C" w:rsidTr="000C39F7">
        <w:tc>
          <w:tcPr>
            <w:tcW w:w="1476" w:type="dxa"/>
            <w:shd w:val="clear" w:color="auto" w:fill="auto"/>
          </w:tcPr>
          <w:p w:rsidR="005B297A" w:rsidRPr="00A2170C" w:rsidRDefault="005B297A" w:rsidP="000C39F7">
            <w:pPr>
              <w:spacing w:line="360" w:lineRule="auto"/>
              <w:rPr>
                <w:sz w:val="24"/>
                <w:szCs w:val="24"/>
              </w:rPr>
            </w:pPr>
            <w:r w:rsidRPr="00A2170C">
              <w:rPr>
                <w:sz w:val="24"/>
                <w:szCs w:val="24"/>
              </w:rPr>
              <w:t>Date</w:t>
            </w:r>
          </w:p>
        </w:tc>
        <w:tc>
          <w:tcPr>
            <w:tcW w:w="1764" w:type="dxa"/>
            <w:shd w:val="clear" w:color="auto" w:fill="auto"/>
          </w:tcPr>
          <w:p w:rsidR="005B297A" w:rsidRPr="00A2170C" w:rsidRDefault="005B297A" w:rsidP="000C39F7">
            <w:pPr>
              <w:spacing w:line="360" w:lineRule="auto"/>
              <w:rPr>
                <w:sz w:val="24"/>
                <w:szCs w:val="24"/>
              </w:rPr>
            </w:pPr>
            <w:r w:rsidRPr="00A2170C">
              <w:rPr>
                <w:sz w:val="24"/>
                <w:szCs w:val="24"/>
              </w:rPr>
              <w:t>CCF Usage</w:t>
            </w:r>
          </w:p>
        </w:tc>
        <w:tc>
          <w:tcPr>
            <w:tcW w:w="1890" w:type="dxa"/>
            <w:shd w:val="clear" w:color="auto" w:fill="auto"/>
          </w:tcPr>
          <w:p w:rsidR="005B297A" w:rsidRPr="00A2170C" w:rsidRDefault="005B297A" w:rsidP="000C39F7">
            <w:pPr>
              <w:spacing w:line="360" w:lineRule="auto"/>
              <w:rPr>
                <w:sz w:val="24"/>
                <w:szCs w:val="24"/>
              </w:rPr>
            </w:pPr>
            <w:r w:rsidRPr="00A2170C">
              <w:rPr>
                <w:sz w:val="24"/>
                <w:szCs w:val="24"/>
              </w:rPr>
              <w:t>Heating D</w:t>
            </w:r>
            <w:r w:rsidR="00BD2151">
              <w:rPr>
                <w:sz w:val="24"/>
                <w:szCs w:val="24"/>
              </w:rPr>
              <w:t xml:space="preserve">egree </w:t>
            </w:r>
            <w:r w:rsidRPr="00A2170C">
              <w:rPr>
                <w:sz w:val="24"/>
                <w:szCs w:val="24"/>
              </w:rPr>
              <w:t>D</w:t>
            </w:r>
            <w:r w:rsidR="00BD2151">
              <w:rPr>
                <w:sz w:val="24"/>
                <w:szCs w:val="24"/>
              </w:rPr>
              <w:t>ay</w:t>
            </w:r>
            <w:r w:rsidRPr="00A2170C">
              <w:rPr>
                <w:sz w:val="24"/>
                <w:szCs w:val="24"/>
              </w:rPr>
              <w:t>s</w:t>
            </w:r>
            <w:r w:rsidR="00D33B06">
              <w:rPr>
                <w:sz w:val="24"/>
                <w:szCs w:val="24"/>
              </w:rPr>
              <w:t xml:space="preserve"> (DDs)</w:t>
            </w:r>
            <w:r w:rsidR="00C635A4">
              <w:rPr>
                <w:rStyle w:val="FootnoteReference"/>
                <w:sz w:val="24"/>
                <w:szCs w:val="24"/>
              </w:rPr>
              <w:footnoteReference w:id="8"/>
            </w:r>
          </w:p>
        </w:tc>
        <w:tc>
          <w:tcPr>
            <w:tcW w:w="2340" w:type="dxa"/>
            <w:shd w:val="clear" w:color="auto" w:fill="auto"/>
          </w:tcPr>
          <w:p w:rsidR="005B297A" w:rsidRPr="00A2170C" w:rsidRDefault="005B297A" w:rsidP="000C39F7">
            <w:pPr>
              <w:spacing w:line="360" w:lineRule="auto"/>
              <w:rPr>
                <w:sz w:val="24"/>
                <w:szCs w:val="24"/>
              </w:rPr>
            </w:pPr>
            <w:r w:rsidRPr="00A2170C">
              <w:rPr>
                <w:sz w:val="24"/>
                <w:szCs w:val="24"/>
              </w:rPr>
              <w:t>Transaction Amount</w:t>
            </w:r>
          </w:p>
        </w:tc>
      </w:tr>
      <w:tr w:rsidR="005B297A" w:rsidRPr="00A2170C" w:rsidTr="000C39F7">
        <w:tc>
          <w:tcPr>
            <w:tcW w:w="1476" w:type="dxa"/>
            <w:shd w:val="clear" w:color="auto" w:fill="auto"/>
          </w:tcPr>
          <w:p w:rsidR="005B297A" w:rsidRPr="00A2170C" w:rsidRDefault="005B297A" w:rsidP="000C39F7">
            <w:pPr>
              <w:spacing w:line="360" w:lineRule="auto"/>
              <w:rPr>
                <w:sz w:val="24"/>
                <w:szCs w:val="24"/>
              </w:rPr>
            </w:pPr>
            <w:r w:rsidRPr="00A2170C">
              <w:rPr>
                <w:sz w:val="24"/>
                <w:szCs w:val="24"/>
              </w:rPr>
              <w:t>01/12/2006</w:t>
            </w:r>
          </w:p>
        </w:tc>
        <w:tc>
          <w:tcPr>
            <w:tcW w:w="1764" w:type="dxa"/>
            <w:shd w:val="clear" w:color="auto" w:fill="auto"/>
          </w:tcPr>
          <w:p w:rsidR="005B297A" w:rsidRPr="00A2170C" w:rsidRDefault="005B297A" w:rsidP="000C39F7">
            <w:pPr>
              <w:spacing w:line="360" w:lineRule="auto"/>
              <w:rPr>
                <w:sz w:val="24"/>
                <w:szCs w:val="24"/>
              </w:rPr>
            </w:pPr>
            <w:r w:rsidRPr="00A2170C">
              <w:rPr>
                <w:sz w:val="24"/>
                <w:szCs w:val="24"/>
              </w:rPr>
              <w:t>110</w:t>
            </w:r>
          </w:p>
        </w:tc>
        <w:tc>
          <w:tcPr>
            <w:tcW w:w="1890" w:type="dxa"/>
            <w:shd w:val="clear" w:color="auto" w:fill="auto"/>
          </w:tcPr>
          <w:p w:rsidR="005B297A" w:rsidRPr="00A2170C" w:rsidRDefault="005B297A" w:rsidP="000C39F7">
            <w:pPr>
              <w:spacing w:line="360" w:lineRule="auto"/>
              <w:rPr>
                <w:sz w:val="24"/>
                <w:szCs w:val="24"/>
              </w:rPr>
            </w:pPr>
            <w:r w:rsidRPr="00A2170C">
              <w:rPr>
                <w:sz w:val="24"/>
                <w:szCs w:val="24"/>
              </w:rPr>
              <w:t>923</w:t>
            </w:r>
          </w:p>
        </w:tc>
        <w:tc>
          <w:tcPr>
            <w:tcW w:w="2340" w:type="dxa"/>
            <w:shd w:val="clear" w:color="auto" w:fill="auto"/>
          </w:tcPr>
          <w:p w:rsidR="005B297A" w:rsidRPr="00A2170C" w:rsidRDefault="005B297A" w:rsidP="000C39F7">
            <w:pPr>
              <w:spacing w:line="360" w:lineRule="auto"/>
              <w:rPr>
                <w:sz w:val="24"/>
                <w:szCs w:val="24"/>
              </w:rPr>
            </w:pPr>
            <w:r w:rsidRPr="00A2170C">
              <w:rPr>
                <w:sz w:val="24"/>
                <w:szCs w:val="24"/>
              </w:rPr>
              <w:t>$225.73</w:t>
            </w:r>
          </w:p>
        </w:tc>
      </w:tr>
      <w:tr w:rsidR="005B297A" w:rsidRPr="00A2170C" w:rsidTr="000C39F7">
        <w:tc>
          <w:tcPr>
            <w:tcW w:w="1476" w:type="dxa"/>
            <w:shd w:val="clear" w:color="auto" w:fill="auto"/>
          </w:tcPr>
          <w:p w:rsidR="005B297A" w:rsidRPr="00A2170C" w:rsidRDefault="005B297A" w:rsidP="000C39F7">
            <w:pPr>
              <w:spacing w:line="360" w:lineRule="auto"/>
              <w:rPr>
                <w:sz w:val="24"/>
                <w:szCs w:val="24"/>
              </w:rPr>
            </w:pPr>
            <w:r w:rsidRPr="00A2170C">
              <w:rPr>
                <w:sz w:val="24"/>
                <w:szCs w:val="24"/>
              </w:rPr>
              <w:t>02/13/2006</w:t>
            </w:r>
          </w:p>
        </w:tc>
        <w:tc>
          <w:tcPr>
            <w:tcW w:w="1764" w:type="dxa"/>
            <w:shd w:val="clear" w:color="auto" w:fill="auto"/>
          </w:tcPr>
          <w:p w:rsidR="005B297A" w:rsidRPr="00A2170C" w:rsidRDefault="005B297A" w:rsidP="000C39F7">
            <w:pPr>
              <w:spacing w:line="360" w:lineRule="auto"/>
              <w:rPr>
                <w:sz w:val="24"/>
                <w:szCs w:val="24"/>
              </w:rPr>
            </w:pPr>
            <w:r w:rsidRPr="00A2170C">
              <w:rPr>
                <w:sz w:val="24"/>
                <w:szCs w:val="24"/>
              </w:rPr>
              <w:t>84</w:t>
            </w:r>
          </w:p>
        </w:tc>
        <w:tc>
          <w:tcPr>
            <w:tcW w:w="1890" w:type="dxa"/>
            <w:shd w:val="clear" w:color="auto" w:fill="auto"/>
          </w:tcPr>
          <w:p w:rsidR="005B297A" w:rsidRPr="00A2170C" w:rsidRDefault="005B297A" w:rsidP="000C39F7">
            <w:pPr>
              <w:spacing w:line="360" w:lineRule="auto"/>
              <w:rPr>
                <w:sz w:val="24"/>
                <w:szCs w:val="24"/>
              </w:rPr>
            </w:pPr>
            <w:r w:rsidRPr="00A2170C">
              <w:rPr>
                <w:sz w:val="24"/>
                <w:szCs w:val="24"/>
              </w:rPr>
              <w:t>722</w:t>
            </w:r>
          </w:p>
        </w:tc>
        <w:tc>
          <w:tcPr>
            <w:tcW w:w="2340" w:type="dxa"/>
            <w:shd w:val="clear" w:color="auto" w:fill="auto"/>
          </w:tcPr>
          <w:p w:rsidR="005B297A" w:rsidRPr="00A2170C" w:rsidRDefault="005B297A" w:rsidP="000C39F7">
            <w:pPr>
              <w:spacing w:line="360" w:lineRule="auto"/>
              <w:rPr>
                <w:sz w:val="24"/>
                <w:szCs w:val="24"/>
              </w:rPr>
            </w:pPr>
            <w:r w:rsidRPr="00A2170C">
              <w:rPr>
                <w:sz w:val="24"/>
                <w:szCs w:val="24"/>
              </w:rPr>
              <w:t>$181.59</w:t>
            </w:r>
          </w:p>
        </w:tc>
      </w:tr>
      <w:tr w:rsidR="005B297A" w:rsidRPr="00A2170C" w:rsidTr="000C39F7">
        <w:tc>
          <w:tcPr>
            <w:tcW w:w="1476" w:type="dxa"/>
            <w:shd w:val="clear" w:color="auto" w:fill="auto"/>
          </w:tcPr>
          <w:p w:rsidR="005B297A" w:rsidRPr="00A2170C" w:rsidRDefault="005B297A" w:rsidP="000C39F7">
            <w:pPr>
              <w:spacing w:line="360" w:lineRule="auto"/>
              <w:rPr>
                <w:sz w:val="24"/>
                <w:szCs w:val="24"/>
              </w:rPr>
            </w:pPr>
            <w:r w:rsidRPr="00A2170C">
              <w:rPr>
                <w:sz w:val="24"/>
                <w:szCs w:val="24"/>
              </w:rPr>
              <w:t>03/14/2006</w:t>
            </w:r>
          </w:p>
        </w:tc>
        <w:tc>
          <w:tcPr>
            <w:tcW w:w="1764" w:type="dxa"/>
            <w:shd w:val="clear" w:color="auto" w:fill="auto"/>
          </w:tcPr>
          <w:p w:rsidR="005B297A" w:rsidRPr="00A2170C" w:rsidRDefault="005B297A" w:rsidP="000C39F7">
            <w:pPr>
              <w:spacing w:line="360" w:lineRule="auto"/>
              <w:rPr>
                <w:sz w:val="24"/>
                <w:szCs w:val="24"/>
              </w:rPr>
            </w:pPr>
            <w:r w:rsidRPr="00A2170C">
              <w:rPr>
                <w:sz w:val="24"/>
                <w:szCs w:val="24"/>
              </w:rPr>
              <w:t>105</w:t>
            </w:r>
          </w:p>
        </w:tc>
        <w:tc>
          <w:tcPr>
            <w:tcW w:w="1890" w:type="dxa"/>
            <w:shd w:val="clear" w:color="auto" w:fill="auto"/>
          </w:tcPr>
          <w:p w:rsidR="005B297A" w:rsidRPr="00A2170C" w:rsidRDefault="005B297A" w:rsidP="000C39F7">
            <w:pPr>
              <w:spacing w:line="360" w:lineRule="auto"/>
              <w:rPr>
                <w:sz w:val="24"/>
                <w:szCs w:val="24"/>
              </w:rPr>
            </w:pPr>
            <w:r w:rsidRPr="00A2170C">
              <w:rPr>
                <w:sz w:val="24"/>
                <w:szCs w:val="24"/>
              </w:rPr>
              <w:t>825</w:t>
            </w:r>
          </w:p>
        </w:tc>
        <w:tc>
          <w:tcPr>
            <w:tcW w:w="2340" w:type="dxa"/>
            <w:shd w:val="clear" w:color="auto" w:fill="auto"/>
          </w:tcPr>
          <w:p w:rsidR="005B297A" w:rsidRPr="00A2170C" w:rsidRDefault="005B297A" w:rsidP="000C39F7">
            <w:pPr>
              <w:spacing w:line="360" w:lineRule="auto"/>
              <w:rPr>
                <w:sz w:val="24"/>
                <w:szCs w:val="24"/>
              </w:rPr>
            </w:pPr>
            <w:r w:rsidRPr="00A2170C">
              <w:rPr>
                <w:sz w:val="24"/>
                <w:szCs w:val="24"/>
              </w:rPr>
              <w:t>$213.86</w:t>
            </w:r>
          </w:p>
        </w:tc>
      </w:tr>
      <w:tr w:rsidR="005B297A" w:rsidRPr="00A2170C" w:rsidTr="000C39F7">
        <w:tc>
          <w:tcPr>
            <w:tcW w:w="1476" w:type="dxa"/>
            <w:shd w:val="clear" w:color="auto" w:fill="auto"/>
          </w:tcPr>
          <w:p w:rsidR="005B297A" w:rsidRPr="00A2170C" w:rsidRDefault="005B297A" w:rsidP="000C39F7">
            <w:pPr>
              <w:spacing w:line="360" w:lineRule="auto"/>
              <w:rPr>
                <w:sz w:val="24"/>
                <w:szCs w:val="24"/>
              </w:rPr>
            </w:pPr>
            <w:r w:rsidRPr="00A2170C">
              <w:rPr>
                <w:sz w:val="24"/>
                <w:szCs w:val="24"/>
              </w:rPr>
              <w:t>11/09/2006</w:t>
            </w:r>
          </w:p>
        </w:tc>
        <w:tc>
          <w:tcPr>
            <w:tcW w:w="1764" w:type="dxa"/>
            <w:shd w:val="clear" w:color="auto" w:fill="auto"/>
          </w:tcPr>
          <w:p w:rsidR="005B297A" w:rsidRPr="00A2170C" w:rsidRDefault="005B297A" w:rsidP="000C39F7">
            <w:pPr>
              <w:spacing w:line="360" w:lineRule="auto"/>
              <w:rPr>
                <w:sz w:val="24"/>
                <w:szCs w:val="24"/>
              </w:rPr>
            </w:pPr>
            <w:r w:rsidRPr="00A2170C">
              <w:rPr>
                <w:sz w:val="24"/>
                <w:szCs w:val="24"/>
              </w:rPr>
              <w:t>8</w:t>
            </w:r>
          </w:p>
        </w:tc>
        <w:tc>
          <w:tcPr>
            <w:tcW w:w="1890" w:type="dxa"/>
            <w:shd w:val="clear" w:color="auto" w:fill="auto"/>
          </w:tcPr>
          <w:p w:rsidR="005B297A" w:rsidRPr="00A2170C" w:rsidRDefault="005B297A" w:rsidP="000C39F7">
            <w:pPr>
              <w:spacing w:line="360" w:lineRule="auto"/>
              <w:rPr>
                <w:sz w:val="24"/>
                <w:szCs w:val="24"/>
              </w:rPr>
            </w:pPr>
            <w:r w:rsidRPr="00A2170C">
              <w:rPr>
                <w:sz w:val="24"/>
                <w:szCs w:val="24"/>
              </w:rPr>
              <w:t>384</w:t>
            </w:r>
          </w:p>
        </w:tc>
        <w:tc>
          <w:tcPr>
            <w:tcW w:w="2340" w:type="dxa"/>
            <w:shd w:val="clear" w:color="auto" w:fill="auto"/>
          </w:tcPr>
          <w:p w:rsidR="005B297A" w:rsidRPr="00A2170C" w:rsidRDefault="005B297A" w:rsidP="000C39F7">
            <w:pPr>
              <w:spacing w:line="360" w:lineRule="auto"/>
              <w:rPr>
                <w:sz w:val="24"/>
                <w:szCs w:val="24"/>
              </w:rPr>
            </w:pPr>
            <w:r w:rsidRPr="00A2170C">
              <w:rPr>
                <w:sz w:val="24"/>
                <w:szCs w:val="24"/>
              </w:rPr>
              <w:t>$26.62</w:t>
            </w:r>
          </w:p>
        </w:tc>
      </w:tr>
      <w:tr w:rsidR="005B297A" w:rsidRPr="00A2170C" w:rsidTr="000C39F7">
        <w:tc>
          <w:tcPr>
            <w:tcW w:w="1476" w:type="dxa"/>
            <w:shd w:val="clear" w:color="auto" w:fill="auto"/>
          </w:tcPr>
          <w:p w:rsidR="005B297A" w:rsidRPr="00A2170C" w:rsidRDefault="005B297A" w:rsidP="000C39F7">
            <w:pPr>
              <w:spacing w:line="360" w:lineRule="auto"/>
              <w:rPr>
                <w:b/>
                <w:sz w:val="24"/>
                <w:szCs w:val="24"/>
              </w:rPr>
            </w:pPr>
            <w:r w:rsidRPr="00A2170C">
              <w:rPr>
                <w:b/>
                <w:sz w:val="24"/>
                <w:szCs w:val="24"/>
              </w:rPr>
              <w:t>12/13/2006</w:t>
            </w:r>
          </w:p>
        </w:tc>
        <w:tc>
          <w:tcPr>
            <w:tcW w:w="1764" w:type="dxa"/>
            <w:shd w:val="clear" w:color="auto" w:fill="auto"/>
          </w:tcPr>
          <w:p w:rsidR="005B297A" w:rsidRPr="00A2170C" w:rsidRDefault="005B297A" w:rsidP="000C39F7">
            <w:pPr>
              <w:spacing w:line="360" w:lineRule="auto"/>
              <w:rPr>
                <w:b/>
                <w:sz w:val="24"/>
                <w:szCs w:val="24"/>
              </w:rPr>
            </w:pPr>
            <w:r w:rsidRPr="00A2170C">
              <w:rPr>
                <w:b/>
                <w:sz w:val="24"/>
                <w:szCs w:val="24"/>
              </w:rPr>
              <w:t>0</w:t>
            </w:r>
          </w:p>
        </w:tc>
        <w:tc>
          <w:tcPr>
            <w:tcW w:w="1890" w:type="dxa"/>
            <w:shd w:val="clear" w:color="auto" w:fill="auto"/>
          </w:tcPr>
          <w:p w:rsidR="005B297A" w:rsidRPr="00A2170C" w:rsidRDefault="005B297A" w:rsidP="000C39F7">
            <w:pPr>
              <w:spacing w:line="360" w:lineRule="auto"/>
              <w:rPr>
                <w:b/>
                <w:sz w:val="24"/>
                <w:szCs w:val="24"/>
              </w:rPr>
            </w:pPr>
            <w:r w:rsidRPr="00A2170C">
              <w:rPr>
                <w:b/>
                <w:sz w:val="24"/>
                <w:szCs w:val="24"/>
              </w:rPr>
              <w:t>549</w:t>
            </w:r>
          </w:p>
        </w:tc>
        <w:tc>
          <w:tcPr>
            <w:tcW w:w="2340" w:type="dxa"/>
            <w:shd w:val="clear" w:color="auto" w:fill="auto"/>
          </w:tcPr>
          <w:p w:rsidR="005B297A" w:rsidRPr="00A2170C" w:rsidRDefault="005B297A" w:rsidP="000C39F7">
            <w:pPr>
              <w:spacing w:line="360" w:lineRule="auto"/>
              <w:rPr>
                <w:b/>
                <w:sz w:val="24"/>
                <w:szCs w:val="24"/>
              </w:rPr>
            </w:pPr>
            <w:r w:rsidRPr="00A2170C">
              <w:rPr>
                <w:b/>
                <w:sz w:val="24"/>
                <w:szCs w:val="24"/>
              </w:rPr>
              <w:t>$12.00</w:t>
            </w:r>
          </w:p>
        </w:tc>
      </w:tr>
    </w:tbl>
    <w:p w:rsidR="005B297A" w:rsidRDefault="005B297A" w:rsidP="005B297A">
      <w:pPr>
        <w:widowControl/>
        <w:spacing w:line="360" w:lineRule="auto"/>
        <w:ind w:firstLine="1440"/>
        <w:rPr>
          <w:sz w:val="26"/>
          <w:szCs w:val="26"/>
        </w:rPr>
      </w:pPr>
    </w:p>
    <w:p w:rsidR="005B297A" w:rsidRDefault="006B5CC3" w:rsidP="00FE333A">
      <w:pPr>
        <w:widowControl/>
        <w:spacing w:line="360" w:lineRule="auto"/>
        <w:rPr>
          <w:sz w:val="24"/>
          <w:szCs w:val="24"/>
        </w:rPr>
      </w:pPr>
      <w:r>
        <w:rPr>
          <w:sz w:val="24"/>
          <w:szCs w:val="24"/>
        </w:rPr>
        <w:t xml:space="preserve">I.D. at 5; </w:t>
      </w:r>
      <w:r w:rsidR="00FE333A">
        <w:rPr>
          <w:sz w:val="24"/>
          <w:szCs w:val="24"/>
        </w:rPr>
        <w:t>Tr. 14-15, Exh</w:t>
      </w:r>
      <w:r w:rsidR="00C635A4">
        <w:rPr>
          <w:sz w:val="24"/>
          <w:szCs w:val="24"/>
        </w:rPr>
        <w:t>.</w:t>
      </w:r>
      <w:r w:rsidR="00FE333A">
        <w:rPr>
          <w:sz w:val="24"/>
          <w:szCs w:val="24"/>
        </w:rPr>
        <w:t xml:space="preserve"> 1.</w:t>
      </w:r>
    </w:p>
    <w:p w:rsidR="00C635A4" w:rsidRPr="006B5CC3" w:rsidRDefault="00C635A4" w:rsidP="00FE333A">
      <w:pPr>
        <w:widowControl/>
        <w:spacing w:line="360" w:lineRule="auto"/>
        <w:rPr>
          <w:sz w:val="26"/>
          <w:szCs w:val="26"/>
        </w:rPr>
      </w:pPr>
    </w:p>
    <w:p w:rsidR="006B5CC3" w:rsidRDefault="006B5CC3" w:rsidP="006B5CC3">
      <w:pPr>
        <w:spacing w:line="360" w:lineRule="auto"/>
        <w:ind w:firstLine="1440"/>
        <w:rPr>
          <w:sz w:val="26"/>
          <w:szCs w:val="26"/>
        </w:rPr>
      </w:pPr>
      <w:r>
        <w:rPr>
          <w:sz w:val="26"/>
          <w:szCs w:val="26"/>
        </w:rPr>
        <w:t>During</w:t>
      </w:r>
      <w:r w:rsidRPr="006B5CC3">
        <w:rPr>
          <w:sz w:val="26"/>
          <w:szCs w:val="26"/>
        </w:rPr>
        <w:t xml:space="preserve"> the heating months of 2007, </w:t>
      </w:r>
      <w:r w:rsidR="00554E43">
        <w:rPr>
          <w:sz w:val="26"/>
          <w:szCs w:val="26"/>
        </w:rPr>
        <w:t xml:space="preserve">the </w:t>
      </w:r>
      <w:r w:rsidRPr="006B5CC3">
        <w:rPr>
          <w:sz w:val="26"/>
          <w:szCs w:val="26"/>
        </w:rPr>
        <w:t>Complainant’s meter reported the following gas consumption:</w:t>
      </w:r>
    </w:p>
    <w:p w:rsidR="006B5CC3" w:rsidRPr="006B5CC3" w:rsidRDefault="006B5CC3" w:rsidP="006B5CC3">
      <w:pPr>
        <w:spacing w:line="360" w:lineRule="auto"/>
        <w:ind w:firstLine="1440"/>
        <w:rPr>
          <w:sz w:val="26"/>
          <w:szCs w:val="2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854"/>
        <w:gridCol w:w="1800"/>
        <w:gridCol w:w="2340"/>
      </w:tblGrid>
      <w:tr w:rsidR="006B5CC3" w:rsidRPr="006B5CC3" w:rsidTr="00461ED0">
        <w:tc>
          <w:tcPr>
            <w:tcW w:w="1476" w:type="dxa"/>
            <w:shd w:val="clear" w:color="auto" w:fill="auto"/>
          </w:tcPr>
          <w:p w:rsidR="006B5CC3" w:rsidRPr="006B5CC3" w:rsidRDefault="006B5CC3" w:rsidP="00461ED0">
            <w:pPr>
              <w:spacing w:line="360" w:lineRule="auto"/>
              <w:rPr>
                <w:sz w:val="26"/>
                <w:szCs w:val="26"/>
              </w:rPr>
            </w:pPr>
            <w:r w:rsidRPr="006B5CC3">
              <w:rPr>
                <w:sz w:val="26"/>
                <w:szCs w:val="26"/>
              </w:rPr>
              <w:t>Date</w:t>
            </w:r>
          </w:p>
        </w:tc>
        <w:tc>
          <w:tcPr>
            <w:tcW w:w="1854" w:type="dxa"/>
            <w:shd w:val="clear" w:color="auto" w:fill="auto"/>
          </w:tcPr>
          <w:p w:rsidR="006B5CC3" w:rsidRPr="006B5CC3" w:rsidRDefault="006B5CC3" w:rsidP="00461ED0">
            <w:pPr>
              <w:spacing w:line="360" w:lineRule="auto"/>
              <w:rPr>
                <w:sz w:val="26"/>
                <w:szCs w:val="26"/>
              </w:rPr>
            </w:pPr>
            <w:r w:rsidRPr="006B5CC3">
              <w:rPr>
                <w:sz w:val="26"/>
                <w:szCs w:val="26"/>
              </w:rPr>
              <w:t>CCF Usage</w:t>
            </w:r>
          </w:p>
        </w:tc>
        <w:tc>
          <w:tcPr>
            <w:tcW w:w="1800" w:type="dxa"/>
            <w:shd w:val="clear" w:color="auto" w:fill="auto"/>
          </w:tcPr>
          <w:p w:rsidR="006B5CC3" w:rsidRPr="006B5CC3" w:rsidRDefault="006B5CC3" w:rsidP="00461ED0">
            <w:pPr>
              <w:spacing w:line="360" w:lineRule="auto"/>
              <w:rPr>
                <w:sz w:val="26"/>
                <w:szCs w:val="26"/>
              </w:rPr>
            </w:pPr>
            <w:r w:rsidRPr="006B5CC3">
              <w:rPr>
                <w:sz w:val="26"/>
                <w:szCs w:val="26"/>
              </w:rPr>
              <w:t>Heating DDs</w:t>
            </w:r>
          </w:p>
        </w:tc>
        <w:tc>
          <w:tcPr>
            <w:tcW w:w="2340" w:type="dxa"/>
            <w:shd w:val="clear" w:color="auto" w:fill="auto"/>
          </w:tcPr>
          <w:p w:rsidR="006B5CC3" w:rsidRPr="006B5CC3" w:rsidRDefault="006B5CC3" w:rsidP="00461ED0">
            <w:pPr>
              <w:spacing w:line="360" w:lineRule="auto"/>
              <w:rPr>
                <w:sz w:val="26"/>
                <w:szCs w:val="26"/>
              </w:rPr>
            </w:pPr>
            <w:r w:rsidRPr="006B5CC3">
              <w:rPr>
                <w:sz w:val="26"/>
                <w:szCs w:val="26"/>
              </w:rPr>
              <w:t>Transaction Amount</w:t>
            </w:r>
          </w:p>
        </w:tc>
      </w:tr>
      <w:tr w:rsidR="006B5CC3" w:rsidRPr="006B5CC3" w:rsidTr="00461ED0">
        <w:tc>
          <w:tcPr>
            <w:tcW w:w="1476" w:type="dxa"/>
            <w:shd w:val="clear" w:color="auto" w:fill="auto"/>
          </w:tcPr>
          <w:p w:rsidR="006B5CC3" w:rsidRPr="006B5CC3" w:rsidRDefault="006B5CC3" w:rsidP="00461ED0">
            <w:pPr>
              <w:spacing w:line="360" w:lineRule="auto"/>
              <w:rPr>
                <w:sz w:val="26"/>
                <w:szCs w:val="26"/>
              </w:rPr>
            </w:pPr>
            <w:r w:rsidRPr="006B5CC3">
              <w:rPr>
                <w:sz w:val="26"/>
                <w:szCs w:val="26"/>
              </w:rPr>
              <w:t>01/16/2007</w:t>
            </w:r>
          </w:p>
        </w:tc>
        <w:tc>
          <w:tcPr>
            <w:tcW w:w="1854" w:type="dxa"/>
            <w:shd w:val="clear" w:color="auto" w:fill="auto"/>
          </w:tcPr>
          <w:p w:rsidR="006B5CC3" w:rsidRPr="006B5CC3" w:rsidRDefault="006B5CC3" w:rsidP="00461ED0">
            <w:pPr>
              <w:spacing w:line="360" w:lineRule="auto"/>
              <w:rPr>
                <w:sz w:val="26"/>
                <w:szCs w:val="26"/>
              </w:rPr>
            </w:pPr>
            <w:r w:rsidRPr="006B5CC3">
              <w:rPr>
                <w:sz w:val="26"/>
                <w:szCs w:val="26"/>
              </w:rPr>
              <w:t>33</w:t>
            </w:r>
          </w:p>
        </w:tc>
        <w:tc>
          <w:tcPr>
            <w:tcW w:w="1800" w:type="dxa"/>
            <w:shd w:val="clear" w:color="auto" w:fill="auto"/>
          </w:tcPr>
          <w:p w:rsidR="006B5CC3" w:rsidRPr="006B5CC3" w:rsidRDefault="006B5CC3" w:rsidP="00461ED0">
            <w:pPr>
              <w:spacing w:line="360" w:lineRule="auto"/>
              <w:rPr>
                <w:sz w:val="26"/>
                <w:szCs w:val="26"/>
              </w:rPr>
            </w:pPr>
            <w:r w:rsidRPr="006B5CC3">
              <w:rPr>
                <w:sz w:val="26"/>
                <w:szCs w:val="26"/>
              </w:rPr>
              <w:t>643</w:t>
            </w:r>
          </w:p>
        </w:tc>
        <w:tc>
          <w:tcPr>
            <w:tcW w:w="2340" w:type="dxa"/>
            <w:shd w:val="clear" w:color="auto" w:fill="auto"/>
          </w:tcPr>
          <w:p w:rsidR="006B5CC3" w:rsidRPr="006B5CC3" w:rsidRDefault="006B5CC3" w:rsidP="00461ED0">
            <w:pPr>
              <w:spacing w:line="360" w:lineRule="auto"/>
              <w:rPr>
                <w:sz w:val="26"/>
                <w:szCs w:val="26"/>
              </w:rPr>
            </w:pPr>
            <w:r w:rsidRPr="006B5CC3">
              <w:rPr>
                <w:sz w:val="26"/>
                <w:szCs w:val="26"/>
              </w:rPr>
              <w:t>$73.43</w:t>
            </w:r>
          </w:p>
        </w:tc>
      </w:tr>
      <w:tr w:rsidR="006B5CC3" w:rsidRPr="006B5CC3" w:rsidTr="00461ED0">
        <w:trPr>
          <w:trHeight w:val="125"/>
        </w:trPr>
        <w:tc>
          <w:tcPr>
            <w:tcW w:w="1476" w:type="dxa"/>
            <w:shd w:val="clear" w:color="auto" w:fill="auto"/>
          </w:tcPr>
          <w:p w:rsidR="006B5CC3" w:rsidRPr="006B5CC3" w:rsidRDefault="006B5CC3" w:rsidP="00461ED0">
            <w:pPr>
              <w:spacing w:line="360" w:lineRule="auto"/>
              <w:rPr>
                <w:b/>
                <w:sz w:val="26"/>
                <w:szCs w:val="26"/>
              </w:rPr>
            </w:pPr>
            <w:r w:rsidRPr="006B5CC3">
              <w:rPr>
                <w:b/>
                <w:sz w:val="26"/>
                <w:szCs w:val="26"/>
              </w:rPr>
              <w:t>02/13/2007</w:t>
            </w:r>
          </w:p>
        </w:tc>
        <w:tc>
          <w:tcPr>
            <w:tcW w:w="1854" w:type="dxa"/>
            <w:shd w:val="clear" w:color="auto" w:fill="auto"/>
          </w:tcPr>
          <w:p w:rsidR="006B5CC3" w:rsidRPr="006B5CC3" w:rsidRDefault="006B5CC3" w:rsidP="00461ED0">
            <w:pPr>
              <w:spacing w:line="360" w:lineRule="auto"/>
              <w:rPr>
                <w:b/>
                <w:sz w:val="26"/>
                <w:szCs w:val="26"/>
              </w:rPr>
            </w:pPr>
            <w:r w:rsidRPr="006B5CC3">
              <w:rPr>
                <w:b/>
                <w:sz w:val="26"/>
                <w:szCs w:val="26"/>
              </w:rPr>
              <w:t>3</w:t>
            </w:r>
          </w:p>
        </w:tc>
        <w:tc>
          <w:tcPr>
            <w:tcW w:w="1800" w:type="dxa"/>
            <w:shd w:val="clear" w:color="auto" w:fill="auto"/>
          </w:tcPr>
          <w:p w:rsidR="006B5CC3" w:rsidRPr="006B5CC3" w:rsidRDefault="006B5CC3" w:rsidP="00461ED0">
            <w:pPr>
              <w:spacing w:line="360" w:lineRule="auto"/>
              <w:rPr>
                <w:b/>
                <w:sz w:val="26"/>
                <w:szCs w:val="26"/>
              </w:rPr>
            </w:pPr>
            <w:r w:rsidRPr="006B5CC3">
              <w:rPr>
                <w:b/>
                <w:sz w:val="26"/>
                <w:szCs w:val="26"/>
              </w:rPr>
              <w:t>1071</w:t>
            </w:r>
          </w:p>
        </w:tc>
        <w:tc>
          <w:tcPr>
            <w:tcW w:w="2340" w:type="dxa"/>
            <w:shd w:val="clear" w:color="auto" w:fill="auto"/>
          </w:tcPr>
          <w:p w:rsidR="006B5CC3" w:rsidRPr="006B5CC3" w:rsidRDefault="006B5CC3" w:rsidP="00461ED0">
            <w:pPr>
              <w:spacing w:line="360" w:lineRule="auto"/>
              <w:rPr>
                <w:b/>
                <w:sz w:val="26"/>
                <w:szCs w:val="26"/>
              </w:rPr>
            </w:pPr>
            <w:r w:rsidRPr="006B5CC3">
              <w:rPr>
                <w:b/>
                <w:sz w:val="26"/>
                <w:szCs w:val="26"/>
              </w:rPr>
              <w:t>$17.28</w:t>
            </w:r>
          </w:p>
        </w:tc>
      </w:tr>
      <w:tr w:rsidR="006B5CC3" w:rsidRPr="006B5CC3" w:rsidTr="00461ED0">
        <w:tc>
          <w:tcPr>
            <w:tcW w:w="1476" w:type="dxa"/>
            <w:shd w:val="clear" w:color="auto" w:fill="auto"/>
          </w:tcPr>
          <w:p w:rsidR="006B5CC3" w:rsidRPr="006B5CC3" w:rsidRDefault="006B5CC3" w:rsidP="00461ED0">
            <w:pPr>
              <w:spacing w:line="360" w:lineRule="auto"/>
              <w:rPr>
                <w:sz w:val="26"/>
                <w:szCs w:val="26"/>
              </w:rPr>
            </w:pPr>
            <w:r w:rsidRPr="006B5CC3">
              <w:rPr>
                <w:sz w:val="26"/>
                <w:szCs w:val="26"/>
              </w:rPr>
              <w:t>03/14/2007</w:t>
            </w:r>
          </w:p>
        </w:tc>
        <w:tc>
          <w:tcPr>
            <w:tcW w:w="1854" w:type="dxa"/>
            <w:shd w:val="clear" w:color="auto" w:fill="auto"/>
          </w:tcPr>
          <w:p w:rsidR="006B5CC3" w:rsidRPr="006B5CC3" w:rsidRDefault="006B5CC3" w:rsidP="00461ED0">
            <w:pPr>
              <w:spacing w:line="360" w:lineRule="auto"/>
              <w:rPr>
                <w:sz w:val="26"/>
                <w:szCs w:val="26"/>
              </w:rPr>
            </w:pPr>
            <w:r w:rsidRPr="006B5CC3">
              <w:rPr>
                <w:sz w:val="26"/>
                <w:szCs w:val="26"/>
              </w:rPr>
              <w:t>68</w:t>
            </w:r>
          </w:p>
        </w:tc>
        <w:tc>
          <w:tcPr>
            <w:tcW w:w="1800" w:type="dxa"/>
            <w:shd w:val="clear" w:color="auto" w:fill="auto"/>
          </w:tcPr>
          <w:p w:rsidR="006B5CC3" w:rsidRPr="006B5CC3" w:rsidRDefault="006B5CC3" w:rsidP="00461ED0">
            <w:pPr>
              <w:spacing w:line="360" w:lineRule="auto"/>
              <w:rPr>
                <w:sz w:val="26"/>
                <w:szCs w:val="26"/>
              </w:rPr>
            </w:pPr>
            <w:r w:rsidRPr="006B5CC3">
              <w:rPr>
                <w:sz w:val="26"/>
                <w:szCs w:val="26"/>
              </w:rPr>
              <w:t>902</w:t>
            </w:r>
          </w:p>
        </w:tc>
        <w:tc>
          <w:tcPr>
            <w:tcW w:w="2340" w:type="dxa"/>
            <w:shd w:val="clear" w:color="auto" w:fill="auto"/>
          </w:tcPr>
          <w:p w:rsidR="006B5CC3" w:rsidRPr="006B5CC3" w:rsidRDefault="006B5CC3" w:rsidP="00461ED0">
            <w:pPr>
              <w:spacing w:line="360" w:lineRule="auto"/>
              <w:rPr>
                <w:sz w:val="26"/>
                <w:szCs w:val="26"/>
              </w:rPr>
            </w:pPr>
            <w:r w:rsidRPr="006B5CC3">
              <w:rPr>
                <w:sz w:val="26"/>
                <w:szCs w:val="26"/>
              </w:rPr>
              <w:t>$127.76</w:t>
            </w:r>
          </w:p>
        </w:tc>
      </w:tr>
      <w:tr w:rsidR="006B5CC3" w:rsidRPr="006B5CC3" w:rsidTr="00461ED0">
        <w:tc>
          <w:tcPr>
            <w:tcW w:w="1476" w:type="dxa"/>
            <w:shd w:val="clear" w:color="auto" w:fill="auto"/>
          </w:tcPr>
          <w:p w:rsidR="006B5CC3" w:rsidRPr="006B5CC3" w:rsidRDefault="006B5CC3" w:rsidP="00461ED0">
            <w:pPr>
              <w:spacing w:line="360" w:lineRule="auto"/>
              <w:rPr>
                <w:sz w:val="26"/>
                <w:szCs w:val="26"/>
              </w:rPr>
            </w:pPr>
            <w:r w:rsidRPr="006B5CC3">
              <w:rPr>
                <w:sz w:val="26"/>
                <w:szCs w:val="26"/>
              </w:rPr>
              <w:t>11/09/2007</w:t>
            </w:r>
          </w:p>
        </w:tc>
        <w:tc>
          <w:tcPr>
            <w:tcW w:w="1854" w:type="dxa"/>
            <w:shd w:val="clear" w:color="auto" w:fill="auto"/>
          </w:tcPr>
          <w:p w:rsidR="006B5CC3" w:rsidRPr="006B5CC3" w:rsidRDefault="006B5CC3" w:rsidP="00461ED0">
            <w:pPr>
              <w:spacing w:line="360" w:lineRule="auto"/>
              <w:rPr>
                <w:sz w:val="26"/>
                <w:szCs w:val="26"/>
              </w:rPr>
            </w:pPr>
            <w:r w:rsidRPr="006B5CC3">
              <w:rPr>
                <w:sz w:val="26"/>
                <w:szCs w:val="26"/>
              </w:rPr>
              <w:t>13</w:t>
            </w:r>
          </w:p>
        </w:tc>
        <w:tc>
          <w:tcPr>
            <w:tcW w:w="1800" w:type="dxa"/>
            <w:shd w:val="clear" w:color="auto" w:fill="auto"/>
          </w:tcPr>
          <w:p w:rsidR="006B5CC3" w:rsidRPr="006B5CC3" w:rsidRDefault="006B5CC3" w:rsidP="00461ED0">
            <w:pPr>
              <w:spacing w:line="360" w:lineRule="auto"/>
              <w:rPr>
                <w:sz w:val="26"/>
                <w:szCs w:val="26"/>
              </w:rPr>
            </w:pPr>
            <w:r w:rsidRPr="006B5CC3">
              <w:rPr>
                <w:sz w:val="26"/>
                <w:szCs w:val="26"/>
              </w:rPr>
              <w:t>247</w:t>
            </w:r>
          </w:p>
        </w:tc>
        <w:tc>
          <w:tcPr>
            <w:tcW w:w="2340" w:type="dxa"/>
            <w:shd w:val="clear" w:color="auto" w:fill="auto"/>
          </w:tcPr>
          <w:p w:rsidR="006B5CC3" w:rsidRPr="006B5CC3" w:rsidRDefault="006B5CC3" w:rsidP="00461ED0">
            <w:pPr>
              <w:spacing w:line="360" w:lineRule="auto"/>
              <w:rPr>
                <w:sz w:val="26"/>
                <w:szCs w:val="26"/>
              </w:rPr>
            </w:pPr>
            <w:r w:rsidRPr="006B5CC3">
              <w:rPr>
                <w:sz w:val="26"/>
                <w:szCs w:val="26"/>
              </w:rPr>
              <w:t>$34.64</w:t>
            </w:r>
          </w:p>
        </w:tc>
      </w:tr>
      <w:tr w:rsidR="006B5CC3" w:rsidRPr="006B5CC3" w:rsidTr="00461ED0">
        <w:tc>
          <w:tcPr>
            <w:tcW w:w="1476" w:type="dxa"/>
            <w:shd w:val="clear" w:color="auto" w:fill="auto"/>
          </w:tcPr>
          <w:p w:rsidR="006B5CC3" w:rsidRPr="006B5CC3" w:rsidRDefault="006B5CC3" w:rsidP="00461ED0">
            <w:pPr>
              <w:spacing w:line="360" w:lineRule="auto"/>
              <w:rPr>
                <w:sz w:val="26"/>
                <w:szCs w:val="26"/>
              </w:rPr>
            </w:pPr>
            <w:r w:rsidRPr="006B5CC3">
              <w:rPr>
                <w:sz w:val="26"/>
                <w:szCs w:val="26"/>
              </w:rPr>
              <w:t>12/12/2007</w:t>
            </w:r>
          </w:p>
        </w:tc>
        <w:tc>
          <w:tcPr>
            <w:tcW w:w="1854" w:type="dxa"/>
            <w:shd w:val="clear" w:color="auto" w:fill="auto"/>
          </w:tcPr>
          <w:p w:rsidR="006B5CC3" w:rsidRPr="006B5CC3" w:rsidRDefault="006B5CC3" w:rsidP="00461ED0">
            <w:pPr>
              <w:spacing w:line="360" w:lineRule="auto"/>
              <w:rPr>
                <w:sz w:val="26"/>
                <w:szCs w:val="26"/>
              </w:rPr>
            </w:pPr>
            <w:r w:rsidRPr="006B5CC3">
              <w:rPr>
                <w:sz w:val="26"/>
                <w:szCs w:val="26"/>
              </w:rPr>
              <w:t>28</w:t>
            </w:r>
          </w:p>
        </w:tc>
        <w:tc>
          <w:tcPr>
            <w:tcW w:w="1800" w:type="dxa"/>
            <w:shd w:val="clear" w:color="auto" w:fill="auto"/>
          </w:tcPr>
          <w:p w:rsidR="006B5CC3" w:rsidRPr="006B5CC3" w:rsidRDefault="006B5CC3" w:rsidP="00461ED0">
            <w:pPr>
              <w:spacing w:line="360" w:lineRule="auto"/>
              <w:rPr>
                <w:sz w:val="26"/>
                <w:szCs w:val="26"/>
              </w:rPr>
            </w:pPr>
            <w:r w:rsidRPr="006B5CC3">
              <w:rPr>
                <w:sz w:val="26"/>
                <w:szCs w:val="26"/>
              </w:rPr>
              <w:t>765</w:t>
            </w:r>
          </w:p>
        </w:tc>
        <w:tc>
          <w:tcPr>
            <w:tcW w:w="2340" w:type="dxa"/>
            <w:shd w:val="clear" w:color="auto" w:fill="auto"/>
          </w:tcPr>
          <w:p w:rsidR="006B5CC3" w:rsidRPr="006B5CC3" w:rsidRDefault="006B5CC3" w:rsidP="00461ED0">
            <w:pPr>
              <w:spacing w:line="360" w:lineRule="auto"/>
              <w:rPr>
                <w:sz w:val="26"/>
                <w:szCs w:val="26"/>
              </w:rPr>
            </w:pPr>
            <w:r w:rsidRPr="006B5CC3">
              <w:rPr>
                <w:sz w:val="26"/>
                <w:szCs w:val="26"/>
              </w:rPr>
              <w:t>$60.85</w:t>
            </w:r>
          </w:p>
        </w:tc>
      </w:tr>
    </w:tbl>
    <w:p w:rsidR="006B5CC3" w:rsidRPr="006B5CC3" w:rsidRDefault="006B5CC3" w:rsidP="006B5CC3">
      <w:pPr>
        <w:spacing w:line="360" w:lineRule="auto"/>
        <w:rPr>
          <w:sz w:val="26"/>
          <w:szCs w:val="26"/>
        </w:rPr>
      </w:pPr>
    </w:p>
    <w:p w:rsidR="006B5CC3" w:rsidRPr="006B5CC3" w:rsidRDefault="006B5CC3" w:rsidP="006B5CC3">
      <w:pPr>
        <w:spacing w:line="360" w:lineRule="auto"/>
        <w:rPr>
          <w:sz w:val="26"/>
          <w:szCs w:val="26"/>
        </w:rPr>
      </w:pPr>
      <w:r>
        <w:rPr>
          <w:sz w:val="26"/>
          <w:szCs w:val="26"/>
        </w:rPr>
        <w:t xml:space="preserve">I.D. at 5; </w:t>
      </w:r>
      <w:r w:rsidRPr="006B5CC3">
        <w:rPr>
          <w:sz w:val="26"/>
          <w:szCs w:val="26"/>
        </w:rPr>
        <w:t>Tr. 15, Exh</w:t>
      </w:r>
      <w:r>
        <w:rPr>
          <w:sz w:val="26"/>
          <w:szCs w:val="26"/>
        </w:rPr>
        <w:t>.</w:t>
      </w:r>
      <w:r w:rsidRPr="006B5CC3">
        <w:rPr>
          <w:sz w:val="26"/>
          <w:szCs w:val="26"/>
        </w:rPr>
        <w:t xml:space="preserve"> 1.</w:t>
      </w:r>
    </w:p>
    <w:p w:rsidR="00C635A4" w:rsidRPr="006B5CC3" w:rsidRDefault="00C635A4" w:rsidP="00FE333A">
      <w:pPr>
        <w:widowControl/>
        <w:spacing w:line="360" w:lineRule="auto"/>
        <w:rPr>
          <w:sz w:val="26"/>
          <w:szCs w:val="26"/>
        </w:rPr>
      </w:pPr>
    </w:p>
    <w:p w:rsidR="00554E43" w:rsidRDefault="00554E43" w:rsidP="00554E43">
      <w:pPr>
        <w:spacing w:line="360" w:lineRule="auto"/>
        <w:ind w:firstLine="1440"/>
        <w:rPr>
          <w:sz w:val="26"/>
          <w:szCs w:val="26"/>
        </w:rPr>
      </w:pPr>
      <w:r w:rsidRPr="00554E43">
        <w:rPr>
          <w:sz w:val="26"/>
          <w:szCs w:val="26"/>
        </w:rPr>
        <w:t xml:space="preserve">In 2009, </w:t>
      </w:r>
      <w:r>
        <w:rPr>
          <w:sz w:val="26"/>
          <w:szCs w:val="26"/>
        </w:rPr>
        <w:t xml:space="preserve">the </w:t>
      </w:r>
      <w:r w:rsidRPr="00554E43">
        <w:rPr>
          <w:sz w:val="26"/>
          <w:szCs w:val="26"/>
        </w:rPr>
        <w:t>Complainant’s meter reported the following gas consumption:</w:t>
      </w:r>
    </w:p>
    <w:p w:rsidR="00554E43" w:rsidRPr="00554E43" w:rsidRDefault="00554E43" w:rsidP="00554E43">
      <w:pPr>
        <w:spacing w:line="360" w:lineRule="auto"/>
        <w:ind w:firstLine="1440"/>
        <w:rPr>
          <w:sz w:val="26"/>
          <w:szCs w:val="2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854"/>
        <w:gridCol w:w="1800"/>
        <w:gridCol w:w="2340"/>
      </w:tblGrid>
      <w:tr w:rsidR="00554E43" w:rsidRPr="00554E43" w:rsidTr="00461ED0">
        <w:tc>
          <w:tcPr>
            <w:tcW w:w="1476" w:type="dxa"/>
            <w:shd w:val="clear" w:color="auto" w:fill="auto"/>
          </w:tcPr>
          <w:p w:rsidR="00554E43" w:rsidRPr="00554E43" w:rsidRDefault="00554E43" w:rsidP="00461ED0">
            <w:pPr>
              <w:spacing w:line="360" w:lineRule="auto"/>
              <w:rPr>
                <w:sz w:val="26"/>
                <w:szCs w:val="26"/>
              </w:rPr>
            </w:pPr>
            <w:r w:rsidRPr="00554E43">
              <w:rPr>
                <w:sz w:val="26"/>
                <w:szCs w:val="26"/>
              </w:rPr>
              <w:t>Date</w:t>
            </w:r>
          </w:p>
        </w:tc>
        <w:tc>
          <w:tcPr>
            <w:tcW w:w="1854" w:type="dxa"/>
            <w:shd w:val="clear" w:color="auto" w:fill="auto"/>
          </w:tcPr>
          <w:p w:rsidR="00554E43" w:rsidRPr="00554E43" w:rsidRDefault="00554E43" w:rsidP="00461ED0">
            <w:pPr>
              <w:spacing w:line="360" w:lineRule="auto"/>
              <w:rPr>
                <w:sz w:val="26"/>
                <w:szCs w:val="26"/>
              </w:rPr>
            </w:pPr>
            <w:r w:rsidRPr="00554E43">
              <w:rPr>
                <w:sz w:val="26"/>
                <w:szCs w:val="26"/>
              </w:rPr>
              <w:t>CCF Usage</w:t>
            </w:r>
          </w:p>
        </w:tc>
        <w:tc>
          <w:tcPr>
            <w:tcW w:w="1800" w:type="dxa"/>
            <w:shd w:val="clear" w:color="auto" w:fill="auto"/>
          </w:tcPr>
          <w:p w:rsidR="00554E43" w:rsidRPr="00554E43" w:rsidRDefault="00554E43" w:rsidP="00461ED0">
            <w:pPr>
              <w:spacing w:line="360" w:lineRule="auto"/>
              <w:rPr>
                <w:sz w:val="26"/>
                <w:szCs w:val="26"/>
              </w:rPr>
            </w:pPr>
            <w:r w:rsidRPr="00554E43">
              <w:rPr>
                <w:sz w:val="26"/>
                <w:szCs w:val="26"/>
              </w:rPr>
              <w:t>Heating DDs</w:t>
            </w:r>
          </w:p>
        </w:tc>
        <w:tc>
          <w:tcPr>
            <w:tcW w:w="2340" w:type="dxa"/>
            <w:shd w:val="clear" w:color="auto" w:fill="auto"/>
          </w:tcPr>
          <w:p w:rsidR="00554E43" w:rsidRPr="00554E43" w:rsidRDefault="00554E43" w:rsidP="00461ED0">
            <w:pPr>
              <w:spacing w:line="360" w:lineRule="auto"/>
              <w:rPr>
                <w:sz w:val="26"/>
                <w:szCs w:val="26"/>
              </w:rPr>
            </w:pPr>
            <w:r w:rsidRPr="00554E43">
              <w:rPr>
                <w:sz w:val="26"/>
                <w:szCs w:val="26"/>
              </w:rPr>
              <w:t>Transaction Amount</w:t>
            </w:r>
          </w:p>
        </w:tc>
      </w:tr>
      <w:tr w:rsidR="00554E43" w:rsidRPr="00554E43" w:rsidTr="00461ED0">
        <w:tc>
          <w:tcPr>
            <w:tcW w:w="1476" w:type="dxa"/>
            <w:shd w:val="clear" w:color="auto" w:fill="auto"/>
          </w:tcPr>
          <w:p w:rsidR="00554E43" w:rsidRPr="00554E43" w:rsidRDefault="00554E43" w:rsidP="00461ED0">
            <w:pPr>
              <w:spacing w:line="360" w:lineRule="auto"/>
              <w:rPr>
                <w:b/>
                <w:sz w:val="26"/>
                <w:szCs w:val="26"/>
              </w:rPr>
            </w:pPr>
            <w:r w:rsidRPr="00554E43">
              <w:rPr>
                <w:b/>
                <w:sz w:val="26"/>
                <w:szCs w:val="26"/>
              </w:rPr>
              <w:t>03/12/2009</w:t>
            </w:r>
          </w:p>
        </w:tc>
        <w:tc>
          <w:tcPr>
            <w:tcW w:w="1854" w:type="dxa"/>
            <w:shd w:val="clear" w:color="auto" w:fill="auto"/>
          </w:tcPr>
          <w:p w:rsidR="00554E43" w:rsidRPr="00554E43" w:rsidRDefault="00554E43" w:rsidP="00461ED0">
            <w:pPr>
              <w:spacing w:line="360" w:lineRule="auto"/>
              <w:rPr>
                <w:b/>
                <w:sz w:val="26"/>
                <w:szCs w:val="26"/>
              </w:rPr>
            </w:pPr>
            <w:r w:rsidRPr="00554E43">
              <w:rPr>
                <w:b/>
                <w:sz w:val="26"/>
                <w:szCs w:val="26"/>
              </w:rPr>
              <w:t>10</w:t>
            </w:r>
          </w:p>
        </w:tc>
        <w:tc>
          <w:tcPr>
            <w:tcW w:w="1800" w:type="dxa"/>
            <w:shd w:val="clear" w:color="auto" w:fill="auto"/>
          </w:tcPr>
          <w:p w:rsidR="00554E43" w:rsidRPr="00554E43" w:rsidRDefault="00554E43" w:rsidP="00461ED0">
            <w:pPr>
              <w:spacing w:line="360" w:lineRule="auto"/>
              <w:rPr>
                <w:b/>
                <w:sz w:val="26"/>
                <w:szCs w:val="26"/>
              </w:rPr>
            </w:pPr>
            <w:r w:rsidRPr="00554E43">
              <w:rPr>
                <w:b/>
                <w:sz w:val="26"/>
                <w:szCs w:val="26"/>
              </w:rPr>
              <w:t>739</w:t>
            </w:r>
          </w:p>
        </w:tc>
        <w:tc>
          <w:tcPr>
            <w:tcW w:w="2340" w:type="dxa"/>
            <w:shd w:val="clear" w:color="auto" w:fill="auto"/>
          </w:tcPr>
          <w:p w:rsidR="00554E43" w:rsidRPr="00554E43" w:rsidRDefault="00554E43" w:rsidP="00461ED0">
            <w:pPr>
              <w:spacing w:line="360" w:lineRule="auto"/>
              <w:rPr>
                <w:b/>
                <w:sz w:val="26"/>
                <w:szCs w:val="26"/>
              </w:rPr>
            </w:pPr>
            <w:r w:rsidRPr="00554E43">
              <w:rPr>
                <w:b/>
                <w:sz w:val="26"/>
                <w:szCs w:val="26"/>
              </w:rPr>
              <w:t>$30.36</w:t>
            </w:r>
          </w:p>
        </w:tc>
      </w:tr>
      <w:tr w:rsidR="00554E43" w:rsidRPr="00554E43" w:rsidTr="00461ED0">
        <w:tc>
          <w:tcPr>
            <w:tcW w:w="1476" w:type="dxa"/>
            <w:shd w:val="clear" w:color="auto" w:fill="auto"/>
          </w:tcPr>
          <w:p w:rsidR="00554E43" w:rsidRPr="00554E43" w:rsidRDefault="00554E43" w:rsidP="00461ED0">
            <w:pPr>
              <w:spacing w:line="360" w:lineRule="auto"/>
              <w:rPr>
                <w:sz w:val="26"/>
                <w:szCs w:val="26"/>
              </w:rPr>
            </w:pPr>
            <w:r w:rsidRPr="00554E43">
              <w:rPr>
                <w:sz w:val="26"/>
                <w:szCs w:val="26"/>
              </w:rPr>
              <w:t>11/09/2009</w:t>
            </w:r>
          </w:p>
        </w:tc>
        <w:tc>
          <w:tcPr>
            <w:tcW w:w="1854" w:type="dxa"/>
            <w:shd w:val="clear" w:color="auto" w:fill="auto"/>
          </w:tcPr>
          <w:p w:rsidR="00554E43" w:rsidRPr="00554E43" w:rsidRDefault="00554E43" w:rsidP="00461ED0">
            <w:pPr>
              <w:spacing w:line="360" w:lineRule="auto"/>
              <w:rPr>
                <w:sz w:val="26"/>
                <w:szCs w:val="26"/>
              </w:rPr>
            </w:pPr>
            <w:r w:rsidRPr="00554E43">
              <w:rPr>
                <w:sz w:val="26"/>
                <w:szCs w:val="26"/>
              </w:rPr>
              <w:t>14</w:t>
            </w:r>
          </w:p>
        </w:tc>
        <w:tc>
          <w:tcPr>
            <w:tcW w:w="1800" w:type="dxa"/>
            <w:shd w:val="clear" w:color="auto" w:fill="auto"/>
          </w:tcPr>
          <w:p w:rsidR="00554E43" w:rsidRPr="00554E43" w:rsidRDefault="00554E43" w:rsidP="00461ED0">
            <w:pPr>
              <w:spacing w:line="360" w:lineRule="auto"/>
              <w:rPr>
                <w:sz w:val="26"/>
                <w:szCs w:val="26"/>
              </w:rPr>
            </w:pPr>
            <w:r w:rsidRPr="00554E43">
              <w:rPr>
                <w:sz w:val="26"/>
                <w:szCs w:val="26"/>
              </w:rPr>
              <w:t>322</w:t>
            </w:r>
          </w:p>
        </w:tc>
        <w:tc>
          <w:tcPr>
            <w:tcW w:w="2340" w:type="dxa"/>
            <w:shd w:val="clear" w:color="auto" w:fill="auto"/>
          </w:tcPr>
          <w:p w:rsidR="00554E43" w:rsidRPr="00554E43" w:rsidRDefault="00554E43" w:rsidP="00461ED0">
            <w:pPr>
              <w:spacing w:line="360" w:lineRule="auto"/>
              <w:rPr>
                <w:sz w:val="26"/>
                <w:szCs w:val="26"/>
              </w:rPr>
            </w:pPr>
            <w:r w:rsidRPr="00554E43">
              <w:rPr>
                <w:sz w:val="26"/>
                <w:szCs w:val="26"/>
              </w:rPr>
              <w:t>$33.24</w:t>
            </w:r>
          </w:p>
        </w:tc>
      </w:tr>
      <w:tr w:rsidR="00554E43" w:rsidRPr="00554E43" w:rsidTr="00461ED0">
        <w:tc>
          <w:tcPr>
            <w:tcW w:w="1476" w:type="dxa"/>
            <w:shd w:val="clear" w:color="auto" w:fill="auto"/>
          </w:tcPr>
          <w:p w:rsidR="00554E43" w:rsidRPr="00554E43" w:rsidRDefault="00554E43" w:rsidP="00461ED0">
            <w:pPr>
              <w:spacing w:line="360" w:lineRule="auto"/>
              <w:rPr>
                <w:b/>
                <w:sz w:val="26"/>
                <w:szCs w:val="26"/>
              </w:rPr>
            </w:pPr>
            <w:r w:rsidRPr="00554E43">
              <w:rPr>
                <w:b/>
                <w:sz w:val="26"/>
                <w:szCs w:val="26"/>
              </w:rPr>
              <w:t>12/11/2009</w:t>
            </w:r>
          </w:p>
        </w:tc>
        <w:tc>
          <w:tcPr>
            <w:tcW w:w="1854" w:type="dxa"/>
            <w:shd w:val="clear" w:color="auto" w:fill="auto"/>
          </w:tcPr>
          <w:p w:rsidR="00554E43" w:rsidRPr="00554E43" w:rsidRDefault="00554E43" w:rsidP="00461ED0">
            <w:pPr>
              <w:spacing w:line="360" w:lineRule="auto"/>
              <w:rPr>
                <w:b/>
                <w:sz w:val="26"/>
                <w:szCs w:val="26"/>
              </w:rPr>
            </w:pPr>
            <w:r w:rsidRPr="00554E43">
              <w:rPr>
                <w:b/>
                <w:sz w:val="26"/>
                <w:szCs w:val="26"/>
              </w:rPr>
              <w:t>0</w:t>
            </w:r>
          </w:p>
        </w:tc>
        <w:tc>
          <w:tcPr>
            <w:tcW w:w="1800" w:type="dxa"/>
            <w:shd w:val="clear" w:color="auto" w:fill="auto"/>
          </w:tcPr>
          <w:p w:rsidR="00554E43" w:rsidRPr="00554E43" w:rsidRDefault="00554E43" w:rsidP="00461ED0">
            <w:pPr>
              <w:spacing w:line="360" w:lineRule="auto"/>
              <w:rPr>
                <w:b/>
                <w:sz w:val="26"/>
                <w:szCs w:val="26"/>
              </w:rPr>
            </w:pPr>
            <w:r w:rsidRPr="00554E43">
              <w:rPr>
                <w:b/>
                <w:sz w:val="26"/>
                <w:szCs w:val="26"/>
              </w:rPr>
              <w:t>522</w:t>
            </w:r>
          </w:p>
        </w:tc>
        <w:tc>
          <w:tcPr>
            <w:tcW w:w="2340" w:type="dxa"/>
            <w:shd w:val="clear" w:color="auto" w:fill="auto"/>
          </w:tcPr>
          <w:p w:rsidR="00554E43" w:rsidRPr="00554E43" w:rsidRDefault="00554E43" w:rsidP="00461ED0">
            <w:pPr>
              <w:spacing w:line="360" w:lineRule="auto"/>
              <w:rPr>
                <w:b/>
                <w:sz w:val="26"/>
                <w:szCs w:val="26"/>
              </w:rPr>
            </w:pPr>
            <w:r w:rsidRPr="00554E43">
              <w:rPr>
                <w:b/>
                <w:sz w:val="26"/>
                <w:szCs w:val="26"/>
              </w:rPr>
              <w:t>$12.00</w:t>
            </w:r>
          </w:p>
        </w:tc>
      </w:tr>
    </w:tbl>
    <w:p w:rsidR="00554E43" w:rsidRPr="00554E43" w:rsidRDefault="00554E43" w:rsidP="00554E43">
      <w:pPr>
        <w:spacing w:line="360" w:lineRule="auto"/>
        <w:rPr>
          <w:sz w:val="26"/>
          <w:szCs w:val="26"/>
        </w:rPr>
      </w:pPr>
    </w:p>
    <w:p w:rsidR="00D2444D" w:rsidRDefault="00554E43" w:rsidP="007F193A">
      <w:pPr>
        <w:spacing w:line="360" w:lineRule="auto"/>
        <w:ind w:left="1440" w:hanging="1440"/>
        <w:rPr>
          <w:sz w:val="26"/>
          <w:szCs w:val="26"/>
        </w:rPr>
      </w:pPr>
      <w:r>
        <w:rPr>
          <w:sz w:val="26"/>
          <w:szCs w:val="26"/>
        </w:rPr>
        <w:t xml:space="preserve">I.D. at 6; Tr. 15, </w:t>
      </w:r>
      <w:r w:rsidRPr="00554E43">
        <w:rPr>
          <w:sz w:val="26"/>
          <w:szCs w:val="26"/>
        </w:rPr>
        <w:t>Exh</w:t>
      </w:r>
      <w:r>
        <w:rPr>
          <w:sz w:val="26"/>
          <w:szCs w:val="26"/>
        </w:rPr>
        <w:t>.</w:t>
      </w:r>
      <w:r w:rsidRPr="00554E43">
        <w:rPr>
          <w:sz w:val="26"/>
          <w:szCs w:val="26"/>
        </w:rPr>
        <w:t xml:space="preserve"> 1.</w:t>
      </w:r>
    </w:p>
    <w:p w:rsidR="007B6FD8" w:rsidRDefault="00554E43" w:rsidP="007F193A">
      <w:pPr>
        <w:spacing w:line="360" w:lineRule="auto"/>
        <w:ind w:left="1440" w:hanging="1440"/>
        <w:rPr>
          <w:sz w:val="26"/>
          <w:szCs w:val="26"/>
        </w:rPr>
      </w:pPr>
      <w:r>
        <w:rPr>
          <w:sz w:val="26"/>
          <w:szCs w:val="26"/>
        </w:rPr>
        <w:br/>
      </w:r>
      <w:r w:rsidR="007B6FD8" w:rsidRPr="007B6FD8">
        <w:rPr>
          <w:sz w:val="26"/>
          <w:szCs w:val="26"/>
        </w:rPr>
        <w:t xml:space="preserve">In 2010, </w:t>
      </w:r>
      <w:r w:rsidR="007B6FD8">
        <w:rPr>
          <w:sz w:val="26"/>
          <w:szCs w:val="26"/>
        </w:rPr>
        <w:t xml:space="preserve">the </w:t>
      </w:r>
      <w:r w:rsidR="007B6FD8" w:rsidRPr="007B6FD8">
        <w:rPr>
          <w:sz w:val="26"/>
          <w:szCs w:val="26"/>
        </w:rPr>
        <w:t>Complainant’s meter reported the following gas consumption:</w:t>
      </w:r>
    </w:p>
    <w:p w:rsidR="007B6FD8" w:rsidRPr="007B6FD8" w:rsidRDefault="007B6FD8" w:rsidP="007B6FD8">
      <w:pPr>
        <w:spacing w:line="360" w:lineRule="auto"/>
        <w:ind w:left="1440"/>
        <w:rPr>
          <w:sz w:val="26"/>
          <w:szCs w:val="2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854"/>
        <w:gridCol w:w="1800"/>
        <w:gridCol w:w="2340"/>
      </w:tblGrid>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lastRenderedPageBreak/>
              <w:t>Date</w:t>
            </w:r>
          </w:p>
        </w:tc>
        <w:tc>
          <w:tcPr>
            <w:tcW w:w="1854" w:type="dxa"/>
            <w:shd w:val="clear" w:color="auto" w:fill="auto"/>
          </w:tcPr>
          <w:p w:rsidR="007B6FD8" w:rsidRPr="007B6FD8" w:rsidRDefault="007B6FD8" w:rsidP="00461ED0">
            <w:pPr>
              <w:spacing w:line="360" w:lineRule="auto"/>
              <w:rPr>
                <w:sz w:val="26"/>
                <w:szCs w:val="26"/>
              </w:rPr>
            </w:pPr>
            <w:r w:rsidRPr="007B6FD8">
              <w:rPr>
                <w:sz w:val="26"/>
                <w:szCs w:val="26"/>
              </w:rPr>
              <w:t>CCF Usage</w:t>
            </w:r>
          </w:p>
        </w:tc>
        <w:tc>
          <w:tcPr>
            <w:tcW w:w="1800" w:type="dxa"/>
            <w:shd w:val="clear" w:color="auto" w:fill="auto"/>
          </w:tcPr>
          <w:p w:rsidR="007B6FD8" w:rsidRPr="007B6FD8" w:rsidRDefault="007B6FD8" w:rsidP="00461ED0">
            <w:pPr>
              <w:spacing w:line="360" w:lineRule="auto"/>
              <w:rPr>
                <w:sz w:val="26"/>
                <w:szCs w:val="26"/>
              </w:rPr>
            </w:pPr>
            <w:r w:rsidRPr="007B6FD8">
              <w:rPr>
                <w:sz w:val="26"/>
                <w:szCs w:val="26"/>
              </w:rPr>
              <w:t>Heating DDs</w:t>
            </w:r>
          </w:p>
        </w:tc>
        <w:tc>
          <w:tcPr>
            <w:tcW w:w="2340" w:type="dxa"/>
            <w:shd w:val="clear" w:color="auto" w:fill="auto"/>
          </w:tcPr>
          <w:p w:rsidR="007B6FD8" w:rsidRPr="007B6FD8" w:rsidRDefault="007B6FD8" w:rsidP="00461ED0">
            <w:pPr>
              <w:spacing w:line="360" w:lineRule="auto"/>
              <w:rPr>
                <w:sz w:val="26"/>
                <w:szCs w:val="26"/>
              </w:rPr>
            </w:pPr>
            <w:r w:rsidRPr="007B6FD8">
              <w:rPr>
                <w:sz w:val="26"/>
                <w:szCs w:val="26"/>
              </w:rPr>
              <w:t>Transaction Amount</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01/12/2010</w:t>
            </w:r>
          </w:p>
        </w:tc>
        <w:tc>
          <w:tcPr>
            <w:tcW w:w="1854" w:type="dxa"/>
            <w:shd w:val="clear" w:color="auto" w:fill="auto"/>
          </w:tcPr>
          <w:p w:rsidR="007B6FD8" w:rsidRPr="007B6FD8" w:rsidRDefault="007B6FD8" w:rsidP="00461ED0">
            <w:pPr>
              <w:spacing w:line="360" w:lineRule="auto"/>
              <w:rPr>
                <w:sz w:val="26"/>
                <w:szCs w:val="26"/>
              </w:rPr>
            </w:pPr>
            <w:r w:rsidRPr="007B6FD8">
              <w:rPr>
                <w:sz w:val="26"/>
                <w:szCs w:val="26"/>
              </w:rPr>
              <w:t>77</w:t>
            </w:r>
          </w:p>
        </w:tc>
        <w:tc>
          <w:tcPr>
            <w:tcW w:w="1800" w:type="dxa"/>
            <w:shd w:val="clear" w:color="auto" w:fill="auto"/>
          </w:tcPr>
          <w:p w:rsidR="007B6FD8" w:rsidRPr="007B6FD8" w:rsidRDefault="007B6FD8" w:rsidP="00461ED0">
            <w:pPr>
              <w:spacing w:line="360" w:lineRule="auto"/>
              <w:rPr>
                <w:sz w:val="26"/>
                <w:szCs w:val="26"/>
              </w:rPr>
            </w:pPr>
            <w:r w:rsidRPr="007B6FD8">
              <w:rPr>
                <w:sz w:val="26"/>
                <w:szCs w:val="26"/>
              </w:rPr>
              <w:t>1084</w:t>
            </w:r>
          </w:p>
        </w:tc>
        <w:tc>
          <w:tcPr>
            <w:tcW w:w="2340" w:type="dxa"/>
            <w:shd w:val="clear" w:color="auto" w:fill="auto"/>
          </w:tcPr>
          <w:p w:rsidR="007B6FD8" w:rsidRPr="007B6FD8" w:rsidRDefault="007B6FD8" w:rsidP="00461ED0">
            <w:pPr>
              <w:spacing w:line="360" w:lineRule="auto"/>
              <w:rPr>
                <w:sz w:val="26"/>
                <w:szCs w:val="26"/>
              </w:rPr>
            </w:pPr>
            <w:r w:rsidRPr="007B6FD8">
              <w:rPr>
                <w:sz w:val="26"/>
                <w:szCs w:val="26"/>
              </w:rPr>
              <w:t>$127.88</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02/11/2010</w:t>
            </w:r>
          </w:p>
        </w:tc>
        <w:tc>
          <w:tcPr>
            <w:tcW w:w="1854" w:type="dxa"/>
            <w:shd w:val="clear" w:color="auto" w:fill="auto"/>
          </w:tcPr>
          <w:p w:rsidR="007B6FD8" w:rsidRPr="007B6FD8" w:rsidRDefault="007B6FD8" w:rsidP="00461ED0">
            <w:pPr>
              <w:spacing w:line="360" w:lineRule="auto"/>
              <w:rPr>
                <w:sz w:val="26"/>
                <w:szCs w:val="26"/>
              </w:rPr>
            </w:pPr>
            <w:r w:rsidRPr="007B6FD8">
              <w:rPr>
                <w:sz w:val="26"/>
                <w:szCs w:val="26"/>
              </w:rPr>
              <w:t>60</w:t>
            </w:r>
          </w:p>
        </w:tc>
        <w:tc>
          <w:tcPr>
            <w:tcW w:w="1800" w:type="dxa"/>
            <w:shd w:val="clear" w:color="auto" w:fill="auto"/>
          </w:tcPr>
          <w:p w:rsidR="007B6FD8" w:rsidRPr="007B6FD8" w:rsidRDefault="007B6FD8" w:rsidP="00461ED0">
            <w:pPr>
              <w:spacing w:line="360" w:lineRule="auto"/>
              <w:rPr>
                <w:sz w:val="26"/>
                <w:szCs w:val="26"/>
              </w:rPr>
            </w:pPr>
            <w:r w:rsidRPr="007B6FD8">
              <w:rPr>
                <w:sz w:val="26"/>
                <w:szCs w:val="26"/>
              </w:rPr>
              <w:t>903</w:t>
            </w:r>
          </w:p>
        </w:tc>
        <w:tc>
          <w:tcPr>
            <w:tcW w:w="2340" w:type="dxa"/>
            <w:shd w:val="clear" w:color="auto" w:fill="auto"/>
          </w:tcPr>
          <w:p w:rsidR="007B6FD8" w:rsidRPr="007B6FD8" w:rsidRDefault="007B6FD8" w:rsidP="00461ED0">
            <w:pPr>
              <w:spacing w:line="360" w:lineRule="auto"/>
              <w:rPr>
                <w:sz w:val="26"/>
                <w:szCs w:val="26"/>
              </w:rPr>
            </w:pPr>
            <w:r w:rsidRPr="007B6FD8">
              <w:rPr>
                <w:sz w:val="26"/>
                <w:szCs w:val="26"/>
              </w:rPr>
              <w:t>$106.30</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03/11/2010</w:t>
            </w:r>
          </w:p>
        </w:tc>
        <w:tc>
          <w:tcPr>
            <w:tcW w:w="1854" w:type="dxa"/>
            <w:shd w:val="clear" w:color="auto" w:fill="auto"/>
          </w:tcPr>
          <w:p w:rsidR="007B6FD8" w:rsidRPr="007B6FD8" w:rsidRDefault="007B6FD8" w:rsidP="00461ED0">
            <w:pPr>
              <w:spacing w:line="360" w:lineRule="auto"/>
              <w:rPr>
                <w:sz w:val="26"/>
                <w:szCs w:val="26"/>
              </w:rPr>
            </w:pPr>
            <w:r w:rsidRPr="007B6FD8">
              <w:rPr>
                <w:sz w:val="26"/>
                <w:szCs w:val="26"/>
              </w:rPr>
              <w:t>77</w:t>
            </w:r>
          </w:p>
        </w:tc>
        <w:tc>
          <w:tcPr>
            <w:tcW w:w="1800" w:type="dxa"/>
            <w:shd w:val="clear" w:color="auto" w:fill="auto"/>
          </w:tcPr>
          <w:p w:rsidR="007B6FD8" w:rsidRPr="007B6FD8" w:rsidRDefault="007B6FD8" w:rsidP="00461ED0">
            <w:pPr>
              <w:spacing w:line="360" w:lineRule="auto"/>
              <w:rPr>
                <w:sz w:val="26"/>
                <w:szCs w:val="26"/>
              </w:rPr>
            </w:pPr>
            <w:r w:rsidRPr="007B6FD8">
              <w:rPr>
                <w:sz w:val="26"/>
                <w:szCs w:val="26"/>
              </w:rPr>
              <w:t>813</w:t>
            </w:r>
          </w:p>
        </w:tc>
        <w:tc>
          <w:tcPr>
            <w:tcW w:w="2340" w:type="dxa"/>
            <w:shd w:val="clear" w:color="auto" w:fill="auto"/>
          </w:tcPr>
          <w:p w:rsidR="007B6FD8" w:rsidRPr="007B6FD8" w:rsidRDefault="007B6FD8" w:rsidP="00461ED0">
            <w:pPr>
              <w:spacing w:line="360" w:lineRule="auto"/>
              <w:rPr>
                <w:sz w:val="26"/>
                <w:szCs w:val="26"/>
              </w:rPr>
            </w:pPr>
            <w:r w:rsidRPr="007B6FD8">
              <w:rPr>
                <w:sz w:val="26"/>
                <w:szCs w:val="26"/>
              </w:rPr>
              <w:t>$131.85</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11/09/2010</w:t>
            </w:r>
          </w:p>
        </w:tc>
        <w:tc>
          <w:tcPr>
            <w:tcW w:w="1854" w:type="dxa"/>
            <w:shd w:val="clear" w:color="auto" w:fill="auto"/>
          </w:tcPr>
          <w:p w:rsidR="007B6FD8" w:rsidRPr="007B6FD8" w:rsidRDefault="007B6FD8" w:rsidP="00461ED0">
            <w:pPr>
              <w:spacing w:line="360" w:lineRule="auto"/>
              <w:rPr>
                <w:sz w:val="26"/>
                <w:szCs w:val="26"/>
              </w:rPr>
            </w:pPr>
            <w:r w:rsidRPr="007B6FD8">
              <w:rPr>
                <w:sz w:val="26"/>
                <w:szCs w:val="26"/>
              </w:rPr>
              <w:t>20</w:t>
            </w:r>
          </w:p>
        </w:tc>
        <w:tc>
          <w:tcPr>
            <w:tcW w:w="1800" w:type="dxa"/>
            <w:shd w:val="clear" w:color="auto" w:fill="auto"/>
          </w:tcPr>
          <w:p w:rsidR="007B6FD8" w:rsidRPr="007B6FD8" w:rsidRDefault="007B6FD8" w:rsidP="00461ED0">
            <w:pPr>
              <w:spacing w:line="360" w:lineRule="auto"/>
              <w:rPr>
                <w:sz w:val="26"/>
                <w:szCs w:val="26"/>
              </w:rPr>
            </w:pPr>
            <w:r w:rsidRPr="007B6FD8">
              <w:rPr>
                <w:sz w:val="26"/>
                <w:szCs w:val="26"/>
              </w:rPr>
              <w:t>305</w:t>
            </w:r>
          </w:p>
        </w:tc>
        <w:tc>
          <w:tcPr>
            <w:tcW w:w="2340" w:type="dxa"/>
            <w:shd w:val="clear" w:color="auto" w:fill="auto"/>
          </w:tcPr>
          <w:p w:rsidR="007B6FD8" w:rsidRPr="007B6FD8" w:rsidRDefault="007B6FD8" w:rsidP="00461ED0">
            <w:pPr>
              <w:spacing w:line="360" w:lineRule="auto"/>
              <w:rPr>
                <w:sz w:val="26"/>
                <w:szCs w:val="26"/>
              </w:rPr>
            </w:pPr>
            <w:r w:rsidRPr="007B6FD8">
              <w:rPr>
                <w:sz w:val="26"/>
                <w:szCs w:val="26"/>
              </w:rPr>
              <w:t>$43.97</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12/09/2010</w:t>
            </w:r>
          </w:p>
        </w:tc>
        <w:tc>
          <w:tcPr>
            <w:tcW w:w="1854" w:type="dxa"/>
            <w:shd w:val="clear" w:color="auto" w:fill="auto"/>
          </w:tcPr>
          <w:p w:rsidR="007B6FD8" w:rsidRPr="007B6FD8" w:rsidRDefault="007B6FD8" w:rsidP="00461ED0">
            <w:pPr>
              <w:spacing w:line="360" w:lineRule="auto"/>
              <w:rPr>
                <w:sz w:val="26"/>
                <w:szCs w:val="26"/>
              </w:rPr>
            </w:pPr>
            <w:r w:rsidRPr="007B6FD8">
              <w:rPr>
                <w:sz w:val="26"/>
                <w:szCs w:val="26"/>
              </w:rPr>
              <w:t>41</w:t>
            </w:r>
          </w:p>
        </w:tc>
        <w:tc>
          <w:tcPr>
            <w:tcW w:w="1800" w:type="dxa"/>
            <w:shd w:val="clear" w:color="auto" w:fill="auto"/>
          </w:tcPr>
          <w:p w:rsidR="007B6FD8" w:rsidRPr="007B6FD8" w:rsidRDefault="007B6FD8" w:rsidP="00461ED0">
            <w:pPr>
              <w:spacing w:line="360" w:lineRule="auto"/>
              <w:rPr>
                <w:sz w:val="26"/>
                <w:szCs w:val="26"/>
              </w:rPr>
            </w:pPr>
            <w:r w:rsidRPr="007B6FD8">
              <w:rPr>
                <w:sz w:val="26"/>
                <w:szCs w:val="26"/>
              </w:rPr>
              <w:t>578</w:t>
            </w:r>
          </w:p>
        </w:tc>
        <w:tc>
          <w:tcPr>
            <w:tcW w:w="2340" w:type="dxa"/>
            <w:shd w:val="clear" w:color="auto" w:fill="auto"/>
          </w:tcPr>
          <w:p w:rsidR="007B6FD8" w:rsidRPr="007B6FD8" w:rsidRDefault="007B6FD8" w:rsidP="00461ED0">
            <w:pPr>
              <w:spacing w:line="360" w:lineRule="auto"/>
              <w:rPr>
                <w:sz w:val="26"/>
                <w:szCs w:val="26"/>
              </w:rPr>
            </w:pPr>
            <w:r w:rsidRPr="007B6FD8">
              <w:rPr>
                <w:sz w:val="26"/>
                <w:szCs w:val="26"/>
              </w:rPr>
              <w:t>$76.94</w:t>
            </w:r>
          </w:p>
        </w:tc>
      </w:tr>
    </w:tbl>
    <w:p w:rsidR="007B6FD8" w:rsidRPr="007B6FD8" w:rsidRDefault="007B6FD8" w:rsidP="007B6FD8">
      <w:pPr>
        <w:spacing w:line="360" w:lineRule="auto"/>
        <w:rPr>
          <w:sz w:val="26"/>
          <w:szCs w:val="26"/>
        </w:rPr>
      </w:pPr>
    </w:p>
    <w:p w:rsidR="007B6FD8" w:rsidRPr="007B6FD8" w:rsidRDefault="00D2444D" w:rsidP="007B6FD8">
      <w:pPr>
        <w:spacing w:line="360" w:lineRule="auto"/>
        <w:rPr>
          <w:i/>
          <w:sz w:val="26"/>
          <w:szCs w:val="26"/>
        </w:rPr>
      </w:pPr>
      <w:r w:rsidRPr="00D2444D">
        <w:rPr>
          <w:sz w:val="26"/>
          <w:szCs w:val="26"/>
        </w:rPr>
        <w:t xml:space="preserve"> </w:t>
      </w:r>
      <w:r>
        <w:rPr>
          <w:sz w:val="26"/>
          <w:szCs w:val="26"/>
        </w:rPr>
        <w:t xml:space="preserve">I.D. at 6; Tr. 15, </w:t>
      </w:r>
      <w:r w:rsidRPr="00554E43">
        <w:rPr>
          <w:sz w:val="26"/>
          <w:szCs w:val="26"/>
        </w:rPr>
        <w:t>Exh</w:t>
      </w:r>
      <w:r>
        <w:rPr>
          <w:sz w:val="26"/>
          <w:szCs w:val="26"/>
        </w:rPr>
        <w:t>.</w:t>
      </w:r>
      <w:r w:rsidRPr="00554E43">
        <w:rPr>
          <w:sz w:val="26"/>
          <w:szCs w:val="26"/>
        </w:rPr>
        <w:t xml:space="preserve"> </w:t>
      </w:r>
      <w:r w:rsidR="007F193A">
        <w:rPr>
          <w:sz w:val="26"/>
          <w:szCs w:val="26"/>
        </w:rPr>
        <w:t>1.</w:t>
      </w:r>
    </w:p>
    <w:p w:rsidR="00554E43" w:rsidRPr="007B6FD8" w:rsidRDefault="00554E43" w:rsidP="00554E43">
      <w:pPr>
        <w:spacing w:line="360" w:lineRule="auto"/>
        <w:rPr>
          <w:sz w:val="26"/>
          <w:szCs w:val="26"/>
        </w:rPr>
      </w:pPr>
    </w:p>
    <w:p w:rsidR="007B6FD8" w:rsidRDefault="007B6FD8" w:rsidP="007B6FD8">
      <w:pPr>
        <w:spacing w:line="360" w:lineRule="auto"/>
        <w:ind w:firstLine="1440"/>
        <w:rPr>
          <w:sz w:val="26"/>
          <w:szCs w:val="26"/>
        </w:rPr>
      </w:pPr>
      <w:r>
        <w:rPr>
          <w:sz w:val="26"/>
          <w:szCs w:val="26"/>
        </w:rPr>
        <w:t>For</w:t>
      </w:r>
      <w:r w:rsidRPr="007B6FD8">
        <w:rPr>
          <w:sz w:val="26"/>
          <w:szCs w:val="26"/>
        </w:rPr>
        <w:t xml:space="preserve"> 2011, </w:t>
      </w:r>
      <w:r>
        <w:rPr>
          <w:sz w:val="26"/>
          <w:szCs w:val="26"/>
        </w:rPr>
        <w:t xml:space="preserve">the </w:t>
      </w:r>
      <w:r w:rsidRPr="007B6FD8">
        <w:rPr>
          <w:sz w:val="26"/>
          <w:szCs w:val="26"/>
        </w:rPr>
        <w:t>Complainant’s meter reported the following gas consumption:</w:t>
      </w:r>
    </w:p>
    <w:p w:rsidR="007B6FD8" w:rsidRPr="007B6FD8" w:rsidRDefault="007B6FD8" w:rsidP="007B6FD8">
      <w:pPr>
        <w:spacing w:line="360" w:lineRule="auto"/>
        <w:ind w:firstLine="1440"/>
        <w:rPr>
          <w:sz w:val="26"/>
          <w:szCs w:val="2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34"/>
        <w:gridCol w:w="1710"/>
        <w:gridCol w:w="2250"/>
      </w:tblGrid>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Date</w:t>
            </w:r>
          </w:p>
        </w:tc>
        <w:tc>
          <w:tcPr>
            <w:tcW w:w="2034" w:type="dxa"/>
            <w:shd w:val="clear" w:color="auto" w:fill="auto"/>
          </w:tcPr>
          <w:p w:rsidR="007B6FD8" w:rsidRPr="007B6FD8" w:rsidRDefault="007B6FD8" w:rsidP="00461ED0">
            <w:pPr>
              <w:spacing w:line="360" w:lineRule="auto"/>
              <w:rPr>
                <w:sz w:val="26"/>
                <w:szCs w:val="26"/>
              </w:rPr>
            </w:pPr>
            <w:r w:rsidRPr="007B6FD8">
              <w:rPr>
                <w:sz w:val="26"/>
                <w:szCs w:val="26"/>
              </w:rPr>
              <w:t>CCF Usage</w:t>
            </w:r>
          </w:p>
        </w:tc>
        <w:tc>
          <w:tcPr>
            <w:tcW w:w="1710" w:type="dxa"/>
            <w:shd w:val="clear" w:color="auto" w:fill="auto"/>
          </w:tcPr>
          <w:p w:rsidR="007B6FD8" w:rsidRPr="007B6FD8" w:rsidRDefault="007B6FD8" w:rsidP="00461ED0">
            <w:pPr>
              <w:spacing w:line="360" w:lineRule="auto"/>
              <w:rPr>
                <w:sz w:val="26"/>
                <w:szCs w:val="26"/>
              </w:rPr>
            </w:pPr>
            <w:r w:rsidRPr="007B6FD8">
              <w:rPr>
                <w:sz w:val="26"/>
                <w:szCs w:val="26"/>
              </w:rPr>
              <w:t>Heating DDs</w:t>
            </w:r>
          </w:p>
        </w:tc>
        <w:tc>
          <w:tcPr>
            <w:tcW w:w="2250" w:type="dxa"/>
            <w:shd w:val="clear" w:color="auto" w:fill="auto"/>
          </w:tcPr>
          <w:p w:rsidR="007B6FD8" w:rsidRPr="007B6FD8" w:rsidRDefault="007B6FD8" w:rsidP="00461ED0">
            <w:pPr>
              <w:spacing w:line="360" w:lineRule="auto"/>
              <w:rPr>
                <w:sz w:val="26"/>
                <w:szCs w:val="26"/>
              </w:rPr>
            </w:pPr>
            <w:r w:rsidRPr="007B6FD8">
              <w:rPr>
                <w:sz w:val="26"/>
                <w:szCs w:val="26"/>
              </w:rPr>
              <w:t>Transaction Amount</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01/12/2011</w:t>
            </w:r>
          </w:p>
        </w:tc>
        <w:tc>
          <w:tcPr>
            <w:tcW w:w="2034" w:type="dxa"/>
            <w:shd w:val="clear" w:color="auto" w:fill="auto"/>
          </w:tcPr>
          <w:p w:rsidR="007B6FD8" w:rsidRPr="007B6FD8" w:rsidRDefault="007B6FD8" w:rsidP="00461ED0">
            <w:pPr>
              <w:spacing w:line="360" w:lineRule="auto"/>
              <w:rPr>
                <w:sz w:val="26"/>
                <w:szCs w:val="26"/>
              </w:rPr>
            </w:pPr>
            <w:r w:rsidRPr="007B6FD8">
              <w:rPr>
                <w:sz w:val="26"/>
                <w:szCs w:val="26"/>
              </w:rPr>
              <w:t>55</w:t>
            </w:r>
          </w:p>
        </w:tc>
        <w:tc>
          <w:tcPr>
            <w:tcW w:w="1710" w:type="dxa"/>
            <w:shd w:val="clear" w:color="auto" w:fill="auto"/>
          </w:tcPr>
          <w:p w:rsidR="007B6FD8" w:rsidRPr="007B6FD8" w:rsidRDefault="007B6FD8" w:rsidP="00461ED0">
            <w:pPr>
              <w:spacing w:line="360" w:lineRule="auto"/>
              <w:rPr>
                <w:sz w:val="26"/>
                <w:szCs w:val="26"/>
              </w:rPr>
            </w:pPr>
            <w:r w:rsidRPr="007B6FD8">
              <w:rPr>
                <w:sz w:val="26"/>
                <w:szCs w:val="26"/>
              </w:rPr>
              <w:t>1130</w:t>
            </w:r>
          </w:p>
        </w:tc>
        <w:tc>
          <w:tcPr>
            <w:tcW w:w="2250" w:type="dxa"/>
            <w:shd w:val="clear" w:color="auto" w:fill="auto"/>
          </w:tcPr>
          <w:p w:rsidR="007B6FD8" w:rsidRPr="007B6FD8" w:rsidRDefault="007B6FD8" w:rsidP="00461ED0">
            <w:pPr>
              <w:spacing w:line="360" w:lineRule="auto"/>
              <w:rPr>
                <w:sz w:val="26"/>
                <w:szCs w:val="26"/>
              </w:rPr>
            </w:pPr>
            <w:r w:rsidRPr="007B6FD8">
              <w:rPr>
                <w:sz w:val="26"/>
                <w:szCs w:val="26"/>
              </w:rPr>
              <w:t>$91.94</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02/10/2011</w:t>
            </w:r>
          </w:p>
        </w:tc>
        <w:tc>
          <w:tcPr>
            <w:tcW w:w="2034" w:type="dxa"/>
            <w:shd w:val="clear" w:color="auto" w:fill="auto"/>
          </w:tcPr>
          <w:p w:rsidR="007B6FD8" w:rsidRPr="007B6FD8" w:rsidRDefault="007B6FD8" w:rsidP="00461ED0">
            <w:pPr>
              <w:spacing w:line="360" w:lineRule="auto"/>
              <w:rPr>
                <w:sz w:val="26"/>
                <w:szCs w:val="26"/>
              </w:rPr>
            </w:pPr>
            <w:r w:rsidRPr="007B6FD8">
              <w:rPr>
                <w:sz w:val="26"/>
                <w:szCs w:val="26"/>
              </w:rPr>
              <w:t>59</w:t>
            </w:r>
          </w:p>
        </w:tc>
        <w:tc>
          <w:tcPr>
            <w:tcW w:w="1710" w:type="dxa"/>
            <w:shd w:val="clear" w:color="auto" w:fill="auto"/>
          </w:tcPr>
          <w:p w:rsidR="007B6FD8" w:rsidRPr="007B6FD8" w:rsidRDefault="007B6FD8" w:rsidP="00461ED0">
            <w:pPr>
              <w:spacing w:line="360" w:lineRule="auto"/>
              <w:rPr>
                <w:sz w:val="26"/>
                <w:szCs w:val="26"/>
              </w:rPr>
            </w:pPr>
            <w:r w:rsidRPr="007B6FD8">
              <w:rPr>
                <w:sz w:val="26"/>
                <w:szCs w:val="26"/>
              </w:rPr>
              <w:t>1026</w:t>
            </w:r>
          </w:p>
        </w:tc>
        <w:tc>
          <w:tcPr>
            <w:tcW w:w="2250" w:type="dxa"/>
            <w:shd w:val="clear" w:color="auto" w:fill="auto"/>
          </w:tcPr>
          <w:p w:rsidR="007B6FD8" w:rsidRPr="007B6FD8" w:rsidRDefault="007B6FD8" w:rsidP="00461ED0">
            <w:pPr>
              <w:spacing w:line="360" w:lineRule="auto"/>
              <w:rPr>
                <w:sz w:val="26"/>
                <w:szCs w:val="26"/>
              </w:rPr>
            </w:pPr>
            <w:r w:rsidRPr="007B6FD8">
              <w:rPr>
                <w:sz w:val="26"/>
                <w:szCs w:val="26"/>
              </w:rPr>
              <w:t>$98.43</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03/14/2011</w:t>
            </w:r>
          </w:p>
        </w:tc>
        <w:tc>
          <w:tcPr>
            <w:tcW w:w="2034" w:type="dxa"/>
            <w:shd w:val="clear" w:color="auto" w:fill="auto"/>
          </w:tcPr>
          <w:p w:rsidR="007B6FD8" w:rsidRPr="007B6FD8" w:rsidRDefault="007B6FD8" w:rsidP="00461ED0">
            <w:pPr>
              <w:spacing w:line="360" w:lineRule="auto"/>
              <w:rPr>
                <w:sz w:val="26"/>
                <w:szCs w:val="26"/>
              </w:rPr>
            </w:pPr>
            <w:r w:rsidRPr="007B6FD8">
              <w:rPr>
                <w:sz w:val="26"/>
                <w:szCs w:val="26"/>
              </w:rPr>
              <w:t>55</w:t>
            </w:r>
          </w:p>
        </w:tc>
        <w:tc>
          <w:tcPr>
            <w:tcW w:w="1710" w:type="dxa"/>
            <w:shd w:val="clear" w:color="auto" w:fill="auto"/>
          </w:tcPr>
          <w:p w:rsidR="007B6FD8" w:rsidRPr="007B6FD8" w:rsidRDefault="007B6FD8" w:rsidP="00461ED0">
            <w:pPr>
              <w:spacing w:line="360" w:lineRule="auto"/>
              <w:rPr>
                <w:sz w:val="26"/>
                <w:szCs w:val="26"/>
              </w:rPr>
            </w:pPr>
            <w:r w:rsidRPr="007B6FD8">
              <w:rPr>
                <w:sz w:val="26"/>
                <w:szCs w:val="26"/>
              </w:rPr>
              <w:t>715</w:t>
            </w:r>
          </w:p>
        </w:tc>
        <w:tc>
          <w:tcPr>
            <w:tcW w:w="2250" w:type="dxa"/>
            <w:shd w:val="clear" w:color="auto" w:fill="auto"/>
          </w:tcPr>
          <w:p w:rsidR="007B6FD8" w:rsidRPr="007B6FD8" w:rsidRDefault="007B6FD8" w:rsidP="00461ED0">
            <w:pPr>
              <w:spacing w:line="360" w:lineRule="auto"/>
              <w:rPr>
                <w:sz w:val="26"/>
                <w:szCs w:val="26"/>
              </w:rPr>
            </w:pPr>
            <w:r w:rsidRPr="007B6FD8">
              <w:rPr>
                <w:sz w:val="26"/>
                <w:szCs w:val="26"/>
              </w:rPr>
              <w:t>$99.37</w:t>
            </w:r>
          </w:p>
        </w:tc>
      </w:tr>
      <w:tr w:rsidR="007B6FD8" w:rsidRPr="007B6FD8" w:rsidTr="00461ED0">
        <w:tc>
          <w:tcPr>
            <w:tcW w:w="1476" w:type="dxa"/>
            <w:shd w:val="clear" w:color="auto" w:fill="auto"/>
          </w:tcPr>
          <w:p w:rsidR="007B6FD8" w:rsidRPr="007B6FD8" w:rsidRDefault="007B6FD8" w:rsidP="00461ED0">
            <w:pPr>
              <w:spacing w:line="360" w:lineRule="auto"/>
              <w:rPr>
                <w:sz w:val="26"/>
                <w:szCs w:val="26"/>
              </w:rPr>
            </w:pPr>
            <w:r w:rsidRPr="007B6FD8">
              <w:rPr>
                <w:sz w:val="26"/>
                <w:szCs w:val="26"/>
              </w:rPr>
              <w:t>11/09/2011</w:t>
            </w:r>
          </w:p>
        </w:tc>
        <w:tc>
          <w:tcPr>
            <w:tcW w:w="2034" w:type="dxa"/>
            <w:shd w:val="clear" w:color="auto" w:fill="auto"/>
          </w:tcPr>
          <w:p w:rsidR="007B6FD8" w:rsidRPr="007B6FD8" w:rsidRDefault="007B6FD8" w:rsidP="00461ED0">
            <w:pPr>
              <w:spacing w:line="360" w:lineRule="auto"/>
              <w:rPr>
                <w:sz w:val="26"/>
                <w:szCs w:val="26"/>
              </w:rPr>
            </w:pPr>
            <w:r w:rsidRPr="007B6FD8">
              <w:rPr>
                <w:sz w:val="26"/>
                <w:szCs w:val="26"/>
              </w:rPr>
              <w:t>8</w:t>
            </w:r>
          </w:p>
        </w:tc>
        <w:tc>
          <w:tcPr>
            <w:tcW w:w="1710" w:type="dxa"/>
            <w:shd w:val="clear" w:color="auto" w:fill="auto"/>
          </w:tcPr>
          <w:p w:rsidR="007B6FD8" w:rsidRPr="007B6FD8" w:rsidRDefault="007B6FD8" w:rsidP="00461ED0">
            <w:pPr>
              <w:spacing w:line="360" w:lineRule="auto"/>
              <w:rPr>
                <w:sz w:val="26"/>
                <w:szCs w:val="26"/>
              </w:rPr>
            </w:pPr>
            <w:r w:rsidRPr="007B6FD8">
              <w:rPr>
                <w:sz w:val="26"/>
                <w:szCs w:val="26"/>
              </w:rPr>
              <w:t>298</w:t>
            </w:r>
          </w:p>
        </w:tc>
        <w:tc>
          <w:tcPr>
            <w:tcW w:w="2250" w:type="dxa"/>
            <w:shd w:val="clear" w:color="auto" w:fill="auto"/>
          </w:tcPr>
          <w:p w:rsidR="007B6FD8" w:rsidRPr="007B6FD8" w:rsidRDefault="007B6FD8" w:rsidP="00461ED0">
            <w:pPr>
              <w:spacing w:line="360" w:lineRule="auto"/>
              <w:rPr>
                <w:sz w:val="26"/>
                <w:szCs w:val="26"/>
              </w:rPr>
            </w:pPr>
            <w:r w:rsidRPr="007B6FD8">
              <w:rPr>
                <w:sz w:val="26"/>
                <w:szCs w:val="26"/>
              </w:rPr>
              <w:t>$24.24</w:t>
            </w:r>
          </w:p>
        </w:tc>
      </w:tr>
      <w:tr w:rsidR="007B6FD8" w:rsidRPr="007B6FD8" w:rsidTr="00461ED0">
        <w:tc>
          <w:tcPr>
            <w:tcW w:w="1476" w:type="dxa"/>
            <w:shd w:val="clear" w:color="auto" w:fill="auto"/>
          </w:tcPr>
          <w:p w:rsidR="007B6FD8" w:rsidRPr="007B6FD8" w:rsidRDefault="007B6FD8" w:rsidP="00461ED0">
            <w:pPr>
              <w:spacing w:line="360" w:lineRule="auto"/>
              <w:rPr>
                <w:b/>
                <w:sz w:val="26"/>
                <w:szCs w:val="26"/>
              </w:rPr>
            </w:pPr>
            <w:r w:rsidRPr="007B6FD8">
              <w:rPr>
                <w:b/>
                <w:sz w:val="26"/>
                <w:szCs w:val="26"/>
              </w:rPr>
              <w:t>12/09/2011</w:t>
            </w:r>
          </w:p>
        </w:tc>
        <w:tc>
          <w:tcPr>
            <w:tcW w:w="2034" w:type="dxa"/>
            <w:shd w:val="clear" w:color="auto" w:fill="auto"/>
          </w:tcPr>
          <w:p w:rsidR="007B6FD8" w:rsidRPr="007B6FD8" w:rsidRDefault="007B6FD8" w:rsidP="00461ED0">
            <w:pPr>
              <w:spacing w:line="360" w:lineRule="auto"/>
              <w:rPr>
                <w:b/>
                <w:sz w:val="26"/>
                <w:szCs w:val="26"/>
              </w:rPr>
            </w:pPr>
            <w:r w:rsidRPr="007B6FD8">
              <w:rPr>
                <w:b/>
                <w:sz w:val="26"/>
                <w:szCs w:val="26"/>
              </w:rPr>
              <w:t>11</w:t>
            </w:r>
          </w:p>
        </w:tc>
        <w:tc>
          <w:tcPr>
            <w:tcW w:w="1710" w:type="dxa"/>
            <w:shd w:val="clear" w:color="auto" w:fill="auto"/>
          </w:tcPr>
          <w:p w:rsidR="007B6FD8" w:rsidRPr="007B6FD8" w:rsidRDefault="007B6FD8" w:rsidP="00461ED0">
            <w:pPr>
              <w:spacing w:line="360" w:lineRule="auto"/>
              <w:rPr>
                <w:b/>
                <w:sz w:val="26"/>
                <w:szCs w:val="26"/>
              </w:rPr>
            </w:pPr>
            <w:r w:rsidRPr="007B6FD8">
              <w:rPr>
                <w:b/>
                <w:sz w:val="26"/>
                <w:szCs w:val="26"/>
              </w:rPr>
              <w:t>419</w:t>
            </w:r>
          </w:p>
        </w:tc>
        <w:tc>
          <w:tcPr>
            <w:tcW w:w="2250" w:type="dxa"/>
            <w:shd w:val="clear" w:color="auto" w:fill="auto"/>
          </w:tcPr>
          <w:p w:rsidR="007B6FD8" w:rsidRPr="007B6FD8" w:rsidRDefault="007B6FD8" w:rsidP="00461ED0">
            <w:pPr>
              <w:spacing w:line="360" w:lineRule="auto"/>
              <w:rPr>
                <w:b/>
                <w:sz w:val="26"/>
                <w:szCs w:val="26"/>
              </w:rPr>
            </w:pPr>
            <w:r w:rsidRPr="007B6FD8">
              <w:rPr>
                <w:b/>
                <w:sz w:val="26"/>
                <w:szCs w:val="26"/>
              </w:rPr>
              <w:t>$29.97</w:t>
            </w:r>
          </w:p>
        </w:tc>
      </w:tr>
    </w:tbl>
    <w:p w:rsidR="007B6FD8" w:rsidRPr="007B6FD8" w:rsidRDefault="007B6FD8" w:rsidP="007B6FD8">
      <w:pPr>
        <w:spacing w:line="360" w:lineRule="auto"/>
        <w:rPr>
          <w:sz w:val="26"/>
          <w:szCs w:val="26"/>
        </w:rPr>
      </w:pPr>
    </w:p>
    <w:p w:rsidR="007B6FD8" w:rsidRPr="007B6FD8" w:rsidRDefault="00D2444D" w:rsidP="007B6FD8">
      <w:pPr>
        <w:spacing w:line="360" w:lineRule="auto"/>
        <w:rPr>
          <w:i/>
          <w:sz w:val="26"/>
          <w:szCs w:val="26"/>
        </w:rPr>
      </w:pPr>
      <w:r w:rsidRPr="00D2444D">
        <w:rPr>
          <w:sz w:val="26"/>
          <w:szCs w:val="26"/>
        </w:rPr>
        <w:t xml:space="preserve"> </w:t>
      </w:r>
      <w:r>
        <w:rPr>
          <w:sz w:val="26"/>
          <w:szCs w:val="26"/>
        </w:rPr>
        <w:t xml:space="preserve">I.D. at 6; Tr. 15, </w:t>
      </w:r>
      <w:r w:rsidRPr="00554E43">
        <w:rPr>
          <w:sz w:val="26"/>
          <w:szCs w:val="26"/>
        </w:rPr>
        <w:t>Exh</w:t>
      </w:r>
      <w:r>
        <w:rPr>
          <w:sz w:val="26"/>
          <w:szCs w:val="26"/>
        </w:rPr>
        <w:t>.</w:t>
      </w:r>
      <w:r w:rsidRPr="00554E43">
        <w:rPr>
          <w:sz w:val="26"/>
          <w:szCs w:val="26"/>
        </w:rPr>
        <w:t xml:space="preserve"> 1.</w:t>
      </w:r>
    </w:p>
    <w:p w:rsidR="007B6FD8" w:rsidRPr="007B6FD8" w:rsidRDefault="007B6FD8" w:rsidP="00554E43">
      <w:pPr>
        <w:spacing w:line="360" w:lineRule="auto"/>
        <w:rPr>
          <w:sz w:val="26"/>
          <w:szCs w:val="26"/>
        </w:rPr>
      </w:pPr>
    </w:p>
    <w:p w:rsidR="00554E43" w:rsidRDefault="003D5BFD" w:rsidP="009D7B78">
      <w:pPr>
        <w:keepNext/>
        <w:spacing w:line="360" w:lineRule="auto"/>
        <w:ind w:firstLine="1440"/>
        <w:rPr>
          <w:sz w:val="26"/>
          <w:szCs w:val="26"/>
        </w:rPr>
      </w:pPr>
      <w:r>
        <w:rPr>
          <w:sz w:val="26"/>
          <w:szCs w:val="26"/>
        </w:rPr>
        <w:lastRenderedPageBreak/>
        <w:t>Finally in</w:t>
      </w:r>
      <w:r w:rsidR="00554E43" w:rsidRPr="00554E43">
        <w:rPr>
          <w:sz w:val="26"/>
          <w:szCs w:val="26"/>
        </w:rPr>
        <w:t xml:space="preserve"> 2012, </w:t>
      </w:r>
      <w:r w:rsidR="00554E43">
        <w:rPr>
          <w:sz w:val="26"/>
          <w:szCs w:val="26"/>
        </w:rPr>
        <w:t xml:space="preserve">the </w:t>
      </w:r>
      <w:r w:rsidR="00554E43" w:rsidRPr="00554E43">
        <w:rPr>
          <w:sz w:val="26"/>
          <w:szCs w:val="26"/>
        </w:rPr>
        <w:t>Complainant’s meter reported the following gas consumption:</w:t>
      </w:r>
    </w:p>
    <w:p w:rsidR="00554E43" w:rsidRPr="00554E43" w:rsidRDefault="00554E43" w:rsidP="009D7B78">
      <w:pPr>
        <w:keepNext/>
        <w:spacing w:line="360" w:lineRule="auto"/>
        <w:ind w:firstLine="1440"/>
        <w:rPr>
          <w:sz w:val="26"/>
          <w:szCs w:val="2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494"/>
        <w:gridCol w:w="1800"/>
        <w:gridCol w:w="2700"/>
      </w:tblGrid>
      <w:tr w:rsidR="00554E43" w:rsidRPr="00554E43" w:rsidTr="00461ED0">
        <w:tc>
          <w:tcPr>
            <w:tcW w:w="1566" w:type="dxa"/>
            <w:shd w:val="clear" w:color="auto" w:fill="auto"/>
          </w:tcPr>
          <w:p w:rsidR="00554E43" w:rsidRPr="00554E43" w:rsidRDefault="00554E43" w:rsidP="009D7B78">
            <w:pPr>
              <w:keepNext/>
              <w:spacing w:line="360" w:lineRule="auto"/>
              <w:rPr>
                <w:sz w:val="26"/>
                <w:szCs w:val="26"/>
              </w:rPr>
            </w:pPr>
            <w:r w:rsidRPr="00554E43">
              <w:rPr>
                <w:sz w:val="26"/>
                <w:szCs w:val="26"/>
              </w:rPr>
              <w:t>Date</w:t>
            </w:r>
          </w:p>
        </w:tc>
        <w:tc>
          <w:tcPr>
            <w:tcW w:w="1494" w:type="dxa"/>
            <w:shd w:val="clear" w:color="auto" w:fill="auto"/>
          </w:tcPr>
          <w:p w:rsidR="00554E43" w:rsidRPr="00554E43" w:rsidRDefault="00554E43" w:rsidP="009D7B78">
            <w:pPr>
              <w:keepNext/>
              <w:spacing w:line="360" w:lineRule="auto"/>
              <w:rPr>
                <w:sz w:val="26"/>
                <w:szCs w:val="26"/>
              </w:rPr>
            </w:pPr>
            <w:r w:rsidRPr="00554E43">
              <w:rPr>
                <w:sz w:val="26"/>
                <w:szCs w:val="26"/>
              </w:rPr>
              <w:t>CCF Usage</w:t>
            </w:r>
          </w:p>
        </w:tc>
        <w:tc>
          <w:tcPr>
            <w:tcW w:w="1800" w:type="dxa"/>
            <w:shd w:val="clear" w:color="auto" w:fill="auto"/>
          </w:tcPr>
          <w:p w:rsidR="00554E43" w:rsidRPr="00554E43" w:rsidRDefault="00554E43" w:rsidP="009D7B78">
            <w:pPr>
              <w:keepNext/>
              <w:spacing w:line="360" w:lineRule="auto"/>
              <w:rPr>
                <w:sz w:val="26"/>
                <w:szCs w:val="26"/>
              </w:rPr>
            </w:pPr>
            <w:r w:rsidRPr="00554E43">
              <w:rPr>
                <w:sz w:val="26"/>
                <w:szCs w:val="26"/>
              </w:rPr>
              <w:t>Heating DDs</w:t>
            </w:r>
          </w:p>
        </w:tc>
        <w:tc>
          <w:tcPr>
            <w:tcW w:w="2700" w:type="dxa"/>
            <w:shd w:val="clear" w:color="auto" w:fill="auto"/>
          </w:tcPr>
          <w:p w:rsidR="00554E43" w:rsidRPr="00554E43" w:rsidRDefault="00554E43" w:rsidP="009D7B78">
            <w:pPr>
              <w:keepNext/>
              <w:spacing w:line="360" w:lineRule="auto"/>
              <w:rPr>
                <w:sz w:val="26"/>
                <w:szCs w:val="26"/>
              </w:rPr>
            </w:pPr>
            <w:r w:rsidRPr="00554E43">
              <w:rPr>
                <w:sz w:val="26"/>
                <w:szCs w:val="26"/>
              </w:rPr>
              <w:t>Transaction Amount</w:t>
            </w:r>
          </w:p>
        </w:tc>
      </w:tr>
      <w:tr w:rsidR="00554E43" w:rsidRPr="00554E43" w:rsidTr="00461ED0">
        <w:tc>
          <w:tcPr>
            <w:tcW w:w="1566" w:type="dxa"/>
            <w:shd w:val="clear" w:color="auto" w:fill="auto"/>
          </w:tcPr>
          <w:p w:rsidR="00554E43" w:rsidRPr="00554E43" w:rsidRDefault="00554E43" w:rsidP="009D7B78">
            <w:pPr>
              <w:keepNext/>
              <w:spacing w:line="360" w:lineRule="auto"/>
              <w:rPr>
                <w:sz w:val="26"/>
                <w:szCs w:val="26"/>
              </w:rPr>
            </w:pPr>
            <w:r w:rsidRPr="00554E43">
              <w:rPr>
                <w:sz w:val="26"/>
                <w:szCs w:val="26"/>
              </w:rPr>
              <w:t>01/11/2012</w:t>
            </w:r>
          </w:p>
        </w:tc>
        <w:tc>
          <w:tcPr>
            <w:tcW w:w="1494" w:type="dxa"/>
            <w:shd w:val="clear" w:color="auto" w:fill="auto"/>
          </w:tcPr>
          <w:p w:rsidR="00554E43" w:rsidRPr="00554E43" w:rsidRDefault="00554E43" w:rsidP="009D7B78">
            <w:pPr>
              <w:keepNext/>
              <w:spacing w:line="360" w:lineRule="auto"/>
              <w:rPr>
                <w:sz w:val="26"/>
                <w:szCs w:val="26"/>
              </w:rPr>
            </w:pPr>
            <w:r w:rsidRPr="00554E43">
              <w:rPr>
                <w:sz w:val="26"/>
                <w:szCs w:val="26"/>
              </w:rPr>
              <w:t>33</w:t>
            </w:r>
          </w:p>
        </w:tc>
        <w:tc>
          <w:tcPr>
            <w:tcW w:w="1800" w:type="dxa"/>
            <w:shd w:val="clear" w:color="auto" w:fill="auto"/>
          </w:tcPr>
          <w:p w:rsidR="00554E43" w:rsidRPr="00554E43" w:rsidRDefault="00554E43" w:rsidP="009D7B78">
            <w:pPr>
              <w:keepNext/>
              <w:spacing w:line="360" w:lineRule="auto"/>
              <w:rPr>
                <w:sz w:val="26"/>
                <w:szCs w:val="26"/>
              </w:rPr>
            </w:pPr>
            <w:r w:rsidRPr="00554E43">
              <w:rPr>
                <w:sz w:val="26"/>
                <w:szCs w:val="26"/>
              </w:rPr>
              <w:t>801</w:t>
            </w:r>
          </w:p>
        </w:tc>
        <w:tc>
          <w:tcPr>
            <w:tcW w:w="2700" w:type="dxa"/>
            <w:shd w:val="clear" w:color="auto" w:fill="auto"/>
          </w:tcPr>
          <w:p w:rsidR="00554E43" w:rsidRPr="00554E43" w:rsidRDefault="00554E43" w:rsidP="009D7B78">
            <w:pPr>
              <w:keepNext/>
              <w:spacing w:line="360" w:lineRule="auto"/>
              <w:rPr>
                <w:sz w:val="26"/>
                <w:szCs w:val="26"/>
              </w:rPr>
            </w:pPr>
            <w:r w:rsidRPr="00554E43">
              <w:rPr>
                <w:sz w:val="26"/>
                <w:szCs w:val="26"/>
              </w:rPr>
              <w:t>$64.65</w:t>
            </w:r>
          </w:p>
        </w:tc>
      </w:tr>
      <w:tr w:rsidR="00554E43" w:rsidRPr="00554E43" w:rsidTr="00461ED0">
        <w:tc>
          <w:tcPr>
            <w:tcW w:w="1566" w:type="dxa"/>
            <w:shd w:val="clear" w:color="auto" w:fill="auto"/>
          </w:tcPr>
          <w:p w:rsidR="00554E43" w:rsidRPr="00554E43" w:rsidRDefault="00554E43" w:rsidP="009D7B78">
            <w:pPr>
              <w:keepNext/>
              <w:spacing w:line="360" w:lineRule="auto"/>
              <w:rPr>
                <w:sz w:val="26"/>
                <w:szCs w:val="26"/>
              </w:rPr>
            </w:pPr>
            <w:r w:rsidRPr="00554E43">
              <w:rPr>
                <w:sz w:val="26"/>
                <w:szCs w:val="26"/>
              </w:rPr>
              <w:t>02/10/2012</w:t>
            </w:r>
          </w:p>
        </w:tc>
        <w:tc>
          <w:tcPr>
            <w:tcW w:w="1494" w:type="dxa"/>
            <w:shd w:val="clear" w:color="auto" w:fill="auto"/>
          </w:tcPr>
          <w:p w:rsidR="00554E43" w:rsidRPr="00554E43" w:rsidRDefault="00554E43" w:rsidP="009D7B78">
            <w:pPr>
              <w:keepNext/>
              <w:spacing w:line="360" w:lineRule="auto"/>
              <w:rPr>
                <w:sz w:val="26"/>
                <w:szCs w:val="26"/>
              </w:rPr>
            </w:pPr>
            <w:r w:rsidRPr="00554E43">
              <w:rPr>
                <w:sz w:val="26"/>
                <w:szCs w:val="26"/>
              </w:rPr>
              <w:t>48</w:t>
            </w:r>
          </w:p>
        </w:tc>
        <w:tc>
          <w:tcPr>
            <w:tcW w:w="1800" w:type="dxa"/>
            <w:shd w:val="clear" w:color="auto" w:fill="auto"/>
          </w:tcPr>
          <w:p w:rsidR="00554E43" w:rsidRPr="00554E43" w:rsidRDefault="00554E43" w:rsidP="009D7B78">
            <w:pPr>
              <w:keepNext/>
              <w:spacing w:line="360" w:lineRule="auto"/>
              <w:rPr>
                <w:sz w:val="26"/>
                <w:szCs w:val="26"/>
              </w:rPr>
            </w:pPr>
            <w:r w:rsidRPr="00554E43">
              <w:rPr>
                <w:sz w:val="26"/>
                <w:szCs w:val="26"/>
              </w:rPr>
              <w:t>771</w:t>
            </w:r>
          </w:p>
        </w:tc>
        <w:tc>
          <w:tcPr>
            <w:tcW w:w="2700" w:type="dxa"/>
            <w:shd w:val="clear" w:color="auto" w:fill="auto"/>
          </w:tcPr>
          <w:p w:rsidR="00554E43" w:rsidRPr="00554E43" w:rsidRDefault="00554E43" w:rsidP="009D7B78">
            <w:pPr>
              <w:keepNext/>
              <w:spacing w:line="360" w:lineRule="auto"/>
              <w:rPr>
                <w:sz w:val="26"/>
                <w:szCs w:val="26"/>
              </w:rPr>
            </w:pPr>
            <w:r w:rsidRPr="00554E43">
              <w:rPr>
                <w:sz w:val="26"/>
                <w:szCs w:val="26"/>
              </w:rPr>
              <w:t>$90.83</w:t>
            </w:r>
          </w:p>
        </w:tc>
      </w:tr>
      <w:tr w:rsidR="00554E43" w:rsidRPr="00554E43" w:rsidTr="00461ED0">
        <w:tc>
          <w:tcPr>
            <w:tcW w:w="1566" w:type="dxa"/>
            <w:shd w:val="clear" w:color="auto" w:fill="auto"/>
          </w:tcPr>
          <w:p w:rsidR="00554E43" w:rsidRPr="00554E43" w:rsidRDefault="00554E43" w:rsidP="009D7B78">
            <w:pPr>
              <w:keepNext/>
              <w:spacing w:line="360" w:lineRule="auto"/>
              <w:rPr>
                <w:b/>
                <w:sz w:val="26"/>
                <w:szCs w:val="26"/>
              </w:rPr>
            </w:pPr>
            <w:r w:rsidRPr="00554E43">
              <w:rPr>
                <w:b/>
                <w:sz w:val="26"/>
                <w:szCs w:val="26"/>
              </w:rPr>
              <w:t>03/13/2012</w:t>
            </w:r>
          </w:p>
        </w:tc>
        <w:tc>
          <w:tcPr>
            <w:tcW w:w="1494" w:type="dxa"/>
            <w:shd w:val="clear" w:color="auto" w:fill="auto"/>
          </w:tcPr>
          <w:p w:rsidR="00554E43" w:rsidRPr="00554E43" w:rsidRDefault="00554E43" w:rsidP="009D7B78">
            <w:pPr>
              <w:keepNext/>
              <w:spacing w:line="360" w:lineRule="auto"/>
              <w:rPr>
                <w:b/>
                <w:sz w:val="26"/>
                <w:szCs w:val="26"/>
              </w:rPr>
            </w:pPr>
            <w:r w:rsidRPr="00554E43">
              <w:rPr>
                <w:b/>
                <w:sz w:val="26"/>
                <w:szCs w:val="26"/>
              </w:rPr>
              <w:t>0</w:t>
            </w:r>
          </w:p>
        </w:tc>
        <w:tc>
          <w:tcPr>
            <w:tcW w:w="1800" w:type="dxa"/>
            <w:shd w:val="clear" w:color="auto" w:fill="auto"/>
          </w:tcPr>
          <w:p w:rsidR="00554E43" w:rsidRPr="00554E43" w:rsidRDefault="00554E43" w:rsidP="009D7B78">
            <w:pPr>
              <w:keepNext/>
              <w:spacing w:line="360" w:lineRule="auto"/>
              <w:rPr>
                <w:b/>
                <w:sz w:val="26"/>
                <w:szCs w:val="26"/>
              </w:rPr>
            </w:pPr>
            <w:r w:rsidRPr="00554E43">
              <w:rPr>
                <w:b/>
                <w:sz w:val="26"/>
                <w:szCs w:val="26"/>
              </w:rPr>
              <w:t>703</w:t>
            </w:r>
          </w:p>
        </w:tc>
        <w:tc>
          <w:tcPr>
            <w:tcW w:w="2700" w:type="dxa"/>
            <w:shd w:val="clear" w:color="auto" w:fill="auto"/>
          </w:tcPr>
          <w:p w:rsidR="00554E43" w:rsidRPr="00554E43" w:rsidRDefault="00554E43" w:rsidP="009D7B78">
            <w:pPr>
              <w:keepNext/>
              <w:spacing w:line="360" w:lineRule="auto"/>
              <w:rPr>
                <w:b/>
                <w:sz w:val="26"/>
                <w:szCs w:val="26"/>
              </w:rPr>
            </w:pPr>
            <w:r w:rsidRPr="00554E43">
              <w:rPr>
                <w:b/>
                <w:sz w:val="26"/>
                <w:szCs w:val="26"/>
              </w:rPr>
              <w:t>$12.00</w:t>
            </w:r>
          </w:p>
        </w:tc>
      </w:tr>
      <w:tr w:rsidR="00554E43" w:rsidRPr="00554E43" w:rsidTr="00461ED0">
        <w:tc>
          <w:tcPr>
            <w:tcW w:w="1566" w:type="dxa"/>
            <w:shd w:val="clear" w:color="auto" w:fill="auto"/>
          </w:tcPr>
          <w:p w:rsidR="00554E43" w:rsidRPr="00554E43" w:rsidRDefault="00554E43" w:rsidP="009D7B78">
            <w:pPr>
              <w:keepNext/>
              <w:spacing w:line="360" w:lineRule="auto"/>
              <w:rPr>
                <w:sz w:val="26"/>
                <w:szCs w:val="26"/>
              </w:rPr>
            </w:pPr>
            <w:r w:rsidRPr="00554E43">
              <w:rPr>
                <w:sz w:val="26"/>
                <w:szCs w:val="26"/>
              </w:rPr>
              <w:t>11/10/2012</w:t>
            </w:r>
          </w:p>
        </w:tc>
        <w:tc>
          <w:tcPr>
            <w:tcW w:w="1494" w:type="dxa"/>
            <w:shd w:val="clear" w:color="auto" w:fill="auto"/>
          </w:tcPr>
          <w:p w:rsidR="00554E43" w:rsidRPr="00554E43" w:rsidRDefault="00554E43" w:rsidP="009D7B78">
            <w:pPr>
              <w:keepNext/>
              <w:spacing w:line="360" w:lineRule="auto"/>
              <w:rPr>
                <w:sz w:val="26"/>
                <w:szCs w:val="26"/>
              </w:rPr>
            </w:pPr>
            <w:r w:rsidRPr="00554E43">
              <w:rPr>
                <w:sz w:val="26"/>
                <w:szCs w:val="26"/>
              </w:rPr>
              <w:t>31</w:t>
            </w:r>
          </w:p>
        </w:tc>
        <w:tc>
          <w:tcPr>
            <w:tcW w:w="1800" w:type="dxa"/>
            <w:shd w:val="clear" w:color="auto" w:fill="auto"/>
          </w:tcPr>
          <w:p w:rsidR="00554E43" w:rsidRPr="00554E43" w:rsidRDefault="00554E43" w:rsidP="009D7B78">
            <w:pPr>
              <w:keepNext/>
              <w:spacing w:line="360" w:lineRule="auto"/>
              <w:rPr>
                <w:sz w:val="26"/>
                <w:szCs w:val="26"/>
              </w:rPr>
            </w:pPr>
            <w:r w:rsidRPr="00554E43">
              <w:rPr>
                <w:sz w:val="26"/>
                <w:szCs w:val="26"/>
              </w:rPr>
              <w:t>320</w:t>
            </w:r>
          </w:p>
        </w:tc>
        <w:tc>
          <w:tcPr>
            <w:tcW w:w="2700" w:type="dxa"/>
            <w:shd w:val="clear" w:color="auto" w:fill="auto"/>
          </w:tcPr>
          <w:p w:rsidR="00554E43" w:rsidRPr="00554E43" w:rsidRDefault="00554E43" w:rsidP="009D7B78">
            <w:pPr>
              <w:keepNext/>
              <w:spacing w:line="360" w:lineRule="auto"/>
              <w:rPr>
                <w:sz w:val="26"/>
                <w:szCs w:val="26"/>
              </w:rPr>
            </w:pPr>
            <w:r w:rsidRPr="00554E43">
              <w:rPr>
                <w:sz w:val="26"/>
                <w:szCs w:val="26"/>
              </w:rPr>
              <w:t>$55.49</w:t>
            </w:r>
          </w:p>
        </w:tc>
      </w:tr>
      <w:tr w:rsidR="00554E43" w:rsidRPr="00554E43" w:rsidTr="00461ED0">
        <w:tc>
          <w:tcPr>
            <w:tcW w:w="1566" w:type="dxa"/>
            <w:shd w:val="clear" w:color="auto" w:fill="auto"/>
          </w:tcPr>
          <w:p w:rsidR="00554E43" w:rsidRPr="00554E43" w:rsidRDefault="00554E43" w:rsidP="009D7B78">
            <w:pPr>
              <w:keepNext/>
              <w:spacing w:line="360" w:lineRule="auto"/>
              <w:rPr>
                <w:sz w:val="26"/>
                <w:szCs w:val="26"/>
              </w:rPr>
            </w:pPr>
            <w:r w:rsidRPr="00554E43">
              <w:rPr>
                <w:sz w:val="26"/>
                <w:szCs w:val="26"/>
              </w:rPr>
              <w:t>12/12/2012</w:t>
            </w:r>
          </w:p>
        </w:tc>
        <w:tc>
          <w:tcPr>
            <w:tcW w:w="1494" w:type="dxa"/>
            <w:shd w:val="clear" w:color="auto" w:fill="auto"/>
          </w:tcPr>
          <w:p w:rsidR="00554E43" w:rsidRPr="00554E43" w:rsidRDefault="00554E43" w:rsidP="009D7B78">
            <w:pPr>
              <w:keepNext/>
              <w:spacing w:line="360" w:lineRule="auto"/>
              <w:rPr>
                <w:sz w:val="26"/>
                <w:szCs w:val="26"/>
              </w:rPr>
            </w:pPr>
            <w:r w:rsidRPr="00554E43">
              <w:rPr>
                <w:sz w:val="26"/>
                <w:szCs w:val="26"/>
              </w:rPr>
              <w:t>50</w:t>
            </w:r>
          </w:p>
        </w:tc>
        <w:tc>
          <w:tcPr>
            <w:tcW w:w="1800" w:type="dxa"/>
            <w:shd w:val="clear" w:color="auto" w:fill="auto"/>
          </w:tcPr>
          <w:p w:rsidR="00554E43" w:rsidRPr="00554E43" w:rsidRDefault="00554E43" w:rsidP="009D7B78">
            <w:pPr>
              <w:keepNext/>
              <w:spacing w:line="360" w:lineRule="auto"/>
              <w:rPr>
                <w:sz w:val="26"/>
                <w:szCs w:val="26"/>
              </w:rPr>
            </w:pPr>
            <w:r w:rsidRPr="00554E43">
              <w:rPr>
                <w:sz w:val="26"/>
                <w:szCs w:val="26"/>
              </w:rPr>
              <w:t>634</w:t>
            </w:r>
          </w:p>
        </w:tc>
        <w:tc>
          <w:tcPr>
            <w:tcW w:w="2700" w:type="dxa"/>
            <w:shd w:val="clear" w:color="auto" w:fill="auto"/>
          </w:tcPr>
          <w:p w:rsidR="00554E43" w:rsidRPr="00554E43" w:rsidRDefault="00554E43" w:rsidP="009D7B78">
            <w:pPr>
              <w:keepNext/>
              <w:spacing w:line="360" w:lineRule="auto"/>
              <w:rPr>
                <w:sz w:val="26"/>
                <w:szCs w:val="26"/>
              </w:rPr>
            </w:pPr>
            <w:r w:rsidRPr="00554E43">
              <w:rPr>
                <w:sz w:val="26"/>
                <w:szCs w:val="26"/>
              </w:rPr>
              <w:t>$84.43</w:t>
            </w:r>
          </w:p>
        </w:tc>
      </w:tr>
    </w:tbl>
    <w:p w:rsidR="00554E43" w:rsidRPr="00554E43" w:rsidRDefault="00554E43" w:rsidP="009D7B78">
      <w:pPr>
        <w:keepNext/>
        <w:spacing w:line="360" w:lineRule="auto"/>
        <w:rPr>
          <w:sz w:val="26"/>
          <w:szCs w:val="26"/>
        </w:rPr>
      </w:pPr>
    </w:p>
    <w:p w:rsidR="00554E43" w:rsidRPr="00554E43" w:rsidRDefault="00554E43" w:rsidP="009D7B78">
      <w:pPr>
        <w:keepNext/>
        <w:spacing w:line="360" w:lineRule="auto"/>
        <w:rPr>
          <w:sz w:val="26"/>
          <w:szCs w:val="26"/>
        </w:rPr>
      </w:pPr>
      <w:r>
        <w:rPr>
          <w:sz w:val="26"/>
          <w:szCs w:val="26"/>
        </w:rPr>
        <w:t xml:space="preserve">I.D. at 7; </w:t>
      </w:r>
      <w:r w:rsidRPr="00554E43">
        <w:rPr>
          <w:sz w:val="26"/>
          <w:szCs w:val="26"/>
        </w:rPr>
        <w:t>Tr. 15-16, Exh</w:t>
      </w:r>
      <w:r w:rsidR="007B6FD8">
        <w:rPr>
          <w:sz w:val="26"/>
          <w:szCs w:val="26"/>
        </w:rPr>
        <w:t>.</w:t>
      </w:r>
      <w:r w:rsidRPr="00554E43">
        <w:rPr>
          <w:sz w:val="26"/>
          <w:szCs w:val="26"/>
        </w:rPr>
        <w:t xml:space="preserve"> 1.</w:t>
      </w:r>
    </w:p>
    <w:p w:rsidR="005B297A" w:rsidRPr="00554E43" w:rsidRDefault="005B297A" w:rsidP="005B297A">
      <w:pPr>
        <w:widowControl/>
        <w:spacing w:line="360" w:lineRule="auto"/>
        <w:ind w:firstLine="1440"/>
        <w:rPr>
          <w:sz w:val="26"/>
          <w:szCs w:val="26"/>
        </w:rPr>
      </w:pPr>
    </w:p>
    <w:p w:rsidR="00554E43" w:rsidRDefault="00554E43" w:rsidP="00554E43">
      <w:pPr>
        <w:widowControl/>
        <w:spacing w:line="360" w:lineRule="auto"/>
        <w:rPr>
          <w:sz w:val="26"/>
          <w:szCs w:val="26"/>
        </w:rPr>
      </w:pPr>
      <w:r>
        <w:rPr>
          <w:sz w:val="26"/>
          <w:szCs w:val="26"/>
        </w:rPr>
        <w:tab/>
      </w:r>
      <w:r>
        <w:rPr>
          <w:sz w:val="26"/>
          <w:szCs w:val="26"/>
        </w:rPr>
        <w:tab/>
        <w:t>D</w:t>
      </w:r>
      <w:r w:rsidR="00466363">
        <w:rPr>
          <w:sz w:val="26"/>
          <w:szCs w:val="26"/>
        </w:rPr>
        <w:t>espite unusually low gas</w:t>
      </w:r>
      <w:r>
        <w:rPr>
          <w:sz w:val="26"/>
          <w:szCs w:val="26"/>
        </w:rPr>
        <w:t xml:space="preserve"> </w:t>
      </w:r>
      <w:r w:rsidR="00466363">
        <w:rPr>
          <w:sz w:val="26"/>
          <w:szCs w:val="26"/>
        </w:rPr>
        <w:t xml:space="preserve">consumption </w:t>
      </w:r>
      <w:r>
        <w:rPr>
          <w:sz w:val="26"/>
          <w:szCs w:val="26"/>
        </w:rPr>
        <w:t xml:space="preserve">readings </w:t>
      </w:r>
      <w:r w:rsidR="00C90D5A">
        <w:rPr>
          <w:sz w:val="26"/>
          <w:szCs w:val="26"/>
        </w:rPr>
        <w:t xml:space="preserve">occurring over several years, </w:t>
      </w:r>
      <w:r w:rsidR="00466363">
        <w:rPr>
          <w:sz w:val="26"/>
          <w:szCs w:val="26"/>
        </w:rPr>
        <w:t xml:space="preserve">during months in which there were high degree day measurements, PGW failed to recognize or identify a problem with the Complainant’s meter.  It was not until March 20, 2012, that PGW generated a Usage Discrepancy Investigation Order for the Complainant’s account.  </w:t>
      </w:r>
      <w:r w:rsidR="007B6FD8">
        <w:rPr>
          <w:sz w:val="26"/>
          <w:szCs w:val="26"/>
        </w:rPr>
        <w:t xml:space="preserve">According to PGW’s witness, a new program is now in place which triggered </w:t>
      </w:r>
      <w:r w:rsidR="00B52911">
        <w:rPr>
          <w:sz w:val="26"/>
          <w:szCs w:val="26"/>
        </w:rPr>
        <w:t>the</w:t>
      </w:r>
      <w:r w:rsidR="007B6FD8">
        <w:rPr>
          <w:sz w:val="26"/>
          <w:szCs w:val="26"/>
        </w:rPr>
        <w:t xml:space="preserve"> investigation after the</w:t>
      </w:r>
      <w:r w:rsidR="006A57FA">
        <w:rPr>
          <w:sz w:val="26"/>
          <w:szCs w:val="26"/>
        </w:rPr>
        <w:t xml:space="preserve"> last</w:t>
      </w:r>
      <w:r w:rsidR="007B6FD8">
        <w:rPr>
          <w:sz w:val="26"/>
          <w:szCs w:val="26"/>
        </w:rPr>
        <w:t xml:space="preserve"> 0 CCF reading on March 13, 2012.  </w:t>
      </w:r>
      <w:r w:rsidR="00B52911">
        <w:rPr>
          <w:sz w:val="26"/>
          <w:szCs w:val="26"/>
        </w:rPr>
        <w:t xml:space="preserve">Tr. at 20.  </w:t>
      </w:r>
      <w:r w:rsidR="00466363">
        <w:rPr>
          <w:sz w:val="26"/>
          <w:szCs w:val="26"/>
        </w:rPr>
        <w:t xml:space="preserve">On cross examination, PGW’s witness explained that the </w:t>
      </w:r>
      <w:r w:rsidR="006F2932">
        <w:rPr>
          <w:sz w:val="26"/>
          <w:szCs w:val="26"/>
        </w:rPr>
        <w:t xml:space="preserve">prior </w:t>
      </w:r>
      <w:r w:rsidR="00466363">
        <w:rPr>
          <w:sz w:val="26"/>
          <w:szCs w:val="26"/>
        </w:rPr>
        <w:t>program</w:t>
      </w:r>
      <w:r w:rsidR="00D2444D">
        <w:rPr>
          <w:sz w:val="26"/>
          <w:szCs w:val="26"/>
        </w:rPr>
        <w:t>,</w:t>
      </w:r>
      <w:r w:rsidR="00466363">
        <w:rPr>
          <w:sz w:val="26"/>
          <w:szCs w:val="26"/>
        </w:rPr>
        <w:t xml:space="preserve"> </w:t>
      </w:r>
      <w:r w:rsidR="006F2932">
        <w:rPr>
          <w:sz w:val="26"/>
          <w:szCs w:val="26"/>
        </w:rPr>
        <w:t xml:space="preserve">used during most of </w:t>
      </w:r>
      <w:r w:rsidR="007B6FD8">
        <w:rPr>
          <w:sz w:val="26"/>
          <w:szCs w:val="26"/>
        </w:rPr>
        <w:t>the</w:t>
      </w:r>
      <w:r w:rsidR="006F2932">
        <w:rPr>
          <w:sz w:val="26"/>
          <w:szCs w:val="26"/>
        </w:rPr>
        <w:t xml:space="preserve"> time</w:t>
      </w:r>
      <w:r w:rsidR="00466363">
        <w:rPr>
          <w:sz w:val="26"/>
          <w:szCs w:val="26"/>
        </w:rPr>
        <w:t xml:space="preserve"> period </w:t>
      </w:r>
      <w:r w:rsidR="007B6FD8">
        <w:rPr>
          <w:sz w:val="26"/>
          <w:szCs w:val="26"/>
        </w:rPr>
        <w:t>in question</w:t>
      </w:r>
      <w:r w:rsidR="00D2444D">
        <w:rPr>
          <w:sz w:val="26"/>
          <w:szCs w:val="26"/>
        </w:rPr>
        <w:t>,</w:t>
      </w:r>
      <w:r w:rsidR="007B6FD8">
        <w:rPr>
          <w:sz w:val="26"/>
          <w:szCs w:val="26"/>
        </w:rPr>
        <w:t xml:space="preserve"> </w:t>
      </w:r>
      <w:r w:rsidR="00466363">
        <w:rPr>
          <w:sz w:val="26"/>
          <w:szCs w:val="26"/>
        </w:rPr>
        <w:t xml:space="preserve">required three straight months of 0 CCF readings </w:t>
      </w:r>
      <w:r w:rsidR="006F2932">
        <w:rPr>
          <w:sz w:val="26"/>
          <w:szCs w:val="26"/>
        </w:rPr>
        <w:t xml:space="preserve">before PGW would conduct an investigation.  Tr. at 26.  </w:t>
      </w:r>
      <w:r w:rsidR="00B52911">
        <w:rPr>
          <w:sz w:val="26"/>
          <w:szCs w:val="26"/>
        </w:rPr>
        <w:t xml:space="preserve">The witness did not know when </w:t>
      </w:r>
      <w:r w:rsidR="00C90D5A">
        <w:rPr>
          <w:sz w:val="26"/>
          <w:szCs w:val="26"/>
        </w:rPr>
        <w:t>PGW’s</w:t>
      </w:r>
      <w:r w:rsidR="00B52911">
        <w:rPr>
          <w:sz w:val="26"/>
          <w:szCs w:val="26"/>
        </w:rPr>
        <w:t xml:space="preserve"> new usage discrepancy program was put in place.  </w:t>
      </w:r>
      <w:r w:rsidR="00B52911">
        <w:rPr>
          <w:i/>
          <w:sz w:val="26"/>
          <w:szCs w:val="26"/>
        </w:rPr>
        <w:t>Id.</w:t>
      </w:r>
    </w:p>
    <w:p w:rsidR="00006C63" w:rsidRDefault="00006C63" w:rsidP="00554E43">
      <w:pPr>
        <w:widowControl/>
        <w:spacing w:line="360" w:lineRule="auto"/>
        <w:rPr>
          <w:sz w:val="26"/>
          <w:szCs w:val="26"/>
        </w:rPr>
      </w:pPr>
    </w:p>
    <w:p w:rsidR="00263C1B" w:rsidRDefault="00C90D5A" w:rsidP="005B297A">
      <w:pPr>
        <w:widowControl/>
        <w:spacing w:line="360" w:lineRule="auto"/>
        <w:ind w:firstLine="1440"/>
        <w:rPr>
          <w:sz w:val="26"/>
          <w:szCs w:val="26"/>
        </w:rPr>
      </w:pPr>
      <w:r>
        <w:rPr>
          <w:sz w:val="26"/>
          <w:szCs w:val="26"/>
        </w:rPr>
        <w:t xml:space="preserve">Upon review of the record, we </w:t>
      </w:r>
      <w:r w:rsidR="00263C1B">
        <w:rPr>
          <w:sz w:val="26"/>
          <w:szCs w:val="26"/>
        </w:rPr>
        <w:t xml:space="preserve">conclude that it is reasonable to authorize a rate preference to the Complainant in the form of a conservation credit.  If PGW’s current program of identifying usage discrepancies were in place in 2006, it </w:t>
      </w:r>
      <w:r w:rsidR="003C0D63">
        <w:rPr>
          <w:sz w:val="26"/>
          <w:szCs w:val="26"/>
        </w:rPr>
        <w:t>is likely that it would have</w:t>
      </w:r>
      <w:r w:rsidR="00263C1B">
        <w:rPr>
          <w:sz w:val="26"/>
          <w:szCs w:val="26"/>
        </w:rPr>
        <w:t xml:space="preserve"> identified the problem with the meter at that time</w:t>
      </w:r>
      <w:r w:rsidR="00B349BB">
        <w:rPr>
          <w:sz w:val="26"/>
          <w:szCs w:val="26"/>
        </w:rPr>
        <w:t xml:space="preserve">.  Thereafter, the Complainant would have received correct price signals, </w:t>
      </w:r>
      <w:r w:rsidR="00263C1B">
        <w:rPr>
          <w:sz w:val="26"/>
          <w:szCs w:val="26"/>
        </w:rPr>
        <w:t>which</w:t>
      </w:r>
      <w:r w:rsidR="00B349BB">
        <w:rPr>
          <w:sz w:val="26"/>
          <w:szCs w:val="26"/>
        </w:rPr>
        <w:t>,</w:t>
      </w:r>
      <w:r w:rsidR="00263C1B">
        <w:rPr>
          <w:sz w:val="26"/>
          <w:szCs w:val="26"/>
        </w:rPr>
        <w:t xml:space="preserve"> </w:t>
      </w:r>
      <w:r w:rsidR="00B349BB">
        <w:rPr>
          <w:sz w:val="26"/>
          <w:szCs w:val="26"/>
        </w:rPr>
        <w:t xml:space="preserve">ultimately, </w:t>
      </w:r>
      <w:r w:rsidR="003C0D63">
        <w:rPr>
          <w:sz w:val="26"/>
          <w:szCs w:val="26"/>
        </w:rPr>
        <w:t xml:space="preserve">may </w:t>
      </w:r>
      <w:r w:rsidR="00263C1B">
        <w:rPr>
          <w:sz w:val="26"/>
          <w:szCs w:val="26"/>
        </w:rPr>
        <w:t xml:space="preserve">have prevented this </w:t>
      </w:r>
      <w:r w:rsidR="00263C1B">
        <w:rPr>
          <w:sz w:val="26"/>
          <w:szCs w:val="26"/>
        </w:rPr>
        <w:lastRenderedPageBreak/>
        <w:t xml:space="preserve">dispute.  </w:t>
      </w:r>
      <w:r w:rsidR="00B349BB">
        <w:rPr>
          <w:sz w:val="26"/>
          <w:szCs w:val="26"/>
        </w:rPr>
        <w:t xml:space="preserve">Accordingly, we reject PGW’s first argument that the conservation credit constitutes compensatory damages.  </w:t>
      </w:r>
    </w:p>
    <w:p w:rsidR="00C51EC7" w:rsidRDefault="00C51EC7" w:rsidP="005B297A">
      <w:pPr>
        <w:widowControl/>
        <w:spacing w:line="360" w:lineRule="auto"/>
        <w:ind w:firstLine="1440"/>
        <w:rPr>
          <w:sz w:val="26"/>
          <w:szCs w:val="26"/>
        </w:rPr>
      </w:pPr>
    </w:p>
    <w:p w:rsidR="00D9576F" w:rsidRDefault="006A57FA" w:rsidP="005B297A">
      <w:pPr>
        <w:widowControl/>
        <w:spacing w:line="360" w:lineRule="auto"/>
        <w:ind w:firstLine="1440"/>
        <w:rPr>
          <w:sz w:val="26"/>
          <w:szCs w:val="26"/>
        </w:rPr>
      </w:pPr>
      <w:r>
        <w:rPr>
          <w:sz w:val="26"/>
          <w:szCs w:val="26"/>
        </w:rPr>
        <w:t xml:space="preserve">With regard to PGW’s </w:t>
      </w:r>
      <w:r w:rsidR="00BD78E0">
        <w:rPr>
          <w:sz w:val="26"/>
          <w:szCs w:val="26"/>
        </w:rPr>
        <w:t>alternative</w:t>
      </w:r>
      <w:r>
        <w:rPr>
          <w:sz w:val="26"/>
          <w:szCs w:val="26"/>
        </w:rPr>
        <w:t xml:space="preserve"> argument that </w:t>
      </w:r>
      <w:r w:rsidR="00BD78E0">
        <w:rPr>
          <w:sz w:val="26"/>
          <w:szCs w:val="26"/>
        </w:rPr>
        <w:t xml:space="preserve">the record does not support a twenty percent conservation credit, we </w:t>
      </w:r>
      <w:r w:rsidR="00286A80">
        <w:rPr>
          <w:sz w:val="26"/>
          <w:szCs w:val="26"/>
        </w:rPr>
        <w:t>f</w:t>
      </w:r>
      <w:r w:rsidR="00286A80">
        <w:rPr>
          <w:rFonts w:eastAsia="Calibri"/>
          <w:sz w:val="26"/>
          <w:szCs w:val="26"/>
        </w:rPr>
        <w:t xml:space="preserve">ind that PGW has satisfied the </w:t>
      </w:r>
      <w:r w:rsidR="00286A80">
        <w:rPr>
          <w:rFonts w:eastAsia="Calibri"/>
          <w:i/>
          <w:sz w:val="26"/>
          <w:szCs w:val="26"/>
        </w:rPr>
        <w:t>Duick</w:t>
      </w:r>
      <w:r w:rsidR="00286A80">
        <w:rPr>
          <w:rFonts w:eastAsia="Calibri"/>
          <w:sz w:val="26"/>
          <w:szCs w:val="26"/>
        </w:rPr>
        <w:t xml:space="preserve"> standards for reconsideration by setting forth new arguments that were not previously considered in our </w:t>
      </w:r>
      <w:r w:rsidR="00286A80">
        <w:rPr>
          <w:i/>
          <w:sz w:val="26"/>
          <w:szCs w:val="26"/>
        </w:rPr>
        <w:t>February 2014 Order</w:t>
      </w:r>
      <w:r w:rsidR="00286A80">
        <w:rPr>
          <w:sz w:val="26"/>
          <w:szCs w:val="26"/>
        </w:rPr>
        <w:t xml:space="preserve">.  </w:t>
      </w:r>
    </w:p>
    <w:p w:rsidR="00D9576F" w:rsidRDefault="00D9576F" w:rsidP="005B297A">
      <w:pPr>
        <w:widowControl/>
        <w:spacing w:line="360" w:lineRule="auto"/>
        <w:ind w:firstLine="1440"/>
        <w:rPr>
          <w:sz w:val="26"/>
          <w:szCs w:val="26"/>
        </w:rPr>
      </w:pPr>
    </w:p>
    <w:p w:rsidR="00D9576F" w:rsidRPr="00E602F4" w:rsidRDefault="00286A80" w:rsidP="005B297A">
      <w:pPr>
        <w:widowControl/>
        <w:spacing w:line="360" w:lineRule="auto"/>
        <w:ind w:firstLine="1440"/>
        <w:rPr>
          <w:rFonts w:eastAsia="Calibri"/>
          <w:sz w:val="26"/>
          <w:szCs w:val="26"/>
        </w:rPr>
      </w:pPr>
      <w:r>
        <w:rPr>
          <w:sz w:val="26"/>
          <w:szCs w:val="26"/>
        </w:rPr>
        <w:t xml:space="preserve">In prior cases, PGW agreed to apply a flat twenty percent conservation credit.  </w:t>
      </w:r>
      <w:r w:rsidRPr="007F193A">
        <w:rPr>
          <w:i/>
          <w:sz w:val="26"/>
          <w:szCs w:val="26"/>
        </w:rPr>
        <w:t>See e.g.,</w:t>
      </w:r>
      <w:r>
        <w:rPr>
          <w:sz w:val="26"/>
          <w:szCs w:val="26"/>
        </w:rPr>
        <w:t xml:space="preserve"> </w:t>
      </w:r>
      <w:r>
        <w:rPr>
          <w:i/>
          <w:sz w:val="26"/>
          <w:szCs w:val="26"/>
        </w:rPr>
        <w:t>Irving, supra</w:t>
      </w:r>
      <w:r>
        <w:rPr>
          <w:sz w:val="26"/>
          <w:szCs w:val="26"/>
        </w:rPr>
        <w:t xml:space="preserve">.  </w:t>
      </w:r>
      <w:r w:rsidR="002F1875">
        <w:rPr>
          <w:sz w:val="26"/>
          <w:szCs w:val="26"/>
        </w:rPr>
        <w:t xml:space="preserve"> Additionally i</w:t>
      </w:r>
      <w:r w:rsidR="00D9576F">
        <w:rPr>
          <w:sz w:val="26"/>
          <w:szCs w:val="26"/>
        </w:rPr>
        <w:t>n</w:t>
      </w:r>
      <w:r>
        <w:rPr>
          <w:sz w:val="26"/>
          <w:szCs w:val="26"/>
        </w:rPr>
        <w:t xml:space="preserve"> </w:t>
      </w:r>
      <w:r>
        <w:rPr>
          <w:i/>
          <w:sz w:val="26"/>
          <w:szCs w:val="26"/>
        </w:rPr>
        <w:t>Lewis</w:t>
      </w:r>
      <w:r>
        <w:rPr>
          <w:sz w:val="26"/>
          <w:szCs w:val="26"/>
        </w:rPr>
        <w:t xml:space="preserve">, </w:t>
      </w:r>
      <w:r>
        <w:rPr>
          <w:i/>
          <w:sz w:val="26"/>
          <w:szCs w:val="26"/>
        </w:rPr>
        <w:t>supra</w:t>
      </w:r>
      <w:r>
        <w:rPr>
          <w:sz w:val="26"/>
          <w:szCs w:val="26"/>
        </w:rPr>
        <w:t xml:space="preserve">, we examined the </w:t>
      </w:r>
      <w:r w:rsidR="00610E04">
        <w:rPr>
          <w:sz w:val="26"/>
          <w:szCs w:val="26"/>
        </w:rPr>
        <w:t>complainant</w:t>
      </w:r>
      <w:r>
        <w:rPr>
          <w:sz w:val="26"/>
          <w:szCs w:val="26"/>
        </w:rPr>
        <w:t xml:space="preserve">’s usage </w:t>
      </w:r>
      <w:r w:rsidR="00610E04">
        <w:rPr>
          <w:sz w:val="26"/>
          <w:szCs w:val="26"/>
        </w:rPr>
        <w:t xml:space="preserve">after receiving a new meter and proper price signals and determined that the </w:t>
      </w:r>
      <w:r w:rsidR="00610E04">
        <w:rPr>
          <w:rFonts w:eastAsia="Calibri"/>
          <w:sz w:val="26"/>
          <w:szCs w:val="26"/>
        </w:rPr>
        <w:t xml:space="preserve">twenty percent credit was supported by the </w:t>
      </w:r>
      <w:r w:rsidR="00610E04">
        <w:rPr>
          <w:sz w:val="26"/>
          <w:szCs w:val="26"/>
        </w:rPr>
        <w:t xml:space="preserve">complainant’s </w:t>
      </w:r>
      <w:r w:rsidR="00610E04">
        <w:rPr>
          <w:rFonts w:eastAsia="Calibri"/>
          <w:sz w:val="26"/>
          <w:szCs w:val="26"/>
        </w:rPr>
        <w:t xml:space="preserve">actual reduction in gas usage.  </w:t>
      </w:r>
      <w:r w:rsidR="002F1875">
        <w:rPr>
          <w:rFonts w:eastAsia="Calibri"/>
          <w:sz w:val="26"/>
          <w:szCs w:val="26"/>
        </w:rPr>
        <w:t>In</w:t>
      </w:r>
      <w:r w:rsidR="00D9576F">
        <w:rPr>
          <w:rFonts w:eastAsia="Calibri"/>
          <w:sz w:val="26"/>
          <w:szCs w:val="26"/>
        </w:rPr>
        <w:t xml:space="preserve"> </w:t>
      </w:r>
      <w:r w:rsidR="00D9576F">
        <w:rPr>
          <w:rFonts w:eastAsia="Calibri"/>
          <w:i/>
          <w:sz w:val="26"/>
          <w:szCs w:val="26"/>
        </w:rPr>
        <w:t>Lewis</w:t>
      </w:r>
      <w:r w:rsidR="00D9576F">
        <w:rPr>
          <w:rFonts w:eastAsia="Calibri"/>
          <w:sz w:val="26"/>
          <w:szCs w:val="26"/>
        </w:rPr>
        <w:t xml:space="preserve">, PGW performed a gas usage analysis projecting what the complainant would have consumed prior to correction of the AMR device.  PGW’s analysis also included an estimate of actual consumption during a seventeen month period after the AMR device was fixed.  This analysis indicated that the complainant in </w:t>
      </w:r>
      <w:r w:rsidR="00D9576F">
        <w:rPr>
          <w:rFonts w:eastAsia="Calibri"/>
          <w:i/>
          <w:sz w:val="26"/>
          <w:szCs w:val="26"/>
        </w:rPr>
        <w:t xml:space="preserve">Lewis </w:t>
      </w:r>
      <w:r w:rsidR="00D9576F">
        <w:rPr>
          <w:rFonts w:eastAsia="Calibri"/>
          <w:sz w:val="26"/>
          <w:szCs w:val="26"/>
        </w:rPr>
        <w:t xml:space="preserve">reduced her gas consumption by </w:t>
      </w:r>
      <w:r w:rsidR="00E602F4">
        <w:rPr>
          <w:rFonts w:eastAsia="Calibri"/>
          <w:sz w:val="26"/>
          <w:szCs w:val="26"/>
        </w:rPr>
        <w:t xml:space="preserve">11.7 percent after she began receiving bills for her actual gas consumption.  Thus, we found that PGW’s analysis supported a finding that the 20.9 percent adjustment made by BCS adequately compensated the complainant for the inaccurate price signals she received by being </w:t>
      </w:r>
      <w:r w:rsidR="005D3F58">
        <w:rPr>
          <w:rFonts w:eastAsia="Calibri"/>
          <w:sz w:val="26"/>
          <w:szCs w:val="26"/>
        </w:rPr>
        <w:t>under billed</w:t>
      </w:r>
      <w:r w:rsidR="00E602F4">
        <w:rPr>
          <w:rFonts w:eastAsia="Calibri"/>
          <w:sz w:val="26"/>
          <w:szCs w:val="26"/>
        </w:rPr>
        <w:t xml:space="preserve"> for gas service.  </w:t>
      </w:r>
      <w:r w:rsidR="00E602F4">
        <w:rPr>
          <w:rFonts w:eastAsia="Calibri"/>
          <w:i/>
          <w:sz w:val="26"/>
          <w:szCs w:val="26"/>
        </w:rPr>
        <w:t>Lewis</w:t>
      </w:r>
      <w:r w:rsidR="00E602F4">
        <w:rPr>
          <w:rFonts w:eastAsia="Calibri"/>
          <w:sz w:val="26"/>
          <w:szCs w:val="26"/>
        </w:rPr>
        <w:t xml:space="preserve"> at 6.  </w:t>
      </w:r>
    </w:p>
    <w:p w:rsidR="00D9576F" w:rsidRDefault="00D9576F" w:rsidP="005B297A">
      <w:pPr>
        <w:widowControl/>
        <w:spacing w:line="360" w:lineRule="auto"/>
        <w:ind w:firstLine="1440"/>
        <w:rPr>
          <w:rFonts w:eastAsia="Calibri"/>
          <w:sz w:val="26"/>
          <w:szCs w:val="26"/>
        </w:rPr>
      </w:pPr>
    </w:p>
    <w:p w:rsidR="00C51EC7" w:rsidRPr="00610E04" w:rsidRDefault="00610E04" w:rsidP="005B297A">
      <w:pPr>
        <w:widowControl/>
        <w:spacing w:line="360" w:lineRule="auto"/>
        <w:ind w:firstLine="1440"/>
        <w:rPr>
          <w:sz w:val="26"/>
          <w:szCs w:val="26"/>
        </w:rPr>
      </w:pPr>
      <w:r>
        <w:rPr>
          <w:rFonts w:eastAsia="Calibri"/>
          <w:sz w:val="26"/>
          <w:szCs w:val="26"/>
        </w:rPr>
        <w:t xml:space="preserve">In this case, </w:t>
      </w:r>
      <w:r w:rsidR="00E602F4">
        <w:rPr>
          <w:rFonts w:eastAsia="Calibri"/>
          <w:sz w:val="26"/>
          <w:szCs w:val="26"/>
        </w:rPr>
        <w:t>PGW did not submit a gas usage analysis.  Thus,</w:t>
      </w:r>
      <w:r w:rsidR="00126D2F">
        <w:rPr>
          <w:rFonts w:eastAsia="Calibri"/>
          <w:sz w:val="26"/>
          <w:szCs w:val="26"/>
        </w:rPr>
        <w:t xml:space="preserve"> we do not have the benefit of a comparison of whether </w:t>
      </w:r>
      <w:r w:rsidR="001248B0">
        <w:rPr>
          <w:rFonts w:eastAsia="Calibri"/>
          <w:sz w:val="26"/>
          <w:szCs w:val="26"/>
        </w:rPr>
        <w:t xml:space="preserve">the twenty percent credit is supported by an actual decrease in usage now that the Complainant can judiciously manage his consumption.  Accordingly, we shall remand this matter to the </w:t>
      </w:r>
      <w:r w:rsidR="008476B4">
        <w:rPr>
          <w:rFonts w:eastAsia="Calibri"/>
          <w:sz w:val="26"/>
          <w:szCs w:val="26"/>
        </w:rPr>
        <w:t>OALJ</w:t>
      </w:r>
      <w:r w:rsidR="001248B0">
        <w:rPr>
          <w:rFonts w:eastAsia="Calibri"/>
          <w:sz w:val="26"/>
          <w:szCs w:val="26"/>
        </w:rPr>
        <w:t xml:space="preserve"> for further hearings, as deemed necessary, to determine the </w:t>
      </w:r>
      <w:r w:rsidR="003F1A16">
        <w:rPr>
          <w:rFonts w:eastAsia="Calibri"/>
          <w:sz w:val="26"/>
          <w:szCs w:val="26"/>
        </w:rPr>
        <w:t xml:space="preserve">level of </w:t>
      </w:r>
      <w:r w:rsidR="001248B0">
        <w:rPr>
          <w:rFonts w:eastAsia="Calibri"/>
          <w:sz w:val="26"/>
          <w:szCs w:val="26"/>
        </w:rPr>
        <w:t>conservation credit</w:t>
      </w:r>
      <w:r w:rsidR="007F193A">
        <w:rPr>
          <w:rStyle w:val="CommentReference"/>
        </w:rPr>
        <w:t xml:space="preserve">  </w:t>
      </w:r>
      <w:r w:rsidR="007F193A" w:rsidRPr="007F193A">
        <w:rPr>
          <w:rStyle w:val="CommentReference"/>
          <w:sz w:val="26"/>
          <w:szCs w:val="26"/>
        </w:rPr>
        <w:t>s</w:t>
      </w:r>
      <w:r w:rsidR="001248B0" w:rsidRPr="007F193A">
        <w:rPr>
          <w:rFonts w:eastAsia="Calibri"/>
          <w:sz w:val="26"/>
          <w:szCs w:val="26"/>
        </w:rPr>
        <w:t>u</w:t>
      </w:r>
      <w:r w:rsidR="001248B0">
        <w:rPr>
          <w:rFonts w:eastAsia="Calibri"/>
          <w:sz w:val="26"/>
          <w:szCs w:val="26"/>
        </w:rPr>
        <w:t xml:space="preserve">fficient to remedy the inaccurate price signals that the Complainant received prior to the correction of his </w:t>
      </w:r>
      <w:r w:rsidR="002F1875">
        <w:rPr>
          <w:rFonts w:eastAsia="Calibri"/>
          <w:sz w:val="26"/>
          <w:szCs w:val="26"/>
        </w:rPr>
        <w:t>meter</w:t>
      </w:r>
      <w:r w:rsidR="001248B0">
        <w:rPr>
          <w:rFonts w:eastAsia="Calibri"/>
          <w:sz w:val="26"/>
          <w:szCs w:val="26"/>
        </w:rPr>
        <w:t xml:space="preserve">.  </w:t>
      </w:r>
      <w:r w:rsidR="00557CF0">
        <w:rPr>
          <w:rFonts w:eastAsia="Calibri"/>
          <w:sz w:val="26"/>
          <w:szCs w:val="26"/>
        </w:rPr>
        <w:t>Pursuant to the authority under Section 505 of the Code, 66 Pa. C.S. § 505</w:t>
      </w:r>
      <w:r w:rsidR="001248B0">
        <w:rPr>
          <w:rFonts w:eastAsia="Calibri"/>
          <w:sz w:val="26"/>
          <w:szCs w:val="26"/>
        </w:rPr>
        <w:t xml:space="preserve">, </w:t>
      </w:r>
      <w:r w:rsidR="00557CF0">
        <w:rPr>
          <w:rFonts w:eastAsia="Calibri"/>
          <w:sz w:val="26"/>
          <w:szCs w:val="26"/>
        </w:rPr>
        <w:t xml:space="preserve">pertaining to duty to furnish information to the Commission, </w:t>
      </w:r>
      <w:r w:rsidR="00B25BBC">
        <w:rPr>
          <w:rFonts w:eastAsia="Calibri"/>
          <w:sz w:val="26"/>
          <w:szCs w:val="26"/>
        </w:rPr>
        <w:t xml:space="preserve">we </w:t>
      </w:r>
      <w:r w:rsidR="001248B0">
        <w:rPr>
          <w:rFonts w:eastAsia="Calibri"/>
          <w:sz w:val="26"/>
          <w:szCs w:val="26"/>
        </w:rPr>
        <w:t xml:space="preserve">direct PGW to submit </w:t>
      </w:r>
      <w:r w:rsidR="00B25BBC">
        <w:rPr>
          <w:rFonts w:eastAsia="Calibri"/>
          <w:sz w:val="26"/>
          <w:szCs w:val="26"/>
        </w:rPr>
        <w:lastRenderedPageBreak/>
        <w:t xml:space="preserve">into the record </w:t>
      </w:r>
      <w:r w:rsidR="001248B0">
        <w:rPr>
          <w:rFonts w:eastAsia="Calibri"/>
          <w:sz w:val="26"/>
          <w:szCs w:val="26"/>
        </w:rPr>
        <w:t xml:space="preserve">the results of any gas usage analysis it prepared in </w:t>
      </w:r>
      <w:r w:rsidR="00D70368">
        <w:rPr>
          <w:rFonts w:eastAsia="Calibri"/>
          <w:sz w:val="26"/>
          <w:szCs w:val="26"/>
        </w:rPr>
        <w:t>its investigation of this proceeding</w:t>
      </w:r>
      <w:r w:rsidR="001248B0">
        <w:rPr>
          <w:rFonts w:eastAsia="Calibri"/>
          <w:sz w:val="26"/>
          <w:szCs w:val="26"/>
        </w:rPr>
        <w:t xml:space="preserve">.  If it has not already prepared such an analysis, we direct PGW to prepare a gas usage analysis </w:t>
      </w:r>
      <w:r w:rsidR="00D70368">
        <w:rPr>
          <w:rFonts w:eastAsia="Calibri"/>
          <w:sz w:val="26"/>
          <w:szCs w:val="26"/>
        </w:rPr>
        <w:t xml:space="preserve">estimating what the Complainant’s usage would have been if the </w:t>
      </w:r>
      <w:r w:rsidR="002F1875">
        <w:rPr>
          <w:rFonts w:eastAsia="Calibri"/>
          <w:sz w:val="26"/>
          <w:szCs w:val="26"/>
        </w:rPr>
        <w:t>meter</w:t>
      </w:r>
      <w:r w:rsidR="00D70368">
        <w:rPr>
          <w:rFonts w:eastAsia="Calibri"/>
          <w:sz w:val="26"/>
          <w:szCs w:val="26"/>
        </w:rPr>
        <w:t xml:space="preserve"> were not corrected and a summary of the Complainant’s actual consumption after the </w:t>
      </w:r>
      <w:r w:rsidR="002F1875">
        <w:rPr>
          <w:rFonts w:eastAsia="Calibri"/>
          <w:sz w:val="26"/>
          <w:szCs w:val="26"/>
        </w:rPr>
        <w:t>meter</w:t>
      </w:r>
      <w:r w:rsidR="00D70368">
        <w:rPr>
          <w:rFonts w:eastAsia="Calibri"/>
          <w:sz w:val="26"/>
          <w:szCs w:val="26"/>
        </w:rPr>
        <w:t xml:space="preserve"> was corrected.   </w:t>
      </w:r>
    </w:p>
    <w:p w:rsidR="008401B6" w:rsidRPr="0047121B" w:rsidRDefault="008401B6" w:rsidP="00557CF0">
      <w:pPr>
        <w:widowControl/>
        <w:spacing w:line="360" w:lineRule="auto"/>
        <w:ind w:firstLine="1440"/>
        <w:rPr>
          <w:rFonts w:eastAsia="Calibri"/>
        </w:rPr>
      </w:pPr>
    </w:p>
    <w:p w:rsidR="00F32EB9" w:rsidRPr="00400436" w:rsidRDefault="00F32EB9" w:rsidP="00F32EB9">
      <w:pPr>
        <w:keepNext/>
        <w:widowControl/>
        <w:spacing w:line="360" w:lineRule="auto"/>
        <w:jc w:val="center"/>
        <w:rPr>
          <w:b/>
          <w:sz w:val="26"/>
          <w:szCs w:val="26"/>
        </w:rPr>
      </w:pPr>
      <w:r w:rsidRPr="00400436">
        <w:rPr>
          <w:b/>
          <w:sz w:val="26"/>
          <w:szCs w:val="26"/>
        </w:rPr>
        <w:t>Conclusion</w:t>
      </w:r>
    </w:p>
    <w:p w:rsidR="00F32EB9" w:rsidRPr="00400436" w:rsidRDefault="00F32EB9" w:rsidP="00F32EB9">
      <w:pPr>
        <w:keepNext/>
        <w:widowControl/>
        <w:ind w:firstLine="1440"/>
        <w:rPr>
          <w:sz w:val="26"/>
          <w:szCs w:val="26"/>
        </w:rPr>
      </w:pPr>
    </w:p>
    <w:p w:rsidR="00F32EB9" w:rsidRPr="00400436" w:rsidRDefault="00F32EB9" w:rsidP="00F32EB9">
      <w:pPr>
        <w:keepNext/>
        <w:widowControl/>
        <w:spacing w:line="360" w:lineRule="auto"/>
        <w:ind w:firstLine="1440"/>
        <w:rPr>
          <w:sz w:val="26"/>
          <w:szCs w:val="26"/>
        </w:rPr>
      </w:pPr>
      <w:r w:rsidRPr="00400436">
        <w:rPr>
          <w:sz w:val="26"/>
          <w:szCs w:val="26"/>
        </w:rPr>
        <w:t xml:space="preserve">Consistent with the foregoing discussion, we shall </w:t>
      </w:r>
      <w:r w:rsidR="00557CF0">
        <w:rPr>
          <w:sz w:val="26"/>
          <w:szCs w:val="26"/>
        </w:rPr>
        <w:t xml:space="preserve">deny PGW’s Petition, in part, grant it, in part, and remand the matter to the OALJ </w:t>
      </w:r>
      <w:r w:rsidR="003D7213">
        <w:rPr>
          <w:sz w:val="26"/>
          <w:szCs w:val="26"/>
        </w:rPr>
        <w:t xml:space="preserve">for </w:t>
      </w:r>
      <w:r w:rsidR="00557CF0">
        <w:rPr>
          <w:rFonts w:eastAsia="Calibri"/>
          <w:sz w:val="26"/>
          <w:szCs w:val="26"/>
        </w:rPr>
        <w:t>further hearings, as deemed necessary</w:t>
      </w:r>
      <w:r w:rsidRPr="00400436">
        <w:rPr>
          <w:sz w:val="26"/>
          <w:szCs w:val="26"/>
        </w:rPr>
        <w:t xml:space="preserve">; </w:t>
      </w:r>
      <w:r w:rsidRPr="00400436">
        <w:rPr>
          <w:b/>
          <w:sz w:val="26"/>
          <w:szCs w:val="26"/>
        </w:rPr>
        <w:t>THEREFORE,</w:t>
      </w:r>
    </w:p>
    <w:p w:rsidR="00F32EB9" w:rsidRPr="00400436" w:rsidRDefault="00F32EB9" w:rsidP="00F32EB9">
      <w:pPr>
        <w:widowControl/>
        <w:spacing w:line="360" w:lineRule="auto"/>
        <w:rPr>
          <w:sz w:val="26"/>
          <w:szCs w:val="26"/>
        </w:rPr>
      </w:pPr>
    </w:p>
    <w:p w:rsidR="00B25BBC" w:rsidRPr="00400436" w:rsidRDefault="00F32EB9" w:rsidP="007F193A">
      <w:pPr>
        <w:keepNext/>
        <w:widowControl/>
        <w:spacing w:line="360" w:lineRule="auto"/>
        <w:ind w:firstLine="1440"/>
        <w:rPr>
          <w:b/>
          <w:sz w:val="26"/>
          <w:szCs w:val="26"/>
        </w:rPr>
      </w:pPr>
      <w:r w:rsidRPr="00400436">
        <w:rPr>
          <w:b/>
          <w:sz w:val="26"/>
          <w:szCs w:val="26"/>
        </w:rPr>
        <w:t>IT IS ORDERED:</w:t>
      </w:r>
    </w:p>
    <w:p w:rsidR="00F32EB9" w:rsidRPr="00400436" w:rsidRDefault="00F32EB9" w:rsidP="007F193A">
      <w:pPr>
        <w:keepNext/>
        <w:widowControl/>
        <w:spacing w:line="360" w:lineRule="auto"/>
        <w:rPr>
          <w:sz w:val="26"/>
          <w:szCs w:val="26"/>
        </w:rPr>
      </w:pPr>
    </w:p>
    <w:p w:rsidR="00F32EB9" w:rsidRPr="00400436" w:rsidRDefault="00F32EB9" w:rsidP="00F32EB9">
      <w:pPr>
        <w:keepNext/>
        <w:widowControl/>
        <w:numPr>
          <w:ilvl w:val="0"/>
          <w:numId w:val="1"/>
        </w:numPr>
        <w:tabs>
          <w:tab w:val="clear" w:pos="2160"/>
          <w:tab w:val="num" w:pos="0"/>
        </w:tabs>
        <w:spacing w:line="360" w:lineRule="auto"/>
        <w:ind w:left="0" w:firstLine="1440"/>
        <w:rPr>
          <w:sz w:val="26"/>
          <w:szCs w:val="26"/>
        </w:rPr>
      </w:pPr>
      <w:r w:rsidRPr="00400436">
        <w:rPr>
          <w:sz w:val="26"/>
          <w:szCs w:val="26"/>
        </w:rPr>
        <w:t xml:space="preserve">That the </w:t>
      </w:r>
      <w:r w:rsidR="00557CF0">
        <w:rPr>
          <w:sz w:val="26"/>
          <w:szCs w:val="26"/>
        </w:rPr>
        <w:t xml:space="preserve">Petition </w:t>
      </w:r>
      <w:r w:rsidR="00B25BBC">
        <w:rPr>
          <w:sz w:val="26"/>
          <w:szCs w:val="26"/>
        </w:rPr>
        <w:t xml:space="preserve">for Reconsideration </w:t>
      </w:r>
      <w:r w:rsidR="00557CF0">
        <w:rPr>
          <w:sz w:val="26"/>
          <w:szCs w:val="26"/>
        </w:rPr>
        <w:t xml:space="preserve">of </w:t>
      </w:r>
      <w:r w:rsidR="00557CF0">
        <w:rPr>
          <w:sz w:val="26"/>
        </w:rPr>
        <w:t>Philadelphia Gas Works</w:t>
      </w:r>
      <w:r w:rsidRPr="00400436">
        <w:rPr>
          <w:sz w:val="26"/>
          <w:szCs w:val="26"/>
        </w:rPr>
        <w:t xml:space="preserve">, filed on </w:t>
      </w:r>
      <w:r w:rsidR="00CA416F">
        <w:rPr>
          <w:sz w:val="26"/>
        </w:rPr>
        <w:t>March 14, 2014</w:t>
      </w:r>
      <w:r w:rsidRPr="00400436">
        <w:rPr>
          <w:sz w:val="26"/>
          <w:szCs w:val="26"/>
        </w:rPr>
        <w:t xml:space="preserve">, </w:t>
      </w:r>
      <w:r w:rsidR="00CA416F">
        <w:rPr>
          <w:sz w:val="26"/>
          <w:szCs w:val="26"/>
        </w:rPr>
        <w:t xml:space="preserve">is denied, in part, and granted, in part, </w:t>
      </w:r>
      <w:r w:rsidRPr="00400436">
        <w:rPr>
          <w:sz w:val="26"/>
          <w:szCs w:val="26"/>
        </w:rPr>
        <w:t>consistent with this Opinion and Order.</w:t>
      </w:r>
    </w:p>
    <w:p w:rsidR="00F32EB9" w:rsidRPr="00400436" w:rsidRDefault="00F32EB9" w:rsidP="00F32EB9">
      <w:pPr>
        <w:widowControl/>
        <w:spacing w:line="360" w:lineRule="auto"/>
        <w:ind w:left="1440"/>
        <w:rPr>
          <w:sz w:val="26"/>
          <w:szCs w:val="26"/>
        </w:rPr>
      </w:pPr>
    </w:p>
    <w:p w:rsidR="00F32EB9" w:rsidRPr="00400436" w:rsidRDefault="00CA416F" w:rsidP="00F32EB9">
      <w:pPr>
        <w:widowControl/>
        <w:numPr>
          <w:ilvl w:val="0"/>
          <w:numId w:val="1"/>
        </w:numPr>
        <w:tabs>
          <w:tab w:val="clear" w:pos="2160"/>
          <w:tab w:val="num" w:pos="0"/>
        </w:tabs>
        <w:spacing w:line="360" w:lineRule="auto"/>
        <w:ind w:left="0" w:firstLine="1440"/>
        <w:rPr>
          <w:sz w:val="26"/>
          <w:szCs w:val="26"/>
        </w:rPr>
      </w:pPr>
      <w:r>
        <w:rPr>
          <w:sz w:val="26"/>
          <w:szCs w:val="26"/>
        </w:rPr>
        <w:t xml:space="preserve">That this proceeding be remanded to the Office of Administrative Law Judge for further hearings, </w:t>
      </w:r>
      <w:r w:rsidR="00B25BBC">
        <w:rPr>
          <w:sz w:val="26"/>
          <w:szCs w:val="26"/>
        </w:rPr>
        <w:t>as</w:t>
      </w:r>
      <w:r>
        <w:rPr>
          <w:sz w:val="26"/>
          <w:szCs w:val="26"/>
        </w:rPr>
        <w:t xml:space="preserve"> necessary, consistent with this Opinion and Order.   </w:t>
      </w:r>
    </w:p>
    <w:p w:rsidR="00F32EB9" w:rsidRPr="00400436" w:rsidRDefault="00F32EB9" w:rsidP="00F32EB9">
      <w:pPr>
        <w:keepNext/>
        <w:widowControl/>
        <w:rPr>
          <w:sz w:val="26"/>
          <w:szCs w:val="26"/>
        </w:rPr>
      </w:pPr>
    </w:p>
    <w:p w:rsidR="00F32EB9" w:rsidRPr="00400436" w:rsidRDefault="00F32EB9" w:rsidP="00F32EB9">
      <w:pPr>
        <w:keepNext/>
        <w:widowControl/>
        <w:rPr>
          <w:sz w:val="26"/>
          <w:szCs w:val="26"/>
        </w:rPr>
      </w:pPr>
    </w:p>
    <w:p w:rsidR="00F32EB9" w:rsidRPr="00400436" w:rsidRDefault="00774D67" w:rsidP="00F32EB9">
      <w:pPr>
        <w:keepNext/>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5C1082C7" wp14:editId="0075EF47">
            <wp:simplePos x="0" y="0"/>
            <wp:positionH relativeFrom="column">
              <wp:posOffset>2900680</wp:posOffset>
            </wp:positionH>
            <wp:positionV relativeFrom="paragraph">
              <wp:posOffset>84455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F32EB9" w:rsidRPr="00400436">
        <w:rPr>
          <w:b/>
          <w:sz w:val="26"/>
          <w:szCs w:val="26"/>
        </w:rPr>
        <w:t>BY THE COMMISSION,</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ind w:firstLine="5040"/>
        <w:rPr>
          <w:b/>
          <w:sz w:val="26"/>
          <w:szCs w:val="26"/>
        </w:rPr>
      </w:pPr>
      <w:r w:rsidRPr="00400436">
        <w:rPr>
          <w:sz w:val="26"/>
          <w:szCs w:val="26"/>
        </w:rPr>
        <w:t>Rosemary Chiavetta</w:t>
      </w:r>
    </w:p>
    <w:p w:rsidR="00F32EB9" w:rsidRPr="00400436" w:rsidRDefault="00F32EB9" w:rsidP="00F32EB9">
      <w:pPr>
        <w:widowControl/>
        <w:tabs>
          <w:tab w:val="left" w:pos="-720"/>
        </w:tabs>
        <w:ind w:firstLine="5040"/>
        <w:rPr>
          <w:sz w:val="26"/>
          <w:szCs w:val="26"/>
        </w:rPr>
      </w:pPr>
      <w:r w:rsidRPr="00400436">
        <w:rPr>
          <w:sz w:val="26"/>
          <w:szCs w:val="26"/>
        </w:rPr>
        <w:t>Secretary</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r w:rsidRPr="00400436">
        <w:rPr>
          <w:sz w:val="26"/>
          <w:szCs w:val="26"/>
        </w:rPr>
        <w:t>(SEAL)</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r w:rsidRPr="00400436">
        <w:rPr>
          <w:sz w:val="26"/>
          <w:szCs w:val="26"/>
        </w:rPr>
        <w:t xml:space="preserve">ORDER ADOPTED: </w:t>
      </w:r>
      <w:r w:rsidR="00F94C7D">
        <w:rPr>
          <w:sz w:val="26"/>
          <w:szCs w:val="26"/>
        </w:rPr>
        <w:t>August</w:t>
      </w:r>
      <w:r w:rsidR="00CA416F">
        <w:rPr>
          <w:sz w:val="26"/>
          <w:szCs w:val="26"/>
        </w:rPr>
        <w:t xml:space="preserve"> 2</w:t>
      </w:r>
      <w:r w:rsidR="00F94C7D">
        <w:rPr>
          <w:sz w:val="26"/>
          <w:szCs w:val="26"/>
        </w:rPr>
        <w:t>1</w:t>
      </w:r>
      <w:r w:rsidR="006D3B05">
        <w:rPr>
          <w:sz w:val="26"/>
          <w:szCs w:val="26"/>
        </w:rPr>
        <w:t>, 2014</w:t>
      </w:r>
    </w:p>
    <w:p w:rsidR="00F32EB9" w:rsidRPr="00400436" w:rsidRDefault="00F32EB9" w:rsidP="00F32EB9">
      <w:pPr>
        <w:widowControl/>
        <w:tabs>
          <w:tab w:val="left" w:pos="-720"/>
        </w:tabs>
        <w:rPr>
          <w:sz w:val="26"/>
          <w:szCs w:val="26"/>
        </w:rPr>
      </w:pPr>
    </w:p>
    <w:p w:rsidR="00CE5857" w:rsidRPr="00400436" w:rsidRDefault="00F32EB9" w:rsidP="00AE52AE">
      <w:pPr>
        <w:widowControl/>
        <w:tabs>
          <w:tab w:val="left" w:pos="-720"/>
        </w:tabs>
        <w:rPr>
          <w:rFonts w:eastAsia="Calibri"/>
          <w:sz w:val="26"/>
          <w:szCs w:val="26"/>
        </w:rPr>
      </w:pPr>
      <w:r w:rsidRPr="00400436">
        <w:rPr>
          <w:sz w:val="26"/>
          <w:szCs w:val="26"/>
        </w:rPr>
        <w:t xml:space="preserve">ORDER ENTERED:  </w:t>
      </w:r>
      <w:r w:rsidR="00774D67">
        <w:rPr>
          <w:sz w:val="26"/>
          <w:szCs w:val="26"/>
        </w:rPr>
        <w:t>August 21, 2014</w:t>
      </w:r>
    </w:p>
    <w:sectPr w:rsidR="00CE5857" w:rsidRPr="00400436"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39" w:rsidRDefault="007B0439" w:rsidP="00F7174B">
      <w:r>
        <w:separator/>
      </w:r>
    </w:p>
  </w:endnote>
  <w:endnote w:type="continuationSeparator" w:id="0">
    <w:p w:rsidR="007B0439" w:rsidRDefault="007B043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A9590F" w:rsidRPr="009F1A08" w:rsidRDefault="00A9590F">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74D67">
          <w:rPr>
            <w:noProof/>
            <w:sz w:val="26"/>
            <w:szCs w:val="26"/>
          </w:rPr>
          <w:t>18</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39" w:rsidRDefault="007B0439" w:rsidP="00F7174B">
      <w:r>
        <w:separator/>
      </w:r>
    </w:p>
  </w:footnote>
  <w:footnote w:type="continuationSeparator" w:id="0">
    <w:p w:rsidR="007B0439" w:rsidRDefault="007B0439" w:rsidP="00F7174B">
      <w:r>
        <w:continuationSeparator/>
      </w:r>
    </w:p>
  </w:footnote>
  <w:footnote w:id="1">
    <w:p w:rsidR="00A9590F" w:rsidRDefault="00A9590F" w:rsidP="00842216">
      <w:pPr>
        <w:pStyle w:val="FootnoteText"/>
      </w:pPr>
      <w:r>
        <w:tab/>
      </w:r>
      <w:r w:rsidRPr="00AD10A3">
        <w:rPr>
          <w:rStyle w:val="FootnoteReference"/>
          <w:sz w:val="26"/>
          <w:szCs w:val="26"/>
        </w:rPr>
        <w:footnoteRef/>
      </w:r>
      <w:r w:rsidRPr="00AD10A3">
        <w:rPr>
          <w:sz w:val="26"/>
          <w:szCs w:val="26"/>
        </w:rPr>
        <w:t xml:space="preserve"> </w:t>
      </w:r>
      <w:r>
        <w:tab/>
      </w:r>
      <w:r>
        <w:rPr>
          <w:sz w:val="26"/>
          <w:szCs w:val="26"/>
        </w:rPr>
        <w:t>This Complaint was</w:t>
      </w:r>
      <w:r w:rsidRPr="005B05E3">
        <w:rPr>
          <w:sz w:val="26"/>
          <w:szCs w:val="26"/>
        </w:rPr>
        <w:t xml:space="preserve"> a timely appeal of an informal Bureau of Consumer Services (BC</w:t>
      </w:r>
      <w:r>
        <w:rPr>
          <w:sz w:val="26"/>
          <w:szCs w:val="26"/>
        </w:rPr>
        <w:t xml:space="preserve">S) decision (Informal Decision), issued on June 18, 2012, </w:t>
      </w:r>
      <w:r w:rsidRPr="005B05E3">
        <w:rPr>
          <w:sz w:val="26"/>
          <w:szCs w:val="26"/>
        </w:rPr>
        <w:t xml:space="preserve">at BCS Case No. 2966648.  </w:t>
      </w:r>
      <w:r>
        <w:rPr>
          <w:sz w:val="26"/>
          <w:szCs w:val="26"/>
        </w:rPr>
        <w:t>Under this Informal Decision, BCS instructed the Complainant to pay a make-up bill of $6,417.40 less a revenue credit adjustment of $695.92, which reduced the make-up bill amount to $5,721.48.</w:t>
      </w:r>
    </w:p>
  </w:footnote>
  <w:footnote w:id="2">
    <w:p w:rsidR="00A9590F" w:rsidRPr="00335955" w:rsidRDefault="00A9590F" w:rsidP="00335955">
      <w:pPr>
        <w:pStyle w:val="FootnoteText"/>
        <w:ind w:firstLine="720"/>
        <w:rPr>
          <w:sz w:val="26"/>
          <w:szCs w:val="26"/>
        </w:rPr>
      </w:pPr>
      <w:r w:rsidRPr="00335955">
        <w:rPr>
          <w:rStyle w:val="FootnoteReference"/>
          <w:sz w:val="26"/>
          <w:szCs w:val="26"/>
        </w:rPr>
        <w:footnoteRef/>
      </w:r>
      <w:r w:rsidRPr="00335955">
        <w:rPr>
          <w:sz w:val="26"/>
          <w:szCs w:val="26"/>
        </w:rPr>
        <w:t xml:space="preserve"> </w:t>
      </w:r>
      <w:r>
        <w:rPr>
          <w:sz w:val="26"/>
          <w:szCs w:val="26"/>
        </w:rPr>
        <w:tab/>
        <w:t>For the entire discussion of our disposition of the Complainant’s Exceptions</w:t>
      </w:r>
      <w:r w:rsidR="00C37384">
        <w:rPr>
          <w:sz w:val="26"/>
          <w:szCs w:val="26"/>
        </w:rPr>
        <w:t>,</w:t>
      </w:r>
      <w:r>
        <w:rPr>
          <w:sz w:val="26"/>
          <w:szCs w:val="26"/>
        </w:rPr>
        <w:t xml:space="preserve"> </w:t>
      </w:r>
      <w:r w:rsidRPr="007F193A">
        <w:rPr>
          <w:i/>
          <w:sz w:val="26"/>
          <w:szCs w:val="26"/>
        </w:rPr>
        <w:t>see</w:t>
      </w:r>
      <w:r>
        <w:rPr>
          <w:sz w:val="26"/>
          <w:szCs w:val="26"/>
        </w:rPr>
        <w:t xml:space="preserve"> </w:t>
      </w:r>
      <w:r>
        <w:rPr>
          <w:i/>
          <w:sz w:val="26"/>
          <w:szCs w:val="26"/>
        </w:rPr>
        <w:t>February 2014 Order</w:t>
      </w:r>
      <w:r w:rsidR="00C37384">
        <w:rPr>
          <w:i/>
          <w:sz w:val="26"/>
          <w:szCs w:val="26"/>
        </w:rPr>
        <w:t xml:space="preserve"> </w:t>
      </w:r>
      <w:r w:rsidR="00C37384">
        <w:rPr>
          <w:sz w:val="26"/>
          <w:szCs w:val="26"/>
        </w:rPr>
        <w:t>at 11-17</w:t>
      </w:r>
      <w:r>
        <w:rPr>
          <w:sz w:val="26"/>
          <w:szCs w:val="26"/>
        </w:rPr>
        <w:t>.</w:t>
      </w:r>
    </w:p>
  </w:footnote>
  <w:footnote w:id="3">
    <w:p w:rsidR="00A9590F" w:rsidRPr="006F7207" w:rsidRDefault="00A9590F" w:rsidP="00335955">
      <w:pPr>
        <w:pStyle w:val="FootnoteText"/>
        <w:rPr>
          <w:sz w:val="26"/>
          <w:szCs w:val="26"/>
        </w:rPr>
      </w:pPr>
      <w:r>
        <w:rPr>
          <w:sz w:val="26"/>
          <w:szCs w:val="26"/>
        </w:rPr>
        <w:tab/>
      </w:r>
      <w:r w:rsidRPr="006F7207">
        <w:rPr>
          <w:rStyle w:val="FootnoteReference"/>
          <w:sz w:val="26"/>
          <w:szCs w:val="26"/>
        </w:rPr>
        <w:footnoteRef/>
      </w:r>
      <w:r>
        <w:rPr>
          <w:sz w:val="26"/>
          <w:szCs w:val="26"/>
        </w:rPr>
        <w:tab/>
      </w:r>
      <w:r w:rsidRPr="0086753C">
        <w:rPr>
          <w:i/>
          <w:sz w:val="26"/>
          <w:szCs w:val="26"/>
        </w:rPr>
        <w:t xml:space="preserve">See Nona </w:t>
      </w:r>
      <w:r w:rsidRPr="00DB0ED2">
        <w:rPr>
          <w:i/>
          <w:iCs/>
          <w:sz w:val="26"/>
          <w:szCs w:val="26"/>
        </w:rPr>
        <w:t>Lewis v. P</w:t>
      </w:r>
      <w:r>
        <w:rPr>
          <w:i/>
          <w:iCs/>
          <w:sz w:val="26"/>
          <w:szCs w:val="26"/>
        </w:rPr>
        <w:t xml:space="preserve">hiladelphia </w:t>
      </w:r>
      <w:r w:rsidRPr="00DB0ED2">
        <w:rPr>
          <w:i/>
          <w:iCs/>
          <w:sz w:val="26"/>
          <w:szCs w:val="26"/>
        </w:rPr>
        <w:t>G</w:t>
      </w:r>
      <w:r>
        <w:rPr>
          <w:i/>
          <w:iCs/>
          <w:sz w:val="26"/>
          <w:szCs w:val="26"/>
        </w:rPr>
        <w:t xml:space="preserve">as </w:t>
      </w:r>
      <w:r w:rsidRPr="00DB0ED2">
        <w:rPr>
          <w:i/>
          <w:iCs/>
          <w:sz w:val="26"/>
          <w:szCs w:val="26"/>
        </w:rPr>
        <w:t>W</w:t>
      </w:r>
      <w:r>
        <w:rPr>
          <w:i/>
          <w:iCs/>
          <w:sz w:val="26"/>
          <w:szCs w:val="26"/>
        </w:rPr>
        <w:t>orks</w:t>
      </w:r>
      <w:r w:rsidRPr="00DB0ED2">
        <w:rPr>
          <w:sz w:val="26"/>
          <w:szCs w:val="26"/>
        </w:rPr>
        <w:t xml:space="preserve">, </w:t>
      </w:r>
      <w:r>
        <w:rPr>
          <w:sz w:val="26"/>
          <w:szCs w:val="26"/>
        </w:rPr>
        <w:t xml:space="preserve">Docket No. </w:t>
      </w:r>
      <w:r w:rsidRPr="00DB0ED2">
        <w:rPr>
          <w:sz w:val="26"/>
          <w:szCs w:val="26"/>
        </w:rPr>
        <w:t>F-2010-2171442 (Order entered July</w:t>
      </w:r>
      <w:r>
        <w:rPr>
          <w:sz w:val="26"/>
          <w:szCs w:val="26"/>
        </w:rPr>
        <w:t> </w:t>
      </w:r>
      <w:r w:rsidRPr="00DB0ED2">
        <w:rPr>
          <w:sz w:val="26"/>
          <w:szCs w:val="26"/>
        </w:rPr>
        <w:t>15, 2011)</w:t>
      </w:r>
      <w:r w:rsidR="008476B4">
        <w:rPr>
          <w:sz w:val="26"/>
          <w:szCs w:val="26"/>
        </w:rPr>
        <w:t xml:space="preserve"> (</w:t>
      </w:r>
      <w:r w:rsidR="008476B4">
        <w:rPr>
          <w:i/>
          <w:sz w:val="26"/>
          <w:szCs w:val="26"/>
        </w:rPr>
        <w:t>Lewis</w:t>
      </w:r>
      <w:r w:rsidR="008476B4">
        <w:rPr>
          <w:sz w:val="26"/>
          <w:szCs w:val="26"/>
        </w:rPr>
        <w:t>)</w:t>
      </w:r>
      <w:r>
        <w:rPr>
          <w:sz w:val="26"/>
          <w:szCs w:val="26"/>
        </w:rPr>
        <w:t>.</w:t>
      </w:r>
    </w:p>
  </w:footnote>
  <w:footnote w:id="4">
    <w:p w:rsidR="00A9590F" w:rsidRDefault="00A9590F" w:rsidP="00335955">
      <w:pPr>
        <w:pStyle w:val="FootnoteText"/>
        <w:rPr>
          <w:sz w:val="26"/>
          <w:szCs w:val="26"/>
        </w:rPr>
      </w:pPr>
      <w:r>
        <w:rPr>
          <w:sz w:val="26"/>
          <w:szCs w:val="26"/>
        </w:rPr>
        <w:tab/>
      </w:r>
      <w:r w:rsidRPr="00105754">
        <w:rPr>
          <w:rStyle w:val="FootnoteReference"/>
          <w:sz w:val="26"/>
          <w:szCs w:val="26"/>
        </w:rPr>
        <w:footnoteRef/>
      </w:r>
      <w:r w:rsidRPr="00105754">
        <w:rPr>
          <w:sz w:val="26"/>
          <w:szCs w:val="26"/>
        </w:rPr>
        <w:t xml:space="preserve"> </w:t>
      </w:r>
      <w:r w:rsidR="009633AE">
        <w:rPr>
          <w:sz w:val="26"/>
          <w:szCs w:val="26"/>
        </w:rPr>
        <w:tab/>
        <w:t xml:space="preserve">We derived the installment payments </w:t>
      </w:r>
      <w:r w:rsidRPr="00F203C1">
        <w:rPr>
          <w:sz w:val="26"/>
          <w:szCs w:val="26"/>
        </w:rPr>
        <w:t>as follows:</w:t>
      </w:r>
      <w:r>
        <w:rPr>
          <w:sz w:val="26"/>
          <w:szCs w:val="26"/>
        </w:rPr>
        <w:t xml:space="preserve"> </w:t>
      </w:r>
    </w:p>
    <w:p w:rsidR="00A9590F" w:rsidRPr="00F203C1" w:rsidRDefault="00A9590F" w:rsidP="00335955">
      <w:pPr>
        <w:pStyle w:val="FootnoteText"/>
        <w:rPr>
          <w:sz w:val="26"/>
          <w:szCs w:val="26"/>
        </w:rPr>
      </w:pPr>
      <w:r>
        <w:rPr>
          <w:sz w:val="26"/>
          <w:szCs w:val="26"/>
        </w:rPr>
        <w:t>Remaining Make-up Bill of $3.183.77 x 20% = $636.754 conservation credit;</w:t>
      </w:r>
    </w:p>
    <w:p w:rsidR="00A9590F" w:rsidRPr="00F203C1" w:rsidRDefault="00A9590F" w:rsidP="00335955">
      <w:pPr>
        <w:pStyle w:val="FootnoteText"/>
        <w:rPr>
          <w:sz w:val="26"/>
          <w:szCs w:val="26"/>
        </w:rPr>
      </w:pPr>
      <w:r>
        <w:rPr>
          <w:sz w:val="26"/>
          <w:szCs w:val="26"/>
        </w:rPr>
        <w:t xml:space="preserve">Remaining </w:t>
      </w:r>
      <w:r w:rsidRPr="00F203C1">
        <w:rPr>
          <w:sz w:val="26"/>
          <w:szCs w:val="26"/>
        </w:rPr>
        <w:t>Make</w:t>
      </w:r>
      <w:r>
        <w:rPr>
          <w:sz w:val="26"/>
          <w:szCs w:val="26"/>
        </w:rPr>
        <w:t>-</w:t>
      </w:r>
      <w:r w:rsidRPr="00F203C1">
        <w:rPr>
          <w:sz w:val="26"/>
          <w:szCs w:val="26"/>
        </w:rPr>
        <w:t>up Bill of $</w:t>
      </w:r>
      <w:r>
        <w:rPr>
          <w:sz w:val="26"/>
          <w:szCs w:val="26"/>
        </w:rPr>
        <w:t>3.183.77</w:t>
      </w:r>
      <w:r w:rsidRPr="00F203C1">
        <w:rPr>
          <w:sz w:val="26"/>
          <w:szCs w:val="26"/>
        </w:rPr>
        <w:t>-$</w:t>
      </w:r>
      <w:r>
        <w:rPr>
          <w:sz w:val="26"/>
          <w:szCs w:val="26"/>
        </w:rPr>
        <w:t>636.75 conservation c</w:t>
      </w:r>
      <w:r w:rsidRPr="00F203C1">
        <w:rPr>
          <w:sz w:val="26"/>
          <w:szCs w:val="26"/>
        </w:rPr>
        <w:t>redit amount</w:t>
      </w:r>
      <w:r>
        <w:rPr>
          <w:sz w:val="26"/>
          <w:szCs w:val="26"/>
        </w:rPr>
        <w:t xml:space="preserve"> </w:t>
      </w:r>
      <w:r w:rsidRPr="00F203C1">
        <w:rPr>
          <w:sz w:val="26"/>
          <w:szCs w:val="26"/>
        </w:rPr>
        <w:t>=</w:t>
      </w:r>
      <w:r>
        <w:rPr>
          <w:sz w:val="26"/>
          <w:szCs w:val="26"/>
        </w:rPr>
        <w:t xml:space="preserve"> </w:t>
      </w:r>
      <w:r w:rsidRPr="00F203C1">
        <w:rPr>
          <w:sz w:val="26"/>
          <w:szCs w:val="26"/>
        </w:rPr>
        <w:t>$</w:t>
      </w:r>
      <w:r>
        <w:rPr>
          <w:sz w:val="26"/>
          <w:szCs w:val="26"/>
        </w:rPr>
        <w:t>2,547.02</w:t>
      </w:r>
      <w:r w:rsidRPr="00F203C1">
        <w:rPr>
          <w:sz w:val="26"/>
          <w:szCs w:val="26"/>
        </w:rPr>
        <w:t xml:space="preserve">; </w:t>
      </w:r>
    </w:p>
    <w:p w:rsidR="00A9590F" w:rsidRPr="00105754" w:rsidRDefault="00A9590F" w:rsidP="00335955">
      <w:pPr>
        <w:pStyle w:val="FootnoteText"/>
        <w:rPr>
          <w:sz w:val="26"/>
          <w:szCs w:val="26"/>
        </w:rPr>
      </w:pPr>
      <w:r w:rsidRPr="00F203C1">
        <w:rPr>
          <w:sz w:val="26"/>
          <w:szCs w:val="26"/>
        </w:rPr>
        <w:t>$</w:t>
      </w:r>
      <w:r>
        <w:rPr>
          <w:sz w:val="26"/>
          <w:szCs w:val="26"/>
        </w:rPr>
        <w:t>2,547.02</w:t>
      </w:r>
      <w:r w:rsidRPr="00F203C1">
        <w:rPr>
          <w:sz w:val="26"/>
          <w:szCs w:val="26"/>
        </w:rPr>
        <w:t xml:space="preserve"> ÷ 48 months = $</w:t>
      </w:r>
      <w:r>
        <w:rPr>
          <w:sz w:val="26"/>
          <w:szCs w:val="26"/>
        </w:rPr>
        <w:t>53.06</w:t>
      </w:r>
      <w:r w:rsidRPr="00F203C1">
        <w:rPr>
          <w:sz w:val="26"/>
          <w:szCs w:val="26"/>
        </w:rPr>
        <w:t xml:space="preserve"> per month.</w:t>
      </w:r>
    </w:p>
  </w:footnote>
  <w:footnote w:id="5">
    <w:p w:rsidR="00B412D4" w:rsidRPr="00E85861" w:rsidRDefault="00B412D4" w:rsidP="00B412D4">
      <w:pPr>
        <w:pStyle w:val="FootnoteText"/>
        <w:ind w:firstLine="720"/>
        <w:rPr>
          <w:sz w:val="26"/>
          <w:szCs w:val="26"/>
        </w:rPr>
      </w:pPr>
      <w:r w:rsidRPr="00E85861">
        <w:rPr>
          <w:rStyle w:val="FootnoteReference"/>
          <w:sz w:val="26"/>
          <w:szCs w:val="26"/>
        </w:rPr>
        <w:footnoteRef/>
      </w:r>
      <w:r w:rsidRPr="00E85861">
        <w:rPr>
          <w:sz w:val="26"/>
          <w:szCs w:val="26"/>
        </w:rPr>
        <w:t xml:space="preserve"> </w:t>
      </w:r>
      <w:r>
        <w:rPr>
          <w:sz w:val="26"/>
          <w:szCs w:val="26"/>
        </w:rPr>
        <w:tab/>
        <w:t xml:space="preserve">We note that the invoice dated March 14, 2014, contains “Current Agreement Charges” of $53.06 which reflects the monthly installment of the make-up amount as required in our </w:t>
      </w:r>
      <w:r>
        <w:rPr>
          <w:i/>
          <w:sz w:val="26"/>
          <w:szCs w:val="26"/>
        </w:rPr>
        <w:t>February 2014 Order</w:t>
      </w:r>
      <w:r w:rsidRPr="00B412D4">
        <w:rPr>
          <w:sz w:val="26"/>
          <w:szCs w:val="26"/>
        </w:rPr>
        <w:t>.</w:t>
      </w:r>
      <w:r>
        <w:rPr>
          <w:i/>
          <w:sz w:val="26"/>
          <w:szCs w:val="26"/>
        </w:rPr>
        <w:t xml:space="preserve"> </w:t>
      </w:r>
      <w:r>
        <w:rPr>
          <w:sz w:val="26"/>
          <w:szCs w:val="26"/>
        </w:rPr>
        <w:t xml:space="preserve"> In addition, the March 14, 2014, invoice contains a “Revenue Adjustment” credit of $636.75, which is the </w:t>
      </w:r>
      <w:r w:rsidR="009E6E7C">
        <w:rPr>
          <w:sz w:val="26"/>
          <w:szCs w:val="26"/>
        </w:rPr>
        <w:t xml:space="preserve">amount of the </w:t>
      </w:r>
      <w:r>
        <w:rPr>
          <w:sz w:val="26"/>
          <w:szCs w:val="26"/>
        </w:rPr>
        <w:t xml:space="preserve">conservation credit required in our </w:t>
      </w:r>
      <w:r>
        <w:rPr>
          <w:i/>
          <w:sz w:val="26"/>
          <w:szCs w:val="26"/>
        </w:rPr>
        <w:t>February 2014 Order</w:t>
      </w:r>
      <w:r>
        <w:rPr>
          <w:sz w:val="26"/>
          <w:szCs w:val="26"/>
        </w:rPr>
        <w:t xml:space="preserve">.  Answer to Petition, Exh.  </w:t>
      </w:r>
      <w:r w:rsidR="009E6E7C">
        <w:rPr>
          <w:sz w:val="26"/>
          <w:szCs w:val="26"/>
        </w:rPr>
        <w:t>Thus, Mr. Prendergast appears to be raising new allegations that, subsequent to the present proceeding, PGW continues to overcharge him for his gas service.   Accor</w:t>
      </w:r>
      <w:r w:rsidR="005623AB">
        <w:rPr>
          <w:sz w:val="26"/>
          <w:szCs w:val="26"/>
        </w:rPr>
        <w:t>d</w:t>
      </w:r>
      <w:r w:rsidR="009E6E7C">
        <w:rPr>
          <w:sz w:val="26"/>
          <w:szCs w:val="26"/>
        </w:rPr>
        <w:t xml:space="preserve">ingly, </w:t>
      </w:r>
      <w:r w:rsidR="00D16954">
        <w:rPr>
          <w:sz w:val="26"/>
          <w:szCs w:val="26"/>
        </w:rPr>
        <w:t xml:space="preserve">we decline to address </w:t>
      </w:r>
      <w:r w:rsidR="009E6E7C">
        <w:rPr>
          <w:sz w:val="26"/>
          <w:szCs w:val="26"/>
        </w:rPr>
        <w:t>such new allegations</w:t>
      </w:r>
      <w:r w:rsidR="00561DF8">
        <w:rPr>
          <w:sz w:val="26"/>
          <w:szCs w:val="26"/>
        </w:rPr>
        <w:t xml:space="preserve"> here</w:t>
      </w:r>
      <w:r w:rsidR="00D16954">
        <w:rPr>
          <w:sz w:val="26"/>
          <w:szCs w:val="26"/>
        </w:rPr>
        <w:t>, as they</w:t>
      </w:r>
      <w:r w:rsidR="009E6E7C">
        <w:rPr>
          <w:sz w:val="26"/>
          <w:szCs w:val="26"/>
        </w:rPr>
        <w:t xml:space="preserve"> would require the filing of a new Complaint against PGW.</w:t>
      </w:r>
    </w:p>
  </w:footnote>
  <w:footnote w:id="6">
    <w:p w:rsidR="00AE1C51" w:rsidRPr="00052325" w:rsidRDefault="00AE1C51" w:rsidP="00AE1C51">
      <w:pPr>
        <w:pStyle w:val="FootnoteText"/>
        <w:ind w:firstLine="720"/>
        <w:rPr>
          <w:sz w:val="26"/>
          <w:szCs w:val="26"/>
        </w:rPr>
      </w:pPr>
      <w:r w:rsidRPr="00AE1C51">
        <w:rPr>
          <w:rStyle w:val="FootnoteReference"/>
          <w:sz w:val="26"/>
          <w:szCs w:val="26"/>
        </w:rPr>
        <w:footnoteRef/>
      </w:r>
      <w:r w:rsidRPr="00AE1C51">
        <w:rPr>
          <w:sz w:val="26"/>
          <w:szCs w:val="26"/>
        </w:rPr>
        <w:t xml:space="preserve"> </w:t>
      </w:r>
      <w:r>
        <w:rPr>
          <w:sz w:val="26"/>
          <w:szCs w:val="26"/>
        </w:rPr>
        <w:tab/>
      </w:r>
      <w:r w:rsidR="00D16954">
        <w:rPr>
          <w:sz w:val="26"/>
          <w:szCs w:val="26"/>
        </w:rPr>
        <w:t xml:space="preserve">Likewise, </w:t>
      </w:r>
      <w:r>
        <w:rPr>
          <w:sz w:val="26"/>
          <w:szCs w:val="26"/>
        </w:rPr>
        <w:t xml:space="preserve">PGW’s </w:t>
      </w:r>
      <w:r w:rsidR="00CE696B">
        <w:rPr>
          <w:sz w:val="26"/>
          <w:szCs w:val="26"/>
        </w:rPr>
        <w:t>additional allegation</w:t>
      </w:r>
      <w:r>
        <w:rPr>
          <w:sz w:val="26"/>
          <w:szCs w:val="26"/>
        </w:rPr>
        <w:t xml:space="preserve"> that the Commission </w:t>
      </w:r>
      <w:r w:rsidR="00CE696B">
        <w:rPr>
          <w:sz w:val="26"/>
          <w:szCs w:val="26"/>
        </w:rPr>
        <w:t>has only applied the conservation credit to</w:t>
      </w:r>
      <w:r>
        <w:rPr>
          <w:sz w:val="26"/>
          <w:szCs w:val="26"/>
        </w:rPr>
        <w:t xml:space="preserve"> </w:t>
      </w:r>
      <w:r w:rsidR="00CE696B">
        <w:rPr>
          <w:sz w:val="26"/>
          <w:szCs w:val="26"/>
        </w:rPr>
        <w:t xml:space="preserve">PGW is without merit.  </w:t>
      </w:r>
      <w:r w:rsidR="00CE696B">
        <w:rPr>
          <w:i/>
          <w:sz w:val="26"/>
          <w:szCs w:val="26"/>
        </w:rPr>
        <w:t>See</w:t>
      </w:r>
      <w:r w:rsidR="00B835EB">
        <w:rPr>
          <w:i/>
          <w:sz w:val="26"/>
          <w:szCs w:val="26"/>
        </w:rPr>
        <w:t>,</w:t>
      </w:r>
      <w:r w:rsidR="00CE696B">
        <w:rPr>
          <w:i/>
          <w:sz w:val="26"/>
          <w:szCs w:val="26"/>
        </w:rPr>
        <w:t xml:space="preserve"> e.g., Richard H. Kuntz v. PPL Electric Utilities Corp.</w:t>
      </w:r>
      <w:r w:rsidR="00CE696B">
        <w:rPr>
          <w:sz w:val="26"/>
          <w:szCs w:val="26"/>
        </w:rPr>
        <w:t xml:space="preserve">, Docket No. C-20066231 (Order entered January 26, 2007); and </w:t>
      </w:r>
      <w:r w:rsidR="00052325">
        <w:rPr>
          <w:i/>
          <w:sz w:val="26"/>
          <w:szCs w:val="26"/>
        </w:rPr>
        <w:t>Ivan Katchan v. PPL Electric Utilities Corp.</w:t>
      </w:r>
      <w:r w:rsidR="00052325">
        <w:rPr>
          <w:sz w:val="26"/>
          <w:szCs w:val="26"/>
        </w:rPr>
        <w:t xml:space="preserve">, Docket No. 2011-2239323 (Final </w:t>
      </w:r>
      <w:r w:rsidR="00B835EB">
        <w:rPr>
          <w:sz w:val="26"/>
          <w:szCs w:val="26"/>
        </w:rPr>
        <w:t>O</w:t>
      </w:r>
      <w:r w:rsidR="00052325">
        <w:rPr>
          <w:sz w:val="26"/>
          <w:szCs w:val="26"/>
        </w:rPr>
        <w:t xml:space="preserve">rder entered April 11, 2012).  </w:t>
      </w:r>
    </w:p>
  </w:footnote>
  <w:footnote w:id="7">
    <w:p w:rsidR="00F84ED9" w:rsidRDefault="00F84ED9" w:rsidP="009D7B78">
      <w:pPr>
        <w:pStyle w:val="FootnoteText"/>
        <w:keepNext/>
        <w:keepLines/>
        <w:rPr>
          <w:sz w:val="26"/>
          <w:szCs w:val="26"/>
        </w:rPr>
      </w:pPr>
      <w:r w:rsidRPr="007F193A">
        <w:rPr>
          <w:sz w:val="26"/>
          <w:szCs w:val="26"/>
        </w:rPr>
        <w:tab/>
      </w:r>
      <w:r w:rsidRPr="007F193A">
        <w:rPr>
          <w:rStyle w:val="FootnoteReference"/>
          <w:sz w:val="26"/>
          <w:szCs w:val="26"/>
        </w:rPr>
        <w:footnoteRef/>
      </w:r>
      <w:r w:rsidRPr="007F193A">
        <w:rPr>
          <w:sz w:val="26"/>
          <w:szCs w:val="26"/>
        </w:rPr>
        <w:t xml:space="preserve"> </w:t>
      </w:r>
      <w:r w:rsidRPr="007F193A">
        <w:rPr>
          <w:sz w:val="26"/>
          <w:szCs w:val="26"/>
        </w:rPr>
        <w:tab/>
      </w:r>
      <w:r>
        <w:rPr>
          <w:sz w:val="26"/>
          <w:szCs w:val="26"/>
        </w:rPr>
        <w:t>I</w:t>
      </w:r>
      <w:r w:rsidRPr="007F193A">
        <w:rPr>
          <w:sz w:val="26"/>
          <w:szCs w:val="26"/>
        </w:rPr>
        <w:t xml:space="preserve">n </w:t>
      </w:r>
      <w:r w:rsidRPr="007F193A">
        <w:rPr>
          <w:i/>
          <w:sz w:val="26"/>
          <w:szCs w:val="26"/>
        </w:rPr>
        <w:t>Michael John Sottile v. Philadelphia Gas Works</w:t>
      </w:r>
      <w:r w:rsidRPr="007F193A">
        <w:rPr>
          <w:sz w:val="26"/>
          <w:szCs w:val="26"/>
        </w:rPr>
        <w:t>, Docket No. C-2013-2352676</w:t>
      </w:r>
      <w:r>
        <w:rPr>
          <w:sz w:val="26"/>
          <w:szCs w:val="26"/>
        </w:rPr>
        <w:t xml:space="preserve"> (Order entered December 24, 2013)</w:t>
      </w:r>
      <w:r w:rsidR="00343D54">
        <w:rPr>
          <w:sz w:val="26"/>
          <w:szCs w:val="26"/>
        </w:rPr>
        <w:t xml:space="preserve"> (</w:t>
      </w:r>
      <w:r w:rsidR="00343D54">
        <w:rPr>
          <w:i/>
          <w:sz w:val="26"/>
          <w:szCs w:val="26"/>
        </w:rPr>
        <w:t>Sottile</w:t>
      </w:r>
      <w:r w:rsidR="00343D54">
        <w:rPr>
          <w:sz w:val="26"/>
          <w:szCs w:val="26"/>
        </w:rPr>
        <w:t>)</w:t>
      </w:r>
      <w:r>
        <w:rPr>
          <w:sz w:val="26"/>
          <w:szCs w:val="26"/>
        </w:rPr>
        <w:t>, we stated:</w:t>
      </w:r>
    </w:p>
    <w:p w:rsidR="00F84ED9" w:rsidRDefault="00F84ED9" w:rsidP="009D7B78">
      <w:pPr>
        <w:pStyle w:val="FootnoteText"/>
        <w:keepNext/>
        <w:keepLines/>
        <w:rPr>
          <w:sz w:val="26"/>
          <w:szCs w:val="26"/>
        </w:rPr>
      </w:pPr>
    </w:p>
    <w:p w:rsidR="00F84ED9" w:rsidRDefault="00F84ED9" w:rsidP="009D7B78">
      <w:pPr>
        <w:pStyle w:val="FootnoteText"/>
        <w:keepNext/>
        <w:keepLines/>
        <w:ind w:left="1440" w:right="1440" w:firstLine="720"/>
        <w:rPr>
          <w:sz w:val="26"/>
          <w:szCs w:val="26"/>
        </w:rPr>
      </w:pPr>
      <w:r w:rsidRPr="007F193A">
        <w:rPr>
          <w:sz w:val="26"/>
          <w:szCs w:val="26"/>
        </w:rPr>
        <w:t>The Complainant contended that he should not be responsible for the total amount of the make-up bill because he should not have to pay for PGW’s error.  The ALJ determined that the Complainant was essentially seeking compensation for not having an opportunity to assess his usage, and thereby possibly decreasing the amount of gas he used during the time he wasn’t billed.  This is fundamentally a request for monetary damages which the Complainant would need to seek recovery in another forum.</w:t>
      </w:r>
    </w:p>
    <w:p w:rsidR="00F84ED9" w:rsidRDefault="00F84ED9" w:rsidP="009D7B78">
      <w:pPr>
        <w:pStyle w:val="FootnoteText"/>
        <w:keepNext/>
        <w:keepLines/>
        <w:ind w:left="1440" w:right="1440" w:firstLine="720"/>
        <w:rPr>
          <w:sz w:val="26"/>
          <w:szCs w:val="26"/>
        </w:rPr>
      </w:pPr>
    </w:p>
    <w:p w:rsidR="00F84ED9" w:rsidRPr="007F193A" w:rsidRDefault="007F193A" w:rsidP="009D7B78">
      <w:pPr>
        <w:pStyle w:val="FootnoteText"/>
        <w:keepNext/>
        <w:keepLines/>
        <w:ind w:right="1440"/>
        <w:rPr>
          <w:sz w:val="26"/>
          <w:szCs w:val="26"/>
        </w:rPr>
      </w:pPr>
      <w:r>
        <w:rPr>
          <w:sz w:val="26"/>
          <w:szCs w:val="26"/>
        </w:rPr>
        <w:t>Based on the specific facts of the particular case before us</w:t>
      </w:r>
      <w:r w:rsidR="00F84ED9">
        <w:rPr>
          <w:sz w:val="26"/>
          <w:szCs w:val="26"/>
        </w:rPr>
        <w:t xml:space="preserve">, we </w:t>
      </w:r>
      <w:r w:rsidR="00343D54">
        <w:rPr>
          <w:sz w:val="26"/>
          <w:szCs w:val="26"/>
        </w:rPr>
        <w:t xml:space="preserve">find there is a reasonable and substantial basis for departing from our prior Order in </w:t>
      </w:r>
      <w:r w:rsidR="00343D54">
        <w:rPr>
          <w:i/>
          <w:sz w:val="26"/>
          <w:szCs w:val="26"/>
        </w:rPr>
        <w:t>Sottile</w:t>
      </w:r>
      <w:r w:rsidR="00F84ED9">
        <w:rPr>
          <w:sz w:val="26"/>
          <w:szCs w:val="26"/>
        </w:rPr>
        <w:t>.</w:t>
      </w:r>
      <w:r w:rsidR="001361D7">
        <w:rPr>
          <w:sz w:val="26"/>
          <w:szCs w:val="26"/>
        </w:rPr>
        <w:t xml:space="preserve">  </w:t>
      </w:r>
      <w:r w:rsidR="001361D7">
        <w:rPr>
          <w:i/>
          <w:sz w:val="26"/>
          <w:szCs w:val="26"/>
        </w:rPr>
        <w:t>See e.g., Re Chapter 14 Implementation Order</w:t>
      </w:r>
      <w:r>
        <w:rPr>
          <w:sz w:val="26"/>
          <w:szCs w:val="26"/>
        </w:rPr>
        <w:t xml:space="preserve">, </w:t>
      </w:r>
      <w:r w:rsidR="001361D7">
        <w:rPr>
          <w:sz w:val="26"/>
          <w:szCs w:val="26"/>
        </w:rPr>
        <w:t>100 Pa. P.U.C. 440 (Order entered October 31, 2005).</w:t>
      </w:r>
      <w:r w:rsidR="00F84ED9" w:rsidRPr="007F193A">
        <w:rPr>
          <w:sz w:val="26"/>
          <w:szCs w:val="26"/>
        </w:rPr>
        <w:t xml:space="preserve">    </w:t>
      </w:r>
    </w:p>
  </w:footnote>
  <w:footnote w:id="8">
    <w:p w:rsidR="00C635A4" w:rsidRPr="00C635A4" w:rsidRDefault="00C635A4" w:rsidP="00C635A4">
      <w:pPr>
        <w:pStyle w:val="FootnoteText"/>
        <w:ind w:firstLine="720"/>
        <w:rPr>
          <w:sz w:val="26"/>
          <w:szCs w:val="26"/>
        </w:rPr>
      </w:pPr>
      <w:r w:rsidRPr="00C635A4">
        <w:rPr>
          <w:rStyle w:val="FootnoteReference"/>
          <w:sz w:val="26"/>
          <w:szCs w:val="26"/>
        </w:rPr>
        <w:footnoteRef/>
      </w:r>
      <w:r w:rsidRPr="00C635A4">
        <w:rPr>
          <w:sz w:val="26"/>
          <w:szCs w:val="26"/>
        </w:rPr>
        <w:t xml:space="preserve"> </w:t>
      </w:r>
      <w:r>
        <w:rPr>
          <w:sz w:val="26"/>
          <w:szCs w:val="26"/>
        </w:rPr>
        <w:tab/>
      </w:r>
      <w:r w:rsidR="00900D5E">
        <w:rPr>
          <w:sz w:val="26"/>
          <w:szCs w:val="26"/>
        </w:rPr>
        <w:t xml:space="preserve">“Degree days” are the measurement of the amount of energy used to heat or cool a home.  </w:t>
      </w:r>
      <w:r w:rsidR="004A166F">
        <w:rPr>
          <w:sz w:val="26"/>
          <w:szCs w:val="26"/>
        </w:rPr>
        <w:t>Normally, the base is taken as 65 degrees Fahrenheit</w:t>
      </w:r>
      <w:r w:rsidR="00554E43">
        <w:rPr>
          <w:sz w:val="26"/>
          <w:szCs w:val="26"/>
        </w:rPr>
        <w:t>.  On</w:t>
      </w:r>
      <w:r w:rsidR="004A166F">
        <w:rPr>
          <w:sz w:val="26"/>
          <w:szCs w:val="26"/>
        </w:rPr>
        <w:t>e degree day is counted for each degree of deficiency below (for heating), or excess over (for cooling)</w:t>
      </w:r>
      <w:r w:rsidR="006B5CC3">
        <w:rPr>
          <w:sz w:val="26"/>
          <w:szCs w:val="26"/>
        </w:rPr>
        <w:t>,</w:t>
      </w:r>
      <w:r w:rsidR="004A166F">
        <w:rPr>
          <w:sz w:val="26"/>
          <w:szCs w:val="26"/>
        </w:rPr>
        <w:t xml:space="preserve"> the assumed base for each calendar day on which the deficiency or excess occurred.  </w:t>
      </w:r>
      <w:r w:rsidR="00900D5E">
        <w:rPr>
          <w:sz w:val="26"/>
          <w:szCs w:val="26"/>
        </w:rPr>
        <w:t xml:space="preserve">I.D. at 4; Tr. at </w:t>
      </w:r>
      <w:r w:rsidR="004A166F">
        <w:rPr>
          <w:sz w:val="26"/>
          <w:szCs w:val="26"/>
        </w:rPr>
        <w:t>18</w:t>
      </w:r>
      <w:r w:rsidR="00E23A83">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20F079C"/>
    <w:multiLevelType w:val="hybridMultilevel"/>
    <w:tmpl w:val="09C8A644"/>
    <w:lvl w:ilvl="0" w:tplc="D94A9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68F"/>
    <w:rsid w:val="00001FC8"/>
    <w:rsid w:val="00004D03"/>
    <w:rsid w:val="00005318"/>
    <w:rsid w:val="000065FB"/>
    <w:rsid w:val="00006685"/>
    <w:rsid w:val="00006A65"/>
    <w:rsid w:val="00006C63"/>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F85"/>
    <w:rsid w:val="0002501D"/>
    <w:rsid w:val="0002524C"/>
    <w:rsid w:val="00025462"/>
    <w:rsid w:val="00025F3F"/>
    <w:rsid w:val="00026CD2"/>
    <w:rsid w:val="00030F6D"/>
    <w:rsid w:val="00033512"/>
    <w:rsid w:val="000338FE"/>
    <w:rsid w:val="00033D2F"/>
    <w:rsid w:val="00034FAE"/>
    <w:rsid w:val="000357B3"/>
    <w:rsid w:val="000359E1"/>
    <w:rsid w:val="00035A3B"/>
    <w:rsid w:val="00037341"/>
    <w:rsid w:val="00037FC0"/>
    <w:rsid w:val="00040A8E"/>
    <w:rsid w:val="00040AEA"/>
    <w:rsid w:val="000441C7"/>
    <w:rsid w:val="00044CDF"/>
    <w:rsid w:val="00045800"/>
    <w:rsid w:val="00045AE7"/>
    <w:rsid w:val="00047874"/>
    <w:rsid w:val="00047F4A"/>
    <w:rsid w:val="0005113F"/>
    <w:rsid w:val="00052325"/>
    <w:rsid w:val="000523D1"/>
    <w:rsid w:val="00052B8F"/>
    <w:rsid w:val="0005346D"/>
    <w:rsid w:val="00053670"/>
    <w:rsid w:val="000536BC"/>
    <w:rsid w:val="00054612"/>
    <w:rsid w:val="0005572E"/>
    <w:rsid w:val="00056286"/>
    <w:rsid w:val="00060ADE"/>
    <w:rsid w:val="000612FD"/>
    <w:rsid w:val="000623C6"/>
    <w:rsid w:val="0006266C"/>
    <w:rsid w:val="0006356A"/>
    <w:rsid w:val="000642AA"/>
    <w:rsid w:val="000649EC"/>
    <w:rsid w:val="00065D0D"/>
    <w:rsid w:val="00066EE5"/>
    <w:rsid w:val="00067260"/>
    <w:rsid w:val="000715E8"/>
    <w:rsid w:val="0007209F"/>
    <w:rsid w:val="00072699"/>
    <w:rsid w:val="00072808"/>
    <w:rsid w:val="00073B30"/>
    <w:rsid w:val="0007521D"/>
    <w:rsid w:val="000753F6"/>
    <w:rsid w:val="00076F35"/>
    <w:rsid w:val="00081416"/>
    <w:rsid w:val="00083125"/>
    <w:rsid w:val="00084573"/>
    <w:rsid w:val="0008490E"/>
    <w:rsid w:val="00084AF9"/>
    <w:rsid w:val="00086D8B"/>
    <w:rsid w:val="00087299"/>
    <w:rsid w:val="000878C9"/>
    <w:rsid w:val="00090E36"/>
    <w:rsid w:val="000918D4"/>
    <w:rsid w:val="0009287D"/>
    <w:rsid w:val="00093164"/>
    <w:rsid w:val="00093CF9"/>
    <w:rsid w:val="00094851"/>
    <w:rsid w:val="0009612D"/>
    <w:rsid w:val="00097504"/>
    <w:rsid w:val="000A013F"/>
    <w:rsid w:val="000A04E0"/>
    <w:rsid w:val="000A06E0"/>
    <w:rsid w:val="000A1358"/>
    <w:rsid w:val="000A184D"/>
    <w:rsid w:val="000A35C0"/>
    <w:rsid w:val="000A365D"/>
    <w:rsid w:val="000A443E"/>
    <w:rsid w:val="000A76C2"/>
    <w:rsid w:val="000B216D"/>
    <w:rsid w:val="000B2755"/>
    <w:rsid w:val="000B363C"/>
    <w:rsid w:val="000B41CC"/>
    <w:rsid w:val="000B4EAE"/>
    <w:rsid w:val="000B5206"/>
    <w:rsid w:val="000B5238"/>
    <w:rsid w:val="000B607A"/>
    <w:rsid w:val="000B6B15"/>
    <w:rsid w:val="000B72CF"/>
    <w:rsid w:val="000B7419"/>
    <w:rsid w:val="000C07BC"/>
    <w:rsid w:val="000C0DC3"/>
    <w:rsid w:val="000C2AE3"/>
    <w:rsid w:val="000C31E4"/>
    <w:rsid w:val="000C5927"/>
    <w:rsid w:val="000C67F5"/>
    <w:rsid w:val="000C709A"/>
    <w:rsid w:val="000C7255"/>
    <w:rsid w:val="000D008C"/>
    <w:rsid w:val="000D02FE"/>
    <w:rsid w:val="000D0A77"/>
    <w:rsid w:val="000D29C8"/>
    <w:rsid w:val="000D394D"/>
    <w:rsid w:val="000D3CAA"/>
    <w:rsid w:val="000D3E1C"/>
    <w:rsid w:val="000D6E1E"/>
    <w:rsid w:val="000D7A78"/>
    <w:rsid w:val="000E0295"/>
    <w:rsid w:val="000E27F5"/>
    <w:rsid w:val="000E6A6A"/>
    <w:rsid w:val="000E6DC6"/>
    <w:rsid w:val="000F0B15"/>
    <w:rsid w:val="000F179E"/>
    <w:rsid w:val="000F1DC2"/>
    <w:rsid w:val="000F21C3"/>
    <w:rsid w:val="000F2261"/>
    <w:rsid w:val="000F27FE"/>
    <w:rsid w:val="000F2DE3"/>
    <w:rsid w:val="000F3144"/>
    <w:rsid w:val="000F4307"/>
    <w:rsid w:val="001006A8"/>
    <w:rsid w:val="00100F06"/>
    <w:rsid w:val="00101387"/>
    <w:rsid w:val="0010147F"/>
    <w:rsid w:val="0010158F"/>
    <w:rsid w:val="001017F6"/>
    <w:rsid w:val="00101F51"/>
    <w:rsid w:val="00101F7F"/>
    <w:rsid w:val="001026CA"/>
    <w:rsid w:val="00102E27"/>
    <w:rsid w:val="001035AF"/>
    <w:rsid w:val="00103797"/>
    <w:rsid w:val="0010425F"/>
    <w:rsid w:val="00104D61"/>
    <w:rsid w:val="00104D9B"/>
    <w:rsid w:val="00105BAD"/>
    <w:rsid w:val="00105C8E"/>
    <w:rsid w:val="001062CD"/>
    <w:rsid w:val="00106312"/>
    <w:rsid w:val="00107388"/>
    <w:rsid w:val="001106DA"/>
    <w:rsid w:val="001115A5"/>
    <w:rsid w:val="001123D8"/>
    <w:rsid w:val="001129F3"/>
    <w:rsid w:val="00112E9E"/>
    <w:rsid w:val="00112FDA"/>
    <w:rsid w:val="00113713"/>
    <w:rsid w:val="001138D3"/>
    <w:rsid w:val="00114656"/>
    <w:rsid w:val="0011757D"/>
    <w:rsid w:val="00117A05"/>
    <w:rsid w:val="00117CB2"/>
    <w:rsid w:val="00120B39"/>
    <w:rsid w:val="00120B8F"/>
    <w:rsid w:val="00120CC2"/>
    <w:rsid w:val="00120D10"/>
    <w:rsid w:val="00120DE1"/>
    <w:rsid w:val="0012370F"/>
    <w:rsid w:val="001238E5"/>
    <w:rsid w:val="001239CD"/>
    <w:rsid w:val="00123A2E"/>
    <w:rsid w:val="00124071"/>
    <w:rsid w:val="001248B0"/>
    <w:rsid w:val="001253FB"/>
    <w:rsid w:val="001266DB"/>
    <w:rsid w:val="001267D4"/>
    <w:rsid w:val="0012696F"/>
    <w:rsid w:val="00126D2F"/>
    <w:rsid w:val="00126D31"/>
    <w:rsid w:val="00127062"/>
    <w:rsid w:val="001303B4"/>
    <w:rsid w:val="00131320"/>
    <w:rsid w:val="0013269E"/>
    <w:rsid w:val="00134395"/>
    <w:rsid w:val="00135972"/>
    <w:rsid w:val="001360FC"/>
    <w:rsid w:val="001361D7"/>
    <w:rsid w:val="001400A9"/>
    <w:rsid w:val="0014096A"/>
    <w:rsid w:val="001414CD"/>
    <w:rsid w:val="00142CF7"/>
    <w:rsid w:val="00143A55"/>
    <w:rsid w:val="001447A0"/>
    <w:rsid w:val="0014497F"/>
    <w:rsid w:val="00144F43"/>
    <w:rsid w:val="00145197"/>
    <w:rsid w:val="00146064"/>
    <w:rsid w:val="00146DDD"/>
    <w:rsid w:val="00146E58"/>
    <w:rsid w:val="00147145"/>
    <w:rsid w:val="001476D4"/>
    <w:rsid w:val="00150096"/>
    <w:rsid w:val="00150554"/>
    <w:rsid w:val="001508E4"/>
    <w:rsid w:val="001515A8"/>
    <w:rsid w:val="001526C2"/>
    <w:rsid w:val="00152DFB"/>
    <w:rsid w:val="00153032"/>
    <w:rsid w:val="0015380A"/>
    <w:rsid w:val="00153A46"/>
    <w:rsid w:val="00153B10"/>
    <w:rsid w:val="001542D1"/>
    <w:rsid w:val="00154CB6"/>
    <w:rsid w:val="00155BCE"/>
    <w:rsid w:val="00156329"/>
    <w:rsid w:val="00156ACC"/>
    <w:rsid w:val="001576D9"/>
    <w:rsid w:val="00157C40"/>
    <w:rsid w:val="00163D79"/>
    <w:rsid w:val="001645C9"/>
    <w:rsid w:val="00164D32"/>
    <w:rsid w:val="00164DA4"/>
    <w:rsid w:val="00166298"/>
    <w:rsid w:val="001663C8"/>
    <w:rsid w:val="00170708"/>
    <w:rsid w:val="0017079E"/>
    <w:rsid w:val="001708D6"/>
    <w:rsid w:val="0017211B"/>
    <w:rsid w:val="001728FC"/>
    <w:rsid w:val="00172A96"/>
    <w:rsid w:val="00172AB2"/>
    <w:rsid w:val="00174D3D"/>
    <w:rsid w:val="00174E3F"/>
    <w:rsid w:val="00175A70"/>
    <w:rsid w:val="0017682B"/>
    <w:rsid w:val="00177F78"/>
    <w:rsid w:val="00181222"/>
    <w:rsid w:val="00182478"/>
    <w:rsid w:val="00182607"/>
    <w:rsid w:val="0018274A"/>
    <w:rsid w:val="001831AC"/>
    <w:rsid w:val="0018480F"/>
    <w:rsid w:val="0018583E"/>
    <w:rsid w:val="00185B0D"/>
    <w:rsid w:val="00186A97"/>
    <w:rsid w:val="00186C68"/>
    <w:rsid w:val="00187930"/>
    <w:rsid w:val="00190992"/>
    <w:rsid w:val="00191763"/>
    <w:rsid w:val="00192F59"/>
    <w:rsid w:val="00194940"/>
    <w:rsid w:val="00194E02"/>
    <w:rsid w:val="0019530E"/>
    <w:rsid w:val="00195C58"/>
    <w:rsid w:val="00195D34"/>
    <w:rsid w:val="00195F2E"/>
    <w:rsid w:val="001A04E7"/>
    <w:rsid w:val="001A16F3"/>
    <w:rsid w:val="001A280F"/>
    <w:rsid w:val="001A6302"/>
    <w:rsid w:val="001B0C7B"/>
    <w:rsid w:val="001B1151"/>
    <w:rsid w:val="001B1DB4"/>
    <w:rsid w:val="001B2603"/>
    <w:rsid w:val="001B5865"/>
    <w:rsid w:val="001B59F0"/>
    <w:rsid w:val="001B6C39"/>
    <w:rsid w:val="001C0809"/>
    <w:rsid w:val="001C0ACD"/>
    <w:rsid w:val="001C1183"/>
    <w:rsid w:val="001C1C70"/>
    <w:rsid w:val="001C1F06"/>
    <w:rsid w:val="001C4978"/>
    <w:rsid w:val="001C7AAE"/>
    <w:rsid w:val="001D0ED2"/>
    <w:rsid w:val="001D1515"/>
    <w:rsid w:val="001D1D6B"/>
    <w:rsid w:val="001D25F3"/>
    <w:rsid w:val="001D3751"/>
    <w:rsid w:val="001D38E9"/>
    <w:rsid w:val="001D4BB5"/>
    <w:rsid w:val="001D537B"/>
    <w:rsid w:val="001D6778"/>
    <w:rsid w:val="001D69F4"/>
    <w:rsid w:val="001E0962"/>
    <w:rsid w:val="001E0B61"/>
    <w:rsid w:val="001E1276"/>
    <w:rsid w:val="001E1FD6"/>
    <w:rsid w:val="001E250E"/>
    <w:rsid w:val="001E2949"/>
    <w:rsid w:val="001E4E3F"/>
    <w:rsid w:val="001E59C3"/>
    <w:rsid w:val="001E60EE"/>
    <w:rsid w:val="001E6885"/>
    <w:rsid w:val="001F0509"/>
    <w:rsid w:val="001F07E9"/>
    <w:rsid w:val="001F285E"/>
    <w:rsid w:val="001F2D64"/>
    <w:rsid w:val="001F43D6"/>
    <w:rsid w:val="001F4BCA"/>
    <w:rsid w:val="001F62CE"/>
    <w:rsid w:val="001F67C2"/>
    <w:rsid w:val="00202524"/>
    <w:rsid w:val="00202A4F"/>
    <w:rsid w:val="00202B57"/>
    <w:rsid w:val="00203F94"/>
    <w:rsid w:val="0020580B"/>
    <w:rsid w:val="0020644D"/>
    <w:rsid w:val="00206592"/>
    <w:rsid w:val="00207A51"/>
    <w:rsid w:val="00210736"/>
    <w:rsid w:val="00210F81"/>
    <w:rsid w:val="00211622"/>
    <w:rsid w:val="00213C5D"/>
    <w:rsid w:val="00214B3E"/>
    <w:rsid w:val="00214E5F"/>
    <w:rsid w:val="002154E9"/>
    <w:rsid w:val="00215C08"/>
    <w:rsid w:val="0021693E"/>
    <w:rsid w:val="0021698B"/>
    <w:rsid w:val="00216A86"/>
    <w:rsid w:val="00217B3B"/>
    <w:rsid w:val="0022004A"/>
    <w:rsid w:val="00221533"/>
    <w:rsid w:val="00221BF0"/>
    <w:rsid w:val="00221F1A"/>
    <w:rsid w:val="00222688"/>
    <w:rsid w:val="00223CD5"/>
    <w:rsid w:val="0022698E"/>
    <w:rsid w:val="002276B4"/>
    <w:rsid w:val="00227912"/>
    <w:rsid w:val="002305D8"/>
    <w:rsid w:val="002311C3"/>
    <w:rsid w:val="002311EE"/>
    <w:rsid w:val="00233488"/>
    <w:rsid w:val="002370F5"/>
    <w:rsid w:val="00237E48"/>
    <w:rsid w:val="0024007E"/>
    <w:rsid w:val="0024088A"/>
    <w:rsid w:val="00240A3A"/>
    <w:rsid w:val="00240ACA"/>
    <w:rsid w:val="00240D7B"/>
    <w:rsid w:val="00241299"/>
    <w:rsid w:val="0024270C"/>
    <w:rsid w:val="002428CB"/>
    <w:rsid w:val="00242B89"/>
    <w:rsid w:val="0024337C"/>
    <w:rsid w:val="0024399A"/>
    <w:rsid w:val="00244EBA"/>
    <w:rsid w:val="00246C59"/>
    <w:rsid w:val="00251918"/>
    <w:rsid w:val="00254995"/>
    <w:rsid w:val="00255462"/>
    <w:rsid w:val="00256233"/>
    <w:rsid w:val="00256BA9"/>
    <w:rsid w:val="00256D29"/>
    <w:rsid w:val="00257D32"/>
    <w:rsid w:val="002603D9"/>
    <w:rsid w:val="00260957"/>
    <w:rsid w:val="00262D9F"/>
    <w:rsid w:val="00263C1B"/>
    <w:rsid w:val="002643F9"/>
    <w:rsid w:val="00264646"/>
    <w:rsid w:val="00266538"/>
    <w:rsid w:val="00266D46"/>
    <w:rsid w:val="00267175"/>
    <w:rsid w:val="00267188"/>
    <w:rsid w:val="00267B63"/>
    <w:rsid w:val="00270DFB"/>
    <w:rsid w:val="00271BBD"/>
    <w:rsid w:val="0027232D"/>
    <w:rsid w:val="00272BD5"/>
    <w:rsid w:val="002745E8"/>
    <w:rsid w:val="00274D0F"/>
    <w:rsid w:val="00275037"/>
    <w:rsid w:val="00277500"/>
    <w:rsid w:val="00277BF4"/>
    <w:rsid w:val="0028125E"/>
    <w:rsid w:val="002818FA"/>
    <w:rsid w:val="00281A5F"/>
    <w:rsid w:val="00283539"/>
    <w:rsid w:val="00285073"/>
    <w:rsid w:val="002859FB"/>
    <w:rsid w:val="00285A8E"/>
    <w:rsid w:val="00285DEC"/>
    <w:rsid w:val="00286639"/>
    <w:rsid w:val="00286A80"/>
    <w:rsid w:val="0028701F"/>
    <w:rsid w:val="00287681"/>
    <w:rsid w:val="00287EF7"/>
    <w:rsid w:val="00291F2F"/>
    <w:rsid w:val="00291F68"/>
    <w:rsid w:val="0029235E"/>
    <w:rsid w:val="00294BD5"/>
    <w:rsid w:val="0029672A"/>
    <w:rsid w:val="00296998"/>
    <w:rsid w:val="00296F64"/>
    <w:rsid w:val="00297B94"/>
    <w:rsid w:val="002A060A"/>
    <w:rsid w:val="002A2627"/>
    <w:rsid w:val="002A2BEB"/>
    <w:rsid w:val="002A4450"/>
    <w:rsid w:val="002A5205"/>
    <w:rsid w:val="002A60F1"/>
    <w:rsid w:val="002A6750"/>
    <w:rsid w:val="002B2296"/>
    <w:rsid w:val="002B28A9"/>
    <w:rsid w:val="002B3040"/>
    <w:rsid w:val="002B333B"/>
    <w:rsid w:val="002B4407"/>
    <w:rsid w:val="002B5E71"/>
    <w:rsid w:val="002B67B7"/>
    <w:rsid w:val="002C0429"/>
    <w:rsid w:val="002C16BE"/>
    <w:rsid w:val="002C19E4"/>
    <w:rsid w:val="002C1CCB"/>
    <w:rsid w:val="002C257A"/>
    <w:rsid w:val="002C3676"/>
    <w:rsid w:val="002C4049"/>
    <w:rsid w:val="002C4097"/>
    <w:rsid w:val="002C6CC4"/>
    <w:rsid w:val="002C7166"/>
    <w:rsid w:val="002C7582"/>
    <w:rsid w:val="002D13C4"/>
    <w:rsid w:val="002D1791"/>
    <w:rsid w:val="002D275E"/>
    <w:rsid w:val="002D2782"/>
    <w:rsid w:val="002D2A1D"/>
    <w:rsid w:val="002D2B52"/>
    <w:rsid w:val="002D313F"/>
    <w:rsid w:val="002D33D1"/>
    <w:rsid w:val="002D41DB"/>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64EB"/>
    <w:rsid w:val="002E6FFA"/>
    <w:rsid w:val="002E7BAB"/>
    <w:rsid w:val="002E7F8F"/>
    <w:rsid w:val="002F07D2"/>
    <w:rsid w:val="002F112F"/>
    <w:rsid w:val="002F1875"/>
    <w:rsid w:val="002F1A77"/>
    <w:rsid w:val="002F24F7"/>
    <w:rsid w:val="002F3192"/>
    <w:rsid w:val="002F3F04"/>
    <w:rsid w:val="002F41BA"/>
    <w:rsid w:val="002F662D"/>
    <w:rsid w:val="002F7249"/>
    <w:rsid w:val="002F750E"/>
    <w:rsid w:val="00300AD2"/>
    <w:rsid w:val="00300C2E"/>
    <w:rsid w:val="003018AA"/>
    <w:rsid w:val="003023F1"/>
    <w:rsid w:val="00303568"/>
    <w:rsid w:val="00303B99"/>
    <w:rsid w:val="0030714F"/>
    <w:rsid w:val="003073E2"/>
    <w:rsid w:val="00307DDF"/>
    <w:rsid w:val="003134B2"/>
    <w:rsid w:val="00313706"/>
    <w:rsid w:val="00313E78"/>
    <w:rsid w:val="0031435F"/>
    <w:rsid w:val="00314A43"/>
    <w:rsid w:val="00314F09"/>
    <w:rsid w:val="00315102"/>
    <w:rsid w:val="00315A0E"/>
    <w:rsid w:val="003169F2"/>
    <w:rsid w:val="00320FE4"/>
    <w:rsid w:val="00322040"/>
    <w:rsid w:val="003230C8"/>
    <w:rsid w:val="003240B8"/>
    <w:rsid w:val="00325422"/>
    <w:rsid w:val="003258AF"/>
    <w:rsid w:val="003268C2"/>
    <w:rsid w:val="00331EB6"/>
    <w:rsid w:val="00333FDA"/>
    <w:rsid w:val="003340DE"/>
    <w:rsid w:val="00334887"/>
    <w:rsid w:val="00335955"/>
    <w:rsid w:val="003359B5"/>
    <w:rsid w:val="00336277"/>
    <w:rsid w:val="0033657E"/>
    <w:rsid w:val="0034009C"/>
    <w:rsid w:val="00340D19"/>
    <w:rsid w:val="00341FF1"/>
    <w:rsid w:val="00342581"/>
    <w:rsid w:val="00342956"/>
    <w:rsid w:val="00343D54"/>
    <w:rsid w:val="00343EC0"/>
    <w:rsid w:val="00344804"/>
    <w:rsid w:val="003468E7"/>
    <w:rsid w:val="00346C09"/>
    <w:rsid w:val="00346C47"/>
    <w:rsid w:val="00347A1F"/>
    <w:rsid w:val="003510FF"/>
    <w:rsid w:val="003518C8"/>
    <w:rsid w:val="00351E02"/>
    <w:rsid w:val="00352BC7"/>
    <w:rsid w:val="00353107"/>
    <w:rsid w:val="0035338B"/>
    <w:rsid w:val="003533B5"/>
    <w:rsid w:val="003534D0"/>
    <w:rsid w:val="00353CE3"/>
    <w:rsid w:val="003542D3"/>
    <w:rsid w:val="003553F8"/>
    <w:rsid w:val="00355A2F"/>
    <w:rsid w:val="00355C36"/>
    <w:rsid w:val="00355EA8"/>
    <w:rsid w:val="00356024"/>
    <w:rsid w:val="00356C12"/>
    <w:rsid w:val="0035728C"/>
    <w:rsid w:val="0036063F"/>
    <w:rsid w:val="00361DD8"/>
    <w:rsid w:val="00361F8D"/>
    <w:rsid w:val="003622CA"/>
    <w:rsid w:val="003629F0"/>
    <w:rsid w:val="00363030"/>
    <w:rsid w:val="0036462C"/>
    <w:rsid w:val="00364A42"/>
    <w:rsid w:val="00364CC8"/>
    <w:rsid w:val="003653A1"/>
    <w:rsid w:val="003656BC"/>
    <w:rsid w:val="00366342"/>
    <w:rsid w:val="003674CA"/>
    <w:rsid w:val="00370B21"/>
    <w:rsid w:val="0037352F"/>
    <w:rsid w:val="00373602"/>
    <w:rsid w:val="00374099"/>
    <w:rsid w:val="003743C4"/>
    <w:rsid w:val="003755FB"/>
    <w:rsid w:val="0037577C"/>
    <w:rsid w:val="00377862"/>
    <w:rsid w:val="00377DA4"/>
    <w:rsid w:val="0038188D"/>
    <w:rsid w:val="00382138"/>
    <w:rsid w:val="00382EFA"/>
    <w:rsid w:val="003841E8"/>
    <w:rsid w:val="00384AEA"/>
    <w:rsid w:val="00385502"/>
    <w:rsid w:val="00385526"/>
    <w:rsid w:val="003857E9"/>
    <w:rsid w:val="003863E7"/>
    <w:rsid w:val="003866CA"/>
    <w:rsid w:val="00387F52"/>
    <w:rsid w:val="003904F7"/>
    <w:rsid w:val="0039085E"/>
    <w:rsid w:val="00391A43"/>
    <w:rsid w:val="00391CAA"/>
    <w:rsid w:val="003933D9"/>
    <w:rsid w:val="00396541"/>
    <w:rsid w:val="003A0A0B"/>
    <w:rsid w:val="003A1A55"/>
    <w:rsid w:val="003A1FBB"/>
    <w:rsid w:val="003A2191"/>
    <w:rsid w:val="003A31BD"/>
    <w:rsid w:val="003A3341"/>
    <w:rsid w:val="003A3AED"/>
    <w:rsid w:val="003A3C44"/>
    <w:rsid w:val="003A4BB5"/>
    <w:rsid w:val="003A534F"/>
    <w:rsid w:val="003A5623"/>
    <w:rsid w:val="003A7E3A"/>
    <w:rsid w:val="003B0611"/>
    <w:rsid w:val="003B0D66"/>
    <w:rsid w:val="003B0D72"/>
    <w:rsid w:val="003B2CB6"/>
    <w:rsid w:val="003B3617"/>
    <w:rsid w:val="003B42A1"/>
    <w:rsid w:val="003B42D9"/>
    <w:rsid w:val="003B7849"/>
    <w:rsid w:val="003C0583"/>
    <w:rsid w:val="003C06D8"/>
    <w:rsid w:val="003C0D63"/>
    <w:rsid w:val="003C3140"/>
    <w:rsid w:val="003C3E02"/>
    <w:rsid w:val="003C3FE8"/>
    <w:rsid w:val="003C4E1C"/>
    <w:rsid w:val="003C6112"/>
    <w:rsid w:val="003C73F9"/>
    <w:rsid w:val="003D2152"/>
    <w:rsid w:val="003D330B"/>
    <w:rsid w:val="003D3FE9"/>
    <w:rsid w:val="003D5BFD"/>
    <w:rsid w:val="003D5F07"/>
    <w:rsid w:val="003D69C7"/>
    <w:rsid w:val="003D6AB5"/>
    <w:rsid w:val="003D7213"/>
    <w:rsid w:val="003E02E7"/>
    <w:rsid w:val="003E0330"/>
    <w:rsid w:val="003E071C"/>
    <w:rsid w:val="003E2EED"/>
    <w:rsid w:val="003E3FF5"/>
    <w:rsid w:val="003E4B34"/>
    <w:rsid w:val="003E5354"/>
    <w:rsid w:val="003E5C36"/>
    <w:rsid w:val="003E796C"/>
    <w:rsid w:val="003F1A16"/>
    <w:rsid w:val="003F2DF5"/>
    <w:rsid w:val="003F51F4"/>
    <w:rsid w:val="003F52C6"/>
    <w:rsid w:val="003F558E"/>
    <w:rsid w:val="003F5F39"/>
    <w:rsid w:val="003F6692"/>
    <w:rsid w:val="003F683A"/>
    <w:rsid w:val="003F7285"/>
    <w:rsid w:val="003F7B70"/>
    <w:rsid w:val="00400436"/>
    <w:rsid w:val="00403D6E"/>
    <w:rsid w:val="00405083"/>
    <w:rsid w:val="0040575B"/>
    <w:rsid w:val="004064EA"/>
    <w:rsid w:val="00407AC0"/>
    <w:rsid w:val="00411814"/>
    <w:rsid w:val="00412E30"/>
    <w:rsid w:val="00413B67"/>
    <w:rsid w:val="00413BEB"/>
    <w:rsid w:val="00413FA9"/>
    <w:rsid w:val="00414907"/>
    <w:rsid w:val="00414B8E"/>
    <w:rsid w:val="00415341"/>
    <w:rsid w:val="00415B78"/>
    <w:rsid w:val="004166BD"/>
    <w:rsid w:val="004169A6"/>
    <w:rsid w:val="00416B4E"/>
    <w:rsid w:val="004170AF"/>
    <w:rsid w:val="004211B0"/>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235C"/>
    <w:rsid w:val="00452B26"/>
    <w:rsid w:val="00454F06"/>
    <w:rsid w:val="0045650D"/>
    <w:rsid w:val="0045786A"/>
    <w:rsid w:val="0046019D"/>
    <w:rsid w:val="0046137E"/>
    <w:rsid w:val="0046261F"/>
    <w:rsid w:val="00464120"/>
    <w:rsid w:val="00464536"/>
    <w:rsid w:val="00464FDE"/>
    <w:rsid w:val="0046514E"/>
    <w:rsid w:val="00465716"/>
    <w:rsid w:val="0046623C"/>
    <w:rsid w:val="00466363"/>
    <w:rsid w:val="00467739"/>
    <w:rsid w:val="00470D0C"/>
    <w:rsid w:val="0047121B"/>
    <w:rsid w:val="004726E1"/>
    <w:rsid w:val="00474E22"/>
    <w:rsid w:val="00475D86"/>
    <w:rsid w:val="0047608F"/>
    <w:rsid w:val="004762EF"/>
    <w:rsid w:val="00476554"/>
    <w:rsid w:val="004765F6"/>
    <w:rsid w:val="004770D4"/>
    <w:rsid w:val="0047739F"/>
    <w:rsid w:val="004813D4"/>
    <w:rsid w:val="00481DE3"/>
    <w:rsid w:val="00482DB7"/>
    <w:rsid w:val="00483108"/>
    <w:rsid w:val="00484130"/>
    <w:rsid w:val="00485279"/>
    <w:rsid w:val="004912CE"/>
    <w:rsid w:val="00491D91"/>
    <w:rsid w:val="00492DCE"/>
    <w:rsid w:val="0049580C"/>
    <w:rsid w:val="00496874"/>
    <w:rsid w:val="0049768F"/>
    <w:rsid w:val="004A04E5"/>
    <w:rsid w:val="004A0768"/>
    <w:rsid w:val="004A13AE"/>
    <w:rsid w:val="004A1495"/>
    <w:rsid w:val="004A166F"/>
    <w:rsid w:val="004A17BE"/>
    <w:rsid w:val="004A2089"/>
    <w:rsid w:val="004A2165"/>
    <w:rsid w:val="004A3E61"/>
    <w:rsid w:val="004A4993"/>
    <w:rsid w:val="004A5084"/>
    <w:rsid w:val="004A5DE5"/>
    <w:rsid w:val="004A5F74"/>
    <w:rsid w:val="004B0043"/>
    <w:rsid w:val="004B0A41"/>
    <w:rsid w:val="004B1052"/>
    <w:rsid w:val="004B35AF"/>
    <w:rsid w:val="004B4EBE"/>
    <w:rsid w:val="004B604A"/>
    <w:rsid w:val="004B6A8C"/>
    <w:rsid w:val="004B6B14"/>
    <w:rsid w:val="004C07BB"/>
    <w:rsid w:val="004C3390"/>
    <w:rsid w:val="004C4E4F"/>
    <w:rsid w:val="004C68A0"/>
    <w:rsid w:val="004C748A"/>
    <w:rsid w:val="004D1201"/>
    <w:rsid w:val="004D1D7C"/>
    <w:rsid w:val="004D227B"/>
    <w:rsid w:val="004D23CF"/>
    <w:rsid w:val="004D2D46"/>
    <w:rsid w:val="004D5EDC"/>
    <w:rsid w:val="004E2F9E"/>
    <w:rsid w:val="004E47EC"/>
    <w:rsid w:val="004E514F"/>
    <w:rsid w:val="004E6E06"/>
    <w:rsid w:val="004E737F"/>
    <w:rsid w:val="004E7D5B"/>
    <w:rsid w:val="004F03DE"/>
    <w:rsid w:val="004F1674"/>
    <w:rsid w:val="004F1B0C"/>
    <w:rsid w:val="004F22DA"/>
    <w:rsid w:val="004F2512"/>
    <w:rsid w:val="004F2B86"/>
    <w:rsid w:val="004F547D"/>
    <w:rsid w:val="00500E33"/>
    <w:rsid w:val="00502165"/>
    <w:rsid w:val="00503BED"/>
    <w:rsid w:val="00504834"/>
    <w:rsid w:val="00504C7A"/>
    <w:rsid w:val="00504F49"/>
    <w:rsid w:val="005058F3"/>
    <w:rsid w:val="00505AEE"/>
    <w:rsid w:val="00505FDF"/>
    <w:rsid w:val="0050632E"/>
    <w:rsid w:val="0050752D"/>
    <w:rsid w:val="0051132E"/>
    <w:rsid w:val="00511EF3"/>
    <w:rsid w:val="00512540"/>
    <w:rsid w:val="00512613"/>
    <w:rsid w:val="00513441"/>
    <w:rsid w:val="0051380C"/>
    <w:rsid w:val="00513C84"/>
    <w:rsid w:val="00514507"/>
    <w:rsid w:val="005148C2"/>
    <w:rsid w:val="00515320"/>
    <w:rsid w:val="005153F5"/>
    <w:rsid w:val="0051670B"/>
    <w:rsid w:val="005170EF"/>
    <w:rsid w:val="00521350"/>
    <w:rsid w:val="00523CA6"/>
    <w:rsid w:val="00525849"/>
    <w:rsid w:val="005269E6"/>
    <w:rsid w:val="0052754E"/>
    <w:rsid w:val="00530BFA"/>
    <w:rsid w:val="00530E44"/>
    <w:rsid w:val="00530EE7"/>
    <w:rsid w:val="0053112A"/>
    <w:rsid w:val="00532271"/>
    <w:rsid w:val="00533F4D"/>
    <w:rsid w:val="005351B9"/>
    <w:rsid w:val="00536011"/>
    <w:rsid w:val="00536401"/>
    <w:rsid w:val="00537F9D"/>
    <w:rsid w:val="00542437"/>
    <w:rsid w:val="00543C89"/>
    <w:rsid w:val="0054498C"/>
    <w:rsid w:val="00545DB1"/>
    <w:rsid w:val="00547606"/>
    <w:rsid w:val="005500C7"/>
    <w:rsid w:val="00550B79"/>
    <w:rsid w:val="0055150B"/>
    <w:rsid w:val="005519A7"/>
    <w:rsid w:val="0055222E"/>
    <w:rsid w:val="0055315B"/>
    <w:rsid w:val="005532F9"/>
    <w:rsid w:val="0055440B"/>
    <w:rsid w:val="00554E43"/>
    <w:rsid w:val="0055560F"/>
    <w:rsid w:val="0055708D"/>
    <w:rsid w:val="00557A3A"/>
    <w:rsid w:val="00557CF0"/>
    <w:rsid w:val="00557D70"/>
    <w:rsid w:val="00560BD7"/>
    <w:rsid w:val="00561CA6"/>
    <w:rsid w:val="00561DF8"/>
    <w:rsid w:val="00562087"/>
    <w:rsid w:val="005623AB"/>
    <w:rsid w:val="005624BD"/>
    <w:rsid w:val="00562E45"/>
    <w:rsid w:val="00563A02"/>
    <w:rsid w:val="00564565"/>
    <w:rsid w:val="005647BE"/>
    <w:rsid w:val="00564A12"/>
    <w:rsid w:val="00565FD3"/>
    <w:rsid w:val="00566299"/>
    <w:rsid w:val="00566B47"/>
    <w:rsid w:val="00567FAA"/>
    <w:rsid w:val="00571B4B"/>
    <w:rsid w:val="005722F6"/>
    <w:rsid w:val="005725F6"/>
    <w:rsid w:val="005749CC"/>
    <w:rsid w:val="00574DB8"/>
    <w:rsid w:val="0057604F"/>
    <w:rsid w:val="00576197"/>
    <w:rsid w:val="005802AF"/>
    <w:rsid w:val="005829DD"/>
    <w:rsid w:val="00583C85"/>
    <w:rsid w:val="005863CB"/>
    <w:rsid w:val="00586817"/>
    <w:rsid w:val="00586D92"/>
    <w:rsid w:val="00586FB7"/>
    <w:rsid w:val="00587507"/>
    <w:rsid w:val="00587939"/>
    <w:rsid w:val="00590005"/>
    <w:rsid w:val="00593755"/>
    <w:rsid w:val="0059458B"/>
    <w:rsid w:val="00595D46"/>
    <w:rsid w:val="00596A0B"/>
    <w:rsid w:val="00596E05"/>
    <w:rsid w:val="00596F85"/>
    <w:rsid w:val="005970FA"/>
    <w:rsid w:val="005A0176"/>
    <w:rsid w:val="005A088E"/>
    <w:rsid w:val="005A139C"/>
    <w:rsid w:val="005A2298"/>
    <w:rsid w:val="005A28C1"/>
    <w:rsid w:val="005A29FD"/>
    <w:rsid w:val="005A3309"/>
    <w:rsid w:val="005A4A98"/>
    <w:rsid w:val="005A5C56"/>
    <w:rsid w:val="005A65B2"/>
    <w:rsid w:val="005A72FC"/>
    <w:rsid w:val="005B0388"/>
    <w:rsid w:val="005B05E3"/>
    <w:rsid w:val="005B109A"/>
    <w:rsid w:val="005B197F"/>
    <w:rsid w:val="005B28C5"/>
    <w:rsid w:val="005B297A"/>
    <w:rsid w:val="005B3B8C"/>
    <w:rsid w:val="005B4219"/>
    <w:rsid w:val="005B5D1F"/>
    <w:rsid w:val="005B6E15"/>
    <w:rsid w:val="005C0C41"/>
    <w:rsid w:val="005C0E58"/>
    <w:rsid w:val="005C2FD5"/>
    <w:rsid w:val="005C31EB"/>
    <w:rsid w:val="005C399D"/>
    <w:rsid w:val="005C39B0"/>
    <w:rsid w:val="005C3F5A"/>
    <w:rsid w:val="005C4EFD"/>
    <w:rsid w:val="005C5145"/>
    <w:rsid w:val="005C5378"/>
    <w:rsid w:val="005C5D3F"/>
    <w:rsid w:val="005C7C6A"/>
    <w:rsid w:val="005D2AB9"/>
    <w:rsid w:val="005D30B3"/>
    <w:rsid w:val="005D34E2"/>
    <w:rsid w:val="005D364D"/>
    <w:rsid w:val="005D3F58"/>
    <w:rsid w:val="005D4178"/>
    <w:rsid w:val="005D496E"/>
    <w:rsid w:val="005D4B0B"/>
    <w:rsid w:val="005D4CDC"/>
    <w:rsid w:val="005D56DA"/>
    <w:rsid w:val="005D7C20"/>
    <w:rsid w:val="005E0C1B"/>
    <w:rsid w:val="005E0DCB"/>
    <w:rsid w:val="005E19AF"/>
    <w:rsid w:val="005E2EDE"/>
    <w:rsid w:val="005E47FB"/>
    <w:rsid w:val="005E49A6"/>
    <w:rsid w:val="005E5108"/>
    <w:rsid w:val="005E6765"/>
    <w:rsid w:val="005E6960"/>
    <w:rsid w:val="005E6E1D"/>
    <w:rsid w:val="005E6E51"/>
    <w:rsid w:val="005E7D93"/>
    <w:rsid w:val="005E7EB8"/>
    <w:rsid w:val="005F184F"/>
    <w:rsid w:val="005F18D6"/>
    <w:rsid w:val="005F2BA8"/>
    <w:rsid w:val="005F3582"/>
    <w:rsid w:val="005F3FFE"/>
    <w:rsid w:val="005F4434"/>
    <w:rsid w:val="005F50DF"/>
    <w:rsid w:val="005F544F"/>
    <w:rsid w:val="005F59F5"/>
    <w:rsid w:val="00600D34"/>
    <w:rsid w:val="00601089"/>
    <w:rsid w:val="00601DC7"/>
    <w:rsid w:val="00602C1D"/>
    <w:rsid w:val="00603024"/>
    <w:rsid w:val="0060365D"/>
    <w:rsid w:val="00605F3F"/>
    <w:rsid w:val="00607374"/>
    <w:rsid w:val="006075A4"/>
    <w:rsid w:val="00607687"/>
    <w:rsid w:val="00607F85"/>
    <w:rsid w:val="006102C2"/>
    <w:rsid w:val="0061079B"/>
    <w:rsid w:val="00610E04"/>
    <w:rsid w:val="00611041"/>
    <w:rsid w:val="00611196"/>
    <w:rsid w:val="006116E3"/>
    <w:rsid w:val="00611AFF"/>
    <w:rsid w:val="00613A81"/>
    <w:rsid w:val="00614510"/>
    <w:rsid w:val="00614C2C"/>
    <w:rsid w:val="00614E10"/>
    <w:rsid w:val="00615EF4"/>
    <w:rsid w:val="00616FF1"/>
    <w:rsid w:val="00617B95"/>
    <w:rsid w:val="006206D8"/>
    <w:rsid w:val="00620B76"/>
    <w:rsid w:val="00622A43"/>
    <w:rsid w:val="006239EE"/>
    <w:rsid w:val="0062402E"/>
    <w:rsid w:val="00624400"/>
    <w:rsid w:val="00624E51"/>
    <w:rsid w:val="00625ACD"/>
    <w:rsid w:val="00626162"/>
    <w:rsid w:val="00626999"/>
    <w:rsid w:val="00627A9E"/>
    <w:rsid w:val="00630C2A"/>
    <w:rsid w:val="006319F1"/>
    <w:rsid w:val="00631D5D"/>
    <w:rsid w:val="00631FEE"/>
    <w:rsid w:val="006343F9"/>
    <w:rsid w:val="00634719"/>
    <w:rsid w:val="00635923"/>
    <w:rsid w:val="00635B87"/>
    <w:rsid w:val="00635F31"/>
    <w:rsid w:val="00636B09"/>
    <w:rsid w:val="00640C34"/>
    <w:rsid w:val="0064106B"/>
    <w:rsid w:val="0064134E"/>
    <w:rsid w:val="006432A0"/>
    <w:rsid w:val="006444E8"/>
    <w:rsid w:val="0064586F"/>
    <w:rsid w:val="00647E2D"/>
    <w:rsid w:val="006503E8"/>
    <w:rsid w:val="00650570"/>
    <w:rsid w:val="00652143"/>
    <w:rsid w:val="00652747"/>
    <w:rsid w:val="00653A6C"/>
    <w:rsid w:val="00654A4A"/>
    <w:rsid w:val="0065545A"/>
    <w:rsid w:val="00660C9F"/>
    <w:rsid w:val="00662A6B"/>
    <w:rsid w:val="00663528"/>
    <w:rsid w:val="00664A6C"/>
    <w:rsid w:val="00664DAC"/>
    <w:rsid w:val="00666184"/>
    <w:rsid w:val="006661CF"/>
    <w:rsid w:val="006668F8"/>
    <w:rsid w:val="00667FE2"/>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2578"/>
    <w:rsid w:val="00682AF5"/>
    <w:rsid w:val="0068337B"/>
    <w:rsid w:val="00683736"/>
    <w:rsid w:val="00683D97"/>
    <w:rsid w:val="00684FCA"/>
    <w:rsid w:val="00685E4A"/>
    <w:rsid w:val="006864C5"/>
    <w:rsid w:val="00686B5C"/>
    <w:rsid w:val="00686F01"/>
    <w:rsid w:val="00692850"/>
    <w:rsid w:val="0069347D"/>
    <w:rsid w:val="0069418C"/>
    <w:rsid w:val="00694FE9"/>
    <w:rsid w:val="00696997"/>
    <w:rsid w:val="006A02D6"/>
    <w:rsid w:val="006A1FE8"/>
    <w:rsid w:val="006A22B6"/>
    <w:rsid w:val="006A4295"/>
    <w:rsid w:val="006A57FA"/>
    <w:rsid w:val="006A597B"/>
    <w:rsid w:val="006A6375"/>
    <w:rsid w:val="006A6D0E"/>
    <w:rsid w:val="006A6F76"/>
    <w:rsid w:val="006A758C"/>
    <w:rsid w:val="006B1D18"/>
    <w:rsid w:val="006B2718"/>
    <w:rsid w:val="006B4493"/>
    <w:rsid w:val="006B59F4"/>
    <w:rsid w:val="006B5CC3"/>
    <w:rsid w:val="006B72FB"/>
    <w:rsid w:val="006B73FA"/>
    <w:rsid w:val="006B77CC"/>
    <w:rsid w:val="006C0F46"/>
    <w:rsid w:val="006C1271"/>
    <w:rsid w:val="006C160D"/>
    <w:rsid w:val="006C1EEC"/>
    <w:rsid w:val="006C352C"/>
    <w:rsid w:val="006C3FEA"/>
    <w:rsid w:val="006C65E9"/>
    <w:rsid w:val="006C69E7"/>
    <w:rsid w:val="006D10AE"/>
    <w:rsid w:val="006D1E54"/>
    <w:rsid w:val="006D24DC"/>
    <w:rsid w:val="006D29F2"/>
    <w:rsid w:val="006D31E2"/>
    <w:rsid w:val="006D3B05"/>
    <w:rsid w:val="006D4CAB"/>
    <w:rsid w:val="006D6F85"/>
    <w:rsid w:val="006D71F9"/>
    <w:rsid w:val="006D7CA2"/>
    <w:rsid w:val="006E025F"/>
    <w:rsid w:val="006E065B"/>
    <w:rsid w:val="006E09D3"/>
    <w:rsid w:val="006E1692"/>
    <w:rsid w:val="006E1E6C"/>
    <w:rsid w:val="006E20CB"/>
    <w:rsid w:val="006E5505"/>
    <w:rsid w:val="006E5BE9"/>
    <w:rsid w:val="006E6BBE"/>
    <w:rsid w:val="006E71BB"/>
    <w:rsid w:val="006E7291"/>
    <w:rsid w:val="006E73C1"/>
    <w:rsid w:val="006F0815"/>
    <w:rsid w:val="006F0D0A"/>
    <w:rsid w:val="006F136D"/>
    <w:rsid w:val="006F226D"/>
    <w:rsid w:val="006F240A"/>
    <w:rsid w:val="006F2932"/>
    <w:rsid w:val="006F2A5B"/>
    <w:rsid w:val="006F2D27"/>
    <w:rsid w:val="006F2FB3"/>
    <w:rsid w:val="006F3D23"/>
    <w:rsid w:val="006F449B"/>
    <w:rsid w:val="006F4E35"/>
    <w:rsid w:val="006F531B"/>
    <w:rsid w:val="006F56B6"/>
    <w:rsid w:val="006F62BC"/>
    <w:rsid w:val="006F70BD"/>
    <w:rsid w:val="0070023A"/>
    <w:rsid w:val="007017A3"/>
    <w:rsid w:val="00702493"/>
    <w:rsid w:val="007034D1"/>
    <w:rsid w:val="007039A7"/>
    <w:rsid w:val="00706A77"/>
    <w:rsid w:val="0071035D"/>
    <w:rsid w:val="007113CC"/>
    <w:rsid w:val="007122F9"/>
    <w:rsid w:val="0071329A"/>
    <w:rsid w:val="00714652"/>
    <w:rsid w:val="00714A8A"/>
    <w:rsid w:val="00714F3B"/>
    <w:rsid w:val="007166F7"/>
    <w:rsid w:val="00716AEF"/>
    <w:rsid w:val="00716B51"/>
    <w:rsid w:val="00716C74"/>
    <w:rsid w:val="00717076"/>
    <w:rsid w:val="00717296"/>
    <w:rsid w:val="007172CB"/>
    <w:rsid w:val="00717DFE"/>
    <w:rsid w:val="00720BDD"/>
    <w:rsid w:val="00721357"/>
    <w:rsid w:val="00721591"/>
    <w:rsid w:val="00722E4E"/>
    <w:rsid w:val="007253B2"/>
    <w:rsid w:val="007253FF"/>
    <w:rsid w:val="00725E05"/>
    <w:rsid w:val="00726711"/>
    <w:rsid w:val="00727370"/>
    <w:rsid w:val="00730BA0"/>
    <w:rsid w:val="007320A9"/>
    <w:rsid w:val="007326A9"/>
    <w:rsid w:val="00732A29"/>
    <w:rsid w:val="007339F8"/>
    <w:rsid w:val="00735837"/>
    <w:rsid w:val="00735D9E"/>
    <w:rsid w:val="007367D0"/>
    <w:rsid w:val="007374D3"/>
    <w:rsid w:val="00737D36"/>
    <w:rsid w:val="00740561"/>
    <w:rsid w:val="0074109C"/>
    <w:rsid w:val="00742335"/>
    <w:rsid w:val="00742842"/>
    <w:rsid w:val="00743259"/>
    <w:rsid w:val="0074492D"/>
    <w:rsid w:val="00745E99"/>
    <w:rsid w:val="0074620D"/>
    <w:rsid w:val="0075219E"/>
    <w:rsid w:val="00753376"/>
    <w:rsid w:val="00753909"/>
    <w:rsid w:val="007543B0"/>
    <w:rsid w:val="007568A9"/>
    <w:rsid w:val="00756DEC"/>
    <w:rsid w:val="00757915"/>
    <w:rsid w:val="00761514"/>
    <w:rsid w:val="0076267A"/>
    <w:rsid w:val="0076397A"/>
    <w:rsid w:val="00763BC1"/>
    <w:rsid w:val="00763C22"/>
    <w:rsid w:val="00763CE7"/>
    <w:rsid w:val="00767793"/>
    <w:rsid w:val="00770127"/>
    <w:rsid w:val="00771497"/>
    <w:rsid w:val="00771830"/>
    <w:rsid w:val="00772177"/>
    <w:rsid w:val="0077265F"/>
    <w:rsid w:val="00772B76"/>
    <w:rsid w:val="007739D8"/>
    <w:rsid w:val="00774D67"/>
    <w:rsid w:val="0077576E"/>
    <w:rsid w:val="00775C65"/>
    <w:rsid w:val="0077639A"/>
    <w:rsid w:val="007766B2"/>
    <w:rsid w:val="007771F8"/>
    <w:rsid w:val="00777C60"/>
    <w:rsid w:val="007800AF"/>
    <w:rsid w:val="0078100C"/>
    <w:rsid w:val="0078157F"/>
    <w:rsid w:val="0078185E"/>
    <w:rsid w:val="00782799"/>
    <w:rsid w:val="00782CDB"/>
    <w:rsid w:val="00784FFE"/>
    <w:rsid w:val="00786F48"/>
    <w:rsid w:val="0078772C"/>
    <w:rsid w:val="00787866"/>
    <w:rsid w:val="007878E4"/>
    <w:rsid w:val="0079090E"/>
    <w:rsid w:val="00792289"/>
    <w:rsid w:val="00792484"/>
    <w:rsid w:val="0079267C"/>
    <w:rsid w:val="00795211"/>
    <w:rsid w:val="007963BD"/>
    <w:rsid w:val="007A0505"/>
    <w:rsid w:val="007A1190"/>
    <w:rsid w:val="007A2779"/>
    <w:rsid w:val="007A4783"/>
    <w:rsid w:val="007A5191"/>
    <w:rsid w:val="007A647F"/>
    <w:rsid w:val="007A6ED6"/>
    <w:rsid w:val="007B0439"/>
    <w:rsid w:val="007B0500"/>
    <w:rsid w:val="007B111B"/>
    <w:rsid w:val="007B1441"/>
    <w:rsid w:val="007B25E8"/>
    <w:rsid w:val="007B25FE"/>
    <w:rsid w:val="007B374F"/>
    <w:rsid w:val="007B3AE8"/>
    <w:rsid w:val="007B4418"/>
    <w:rsid w:val="007B45D4"/>
    <w:rsid w:val="007B5B5A"/>
    <w:rsid w:val="007B5BFD"/>
    <w:rsid w:val="007B5DAC"/>
    <w:rsid w:val="007B5F62"/>
    <w:rsid w:val="007B625E"/>
    <w:rsid w:val="007B66B3"/>
    <w:rsid w:val="007B6FD8"/>
    <w:rsid w:val="007B7077"/>
    <w:rsid w:val="007B73FD"/>
    <w:rsid w:val="007C1042"/>
    <w:rsid w:val="007C20B1"/>
    <w:rsid w:val="007C3003"/>
    <w:rsid w:val="007C5923"/>
    <w:rsid w:val="007C6B60"/>
    <w:rsid w:val="007C6F85"/>
    <w:rsid w:val="007C7B99"/>
    <w:rsid w:val="007C7D88"/>
    <w:rsid w:val="007D1655"/>
    <w:rsid w:val="007D16CC"/>
    <w:rsid w:val="007D23B3"/>
    <w:rsid w:val="007D3AA0"/>
    <w:rsid w:val="007D3B71"/>
    <w:rsid w:val="007D3FD8"/>
    <w:rsid w:val="007D3FE2"/>
    <w:rsid w:val="007D4359"/>
    <w:rsid w:val="007D45C1"/>
    <w:rsid w:val="007D4EC2"/>
    <w:rsid w:val="007D5690"/>
    <w:rsid w:val="007D69FA"/>
    <w:rsid w:val="007D71F9"/>
    <w:rsid w:val="007D75E9"/>
    <w:rsid w:val="007D7CC9"/>
    <w:rsid w:val="007E01F4"/>
    <w:rsid w:val="007E0B23"/>
    <w:rsid w:val="007E1600"/>
    <w:rsid w:val="007E1D70"/>
    <w:rsid w:val="007E3F40"/>
    <w:rsid w:val="007E43A2"/>
    <w:rsid w:val="007E4641"/>
    <w:rsid w:val="007E6DEF"/>
    <w:rsid w:val="007F02C3"/>
    <w:rsid w:val="007F03E8"/>
    <w:rsid w:val="007F0CE1"/>
    <w:rsid w:val="007F193A"/>
    <w:rsid w:val="007F1ABA"/>
    <w:rsid w:val="007F2A03"/>
    <w:rsid w:val="007F3616"/>
    <w:rsid w:val="007F4847"/>
    <w:rsid w:val="007F4D92"/>
    <w:rsid w:val="007F77B2"/>
    <w:rsid w:val="007F7883"/>
    <w:rsid w:val="008001AC"/>
    <w:rsid w:val="00800499"/>
    <w:rsid w:val="008029DB"/>
    <w:rsid w:val="00802CA3"/>
    <w:rsid w:val="008039D6"/>
    <w:rsid w:val="00803E7F"/>
    <w:rsid w:val="008072D7"/>
    <w:rsid w:val="00810327"/>
    <w:rsid w:val="00810603"/>
    <w:rsid w:val="00811145"/>
    <w:rsid w:val="00811263"/>
    <w:rsid w:val="00812B83"/>
    <w:rsid w:val="00812C2D"/>
    <w:rsid w:val="00813813"/>
    <w:rsid w:val="00813C03"/>
    <w:rsid w:val="00814283"/>
    <w:rsid w:val="00816C07"/>
    <w:rsid w:val="00816C67"/>
    <w:rsid w:val="00820209"/>
    <w:rsid w:val="00820920"/>
    <w:rsid w:val="00820C63"/>
    <w:rsid w:val="00820F35"/>
    <w:rsid w:val="00820FEC"/>
    <w:rsid w:val="00822EFE"/>
    <w:rsid w:val="00823796"/>
    <w:rsid w:val="0082393D"/>
    <w:rsid w:val="008239D1"/>
    <w:rsid w:val="00823DE0"/>
    <w:rsid w:val="00824BFC"/>
    <w:rsid w:val="00824FAC"/>
    <w:rsid w:val="008307FC"/>
    <w:rsid w:val="00830821"/>
    <w:rsid w:val="00832177"/>
    <w:rsid w:val="00832208"/>
    <w:rsid w:val="0083324D"/>
    <w:rsid w:val="00834BD9"/>
    <w:rsid w:val="008401B6"/>
    <w:rsid w:val="00840600"/>
    <w:rsid w:val="00841542"/>
    <w:rsid w:val="00841733"/>
    <w:rsid w:val="00842216"/>
    <w:rsid w:val="00842484"/>
    <w:rsid w:val="00842982"/>
    <w:rsid w:val="00843447"/>
    <w:rsid w:val="00843EDA"/>
    <w:rsid w:val="00844D38"/>
    <w:rsid w:val="00844D85"/>
    <w:rsid w:val="0084563E"/>
    <w:rsid w:val="008476B4"/>
    <w:rsid w:val="00850E71"/>
    <w:rsid w:val="00851B6E"/>
    <w:rsid w:val="008524BE"/>
    <w:rsid w:val="0085269A"/>
    <w:rsid w:val="0085306F"/>
    <w:rsid w:val="00853243"/>
    <w:rsid w:val="00853BC2"/>
    <w:rsid w:val="00853C7E"/>
    <w:rsid w:val="00854278"/>
    <w:rsid w:val="00856063"/>
    <w:rsid w:val="008566B2"/>
    <w:rsid w:val="00857172"/>
    <w:rsid w:val="0085770D"/>
    <w:rsid w:val="00860DE4"/>
    <w:rsid w:val="008621E1"/>
    <w:rsid w:val="0086236A"/>
    <w:rsid w:val="0086569A"/>
    <w:rsid w:val="0086753C"/>
    <w:rsid w:val="008676C6"/>
    <w:rsid w:val="00867A36"/>
    <w:rsid w:val="00867C3F"/>
    <w:rsid w:val="00870002"/>
    <w:rsid w:val="0087004F"/>
    <w:rsid w:val="008702A8"/>
    <w:rsid w:val="0087035A"/>
    <w:rsid w:val="00870FD4"/>
    <w:rsid w:val="00872B3E"/>
    <w:rsid w:val="0087347D"/>
    <w:rsid w:val="00873683"/>
    <w:rsid w:val="00873CA1"/>
    <w:rsid w:val="00876F90"/>
    <w:rsid w:val="00877AEF"/>
    <w:rsid w:val="00877B0B"/>
    <w:rsid w:val="00880121"/>
    <w:rsid w:val="00882341"/>
    <w:rsid w:val="00882DAD"/>
    <w:rsid w:val="00883C0D"/>
    <w:rsid w:val="008843F5"/>
    <w:rsid w:val="00884F32"/>
    <w:rsid w:val="00885263"/>
    <w:rsid w:val="008868A8"/>
    <w:rsid w:val="00886EAF"/>
    <w:rsid w:val="00890014"/>
    <w:rsid w:val="008902F2"/>
    <w:rsid w:val="00890D93"/>
    <w:rsid w:val="00891FE8"/>
    <w:rsid w:val="00892DA5"/>
    <w:rsid w:val="00892FA4"/>
    <w:rsid w:val="00893AAE"/>
    <w:rsid w:val="008949B1"/>
    <w:rsid w:val="00896DA2"/>
    <w:rsid w:val="00896E2B"/>
    <w:rsid w:val="0089713E"/>
    <w:rsid w:val="008972AA"/>
    <w:rsid w:val="008A02A4"/>
    <w:rsid w:val="008A10F3"/>
    <w:rsid w:val="008A28FA"/>
    <w:rsid w:val="008A306A"/>
    <w:rsid w:val="008A4D60"/>
    <w:rsid w:val="008A53EE"/>
    <w:rsid w:val="008A5436"/>
    <w:rsid w:val="008A5C0F"/>
    <w:rsid w:val="008A5F43"/>
    <w:rsid w:val="008A67B2"/>
    <w:rsid w:val="008A714C"/>
    <w:rsid w:val="008B012A"/>
    <w:rsid w:val="008B1596"/>
    <w:rsid w:val="008B1B37"/>
    <w:rsid w:val="008B4062"/>
    <w:rsid w:val="008B4B6F"/>
    <w:rsid w:val="008B4BE9"/>
    <w:rsid w:val="008B5977"/>
    <w:rsid w:val="008B7A43"/>
    <w:rsid w:val="008C09C4"/>
    <w:rsid w:val="008C1598"/>
    <w:rsid w:val="008C1F44"/>
    <w:rsid w:val="008C4F59"/>
    <w:rsid w:val="008C646F"/>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6F9C"/>
    <w:rsid w:val="008E7710"/>
    <w:rsid w:val="008F067F"/>
    <w:rsid w:val="008F2795"/>
    <w:rsid w:val="008F3196"/>
    <w:rsid w:val="008F3A79"/>
    <w:rsid w:val="008F485A"/>
    <w:rsid w:val="008F7DB1"/>
    <w:rsid w:val="00900D4D"/>
    <w:rsid w:val="00900D5E"/>
    <w:rsid w:val="009012FC"/>
    <w:rsid w:val="00901D76"/>
    <w:rsid w:val="00902D59"/>
    <w:rsid w:val="0090380F"/>
    <w:rsid w:val="00903E8D"/>
    <w:rsid w:val="00903F34"/>
    <w:rsid w:val="009056DA"/>
    <w:rsid w:val="00905C0A"/>
    <w:rsid w:val="00906028"/>
    <w:rsid w:val="00906B32"/>
    <w:rsid w:val="00907FE8"/>
    <w:rsid w:val="009122F8"/>
    <w:rsid w:val="009124CB"/>
    <w:rsid w:val="00912568"/>
    <w:rsid w:val="00912915"/>
    <w:rsid w:val="00913870"/>
    <w:rsid w:val="00913A0B"/>
    <w:rsid w:val="009154B5"/>
    <w:rsid w:val="00915520"/>
    <w:rsid w:val="009155DC"/>
    <w:rsid w:val="009155F7"/>
    <w:rsid w:val="00915A82"/>
    <w:rsid w:val="009163BB"/>
    <w:rsid w:val="00917AA0"/>
    <w:rsid w:val="0092075A"/>
    <w:rsid w:val="00921131"/>
    <w:rsid w:val="009238F7"/>
    <w:rsid w:val="00923C63"/>
    <w:rsid w:val="00923F67"/>
    <w:rsid w:val="00924605"/>
    <w:rsid w:val="009247F5"/>
    <w:rsid w:val="00924966"/>
    <w:rsid w:val="00925717"/>
    <w:rsid w:val="009261E4"/>
    <w:rsid w:val="00926AB2"/>
    <w:rsid w:val="00927C5C"/>
    <w:rsid w:val="00927CEF"/>
    <w:rsid w:val="00931270"/>
    <w:rsid w:val="00932B80"/>
    <w:rsid w:val="0093409F"/>
    <w:rsid w:val="00934FFB"/>
    <w:rsid w:val="009356BA"/>
    <w:rsid w:val="009373D3"/>
    <w:rsid w:val="00940257"/>
    <w:rsid w:val="00940737"/>
    <w:rsid w:val="009407FE"/>
    <w:rsid w:val="009415F4"/>
    <w:rsid w:val="00941E3E"/>
    <w:rsid w:val="00942436"/>
    <w:rsid w:val="00943263"/>
    <w:rsid w:val="00945165"/>
    <w:rsid w:val="00945380"/>
    <w:rsid w:val="009479D1"/>
    <w:rsid w:val="009535DE"/>
    <w:rsid w:val="0095361B"/>
    <w:rsid w:val="00953D70"/>
    <w:rsid w:val="00954A61"/>
    <w:rsid w:val="009555D9"/>
    <w:rsid w:val="00956F14"/>
    <w:rsid w:val="00957603"/>
    <w:rsid w:val="009579A2"/>
    <w:rsid w:val="00957A1D"/>
    <w:rsid w:val="00957BC0"/>
    <w:rsid w:val="00960369"/>
    <w:rsid w:val="009607A2"/>
    <w:rsid w:val="009613F1"/>
    <w:rsid w:val="00961671"/>
    <w:rsid w:val="00961AC1"/>
    <w:rsid w:val="009633AE"/>
    <w:rsid w:val="00963557"/>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86A12"/>
    <w:rsid w:val="009903BA"/>
    <w:rsid w:val="0099087A"/>
    <w:rsid w:val="009911B1"/>
    <w:rsid w:val="00991698"/>
    <w:rsid w:val="009917E7"/>
    <w:rsid w:val="00991AE2"/>
    <w:rsid w:val="00991C17"/>
    <w:rsid w:val="00992D1E"/>
    <w:rsid w:val="00992D66"/>
    <w:rsid w:val="00994D1A"/>
    <w:rsid w:val="0099589D"/>
    <w:rsid w:val="00997EB2"/>
    <w:rsid w:val="009A036C"/>
    <w:rsid w:val="009A06F5"/>
    <w:rsid w:val="009A0788"/>
    <w:rsid w:val="009A0E92"/>
    <w:rsid w:val="009A17EC"/>
    <w:rsid w:val="009A25D3"/>
    <w:rsid w:val="009A2794"/>
    <w:rsid w:val="009B03DF"/>
    <w:rsid w:val="009B0655"/>
    <w:rsid w:val="009B3192"/>
    <w:rsid w:val="009B6AF0"/>
    <w:rsid w:val="009B70A6"/>
    <w:rsid w:val="009C09F3"/>
    <w:rsid w:val="009C128C"/>
    <w:rsid w:val="009C292D"/>
    <w:rsid w:val="009C368F"/>
    <w:rsid w:val="009C5F0C"/>
    <w:rsid w:val="009C67C0"/>
    <w:rsid w:val="009C6C4B"/>
    <w:rsid w:val="009D007E"/>
    <w:rsid w:val="009D1035"/>
    <w:rsid w:val="009D13D0"/>
    <w:rsid w:val="009D1B09"/>
    <w:rsid w:val="009D2068"/>
    <w:rsid w:val="009D53FA"/>
    <w:rsid w:val="009D7B78"/>
    <w:rsid w:val="009D7D33"/>
    <w:rsid w:val="009E01FC"/>
    <w:rsid w:val="009E0355"/>
    <w:rsid w:val="009E1999"/>
    <w:rsid w:val="009E1D2A"/>
    <w:rsid w:val="009E237C"/>
    <w:rsid w:val="009E324D"/>
    <w:rsid w:val="009E4C4A"/>
    <w:rsid w:val="009E4DD4"/>
    <w:rsid w:val="009E4E3F"/>
    <w:rsid w:val="009E5B49"/>
    <w:rsid w:val="009E698B"/>
    <w:rsid w:val="009E6ADB"/>
    <w:rsid w:val="009E6E7C"/>
    <w:rsid w:val="009E7C2F"/>
    <w:rsid w:val="009F0BB6"/>
    <w:rsid w:val="009F0BED"/>
    <w:rsid w:val="009F0FBE"/>
    <w:rsid w:val="009F1065"/>
    <w:rsid w:val="009F1547"/>
    <w:rsid w:val="009F1A08"/>
    <w:rsid w:val="009F2C8F"/>
    <w:rsid w:val="009F2E53"/>
    <w:rsid w:val="009F38A2"/>
    <w:rsid w:val="009F47E8"/>
    <w:rsid w:val="009F4ABA"/>
    <w:rsid w:val="009F55FF"/>
    <w:rsid w:val="009F67A9"/>
    <w:rsid w:val="009F71BE"/>
    <w:rsid w:val="009F7706"/>
    <w:rsid w:val="00A00317"/>
    <w:rsid w:val="00A02D14"/>
    <w:rsid w:val="00A0498E"/>
    <w:rsid w:val="00A04DEE"/>
    <w:rsid w:val="00A0579B"/>
    <w:rsid w:val="00A0598C"/>
    <w:rsid w:val="00A066AE"/>
    <w:rsid w:val="00A06745"/>
    <w:rsid w:val="00A069FB"/>
    <w:rsid w:val="00A06CE2"/>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375"/>
    <w:rsid w:val="00A251EE"/>
    <w:rsid w:val="00A258FB"/>
    <w:rsid w:val="00A2605D"/>
    <w:rsid w:val="00A27DEE"/>
    <w:rsid w:val="00A31B93"/>
    <w:rsid w:val="00A31E5B"/>
    <w:rsid w:val="00A32EB7"/>
    <w:rsid w:val="00A34C4D"/>
    <w:rsid w:val="00A34E06"/>
    <w:rsid w:val="00A34FFC"/>
    <w:rsid w:val="00A35D32"/>
    <w:rsid w:val="00A375EF"/>
    <w:rsid w:val="00A37A4A"/>
    <w:rsid w:val="00A4342E"/>
    <w:rsid w:val="00A465C1"/>
    <w:rsid w:val="00A465F6"/>
    <w:rsid w:val="00A47490"/>
    <w:rsid w:val="00A517B6"/>
    <w:rsid w:val="00A528C2"/>
    <w:rsid w:val="00A536E0"/>
    <w:rsid w:val="00A53BEB"/>
    <w:rsid w:val="00A5433A"/>
    <w:rsid w:val="00A54AFD"/>
    <w:rsid w:val="00A54E69"/>
    <w:rsid w:val="00A61B06"/>
    <w:rsid w:val="00A61C8F"/>
    <w:rsid w:val="00A62113"/>
    <w:rsid w:val="00A630BE"/>
    <w:rsid w:val="00A63774"/>
    <w:rsid w:val="00A638BE"/>
    <w:rsid w:val="00A65B15"/>
    <w:rsid w:val="00A65EE2"/>
    <w:rsid w:val="00A6759C"/>
    <w:rsid w:val="00A67923"/>
    <w:rsid w:val="00A7015E"/>
    <w:rsid w:val="00A713ED"/>
    <w:rsid w:val="00A714B8"/>
    <w:rsid w:val="00A7194B"/>
    <w:rsid w:val="00A71DE0"/>
    <w:rsid w:val="00A72227"/>
    <w:rsid w:val="00A72CE7"/>
    <w:rsid w:val="00A731CA"/>
    <w:rsid w:val="00A74901"/>
    <w:rsid w:val="00A75031"/>
    <w:rsid w:val="00A75733"/>
    <w:rsid w:val="00A76308"/>
    <w:rsid w:val="00A776C7"/>
    <w:rsid w:val="00A77C08"/>
    <w:rsid w:val="00A80ACB"/>
    <w:rsid w:val="00A81527"/>
    <w:rsid w:val="00A81906"/>
    <w:rsid w:val="00A81BAD"/>
    <w:rsid w:val="00A82058"/>
    <w:rsid w:val="00A84AE7"/>
    <w:rsid w:val="00A84E8D"/>
    <w:rsid w:val="00A85ACE"/>
    <w:rsid w:val="00A86576"/>
    <w:rsid w:val="00A8668D"/>
    <w:rsid w:val="00A86853"/>
    <w:rsid w:val="00A869B0"/>
    <w:rsid w:val="00A86ACB"/>
    <w:rsid w:val="00A90420"/>
    <w:rsid w:val="00A91051"/>
    <w:rsid w:val="00A910CB"/>
    <w:rsid w:val="00A91DC1"/>
    <w:rsid w:val="00A9289F"/>
    <w:rsid w:val="00A929FD"/>
    <w:rsid w:val="00A92C1D"/>
    <w:rsid w:val="00A93633"/>
    <w:rsid w:val="00A9371F"/>
    <w:rsid w:val="00A95617"/>
    <w:rsid w:val="00A9590F"/>
    <w:rsid w:val="00A962AB"/>
    <w:rsid w:val="00A9774D"/>
    <w:rsid w:val="00AA0C77"/>
    <w:rsid w:val="00AA0E60"/>
    <w:rsid w:val="00AA1D27"/>
    <w:rsid w:val="00AA204C"/>
    <w:rsid w:val="00AA2D2A"/>
    <w:rsid w:val="00AA2D57"/>
    <w:rsid w:val="00AA3941"/>
    <w:rsid w:val="00AA4370"/>
    <w:rsid w:val="00AA538E"/>
    <w:rsid w:val="00AA56D0"/>
    <w:rsid w:val="00AA588E"/>
    <w:rsid w:val="00AA610F"/>
    <w:rsid w:val="00AB0C9F"/>
    <w:rsid w:val="00AB0F63"/>
    <w:rsid w:val="00AB143A"/>
    <w:rsid w:val="00AB155C"/>
    <w:rsid w:val="00AB26BF"/>
    <w:rsid w:val="00AB3B8C"/>
    <w:rsid w:val="00AB4213"/>
    <w:rsid w:val="00AB4A46"/>
    <w:rsid w:val="00AB68F9"/>
    <w:rsid w:val="00AB717A"/>
    <w:rsid w:val="00AB7274"/>
    <w:rsid w:val="00AB7E96"/>
    <w:rsid w:val="00AC003B"/>
    <w:rsid w:val="00AC003C"/>
    <w:rsid w:val="00AC0103"/>
    <w:rsid w:val="00AC011A"/>
    <w:rsid w:val="00AC1404"/>
    <w:rsid w:val="00AC31EA"/>
    <w:rsid w:val="00AC4881"/>
    <w:rsid w:val="00AD039F"/>
    <w:rsid w:val="00AD0F88"/>
    <w:rsid w:val="00AD3902"/>
    <w:rsid w:val="00AD3C07"/>
    <w:rsid w:val="00AD462E"/>
    <w:rsid w:val="00AD57F8"/>
    <w:rsid w:val="00AD5833"/>
    <w:rsid w:val="00AD6010"/>
    <w:rsid w:val="00AD6081"/>
    <w:rsid w:val="00AE1C51"/>
    <w:rsid w:val="00AE33FF"/>
    <w:rsid w:val="00AE4B14"/>
    <w:rsid w:val="00AE52AE"/>
    <w:rsid w:val="00AE5E94"/>
    <w:rsid w:val="00AF026B"/>
    <w:rsid w:val="00AF06D5"/>
    <w:rsid w:val="00AF09DD"/>
    <w:rsid w:val="00AF246B"/>
    <w:rsid w:val="00AF31C3"/>
    <w:rsid w:val="00AF5B2F"/>
    <w:rsid w:val="00AF712A"/>
    <w:rsid w:val="00AF7DB4"/>
    <w:rsid w:val="00B01A94"/>
    <w:rsid w:val="00B02655"/>
    <w:rsid w:val="00B0325C"/>
    <w:rsid w:val="00B05102"/>
    <w:rsid w:val="00B06130"/>
    <w:rsid w:val="00B06C84"/>
    <w:rsid w:val="00B06D97"/>
    <w:rsid w:val="00B06FCC"/>
    <w:rsid w:val="00B07900"/>
    <w:rsid w:val="00B079F9"/>
    <w:rsid w:val="00B10263"/>
    <w:rsid w:val="00B10376"/>
    <w:rsid w:val="00B10D36"/>
    <w:rsid w:val="00B11C26"/>
    <w:rsid w:val="00B11DEE"/>
    <w:rsid w:val="00B12661"/>
    <w:rsid w:val="00B1348E"/>
    <w:rsid w:val="00B142AA"/>
    <w:rsid w:val="00B14BD1"/>
    <w:rsid w:val="00B14BDB"/>
    <w:rsid w:val="00B15B1F"/>
    <w:rsid w:val="00B16A34"/>
    <w:rsid w:val="00B16A4C"/>
    <w:rsid w:val="00B2042B"/>
    <w:rsid w:val="00B206C8"/>
    <w:rsid w:val="00B213F2"/>
    <w:rsid w:val="00B217D6"/>
    <w:rsid w:val="00B24FAF"/>
    <w:rsid w:val="00B25453"/>
    <w:rsid w:val="00B25BBC"/>
    <w:rsid w:val="00B25E56"/>
    <w:rsid w:val="00B25ED6"/>
    <w:rsid w:val="00B30239"/>
    <w:rsid w:val="00B3057E"/>
    <w:rsid w:val="00B31B9C"/>
    <w:rsid w:val="00B33653"/>
    <w:rsid w:val="00B349BB"/>
    <w:rsid w:val="00B34D6C"/>
    <w:rsid w:val="00B35559"/>
    <w:rsid w:val="00B3559C"/>
    <w:rsid w:val="00B3725B"/>
    <w:rsid w:val="00B4118A"/>
    <w:rsid w:val="00B412D4"/>
    <w:rsid w:val="00B4186F"/>
    <w:rsid w:val="00B45CE3"/>
    <w:rsid w:val="00B46304"/>
    <w:rsid w:val="00B4696B"/>
    <w:rsid w:val="00B47CC6"/>
    <w:rsid w:val="00B505B6"/>
    <w:rsid w:val="00B52911"/>
    <w:rsid w:val="00B5384F"/>
    <w:rsid w:val="00B54421"/>
    <w:rsid w:val="00B552E3"/>
    <w:rsid w:val="00B5544F"/>
    <w:rsid w:val="00B55E5D"/>
    <w:rsid w:val="00B56826"/>
    <w:rsid w:val="00B56FF7"/>
    <w:rsid w:val="00B57501"/>
    <w:rsid w:val="00B577A8"/>
    <w:rsid w:val="00B577EA"/>
    <w:rsid w:val="00B577FF"/>
    <w:rsid w:val="00B60314"/>
    <w:rsid w:val="00B60A36"/>
    <w:rsid w:val="00B61155"/>
    <w:rsid w:val="00B6285D"/>
    <w:rsid w:val="00B64DFD"/>
    <w:rsid w:val="00B65540"/>
    <w:rsid w:val="00B66822"/>
    <w:rsid w:val="00B66867"/>
    <w:rsid w:val="00B66994"/>
    <w:rsid w:val="00B66EF5"/>
    <w:rsid w:val="00B67D62"/>
    <w:rsid w:val="00B70757"/>
    <w:rsid w:val="00B7079D"/>
    <w:rsid w:val="00B707FE"/>
    <w:rsid w:val="00B70EDD"/>
    <w:rsid w:val="00B710D2"/>
    <w:rsid w:val="00B71A1E"/>
    <w:rsid w:val="00B71AFB"/>
    <w:rsid w:val="00B71F3A"/>
    <w:rsid w:val="00B71FC8"/>
    <w:rsid w:val="00B73C97"/>
    <w:rsid w:val="00B74895"/>
    <w:rsid w:val="00B7619A"/>
    <w:rsid w:val="00B76340"/>
    <w:rsid w:val="00B76628"/>
    <w:rsid w:val="00B76A88"/>
    <w:rsid w:val="00B80C43"/>
    <w:rsid w:val="00B80DF0"/>
    <w:rsid w:val="00B815B2"/>
    <w:rsid w:val="00B81816"/>
    <w:rsid w:val="00B821F8"/>
    <w:rsid w:val="00B8264D"/>
    <w:rsid w:val="00B835EB"/>
    <w:rsid w:val="00B836F5"/>
    <w:rsid w:val="00B85B4E"/>
    <w:rsid w:val="00B8608E"/>
    <w:rsid w:val="00B868E2"/>
    <w:rsid w:val="00B87B6D"/>
    <w:rsid w:val="00B87E7C"/>
    <w:rsid w:val="00B905F8"/>
    <w:rsid w:val="00B9355C"/>
    <w:rsid w:val="00B94786"/>
    <w:rsid w:val="00B9551C"/>
    <w:rsid w:val="00B9607E"/>
    <w:rsid w:val="00BA09F4"/>
    <w:rsid w:val="00BA0AC0"/>
    <w:rsid w:val="00BA0D64"/>
    <w:rsid w:val="00BA202C"/>
    <w:rsid w:val="00BA2B9C"/>
    <w:rsid w:val="00BA3EDC"/>
    <w:rsid w:val="00BA4324"/>
    <w:rsid w:val="00BA44ED"/>
    <w:rsid w:val="00BA68A6"/>
    <w:rsid w:val="00BA7631"/>
    <w:rsid w:val="00BA7678"/>
    <w:rsid w:val="00BA7715"/>
    <w:rsid w:val="00BA774F"/>
    <w:rsid w:val="00BA78B6"/>
    <w:rsid w:val="00BA79B5"/>
    <w:rsid w:val="00BA7DE9"/>
    <w:rsid w:val="00BB20BA"/>
    <w:rsid w:val="00BB26AD"/>
    <w:rsid w:val="00BB3D25"/>
    <w:rsid w:val="00BB6D2B"/>
    <w:rsid w:val="00BB79BD"/>
    <w:rsid w:val="00BC10E6"/>
    <w:rsid w:val="00BC1F97"/>
    <w:rsid w:val="00BC3516"/>
    <w:rsid w:val="00BC38EE"/>
    <w:rsid w:val="00BC55A3"/>
    <w:rsid w:val="00BC666B"/>
    <w:rsid w:val="00BC7208"/>
    <w:rsid w:val="00BC72CB"/>
    <w:rsid w:val="00BC76C5"/>
    <w:rsid w:val="00BD0B48"/>
    <w:rsid w:val="00BD1E24"/>
    <w:rsid w:val="00BD2151"/>
    <w:rsid w:val="00BD2A0A"/>
    <w:rsid w:val="00BD3653"/>
    <w:rsid w:val="00BD462E"/>
    <w:rsid w:val="00BD4CE7"/>
    <w:rsid w:val="00BD5D0F"/>
    <w:rsid w:val="00BD75BA"/>
    <w:rsid w:val="00BD761A"/>
    <w:rsid w:val="00BD78E0"/>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101F"/>
    <w:rsid w:val="00C0223F"/>
    <w:rsid w:val="00C03776"/>
    <w:rsid w:val="00C03E66"/>
    <w:rsid w:val="00C04B9F"/>
    <w:rsid w:val="00C074D9"/>
    <w:rsid w:val="00C0753E"/>
    <w:rsid w:val="00C10A86"/>
    <w:rsid w:val="00C1164F"/>
    <w:rsid w:val="00C12078"/>
    <w:rsid w:val="00C129DF"/>
    <w:rsid w:val="00C13821"/>
    <w:rsid w:val="00C13A14"/>
    <w:rsid w:val="00C13EC4"/>
    <w:rsid w:val="00C14051"/>
    <w:rsid w:val="00C152DC"/>
    <w:rsid w:val="00C15F73"/>
    <w:rsid w:val="00C17939"/>
    <w:rsid w:val="00C2037B"/>
    <w:rsid w:val="00C22FF7"/>
    <w:rsid w:val="00C23DC9"/>
    <w:rsid w:val="00C25F93"/>
    <w:rsid w:val="00C27A2F"/>
    <w:rsid w:val="00C27F75"/>
    <w:rsid w:val="00C27F76"/>
    <w:rsid w:val="00C30DA4"/>
    <w:rsid w:val="00C33D7F"/>
    <w:rsid w:val="00C34110"/>
    <w:rsid w:val="00C37384"/>
    <w:rsid w:val="00C3788C"/>
    <w:rsid w:val="00C427CE"/>
    <w:rsid w:val="00C4337B"/>
    <w:rsid w:val="00C44719"/>
    <w:rsid w:val="00C44A9B"/>
    <w:rsid w:val="00C4690E"/>
    <w:rsid w:val="00C46EDD"/>
    <w:rsid w:val="00C47F43"/>
    <w:rsid w:val="00C50108"/>
    <w:rsid w:val="00C50D0A"/>
    <w:rsid w:val="00C51610"/>
    <w:rsid w:val="00C51E37"/>
    <w:rsid w:val="00C51EC7"/>
    <w:rsid w:val="00C51EE3"/>
    <w:rsid w:val="00C51F6A"/>
    <w:rsid w:val="00C5211B"/>
    <w:rsid w:val="00C560BC"/>
    <w:rsid w:val="00C56190"/>
    <w:rsid w:val="00C56C99"/>
    <w:rsid w:val="00C57857"/>
    <w:rsid w:val="00C57D74"/>
    <w:rsid w:val="00C60054"/>
    <w:rsid w:val="00C60128"/>
    <w:rsid w:val="00C60ED4"/>
    <w:rsid w:val="00C613DB"/>
    <w:rsid w:val="00C61FDC"/>
    <w:rsid w:val="00C635A4"/>
    <w:rsid w:val="00C63F97"/>
    <w:rsid w:val="00C6572C"/>
    <w:rsid w:val="00C66924"/>
    <w:rsid w:val="00C672C4"/>
    <w:rsid w:val="00C674CB"/>
    <w:rsid w:val="00C67AC4"/>
    <w:rsid w:val="00C708F7"/>
    <w:rsid w:val="00C70CFF"/>
    <w:rsid w:val="00C71A6A"/>
    <w:rsid w:val="00C74092"/>
    <w:rsid w:val="00C75655"/>
    <w:rsid w:val="00C75D4E"/>
    <w:rsid w:val="00C761FB"/>
    <w:rsid w:val="00C7672B"/>
    <w:rsid w:val="00C7691A"/>
    <w:rsid w:val="00C76AF3"/>
    <w:rsid w:val="00C76C36"/>
    <w:rsid w:val="00C77A1F"/>
    <w:rsid w:val="00C804C7"/>
    <w:rsid w:val="00C80AE8"/>
    <w:rsid w:val="00C80CA5"/>
    <w:rsid w:val="00C819B7"/>
    <w:rsid w:val="00C81DE1"/>
    <w:rsid w:val="00C8255A"/>
    <w:rsid w:val="00C82FC8"/>
    <w:rsid w:val="00C837C3"/>
    <w:rsid w:val="00C84497"/>
    <w:rsid w:val="00C868F6"/>
    <w:rsid w:val="00C86953"/>
    <w:rsid w:val="00C90D5A"/>
    <w:rsid w:val="00C9137C"/>
    <w:rsid w:val="00C91644"/>
    <w:rsid w:val="00C930D3"/>
    <w:rsid w:val="00C9443A"/>
    <w:rsid w:val="00C9587B"/>
    <w:rsid w:val="00C9663B"/>
    <w:rsid w:val="00CA118F"/>
    <w:rsid w:val="00CA1356"/>
    <w:rsid w:val="00CA269E"/>
    <w:rsid w:val="00CA2E99"/>
    <w:rsid w:val="00CA35C7"/>
    <w:rsid w:val="00CA3669"/>
    <w:rsid w:val="00CA416F"/>
    <w:rsid w:val="00CA43A5"/>
    <w:rsid w:val="00CA5FDE"/>
    <w:rsid w:val="00CA7C0B"/>
    <w:rsid w:val="00CA7F1D"/>
    <w:rsid w:val="00CB0C94"/>
    <w:rsid w:val="00CB18EB"/>
    <w:rsid w:val="00CB18FC"/>
    <w:rsid w:val="00CB2039"/>
    <w:rsid w:val="00CB21D2"/>
    <w:rsid w:val="00CB2301"/>
    <w:rsid w:val="00CB244C"/>
    <w:rsid w:val="00CB3C81"/>
    <w:rsid w:val="00CB56AB"/>
    <w:rsid w:val="00CB65BF"/>
    <w:rsid w:val="00CB6E2B"/>
    <w:rsid w:val="00CB6FF7"/>
    <w:rsid w:val="00CB7302"/>
    <w:rsid w:val="00CB792D"/>
    <w:rsid w:val="00CC1E9F"/>
    <w:rsid w:val="00CC3FDE"/>
    <w:rsid w:val="00CC5896"/>
    <w:rsid w:val="00CC6F89"/>
    <w:rsid w:val="00CD045F"/>
    <w:rsid w:val="00CD12FE"/>
    <w:rsid w:val="00CD2B54"/>
    <w:rsid w:val="00CD4158"/>
    <w:rsid w:val="00CD50AF"/>
    <w:rsid w:val="00CD58A0"/>
    <w:rsid w:val="00CD5A0D"/>
    <w:rsid w:val="00CD7FF1"/>
    <w:rsid w:val="00CE0C35"/>
    <w:rsid w:val="00CE3810"/>
    <w:rsid w:val="00CE3A1B"/>
    <w:rsid w:val="00CE3D74"/>
    <w:rsid w:val="00CE4008"/>
    <w:rsid w:val="00CE427E"/>
    <w:rsid w:val="00CE444B"/>
    <w:rsid w:val="00CE49DB"/>
    <w:rsid w:val="00CE52B4"/>
    <w:rsid w:val="00CE5857"/>
    <w:rsid w:val="00CE59BB"/>
    <w:rsid w:val="00CE5DCD"/>
    <w:rsid w:val="00CE696B"/>
    <w:rsid w:val="00CE6E0B"/>
    <w:rsid w:val="00CE701C"/>
    <w:rsid w:val="00CE7599"/>
    <w:rsid w:val="00CF2095"/>
    <w:rsid w:val="00CF414A"/>
    <w:rsid w:val="00CF47E1"/>
    <w:rsid w:val="00CF4FF0"/>
    <w:rsid w:val="00CF57B0"/>
    <w:rsid w:val="00CF5B47"/>
    <w:rsid w:val="00CF607B"/>
    <w:rsid w:val="00CF6869"/>
    <w:rsid w:val="00D013CF"/>
    <w:rsid w:val="00D0196B"/>
    <w:rsid w:val="00D04FDD"/>
    <w:rsid w:val="00D069ED"/>
    <w:rsid w:val="00D07194"/>
    <w:rsid w:val="00D079B4"/>
    <w:rsid w:val="00D104F9"/>
    <w:rsid w:val="00D12DD6"/>
    <w:rsid w:val="00D14323"/>
    <w:rsid w:val="00D1581D"/>
    <w:rsid w:val="00D15D9F"/>
    <w:rsid w:val="00D16008"/>
    <w:rsid w:val="00D166D4"/>
    <w:rsid w:val="00D16954"/>
    <w:rsid w:val="00D2099C"/>
    <w:rsid w:val="00D20D57"/>
    <w:rsid w:val="00D22631"/>
    <w:rsid w:val="00D241FB"/>
    <w:rsid w:val="00D2444D"/>
    <w:rsid w:val="00D263ED"/>
    <w:rsid w:val="00D2656C"/>
    <w:rsid w:val="00D30254"/>
    <w:rsid w:val="00D33768"/>
    <w:rsid w:val="00D33B06"/>
    <w:rsid w:val="00D33D87"/>
    <w:rsid w:val="00D34C7A"/>
    <w:rsid w:val="00D34F4A"/>
    <w:rsid w:val="00D35077"/>
    <w:rsid w:val="00D35A6E"/>
    <w:rsid w:val="00D3661A"/>
    <w:rsid w:val="00D408A8"/>
    <w:rsid w:val="00D40B27"/>
    <w:rsid w:val="00D40B57"/>
    <w:rsid w:val="00D41458"/>
    <w:rsid w:val="00D415D6"/>
    <w:rsid w:val="00D41844"/>
    <w:rsid w:val="00D41A9C"/>
    <w:rsid w:val="00D42510"/>
    <w:rsid w:val="00D43DC1"/>
    <w:rsid w:val="00D44A7C"/>
    <w:rsid w:val="00D45204"/>
    <w:rsid w:val="00D45DD3"/>
    <w:rsid w:val="00D4647A"/>
    <w:rsid w:val="00D46DAE"/>
    <w:rsid w:val="00D479C7"/>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3CB6"/>
    <w:rsid w:val="00D669D3"/>
    <w:rsid w:val="00D70368"/>
    <w:rsid w:val="00D70501"/>
    <w:rsid w:val="00D7065C"/>
    <w:rsid w:val="00D722DF"/>
    <w:rsid w:val="00D72A2E"/>
    <w:rsid w:val="00D741FF"/>
    <w:rsid w:val="00D762E0"/>
    <w:rsid w:val="00D769B9"/>
    <w:rsid w:val="00D77699"/>
    <w:rsid w:val="00D80710"/>
    <w:rsid w:val="00D807D4"/>
    <w:rsid w:val="00D81C1D"/>
    <w:rsid w:val="00D8223C"/>
    <w:rsid w:val="00D83F48"/>
    <w:rsid w:val="00D84675"/>
    <w:rsid w:val="00D8526A"/>
    <w:rsid w:val="00D86252"/>
    <w:rsid w:val="00D86A1D"/>
    <w:rsid w:val="00D86EF5"/>
    <w:rsid w:val="00D87CC5"/>
    <w:rsid w:val="00D917F3"/>
    <w:rsid w:val="00D95091"/>
    <w:rsid w:val="00D9576F"/>
    <w:rsid w:val="00D95CB0"/>
    <w:rsid w:val="00D96D38"/>
    <w:rsid w:val="00D9712A"/>
    <w:rsid w:val="00D973B2"/>
    <w:rsid w:val="00D97BAA"/>
    <w:rsid w:val="00DA0435"/>
    <w:rsid w:val="00DA0773"/>
    <w:rsid w:val="00DA1902"/>
    <w:rsid w:val="00DA1995"/>
    <w:rsid w:val="00DA3AF3"/>
    <w:rsid w:val="00DA495A"/>
    <w:rsid w:val="00DA4C31"/>
    <w:rsid w:val="00DA544F"/>
    <w:rsid w:val="00DA5455"/>
    <w:rsid w:val="00DA57F0"/>
    <w:rsid w:val="00DA5C2B"/>
    <w:rsid w:val="00DA648B"/>
    <w:rsid w:val="00DA6C17"/>
    <w:rsid w:val="00DA6F07"/>
    <w:rsid w:val="00DB0ED2"/>
    <w:rsid w:val="00DB1369"/>
    <w:rsid w:val="00DB169E"/>
    <w:rsid w:val="00DB2BFA"/>
    <w:rsid w:val="00DB3E83"/>
    <w:rsid w:val="00DB422A"/>
    <w:rsid w:val="00DB4754"/>
    <w:rsid w:val="00DB494C"/>
    <w:rsid w:val="00DB5EFB"/>
    <w:rsid w:val="00DB6EF1"/>
    <w:rsid w:val="00DB6F95"/>
    <w:rsid w:val="00DB7732"/>
    <w:rsid w:val="00DB7F8D"/>
    <w:rsid w:val="00DC0893"/>
    <w:rsid w:val="00DC19BB"/>
    <w:rsid w:val="00DC2172"/>
    <w:rsid w:val="00DC2236"/>
    <w:rsid w:val="00DC4D3A"/>
    <w:rsid w:val="00DC5574"/>
    <w:rsid w:val="00DC6404"/>
    <w:rsid w:val="00DC72B1"/>
    <w:rsid w:val="00DC7B30"/>
    <w:rsid w:val="00DD113B"/>
    <w:rsid w:val="00DD215C"/>
    <w:rsid w:val="00DD28C4"/>
    <w:rsid w:val="00DD2CC2"/>
    <w:rsid w:val="00DD341E"/>
    <w:rsid w:val="00DD38C8"/>
    <w:rsid w:val="00DD3D8D"/>
    <w:rsid w:val="00DD4237"/>
    <w:rsid w:val="00DD4818"/>
    <w:rsid w:val="00DD57B3"/>
    <w:rsid w:val="00DD5848"/>
    <w:rsid w:val="00DD5D3F"/>
    <w:rsid w:val="00DD613D"/>
    <w:rsid w:val="00DD64C5"/>
    <w:rsid w:val="00DD6C47"/>
    <w:rsid w:val="00DD701A"/>
    <w:rsid w:val="00DD7ABC"/>
    <w:rsid w:val="00DD7FDF"/>
    <w:rsid w:val="00DE0776"/>
    <w:rsid w:val="00DE0B09"/>
    <w:rsid w:val="00DE1703"/>
    <w:rsid w:val="00DE180B"/>
    <w:rsid w:val="00DE25AC"/>
    <w:rsid w:val="00DE397C"/>
    <w:rsid w:val="00DE4373"/>
    <w:rsid w:val="00DE6744"/>
    <w:rsid w:val="00DF03CC"/>
    <w:rsid w:val="00DF212C"/>
    <w:rsid w:val="00DF2791"/>
    <w:rsid w:val="00DF27D4"/>
    <w:rsid w:val="00DF31D0"/>
    <w:rsid w:val="00DF568D"/>
    <w:rsid w:val="00DF5BA6"/>
    <w:rsid w:val="00DF66C3"/>
    <w:rsid w:val="00DF67D2"/>
    <w:rsid w:val="00E0055D"/>
    <w:rsid w:val="00E00C1D"/>
    <w:rsid w:val="00E00CCB"/>
    <w:rsid w:val="00E01029"/>
    <w:rsid w:val="00E01614"/>
    <w:rsid w:val="00E03206"/>
    <w:rsid w:val="00E0324B"/>
    <w:rsid w:val="00E042C7"/>
    <w:rsid w:val="00E05451"/>
    <w:rsid w:val="00E0781A"/>
    <w:rsid w:val="00E10B7B"/>
    <w:rsid w:val="00E1105A"/>
    <w:rsid w:val="00E11475"/>
    <w:rsid w:val="00E116C5"/>
    <w:rsid w:val="00E12A46"/>
    <w:rsid w:val="00E12C12"/>
    <w:rsid w:val="00E139EC"/>
    <w:rsid w:val="00E13E04"/>
    <w:rsid w:val="00E1419D"/>
    <w:rsid w:val="00E146A9"/>
    <w:rsid w:val="00E149C5"/>
    <w:rsid w:val="00E167D3"/>
    <w:rsid w:val="00E175A7"/>
    <w:rsid w:val="00E20168"/>
    <w:rsid w:val="00E20740"/>
    <w:rsid w:val="00E20E92"/>
    <w:rsid w:val="00E23A83"/>
    <w:rsid w:val="00E245DA"/>
    <w:rsid w:val="00E24645"/>
    <w:rsid w:val="00E24817"/>
    <w:rsid w:val="00E24A2B"/>
    <w:rsid w:val="00E260C5"/>
    <w:rsid w:val="00E27177"/>
    <w:rsid w:val="00E274B5"/>
    <w:rsid w:val="00E30B77"/>
    <w:rsid w:val="00E31BCB"/>
    <w:rsid w:val="00E31CB5"/>
    <w:rsid w:val="00E32963"/>
    <w:rsid w:val="00E337BC"/>
    <w:rsid w:val="00E350CD"/>
    <w:rsid w:val="00E372A9"/>
    <w:rsid w:val="00E4001B"/>
    <w:rsid w:val="00E43094"/>
    <w:rsid w:val="00E43E14"/>
    <w:rsid w:val="00E44BE0"/>
    <w:rsid w:val="00E45A4C"/>
    <w:rsid w:val="00E461C0"/>
    <w:rsid w:val="00E47262"/>
    <w:rsid w:val="00E50B9E"/>
    <w:rsid w:val="00E50E3D"/>
    <w:rsid w:val="00E50F64"/>
    <w:rsid w:val="00E51E10"/>
    <w:rsid w:val="00E51FDE"/>
    <w:rsid w:val="00E534B2"/>
    <w:rsid w:val="00E55499"/>
    <w:rsid w:val="00E5659E"/>
    <w:rsid w:val="00E56B66"/>
    <w:rsid w:val="00E56F83"/>
    <w:rsid w:val="00E579AF"/>
    <w:rsid w:val="00E57CF3"/>
    <w:rsid w:val="00E602F4"/>
    <w:rsid w:val="00E60545"/>
    <w:rsid w:val="00E6066A"/>
    <w:rsid w:val="00E609AD"/>
    <w:rsid w:val="00E622CC"/>
    <w:rsid w:val="00E62523"/>
    <w:rsid w:val="00E63D14"/>
    <w:rsid w:val="00E63E31"/>
    <w:rsid w:val="00E64563"/>
    <w:rsid w:val="00E6468A"/>
    <w:rsid w:val="00E6572F"/>
    <w:rsid w:val="00E65A5A"/>
    <w:rsid w:val="00E65CE2"/>
    <w:rsid w:val="00E66223"/>
    <w:rsid w:val="00E705B7"/>
    <w:rsid w:val="00E7086E"/>
    <w:rsid w:val="00E70ECC"/>
    <w:rsid w:val="00E71839"/>
    <w:rsid w:val="00E71A89"/>
    <w:rsid w:val="00E71DE5"/>
    <w:rsid w:val="00E71FC7"/>
    <w:rsid w:val="00E724E0"/>
    <w:rsid w:val="00E7694C"/>
    <w:rsid w:val="00E7694D"/>
    <w:rsid w:val="00E770B5"/>
    <w:rsid w:val="00E77197"/>
    <w:rsid w:val="00E77A3E"/>
    <w:rsid w:val="00E81B1A"/>
    <w:rsid w:val="00E826DF"/>
    <w:rsid w:val="00E84FB3"/>
    <w:rsid w:val="00E85861"/>
    <w:rsid w:val="00E86A3E"/>
    <w:rsid w:val="00E87037"/>
    <w:rsid w:val="00E920B7"/>
    <w:rsid w:val="00E940E0"/>
    <w:rsid w:val="00E9530A"/>
    <w:rsid w:val="00E96D70"/>
    <w:rsid w:val="00E97078"/>
    <w:rsid w:val="00E9767C"/>
    <w:rsid w:val="00EA0F03"/>
    <w:rsid w:val="00EA1251"/>
    <w:rsid w:val="00EA1EF9"/>
    <w:rsid w:val="00EA2CA0"/>
    <w:rsid w:val="00EA3031"/>
    <w:rsid w:val="00EA3C3F"/>
    <w:rsid w:val="00EA5149"/>
    <w:rsid w:val="00EA60B4"/>
    <w:rsid w:val="00EA6F81"/>
    <w:rsid w:val="00EA7215"/>
    <w:rsid w:val="00EA7237"/>
    <w:rsid w:val="00EB055B"/>
    <w:rsid w:val="00EB0A51"/>
    <w:rsid w:val="00EB0DC2"/>
    <w:rsid w:val="00EB112A"/>
    <w:rsid w:val="00EB2FE6"/>
    <w:rsid w:val="00EB3353"/>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47B"/>
    <w:rsid w:val="00ED6B5A"/>
    <w:rsid w:val="00ED70BD"/>
    <w:rsid w:val="00ED7934"/>
    <w:rsid w:val="00EE0AB9"/>
    <w:rsid w:val="00EE0B3E"/>
    <w:rsid w:val="00EE15B2"/>
    <w:rsid w:val="00EE1FD6"/>
    <w:rsid w:val="00EE37BB"/>
    <w:rsid w:val="00EE37C3"/>
    <w:rsid w:val="00EE5571"/>
    <w:rsid w:val="00EF1512"/>
    <w:rsid w:val="00EF19F4"/>
    <w:rsid w:val="00EF3F1B"/>
    <w:rsid w:val="00EF4058"/>
    <w:rsid w:val="00EF4099"/>
    <w:rsid w:val="00EF4F82"/>
    <w:rsid w:val="00EF6BDC"/>
    <w:rsid w:val="00EF7C32"/>
    <w:rsid w:val="00F0190F"/>
    <w:rsid w:val="00F01C4C"/>
    <w:rsid w:val="00F02786"/>
    <w:rsid w:val="00F02CC3"/>
    <w:rsid w:val="00F035D7"/>
    <w:rsid w:val="00F03E77"/>
    <w:rsid w:val="00F04090"/>
    <w:rsid w:val="00F0434F"/>
    <w:rsid w:val="00F048F7"/>
    <w:rsid w:val="00F05D0A"/>
    <w:rsid w:val="00F0670F"/>
    <w:rsid w:val="00F0692E"/>
    <w:rsid w:val="00F07FA6"/>
    <w:rsid w:val="00F110FB"/>
    <w:rsid w:val="00F11BB3"/>
    <w:rsid w:val="00F13036"/>
    <w:rsid w:val="00F15C3C"/>
    <w:rsid w:val="00F203C1"/>
    <w:rsid w:val="00F2127D"/>
    <w:rsid w:val="00F215DE"/>
    <w:rsid w:val="00F21D1A"/>
    <w:rsid w:val="00F22865"/>
    <w:rsid w:val="00F244C9"/>
    <w:rsid w:val="00F24D75"/>
    <w:rsid w:val="00F261E3"/>
    <w:rsid w:val="00F270BB"/>
    <w:rsid w:val="00F30EB3"/>
    <w:rsid w:val="00F32E80"/>
    <w:rsid w:val="00F32EB9"/>
    <w:rsid w:val="00F34B2F"/>
    <w:rsid w:val="00F34F33"/>
    <w:rsid w:val="00F366D8"/>
    <w:rsid w:val="00F36D1F"/>
    <w:rsid w:val="00F3769E"/>
    <w:rsid w:val="00F40468"/>
    <w:rsid w:val="00F40F06"/>
    <w:rsid w:val="00F41172"/>
    <w:rsid w:val="00F42669"/>
    <w:rsid w:val="00F4374F"/>
    <w:rsid w:val="00F44FFC"/>
    <w:rsid w:val="00F46A6E"/>
    <w:rsid w:val="00F47128"/>
    <w:rsid w:val="00F4749B"/>
    <w:rsid w:val="00F514FB"/>
    <w:rsid w:val="00F523E8"/>
    <w:rsid w:val="00F52B73"/>
    <w:rsid w:val="00F56A79"/>
    <w:rsid w:val="00F56AFA"/>
    <w:rsid w:val="00F56CE9"/>
    <w:rsid w:val="00F60793"/>
    <w:rsid w:val="00F61151"/>
    <w:rsid w:val="00F6363E"/>
    <w:rsid w:val="00F63723"/>
    <w:rsid w:val="00F645EF"/>
    <w:rsid w:val="00F647E7"/>
    <w:rsid w:val="00F64E44"/>
    <w:rsid w:val="00F64ECE"/>
    <w:rsid w:val="00F67B6E"/>
    <w:rsid w:val="00F7174B"/>
    <w:rsid w:val="00F72A85"/>
    <w:rsid w:val="00F77765"/>
    <w:rsid w:val="00F77907"/>
    <w:rsid w:val="00F77EC3"/>
    <w:rsid w:val="00F8034F"/>
    <w:rsid w:val="00F8049C"/>
    <w:rsid w:val="00F816B4"/>
    <w:rsid w:val="00F821B4"/>
    <w:rsid w:val="00F823C6"/>
    <w:rsid w:val="00F83C3D"/>
    <w:rsid w:val="00F83E63"/>
    <w:rsid w:val="00F842C0"/>
    <w:rsid w:val="00F8480D"/>
    <w:rsid w:val="00F84E26"/>
    <w:rsid w:val="00F84ED9"/>
    <w:rsid w:val="00F853B8"/>
    <w:rsid w:val="00F85E98"/>
    <w:rsid w:val="00F90F30"/>
    <w:rsid w:val="00F91762"/>
    <w:rsid w:val="00F91943"/>
    <w:rsid w:val="00F92924"/>
    <w:rsid w:val="00F9388B"/>
    <w:rsid w:val="00F945ED"/>
    <w:rsid w:val="00F94C7D"/>
    <w:rsid w:val="00F951A5"/>
    <w:rsid w:val="00F95989"/>
    <w:rsid w:val="00FA0EEA"/>
    <w:rsid w:val="00FA1D23"/>
    <w:rsid w:val="00FA320A"/>
    <w:rsid w:val="00FA5C88"/>
    <w:rsid w:val="00FA6372"/>
    <w:rsid w:val="00FA6845"/>
    <w:rsid w:val="00FA72AF"/>
    <w:rsid w:val="00FA7C8B"/>
    <w:rsid w:val="00FB0249"/>
    <w:rsid w:val="00FB0F2F"/>
    <w:rsid w:val="00FB3499"/>
    <w:rsid w:val="00FB3CE5"/>
    <w:rsid w:val="00FB62F0"/>
    <w:rsid w:val="00FB6425"/>
    <w:rsid w:val="00FB793A"/>
    <w:rsid w:val="00FC0B12"/>
    <w:rsid w:val="00FC0E31"/>
    <w:rsid w:val="00FC14CC"/>
    <w:rsid w:val="00FC2DFD"/>
    <w:rsid w:val="00FC4506"/>
    <w:rsid w:val="00FC4636"/>
    <w:rsid w:val="00FC5915"/>
    <w:rsid w:val="00FC5D6D"/>
    <w:rsid w:val="00FC6961"/>
    <w:rsid w:val="00FD07DD"/>
    <w:rsid w:val="00FD2233"/>
    <w:rsid w:val="00FD2D93"/>
    <w:rsid w:val="00FD5AD0"/>
    <w:rsid w:val="00FD6657"/>
    <w:rsid w:val="00FD7187"/>
    <w:rsid w:val="00FD733A"/>
    <w:rsid w:val="00FD7B20"/>
    <w:rsid w:val="00FE015F"/>
    <w:rsid w:val="00FE0276"/>
    <w:rsid w:val="00FE333A"/>
    <w:rsid w:val="00FE39CA"/>
    <w:rsid w:val="00FE49A9"/>
    <w:rsid w:val="00FE5873"/>
    <w:rsid w:val="00FE5DB4"/>
    <w:rsid w:val="00FE61B0"/>
    <w:rsid w:val="00FE6527"/>
    <w:rsid w:val="00FE6ADE"/>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qFormat/>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qFormat/>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143">
      <w:bodyDiv w:val="1"/>
      <w:marLeft w:val="0"/>
      <w:marRight w:val="0"/>
      <w:marTop w:val="0"/>
      <w:marBottom w:val="0"/>
      <w:divBdr>
        <w:top w:val="none" w:sz="0" w:space="0" w:color="auto"/>
        <w:left w:val="none" w:sz="0" w:space="0" w:color="auto"/>
        <w:bottom w:val="none" w:sz="0" w:space="0" w:color="auto"/>
        <w:right w:val="none" w:sz="0" w:space="0" w:color="auto"/>
      </w:divBdr>
    </w:div>
    <w:div w:id="390468799">
      <w:bodyDiv w:val="1"/>
      <w:marLeft w:val="0"/>
      <w:marRight w:val="0"/>
      <w:marTop w:val="0"/>
      <w:marBottom w:val="0"/>
      <w:divBdr>
        <w:top w:val="none" w:sz="0" w:space="0" w:color="auto"/>
        <w:left w:val="none" w:sz="0" w:space="0" w:color="auto"/>
        <w:bottom w:val="none" w:sz="0" w:space="0" w:color="auto"/>
        <w:right w:val="none" w:sz="0" w:space="0" w:color="auto"/>
      </w:divBdr>
    </w:div>
    <w:div w:id="1344866938">
      <w:bodyDiv w:val="1"/>
      <w:marLeft w:val="0"/>
      <w:marRight w:val="0"/>
      <w:marTop w:val="0"/>
      <w:marBottom w:val="0"/>
      <w:divBdr>
        <w:top w:val="none" w:sz="0" w:space="0" w:color="auto"/>
        <w:left w:val="none" w:sz="0" w:space="0" w:color="auto"/>
        <w:bottom w:val="none" w:sz="0" w:space="0" w:color="auto"/>
        <w:right w:val="none" w:sz="0" w:space="0" w:color="auto"/>
      </w:divBdr>
      <w:divsChild>
        <w:div w:id="1946880536">
          <w:marLeft w:val="0"/>
          <w:marRight w:val="0"/>
          <w:marTop w:val="0"/>
          <w:marBottom w:val="0"/>
          <w:divBdr>
            <w:top w:val="none" w:sz="0" w:space="0" w:color="auto"/>
            <w:left w:val="none" w:sz="0" w:space="0" w:color="auto"/>
            <w:bottom w:val="none" w:sz="0" w:space="0" w:color="auto"/>
            <w:right w:val="none" w:sz="0" w:space="0" w:color="auto"/>
          </w:divBdr>
          <w:divsChild>
            <w:div w:id="16171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BE0E-BAB2-4382-AAB3-706A891F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4</cp:revision>
  <cp:lastPrinted>2014-08-21T14:31:00Z</cp:lastPrinted>
  <dcterms:created xsi:type="dcterms:W3CDTF">2014-07-15T21:01:00Z</dcterms:created>
  <dcterms:modified xsi:type="dcterms:W3CDTF">2014-08-21T14:31:00Z</dcterms:modified>
</cp:coreProperties>
</file>