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9F2" w:rsidRPr="00C665F0" w:rsidRDefault="008809F2" w:rsidP="008809F2">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C665F0">
        <w:rPr>
          <w:rFonts w:ascii="Times New Roman" w:eastAsia="Times New Roman" w:hAnsi="Times New Roman" w:cs="Times New Roman"/>
          <w:b/>
          <w:sz w:val="24"/>
          <w:szCs w:val="24"/>
        </w:rPr>
        <w:t>BEFORE THE</w:t>
      </w:r>
    </w:p>
    <w:p w:rsidR="008809F2" w:rsidRPr="00C665F0" w:rsidRDefault="008809F2" w:rsidP="008809F2">
      <w:pPr>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C665F0">
        <w:rPr>
          <w:rFonts w:ascii="Times New Roman" w:eastAsia="Times New Roman" w:hAnsi="Times New Roman" w:cs="Times New Roman"/>
          <w:b/>
          <w:bCs/>
          <w:spacing w:val="-3"/>
          <w:sz w:val="24"/>
          <w:szCs w:val="24"/>
        </w:rPr>
        <w:t>PENNSYLVANIA PUBLIC UTILITY COMMISSION</w:t>
      </w:r>
    </w:p>
    <w:p w:rsidR="008809F2" w:rsidRPr="00C665F0" w:rsidRDefault="008809F2" w:rsidP="008809F2">
      <w:pPr>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8809F2" w:rsidRPr="00C665F0" w:rsidRDefault="008809F2" w:rsidP="008809F2">
      <w:pPr>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8809F2" w:rsidRPr="00C665F0" w:rsidRDefault="008809F2" w:rsidP="008809F2">
      <w:pPr>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 xml:space="preserve">Pennsylvania Public Utility Commission   </w:t>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fldChar w:fldCharType="begin"/>
      </w:r>
      <w:r w:rsidRPr="00C665F0">
        <w:rPr>
          <w:rFonts w:ascii="Times New Roman" w:eastAsia="Times New Roman" w:hAnsi="Times New Roman" w:cs="Times New Roman"/>
          <w:spacing w:val="-3"/>
          <w:sz w:val="24"/>
          <w:szCs w:val="24"/>
        </w:rPr>
        <w:instrText>fillin "Complainant's name" \d ""</w:instrText>
      </w:r>
      <w:r w:rsidRPr="00C665F0">
        <w:rPr>
          <w:rFonts w:ascii="Times New Roman" w:eastAsia="Times New Roman" w:hAnsi="Times New Roman" w:cs="Times New Roman"/>
          <w:spacing w:val="-3"/>
          <w:sz w:val="24"/>
          <w:szCs w:val="24"/>
        </w:rPr>
        <w:fldChar w:fldCharType="end"/>
      </w:r>
      <w:r w:rsidR="00A51AE6">
        <w:rPr>
          <w:rFonts w:ascii="Times New Roman" w:eastAsia="Times New Roman" w:hAnsi="Times New Roman" w:cs="Times New Roman"/>
          <w:spacing w:val="-3"/>
          <w:sz w:val="24"/>
          <w:szCs w:val="24"/>
        </w:rPr>
        <w:t>:</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v.</w:t>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R-2014-2420283</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PECO Energy Company</w:t>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Office of Consumer Advocate</w:t>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v.</w:t>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z w:val="24"/>
          <w:szCs w:val="24"/>
        </w:rPr>
        <w:t>C-2014-2422699</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PECO Energy Company</w:t>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Office of Small Business Advocate</w:t>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v.</w:t>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C-2014-2423803</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PECO Energy Company</w:t>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t>:</w:t>
      </w: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p>
    <w:p w:rsidR="008809F2" w:rsidRPr="00C665F0" w:rsidRDefault="008809F2" w:rsidP="008809F2">
      <w:pPr>
        <w:suppressAutoHyphens/>
        <w:autoSpaceDE w:val="0"/>
        <w:autoSpaceDN w:val="0"/>
        <w:spacing w:after="0" w:line="240" w:lineRule="auto"/>
        <w:jc w:val="both"/>
        <w:rPr>
          <w:rFonts w:ascii="Times New Roman" w:eastAsia="Times New Roman" w:hAnsi="Times New Roman" w:cs="Times New Roman"/>
          <w:spacing w:val="-3"/>
          <w:sz w:val="24"/>
          <w:szCs w:val="24"/>
        </w:rPr>
      </w:pPr>
    </w:p>
    <w:p w:rsidR="008809F2" w:rsidRPr="00C665F0" w:rsidRDefault="008809F2" w:rsidP="008809F2">
      <w:pPr>
        <w:autoSpaceDE w:val="0"/>
        <w:autoSpaceDN w:val="0"/>
        <w:spacing w:after="0" w:line="240" w:lineRule="auto"/>
        <w:jc w:val="center"/>
        <w:rPr>
          <w:rFonts w:ascii="Times New Roman" w:eastAsia="Times New Roman" w:hAnsi="Times New Roman" w:cs="Times New Roman"/>
          <w:sz w:val="24"/>
          <w:szCs w:val="24"/>
        </w:rPr>
      </w:pPr>
      <w:r w:rsidRPr="00C665F0">
        <w:rPr>
          <w:rFonts w:ascii="Times New Roman" w:eastAsia="Times New Roman" w:hAnsi="Times New Roman" w:cs="Times New Roman"/>
          <w:b/>
          <w:sz w:val="24"/>
          <w:szCs w:val="24"/>
          <w:u w:val="single"/>
        </w:rPr>
        <w:t>RECOMMENDED DECISION</w:t>
      </w:r>
    </w:p>
    <w:p w:rsidR="008809F2" w:rsidRPr="00C665F0" w:rsidRDefault="008809F2" w:rsidP="008809F2">
      <w:pPr>
        <w:autoSpaceDE w:val="0"/>
        <w:autoSpaceDN w:val="0"/>
        <w:spacing w:after="0" w:line="240" w:lineRule="auto"/>
        <w:jc w:val="center"/>
        <w:rPr>
          <w:rFonts w:ascii="Times New Roman" w:eastAsia="Times New Roman" w:hAnsi="Times New Roman" w:cs="Times New Roman"/>
          <w:sz w:val="24"/>
          <w:szCs w:val="24"/>
        </w:rPr>
      </w:pPr>
    </w:p>
    <w:p w:rsidR="008809F2" w:rsidRPr="00C665F0" w:rsidRDefault="008809F2" w:rsidP="008809F2">
      <w:pPr>
        <w:autoSpaceDE w:val="0"/>
        <w:autoSpaceDN w:val="0"/>
        <w:spacing w:after="0" w:line="240" w:lineRule="auto"/>
        <w:rPr>
          <w:rFonts w:ascii="Times New Roman" w:eastAsia="Times New Roman" w:hAnsi="Times New Roman" w:cs="Times New Roman"/>
          <w:sz w:val="24"/>
          <w:szCs w:val="24"/>
        </w:rPr>
      </w:pPr>
    </w:p>
    <w:p w:rsidR="008809F2" w:rsidRPr="00C665F0" w:rsidRDefault="008809F2" w:rsidP="008809F2">
      <w:pPr>
        <w:autoSpaceDE w:val="0"/>
        <w:autoSpaceDN w:val="0"/>
        <w:spacing w:after="0" w:line="240" w:lineRule="auto"/>
        <w:jc w:val="center"/>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Before</w:t>
      </w:r>
    </w:p>
    <w:p w:rsidR="008809F2" w:rsidRPr="00C665F0" w:rsidRDefault="008809F2" w:rsidP="008809F2">
      <w:pPr>
        <w:tabs>
          <w:tab w:val="left" w:pos="204"/>
        </w:tabs>
        <w:autoSpaceDE w:val="0"/>
        <w:autoSpaceDN w:val="0"/>
        <w:spacing w:after="0" w:line="240" w:lineRule="auto"/>
        <w:jc w:val="center"/>
        <w:rPr>
          <w:rFonts w:ascii="Times New Roman" w:eastAsia="Times New Roman" w:hAnsi="Times New Roman" w:cs="Times New Roman"/>
          <w:bCs/>
          <w:sz w:val="24"/>
          <w:szCs w:val="24"/>
        </w:rPr>
      </w:pPr>
      <w:r w:rsidRPr="00C665F0">
        <w:rPr>
          <w:rFonts w:ascii="Times New Roman" w:eastAsia="Times New Roman" w:hAnsi="Times New Roman" w:cs="Times New Roman"/>
          <w:bCs/>
          <w:sz w:val="24"/>
          <w:szCs w:val="24"/>
        </w:rPr>
        <w:t>Eranda Vero</w:t>
      </w:r>
    </w:p>
    <w:p w:rsidR="008809F2" w:rsidRPr="00C665F0" w:rsidRDefault="008809F2" w:rsidP="008809F2">
      <w:pPr>
        <w:tabs>
          <w:tab w:val="left" w:pos="204"/>
        </w:tabs>
        <w:autoSpaceDE w:val="0"/>
        <w:autoSpaceDN w:val="0"/>
        <w:spacing w:after="0" w:line="240" w:lineRule="auto"/>
        <w:jc w:val="center"/>
        <w:rPr>
          <w:rFonts w:ascii="Times New Roman" w:eastAsia="Times New Roman" w:hAnsi="Times New Roman" w:cs="Times New Roman"/>
          <w:bCs/>
          <w:sz w:val="24"/>
          <w:szCs w:val="24"/>
        </w:rPr>
      </w:pPr>
      <w:r w:rsidRPr="00C665F0">
        <w:rPr>
          <w:rFonts w:ascii="Times New Roman" w:eastAsia="Times New Roman" w:hAnsi="Times New Roman" w:cs="Times New Roman"/>
          <w:bCs/>
          <w:sz w:val="24"/>
          <w:szCs w:val="24"/>
        </w:rPr>
        <w:t>Administrative Law Judge</w:t>
      </w:r>
    </w:p>
    <w:p w:rsidR="008809F2" w:rsidRPr="00C665F0" w:rsidRDefault="008809F2" w:rsidP="008809F2">
      <w:pPr>
        <w:tabs>
          <w:tab w:val="left" w:pos="204"/>
        </w:tabs>
        <w:autoSpaceDE w:val="0"/>
        <w:autoSpaceDN w:val="0"/>
        <w:spacing w:after="0" w:line="240" w:lineRule="auto"/>
        <w:jc w:val="center"/>
        <w:rPr>
          <w:rFonts w:ascii="Times New Roman" w:eastAsia="Times New Roman" w:hAnsi="Times New Roman" w:cs="Times New Roman"/>
          <w:bCs/>
          <w:sz w:val="24"/>
          <w:szCs w:val="24"/>
        </w:rPr>
      </w:pPr>
    </w:p>
    <w:p w:rsidR="008809F2" w:rsidRPr="00C665F0" w:rsidRDefault="008809F2" w:rsidP="008809F2">
      <w:pPr>
        <w:tabs>
          <w:tab w:val="left" w:pos="204"/>
        </w:tabs>
        <w:autoSpaceDE w:val="0"/>
        <w:autoSpaceDN w:val="0"/>
        <w:spacing w:after="0" w:line="240" w:lineRule="auto"/>
        <w:jc w:val="center"/>
        <w:rPr>
          <w:rFonts w:ascii="Times New Roman" w:eastAsia="Times New Roman" w:hAnsi="Times New Roman" w:cs="Times New Roman"/>
          <w:bCs/>
          <w:sz w:val="24"/>
          <w:szCs w:val="24"/>
        </w:rPr>
      </w:pPr>
      <w:r w:rsidRPr="00C665F0">
        <w:rPr>
          <w:rFonts w:ascii="Times New Roman" w:eastAsia="Times New Roman" w:hAnsi="Times New Roman" w:cs="Times New Roman"/>
          <w:bCs/>
          <w:sz w:val="24"/>
          <w:szCs w:val="24"/>
        </w:rPr>
        <w:t>Marta Guhl</w:t>
      </w:r>
    </w:p>
    <w:p w:rsidR="008809F2" w:rsidRPr="00C665F0" w:rsidRDefault="008809F2" w:rsidP="008809F2">
      <w:pPr>
        <w:tabs>
          <w:tab w:val="left" w:pos="204"/>
        </w:tabs>
        <w:autoSpaceDE w:val="0"/>
        <w:autoSpaceDN w:val="0"/>
        <w:spacing w:after="0" w:line="240" w:lineRule="auto"/>
        <w:jc w:val="center"/>
        <w:rPr>
          <w:rFonts w:ascii="Times New Roman" w:eastAsia="Times New Roman" w:hAnsi="Times New Roman" w:cs="Times New Roman"/>
          <w:bCs/>
          <w:sz w:val="24"/>
          <w:szCs w:val="24"/>
        </w:rPr>
      </w:pPr>
      <w:r w:rsidRPr="00C665F0">
        <w:rPr>
          <w:rFonts w:ascii="Times New Roman" w:eastAsia="Times New Roman" w:hAnsi="Times New Roman" w:cs="Times New Roman"/>
          <w:bCs/>
          <w:sz w:val="24"/>
          <w:szCs w:val="24"/>
        </w:rPr>
        <w:t>Administrative Law Judge</w:t>
      </w:r>
    </w:p>
    <w:p w:rsidR="008809F2" w:rsidRPr="00C665F0" w:rsidRDefault="008809F2" w:rsidP="00C665F0">
      <w:pPr>
        <w:autoSpaceDE w:val="0"/>
        <w:autoSpaceDN w:val="0"/>
        <w:spacing w:after="0" w:line="240" w:lineRule="auto"/>
        <w:rPr>
          <w:rFonts w:ascii="Times New Roman" w:eastAsia="Times New Roman" w:hAnsi="Times New Roman" w:cs="Times New Roman"/>
          <w:sz w:val="24"/>
          <w:szCs w:val="24"/>
        </w:rPr>
      </w:pPr>
    </w:p>
    <w:p w:rsidR="008809F2" w:rsidRPr="00C665F0" w:rsidRDefault="008809F2" w:rsidP="008809F2">
      <w:pPr>
        <w:autoSpaceDE w:val="0"/>
        <w:autoSpaceDN w:val="0"/>
        <w:spacing w:after="0" w:line="240" w:lineRule="auto"/>
        <w:jc w:val="center"/>
        <w:rPr>
          <w:rFonts w:ascii="Times New Roman" w:eastAsia="Times New Roman" w:hAnsi="Times New Roman" w:cs="Times New Roman"/>
          <w:sz w:val="24"/>
          <w:szCs w:val="24"/>
        </w:rPr>
        <w:sectPr w:rsidR="008809F2" w:rsidRPr="00C665F0" w:rsidSect="00F36273">
          <w:footerReference w:type="even" r:id="rId8"/>
          <w:footerReference w:type="default" r:id="rId9"/>
          <w:pgSz w:w="12240" w:h="15840"/>
          <w:pgMar w:top="1440" w:right="1440" w:bottom="1440" w:left="1440" w:header="720" w:footer="720" w:gutter="0"/>
          <w:cols w:space="720"/>
          <w:titlePg/>
          <w:docGrid w:linePitch="360"/>
        </w:sectPr>
      </w:pPr>
    </w:p>
    <w:p w:rsidR="008809F2" w:rsidRPr="007D2E82" w:rsidRDefault="008809F2" w:rsidP="008809F2">
      <w:pPr>
        <w:autoSpaceDE w:val="0"/>
        <w:autoSpaceDN w:val="0"/>
        <w:spacing w:after="0" w:line="240" w:lineRule="auto"/>
        <w:jc w:val="center"/>
        <w:rPr>
          <w:rFonts w:ascii="Times New Roman" w:eastAsia="Times New Roman" w:hAnsi="Times New Roman" w:cs="Times New Roman"/>
          <w:sz w:val="24"/>
          <w:szCs w:val="24"/>
        </w:rPr>
      </w:pPr>
      <w:r w:rsidRPr="007D2E82">
        <w:rPr>
          <w:rFonts w:ascii="Times New Roman" w:eastAsia="Times New Roman" w:hAnsi="Times New Roman" w:cs="Times New Roman"/>
          <w:b/>
          <w:sz w:val="24"/>
          <w:szCs w:val="24"/>
          <w:u w:val="single"/>
        </w:rPr>
        <w:lastRenderedPageBreak/>
        <w:t>TABLE OF CONTENTS</w:t>
      </w:r>
    </w:p>
    <w:p w:rsidR="008809F2" w:rsidRPr="00C665F0" w:rsidRDefault="008809F2" w:rsidP="008809F2">
      <w:pPr>
        <w:autoSpaceDE w:val="0"/>
        <w:autoSpaceDN w:val="0"/>
        <w:spacing w:after="0" w:line="240" w:lineRule="auto"/>
        <w:jc w:val="center"/>
        <w:rPr>
          <w:rFonts w:ascii="Times New Roman" w:eastAsia="Times New Roman" w:hAnsi="Times New Roman" w:cs="Times New Roman"/>
          <w:sz w:val="24"/>
          <w:szCs w:val="24"/>
          <w:highlight w:val="yellow"/>
        </w:rPr>
      </w:pPr>
    </w:p>
    <w:p w:rsidR="008809F2" w:rsidRPr="00C665F0" w:rsidRDefault="008809F2" w:rsidP="008809F2">
      <w:pPr>
        <w:autoSpaceDE w:val="0"/>
        <w:autoSpaceDN w:val="0"/>
        <w:spacing w:after="0" w:line="240" w:lineRule="auto"/>
        <w:jc w:val="center"/>
        <w:rPr>
          <w:rFonts w:ascii="Times New Roman" w:eastAsia="Times New Roman" w:hAnsi="Times New Roman" w:cs="Times New Roman"/>
          <w:sz w:val="24"/>
          <w:szCs w:val="24"/>
          <w:highlight w:val="yellow"/>
        </w:rPr>
      </w:pPr>
    </w:p>
    <w:p w:rsidR="008809F2" w:rsidRDefault="007D2E82" w:rsidP="007D2E82">
      <w:pPr>
        <w:tabs>
          <w:tab w:val="left" w:pos="720"/>
          <w:tab w:val="left" w:pos="864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 xml:space="preserve">HISTORY OF THE PROCEEDING </w:t>
      </w:r>
      <w:r>
        <w:rPr>
          <w:rFonts w:ascii="Times New Roman" w:eastAsia="Times New Roman" w:hAnsi="Times New Roman" w:cs="Times New Roman"/>
          <w:sz w:val="24"/>
          <w:szCs w:val="24"/>
          <w:u w:val="dotted"/>
        </w:rPr>
        <w:tab/>
      </w:r>
      <w:r>
        <w:rPr>
          <w:rFonts w:ascii="Times New Roman" w:eastAsia="Times New Roman" w:hAnsi="Times New Roman" w:cs="Times New Roman"/>
          <w:sz w:val="24"/>
          <w:szCs w:val="24"/>
        </w:rPr>
        <w:t>1</w:t>
      </w:r>
    </w:p>
    <w:p w:rsidR="00824CBC" w:rsidRDefault="00824CBC" w:rsidP="007D2E82">
      <w:pPr>
        <w:tabs>
          <w:tab w:val="left" w:pos="720"/>
          <w:tab w:val="left" w:pos="8640"/>
        </w:tabs>
        <w:autoSpaceDE w:val="0"/>
        <w:autoSpaceDN w:val="0"/>
        <w:spacing w:after="0" w:line="240" w:lineRule="auto"/>
        <w:rPr>
          <w:rFonts w:ascii="Times New Roman" w:eastAsia="Times New Roman" w:hAnsi="Times New Roman" w:cs="Times New Roman"/>
          <w:sz w:val="24"/>
          <w:szCs w:val="24"/>
        </w:rPr>
      </w:pPr>
    </w:p>
    <w:p w:rsidR="00824CBC" w:rsidRDefault="00824CBC" w:rsidP="00824CBC">
      <w:pPr>
        <w:tabs>
          <w:tab w:val="left" w:pos="720"/>
          <w:tab w:val="left" w:pos="1080"/>
          <w:tab w:val="left" w:pos="864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 xml:space="preserve">FINDING OF FACT </w:t>
      </w:r>
      <w:r>
        <w:rPr>
          <w:rFonts w:ascii="Times New Roman" w:eastAsia="Times New Roman" w:hAnsi="Times New Roman" w:cs="Times New Roman"/>
          <w:sz w:val="24"/>
          <w:szCs w:val="24"/>
          <w:u w:val="dotted"/>
        </w:rPr>
        <w:tab/>
      </w:r>
      <w:r w:rsidR="008970A2">
        <w:rPr>
          <w:rFonts w:ascii="Times New Roman" w:eastAsia="Times New Roman" w:hAnsi="Times New Roman" w:cs="Times New Roman"/>
          <w:sz w:val="24"/>
          <w:szCs w:val="24"/>
          <w:u w:val="dotted"/>
        </w:rPr>
        <w:t>3</w:t>
      </w:r>
    </w:p>
    <w:p w:rsidR="007D2E82" w:rsidRDefault="007D2E82" w:rsidP="007D2E82">
      <w:pPr>
        <w:tabs>
          <w:tab w:val="left" w:pos="720"/>
          <w:tab w:val="left" w:pos="8640"/>
        </w:tabs>
        <w:autoSpaceDE w:val="0"/>
        <w:autoSpaceDN w:val="0"/>
        <w:spacing w:after="0" w:line="240" w:lineRule="auto"/>
        <w:rPr>
          <w:rFonts w:ascii="Times New Roman" w:eastAsia="Times New Roman" w:hAnsi="Times New Roman" w:cs="Times New Roman"/>
          <w:sz w:val="24"/>
          <w:szCs w:val="24"/>
        </w:rPr>
      </w:pPr>
    </w:p>
    <w:p w:rsidR="007D2E82" w:rsidRDefault="00824CBC" w:rsidP="007D2E82">
      <w:pPr>
        <w:tabs>
          <w:tab w:val="left" w:pos="720"/>
          <w:tab w:val="left" w:pos="864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D2E82">
        <w:rPr>
          <w:rFonts w:ascii="Times New Roman" w:eastAsia="Times New Roman" w:hAnsi="Times New Roman" w:cs="Times New Roman"/>
          <w:sz w:val="24"/>
          <w:szCs w:val="24"/>
        </w:rPr>
        <w:t>II.</w:t>
      </w:r>
      <w:r w:rsidR="007D2E82">
        <w:rPr>
          <w:rFonts w:ascii="Times New Roman" w:eastAsia="Times New Roman" w:hAnsi="Times New Roman" w:cs="Times New Roman"/>
          <w:sz w:val="24"/>
          <w:szCs w:val="24"/>
        </w:rPr>
        <w:tab/>
        <w:t xml:space="preserve">THE PROPOSED SETTLEMENT </w:t>
      </w:r>
      <w:r w:rsidR="007D2E82">
        <w:rPr>
          <w:rFonts w:ascii="Times New Roman" w:eastAsia="Times New Roman" w:hAnsi="Times New Roman" w:cs="Times New Roman"/>
          <w:sz w:val="24"/>
          <w:szCs w:val="24"/>
          <w:u w:val="dotted"/>
        </w:rPr>
        <w:tab/>
      </w:r>
      <w:r w:rsidR="008970A2">
        <w:rPr>
          <w:rFonts w:ascii="Times New Roman" w:eastAsia="Times New Roman" w:hAnsi="Times New Roman" w:cs="Times New Roman"/>
          <w:sz w:val="24"/>
          <w:szCs w:val="24"/>
        </w:rPr>
        <w:t>5</w:t>
      </w:r>
    </w:p>
    <w:p w:rsidR="000015F6" w:rsidRDefault="000015F6" w:rsidP="007D2E82">
      <w:pPr>
        <w:tabs>
          <w:tab w:val="left" w:pos="720"/>
          <w:tab w:val="left" w:pos="8640"/>
        </w:tabs>
        <w:autoSpaceDE w:val="0"/>
        <w:autoSpaceDN w:val="0"/>
        <w:spacing w:after="0" w:line="240" w:lineRule="auto"/>
        <w:rPr>
          <w:rFonts w:ascii="Times New Roman" w:eastAsia="Times New Roman" w:hAnsi="Times New Roman" w:cs="Times New Roman"/>
          <w:sz w:val="24"/>
          <w:szCs w:val="24"/>
        </w:rPr>
      </w:pPr>
    </w:p>
    <w:p w:rsidR="007D2E82" w:rsidRDefault="007D2E82" w:rsidP="007D2E82">
      <w:pPr>
        <w:tabs>
          <w:tab w:val="left" w:pos="720"/>
          <w:tab w:val="left" w:pos="1080"/>
          <w:tab w:val="left" w:pos="864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ab/>
        <w:t xml:space="preserve">Purchased Gas Cost Rates </w:t>
      </w:r>
      <w:r>
        <w:rPr>
          <w:rFonts w:ascii="Times New Roman" w:eastAsia="Times New Roman" w:hAnsi="Times New Roman" w:cs="Times New Roman"/>
          <w:sz w:val="24"/>
          <w:szCs w:val="24"/>
          <w:u w:val="dotted"/>
        </w:rPr>
        <w:tab/>
      </w:r>
      <w:r w:rsidR="008970A2">
        <w:rPr>
          <w:rFonts w:ascii="Times New Roman" w:eastAsia="Times New Roman" w:hAnsi="Times New Roman" w:cs="Times New Roman"/>
          <w:sz w:val="24"/>
          <w:szCs w:val="24"/>
        </w:rPr>
        <w:t>6</w:t>
      </w:r>
    </w:p>
    <w:p w:rsidR="007D2E82" w:rsidRDefault="007D2E82" w:rsidP="007D2E82">
      <w:pPr>
        <w:tabs>
          <w:tab w:val="left" w:pos="720"/>
          <w:tab w:val="left" w:pos="1080"/>
          <w:tab w:val="left" w:pos="864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t xml:space="preserve">Gas Price Hedging </w:t>
      </w:r>
      <w:r>
        <w:rPr>
          <w:rFonts w:ascii="Times New Roman" w:eastAsia="Times New Roman" w:hAnsi="Times New Roman" w:cs="Times New Roman"/>
          <w:sz w:val="24"/>
          <w:szCs w:val="24"/>
          <w:u w:val="dotted"/>
        </w:rPr>
        <w:tab/>
      </w:r>
      <w:r w:rsidR="00E037D4">
        <w:rPr>
          <w:rFonts w:ascii="Times New Roman" w:eastAsia="Times New Roman" w:hAnsi="Times New Roman" w:cs="Times New Roman"/>
          <w:sz w:val="24"/>
          <w:szCs w:val="24"/>
        </w:rPr>
        <w:t>6</w:t>
      </w:r>
    </w:p>
    <w:p w:rsidR="007D2E82" w:rsidRDefault="007D2E82" w:rsidP="007D2E82">
      <w:pPr>
        <w:tabs>
          <w:tab w:val="left" w:pos="720"/>
          <w:tab w:val="left" w:pos="1080"/>
          <w:tab w:val="left" w:pos="864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 xml:space="preserve">Lost and Unaccounted for Gas Monitoring and Reporting </w:t>
      </w:r>
      <w:r>
        <w:rPr>
          <w:rFonts w:ascii="Times New Roman" w:eastAsia="Times New Roman" w:hAnsi="Times New Roman" w:cs="Times New Roman"/>
          <w:sz w:val="24"/>
          <w:szCs w:val="24"/>
          <w:u w:val="dotted"/>
        </w:rPr>
        <w:tab/>
      </w:r>
      <w:r w:rsidR="00E037D4">
        <w:rPr>
          <w:rFonts w:ascii="Times New Roman" w:eastAsia="Times New Roman" w:hAnsi="Times New Roman" w:cs="Times New Roman"/>
          <w:sz w:val="24"/>
          <w:szCs w:val="24"/>
        </w:rPr>
        <w:t>9</w:t>
      </w:r>
    </w:p>
    <w:p w:rsidR="007D2E82" w:rsidRDefault="007D2E82" w:rsidP="007D2E82">
      <w:pPr>
        <w:tabs>
          <w:tab w:val="left" w:pos="720"/>
          <w:tab w:val="left" w:pos="1080"/>
          <w:tab w:val="left" w:pos="864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tab/>
        <w:t xml:space="preserve">Retainage </w:t>
      </w:r>
      <w:r>
        <w:rPr>
          <w:rFonts w:ascii="Times New Roman" w:eastAsia="Times New Roman" w:hAnsi="Times New Roman" w:cs="Times New Roman"/>
          <w:sz w:val="24"/>
          <w:szCs w:val="24"/>
          <w:u w:val="dotted"/>
        </w:rPr>
        <w:tab/>
      </w:r>
      <w:r w:rsidR="00E037D4">
        <w:rPr>
          <w:rFonts w:ascii="Times New Roman" w:eastAsia="Times New Roman" w:hAnsi="Times New Roman" w:cs="Times New Roman"/>
          <w:sz w:val="24"/>
          <w:szCs w:val="24"/>
        </w:rPr>
        <w:t>10</w:t>
      </w:r>
    </w:p>
    <w:p w:rsidR="000015F6" w:rsidRDefault="000015F6" w:rsidP="007D2E82">
      <w:pPr>
        <w:tabs>
          <w:tab w:val="left" w:pos="720"/>
          <w:tab w:val="left" w:pos="1080"/>
          <w:tab w:val="left" w:pos="864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t xml:space="preserve">Off-System Sales/Capacity Release Sharing </w:t>
      </w:r>
      <w:r>
        <w:rPr>
          <w:rFonts w:ascii="Times New Roman" w:eastAsia="Times New Roman" w:hAnsi="Times New Roman" w:cs="Times New Roman"/>
          <w:sz w:val="24"/>
          <w:szCs w:val="24"/>
          <w:u w:val="dotted"/>
        </w:rPr>
        <w:tab/>
      </w:r>
      <w:r w:rsidR="00E037D4">
        <w:rPr>
          <w:rFonts w:ascii="Times New Roman" w:eastAsia="Times New Roman" w:hAnsi="Times New Roman" w:cs="Times New Roman"/>
          <w:sz w:val="24"/>
          <w:szCs w:val="24"/>
        </w:rPr>
        <w:t>10</w:t>
      </w:r>
    </w:p>
    <w:p w:rsidR="000015F6" w:rsidRDefault="000015F6" w:rsidP="007D2E82">
      <w:pPr>
        <w:tabs>
          <w:tab w:val="left" w:pos="720"/>
          <w:tab w:val="left" w:pos="1080"/>
          <w:tab w:val="left" w:pos="864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6.</w:t>
      </w:r>
      <w:r>
        <w:rPr>
          <w:rFonts w:ascii="Times New Roman" w:eastAsia="Times New Roman" w:hAnsi="Times New Roman" w:cs="Times New Roman"/>
          <w:sz w:val="24"/>
          <w:szCs w:val="24"/>
        </w:rPr>
        <w:tab/>
        <w:t xml:space="preserve">Cost Recover for Price Analysis and Buying Advisory Service </w:t>
      </w:r>
      <w:r>
        <w:rPr>
          <w:rFonts w:ascii="Times New Roman" w:eastAsia="Times New Roman" w:hAnsi="Times New Roman" w:cs="Times New Roman"/>
          <w:sz w:val="24"/>
          <w:szCs w:val="24"/>
          <w:u w:val="dotted"/>
        </w:rPr>
        <w:tab/>
      </w:r>
      <w:r w:rsidR="00E037D4">
        <w:rPr>
          <w:rFonts w:ascii="Times New Roman" w:eastAsia="Times New Roman" w:hAnsi="Times New Roman" w:cs="Times New Roman"/>
          <w:sz w:val="24"/>
          <w:szCs w:val="24"/>
        </w:rPr>
        <w:t>10</w:t>
      </w:r>
    </w:p>
    <w:p w:rsidR="000015F6" w:rsidRDefault="000015F6" w:rsidP="007D2E82">
      <w:pPr>
        <w:tabs>
          <w:tab w:val="left" w:pos="720"/>
          <w:tab w:val="left" w:pos="1080"/>
          <w:tab w:val="left" w:pos="8640"/>
        </w:tabs>
        <w:autoSpaceDE w:val="0"/>
        <w:autoSpaceDN w:val="0"/>
        <w:spacing w:after="0" w:line="240" w:lineRule="auto"/>
        <w:rPr>
          <w:rFonts w:ascii="Times New Roman" w:eastAsia="Times New Roman" w:hAnsi="Times New Roman" w:cs="Times New Roman"/>
          <w:sz w:val="24"/>
          <w:szCs w:val="24"/>
        </w:rPr>
      </w:pPr>
    </w:p>
    <w:p w:rsidR="000015F6" w:rsidRDefault="000015F6" w:rsidP="007D2E82">
      <w:pPr>
        <w:tabs>
          <w:tab w:val="left" w:pos="720"/>
          <w:tab w:val="left" w:pos="1080"/>
          <w:tab w:val="left" w:pos="864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t xml:space="preserve">DISCUSSION </w:t>
      </w:r>
      <w:r>
        <w:rPr>
          <w:rFonts w:ascii="Times New Roman" w:eastAsia="Times New Roman" w:hAnsi="Times New Roman" w:cs="Times New Roman"/>
          <w:sz w:val="24"/>
          <w:szCs w:val="24"/>
          <w:u w:val="dotted"/>
        </w:rPr>
        <w:tab/>
      </w:r>
      <w:r w:rsidR="00E037D4">
        <w:rPr>
          <w:rFonts w:ascii="Times New Roman" w:eastAsia="Times New Roman" w:hAnsi="Times New Roman" w:cs="Times New Roman"/>
          <w:sz w:val="24"/>
          <w:szCs w:val="24"/>
        </w:rPr>
        <w:t>11</w:t>
      </w:r>
    </w:p>
    <w:p w:rsidR="000015F6" w:rsidRDefault="000015F6" w:rsidP="007D2E82">
      <w:pPr>
        <w:tabs>
          <w:tab w:val="left" w:pos="720"/>
          <w:tab w:val="left" w:pos="1080"/>
          <w:tab w:val="left" w:pos="8640"/>
        </w:tabs>
        <w:autoSpaceDE w:val="0"/>
        <w:autoSpaceDN w:val="0"/>
        <w:spacing w:after="0" w:line="240" w:lineRule="auto"/>
        <w:rPr>
          <w:rFonts w:ascii="Times New Roman" w:eastAsia="Times New Roman" w:hAnsi="Times New Roman" w:cs="Times New Roman"/>
          <w:sz w:val="24"/>
          <w:szCs w:val="24"/>
        </w:rPr>
      </w:pPr>
    </w:p>
    <w:p w:rsidR="000015F6" w:rsidRDefault="000015F6" w:rsidP="007D2E82">
      <w:pPr>
        <w:tabs>
          <w:tab w:val="left" w:pos="720"/>
          <w:tab w:val="left" w:pos="1080"/>
          <w:tab w:val="left" w:pos="864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rPr>
        <w:tab/>
        <w:t xml:space="preserve">CONCLUSION OF LAW </w:t>
      </w:r>
      <w:r>
        <w:rPr>
          <w:rFonts w:ascii="Times New Roman" w:eastAsia="Times New Roman" w:hAnsi="Times New Roman" w:cs="Times New Roman"/>
          <w:sz w:val="24"/>
          <w:szCs w:val="24"/>
          <w:u w:val="dotted"/>
        </w:rPr>
        <w:tab/>
      </w:r>
      <w:r w:rsidR="00E037D4">
        <w:rPr>
          <w:rFonts w:ascii="Times New Roman" w:eastAsia="Times New Roman" w:hAnsi="Times New Roman" w:cs="Times New Roman"/>
          <w:sz w:val="24"/>
          <w:szCs w:val="24"/>
        </w:rPr>
        <w:t>18</w:t>
      </w:r>
    </w:p>
    <w:p w:rsidR="000015F6" w:rsidRDefault="000015F6" w:rsidP="007D2E82">
      <w:pPr>
        <w:tabs>
          <w:tab w:val="left" w:pos="720"/>
          <w:tab w:val="left" w:pos="1080"/>
          <w:tab w:val="left" w:pos="8640"/>
        </w:tabs>
        <w:autoSpaceDE w:val="0"/>
        <w:autoSpaceDN w:val="0"/>
        <w:spacing w:after="0" w:line="240" w:lineRule="auto"/>
        <w:rPr>
          <w:rFonts w:ascii="Times New Roman" w:eastAsia="Times New Roman" w:hAnsi="Times New Roman" w:cs="Times New Roman"/>
          <w:sz w:val="24"/>
          <w:szCs w:val="24"/>
        </w:rPr>
      </w:pPr>
    </w:p>
    <w:p w:rsidR="000015F6" w:rsidRPr="000015F6" w:rsidRDefault="000015F6" w:rsidP="007D2E82">
      <w:pPr>
        <w:tabs>
          <w:tab w:val="left" w:pos="720"/>
          <w:tab w:val="left" w:pos="1080"/>
          <w:tab w:val="left" w:pos="8640"/>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Pr>
          <w:rFonts w:ascii="Times New Roman" w:eastAsia="Times New Roman" w:hAnsi="Times New Roman" w:cs="Times New Roman"/>
          <w:sz w:val="24"/>
          <w:szCs w:val="24"/>
        </w:rPr>
        <w:tab/>
        <w:t xml:space="preserve">ORDER </w:t>
      </w:r>
      <w:r>
        <w:rPr>
          <w:rFonts w:ascii="Times New Roman" w:eastAsia="Times New Roman" w:hAnsi="Times New Roman" w:cs="Times New Roman"/>
          <w:sz w:val="24"/>
          <w:szCs w:val="24"/>
          <w:u w:val="dotted"/>
        </w:rPr>
        <w:tab/>
      </w:r>
      <w:r w:rsidR="00E037D4">
        <w:rPr>
          <w:rFonts w:ascii="Times New Roman" w:eastAsia="Times New Roman" w:hAnsi="Times New Roman" w:cs="Times New Roman"/>
          <w:sz w:val="24"/>
          <w:szCs w:val="24"/>
        </w:rPr>
        <w:t>20</w:t>
      </w:r>
    </w:p>
    <w:p w:rsidR="008809F2" w:rsidRPr="00C665F0" w:rsidRDefault="008809F2" w:rsidP="00A51AE6">
      <w:pPr>
        <w:autoSpaceDE w:val="0"/>
        <w:autoSpaceDN w:val="0"/>
        <w:spacing w:after="0" w:line="240" w:lineRule="auto"/>
        <w:rPr>
          <w:rFonts w:ascii="Times New Roman" w:eastAsia="Times New Roman" w:hAnsi="Times New Roman" w:cs="Times New Roman"/>
          <w:sz w:val="24"/>
          <w:szCs w:val="24"/>
        </w:rPr>
      </w:pPr>
    </w:p>
    <w:p w:rsidR="008809F2" w:rsidRPr="00C665F0" w:rsidRDefault="008809F2" w:rsidP="00A51AE6">
      <w:pPr>
        <w:autoSpaceDE w:val="0"/>
        <w:autoSpaceDN w:val="0"/>
        <w:spacing w:after="0" w:line="240" w:lineRule="auto"/>
        <w:rPr>
          <w:rFonts w:ascii="Times New Roman" w:eastAsia="Times New Roman" w:hAnsi="Times New Roman" w:cs="Times New Roman"/>
          <w:sz w:val="24"/>
          <w:szCs w:val="24"/>
        </w:rPr>
      </w:pPr>
    </w:p>
    <w:p w:rsidR="008809F2" w:rsidRPr="00C665F0" w:rsidRDefault="008809F2" w:rsidP="00A51AE6">
      <w:pPr>
        <w:autoSpaceDE w:val="0"/>
        <w:autoSpaceDN w:val="0"/>
        <w:spacing w:after="0" w:line="240" w:lineRule="auto"/>
        <w:rPr>
          <w:rFonts w:ascii="Times New Roman" w:eastAsia="Times New Roman" w:hAnsi="Times New Roman" w:cs="Times New Roman"/>
          <w:sz w:val="24"/>
          <w:szCs w:val="24"/>
        </w:rPr>
      </w:pPr>
    </w:p>
    <w:p w:rsidR="008809F2" w:rsidRPr="00C665F0" w:rsidRDefault="008809F2" w:rsidP="00A51AE6">
      <w:pPr>
        <w:autoSpaceDE w:val="0"/>
        <w:autoSpaceDN w:val="0"/>
        <w:spacing w:after="0" w:line="240" w:lineRule="auto"/>
        <w:rPr>
          <w:rFonts w:ascii="Times New Roman" w:eastAsia="Times New Roman" w:hAnsi="Times New Roman" w:cs="Times New Roman"/>
          <w:sz w:val="24"/>
          <w:szCs w:val="24"/>
        </w:rPr>
      </w:pPr>
    </w:p>
    <w:p w:rsidR="008809F2" w:rsidRPr="00C665F0" w:rsidRDefault="008809F2" w:rsidP="00A51AE6">
      <w:pPr>
        <w:autoSpaceDE w:val="0"/>
        <w:autoSpaceDN w:val="0"/>
        <w:spacing w:after="0" w:line="240" w:lineRule="auto"/>
        <w:rPr>
          <w:rFonts w:ascii="Times New Roman" w:eastAsia="Times New Roman" w:hAnsi="Times New Roman" w:cs="Times New Roman"/>
          <w:sz w:val="24"/>
          <w:szCs w:val="24"/>
        </w:rPr>
      </w:pPr>
    </w:p>
    <w:p w:rsidR="008809F2" w:rsidRPr="00C665F0" w:rsidRDefault="008809F2" w:rsidP="00A51AE6">
      <w:pPr>
        <w:autoSpaceDE w:val="0"/>
        <w:autoSpaceDN w:val="0"/>
        <w:spacing w:after="0" w:line="240" w:lineRule="auto"/>
        <w:rPr>
          <w:rFonts w:ascii="Times New Roman" w:eastAsia="Times New Roman" w:hAnsi="Times New Roman" w:cs="Times New Roman"/>
          <w:sz w:val="24"/>
          <w:szCs w:val="24"/>
        </w:rPr>
      </w:pPr>
    </w:p>
    <w:p w:rsidR="00C665F0" w:rsidRDefault="00C665F0" w:rsidP="00A51AE6">
      <w:pPr>
        <w:autoSpaceDE w:val="0"/>
        <w:autoSpaceDN w:val="0"/>
        <w:spacing w:after="0" w:line="240" w:lineRule="auto"/>
        <w:rPr>
          <w:rFonts w:ascii="Times New Roman" w:eastAsia="Times New Roman" w:hAnsi="Times New Roman" w:cs="Times New Roman"/>
          <w:sz w:val="24"/>
          <w:szCs w:val="24"/>
          <w:highlight w:val="yellow"/>
        </w:rPr>
      </w:pPr>
    </w:p>
    <w:p w:rsidR="00A51AE6" w:rsidRDefault="00A51AE6" w:rsidP="00C665F0">
      <w:pPr>
        <w:autoSpaceDE w:val="0"/>
        <w:autoSpaceDN w:val="0"/>
        <w:spacing w:after="0" w:line="240" w:lineRule="auto"/>
        <w:jc w:val="center"/>
        <w:rPr>
          <w:rFonts w:ascii="Times New Roman" w:eastAsia="Times New Roman" w:hAnsi="Times New Roman" w:cs="Times New Roman"/>
          <w:sz w:val="24"/>
          <w:szCs w:val="24"/>
          <w:highlight w:val="yellow"/>
        </w:rPr>
      </w:pPr>
    </w:p>
    <w:p w:rsidR="00A51AE6" w:rsidRDefault="00A51AE6" w:rsidP="00C665F0">
      <w:pPr>
        <w:autoSpaceDE w:val="0"/>
        <w:autoSpaceDN w:val="0"/>
        <w:spacing w:after="0" w:line="240" w:lineRule="auto"/>
        <w:jc w:val="center"/>
        <w:rPr>
          <w:rFonts w:ascii="Times New Roman" w:eastAsia="Times New Roman" w:hAnsi="Times New Roman" w:cs="Times New Roman"/>
          <w:sz w:val="24"/>
          <w:szCs w:val="24"/>
          <w:highlight w:val="yellow"/>
        </w:rPr>
        <w:sectPr w:rsidR="00A51AE6" w:rsidSect="00C665F0">
          <w:footerReference w:type="default" r:id="rId10"/>
          <w:pgSz w:w="12240" w:h="15840"/>
          <w:pgMar w:top="1440" w:right="1440" w:bottom="1440" w:left="1440" w:header="720" w:footer="720" w:gutter="0"/>
          <w:pgNumType w:fmt="lowerRoman" w:start="1"/>
          <w:cols w:space="720"/>
          <w:docGrid w:linePitch="360"/>
        </w:sectPr>
      </w:pPr>
    </w:p>
    <w:p w:rsidR="008809F2" w:rsidRPr="00C665F0" w:rsidRDefault="008809F2" w:rsidP="00C665F0">
      <w:pPr>
        <w:pStyle w:val="ListParagraph"/>
        <w:numPr>
          <w:ilvl w:val="0"/>
          <w:numId w:val="4"/>
        </w:numPr>
        <w:autoSpaceDE w:val="0"/>
        <w:autoSpaceDN w:val="0"/>
        <w:spacing w:after="0" w:line="240" w:lineRule="auto"/>
        <w:ind w:left="0" w:firstLine="0"/>
        <w:jc w:val="center"/>
        <w:rPr>
          <w:rFonts w:ascii="Times New Roman" w:eastAsia="Times New Roman" w:hAnsi="Times New Roman" w:cs="Times New Roman"/>
          <w:sz w:val="24"/>
          <w:szCs w:val="24"/>
        </w:rPr>
      </w:pPr>
      <w:r w:rsidRPr="00C665F0">
        <w:rPr>
          <w:rFonts w:ascii="Times New Roman" w:eastAsia="Times New Roman" w:hAnsi="Times New Roman" w:cs="Times New Roman"/>
          <w:spacing w:val="-3"/>
          <w:sz w:val="24"/>
          <w:szCs w:val="24"/>
          <w:u w:val="single"/>
        </w:rPr>
        <w:t>HISTORY OF THE PROCEEDING</w:t>
      </w:r>
      <w:r w:rsidR="00E76147">
        <w:rPr>
          <w:rFonts w:ascii="Times New Roman" w:eastAsia="Times New Roman" w:hAnsi="Times New Roman" w:cs="Times New Roman"/>
          <w:spacing w:val="-3"/>
          <w:sz w:val="24"/>
          <w:szCs w:val="24"/>
          <w:u w:val="single"/>
        </w:rPr>
        <w:fldChar w:fldCharType="begin"/>
      </w:r>
      <w:r w:rsidR="00E76147">
        <w:instrText xml:space="preserve"> TC "</w:instrText>
      </w:r>
      <w:r w:rsidR="00E76147" w:rsidRPr="00675577">
        <w:rPr>
          <w:rFonts w:ascii="Times New Roman" w:eastAsia="Times New Roman" w:hAnsi="Times New Roman" w:cs="Times New Roman"/>
          <w:spacing w:val="-3"/>
          <w:sz w:val="24"/>
          <w:szCs w:val="24"/>
          <w:u w:val="single"/>
        </w:rPr>
        <w:instrText>HISTORY OF THE PROCEEDING</w:instrText>
      </w:r>
      <w:r w:rsidR="00E76147">
        <w:instrText xml:space="preserve">" \f C \l "1" </w:instrText>
      </w:r>
      <w:r w:rsidR="00E76147">
        <w:rPr>
          <w:rFonts w:ascii="Times New Roman" w:eastAsia="Times New Roman" w:hAnsi="Times New Roman" w:cs="Times New Roman"/>
          <w:spacing w:val="-3"/>
          <w:sz w:val="24"/>
          <w:szCs w:val="24"/>
          <w:u w:val="single"/>
        </w:rPr>
        <w:fldChar w:fldCharType="end"/>
      </w:r>
    </w:p>
    <w:p w:rsidR="008809F2" w:rsidRPr="00C665F0" w:rsidRDefault="008809F2" w:rsidP="000C1B7B">
      <w:pPr>
        <w:suppressAutoHyphens/>
        <w:autoSpaceDE w:val="0"/>
        <w:autoSpaceDN w:val="0"/>
        <w:spacing w:after="0" w:line="240" w:lineRule="auto"/>
        <w:contextualSpacing/>
        <w:rPr>
          <w:rFonts w:ascii="Times New Roman" w:eastAsia="Times New Roman" w:hAnsi="Times New Roman" w:cs="Times New Roman"/>
          <w:spacing w:val="-3"/>
          <w:sz w:val="24"/>
          <w:szCs w:val="24"/>
        </w:rPr>
      </w:pPr>
    </w:p>
    <w:p w:rsidR="008809F2" w:rsidRPr="00C665F0" w:rsidRDefault="008809F2" w:rsidP="000C1B7B">
      <w:pPr>
        <w:suppressAutoHyphens/>
        <w:autoSpaceDE w:val="0"/>
        <w:autoSpaceDN w:val="0"/>
        <w:spacing w:after="0" w:line="240" w:lineRule="auto"/>
        <w:ind w:left="1080"/>
        <w:contextualSpacing/>
        <w:rPr>
          <w:rFonts w:ascii="Times New Roman" w:eastAsia="Times New Roman" w:hAnsi="Times New Roman" w:cs="Times New Roman"/>
          <w:spacing w:val="-3"/>
          <w:sz w:val="24"/>
          <w:szCs w:val="24"/>
        </w:rPr>
      </w:pPr>
    </w:p>
    <w:p w:rsidR="008809F2" w:rsidRPr="00C665F0" w:rsidRDefault="008809F2" w:rsidP="008809F2">
      <w:pPr>
        <w:suppressAutoHyphens/>
        <w:autoSpaceDE w:val="0"/>
        <w:autoSpaceDN w:val="0"/>
        <w:spacing w:after="0" w:line="360" w:lineRule="auto"/>
        <w:rPr>
          <w:rFonts w:ascii="Times New Roman" w:hAnsi="Times New Roman" w:cs="Times New Roman"/>
          <w:sz w:val="24"/>
          <w:szCs w:val="24"/>
        </w:rPr>
      </w:pPr>
      <w:r w:rsidRPr="00C665F0">
        <w:rPr>
          <w:rFonts w:ascii="Times New Roman" w:hAnsi="Times New Roman" w:cs="Times New Roman"/>
          <w:sz w:val="24"/>
          <w:szCs w:val="24"/>
        </w:rPr>
        <w:tab/>
      </w:r>
      <w:r w:rsidRPr="00C665F0">
        <w:rPr>
          <w:rFonts w:ascii="Times New Roman" w:hAnsi="Times New Roman" w:cs="Times New Roman"/>
          <w:sz w:val="24"/>
          <w:szCs w:val="24"/>
        </w:rPr>
        <w:tab/>
        <w:t xml:space="preserve">On April 30, 2014, PECO Energy Company (PECO or the Company) made a preliminary filing with the Public Utility Commission </w:t>
      </w:r>
      <w:r w:rsidR="000C1B7B">
        <w:rPr>
          <w:rFonts w:ascii="Times New Roman" w:hAnsi="Times New Roman" w:cs="Times New Roman"/>
          <w:sz w:val="24"/>
          <w:szCs w:val="24"/>
        </w:rPr>
        <w:t>(Commission) pursuant to 52 Pa.Code §§ </w:t>
      </w:r>
      <w:r w:rsidRPr="00C665F0">
        <w:rPr>
          <w:rFonts w:ascii="Times New Roman" w:hAnsi="Times New Roman" w:cs="Times New Roman"/>
          <w:sz w:val="24"/>
          <w:szCs w:val="24"/>
        </w:rPr>
        <w:t xml:space="preserve">53.64 and 53.65 regarding proposed changes in rates resulting from changes in the purchased gas costs and other elements of the </w:t>
      </w:r>
      <w:r w:rsidR="0055556F">
        <w:rPr>
          <w:rFonts w:ascii="Times New Roman" w:hAnsi="Times New Roman" w:cs="Times New Roman"/>
          <w:sz w:val="24"/>
          <w:szCs w:val="24"/>
        </w:rPr>
        <w:t>C</w:t>
      </w:r>
      <w:r w:rsidRPr="00C665F0">
        <w:rPr>
          <w:rFonts w:ascii="Times New Roman" w:hAnsi="Times New Roman" w:cs="Times New Roman"/>
          <w:sz w:val="24"/>
          <w:szCs w:val="24"/>
        </w:rPr>
        <w:t>ompany’s Purchased Gas Cost (PGC) rate.</w:t>
      </w:r>
    </w:p>
    <w:p w:rsidR="008809F2" w:rsidRPr="00C665F0" w:rsidRDefault="008809F2" w:rsidP="008809F2">
      <w:pPr>
        <w:suppressAutoHyphens/>
        <w:autoSpaceDE w:val="0"/>
        <w:autoSpaceDN w:val="0"/>
        <w:spacing w:after="0" w:line="360" w:lineRule="auto"/>
        <w:rPr>
          <w:rFonts w:ascii="Times New Roman" w:hAnsi="Times New Roman" w:cs="Times New Roman"/>
          <w:sz w:val="24"/>
          <w:szCs w:val="24"/>
        </w:rPr>
      </w:pPr>
    </w:p>
    <w:p w:rsidR="008809F2" w:rsidRPr="00C665F0" w:rsidRDefault="008809F2" w:rsidP="008809F2">
      <w:pPr>
        <w:suppressAutoHyphens/>
        <w:autoSpaceDE w:val="0"/>
        <w:autoSpaceDN w:val="0"/>
        <w:spacing w:after="0" w:line="360" w:lineRule="auto"/>
        <w:rPr>
          <w:rFonts w:ascii="Times New Roman" w:hAnsi="Times New Roman" w:cs="Times New Roman"/>
          <w:sz w:val="24"/>
          <w:szCs w:val="24"/>
        </w:rPr>
      </w:pPr>
      <w:r w:rsidRPr="00C665F0">
        <w:rPr>
          <w:rFonts w:ascii="Times New Roman" w:hAnsi="Times New Roman" w:cs="Times New Roman"/>
          <w:sz w:val="24"/>
          <w:szCs w:val="24"/>
        </w:rPr>
        <w:tab/>
      </w:r>
      <w:r w:rsidRPr="00C665F0">
        <w:rPr>
          <w:rFonts w:ascii="Times New Roman" w:hAnsi="Times New Roman" w:cs="Times New Roman"/>
          <w:sz w:val="24"/>
          <w:szCs w:val="24"/>
        </w:rPr>
        <w:tab/>
        <w:t>On May 30, 2014, pursuant to</w:t>
      </w:r>
      <w:r w:rsidR="004E137B">
        <w:rPr>
          <w:rFonts w:ascii="Times New Roman" w:hAnsi="Times New Roman" w:cs="Times New Roman"/>
          <w:sz w:val="24"/>
          <w:szCs w:val="24"/>
        </w:rPr>
        <w:t xml:space="preserve"> 66 Pa.C.S.A. § 1307(f), 52 Pa.</w:t>
      </w:r>
      <w:r w:rsidRPr="00C665F0">
        <w:rPr>
          <w:rFonts w:ascii="Times New Roman" w:hAnsi="Times New Roman" w:cs="Times New Roman"/>
          <w:sz w:val="24"/>
          <w:szCs w:val="24"/>
        </w:rPr>
        <w:t xml:space="preserve">Code §53.61 </w:t>
      </w:r>
      <w:r w:rsidRPr="00C665F0">
        <w:rPr>
          <w:rFonts w:ascii="Times New Roman" w:hAnsi="Times New Roman" w:cs="Times New Roman"/>
          <w:i/>
          <w:sz w:val="24"/>
          <w:szCs w:val="24"/>
        </w:rPr>
        <w:t>et seq</w:t>
      </w:r>
      <w:r w:rsidRPr="00C665F0">
        <w:rPr>
          <w:rFonts w:ascii="Times New Roman" w:hAnsi="Times New Roman" w:cs="Times New Roman"/>
          <w:sz w:val="24"/>
          <w:szCs w:val="24"/>
        </w:rPr>
        <w:t>. and the Schedule of Filing Dates established by the Commission, PECO filed its definitive PGC filing, PGC No. 31, proposed Supple</w:t>
      </w:r>
      <w:r w:rsidR="000578EE">
        <w:rPr>
          <w:rFonts w:ascii="Times New Roman" w:hAnsi="Times New Roman" w:cs="Times New Roman"/>
          <w:sz w:val="24"/>
          <w:szCs w:val="24"/>
        </w:rPr>
        <w:t>ment No. 148 to Tariff Gas-Pa.PUC</w:t>
      </w:r>
      <w:r w:rsidRPr="00C665F0">
        <w:rPr>
          <w:rFonts w:ascii="Times New Roman" w:hAnsi="Times New Roman" w:cs="Times New Roman"/>
          <w:sz w:val="24"/>
          <w:szCs w:val="24"/>
        </w:rPr>
        <w:t xml:space="preserve"> No. 2, to become effective for service rendered on and after December 1, 2014.  This tariff supplement proposed to decrease the PGC from of $7.3009/Mcf to $7.0740/Mcf, a decrease of $0.2269/Mcf.  The company also filed a reconciliation of previously incurred expenses and revenues.  In support of its filing, PECO submitted supporting data and information including the direct testimony of witnesses Ant</w:t>
      </w:r>
      <w:r w:rsidR="009A7B69" w:rsidRPr="00C665F0">
        <w:rPr>
          <w:rFonts w:ascii="Times New Roman" w:hAnsi="Times New Roman" w:cs="Times New Roman"/>
          <w:sz w:val="24"/>
          <w:szCs w:val="24"/>
        </w:rPr>
        <w:t>hony P. DiFelice (PECO St.</w:t>
      </w:r>
      <w:r w:rsidRPr="00C665F0">
        <w:rPr>
          <w:rFonts w:ascii="Times New Roman" w:hAnsi="Times New Roman" w:cs="Times New Roman"/>
          <w:sz w:val="24"/>
          <w:szCs w:val="24"/>
        </w:rPr>
        <w:t xml:space="preserve"> No. 4) and C</w:t>
      </w:r>
      <w:r w:rsidR="009A7B69" w:rsidRPr="00C665F0">
        <w:rPr>
          <w:rFonts w:ascii="Times New Roman" w:hAnsi="Times New Roman" w:cs="Times New Roman"/>
          <w:sz w:val="24"/>
          <w:szCs w:val="24"/>
        </w:rPr>
        <w:t>arlos P. Thillet (PECO St.</w:t>
      </w:r>
      <w:r w:rsidRPr="00C665F0">
        <w:rPr>
          <w:rFonts w:ascii="Times New Roman" w:hAnsi="Times New Roman" w:cs="Times New Roman"/>
          <w:sz w:val="24"/>
          <w:szCs w:val="24"/>
        </w:rPr>
        <w:t xml:space="preserve"> No.</w:t>
      </w:r>
      <w:r w:rsidR="000578EE">
        <w:rPr>
          <w:rFonts w:ascii="Times New Roman" w:hAnsi="Times New Roman" w:cs="Times New Roman"/>
          <w:sz w:val="24"/>
          <w:szCs w:val="24"/>
        </w:rPr>
        <w:t xml:space="preserve"> 5), with supporting exhibits.</w:t>
      </w:r>
    </w:p>
    <w:p w:rsidR="008809F2" w:rsidRPr="00C665F0" w:rsidRDefault="008809F2" w:rsidP="008809F2">
      <w:pPr>
        <w:suppressAutoHyphens/>
        <w:autoSpaceDE w:val="0"/>
        <w:autoSpaceDN w:val="0"/>
        <w:spacing w:after="0" w:line="360" w:lineRule="auto"/>
        <w:rPr>
          <w:rFonts w:ascii="Times New Roman" w:hAnsi="Times New Roman" w:cs="Times New Roman"/>
          <w:sz w:val="24"/>
          <w:szCs w:val="24"/>
        </w:rPr>
      </w:pPr>
    </w:p>
    <w:p w:rsidR="008809F2" w:rsidRPr="00C665F0" w:rsidRDefault="001860A3" w:rsidP="008809F2">
      <w:pPr>
        <w:suppressAutoHyphens/>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 required by 52 Pa.</w:t>
      </w:r>
      <w:r w:rsidR="008809F2" w:rsidRPr="00C665F0">
        <w:rPr>
          <w:rFonts w:ascii="Times New Roman" w:hAnsi="Times New Roman" w:cs="Times New Roman"/>
          <w:sz w:val="24"/>
          <w:szCs w:val="24"/>
        </w:rPr>
        <w:t>Code § 53.68, PECO provided public notice of the proposed tariff through bill inserts and newspaper publication in PECO’s service territory.</w:t>
      </w:r>
    </w:p>
    <w:p w:rsidR="008809F2" w:rsidRPr="00C665F0" w:rsidRDefault="008809F2" w:rsidP="008809F2">
      <w:pPr>
        <w:suppressAutoHyphens/>
        <w:autoSpaceDE w:val="0"/>
        <w:autoSpaceDN w:val="0"/>
        <w:spacing w:after="0" w:line="360" w:lineRule="auto"/>
        <w:rPr>
          <w:rFonts w:ascii="Times New Roman" w:hAnsi="Times New Roman" w:cs="Times New Roman"/>
          <w:sz w:val="24"/>
          <w:szCs w:val="24"/>
        </w:rPr>
      </w:pPr>
    </w:p>
    <w:p w:rsidR="008809F2" w:rsidRPr="00C665F0" w:rsidRDefault="008809F2" w:rsidP="008809F2">
      <w:pPr>
        <w:suppressAutoHyphens/>
        <w:autoSpaceDE w:val="0"/>
        <w:autoSpaceDN w:val="0"/>
        <w:spacing w:after="0" w:line="360" w:lineRule="auto"/>
        <w:rPr>
          <w:rFonts w:ascii="Times New Roman" w:hAnsi="Times New Roman" w:cs="Times New Roman"/>
          <w:sz w:val="24"/>
          <w:szCs w:val="24"/>
        </w:rPr>
      </w:pPr>
      <w:r w:rsidRPr="00C665F0">
        <w:rPr>
          <w:rFonts w:ascii="Times New Roman" w:hAnsi="Times New Roman" w:cs="Times New Roman"/>
          <w:sz w:val="24"/>
          <w:szCs w:val="24"/>
        </w:rPr>
        <w:tab/>
      </w:r>
      <w:r w:rsidRPr="00C665F0">
        <w:rPr>
          <w:rFonts w:ascii="Times New Roman" w:hAnsi="Times New Roman" w:cs="Times New Roman"/>
          <w:sz w:val="24"/>
          <w:szCs w:val="24"/>
        </w:rPr>
        <w:tab/>
        <w:t>By operation of law, the filing was suspended for a period of six months for an investigation into the lawfulness, justness and reasonableness of the proposed rates and to satisfy the requirements of Sections 1307, 1317 and 1318 of the Publi</w:t>
      </w:r>
      <w:r w:rsidR="001860A3">
        <w:rPr>
          <w:rFonts w:ascii="Times New Roman" w:hAnsi="Times New Roman" w:cs="Times New Roman"/>
          <w:sz w:val="24"/>
          <w:szCs w:val="24"/>
        </w:rPr>
        <w:t>c Utility Code, 66 Pa.C.S.A. §§ </w:t>
      </w:r>
      <w:r w:rsidRPr="00C665F0">
        <w:rPr>
          <w:rFonts w:ascii="Times New Roman" w:hAnsi="Times New Roman" w:cs="Times New Roman"/>
          <w:sz w:val="24"/>
          <w:szCs w:val="24"/>
        </w:rPr>
        <w:t>1307, 1317, and 1318.</w:t>
      </w:r>
    </w:p>
    <w:p w:rsidR="008809F2" w:rsidRPr="00C665F0" w:rsidRDefault="008809F2" w:rsidP="008809F2">
      <w:pPr>
        <w:suppressAutoHyphens/>
        <w:autoSpaceDE w:val="0"/>
        <w:autoSpaceDN w:val="0"/>
        <w:spacing w:after="0" w:line="360" w:lineRule="auto"/>
        <w:rPr>
          <w:rFonts w:ascii="Times New Roman" w:hAnsi="Times New Roman" w:cs="Times New Roman"/>
          <w:sz w:val="24"/>
          <w:szCs w:val="24"/>
        </w:rPr>
      </w:pPr>
    </w:p>
    <w:p w:rsidR="008809F2" w:rsidRPr="00C665F0" w:rsidRDefault="008809F2" w:rsidP="008809F2">
      <w:pPr>
        <w:suppressAutoHyphens/>
        <w:autoSpaceDE w:val="0"/>
        <w:autoSpaceDN w:val="0"/>
        <w:spacing w:after="0" w:line="360" w:lineRule="auto"/>
        <w:ind w:firstLine="1440"/>
        <w:rPr>
          <w:rFonts w:ascii="Times New Roman" w:hAnsi="Times New Roman" w:cs="Times New Roman"/>
          <w:sz w:val="24"/>
          <w:szCs w:val="24"/>
        </w:rPr>
      </w:pPr>
      <w:r w:rsidRPr="00C665F0">
        <w:rPr>
          <w:rFonts w:ascii="Times New Roman" w:hAnsi="Times New Roman" w:cs="Times New Roman"/>
          <w:sz w:val="24"/>
          <w:szCs w:val="24"/>
        </w:rPr>
        <w:t xml:space="preserve">On May 6, 2014, the Office of Consumer Advocate (OCA) filed a Complaint (docketed at </w:t>
      </w:r>
      <w:r w:rsidRPr="00C665F0">
        <w:rPr>
          <w:rFonts w:ascii="Times New Roman" w:eastAsia="Times New Roman" w:hAnsi="Times New Roman" w:cs="Times New Roman"/>
          <w:sz w:val="24"/>
          <w:szCs w:val="24"/>
        </w:rPr>
        <w:t>C-2014-2422699</w:t>
      </w:r>
      <w:r w:rsidR="00D9200C">
        <w:rPr>
          <w:rFonts w:ascii="Times New Roman" w:hAnsi="Times New Roman" w:cs="Times New Roman"/>
          <w:sz w:val="24"/>
          <w:szCs w:val="24"/>
        </w:rPr>
        <w:t>) and a Public Statement.</w:t>
      </w:r>
    </w:p>
    <w:p w:rsidR="008809F2" w:rsidRPr="00C665F0" w:rsidRDefault="008809F2" w:rsidP="008809F2">
      <w:pPr>
        <w:suppressAutoHyphens/>
        <w:autoSpaceDE w:val="0"/>
        <w:autoSpaceDN w:val="0"/>
        <w:spacing w:after="0" w:line="360" w:lineRule="auto"/>
        <w:ind w:firstLine="1440"/>
        <w:rPr>
          <w:rFonts w:ascii="Times New Roman" w:hAnsi="Times New Roman" w:cs="Times New Roman"/>
          <w:sz w:val="24"/>
          <w:szCs w:val="24"/>
        </w:rPr>
      </w:pPr>
    </w:p>
    <w:p w:rsidR="008809F2" w:rsidRPr="00C665F0" w:rsidRDefault="008809F2" w:rsidP="008809F2">
      <w:pPr>
        <w:suppressAutoHyphens/>
        <w:autoSpaceDE w:val="0"/>
        <w:autoSpaceDN w:val="0"/>
        <w:spacing w:after="0" w:line="360" w:lineRule="auto"/>
        <w:ind w:firstLine="1440"/>
        <w:rPr>
          <w:rFonts w:ascii="Times New Roman" w:hAnsi="Times New Roman" w:cs="Times New Roman"/>
          <w:sz w:val="24"/>
          <w:szCs w:val="24"/>
        </w:rPr>
      </w:pPr>
      <w:r w:rsidRPr="00C665F0">
        <w:rPr>
          <w:rFonts w:ascii="Times New Roman" w:hAnsi="Times New Roman" w:cs="Times New Roman"/>
          <w:sz w:val="24"/>
          <w:szCs w:val="24"/>
        </w:rPr>
        <w:t>On May 13, 2014, a Notice of Appearance was filed on behalf of the Commission’s Bureau of Investigation and Enforcement (I&amp;E) for Richard Kanaski</w:t>
      </w:r>
      <w:r w:rsidR="00D9200C">
        <w:rPr>
          <w:rFonts w:ascii="Times New Roman" w:hAnsi="Times New Roman" w:cs="Times New Roman"/>
          <w:sz w:val="24"/>
          <w:szCs w:val="24"/>
        </w:rPr>
        <w:t>e, Esq. and Carrie Wright, Esq.</w:t>
      </w:r>
    </w:p>
    <w:p w:rsidR="008809F2" w:rsidRPr="00C665F0" w:rsidRDefault="008809F2" w:rsidP="008809F2">
      <w:pPr>
        <w:suppressAutoHyphens/>
        <w:autoSpaceDE w:val="0"/>
        <w:autoSpaceDN w:val="0"/>
        <w:spacing w:after="0" w:line="360" w:lineRule="auto"/>
        <w:rPr>
          <w:rFonts w:ascii="Times New Roman" w:hAnsi="Times New Roman" w:cs="Times New Roman"/>
          <w:sz w:val="24"/>
          <w:szCs w:val="24"/>
        </w:rPr>
      </w:pPr>
      <w:r w:rsidRPr="00C665F0">
        <w:rPr>
          <w:rFonts w:ascii="Times New Roman" w:hAnsi="Times New Roman" w:cs="Times New Roman"/>
          <w:sz w:val="24"/>
          <w:szCs w:val="24"/>
        </w:rPr>
        <w:tab/>
      </w:r>
      <w:r w:rsidRPr="00C665F0">
        <w:rPr>
          <w:rFonts w:ascii="Times New Roman" w:hAnsi="Times New Roman" w:cs="Times New Roman"/>
          <w:sz w:val="24"/>
          <w:szCs w:val="24"/>
        </w:rPr>
        <w:tab/>
        <w:t xml:space="preserve">On May 20, 2014, the Office of Small Business Advocate (OSBA) filed a Complaint (docketed at </w:t>
      </w:r>
      <w:r w:rsidRPr="00C665F0">
        <w:rPr>
          <w:rFonts w:ascii="Times New Roman" w:eastAsia="Times New Roman" w:hAnsi="Times New Roman" w:cs="Times New Roman"/>
          <w:sz w:val="24"/>
          <w:szCs w:val="24"/>
        </w:rPr>
        <w:t>C-2014-2423803</w:t>
      </w:r>
      <w:r w:rsidR="00292061" w:rsidRPr="00C665F0">
        <w:rPr>
          <w:rFonts w:ascii="Times New Roman" w:hAnsi="Times New Roman" w:cs="Times New Roman"/>
          <w:sz w:val="24"/>
          <w:szCs w:val="24"/>
        </w:rPr>
        <w:t xml:space="preserve">), a Notice of Appearance </w:t>
      </w:r>
      <w:r w:rsidRPr="00C665F0">
        <w:rPr>
          <w:rFonts w:ascii="Times New Roman" w:hAnsi="Times New Roman" w:cs="Times New Roman"/>
          <w:sz w:val="24"/>
          <w:szCs w:val="24"/>
        </w:rPr>
        <w:t>fo</w:t>
      </w:r>
      <w:r w:rsidR="00292061" w:rsidRPr="00C665F0">
        <w:rPr>
          <w:rFonts w:ascii="Times New Roman" w:hAnsi="Times New Roman" w:cs="Times New Roman"/>
          <w:sz w:val="24"/>
          <w:szCs w:val="24"/>
        </w:rPr>
        <w:t>r Elizabeth Rose Triscari, Esq.,</w:t>
      </w:r>
      <w:r w:rsidRPr="00C665F0">
        <w:rPr>
          <w:rFonts w:ascii="Times New Roman" w:hAnsi="Times New Roman" w:cs="Times New Roman"/>
          <w:sz w:val="24"/>
          <w:szCs w:val="24"/>
        </w:rPr>
        <w:t xml:space="preserve"> and a Public Statement.</w:t>
      </w:r>
    </w:p>
    <w:p w:rsidR="008809F2" w:rsidRPr="00C665F0" w:rsidRDefault="008809F2" w:rsidP="008809F2">
      <w:pPr>
        <w:suppressAutoHyphens/>
        <w:autoSpaceDE w:val="0"/>
        <w:autoSpaceDN w:val="0"/>
        <w:spacing w:after="0" w:line="360" w:lineRule="auto"/>
        <w:rPr>
          <w:rFonts w:ascii="Times New Roman" w:hAnsi="Times New Roman" w:cs="Times New Roman"/>
          <w:sz w:val="24"/>
          <w:szCs w:val="24"/>
        </w:rPr>
      </w:pPr>
    </w:p>
    <w:p w:rsidR="008809F2" w:rsidRPr="00C665F0" w:rsidRDefault="00D75D2F" w:rsidP="008809F2">
      <w:pPr>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May 20</w:t>
      </w:r>
      <w:r w:rsidR="00701388">
        <w:rPr>
          <w:rFonts w:ascii="Times New Roman" w:hAnsi="Times New Roman" w:cs="Times New Roman"/>
          <w:sz w:val="24"/>
          <w:szCs w:val="24"/>
        </w:rPr>
        <w:t>,</w:t>
      </w:r>
      <w:r w:rsidR="00701388" w:rsidRPr="00C665F0">
        <w:rPr>
          <w:rFonts w:ascii="Times New Roman" w:hAnsi="Times New Roman" w:cs="Times New Roman"/>
          <w:sz w:val="24"/>
          <w:szCs w:val="24"/>
        </w:rPr>
        <w:t xml:space="preserve"> 2014</w:t>
      </w:r>
      <w:r w:rsidR="008809F2" w:rsidRPr="00C665F0">
        <w:rPr>
          <w:rFonts w:ascii="Times New Roman" w:hAnsi="Times New Roman" w:cs="Times New Roman"/>
          <w:sz w:val="24"/>
          <w:szCs w:val="24"/>
        </w:rPr>
        <w:t>, a Petition to Intervene was filed by the Philadelphia Area Industrial Energy Users Group (PAIEUG).</w:t>
      </w:r>
    </w:p>
    <w:p w:rsidR="008809F2" w:rsidRPr="00C665F0" w:rsidRDefault="008809F2" w:rsidP="008809F2">
      <w:pPr>
        <w:suppressAutoHyphens/>
        <w:autoSpaceDE w:val="0"/>
        <w:autoSpaceDN w:val="0"/>
        <w:spacing w:after="0" w:line="360" w:lineRule="auto"/>
        <w:ind w:left="90" w:firstLine="1350"/>
        <w:rPr>
          <w:rFonts w:ascii="Times New Roman" w:hAnsi="Times New Roman" w:cs="Times New Roman"/>
          <w:sz w:val="24"/>
          <w:szCs w:val="24"/>
        </w:rPr>
      </w:pPr>
    </w:p>
    <w:p w:rsidR="008809F2" w:rsidRPr="00C665F0" w:rsidRDefault="008809F2" w:rsidP="008809F2">
      <w:pPr>
        <w:suppressAutoHyphens/>
        <w:autoSpaceDE w:val="0"/>
        <w:autoSpaceDN w:val="0"/>
        <w:spacing w:after="0" w:line="360" w:lineRule="auto"/>
        <w:ind w:firstLine="1440"/>
        <w:rPr>
          <w:rFonts w:ascii="Times New Roman" w:hAnsi="Times New Roman" w:cs="Times New Roman"/>
          <w:sz w:val="24"/>
          <w:szCs w:val="24"/>
        </w:rPr>
      </w:pPr>
      <w:r w:rsidRPr="00C665F0">
        <w:rPr>
          <w:rFonts w:ascii="Times New Roman" w:hAnsi="Times New Roman" w:cs="Times New Roman"/>
          <w:sz w:val="24"/>
          <w:szCs w:val="24"/>
        </w:rPr>
        <w:t>By Hearing Notice dated May 23, 2014, a prehearing conference was scheduled for June 6, 2014 and the matter was assigned to us.  Also on May 23, 2013, we issued a Prehearing Conference Order containing various procedural requirements relating to the scheduled prehearing conference.</w:t>
      </w:r>
    </w:p>
    <w:p w:rsidR="008809F2" w:rsidRPr="00C665F0" w:rsidRDefault="008809F2" w:rsidP="008809F2">
      <w:pPr>
        <w:suppressAutoHyphens/>
        <w:autoSpaceDE w:val="0"/>
        <w:autoSpaceDN w:val="0"/>
        <w:spacing w:after="0" w:line="360" w:lineRule="auto"/>
        <w:ind w:firstLine="1440"/>
        <w:rPr>
          <w:rFonts w:ascii="Times New Roman" w:hAnsi="Times New Roman" w:cs="Times New Roman"/>
          <w:sz w:val="24"/>
          <w:szCs w:val="24"/>
        </w:rPr>
      </w:pPr>
    </w:p>
    <w:p w:rsidR="008809F2" w:rsidRPr="00C665F0" w:rsidRDefault="008809F2" w:rsidP="008809F2">
      <w:pPr>
        <w:suppressAutoHyphens/>
        <w:autoSpaceDE w:val="0"/>
        <w:autoSpaceDN w:val="0"/>
        <w:spacing w:after="0" w:line="360" w:lineRule="auto"/>
        <w:rPr>
          <w:rFonts w:ascii="Times New Roman" w:hAnsi="Times New Roman" w:cs="Times New Roman"/>
          <w:sz w:val="24"/>
          <w:szCs w:val="24"/>
        </w:rPr>
      </w:pPr>
      <w:r w:rsidRPr="00C665F0">
        <w:rPr>
          <w:rFonts w:ascii="Times New Roman" w:hAnsi="Times New Roman" w:cs="Times New Roman"/>
          <w:sz w:val="24"/>
          <w:szCs w:val="24"/>
        </w:rPr>
        <w:tab/>
      </w:r>
      <w:r w:rsidRPr="00C665F0">
        <w:rPr>
          <w:rFonts w:ascii="Times New Roman" w:hAnsi="Times New Roman" w:cs="Times New Roman"/>
          <w:sz w:val="24"/>
          <w:szCs w:val="24"/>
        </w:rPr>
        <w:tab/>
        <w:t xml:space="preserve">The prehearing conference was held as scheduled on June 6, 2014.  Present through counsel either telephonically or in person were PECO, I&amp;E, OCA, OSBA, and PAIEUG.  PAIEUG’s Petition to Intervene was granted, discovery rules were adopted, and a litigation and briefing schedule was established.  The actions taken at the prehearing conference were memorialized in Prehearing Order #1 dated June 10, 2014.  Also on June 10, 2014, </w:t>
      </w:r>
      <w:r w:rsidR="00B155E8">
        <w:rPr>
          <w:rFonts w:ascii="Times New Roman" w:hAnsi="Times New Roman" w:cs="Times New Roman"/>
          <w:sz w:val="24"/>
          <w:szCs w:val="24"/>
        </w:rPr>
        <w:t>we issued a Protective Order.</w:t>
      </w:r>
    </w:p>
    <w:p w:rsidR="008809F2" w:rsidRPr="00C665F0" w:rsidRDefault="008809F2" w:rsidP="008809F2">
      <w:pPr>
        <w:suppressAutoHyphens/>
        <w:autoSpaceDE w:val="0"/>
        <w:autoSpaceDN w:val="0"/>
        <w:spacing w:after="0" w:line="360" w:lineRule="auto"/>
        <w:rPr>
          <w:rFonts w:ascii="Times New Roman" w:hAnsi="Times New Roman" w:cs="Times New Roman"/>
          <w:color w:val="000000"/>
          <w:sz w:val="24"/>
          <w:szCs w:val="24"/>
        </w:rPr>
      </w:pPr>
    </w:p>
    <w:p w:rsidR="008809F2" w:rsidRPr="00C665F0" w:rsidRDefault="008809F2" w:rsidP="008809F2">
      <w:pPr>
        <w:suppressAutoHyphens/>
        <w:autoSpaceDE w:val="0"/>
        <w:autoSpaceDN w:val="0"/>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ab/>
      </w:r>
      <w:r w:rsidRPr="00C665F0">
        <w:rPr>
          <w:rFonts w:ascii="Times New Roman" w:hAnsi="Times New Roman" w:cs="Times New Roman"/>
          <w:color w:val="000000"/>
          <w:sz w:val="24"/>
          <w:szCs w:val="24"/>
        </w:rPr>
        <w:tab/>
        <w:t xml:space="preserve">Subsequently, on July 16, 2014, the parties informed us that they had reached a settlement on all issues in the matter and requested that the litigation schedule be suspended and the hearings on July 23-24, 2014 be cancelled.  On July 18, 2014, via email, we notified the parties that </w:t>
      </w:r>
      <w:r w:rsidR="00DA3CC1">
        <w:rPr>
          <w:rFonts w:ascii="Times New Roman" w:hAnsi="Times New Roman" w:cs="Times New Roman"/>
          <w:color w:val="000000"/>
          <w:sz w:val="24"/>
          <w:szCs w:val="24"/>
        </w:rPr>
        <w:t>we would grant their request.</w:t>
      </w:r>
    </w:p>
    <w:p w:rsidR="008809F2" w:rsidRPr="00C665F0" w:rsidRDefault="008809F2" w:rsidP="008809F2">
      <w:pPr>
        <w:autoSpaceDE w:val="0"/>
        <w:autoSpaceDN w:val="0"/>
        <w:spacing w:after="0" w:line="360" w:lineRule="auto"/>
        <w:rPr>
          <w:rFonts w:ascii="Times New Roman" w:hAnsi="Times New Roman" w:cs="Times New Roman"/>
          <w:sz w:val="24"/>
          <w:szCs w:val="24"/>
        </w:rPr>
      </w:pPr>
    </w:p>
    <w:p w:rsidR="008809F2" w:rsidRPr="00C665F0" w:rsidRDefault="008809F2" w:rsidP="008809F2">
      <w:pPr>
        <w:autoSpaceDE w:val="0"/>
        <w:autoSpaceDN w:val="0"/>
        <w:spacing w:after="0" w:line="360" w:lineRule="auto"/>
        <w:rPr>
          <w:rFonts w:ascii="Times New Roman" w:hAnsi="Times New Roman" w:cs="Times New Roman"/>
          <w:sz w:val="24"/>
          <w:szCs w:val="24"/>
        </w:rPr>
      </w:pPr>
      <w:r w:rsidRPr="00C665F0">
        <w:rPr>
          <w:rFonts w:ascii="Times New Roman" w:hAnsi="Times New Roman" w:cs="Times New Roman"/>
          <w:sz w:val="24"/>
          <w:szCs w:val="24"/>
        </w:rPr>
        <w:tab/>
      </w:r>
      <w:r w:rsidRPr="00C665F0">
        <w:rPr>
          <w:rFonts w:ascii="Times New Roman" w:hAnsi="Times New Roman" w:cs="Times New Roman"/>
          <w:sz w:val="24"/>
          <w:szCs w:val="24"/>
        </w:rPr>
        <w:tab/>
        <w:t>Consequently, on July 25, 2014, a Joint Petition for Complete Settlement (Joint Petition or Settlement) was filed and served.  Signatories to the Joint Petition include PECO, I&amp;E, OCA, and OSBA (collectively, settling parties or joint petitioners).  Each of the settling parties provided a Statement in Support appended to the Petition.  On the same date, PAIEUG filed a letter with the Secretary’s Bureau indicating that it had no opposition to the Joint Pet</w:t>
      </w:r>
      <w:r w:rsidR="00C6784B">
        <w:rPr>
          <w:rFonts w:ascii="Times New Roman" w:hAnsi="Times New Roman" w:cs="Times New Roman"/>
          <w:sz w:val="24"/>
          <w:szCs w:val="24"/>
        </w:rPr>
        <w:t>ition for Complete Settlement.</w:t>
      </w:r>
    </w:p>
    <w:p w:rsidR="008809F2" w:rsidRPr="00C665F0" w:rsidRDefault="008809F2" w:rsidP="008809F2">
      <w:pPr>
        <w:autoSpaceDE w:val="0"/>
        <w:autoSpaceDN w:val="0"/>
        <w:spacing w:after="0" w:line="360" w:lineRule="auto"/>
        <w:rPr>
          <w:rFonts w:ascii="Times New Roman" w:hAnsi="Times New Roman" w:cs="Times New Roman"/>
          <w:sz w:val="24"/>
          <w:szCs w:val="24"/>
        </w:rPr>
      </w:pPr>
    </w:p>
    <w:p w:rsidR="008809F2" w:rsidRPr="00C665F0" w:rsidRDefault="008809F2" w:rsidP="008809F2">
      <w:pPr>
        <w:widowControl w:val="0"/>
        <w:tabs>
          <w:tab w:val="left" w:pos="720"/>
        </w:tabs>
        <w:autoSpaceDE w:val="0"/>
        <w:autoSpaceDN w:val="0"/>
        <w:adjustRightInd w:val="0"/>
        <w:spacing w:after="0" w:line="360" w:lineRule="auto"/>
        <w:rPr>
          <w:rFonts w:ascii="Times New Roman" w:hAnsi="Times New Roman" w:cs="Times New Roman"/>
          <w:sz w:val="24"/>
          <w:szCs w:val="24"/>
        </w:rPr>
      </w:pPr>
      <w:r w:rsidRPr="00C665F0">
        <w:rPr>
          <w:rFonts w:ascii="Times New Roman" w:hAnsi="Times New Roman" w:cs="Times New Roman"/>
          <w:sz w:val="24"/>
          <w:szCs w:val="24"/>
        </w:rPr>
        <w:tab/>
      </w:r>
      <w:r w:rsidRPr="00C665F0">
        <w:rPr>
          <w:rFonts w:ascii="Times New Roman" w:hAnsi="Times New Roman" w:cs="Times New Roman"/>
          <w:sz w:val="24"/>
          <w:szCs w:val="24"/>
        </w:rPr>
        <w:tab/>
        <w:t>Also on July 25, 2014, the settling parties filed a Stipulation and Motion for Admission of Testimony and Exhibits.  The settling parties stipulated to the authenticity of the statements and exhibits listed in the Stipulation, waived the opportunity to conduct cross-examination and requested that the statements and exhibits be admitted into the record.  By Order Granting Motion to Admit Testi</w:t>
      </w:r>
      <w:r w:rsidR="009A7B69" w:rsidRPr="00C665F0">
        <w:rPr>
          <w:rFonts w:ascii="Times New Roman" w:hAnsi="Times New Roman" w:cs="Times New Roman"/>
          <w:sz w:val="24"/>
          <w:szCs w:val="24"/>
        </w:rPr>
        <w:t xml:space="preserve">mony and Exhibits dated August </w:t>
      </w:r>
      <w:r w:rsidR="00740E80" w:rsidRPr="00C665F0">
        <w:rPr>
          <w:rFonts w:ascii="Times New Roman" w:hAnsi="Times New Roman" w:cs="Times New Roman"/>
          <w:sz w:val="24"/>
          <w:szCs w:val="24"/>
        </w:rPr>
        <w:t>7</w:t>
      </w:r>
      <w:r w:rsidRPr="00C665F0">
        <w:rPr>
          <w:rFonts w:ascii="Times New Roman" w:hAnsi="Times New Roman" w:cs="Times New Roman"/>
          <w:sz w:val="24"/>
          <w:szCs w:val="24"/>
        </w:rPr>
        <w:t>, 2014, the Stipulation, statements and exhibits were admitted into the record of this proceeding.</w:t>
      </w:r>
    </w:p>
    <w:p w:rsidR="008809F2" w:rsidRPr="00C665F0" w:rsidRDefault="008809F2" w:rsidP="008809F2">
      <w:pPr>
        <w:autoSpaceDE w:val="0"/>
        <w:autoSpaceDN w:val="0"/>
        <w:spacing w:after="0" w:line="360" w:lineRule="auto"/>
        <w:rPr>
          <w:rFonts w:ascii="Times New Roman" w:hAnsi="Times New Roman" w:cs="Times New Roman"/>
          <w:sz w:val="24"/>
          <w:szCs w:val="24"/>
        </w:rPr>
      </w:pPr>
    </w:p>
    <w:p w:rsidR="008809F2" w:rsidRPr="00C665F0" w:rsidRDefault="008809F2" w:rsidP="008809F2">
      <w:pPr>
        <w:widowControl w:val="0"/>
        <w:tabs>
          <w:tab w:val="left" w:pos="720"/>
        </w:tabs>
        <w:autoSpaceDE w:val="0"/>
        <w:autoSpaceDN w:val="0"/>
        <w:adjustRightInd w:val="0"/>
        <w:spacing w:after="0" w:line="360" w:lineRule="auto"/>
        <w:rPr>
          <w:rFonts w:ascii="Times New Roman" w:hAnsi="Times New Roman" w:cs="Times New Roman"/>
          <w:sz w:val="24"/>
          <w:szCs w:val="24"/>
        </w:rPr>
      </w:pPr>
      <w:r w:rsidRPr="00C665F0">
        <w:rPr>
          <w:rFonts w:ascii="Times New Roman" w:hAnsi="Times New Roman" w:cs="Times New Roman"/>
          <w:sz w:val="24"/>
          <w:szCs w:val="24"/>
        </w:rPr>
        <w:tab/>
      </w:r>
      <w:r w:rsidRPr="00C665F0">
        <w:rPr>
          <w:rFonts w:ascii="Times New Roman" w:hAnsi="Times New Roman" w:cs="Times New Roman"/>
          <w:sz w:val="24"/>
          <w:szCs w:val="24"/>
        </w:rPr>
        <w:tab/>
        <w:t xml:space="preserve">The record in this proceeding consists of the transcript of the prehearing conference, PECO’s filing, the statements and exhibits sponsored by the parties (and the related Stipulation) which were admitted into the record </w:t>
      </w:r>
      <w:r w:rsidR="003F6BDB" w:rsidRPr="00C665F0">
        <w:rPr>
          <w:rFonts w:ascii="Times New Roman" w:hAnsi="Times New Roman" w:cs="Times New Roman"/>
          <w:sz w:val="24"/>
          <w:szCs w:val="24"/>
        </w:rPr>
        <w:t xml:space="preserve">through the August </w:t>
      </w:r>
      <w:r w:rsidR="00740E80" w:rsidRPr="00C665F0">
        <w:rPr>
          <w:rFonts w:ascii="Times New Roman" w:hAnsi="Times New Roman" w:cs="Times New Roman"/>
          <w:sz w:val="24"/>
          <w:szCs w:val="24"/>
        </w:rPr>
        <w:t>7</w:t>
      </w:r>
      <w:r w:rsidRPr="00C665F0">
        <w:rPr>
          <w:rFonts w:ascii="Times New Roman" w:hAnsi="Times New Roman" w:cs="Times New Roman"/>
          <w:sz w:val="24"/>
          <w:szCs w:val="24"/>
        </w:rPr>
        <w:t>, 2014 Order.  The Joint Petition for Complete Settlement, with its appendices, will be admitted into the record through this Recommended Decision.</w:t>
      </w:r>
    </w:p>
    <w:p w:rsidR="008809F2" w:rsidRPr="00C665F0" w:rsidRDefault="008809F2" w:rsidP="008809F2">
      <w:pPr>
        <w:widowControl w:val="0"/>
        <w:tabs>
          <w:tab w:val="left" w:pos="720"/>
        </w:tabs>
        <w:autoSpaceDE w:val="0"/>
        <w:autoSpaceDN w:val="0"/>
        <w:adjustRightInd w:val="0"/>
        <w:spacing w:after="0" w:line="360" w:lineRule="auto"/>
        <w:rPr>
          <w:rFonts w:ascii="Times New Roman" w:hAnsi="Times New Roman" w:cs="Times New Roman"/>
          <w:sz w:val="24"/>
          <w:szCs w:val="24"/>
        </w:rPr>
      </w:pPr>
    </w:p>
    <w:p w:rsidR="008809F2" w:rsidRPr="0055556F" w:rsidRDefault="008809F2" w:rsidP="00A51AE6">
      <w:pPr>
        <w:widowControl w:val="0"/>
        <w:tabs>
          <w:tab w:val="left" w:pos="720"/>
        </w:tabs>
        <w:autoSpaceDE w:val="0"/>
        <w:autoSpaceDN w:val="0"/>
        <w:adjustRightInd w:val="0"/>
        <w:spacing w:after="0" w:line="360" w:lineRule="auto"/>
        <w:rPr>
          <w:rFonts w:ascii="Times New Roman" w:hAnsi="Times New Roman" w:cs="Times New Roman"/>
          <w:sz w:val="24"/>
          <w:szCs w:val="24"/>
        </w:rPr>
      </w:pPr>
      <w:r w:rsidRPr="00C665F0">
        <w:rPr>
          <w:rFonts w:ascii="Times New Roman" w:hAnsi="Times New Roman" w:cs="Times New Roman"/>
          <w:sz w:val="24"/>
          <w:szCs w:val="24"/>
        </w:rPr>
        <w:tab/>
      </w:r>
      <w:r w:rsidRPr="00C665F0">
        <w:rPr>
          <w:rFonts w:ascii="Times New Roman" w:hAnsi="Times New Roman" w:cs="Times New Roman"/>
          <w:sz w:val="24"/>
          <w:szCs w:val="24"/>
        </w:rPr>
        <w:tab/>
        <w:t xml:space="preserve">The parties’ position is that the proposed settlement provides a fair, just and reasonable resolution of the 1307(f) issues, is supported by the record and is in the public interest.  We agree.  The settlement terms appear to be a fair and reasonable resolution of the various issues, and appropriately balance the interests of the company and its customers.  The parties, and the counsel representing them, are to be commended for their outstanding efforts and diligence in this proceeding.  </w:t>
      </w:r>
      <w:r w:rsidR="0055556F" w:rsidRPr="0055556F">
        <w:rPr>
          <w:rFonts w:ascii="Times New Roman" w:hAnsi="Times New Roman" w:cs="Times New Roman"/>
          <w:sz w:val="24"/>
          <w:szCs w:val="24"/>
        </w:rPr>
        <w:t>Therefore, we recommend that the Joint Petition b</w:t>
      </w:r>
      <w:r w:rsidR="0055556F">
        <w:rPr>
          <w:rFonts w:ascii="Times New Roman" w:hAnsi="Times New Roman" w:cs="Times New Roman"/>
          <w:sz w:val="24"/>
          <w:szCs w:val="24"/>
        </w:rPr>
        <w:t>e approved without modification</w:t>
      </w:r>
      <w:r w:rsidRPr="0055556F">
        <w:rPr>
          <w:rFonts w:ascii="Times New Roman" w:hAnsi="Times New Roman" w:cs="Times New Roman"/>
          <w:sz w:val="24"/>
          <w:szCs w:val="24"/>
        </w:rPr>
        <w:t>.</w:t>
      </w:r>
      <w:r w:rsidRPr="0055556F">
        <w:rPr>
          <w:rFonts w:ascii="Times New Roman" w:hAnsi="Times New Roman" w:cs="Times New Roman"/>
          <w:sz w:val="24"/>
          <w:szCs w:val="24"/>
          <w:vertAlign w:val="superscript"/>
        </w:rPr>
        <w:footnoteReference w:id="1"/>
      </w:r>
    </w:p>
    <w:p w:rsidR="00784ADC" w:rsidRDefault="00784ADC" w:rsidP="00A51AE6">
      <w:pPr>
        <w:autoSpaceDE w:val="0"/>
        <w:autoSpaceDN w:val="0"/>
        <w:spacing w:after="0" w:line="360" w:lineRule="auto"/>
        <w:jc w:val="center"/>
        <w:rPr>
          <w:rFonts w:ascii="Times New Roman" w:eastAsia="Times New Roman" w:hAnsi="Times New Roman" w:cs="Times New Roman"/>
          <w:sz w:val="24"/>
          <w:szCs w:val="24"/>
        </w:rPr>
      </w:pPr>
    </w:p>
    <w:p w:rsidR="00E41C21" w:rsidRPr="00C665F0" w:rsidRDefault="00E41C21" w:rsidP="00E41C21">
      <w:pPr>
        <w:autoSpaceDE w:val="0"/>
        <w:autoSpaceDN w:val="0"/>
        <w:spacing w:after="0" w:line="360" w:lineRule="auto"/>
        <w:jc w:val="center"/>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II.</w:t>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u w:val="single"/>
        </w:rPr>
        <w:t>FINDINGS OF FACT</w:t>
      </w:r>
      <w:r>
        <w:rPr>
          <w:rFonts w:ascii="Times New Roman" w:eastAsia="Times New Roman" w:hAnsi="Times New Roman" w:cs="Times New Roman"/>
          <w:sz w:val="24"/>
          <w:szCs w:val="24"/>
          <w:u w:val="single"/>
        </w:rPr>
        <w:fldChar w:fldCharType="begin"/>
      </w:r>
      <w:r>
        <w:instrText xml:space="preserve"> TC "</w:instrText>
      </w:r>
      <w:r w:rsidRPr="00675577">
        <w:rPr>
          <w:rFonts w:ascii="Times New Roman" w:eastAsia="Times New Roman" w:hAnsi="Times New Roman" w:cs="Times New Roman"/>
          <w:sz w:val="24"/>
          <w:szCs w:val="24"/>
        </w:rPr>
        <w:instrText>III.</w:instrText>
      </w:r>
      <w:r w:rsidRPr="00675577">
        <w:rPr>
          <w:rFonts w:ascii="Times New Roman" w:eastAsia="Times New Roman" w:hAnsi="Times New Roman" w:cs="Times New Roman"/>
          <w:sz w:val="24"/>
          <w:szCs w:val="24"/>
        </w:rPr>
        <w:tab/>
      </w:r>
      <w:r w:rsidRPr="00675577">
        <w:rPr>
          <w:rFonts w:ascii="Times New Roman" w:eastAsia="Times New Roman" w:hAnsi="Times New Roman" w:cs="Times New Roman"/>
          <w:sz w:val="24"/>
          <w:szCs w:val="24"/>
          <w:u w:val="single"/>
        </w:rPr>
        <w:instrText>FINDINGS OF FACT</w:instrText>
      </w:r>
      <w:r>
        <w:instrText xml:space="preserve">" \f C \l "1" </w:instrText>
      </w:r>
      <w:r>
        <w:rPr>
          <w:rFonts w:ascii="Times New Roman" w:eastAsia="Times New Roman" w:hAnsi="Times New Roman" w:cs="Times New Roman"/>
          <w:sz w:val="24"/>
          <w:szCs w:val="24"/>
          <w:u w:val="single"/>
        </w:rPr>
        <w:fldChar w:fldCharType="end"/>
      </w:r>
    </w:p>
    <w:p w:rsidR="00E41C21" w:rsidRPr="00C665F0" w:rsidRDefault="00E41C21" w:rsidP="00E41C21">
      <w:pPr>
        <w:autoSpaceDE w:val="0"/>
        <w:autoSpaceDN w:val="0"/>
        <w:spacing w:after="0" w:line="360" w:lineRule="auto"/>
        <w:rPr>
          <w:rFonts w:ascii="Times New Roman" w:eastAsia="Times New Roman" w:hAnsi="Times New Roman" w:cs="Times New Roman"/>
          <w:sz w:val="24"/>
          <w:szCs w:val="24"/>
        </w:rPr>
      </w:pPr>
    </w:p>
    <w:p w:rsidR="00E41C21" w:rsidRPr="00C665F0" w:rsidRDefault="00E41C21" w:rsidP="00E41C21">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We are adopting the following findings of fact that were included in the Joint Petition:</w:t>
      </w:r>
    </w:p>
    <w:p w:rsidR="00E41C21" w:rsidRPr="00C665F0" w:rsidRDefault="00E41C21" w:rsidP="00E41C21">
      <w:pPr>
        <w:autoSpaceDE w:val="0"/>
        <w:autoSpaceDN w:val="0"/>
        <w:spacing w:after="0" w:line="360" w:lineRule="auto"/>
        <w:rPr>
          <w:rFonts w:ascii="Times New Roman" w:eastAsia="Times New Roman" w:hAnsi="Times New Roman" w:cs="Times New Roman"/>
          <w:sz w:val="24"/>
          <w:szCs w:val="24"/>
        </w:rPr>
      </w:pPr>
    </w:p>
    <w:p w:rsidR="00E41C21" w:rsidRPr="00C665F0" w:rsidRDefault="00E41C21" w:rsidP="00E41C21">
      <w:pPr>
        <w:pStyle w:val="TabbedL2"/>
        <w:numPr>
          <w:ilvl w:val="1"/>
          <w:numId w:val="2"/>
        </w:numPr>
        <w:spacing w:after="0" w:line="360" w:lineRule="auto"/>
        <w:ind w:firstLine="1440"/>
        <w:rPr>
          <w:szCs w:val="24"/>
        </w:rPr>
      </w:pPr>
      <w:r w:rsidRPr="00C665F0">
        <w:rPr>
          <w:szCs w:val="24"/>
        </w:rPr>
        <w:t>PECO operates a natural gas distribution system in the southeastern portion of Pennsylvania subject to the jurisdiction of the Commission (PECO St. 5, p. 5).</w:t>
      </w:r>
    </w:p>
    <w:p w:rsidR="00E41C21" w:rsidRPr="00C665F0" w:rsidRDefault="00E41C21" w:rsidP="00E41C21">
      <w:pPr>
        <w:pStyle w:val="TabbedL2"/>
        <w:numPr>
          <w:ilvl w:val="0"/>
          <w:numId w:val="0"/>
        </w:numPr>
        <w:spacing w:after="0" w:line="360" w:lineRule="auto"/>
        <w:ind w:left="1440"/>
        <w:rPr>
          <w:szCs w:val="24"/>
        </w:rPr>
      </w:pPr>
    </w:p>
    <w:p w:rsidR="00E41C21" w:rsidRPr="00C665F0" w:rsidRDefault="00E41C21" w:rsidP="00E41C21">
      <w:pPr>
        <w:pStyle w:val="TabbedL2"/>
        <w:numPr>
          <w:ilvl w:val="1"/>
          <w:numId w:val="2"/>
        </w:numPr>
        <w:spacing w:after="0" w:line="360" w:lineRule="auto"/>
        <w:ind w:firstLine="1440"/>
        <w:rPr>
          <w:szCs w:val="24"/>
        </w:rPr>
      </w:pPr>
      <w:r w:rsidRPr="00C665F0">
        <w:rPr>
          <w:szCs w:val="24"/>
        </w:rPr>
        <w:t>PECO’s gas purchasing policy is designed to achieve a reasonable balance of long and short-term gas purchases that assures system supply reliability at the least cost (PECO St. 5, pp. 11-18).</w:t>
      </w:r>
    </w:p>
    <w:p w:rsidR="00E41C21" w:rsidRPr="00C665F0" w:rsidRDefault="00E41C21" w:rsidP="00E41C21">
      <w:pPr>
        <w:pStyle w:val="TabbedL2"/>
        <w:numPr>
          <w:ilvl w:val="0"/>
          <w:numId w:val="0"/>
        </w:numPr>
        <w:spacing w:after="0" w:line="360" w:lineRule="auto"/>
        <w:rPr>
          <w:szCs w:val="24"/>
        </w:rPr>
      </w:pPr>
    </w:p>
    <w:p w:rsidR="00E41C21" w:rsidRPr="00C665F0" w:rsidRDefault="00E41C21" w:rsidP="00E41C21">
      <w:pPr>
        <w:pStyle w:val="TabbedL2"/>
        <w:numPr>
          <w:ilvl w:val="1"/>
          <w:numId w:val="2"/>
        </w:numPr>
        <w:spacing w:after="0" w:line="360" w:lineRule="auto"/>
        <w:ind w:firstLine="1440"/>
        <w:rPr>
          <w:szCs w:val="24"/>
        </w:rPr>
      </w:pPr>
      <w:r w:rsidRPr="00C665F0">
        <w:rPr>
          <w:szCs w:val="24"/>
        </w:rPr>
        <w:t>The details of PECO’s actual gas purchases for the twelve months ended March 31, 2014 are presented in Section 1 of PECO’s Advance Filing (PECO Adv. Filing § 1).</w:t>
      </w:r>
    </w:p>
    <w:p w:rsidR="00E41C21" w:rsidRPr="00C665F0" w:rsidRDefault="00E41C21" w:rsidP="00E41C21">
      <w:pPr>
        <w:pStyle w:val="TabbedL2"/>
        <w:numPr>
          <w:ilvl w:val="0"/>
          <w:numId w:val="0"/>
        </w:numPr>
        <w:spacing w:after="0" w:line="360" w:lineRule="auto"/>
        <w:rPr>
          <w:szCs w:val="24"/>
        </w:rPr>
      </w:pPr>
    </w:p>
    <w:p w:rsidR="00E41C21" w:rsidRPr="00C665F0" w:rsidRDefault="00E41C21" w:rsidP="00E41C21">
      <w:pPr>
        <w:pStyle w:val="TabbedL2"/>
        <w:numPr>
          <w:ilvl w:val="1"/>
          <w:numId w:val="2"/>
        </w:numPr>
        <w:spacing w:after="0" w:line="360" w:lineRule="auto"/>
        <w:ind w:firstLine="1440"/>
        <w:rPr>
          <w:szCs w:val="24"/>
        </w:rPr>
      </w:pPr>
      <w:r w:rsidRPr="00C665F0">
        <w:rPr>
          <w:szCs w:val="24"/>
        </w:rPr>
        <w:t>PECO receives almost all of its gas supply directly into its distribution system from Texas Eastern Transmission, LP (“Texas Eastern”), Transcontinental Gas Pipe Line Corporation (“Transco”), and Eastern Shore Natural Gas Company (PECO St. 5, pp. 5-6).  Evidence of record shows that firm transportation contracts with these pipelines provide PECO the ability to purchase gas supplies directly from producers and marketers and to use firm transportation capacity on the pipelines for delivery of the gas to PECO (PECO St. 5, pp. 5-6,</w:t>
      </w:r>
      <w:r>
        <w:rPr>
          <w:szCs w:val="24"/>
        </w:rPr>
        <w:t> </w:t>
      </w:r>
      <w:r w:rsidRPr="00C665F0">
        <w:rPr>
          <w:szCs w:val="24"/>
        </w:rPr>
        <w:t>13-18; PECO Adv. Filing §§ 2, 3 and 8).  PECO also obtains upstream transportation and natural gas storage services from Dominion Transmission, Inc. (“DTI”) and Panhandle Eastern Pipe Line Company (“PEPL”) (PECO St. 5, pp. 5-6).  Evidence of record shows that PECO has purchased all of its requirements on competitive terms (PECO St. 5, pp. 6-10).</w:t>
      </w:r>
    </w:p>
    <w:p w:rsidR="00E41C21" w:rsidRPr="00C665F0" w:rsidRDefault="00E41C21" w:rsidP="00E41C21">
      <w:pPr>
        <w:pStyle w:val="TabbedL2"/>
        <w:numPr>
          <w:ilvl w:val="0"/>
          <w:numId w:val="0"/>
        </w:numPr>
        <w:spacing w:after="0" w:line="360" w:lineRule="auto"/>
        <w:ind w:left="1440"/>
        <w:rPr>
          <w:szCs w:val="24"/>
        </w:rPr>
      </w:pPr>
    </w:p>
    <w:p w:rsidR="00E41C21" w:rsidRPr="00C665F0" w:rsidRDefault="00E41C21" w:rsidP="00E41C21">
      <w:pPr>
        <w:pStyle w:val="TabbedL2"/>
        <w:numPr>
          <w:ilvl w:val="1"/>
          <w:numId w:val="2"/>
        </w:numPr>
        <w:spacing w:after="0" w:line="360" w:lineRule="auto"/>
        <w:ind w:firstLine="1440"/>
        <w:rPr>
          <w:szCs w:val="24"/>
        </w:rPr>
      </w:pPr>
      <w:r w:rsidRPr="00C665F0">
        <w:rPr>
          <w:szCs w:val="24"/>
        </w:rPr>
        <w:t>PECO participated in significant rulemaking, rate and certificate proceedings before the Federal Energy Regulatory Commission (“FERC”) concerning interstate natural gas pipeline company rates and conditions of service that affect its costs and, therefore, its customers’ costs.  PECO also participated in major FERC proceedings of the interstate pipelines from which it receives transportation and storage service (PECO Adv. Filing § 5).</w:t>
      </w:r>
    </w:p>
    <w:p w:rsidR="00E41C21" w:rsidRPr="00C665F0" w:rsidRDefault="00E41C21" w:rsidP="00E41C21">
      <w:pPr>
        <w:pStyle w:val="TabbedL2"/>
        <w:numPr>
          <w:ilvl w:val="0"/>
          <w:numId w:val="0"/>
        </w:numPr>
        <w:spacing w:after="0" w:line="360" w:lineRule="auto"/>
        <w:rPr>
          <w:szCs w:val="24"/>
        </w:rPr>
      </w:pPr>
    </w:p>
    <w:p w:rsidR="00E41C21" w:rsidRPr="00C665F0" w:rsidRDefault="00E41C21" w:rsidP="00E41C21">
      <w:pPr>
        <w:pStyle w:val="TabbedL2"/>
        <w:numPr>
          <w:ilvl w:val="1"/>
          <w:numId w:val="2"/>
        </w:numPr>
        <w:spacing w:after="0" w:line="360" w:lineRule="auto"/>
        <w:ind w:firstLine="1440"/>
        <w:rPr>
          <w:szCs w:val="24"/>
        </w:rPr>
      </w:pPr>
      <w:r w:rsidRPr="00C665F0">
        <w:rPr>
          <w:szCs w:val="24"/>
        </w:rPr>
        <w:t>In the past year, PECO renewed several storage and transportation service agreements, after unsuccessfully soliciting competitive alternatives (PECO St. 5, pp. 22-26).  Also, PECO terminated an upstream transportation contract and a natural gas storage contract with PEPL, effective March 31, 2015, that are no longer needed because of the availability of gas from Marcellus Shale gas-producing areas adjacent to PECO’s existing receipt points in M2 (PECO St. 5, pp. 29-30).  In addition, due to elimination of the PEPL contracts, PECO will terminate an LLFT contract with Texas Eastern, effective October</w:t>
      </w:r>
      <w:r>
        <w:rPr>
          <w:szCs w:val="24"/>
        </w:rPr>
        <w:t xml:space="preserve"> 31, 2015 (PECO St. 5, p. 30).</w:t>
      </w:r>
    </w:p>
    <w:p w:rsidR="00E41C21" w:rsidRPr="00C665F0" w:rsidRDefault="00E41C21" w:rsidP="00E41C21">
      <w:pPr>
        <w:pStyle w:val="TabbedL2"/>
        <w:numPr>
          <w:ilvl w:val="1"/>
          <w:numId w:val="2"/>
        </w:numPr>
        <w:spacing w:after="0" w:line="360" w:lineRule="auto"/>
        <w:ind w:firstLine="1440"/>
        <w:rPr>
          <w:szCs w:val="24"/>
        </w:rPr>
      </w:pPr>
      <w:r w:rsidRPr="00C665F0">
        <w:rPr>
          <w:szCs w:val="24"/>
        </w:rPr>
        <w:t>During the past year, PECO did not enter into any new transportation or storage contracts (PECO St. 5, p. 29).</w:t>
      </w:r>
    </w:p>
    <w:p w:rsidR="00E41C21" w:rsidRPr="00C665F0" w:rsidRDefault="00E41C21" w:rsidP="00E41C21">
      <w:pPr>
        <w:pStyle w:val="TabbedL2"/>
        <w:numPr>
          <w:ilvl w:val="0"/>
          <w:numId w:val="0"/>
        </w:numPr>
        <w:spacing w:after="0" w:line="360" w:lineRule="auto"/>
        <w:rPr>
          <w:szCs w:val="24"/>
        </w:rPr>
      </w:pPr>
    </w:p>
    <w:p w:rsidR="00E41C21" w:rsidRPr="00C665F0" w:rsidRDefault="00E41C21" w:rsidP="00E41C21">
      <w:pPr>
        <w:pStyle w:val="TabbedL2"/>
        <w:numPr>
          <w:ilvl w:val="1"/>
          <w:numId w:val="2"/>
        </w:numPr>
        <w:spacing w:after="0" w:line="360" w:lineRule="auto"/>
        <w:ind w:firstLine="1440"/>
        <w:rPr>
          <w:szCs w:val="24"/>
        </w:rPr>
      </w:pPr>
      <w:r w:rsidRPr="00C665F0">
        <w:rPr>
          <w:szCs w:val="24"/>
        </w:rPr>
        <w:t>During the historic reconciliation period, PECO did not purchase gas from any affiliated interest (PECO St. 5, p. 7).</w:t>
      </w:r>
    </w:p>
    <w:p w:rsidR="00E41C21" w:rsidRPr="00C665F0" w:rsidRDefault="00E41C21" w:rsidP="00E41C21">
      <w:pPr>
        <w:pStyle w:val="TabbedL2"/>
        <w:numPr>
          <w:ilvl w:val="0"/>
          <w:numId w:val="0"/>
        </w:numPr>
        <w:spacing w:after="0" w:line="360" w:lineRule="auto"/>
        <w:ind w:firstLine="720"/>
        <w:rPr>
          <w:szCs w:val="24"/>
        </w:rPr>
      </w:pPr>
    </w:p>
    <w:p w:rsidR="00E41C21" w:rsidRPr="00C665F0" w:rsidRDefault="00E41C21" w:rsidP="00E41C21">
      <w:pPr>
        <w:pStyle w:val="TabbedL2"/>
        <w:numPr>
          <w:ilvl w:val="1"/>
          <w:numId w:val="2"/>
        </w:numPr>
        <w:spacing w:after="0" w:line="360" w:lineRule="auto"/>
        <w:ind w:firstLine="1440"/>
        <w:rPr>
          <w:szCs w:val="24"/>
        </w:rPr>
      </w:pPr>
      <w:r w:rsidRPr="00C665F0">
        <w:rPr>
          <w:szCs w:val="24"/>
        </w:rPr>
        <w:t>PECO did not withhold supplies or capacit</w:t>
      </w:r>
      <w:r>
        <w:rPr>
          <w:szCs w:val="24"/>
        </w:rPr>
        <w:t>y from the market (PECO St. 5, p. 7).</w:t>
      </w:r>
    </w:p>
    <w:p w:rsidR="00E41C21" w:rsidRPr="00C665F0" w:rsidRDefault="00E41C21" w:rsidP="00E41C21">
      <w:pPr>
        <w:pStyle w:val="TabbedL2"/>
        <w:numPr>
          <w:ilvl w:val="0"/>
          <w:numId w:val="0"/>
        </w:numPr>
        <w:spacing w:after="0" w:line="360" w:lineRule="auto"/>
        <w:ind w:left="1440"/>
        <w:rPr>
          <w:szCs w:val="24"/>
        </w:rPr>
      </w:pPr>
    </w:p>
    <w:p w:rsidR="00E41C21" w:rsidRPr="00C665F0" w:rsidRDefault="00E41C21" w:rsidP="00E41C21">
      <w:pPr>
        <w:pStyle w:val="TabbedL2"/>
        <w:numPr>
          <w:ilvl w:val="1"/>
          <w:numId w:val="2"/>
        </w:numPr>
        <w:spacing w:after="0" w:line="360" w:lineRule="auto"/>
        <w:ind w:firstLine="1440"/>
        <w:rPr>
          <w:szCs w:val="24"/>
        </w:rPr>
      </w:pPr>
      <w:r w:rsidRPr="00C665F0">
        <w:rPr>
          <w:szCs w:val="24"/>
        </w:rPr>
        <w:t>Projected gas costs, as reflected in this Settlement, are based on peak-day capacity requirements at a 0 degree design day temperature, as fully set forth in the record (PECO Adv. F</w:t>
      </w:r>
      <w:r>
        <w:rPr>
          <w:szCs w:val="24"/>
        </w:rPr>
        <w:t>iling § 16; PECO St. 5, p. 10).</w:t>
      </w:r>
    </w:p>
    <w:p w:rsidR="00E41C21" w:rsidRPr="00C665F0" w:rsidRDefault="00E41C21" w:rsidP="00A51AE6">
      <w:pPr>
        <w:autoSpaceDE w:val="0"/>
        <w:autoSpaceDN w:val="0"/>
        <w:spacing w:after="0" w:line="360" w:lineRule="auto"/>
        <w:jc w:val="center"/>
        <w:rPr>
          <w:rFonts w:ascii="Times New Roman" w:eastAsia="Times New Roman" w:hAnsi="Times New Roman" w:cs="Times New Roman"/>
          <w:sz w:val="24"/>
          <w:szCs w:val="24"/>
        </w:rPr>
      </w:pPr>
    </w:p>
    <w:p w:rsidR="009531EF" w:rsidRPr="00C665F0" w:rsidRDefault="009531EF" w:rsidP="00A51AE6">
      <w:pPr>
        <w:autoSpaceDE w:val="0"/>
        <w:autoSpaceDN w:val="0"/>
        <w:spacing w:after="0" w:line="360" w:lineRule="auto"/>
        <w:jc w:val="center"/>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I</w:t>
      </w:r>
      <w:r w:rsidR="00E41C21">
        <w:rPr>
          <w:rFonts w:ascii="Times New Roman" w:eastAsia="Times New Roman" w:hAnsi="Times New Roman" w:cs="Times New Roman"/>
          <w:sz w:val="24"/>
          <w:szCs w:val="24"/>
        </w:rPr>
        <w:t>I</w:t>
      </w:r>
      <w:r w:rsidRPr="00C665F0">
        <w:rPr>
          <w:rFonts w:ascii="Times New Roman" w:eastAsia="Times New Roman" w:hAnsi="Times New Roman" w:cs="Times New Roman"/>
          <w:sz w:val="24"/>
          <w:szCs w:val="24"/>
        </w:rPr>
        <w:t>I.</w:t>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u w:val="single"/>
        </w:rPr>
        <w:t>THE PROPOSED SETTLEMENT</w:t>
      </w:r>
      <w:r w:rsidR="00E76147">
        <w:rPr>
          <w:rFonts w:ascii="Times New Roman" w:eastAsia="Times New Roman" w:hAnsi="Times New Roman" w:cs="Times New Roman"/>
          <w:sz w:val="24"/>
          <w:szCs w:val="24"/>
          <w:u w:val="single"/>
        </w:rPr>
        <w:fldChar w:fldCharType="begin"/>
      </w:r>
      <w:r w:rsidR="00E76147">
        <w:instrText xml:space="preserve"> TC "</w:instrText>
      </w:r>
      <w:r w:rsidR="00E76147" w:rsidRPr="00675577">
        <w:rPr>
          <w:rFonts w:ascii="Times New Roman" w:eastAsia="Times New Roman" w:hAnsi="Times New Roman" w:cs="Times New Roman"/>
          <w:sz w:val="24"/>
          <w:szCs w:val="24"/>
        </w:rPr>
        <w:instrText>II.</w:instrText>
      </w:r>
      <w:r w:rsidR="00E76147" w:rsidRPr="00675577">
        <w:rPr>
          <w:rFonts w:ascii="Times New Roman" w:eastAsia="Times New Roman" w:hAnsi="Times New Roman" w:cs="Times New Roman"/>
          <w:sz w:val="24"/>
          <w:szCs w:val="24"/>
        </w:rPr>
        <w:tab/>
      </w:r>
      <w:r w:rsidR="00E76147" w:rsidRPr="00675577">
        <w:rPr>
          <w:rFonts w:ascii="Times New Roman" w:eastAsia="Times New Roman" w:hAnsi="Times New Roman" w:cs="Times New Roman"/>
          <w:sz w:val="24"/>
          <w:szCs w:val="24"/>
          <w:u w:val="single"/>
        </w:rPr>
        <w:instrText>THE PROPOSED SETTLEMENT</w:instrText>
      </w:r>
      <w:r w:rsidR="00E76147">
        <w:instrText xml:space="preserve">" \f C \l "1" </w:instrText>
      </w:r>
      <w:r w:rsidR="00E76147">
        <w:rPr>
          <w:rFonts w:ascii="Times New Roman" w:eastAsia="Times New Roman" w:hAnsi="Times New Roman" w:cs="Times New Roman"/>
          <w:sz w:val="24"/>
          <w:szCs w:val="24"/>
          <w:u w:val="single"/>
        </w:rPr>
        <w:fldChar w:fldCharType="end"/>
      </w:r>
    </w:p>
    <w:p w:rsidR="009531EF" w:rsidRPr="00C665F0" w:rsidRDefault="009531EF" w:rsidP="00A51AE6">
      <w:pPr>
        <w:autoSpaceDE w:val="0"/>
        <w:autoSpaceDN w:val="0"/>
        <w:spacing w:after="0" w:line="360" w:lineRule="auto"/>
        <w:rPr>
          <w:rFonts w:ascii="Times New Roman" w:eastAsia="Times New Roman" w:hAnsi="Times New Roman" w:cs="Times New Roman"/>
          <w:sz w:val="24"/>
          <w:szCs w:val="24"/>
        </w:rPr>
      </w:pPr>
    </w:p>
    <w:p w:rsidR="009531EF" w:rsidRPr="00C665F0" w:rsidRDefault="009531EF" w:rsidP="00A51AE6">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 xml:space="preserve">The Joint Petition for Complete Settlement is a document signed by the Company, OCA, </w:t>
      </w:r>
      <w:r w:rsidR="00E600E0" w:rsidRPr="00C665F0">
        <w:rPr>
          <w:rFonts w:ascii="Times New Roman" w:eastAsia="Times New Roman" w:hAnsi="Times New Roman" w:cs="Times New Roman"/>
          <w:sz w:val="24"/>
          <w:szCs w:val="24"/>
        </w:rPr>
        <w:t>OSBA and I&amp;E</w:t>
      </w:r>
      <w:r w:rsidRPr="00C665F0">
        <w:rPr>
          <w:rFonts w:ascii="Times New Roman" w:eastAsia="Times New Roman" w:hAnsi="Times New Roman" w:cs="Times New Roman"/>
          <w:sz w:val="24"/>
          <w:szCs w:val="24"/>
        </w:rPr>
        <w:t xml:space="preserve">.  Appendix A of the Joint Petition contains the rates and underlying cost data resulting from the settlement that are applicable to the Commodity Charge (CC), the Gas Cost Adjustment Charge (GCA), the Balancing Service Charge (BSC) and the Balancing Charge (BC).  Appendix B is the pro forma tariff page showing the changes to the firm and interruptible supply reservation charges for Rate CGS (City Gate Sales Services).  Appendix C </w:t>
      </w:r>
      <w:r w:rsidR="00E600E0" w:rsidRPr="00C665F0">
        <w:rPr>
          <w:rFonts w:ascii="Times New Roman" w:eastAsia="Times New Roman" w:hAnsi="Times New Roman" w:cs="Times New Roman"/>
          <w:sz w:val="24"/>
          <w:szCs w:val="24"/>
        </w:rPr>
        <w:t xml:space="preserve">is the pro forma tariff pages showing the changes to the Retainage Volume Adjustment Rate.  Appendix D </w:t>
      </w:r>
      <w:r w:rsidRPr="00C665F0">
        <w:rPr>
          <w:rFonts w:ascii="Times New Roman" w:eastAsia="Times New Roman" w:hAnsi="Times New Roman" w:cs="Times New Roman"/>
          <w:sz w:val="24"/>
          <w:szCs w:val="24"/>
        </w:rPr>
        <w:t xml:space="preserve">contains basic terms and conditions of the Request for Proposals (RFP) for a Three-Year Fixed Price Contract as it relates to PECO’s Hedging Program.  Appendix E is PECO’s Statement in Support.  Appendix F is I&amp;E’s Statement in Support.  Appendix G is OCA’s Statement in Support and Appendix H </w:t>
      </w:r>
      <w:r w:rsidR="00C66643" w:rsidRPr="00C665F0">
        <w:rPr>
          <w:rFonts w:ascii="Times New Roman" w:eastAsia="Times New Roman" w:hAnsi="Times New Roman" w:cs="Times New Roman"/>
          <w:sz w:val="24"/>
          <w:szCs w:val="24"/>
        </w:rPr>
        <w:t>is OSBA</w:t>
      </w:r>
      <w:r w:rsidRPr="00C665F0">
        <w:rPr>
          <w:rFonts w:ascii="Times New Roman" w:eastAsia="Times New Roman" w:hAnsi="Times New Roman" w:cs="Times New Roman"/>
          <w:sz w:val="24"/>
          <w:szCs w:val="24"/>
        </w:rPr>
        <w:t>’s Statement in Support.</w:t>
      </w:r>
    </w:p>
    <w:p w:rsidR="009531EF" w:rsidRPr="00C665F0" w:rsidRDefault="009531EF" w:rsidP="009531EF">
      <w:pPr>
        <w:autoSpaceDE w:val="0"/>
        <w:autoSpaceDN w:val="0"/>
        <w:spacing w:after="0" w:line="360" w:lineRule="auto"/>
        <w:rPr>
          <w:rFonts w:ascii="Times New Roman" w:eastAsia="Times New Roman" w:hAnsi="Times New Roman" w:cs="Times New Roman"/>
          <w:sz w:val="24"/>
          <w:szCs w:val="24"/>
        </w:rPr>
      </w:pPr>
    </w:p>
    <w:p w:rsidR="009531EF" w:rsidRPr="00C665F0" w:rsidRDefault="009531EF" w:rsidP="009531EF">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 xml:space="preserve">The </w:t>
      </w:r>
      <w:r w:rsidRPr="00C665F0">
        <w:rPr>
          <w:rFonts w:ascii="Times New Roman" w:eastAsia="Times New Roman" w:hAnsi="Times New Roman" w:cs="Times New Roman"/>
          <w:spacing w:val="-3"/>
          <w:sz w:val="24"/>
          <w:szCs w:val="24"/>
        </w:rPr>
        <w:t>principal terms and conditions</w:t>
      </w:r>
      <w:r w:rsidRPr="00C665F0">
        <w:rPr>
          <w:rFonts w:ascii="Times New Roman" w:eastAsia="Times New Roman" w:hAnsi="Times New Roman" w:cs="Times New Roman"/>
          <w:sz w:val="24"/>
          <w:szCs w:val="24"/>
        </w:rPr>
        <w:t xml:space="preserve"> of the proposed settlement, contained in</w:t>
      </w:r>
      <w:r w:rsidR="00C66643" w:rsidRPr="00C665F0">
        <w:rPr>
          <w:rFonts w:ascii="Times New Roman" w:eastAsia="Times New Roman" w:hAnsi="Times New Roman" w:cs="Times New Roman"/>
          <w:sz w:val="24"/>
          <w:szCs w:val="24"/>
        </w:rPr>
        <w:t xml:space="preserve"> Paragraphs 16-21</w:t>
      </w:r>
      <w:r w:rsidRPr="00C665F0">
        <w:rPr>
          <w:rFonts w:ascii="Times New Roman" w:eastAsia="Times New Roman" w:hAnsi="Times New Roman" w:cs="Times New Roman"/>
          <w:sz w:val="24"/>
          <w:szCs w:val="24"/>
        </w:rPr>
        <w:t>, Section III of the Joint Petition, are as follow</w:t>
      </w:r>
      <w:r w:rsidR="00A51AE6">
        <w:rPr>
          <w:rFonts w:ascii="Times New Roman" w:eastAsia="Times New Roman" w:hAnsi="Times New Roman" w:cs="Times New Roman"/>
          <w:sz w:val="24"/>
          <w:szCs w:val="24"/>
        </w:rPr>
        <w:t>s</w:t>
      </w:r>
      <w:r w:rsidRPr="00C665F0">
        <w:rPr>
          <w:rFonts w:ascii="Times New Roman" w:eastAsia="Times New Roman" w:hAnsi="Times New Roman" w:cs="Times New Roman"/>
          <w:sz w:val="24"/>
          <w:szCs w:val="24"/>
        </w:rPr>
        <w:t>:</w:t>
      </w:r>
    </w:p>
    <w:p w:rsidR="00C66643" w:rsidRDefault="00C66643" w:rsidP="009531EF">
      <w:pPr>
        <w:autoSpaceDE w:val="0"/>
        <w:autoSpaceDN w:val="0"/>
        <w:spacing w:after="0" w:line="360" w:lineRule="auto"/>
        <w:rPr>
          <w:rFonts w:ascii="Times New Roman" w:eastAsia="Times New Roman" w:hAnsi="Times New Roman" w:cs="Times New Roman"/>
          <w:b/>
          <w:sz w:val="24"/>
          <w:szCs w:val="24"/>
        </w:rPr>
      </w:pPr>
    </w:p>
    <w:p w:rsidR="00824CBC" w:rsidRPr="00C665F0" w:rsidRDefault="00824CBC" w:rsidP="009531EF">
      <w:pPr>
        <w:autoSpaceDE w:val="0"/>
        <w:autoSpaceDN w:val="0"/>
        <w:spacing w:after="0" w:line="360" w:lineRule="auto"/>
        <w:rPr>
          <w:rFonts w:ascii="Times New Roman" w:eastAsia="Times New Roman" w:hAnsi="Times New Roman" w:cs="Times New Roman"/>
          <w:b/>
          <w:sz w:val="24"/>
          <w:szCs w:val="24"/>
        </w:rPr>
      </w:pPr>
    </w:p>
    <w:p w:rsidR="00C66643" w:rsidRPr="00C665F0" w:rsidRDefault="00C66643" w:rsidP="009344B4">
      <w:pPr>
        <w:pStyle w:val="TabbedL2"/>
        <w:spacing w:after="0" w:line="360" w:lineRule="auto"/>
        <w:ind w:left="720"/>
        <w:rPr>
          <w:b/>
          <w:szCs w:val="24"/>
        </w:rPr>
      </w:pPr>
      <w:r w:rsidRPr="00C665F0">
        <w:rPr>
          <w:b/>
          <w:szCs w:val="24"/>
        </w:rPr>
        <w:t>Purchased Gas Cost Rates</w:t>
      </w:r>
    </w:p>
    <w:p w:rsidR="00C66643" w:rsidRPr="00C665F0" w:rsidRDefault="00C66643" w:rsidP="009344B4">
      <w:pPr>
        <w:pStyle w:val="TabbedL2"/>
        <w:numPr>
          <w:ilvl w:val="0"/>
          <w:numId w:val="0"/>
        </w:numPr>
        <w:spacing w:after="0" w:line="360" w:lineRule="auto"/>
        <w:ind w:left="720" w:firstLine="720"/>
        <w:rPr>
          <w:szCs w:val="24"/>
        </w:rPr>
      </w:pPr>
    </w:p>
    <w:p w:rsidR="00C66643" w:rsidRPr="00C665F0" w:rsidRDefault="00C66643" w:rsidP="009344B4">
      <w:pPr>
        <w:pStyle w:val="TabbedL3"/>
        <w:ind w:left="720" w:firstLine="720"/>
      </w:pPr>
      <w:r w:rsidRPr="00C665F0">
        <w:t>Attached as Appendix A to this Joint Petition are the rates and underlying cost data resulting from the Settlement that are applicable to the Commodity Charge (“CC”), the Gas Cost Adjustment Charge (“GCA”), the Balancing Service Charge (“BSC”) and the Balancing Charge (“BC”).</w:t>
      </w:r>
      <w:r w:rsidRPr="00C665F0">
        <w:rPr>
          <w:rStyle w:val="FootnoteReference"/>
          <w:szCs w:val="24"/>
        </w:rPr>
        <w:footnoteReference w:id="2"/>
      </w:r>
      <w:r w:rsidRPr="00C665F0">
        <w:t xml:space="preserve">  These rates are predicated on the Company’s current gas cost projections and are the same as originally filed in this proceeding.  To the extent that actual experience and changes in forecasted natural gas prices and demand would alter the CC, GCA and the BSC rates, PECO reserves the right to file quarterly adjustments to be effective September 1, 2014, December 1, 2014 and there</w:t>
      </w:r>
      <w:r w:rsidR="005E051E">
        <w:t>after in accordance with 52 Pa.</w:t>
      </w:r>
      <w:r w:rsidRPr="00C665F0">
        <w:t>Code § 53.64.</w:t>
      </w:r>
      <w:r w:rsidRPr="00C665F0">
        <w:rPr>
          <w:rStyle w:val="FootnoteReference"/>
          <w:szCs w:val="24"/>
        </w:rPr>
        <w:footnoteReference w:id="3"/>
      </w:r>
    </w:p>
    <w:p w:rsidR="00C66643" w:rsidRPr="00C665F0" w:rsidRDefault="00C66643" w:rsidP="009344B4">
      <w:pPr>
        <w:pStyle w:val="TabbedL3"/>
        <w:numPr>
          <w:ilvl w:val="0"/>
          <w:numId w:val="0"/>
        </w:numPr>
        <w:ind w:left="720" w:firstLine="720"/>
      </w:pPr>
    </w:p>
    <w:p w:rsidR="00C66643" w:rsidRPr="00C665F0" w:rsidRDefault="00C66643" w:rsidP="009344B4">
      <w:pPr>
        <w:pStyle w:val="TabbedL3"/>
        <w:ind w:left="720" w:firstLine="720"/>
        <w:rPr>
          <w:u w:val="single"/>
        </w:rPr>
      </w:pPr>
      <w:r w:rsidRPr="00C665F0">
        <w:t>Attached as Appendix B to this Joint Petition is the pro forma tariff page showing the changes to the firm and interruptible supply reservation charges for Rate CGS (“City Gate Sales Services”).  PECO reserves the right to update Rate CGS and the Rate Transportation Service-Firm (“TS-F”) standby sales service demand charge, as shown in Appendix A, Statement 1, to be effective December 1, 2014, to the extent that actual experience and changes in forecasted natural gas prices and demand may alter these rates.</w:t>
      </w:r>
    </w:p>
    <w:p w:rsidR="00E41C21" w:rsidRDefault="00E41C21" w:rsidP="009344B4">
      <w:pPr>
        <w:pStyle w:val="TabbedL2"/>
        <w:numPr>
          <w:ilvl w:val="0"/>
          <w:numId w:val="0"/>
        </w:numPr>
        <w:spacing w:after="0" w:line="360" w:lineRule="auto"/>
        <w:ind w:left="720" w:firstLine="720"/>
        <w:rPr>
          <w:b/>
          <w:szCs w:val="24"/>
        </w:rPr>
      </w:pPr>
    </w:p>
    <w:p w:rsidR="00C66643" w:rsidRPr="00D43DD0" w:rsidRDefault="00C66643" w:rsidP="009344B4">
      <w:pPr>
        <w:pStyle w:val="TabbedL2"/>
        <w:spacing w:after="0" w:line="360" w:lineRule="auto"/>
        <w:ind w:left="720"/>
        <w:rPr>
          <w:b/>
          <w:szCs w:val="24"/>
        </w:rPr>
      </w:pPr>
      <w:r w:rsidRPr="00D43DD0">
        <w:rPr>
          <w:b/>
          <w:szCs w:val="24"/>
        </w:rPr>
        <w:t>Gas Price Hedging</w:t>
      </w:r>
    </w:p>
    <w:p w:rsidR="00C66643" w:rsidRPr="00C665F0" w:rsidRDefault="00C66643" w:rsidP="009344B4">
      <w:pPr>
        <w:pStyle w:val="TabbedL2"/>
        <w:numPr>
          <w:ilvl w:val="0"/>
          <w:numId w:val="0"/>
        </w:numPr>
        <w:spacing w:after="0" w:line="360" w:lineRule="auto"/>
        <w:ind w:left="720" w:firstLine="720"/>
        <w:rPr>
          <w:b/>
          <w:szCs w:val="24"/>
        </w:rPr>
      </w:pPr>
    </w:p>
    <w:p w:rsidR="00C66643" w:rsidRDefault="00C66643" w:rsidP="009344B4">
      <w:pPr>
        <w:pStyle w:val="TabbedL3"/>
        <w:ind w:left="720" w:firstLine="720"/>
      </w:pPr>
      <w:r w:rsidRPr="00C665F0">
        <w:t>The Company has complied with the requ</w:t>
      </w:r>
      <w:r w:rsidR="00D43DD0">
        <w:t>irements set forth in Paragraph </w:t>
      </w:r>
      <w:r w:rsidRPr="00C665F0">
        <w:t xml:space="preserve">14 of the 2012 Joint Petition for Complete Settlement (“2012 Joint Petition”) and Paragraph 14 of the 2013 Joint Petition for Complete Settlement (“2013 Joint Petition”) with respect to its natural gas hedging program.  The Company has complied with the requirements of the volumetric program by making the necessary hedges as set forth in Exhibit CPT-4 accompanying PECO Statement No. 5, the Direct Testimony of Carlos P. </w:t>
      </w:r>
      <w:r w:rsidR="009E3872">
        <w:t>Thillet, in the 2014 PGC Case.</w:t>
      </w:r>
    </w:p>
    <w:p w:rsidR="009344B4" w:rsidRPr="00C665F0" w:rsidRDefault="009344B4" w:rsidP="009344B4">
      <w:pPr>
        <w:pStyle w:val="TabbedL3"/>
        <w:numPr>
          <w:ilvl w:val="0"/>
          <w:numId w:val="0"/>
        </w:numPr>
        <w:ind w:left="1440"/>
      </w:pPr>
    </w:p>
    <w:p w:rsidR="008809F2" w:rsidRPr="00C665F0" w:rsidRDefault="00C66643" w:rsidP="009344B4">
      <w:pPr>
        <w:pStyle w:val="TabbedL3"/>
        <w:tabs>
          <w:tab w:val="left" w:pos="1440"/>
        </w:tabs>
        <w:ind w:left="720" w:firstLine="720"/>
      </w:pPr>
      <w:r w:rsidRPr="00C665F0">
        <w:t xml:space="preserve">Additionally, per the schedule set forth in the 2012 Joint Petition, the Company issued its fourth and final Request For Proposal (“RFP”) for 5,000 decatherms (“dth”) per day at Crayne, South Point or Leidy in an effort to acquire gas principally sourced from Marcellus Shale gas-producing areas of Pennsylvania over a three-year period or any other pipeline interconnection points under PECO’s existing interstate pipeline transportation contracts.  </w:t>
      </w:r>
      <w:r w:rsidRPr="00C665F0">
        <w:rPr>
          <w:i/>
        </w:rPr>
        <w:t>See</w:t>
      </w:r>
      <w:r w:rsidRPr="00C665F0">
        <w:t xml:space="preserve"> Appendix D attached hereto for details on the RFP submitted to potential bidders.  PECO sent the RFP to a minimum of twenty potential bidders.  The Company received responses to its RFP from three or more potential providers and entered into three-year fixed price contracts with respondents whose bids p</w:t>
      </w:r>
      <w:r w:rsidR="00513902">
        <w:t>rovided for least cost supply.</w:t>
      </w:r>
    </w:p>
    <w:p w:rsidR="008809F2" w:rsidRPr="00C665F0" w:rsidRDefault="008809F2" w:rsidP="009344B4">
      <w:pPr>
        <w:pStyle w:val="TabbedL3"/>
        <w:numPr>
          <w:ilvl w:val="0"/>
          <w:numId w:val="0"/>
        </w:numPr>
        <w:tabs>
          <w:tab w:val="left" w:pos="1440"/>
        </w:tabs>
        <w:ind w:left="720" w:firstLine="720"/>
      </w:pPr>
    </w:p>
    <w:p w:rsidR="00C66643" w:rsidRPr="00C665F0" w:rsidRDefault="00C66643" w:rsidP="009344B4">
      <w:pPr>
        <w:pStyle w:val="TabbedL3"/>
        <w:tabs>
          <w:tab w:val="left" w:pos="1440"/>
        </w:tabs>
        <w:ind w:left="720" w:firstLine="720"/>
      </w:pPr>
      <w:r w:rsidRPr="00C665F0">
        <w:t>In its 2014 PGC Case, the Company proposed two changes t</w:t>
      </w:r>
      <w:r w:rsidR="005F5BC0">
        <w:t xml:space="preserve">o its current hedging program: </w:t>
      </w:r>
      <w:r w:rsidRPr="00C665F0">
        <w:t>(1) a reduction in the quantities associated with the volumetric component of the program, which will result in an approximate 28% hedge; and (2) modification to the amount of gas sourced through the issuance of RFPs for long-term fixed cost supply contracts for the period December</w:t>
      </w:r>
      <w:r w:rsidR="00DA6D4E">
        <w:t>,</w:t>
      </w:r>
      <w:r w:rsidRPr="00C665F0">
        <w:t xml:space="preserve"> 2016 through 2017.  Accordingly, the Company will make the following c</w:t>
      </w:r>
      <w:r w:rsidR="00DA6D4E">
        <w:t>hanges to its hedging program.</w:t>
      </w:r>
    </w:p>
    <w:p w:rsidR="00B2684A" w:rsidRPr="00C665F0" w:rsidRDefault="00B2684A" w:rsidP="0072432D">
      <w:pPr>
        <w:pStyle w:val="TabbedL3"/>
        <w:numPr>
          <w:ilvl w:val="0"/>
          <w:numId w:val="0"/>
        </w:numPr>
        <w:ind w:left="1440"/>
      </w:pPr>
    </w:p>
    <w:p w:rsidR="00E41C21" w:rsidRDefault="00E41C21">
      <w:pPr>
        <w:rPr>
          <w:rFonts w:ascii="Times New Roman" w:eastAsia="Times New Roman" w:hAnsi="Times New Roman" w:cs="Times New Roman"/>
          <w:sz w:val="24"/>
          <w:szCs w:val="20"/>
        </w:rPr>
      </w:pPr>
      <w:r>
        <w:br w:type="page"/>
      </w:r>
    </w:p>
    <w:p w:rsidR="00C66643" w:rsidRPr="00C665F0" w:rsidRDefault="00C66643" w:rsidP="0072432D">
      <w:pPr>
        <w:pStyle w:val="TabbedL4"/>
      </w:pPr>
      <w:r w:rsidRPr="00C665F0">
        <w:t>As described in PECO Statement No. 5 in the 2014 PGC Case, the Company will implement the following schedule for its volumetric program:</w:t>
      </w:r>
    </w:p>
    <w:p w:rsidR="009A7B69" w:rsidRPr="00C665F0" w:rsidRDefault="009A7B69" w:rsidP="0072432D">
      <w:pPr>
        <w:pStyle w:val="TabbedL4"/>
        <w:numPr>
          <w:ilvl w:val="0"/>
          <w:numId w:val="0"/>
        </w:numPr>
        <w:ind w:left="2160"/>
      </w:pPr>
    </w:p>
    <w:tbl>
      <w:tblPr>
        <w:tblW w:w="9465" w:type="dxa"/>
        <w:tblInd w:w="93" w:type="dxa"/>
        <w:tblLook w:val="04A0" w:firstRow="1" w:lastRow="0" w:firstColumn="1" w:lastColumn="0" w:noHBand="0" w:noVBand="1"/>
      </w:tblPr>
      <w:tblGrid>
        <w:gridCol w:w="2740"/>
        <w:gridCol w:w="2225"/>
        <w:gridCol w:w="2250"/>
        <w:gridCol w:w="2250"/>
      </w:tblGrid>
      <w:tr w:rsidR="00C66643" w:rsidRPr="00C665F0" w:rsidTr="008038B5">
        <w:trPr>
          <w:trHeight w:val="315"/>
        </w:trPr>
        <w:tc>
          <w:tcPr>
            <w:tcW w:w="2740" w:type="dxa"/>
            <w:noWrap/>
            <w:vAlign w:val="bottom"/>
            <w:hideMark/>
          </w:tcPr>
          <w:p w:rsidR="00C66643" w:rsidRPr="00C665F0" w:rsidRDefault="00C66643" w:rsidP="008809F2">
            <w:pPr>
              <w:spacing w:after="0" w:line="360" w:lineRule="auto"/>
              <w:rPr>
                <w:rFonts w:ascii="Times New Roman" w:hAnsi="Times New Roman" w:cs="Times New Roman"/>
                <w:sz w:val="24"/>
                <w:szCs w:val="24"/>
              </w:rPr>
            </w:pPr>
          </w:p>
        </w:tc>
        <w:tc>
          <w:tcPr>
            <w:tcW w:w="2225" w:type="dxa"/>
            <w:noWrap/>
            <w:vAlign w:val="bottom"/>
            <w:hideMark/>
          </w:tcPr>
          <w:p w:rsidR="00C66643" w:rsidRPr="00C665F0" w:rsidRDefault="00C66643" w:rsidP="008809F2">
            <w:pPr>
              <w:spacing w:after="0" w:line="360" w:lineRule="auto"/>
              <w:rPr>
                <w:rFonts w:ascii="Times New Roman" w:hAnsi="Times New Roman" w:cs="Times New Roman"/>
                <w:sz w:val="24"/>
                <w:szCs w:val="24"/>
              </w:rPr>
            </w:pPr>
          </w:p>
        </w:tc>
        <w:tc>
          <w:tcPr>
            <w:tcW w:w="2250" w:type="dxa"/>
            <w:noWrap/>
            <w:vAlign w:val="bottom"/>
            <w:hideMark/>
          </w:tcPr>
          <w:p w:rsidR="00C66643" w:rsidRPr="00C665F0" w:rsidRDefault="00C66643" w:rsidP="008809F2">
            <w:pPr>
              <w:spacing w:after="0" w:line="360" w:lineRule="auto"/>
              <w:rPr>
                <w:rFonts w:ascii="Times New Roman" w:hAnsi="Times New Roman" w:cs="Times New Roman"/>
                <w:sz w:val="24"/>
                <w:szCs w:val="24"/>
              </w:rPr>
            </w:pPr>
          </w:p>
        </w:tc>
        <w:tc>
          <w:tcPr>
            <w:tcW w:w="2250" w:type="dxa"/>
            <w:noWrap/>
            <w:vAlign w:val="bottom"/>
            <w:hideMark/>
          </w:tcPr>
          <w:p w:rsidR="00C66643" w:rsidRPr="00C665F0" w:rsidRDefault="00C66643" w:rsidP="008809F2">
            <w:pPr>
              <w:spacing w:after="0" w:line="360" w:lineRule="auto"/>
              <w:rPr>
                <w:rFonts w:ascii="Times New Roman" w:hAnsi="Times New Roman" w:cs="Times New Roman"/>
                <w:sz w:val="24"/>
                <w:szCs w:val="24"/>
              </w:rPr>
            </w:pPr>
          </w:p>
        </w:tc>
      </w:tr>
      <w:tr w:rsidR="00C66643" w:rsidRPr="00C665F0" w:rsidTr="008038B5">
        <w:trPr>
          <w:trHeight w:val="645"/>
        </w:trPr>
        <w:tc>
          <w:tcPr>
            <w:tcW w:w="2740" w:type="dxa"/>
            <w:tcBorders>
              <w:top w:val="single" w:sz="8" w:space="0" w:color="auto"/>
              <w:left w:val="single" w:sz="8" w:space="0" w:color="auto"/>
              <w:bottom w:val="nil"/>
              <w:right w:val="nil"/>
            </w:tcBorders>
            <w:vAlign w:val="center"/>
            <w:hideMark/>
          </w:tcPr>
          <w:p w:rsidR="00C66643" w:rsidRPr="00C665F0" w:rsidRDefault="00C66643" w:rsidP="00C66643">
            <w:pPr>
              <w:spacing w:after="0" w:line="360" w:lineRule="auto"/>
              <w:jc w:val="center"/>
              <w:rPr>
                <w:rFonts w:ascii="Times New Roman" w:hAnsi="Times New Roman" w:cs="Times New Roman"/>
                <w:b/>
                <w:bCs/>
                <w:color w:val="000000"/>
                <w:sz w:val="24"/>
                <w:szCs w:val="24"/>
              </w:rPr>
            </w:pPr>
            <w:r w:rsidRPr="00C665F0">
              <w:rPr>
                <w:rFonts w:ascii="Times New Roman" w:hAnsi="Times New Roman" w:cs="Times New Roman"/>
                <w:b/>
                <w:bCs/>
                <w:color w:val="000000"/>
                <w:sz w:val="24"/>
                <w:szCs w:val="24"/>
              </w:rPr>
              <w:t>Month(s)</w:t>
            </w:r>
          </w:p>
        </w:tc>
        <w:tc>
          <w:tcPr>
            <w:tcW w:w="2225" w:type="dxa"/>
            <w:tcBorders>
              <w:top w:val="single" w:sz="8" w:space="0" w:color="auto"/>
              <w:left w:val="nil"/>
              <w:bottom w:val="single" w:sz="8" w:space="0" w:color="auto"/>
              <w:right w:val="nil"/>
            </w:tcBorders>
            <w:vAlign w:val="center"/>
            <w:hideMark/>
          </w:tcPr>
          <w:p w:rsidR="00C66643" w:rsidRPr="00C665F0" w:rsidRDefault="00C66643" w:rsidP="00C66643">
            <w:pPr>
              <w:spacing w:after="0" w:line="360" w:lineRule="auto"/>
              <w:jc w:val="center"/>
              <w:rPr>
                <w:rFonts w:ascii="Times New Roman" w:hAnsi="Times New Roman" w:cs="Times New Roman"/>
                <w:b/>
                <w:bCs/>
                <w:color w:val="000000"/>
                <w:sz w:val="24"/>
                <w:szCs w:val="24"/>
              </w:rPr>
            </w:pPr>
            <w:r w:rsidRPr="00C665F0">
              <w:rPr>
                <w:rFonts w:ascii="Times New Roman" w:hAnsi="Times New Roman" w:cs="Times New Roman"/>
                <w:b/>
                <w:bCs/>
                <w:color w:val="000000"/>
                <w:sz w:val="24"/>
                <w:szCs w:val="24"/>
              </w:rPr>
              <w:t>Quantities Per Day</w:t>
            </w:r>
          </w:p>
        </w:tc>
        <w:tc>
          <w:tcPr>
            <w:tcW w:w="2250" w:type="dxa"/>
            <w:tcBorders>
              <w:top w:val="single" w:sz="8" w:space="0" w:color="auto"/>
              <w:left w:val="nil"/>
              <w:bottom w:val="nil"/>
              <w:right w:val="nil"/>
            </w:tcBorders>
            <w:vAlign w:val="center"/>
            <w:hideMark/>
          </w:tcPr>
          <w:p w:rsidR="00C66643" w:rsidRPr="00C665F0" w:rsidRDefault="00C66643" w:rsidP="00C66643">
            <w:pPr>
              <w:spacing w:after="0" w:line="360" w:lineRule="auto"/>
              <w:jc w:val="center"/>
              <w:rPr>
                <w:rFonts w:ascii="Times New Roman" w:hAnsi="Times New Roman" w:cs="Times New Roman"/>
                <w:b/>
                <w:bCs/>
                <w:color w:val="000000"/>
                <w:sz w:val="24"/>
                <w:szCs w:val="24"/>
              </w:rPr>
            </w:pPr>
            <w:r w:rsidRPr="00C665F0">
              <w:rPr>
                <w:rFonts w:ascii="Times New Roman" w:hAnsi="Times New Roman" w:cs="Times New Roman"/>
                <w:b/>
                <w:bCs/>
                <w:color w:val="000000"/>
                <w:sz w:val="24"/>
                <w:szCs w:val="24"/>
              </w:rPr>
              <w:t>Schedule</w:t>
            </w:r>
          </w:p>
        </w:tc>
        <w:tc>
          <w:tcPr>
            <w:tcW w:w="2250" w:type="dxa"/>
            <w:tcBorders>
              <w:top w:val="single" w:sz="8" w:space="0" w:color="auto"/>
              <w:left w:val="nil"/>
              <w:bottom w:val="single" w:sz="8" w:space="0" w:color="auto"/>
              <w:right w:val="single" w:sz="8" w:space="0" w:color="auto"/>
            </w:tcBorders>
            <w:vAlign w:val="center"/>
            <w:hideMark/>
          </w:tcPr>
          <w:p w:rsidR="00C66643" w:rsidRPr="00C665F0" w:rsidRDefault="00C66643" w:rsidP="00C66643">
            <w:pPr>
              <w:spacing w:after="0" w:line="360" w:lineRule="auto"/>
              <w:jc w:val="center"/>
              <w:rPr>
                <w:rFonts w:ascii="Times New Roman" w:hAnsi="Times New Roman" w:cs="Times New Roman"/>
                <w:b/>
                <w:bCs/>
                <w:color w:val="000000"/>
                <w:sz w:val="24"/>
                <w:szCs w:val="24"/>
              </w:rPr>
            </w:pPr>
            <w:r w:rsidRPr="00C665F0">
              <w:rPr>
                <w:rFonts w:ascii="Times New Roman" w:hAnsi="Times New Roman" w:cs="Times New Roman"/>
                <w:b/>
                <w:bCs/>
                <w:color w:val="000000"/>
                <w:sz w:val="24"/>
                <w:szCs w:val="24"/>
              </w:rPr>
              <w:t>By (Deadline)</w:t>
            </w:r>
          </w:p>
        </w:tc>
      </w:tr>
      <w:tr w:rsidR="00C66643" w:rsidRPr="00C665F0" w:rsidTr="008038B5">
        <w:trPr>
          <w:trHeight w:val="315"/>
        </w:trPr>
        <w:tc>
          <w:tcPr>
            <w:tcW w:w="2740" w:type="dxa"/>
            <w:tcBorders>
              <w:top w:val="single" w:sz="8" w:space="0" w:color="auto"/>
              <w:left w:val="single" w:sz="8" w:space="0" w:color="auto"/>
              <w:bottom w:val="nil"/>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March 2015</w:t>
            </w:r>
          </w:p>
        </w:tc>
        <w:tc>
          <w:tcPr>
            <w:tcW w:w="2225" w:type="dxa"/>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7,500 to 10,000 dth</w:t>
            </w:r>
          </w:p>
        </w:tc>
        <w:tc>
          <w:tcPr>
            <w:tcW w:w="2250" w:type="dxa"/>
            <w:tcBorders>
              <w:top w:val="single" w:sz="8" w:space="0" w:color="auto"/>
              <w:left w:val="single" w:sz="8" w:space="0" w:color="auto"/>
              <w:bottom w:val="nil"/>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3,750  to 5,000 dth</w:t>
            </w:r>
          </w:p>
        </w:tc>
        <w:tc>
          <w:tcPr>
            <w:tcW w:w="2250" w:type="dxa"/>
            <w:tcBorders>
              <w:top w:val="nil"/>
              <w:left w:val="nil"/>
              <w:bottom w:val="nil"/>
              <w:right w:val="single" w:sz="8" w:space="0" w:color="auto"/>
            </w:tcBorders>
            <w:vAlign w:val="center"/>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11/1/2014</w:t>
            </w:r>
          </w:p>
        </w:tc>
      </w:tr>
      <w:tr w:rsidR="00C66643" w:rsidRPr="00C665F0" w:rsidTr="008038B5">
        <w:trPr>
          <w:trHeight w:val="330"/>
        </w:trPr>
        <w:tc>
          <w:tcPr>
            <w:tcW w:w="2740" w:type="dxa"/>
            <w:tcBorders>
              <w:top w:val="nil"/>
              <w:left w:val="single" w:sz="8" w:space="0" w:color="auto"/>
              <w:bottom w:val="single" w:sz="8" w:space="0" w:color="auto"/>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25" w:type="dxa"/>
            <w:tcBorders>
              <w:top w:val="nil"/>
              <w:left w:val="nil"/>
              <w:bottom w:val="single" w:sz="8" w:space="0" w:color="auto"/>
              <w:right w:val="nil"/>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50" w:type="dxa"/>
            <w:tcBorders>
              <w:top w:val="nil"/>
              <w:left w:val="single" w:sz="8" w:space="0" w:color="auto"/>
              <w:bottom w:val="single" w:sz="8" w:space="0" w:color="auto"/>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3,750  to 5,000 dth</w:t>
            </w:r>
          </w:p>
        </w:tc>
        <w:tc>
          <w:tcPr>
            <w:tcW w:w="2250" w:type="dxa"/>
            <w:tcBorders>
              <w:top w:val="nil"/>
              <w:left w:val="nil"/>
              <w:bottom w:val="single" w:sz="8" w:space="0" w:color="auto"/>
              <w:right w:val="single" w:sz="8" w:space="0" w:color="auto"/>
            </w:tcBorders>
            <w:vAlign w:val="center"/>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2/1/2015</w:t>
            </w:r>
          </w:p>
        </w:tc>
      </w:tr>
      <w:tr w:rsidR="00C66643" w:rsidRPr="00C665F0" w:rsidTr="008038B5">
        <w:trPr>
          <w:trHeight w:val="630"/>
        </w:trPr>
        <w:tc>
          <w:tcPr>
            <w:tcW w:w="2740" w:type="dxa"/>
            <w:tcBorders>
              <w:top w:val="nil"/>
              <w:left w:val="single" w:sz="8" w:space="0" w:color="auto"/>
              <w:bottom w:val="nil"/>
              <w:right w:val="nil"/>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April 2015 through September 2015</w:t>
            </w:r>
          </w:p>
        </w:tc>
        <w:tc>
          <w:tcPr>
            <w:tcW w:w="2225" w:type="dxa"/>
            <w:tcBorders>
              <w:top w:val="nil"/>
              <w:left w:val="single" w:sz="8" w:space="0" w:color="auto"/>
              <w:bottom w:val="nil"/>
              <w:right w:val="nil"/>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5,000 to 10,000 dth</w:t>
            </w:r>
          </w:p>
        </w:tc>
        <w:tc>
          <w:tcPr>
            <w:tcW w:w="2250" w:type="dxa"/>
            <w:tcBorders>
              <w:top w:val="nil"/>
              <w:left w:val="single" w:sz="8" w:space="0" w:color="auto"/>
              <w:bottom w:val="nil"/>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2,500  to 5,000 dth</w:t>
            </w:r>
          </w:p>
        </w:tc>
        <w:tc>
          <w:tcPr>
            <w:tcW w:w="2250" w:type="dxa"/>
            <w:tcBorders>
              <w:top w:val="nil"/>
              <w:left w:val="nil"/>
              <w:bottom w:val="nil"/>
              <w:right w:val="single" w:sz="8" w:space="0" w:color="auto"/>
            </w:tcBorders>
            <w:vAlign w:val="center"/>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12/1/2014</w:t>
            </w:r>
          </w:p>
        </w:tc>
      </w:tr>
      <w:tr w:rsidR="00C66643" w:rsidRPr="00C665F0" w:rsidTr="008038B5">
        <w:trPr>
          <w:trHeight w:val="330"/>
        </w:trPr>
        <w:tc>
          <w:tcPr>
            <w:tcW w:w="2740" w:type="dxa"/>
            <w:tcBorders>
              <w:top w:val="nil"/>
              <w:left w:val="single" w:sz="8" w:space="0" w:color="auto"/>
              <w:bottom w:val="single" w:sz="8" w:space="0" w:color="auto"/>
              <w:right w:val="nil"/>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25" w:type="dxa"/>
            <w:tcBorders>
              <w:top w:val="nil"/>
              <w:left w:val="single" w:sz="8" w:space="0" w:color="auto"/>
              <w:bottom w:val="single" w:sz="8" w:space="0" w:color="auto"/>
              <w:right w:val="nil"/>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50" w:type="dxa"/>
            <w:tcBorders>
              <w:top w:val="nil"/>
              <w:left w:val="single" w:sz="8" w:space="0" w:color="auto"/>
              <w:bottom w:val="single" w:sz="8" w:space="0" w:color="auto"/>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2,500  to 5,000 dth</w:t>
            </w:r>
          </w:p>
        </w:tc>
        <w:tc>
          <w:tcPr>
            <w:tcW w:w="2250" w:type="dxa"/>
            <w:tcBorders>
              <w:top w:val="nil"/>
              <w:left w:val="nil"/>
              <w:bottom w:val="single" w:sz="8" w:space="0" w:color="auto"/>
              <w:right w:val="single" w:sz="8" w:space="0" w:color="auto"/>
            </w:tcBorders>
            <w:vAlign w:val="center"/>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3/1/2015</w:t>
            </w:r>
          </w:p>
        </w:tc>
      </w:tr>
      <w:tr w:rsidR="00C66643" w:rsidRPr="00C665F0" w:rsidTr="008038B5">
        <w:trPr>
          <w:trHeight w:val="630"/>
        </w:trPr>
        <w:tc>
          <w:tcPr>
            <w:tcW w:w="2740" w:type="dxa"/>
            <w:tcBorders>
              <w:top w:val="nil"/>
              <w:left w:val="single" w:sz="8" w:space="0" w:color="auto"/>
              <w:bottom w:val="nil"/>
              <w:right w:val="nil"/>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October 2015</w:t>
            </w:r>
          </w:p>
        </w:tc>
        <w:tc>
          <w:tcPr>
            <w:tcW w:w="2225" w:type="dxa"/>
            <w:tcBorders>
              <w:top w:val="nil"/>
              <w:left w:val="single" w:sz="8" w:space="0" w:color="auto"/>
              <w:bottom w:val="nil"/>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10,000 to 15,000 dth</w:t>
            </w:r>
          </w:p>
        </w:tc>
        <w:tc>
          <w:tcPr>
            <w:tcW w:w="2250" w:type="dxa"/>
            <w:tcBorders>
              <w:top w:val="nil"/>
              <w:left w:val="nil"/>
              <w:bottom w:val="nil"/>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5,000 to 7,500 dth </w:t>
            </w:r>
          </w:p>
        </w:tc>
        <w:tc>
          <w:tcPr>
            <w:tcW w:w="2250" w:type="dxa"/>
            <w:tcBorders>
              <w:top w:val="nil"/>
              <w:left w:val="nil"/>
              <w:bottom w:val="nil"/>
              <w:right w:val="single" w:sz="8" w:space="0" w:color="auto"/>
            </w:tcBorders>
            <w:vAlign w:val="center"/>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3/1/2015</w:t>
            </w:r>
          </w:p>
        </w:tc>
      </w:tr>
      <w:tr w:rsidR="00C66643" w:rsidRPr="00C665F0" w:rsidTr="008038B5">
        <w:trPr>
          <w:trHeight w:val="330"/>
        </w:trPr>
        <w:tc>
          <w:tcPr>
            <w:tcW w:w="2740" w:type="dxa"/>
            <w:tcBorders>
              <w:top w:val="nil"/>
              <w:left w:val="single" w:sz="8" w:space="0" w:color="auto"/>
              <w:bottom w:val="single" w:sz="8" w:space="0" w:color="auto"/>
              <w:right w:val="nil"/>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25" w:type="dxa"/>
            <w:tcBorders>
              <w:top w:val="nil"/>
              <w:left w:val="single" w:sz="8" w:space="0" w:color="auto"/>
              <w:bottom w:val="single" w:sz="8" w:space="0" w:color="auto"/>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50" w:type="dxa"/>
            <w:tcBorders>
              <w:top w:val="nil"/>
              <w:left w:val="nil"/>
              <w:bottom w:val="single" w:sz="8" w:space="0" w:color="auto"/>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5,000 to 7,500 dth </w:t>
            </w:r>
          </w:p>
        </w:tc>
        <w:tc>
          <w:tcPr>
            <w:tcW w:w="2250" w:type="dxa"/>
            <w:tcBorders>
              <w:top w:val="nil"/>
              <w:left w:val="nil"/>
              <w:bottom w:val="single" w:sz="8" w:space="0" w:color="auto"/>
              <w:right w:val="single" w:sz="8" w:space="0" w:color="auto"/>
            </w:tcBorders>
            <w:vAlign w:val="center"/>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9/1/2015</w:t>
            </w:r>
          </w:p>
        </w:tc>
      </w:tr>
      <w:tr w:rsidR="00C66643" w:rsidRPr="00C665F0" w:rsidTr="008038B5">
        <w:trPr>
          <w:trHeight w:val="630"/>
        </w:trPr>
        <w:tc>
          <w:tcPr>
            <w:tcW w:w="2740" w:type="dxa"/>
            <w:tcBorders>
              <w:top w:val="nil"/>
              <w:left w:val="single" w:sz="8" w:space="0" w:color="auto"/>
              <w:bottom w:val="nil"/>
              <w:right w:val="nil"/>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November 2015   </w:t>
            </w:r>
          </w:p>
        </w:tc>
        <w:tc>
          <w:tcPr>
            <w:tcW w:w="2225" w:type="dxa"/>
            <w:tcBorders>
              <w:top w:val="nil"/>
              <w:left w:val="single" w:sz="8" w:space="0" w:color="auto"/>
              <w:bottom w:val="nil"/>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15,000 to 20,000 dth</w:t>
            </w:r>
          </w:p>
        </w:tc>
        <w:tc>
          <w:tcPr>
            <w:tcW w:w="2250" w:type="dxa"/>
            <w:tcBorders>
              <w:top w:val="nil"/>
              <w:left w:val="nil"/>
              <w:bottom w:val="nil"/>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7,500 to 10,000 dth </w:t>
            </w:r>
          </w:p>
        </w:tc>
        <w:tc>
          <w:tcPr>
            <w:tcW w:w="2250" w:type="dxa"/>
            <w:tcBorders>
              <w:top w:val="nil"/>
              <w:left w:val="nil"/>
              <w:bottom w:val="nil"/>
              <w:right w:val="single" w:sz="8" w:space="0" w:color="auto"/>
            </w:tcBorders>
            <w:vAlign w:val="center"/>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3/1/2015</w:t>
            </w:r>
          </w:p>
        </w:tc>
      </w:tr>
      <w:tr w:rsidR="00C66643" w:rsidRPr="00C665F0" w:rsidTr="008038B5">
        <w:trPr>
          <w:trHeight w:val="330"/>
        </w:trPr>
        <w:tc>
          <w:tcPr>
            <w:tcW w:w="2740" w:type="dxa"/>
            <w:tcBorders>
              <w:top w:val="nil"/>
              <w:left w:val="single" w:sz="8" w:space="0" w:color="auto"/>
              <w:bottom w:val="single" w:sz="8" w:space="0" w:color="auto"/>
              <w:right w:val="nil"/>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25" w:type="dxa"/>
            <w:tcBorders>
              <w:top w:val="nil"/>
              <w:left w:val="single" w:sz="8" w:space="0" w:color="auto"/>
              <w:bottom w:val="single" w:sz="8" w:space="0" w:color="auto"/>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50" w:type="dxa"/>
            <w:tcBorders>
              <w:top w:val="nil"/>
              <w:left w:val="nil"/>
              <w:bottom w:val="single" w:sz="8" w:space="0" w:color="auto"/>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7,500 to 10,000 dth </w:t>
            </w:r>
          </w:p>
        </w:tc>
        <w:tc>
          <w:tcPr>
            <w:tcW w:w="2250" w:type="dxa"/>
            <w:tcBorders>
              <w:top w:val="nil"/>
              <w:left w:val="nil"/>
              <w:bottom w:val="single" w:sz="8" w:space="0" w:color="auto"/>
              <w:right w:val="single" w:sz="8" w:space="0" w:color="auto"/>
            </w:tcBorders>
            <w:vAlign w:val="center"/>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9/1/2015</w:t>
            </w:r>
          </w:p>
        </w:tc>
      </w:tr>
      <w:tr w:rsidR="00C66643" w:rsidRPr="00C665F0" w:rsidTr="008038B5">
        <w:trPr>
          <w:trHeight w:val="630"/>
        </w:trPr>
        <w:tc>
          <w:tcPr>
            <w:tcW w:w="2740" w:type="dxa"/>
            <w:tcBorders>
              <w:top w:val="nil"/>
              <w:left w:val="single" w:sz="8" w:space="0" w:color="auto"/>
              <w:bottom w:val="nil"/>
              <w:right w:val="nil"/>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December 2015 through February 2016</w:t>
            </w:r>
          </w:p>
        </w:tc>
        <w:tc>
          <w:tcPr>
            <w:tcW w:w="2225" w:type="dxa"/>
            <w:tcBorders>
              <w:top w:val="nil"/>
              <w:left w:val="single" w:sz="8" w:space="0" w:color="auto"/>
              <w:bottom w:val="nil"/>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15,000 to 25,000 dth</w:t>
            </w:r>
          </w:p>
        </w:tc>
        <w:tc>
          <w:tcPr>
            <w:tcW w:w="2250" w:type="dxa"/>
            <w:tcBorders>
              <w:top w:val="nil"/>
              <w:left w:val="nil"/>
              <w:bottom w:val="nil"/>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7,500 to 12,500 dth </w:t>
            </w:r>
          </w:p>
        </w:tc>
        <w:tc>
          <w:tcPr>
            <w:tcW w:w="2250" w:type="dxa"/>
            <w:tcBorders>
              <w:top w:val="nil"/>
              <w:left w:val="nil"/>
              <w:bottom w:val="nil"/>
              <w:right w:val="single" w:sz="8" w:space="0" w:color="auto"/>
            </w:tcBorders>
            <w:vAlign w:val="center"/>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4/1/2015</w:t>
            </w:r>
          </w:p>
        </w:tc>
      </w:tr>
      <w:tr w:rsidR="00C66643" w:rsidRPr="00C665F0" w:rsidTr="008038B5">
        <w:trPr>
          <w:trHeight w:val="330"/>
        </w:trPr>
        <w:tc>
          <w:tcPr>
            <w:tcW w:w="2740" w:type="dxa"/>
            <w:tcBorders>
              <w:top w:val="nil"/>
              <w:left w:val="single" w:sz="8" w:space="0" w:color="auto"/>
              <w:bottom w:val="single" w:sz="8" w:space="0" w:color="auto"/>
              <w:right w:val="nil"/>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25" w:type="dxa"/>
            <w:tcBorders>
              <w:top w:val="nil"/>
              <w:left w:val="single" w:sz="8" w:space="0" w:color="auto"/>
              <w:bottom w:val="single" w:sz="8" w:space="0" w:color="auto"/>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50" w:type="dxa"/>
            <w:tcBorders>
              <w:top w:val="nil"/>
              <w:left w:val="nil"/>
              <w:bottom w:val="single" w:sz="8" w:space="0" w:color="auto"/>
              <w:right w:val="single" w:sz="8" w:space="0" w:color="auto"/>
            </w:tcBorders>
            <w:vAlign w:val="center"/>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7,500 to 12,500 dth </w:t>
            </w:r>
          </w:p>
        </w:tc>
        <w:tc>
          <w:tcPr>
            <w:tcW w:w="2250" w:type="dxa"/>
            <w:tcBorders>
              <w:top w:val="nil"/>
              <w:left w:val="nil"/>
              <w:bottom w:val="single" w:sz="8" w:space="0" w:color="auto"/>
              <w:right w:val="single" w:sz="8" w:space="0" w:color="auto"/>
            </w:tcBorders>
            <w:vAlign w:val="center"/>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10/1/2015</w:t>
            </w:r>
          </w:p>
        </w:tc>
      </w:tr>
    </w:tbl>
    <w:p w:rsidR="00C66643" w:rsidRPr="00C665F0" w:rsidRDefault="00C66643" w:rsidP="0072432D">
      <w:pPr>
        <w:pStyle w:val="TabbedL3"/>
        <w:numPr>
          <w:ilvl w:val="0"/>
          <w:numId w:val="0"/>
        </w:numPr>
      </w:pPr>
    </w:p>
    <w:p w:rsidR="008809F2" w:rsidRPr="00C665F0" w:rsidRDefault="00C66643" w:rsidP="0072432D">
      <w:pPr>
        <w:pStyle w:val="TabbedL4"/>
      </w:pPr>
      <w:r w:rsidRPr="00C665F0">
        <w:t>Also, as it pertains to the long-term (or fixed-price) component of its hedging program, PECO will enter into a series of hedged purchase agreements in the form set forth in CPT-5 accompanying PECO Statement No. 5 in the 2014 PGC Case.  Accordingly, PECO will make fixed-price purchases not to exceed 5,455,000 dth for the period December</w:t>
      </w:r>
      <w:r w:rsidR="00DA6D4E">
        <w:t>, </w:t>
      </w:r>
      <w:r w:rsidRPr="00C665F0">
        <w:t>2016 through November</w:t>
      </w:r>
      <w:r w:rsidR="00DA6D4E">
        <w:t>,</w:t>
      </w:r>
      <w:r w:rsidRPr="00C665F0">
        <w:t xml:space="preserve"> 2017.  This change modifies the terms of the 20</w:t>
      </w:r>
      <w:r w:rsidR="00764582">
        <w:t xml:space="preserve">12 Joint Petition in two ways: </w:t>
      </w:r>
      <w:r w:rsidRPr="00C665F0">
        <w:t>(1) instead of a 20,000 dth maximum per day, the summer maximum will be 10,000 dth per day (non-summer months (November through February) to remain at 20,000 dth per day); and (2) the number of potential counter-parties who will receive the proposal will be reduced from twenty to ten.</w:t>
      </w:r>
    </w:p>
    <w:p w:rsidR="00C66643" w:rsidRPr="00C665F0" w:rsidRDefault="00C66643" w:rsidP="009344B4">
      <w:pPr>
        <w:pStyle w:val="TabbedL2"/>
        <w:keepNext/>
        <w:keepLines/>
        <w:spacing w:after="0" w:line="360" w:lineRule="auto"/>
        <w:ind w:left="720"/>
        <w:rPr>
          <w:b/>
          <w:noProof/>
          <w:szCs w:val="24"/>
        </w:rPr>
      </w:pPr>
      <w:r w:rsidRPr="00C665F0">
        <w:rPr>
          <w:b/>
          <w:szCs w:val="24"/>
        </w:rPr>
        <w:t>Lost And Unaccounted For Gas Monitoring And Reporting</w:t>
      </w:r>
    </w:p>
    <w:p w:rsidR="00B2684A" w:rsidRPr="00C665F0" w:rsidRDefault="00B2684A" w:rsidP="009344B4">
      <w:pPr>
        <w:pStyle w:val="TabbedL2"/>
        <w:keepNext/>
        <w:keepLines/>
        <w:numPr>
          <w:ilvl w:val="0"/>
          <w:numId w:val="0"/>
        </w:numPr>
        <w:spacing w:after="0" w:line="360" w:lineRule="auto"/>
        <w:ind w:left="720" w:firstLine="720"/>
        <w:rPr>
          <w:noProof/>
          <w:szCs w:val="24"/>
        </w:rPr>
      </w:pPr>
    </w:p>
    <w:p w:rsidR="00C66643" w:rsidRPr="00C665F0" w:rsidRDefault="00C66643" w:rsidP="009344B4">
      <w:pPr>
        <w:pStyle w:val="TabbedL3"/>
        <w:ind w:left="720" w:firstLine="720"/>
        <w:rPr>
          <w:noProof/>
        </w:rPr>
      </w:pPr>
      <w:r w:rsidRPr="00C665F0">
        <w:t>In accordance with the requirements set forth in Paragraph 15 of the 2012 Joint Petition and 2013 Joint Petition, the Company has reported lost and unaccounted for gas (“LUFG”) averages for the twelve-month periods ending March 31, 2014 and June 30, 2013.  In addition, in PECO Statement No. 5, page 48, the Company provided a three-year weighted average for the periods ending March 31, 2014,</w:t>
      </w:r>
      <w:r w:rsidRPr="00C665F0">
        <w:rPr>
          <w:rStyle w:val="FootnoteReference"/>
          <w:szCs w:val="24"/>
        </w:rPr>
        <w:footnoteReference w:id="4"/>
      </w:r>
      <w:r w:rsidRPr="00C665F0">
        <w:t xml:space="preserve"> and June 30, 2013.  The calculation for weighted average LUFG volumes equaled the aggregated three-year LUFG volumes divided by the aggreg</w:t>
      </w:r>
      <w:r w:rsidR="00CE3629">
        <w:t>ated three-year supply volumes.</w:t>
      </w:r>
    </w:p>
    <w:p w:rsidR="00B2684A" w:rsidRPr="00C665F0" w:rsidRDefault="00B2684A" w:rsidP="009344B4">
      <w:pPr>
        <w:pStyle w:val="TabbedL3"/>
        <w:numPr>
          <w:ilvl w:val="0"/>
          <w:numId w:val="0"/>
        </w:numPr>
        <w:ind w:left="720" w:firstLine="720"/>
        <w:rPr>
          <w:noProof/>
        </w:rPr>
      </w:pPr>
    </w:p>
    <w:p w:rsidR="00C66643" w:rsidRDefault="00C66643" w:rsidP="009344B4">
      <w:pPr>
        <w:pStyle w:val="TabbedL3"/>
        <w:ind w:left="720" w:firstLine="720"/>
        <w:rPr>
          <w:noProof/>
        </w:rPr>
      </w:pPr>
      <w:r w:rsidRPr="00C665F0">
        <w:t>The Company has provided the parties with the average LUFG percentage for the twelve months ending June 30, 2014, and the three-year weighted average LUFG percentage for the period ending June 30, 2014.  The results of the calculations are provided in the table below:</w:t>
      </w:r>
    </w:p>
    <w:p w:rsidR="0072432D" w:rsidRPr="00C665F0" w:rsidRDefault="0072432D" w:rsidP="0072432D">
      <w:pPr>
        <w:pStyle w:val="TabbedL3"/>
        <w:numPr>
          <w:ilvl w:val="0"/>
          <w:numId w:val="0"/>
        </w:numPr>
        <w:rPr>
          <w:noProof/>
        </w:rPr>
      </w:pPr>
    </w:p>
    <w:tbl>
      <w:tblPr>
        <w:tblW w:w="7290" w:type="dxa"/>
        <w:tblInd w:w="1188" w:type="dxa"/>
        <w:tblLook w:val="04A0" w:firstRow="1" w:lastRow="0" w:firstColumn="1" w:lastColumn="0" w:noHBand="0" w:noVBand="1"/>
      </w:tblPr>
      <w:tblGrid>
        <w:gridCol w:w="2724"/>
        <w:gridCol w:w="1416"/>
        <w:gridCol w:w="1416"/>
        <w:gridCol w:w="1734"/>
      </w:tblGrid>
      <w:tr w:rsidR="00C66643" w:rsidRPr="00C665F0" w:rsidTr="00E41C21">
        <w:trPr>
          <w:trHeight w:val="900"/>
        </w:trPr>
        <w:tc>
          <w:tcPr>
            <w:tcW w:w="2724" w:type="dxa"/>
            <w:tcBorders>
              <w:top w:val="single" w:sz="4" w:space="0" w:color="auto"/>
              <w:left w:val="single" w:sz="4" w:space="0" w:color="auto"/>
              <w:bottom w:val="single" w:sz="4" w:space="0" w:color="auto"/>
              <w:right w:val="single" w:sz="4" w:space="0" w:color="auto"/>
            </w:tcBorders>
            <w:noWrap/>
            <w:vAlign w:val="bottom"/>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1416" w:type="dxa"/>
            <w:tcBorders>
              <w:top w:val="single" w:sz="4" w:space="0" w:color="auto"/>
              <w:left w:val="nil"/>
              <w:bottom w:val="single" w:sz="4" w:space="0" w:color="auto"/>
              <w:right w:val="single" w:sz="4" w:space="0" w:color="auto"/>
            </w:tcBorders>
            <w:hideMark/>
          </w:tcPr>
          <w:p w:rsidR="00C66643" w:rsidRPr="00C665F0" w:rsidRDefault="00C66643" w:rsidP="00C66643">
            <w:pPr>
              <w:spacing w:after="0" w:line="360" w:lineRule="auto"/>
              <w:rPr>
                <w:rFonts w:ascii="Times New Roman" w:hAnsi="Times New Roman" w:cs="Times New Roman"/>
                <w:b/>
                <w:color w:val="000000"/>
                <w:sz w:val="24"/>
                <w:szCs w:val="24"/>
              </w:rPr>
            </w:pPr>
            <w:r w:rsidRPr="00C665F0">
              <w:rPr>
                <w:rFonts w:ascii="Times New Roman" w:hAnsi="Times New Roman" w:cs="Times New Roman"/>
                <w:b/>
                <w:color w:val="000000"/>
                <w:sz w:val="24"/>
                <w:szCs w:val="24"/>
              </w:rPr>
              <w:t>Sendout in MCF</w:t>
            </w:r>
          </w:p>
        </w:tc>
        <w:tc>
          <w:tcPr>
            <w:tcW w:w="1416" w:type="dxa"/>
            <w:tcBorders>
              <w:top w:val="single" w:sz="4" w:space="0" w:color="auto"/>
              <w:left w:val="nil"/>
              <w:bottom w:val="single" w:sz="4" w:space="0" w:color="auto"/>
              <w:right w:val="single" w:sz="4" w:space="0" w:color="auto"/>
            </w:tcBorders>
            <w:hideMark/>
          </w:tcPr>
          <w:p w:rsidR="00C66643" w:rsidRPr="00C665F0" w:rsidRDefault="00C66643" w:rsidP="00C66643">
            <w:pPr>
              <w:spacing w:after="0" w:line="360" w:lineRule="auto"/>
              <w:rPr>
                <w:rFonts w:ascii="Times New Roman" w:hAnsi="Times New Roman" w:cs="Times New Roman"/>
                <w:b/>
                <w:color w:val="000000"/>
                <w:sz w:val="24"/>
                <w:szCs w:val="24"/>
              </w:rPr>
            </w:pPr>
            <w:r w:rsidRPr="00C665F0">
              <w:rPr>
                <w:rFonts w:ascii="Times New Roman" w:hAnsi="Times New Roman" w:cs="Times New Roman"/>
                <w:b/>
                <w:color w:val="000000"/>
                <w:sz w:val="24"/>
                <w:szCs w:val="24"/>
              </w:rPr>
              <w:t>Billed Sales in MCF</w:t>
            </w:r>
          </w:p>
        </w:tc>
        <w:tc>
          <w:tcPr>
            <w:tcW w:w="1734" w:type="dxa"/>
            <w:tcBorders>
              <w:top w:val="single" w:sz="4" w:space="0" w:color="auto"/>
              <w:left w:val="nil"/>
              <w:bottom w:val="single" w:sz="4" w:space="0" w:color="auto"/>
              <w:right w:val="single" w:sz="4" w:space="0" w:color="auto"/>
            </w:tcBorders>
            <w:hideMark/>
          </w:tcPr>
          <w:p w:rsidR="00C66643" w:rsidRPr="00C665F0" w:rsidRDefault="00C66643" w:rsidP="00C66643">
            <w:pPr>
              <w:spacing w:after="0" w:line="360" w:lineRule="auto"/>
              <w:rPr>
                <w:rFonts w:ascii="Times New Roman" w:hAnsi="Times New Roman" w:cs="Times New Roman"/>
                <w:b/>
                <w:color w:val="000000"/>
                <w:sz w:val="24"/>
                <w:szCs w:val="24"/>
              </w:rPr>
            </w:pPr>
            <w:r w:rsidRPr="00C665F0">
              <w:rPr>
                <w:rFonts w:ascii="Times New Roman" w:hAnsi="Times New Roman" w:cs="Times New Roman"/>
                <w:b/>
                <w:color w:val="000000"/>
                <w:sz w:val="24"/>
                <w:szCs w:val="24"/>
              </w:rPr>
              <w:t>UFG</w:t>
            </w:r>
          </w:p>
        </w:tc>
      </w:tr>
      <w:tr w:rsidR="00C66643" w:rsidRPr="00C665F0" w:rsidTr="00E41C21">
        <w:trPr>
          <w:trHeight w:val="300"/>
        </w:trPr>
        <w:tc>
          <w:tcPr>
            <w:tcW w:w="2724" w:type="dxa"/>
            <w:tcBorders>
              <w:top w:val="nil"/>
              <w:left w:val="single" w:sz="4" w:space="0" w:color="auto"/>
              <w:bottom w:val="single" w:sz="4" w:space="0" w:color="auto"/>
              <w:right w:val="single" w:sz="4" w:space="0" w:color="auto"/>
            </w:tcBorders>
            <w:noWrap/>
            <w:vAlign w:val="bottom"/>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12 months ending 6/30/2012</w:t>
            </w:r>
          </w:p>
        </w:tc>
        <w:tc>
          <w:tcPr>
            <w:tcW w:w="1416" w:type="dxa"/>
            <w:tcBorders>
              <w:top w:val="nil"/>
              <w:left w:val="nil"/>
              <w:bottom w:val="single" w:sz="4" w:space="0" w:color="auto"/>
              <w:right w:val="single" w:sz="4" w:space="0" w:color="auto"/>
            </w:tcBorders>
            <w:noWrap/>
            <w:vAlign w:val="bottom"/>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76,175,821</w:t>
            </w:r>
          </w:p>
        </w:tc>
        <w:tc>
          <w:tcPr>
            <w:tcW w:w="1416" w:type="dxa"/>
            <w:tcBorders>
              <w:top w:val="nil"/>
              <w:left w:val="nil"/>
              <w:bottom w:val="single" w:sz="4" w:space="0" w:color="auto"/>
              <w:right w:val="single" w:sz="4" w:space="0" w:color="auto"/>
            </w:tcBorders>
            <w:noWrap/>
            <w:vAlign w:val="bottom"/>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73,750,184</w:t>
            </w:r>
          </w:p>
        </w:tc>
        <w:tc>
          <w:tcPr>
            <w:tcW w:w="1734" w:type="dxa"/>
            <w:tcBorders>
              <w:top w:val="nil"/>
              <w:left w:val="nil"/>
              <w:bottom w:val="single" w:sz="4" w:space="0" w:color="auto"/>
              <w:right w:val="single" w:sz="4" w:space="0" w:color="auto"/>
            </w:tcBorders>
            <w:noWrap/>
            <w:vAlign w:val="bottom"/>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3.2%</w:t>
            </w:r>
          </w:p>
        </w:tc>
      </w:tr>
      <w:tr w:rsidR="00C66643" w:rsidRPr="00C665F0" w:rsidTr="00E41C21">
        <w:trPr>
          <w:trHeight w:val="300"/>
        </w:trPr>
        <w:tc>
          <w:tcPr>
            <w:tcW w:w="2724" w:type="dxa"/>
            <w:tcBorders>
              <w:top w:val="nil"/>
              <w:left w:val="single" w:sz="4" w:space="0" w:color="auto"/>
              <w:bottom w:val="single" w:sz="4" w:space="0" w:color="auto"/>
              <w:right w:val="single" w:sz="4" w:space="0" w:color="auto"/>
            </w:tcBorders>
            <w:noWrap/>
            <w:vAlign w:val="bottom"/>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12 months ending 6/30/2013</w:t>
            </w:r>
          </w:p>
        </w:tc>
        <w:tc>
          <w:tcPr>
            <w:tcW w:w="1416" w:type="dxa"/>
            <w:tcBorders>
              <w:top w:val="nil"/>
              <w:left w:val="nil"/>
              <w:bottom w:val="single" w:sz="4" w:space="0" w:color="auto"/>
              <w:right w:val="single" w:sz="4" w:space="0" w:color="auto"/>
            </w:tcBorders>
            <w:noWrap/>
            <w:vAlign w:val="bottom"/>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86,718,415</w:t>
            </w:r>
          </w:p>
        </w:tc>
        <w:tc>
          <w:tcPr>
            <w:tcW w:w="1416" w:type="dxa"/>
            <w:tcBorders>
              <w:top w:val="nil"/>
              <w:left w:val="nil"/>
              <w:bottom w:val="single" w:sz="4" w:space="0" w:color="auto"/>
              <w:right w:val="single" w:sz="4" w:space="0" w:color="auto"/>
            </w:tcBorders>
            <w:noWrap/>
            <w:vAlign w:val="bottom"/>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84,014,016</w:t>
            </w:r>
          </w:p>
        </w:tc>
        <w:tc>
          <w:tcPr>
            <w:tcW w:w="1734" w:type="dxa"/>
            <w:tcBorders>
              <w:top w:val="nil"/>
              <w:left w:val="nil"/>
              <w:bottom w:val="single" w:sz="4" w:space="0" w:color="auto"/>
              <w:right w:val="single" w:sz="4" w:space="0" w:color="auto"/>
            </w:tcBorders>
            <w:noWrap/>
            <w:vAlign w:val="bottom"/>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3.1%</w:t>
            </w:r>
          </w:p>
        </w:tc>
      </w:tr>
      <w:tr w:rsidR="00C66643" w:rsidRPr="00C665F0" w:rsidTr="00E41C21">
        <w:trPr>
          <w:trHeight w:val="300"/>
        </w:trPr>
        <w:tc>
          <w:tcPr>
            <w:tcW w:w="2724" w:type="dxa"/>
            <w:tcBorders>
              <w:top w:val="nil"/>
              <w:left w:val="single" w:sz="4" w:space="0" w:color="auto"/>
              <w:bottom w:val="single" w:sz="4" w:space="0" w:color="auto"/>
              <w:right w:val="single" w:sz="4" w:space="0" w:color="auto"/>
            </w:tcBorders>
            <w:noWrap/>
            <w:vAlign w:val="bottom"/>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12 months ending 6/30/2014</w:t>
            </w:r>
          </w:p>
        </w:tc>
        <w:tc>
          <w:tcPr>
            <w:tcW w:w="1416" w:type="dxa"/>
            <w:tcBorders>
              <w:top w:val="nil"/>
              <w:left w:val="nil"/>
              <w:bottom w:val="single" w:sz="4" w:space="0" w:color="auto"/>
              <w:right w:val="single" w:sz="4" w:space="0" w:color="auto"/>
            </w:tcBorders>
            <w:noWrap/>
            <w:vAlign w:val="bottom"/>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94,619,636</w:t>
            </w:r>
          </w:p>
        </w:tc>
        <w:tc>
          <w:tcPr>
            <w:tcW w:w="1416" w:type="dxa"/>
            <w:tcBorders>
              <w:top w:val="nil"/>
              <w:left w:val="nil"/>
              <w:bottom w:val="single" w:sz="4" w:space="0" w:color="auto"/>
              <w:right w:val="single" w:sz="4" w:space="0" w:color="auto"/>
            </w:tcBorders>
            <w:noWrap/>
            <w:vAlign w:val="bottom"/>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90,882,251</w:t>
            </w:r>
          </w:p>
        </w:tc>
        <w:tc>
          <w:tcPr>
            <w:tcW w:w="1734" w:type="dxa"/>
            <w:tcBorders>
              <w:top w:val="nil"/>
              <w:left w:val="nil"/>
              <w:bottom w:val="single" w:sz="4" w:space="0" w:color="auto"/>
              <w:right w:val="single" w:sz="4" w:space="0" w:color="auto"/>
            </w:tcBorders>
            <w:noWrap/>
            <w:vAlign w:val="bottom"/>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3.9%</w:t>
            </w:r>
          </w:p>
        </w:tc>
      </w:tr>
      <w:tr w:rsidR="00C66643" w:rsidRPr="00C665F0" w:rsidTr="00E41C21">
        <w:trPr>
          <w:trHeight w:val="300"/>
        </w:trPr>
        <w:tc>
          <w:tcPr>
            <w:tcW w:w="2724" w:type="dxa"/>
            <w:tcBorders>
              <w:top w:val="nil"/>
              <w:left w:val="single" w:sz="4" w:space="0" w:color="auto"/>
              <w:bottom w:val="single" w:sz="4" w:space="0" w:color="auto"/>
              <w:right w:val="single" w:sz="4" w:space="0" w:color="auto"/>
            </w:tcBorders>
            <w:noWrap/>
            <w:vAlign w:val="bottom"/>
            <w:hideMark/>
          </w:tcPr>
          <w:p w:rsidR="00C66643" w:rsidRPr="00C665F0" w:rsidRDefault="00C66643" w:rsidP="00C66643">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36 months ending 6/30/2014</w:t>
            </w:r>
          </w:p>
        </w:tc>
        <w:tc>
          <w:tcPr>
            <w:tcW w:w="1416" w:type="dxa"/>
            <w:tcBorders>
              <w:top w:val="nil"/>
              <w:left w:val="nil"/>
              <w:bottom w:val="single" w:sz="4" w:space="0" w:color="auto"/>
              <w:right w:val="single" w:sz="4" w:space="0" w:color="auto"/>
            </w:tcBorders>
            <w:noWrap/>
            <w:vAlign w:val="bottom"/>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257,513,872</w:t>
            </w:r>
          </w:p>
        </w:tc>
        <w:tc>
          <w:tcPr>
            <w:tcW w:w="1416" w:type="dxa"/>
            <w:tcBorders>
              <w:top w:val="nil"/>
              <w:left w:val="nil"/>
              <w:bottom w:val="single" w:sz="4" w:space="0" w:color="auto"/>
              <w:right w:val="single" w:sz="4" w:space="0" w:color="auto"/>
            </w:tcBorders>
            <w:noWrap/>
            <w:vAlign w:val="bottom"/>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248,646,451</w:t>
            </w:r>
          </w:p>
        </w:tc>
        <w:tc>
          <w:tcPr>
            <w:tcW w:w="1734" w:type="dxa"/>
            <w:tcBorders>
              <w:top w:val="nil"/>
              <w:left w:val="nil"/>
              <w:bottom w:val="single" w:sz="4" w:space="0" w:color="auto"/>
              <w:right w:val="single" w:sz="4" w:space="0" w:color="auto"/>
            </w:tcBorders>
            <w:noWrap/>
            <w:vAlign w:val="bottom"/>
            <w:hideMark/>
          </w:tcPr>
          <w:p w:rsidR="00C66643" w:rsidRPr="00C665F0" w:rsidRDefault="00C66643" w:rsidP="00C66643">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3.4%</w:t>
            </w:r>
          </w:p>
        </w:tc>
      </w:tr>
    </w:tbl>
    <w:p w:rsidR="00C66643" w:rsidRPr="00C665F0" w:rsidRDefault="00C66643" w:rsidP="0072432D">
      <w:pPr>
        <w:pStyle w:val="TabbedL3"/>
        <w:numPr>
          <w:ilvl w:val="0"/>
          <w:numId w:val="0"/>
        </w:numPr>
        <w:ind w:left="1440"/>
        <w:rPr>
          <w:noProof/>
        </w:rPr>
      </w:pPr>
    </w:p>
    <w:p w:rsidR="00C66643" w:rsidRPr="00C665F0" w:rsidRDefault="00C66643" w:rsidP="009344B4">
      <w:pPr>
        <w:pStyle w:val="TabbedL3"/>
        <w:ind w:left="720" w:firstLine="720"/>
        <w:rPr>
          <w:noProof/>
        </w:rPr>
      </w:pPr>
      <w:r w:rsidRPr="00C665F0">
        <w:t>The Company shall continue to monitor its average LUFG percentages and will report the following perce</w:t>
      </w:r>
      <w:r w:rsidR="0072432D">
        <w:t xml:space="preserve">ntages in its 2015 PGC filing: </w:t>
      </w:r>
      <w:r w:rsidRPr="00C665F0">
        <w:t>a three-year weighted average for the period ending March 31, 2015, the twelve-month aver</w:t>
      </w:r>
      <w:r w:rsidR="0072432D">
        <w:t>age for the periods ending June </w:t>
      </w:r>
      <w:r w:rsidRPr="00C665F0">
        <w:t>3</w:t>
      </w:r>
      <w:r w:rsidR="0072432D">
        <w:t>0, </w:t>
      </w:r>
      <w:r w:rsidRPr="00C665F0">
        <w:t>2014 and June 30, 2015, and the three-year weighted ave</w:t>
      </w:r>
      <w:r w:rsidR="0072432D">
        <w:t xml:space="preserve">rage for the period ending June, </w:t>
      </w:r>
      <w:r w:rsidRPr="00C665F0">
        <w:t>2015 (when the 2015 data becomes available).  The calculation for weighted LUFG volumes will equal the aggregated three-year LUFG volumes divided by the aggregated three-year supply volumes.  The Company expects the June</w:t>
      </w:r>
      <w:r w:rsidR="0072432D">
        <w:t>,</w:t>
      </w:r>
      <w:r w:rsidRPr="00C665F0">
        <w:t xml:space="preserve"> 2015 data to be available in mid-July</w:t>
      </w:r>
      <w:r w:rsidR="0072432D">
        <w:t>, 2015.</w:t>
      </w:r>
    </w:p>
    <w:p w:rsidR="00B2684A" w:rsidRPr="00C665F0" w:rsidRDefault="00B2684A" w:rsidP="0072432D">
      <w:pPr>
        <w:pStyle w:val="TabbedL3"/>
        <w:numPr>
          <w:ilvl w:val="0"/>
          <w:numId w:val="0"/>
        </w:numPr>
        <w:ind w:left="1440"/>
        <w:rPr>
          <w:noProof/>
        </w:rPr>
      </w:pPr>
    </w:p>
    <w:p w:rsidR="00C66643" w:rsidRPr="00C665F0" w:rsidRDefault="0004003B" w:rsidP="009344B4">
      <w:pPr>
        <w:pStyle w:val="TabbedL2"/>
        <w:keepNext/>
        <w:keepLines/>
        <w:spacing w:after="0" w:line="360" w:lineRule="auto"/>
        <w:ind w:left="720"/>
        <w:rPr>
          <w:b/>
          <w:noProof/>
          <w:szCs w:val="24"/>
        </w:rPr>
      </w:pPr>
      <w:r>
        <w:rPr>
          <w:b/>
          <w:szCs w:val="24"/>
        </w:rPr>
        <w:t>Retainage</w:t>
      </w:r>
    </w:p>
    <w:p w:rsidR="00B2684A" w:rsidRPr="00C665F0" w:rsidRDefault="00B2684A" w:rsidP="009344B4">
      <w:pPr>
        <w:pStyle w:val="TabbedL2"/>
        <w:keepNext/>
        <w:keepLines/>
        <w:numPr>
          <w:ilvl w:val="0"/>
          <w:numId w:val="0"/>
        </w:numPr>
        <w:spacing w:after="0" w:line="360" w:lineRule="auto"/>
        <w:ind w:left="720" w:firstLine="720"/>
        <w:rPr>
          <w:noProof/>
          <w:szCs w:val="24"/>
        </w:rPr>
      </w:pPr>
    </w:p>
    <w:p w:rsidR="00C66643" w:rsidRPr="00C665F0" w:rsidRDefault="00C66643" w:rsidP="009344B4">
      <w:pPr>
        <w:spacing w:after="0" w:line="360" w:lineRule="auto"/>
        <w:ind w:left="720" w:firstLine="720"/>
        <w:rPr>
          <w:rFonts w:ascii="Times New Roman" w:hAnsi="Times New Roman" w:cs="Times New Roman"/>
          <w:sz w:val="24"/>
          <w:szCs w:val="24"/>
        </w:rPr>
      </w:pPr>
      <w:r w:rsidRPr="00C665F0">
        <w:rPr>
          <w:rFonts w:ascii="Times New Roman" w:hAnsi="Times New Roman" w:cs="Times New Roman"/>
          <w:sz w:val="24"/>
          <w:szCs w:val="24"/>
        </w:rPr>
        <w:t>The retainage volume adjustment rate for transport</w:t>
      </w:r>
      <w:r w:rsidR="00AE2AB8">
        <w:rPr>
          <w:rFonts w:ascii="Times New Roman" w:hAnsi="Times New Roman" w:cs="Times New Roman"/>
          <w:sz w:val="24"/>
          <w:szCs w:val="24"/>
        </w:rPr>
        <w:t>ation service customers will be</w:t>
      </w:r>
      <w:r w:rsidR="00680969">
        <w:rPr>
          <w:rFonts w:ascii="Times New Roman" w:hAnsi="Times New Roman" w:cs="Times New Roman"/>
          <w:sz w:val="24"/>
          <w:szCs w:val="24"/>
        </w:rPr>
        <w:t> </w:t>
      </w:r>
      <w:r w:rsidRPr="00C665F0">
        <w:rPr>
          <w:rFonts w:ascii="Times New Roman" w:hAnsi="Times New Roman" w:cs="Times New Roman"/>
          <w:sz w:val="24"/>
          <w:szCs w:val="24"/>
        </w:rPr>
        <w:t>3.4% for the twelve months beginning December 1, 2014 and ending November 30, 2015, as shown on the tariff pages attached hereto as Appendix C.  The retainage volume adjustment rate for the twelve-month period ending November 30, 2015 was calculated in accordance with the terms set forth in Paragraph 16 of the 2012 Joint Petition and 2013 Joint Petition.  In addition, the Parties agree that the appropriate retainage rate for the periods after November 30, 2015 will be subject to review in subsequent annua</w:t>
      </w:r>
      <w:r w:rsidR="00FD6220">
        <w:rPr>
          <w:rFonts w:ascii="Times New Roman" w:hAnsi="Times New Roman" w:cs="Times New Roman"/>
          <w:sz w:val="24"/>
          <w:szCs w:val="24"/>
        </w:rPr>
        <w:t>l Section 1307(f) proceedings.</w:t>
      </w:r>
    </w:p>
    <w:p w:rsidR="00B2684A" w:rsidRPr="00C665F0" w:rsidRDefault="00B2684A" w:rsidP="009344B4">
      <w:pPr>
        <w:spacing w:after="0" w:line="360" w:lineRule="auto"/>
        <w:ind w:left="720" w:firstLine="720"/>
        <w:rPr>
          <w:rFonts w:ascii="Times New Roman" w:hAnsi="Times New Roman" w:cs="Times New Roman"/>
          <w:b/>
          <w:sz w:val="24"/>
          <w:szCs w:val="24"/>
        </w:rPr>
      </w:pPr>
    </w:p>
    <w:p w:rsidR="00C66643" w:rsidRPr="00C665F0" w:rsidRDefault="00C66643" w:rsidP="009344B4">
      <w:pPr>
        <w:pStyle w:val="TabbedL2"/>
        <w:spacing w:after="0" w:line="360" w:lineRule="auto"/>
        <w:ind w:left="720"/>
        <w:rPr>
          <w:b/>
          <w:noProof/>
          <w:szCs w:val="24"/>
        </w:rPr>
      </w:pPr>
      <w:r w:rsidRPr="00C665F0">
        <w:rPr>
          <w:b/>
          <w:noProof/>
          <w:szCs w:val="24"/>
        </w:rPr>
        <w:t>Off-System Sales/Capacity Release Sharing</w:t>
      </w:r>
    </w:p>
    <w:p w:rsidR="00B2684A" w:rsidRPr="00C665F0" w:rsidRDefault="00B2684A" w:rsidP="009344B4">
      <w:pPr>
        <w:pStyle w:val="TabbedL2"/>
        <w:numPr>
          <w:ilvl w:val="0"/>
          <w:numId w:val="0"/>
        </w:numPr>
        <w:spacing w:after="0" w:line="360" w:lineRule="auto"/>
        <w:ind w:left="720" w:firstLine="720"/>
        <w:rPr>
          <w:b/>
          <w:noProof/>
          <w:szCs w:val="24"/>
        </w:rPr>
      </w:pPr>
    </w:p>
    <w:p w:rsidR="00C66643" w:rsidRPr="00C665F0" w:rsidRDefault="00C66643" w:rsidP="009344B4">
      <w:pPr>
        <w:pStyle w:val="BodyText"/>
        <w:spacing w:line="360" w:lineRule="auto"/>
        <w:ind w:left="720" w:firstLine="720"/>
        <w:rPr>
          <w:szCs w:val="24"/>
        </w:rPr>
      </w:pPr>
      <w:r w:rsidRPr="00C665F0">
        <w:rPr>
          <w:szCs w:val="24"/>
        </w:rPr>
        <w:t>In the 2013 Joint Petition, PECO agreed to retain 25% of margin revenues through November 30, 2016.  The Company will extend the off-</w:t>
      </w:r>
      <w:r w:rsidR="00C52586">
        <w:rPr>
          <w:szCs w:val="24"/>
        </w:rPr>
        <w:t>system sharing mechanism at the </w:t>
      </w:r>
      <w:r w:rsidRPr="00C665F0">
        <w:rPr>
          <w:szCs w:val="24"/>
        </w:rPr>
        <w:t>25% r</w:t>
      </w:r>
      <w:r w:rsidR="00C52586">
        <w:rPr>
          <w:szCs w:val="24"/>
        </w:rPr>
        <w:t>ate through November 30, 2017.</w:t>
      </w:r>
    </w:p>
    <w:p w:rsidR="00B2684A" w:rsidRPr="00C665F0" w:rsidRDefault="00B2684A" w:rsidP="009344B4">
      <w:pPr>
        <w:pStyle w:val="BodyText"/>
        <w:spacing w:line="360" w:lineRule="auto"/>
        <w:ind w:left="720" w:firstLine="720"/>
        <w:rPr>
          <w:b/>
          <w:noProof/>
          <w:szCs w:val="24"/>
        </w:rPr>
      </w:pPr>
    </w:p>
    <w:p w:rsidR="00C66643" w:rsidRPr="00C665F0" w:rsidRDefault="00C66643" w:rsidP="009344B4">
      <w:pPr>
        <w:pStyle w:val="TabbedL2"/>
        <w:spacing w:after="0" w:line="360" w:lineRule="auto"/>
        <w:ind w:left="720"/>
        <w:rPr>
          <w:b/>
          <w:szCs w:val="24"/>
        </w:rPr>
      </w:pPr>
      <w:r w:rsidRPr="00C665F0">
        <w:rPr>
          <w:b/>
          <w:szCs w:val="24"/>
        </w:rPr>
        <w:t>Cost Recovery For Price Analysis And Buying Advisory Service</w:t>
      </w:r>
    </w:p>
    <w:p w:rsidR="00B2684A" w:rsidRPr="00C665F0" w:rsidRDefault="00B2684A" w:rsidP="009344B4">
      <w:pPr>
        <w:pStyle w:val="TabbedL2"/>
        <w:numPr>
          <w:ilvl w:val="0"/>
          <w:numId w:val="0"/>
        </w:numPr>
        <w:spacing w:after="0" w:line="360" w:lineRule="auto"/>
        <w:ind w:left="720" w:firstLine="720"/>
        <w:rPr>
          <w:szCs w:val="24"/>
        </w:rPr>
      </w:pPr>
    </w:p>
    <w:p w:rsidR="00C66643" w:rsidRPr="00C665F0" w:rsidRDefault="00C66643" w:rsidP="009344B4">
      <w:pPr>
        <w:pStyle w:val="BodyText"/>
        <w:spacing w:line="360" w:lineRule="auto"/>
        <w:ind w:left="720" w:firstLine="720"/>
        <w:rPr>
          <w:noProof/>
          <w:szCs w:val="24"/>
        </w:rPr>
      </w:pPr>
      <w:r w:rsidRPr="00C665F0">
        <w:rPr>
          <w:szCs w:val="24"/>
        </w:rPr>
        <w:t>PECO will be permitted to recover, as part of its purchased gas costs approved through this proceeding, the annual fee, not to exceed $125,000, to Planalytics</w:t>
      </w:r>
      <w:r w:rsidRPr="00C665F0">
        <w:rPr>
          <w:szCs w:val="24"/>
          <w:vertAlign w:val="superscript"/>
        </w:rPr>
        <w:t>®</w:t>
      </w:r>
      <w:r w:rsidRPr="00C665F0">
        <w:rPr>
          <w:szCs w:val="24"/>
        </w:rPr>
        <w:t xml:space="preserve"> for PECO’s use of its EnergyBuyer</w:t>
      </w:r>
      <w:r w:rsidRPr="00C665F0">
        <w:rPr>
          <w:noProof/>
          <w:szCs w:val="24"/>
          <w:vertAlign w:val="superscript"/>
        </w:rPr>
        <w:t>SM</w:t>
      </w:r>
      <w:r w:rsidRPr="00C665F0">
        <w:rPr>
          <w:noProof/>
          <w:szCs w:val="24"/>
        </w:rPr>
        <w:t xml:space="preserve"> price analysis and advisory service for the period beginning June 1, 2014 and ending May 31, 2015.</w:t>
      </w:r>
      <w:r w:rsidRPr="00C665F0">
        <w:rPr>
          <w:rStyle w:val="FootnoteReference"/>
          <w:noProof/>
          <w:szCs w:val="24"/>
        </w:rPr>
        <w:footnoteReference w:id="5"/>
      </w:r>
    </w:p>
    <w:p w:rsidR="00B2684A" w:rsidRPr="00C665F0" w:rsidRDefault="00B2684A" w:rsidP="009857B5">
      <w:pPr>
        <w:tabs>
          <w:tab w:val="left" w:pos="1980"/>
        </w:tabs>
        <w:spacing w:after="0" w:line="360" w:lineRule="auto"/>
        <w:ind w:firstLine="1440"/>
        <w:rPr>
          <w:rFonts w:ascii="Times New Roman" w:eastAsia="Times New Roman" w:hAnsi="Times New Roman" w:cs="Times New Roman"/>
          <w:noProof/>
          <w:sz w:val="24"/>
          <w:szCs w:val="24"/>
        </w:rPr>
      </w:pPr>
      <w:r w:rsidRPr="00C665F0">
        <w:rPr>
          <w:rFonts w:ascii="Times New Roman" w:eastAsia="Times New Roman" w:hAnsi="Times New Roman" w:cs="Times New Roman"/>
          <w:noProof/>
          <w:sz w:val="24"/>
          <w:szCs w:val="24"/>
        </w:rPr>
        <w:t xml:space="preserve">In addition, the Settlement contains the standard provision in Section VI that the settlement agreement is made without prejudice to each party’s litigation position, that it is conditioned upon the Commission’s approval of the agreement without modification, that the parties agree to waive the filing of exceptions and reply exceptions if it is recommended that the Commission adopt the settlent without modification, that if the Commission fails to grant approval of the Joint </w:t>
      </w:r>
      <w:r w:rsidR="00C75BFC" w:rsidRPr="00C665F0">
        <w:rPr>
          <w:rFonts w:ascii="Times New Roman" w:eastAsia="Times New Roman" w:hAnsi="Times New Roman" w:cs="Times New Roman"/>
          <w:noProof/>
          <w:sz w:val="24"/>
          <w:szCs w:val="24"/>
        </w:rPr>
        <w:t>Petition or modifies</w:t>
      </w:r>
      <w:r w:rsidRPr="00C665F0">
        <w:rPr>
          <w:rFonts w:ascii="Times New Roman" w:eastAsia="Times New Roman" w:hAnsi="Times New Roman" w:cs="Times New Roman"/>
          <w:noProof/>
          <w:sz w:val="24"/>
          <w:szCs w:val="24"/>
        </w:rPr>
        <w:t xml:space="preserve"> the settlement any party may elect to withdraw</w:t>
      </w:r>
      <w:r w:rsidR="00C75BFC" w:rsidRPr="00C665F0">
        <w:rPr>
          <w:rFonts w:ascii="Times New Roman" w:eastAsia="Times New Roman" w:hAnsi="Times New Roman" w:cs="Times New Roman"/>
          <w:noProof/>
          <w:sz w:val="24"/>
          <w:szCs w:val="24"/>
        </w:rPr>
        <w:t xml:space="preserve"> </w:t>
      </w:r>
      <w:r w:rsidRPr="00C665F0">
        <w:rPr>
          <w:rFonts w:ascii="Times New Roman" w:eastAsia="Times New Roman" w:hAnsi="Times New Roman" w:cs="Times New Roman"/>
          <w:noProof/>
          <w:sz w:val="24"/>
          <w:szCs w:val="24"/>
        </w:rPr>
        <w:t>from the settlement upon written notice to the Commission and the other parties within five business days of the entry of the Commission order, and in that case, the settlement will be of no force and effect and each party reserves its right to fully litigate the case.  See, Paragraphs 34-</w:t>
      </w:r>
      <w:r w:rsidR="00C75BFC" w:rsidRPr="00C665F0">
        <w:rPr>
          <w:rFonts w:ascii="Times New Roman" w:eastAsia="Times New Roman" w:hAnsi="Times New Roman" w:cs="Times New Roman"/>
          <w:noProof/>
          <w:sz w:val="24"/>
          <w:szCs w:val="24"/>
        </w:rPr>
        <w:t>40</w:t>
      </w:r>
      <w:r w:rsidRPr="00C665F0">
        <w:rPr>
          <w:rFonts w:ascii="Times New Roman" w:eastAsia="Times New Roman" w:hAnsi="Times New Roman" w:cs="Times New Roman"/>
          <w:noProof/>
          <w:sz w:val="24"/>
          <w:szCs w:val="24"/>
        </w:rPr>
        <w:t>.</w:t>
      </w:r>
    </w:p>
    <w:p w:rsidR="00C75BFC" w:rsidRPr="00C665F0" w:rsidRDefault="00C75BFC" w:rsidP="00B2684A">
      <w:pPr>
        <w:tabs>
          <w:tab w:val="left" w:pos="1980"/>
        </w:tabs>
        <w:spacing w:after="0" w:line="360" w:lineRule="auto"/>
        <w:ind w:firstLine="1440"/>
        <w:rPr>
          <w:rFonts w:ascii="Times New Roman" w:eastAsia="Times New Roman" w:hAnsi="Times New Roman" w:cs="Times New Roman"/>
          <w:noProof/>
          <w:sz w:val="24"/>
          <w:szCs w:val="24"/>
        </w:rPr>
      </w:pPr>
    </w:p>
    <w:p w:rsidR="00C75BFC" w:rsidRPr="00C665F0" w:rsidRDefault="00C75BFC" w:rsidP="00C75BFC">
      <w:pPr>
        <w:autoSpaceDE w:val="0"/>
        <w:autoSpaceDN w:val="0"/>
        <w:spacing w:after="0" w:line="360" w:lineRule="auto"/>
        <w:jc w:val="center"/>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IV.</w:t>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u w:val="single"/>
        </w:rPr>
        <w:t>DISCUSSION</w:t>
      </w:r>
      <w:r w:rsidR="00E76147">
        <w:rPr>
          <w:rFonts w:ascii="Times New Roman" w:eastAsia="Times New Roman" w:hAnsi="Times New Roman" w:cs="Times New Roman"/>
          <w:sz w:val="24"/>
          <w:szCs w:val="24"/>
          <w:u w:val="single"/>
        </w:rPr>
        <w:fldChar w:fldCharType="begin"/>
      </w:r>
      <w:r w:rsidR="00E76147">
        <w:instrText xml:space="preserve"> TC "</w:instrText>
      </w:r>
      <w:r w:rsidR="00E76147" w:rsidRPr="00675577">
        <w:rPr>
          <w:rFonts w:ascii="Times New Roman" w:eastAsia="Times New Roman" w:hAnsi="Times New Roman" w:cs="Times New Roman"/>
          <w:sz w:val="24"/>
          <w:szCs w:val="24"/>
        </w:rPr>
        <w:instrText>IV.</w:instrText>
      </w:r>
      <w:r w:rsidR="00E76147" w:rsidRPr="00675577">
        <w:rPr>
          <w:rFonts w:ascii="Times New Roman" w:eastAsia="Times New Roman" w:hAnsi="Times New Roman" w:cs="Times New Roman"/>
          <w:sz w:val="24"/>
          <w:szCs w:val="24"/>
        </w:rPr>
        <w:tab/>
      </w:r>
      <w:r w:rsidR="00E76147" w:rsidRPr="00675577">
        <w:rPr>
          <w:rFonts w:ascii="Times New Roman" w:eastAsia="Times New Roman" w:hAnsi="Times New Roman" w:cs="Times New Roman"/>
          <w:sz w:val="24"/>
          <w:szCs w:val="24"/>
          <w:u w:val="single"/>
        </w:rPr>
        <w:instrText>DISCUSSION</w:instrText>
      </w:r>
      <w:r w:rsidR="00E76147">
        <w:instrText xml:space="preserve">" \f C \l "1" </w:instrText>
      </w:r>
      <w:r w:rsidR="00E76147">
        <w:rPr>
          <w:rFonts w:ascii="Times New Roman" w:eastAsia="Times New Roman" w:hAnsi="Times New Roman" w:cs="Times New Roman"/>
          <w:sz w:val="24"/>
          <w:szCs w:val="24"/>
          <w:u w:val="single"/>
        </w:rPr>
        <w:fldChar w:fldCharType="end"/>
      </w:r>
    </w:p>
    <w:p w:rsidR="00C75BFC" w:rsidRPr="00C665F0" w:rsidRDefault="00C75BFC" w:rsidP="00C75BFC">
      <w:pPr>
        <w:autoSpaceDE w:val="0"/>
        <w:autoSpaceDN w:val="0"/>
        <w:spacing w:after="0" w:line="360" w:lineRule="auto"/>
        <w:rPr>
          <w:rFonts w:ascii="Times New Roman" w:eastAsia="Times New Roman" w:hAnsi="Times New Roman" w:cs="Times New Roman"/>
          <w:sz w:val="24"/>
          <w:szCs w:val="24"/>
        </w:rPr>
      </w:pPr>
    </w:p>
    <w:p w:rsidR="00C75BFC" w:rsidRPr="00C665F0" w:rsidRDefault="00C75BFC" w:rsidP="00C75BFC">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Section 1307(f)(5) of the Pub</w:t>
      </w:r>
      <w:r w:rsidR="00364682" w:rsidRPr="00C665F0">
        <w:rPr>
          <w:rFonts w:ascii="Times New Roman" w:eastAsia="Times New Roman" w:hAnsi="Times New Roman" w:cs="Times New Roman"/>
          <w:sz w:val="24"/>
          <w:szCs w:val="24"/>
        </w:rPr>
        <w:t>lic Utility Code (Code), 66 Pa.</w:t>
      </w:r>
      <w:r w:rsidRPr="00C665F0">
        <w:rPr>
          <w:rFonts w:ascii="Times New Roman" w:eastAsia="Times New Roman" w:hAnsi="Times New Roman" w:cs="Times New Roman"/>
          <w:sz w:val="24"/>
          <w:szCs w:val="24"/>
        </w:rPr>
        <w:t>C.S.</w:t>
      </w:r>
      <w:r w:rsidR="00364682" w:rsidRPr="00C665F0">
        <w:rPr>
          <w:rFonts w:ascii="Times New Roman" w:eastAsia="Times New Roman" w:hAnsi="Times New Roman" w:cs="Times New Roman"/>
          <w:sz w:val="24"/>
          <w:szCs w:val="24"/>
        </w:rPr>
        <w:t>A.</w:t>
      </w:r>
      <w:r w:rsidRPr="00C665F0">
        <w:rPr>
          <w:rFonts w:ascii="Times New Roman" w:eastAsia="Times New Roman" w:hAnsi="Times New Roman" w:cs="Times New Roman"/>
          <w:sz w:val="24"/>
          <w:szCs w:val="24"/>
        </w:rPr>
        <w:t xml:space="preserve"> §</w:t>
      </w:r>
      <w:r w:rsidR="00364682" w:rsidRPr="00C665F0">
        <w:rPr>
          <w:rFonts w:ascii="Times New Roman" w:eastAsia="Times New Roman" w:hAnsi="Times New Roman" w:cs="Times New Roman"/>
          <w:sz w:val="24"/>
          <w:szCs w:val="24"/>
        </w:rPr>
        <w:t xml:space="preserve"> </w:t>
      </w:r>
      <w:r w:rsidRPr="00C665F0">
        <w:rPr>
          <w:rFonts w:ascii="Times New Roman" w:eastAsia="Times New Roman" w:hAnsi="Times New Roman" w:cs="Times New Roman"/>
          <w:sz w:val="24"/>
          <w:szCs w:val="24"/>
        </w:rPr>
        <w:t>1307(f)(5), requires that the Commission determine that PECO’s historic period actual gas costs meet the least cost fuel procurement standards set forth in S</w:t>
      </w:r>
      <w:r w:rsidR="00364682" w:rsidRPr="00C665F0">
        <w:rPr>
          <w:rFonts w:ascii="Times New Roman" w:eastAsia="Times New Roman" w:hAnsi="Times New Roman" w:cs="Times New Roman"/>
          <w:sz w:val="24"/>
          <w:szCs w:val="24"/>
        </w:rPr>
        <w:t>ection 1318 of the Code, 66 Pa.</w:t>
      </w:r>
      <w:r w:rsidRPr="00C665F0">
        <w:rPr>
          <w:rFonts w:ascii="Times New Roman" w:eastAsia="Times New Roman" w:hAnsi="Times New Roman" w:cs="Times New Roman"/>
          <w:sz w:val="24"/>
          <w:szCs w:val="24"/>
        </w:rPr>
        <w:t>C.S.</w:t>
      </w:r>
      <w:r w:rsidR="00364682" w:rsidRPr="00C665F0">
        <w:rPr>
          <w:rFonts w:ascii="Times New Roman" w:eastAsia="Times New Roman" w:hAnsi="Times New Roman" w:cs="Times New Roman"/>
          <w:sz w:val="24"/>
          <w:szCs w:val="24"/>
        </w:rPr>
        <w:t>A</w:t>
      </w:r>
      <w:r w:rsidRPr="00C665F0">
        <w:rPr>
          <w:rFonts w:ascii="Times New Roman" w:eastAsia="Times New Roman" w:hAnsi="Times New Roman" w:cs="Times New Roman"/>
          <w:sz w:val="24"/>
          <w:szCs w:val="24"/>
        </w:rPr>
        <w:t xml:space="preserve"> §</w:t>
      </w:r>
      <w:r w:rsidR="00312043">
        <w:rPr>
          <w:rFonts w:ascii="Times New Roman" w:eastAsia="Times New Roman" w:hAnsi="Times New Roman" w:cs="Times New Roman"/>
          <w:sz w:val="24"/>
          <w:szCs w:val="24"/>
        </w:rPr>
        <w:t xml:space="preserve"> </w:t>
      </w:r>
      <w:r w:rsidRPr="00C665F0">
        <w:rPr>
          <w:rFonts w:ascii="Times New Roman" w:eastAsia="Times New Roman" w:hAnsi="Times New Roman" w:cs="Times New Roman"/>
          <w:sz w:val="24"/>
          <w:szCs w:val="24"/>
        </w:rPr>
        <w:t>1318.  In addition, Section 1318 findings must be made with respect to the new PGC rates to be established in this proceeding.  Since PECO did not purchase transportation and/or storage services from an affiliate, it is not necessary that the Commission make findings und</w:t>
      </w:r>
      <w:r w:rsidR="00681ED3">
        <w:rPr>
          <w:rFonts w:ascii="Times New Roman" w:eastAsia="Times New Roman" w:hAnsi="Times New Roman" w:cs="Times New Roman"/>
          <w:sz w:val="24"/>
          <w:szCs w:val="24"/>
        </w:rPr>
        <w:t>er Section </w:t>
      </w:r>
      <w:r w:rsidRPr="00C665F0">
        <w:rPr>
          <w:rFonts w:ascii="Times New Roman" w:eastAsia="Times New Roman" w:hAnsi="Times New Roman" w:cs="Times New Roman"/>
          <w:sz w:val="24"/>
          <w:szCs w:val="24"/>
        </w:rPr>
        <w:t xml:space="preserve">1318(b) of </w:t>
      </w:r>
      <w:r w:rsidR="00364682" w:rsidRPr="00C665F0">
        <w:rPr>
          <w:rFonts w:ascii="Times New Roman" w:eastAsia="Times New Roman" w:hAnsi="Times New Roman" w:cs="Times New Roman"/>
          <w:sz w:val="24"/>
          <w:szCs w:val="24"/>
        </w:rPr>
        <w:t>the Public Utility Code, 66 Pa.</w:t>
      </w:r>
      <w:r w:rsidRPr="00C665F0">
        <w:rPr>
          <w:rFonts w:ascii="Times New Roman" w:eastAsia="Times New Roman" w:hAnsi="Times New Roman" w:cs="Times New Roman"/>
          <w:sz w:val="24"/>
          <w:szCs w:val="24"/>
        </w:rPr>
        <w:t>C.S.</w:t>
      </w:r>
      <w:r w:rsidR="00364682" w:rsidRPr="00C665F0">
        <w:rPr>
          <w:rFonts w:ascii="Times New Roman" w:eastAsia="Times New Roman" w:hAnsi="Times New Roman" w:cs="Times New Roman"/>
          <w:sz w:val="24"/>
          <w:szCs w:val="24"/>
        </w:rPr>
        <w:t>A</w:t>
      </w:r>
      <w:r w:rsidRPr="00C665F0">
        <w:rPr>
          <w:rFonts w:ascii="Times New Roman" w:eastAsia="Times New Roman" w:hAnsi="Times New Roman" w:cs="Times New Roman"/>
          <w:sz w:val="24"/>
          <w:szCs w:val="24"/>
        </w:rPr>
        <w:t xml:space="preserve"> §</w:t>
      </w:r>
      <w:r w:rsidR="00364682" w:rsidRPr="00C665F0">
        <w:rPr>
          <w:rFonts w:ascii="Times New Roman" w:eastAsia="Times New Roman" w:hAnsi="Times New Roman" w:cs="Times New Roman"/>
          <w:sz w:val="24"/>
          <w:szCs w:val="24"/>
        </w:rPr>
        <w:t xml:space="preserve"> </w:t>
      </w:r>
      <w:r w:rsidR="00681ED3">
        <w:rPr>
          <w:rFonts w:ascii="Times New Roman" w:eastAsia="Times New Roman" w:hAnsi="Times New Roman" w:cs="Times New Roman"/>
          <w:sz w:val="24"/>
          <w:szCs w:val="24"/>
        </w:rPr>
        <w:t>1318(b).</w:t>
      </w:r>
    </w:p>
    <w:p w:rsidR="00C75BFC" w:rsidRPr="00C665F0" w:rsidRDefault="00C75BFC" w:rsidP="00C75BFC">
      <w:pPr>
        <w:autoSpaceDE w:val="0"/>
        <w:autoSpaceDN w:val="0"/>
        <w:spacing w:after="0" w:line="360" w:lineRule="auto"/>
        <w:rPr>
          <w:rFonts w:ascii="Times New Roman" w:eastAsia="Times New Roman" w:hAnsi="Times New Roman" w:cs="Times New Roman"/>
          <w:sz w:val="24"/>
          <w:szCs w:val="24"/>
        </w:rPr>
      </w:pPr>
    </w:p>
    <w:p w:rsidR="00C75BFC" w:rsidRDefault="00C75BFC" w:rsidP="00C75BFC">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In determining whether PECO is pursuing a least cost fuel procurement policy as required by Section 1318, the Commission must make th</w:t>
      </w:r>
      <w:r w:rsidR="005B4BB5">
        <w:rPr>
          <w:rFonts w:ascii="Times New Roman" w:eastAsia="Times New Roman" w:hAnsi="Times New Roman" w:cs="Times New Roman"/>
          <w:sz w:val="24"/>
          <w:szCs w:val="24"/>
        </w:rPr>
        <w:t xml:space="preserve">e following specific findings: </w:t>
      </w:r>
      <w:r w:rsidRPr="00C665F0">
        <w:rPr>
          <w:rFonts w:ascii="Times New Roman" w:eastAsia="Times New Roman" w:hAnsi="Times New Roman" w:cs="Times New Roman"/>
          <w:sz w:val="24"/>
          <w:szCs w:val="24"/>
        </w:rPr>
        <w:t xml:space="preserve">(1) that the utility has fully and vigorously represented its ratepayers’ interests before the Federal Energy Regulatory Commission (FERC); (2) that the utility has taken all prudent steps necessary to negotiate favorable gas supply contracts and to relieve the utility from terms in existing contracts with its gas suppliers which are or may be adverse to ratepayer interests; (3) that the utility has taken all prudent steps necessary to obtain lower cost gas supplies on both short-term and long-term bases both within and outside the Commonwealth, including the use of gas transportation arrangements with pipelines and other distribution companies; and (4) that the utility has not withheld from the market or caused to be withheld from the market any gas supplies which should have been utilized as part of a least </w:t>
      </w:r>
      <w:r w:rsidR="002552C0">
        <w:rPr>
          <w:rFonts w:ascii="Times New Roman" w:eastAsia="Times New Roman" w:hAnsi="Times New Roman" w:cs="Times New Roman"/>
          <w:sz w:val="24"/>
          <w:szCs w:val="24"/>
        </w:rPr>
        <w:t>cost fuel procurement program.</w:t>
      </w:r>
    </w:p>
    <w:p w:rsidR="008970A2" w:rsidRPr="00C665F0" w:rsidRDefault="008970A2" w:rsidP="00C75BFC">
      <w:pPr>
        <w:autoSpaceDE w:val="0"/>
        <w:autoSpaceDN w:val="0"/>
        <w:spacing w:after="0" w:line="360" w:lineRule="auto"/>
        <w:rPr>
          <w:rFonts w:ascii="Times New Roman" w:eastAsia="Times New Roman" w:hAnsi="Times New Roman" w:cs="Times New Roman"/>
          <w:sz w:val="24"/>
          <w:szCs w:val="24"/>
        </w:rPr>
      </w:pPr>
    </w:p>
    <w:p w:rsidR="00C75BFC" w:rsidRPr="00C665F0" w:rsidRDefault="00C75BFC" w:rsidP="00C75BFC">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 xml:space="preserve">PECO, I&amp;E, OCA and OSBA have agreed to a settlement that resolves all of the issues in this proceeding.  Each of the joint petitioners has provided statements in support of the Settlement which explain why the Settlement is in the public interest.  PAIEUG is </w:t>
      </w:r>
      <w:r w:rsidR="00531CA0">
        <w:rPr>
          <w:rFonts w:ascii="Times New Roman" w:eastAsia="Times New Roman" w:hAnsi="Times New Roman" w:cs="Times New Roman"/>
          <w:sz w:val="24"/>
          <w:szCs w:val="24"/>
        </w:rPr>
        <w:t>not opposed to the Settlement.</w:t>
      </w:r>
    </w:p>
    <w:p w:rsidR="00C75BFC" w:rsidRPr="00C665F0" w:rsidRDefault="00C75BFC" w:rsidP="00C75BFC">
      <w:pPr>
        <w:autoSpaceDE w:val="0"/>
        <w:autoSpaceDN w:val="0"/>
        <w:spacing w:after="0" w:line="360" w:lineRule="auto"/>
        <w:rPr>
          <w:rFonts w:ascii="Times New Roman" w:eastAsia="Times New Roman" w:hAnsi="Times New Roman" w:cs="Times New Roman"/>
          <w:sz w:val="24"/>
          <w:szCs w:val="24"/>
        </w:rPr>
      </w:pPr>
    </w:p>
    <w:p w:rsidR="00C75BFC" w:rsidRPr="00C665F0" w:rsidRDefault="00C75BFC" w:rsidP="00C75BFC">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It is the policy of the Commission to</w:t>
      </w:r>
      <w:r w:rsidR="002D3FA7">
        <w:rPr>
          <w:rFonts w:ascii="Times New Roman" w:eastAsia="Times New Roman" w:hAnsi="Times New Roman" w:cs="Times New Roman"/>
          <w:sz w:val="24"/>
          <w:szCs w:val="24"/>
        </w:rPr>
        <w:t xml:space="preserve"> encourage settlements.  52 Pa.</w:t>
      </w:r>
      <w:r w:rsidRPr="00C665F0">
        <w:rPr>
          <w:rFonts w:ascii="Times New Roman" w:eastAsia="Times New Roman" w:hAnsi="Times New Roman" w:cs="Times New Roman"/>
          <w:sz w:val="24"/>
          <w:szCs w:val="24"/>
        </w:rPr>
        <w:t>Code §</w:t>
      </w:r>
      <w:r w:rsidR="003F6BDB" w:rsidRPr="00C665F0">
        <w:rPr>
          <w:rFonts w:ascii="Times New Roman" w:eastAsia="Times New Roman" w:hAnsi="Times New Roman" w:cs="Times New Roman"/>
          <w:sz w:val="24"/>
          <w:szCs w:val="24"/>
        </w:rPr>
        <w:t xml:space="preserve"> </w:t>
      </w:r>
      <w:r w:rsidRPr="00C665F0">
        <w:rPr>
          <w:rFonts w:ascii="Times New Roman" w:eastAsia="Times New Roman" w:hAnsi="Times New Roman" w:cs="Times New Roman"/>
          <w:sz w:val="24"/>
          <w:szCs w:val="24"/>
        </w:rPr>
        <w:t>5.231. In its policy statement regarding settlements in major rate cases, the Commission provi</w:t>
      </w:r>
      <w:r w:rsidR="002D3FA7">
        <w:rPr>
          <w:rFonts w:ascii="Times New Roman" w:eastAsia="Times New Roman" w:hAnsi="Times New Roman" w:cs="Times New Roman"/>
          <w:sz w:val="24"/>
          <w:szCs w:val="24"/>
        </w:rPr>
        <w:t>des in pertinent part at 52 Pa.</w:t>
      </w:r>
      <w:r w:rsidRPr="00C665F0">
        <w:rPr>
          <w:rFonts w:ascii="Times New Roman" w:eastAsia="Times New Roman" w:hAnsi="Times New Roman" w:cs="Times New Roman"/>
          <w:sz w:val="24"/>
          <w:szCs w:val="24"/>
        </w:rPr>
        <w:t>Code §</w:t>
      </w:r>
      <w:r w:rsidR="003F6BDB" w:rsidRPr="00C665F0">
        <w:rPr>
          <w:rFonts w:ascii="Times New Roman" w:eastAsia="Times New Roman" w:hAnsi="Times New Roman" w:cs="Times New Roman"/>
          <w:sz w:val="24"/>
          <w:szCs w:val="24"/>
        </w:rPr>
        <w:t xml:space="preserve"> </w:t>
      </w:r>
      <w:r w:rsidR="002D3FA7">
        <w:rPr>
          <w:rFonts w:ascii="Times New Roman" w:eastAsia="Times New Roman" w:hAnsi="Times New Roman" w:cs="Times New Roman"/>
          <w:sz w:val="24"/>
          <w:szCs w:val="24"/>
        </w:rPr>
        <w:t>69.401:</w:t>
      </w:r>
    </w:p>
    <w:p w:rsidR="00C75BFC" w:rsidRPr="00C665F0" w:rsidRDefault="00C75BFC" w:rsidP="002D3FA7">
      <w:pPr>
        <w:autoSpaceDE w:val="0"/>
        <w:autoSpaceDN w:val="0"/>
        <w:spacing w:after="0" w:line="360" w:lineRule="auto"/>
        <w:rPr>
          <w:rFonts w:ascii="Times New Roman" w:eastAsia="Times New Roman" w:hAnsi="Times New Roman" w:cs="Times New Roman"/>
          <w:sz w:val="24"/>
          <w:szCs w:val="24"/>
        </w:rPr>
      </w:pPr>
    </w:p>
    <w:p w:rsidR="00C75BFC" w:rsidRPr="00C665F0" w:rsidRDefault="00C75BFC" w:rsidP="00C75BFC">
      <w:pPr>
        <w:autoSpaceDE w:val="0"/>
        <w:autoSpaceDN w:val="0"/>
        <w:spacing w:after="0" w:line="240" w:lineRule="auto"/>
        <w:ind w:left="1440" w:right="1440"/>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In the Commission’s judgment, the results achieved from a negotiated settlement or stipulation, or both, in which the interested parties have had an opportunity to participate are often preferable to those achieved at the conclusion of a fully litigated proceeding.</w:t>
      </w:r>
    </w:p>
    <w:p w:rsidR="00C75BFC" w:rsidRPr="00C665F0" w:rsidRDefault="00C75BFC" w:rsidP="002D3FA7">
      <w:pPr>
        <w:autoSpaceDE w:val="0"/>
        <w:autoSpaceDN w:val="0"/>
        <w:spacing w:after="0" w:line="360" w:lineRule="auto"/>
        <w:rPr>
          <w:rFonts w:ascii="Times New Roman" w:eastAsia="Times New Roman" w:hAnsi="Times New Roman" w:cs="Times New Roman"/>
          <w:sz w:val="24"/>
          <w:szCs w:val="24"/>
        </w:rPr>
      </w:pPr>
    </w:p>
    <w:p w:rsidR="00C75BFC" w:rsidRPr="00C665F0" w:rsidRDefault="00C75BFC" w:rsidP="00C75BFC">
      <w:pPr>
        <w:autoSpaceDE w:val="0"/>
        <w:autoSpaceDN w:val="0"/>
        <w:adjustRightInd w:val="0"/>
        <w:spacing w:after="0" w:line="360" w:lineRule="auto"/>
        <w:ind w:firstLine="1440"/>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Settlements lessen the time and expense the parties must expend litigating a case and at the same time conserve administrative hearing resources.  A settlement, which allows the parties to avoid the 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yields significant expense savings for the company’s customers.  That is one reason why settlements are encouraged by long-standing Commission policy.</w:t>
      </w:r>
    </w:p>
    <w:p w:rsidR="00C75BFC" w:rsidRPr="00C665F0" w:rsidRDefault="00C75BFC" w:rsidP="00C75BFC">
      <w:pPr>
        <w:autoSpaceDE w:val="0"/>
        <w:autoSpaceDN w:val="0"/>
        <w:spacing w:after="0" w:line="360" w:lineRule="auto"/>
        <w:ind w:firstLine="1440"/>
        <w:rPr>
          <w:rFonts w:ascii="Times New Roman" w:eastAsia="Times New Roman" w:hAnsi="Times New Roman" w:cs="Times New Roman"/>
          <w:sz w:val="24"/>
          <w:szCs w:val="24"/>
        </w:rPr>
      </w:pPr>
    </w:p>
    <w:p w:rsidR="00C75BFC" w:rsidRPr="00C665F0" w:rsidRDefault="00C75BFC" w:rsidP="00C75BFC">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 xml:space="preserve">In order to accept a settlement, the Commission must determine that the proposed terms and conditions are in the public interest.  </w:t>
      </w:r>
      <w:r w:rsidRPr="00C665F0">
        <w:rPr>
          <w:rFonts w:ascii="Times New Roman" w:eastAsia="Times New Roman" w:hAnsi="Times New Roman" w:cs="Times New Roman"/>
          <w:i/>
          <w:sz w:val="24"/>
          <w:szCs w:val="24"/>
        </w:rPr>
        <w:t>Pa Pub. Util. Comm’n v. York Water Co.</w:t>
      </w:r>
      <w:r w:rsidRPr="00C665F0">
        <w:rPr>
          <w:rFonts w:ascii="Times New Roman" w:eastAsia="Times New Roman" w:hAnsi="Times New Roman" w:cs="Times New Roman"/>
          <w:sz w:val="24"/>
          <w:szCs w:val="24"/>
        </w:rPr>
        <w:t xml:space="preserve">, Docket No. R-00049165, (Commission Opinion and Order entered October 4, 2004); </w:t>
      </w:r>
      <w:r w:rsidRPr="00C665F0">
        <w:rPr>
          <w:rFonts w:ascii="Times New Roman" w:eastAsia="Times New Roman" w:hAnsi="Times New Roman" w:cs="Times New Roman"/>
          <w:i/>
          <w:sz w:val="24"/>
          <w:szCs w:val="24"/>
        </w:rPr>
        <w:t>Pa. Pub. Util. Comm’n v. C S Water and Sewer Assoc.</w:t>
      </w:r>
      <w:r w:rsidR="002D3FA7">
        <w:rPr>
          <w:rFonts w:ascii="Times New Roman" w:eastAsia="Times New Roman" w:hAnsi="Times New Roman" w:cs="Times New Roman"/>
          <w:sz w:val="24"/>
          <w:szCs w:val="24"/>
        </w:rPr>
        <w:t>, 74 Pa. PUC</w:t>
      </w:r>
      <w:r w:rsidRPr="00C665F0">
        <w:rPr>
          <w:rFonts w:ascii="Times New Roman" w:eastAsia="Times New Roman" w:hAnsi="Times New Roman" w:cs="Times New Roman"/>
          <w:sz w:val="24"/>
          <w:szCs w:val="24"/>
        </w:rPr>
        <w:t xml:space="preserve"> 767 (1991).</w:t>
      </w:r>
    </w:p>
    <w:p w:rsidR="00C75BFC" w:rsidRPr="00C665F0" w:rsidRDefault="00C75BFC" w:rsidP="00C75BFC">
      <w:pPr>
        <w:autoSpaceDE w:val="0"/>
        <w:autoSpaceDN w:val="0"/>
        <w:spacing w:after="0" w:line="360" w:lineRule="auto"/>
        <w:rPr>
          <w:rFonts w:ascii="Times New Roman" w:eastAsia="Times New Roman" w:hAnsi="Times New Roman" w:cs="Times New Roman"/>
          <w:sz w:val="24"/>
          <w:szCs w:val="24"/>
        </w:rPr>
      </w:pPr>
    </w:p>
    <w:p w:rsidR="00C75BFC" w:rsidRPr="00C665F0" w:rsidRDefault="00C75BFC" w:rsidP="00C75BFC">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The Joint Petition will be examined in accordance with the above principles.</w:t>
      </w:r>
    </w:p>
    <w:p w:rsidR="00C75BFC" w:rsidRPr="00C665F0" w:rsidRDefault="00C75BFC" w:rsidP="00C75BFC">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As discussed in more detail below, the proposed settlement is manifestly reasonable and in the public interest and therefore should be approved without modification by the Commission.  It represents a just and fair compromise, by all active parties, who represent a variety of interests, of the serious issues raised in this proceeding.  The fact that all parties joined in (or did not oppose) the proposed settlement is significant.  The parties are to be commended for reaching a comprehensive, consensus agreement.  This conclusion is based on my analysis of the followi</w:t>
      </w:r>
      <w:r w:rsidR="002D3FA7">
        <w:rPr>
          <w:rFonts w:ascii="Times New Roman" w:eastAsia="Times New Roman" w:hAnsi="Times New Roman" w:cs="Times New Roman"/>
          <w:sz w:val="24"/>
          <w:szCs w:val="24"/>
        </w:rPr>
        <w:t>ng key terms of the Settlement.</w:t>
      </w:r>
    </w:p>
    <w:p w:rsidR="00C75BFC" w:rsidRPr="00C665F0" w:rsidRDefault="00C75BFC" w:rsidP="00C75BFC">
      <w:pPr>
        <w:autoSpaceDE w:val="0"/>
        <w:autoSpaceDN w:val="0"/>
        <w:spacing w:after="0" w:line="360" w:lineRule="auto"/>
        <w:rPr>
          <w:rFonts w:ascii="Times New Roman" w:eastAsia="Times New Roman" w:hAnsi="Times New Roman" w:cs="Times New Roman"/>
          <w:sz w:val="24"/>
          <w:szCs w:val="24"/>
        </w:rPr>
      </w:pPr>
    </w:p>
    <w:p w:rsidR="00C75BFC" w:rsidRPr="00C665F0" w:rsidRDefault="00C75BFC" w:rsidP="008A6DA3">
      <w:pPr>
        <w:spacing w:after="0" w:line="360" w:lineRule="auto"/>
        <w:rPr>
          <w:rFonts w:ascii="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First,</w:t>
      </w:r>
      <w:r w:rsidR="008A6DA3" w:rsidRPr="00C665F0">
        <w:rPr>
          <w:rFonts w:ascii="Times New Roman" w:eastAsia="Times New Roman" w:hAnsi="Times New Roman" w:cs="Times New Roman"/>
          <w:sz w:val="24"/>
          <w:szCs w:val="24"/>
        </w:rPr>
        <w:t xml:space="preserve"> the Settlement accepts PECO’s originally-filed forecast of purchased gas costs and its purchased gas cost rates.  See, Paragraph 16.  The settlement will benefit customers because the proposed purchased gas cost rate </w:t>
      </w:r>
      <w:r w:rsidR="0066511D" w:rsidRPr="00C665F0">
        <w:rPr>
          <w:rFonts w:ascii="Times New Roman" w:eastAsia="Times New Roman" w:hAnsi="Times New Roman" w:cs="Times New Roman"/>
          <w:sz w:val="24"/>
          <w:szCs w:val="24"/>
        </w:rPr>
        <w:t>of $7.0740</w:t>
      </w:r>
      <w:r w:rsidR="008A6DA3" w:rsidRPr="00C665F0">
        <w:rPr>
          <w:rFonts w:ascii="Times New Roman" w:eastAsia="Times New Roman" w:hAnsi="Times New Roman" w:cs="Times New Roman"/>
          <w:sz w:val="24"/>
          <w:szCs w:val="24"/>
        </w:rPr>
        <w:t>/Mcf, inclusive of gross receipts tax, appears to be the result of a least cost procurement policy.  The evidence presented by PECO and examined by the parties shows that PECO has satisfied the requirements of Section 1318 of the Public Utility Code by pursuing a least cost fuel procurement policy, consistent with its obligation to provide safe, adequate and reliable natural gas distribution service to its customers and that PECO has met the requirements of the Public Utility Code relating to affiliate purchases.  The settlement also provides a reasonable basis for calculating and setting the Gas Cost Adjustment Charge (GCA), Commodity Charge (CC) and Balancing Service Charge (BSC) and the Balancing Charge (BC) to become effective</w:t>
      </w:r>
      <w:r w:rsidR="0066511D" w:rsidRPr="00C665F0">
        <w:rPr>
          <w:rFonts w:ascii="Times New Roman" w:eastAsia="Times New Roman" w:hAnsi="Times New Roman" w:cs="Times New Roman"/>
          <w:sz w:val="24"/>
          <w:szCs w:val="24"/>
        </w:rPr>
        <w:t xml:space="preserve"> December 1, 2014</w:t>
      </w:r>
      <w:r w:rsidR="008A6DA3" w:rsidRPr="00C665F0">
        <w:rPr>
          <w:rFonts w:ascii="Times New Roman" w:eastAsia="Times New Roman" w:hAnsi="Times New Roman" w:cs="Times New Roman"/>
          <w:sz w:val="24"/>
          <w:szCs w:val="24"/>
        </w:rPr>
        <w:t>.  The parties’ acceptance of the proposed PGC is based on their determination that PECO’s historic period gas costs were obtained on a least cost procurement basis, that the E-factor was calculated in accordance with established Commission practices and the fact that the projected costs</w:t>
      </w:r>
      <w:r w:rsidR="004618C0" w:rsidRPr="00C665F0">
        <w:rPr>
          <w:rFonts w:ascii="Times New Roman" w:eastAsia="Times New Roman" w:hAnsi="Times New Roman" w:cs="Times New Roman"/>
          <w:sz w:val="24"/>
          <w:szCs w:val="24"/>
        </w:rPr>
        <w:t xml:space="preserve"> </w:t>
      </w:r>
      <w:r w:rsidR="008A6DA3" w:rsidRPr="00C665F0">
        <w:rPr>
          <w:rFonts w:ascii="Times New Roman" w:eastAsia="Times New Roman" w:hAnsi="Times New Roman" w:cs="Times New Roman"/>
          <w:sz w:val="24"/>
          <w:szCs w:val="24"/>
        </w:rPr>
        <w:t xml:space="preserve">are subject to future review.  </w:t>
      </w:r>
      <w:r w:rsidR="008A6DA3" w:rsidRPr="00C665F0">
        <w:rPr>
          <w:rFonts w:ascii="Times New Roman" w:hAnsi="Times New Roman" w:cs="Times New Roman"/>
          <w:sz w:val="24"/>
          <w:szCs w:val="24"/>
        </w:rPr>
        <w:t>A least cost procurement policy protects ratepayers from unnecessary and imprudent gas costs and prevents the Company from making a profit on gas supplies provided to its PGC customers.</w:t>
      </w: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4618C0">
      <w:pPr>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Calibri" w:hAnsi="Times New Roman" w:cs="Times New Roman"/>
          <w:sz w:val="24"/>
          <w:szCs w:val="24"/>
        </w:rPr>
        <w:t xml:space="preserve">Second, </w:t>
      </w:r>
      <w:r w:rsidRPr="00C665F0">
        <w:rPr>
          <w:rFonts w:ascii="Times New Roman" w:eastAsia="Times New Roman" w:hAnsi="Times New Roman" w:cs="Times New Roman"/>
          <w:sz w:val="24"/>
          <w:szCs w:val="24"/>
        </w:rPr>
        <w:t>PECO’s current hedging program has evolved as a result of the settlements of its PGC proceedings 22 through 30.  Under its current hedging program, PECO locks in the price of a minimum volume of its long-term gas purchases.  The current program consists of two parts.  The volumetric component of PECO’s hedging program establishes dates by which prices are to be locked in for specified volumes</w:t>
      </w:r>
      <w:r w:rsidR="006D7E65" w:rsidRPr="00C665F0">
        <w:rPr>
          <w:rFonts w:ascii="Times New Roman" w:eastAsia="Times New Roman" w:hAnsi="Times New Roman" w:cs="Times New Roman"/>
          <w:sz w:val="24"/>
          <w:szCs w:val="24"/>
        </w:rPr>
        <w:t>.  PECO St</w:t>
      </w:r>
      <w:r w:rsidRPr="00C665F0">
        <w:rPr>
          <w:rFonts w:ascii="Times New Roman" w:eastAsia="Times New Roman" w:hAnsi="Times New Roman" w:cs="Times New Roman"/>
          <w:sz w:val="24"/>
          <w:szCs w:val="24"/>
        </w:rPr>
        <w:t>. 5</w:t>
      </w:r>
      <w:r w:rsidR="006D7E65" w:rsidRPr="00C665F0">
        <w:rPr>
          <w:rFonts w:ascii="Times New Roman" w:eastAsia="Times New Roman" w:hAnsi="Times New Roman" w:cs="Times New Roman"/>
          <w:sz w:val="24"/>
          <w:szCs w:val="24"/>
        </w:rPr>
        <w:t>, p. 37</w:t>
      </w:r>
      <w:r w:rsidRPr="00C665F0">
        <w:rPr>
          <w:rFonts w:ascii="Times New Roman" w:eastAsia="Times New Roman" w:hAnsi="Times New Roman" w:cs="Times New Roman"/>
          <w:sz w:val="24"/>
          <w:szCs w:val="24"/>
        </w:rPr>
        <w:t>.  Under the volumetric component of its hedging program, PECO may also hedge volumes up to about 30% of all purchases.  The second component of PECO’s current hedging program, which was initiated per the conditions of the PGC No. 29 settlement and continu</w:t>
      </w:r>
      <w:r w:rsidR="000547FD">
        <w:rPr>
          <w:rFonts w:ascii="Times New Roman" w:eastAsia="Times New Roman" w:hAnsi="Times New Roman" w:cs="Times New Roman"/>
          <w:sz w:val="24"/>
          <w:szCs w:val="24"/>
        </w:rPr>
        <w:t>ed per the terms of the PGC </w:t>
      </w:r>
      <w:r w:rsidRPr="00C665F0">
        <w:rPr>
          <w:rFonts w:ascii="Times New Roman" w:eastAsia="Times New Roman" w:hAnsi="Times New Roman" w:cs="Times New Roman"/>
          <w:sz w:val="24"/>
          <w:szCs w:val="24"/>
        </w:rPr>
        <w:t xml:space="preserve">30 settlement, requires PECO to issue a series of Requests For Proposals (RFPs) for the purpose of hedging a total of 20,000 decatherms (dth) per day at a fixed price for three years. </w:t>
      </w:r>
      <w:r w:rsidR="006D7E65" w:rsidRPr="00C665F0">
        <w:rPr>
          <w:rFonts w:ascii="Times New Roman" w:eastAsia="Times New Roman" w:hAnsi="Times New Roman" w:cs="Times New Roman"/>
          <w:sz w:val="24"/>
          <w:szCs w:val="24"/>
        </w:rPr>
        <w:t xml:space="preserve"> PECO St. 5, p. 37</w:t>
      </w:r>
      <w:r w:rsidR="00B604C5">
        <w:rPr>
          <w:rFonts w:ascii="Times New Roman" w:eastAsia="Times New Roman" w:hAnsi="Times New Roman" w:cs="Times New Roman"/>
          <w:sz w:val="24"/>
          <w:szCs w:val="24"/>
        </w:rPr>
        <w:t>.</w:t>
      </w:r>
    </w:p>
    <w:p w:rsidR="004618C0" w:rsidRPr="00C665F0" w:rsidRDefault="004618C0" w:rsidP="004618C0">
      <w:pPr>
        <w:spacing w:after="0" w:line="360" w:lineRule="auto"/>
        <w:rPr>
          <w:rFonts w:ascii="Times New Roman" w:eastAsia="Times New Roman" w:hAnsi="Times New Roman" w:cs="Times New Roman"/>
          <w:sz w:val="24"/>
          <w:szCs w:val="24"/>
        </w:rPr>
      </w:pPr>
    </w:p>
    <w:p w:rsidR="004618C0" w:rsidRPr="00C665F0" w:rsidRDefault="004618C0" w:rsidP="004618C0">
      <w:pPr>
        <w:spacing w:after="0" w:line="360" w:lineRule="auto"/>
        <w:ind w:firstLine="1440"/>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 xml:space="preserve">The settling parties agree that the Company has complied with the requirements set forth in the 2012 Joint Petition </w:t>
      </w:r>
      <w:r w:rsidR="006D7E65" w:rsidRPr="00C665F0">
        <w:rPr>
          <w:rFonts w:ascii="Times New Roman" w:eastAsia="Times New Roman" w:hAnsi="Times New Roman" w:cs="Times New Roman"/>
          <w:sz w:val="24"/>
          <w:szCs w:val="24"/>
        </w:rPr>
        <w:t>and 2013 Joint Petition with respect to</w:t>
      </w:r>
      <w:r w:rsidRPr="00C665F0">
        <w:rPr>
          <w:rFonts w:ascii="Times New Roman" w:eastAsia="Times New Roman" w:hAnsi="Times New Roman" w:cs="Times New Roman"/>
          <w:sz w:val="24"/>
          <w:szCs w:val="24"/>
        </w:rPr>
        <w:t xml:space="preserve"> its hedging program.  PECO has made all required hedges per its volumetric program. </w:t>
      </w:r>
      <w:r w:rsidR="003574BF" w:rsidRPr="00C665F0">
        <w:rPr>
          <w:rFonts w:ascii="Times New Roman" w:eastAsia="Times New Roman" w:hAnsi="Times New Roman" w:cs="Times New Roman"/>
          <w:sz w:val="24"/>
          <w:szCs w:val="24"/>
        </w:rPr>
        <w:t xml:space="preserve"> </w:t>
      </w:r>
      <w:r w:rsidR="006D7E65" w:rsidRPr="00C665F0">
        <w:rPr>
          <w:rFonts w:ascii="Times New Roman" w:eastAsia="Times New Roman" w:hAnsi="Times New Roman" w:cs="Times New Roman"/>
          <w:sz w:val="24"/>
          <w:szCs w:val="24"/>
        </w:rPr>
        <w:t>PECO St. 5, p. 38; PECO Exhibit CPT-4</w:t>
      </w:r>
      <w:r w:rsidRPr="00C665F0">
        <w:rPr>
          <w:rFonts w:ascii="Times New Roman" w:eastAsia="Times New Roman" w:hAnsi="Times New Roman" w:cs="Times New Roman"/>
          <w:sz w:val="24"/>
          <w:szCs w:val="24"/>
        </w:rPr>
        <w:t xml:space="preserve">.  Further, PECO entered into </w:t>
      </w:r>
      <w:r w:rsidR="006D7E65" w:rsidRPr="00C665F0">
        <w:rPr>
          <w:rFonts w:ascii="Times New Roman" w:eastAsia="Times New Roman" w:hAnsi="Times New Roman" w:cs="Times New Roman"/>
          <w:sz w:val="24"/>
          <w:szCs w:val="24"/>
        </w:rPr>
        <w:t>its fourth and final RFP in accordance with the schedule set forth in</w:t>
      </w:r>
      <w:r w:rsidRPr="00C665F0">
        <w:rPr>
          <w:rFonts w:ascii="Times New Roman" w:eastAsia="Times New Roman" w:hAnsi="Times New Roman" w:cs="Times New Roman"/>
          <w:sz w:val="24"/>
          <w:szCs w:val="24"/>
        </w:rPr>
        <w:t xml:space="preserve"> Paragraph 14 and Appendix C of the 2012 Joint Petition.  PECO </w:t>
      </w:r>
      <w:r w:rsidR="006D7E65" w:rsidRPr="00C665F0">
        <w:rPr>
          <w:rFonts w:ascii="Times New Roman" w:eastAsia="Times New Roman" w:hAnsi="Times New Roman" w:cs="Times New Roman"/>
          <w:sz w:val="24"/>
          <w:szCs w:val="24"/>
        </w:rPr>
        <w:t xml:space="preserve">issued its </w:t>
      </w:r>
      <w:r w:rsidRPr="00C665F0">
        <w:rPr>
          <w:rFonts w:ascii="Times New Roman" w:eastAsia="Times New Roman" w:hAnsi="Times New Roman" w:cs="Times New Roman"/>
          <w:sz w:val="24"/>
          <w:szCs w:val="24"/>
        </w:rPr>
        <w:t>fourth and final RFP for 5,000 dth per day in accordance with the schedule set for</w:t>
      </w:r>
      <w:r w:rsidR="00771FF6">
        <w:rPr>
          <w:rFonts w:ascii="Times New Roman" w:eastAsia="Times New Roman" w:hAnsi="Times New Roman" w:cs="Times New Roman"/>
          <w:sz w:val="24"/>
          <w:szCs w:val="24"/>
        </w:rPr>
        <w:t>th in Paragraph </w:t>
      </w:r>
      <w:r w:rsidRPr="00C665F0">
        <w:rPr>
          <w:rFonts w:ascii="Times New Roman" w:eastAsia="Times New Roman" w:hAnsi="Times New Roman" w:cs="Times New Roman"/>
          <w:sz w:val="24"/>
          <w:szCs w:val="24"/>
        </w:rPr>
        <w:t xml:space="preserve">14 of the 2012 Joint Petition. </w:t>
      </w:r>
      <w:r w:rsidR="006D7E65" w:rsidRPr="00C665F0">
        <w:rPr>
          <w:rFonts w:ascii="Times New Roman" w:eastAsia="Times New Roman" w:hAnsi="Times New Roman" w:cs="Times New Roman"/>
          <w:sz w:val="24"/>
          <w:szCs w:val="24"/>
        </w:rPr>
        <w:t xml:space="preserve"> The Company rec</w:t>
      </w:r>
      <w:r w:rsidR="003574BF" w:rsidRPr="00C665F0">
        <w:rPr>
          <w:rFonts w:ascii="Times New Roman" w:eastAsia="Times New Roman" w:hAnsi="Times New Roman" w:cs="Times New Roman"/>
          <w:sz w:val="24"/>
          <w:szCs w:val="24"/>
        </w:rPr>
        <w:t>eived responses to its RFP from</w:t>
      </w:r>
      <w:r w:rsidR="006D7E65" w:rsidRPr="00C665F0">
        <w:rPr>
          <w:rFonts w:ascii="Times New Roman" w:eastAsia="Times New Roman" w:hAnsi="Times New Roman" w:cs="Times New Roman"/>
          <w:sz w:val="24"/>
          <w:szCs w:val="24"/>
        </w:rPr>
        <w:t xml:space="preserve"> thre</w:t>
      </w:r>
      <w:r w:rsidR="003574BF" w:rsidRPr="00C665F0">
        <w:rPr>
          <w:rFonts w:ascii="Times New Roman" w:eastAsia="Times New Roman" w:hAnsi="Times New Roman" w:cs="Times New Roman"/>
          <w:sz w:val="24"/>
          <w:szCs w:val="24"/>
        </w:rPr>
        <w:t>e or more potential providers an</w:t>
      </w:r>
      <w:r w:rsidR="006D7E65" w:rsidRPr="00C665F0">
        <w:rPr>
          <w:rFonts w:ascii="Times New Roman" w:eastAsia="Times New Roman" w:hAnsi="Times New Roman" w:cs="Times New Roman"/>
          <w:sz w:val="24"/>
          <w:szCs w:val="24"/>
        </w:rPr>
        <w:t xml:space="preserve">d entered into three-year fixed </w:t>
      </w:r>
      <w:r w:rsidR="003574BF" w:rsidRPr="00C665F0">
        <w:rPr>
          <w:rFonts w:ascii="Times New Roman" w:eastAsia="Times New Roman" w:hAnsi="Times New Roman" w:cs="Times New Roman"/>
          <w:sz w:val="24"/>
          <w:szCs w:val="24"/>
        </w:rPr>
        <w:t>price contracts with re</w:t>
      </w:r>
      <w:r w:rsidR="006D7E65" w:rsidRPr="00C665F0">
        <w:rPr>
          <w:rFonts w:ascii="Times New Roman" w:eastAsia="Times New Roman" w:hAnsi="Times New Roman" w:cs="Times New Roman"/>
          <w:sz w:val="24"/>
          <w:szCs w:val="24"/>
        </w:rPr>
        <w:t>s</w:t>
      </w:r>
      <w:r w:rsidR="003574BF" w:rsidRPr="00C665F0">
        <w:rPr>
          <w:rFonts w:ascii="Times New Roman" w:eastAsia="Times New Roman" w:hAnsi="Times New Roman" w:cs="Times New Roman"/>
          <w:sz w:val="24"/>
          <w:szCs w:val="24"/>
        </w:rPr>
        <w:t>po</w:t>
      </w:r>
      <w:r w:rsidR="006D7E65" w:rsidRPr="00C665F0">
        <w:rPr>
          <w:rFonts w:ascii="Times New Roman" w:eastAsia="Times New Roman" w:hAnsi="Times New Roman" w:cs="Times New Roman"/>
          <w:sz w:val="24"/>
          <w:szCs w:val="24"/>
        </w:rPr>
        <w:t>nden</w:t>
      </w:r>
      <w:r w:rsidR="003574BF" w:rsidRPr="00C665F0">
        <w:rPr>
          <w:rFonts w:ascii="Times New Roman" w:eastAsia="Times New Roman" w:hAnsi="Times New Roman" w:cs="Times New Roman"/>
          <w:sz w:val="24"/>
          <w:szCs w:val="24"/>
        </w:rPr>
        <w:t>ts whose bids provided for least</w:t>
      </w:r>
      <w:r w:rsidR="006D7E65" w:rsidRPr="00C665F0">
        <w:rPr>
          <w:rFonts w:ascii="Times New Roman" w:eastAsia="Times New Roman" w:hAnsi="Times New Roman" w:cs="Times New Roman"/>
          <w:sz w:val="24"/>
          <w:szCs w:val="24"/>
        </w:rPr>
        <w:t xml:space="preserve"> cost supply.  See, Paragraph 1</w:t>
      </w:r>
      <w:r w:rsidR="000A0354">
        <w:rPr>
          <w:rFonts w:ascii="Times New Roman" w:eastAsia="Times New Roman" w:hAnsi="Times New Roman" w:cs="Times New Roman"/>
          <w:sz w:val="24"/>
          <w:szCs w:val="24"/>
        </w:rPr>
        <w:t>7(b).</w:t>
      </w:r>
    </w:p>
    <w:p w:rsidR="006015F4" w:rsidRPr="00C665F0" w:rsidRDefault="006015F4" w:rsidP="004618C0">
      <w:pPr>
        <w:spacing w:after="0" w:line="360" w:lineRule="auto"/>
        <w:ind w:firstLine="1440"/>
        <w:rPr>
          <w:rFonts w:ascii="Times New Roman" w:eastAsia="Times New Roman" w:hAnsi="Times New Roman" w:cs="Times New Roman"/>
          <w:sz w:val="24"/>
          <w:szCs w:val="24"/>
        </w:rPr>
      </w:pPr>
    </w:p>
    <w:p w:rsidR="004618C0" w:rsidRPr="00C665F0" w:rsidRDefault="006015F4" w:rsidP="006015F4">
      <w:pPr>
        <w:spacing w:after="0" w:line="360" w:lineRule="auto"/>
        <w:ind w:firstLine="1440"/>
        <w:rPr>
          <w:rFonts w:ascii="Times New Roman" w:hAnsi="Times New Roman" w:cs="Times New Roman"/>
          <w:sz w:val="24"/>
          <w:szCs w:val="24"/>
        </w:rPr>
      </w:pPr>
      <w:r w:rsidRPr="00C665F0">
        <w:rPr>
          <w:rFonts w:ascii="Times New Roman" w:hAnsi="Times New Roman" w:cs="Times New Roman"/>
          <w:sz w:val="24"/>
          <w:szCs w:val="24"/>
        </w:rPr>
        <w:t>In its 2014 PGC Case, the Company proposed two changes t</w:t>
      </w:r>
      <w:r w:rsidR="00517C53">
        <w:rPr>
          <w:rFonts w:ascii="Times New Roman" w:hAnsi="Times New Roman" w:cs="Times New Roman"/>
          <w:sz w:val="24"/>
          <w:szCs w:val="24"/>
        </w:rPr>
        <w:t xml:space="preserve">o its current hedging program: </w:t>
      </w:r>
      <w:r w:rsidRPr="00C665F0">
        <w:rPr>
          <w:rFonts w:ascii="Times New Roman" w:hAnsi="Times New Roman" w:cs="Times New Roman"/>
          <w:sz w:val="24"/>
          <w:szCs w:val="24"/>
        </w:rPr>
        <w:t>(1) a reduction in the quantities associated with the volumetric component of the program, which will result in an approximate 28% hedge; and (2) modification to the amount of gas sourced through the issuance of RFPs for long-term fixed cost supply contracts for the period December</w:t>
      </w:r>
      <w:r w:rsidR="00FB7C4A">
        <w:rPr>
          <w:rFonts w:ascii="Times New Roman" w:hAnsi="Times New Roman" w:cs="Times New Roman"/>
          <w:sz w:val="24"/>
          <w:szCs w:val="24"/>
        </w:rPr>
        <w:t>,</w:t>
      </w:r>
      <w:r w:rsidRPr="00C665F0">
        <w:rPr>
          <w:rFonts w:ascii="Times New Roman" w:hAnsi="Times New Roman" w:cs="Times New Roman"/>
          <w:sz w:val="24"/>
          <w:szCs w:val="24"/>
        </w:rPr>
        <w:t xml:space="preserve"> 2016 through 2017.  The Joint Petition adopts those changes as proposed.</w:t>
      </w:r>
    </w:p>
    <w:p w:rsidR="006015F4" w:rsidRPr="00C665F0" w:rsidRDefault="006015F4" w:rsidP="006015F4">
      <w:pPr>
        <w:spacing w:after="0" w:line="360" w:lineRule="auto"/>
        <w:ind w:firstLine="1440"/>
        <w:rPr>
          <w:rFonts w:ascii="Times New Roman" w:eastAsia="Times New Roman" w:hAnsi="Times New Roman" w:cs="Times New Roman"/>
          <w:sz w:val="24"/>
          <w:szCs w:val="24"/>
        </w:rPr>
      </w:pPr>
    </w:p>
    <w:p w:rsidR="004618C0" w:rsidRPr="00C665F0" w:rsidRDefault="004618C0" w:rsidP="003574BF">
      <w:pPr>
        <w:spacing w:after="0" w:line="360" w:lineRule="auto"/>
        <w:ind w:firstLine="1440"/>
        <w:rPr>
          <w:rFonts w:ascii="Times New Roman" w:eastAsia="Times New Roman" w:hAnsi="Times New Roman" w:cs="Times New Roman"/>
          <w:sz w:val="24"/>
          <w:szCs w:val="24"/>
        </w:rPr>
      </w:pPr>
      <w:r w:rsidRPr="00C665F0">
        <w:rPr>
          <w:rFonts w:ascii="Times New Roman" w:eastAsia="Calibri" w:hAnsi="Times New Roman" w:cs="Times New Roman"/>
          <w:sz w:val="24"/>
          <w:szCs w:val="24"/>
        </w:rPr>
        <w:t xml:space="preserve">As PECO notes in its Statement of Support, </w:t>
      </w:r>
      <w:r w:rsidRPr="00C665F0">
        <w:rPr>
          <w:rFonts w:ascii="Times New Roman" w:eastAsia="Times New Roman" w:hAnsi="Times New Roman" w:cs="Times New Roman"/>
          <w:sz w:val="24"/>
          <w:szCs w:val="24"/>
        </w:rPr>
        <w:t xml:space="preserve">its current hedging program was designed to achieve the target of locking in the price of gas through forward purchases of approximately 30% of PECO’s gas purchases.  As a result of retail market enhancements, PECO’s Low Volume Transportation (LVT) program continues to grow rapidly, with </w:t>
      </w:r>
      <w:r w:rsidR="003574BF" w:rsidRPr="00C665F0">
        <w:rPr>
          <w:rFonts w:ascii="Times New Roman" w:eastAsia="Times New Roman" w:hAnsi="Times New Roman" w:cs="Times New Roman"/>
          <w:sz w:val="24"/>
          <w:szCs w:val="24"/>
        </w:rPr>
        <w:t>LVT customer “shopping” increasing 36% and 24</w:t>
      </w:r>
      <w:r w:rsidRPr="00C665F0">
        <w:rPr>
          <w:rFonts w:ascii="Times New Roman" w:eastAsia="Times New Roman" w:hAnsi="Times New Roman" w:cs="Times New Roman"/>
          <w:sz w:val="24"/>
          <w:szCs w:val="24"/>
        </w:rPr>
        <w:t>%</w:t>
      </w:r>
      <w:r w:rsidR="003574BF" w:rsidRPr="00C665F0">
        <w:rPr>
          <w:rFonts w:ascii="Times New Roman" w:eastAsia="Times New Roman" w:hAnsi="Times New Roman" w:cs="Times New Roman"/>
          <w:sz w:val="24"/>
          <w:szCs w:val="24"/>
        </w:rPr>
        <w:t xml:space="preserve"> </w:t>
      </w:r>
      <w:r w:rsidRPr="00C665F0">
        <w:rPr>
          <w:rFonts w:ascii="Times New Roman" w:eastAsia="Times New Roman" w:hAnsi="Times New Roman" w:cs="Times New Roman"/>
          <w:sz w:val="24"/>
          <w:szCs w:val="24"/>
        </w:rPr>
        <w:t>over the last two PGC historic periods</w:t>
      </w:r>
      <w:r w:rsidR="003574BF" w:rsidRPr="00C665F0">
        <w:rPr>
          <w:rFonts w:ascii="Times New Roman" w:eastAsia="Times New Roman" w:hAnsi="Times New Roman" w:cs="Times New Roman"/>
          <w:sz w:val="24"/>
          <w:szCs w:val="24"/>
        </w:rPr>
        <w:t>, respectively, and is projected to increase by 24% in each of the next two PGC periods</w:t>
      </w:r>
      <w:r w:rsidR="00FB7C4A">
        <w:rPr>
          <w:rFonts w:ascii="Times New Roman" w:eastAsia="Times New Roman" w:hAnsi="Times New Roman" w:cs="Times New Roman"/>
          <w:sz w:val="24"/>
          <w:szCs w:val="24"/>
        </w:rPr>
        <w:t>.</w:t>
      </w:r>
    </w:p>
    <w:p w:rsidR="003574BF" w:rsidRPr="00C665F0" w:rsidRDefault="003574BF" w:rsidP="003574BF">
      <w:pPr>
        <w:spacing w:after="0" w:line="360" w:lineRule="auto"/>
        <w:ind w:firstLine="1440"/>
        <w:rPr>
          <w:rFonts w:ascii="Times New Roman" w:eastAsia="Times New Roman" w:hAnsi="Times New Roman" w:cs="Times New Roman"/>
          <w:sz w:val="24"/>
          <w:szCs w:val="24"/>
        </w:rPr>
      </w:pPr>
    </w:p>
    <w:p w:rsidR="00B57C43" w:rsidRDefault="00B57C43" w:rsidP="003574BF">
      <w:pPr>
        <w:pStyle w:val="BodyText"/>
        <w:spacing w:line="360" w:lineRule="auto"/>
        <w:rPr>
          <w:szCs w:val="24"/>
        </w:rPr>
      </w:pPr>
      <w:r>
        <w:rPr>
          <w:szCs w:val="24"/>
        </w:rPr>
        <w:br w:type="page"/>
      </w:r>
    </w:p>
    <w:p w:rsidR="003574BF" w:rsidRPr="00C665F0" w:rsidRDefault="003574BF" w:rsidP="003574BF">
      <w:pPr>
        <w:pStyle w:val="BodyText"/>
        <w:spacing w:line="360" w:lineRule="auto"/>
        <w:rPr>
          <w:szCs w:val="24"/>
        </w:rPr>
      </w:pPr>
      <w:r w:rsidRPr="00C665F0">
        <w:rPr>
          <w:szCs w:val="24"/>
        </w:rPr>
        <w:t xml:space="preserve">Due </w:t>
      </w:r>
      <w:r w:rsidR="00191CE1">
        <w:rPr>
          <w:szCs w:val="24"/>
        </w:rPr>
        <w:t>to the increased participation in</w:t>
      </w:r>
      <w:r w:rsidRPr="00C665F0">
        <w:rPr>
          <w:szCs w:val="24"/>
        </w:rPr>
        <w:t xml:space="preserve"> its Gas Customer Choice Program, PECO is experiencing and projecting less gas purchases fo</w:t>
      </w:r>
      <w:r w:rsidR="003F6BDB" w:rsidRPr="00C665F0">
        <w:rPr>
          <w:szCs w:val="24"/>
        </w:rPr>
        <w:t>r its Supplier of Last Resort (SOLR</w:t>
      </w:r>
      <w:r w:rsidRPr="00C665F0">
        <w:rPr>
          <w:szCs w:val="24"/>
        </w:rPr>
        <w:t xml:space="preserve">) customers.  PECO St. 5, p. 40.  </w:t>
      </w:r>
      <w:r w:rsidR="00F539F9" w:rsidRPr="00C665F0">
        <w:rPr>
          <w:szCs w:val="24"/>
        </w:rPr>
        <w:t xml:space="preserve">The Settlement allows PECO to </w:t>
      </w:r>
      <w:r w:rsidRPr="00C665F0">
        <w:rPr>
          <w:szCs w:val="24"/>
        </w:rPr>
        <w:t>adjust the volumetric component of its hedging program to achieve a 28% maximum hedge in accordance with the schedule below:</w:t>
      </w:r>
    </w:p>
    <w:p w:rsidR="0060629B" w:rsidRPr="00C665F0" w:rsidRDefault="0060629B" w:rsidP="00B57C43">
      <w:pPr>
        <w:pStyle w:val="BodyText"/>
        <w:spacing w:line="360" w:lineRule="auto"/>
        <w:ind w:firstLine="0"/>
        <w:rPr>
          <w:szCs w:val="24"/>
        </w:rPr>
      </w:pPr>
    </w:p>
    <w:tbl>
      <w:tblPr>
        <w:tblW w:w="9375" w:type="dxa"/>
        <w:tblInd w:w="93" w:type="dxa"/>
        <w:tblLook w:val="04A0" w:firstRow="1" w:lastRow="0" w:firstColumn="1" w:lastColumn="0" w:noHBand="0" w:noVBand="1"/>
      </w:tblPr>
      <w:tblGrid>
        <w:gridCol w:w="2740"/>
        <w:gridCol w:w="2225"/>
        <w:gridCol w:w="2250"/>
        <w:gridCol w:w="2160"/>
      </w:tblGrid>
      <w:tr w:rsidR="003574BF" w:rsidRPr="00C665F0" w:rsidTr="000F44C4">
        <w:trPr>
          <w:trHeight w:val="315"/>
        </w:trPr>
        <w:tc>
          <w:tcPr>
            <w:tcW w:w="2740" w:type="dxa"/>
            <w:noWrap/>
            <w:vAlign w:val="bottom"/>
            <w:hideMark/>
          </w:tcPr>
          <w:p w:rsidR="003574BF" w:rsidRPr="00C665F0" w:rsidRDefault="003574BF" w:rsidP="003574BF">
            <w:pPr>
              <w:spacing w:after="0" w:line="360" w:lineRule="auto"/>
              <w:rPr>
                <w:rFonts w:ascii="Times New Roman" w:hAnsi="Times New Roman" w:cs="Times New Roman"/>
                <w:sz w:val="24"/>
                <w:szCs w:val="24"/>
              </w:rPr>
            </w:pPr>
          </w:p>
        </w:tc>
        <w:tc>
          <w:tcPr>
            <w:tcW w:w="2225" w:type="dxa"/>
            <w:noWrap/>
            <w:vAlign w:val="bottom"/>
            <w:hideMark/>
          </w:tcPr>
          <w:p w:rsidR="003574BF" w:rsidRPr="00C665F0" w:rsidRDefault="003574BF" w:rsidP="003574BF">
            <w:pPr>
              <w:spacing w:after="0" w:line="360" w:lineRule="auto"/>
              <w:rPr>
                <w:rFonts w:ascii="Times New Roman" w:hAnsi="Times New Roman" w:cs="Times New Roman"/>
                <w:sz w:val="24"/>
                <w:szCs w:val="24"/>
              </w:rPr>
            </w:pPr>
          </w:p>
        </w:tc>
        <w:tc>
          <w:tcPr>
            <w:tcW w:w="2250" w:type="dxa"/>
            <w:noWrap/>
            <w:vAlign w:val="bottom"/>
            <w:hideMark/>
          </w:tcPr>
          <w:p w:rsidR="003574BF" w:rsidRPr="00C665F0" w:rsidRDefault="003574BF" w:rsidP="003574BF">
            <w:pPr>
              <w:spacing w:after="0" w:line="360" w:lineRule="auto"/>
              <w:rPr>
                <w:rFonts w:ascii="Times New Roman" w:hAnsi="Times New Roman" w:cs="Times New Roman"/>
                <w:sz w:val="24"/>
                <w:szCs w:val="24"/>
              </w:rPr>
            </w:pPr>
          </w:p>
        </w:tc>
        <w:tc>
          <w:tcPr>
            <w:tcW w:w="2160" w:type="dxa"/>
            <w:noWrap/>
            <w:vAlign w:val="bottom"/>
            <w:hideMark/>
          </w:tcPr>
          <w:p w:rsidR="003574BF" w:rsidRPr="00C665F0" w:rsidRDefault="003574BF" w:rsidP="003574BF">
            <w:pPr>
              <w:spacing w:after="0" w:line="360" w:lineRule="auto"/>
              <w:rPr>
                <w:rFonts w:ascii="Times New Roman" w:hAnsi="Times New Roman" w:cs="Times New Roman"/>
                <w:sz w:val="24"/>
                <w:szCs w:val="24"/>
              </w:rPr>
            </w:pPr>
          </w:p>
        </w:tc>
      </w:tr>
      <w:tr w:rsidR="003574BF" w:rsidRPr="00C665F0" w:rsidTr="000F44C4">
        <w:trPr>
          <w:trHeight w:val="645"/>
        </w:trPr>
        <w:tc>
          <w:tcPr>
            <w:tcW w:w="2740" w:type="dxa"/>
            <w:tcBorders>
              <w:top w:val="single" w:sz="8" w:space="0" w:color="auto"/>
              <w:left w:val="single" w:sz="8" w:space="0" w:color="auto"/>
              <w:bottom w:val="nil"/>
              <w:right w:val="nil"/>
            </w:tcBorders>
            <w:vAlign w:val="center"/>
            <w:hideMark/>
          </w:tcPr>
          <w:p w:rsidR="003574BF" w:rsidRPr="00C665F0" w:rsidRDefault="003574BF" w:rsidP="003574BF">
            <w:pPr>
              <w:spacing w:after="0" w:line="360" w:lineRule="auto"/>
              <w:jc w:val="center"/>
              <w:rPr>
                <w:rFonts w:ascii="Times New Roman" w:hAnsi="Times New Roman" w:cs="Times New Roman"/>
                <w:b/>
                <w:bCs/>
                <w:color w:val="000000"/>
                <w:sz w:val="24"/>
                <w:szCs w:val="24"/>
              </w:rPr>
            </w:pPr>
            <w:r w:rsidRPr="00C665F0">
              <w:rPr>
                <w:rFonts w:ascii="Times New Roman" w:hAnsi="Times New Roman" w:cs="Times New Roman"/>
                <w:b/>
                <w:bCs/>
                <w:color w:val="000000"/>
                <w:sz w:val="24"/>
                <w:szCs w:val="24"/>
              </w:rPr>
              <w:t>Month(s)</w:t>
            </w:r>
          </w:p>
        </w:tc>
        <w:tc>
          <w:tcPr>
            <w:tcW w:w="2225" w:type="dxa"/>
            <w:tcBorders>
              <w:top w:val="single" w:sz="8" w:space="0" w:color="auto"/>
              <w:left w:val="nil"/>
              <w:bottom w:val="single" w:sz="8" w:space="0" w:color="auto"/>
              <w:right w:val="nil"/>
            </w:tcBorders>
            <w:vAlign w:val="center"/>
            <w:hideMark/>
          </w:tcPr>
          <w:p w:rsidR="003574BF" w:rsidRPr="00C665F0" w:rsidRDefault="003574BF" w:rsidP="003574BF">
            <w:pPr>
              <w:spacing w:after="0" w:line="360" w:lineRule="auto"/>
              <w:jc w:val="center"/>
              <w:rPr>
                <w:rFonts w:ascii="Times New Roman" w:hAnsi="Times New Roman" w:cs="Times New Roman"/>
                <w:b/>
                <w:bCs/>
                <w:color w:val="000000"/>
                <w:sz w:val="24"/>
                <w:szCs w:val="24"/>
              </w:rPr>
            </w:pPr>
            <w:r w:rsidRPr="00C665F0">
              <w:rPr>
                <w:rFonts w:ascii="Times New Roman" w:hAnsi="Times New Roman" w:cs="Times New Roman"/>
                <w:b/>
                <w:bCs/>
                <w:color w:val="000000"/>
                <w:sz w:val="24"/>
                <w:szCs w:val="24"/>
              </w:rPr>
              <w:t>Quantities Per Day</w:t>
            </w:r>
          </w:p>
        </w:tc>
        <w:tc>
          <w:tcPr>
            <w:tcW w:w="2250" w:type="dxa"/>
            <w:tcBorders>
              <w:top w:val="single" w:sz="8" w:space="0" w:color="auto"/>
              <w:left w:val="nil"/>
              <w:bottom w:val="nil"/>
              <w:right w:val="nil"/>
            </w:tcBorders>
            <w:vAlign w:val="center"/>
            <w:hideMark/>
          </w:tcPr>
          <w:p w:rsidR="003574BF" w:rsidRPr="00C665F0" w:rsidRDefault="003574BF" w:rsidP="003574BF">
            <w:pPr>
              <w:spacing w:after="0" w:line="360" w:lineRule="auto"/>
              <w:jc w:val="center"/>
              <w:rPr>
                <w:rFonts w:ascii="Times New Roman" w:hAnsi="Times New Roman" w:cs="Times New Roman"/>
                <w:b/>
                <w:bCs/>
                <w:color w:val="000000"/>
                <w:sz w:val="24"/>
                <w:szCs w:val="24"/>
              </w:rPr>
            </w:pPr>
            <w:r w:rsidRPr="00C665F0">
              <w:rPr>
                <w:rFonts w:ascii="Times New Roman" w:hAnsi="Times New Roman" w:cs="Times New Roman"/>
                <w:b/>
                <w:bCs/>
                <w:color w:val="000000"/>
                <w:sz w:val="24"/>
                <w:szCs w:val="24"/>
              </w:rPr>
              <w:t>Schedule</w:t>
            </w:r>
          </w:p>
        </w:tc>
        <w:tc>
          <w:tcPr>
            <w:tcW w:w="2160" w:type="dxa"/>
            <w:tcBorders>
              <w:top w:val="single" w:sz="8" w:space="0" w:color="auto"/>
              <w:left w:val="nil"/>
              <w:bottom w:val="single" w:sz="8" w:space="0" w:color="auto"/>
              <w:right w:val="single" w:sz="8" w:space="0" w:color="auto"/>
            </w:tcBorders>
            <w:vAlign w:val="center"/>
            <w:hideMark/>
          </w:tcPr>
          <w:p w:rsidR="003574BF" w:rsidRPr="00C665F0" w:rsidRDefault="003574BF" w:rsidP="003574BF">
            <w:pPr>
              <w:spacing w:after="0" w:line="360" w:lineRule="auto"/>
              <w:jc w:val="center"/>
              <w:rPr>
                <w:rFonts w:ascii="Times New Roman" w:hAnsi="Times New Roman" w:cs="Times New Roman"/>
                <w:b/>
                <w:bCs/>
                <w:color w:val="000000"/>
                <w:sz w:val="24"/>
                <w:szCs w:val="24"/>
              </w:rPr>
            </w:pPr>
            <w:r w:rsidRPr="00C665F0">
              <w:rPr>
                <w:rFonts w:ascii="Times New Roman" w:hAnsi="Times New Roman" w:cs="Times New Roman"/>
                <w:b/>
                <w:bCs/>
                <w:color w:val="000000"/>
                <w:sz w:val="24"/>
                <w:szCs w:val="24"/>
              </w:rPr>
              <w:t>By (Deadline)</w:t>
            </w:r>
          </w:p>
        </w:tc>
      </w:tr>
      <w:tr w:rsidR="003574BF" w:rsidRPr="00C665F0" w:rsidTr="000F44C4">
        <w:trPr>
          <w:trHeight w:val="315"/>
        </w:trPr>
        <w:tc>
          <w:tcPr>
            <w:tcW w:w="2740" w:type="dxa"/>
            <w:tcBorders>
              <w:top w:val="single" w:sz="8" w:space="0" w:color="auto"/>
              <w:left w:val="single" w:sz="8" w:space="0" w:color="auto"/>
              <w:bottom w:val="nil"/>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March 2015</w:t>
            </w:r>
          </w:p>
        </w:tc>
        <w:tc>
          <w:tcPr>
            <w:tcW w:w="2225" w:type="dxa"/>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7,500 to 10,000 dth</w:t>
            </w:r>
          </w:p>
        </w:tc>
        <w:tc>
          <w:tcPr>
            <w:tcW w:w="2250" w:type="dxa"/>
            <w:tcBorders>
              <w:top w:val="single" w:sz="8" w:space="0" w:color="auto"/>
              <w:left w:val="single" w:sz="8" w:space="0" w:color="auto"/>
              <w:bottom w:val="nil"/>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3,750  to 5,000 dth</w:t>
            </w:r>
          </w:p>
        </w:tc>
        <w:tc>
          <w:tcPr>
            <w:tcW w:w="2160" w:type="dxa"/>
            <w:tcBorders>
              <w:top w:val="nil"/>
              <w:left w:val="nil"/>
              <w:bottom w:val="nil"/>
              <w:right w:val="single" w:sz="8" w:space="0" w:color="auto"/>
            </w:tcBorders>
            <w:vAlign w:val="center"/>
            <w:hideMark/>
          </w:tcPr>
          <w:p w:rsidR="003574BF" w:rsidRPr="00C665F0" w:rsidRDefault="003574BF" w:rsidP="003574BF">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11/1/2014</w:t>
            </w:r>
          </w:p>
        </w:tc>
      </w:tr>
      <w:tr w:rsidR="003574BF" w:rsidRPr="00C665F0" w:rsidTr="000F44C4">
        <w:trPr>
          <w:trHeight w:val="330"/>
        </w:trPr>
        <w:tc>
          <w:tcPr>
            <w:tcW w:w="2740" w:type="dxa"/>
            <w:tcBorders>
              <w:top w:val="nil"/>
              <w:left w:val="single" w:sz="8" w:space="0" w:color="auto"/>
              <w:bottom w:val="single" w:sz="8" w:space="0" w:color="auto"/>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25" w:type="dxa"/>
            <w:tcBorders>
              <w:top w:val="nil"/>
              <w:left w:val="nil"/>
              <w:bottom w:val="single" w:sz="8" w:space="0" w:color="auto"/>
              <w:right w:val="nil"/>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50" w:type="dxa"/>
            <w:tcBorders>
              <w:top w:val="nil"/>
              <w:left w:val="single" w:sz="8" w:space="0" w:color="auto"/>
              <w:bottom w:val="single" w:sz="8" w:space="0" w:color="auto"/>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3,750  to 5,000 dth</w:t>
            </w:r>
          </w:p>
        </w:tc>
        <w:tc>
          <w:tcPr>
            <w:tcW w:w="2160" w:type="dxa"/>
            <w:tcBorders>
              <w:top w:val="nil"/>
              <w:left w:val="nil"/>
              <w:bottom w:val="single" w:sz="8" w:space="0" w:color="auto"/>
              <w:right w:val="single" w:sz="8" w:space="0" w:color="auto"/>
            </w:tcBorders>
            <w:vAlign w:val="center"/>
            <w:hideMark/>
          </w:tcPr>
          <w:p w:rsidR="003574BF" w:rsidRPr="00C665F0" w:rsidRDefault="003574BF" w:rsidP="003574BF">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2/1/2015</w:t>
            </w:r>
          </w:p>
        </w:tc>
      </w:tr>
      <w:tr w:rsidR="003574BF" w:rsidRPr="00C665F0" w:rsidTr="000F44C4">
        <w:trPr>
          <w:trHeight w:val="630"/>
        </w:trPr>
        <w:tc>
          <w:tcPr>
            <w:tcW w:w="2740" w:type="dxa"/>
            <w:tcBorders>
              <w:top w:val="nil"/>
              <w:left w:val="single" w:sz="8" w:space="0" w:color="auto"/>
              <w:bottom w:val="nil"/>
              <w:right w:val="nil"/>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April 2015 through September 2015</w:t>
            </w:r>
          </w:p>
        </w:tc>
        <w:tc>
          <w:tcPr>
            <w:tcW w:w="2225" w:type="dxa"/>
            <w:tcBorders>
              <w:top w:val="nil"/>
              <w:left w:val="single" w:sz="8" w:space="0" w:color="auto"/>
              <w:bottom w:val="nil"/>
              <w:right w:val="nil"/>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5,000 to 10,000 dth</w:t>
            </w:r>
          </w:p>
        </w:tc>
        <w:tc>
          <w:tcPr>
            <w:tcW w:w="2250" w:type="dxa"/>
            <w:tcBorders>
              <w:top w:val="nil"/>
              <w:left w:val="single" w:sz="8" w:space="0" w:color="auto"/>
              <w:bottom w:val="nil"/>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2,500  to 5,000 dth</w:t>
            </w:r>
          </w:p>
        </w:tc>
        <w:tc>
          <w:tcPr>
            <w:tcW w:w="2160" w:type="dxa"/>
            <w:tcBorders>
              <w:top w:val="nil"/>
              <w:left w:val="nil"/>
              <w:bottom w:val="nil"/>
              <w:right w:val="single" w:sz="8" w:space="0" w:color="auto"/>
            </w:tcBorders>
            <w:vAlign w:val="center"/>
            <w:hideMark/>
          </w:tcPr>
          <w:p w:rsidR="003574BF" w:rsidRPr="00C665F0" w:rsidRDefault="003574BF" w:rsidP="003574BF">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12/1/2014</w:t>
            </w:r>
          </w:p>
        </w:tc>
      </w:tr>
      <w:tr w:rsidR="003574BF" w:rsidRPr="00C665F0" w:rsidTr="000F44C4">
        <w:trPr>
          <w:trHeight w:val="330"/>
        </w:trPr>
        <w:tc>
          <w:tcPr>
            <w:tcW w:w="2740" w:type="dxa"/>
            <w:tcBorders>
              <w:top w:val="nil"/>
              <w:left w:val="single" w:sz="8" w:space="0" w:color="auto"/>
              <w:bottom w:val="single" w:sz="8" w:space="0" w:color="auto"/>
              <w:right w:val="nil"/>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25" w:type="dxa"/>
            <w:tcBorders>
              <w:top w:val="nil"/>
              <w:left w:val="single" w:sz="8" w:space="0" w:color="auto"/>
              <w:bottom w:val="single" w:sz="8" w:space="0" w:color="auto"/>
              <w:right w:val="nil"/>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50" w:type="dxa"/>
            <w:tcBorders>
              <w:top w:val="nil"/>
              <w:left w:val="single" w:sz="8" w:space="0" w:color="auto"/>
              <w:bottom w:val="single" w:sz="8" w:space="0" w:color="auto"/>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2,500  to 5,000 dth</w:t>
            </w:r>
          </w:p>
        </w:tc>
        <w:tc>
          <w:tcPr>
            <w:tcW w:w="2160" w:type="dxa"/>
            <w:tcBorders>
              <w:top w:val="nil"/>
              <w:left w:val="nil"/>
              <w:bottom w:val="single" w:sz="8" w:space="0" w:color="auto"/>
              <w:right w:val="single" w:sz="8" w:space="0" w:color="auto"/>
            </w:tcBorders>
            <w:vAlign w:val="center"/>
            <w:hideMark/>
          </w:tcPr>
          <w:p w:rsidR="003574BF" w:rsidRPr="00C665F0" w:rsidRDefault="003574BF" w:rsidP="003574BF">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3/1/2015</w:t>
            </w:r>
          </w:p>
        </w:tc>
      </w:tr>
      <w:tr w:rsidR="003574BF" w:rsidRPr="00C665F0" w:rsidTr="000F44C4">
        <w:trPr>
          <w:trHeight w:val="630"/>
        </w:trPr>
        <w:tc>
          <w:tcPr>
            <w:tcW w:w="2740" w:type="dxa"/>
            <w:tcBorders>
              <w:top w:val="nil"/>
              <w:left w:val="single" w:sz="8" w:space="0" w:color="auto"/>
              <w:bottom w:val="nil"/>
              <w:right w:val="nil"/>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October 2015</w:t>
            </w:r>
          </w:p>
        </w:tc>
        <w:tc>
          <w:tcPr>
            <w:tcW w:w="2225" w:type="dxa"/>
            <w:tcBorders>
              <w:top w:val="nil"/>
              <w:left w:val="single" w:sz="8" w:space="0" w:color="auto"/>
              <w:bottom w:val="nil"/>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10,000 to 15,000 dth</w:t>
            </w:r>
          </w:p>
        </w:tc>
        <w:tc>
          <w:tcPr>
            <w:tcW w:w="2250" w:type="dxa"/>
            <w:tcBorders>
              <w:top w:val="nil"/>
              <w:left w:val="nil"/>
              <w:bottom w:val="nil"/>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5,000 to 7,500 dth </w:t>
            </w:r>
          </w:p>
        </w:tc>
        <w:tc>
          <w:tcPr>
            <w:tcW w:w="2160" w:type="dxa"/>
            <w:tcBorders>
              <w:top w:val="nil"/>
              <w:left w:val="nil"/>
              <w:bottom w:val="nil"/>
              <w:right w:val="single" w:sz="8" w:space="0" w:color="auto"/>
            </w:tcBorders>
            <w:vAlign w:val="center"/>
            <w:hideMark/>
          </w:tcPr>
          <w:p w:rsidR="003574BF" w:rsidRPr="00C665F0" w:rsidRDefault="003574BF" w:rsidP="003574BF">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3/1/2015</w:t>
            </w:r>
          </w:p>
        </w:tc>
      </w:tr>
      <w:tr w:rsidR="003574BF" w:rsidRPr="00C665F0" w:rsidTr="000F44C4">
        <w:trPr>
          <w:trHeight w:val="330"/>
        </w:trPr>
        <w:tc>
          <w:tcPr>
            <w:tcW w:w="2740" w:type="dxa"/>
            <w:tcBorders>
              <w:top w:val="nil"/>
              <w:left w:val="single" w:sz="8" w:space="0" w:color="auto"/>
              <w:bottom w:val="single" w:sz="8" w:space="0" w:color="auto"/>
              <w:right w:val="nil"/>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25" w:type="dxa"/>
            <w:tcBorders>
              <w:top w:val="nil"/>
              <w:left w:val="single" w:sz="8" w:space="0" w:color="auto"/>
              <w:bottom w:val="single" w:sz="8" w:space="0" w:color="auto"/>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50" w:type="dxa"/>
            <w:tcBorders>
              <w:top w:val="nil"/>
              <w:left w:val="nil"/>
              <w:bottom w:val="single" w:sz="8" w:space="0" w:color="auto"/>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5,000 to 7,500 dth </w:t>
            </w:r>
          </w:p>
        </w:tc>
        <w:tc>
          <w:tcPr>
            <w:tcW w:w="2160" w:type="dxa"/>
            <w:tcBorders>
              <w:top w:val="nil"/>
              <w:left w:val="nil"/>
              <w:bottom w:val="single" w:sz="8" w:space="0" w:color="auto"/>
              <w:right w:val="single" w:sz="8" w:space="0" w:color="auto"/>
            </w:tcBorders>
            <w:vAlign w:val="center"/>
            <w:hideMark/>
          </w:tcPr>
          <w:p w:rsidR="003574BF" w:rsidRPr="00C665F0" w:rsidRDefault="003574BF" w:rsidP="003574BF">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9/1/2015</w:t>
            </w:r>
          </w:p>
        </w:tc>
      </w:tr>
      <w:tr w:rsidR="003574BF" w:rsidRPr="00C665F0" w:rsidTr="000F44C4">
        <w:trPr>
          <w:trHeight w:val="630"/>
        </w:trPr>
        <w:tc>
          <w:tcPr>
            <w:tcW w:w="2740" w:type="dxa"/>
            <w:tcBorders>
              <w:top w:val="nil"/>
              <w:left w:val="single" w:sz="8" w:space="0" w:color="auto"/>
              <w:bottom w:val="nil"/>
              <w:right w:val="nil"/>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November 2015   </w:t>
            </w:r>
          </w:p>
        </w:tc>
        <w:tc>
          <w:tcPr>
            <w:tcW w:w="2225" w:type="dxa"/>
            <w:tcBorders>
              <w:top w:val="nil"/>
              <w:left w:val="single" w:sz="8" w:space="0" w:color="auto"/>
              <w:bottom w:val="nil"/>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15,000 to 20,000 dth</w:t>
            </w:r>
          </w:p>
        </w:tc>
        <w:tc>
          <w:tcPr>
            <w:tcW w:w="2250" w:type="dxa"/>
            <w:tcBorders>
              <w:top w:val="nil"/>
              <w:left w:val="nil"/>
              <w:bottom w:val="nil"/>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7,500 to 10,000 dth </w:t>
            </w:r>
          </w:p>
        </w:tc>
        <w:tc>
          <w:tcPr>
            <w:tcW w:w="2160" w:type="dxa"/>
            <w:tcBorders>
              <w:top w:val="nil"/>
              <w:left w:val="nil"/>
              <w:bottom w:val="nil"/>
              <w:right w:val="single" w:sz="8" w:space="0" w:color="auto"/>
            </w:tcBorders>
            <w:vAlign w:val="center"/>
            <w:hideMark/>
          </w:tcPr>
          <w:p w:rsidR="003574BF" w:rsidRPr="00C665F0" w:rsidRDefault="003574BF" w:rsidP="003574BF">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3/1/2015</w:t>
            </w:r>
          </w:p>
        </w:tc>
      </w:tr>
      <w:tr w:rsidR="003574BF" w:rsidRPr="00C665F0" w:rsidTr="000F44C4">
        <w:trPr>
          <w:trHeight w:val="330"/>
        </w:trPr>
        <w:tc>
          <w:tcPr>
            <w:tcW w:w="2740" w:type="dxa"/>
            <w:tcBorders>
              <w:top w:val="nil"/>
              <w:left w:val="single" w:sz="8" w:space="0" w:color="auto"/>
              <w:bottom w:val="single" w:sz="8" w:space="0" w:color="auto"/>
              <w:right w:val="nil"/>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25" w:type="dxa"/>
            <w:tcBorders>
              <w:top w:val="nil"/>
              <w:left w:val="single" w:sz="8" w:space="0" w:color="auto"/>
              <w:bottom w:val="single" w:sz="8" w:space="0" w:color="auto"/>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50" w:type="dxa"/>
            <w:tcBorders>
              <w:top w:val="nil"/>
              <w:left w:val="nil"/>
              <w:bottom w:val="single" w:sz="8" w:space="0" w:color="auto"/>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7,500 to 10,000 dth </w:t>
            </w:r>
          </w:p>
        </w:tc>
        <w:tc>
          <w:tcPr>
            <w:tcW w:w="2160" w:type="dxa"/>
            <w:tcBorders>
              <w:top w:val="nil"/>
              <w:left w:val="nil"/>
              <w:bottom w:val="single" w:sz="8" w:space="0" w:color="auto"/>
              <w:right w:val="single" w:sz="8" w:space="0" w:color="auto"/>
            </w:tcBorders>
            <w:vAlign w:val="center"/>
            <w:hideMark/>
          </w:tcPr>
          <w:p w:rsidR="003574BF" w:rsidRPr="00C665F0" w:rsidRDefault="003574BF" w:rsidP="003574BF">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9/1/2015</w:t>
            </w:r>
          </w:p>
        </w:tc>
      </w:tr>
      <w:tr w:rsidR="003574BF" w:rsidRPr="00C665F0" w:rsidTr="000F44C4">
        <w:trPr>
          <w:trHeight w:val="630"/>
        </w:trPr>
        <w:tc>
          <w:tcPr>
            <w:tcW w:w="2740" w:type="dxa"/>
            <w:tcBorders>
              <w:top w:val="nil"/>
              <w:left w:val="single" w:sz="8" w:space="0" w:color="auto"/>
              <w:bottom w:val="nil"/>
              <w:right w:val="nil"/>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December 2015 through February 2016</w:t>
            </w:r>
          </w:p>
        </w:tc>
        <w:tc>
          <w:tcPr>
            <w:tcW w:w="2225" w:type="dxa"/>
            <w:tcBorders>
              <w:top w:val="nil"/>
              <w:left w:val="single" w:sz="8" w:space="0" w:color="auto"/>
              <w:bottom w:val="nil"/>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15,000 to 25,000 dth</w:t>
            </w:r>
          </w:p>
        </w:tc>
        <w:tc>
          <w:tcPr>
            <w:tcW w:w="2250" w:type="dxa"/>
            <w:tcBorders>
              <w:top w:val="nil"/>
              <w:left w:val="nil"/>
              <w:bottom w:val="nil"/>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7,500 to 12,500 dth </w:t>
            </w:r>
          </w:p>
        </w:tc>
        <w:tc>
          <w:tcPr>
            <w:tcW w:w="2160" w:type="dxa"/>
            <w:tcBorders>
              <w:top w:val="nil"/>
              <w:left w:val="nil"/>
              <w:bottom w:val="nil"/>
              <w:right w:val="single" w:sz="8" w:space="0" w:color="auto"/>
            </w:tcBorders>
            <w:vAlign w:val="center"/>
            <w:hideMark/>
          </w:tcPr>
          <w:p w:rsidR="003574BF" w:rsidRPr="00C665F0" w:rsidRDefault="003574BF" w:rsidP="003574BF">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4/1/2015</w:t>
            </w:r>
          </w:p>
        </w:tc>
      </w:tr>
      <w:tr w:rsidR="003574BF" w:rsidRPr="00C665F0" w:rsidTr="000F44C4">
        <w:trPr>
          <w:trHeight w:val="330"/>
        </w:trPr>
        <w:tc>
          <w:tcPr>
            <w:tcW w:w="2740" w:type="dxa"/>
            <w:tcBorders>
              <w:top w:val="nil"/>
              <w:left w:val="single" w:sz="8" w:space="0" w:color="auto"/>
              <w:bottom w:val="single" w:sz="8" w:space="0" w:color="auto"/>
              <w:right w:val="nil"/>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25" w:type="dxa"/>
            <w:tcBorders>
              <w:top w:val="nil"/>
              <w:left w:val="single" w:sz="8" w:space="0" w:color="auto"/>
              <w:bottom w:val="single" w:sz="8" w:space="0" w:color="auto"/>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w:t>
            </w:r>
          </w:p>
        </w:tc>
        <w:tc>
          <w:tcPr>
            <w:tcW w:w="2250" w:type="dxa"/>
            <w:tcBorders>
              <w:top w:val="nil"/>
              <w:left w:val="nil"/>
              <w:bottom w:val="single" w:sz="8" w:space="0" w:color="auto"/>
              <w:right w:val="single" w:sz="8" w:space="0" w:color="auto"/>
            </w:tcBorders>
            <w:vAlign w:val="center"/>
            <w:hideMark/>
          </w:tcPr>
          <w:p w:rsidR="003574BF" w:rsidRPr="00C665F0" w:rsidRDefault="003574BF" w:rsidP="003574BF">
            <w:pPr>
              <w:spacing w:after="0" w:line="360" w:lineRule="auto"/>
              <w:rPr>
                <w:rFonts w:ascii="Times New Roman" w:hAnsi="Times New Roman" w:cs="Times New Roman"/>
                <w:color w:val="000000"/>
                <w:sz w:val="24"/>
                <w:szCs w:val="24"/>
              </w:rPr>
            </w:pPr>
            <w:r w:rsidRPr="00C665F0">
              <w:rPr>
                <w:rFonts w:ascii="Times New Roman" w:hAnsi="Times New Roman" w:cs="Times New Roman"/>
                <w:color w:val="000000"/>
                <w:sz w:val="24"/>
                <w:szCs w:val="24"/>
              </w:rPr>
              <w:t xml:space="preserve">7,500 to 12,500 dth </w:t>
            </w:r>
          </w:p>
        </w:tc>
        <w:tc>
          <w:tcPr>
            <w:tcW w:w="2160" w:type="dxa"/>
            <w:tcBorders>
              <w:top w:val="nil"/>
              <w:left w:val="nil"/>
              <w:bottom w:val="single" w:sz="8" w:space="0" w:color="auto"/>
              <w:right w:val="single" w:sz="8" w:space="0" w:color="auto"/>
            </w:tcBorders>
            <w:vAlign w:val="center"/>
            <w:hideMark/>
          </w:tcPr>
          <w:p w:rsidR="003574BF" w:rsidRPr="00C665F0" w:rsidRDefault="003574BF" w:rsidP="003574BF">
            <w:pPr>
              <w:spacing w:after="0" w:line="360" w:lineRule="auto"/>
              <w:jc w:val="right"/>
              <w:rPr>
                <w:rFonts w:ascii="Times New Roman" w:hAnsi="Times New Roman" w:cs="Times New Roman"/>
                <w:color w:val="000000"/>
                <w:sz w:val="24"/>
                <w:szCs w:val="24"/>
              </w:rPr>
            </w:pPr>
            <w:r w:rsidRPr="00C665F0">
              <w:rPr>
                <w:rFonts w:ascii="Times New Roman" w:hAnsi="Times New Roman" w:cs="Times New Roman"/>
                <w:color w:val="000000"/>
                <w:sz w:val="24"/>
                <w:szCs w:val="24"/>
              </w:rPr>
              <w:t>10/1/2015</w:t>
            </w:r>
          </w:p>
        </w:tc>
      </w:tr>
    </w:tbl>
    <w:p w:rsidR="006015F4" w:rsidRPr="00C665F0" w:rsidRDefault="006015F4" w:rsidP="00B57C43">
      <w:pPr>
        <w:pStyle w:val="BodyText"/>
        <w:spacing w:line="240" w:lineRule="auto"/>
        <w:ind w:firstLine="0"/>
        <w:rPr>
          <w:szCs w:val="24"/>
        </w:rPr>
      </w:pPr>
    </w:p>
    <w:p w:rsidR="003574BF" w:rsidRPr="00C665F0" w:rsidRDefault="003574BF" w:rsidP="003574BF">
      <w:pPr>
        <w:pStyle w:val="BodyText"/>
        <w:spacing w:line="360" w:lineRule="auto"/>
        <w:ind w:firstLine="0"/>
        <w:rPr>
          <w:szCs w:val="24"/>
        </w:rPr>
      </w:pPr>
      <w:r w:rsidRPr="00C665F0">
        <w:rPr>
          <w:szCs w:val="24"/>
        </w:rPr>
        <w:t>The 28% maximum hedging target is close to the 30% hedging target that the Company believes is the right metric.</w:t>
      </w:r>
    </w:p>
    <w:p w:rsidR="003574BF" w:rsidRPr="00C665F0" w:rsidRDefault="003574BF" w:rsidP="003574BF">
      <w:pPr>
        <w:pStyle w:val="BodyText"/>
        <w:spacing w:line="360" w:lineRule="auto"/>
        <w:ind w:firstLine="0"/>
        <w:rPr>
          <w:szCs w:val="24"/>
        </w:rPr>
      </w:pPr>
    </w:p>
    <w:p w:rsidR="003574BF" w:rsidRPr="00C665F0" w:rsidRDefault="003574BF" w:rsidP="006015F4">
      <w:pPr>
        <w:pStyle w:val="BodyText"/>
        <w:spacing w:line="360" w:lineRule="auto"/>
        <w:rPr>
          <w:szCs w:val="24"/>
        </w:rPr>
      </w:pPr>
      <w:r w:rsidRPr="00C665F0">
        <w:rPr>
          <w:szCs w:val="24"/>
        </w:rPr>
        <w:t xml:space="preserve">In addition, </w:t>
      </w:r>
      <w:r w:rsidR="006015F4" w:rsidRPr="00C665F0">
        <w:rPr>
          <w:szCs w:val="24"/>
        </w:rPr>
        <w:t xml:space="preserve">the Settlement allows PECO to </w:t>
      </w:r>
      <w:r w:rsidRPr="00C665F0">
        <w:rPr>
          <w:szCs w:val="24"/>
        </w:rPr>
        <w:t>modify the long-term (or fixed-price) component of its hedging program by entering into a series of hedged purchase agreements in the form set forth in CPT-5 accompanying PECO Statement No. 5 in this proceeding.  Accordingly, PECO will make fixed-price purchases not to exceed 5,455,000 dth for the period December</w:t>
      </w:r>
      <w:r w:rsidR="00B57C43">
        <w:rPr>
          <w:szCs w:val="24"/>
        </w:rPr>
        <w:t>, </w:t>
      </w:r>
      <w:r w:rsidRPr="00C665F0">
        <w:rPr>
          <w:szCs w:val="24"/>
        </w:rPr>
        <w:t>2016 through November</w:t>
      </w:r>
      <w:r w:rsidR="00B57C43">
        <w:rPr>
          <w:szCs w:val="24"/>
        </w:rPr>
        <w:t>,</w:t>
      </w:r>
      <w:r w:rsidRPr="00C665F0">
        <w:rPr>
          <w:szCs w:val="24"/>
        </w:rPr>
        <w:t xml:space="preserve"> 2017.  This change modifies the terms of the 20</w:t>
      </w:r>
      <w:r w:rsidR="00B57C43">
        <w:rPr>
          <w:szCs w:val="24"/>
        </w:rPr>
        <w:t xml:space="preserve">12 Joint Petition in two ways: </w:t>
      </w:r>
      <w:r w:rsidRPr="00C665F0">
        <w:rPr>
          <w:szCs w:val="24"/>
        </w:rPr>
        <w:t xml:space="preserve">(1) instead of a 20,000 dth maximum per day, the summer maximum will be 10,000 dth per day (non-summer months (November through February) to remain at 20,000 dth per day); and (2) the number of potential counter-parties who will receive the proposal will </w:t>
      </w:r>
      <w:r w:rsidR="005842E1">
        <w:rPr>
          <w:szCs w:val="24"/>
        </w:rPr>
        <w:t>be reduced from twenty to ten.</w:t>
      </w:r>
    </w:p>
    <w:p w:rsidR="006015F4" w:rsidRPr="00C665F0" w:rsidRDefault="006015F4" w:rsidP="006015F4">
      <w:pPr>
        <w:pStyle w:val="BodyText"/>
        <w:spacing w:line="360" w:lineRule="auto"/>
        <w:rPr>
          <w:szCs w:val="24"/>
        </w:rPr>
      </w:pPr>
    </w:p>
    <w:p w:rsidR="006015F4" w:rsidRPr="00C665F0" w:rsidRDefault="006015F4" w:rsidP="006015F4">
      <w:pPr>
        <w:pStyle w:val="BodyText"/>
        <w:spacing w:line="360" w:lineRule="auto"/>
        <w:rPr>
          <w:szCs w:val="24"/>
        </w:rPr>
      </w:pPr>
      <w:r w:rsidRPr="00C665F0">
        <w:rPr>
          <w:szCs w:val="24"/>
        </w:rPr>
        <w:t>The settling parties agree that, in view of the increased shopping among residential and small commercial customers, it is appropriate to adjust (reduce) the total quantity of PECO’s hedged gas supplies.  Failure to do so could result in PECO being forced to take delivery of gas supplies that are not needed, and subsequently having to sell the excess supplies (via off system sales) at prices that are below the Company’s cost of gas.  Any resulting loses would be recovered from PECO’s PGC customers.  Therefore, t</w:t>
      </w:r>
      <w:r w:rsidR="00013B3C" w:rsidRPr="00C665F0">
        <w:rPr>
          <w:szCs w:val="24"/>
        </w:rPr>
        <w:t>he changes to PECO’s current hedging program are reasonable and in the best interest of PECO’s PGW customers.</w:t>
      </w: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Third, the parties examined the issue of lost and unaccounted for gas (LUFG), and determined that PECO’s claim in this filing was</w:t>
      </w:r>
      <w:r w:rsidR="00A040AD" w:rsidRPr="00C665F0">
        <w:rPr>
          <w:rFonts w:ascii="Times New Roman" w:eastAsia="Times New Roman" w:hAnsi="Times New Roman" w:cs="Times New Roman"/>
          <w:sz w:val="24"/>
          <w:szCs w:val="24"/>
        </w:rPr>
        <w:t xml:space="preserve"> reasonable based on the standards presented in this proceeding</w:t>
      </w:r>
      <w:r w:rsidRPr="00C665F0">
        <w:rPr>
          <w:rFonts w:ascii="Times New Roman" w:eastAsia="Times New Roman" w:hAnsi="Times New Roman" w:cs="Times New Roman"/>
          <w:sz w:val="24"/>
          <w:szCs w:val="24"/>
        </w:rPr>
        <w:t>.  The Company agreed in the Joint Petition to continue to track and report in its LUFG initiatives</w:t>
      </w:r>
      <w:r w:rsidR="00013B3C" w:rsidRPr="00C665F0">
        <w:rPr>
          <w:rFonts w:ascii="Times New Roman" w:eastAsia="Times New Roman" w:hAnsi="Times New Roman" w:cs="Times New Roman"/>
          <w:sz w:val="24"/>
          <w:szCs w:val="24"/>
        </w:rPr>
        <w:t xml:space="preserve"> and results.  See, Paragraph 18</w:t>
      </w:r>
      <w:r w:rsidRPr="00C665F0">
        <w:rPr>
          <w:rFonts w:ascii="Times New Roman" w:eastAsia="Times New Roman" w:hAnsi="Times New Roman" w:cs="Times New Roman"/>
          <w:sz w:val="24"/>
          <w:szCs w:val="24"/>
        </w:rPr>
        <w:t>.  As requ</w:t>
      </w:r>
      <w:r w:rsidR="00013B3C" w:rsidRPr="00C665F0">
        <w:rPr>
          <w:rFonts w:ascii="Times New Roman" w:eastAsia="Times New Roman" w:hAnsi="Times New Roman" w:cs="Times New Roman"/>
          <w:sz w:val="24"/>
          <w:szCs w:val="24"/>
        </w:rPr>
        <w:t>ired</w:t>
      </w:r>
      <w:r w:rsidR="00B35D6A">
        <w:rPr>
          <w:rFonts w:ascii="Times New Roman" w:eastAsia="Times New Roman" w:hAnsi="Times New Roman" w:cs="Times New Roman"/>
          <w:sz w:val="24"/>
          <w:szCs w:val="24"/>
        </w:rPr>
        <w:t xml:space="preserve"> by the 2012 Joint Petition and </w:t>
      </w:r>
      <w:r w:rsidR="00013B3C" w:rsidRPr="00C665F0">
        <w:rPr>
          <w:rFonts w:ascii="Times New Roman" w:eastAsia="Times New Roman" w:hAnsi="Times New Roman" w:cs="Times New Roman"/>
          <w:sz w:val="24"/>
          <w:szCs w:val="24"/>
        </w:rPr>
        <w:t>2013 Joint Petition, on July 10, 2014</w:t>
      </w:r>
      <w:r w:rsidRPr="00C665F0">
        <w:rPr>
          <w:rFonts w:ascii="Times New Roman" w:eastAsia="Times New Roman" w:hAnsi="Times New Roman" w:cs="Times New Roman"/>
          <w:sz w:val="24"/>
          <w:szCs w:val="24"/>
        </w:rPr>
        <w:t>, PECO provided the parties with the LUFG average for the twelve m</w:t>
      </w:r>
      <w:r w:rsidR="00A040AD" w:rsidRPr="00C665F0">
        <w:rPr>
          <w:rFonts w:ascii="Times New Roman" w:eastAsia="Times New Roman" w:hAnsi="Times New Roman" w:cs="Times New Roman"/>
          <w:sz w:val="24"/>
          <w:szCs w:val="24"/>
        </w:rPr>
        <w:t>onths ending June 30, 2014 – 3.9</w:t>
      </w:r>
      <w:r w:rsidRPr="00C665F0">
        <w:rPr>
          <w:rFonts w:ascii="Times New Roman" w:eastAsia="Times New Roman" w:hAnsi="Times New Roman" w:cs="Times New Roman"/>
          <w:sz w:val="24"/>
          <w:szCs w:val="24"/>
        </w:rPr>
        <w:t>%, and the three-year weighted average for</w:t>
      </w:r>
      <w:r w:rsidR="00A040AD" w:rsidRPr="00C665F0">
        <w:rPr>
          <w:rFonts w:ascii="Times New Roman" w:eastAsia="Times New Roman" w:hAnsi="Times New Roman" w:cs="Times New Roman"/>
          <w:sz w:val="24"/>
          <w:szCs w:val="24"/>
        </w:rPr>
        <w:t xml:space="preserve"> the period ending June 30, 2014 – 3.4</w:t>
      </w:r>
      <w:r w:rsidRPr="00C665F0">
        <w:rPr>
          <w:rFonts w:ascii="Times New Roman" w:eastAsia="Times New Roman" w:hAnsi="Times New Roman" w:cs="Times New Roman"/>
          <w:sz w:val="24"/>
          <w:szCs w:val="24"/>
        </w:rPr>
        <w:t xml:space="preserve">%.  In its next annual Section 1307(f) filing, PECO will provide, with its testimony, the LUFG three-year weighted average for </w:t>
      </w:r>
      <w:r w:rsidR="00875DF7">
        <w:rPr>
          <w:rFonts w:ascii="Times New Roman" w:eastAsia="Times New Roman" w:hAnsi="Times New Roman" w:cs="Times New Roman"/>
          <w:sz w:val="24"/>
          <w:szCs w:val="24"/>
        </w:rPr>
        <w:t>the period ending March 31, </w:t>
      </w:r>
      <w:r w:rsidR="00A040AD" w:rsidRPr="00C665F0">
        <w:rPr>
          <w:rFonts w:ascii="Times New Roman" w:eastAsia="Times New Roman" w:hAnsi="Times New Roman" w:cs="Times New Roman"/>
          <w:sz w:val="24"/>
          <w:szCs w:val="24"/>
        </w:rPr>
        <w:t>2015</w:t>
      </w:r>
      <w:r w:rsidRPr="00C665F0">
        <w:rPr>
          <w:rFonts w:ascii="Times New Roman" w:eastAsia="Times New Roman" w:hAnsi="Times New Roman" w:cs="Times New Roman"/>
          <w:sz w:val="24"/>
          <w:szCs w:val="24"/>
        </w:rPr>
        <w:t xml:space="preserve">, and </w:t>
      </w:r>
      <w:r w:rsidR="00A040AD" w:rsidRPr="00C665F0">
        <w:rPr>
          <w:rFonts w:ascii="Times New Roman" w:eastAsia="Times New Roman" w:hAnsi="Times New Roman" w:cs="Times New Roman"/>
          <w:sz w:val="24"/>
          <w:szCs w:val="24"/>
        </w:rPr>
        <w:t>the periods ending June 30, 2014</w:t>
      </w:r>
      <w:r w:rsidRPr="00C665F0">
        <w:rPr>
          <w:rFonts w:ascii="Times New Roman" w:eastAsia="Times New Roman" w:hAnsi="Times New Roman" w:cs="Times New Roman"/>
          <w:sz w:val="24"/>
          <w:szCs w:val="24"/>
        </w:rPr>
        <w:t>, and J</w:t>
      </w:r>
      <w:r w:rsidR="00A040AD" w:rsidRPr="00C665F0">
        <w:rPr>
          <w:rFonts w:ascii="Times New Roman" w:eastAsia="Times New Roman" w:hAnsi="Times New Roman" w:cs="Times New Roman"/>
          <w:sz w:val="24"/>
          <w:szCs w:val="24"/>
        </w:rPr>
        <w:t>une 30, 2015 (when the 2015</w:t>
      </w:r>
      <w:r w:rsidRPr="00C665F0">
        <w:rPr>
          <w:rFonts w:ascii="Times New Roman" w:eastAsia="Times New Roman" w:hAnsi="Times New Roman" w:cs="Times New Roman"/>
          <w:sz w:val="24"/>
          <w:szCs w:val="24"/>
        </w:rPr>
        <w:t xml:space="preserve"> data becomes available).  The calculation for weighted LUFG volumes will equal the aggregated three-year LUFG volumes divided by the aggregated three-year supply volumes. </w:t>
      </w:r>
      <w:r w:rsidR="003F6BDB" w:rsidRPr="00C665F0">
        <w:rPr>
          <w:rFonts w:ascii="Times New Roman" w:eastAsia="Times New Roman" w:hAnsi="Times New Roman" w:cs="Times New Roman"/>
          <w:sz w:val="24"/>
          <w:szCs w:val="24"/>
        </w:rPr>
        <w:t xml:space="preserve"> </w:t>
      </w:r>
      <w:r w:rsidRPr="00C665F0">
        <w:rPr>
          <w:rFonts w:ascii="Times New Roman" w:eastAsia="Times New Roman" w:hAnsi="Times New Roman" w:cs="Times New Roman"/>
          <w:sz w:val="24"/>
          <w:szCs w:val="24"/>
        </w:rPr>
        <w:t>The data PECO agreed to provide will give the parties the opportunity to assess the reasonableness of PECO’s overall LUFG as well as the effectiveness of PECO’s efforts to a</w:t>
      </w:r>
      <w:r w:rsidR="005D49D5">
        <w:rPr>
          <w:rFonts w:ascii="Times New Roman" w:eastAsia="Times New Roman" w:hAnsi="Times New Roman" w:cs="Times New Roman"/>
          <w:sz w:val="24"/>
          <w:szCs w:val="24"/>
        </w:rPr>
        <w:t>void excessive levels of LUFG.</w:t>
      </w: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8C04CB">
      <w:pPr>
        <w:spacing w:after="0" w:line="360" w:lineRule="auto"/>
        <w:ind w:firstLine="1440"/>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 xml:space="preserve">Fourth, the parties agreed that the retainage percentage applied to PECO’s transportation customers in this proceeding is appropriate, and avoids the unwarranted shifting of responsibility for LUFG and Company-use gas between retail and transportation customers.  Currently, the </w:t>
      </w:r>
      <w:r w:rsidRPr="00C665F0">
        <w:rPr>
          <w:rFonts w:ascii="Times New Roman" w:eastAsia="Times New Roman" w:hAnsi="Times New Roman" w:cs="Times New Roman"/>
          <w:noProof/>
          <w:sz w:val="24"/>
          <w:szCs w:val="24"/>
        </w:rPr>
        <w:t>retainage volume adjustment is calculated based on the weighted three-year average of LUFG for transported volume less Company-use gas as required by Paragraph</w:t>
      </w:r>
      <w:r w:rsidR="00BA5834" w:rsidRPr="00C665F0">
        <w:rPr>
          <w:rFonts w:ascii="Times New Roman" w:eastAsia="Times New Roman" w:hAnsi="Times New Roman" w:cs="Times New Roman"/>
          <w:noProof/>
          <w:sz w:val="24"/>
          <w:szCs w:val="24"/>
        </w:rPr>
        <w:t>s</w:t>
      </w:r>
      <w:r w:rsidRPr="00C665F0">
        <w:rPr>
          <w:rFonts w:ascii="Times New Roman" w:eastAsia="Times New Roman" w:hAnsi="Times New Roman" w:cs="Times New Roman"/>
          <w:noProof/>
          <w:sz w:val="24"/>
          <w:szCs w:val="24"/>
        </w:rPr>
        <w:t xml:space="preserve"> 16 of the 2012 Joint Petition</w:t>
      </w:r>
      <w:r w:rsidR="00BA5834" w:rsidRPr="00C665F0">
        <w:rPr>
          <w:rFonts w:ascii="Times New Roman" w:eastAsia="Times New Roman" w:hAnsi="Times New Roman" w:cs="Times New Roman"/>
          <w:noProof/>
          <w:sz w:val="24"/>
          <w:szCs w:val="24"/>
        </w:rPr>
        <w:t xml:space="preserve"> and </w:t>
      </w:r>
      <w:r w:rsidR="008557CE" w:rsidRPr="00C665F0">
        <w:rPr>
          <w:rFonts w:ascii="Times New Roman" w:eastAsia="Times New Roman" w:hAnsi="Times New Roman" w:cs="Times New Roman"/>
          <w:noProof/>
          <w:sz w:val="24"/>
          <w:szCs w:val="24"/>
        </w:rPr>
        <w:t xml:space="preserve">of </w:t>
      </w:r>
      <w:r w:rsidR="00BA5834" w:rsidRPr="00C665F0">
        <w:rPr>
          <w:rFonts w:ascii="Times New Roman" w:eastAsia="Times New Roman" w:hAnsi="Times New Roman" w:cs="Times New Roman"/>
          <w:noProof/>
          <w:sz w:val="24"/>
          <w:szCs w:val="24"/>
        </w:rPr>
        <w:t>the 2013 Joint Petition</w:t>
      </w:r>
      <w:r w:rsidRPr="00C665F0">
        <w:rPr>
          <w:rFonts w:ascii="Times New Roman" w:eastAsia="Times New Roman" w:hAnsi="Times New Roman" w:cs="Times New Roman"/>
          <w:noProof/>
          <w:sz w:val="24"/>
          <w:szCs w:val="24"/>
        </w:rPr>
        <w:t xml:space="preserve">.  </w:t>
      </w:r>
      <w:r w:rsidRPr="00C665F0">
        <w:rPr>
          <w:rFonts w:ascii="Times New Roman" w:eastAsia="Times New Roman" w:hAnsi="Times New Roman" w:cs="Times New Roman"/>
          <w:sz w:val="24"/>
          <w:szCs w:val="24"/>
        </w:rPr>
        <w:t xml:space="preserve">The Company has provided the parties </w:t>
      </w:r>
      <w:r w:rsidR="00E328EA" w:rsidRPr="00C665F0">
        <w:rPr>
          <w:rFonts w:ascii="Times New Roman" w:eastAsia="Times New Roman" w:hAnsi="Times New Roman" w:cs="Times New Roman"/>
          <w:sz w:val="24"/>
          <w:szCs w:val="24"/>
        </w:rPr>
        <w:t xml:space="preserve">and PAIEUG </w:t>
      </w:r>
      <w:r w:rsidRPr="00C665F0">
        <w:rPr>
          <w:rFonts w:ascii="Times New Roman" w:eastAsia="Times New Roman" w:hAnsi="Times New Roman" w:cs="Times New Roman"/>
          <w:sz w:val="24"/>
          <w:szCs w:val="24"/>
        </w:rPr>
        <w:t>with the retainage volume adjustment amount for the period ending</w:t>
      </w:r>
      <w:r w:rsidR="004B71CF">
        <w:rPr>
          <w:rFonts w:ascii="Times New Roman" w:eastAsia="Times New Roman" w:hAnsi="Times New Roman" w:cs="Times New Roman"/>
          <w:sz w:val="24"/>
          <w:szCs w:val="24"/>
        </w:rPr>
        <w:t xml:space="preserve"> November 31, </w:t>
      </w:r>
      <w:r w:rsidR="00BA5834" w:rsidRPr="00C665F0">
        <w:rPr>
          <w:rFonts w:ascii="Times New Roman" w:eastAsia="Times New Roman" w:hAnsi="Times New Roman" w:cs="Times New Roman"/>
          <w:sz w:val="24"/>
          <w:szCs w:val="24"/>
        </w:rPr>
        <w:t>2015.  See, Paragraph 19</w:t>
      </w:r>
      <w:r w:rsidRPr="00C665F0">
        <w:rPr>
          <w:rFonts w:ascii="Times New Roman" w:eastAsia="Times New Roman" w:hAnsi="Times New Roman" w:cs="Times New Roman"/>
          <w:noProof/>
          <w:sz w:val="24"/>
          <w:szCs w:val="24"/>
        </w:rPr>
        <w:t xml:space="preserve">.  The parties agreed that the Company </w:t>
      </w:r>
      <w:r w:rsidR="00BA5834" w:rsidRPr="00C665F0">
        <w:rPr>
          <w:rFonts w:ascii="Times New Roman" w:eastAsia="Times New Roman" w:hAnsi="Times New Roman" w:cs="Times New Roman"/>
          <w:noProof/>
          <w:sz w:val="24"/>
          <w:szCs w:val="24"/>
        </w:rPr>
        <w:t xml:space="preserve">has </w:t>
      </w:r>
      <w:r w:rsidRPr="00C665F0">
        <w:rPr>
          <w:rFonts w:ascii="Times New Roman" w:eastAsia="Times New Roman" w:hAnsi="Times New Roman" w:cs="Times New Roman"/>
          <w:noProof/>
          <w:sz w:val="24"/>
          <w:szCs w:val="24"/>
        </w:rPr>
        <w:t>calculate</w:t>
      </w:r>
      <w:r w:rsidR="00BA5834" w:rsidRPr="00C665F0">
        <w:rPr>
          <w:rFonts w:ascii="Times New Roman" w:eastAsia="Times New Roman" w:hAnsi="Times New Roman" w:cs="Times New Roman"/>
          <w:noProof/>
          <w:sz w:val="24"/>
          <w:szCs w:val="24"/>
        </w:rPr>
        <w:t>d</w:t>
      </w:r>
      <w:r w:rsidRPr="00C665F0">
        <w:rPr>
          <w:rFonts w:ascii="Times New Roman" w:eastAsia="Times New Roman" w:hAnsi="Times New Roman" w:cs="Times New Roman"/>
          <w:noProof/>
          <w:sz w:val="24"/>
          <w:szCs w:val="24"/>
        </w:rPr>
        <w:t xml:space="preserve"> the retainage volume adjustment </w:t>
      </w:r>
      <w:r w:rsidRPr="00C665F0">
        <w:rPr>
          <w:rFonts w:ascii="Times New Roman" w:eastAsia="Times New Roman" w:hAnsi="Times New Roman" w:cs="Times New Roman"/>
          <w:sz w:val="24"/>
          <w:szCs w:val="24"/>
        </w:rPr>
        <w:t>for the twelve-month period ending November</w:t>
      </w:r>
      <w:r w:rsidR="00B736E5">
        <w:rPr>
          <w:rFonts w:ascii="Times New Roman" w:eastAsia="Times New Roman" w:hAnsi="Times New Roman" w:cs="Times New Roman"/>
          <w:sz w:val="24"/>
          <w:szCs w:val="24"/>
        </w:rPr>
        <w:t xml:space="preserve"> </w:t>
      </w:r>
      <w:r w:rsidR="00BA5834" w:rsidRPr="00C665F0">
        <w:rPr>
          <w:rFonts w:ascii="Times New Roman" w:eastAsia="Times New Roman" w:hAnsi="Times New Roman" w:cs="Times New Roman"/>
          <w:sz w:val="24"/>
          <w:szCs w:val="24"/>
        </w:rPr>
        <w:t>30, 2015</w:t>
      </w:r>
      <w:r w:rsidRPr="00C665F0">
        <w:rPr>
          <w:rFonts w:ascii="Times New Roman" w:eastAsia="Times New Roman" w:hAnsi="Times New Roman" w:cs="Times New Roman"/>
          <w:sz w:val="24"/>
          <w:szCs w:val="24"/>
        </w:rPr>
        <w:t>, using the same methodology as set forth in Paragraph</w:t>
      </w:r>
      <w:r w:rsidR="008557CE" w:rsidRPr="00C665F0">
        <w:rPr>
          <w:rFonts w:ascii="Times New Roman" w:eastAsia="Times New Roman" w:hAnsi="Times New Roman" w:cs="Times New Roman"/>
          <w:sz w:val="24"/>
          <w:szCs w:val="24"/>
        </w:rPr>
        <w:t>s</w:t>
      </w:r>
      <w:r w:rsidRPr="00C665F0">
        <w:rPr>
          <w:rFonts w:ascii="Times New Roman" w:eastAsia="Times New Roman" w:hAnsi="Times New Roman" w:cs="Times New Roman"/>
          <w:sz w:val="24"/>
          <w:szCs w:val="24"/>
        </w:rPr>
        <w:t xml:space="preserve"> 16 of the 2012 Joint Petition</w:t>
      </w:r>
      <w:r w:rsidR="008557CE" w:rsidRPr="00C665F0">
        <w:rPr>
          <w:rFonts w:ascii="Times New Roman" w:eastAsia="Times New Roman" w:hAnsi="Times New Roman" w:cs="Times New Roman"/>
          <w:sz w:val="24"/>
          <w:szCs w:val="24"/>
        </w:rPr>
        <w:t xml:space="preserve"> and of the 2013 Joint Petition</w:t>
      </w:r>
      <w:r w:rsidR="00C13F3D">
        <w:rPr>
          <w:rFonts w:ascii="Times New Roman" w:eastAsia="Times New Roman" w:hAnsi="Times New Roman" w:cs="Times New Roman"/>
          <w:sz w:val="24"/>
          <w:szCs w:val="24"/>
        </w:rPr>
        <w:t>.</w:t>
      </w:r>
    </w:p>
    <w:p w:rsidR="004618C0" w:rsidRPr="00C665F0" w:rsidRDefault="004618C0" w:rsidP="004618C0">
      <w:pPr>
        <w:spacing w:after="0" w:line="360" w:lineRule="auto"/>
        <w:rPr>
          <w:rFonts w:ascii="Times New Roman" w:eastAsia="Times New Roman" w:hAnsi="Times New Roman" w:cs="Times New Roman"/>
          <w:noProof/>
          <w:sz w:val="24"/>
          <w:szCs w:val="24"/>
        </w:rPr>
      </w:pPr>
    </w:p>
    <w:p w:rsidR="004618C0" w:rsidRPr="00C665F0" w:rsidRDefault="004618C0" w:rsidP="00BF4AAF">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00BF4AAF" w:rsidRPr="00C665F0">
        <w:rPr>
          <w:rFonts w:ascii="Times New Roman" w:eastAsia="Times New Roman" w:hAnsi="Times New Roman" w:cs="Times New Roman"/>
          <w:sz w:val="24"/>
          <w:szCs w:val="24"/>
        </w:rPr>
        <w:t>Fifth, PECO’s off-</w:t>
      </w:r>
      <w:r w:rsidRPr="00C665F0">
        <w:rPr>
          <w:rFonts w:ascii="Times New Roman" w:eastAsia="Times New Roman" w:hAnsi="Times New Roman" w:cs="Times New Roman"/>
          <w:sz w:val="24"/>
          <w:szCs w:val="24"/>
        </w:rPr>
        <w:t>system sales/capacity release sharing mechanism will be continued through November 30, 201</w:t>
      </w:r>
      <w:r w:rsidR="00F57421" w:rsidRPr="00C665F0">
        <w:rPr>
          <w:rFonts w:ascii="Times New Roman" w:eastAsia="Times New Roman" w:hAnsi="Times New Roman" w:cs="Times New Roman"/>
          <w:sz w:val="24"/>
          <w:szCs w:val="24"/>
        </w:rPr>
        <w:t>7.  See, Paragraph 20</w:t>
      </w:r>
      <w:r w:rsidRPr="00C665F0">
        <w:rPr>
          <w:rFonts w:ascii="Times New Roman" w:eastAsia="Times New Roman" w:hAnsi="Times New Roman" w:cs="Times New Roman"/>
          <w:sz w:val="24"/>
          <w:szCs w:val="24"/>
        </w:rPr>
        <w:t>.  Under its currently approved sharing mechanism, PECO received 25% of all margin revenues</w:t>
      </w:r>
      <w:r w:rsidR="00F57421" w:rsidRPr="00C665F0">
        <w:rPr>
          <w:rFonts w:ascii="Times New Roman" w:eastAsia="Times New Roman" w:hAnsi="Times New Roman" w:cs="Times New Roman"/>
          <w:sz w:val="24"/>
          <w:szCs w:val="24"/>
        </w:rPr>
        <w:t xml:space="preserve"> from off-</w:t>
      </w:r>
      <w:r w:rsidRPr="00C665F0">
        <w:rPr>
          <w:rFonts w:ascii="Times New Roman" w:eastAsia="Times New Roman" w:hAnsi="Times New Roman" w:cs="Times New Roman"/>
          <w:sz w:val="24"/>
          <w:szCs w:val="24"/>
        </w:rPr>
        <w:t>system sales transactions and capacity release transactions.  Continuation of the current sharing mechanism is in the public interest as it continues to provide PECO with the incentive to maximize its efforts to in</w:t>
      </w:r>
      <w:r w:rsidR="00F57421" w:rsidRPr="00C665F0">
        <w:rPr>
          <w:rFonts w:ascii="Times New Roman" w:eastAsia="Times New Roman" w:hAnsi="Times New Roman" w:cs="Times New Roman"/>
          <w:sz w:val="24"/>
          <w:szCs w:val="24"/>
        </w:rPr>
        <w:t>crease capacity release and off-</w:t>
      </w:r>
      <w:r w:rsidRPr="00C665F0">
        <w:rPr>
          <w:rFonts w:ascii="Times New Roman" w:eastAsia="Times New Roman" w:hAnsi="Times New Roman" w:cs="Times New Roman"/>
          <w:sz w:val="24"/>
          <w:szCs w:val="24"/>
        </w:rPr>
        <w:t xml:space="preserve">system sales activity and thereby directly reduces gas costs for its </w:t>
      </w:r>
      <w:r w:rsidR="00F57421" w:rsidRPr="00C665F0">
        <w:rPr>
          <w:rFonts w:ascii="Times New Roman" w:eastAsia="Times New Roman" w:hAnsi="Times New Roman" w:cs="Times New Roman"/>
          <w:sz w:val="24"/>
          <w:szCs w:val="24"/>
        </w:rPr>
        <w:t xml:space="preserve">PGC </w:t>
      </w:r>
      <w:r w:rsidRPr="00C665F0">
        <w:rPr>
          <w:rFonts w:ascii="Times New Roman" w:eastAsia="Times New Roman" w:hAnsi="Times New Roman" w:cs="Times New Roman"/>
          <w:sz w:val="24"/>
          <w:szCs w:val="24"/>
        </w:rPr>
        <w:t>customers.</w:t>
      </w:r>
      <w:r w:rsidR="00BF4AAF" w:rsidRPr="00C665F0">
        <w:rPr>
          <w:rFonts w:ascii="Times New Roman" w:eastAsia="Times New Roman" w:hAnsi="Times New Roman" w:cs="Times New Roman"/>
          <w:sz w:val="24"/>
          <w:szCs w:val="24"/>
        </w:rPr>
        <w:t xml:space="preserve">  This extension, from November 30, 2016 to November 30, 2017,</w:t>
      </w:r>
      <w:r w:rsidRPr="00C665F0">
        <w:rPr>
          <w:rFonts w:ascii="Times New Roman" w:eastAsia="Times New Roman" w:hAnsi="Times New Roman" w:cs="Times New Roman"/>
          <w:sz w:val="24"/>
          <w:szCs w:val="24"/>
        </w:rPr>
        <w:t xml:space="preserve"> will allow the Company to enter into longer term asset management agreements, which will potentially provide for a larger reduction in gas costs.</w:t>
      </w: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635BA2">
      <w:pPr>
        <w:spacing w:after="0" w:line="360" w:lineRule="auto"/>
        <w:ind w:firstLine="1440"/>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Sixth, the Settlement provides that PECO will be permitted to recover as purchased gas costs approved in this proceeding, the $125,000 annual fee to Planalytics® for use of its proprietary Energy Buyer</w:t>
      </w:r>
      <w:r w:rsidRPr="00C665F0">
        <w:rPr>
          <w:rFonts w:ascii="Times New Roman" w:eastAsia="Times New Roman" w:hAnsi="Times New Roman" w:cs="Times New Roman"/>
          <w:noProof/>
          <w:sz w:val="24"/>
          <w:szCs w:val="24"/>
          <w:vertAlign w:val="superscript"/>
        </w:rPr>
        <w:t>SM</w:t>
      </w:r>
      <w:r w:rsidRPr="00C665F0">
        <w:rPr>
          <w:rFonts w:ascii="Times New Roman" w:eastAsia="Times New Roman" w:hAnsi="Times New Roman" w:cs="Times New Roman"/>
          <w:noProof/>
          <w:sz w:val="24"/>
          <w:szCs w:val="24"/>
        </w:rPr>
        <w:t xml:space="preserve"> service, a p</w:t>
      </w:r>
      <w:r w:rsidRPr="00C665F0">
        <w:rPr>
          <w:rFonts w:ascii="Times New Roman" w:eastAsia="Times New Roman" w:hAnsi="Times New Roman" w:cs="Times New Roman"/>
          <w:sz w:val="24"/>
          <w:szCs w:val="24"/>
        </w:rPr>
        <w:t xml:space="preserve">rice analysis and </w:t>
      </w:r>
      <w:r w:rsidR="00532B64">
        <w:rPr>
          <w:rFonts w:ascii="Times New Roman" w:eastAsia="Times New Roman" w:hAnsi="Times New Roman" w:cs="Times New Roman"/>
          <w:sz w:val="24"/>
          <w:szCs w:val="24"/>
        </w:rPr>
        <w:t>buying service.  See, Paragraph </w:t>
      </w:r>
      <w:r w:rsidRPr="00C665F0">
        <w:rPr>
          <w:rFonts w:ascii="Times New Roman" w:eastAsia="Times New Roman" w:hAnsi="Times New Roman" w:cs="Times New Roman"/>
          <w:sz w:val="24"/>
          <w:szCs w:val="24"/>
        </w:rPr>
        <w:t>18.  Recovery of such costs was approved by the Commission as part of PECO’s prior PGC proceedings at Docket Nos. R-2008-2039468, R-2009-2108705, R-2010-2174034, R-2011-2239263, R-2012-2302784</w:t>
      </w:r>
      <w:r w:rsidR="00635BA2" w:rsidRPr="00C665F0">
        <w:rPr>
          <w:rFonts w:ascii="Times New Roman" w:eastAsia="Times New Roman" w:hAnsi="Times New Roman" w:cs="Times New Roman"/>
          <w:sz w:val="24"/>
          <w:szCs w:val="24"/>
        </w:rPr>
        <w:t xml:space="preserve"> and R-2013-2363227</w:t>
      </w:r>
      <w:r w:rsidRPr="00C665F0">
        <w:rPr>
          <w:rFonts w:ascii="Times New Roman" w:eastAsia="Times New Roman" w:hAnsi="Times New Roman" w:cs="Times New Roman"/>
          <w:sz w:val="24"/>
          <w:szCs w:val="24"/>
        </w:rPr>
        <w:t>.  Section 1307(h) of the Public Utility Code, 66 Pa.C.S.A. § 1307(h), expressly states that risk management tools are included in the definition of gas costs; therefore, PECO’s annual fee for this service is appropriately recovered from PGC customers as it will assist in mitigating financial risk of hedged purch</w:t>
      </w:r>
      <w:r w:rsidR="00071D90">
        <w:rPr>
          <w:rFonts w:ascii="Times New Roman" w:eastAsia="Times New Roman" w:hAnsi="Times New Roman" w:cs="Times New Roman"/>
          <w:sz w:val="24"/>
          <w:szCs w:val="24"/>
        </w:rPr>
        <w:t>ases.</w:t>
      </w:r>
    </w:p>
    <w:p w:rsidR="004618C0" w:rsidRPr="00C665F0" w:rsidRDefault="004618C0" w:rsidP="004618C0">
      <w:pPr>
        <w:spacing w:after="0" w:line="360" w:lineRule="auto"/>
        <w:ind w:firstLine="1440"/>
        <w:rPr>
          <w:rFonts w:ascii="Times New Roman" w:eastAsia="Times New Roman"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 xml:space="preserve">Finally, acceptance of the settlement will negate the need for further litigation, including possible appeals.  The avoidance of further rate case expense serves the interests of PECO, the </w:t>
      </w:r>
      <w:r w:rsidR="000E2C84">
        <w:rPr>
          <w:rFonts w:ascii="Times New Roman" w:eastAsia="Times New Roman" w:hAnsi="Times New Roman" w:cs="Times New Roman"/>
          <w:sz w:val="24"/>
          <w:szCs w:val="24"/>
        </w:rPr>
        <w:t>parties, and PECO’s customers.</w:t>
      </w: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b/>
          <w:sz w:val="24"/>
          <w:szCs w:val="24"/>
        </w:rPr>
        <w:tab/>
      </w:r>
      <w:r w:rsidRPr="00C665F0">
        <w:rPr>
          <w:rFonts w:ascii="Times New Roman" w:eastAsia="Times New Roman" w:hAnsi="Times New Roman" w:cs="Times New Roman"/>
          <w:b/>
          <w:sz w:val="24"/>
          <w:szCs w:val="24"/>
        </w:rPr>
        <w:tab/>
      </w:r>
      <w:r w:rsidRPr="00C665F0">
        <w:rPr>
          <w:rFonts w:ascii="Times New Roman" w:eastAsia="Times New Roman" w:hAnsi="Times New Roman" w:cs="Times New Roman"/>
          <w:sz w:val="24"/>
          <w:szCs w:val="24"/>
        </w:rPr>
        <w:t>After considering the Joint Petition for Complete Settlement, including the proposed PGC, the various agreements described above, and the savings achieved by not litigating the case fully, it is our opinion that the settlement is fair, just, reasonable and in the public interest.  We wish to commend the parties.  The agreement shows the diligence and good faith effort every party expended to arrive at a reasonable, workable arrangement.  The fact that the settlement agreement is unopposed is further evidence of its reasonableness.  Accordingly, we recommend that the Joint Petition for Complete Settlement be approved without modification by the Commission.</w:t>
      </w:r>
    </w:p>
    <w:p w:rsidR="004618C0" w:rsidRPr="00C665F0" w:rsidRDefault="004618C0" w:rsidP="004618C0">
      <w:pPr>
        <w:spacing w:after="0" w:line="360" w:lineRule="auto"/>
        <w:rPr>
          <w:rFonts w:ascii="Times New Roman" w:eastAsia="Calibri" w:hAnsi="Times New Roman" w:cs="Times New Roman"/>
          <w:sz w:val="24"/>
          <w:szCs w:val="24"/>
        </w:rPr>
      </w:pPr>
    </w:p>
    <w:p w:rsidR="004618C0" w:rsidRPr="00C665F0" w:rsidRDefault="004618C0" w:rsidP="004618C0">
      <w:pPr>
        <w:autoSpaceDE w:val="0"/>
        <w:autoSpaceDN w:val="0"/>
        <w:spacing w:after="0" w:line="360" w:lineRule="auto"/>
        <w:jc w:val="center"/>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V.</w:t>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u w:val="single"/>
        </w:rPr>
        <w:t>CONCLUSIONS OF LAW</w:t>
      </w:r>
      <w:r w:rsidR="00E76147">
        <w:rPr>
          <w:rFonts w:ascii="Times New Roman" w:eastAsia="Times New Roman" w:hAnsi="Times New Roman" w:cs="Times New Roman"/>
          <w:sz w:val="24"/>
          <w:szCs w:val="24"/>
          <w:u w:val="single"/>
        </w:rPr>
        <w:fldChar w:fldCharType="begin"/>
      </w:r>
      <w:r w:rsidR="00E76147">
        <w:instrText xml:space="preserve"> TC "</w:instrText>
      </w:r>
      <w:r w:rsidR="00E76147" w:rsidRPr="00675577">
        <w:rPr>
          <w:rFonts w:ascii="Times New Roman" w:eastAsia="Times New Roman" w:hAnsi="Times New Roman" w:cs="Times New Roman"/>
          <w:sz w:val="24"/>
          <w:szCs w:val="24"/>
        </w:rPr>
        <w:instrText>V.</w:instrText>
      </w:r>
      <w:r w:rsidR="00E76147" w:rsidRPr="00675577">
        <w:rPr>
          <w:rFonts w:ascii="Times New Roman" w:eastAsia="Times New Roman" w:hAnsi="Times New Roman" w:cs="Times New Roman"/>
          <w:sz w:val="24"/>
          <w:szCs w:val="24"/>
        </w:rPr>
        <w:tab/>
      </w:r>
      <w:r w:rsidR="00E76147" w:rsidRPr="00675577">
        <w:rPr>
          <w:rFonts w:ascii="Times New Roman" w:eastAsia="Times New Roman" w:hAnsi="Times New Roman" w:cs="Times New Roman"/>
          <w:sz w:val="24"/>
          <w:szCs w:val="24"/>
          <w:u w:val="single"/>
        </w:rPr>
        <w:instrText>CONCLUSIONS OF LAW</w:instrText>
      </w:r>
      <w:r w:rsidR="00E76147">
        <w:instrText xml:space="preserve">" \f C \l "1" </w:instrText>
      </w:r>
      <w:r w:rsidR="00E76147">
        <w:rPr>
          <w:rFonts w:ascii="Times New Roman" w:eastAsia="Times New Roman" w:hAnsi="Times New Roman" w:cs="Times New Roman"/>
          <w:sz w:val="24"/>
          <w:szCs w:val="24"/>
          <w:u w:val="single"/>
        </w:rPr>
        <w:fldChar w:fldCharType="end"/>
      </w:r>
    </w:p>
    <w:p w:rsidR="004618C0" w:rsidRPr="00C665F0" w:rsidRDefault="004618C0" w:rsidP="004618C0">
      <w:pPr>
        <w:spacing w:after="0" w:line="360" w:lineRule="auto"/>
        <w:rPr>
          <w:rFonts w:ascii="Times New Roman" w:eastAsia="Calibri"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bCs/>
          <w:sz w:val="24"/>
          <w:szCs w:val="24"/>
        </w:rPr>
        <w:t>1.</w:t>
      </w:r>
      <w:r w:rsidRPr="00C665F0">
        <w:rPr>
          <w:rFonts w:ascii="Times New Roman" w:eastAsia="Times New Roman" w:hAnsi="Times New Roman" w:cs="Times New Roman"/>
          <w:bCs/>
          <w:sz w:val="24"/>
          <w:szCs w:val="24"/>
        </w:rPr>
        <w:tab/>
        <w:t>The Commission has jurisdiction over the parties and subject matter of this proceeding.</w:t>
      </w: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r w:rsidRPr="00C665F0">
        <w:rPr>
          <w:rFonts w:ascii="Times New Roman" w:eastAsia="Times New Roman" w:hAnsi="Times New Roman" w:cs="Times New Roman"/>
          <w:bCs/>
          <w:sz w:val="24"/>
          <w:szCs w:val="24"/>
        </w:rPr>
        <w:tab/>
      </w:r>
      <w:r w:rsidRPr="00C665F0">
        <w:rPr>
          <w:rFonts w:ascii="Times New Roman" w:eastAsia="Times New Roman" w:hAnsi="Times New Roman" w:cs="Times New Roman"/>
          <w:bCs/>
          <w:sz w:val="24"/>
          <w:szCs w:val="24"/>
        </w:rPr>
        <w:tab/>
        <w:t>2.</w:t>
      </w:r>
      <w:r w:rsidRPr="00C665F0">
        <w:rPr>
          <w:rFonts w:ascii="Times New Roman" w:eastAsia="Times New Roman" w:hAnsi="Times New Roman" w:cs="Times New Roman"/>
          <w:bCs/>
          <w:sz w:val="24"/>
          <w:szCs w:val="24"/>
        </w:rPr>
        <w:tab/>
        <w:t>PECO is pursuing a least cost fuel procurement policy that is consistent with PECO’s obligation to provide safe, adequate and reliable service to its customers.  66 Pa.C.S.A. §§ 1318(a) and (b).</w:t>
      </w: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p>
    <w:p w:rsidR="004618C0" w:rsidRPr="00C665F0" w:rsidRDefault="004618C0" w:rsidP="004618C0">
      <w:pPr>
        <w:autoSpaceDE w:val="0"/>
        <w:autoSpaceDN w:val="0"/>
        <w:spacing w:after="0" w:line="360" w:lineRule="auto"/>
        <w:ind w:firstLine="1440"/>
        <w:rPr>
          <w:rFonts w:ascii="Times New Roman" w:eastAsia="Times New Roman" w:hAnsi="Times New Roman" w:cs="Times New Roman"/>
          <w:bCs/>
          <w:sz w:val="24"/>
          <w:szCs w:val="24"/>
        </w:rPr>
      </w:pPr>
      <w:r w:rsidRPr="00C665F0">
        <w:rPr>
          <w:rFonts w:ascii="Times New Roman" w:eastAsia="Times New Roman" w:hAnsi="Times New Roman" w:cs="Times New Roman"/>
          <w:bCs/>
          <w:sz w:val="24"/>
          <w:szCs w:val="24"/>
        </w:rPr>
        <w:t>3.</w:t>
      </w:r>
      <w:r w:rsidRPr="00C665F0">
        <w:rPr>
          <w:rFonts w:ascii="Times New Roman" w:eastAsia="Times New Roman" w:hAnsi="Times New Roman" w:cs="Times New Roman"/>
          <w:bCs/>
          <w:sz w:val="24"/>
          <w:szCs w:val="24"/>
        </w:rPr>
        <w:tab/>
        <w:t>PECO has fully and vigorously represented the interests of its ratepayers in proceedings before the Federal Energy Regulatory Commission.  66 Pa.C.S.A. § 1318(a)(1).</w:t>
      </w: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p>
    <w:p w:rsidR="004618C0" w:rsidRPr="00C665F0" w:rsidRDefault="004618C0" w:rsidP="004618C0">
      <w:pPr>
        <w:autoSpaceDE w:val="0"/>
        <w:autoSpaceDN w:val="0"/>
        <w:spacing w:after="0" w:line="360" w:lineRule="auto"/>
        <w:ind w:firstLine="1440"/>
        <w:rPr>
          <w:rFonts w:ascii="Times New Roman" w:eastAsia="Times New Roman" w:hAnsi="Times New Roman" w:cs="Times New Roman"/>
          <w:bCs/>
          <w:sz w:val="24"/>
          <w:szCs w:val="24"/>
        </w:rPr>
      </w:pPr>
      <w:r w:rsidRPr="00C665F0">
        <w:rPr>
          <w:rFonts w:ascii="Times New Roman" w:eastAsia="Times New Roman" w:hAnsi="Times New Roman" w:cs="Times New Roman"/>
          <w:bCs/>
          <w:sz w:val="24"/>
          <w:szCs w:val="24"/>
        </w:rPr>
        <w:t>4.</w:t>
      </w:r>
      <w:r w:rsidRPr="00C665F0">
        <w:rPr>
          <w:rFonts w:ascii="Times New Roman" w:eastAsia="Times New Roman" w:hAnsi="Times New Roman" w:cs="Times New Roman"/>
          <w:bCs/>
          <w:sz w:val="24"/>
          <w:szCs w:val="24"/>
        </w:rPr>
        <w:tab/>
        <w:t>PECO has taken all prudent steps necessary to negotiate favorable gas supply contracts and to relieve the utility from terms in existing contracts with its gas suppliers which are or may be adverse to the interest of PECO’s ratepayers.  66 Pa.C.S.A. § 1318(a)(2).</w:t>
      </w: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p>
    <w:p w:rsidR="004618C0" w:rsidRPr="00C665F0" w:rsidRDefault="004618C0" w:rsidP="004618C0">
      <w:pPr>
        <w:autoSpaceDE w:val="0"/>
        <w:autoSpaceDN w:val="0"/>
        <w:spacing w:after="0" w:line="360" w:lineRule="auto"/>
        <w:ind w:firstLine="1440"/>
        <w:rPr>
          <w:rFonts w:ascii="Times New Roman" w:eastAsia="Times New Roman" w:hAnsi="Times New Roman" w:cs="Times New Roman"/>
          <w:bCs/>
          <w:sz w:val="24"/>
          <w:szCs w:val="24"/>
        </w:rPr>
      </w:pPr>
      <w:r w:rsidRPr="00C665F0">
        <w:rPr>
          <w:rFonts w:ascii="Times New Roman" w:eastAsia="Times New Roman" w:hAnsi="Times New Roman" w:cs="Times New Roman"/>
          <w:bCs/>
          <w:sz w:val="24"/>
          <w:szCs w:val="24"/>
        </w:rPr>
        <w:t>5.</w:t>
      </w:r>
      <w:r w:rsidRPr="00C665F0">
        <w:rPr>
          <w:rFonts w:ascii="Times New Roman" w:eastAsia="Times New Roman" w:hAnsi="Times New Roman" w:cs="Times New Roman"/>
          <w:bCs/>
          <w:sz w:val="24"/>
          <w:szCs w:val="24"/>
        </w:rPr>
        <w:tab/>
        <w:t>PECO has taken all prudent steps necessary to obtain lower gas cost supplies on both short-term and long-term bases both within and outside the Commonwealth, including the use of gas transportation arrangements with pipelines and other distribution companies.  66 Pa.C.S.A. § 1318(a)(3).</w:t>
      </w: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p>
    <w:p w:rsidR="004618C0" w:rsidRPr="00C665F0" w:rsidRDefault="004618C0" w:rsidP="004618C0">
      <w:pPr>
        <w:autoSpaceDE w:val="0"/>
        <w:autoSpaceDN w:val="0"/>
        <w:spacing w:after="0" w:line="360" w:lineRule="auto"/>
        <w:ind w:firstLine="1440"/>
        <w:rPr>
          <w:rFonts w:ascii="Times New Roman" w:eastAsia="Times New Roman" w:hAnsi="Times New Roman" w:cs="Times New Roman"/>
          <w:bCs/>
          <w:sz w:val="24"/>
          <w:szCs w:val="24"/>
        </w:rPr>
      </w:pPr>
      <w:r w:rsidRPr="00C665F0">
        <w:rPr>
          <w:rFonts w:ascii="Times New Roman" w:eastAsia="Times New Roman" w:hAnsi="Times New Roman" w:cs="Times New Roman"/>
          <w:bCs/>
          <w:sz w:val="24"/>
          <w:szCs w:val="24"/>
        </w:rPr>
        <w:t>6.</w:t>
      </w:r>
      <w:r w:rsidRPr="00C665F0">
        <w:rPr>
          <w:rFonts w:ascii="Times New Roman" w:eastAsia="Times New Roman" w:hAnsi="Times New Roman" w:cs="Times New Roman"/>
          <w:bCs/>
          <w:sz w:val="24"/>
          <w:szCs w:val="24"/>
        </w:rPr>
        <w:tab/>
        <w:t>PECO has not withheld from the market any gas supplies which should have been utilized as part of a least cost fuel procurement policy.  66 Pa.C.S.A. § 1318(a)(4).</w:t>
      </w: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r w:rsidRPr="00C665F0">
        <w:rPr>
          <w:rFonts w:ascii="Times New Roman" w:eastAsia="Times New Roman" w:hAnsi="Times New Roman" w:cs="Times New Roman"/>
          <w:bCs/>
          <w:sz w:val="24"/>
          <w:szCs w:val="24"/>
        </w:rPr>
        <w:tab/>
      </w:r>
      <w:r w:rsidRPr="00C665F0">
        <w:rPr>
          <w:rFonts w:ascii="Times New Roman" w:eastAsia="Times New Roman" w:hAnsi="Times New Roman" w:cs="Times New Roman"/>
          <w:bCs/>
          <w:sz w:val="24"/>
          <w:szCs w:val="24"/>
        </w:rPr>
        <w:tab/>
        <w:t>7.</w:t>
      </w:r>
      <w:r w:rsidRPr="00C665F0">
        <w:rPr>
          <w:rFonts w:ascii="Times New Roman" w:eastAsia="Times New Roman" w:hAnsi="Times New Roman" w:cs="Times New Roman"/>
          <w:bCs/>
          <w:sz w:val="24"/>
          <w:szCs w:val="24"/>
        </w:rPr>
        <w:tab/>
        <w:t>PECO has attempted to obtain less costly gas supplies which should have been utilized as part of a least cost fuel procurement policy.  66 Pa.C.S.A. § 1318(b)(1).</w:t>
      </w: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r w:rsidRPr="00C665F0">
        <w:rPr>
          <w:rFonts w:ascii="Times New Roman" w:eastAsia="Times New Roman" w:hAnsi="Times New Roman" w:cs="Times New Roman"/>
          <w:bCs/>
          <w:sz w:val="24"/>
          <w:szCs w:val="24"/>
        </w:rPr>
        <w:tab/>
      </w:r>
      <w:r w:rsidRPr="00C665F0">
        <w:rPr>
          <w:rFonts w:ascii="Times New Roman" w:eastAsia="Times New Roman" w:hAnsi="Times New Roman" w:cs="Times New Roman"/>
          <w:bCs/>
          <w:sz w:val="24"/>
          <w:szCs w:val="24"/>
        </w:rPr>
        <w:tab/>
        <w:t>8.</w:t>
      </w:r>
      <w:r w:rsidRPr="00C665F0">
        <w:rPr>
          <w:rFonts w:ascii="Times New Roman" w:eastAsia="Times New Roman" w:hAnsi="Times New Roman" w:cs="Times New Roman"/>
          <w:bCs/>
          <w:sz w:val="24"/>
          <w:szCs w:val="24"/>
        </w:rPr>
        <w:tab/>
        <w:t>PECO has no contracts for the purchase of gas from affiliated interests which are not consistent with a least cost fuel procurement policy.  66 Pa.C.S.A. § 1318(b)(2).</w:t>
      </w: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r w:rsidRPr="00C665F0">
        <w:rPr>
          <w:rFonts w:ascii="Times New Roman" w:eastAsia="Times New Roman" w:hAnsi="Times New Roman" w:cs="Times New Roman"/>
          <w:bCs/>
          <w:sz w:val="24"/>
          <w:szCs w:val="24"/>
        </w:rPr>
        <w:tab/>
      </w:r>
      <w:r w:rsidRPr="00C665F0">
        <w:rPr>
          <w:rFonts w:ascii="Times New Roman" w:eastAsia="Times New Roman" w:hAnsi="Times New Roman" w:cs="Times New Roman"/>
          <w:bCs/>
          <w:sz w:val="24"/>
          <w:szCs w:val="24"/>
        </w:rPr>
        <w:tab/>
        <w:t>9.</w:t>
      </w:r>
      <w:r w:rsidRPr="00C665F0">
        <w:rPr>
          <w:rFonts w:ascii="Times New Roman" w:eastAsia="Times New Roman" w:hAnsi="Times New Roman" w:cs="Times New Roman"/>
          <w:bCs/>
          <w:sz w:val="24"/>
          <w:szCs w:val="24"/>
        </w:rPr>
        <w:tab/>
        <w:t>Neither PECO nor any affiliated interest has withheld from the market any gas supplies which should have been utilized as part of a least cost fuel procurement policy.  66 Pa.C.S.A. § 1318(b)(3).</w:t>
      </w: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10.</w:t>
      </w:r>
      <w:r w:rsidRPr="00C665F0">
        <w:rPr>
          <w:rFonts w:ascii="Times New Roman" w:eastAsia="Times New Roman" w:hAnsi="Times New Roman" w:cs="Times New Roman"/>
          <w:sz w:val="24"/>
          <w:szCs w:val="24"/>
        </w:rPr>
        <w:tab/>
        <w:t>The rates to be adopted by the Commission result from PECO’s compliance with the provisions of Section 1318 of the Public Utility Code.  66 Pa.C.S.A. §§ l318(a)(1), l318(a)(2), 1318(a)(3), 1318(a)(4), 1318(b)(1), 1318(b)(2) and 1318(b)(3).</w:t>
      </w: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bCs/>
          <w:sz w:val="24"/>
          <w:szCs w:val="24"/>
        </w:rPr>
        <w:tab/>
      </w:r>
      <w:r w:rsidRPr="00C665F0">
        <w:rPr>
          <w:rFonts w:ascii="Times New Roman" w:eastAsia="Times New Roman" w:hAnsi="Times New Roman" w:cs="Times New Roman"/>
          <w:bCs/>
          <w:sz w:val="24"/>
          <w:szCs w:val="24"/>
        </w:rPr>
        <w:tab/>
      </w:r>
      <w:r w:rsidRPr="00C665F0">
        <w:rPr>
          <w:rFonts w:ascii="Times New Roman" w:eastAsia="Times New Roman" w:hAnsi="Times New Roman" w:cs="Times New Roman"/>
          <w:sz w:val="24"/>
          <w:szCs w:val="24"/>
        </w:rPr>
        <w:t>11.</w:t>
      </w:r>
      <w:r w:rsidRPr="00C665F0">
        <w:rPr>
          <w:rFonts w:ascii="Times New Roman" w:eastAsia="Times New Roman" w:hAnsi="Times New Roman" w:cs="Times New Roman"/>
          <w:b/>
          <w:sz w:val="24"/>
          <w:szCs w:val="24"/>
        </w:rPr>
        <w:tab/>
      </w:r>
      <w:r w:rsidRPr="00C665F0">
        <w:rPr>
          <w:rFonts w:ascii="Times New Roman" w:eastAsia="Times New Roman" w:hAnsi="Times New Roman" w:cs="Times New Roman"/>
          <w:sz w:val="24"/>
          <w:szCs w:val="24"/>
        </w:rPr>
        <w:t xml:space="preserve">To determine whether the parties’ settlement should be approved, the Commission must decide whether the settlement promotes the public interest.  </w:t>
      </w:r>
      <w:r w:rsidRPr="00C665F0">
        <w:rPr>
          <w:rFonts w:ascii="Times New Roman" w:eastAsia="Times New Roman" w:hAnsi="Times New Roman" w:cs="Times New Roman"/>
          <w:i/>
          <w:sz w:val="24"/>
          <w:szCs w:val="24"/>
        </w:rPr>
        <w:t>Pa. Pub. Util. Comm’n v. York Water Co.</w:t>
      </w:r>
      <w:r w:rsidRPr="00C665F0">
        <w:rPr>
          <w:rFonts w:ascii="Times New Roman" w:eastAsia="Times New Roman" w:hAnsi="Times New Roman" w:cs="Times New Roman"/>
          <w:sz w:val="24"/>
          <w:szCs w:val="24"/>
        </w:rPr>
        <w:t xml:space="preserve">, Docket No. R-00049165, (Commission Opinion and Order entered October 4, 2004); </w:t>
      </w:r>
      <w:r w:rsidRPr="00C665F0">
        <w:rPr>
          <w:rFonts w:ascii="Times New Roman" w:eastAsia="Times New Roman" w:hAnsi="Times New Roman" w:cs="Times New Roman"/>
          <w:i/>
          <w:sz w:val="24"/>
          <w:szCs w:val="24"/>
        </w:rPr>
        <w:t>Pa. Pub. Util. Comm’n v. C S Water and Sewer Assoc.</w:t>
      </w:r>
      <w:r w:rsidR="008A1E0E">
        <w:rPr>
          <w:rFonts w:ascii="Times New Roman" w:eastAsia="Times New Roman" w:hAnsi="Times New Roman" w:cs="Times New Roman"/>
          <w:sz w:val="24"/>
          <w:szCs w:val="24"/>
        </w:rPr>
        <w:t>, 74 Pa. PUC</w:t>
      </w:r>
      <w:r w:rsidRPr="00C665F0">
        <w:rPr>
          <w:rFonts w:ascii="Times New Roman" w:eastAsia="Times New Roman" w:hAnsi="Times New Roman" w:cs="Times New Roman"/>
          <w:sz w:val="24"/>
          <w:szCs w:val="24"/>
        </w:rPr>
        <w:t xml:space="preserve"> 767 (1991).</w:t>
      </w: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12.</w:t>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bCs/>
          <w:sz w:val="24"/>
          <w:szCs w:val="24"/>
        </w:rPr>
        <w:t>The Joint Petition for Complete Settlement, including the rates, terms and conditions contained in Appendices A, B</w:t>
      </w:r>
      <w:r w:rsidR="004755E4" w:rsidRPr="00C665F0">
        <w:rPr>
          <w:rFonts w:ascii="Times New Roman" w:eastAsia="Times New Roman" w:hAnsi="Times New Roman" w:cs="Times New Roman"/>
          <w:bCs/>
          <w:sz w:val="24"/>
          <w:szCs w:val="24"/>
        </w:rPr>
        <w:t>,</w:t>
      </w:r>
      <w:r w:rsidRPr="00C665F0">
        <w:rPr>
          <w:rFonts w:ascii="Times New Roman" w:eastAsia="Times New Roman" w:hAnsi="Times New Roman" w:cs="Times New Roman"/>
          <w:bCs/>
          <w:sz w:val="24"/>
          <w:szCs w:val="24"/>
        </w:rPr>
        <w:t xml:space="preserve"> C </w:t>
      </w:r>
      <w:r w:rsidR="004755E4" w:rsidRPr="00C665F0">
        <w:rPr>
          <w:rFonts w:ascii="Times New Roman" w:eastAsia="Times New Roman" w:hAnsi="Times New Roman" w:cs="Times New Roman"/>
          <w:bCs/>
          <w:sz w:val="24"/>
          <w:szCs w:val="24"/>
        </w:rPr>
        <w:t xml:space="preserve">and D </w:t>
      </w:r>
      <w:r w:rsidRPr="00C665F0">
        <w:rPr>
          <w:rFonts w:ascii="Times New Roman" w:eastAsia="Times New Roman" w:hAnsi="Times New Roman" w:cs="Times New Roman"/>
          <w:bCs/>
          <w:sz w:val="24"/>
          <w:szCs w:val="24"/>
        </w:rPr>
        <w:t xml:space="preserve">filed with </w:t>
      </w:r>
      <w:r w:rsidR="004755E4" w:rsidRPr="00C665F0">
        <w:rPr>
          <w:rFonts w:ascii="Times New Roman" w:eastAsia="Times New Roman" w:hAnsi="Times New Roman" w:cs="Times New Roman"/>
          <w:bCs/>
          <w:sz w:val="24"/>
          <w:szCs w:val="24"/>
        </w:rPr>
        <w:t>the Commission on July 25, 2014</w:t>
      </w:r>
      <w:r w:rsidRPr="00C665F0">
        <w:rPr>
          <w:rFonts w:ascii="Times New Roman" w:eastAsia="Times New Roman" w:hAnsi="Times New Roman" w:cs="Times New Roman"/>
          <w:bCs/>
          <w:sz w:val="24"/>
          <w:szCs w:val="24"/>
        </w:rPr>
        <w:t>, is just, reasonable and in the public interest.</w:t>
      </w: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bCs/>
          <w:sz w:val="24"/>
          <w:szCs w:val="24"/>
        </w:rPr>
      </w:pPr>
      <w:r w:rsidRPr="00C665F0">
        <w:rPr>
          <w:rFonts w:ascii="Times New Roman" w:eastAsia="Times New Roman" w:hAnsi="Times New Roman" w:cs="Times New Roman"/>
          <w:bCs/>
          <w:sz w:val="24"/>
          <w:szCs w:val="24"/>
        </w:rPr>
        <w:tab/>
      </w:r>
      <w:r w:rsidRPr="00C665F0">
        <w:rPr>
          <w:rFonts w:ascii="Times New Roman" w:eastAsia="Times New Roman" w:hAnsi="Times New Roman" w:cs="Times New Roman"/>
          <w:bCs/>
          <w:sz w:val="24"/>
          <w:szCs w:val="24"/>
        </w:rPr>
        <w:tab/>
        <w:t>13.</w:t>
      </w:r>
      <w:r w:rsidRPr="00C665F0">
        <w:rPr>
          <w:rFonts w:ascii="Times New Roman" w:eastAsia="Times New Roman" w:hAnsi="Times New Roman" w:cs="Times New Roman"/>
          <w:bCs/>
          <w:sz w:val="24"/>
          <w:szCs w:val="24"/>
        </w:rPr>
        <w:tab/>
      </w:r>
      <w:r w:rsidRPr="00C665F0">
        <w:rPr>
          <w:rFonts w:ascii="Times New Roman" w:eastAsia="Times New Roman" w:hAnsi="Times New Roman" w:cs="Times New Roman"/>
          <w:sz w:val="24"/>
          <w:szCs w:val="24"/>
        </w:rPr>
        <w:t xml:space="preserve">A compliance filing consistent with the </w:t>
      </w:r>
      <w:r w:rsidRPr="00C665F0">
        <w:rPr>
          <w:rFonts w:ascii="Times New Roman" w:eastAsia="Times New Roman" w:hAnsi="Times New Roman" w:cs="Times New Roman"/>
          <w:bCs/>
          <w:sz w:val="24"/>
          <w:szCs w:val="24"/>
        </w:rPr>
        <w:t>Joint Petition for Complete Settlement</w:t>
      </w:r>
      <w:r w:rsidR="004755E4" w:rsidRPr="00C665F0">
        <w:rPr>
          <w:rFonts w:ascii="Times New Roman" w:eastAsia="Times New Roman" w:hAnsi="Times New Roman" w:cs="Times New Roman"/>
          <w:sz w:val="24"/>
          <w:szCs w:val="24"/>
        </w:rPr>
        <w:t xml:space="preserve"> filed on July 25, 2014</w:t>
      </w:r>
      <w:r w:rsidRPr="00C665F0">
        <w:rPr>
          <w:rFonts w:ascii="Times New Roman" w:eastAsia="Times New Roman" w:hAnsi="Times New Roman" w:cs="Times New Roman"/>
          <w:sz w:val="24"/>
          <w:szCs w:val="24"/>
        </w:rPr>
        <w:t xml:space="preserve">, between PECO, I&amp;E, OCA, </w:t>
      </w:r>
      <w:r w:rsidR="00635BA2" w:rsidRPr="00C665F0">
        <w:rPr>
          <w:rFonts w:ascii="Times New Roman" w:eastAsia="Times New Roman" w:hAnsi="Times New Roman" w:cs="Times New Roman"/>
          <w:sz w:val="24"/>
          <w:szCs w:val="24"/>
        </w:rPr>
        <w:t xml:space="preserve">and </w:t>
      </w:r>
      <w:r w:rsidRPr="00C665F0">
        <w:rPr>
          <w:rFonts w:ascii="Times New Roman" w:eastAsia="Times New Roman" w:hAnsi="Times New Roman" w:cs="Times New Roman"/>
          <w:sz w:val="24"/>
          <w:szCs w:val="24"/>
        </w:rPr>
        <w:t>OSBA should be permitted to become effective for service rendered by PE</w:t>
      </w:r>
      <w:r w:rsidR="004755E4" w:rsidRPr="00C665F0">
        <w:rPr>
          <w:rFonts w:ascii="Times New Roman" w:eastAsia="Times New Roman" w:hAnsi="Times New Roman" w:cs="Times New Roman"/>
          <w:sz w:val="24"/>
          <w:szCs w:val="24"/>
        </w:rPr>
        <w:t>CO on and after December 1, 2014</w:t>
      </w:r>
      <w:r w:rsidRPr="00C665F0">
        <w:rPr>
          <w:rFonts w:ascii="Times New Roman" w:eastAsia="Times New Roman" w:hAnsi="Times New Roman" w:cs="Times New Roman"/>
          <w:sz w:val="24"/>
          <w:szCs w:val="24"/>
        </w:rPr>
        <w:t>.</w:t>
      </w:r>
    </w:p>
    <w:p w:rsidR="0060629B" w:rsidRPr="00C665F0" w:rsidRDefault="0060629B" w:rsidP="008A1E0E">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8C4A0C">
      <w:pPr>
        <w:autoSpaceDE w:val="0"/>
        <w:autoSpaceDN w:val="0"/>
        <w:spacing w:after="0" w:line="360" w:lineRule="auto"/>
        <w:jc w:val="center"/>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VI.</w:t>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u w:val="single"/>
        </w:rPr>
        <w:t>ORDER</w:t>
      </w:r>
      <w:r w:rsidR="00E76147">
        <w:rPr>
          <w:rFonts w:ascii="Times New Roman" w:eastAsia="Times New Roman" w:hAnsi="Times New Roman" w:cs="Times New Roman"/>
          <w:sz w:val="24"/>
          <w:szCs w:val="24"/>
          <w:u w:val="single"/>
        </w:rPr>
        <w:fldChar w:fldCharType="begin"/>
      </w:r>
      <w:r w:rsidR="00E76147">
        <w:instrText xml:space="preserve"> TC "</w:instrText>
      </w:r>
      <w:r w:rsidR="00E76147" w:rsidRPr="00675577">
        <w:rPr>
          <w:rFonts w:ascii="Times New Roman" w:eastAsia="Times New Roman" w:hAnsi="Times New Roman" w:cs="Times New Roman"/>
          <w:sz w:val="24"/>
          <w:szCs w:val="24"/>
        </w:rPr>
        <w:instrText>VI.</w:instrText>
      </w:r>
      <w:r w:rsidR="00E76147" w:rsidRPr="00675577">
        <w:rPr>
          <w:rFonts w:ascii="Times New Roman" w:eastAsia="Times New Roman" w:hAnsi="Times New Roman" w:cs="Times New Roman"/>
          <w:sz w:val="24"/>
          <w:szCs w:val="24"/>
        </w:rPr>
        <w:tab/>
      </w:r>
      <w:r w:rsidR="00E76147" w:rsidRPr="00675577">
        <w:rPr>
          <w:rFonts w:ascii="Times New Roman" w:eastAsia="Times New Roman" w:hAnsi="Times New Roman" w:cs="Times New Roman"/>
          <w:sz w:val="24"/>
          <w:szCs w:val="24"/>
          <w:u w:val="single"/>
        </w:rPr>
        <w:instrText>ORDER</w:instrText>
      </w:r>
      <w:r w:rsidR="00E76147">
        <w:instrText xml:space="preserve">" \f C \l "1" </w:instrText>
      </w:r>
      <w:r w:rsidR="00E76147">
        <w:rPr>
          <w:rFonts w:ascii="Times New Roman" w:eastAsia="Times New Roman" w:hAnsi="Times New Roman" w:cs="Times New Roman"/>
          <w:sz w:val="24"/>
          <w:szCs w:val="24"/>
          <w:u w:val="single"/>
        </w:rPr>
        <w:fldChar w:fldCharType="end"/>
      </w:r>
    </w:p>
    <w:p w:rsidR="004618C0" w:rsidRDefault="004618C0" w:rsidP="008A1E0E">
      <w:pPr>
        <w:autoSpaceDE w:val="0"/>
        <w:autoSpaceDN w:val="0"/>
        <w:spacing w:after="0" w:line="360" w:lineRule="auto"/>
        <w:jc w:val="center"/>
        <w:rPr>
          <w:rFonts w:ascii="Times New Roman" w:eastAsia="Times New Roman" w:hAnsi="Times New Roman" w:cs="Times New Roman"/>
          <w:sz w:val="24"/>
          <w:szCs w:val="24"/>
        </w:rPr>
      </w:pPr>
    </w:p>
    <w:p w:rsidR="008A1E0E" w:rsidRPr="00C665F0" w:rsidRDefault="008A1E0E" w:rsidP="008A1E0E">
      <w:pPr>
        <w:autoSpaceDE w:val="0"/>
        <w:autoSpaceDN w:val="0"/>
        <w:spacing w:after="0" w:line="360" w:lineRule="auto"/>
        <w:jc w:val="center"/>
        <w:rPr>
          <w:rFonts w:ascii="Times New Roman" w:eastAsia="Times New Roman"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THEREFORE,</w:t>
      </w:r>
    </w:p>
    <w:p w:rsidR="004618C0" w:rsidRPr="00C665F0" w:rsidRDefault="004618C0" w:rsidP="008A1E0E">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IT IS RECOMMENDED:</w:t>
      </w:r>
    </w:p>
    <w:p w:rsidR="004618C0" w:rsidRPr="00C665F0" w:rsidRDefault="004618C0" w:rsidP="008A1E0E">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1.</w:t>
      </w:r>
      <w:r w:rsidRPr="00C665F0">
        <w:rPr>
          <w:rFonts w:ascii="Times New Roman" w:eastAsia="Times New Roman" w:hAnsi="Times New Roman" w:cs="Times New Roman"/>
          <w:sz w:val="24"/>
          <w:szCs w:val="24"/>
        </w:rPr>
        <w:tab/>
        <w:t xml:space="preserve">That the Joint Petition for Complete Settlement submitted by PECO Energy Company, the Bureau of Investigation and Enforcement, the Office of Consumer Advocate, </w:t>
      </w:r>
      <w:r w:rsidR="00635BA2" w:rsidRPr="00C665F0">
        <w:rPr>
          <w:rFonts w:ascii="Times New Roman" w:eastAsia="Times New Roman" w:hAnsi="Times New Roman" w:cs="Times New Roman"/>
          <w:sz w:val="24"/>
          <w:szCs w:val="24"/>
        </w:rPr>
        <w:t xml:space="preserve">and </w:t>
      </w:r>
      <w:r w:rsidRPr="00C665F0">
        <w:rPr>
          <w:rFonts w:ascii="Times New Roman" w:eastAsia="Times New Roman" w:hAnsi="Times New Roman" w:cs="Times New Roman"/>
          <w:sz w:val="24"/>
          <w:szCs w:val="24"/>
        </w:rPr>
        <w:t xml:space="preserve">the Office of Small Business Advocate at Docket Nos. </w:t>
      </w:r>
      <w:r w:rsidR="00635BA2" w:rsidRPr="00C665F0">
        <w:rPr>
          <w:rFonts w:ascii="Times New Roman" w:eastAsia="Times New Roman" w:hAnsi="Times New Roman" w:cs="Times New Roman"/>
          <w:sz w:val="24"/>
          <w:szCs w:val="24"/>
        </w:rPr>
        <w:t xml:space="preserve">R-2014-2420283, C-2014-2422699, and C-2014-2423803 </w:t>
      </w:r>
      <w:r w:rsidRPr="00C665F0">
        <w:rPr>
          <w:rFonts w:ascii="Times New Roman" w:eastAsia="Times New Roman" w:hAnsi="Times New Roman" w:cs="Times New Roman"/>
          <w:sz w:val="24"/>
          <w:szCs w:val="24"/>
        </w:rPr>
        <w:t>is adopted, incl</w:t>
      </w:r>
      <w:r w:rsidR="008A1E0E">
        <w:rPr>
          <w:rFonts w:ascii="Times New Roman" w:eastAsia="Times New Roman" w:hAnsi="Times New Roman" w:cs="Times New Roman"/>
          <w:sz w:val="24"/>
          <w:szCs w:val="24"/>
        </w:rPr>
        <w:t>uding all terms and conditions.</w:t>
      </w:r>
    </w:p>
    <w:p w:rsidR="004618C0" w:rsidRPr="00C665F0" w:rsidRDefault="004618C0" w:rsidP="00AE3E5A">
      <w:pPr>
        <w:autoSpaceDE w:val="0"/>
        <w:autoSpaceDN w:val="0"/>
        <w:spacing w:after="0" w:line="360" w:lineRule="auto"/>
        <w:rPr>
          <w:rFonts w:ascii="Times New Roman" w:eastAsia="Times New Roman" w:hAnsi="Times New Roman" w:cs="Times New Roman"/>
          <w:sz w:val="24"/>
          <w:szCs w:val="24"/>
        </w:rPr>
      </w:pPr>
    </w:p>
    <w:p w:rsidR="00191CE1" w:rsidRPr="00191CE1" w:rsidRDefault="004618C0" w:rsidP="00191CE1">
      <w:pPr>
        <w:autoSpaceDE w:val="0"/>
        <w:autoSpaceDN w:val="0"/>
        <w:spacing w:after="0" w:line="360" w:lineRule="auto"/>
        <w:rPr>
          <w:rFonts w:ascii="Times New Roman" w:eastAsia="Times New Roman" w:hAnsi="Times New Roman" w:cs="Times New Roman"/>
          <w:spacing w:val="-3"/>
          <w:sz w:val="24"/>
          <w:szCs w:val="24"/>
        </w:rPr>
      </w:pPr>
      <w:r w:rsidRPr="00C665F0">
        <w:rPr>
          <w:rFonts w:ascii="Times New Roman" w:eastAsia="Times New Roman" w:hAnsi="Times New Roman" w:cs="Times New Roman"/>
          <w:spacing w:val="-3"/>
          <w:sz w:val="24"/>
          <w:szCs w:val="24"/>
        </w:rPr>
        <w:tab/>
      </w:r>
      <w:r w:rsidRPr="00C665F0">
        <w:rPr>
          <w:rFonts w:ascii="Times New Roman" w:eastAsia="Times New Roman" w:hAnsi="Times New Roman" w:cs="Times New Roman"/>
          <w:spacing w:val="-3"/>
          <w:sz w:val="24"/>
          <w:szCs w:val="24"/>
        </w:rPr>
        <w:tab/>
      </w:r>
      <w:r w:rsidR="00191CE1" w:rsidRPr="00191CE1">
        <w:rPr>
          <w:rFonts w:ascii="Times New Roman" w:eastAsia="Times New Roman" w:hAnsi="Times New Roman" w:cs="Times New Roman"/>
          <w:spacing w:val="-3"/>
          <w:sz w:val="24"/>
          <w:szCs w:val="24"/>
        </w:rPr>
        <w:t>2.            That PECO Energy Company may file a tariff supplement, on one day’s notice to the Commission, containing changes in rates to provide for the recovery of its costs of purchased gas, consistent with the terms and conditions of the Joint Petition for Complete Settlement.</w:t>
      </w:r>
    </w:p>
    <w:p w:rsidR="00191CE1" w:rsidRPr="00191CE1" w:rsidRDefault="00191CE1" w:rsidP="00191CE1">
      <w:pPr>
        <w:autoSpaceDE w:val="0"/>
        <w:autoSpaceDN w:val="0"/>
        <w:spacing w:after="0" w:line="360" w:lineRule="auto"/>
        <w:rPr>
          <w:rFonts w:ascii="Times New Roman" w:eastAsia="Times New Roman" w:hAnsi="Times New Roman" w:cs="Times New Roman"/>
          <w:spacing w:val="-3"/>
          <w:sz w:val="24"/>
          <w:szCs w:val="24"/>
        </w:rPr>
      </w:pPr>
    </w:p>
    <w:p w:rsidR="00191CE1" w:rsidRPr="00191CE1" w:rsidRDefault="00191CE1" w:rsidP="00191CE1">
      <w:pPr>
        <w:autoSpaceDE w:val="0"/>
        <w:autoSpaceDN w:val="0"/>
        <w:spacing w:after="0" w:line="360" w:lineRule="auto"/>
        <w:ind w:firstLine="1440"/>
        <w:rPr>
          <w:rFonts w:ascii="Times New Roman" w:eastAsia="Times New Roman" w:hAnsi="Times New Roman" w:cs="Times New Roman"/>
          <w:spacing w:val="-3"/>
          <w:sz w:val="24"/>
          <w:szCs w:val="24"/>
        </w:rPr>
      </w:pPr>
      <w:r w:rsidRPr="00191CE1">
        <w:rPr>
          <w:rFonts w:ascii="Times New Roman" w:eastAsia="Times New Roman" w:hAnsi="Times New Roman" w:cs="Times New Roman"/>
          <w:spacing w:val="-3"/>
          <w:sz w:val="24"/>
          <w:szCs w:val="24"/>
        </w:rPr>
        <w:t>3.            That upon the filing of a tariff supplement by PECO Energy Company acceptable to the Commission as conforming with this Order and the Joint Petition for Complete Settlement, and the Commission’s approval thereof, the purchased gas rates established therein shall become effective for service rendered on and after December 1, 2014.</w:t>
      </w:r>
    </w:p>
    <w:p w:rsidR="004618C0" w:rsidRPr="00C665F0" w:rsidRDefault="004618C0" w:rsidP="00191CE1">
      <w:pPr>
        <w:autoSpaceDE w:val="0"/>
        <w:autoSpaceDN w:val="0"/>
        <w:spacing w:after="0" w:line="360" w:lineRule="auto"/>
        <w:rPr>
          <w:rFonts w:ascii="Times New Roman" w:eastAsia="Times New Roman" w:hAnsi="Times New Roman" w:cs="Times New Roman"/>
          <w:snapToGrid w:val="0"/>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napToGrid w:val="0"/>
          <w:sz w:val="24"/>
          <w:szCs w:val="24"/>
        </w:rPr>
        <w:tab/>
      </w:r>
      <w:r w:rsidRPr="00C665F0">
        <w:rPr>
          <w:rFonts w:ascii="Times New Roman" w:eastAsia="Times New Roman" w:hAnsi="Times New Roman" w:cs="Times New Roman"/>
          <w:snapToGrid w:val="0"/>
          <w:sz w:val="24"/>
          <w:szCs w:val="24"/>
        </w:rPr>
        <w:tab/>
        <w:t>4.</w:t>
      </w:r>
      <w:r w:rsidRPr="00C665F0">
        <w:rPr>
          <w:rFonts w:ascii="Times New Roman" w:eastAsia="Times New Roman" w:hAnsi="Times New Roman" w:cs="Times New Roman"/>
          <w:snapToGrid w:val="0"/>
          <w:sz w:val="24"/>
          <w:szCs w:val="24"/>
        </w:rPr>
        <w:tab/>
      </w:r>
      <w:r w:rsidRPr="00C665F0">
        <w:rPr>
          <w:rFonts w:ascii="Times New Roman" w:eastAsia="Times New Roman" w:hAnsi="Times New Roman" w:cs="Times New Roman"/>
          <w:sz w:val="24"/>
          <w:szCs w:val="24"/>
        </w:rPr>
        <w:t xml:space="preserve">That admitted into the </w:t>
      </w:r>
      <w:r w:rsidR="004E52B0">
        <w:rPr>
          <w:rFonts w:ascii="Times New Roman" w:eastAsia="Times New Roman" w:hAnsi="Times New Roman" w:cs="Times New Roman"/>
          <w:sz w:val="24"/>
          <w:szCs w:val="24"/>
        </w:rPr>
        <w:t xml:space="preserve">record of this proceeding are: </w:t>
      </w:r>
      <w:r w:rsidRPr="00C665F0">
        <w:rPr>
          <w:rFonts w:ascii="Times New Roman" w:eastAsia="Times New Roman" w:hAnsi="Times New Roman" w:cs="Times New Roman"/>
          <w:sz w:val="24"/>
          <w:szCs w:val="24"/>
        </w:rPr>
        <w:t>(1) PECO’s Advance Filing, consisting of Sections 1-22; (2) PECO’s Definitive Filing, Statement Nos. 1 thr</w:t>
      </w:r>
      <w:r w:rsidR="004755E4" w:rsidRPr="00C665F0">
        <w:rPr>
          <w:rFonts w:ascii="Times New Roman" w:eastAsia="Times New Roman" w:hAnsi="Times New Roman" w:cs="Times New Roman"/>
          <w:sz w:val="24"/>
          <w:szCs w:val="24"/>
        </w:rPr>
        <w:t>ough 5, including accompanying E</w:t>
      </w:r>
      <w:r w:rsidRPr="00C665F0">
        <w:rPr>
          <w:rFonts w:ascii="Times New Roman" w:eastAsia="Times New Roman" w:hAnsi="Times New Roman" w:cs="Times New Roman"/>
          <w:sz w:val="24"/>
          <w:szCs w:val="24"/>
        </w:rPr>
        <w:t xml:space="preserve">xhibits; (3) </w:t>
      </w:r>
      <w:r w:rsidR="00F71185" w:rsidRPr="00C665F0">
        <w:rPr>
          <w:rFonts w:ascii="Times New Roman" w:eastAsia="Times New Roman" w:hAnsi="Times New Roman" w:cs="Times New Roman"/>
          <w:sz w:val="24"/>
          <w:szCs w:val="24"/>
        </w:rPr>
        <w:t>I&amp;E’s Statement No.</w:t>
      </w:r>
      <w:r w:rsidR="00A824AA" w:rsidRPr="00C665F0">
        <w:rPr>
          <w:rFonts w:ascii="Times New Roman" w:eastAsia="Times New Roman" w:hAnsi="Times New Roman" w:cs="Times New Roman"/>
          <w:sz w:val="24"/>
          <w:szCs w:val="24"/>
        </w:rPr>
        <w:t xml:space="preserve"> 1 including the</w:t>
      </w:r>
      <w:r w:rsidR="00F71185" w:rsidRPr="00C665F0">
        <w:rPr>
          <w:rFonts w:ascii="Times New Roman" w:eastAsia="Times New Roman" w:hAnsi="Times New Roman" w:cs="Times New Roman"/>
          <w:sz w:val="24"/>
          <w:szCs w:val="24"/>
        </w:rPr>
        <w:t xml:space="preserve"> accompanying </w:t>
      </w:r>
      <w:r w:rsidR="004755E4" w:rsidRPr="00C665F0">
        <w:rPr>
          <w:rFonts w:ascii="Times New Roman" w:eastAsia="Times New Roman" w:hAnsi="Times New Roman" w:cs="Times New Roman"/>
          <w:sz w:val="24"/>
          <w:szCs w:val="24"/>
        </w:rPr>
        <w:t>E</w:t>
      </w:r>
      <w:r w:rsidR="00F71185" w:rsidRPr="00C665F0">
        <w:rPr>
          <w:rFonts w:ascii="Times New Roman" w:eastAsia="Times New Roman" w:hAnsi="Times New Roman" w:cs="Times New Roman"/>
          <w:sz w:val="24"/>
          <w:szCs w:val="24"/>
        </w:rPr>
        <w:t xml:space="preserve">xhibit; (4) PECO’s Statement No. 5-R; and (5) </w:t>
      </w:r>
      <w:r w:rsidRPr="00C665F0">
        <w:rPr>
          <w:rFonts w:ascii="Times New Roman" w:eastAsia="Times New Roman" w:hAnsi="Times New Roman" w:cs="Times New Roman"/>
          <w:sz w:val="24"/>
          <w:szCs w:val="24"/>
        </w:rPr>
        <w:t>the transcript of the Jun</w:t>
      </w:r>
      <w:r w:rsidR="00A824AA" w:rsidRPr="00C665F0">
        <w:rPr>
          <w:rFonts w:ascii="Times New Roman" w:eastAsia="Times New Roman" w:hAnsi="Times New Roman" w:cs="Times New Roman"/>
          <w:sz w:val="24"/>
          <w:szCs w:val="24"/>
        </w:rPr>
        <w:t>e 6, 2014</w:t>
      </w:r>
      <w:r w:rsidRPr="00C665F0">
        <w:rPr>
          <w:rFonts w:ascii="Times New Roman" w:eastAsia="Times New Roman" w:hAnsi="Times New Roman" w:cs="Times New Roman"/>
          <w:sz w:val="24"/>
          <w:szCs w:val="24"/>
        </w:rPr>
        <w:t xml:space="preserve"> prehearing conference. </w:t>
      </w:r>
    </w:p>
    <w:p w:rsidR="004618C0" w:rsidRPr="00C665F0" w:rsidRDefault="004618C0" w:rsidP="00AE3E5A">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5.</w:t>
      </w:r>
      <w:r w:rsidRPr="00C665F0">
        <w:rPr>
          <w:rFonts w:ascii="Times New Roman" w:eastAsia="Times New Roman" w:hAnsi="Times New Roman" w:cs="Times New Roman"/>
          <w:sz w:val="24"/>
          <w:szCs w:val="24"/>
        </w:rPr>
        <w:tab/>
        <w:t xml:space="preserve">That the Formal Complaint of the Office of Consumer Advocate at Docket No. </w:t>
      </w:r>
      <w:r w:rsidR="00635BA2" w:rsidRPr="00C665F0">
        <w:rPr>
          <w:rFonts w:ascii="Times New Roman" w:eastAsia="Times New Roman" w:hAnsi="Times New Roman" w:cs="Times New Roman"/>
          <w:sz w:val="24"/>
          <w:szCs w:val="24"/>
        </w:rPr>
        <w:t xml:space="preserve">C-2014-2422699 </w:t>
      </w:r>
      <w:r w:rsidRPr="00C665F0">
        <w:rPr>
          <w:rFonts w:ascii="Times New Roman" w:eastAsia="Times New Roman" w:hAnsi="Times New Roman" w:cs="Times New Roman"/>
          <w:spacing w:val="-3"/>
          <w:sz w:val="24"/>
          <w:szCs w:val="24"/>
        </w:rPr>
        <w:t xml:space="preserve">is </w:t>
      </w:r>
      <w:r w:rsidRPr="00C665F0">
        <w:rPr>
          <w:rFonts w:ascii="Times New Roman" w:eastAsia="Times New Roman" w:hAnsi="Times New Roman" w:cs="Times New Roman"/>
          <w:sz w:val="24"/>
          <w:szCs w:val="24"/>
        </w:rPr>
        <w:t>deemed satisfied.</w:t>
      </w:r>
    </w:p>
    <w:p w:rsidR="004618C0" w:rsidRPr="00C665F0" w:rsidRDefault="004618C0" w:rsidP="00AE3E5A">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6.</w:t>
      </w:r>
      <w:r w:rsidRPr="00C665F0">
        <w:rPr>
          <w:rFonts w:ascii="Times New Roman" w:eastAsia="Times New Roman" w:hAnsi="Times New Roman" w:cs="Times New Roman"/>
          <w:sz w:val="24"/>
          <w:szCs w:val="24"/>
        </w:rPr>
        <w:tab/>
        <w:t>That the Formal Complaint of the Office of Small Business Advocate at Docket No.</w:t>
      </w:r>
      <w:r w:rsidR="00635BA2" w:rsidRPr="00C665F0">
        <w:rPr>
          <w:rFonts w:ascii="Times New Roman" w:eastAsia="Times New Roman" w:hAnsi="Times New Roman" w:cs="Times New Roman"/>
          <w:sz w:val="24"/>
          <w:szCs w:val="24"/>
        </w:rPr>
        <w:t xml:space="preserve"> C-2014-2423803</w:t>
      </w:r>
      <w:r w:rsidRPr="00C665F0">
        <w:rPr>
          <w:rFonts w:ascii="Times New Roman" w:eastAsia="Times New Roman" w:hAnsi="Times New Roman" w:cs="Times New Roman"/>
          <w:spacing w:val="-3"/>
          <w:sz w:val="24"/>
          <w:szCs w:val="24"/>
        </w:rPr>
        <w:t xml:space="preserve"> </w:t>
      </w:r>
      <w:r w:rsidRPr="00C665F0">
        <w:rPr>
          <w:rFonts w:ascii="Times New Roman" w:eastAsia="Times New Roman" w:hAnsi="Times New Roman" w:cs="Times New Roman"/>
          <w:sz w:val="24"/>
          <w:szCs w:val="24"/>
        </w:rPr>
        <w:t>is deemed satisfied.</w:t>
      </w:r>
    </w:p>
    <w:p w:rsidR="004618C0" w:rsidRPr="00C665F0" w:rsidRDefault="004618C0" w:rsidP="00AE3E5A">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7.</w:t>
      </w:r>
      <w:r w:rsidRPr="00C665F0">
        <w:rPr>
          <w:rFonts w:ascii="Times New Roman" w:eastAsia="Times New Roman" w:hAnsi="Times New Roman" w:cs="Times New Roman"/>
          <w:sz w:val="24"/>
          <w:szCs w:val="24"/>
        </w:rPr>
        <w:tab/>
        <w:t>That upon acceptance and approval by the Commission of the tariff supplement filed by PECO Energy Company consistent with this Order, this proceeding shall be marked closed.</w:t>
      </w:r>
    </w:p>
    <w:p w:rsidR="004618C0" w:rsidRPr="00C665F0" w:rsidRDefault="004618C0" w:rsidP="00AE3E5A">
      <w:pPr>
        <w:autoSpaceDE w:val="0"/>
        <w:autoSpaceDN w:val="0"/>
        <w:spacing w:after="0" w:line="360" w:lineRule="auto"/>
        <w:rPr>
          <w:rFonts w:ascii="Times New Roman" w:eastAsia="Times New Roman" w:hAnsi="Times New Roman" w:cs="Times New Roman"/>
          <w:sz w:val="24"/>
          <w:szCs w:val="24"/>
        </w:rPr>
      </w:pPr>
    </w:p>
    <w:p w:rsidR="004618C0" w:rsidRPr="00C665F0" w:rsidRDefault="004618C0" w:rsidP="004618C0">
      <w:pPr>
        <w:autoSpaceDE w:val="0"/>
        <w:autoSpaceDN w:val="0"/>
        <w:spacing w:after="0" w:line="360" w:lineRule="auto"/>
        <w:rPr>
          <w:rFonts w:ascii="Times New Roman" w:eastAsia="Times New Roman" w:hAnsi="Times New Roman" w:cs="Times New Roman"/>
          <w:sz w:val="24"/>
          <w:szCs w:val="24"/>
        </w:rPr>
      </w:pPr>
    </w:p>
    <w:p w:rsidR="004618C0" w:rsidRPr="00C665F0" w:rsidRDefault="00AE3E5A" w:rsidP="004618C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w:t>
      </w:r>
      <w:r w:rsidR="004618C0" w:rsidRPr="00C665F0">
        <w:rPr>
          <w:rFonts w:ascii="Times New Roman" w:eastAsia="Times New Roman" w:hAnsi="Times New Roman" w:cs="Times New Roman"/>
          <w:sz w:val="24"/>
          <w:szCs w:val="24"/>
          <w:u w:val="single"/>
        </w:rPr>
        <w:t xml:space="preserve">August </w:t>
      </w:r>
      <w:r w:rsidR="00740E80" w:rsidRPr="00C665F0">
        <w:rPr>
          <w:rFonts w:ascii="Times New Roman" w:eastAsia="Times New Roman" w:hAnsi="Times New Roman" w:cs="Times New Roman"/>
          <w:sz w:val="24"/>
          <w:szCs w:val="24"/>
          <w:u w:val="single"/>
        </w:rPr>
        <w:t>7</w:t>
      </w:r>
      <w:r>
        <w:rPr>
          <w:rFonts w:ascii="Times New Roman" w:eastAsia="Times New Roman" w:hAnsi="Times New Roman" w:cs="Times New Roman"/>
          <w:sz w:val="24"/>
          <w:szCs w:val="24"/>
          <w:u w:val="single"/>
        </w:rPr>
        <w:t>, 2013</w:t>
      </w:r>
      <w:r w:rsidR="004618C0" w:rsidRPr="00C665F0">
        <w:rPr>
          <w:rFonts w:ascii="Times New Roman" w:eastAsia="Times New Roman" w:hAnsi="Times New Roman" w:cs="Times New Roman"/>
          <w:sz w:val="24"/>
          <w:szCs w:val="24"/>
        </w:rPr>
        <w:tab/>
      </w:r>
      <w:r w:rsidR="004618C0" w:rsidRPr="00C665F0">
        <w:rPr>
          <w:rFonts w:ascii="Times New Roman" w:eastAsia="Times New Roman" w:hAnsi="Times New Roman" w:cs="Times New Roman"/>
          <w:sz w:val="24"/>
          <w:szCs w:val="24"/>
        </w:rPr>
        <w:tab/>
      </w:r>
      <w:r w:rsidR="004618C0" w:rsidRPr="00C665F0">
        <w:rPr>
          <w:rFonts w:ascii="Times New Roman" w:eastAsia="Times New Roman" w:hAnsi="Times New Roman" w:cs="Times New Roman"/>
          <w:sz w:val="24"/>
          <w:szCs w:val="24"/>
        </w:rPr>
        <w:tab/>
      </w:r>
      <w:r w:rsidR="004618C0" w:rsidRPr="00C665F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618C0" w:rsidRPr="00C665F0">
        <w:rPr>
          <w:rFonts w:ascii="Times New Roman" w:eastAsia="Times New Roman" w:hAnsi="Times New Roman" w:cs="Times New Roman"/>
          <w:sz w:val="24"/>
          <w:szCs w:val="24"/>
          <w:u w:val="single"/>
        </w:rPr>
        <w:tab/>
        <w:t>/s/</w:t>
      </w:r>
      <w:r w:rsidR="004618C0" w:rsidRPr="00C665F0">
        <w:rPr>
          <w:rFonts w:ascii="Times New Roman" w:eastAsia="Times New Roman" w:hAnsi="Times New Roman" w:cs="Times New Roman"/>
          <w:sz w:val="24"/>
          <w:szCs w:val="24"/>
          <w:u w:val="single"/>
        </w:rPr>
        <w:tab/>
      </w:r>
      <w:r w:rsidR="004618C0" w:rsidRPr="00C665F0">
        <w:rPr>
          <w:rFonts w:ascii="Times New Roman" w:eastAsia="Times New Roman" w:hAnsi="Times New Roman" w:cs="Times New Roman"/>
          <w:sz w:val="24"/>
          <w:szCs w:val="24"/>
          <w:u w:val="single"/>
        </w:rPr>
        <w:tab/>
      </w:r>
      <w:r w:rsidR="004618C0" w:rsidRPr="00C665F0">
        <w:rPr>
          <w:rFonts w:ascii="Times New Roman" w:eastAsia="Times New Roman" w:hAnsi="Times New Roman" w:cs="Times New Roman"/>
          <w:sz w:val="24"/>
          <w:szCs w:val="24"/>
          <w:u w:val="single"/>
        </w:rPr>
        <w:tab/>
      </w:r>
      <w:r w:rsidR="004618C0" w:rsidRPr="00C665F0">
        <w:rPr>
          <w:rFonts w:ascii="Times New Roman" w:eastAsia="Times New Roman" w:hAnsi="Times New Roman" w:cs="Times New Roman"/>
          <w:sz w:val="24"/>
          <w:szCs w:val="24"/>
          <w:u w:val="single"/>
        </w:rPr>
        <w:tab/>
      </w:r>
      <w:r w:rsidR="004618C0" w:rsidRPr="00C665F0">
        <w:rPr>
          <w:rFonts w:ascii="Times New Roman" w:eastAsia="Times New Roman" w:hAnsi="Times New Roman" w:cs="Times New Roman"/>
          <w:sz w:val="24"/>
          <w:szCs w:val="24"/>
          <w:u w:val="single"/>
        </w:rPr>
        <w:tab/>
      </w:r>
    </w:p>
    <w:p w:rsidR="004618C0" w:rsidRPr="00C665F0" w:rsidRDefault="004618C0" w:rsidP="004618C0">
      <w:pPr>
        <w:autoSpaceDE w:val="0"/>
        <w:autoSpaceDN w:val="0"/>
        <w:spacing w:after="0" w:line="24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Eranda Vero</w:t>
      </w:r>
    </w:p>
    <w:p w:rsidR="004618C0" w:rsidRPr="00C665F0" w:rsidRDefault="004618C0" w:rsidP="004618C0">
      <w:pPr>
        <w:autoSpaceDE w:val="0"/>
        <w:autoSpaceDN w:val="0"/>
        <w:spacing w:after="0" w:line="24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 xml:space="preserve">Administrative Law Judge </w:t>
      </w:r>
    </w:p>
    <w:p w:rsidR="004618C0" w:rsidRPr="00C665F0" w:rsidRDefault="004618C0" w:rsidP="004618C0">
      <w:pPr>
        <w:autoSpaceDE w:val="0"/>
        <w:autoSpaceDN w:val="0"/>
        <w:spacing w:after="0" w:line="240" w:lineRule="auto"/>
        <w:rPr>
          <w:rFonts w:ascii="Times New Roman" w:eastAsia="Times New Roman" w:hAnsi="Times New Roman" w:cs="Times New Roman"/>
          <w:sz w:val="24"/>
          <w:szCs w:val="24"/>
        </w:rPr>
      </w:pPr>
    </w:p>
    <w:p w:rsidR="004618C0" w:rsidRPr="00C665F0" w:rsidRDefault="004618C0" w:rsidP="004618C0">
      <w:pPr>
        <w:autoSpaceDE w:val="0"/>
        <w:autoSpaceDN w:val="0"/>
        <w:spacing w:after="0" w:line="240" w:lineRule="auto"/>
        <w:rPr>
          <w:rFonts w:ascii="Times New Roman" w:eastAsia="Times New Roman" w:hAnsi="Times New Roman" w:cs="Times New Roman"/>
          <w:sz w:val="24"/>
          <w:szCs w:val="24"/>
        </w:rPr>
      </w:pPr>
    </w:p>
    <w:p w:rsidR="004618C0" w:rsidRPr="00C665F0" w:rsidRDefault="004618C0" w:rsidP="004618C0">
      <w:pPr>
        <w:autoSpaceDE w:val="0"/>
        <w:autoSpaceDN w:val="0"/>
        <w:spacing w:after="0" w:line="24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u w:val="single"/>
        </w:rPr>
        <w:tab/>
        <w:t>/s/</w:t>
      </w:r>
      <w:r w:rsidRPr="00C665F0">
        <w:rPr>
          <w:rFonts w:ascii="Times New Roman" w:eastAsia="Times New Roman" w:hAnsi="Times New Roman" w:cs="Times New Roman"/>
          <w:sz w:val="24"/>
          <w:szCs w:val="24"/>
          <w:u w:val="single"/>
        </w:rPr>
        <w:tab/>
      </w:r>
      <w:r w:rsidRPr="00C665F0">
        <w:rPr>
          <w:rFonts w:ascii="Times New Roman" w:eastAsia="Times New Roman" w:hAnsi="Times New Roman" w:cs="Times New Roman"/>
          <w:sz w:val="24"/>
          <w:szCs w:val="24"/>
          <w:u w:val="single"/>
        </w:rPr>
        <w:tab/>
      </w:r>
      <w:r w:rsidRPr="00C665F0">
        <w:rPr>
          <w:rFonts w:ascii="Times New Roman" w:eastAsia="Times New Roman" w:hAnsi="Times New Roman" w:cs="Times New Roman"/>
          <w:sz w:val="24"/>
          <w:szCs w:val="24"/>
          <w:u w:val="single"/>
        </w:rPr>
        <w:tab/>
      </w:r>
      <w:r w:rsidRPr="00C665F0">
        <w:rPr>
          <w:rFonts w:ascii="Times New Roman" w:eastAsia="Times New Roman" w:hAnsi="Times New Roman" w:cs="Times New Roman"/>
          <w:sz w:val="24"/>
          <w:szCs w:val="24"/>
          <w:u w:val="single"/>
        </w:rPr>
        <w:tab/>
      </w:r>
      <w:r w:rsidRPr="00C665F0">
        <w:rPr>
          <w:rFonts w:ascii="Times New Roman" w:eastAsia="Times New Roman" w:hAnsi="Times New Roman" w:cs="Times New Roman"/>
          <w:sz w:val="24"/>
          <w:szCs w:val="24"/>
          <w:u w:val="single"/>
        </w:rPr>
        <w:tab/>
      </w:r>
    </w:p>
    <w:p w:rsidR="004618C0" w:rsidRPr="00C665F0" w:rsidRDefault="004618C0" w:rsidP="004618C0">
      <w:pPr>
        <w:autoSpaceDE w:val="0"/>
        <w:autoSpaceDN w:val="0"/>
        <w:spacing w:after="0" w:line="240" w:lineRule="auto"/>
        <w:rPr>
          <w:rFonts w:ascii="Times New Roman" w:eastAsia="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Marta Guhl</w:t>
      </w:r>
    </w:p>
    <w:p w:rsidR="004618C0" w:rsidRPr="00C665F0" w:rsidRDefault="004618C0" w:rsidP="004618C0">
      <w:pPr>
        <w:spacing w:after="0" w:line="360" w:lineRule="auto"/>
        <w:rPr>
          <w:rFonts w:ascii="Times New Roman" w:hAnsi="Times New Roman" w:cs="Times New Roman"/>
          <w:sz w:val="24"/>
          <w:szCs w:val="24"/>
        </w:rPr>
      </w:pP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r>
      <w:r w:rsidRPr="00C665F0">
        <w:rPr>
          <w:rFonts w:ascii="Times New Roman" w:eastAsia="Times New Roman" w:hAnsi="Times New Roman" w:cs="Times New Roman"/>
          <w:sz w:val="24"/>
          <w:szCs w:val="24"/>
        </w:rPr>
        <w:tab/>
        <w:t>Administrative</w:t>
      </w:r>
    </w:p>
    <w:p w:rsidR="004618C0" w:rsidRPr="00C665F0" w:rsidRDefault="004618C0" w:rsidP="008A6DA3">
      <w:pPr>
        <w:spacing w:after="0" w:line="360" w:lineRule="auto"/>
        <w:rPr>
          <w:rFonts w:ascii="Times New Roman" w:hAnsi="Times New Roman" w:cs="Times New Roman"/>
          <w:sz w:val="24"/>
          <w:szCs w:val="24"/>
        </w:rPr>
      </w:pPr>
    </w:p>
    <w:sectPr w:rsidR="004618C0" w:rsidRPr="00C665F0" w:rsidSect="00C665F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444" w:rsidRDefault="00197444" w:rsidP="009531EF">
      <w:pPr>
        <w:spacing w:after="0" w:line="240" w:lineRule="auto"/>
      </w:pPr>
      <w:r>
        <w:separator/>
      </w:r>
    </w:p>
  </w:endnote>
  <w:endnote w:type="continuationSeparator" w:id="0">
    <w:p w:rsidR="00197444" w:rsidRDefault="00197444" w:rsidP="00953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9F2" w:rsidRDefault="008809F2" w:rsidP="004C17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09F2" w:rsidRDefault="008809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9F2" w:rsidRPr="00B155E8" w:rsidRDefault="008809F2" w:rsidP="004C1704">
    <w:pPr>
      <w:pStyle w:val="Footer"/>
      <w:framePr w:wrap="around" w:vAnchor="text" w:hAnchor="margin" w:xAlign="center" w:y="1"/>
      <w:rPr>
        <w:rStyle w:val="PageNumber"/>
        <w:rFonts w:ascii="Times New Roman" w:hAnsi="Times New Roman" w:cs="Times New Roman"/>
        <w:sz w:val="20"/>
        <w:szCs w:val="20"/>
      </w:rPr>
    </w:pPr>
    <w:r w:rsidRPr="00B155E8">
      <w:rPr>
        <w:rStyle w:val="PageNumber"/>
        <w:rFonts w:ascii="Times New Roman" w:hAnsi="Times New Roman" w:cs="Times New Roman"/>
        <w:sz w:val="20"/>
        <w:szCs w:val="20"/>
      </w:rPr>
      <w:fldChar w:fldCharType="begin"/>
    </w:r>
    <w:r w:rsidRPr="00B155E8">
      <w:rPr>
        <w:rStyle w:val="PageNumber"/>
        <w:rFonts w:ascii="Times New Roman" w:hAnsi="Times New Roman" w:cs="Times New Roman"/>
        <w:sz w:val="20"/>
        <w:szCs w:val="20"/>
      </w:rPr>
      <w:instrText xml:space="preserve">PAGE  </w:instrText>
    </w:r>
    <w:r w:rsidRPr="00B155E8">
      <w:rPr>
        <w:rStyle w:val="PageNumber"/>
        <w:rFonts w:ascii="Times New Roman" w:hAnsi="Times New Roman" w:cs="Times New Roman"/>
        <w:sz w:val="20"/>
        <w:szCs w:val="20"/>
      </w:rPr>
      <w:fldChar w:fldCharType="separate"/>
    </w:r>
    <w:r w:rsidR="000015F6">
      <w:rPr>
        <w:rStyle w:val="PageNumber"/>
        <w:rFonts w:ascii="Times New Roman" w:hAnsi="Times New Roman" w:cs="Times New Roman"/>
        <w:noProof/>
        <w:sz w:val="20"/>
        <w:szCs w:val="20"/>
      </w:rPr>
      <w:t>i</w:t>
    </w:r>
    <w:r w:rsidRPr="00B155E8">
      <w:rPr>
        <w:rStyle w:val="PageNumber"/>
        <w:rFonts w:ascii="Times New Roman" w:hAnsi="Times New Roman" w:cs="Times New Roman"/>
        <w:sz w:val="20"/>
        <w:szCs w:val="20"/>
      </w:rPr>
      <w:fldChar w:fldCharType="end"/>
    </w:r>
  </w:p>
  <w:p w:rsidR="008809F2" w:rsidRDefault="008809F2">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5F6" w:rsidRDefault="000015F6" w:rsidP="000015F6">
    <w:pPr>
      <w:pStyle w:val="ParaTab1"/>
      <w:spacing w:line="480" w:lineRule="auto"/>
      <w:ind w:firstLine="0"/>
      <w:jc w:val="center"/>
      <w:rPr>
        <w:sz w:val="20"/>
        <w:szCs w:val="20"/>
      </w:rPr>
    </w:pPr>
    <w:r>
      <w:rPr>
        <w:sz w:val="20"/>
        <w:szCs w:val="20"/>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425945"/>
      <w:docPartObj>
        <w:docPartGallery w:val="Page Numbers (Bottom of Page)"/>
        <w:docPartUnique/>
      </w:docPartObj>
    </w:sdtPr>
    <w:sdtEndPr>
      <w:rPr>
        <w:rFonts w:ascii="Times New Roman" w:hAnsi="Times New Roman" w:cs="Times New Roman"/>
        <w:noProof/>
        <w:sz w:val="20"/>
        <w:szCs w:val="20"/>
      </w:rPr>
    </w:sdtEndPr>
    <w:sdtContent>
      <w:p w:rsidR="00824CBC" w:rsidRPr="00824CBC" w:rsidRDefault="00824CBC">
        <w:pPr>
          <w:pStyle w:val="Footer"/>
          <w:jc w:val="center"/>
          <w:rPr>
            <w:rFonts w:ascii="Times New Roman" w:hAnsi="Times New Roman" w:cs="Times New Roman"/>
            <w:sz w:val="20"/>
            <w:szCs w:val="20"/>
          </w:rPr>
        </w:pPr>
        <w:r w:rsidRPr="00824CBC">
          <w:rPr>
            <w:rFonts w:ascii="Times New Roman" w:hAnsi="Times New Roman" w:cs="Times New Roman"/>
            <w:sz w:val="20"/>
            <w:szCs w:val="20"/>
          </w:rPr>
          <w:fldChar w:fldCharType="begin"/>
        </w:r>
        <w:r w:rsidRPr="00824CBC">
          <w:rPr>
            <w:rFonts w:ascii="Times New Roman" w:hAnsi="Times New Roman" w:cs="Times New Roman"/>
            <w:sz w:val="20"/>
            <w:szCs w:val="20"/>
          </w:rPr>
          <w:instrText xml:space="preserve"> PAGE   \* MERGEFORMAT </w:instrText>
        </w:r>
        <w:r w:rsidRPr="00824CBC">
          <w:rPr>
            <w:rFonts w:ascii="Times New Roman" w:hAnsi="Times New Roman" w:cs="Times New Roman"/>
            <w:sz w:val="20"/>
            <w:szCs w:val="20"/>
          </w:rPr>
          <w:fldChar w:fldCharType="separate"/>
        </w:r>
        <w:r w:rsidR="00C15970">
          <w:rPr>
            <w:rFonts w:ascii="Times New Roman" w:hAnsi="Times New Roman" w:cs="Times New Roman"/>
            <w:noProof/>
            <w:sz w:val="20"/>
            <w:szCs w:val="20"/>
          </w:rPr>
          <w:t>21</w:t>
        </w:r>
        <w:r w:rsidRPr="00824CB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444" w:rsidRDefault="00197444" w:rsidP="009531EF">
      <w:pPr>
        <w:spacing w:after="0" w:line="240" w:lineRule="auto"/>
      </w:pPr>
      <w:r>
        <w:separator/>
      </w:r>
    </w:p>
  </w:footnote>
  <w:footnote w:type="continuationSeparator" w:id="0">
    <w:p w:rsidR="00197444" w:rsidRDefault="00197444" w:rsidP="009531EF">
      <w:pPr>
        <w:spacing w:after="0" w:line="240" w:lineRule="auto"/>
      </w:pPr>
      <w:r>
        <w:continuationSeparator/>
      </w:r>
    </w:p>
  </w:footnote>
  <w:footnote w:id="1">
    <w:p w:rsidR="008809F2" w:rsidRPr="009A7B69" w:rsidRDefault="008809F2" w:rsidP="008809F2">
      <w:pPr>
        <w:pStyle w:val="FootnoteText"/>
        <w:rPr>
          <w:rFonts w:ascii="Times New Roman" w:hAnsi="Times New Roman" w:cs="Times New Roman"/>
        </w:rPr>
      </w:pPr>
      <w:r>
        <w:rPr>
          <w:rStyle w:val="FootnoteReference"/>
        </w:rPr>
        <w:footnoteRef/>
      </w:r>
      <w:r>
        <w:t xml:space="preserve"> </w:t>
      </w:r>
      <w:r w:rsidR="009A7B69">
        <w:tab/>
      </w:r>
      <w:r w:rsidRPr="009A7B69">
        <w:rPr>
          <w:rFonts w:ascii="Times New Roman" w:hAnsi="Times New Roman" w:cs="Times New Roman"/>
        </w:rPr>
        <w:t xml:space="preserve">The last public meeting before the December 1, 2014 effective date is on November 13, 2014.  </w:t>
      </w:r>
    </w:p>
  </w:footnote>
  <w:footnote w:id="2">
    <w:p w:rsidR="00C66643" w:rsidRDefault="00C66643" w:rsidP="00C66643">
      <w:pPr>
        <w:pStyle w:val="FootnoteText"/>
        <w:spacing w:after="100" w:afterAutospacing="1"/>
      </w:pPr>
      <w:r>
        <w:rPr>
          <w:rStyle w:val="FootnoteReference"/>
        </w:rPr>
        <w:footnoteRef/>
      </w:r>
      <w:r>
        <w:t xml:space="preserve"> </w:t>
      </w:r>
      <w:r>
        <w:tab/>
      </w:r>
      <w:r w:rsidRPr="00C66643">
        <w:rPr>
          <w:rFonts w:ascii="Times New Roman" w:hAnsi="Times New Roman" w:cs="Times New Roman"/>
        </w:rPr>
        <w:t>Appendix A consists of Statements 1-3 of the PGC 31 Filing and PECO Exhibit CPT-1.  PECO Exhibit CPT-1 shows the derivation of the revised BC.</w:t>
      </w:r>
    </w:p>
  </w:footnote>
  <w:footnote w:id="3">
    <w:p w:rsidR="00C66643" w:rsidRDefault="00C66643" w:rsidP="00C66643">
      <w:pPr>
        <w:pStyle w:val="FootnoteText"/>
        <w:spacing w:after="100" w:afterAutospacing="1"/>
      </w:pPr>
      <w:r>
        <w:rPr>
          <w:rStyle w:val="FootnoteReference"/>
        </w:rPr>
        <w:footnoteRef/>
      </w:r>
      <w:r>
        <w:t xml:space="preserve"> </w:t>
      </w:r>
      <w:r>
        <w:tab/>
      </w:r>
      <w:r w:rsidRPr="00C66643">
        <w:rPr>
          <w:rFonts w:ascii="Times New Roman" w:hAnsi="Times New Roman" w:cs="Times New Roman"/>
        </w:rPr>
        <w:t>Pursuant to the terms of the settlement of the Company’s gas base rate case at Docket No. R-2008-2028394, the BC may be updated and revised only as part of PECO’s annual PGC filing.</w:t>
      </w:r>
    </w:p>
  </w:footnote>
  <w:footnote w:id="4">
    <w:p w:rsidR="00C66643" w:rsidRDefault="00C66643" w:rsidP="00C66643">
      <w:pPr>
        <w:pStyle w:val="FootnoteText"/>
      </w:pPr>
      <w:r>
        <w:rPr>
          <w:rStyle w:val="FootnoteReference"/>
        </w:rPr>
        <w:footnoteRef/>
      </w:r>
      <w:r>
        <w:t xml:space="preserve"> </w:t>
      </w:r>
      <w:r>
        <w:tab/>
      </w:r>
      <w:r w:rsidRPr="00B2684A">
        <w:rPr>
          <w:rFonts w:ascii="Times New Roman" w:hAnsi="Times New Roman" w:cs="Times New Roman"/>
        </w:rPr>
        <w:t>The chart included in PECO Statement No. 5, at p. 48 contains a typographical error.  The “36 Months Ending March 30, 2013” should instead read as follows:  36 Months Ending March 31, 2014.</w:t>
      </w:r>
      <w:r>
        <w:t xml:space="preserve">  </w:t>
      </w:r>
    </w:p>
  </w:footnote>
  <w:footnote w:id="5">
    <w:p w:rsidR="00C66643" w:rsidRDefault="00C66643" w:rsidP="00C66643">
      <w:pPr>
        <w:pStyle w:val="FootnoteText"/>
        <w:spacing w:after="100" w:afterAutospacing="1"/>
      </w:pPr>
      <w:r>
        <w:rPr>
          <w:rStyle w:val="FootnoteReference"/>
        </w:rPr>
        <w:footnoteRef/>
      </w:r>
      <w:r>
        <w:t xml:space="preserve"> </w:t>
      </w:r>
      <w:r>
        <w:tab/>
      </w:r>
      <w:r w:rsidRPr="00B2684A">
        <w:rPr>
          <w:rFonts w:ascii="Times New Roman" w:hAnsi="Times New Roman" w:cs="Times New Roman"/>
        </w:rPr>
        <w:t>Recovery of Planalytics</w:t>
      </w:r>
      <w:r w:rsidRPr="00B2684A">
        <w:rPr>
          <w:rFonts w:ascii="Times New Roman" w:hAnsi="Times New Roman" w:cs="Times New Roman"/>
          <w:vertAlign w:val="superscript"/>
        </w:rPr>
        <w:t xml:space="preserve">® </w:t>
      </w:r>
      <w:r w:rsidRPr="00B2684A">
        <w:rPr>
          <w:rFonts w:ascii="Times New Roman" w:hAnsi="Times New Roman" w:cs="Times New Roman"/>
        </w:rPr>
        <w:t>costs has been approved in PECO’s annual Section 1307(f) proceedings at Docket Nos. R-2008-2039468, R-2009-2108705, R-2010-2174034, R-2011-2239263, R-2012-2302784 and R-2013-2363227 – the Commission approved recovery of this cost in its Order, dated August 13, 2013, adopting the 2013 Joint Petition.</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B24E5"/>
    <w:multiLevelType w:val="hybridMultilevel"/>
    <w:tmpl w:val="9ACAE1B6"/>
    <w:lvl w:ilvl="0" w:tplc="C34E13A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3666D"/>
    <w:multiLevelType w:val="multilevel"/>
    <w:tmpl w:val="ED0A2288"/>
    <w:lvl w:ilvl="0">
      <w:start w:val="1"/>
      <w:numFmt w:val="upperRoman"/>
      <w:pStyle w:val="Tabbed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6"/>
      <w:numFmt w:val="decimal"/>
      <w:lvlRestart w:val="0"/>
      <w:pStyle w:val="TabbedL2"/>
      <w:lvlText w:val="%2."/>
      <w:lvlJc w:val="left"/>
      <w:pPr>
        <w:tabs>
          <w:tab w:val="num" w:pos="1440"/>
        </w:tabs>
        <w:ind w:left="0" w:firstLine="720"/>
      </w:pPr>
      <w:rPr>
        <w:rFonts w:ascii="Times New Roman" w:hAnsi="Times New Roman" w:cs="Times New Roman" w:hint="default"/>
        <w:b w:val="0"/>
        <w:i w:val="0"/>
        <w:caps w:val="0"/>
        <w:strike w:val="0"/>
        <w:dstrike w:val="0"/>
        <w:sz w:val="24"/>
        <w:u w:val="none"/>
        <w:effect w:val="none"/>
      </w:rPr>
    </w:lvl>
    <w:lvl w:ilvl="2">
      <w:start w:val="1"/>
      <w:numFmt w:val="lowerLetter"/>
      <w:pStyle w:val="TabbedL3"/>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pStyle w:val="TabbedL4"/>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Roman"/>
      <w:pStyle w:val="TabbedL5"/>
      <w:lvlText w:val="%5."/>
      <w:lvlJc w:val="left"/>
      <w:pPr>
        <w:tabs>
          <w:tab w:val="num" w:pos="2880"/>
        </w:tabs>
        <w:ind w:left="2880" w:hanging="720"/>
      </w:pPr>
      <w:rPr>
        <w:rFonts w:ascii="Times New Roman" w:hAnsi="Times New Roman" w:cs="Times New Roman" w:hint="default"/>
        <w:b w:val="0"/>
        <w:i w:val="0"/>
        <w:caps w:val="0"/>
        <w:strike w:val="0"/>
        <w:dstrike w:val="0"/>
        <w:sz w:val="24"/>
        <w:u w:val="none"/>
        <w:effect w:val="none"/>
      </w:rPr>
    </w:lvl>
    <w:lvl w:ilvl="5">
      <w:start w:val="1"/>
      <w:numFmt w:val="lowerRoman"/>
      <w:pStyle w:val="TabbedL6"/>
      <w:lvlText w:val="%6."/>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6">
      <w:start w:val="1"/>
      <w:numFmt w:val="decimal"/>
      <w:pStyle w:val="TabbedL7"/>
      <w:lvlText w:val="%7)"/>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7">
      <w:start w:val="1"/>
      <w:numFmt w:val="lowerLetter"/>
      <w:pStyle w:val="TabbedL8"/>
      <w:lvlText w:val="%8)"/>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lvl w:ilvl="8">
      <w:start w:val="1"/>
      <w:numFmt w:val="lowerRoman"/>
      <w:pStyle w:val="TabbedL9"/>
      <w:lvlText w:val="%9)"/>
      <w:lvlJc w:val="left"/>
      <w:pPr>
        <w:tabs>
          <w:tab w:val="num" w:pos="7200"/>
        </w:tabs>
        <w:ind w:left="0" w:firstLine="6480"/>
      </w:pPr>
      <w:rPr>
        <w:rFonts w:ascii="Times New Roman" w:hAnsi="Times New Roman" w:cs="Times New Roman" w:hint="default"/>
        <w:b w:val="0"/>
        <w:i w:val="0"/>
        <w:caps w:val="0"/>
        <w:strike w:val="0"/>
        <w:dstrike w:val="0"/>
        <w:sz w:val="24"/>
        <w:u w:val="none"/>
        <w:effect w:val="none"/>
      </w:rPr>
    </w:lvl>
  </w:abstractNum>
  <w:abstractNum w:abstractNumId="2">
    <w:nsid w:val="7E3E5B4F"/>
    <w:multiLevelType w:val="hybridMultilevel"/>
    <w:tmpl w:val="87E4D97A"/>
    <w:lvl w:ilvl="0" w:tplc="C982F3B4">
      <w:start w:val="1"/>
      <w:numFmt w:val="upp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1EF"/>
    <w:rsid w:val="000015F6"/>
    <w:rsid w:val="00013B3C"/>
    <w:rsid w:val="0004003B"/>
    <w:rsid w:val="000547FD"/>
    <w:rsid w:val="000578EE"/>
    <w:rsid w:val="00071025"/>
    <w:rsid w:val="00071D90"/>
    <w:rsid w:val="00096443"/>
    <w:rsid w:val="000A0354"/>
    <w:rsid w:val="000C1B7B"/>
    <w:rsid w:val="000E2C84"/>
    <w:rsid w:val="000F44C4"/>
    <w:rsid w:val="001860A3"/>
    <w:rsid w:val="00191CE1"/>
    <w:rsid w:val="00197444"/>
    <w:rsid w:val="001E2A74"/>
    <w:rsid w:val="001E3E6A"/>
    <w:rsid w:val="002552C0"/>
    <w:rsid w:val="00292061"/>
    <w:rsid w:val="002D3FA7"/>
    <w:rsid w:val="002F2573"/>
    <w:rsid w:val="00312043"/>
    <w:rsid w:val="00313300"/>
    <w:rsid w:val="0034103A"/>
    <w:rsid w:val="003574BF"/>
    <w:rsid w:val="00360C63"/>
    <w:rsid w:val="00364682"/>
    <w:rsid w:val="003D392C"/>
    <w:rsid w:val="003F6BDB"/>
    <w:rsid w:val="004618C0"/>
    <w:rsid w:val="004755E4"/>
    <w:rsid w:val="004B71CF"/>
    <w:rsid w:val="004E137B"/>
    <w:rsid w:val="004E52B0"/>
    <w:rsid w:val="00513902"/>
    <w:rsid w:val="00517C53"/>
    <w:rsid w:val="00531CA0"/>
    <w:rsid w:val="00532B64"/>
    <w:rsid w:val="0055556F"/>
    <w:rsid w:val="005842E1"/>
    <w:rsid w:val="005B4BB5"/>
    <w:rsid w:val="005D49D5"/>
    <w:rsid w:val="005E051E"/>
    <w:rsid w:val="005F5BC0"/>
    <w:rsid w:val="006015F4"/>
    <w:rsid w:val="0060629B"/>
    <w:rsid w:val="00635BA2"/>
    <w:rsid w:val="0066511D"/>
    <w:rsid w:val="00680969"/>
    <w:rsid w:val="00681ED3"/>
    <w:rsid w:val="006C3405"/>
    <w:rsid w:val="006D7E65"/>
    <w:rsid w:val="00701388"/>
    <w:rsid w:val="0072432D"/>
    <w:rsid w:val="00740E80"/>
    <w:rsid w:val="00746A77"/>
    <w:rsid w:val="00764582"/>
    <w:rsid w:val="00771FF6"/>
    <w:rsid w:val="00784ADC"/>
    <w:rsid w:val="007D2E82"/>
    <w:rsid w:val="008038B5"/>
    <w:rsid w:val="00824CBC"/>
    <w:rsid w:val="00837F92"/>
    <w:rsid w:val="008557CE"/>
    <w:rsid w:val="00875DF7"/>
    <w:rsid w:val="008809F2"/>
    <w:rsid w:val="008970A2"/>
    <w:rsid w:val="008A1E0E"/>
    <w:rsid w:val="008A6DA3"/>
    <w:rsid w:val="008C04CB"/>
    <w:rsid w:val="008C4A0C"/>
    <w:rsid w:val="008D0AC4"/>
    <w:rsid w:val="009344B4"/>
    <w:rsid w:val="00941984"/>
    <w:rsid w:val="009531EF"/>
    <w:rsid w:val="009857B5"/>
    <w:rsid w:val="009A7B69"/>
    <w:rsid w:val="009E3872"/>
    <w:rsid w:val="00A040AD"/>
    <w:rsid w:val="00A04799"/>
    <w:rsid w:val="00A35570"/>
    <w:rsid w:val="00A51AE6"/>
    <w:rsid w:val="00A824AA"/>
    <w:rsid w:val="00AE2AB8"/>
    <w:rsid w:val="00AE3E5A"/>
    <w:rsid w:val="00B00A3D"/>
    <w:rsid w:val="00B155E8"/>
    <w:rsid w:val="00B2684A"/>
    <w:rsid w:val="00B35D6A"/>
    <w:rsid w:val="00B57C43"/>
    <w:rsid w:val="00B604C5"/>
    <w:rsid w:val="00B736E5"/>
    <w:rsid w:val="00BA5834"/>
    <w:rsid w:val="00BF4AAF"/>
    <w:rsid w:val="00C00764"/>
    <w:rsid w:val="00C13F3D"/>
    <w:rsid w:val="00C15970"/>
    <w:rsid w:val="00C52586"/>
    <w:rsid w:val="00C665F0"/>
    <w:rsid w:val="00C66643"/>
    <w:rsid w:val="00C6784B"/>
    <w:rsid w:val="00C75BFC"/>
    <w:rsid w:val="00CB269C"/>
    <w:rsid w:val="00CE3629"/>
    <w:rsid w:val="00D144D2"/>
    <w:rsid w:val="00D43DD0"/>
    <w:rsid w:val="00D5778A"/>
    <w:rsid w:val="00D75D2F"/>
    <w:rsid w:val="00D84FE3"/>
    <w:rsid w:val="00D9200C"/>
    <w:rsid w:val="00D9492E"/>
    <w:rsid w:val="00DA3CC1"/>
    <w:rsid w:val="00DA6D4E"/>
    <w:rsid w:val="00DC2C85"/>
    <w:rsid w:val="00E037D4"/>
    <w:rsid w:val="00E328EA"/>
    <w:rsid w:val="00E41C21"/>
    <w:rsid w:val="00E600E0"/>
    <w:rsid w:val="00E76147"/>
    <w:rsid w:val="00F539F9"/>
    <w:rsid w:val="00F57421"/>
    <w:rsid w:val="00F71185"/>
    <w:rsid w:val="00F75430"/>
    <w:rsid w:val="00FA0A9E"/>
    <w:rsid w:val="00FB7C4A"/>
    <w:rsid w:val="00FD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531EF"/>
    <w:pPr>
      <w:spacing w:after="0" w:line="240" w:lineRule="auto"/>
    </w:pPr>
    <w:rPr>
      <w:sz w:val="20"/>
      <w:szCs w:val="20"/>
    </w:rPr>
  </w:style>
  <w:style w:type="character" w:customStyle="1" w:styleId="FootnoteTextChar">
    <w:name w:val="Footnote Text Char"/>
    <w:basedOn w:val="DefaultParagraphFont"/>
    <w:link w:val="FootnoteText"/>
    <w:semiHidden/>
    <w:rsid w:val="009531EF"/>
    <w:rPr>
      <w:sz w:val="20"/>
      <w:szCs w:val="20"/>
    </w:rPr>
  </w:style>
  <w:style w:type="character" w:styleId="FootnoteReference">
    <w:name w:val="footnote reference"/>
    <w:semiHidden/>
    <w:rsid w:val="009531EF"/>
    <w:rPr>
      <w:vertAlign w:val="superscript"/>
    </w:rPr>
  </w:style>
  <w:style w:type="character" w:styleId="CommentReference">
    <w:name w:val="annotation reference"/>
    <w:basedOn w:val="DefaultParagraphFont"/>
    <w:uiPriority w:val="99"/>
    <w:semiHidden/>
    <w:unhideWhenUsed/>
    <w:rsid w:val="00C66643"/>
    <w:rPr>
      <w:sz w:val="16"/>
      <w:szCs w:val="16"/>
    </w:rPr>
  </w:style>
  <w:style w:type="paragraph" w:styleId="CommentText">
    <w:name w:val="annotation text"/>
    <w:basedOn w:val="Normal"/>
    <w:link w:val="CommentTextChar"/>
    <w:uiPriority w:val="99"/>
    <w:semiHidden/>
    <w:unhideWhenUsed/>
    <w:rsid w:val="00C66643"/>
    <w:pPr>
      <w:spacing w:line="240" w:lineRule="auto"/>
    </w:pPr>
    <w:rPr>
      <w:sz w:val="20"/>
      <w:szCs w:val="20"/>
    </w:rPr>
  </w:style>
  <w:style w:type="character" w:customStyle="1" w:styleId="CommentTextChar">
    <w:name w:val="Comment Text Char"/>
    <w:basedOn w:val="DefaultParagraphFont"/>
    <w:link w:val="CommentText"/>
    <w:uiPriority w:val="99"/>
    <w:semiHidden/>
    <w:rsid w:val="00C66643"/>
    <w:rPr>
      <w:sz w:val="20"/>
      <w:szCs w:val="20"/>
    </w:rPr>
  </w:style>
  <w:style w:type="paragraph" w:styleId="CommentSubject">
    <w:name w:val="annotation subject"/>
    <w:basedOn w:val="CommentText"/>
    <w:next w:val="CommentText"/>
    <w:link w:val="CommentSubjectChar"/>
    <w:uiPriority w:val="99"/>
    <w:semiHidden/>
    <w:unhideWhenUsed/>
    <w:rsid w:val="00C66643"/>
    <w:rPr>
      <w:b/>
      <w:bCs/>
    </w:rPr>
  </w:style>
  <w:style w:type="character" w:customStyle="1" w:styleId="CommentSubjectChar">
    <w:name w:val="Comment Subject Char"/>
    <w:basedOn w:val="CommentTextChar"/>
    <w:link w:val="CommentSubject"/>
    <w:uiPriority w:val="99"/>
    <w:semiHidden/>
    <w:rsid w:val="00C66643"/>
    <w:rPr>
      <w:b/>
      <w:bCs/>
      <w:sz w:val="20"/>
      <w:szCs w:val="20"/>
    </w:rPr>
  </w:style>
  <w:style w:type="paragraph" w:styleId="BalloonText">
    <w:name w:val="Balloon Text"/>
    <w:basedOn w:val="Normal"/>
    <w:link w:val="BalloonTextChar"/>
    <w:uiPriority w:val="99"/>
    <w:semiHidden/>
    <w:unhideWhenUsed/>
    <w:rsid w:val="00C66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643"/>
    <w:rPr>
      <w:rFonts w:ascii="Tahoma" w:hAnsi="Tahoma" w:cs="Tahoma"/>
      <w:sz w:val="16"/>
      <w:szCs w:val="16"/>
    </w:rPr>
  </w:style>
  <w:style w:type="paragraph" w:styleId="BodyText">
    <w:name w:val="Body Text"/>
    <w:basedOn w:val="Normal"/>
    <w:link w:val="BodyTextChar"/>
    <w:semiHidden/>
    <w:unhideWhenUsed/>
    <w:rsid w:val="00C66643"/>
    <w:pPr>
      <w:widowControl w:val="0"/>
      <w:spacing w:after="0" w:line="480" w:lineRule="auto"/>
      <w:ind w:firstLine="14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C66643"/>
    <w:rPr>
      <w:rFonts w:ascii="Times New Roman" w:eastAsia="Times New Roman" w:hAnsi="Times New Roman" w:cs="Times New Roman"/>
      <w:sz w:val="24"/>
      <w:szCs w:val="20"/>
    </w:rPr>
  </w:style>
  <w:style w:type="paragraph" w:customStyle="1" w:styleId="TabbedL1">
    <w:name w:val="Tabbed_L1"/>
    <w:basedOn w:val="Normal"/>
    <w:rsid w:val="00C66643"/>
    <w:pPr>
      <w:keepNext/>
      <w:numPr>
        <w:numId w:val="1"/>
      </w:numPr>
      <w:spacing w:after="240" w:line="240" w:lineRule="auto"/>
      <w:jc w:val="center"/>
      <w:outlineLvl w:val="0"/>
    </w:pPr>
    <w:rPr>
      <w:rFonts w:ascii="Times New Roman" w:eastAsia="Times New Roman" w:hAnsi="Times New Roman" w:cs="Times New Roman"/>
      <w:b/>
      <w:caps/>
      <w:sz w:val="24"/>
      <w:szCs w:val="20"/>
    </w:rPr>
  </w:style>
  <w:style w:type="paragraph" w:customStyle="1" w:styleId="TabbedL2">
    <w:name w:val="Tabbed_L2"/>
    <w:basedOn w:val="TabbedL1"/>
    <w:rsid w:val="00C66643"/>
    <w:pPr>
      <w:keepNext w:val="0"/>
      <w:numPr>
        <w:ilvl w:val="1"/>
      </w:numPr>
      <w:spacing w:after="120" w:line="480" w:lineRule="auto"/>
      <w:jc w:val="left"/>
      <w:outlineLvl w:val="1"/>
    </w:pPr>
    <w:rPr>
      <w:b w:val="0"/>
      <w:caps w:val="0"/>
    </w:rPr>
  </w:style>
  <w:style w:type="paragraph" w:customStyle="1" w:styleId="TabbedL3">
    <w:name w:val="Tabbed_L3"/>
    <w:basedOn w:val="TabbedL2"/>
    <w:autoRedefine/>
    <w:rsid w:val="0072432D"/>
    <w:pPr>
      <w:numPr>
        <w:ilvl w:val="2"/>
      </w:numPr>
      <w:spacing w:after="0" w:line="360" w:lineRule="auto"/>
      <w:outlineLvl w:val="2"/>
    </w:pPr>
  </w:style>
  <w:style w:type="paragraph" w:customStyle="1" w:styleId="TabbedL4">
    <w:name w:val="Tabbed_L4"/>
    <w:basedOn w:val="TabbedL3"/>
    <w:rsid w:val="00C66643"/>
    <w:pPr>
      <w:numPr>
        <w:ilvl w:val="3"/>
      </w:numPr>
      <w:outlineLvl w:val="3"/>
    </w:pPr>
  </w:style>
  <w:style w:type="paragraph" w:customStyle="1" w:styleId="TabbedL5">
    <w:name w:val="Tabbed_L5"/>
    <w:basedOn w:val="TabbedL4"/>
    <w:rsid w:val="00C66643"/>
    <w:pPr>
      <w:numPr>
        <w:ilvl w:val="4"/>
      </w:numPr>
      <w:spacing w:after="240" w:line="240" w:lineRule="auto"/>
      <w:ind w:right="720"/>
      <w:outlineLvl w:val="4"/>
    </w:pPr>
  </w:style>
  <w:style w:type="paragraph" w:customStyle="1" w:styleId="TabbedL6">
    <w:name w:val="Tabbed_L6"/>
    <w:basedOn w:val="TabbedL5"/>
    <w:rsid w:val="00C66643"/>
    <w:pPr>
      <w:numPr>
        <w:ilvl w:val="5"/>
      </w:numPr>
      <w:spacing w:after="0" w:line="480" w:lineRule="auto"/>
      <w:ind w:right="0"/>
      <w:outlineLvl w:val="5"/>
    </w:pPr>
  </w:style>
  <w:style w:type="paragraph" w:customStyle="1" w:styleId="TabbedL7">
    <w:name w:val="Tabbed_L7"/>
    <w:basedOn w:val="TabbedL6"/>
    <w:rsid w:val="00C66643"/>
    <w:pPr>
      <w:numPr>
        <w:ilvl w:val="6"/>
      </w:numPr>
      <w:outlineLvl w:val="6"/>
    </w:pPr>
  </w:style>
  <w:style w:type="paragraph" w:customStyle="1" w:styleId="TabbedL8">
    <w:name w:val="Tabbed_L8"/>
    <w:basedOn w:val="TabbedL7"/>
    <w:rsid w:val="00C66643"/>
    <w:pPr>
      <w:numPr>
        <w:ilvl w:val="7"/>
      </w:numPr>
      <w:outlineLvl w:val="7"/>
    </w:pPr>
  </w:style>
  <w:style w:type="paragraph" w:customStyle="1" w:styleId="TabbedL9">
    <w:name w:val="Tabbed_L9"/>
    <w:basedOn w:val="TabbedL8"/>
    <w:rsid w:val="00C66643"/>
    <w:pPr>
      <w:numPr>
        <w:ilvl w:val="8"/>
      </w:numPr>
      <w:outlineLvl w:val="8"/>
    </w:pPr>
  </w:style>
  <w:style w:type="paragraph" w:styleId="ListParagraph">
    <w:name w:val="List Paragraph"/>
    <w:basedOn w:val="Normal"/>
    <w:uiPriority w:val="34"/>
    <w:qFormat/>
    <w:rsid w:val="00C66643"/>
    <w:pPr>
      <w:ind w:left="720"/>
      <w:contextualSpacing/>
    </w:pPr>
  </w:style>
  <w:style w:type="paragraph" w:styleId="Footer">
    <w:name w:val="footer"/>
    <w:basedOn w:val="Normal"/>
    <w:link w:val="FooterChar"/>
    <w:uiPriority w:val="99"/>
    <w:unhideWhenUsed/>
    <w:rsid w:val="00880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9F2"/>
  </w:style>
  <w:style w:type="paragraph" w:customStyle="1" w:styleId="ParaTab1">
    <w:name w:val="ParaTab 1"/>
    <w:rsid w:val="008809F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8809F2"/>
  </w:style>
  <w:style w:type="paragraph" w:styleId="Header">
    <w:name w:val="header"/>
    <w:basedOn w:val="Normal"/>
    <w:link w:val="HeaderChar"/>
    <w:uiPriority w:val="99"/>
    <w:unhideWhenUsed/>
    <w:rsid w:val="00C66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9531EF"/>
    <w:pPr>
      <w:spacing w:after="0" w:line="240" w:lineRule="auto"/>
    </w:pPr>
    <w:rPr>
      <w:sz w:val="20"/>
      <w:szCs w:val="20"/>
    </w:rPr>
  </w:style>
  <w:style w:type="character" w:customStyle="1" w:styleId="FootnoteTextChar">
    <w:name w:val="Footnote Text Char"/>
    <w:basedOn w:val="DefaultParagraphFont"/>
    <w:link w:val="FootnoteText"/>
    <w:semiHidden/>
    <w:rsid w:val="009531EF"/>
    <w:rPr>
      <w:sz w:val="20"/>
      <w:szCs w:val="20"/>
    </w:rPr>
  </w:style>
  <w:style w:type="character" w:styleId="FootnoteReference">
    <w:name w:val="footnote reference"/>
    <w:semiHidden/>
    <w:rsid w:val="009531EF"/>
    <w:rPr>
      <w:vertAlign w:val="superscript"/>
    </w:rPr>
  </w:style>
  <w:style w:type="character" w:styleId="CommentReference">
    <w:name w:val="annotation reference"/>
    <w:basedOn w:val="DefaultParagraphFont"/>
    <w:uiPriority w:val="99"/>
    <w:semiHidden/>
    <w:unhideWhenUsed/>
    <w:rsid w:val="00C66643"/>
    <w:rPr>
      <w:sz w:val="16"/>
      <w:szCs w:val="16"/>
    </w:rPr>
  </w:style>
  <w:style w:type="paragraph" w:styleId="CommentText">
    <w:name w:val="annotation text"/>
    <w:basedOn w:val="Normal"/>
    <w:link w:val="CommentTextChar"/>
    <w:uiPriority w:val="99"/>
    <w:semiHidden/>
    <w:unhideWhenUsed/>
    <w:rsid w:val="00C66643"/>
    <w:pPr>
      <w:spacing w:line="240" w:lineRule="auto"/>
    </w:pPr>
    <w:rPr>
      <w:sz w:val="20"/>
      <w:szCs w:val="20"/>
    </w:rPr>
  </w:style>
  <w:style w:type="character" w:customStyle="1" w:styleId="CommentTextChar">
    <w:name w:val="Comment Text Char"/>
    <w:basedOn w:val="DefaultParagraphFont"/>
    <w:link w:val="CommentText"/>
    <w:uiPriority w:val="99"/>
    <w:semiHidden/>
    <w:rsid w:val="00C66643"/>
    <w:rPr>
      <w:sz w:val="20"/>
      <w:szCs w:val="20"/>
    </w:rPr>
  </w:style>
  <w:style w:type="paragraph" w:styleId="CommentSubject">
    <w:name w:val="annotation subject"/>
    <w:basedOn w:val="CommentText"/>
    <w:next w:val="CommentText"/>
    <w:link w:val="CommentSubjectChar"/>
    <w:uiPriority w:val="99"/>
    <w:semiHidden/>
    <w:unhideWhenUsed/>
    <w:rsid w:val="00C66643"/>
    <w:rPr>
      <w:b/>
      <w:bCs/>
    </w:rPr>
  </w:style>
  <w:style w:type="character" w:customStyle="1" w:styleId="CommentSubjectChar">
    <w:name w:val="Comment Subject Char"/>
    <w:basedOn w:val="CommentTextChar"/>
    <w:link w:val="CommentSubject"/>
    <w:uiPriority w:val="99"/>
    <w:semiHidden/>
    <w:rsid w:val="00C66643"/>
    <w:rPr>
      <w:b/>
      <w:bCs/>
      <w:sz w:val="20"/>
      <w:szCs w:val="20"/>
    </w:rPr>
  </w:style>
  <w:style w:type="paragraph" w:styleId="BalloonText">
    <w:name w:val="Balloon Text"/>
    <w:basedOn w:val="Normal"/>
    <w:link w:val="BalloonTextChar"/>
    <w:uiPriority w:val="99"/>
    <w:semiHidden/>
    <w:unhideWhenUsed/>
    <w:rsid w:val="00C66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643"/>
    <w:rPr>
      <w:rFonts w:ascii="Tahoma" w:hAnsi="Tahoma" w:cs="Tahoma"/>
      <w:sz w:val="16"/>
      <w:szCs w:val="16"/>
    </w:rPr>
  </w:style>
  <w:style w:type="paragraph" w:styleId="BodyText">
    <w:name w:val="Body Text"/>
    <w:basedOn w:val="Normal"/>
    <w:link w:val="BodyTextChar"/>
    <w:semiHidden/>
    <w:unhideWhenUsed/>
    <w:rsid w:val="00C66643"/>
    <w:pPr>
      <w:widowControl w:val="0"/>
      <w:spacing w:after="0" w:line="480" w:lineRule="auto"/>
      <w:ind w:firstLine="14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C66643"/>
    <w:rPr>
      <w:rFonts w:ascii="Times New Roman" w:eastAsia="Times New Roman" w:hAnsi="Times New Roman" w:cs="Times New Roman"/>
      <w:sz w:val="24"/>
      <w:szCs w:val="20"/>
    </w:rPr>
  </w:style>
  <w:style w:type="paragraph" w:customStyle="1" w:styleId="TabbedL1">
    <w:name w:val="Tabbed_L1"/>
    <w:basedOn w:val="Normal"/>
    <w:rsid w:val="00C66643"/>
    <w:pPr>
      <w:keepNext/>
      <w:numPr>
        <w:numId w:val="1"/>
      </w:numPr>
      <w:spacing w:after="240" w:line="240" w:lineRule="auto"/>
      <w:jc w:val="center"/>
      <w:outlineLvl w:val="0"/>
    </w:pPr>
    <w:rPr>
      <w:rFonts w:ascii="Times New Roman" w:eastAsia="Times New Roman" w:hAnsi="Times New Roman" w:cs="Times New Roman"/>
      <w:b/>
      <w:caps/>
      <w:sz w:val="24"/>
      <w:szCs w:val="20"/>
    </w:rPr>
  </w:style>
  <w:style w:type="paragraph" w:customStyle="1" w:styleId="TabbedL2">
    <w:name w:val="Tabbed_L2"/>
    <w:basedOn w:val="TabbedL1"/>
    <w:rsid w:val="00C66643"/>
    <w:pPr>
      <w:keepNext w:val="0"/>
      <w:numPr>
        <w:ilvl w:val="1"/>
      </w:numPr>
      <w:spacing w:after="120" w:line="480" w:lineRule="auto"/>
      <w:jc w:val="left"/>
      <w:outlineLvl w:val="1"/>
    </w:pPr>
    <w:rPr>
      <w:b w:val="0"/>
      <w:caps w:val="0"/>
    </w:rPr>
  </w:style>
  <w:style w:type="paragraph" w:customStyle="1" w:styleId="TabbedL3">
    <w:name w:val="Tabbed_L3"/>
    <w:basedOn w:val="TabbedL2"/>
    <w:autoRedefine/>
    <w:rsid w:val="0072432D"/>
    <w:pPr>
      <w:numPr>
        <w:ilvl w:val="2"/>
      </w:numPr>
      <w:spacing w:after="0" w:line="360" w:lineRule="auto"/>
      <w:outlineLvl w:val="2"/>
    </w:pPr>
  </w:style>
  <w:style w:type="paragraph" w:customStyle="1" w:styleId="TabbedL4">
    <w:name w:val="Tabbed_L4"/>
    <w:basedOn w:val="TabbedL3"/>
    <w:rsid w:val="00C66643"/>
    <w:pPr>
      <w:numPr>
        <w:ilvl w:val="3"/>
      </w:numPr>
      <w:outlineLvl w:val="3"/>
    </w:pPr>
  </w:style>
  <w:style w:type="paragraph" w:customStyle="1" w:styleId="TabbedL5">
    <w:name w:val="Tabbed_L5"/>
    <w:basedOn w:val="TabbedL4"/>
    <w:rsid w:val="00C66643"/>
    <w:pPr>
      <w:numPr>
        <w:ilvl w:val="4"/>
      </w:numPr>
      <w:spacing w:after="240" w:line="240" w:lineRule="auto"/>
      <w:ind w:right="720"/>
      <w:outlineLvl w:val="4"/>
    </w:pPr>
  </w:style>
  <w:style w:type="paragraph" w:customStyle="1" w:styleId="TabbedL6">
    <w:name w:val="Tabbed_L6"/>
    <w:basedOn w:val="TabbedL5"/>
    <w:rsid w:val="00C66643"/>
    <w:pPr>
      <w:numPr>
        <w:ilvl w:val="5"/>
      </w:numPr>
      <w:spacing w:after="0" w:line="480" w:lineRule="auto"/>
      <w:ind w:right="0"/>
      <w:outlineLvl w:val="5"/>
    </w:pPr>
  </w:style>
  <w:style w:type="paragraph" w:customStyle="1" w:styleId="TabbedL7">
    <w:name w:val="Tabbed_L7"/>
    <w:basedOn w:val="TabbedL6"/>
    <w:rsid w:val="00C66643"/>
    <w:pPr>
      <w:numPr>
        <w:ilvl w:val="6"/>
      </w:numPr>
      <w:outlineLvl w:val="6"/>
    </w:pPr>
  </w:style>
  <w:style w:type="paragraph" w:customStyle="1" w:styleId="TabbedL8">
    <w:name w:val="Tabbed_L8"/>
    <w:basedOn w:val="TabbedL7"/>
    <w:rsid w:val="00C66643"/>
    <w:pPr>
      <w:numPr>
        <w:ilvl w:val="7"/>
      </w:numPr>
      <w:outlineLvl w:val="7"/>
    </w:pPr>
  </w:style>
  <w:style w:type="paragraph" w:customStyle="1" w:styleId="TabbedL9">
    <w:name w:val="Tabbed_L9"/>
    <w:basedOn w:val="TabbedL8"/>
    <w:rsid w:val="00C66643"/>
    <w:pPr>
      <w:numPr>
        <w:ilvl w:val="8"/>
      </w:numPr>
      <w:outlineLvl w:val="8"/>
    </w:pPr>
  </w:style>
  <w:style w:type="paragraph" w:styleId="ListParagraph">
    <w:name w:val="List Paragraph"/>
    <w:basedOn w:val="Normal"/>
    <w:uiPriority w:val="34"/>
    <w:qFormat/>
    <w:rsid w:val="00C66643"/>
    <w:pPr>
      <w:ind w:left="720"/>
      <w:contextualSpacing/>
    </w:pPr>
  </w:style>
  <w:style w:type="paragraph" w:styleId="Footer">
    <w:name w:val="footer"/>
    <w:basedOn w:val="Normal"/>
    <w:link w:val="FooterChar"/>
    <w:uiPriority w:val="99"/>
    <w:unhideWhenUsed/>
    <w:rsid w:val="00880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9F2"/>
  </w:style>
  <w:style w:type="paragraph" w:customStyle="1" w:styleId="ParaTab1">
    <w:name w:val="ParaTab 1"/>
    <w:rsid w:val="008809F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8809F2"/>
  </w:style>
  <w:style w:type="paragraph" w:styleId="Header">
    <w:name w:val="header"/>
    <w:basedOn w:val="Normal"/>
    <w:link w:val="HeaderChar"/>
    <w:uiPriority w:val="99"/>
    <w:unhideWhenUsed/>
    <w:rsid w:val="00C66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6386">
      <w:bodyDiv w:val="1"/>
      <w:marLeft w:val="0"/>
      <w:marRight w:val="0"/>
      <w:marTop w:val="0"/>
      <w:marBottom w:val="0"/>
      <w:divBdr>
        <w:top w:val="none" w:sz="0" w:space="0" w:color="auto"/>
        <w:left w:val="none" w:sz="0" w:space="0" w:color="auto"/>
        <w:bottom w:val="none" w:sz="0" w:space="0" w:color="auto"/>
        <w:right w:val="none" w:sz="0" w:space="0" w:color="auto"/>
      </w:divBdr>
    </w:div>
    <w:div w:id="281690917">
      <w:bodyDiv w:val="1"/>
      <w:marLeft w:val="0"/>
      <w:marRight w:val="0"/>
      <w:marTop w:val="0"/>
      <w:marBottom w:val="0"/>
      <w:divBdr>
        <w:top w:val="none" w:sz="0" w:space="0" w:color="auto"/>
        <w:left w:val="none" w:sz="0" w:space="0" w:color="auto"/>
        <w:bottom w:val="none" w:sz="0" w:space="0" w:color="auto"/>
        <w:right w:val="none" w:sz="0" w:space="0" w:color="auto"/>
      </w:divBdr>
    </w:div>
    <w:div w:id="343553708">
      <w:bodyDiv w:val="1"/>
      <w:marLeft w:val="0"/>
      <w:marRight w:val="0"/>
      <w:marTop w:val="0"/>
      <w:marBottom w:val="0"/>
      <w:divBdr>
        <w:top w:val="none" w:sz="0" w:space="0" w:color="auto"/>
        <w:left w:val="none" w:sz="0" w:space="0" w:color="auto"/>
        <w:bottom w:val="none" w:sz="0" w:space="0" w:color="auto"/>
        <w:right w:val="none" w:sz="0" w:space="0" w:color="auto"/>
      </w:divBdr>
    </w:div>
    <w:div w:id="431244605">
      <w:bodyDiv w:val="1"/>
      <w:marLeft w:val="0"/>
      <w:marRight w:val="0"/>
      <w:marTop w:val="0"/>
      <w:marBottom w:val="0"/>
      <w:divBdr>
        <w:top w:val="none" w:sz="0" w:space="0" w:color="auto"/>
        <w:left w:val="none" w:sz="0" w:space="0" w:color="auto"/>
        <w:bottom w:val="none" w:sz="0" w:space="0" w:color="auto"/>
        <w:right w:val="none" w:sz="0" w:space="0" w:color="auto"/>
      </w:divBdr>
    </w:div>
    <w:div w:id="1051418884">
      <w:bodyDiv w:val="1"/>
      <w:marLeft w:val="0"/>
      <w:marRight w:val="0"/>
      <w:marTop w:val="0"/>
      <w:marBottom w:val="0"/>
      <w:divBdr>
        <w:top w:val="none" w:sz="0" w:space="0" w:color="auto"/>
        <w:left w:val="none" w:sz="0" w:space="0" w:color="auto"/>
        <w:bottom w:val="none" w:sz="0" w:space="0" w:color="auto"/>
        <w:right w:val="none" w:sz="0" w:space="0" w:color="auto"/>
      </w:divBdr>
    </w:div>
    <w:div w:id="1090658138">
      <w:bodyDiv w:val="1"/>
      <w:marLeft w:val="0"/>
      <w:marRight w:val="0"/>
      <w:marTop w:val="0"/>
      <w:marBottom w:val="0"/>
      <w:divBdr>
        <w:top w:val="none" w:sz="0" w:space="0" w:color="auto"/>
        <w:left w:val="none" w:sz="0" w:space="0" w:color="auto"/>
        <w:bottom w:val="none" w:sz="0" w:space="0" w:color="auto"/>
        <w:right w:val="none" w:sz="0" w:space="0" w:color="auto"/>
      </w:divBdr>
    </w:div>
    <w:div w:id="1334068531">
      <w:bodyDiv w:val="1"/>
      <w:marLeft w:val="0"/>
      <w:marRight w:val="0"/>
      <w:marTop w:val="0"/>
      <w:marBottom w:val="0"/>
      <w:divBdr>
        <w:top w:val="none" w:sz="0" w:space="0" w:color="auto"/>
        <w:left w:val="none" w:sz="0" w:space="0" w:color="auto"/>
        <w:bottom w:val="none" w:sz="0" w:space="0" w:color="auto"/>
        <w:right w:val="none" w:sz="0" w:space="0" w:color="auto"/>
      </w:divBdr>
    </w:div>
    <w:div w:id="1834909167">
      <w:bodyDiv w:val="1"/>
      <w:marLeft w:val="0"/>
      <w:marRight w:val="0"/>
      <w:marTop w:val="0"/>
      <w:marBottom w:val="0"/>
      <w:divBdr>
        <w:top w:val="none" w:sz="0" w:space="0" w:color="auto"/>
        <w:left w:val="none" w:sz="0" w:space="0" w:color="auto"/>
        <w:bottom w:val="none" w:sz="0" w:space="0" w:color="auto"/>
        <w:right w:val="none" w:sz="0" w:space="0" w:color="auto"/>
      </w:divBdr>
    </w:div>
    <w:div w:id="203457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23</Pages>
  <Words>5834</Words>
  <Characters>33259</Characters>
  <Application>Microsoft Office Word</Application>
  <DocSecurity>0</DocSecurity>
  <Lines>277</Lines>
  <Paragraphs>78</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    PECO operates a natural gas distribution system in the southeastern portion of P</vt:lpstr>
      <vt:lpstr>    </vt:lpstr>
      <vt:lpstr>    PECO’s gas purchasing policy is designed to achieve a reasonable balance of long</vt:lpstr>
      <vt:lpstr>    </vt:lpstr>
      <vt:lpstr>    The details of PECO’s actual gas purchases for the twelve months ended March 31,</vt:lpstr>
      <vt:lpstr>    </vt:lpstr>
      <vt:lpstr>    PECO receives almost all of its gas supply directly into its distribution system</vt:lpstr>
      <vt:lpstr>    </vt:lpstr>
      <vt:lpstr>    PECO participated in significant rulemaking, rate and certificate proceedings be</vt:lpstr>
      <vt:lpstr>    </vt:lpstr>
      <vt:lpstr>    In the past year, PECO renewed several storage and transportation service agreem</vt:lpstr>
      <vt:lpstr>    During the past year, PECO did not enter into any new transportation or storage </vt:lpstr>
      <vt:lpstr>    </vt:lpstr>
      <vt:lpstr>    During the historic reconciliation period, PECO did not purchase gas from any af</vt:lpstr>
      <vt:lpstr>    </vt:lpstr>
      <vt:lpstr>    PECO did not withhold supplies or capacity from the market (PECO St. 5, p. 7).</vt:lpstr>
      <vt:lpstr>    </vt:lpstr>
      <vt:lpstr>    Projected gas costs, as reflected in this Settlement, are based on peak-day capa</vt:lpstr>
      <vt:lpstr>    Purchased Gas Cost Rates</vt:lpstr>
      <vt:lpstr>    </vt:lpstr>
      <vt:lpstr>        Attached as Appendix A to this Joint Petition are the rates and underlying cost </vt:lpstr>
      <vt:lpstr>        </vt:lpstr>
      <vt:lpstr>        Attached as Appendix B to this Joint Petition is the pro forma tariff page showi</vt:lpstr>
      <vt:lpstr>    </vt:lpstr>
      <vt:lpstr>    Gas Price Hedging</vt:lpstr>
      <vt:lpstr>    </vt:lpstr>
      <vt:lpstr>        The Company has complied with the requirements set forth in Paragraph 14 of the </vt:lpstr>
      <vt:lpstr>        </vt:lpstr>
      <vt:lpstr>        Additionally, per the schedule set forth in the 2012 Joint Petition, the Company</vt:lpstr>
      <vt:lpstr>        </vt:lpstr>
      <vt:lpstr>        In its 2014 PGC Case, the Company proposed two changes to its current hedging pr</vt:lpstr>
      <vt:lpstr>        </vt:lpstr>
      <vt:lpstr>        </vt:lpstr>
      <vt:lpstr>    Lost And Unaccounted For Gas Monitoring And Reporting</vt:lpstr>
      <vt:lpstr>    </vt:lpstr>
      <vt:lpstr>        In accordance with the requirements set forth in Paragraph 15 of the 2012 Joint </vt:lpstr>
      <vt:lpstr>        </vt:lpstr>
      <vt:lpstr>        The Company has provided the parties with the average LUFG percentage for the tw</vt:lpstr>
      <vt:lpstr>        </vt:lpstr>
      <vt:lpstr>        </vt:lpstr>
      <vt:lpstr>        The Company shall continue to monitor its average LUFG percentages and will repo</vt:lpstr>
      <vt:lpstr>        </vt:lpstr>
      <vt:lpstr>    Retainage</vt:lpstr>
      <vt:lpstr>    </vt:lpstr>
      <vt:lpstr>    Off-System Sales/Capacity Release Sharing</vt:lpstr>
      <vt:lpstr>    </vt:lpstr>
      <vt:lpstr>    Cost Recovery For Price Analysis And Buying Advisory Service</vt:lpstr>
      <vt:lpstr>    </vt:lpstr>
    </vt:vector>
  </TitlesOfParts>
  <Company>Pa Public Utility Commission</Company>
  <LinksUpToDate>false</LinksUpToDate>
  <CharactersWithSpaces>39015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7</cp:revision>
  <cp:lastPrinted>2014-08-18T14:29:00Z</cp:lastPrinted>
  <dcterms:created xsi:type="dcterms:W3CDTF">2014-08-08T13:42:00Z</dcterms:created>
  <dcterms:modified xsi:type="dcterms:W3CDTF">2014-08-21T17:48:00Z</dcterms:modified>
</cp:coreProperties>
</file>