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0E30FF" w:rsidRPr="00D65D31" w:rsidRDefault="000E30FF" w:rsidP="000E30FF">
      <w:pPr>
        <w:widowControl w:val="0"/>
        <w:adjustRightInd w:val="0"/>
        <w:rPr>
          <w:bCs/>
          <w:color w:val="000000"/>
        </w:rPr>
      </w:pPr>
      <w:r>
        <w:rPr>
          <w:bCs/>
          <w:color w:val="000000"/>
        </w:rPr>
        <w:t xml:space="preserve">Commonwealth of Pennsylvania, </w:t>
      </w:r>
      <w:r>
        <w:rPr>
          <w:bCs/>
          <w:i/>
          <w:color w:val="000000"/>
        </w:rPr>
        <w:t>et al.</w:t>
      </w:r>
      <w:r w:rsidRPr="00D65D31">
        <w:rPr>
          <w:bCs/>
          <w:color w:val="000000"/>
        </w:rPr>
        <w:tab/>
      </w:r>
      <w:r w:rsidRPr="00D65D31">
        <w:rPr>
          <w:bCs/>
          <w:color w:val="000000"/>
        </w:rPr>
        <w:tab/>
        <w:t>:</w:t>
      </w:r>
    </w:p>
    <w:p w:rsidR="000E30FF" w:rsidRPr="00D65D31" w:rsidRDefault="000E30FF" w:rsidP="000E30FF">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0E30FF" w:rsidRPr="00D65D31" w:rsidRDefault="000E30FF" w:rsidP="000E30FF">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w:t>
      </w:r>
      <w:r>
        <w:rPr>
          <w:bCs/>
          <w:color w:val="000000"/>
        </w:rPr>
        <w:t>4-2427656</w:t>
      </w:r>
    </w:p>
    <w:p w:rsidR="000E30FF" w:rsidRPr="00D65D31" w:rsidRDefault="000E30FF" w:rsidP="000E30FF">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0E30FF" w:rsidRDefault="000E30FF" w:rsidP="000E30FF">
      <w:pPr>
        <w:widowControl w:val="0"/>
        <w:adjustRightInd w:val="0"/>
        <w:rPr>
          <w:bCs/>
          <w:color w:val="000000"/>
        </w:rPr>
      </w:pPr>
      <w:r>
        <w:rPr>
          <w:bCs/>
          <w:color w:val="000000"/>
        </w:rPr>
        <w:t>Energy Services Providers, Inc. d/b/a</w:t>
      </w:r>
      <w:r w:rsidRPr="00D65D31">
        <w:rPr>
          <w:bCs/>
          <w:color w:val="000000"/>
        </w:rPr>
        <w:tab/>
      </w:r>
      <w:r w:rsidRPr="00D65D31">
        <w:rPr>
          <w:bCs/>
          <w:color w:val="000000"/>
        </w:rPr>
        <w:tab/>
      </w:r>
      <w:r w:rsidRPr="00D65D31">
        <w:rPr>
          <w:bCs/>
          <w:color w:val="000000"/>
        </w:rPr>
        <w:tab/>
        <w:t>:</w:t>
      </w:r>
    </w:p>
    <w:p w:rsidR="000E30FF" w:rsidRPr="00D65D31" w:rsidRDefault="000E30FF" w:rsidP="000E30FF">
      <w:pPr>
        <w:widowControl w:val="0"/>
        <w:adjustRightInd w:val="0"/>
        <w:rPr>
          <w:bCs/>
          <w:color w:val="000000"/>
        </w:rPr>
      </w:pPr>
      <w:r>
        <w:rPr>
          <w:bCs/>
          <w:color w:val="000000"/>
        </w:rPr>
        <w:t>Pennsylvania Gas &amp; Electric</w:t>
      </w:r>
      <w:r>
        <w:rPr>
          <w:bCs/>
          <w:color w:val="000000"/>
        </w:rPr>
        <w:tab/>
      </w:r>
      <w:r>
        <w:rPr>
          <w:bCs/>
          <w:color w:val="000000"/>
        </w:rPr>
        <w:tab/>
      </w:r>
      <w:r>
        <w:rPr>
          <w:bCs/>
          <w:color w:val="000000"/>
        </w:rPr>
        <w:tab/>
      </w:r>
      <w:r>
        <w:rPr>
          <w:bCs/>
          <w:color w:val="000000"/>
        </w:rPr>
        <w:tab/>
        <w:t>:</w:t>
      </w:r>
    </w:p>
    <w:p w:rsidR="000E30FF" w:rsidRPr="00D65D31" w:rsidRDefault="000E30FF" w:rsidP="000E30FF">
      <w:pPr>
        <w:tabs>
          <w:tab w:val="left" w:pos="-720"/>
        </w:tabs>
        <w:suppressAutoHyphens/>
        <w:jc w:val="both"/>
        <w:rPr>
          <w:spacing w:val="-3"/>
        </w:rPr>
      </w:pPr>
    </w:p>
    <w:p w:rsidR="000E30FF" w:rsidRPr="00D65D31" w:rsidRDefault="000E30FF" w:rsidP="000E30FF">
      <w:pPr>
        <w:tabs>
          <w:tab w:val="left" w:pos="-720"/>
          <w:tab w:val="left" w:pos="5040"/>
        </w:tabs>
        <w:suppressAutoHyphens/>
        <w:jc w:val="both"/>
        <w:rPr>
          <w:spacing w:val="-3"/>
        </w:rPr>
      </w:pPr>
    </w:p>
    <w:p w:rsidR="000E30FF" w:rsidRPr="00550B34" w:rsidRDefault="000E30FF" w:rsidP="000E30FF">
      <w:pPr>
        <w:tabs>
          <w:tab w:val="left" w:pos="-720"/>
        </w:tabs>
        <w:suppressAutoHyphens/>
        <w:rPr>
          <w:spacing w:val="-3"/>
        </w:rPr>
      </w:pPr>
    </w:p>
    <w:p w:rsidR="000E30FF" w:rsidRDefault="000E30FF" w:rsidP="000E30FF">
      <w:pPr>
        <w:tabs>
          <w:tab w:val="center" w:pos="4680"/>
        </w:tabs>
        <w:suppressAutoHyphens/>
        <w:jc w:val="center"/>
        <w:rPr>
          <w:b/>
          <w:bCs/>
          <w:spacing w:val="-3"/>
          <w:u w:val="single"/>
        </w:rPr>
      </w:pPr>
      <w:r w:rsidRPr="00550B34">
        <w:rPr>
          <w:b/>
          <w:bCs/>
          <w:spacing w:val="-3"/>
          <w:u w:val="single"/>
        </w:rPr>
        <w:t>ORDER</w:t>
      </w:r>
    </w:p>
    <w:p w:rsidR="000E30FF" w:rsidRPr="00C773A3" w:rsidRDefault="000E30FF" w:rsidP="000E30FF">
      <w:pPr>
        <w:widowControl w:val="0"/>
        <w:adjustRightInd w:val="0"/>
        <w:spacing w:line="360" w:lineRule="auto"/>
        <w:jc w:val="center"/>
        <w:rPr>
          <w:b/>
          <w:bCs/>
          <w:color w:val="000000"/>
          <w:u w:val="single"/>
        </w:rPr>
      </w:pPr>
      <w:r>
        <w:rPr>
          <w:b/>
          <w:bCs/>
          <w:spacing w:val="-3"/>
          <w:u w:val="single"/>
        </w:rPr>
        <w:t>GRANTING PETITION FOR PROTECTIVE ORDER</w:t>
      </w:r>
    </w:p>
    <w:p w:rsidR="000E30FF" w:rsidRDefault="000E30FF" w:rsidP="001A32E1">
      <w:pPr>
        <w:widowControl w:val="0"/>
        <w:adjustRightInd w:val="0"/>
        <w:spacing w:line="480" w:lineRule="auto"/>
        <w:ind w:firstLine="1440"/>
        <w:rPr>
          <w:bCs/>
          <w:color w:val="000000"/>
        </w:rPr>
      </w:pPr>
    </w:p>
    <w:p w:rsidR="000E30FF" w:rsidRPr="00C7317B" w:rsidRDefault="000E30FF" w:rsidP="000E30FF">
      <w:pPr>
        <w:widowControl w:val="0"/>
        <w:adjustRightInd w:val="0"/>
        <w:spacing w:line="360" w:lineRule="auto"/>
        <w:ind w:firstLine="1440"/>
        <w:rPr>
          <w:bCs/>
          <w:color w:val="000000"/>
        </w:rPr>
      </w:pPr>
      <w:r w:rsidRPr="00C7317B">
        <w:rPr>
          <w:bCs/>
          <w:color w:val="000000"/>
        </w:rPr>
        <w:t>On June 20, 2014, the Commonwealth of Pennsylvania, by Attorney General Kathleen G. Kane, through the Bureau of Consumer Protection (OAG)</w:t>
      </w:r>
      <w:r>
        <w:rPr>
          <w:bCs/>
          <w:color w:val="000000"/>
        </w:rPr>
        <w:t>,</w:t>
      </w:r>
      <w:r w:rsidRPr="00C7317B">
        <w:rPr>
          <w:bCs/>
          <w:color w:val="000000"/>
        </w:rPr>
        <w:t xml:space="preserve"> and Tanya J. McCloskey, Acting Consumer Advocate (OCA) (collectively referred to as “the Joint Complainants”) filed with the Pennsylvania Public Utility Commission (Commission) a formal Complaint against Energy Services Providers, Inc. d/b/a Pennsylvania Gas &amp; Electric (ESP or “the Company”), at Docket Number C-2014-2427656.  The Joint Complainants averred that they had received numerous contacts and complaints from consumers related to variable rates charged by ESP, including approximately 23 formal complaints filed by consumers at the Commission.  The Joint Complainants further averred that ESP used a variety of marketing and advertising mediums to solicit residential customers for its variable rate plan.  As a result, the Joint Complainants averred seven separate counts against ESP, including, but not limited to, making misleading and deceptive promises of savings, slamming and failing to provide accurate pricing information.  The Joint Complainants made several requests for relief, including providing restitution and prohibiting deceptive practices in the future.  The Joint Complainants provided several attachments to their Complaint.</w:t>
      </w:r>
    </w:p>
    <w:p w:rsidR="000E30FF" w:rsidRPr="00BE152B" w:rsidRDefault="000E30FF" w:rsidP="000E30FF">
      <w:pPr>
        <w:widowControl w:val="0"/>
        <w:adjustRightInd w:val="0"/>
        <w:spacing w:line="360" w:lineRule="auto"/>
        <w:ind w:firstLine="1440"/>
        <w:rPr>
          <w:bCs/>
          <w:strike/>
          <w:color w:val="000000"/>
        </w:rPr>
      </w:pPr>
    </w:p>
    <w:p w:rsidR="00F05556" w:rsidRDefault="000E30FF" w:rsidP="000E30FF">
      <w:pPr>
        <w:widowControl w:val="0"/>
        <w:adjustRightInd w:val="0"/>
        <w:spacing w:line="360" w:lineRule="auto"/>
        <w:ind w:firstLine="1440"/>
        <w:rPr>
          <w:bCs/>
          <w:color w:val="000000"/>
        </w:rPr>
        <w:sectPr w:rsidR="00F05556">
          <w:footerReference w:type="default" r:id="rId9"/>
          <w:pgSz w:w="12240" w:h="15840"/>
          <w:pgMar w:top="1440" w:right="1440" w:bottom="1440" w:left="1440" w:header="720" w:footer="720" w:gutter="0"/>
          <w:pgNumType w:start="1"/>
          <w:cols w:space="720"/>
          <w:titlePg/>
        </w:sectPr>
      </w:pPr>
      <w:r w:rsidRPr="00C7317B">
        <w:rPr>
          <w:bCs/>
          <w:color w:val="000000"/>
        </w:rPr>
        <w:t xml:space="preserve">On July 10, 2014, ESP filed an Answer and New Matter in response to the Complaint.  In its Answer, ESP admitted or denied the various averments made by the Joint Complainants.  In particular, </w:t>
      </w:r>
      <w:r>
        <w:rPr>
          <w:bCs/>
          <w:color w:val="000000"/>
        </w:rPr>
        <w:t>ESP</w:t>
      </w:r>
      <w:r w:rsidRPr="00C7317B">
        <w:rPr>
          <w:bCs/>
          <w:color w:val="000000"/>
        </w:rPr>
        <w:t xml:space="preserve"> specifically denied that </w:t>
      </w:r>
      <w:r>
        <w:rPr>
          <w:bCs/>
          <w:color w:val="000000"/>
        </w:rPr>
        <w:t xml:space="preserve">any of its actions violated </w:t>
      </w:r>
    </w:p>
    <w:p w:rsidR="000E30FF" w:rsidRDefault="000E30FF" w:rsidP="00D5498C">
      <w:pPr>
        <w:widowControl w:val="0"/>
        <w:adjustRightInd w:val="0"/>
        <w:spacing w:line="360" w:lineRule="auto"/>
        <w:rPr>
          <w:bCs/>
          <w:color w:val="000000"/>
        </w:rPr>
      </w:pPr>
      <w:r>
        <w:rPr>
          <w:bCs/>
          <w:color w:val="000000"/>
        </w:rPr>
        <w:lastRenderedPageBreak/>
        <w:t xml:space="preserve">Pennsylvania law or the orders and regulations of the Commission.  ESP also denied that it misled or deceived any of its customers regarding the price customers would pay for their electricity to their harm or detriment.  ESP </w:t>
      </w:r>
      <w:r w:rsidRPr="00C7317B">
        <w:rPr>
          <w:bCs/>
          <w:color w:val="000000"/>
        </w:rPr>
        <w:t xml:space="preserve">averred that, on the contrary, </w:t>
      </w:r>
      <w:r>
        <w:rPr>
          <w:bCs/>
          <w:color w:val="000000"/>
        </w:rPr>
        <w:t>its variable pricing followed the wholesale price of electricity in precisely the manner disclosed by ESP and agreed to by its customers.</w:t>
      </w:r>
    </w:p>
    <w:p w:rsidR="000E30FF" w:rsidRDefault="000E30FF" w:rsidP="000E30FF">
      <w:pPr>
        <w:widowControl w:val="0"/>
        <w:adjustRightInd w:val="0"/>
        <w:spacing w:line="360" w:lineRule="auto"/>
        <w:ind w:firstLine="1440"/>
        <w:rPr>
          <w:bCs/>
          <w:color w:val="000000"/>
        </w:rPr>
      </w:pPr>
    </w:p>
    <w:p w:rsidR="000E30FF" w:rsidRDefault="000E30FF" w:rsidP="000E30FF">
      <w:pPr>
        <w:widowControl w:val="0"/>
        <w:adjustRightInd w:val="0"/>
        <w:spacing w:line="360" w:lineRule="auto"/>
        <w:ind w:firstLine="1440"/>
        <w:rPr>
          <w:bCs/>
          <w:color w:val="000000"/>
        </w:rPr>
      </w:pPr>
      <w:r>
        <w:rPr>
          <w:bCs/>
          <w:color w:val="000000"/>
        </w:rPr>
        <w:t>In its New Matter, which was accompanied by a Notice to Plead, ESP averred, among other things, that the Commission previously reviewed and approved ESP’s Disclosure Statement and that at all times during the period covered by the allegations in the Complaint, ESP’s pricing was consistent with the Disclosure Statement, except to the extent that ESP voluntarily absorbed extremely high wholesale electricity prices.  ESP also averred that its customer service department historically was staffed with approximately ten individuals and had a very favorable response time for calls.  ESP averred thirteen affirmative defenses and concluded by requesting that the Commission dismiss the Complaint with prejudice.</w:t>
      </w:r>
    </w:p>
    <w:p w:rsidR="000E30FF" w:rsidRDefault="000E30FF" w:rsidP="000E30FF">
      <w:pPr>
        <w:widowControl w:val="0"/>
        <w:adjustRightInd w:val="0"/>
        <w:spacing w:line="360" w:lineRule="auto"/>
        <w:ind w:firstLine="1440"/>
        <w:rPr>
          <w:bCs/>
          <w:color w:val="000000"/>
        </w:rPr>
      </w:pPr>
    </w:p>
    <w:p w:rsidR="000E30FF" w:rsidRDefault="000E30FF" w:rsidP="000E30FF">
      <w:pPr>
        <w:widowControl w:val="0"/>
        <w:adjustRightInd w:val="0"/>
        <w:spacing w:line="360" w:lineRule="auto"/>
        <w:ind w:firstLine="1440"/>
        <w:rPr>
          <w:bCs/>
          <w:color w:val="000000"/>
        </w:rPr>
      </w:pPr>
      <w:r>
        <w:rPr>
          <w:bCs/>
          <w:color w:val="000000"/>
        </w:rPr>
        <w:t xml:space="preserve">Also on July 10, 2014, ESP filed Preliminary Objections in response to the Complaint.  In its Preliminary Objections, which was also accompanied by a Notice to Plead, ESP </w:t>
      </w:r>
      <w:r w:rsidR="00C15584">
        <w:rPr>
          <w:bCs/>
          <w:color w:val="000000"/>
        </w:rPr>
        <w:t>sought</w:t>
      </w:r>
      <w:r>
        <w:rPr>
          <w:bCs/>
          <w:color w:val="000000"/>
        </w:rPr>
        <w:t xml:space="preserve"> dismissal of each Count of the Complaint for various reasons, including insufficient specificity, lack of Commission jurisdiction and legal insufficiency.</w:t>
      </w:r>
    </w:p>
    <w:p w:rsidR="000E30FF" w:rsidRDefault="000E30FF" w:rsidP="000E30FF">
      <w:pPr>
        <w:widowControl w:val="0"/>
        <w:adjustRightInd w:val="0"/>
        <w:spacing w:line="360" w:lineRule="auto"/>
        <w:ind w:firstLine="1440"/>
        <w:rPr>
          <w:bCs/>
          <w:color w:val="000000"/>
        </w:rPr>
      </w:pPr>
    </w:p>
    <w:p w:rsidR="000E30FF" w:rsidRPr="00070025" w:rsidRDefault="000E30FF" w:rsidP="000E30FF">
      <w:pPr>
        <w:widowControl w:val="0"/>
        <w:adjustRightInd w:val="0"/>
        <w:spacing w:line="360" w:lineRule="auto"/>
        <w:ind w:firstLine="1440"/>
        <w:rPr>
          <w:bCs/>
          <w:color w:val="000000"/>
        </w:rPr>
      </w:pPr>
      <w:r>
        <w:rPr>
          <w:bCs/>
          <w:color w:val="000000"/>
        </w:rPr>
        <w:t xml:space="preserve">On July 21, 2014, the Joint Complainants filed an Answer to ESP’s Preliminary Objections.  In their Answer, the Joint Complainants asserted that ESP’s Preliminary Objections are unsupported and should be overruled.  The Joint Complainants added that it is clear and free from doubt that the Joint Complaint is sufficiently pleaded and seeks that the Commission make determinations pursuant to its jurisdiction and powers.  </w:t>
      </w:r>
      <w:r w:rsidRPr="00070025">
        <w:rPr>
          <w:bCs/>
          <w:color w:val="000000"/>
        </w:rPr>
        <w:t>More specifically, the Joint Complainants averred that the Commission has jurisdiction to hear cases brought pursuant to the Unfair Trade Practices/Consumer Protection Law and the Telemarketer Registration Act.</w:t>
      </w:r>
    </w:p>
    <w:p w:rsidR="000E30FF" w:rsidRPr="00070025" w:rsidRDefault="000E30FF" w:rsidP="000E30FF">
      <w:pPr>
        <w:widowControl w:val="0"/>
        <w:adjustRightInd w:val="0"/>
        <w:spacing w:line="360" w:lineRule="auto"/>
        <w:ind w:firstLine="1440"/>
        <w:rPr>
          <w:bCs/>
          <w:color w:val="000000"/>
        </w:rPr>
      </w:pPr>
    </w:p>
    <w:p w:rsidR="00D5523D" w:rsidRDefault="000E30FF" w:rsidP="000E30FF">
      <w:pPr>
        <w:widowControl w:val="0"/>
        <w:adjustRightInd w:val="0"/>
        <w:spacing w:line="360" w:lineRule="auto"/>
        <w:ind w:firstLine="1440"/>
        <w:rPr>
          <w:bCs/>
          <w:color w:val="000000"/>
        </w:rPr>
        <w:sectPr w:rsidR="00D5523D" w:rsidSect="00D5498C">
          <w:footerReference w:type="first" r:id="rId10"/>
          <w:pgSz w:w="12240" w:h="15840"/>
          <w:pgMar w:top="1440" w:right="1440" w:bottom="1440" w:left="1440" w:header="720" w:footer="720" w:gutter="0"/>
          <w:cols w:space="720"/>
          <w:titlePg/>
        </w:sectPr>
      </w:pPr>
      <w:r w:rsidRPr="00070025">
        <w:rPr>
          <w:bCs/>
          <w:color w:val="000000"/>
        </w:rPr>
        <w:t xml:space="preserve">On July 30, 2014, the Joint Complainants filed an Answer to </w:t>
      </w:r>
      <w:r>
        <w:rPr>
          <w:bCs/>
          <w:color w:val="000000"/>
        </w:rPr>
        <w:t>ESP’s</w:t>
      </w:r>
      <w:r w:rsidRPr="00070025">
        <w:rPr>
          <w:bCs/>
          <w:color w:val="000000"/>
        </w:rPr>
        <w:t xml:space="preserve"> New Matter.  In </w:t>
      </w:r>
      <w:r w:rsidR="00C15584">
        <w:rPr>
          <w:bCs/>
          <w:color w:val="000000"/>
        </w:rPr>
        <w:t xml:space="preserve">their </w:t>
      </w:r>
      <w:r w:rsidRPr="00070025">
        <w:rPr>
          <w:bCs/>
          <w:color w:val="000000"/>
        </w:rPr>
        <w:t xml:space="preserve">Answer, the Joint Complainants </w:t>
      </w:r>
      <w:r>
        <w:rPr>
          <w:bCs/>
          <w:color w:val="000000"/>
        </w:rPr>
        <w:t xml:space="preserve">specifically denied the averments made in ESP’s New Matter, including that the Commission reviewed and approved ESP’s Disclosure Statement and </w:t>
      </w:r>
    </w:p>
    <w:p w:rsidR="000E30FF" w:rsidRDefault="000E30FF" w:rsidP="00D5523D">
      <w:pPr>
        <w:widowControl w:val="0"/>
        <w:adjustRightInd w:val="0"/>
        <w:spacing w:line="360" w:lineRule="auto"/>
        <w:rPr>
          <w:bCs/>
          <w:color w:val="000000"/>
        </w:rPr>
      </w:pPr>
      <w:r>
        <w:rPr>
          <w:bCs/>
          <w:color w:val="000000"/>
        </w:rPr>
        <w:t>denied that the stated information in any way absolves ESP of the violations alleged in the Complaint.  The Joint Complainants further responded to each of the Affirmative Defenses raised by ESP and concluded by requesting that the Commission enter judgment against ESP and in their favor.</w:t>
      </w:r>
    </w:p>
    <w:p w:rsidR="000E30FF" w:rsidRPr="00BE152B" w:rsidRDefault="000E30FF" w:rsidP="000E30FF">
      <w:pPr>
        <w:widowControl w:val="0"/>
        <w:adjustRightInd w:val="0"/>
        <w:spacing w:line="360" w:lineRule="auto"/>
        <w:ind w:firstLine="1440"/>
        <w:rPr>
          <w:bCs/>
          <w:strike/>
          <w:color w:val="000000"/>
        </w:rPr>
      </w:pPr>
    </w:p>
    <w:p w:rsidR="000E30FF" w:rsidRDefault="000E30FF" w:rsidP="000E30FF">
      <w:pPr>
        <w:widowControl w:val="0"/>
        <w:adjustRightInd w:val="0"/>
        <w:spacing w:line="360" w:lineRule="auto"/>
        <w:ind w:firstLine="1440"/>
        <w:rPr>
          <w:bCs/>
          <w:color w:val="000000"/>
        </w:rPr>
      </w:pPr>
      <w:r w:rsidRPr="00070025">
        <w:rPr>
          <w:bCs/>
          <w:color w:val="000000"/>
        </w:rPr>
        <w:t>Also on July 30, 2014, the Commission issued a Prehearing Conference Notice establishing an Initial Prehearing Conference for this matter f</w:t>
      </w:r>
      <w:r>
        <w:rPr>
          <w:bCs/>
          <w:color w:val="000000"/>
        </w:rPr>
        <w:t>or Monday, August 25, 2014 at 11</w:t>
      </w:r>
      <w:r w:rsidRPr="00070025">
        <w:rPr>
          <w:bCs/>
          <w:color w:val="000000"/>
        </w:rPr>
        <w:t xml:space="preserve">:00 a.m. in Hearing Room 1 of the Commonwealth Keystone Building in Harrisburg and assigning us as Presiding Officers.  </w:t>
      </w:r>
    </w:p>
    <w:p w:rsidR="00F60B99" w:rsidRDefault="00F60B99" w:rsidP="000E30FF">
      <w:pPr>
        <w:widowControl w:val="0"/>
        <w:adjustRightInd w:val="0"/>
        <w:spacing w:line="360" w:lineRule="auto"/>
        <w:ind w:firstLine="1440"/>
        <w:rPr>
          <w:bCs/>
          <w:color w:val="000000"/>
        </w:rPr>
      </w:pPr>
    </w:p>
    <w:p w:rsidR="006D0B7D" w:rsidRDefault="00F60B99" w:rsidP="000E30FF">
      <w:pPr>
        <w:widowControl w:val="0"/>
        <w:adjustRightInd w:val="0"/>
        <w:spacing w:line="360" w:lineRule="auto"/>
        <w:ind w:firstLine="1440"/>
        <w:rPr>
          <w:bCs/>
          <w:color w:val="000000"/>
        </w:rPr>
      </w:pPr>
      <w:r>
        <w:rPr>
          <w:bCs/>
          <w:color w:val="000000"/>
        </w:rPr>
        <w:t xml:space="preserve">On August 15, 2014, ESP filed </w:t>
      </w:r>
      <w:r w:rsidR="00972A99">
        <w:rPr>
          <w:bCs/>
          <w:color w:val="000000"/>
        </w:rPr>
        <w:t>a Petition for a Protective Order.  In its Petition, ESP averred that</w:t>
      </w:r>
      <w:r w:rsidR="000F1EDF">
        <w:rPr>
          <w:bCs/>
          <w:color w:val="000000"/>
        </w:rPr>
        <w:t xml:space="preserve"> “discovery requests in this proceeding have sought the production of confidential proprietary information and confidential customer information.”</w:t>
      </w:r>
      <w:r w:rsidR="00972A99">
        <w:rPr>
          <w:bCs/>
          <w:color w:val="000000"/>
        </w:rPr>
        <w:t xml:space="preserve"> </w:t>
      </w:r>
      <w:r w:rsidR="000F1EDF">
        <w:rPr>
          <w:bCs/>
          <w:color w:val="000000"/>
        </w:rPr>
        <w:t xml:space="preserve"> ESP further averred that it anticipates that in the course of this proceeding, further discovery requests, testimony, exhibits and briefing will seek or present similar confidential information.  ESP added that such information includes or may include commercially sensitive information relating to the business of ESP and its customers, as well as personal information of ESP customers and personnel.  </w:t>
      </w:r>
      <w:r w:rsidR="006D0B7D">
        <w:rPr>
          <w:bCs/>
          <w:color w:val="000000"/>
        </w:rPr>
        <w:t xml:space="preserve">ESP noted that the active parties to the proceeding have agreed to protect the confidentiality of the confidential or proprietary information pursuant to the terms of a proposed Protective Order attached to the Petition, pending its issuance.  </w:t>
      </w:r>
      <w:r w:rsidR="000F1EDF">
        <w:rPr>
          <w:bCs/>
          <w:color w:val="000000"/>
        </w:rPr>
        <w:t xml:space="preserve"> </w:t>
      </w:r>
    </w:p>
    <w:p w:rsidR="006D0B7D" w:rsidRDefault="006D0B7D" w:rsidP="000E30FF">
      <w:pPr>
        <w:widowControl w:val="0"/>
        <w:adjustRightInd w:val="0"/>
        <w:spacing w:line="360" w:lineRule="auto"/>
        <w:ind w:firstLine="1440"/>
        <w:rPr>
          <w:bCs/>
          <w:color w:val="000000"/>
        </w:rPr>
      </w:pPr>
    </w:p>
    <w:p w:rsidR="006D0B7D" w:rsidRDefault="006D0B7D" w:rsidP="000E30FF">
      <w:pPr>
        <w:widowControl w:val="0"/>
        <w:adjustRightInd w:val="0"/>
        <w:spacing w:line="360" w:lineRule="auto"/>
        <w:ind w:firstLine="1440"/>
        <w:rPr>
          <w:bCs/>
          <w:color w:val="000000"/>
        </w:rPr>
      </w:pPr>
      <w:r>
        <w:rPr>
          <w:bCs/>
          <w:color w:val="000000"/>
        </w:rPr>
        <w:t>ESP added that the proprietary information in question includes pricing, marketing and business strategies that go to the heart of ESP’s business – the competitive supply of electric power – and that public disclosure of such information would cause ESP substantial competitive harm by providing its competitors with an unfair advantage and depriving ESP of the value of its proprietary business practices.  ESP acknowledged the public’s interest in free and open access to the administrative hearing process but contends that that interest is outweighed in this case by the potential harm to ESP of public disclosure of competitively sensitive, confidential proprietary information.  ESP attached a proposed Protective Order to its Petition that it contends complies with the Commission’s requirements regarding Protective Orders, namely that they apply the least restrictive means of limitation which will provide the necessary protections from disclosure.</w:t>
      </w:r>
    </w:p>
    <w:p w:rsidR="006D0B7D" w:rsidRDefault="006D0B7D" w:rsidP="000E30FF">
      <w:pPr>
        <w:widowControl w:val="0"/>
        <w:adjustRightInd w:val="0"/>
        <w:spacing w:line="360" w:lineRule="auto"/>
        <w:ind w:firstLine="1440"/>
        <w:rPr>
          <w:bCs/>
          <w:color w:val="000000"/>
        </w:rPr>
      </w:pPr>
      <w:r>
        <w:rPr>
          <w:bCs/>
          <w:color w:val="000000"/>
        </w:rPr>
        <w:t>ESP concluded its Petition by noting that all other active parties to this proceeding have indicated that they do not oppose issuance of the proposed Protective Order.</w:t>
      </w:r>
    </w:p>
    <w:p w:rsidR="006D0B7D" w:rsidRDefault="006D0B7D" w:rsidP="000E30FF">
      <w:pPr>
        <w:widowControl w:val="0"/>
        <w:adjustRightInd w:val="0"/>
        <w:spacing w:line="360" w:lineRule="auto"/>
        <w:ind w:firstLine="1440"/>
        <w:rPr>
          <w:bCs/>
          <w:color w:val="000000"/>
        </w:rPr>
      </w:pPr>
    </w:p>
    <w:p w:rsidR="000E30FF" w:rsidRPr="00070025" w:rsidRDefault="00F60B99" w:rsidP="000E30FF">
      <w:pPr>
        <w:widowControl w:val="0"/>
        <w:adjustRightInd w:val="0"/>
        <w:spacing w:line="360" w:lineRule="auto"/>
        <w:ind w:firstLine="1440"/>
        <w:rPr>
          <w:bCs/>
          <w:color w:val="000000"/>
        </w:rPr>
      </w:pPr>
      <w:r>
        <w:rPr>
          <w:bCs/>
          <w:color w:val="000000"/>
        </w:rPr>
        <w:t>On August 20, 2014, an Order Granting in Part and Denying in Part Preliminary Objections was issued resolving the various issues raised in the Preliminary Objections filed by ESP.</w:t>
      </w:r>
    </w:p>
    <w:p w:rsidR="00DF1F31" w:rsidRPr="00A53315" w:rsidRDefault="00DF1F31">
      <w:pPr>
        <w:spacing w:line="360" w:lineRule="auto"/>
        <w:ind w:firstLine="1440"/>
      </w:pPr>
    </w:p>
    <w:p w:rsidR="00B77BC5" w:rsidRPr="00A53315" w:rsidRDefault="00B77BC5" w:rsidP="00B77BC5">
      <w:pPr>
        <w:tabs>
          <w:tab w:val="left" w:pos="-720"/>
        </w:tabs>
        <w:suppressAutoHyphens/>
        <w:spacing w:line="360" w:lineRule="auto"/>
        <w:ind w:left="90" w:firstLine="1350"/>
      </w:pPr>
      <w:r w:rsidRPr="00A53315">
        <w:t>The Commission’s Rules of Practice and Procedure permit the Commission to issue protective orders limiting the availability of certain proprietary or c</w:t>
      </w:r>
      <w:r w:rsidR="001E3CC9" w:rsidRPr="00A53315">
        <w:t>onfidential information. 52 Pa.</w:t>
      </w:r>
      <w:r w:rsidRPr="00A53315">
        <w:t>Code §§</w:t>
      </w:r>
      <w:r w:rsidR="001E3CC9" w:rsidRPr="00A53315">
        <w:t xml:space="preserve"> </w:t>
      </w:r>
      <w:r w:rsidRPr="00A53315">
        <w:t xml:space="preserve">5.362 and 5.423.  The party seeking the protective order has the burden to establish that the potential harm to the party of providing the information would be substantial and the harm to the party if the information is disclosed without restriction outweighs the public’s interest in free and open access to the administrative hearing process.  </w:t>
      </w:r>
      <w:r w:rsidRPr="00A53315">
        <w:rPr>
          <w:u w:val="single"/>
        </w:rPr>
        <w:t>Petition for Protective order of GTE North Inc.</w:t>
      </w:r>
      <w:r w:rsidRPr="00A53315">
        <w:t xml:space="preserve">, 1996 Pa PUC LEXIS 95, Docket No. G-00940402, Order (entered August 8, 1996); </w:t>
      </w:r>
      <w:r w:rsidRPr="00A53315">
        <w:rPr>
          <w:u w:val="single"/>
        </w:rPr>
        <w:t>ITT Communications Services’ Petition for a Protective Order</w:t>
      </w:r>
      <w:r w:rsidRPr="00A53315">
        <w:t>, 1991 Pa PUC LEXIS 193, Docket No. R-912017, Order (entered November 5, 1991).  If that burden is satisfied, the least restrictive means of limitation which will provide the necessary protection from disclosure will be applied.  52 Pa.Code § 5.423(a).</w:t>
      </w:r>
    </w:p>
    <w:p w:rsidR="00B77BC5" w:rsidRPr="00A53315" w:rsidRDefault="00B77BC5" w:rsidP="00B77BC5">
      <w:pPr>
        <w:tabs>
          <w:tab w:val="left" w:pos="-720"/>
        </w:tabs>
        <w:suppressAutoHyphens/>
        <w:spacing w:line="360" w:lineRule="auto"/>
        <w:ind w:left="90" w:firstLine="1350"/>
      </w:pPr>
    </w:p>
    <w:p w:rsidR="00B77BC5" w:rsidRPr="00A53315" w:rsidRDefault="00B77BC5" w:rsidP="00B77BC5">
      <w:pPr>
        <w:tabs>
          <w:tab w:val="left" w:pos="-720"/>
        </w:tabs>
        <w:suppressAutoHyphens/>
        <w:spacing w:line="360" w:lineRule="auto"/>
        <w:ind w:left="90" w:firstLine="1350"/>
      </w:pPr>
      <w:r w:rsidRPr="00A53315">
        <w:t>In considering whether to issue a protective order, the Commission, pursuant to Section 5.423(a), should consider the following factors:</w:t>
      </w:r>
    </w:p>
    <w:p w:rsidR="00B77BC5" w:rsidRPr="00A53315" w:rsidRDefault="00B77BC5" w:rsidP="00B77BC5">
      <w:pPr>
        <w:spacing w:before="100" w:beforeAutospacing="1"/>
        <w:ind w:left="1440" w:right="1530"/>
      </w:pPr>
      <w:bookmarkStart w:id="0" w:name="5.423."/>
      <w:r w:rsidRPr="00A53315">
        <w:t xml:space="preserve">(1)  The extent to which the disclosure would cause unfair economic or competitive damage. </w:t>
      </w:r>
    </w:p>
    <w:p w:rsidR="00B77BC5" w:rsidRPr="00A53315" w:rsidRDefault="00B77BC5" w:rsidP="00B77BC5">
      <w:pPr>
        <w:spacing w:before="100" w:beforeAutospacing="1"/>
        <w:ind w:left="1440" w:right="1530"/>
      </w:pPr>
      <w:r w:rsidRPr="00A53315">
        <w:t xml:space="preserve">(2)  The extent to which the information is known by others and used in similar activities. </w:t>
      </w:r>
    </w:p>
    <w:p w:rsidR="00B77BC5" w:rsidRPr="00A53315" w:rsidRDefault="00B77BC5" w:rsidP="00B77BC5">
      <w:pPr>
        <w:spacing w:before="100" w:beforeAutospacing="1"/>
        <w:ind w:left="1440" w:right="1530"/>
      </w:pPr>
      <w:r w:rsidRPr="00A53315">
        <w:t xml:space="preserve">(3)  The worth or value of the information to the party and to the party’s competitors. </w:t>
      </w:r>
    </w:p>
    <w:p w:rsidR="00D5523D" w:rsidRDefault="00B77BC5" w:rsidP="00B77BC5">
      <w:pPr>
        <w:spacing w:before="100" w:beforeAutospacing="1"/>
        <w:ind w:left="1440" w:right="1530"/>
        <w:sectPr w:rsidR="00D5523D" w:rsidSect="00D5498C">
          <w:pgSz w:w="12240" w:h="15840"/>
          <w:pgMar w:top="1296" w:right="1440" w:bottom="1296" w:left="1440" w:header="720" w:footer="720" w:gutter="0"/>
          <w:cols w:space="720"/>
          <w:titlePg/>
        </w:sectPr>
      </w:pPr>
      <w:r w:rsidRPr="00A53315">
        <w:t xml:space="preserve">(4)  The degree of difficulty and cost of developing the information. </w:t>
      </w:r>
    </w:p>
    <w:p w:rsidR="00B77BC5" w:rsidRPr="00A53315" w:rsidRDefault="00B77BC5" w:rsidP="00B77BC5">
      <w:pPr>
        <w:spacing w:before="100" w:beforeAutospacing="1"/>
        <w:ind w:left="1440" w:right="1530"/>
      </w:pPr>
      <w:r w:rsidRPr="00A53315">
        <w:t xml:space="preserve">(5)  Other statutes or regulations dealing specifically with disclosure of the information. </w:t>
      </w:r>
    </w:p>
    <w:p w:rsidR="00B77BC5" w:rsidRPr="00A53315" w:rsidRDefault="00B77BC5" w:rsidP="00B77BC5">
      <w:pPr>
        <w:spacing w:before="100" w:beforeAutospacing="1"/>
        <w:ind w:left="1440" w:right="1530"/>
      </w:pPr>
    </w:p>
    <w:bookmarkEnd w:id="0"/>
    <w:p w:rsidR="00B77BC5" w:rsidRPr="00A53315" w:rsidRDefault="001E3CC9" w:rsidP="00B77BC5">
      <w:pPr>
        <w:spacing w:line="360" w:lineRule="auto"/>
        <w:rPr>
          <w:rFonts w:eastAsiaTheme="minorHAnsi"/>
        </w:rPr>
      </w:pPr>
      <w:r w:rsidRPr="00A53315">
        <w:rPr>
          <w:rFonts w:eastAsiaTheme="minorHAnsi"/>
        </w:rPr>
        <w:t>52 Pa.</w:t>
      </w:r>
      <w:r w:rsidR="00B77BC5" w:rsidRPr="00A53315">
        <w:rPr>
          <w:rFonts w:eastAsiaTheme="minorHAnsi"/>
        </w:rPr>
        <w:t xml:space="preserve">Code § 5.423(a).  The Commission’s regulations further provide detail regarding restrictions placed on the proprietary material, access to proprietary material by representatives of parties, special restrictions and the return of proprietary information at the conclusion </w:t>
      </w:r>
      <w:r w:rsidRPr="00A53315">
        <w:rPr>
          <w:rFonts w:eastAsiaTheme="minorHAnsi"/>
        </w:rPr>
        <w:t>of the proceeding.  52 Pa.</w:t>
      </w:r>
      <w:r w:rsidR="00B77BC5" w:rsidRPr="00A53315">
        <w:rPr>
          <w:rFonts w:eastAsiaTheme="minorHAnsi"/>
        </w:rPr>
        <w:t>Code §§ 5.423(c)-(f).</w:t>
      </w:r>
    </w:p>
    <w:p w:rsidR="00B77BC5" w:rsidRPr="00A53315" w:rsidRDefault="00B77BC5" w:rsidP="00B77BC5">
      <w:pPr>
        <w:spacing w:line="360" w:lineRule="auto"/>
        <w:ind w:firstLine="1440"/>
        <w:rPr>
          <w:rFonts w:eastAsiaTheme="minorHAnsi"/>
        </w:rPr>
      </w:pPr>
    </w:p>
    <w:p w:rsidR="00B77BC5" w:rsidRPr="00A53315" w:rsidRDefault="00B77BC5" w:rsidP="00B77BC5">
      <w:pPr>
        <w:spacing w:line="360" w:lineRule="auto"/>
        <w:ind w:firstLine="1440"/>
        <w:rPr>
          <w:rFonts w:eastAsiaTheme="minorHAnsi"/>
        </w:rPr>
      </w:pPr>
      <w:r w:rsidRPr="00A53315">
        <w:rPr>
          <w:rFonts w:eastAsiaTheme="minorHAnsi"/>
        </w:rPr>
        <w:t>In contrast, however, Commission regulations also provide that the Commission’s records, including the record of this proceeding, may be accessed b</w:t>
      </w:r>
      <w:r w:rsidR="001E3CC9" w:rsidRPr="00A53315">
        <w:rPr>
          <w:rFonts w:eastAsiaTheme="minorHAnsi"/>
        </w:rPr>
        <w:t>y the public pursuant to 52 Pa.</w:t>
      </w:r>
      <w:r w:rsidRPr="00A53315">
        <w:rPr>
          <w:rFonts w:eastAsiaTheme="minorHAnsi"/>
        </w:rPr>
        <w:t xml:space="preserve">Code §§ 1.71-1.77.  In particular, Section 1.71 of the Commission’s regulations provides: “The Commission’s record maintenance system is intended to provide for the greatest degree of public access to Commission documents that is consistent with the exercise of the functions of the Commission under the act and </w:t>
      </w:r>
      <w:r w:rsidR="001E3CC9" w:rsidRPr="00A53315">
        <w:rPr>
          <w:rFonts w:eastAsiaTheme="minorHAnsi"/>
        </w:rPr>
        <w:t>other applicable laws.”  52 Pa.</w:t>
      </w:r>
      <w:r w:rsidRPr="00A53315">
        <w:rPr>
          <w:rFonts w:eastAsiaTheme="minorHAnsi"/>
        </w:rPr>
        <w:t>Code § 1</w:t>
      </w:r>
      <w:r w:rsidR="001E3CC9" w:rsidRPr="00A53315">
        <w:rPr>
          <w:rFonts w:eastAsiaTheme="minorHAnsi"/>
        </w:rPr>
        <w:t>.</w:t>
      </w:r>
      <w:r w:rsidRPr="00A53315">
        <w:rPr>
          <w:rFonts w:eastAsiaTheme="minorHAnsi"/>
        </w:rPr>
        <w:t>71.</w:t>
      </w:r>
    </w:p>
    <w:p w:rsidR="00B77BC5" w:rsidRPr="00A53315" w:rsidRDefault="00B77BC5" w:rsidP="00B77BC5">
      <w:pPr>
        <w:widowControl w:val="0"/>
        <w:spacing w:line="360" w:lineRule="auto"/>
        <w:ind w:firstLine="1440"/>
      </w:pPr>
    </w:p>
    <w:p w:rsidR="00DF1F31" w:rsidRPr="00763D51" w:rsidRDefault="00B77BC5" w:rsidP="00763D51">
      <w:pPr>
        <w:spacing w:line="360" w:lineRule="auto"/>
        <w:ind w:firstLine="1440"/>
      </w:pPr>
      <w:r w:rsidRPr="00763D51">
        <w:t>In this case</w:t>
      </w:r>
      <w:r w:rsidR="00A53315" w:rsidRPr="00763D51">
        <w:t xml:space="preserve">, </w:t>
      </w:r>
      <w:r w:rsidR="00763D51" w:rsidRPr="00763D51">
        <w:t xml:space="preserve">ESP </w:t>
      </w:r>
      <w:r w:rsidR="003678E6" w:rsidRPr="00763D51">
        <w:t xml:space="preserve">averred that </w:t>
      </w:r>
      <w:r w:rsidR="001E3CC9" w:rsidRPr="00763D51">
        <w:t xml:space="preserve">it has received and expects to continue to receive </w:t>
      </w:r>
      <w:r w:rsidR="00763D51" w:rsidRPr="00763D51">
        <w:t xml:space="preserve">discovery </w:t>
      </w:r>
      <w:r w:rsidR="001E3CC9" w:rsidRPr="00763D51">
        <w:t xml:space="preserve">requests that require the production of confidential information.  </w:t>
      </w:r>
      <w:r w:rsidR="00763D51" w:rsidRPr="00763D51">
        <w:t xml:space="preserve">ESP noted that some of the discovery seeks information about commercially sensitive information relating to the business of ESP and its customers, including personal information of ESP’s customers and personnel.  ESP noted that such information includes pricing, marketing and business strategies that, </w:t>
      </w:r>
      <w:r w:rsidR="001E3CC9" w:rsidRPr="00763D51">
        <w:t xml:space="preserve">the disclosure of such information, without restriction, would expose </w:t>
      </w:r>
      <w:r w:rsidR="00763D51" w:rsidRPr="00763D51">
        <w:t xml:space="preserve">ESP to substantial competitive harm and deprive ESP of much of the value of its proprietary business practice.  ESP </w:t>
      </w:r>
      <w:r w:rsidR="001E3CC9" w:rsidRPr="00763D51">
        <w:t xml:space="preserve">attached a proposed Protective Order to its Petition and noted that </w:t>
      </w:r>
      <w:r w:rsidR="00763D51" w:rsidRPr="00763D51">
        <w:t xml:space="preserve">the Proposed Protective Order complies with the requirements of Section 5.365 of the Commission’s rules regarding </w:t>
      </w:r>
      <w:r w:rsidR="00763D51">
        <w:t>orders to limit availability of proprietary information</w:t>
      </w:r>
      <w:r w:rsidR="00763D51" w:rsidRPr="00763D51">
        <w:t>.  We</w:t>
      </w:r>
      <w:r w:rsidR="001E3CC9" w:rsidRPr="00763D51">
        <w:t xml:space="preserve"> agree.</w:t>
      </w:r>
    </w:p>
    <w:p w:rsidR="007D527E" w:rsidRPr="000E30FF" w:rsidRDefault="007D527E" w:rsidP="00B77BC5">
      <w:pPr>
        <w:spacing w:line="360" w:lineRule="auto"/>
        <w:ind w:firstLine="1440"/>
        <w:rPr>
          <w:strike/>
        </w:rPr>
      </w:pPr>
    </w:p>
    <w:p w:rsidR="007D527E" w:rsidRPr="003F164C" w:rsidRDefault="007D527E" w:rsidP="001A32E1">
      <w:pPr>
        <w:tabs>
          <w:tab w:val="left" w:pos="-720"/>
          <w:tab w:val="left" w:pos="1260"/>
          <w:tab w:val="left" w:pos="2070"/>
        </w:tabs>
        <w:suppressAutoHyphens/>
        <w:spacing w:line="360" w:lineRule="auto"/>
        <w:ind w:firstLine="1440"/>
      </w:pPr>
      <w:r w:rsidRPr="003F164C">
        <w:rPr>
          <w:rFonts w:eastAsiaTheme="minorEastAsia"/>
        </w:rPr>
        <w:t>The proposed Protective Order</w:t>
      </w:r>
      <w:r w:rsidR="00C15584">
        <w:rPr>
          <w:rFonts w:eastAsiaTheme="minorEastAsia"/>
        </w:rPr>
        <w:t>, among other things,</w:t>
      </w:r>
      <w:r w:rsidRPr="003F164C">
        <w:rPr>
          <w:rFonts w:eastAsiaTheme="minorEastAsia"/>
        </w:rPr>
        <w:t xml:space="preserve"> balances </w:t>
      </w:r>
      <w:r w:rsidR="003F164C">
        <w:rPr>
          <w:rFonts w:eastAsiaTheme="minorEastAsia"/>
        </w:rPr>
        <w:t>ESP’s</w:t>
      </w:r>
      <w:r w:rsidRPr="003F164C">
        <w:rPr>
          <w:rFonts w:eastAsiaTheme="minorEastAsia"/>
        </w:rPr>
        <w:t xml:space="preserve"> right to restrict certain information from public disclosure with the public’s right to access information, and does so in the least restrictive means.  Furthermore, the proposed Protective Order retains the right of nonproducing parties to question or challenge the designation of a document or information as proprietary, with the producing party retaining the burden of demonstrating that protection is appropriate.  Finally, no party has opposed </w:t>
      </w:r>
      <w:r w:rsidR="003F164C">
        <w:rPr>
          <w:rFonts w:eastAsiaTheme="minorEastAsia"/>
        </w:rPr>
        <w:t xml:space="preserve">ESP’s </w:t>
      </w:r>
      <w:r w:rsidRPr="003F164C">
        <w:rPr>
          <w:rFonts w:eastAsiaTheme="minorEastAsia"/>
        </w:rPr>
        <w:t xml:space="preserve">Petition.  </w:t>
      </w:r>
      <w:r w:rsidR="003F164C">
        <w:rPr>
          <w:rFonts w:eastAsiaTheme="minorEastAsia"/>
        </w:rPr>
        <w:t xml:space="preserve">ESP’s </w:t>
      </w:r>
      <w:r w:rsidRPr="003F164C">
        <w:rPr>
          <w:rFonts w:eastAsiaTheme="minorEastAsia"/>
        </w:rPr>
        <w:t xml:space="preserve">Petition, therefore, will be granted.  </w:t>
      </w:r>
    </w:p>
    <w:p w:rsidR="00D22294" w:rsidRDefault="00D22294" w:rsidP="00E93D93">
      <w:pPr>
        <w:spacing w:line="360" w:lineRule="auto"/>
      </w:pPr>
    </w:p>
    <w:p w:rsidR="00C15584" w:rsidRPr="00181415" w:rsidRDefault="00C15584" w:rsidP="00E93D93">
      <w:pPr>
        <w:spacing w:line="360" w:lineRule="auto"/>
      </w:pPr>
    </w:p>
    <w:p w:rsidR="00AA5A3B" w:rsidRPr="00181415" w:rsidRDefault="00FA0DC0" w:rsidP="00FA0DC0">
      <w:pPr>
        <w:spacing w:line="360" w:lineRule="auto"/>
        <w:jc w:val="center"/>
      </w:pPr>
      <w:r w:rsidRPr="00181415">
        <w:rPr>
          <w:u w:val="single"/>
        </w:rPr>
        <w:t>ORDER</w:t>
      </w:r>
    </w:p>
    <w:p w:rsidR="00FA0DC0" w:rsidRDefault="00FA0DC0" w:rsidP="00E93D93">
      <w:pPr>
        <w:spacing w:line="360" w:lineRule="auto"/>
      </w:pPr>
    </w:p>
    <w:p w:rsidR="00C15584" w:rsidRPr="00181415" w:rsidRDefault="00D5523D" w:rsidP="00E93D93">
      <w:pPr>
        <w:spacing w:line="360" w:lineRule="auto"/>
      </w:pPr>
      <w:r>
        <w:t xml:space="preserve"> </w:t>
      </w:r>
    </w:p>
    <w:p w:rsidR="009160D8" w:rsidRPr="00181415" w:rsidRDefault="009160D8" w:rsidP="009160D8">
      <w:pPr>
        <w:pStyle w:val="NoSpacing"/>
        <w:spacing w:line="360" w:lineRule="auto"/>
        <w:jc w:val="both"/>
        <w:rPr>
          <w:szCs w:val="24"/>
        </w:rPr>
      </w:pPr>
      <w:r w:rsidRPr="00181415">
        <w:rPr>
          <w:szCs w:val="24"/>
        </w:rPr>
        <w:tab/>
      </w:r>
      <w:r w:rsidRPr="00181415">
        <w:rPr>
          <w:szCs w:val="24"/>
        </w:rPr>
        <w:tab/>
        <w:t>THEREFORE,</w:t>
      </w:r>
    </w:p>
    <w:p w:rsidR="009160D8" w:rsidRPr="00181415" w:rsidRDefault="009160D8" w:rsidP="009160D8">
      <w:pPr>
        <w:pStyle w:val="NoSpacing"/>
        <w:spacing w:line="360" w:lineRule="auto"/>
        <w:jc w:val="both"/>
        <w:rPr>
          <w:szCs w:val="24"/>
        </w:rPr>
      </w:pPr>
    </w:p>
    <w:p w:rsidR="009160D8" w:rsidRPr="00181415" w:rsidRDefault="009160D8" w:rsidP="009160D8">
      <w:pPr>
        <w:pStyle w:val="NoSpacing"/>
        <w:spacing w:line="360" w:lineRule="auto"/>
        <w:jc w:val="both"/>
        <w:rPr>
          <w:szCs w:val="24"/>
        </w:rPr>
      </w:pPr>
      <w:r w:rsidRPr="00181415">
        <w:rPr>
          <w:szCs w:val="24"/>
        </w:rPr>
        <w:tab/>
      </w:r>
      <w:r w:rsidRPr="00181415">
        <w:rPr>
          <w:szCs w:val="24"/>
        </w:rPr>
        <w:tab/>
        <w:t>IT IS ORDERED:</w:t>
      </w:r>
    </w:p>
    <w:p w:rsidR="00600DD5" w:rsidRPr="00181415" w:rsidRDefault="00600DD5" w:rsidP="00600DD5">
      <w:pPr>
        <w:pStyle w:val="BodyText3"/>
        <w:ind w:firstLine="720"/>
        <w:rPr>
          <w:snapToGrid w:val="0"/>
          <w:szCs w:val="24"/>
        </w:rPr>
      </w:pPr>
    </w:p>
    <w:p w:rsidR="00600DD5" w:rsidRPr="00F34CA5" w:rsidRDefault="00600DD5" w:rsidP="00600DD5">
      <w:pPr>
        <w:pStyle w:val="Heading1"/>
        <w:ind w:firstLine="1440"/>
        <w:rPr>
          <w:szCs w:val="24"/>
        </w:rPr>
      </w:pPr>
      <w:r w:rsidRPr="00F34CA5">
        <w:rPr>
          <w:szCs w:val="24"/>
        </w:rPr>
        <w:t>This Protective Order is hereby granted with respect to all materials and information identified at Ordering Paragraph</w:t>
      </w:r>
      <w:r w:rsidRPr="00F34CA5">
        <w:rPr>
          <w:szCs w:val="24"/>
          <w:lang w:val="en-US"/>
        </w:rPr>
        <w:t xml:space="preserve">s </w:t>
      </w:r>
      <w:r w:rsidRPr="00F34CA5">
        <w:rPr>
          <w:szCs w:val="24"/>
        </w:rPr>
        <w:t>2</w:t>
      </w:r>
      <w:r w:rsidRPr="00F34CA5">
        <w:rPr>
          <w:szCs w:val="24"/>
          <w:lang w:val="en-US"/>
        </w:rPr>
        <w:t xml:space="preserve"> and 3 </w:t>
      </w:r>
      <w:r w:rsidRPr="00F34CA5">
        <w:rPr>
          <w:szCs w:val="24"/>
        </w:rPr>
        <w:t>which are filed with the Commission, produced in discovery, or otherwise presented during these proceedings.  All persons now and hereafter granted access to the materials and information identified in Ordering Paragraph</w:t>
      </w:r>
      <w:r w:rsidRPr="00F34CA5">
        <w:rPr>
          <w:szCs w:val="24"/>
          <w:lang w:val="en-US"/>
        </w:rPr>
        <w:t>s</w:t>
      </w:r>
      <w:r w:rsidRPr="00F34CA5">
        <w:rPr>
          <w:szCs w:val="24"/>
        </w:rPr>
        <w:t xml:space="preserve"> 2</w:t>
      </w:r>
      <w:r w:rsidRPr="00F34CA5">
        <w:rPr>
          <w:szCs w:val="24"/>
          <w:lang w:val="en-US"/>
        </w:rPr>
        <w:t xml:space="preserve"> and 3</w:t>
      </w:r>
      <w:r w:rsidRPr="00F34CA5">
        <w:rPr>
          <w:szCs w:val="24"/>
        </w:rPr>
        <w:t xml:space="preserve"> shall use and disclose such information only in accordance with this Order. </w:t>
      </w:r>
    </w:p>
    <w:p w:rsidR="00600DD5" w:rsidRPr="00F34CA5" w:rsidRDefault="00600DD5" w:rsidP="00600DD5">
      <w:pPr>
        <w:pStyle w:val="Heading1"/>
        <w:ind w:firstLine="1440"/>
        <w:rPr>
          <w:szCs w:val="24"/>
        </w:rPr>
      </w:pPr>
      <w:r w:rsidRPr="00F34CA5">
        <w:rPr>
          <w:szCs w:val="24"/>
        </w:rPr>
        <w:t>The materials subject to this Order are all correspondence, documents, data, information, studies, methodologies</w:t>
      </w:r>
      <w:r w:rsidRPr="00F34CA5">
        <w:rPr>
          <w:szCs w:val="24"/>
          <w:lang w:val="en-US"/>
        </w:rPr>
        <w:t>, audio recordings</w:t>
      </w:r>
      <w:r w:rsidRPr="00F34CA5">
        <w:rPr>
          <w:szCs w:val="24"/>
        </w:rPr>
        <w:t xml:space="preserve"> and other materials in any form that a party or an affiliate of a party furnishes in this proceeding pursuant to the Commission’s rules and regulations, discovery procedures or cross-examination which are claimed to be of a proprietary or confidential nature</w:t>
      </w:r>
      <w:r w:rsidRPr="00F34CA5">
        <w:rPr>
          <w:szCs w:val="24"/>
          <w:lang w:val="en-US"/>
        </w:rPr>
        <w:t>, or the disclosure of which would cause substantial harm to the competitive position of the person that submitted the information,</w:t>
      </w:r>
      <w:r w:rsidRPr="00F34CA5">
        <w:rPr>
          <w:szCs w:val="24"/>
        </w:rPr>
        <w:t xml:space="preserve"> and which are designated “PROPRIETARY” or “CONFIDENTIAL” (hereinafter collectively referred to as “Proprietary Information”). </w:t>
      </w:r>
    </w:p>
    <w:p w:rsidR="00600DD5" w:rsidRPr="00F34CA5" w:rsidRDefault="00600DD5" w:rsidP="00600DD5">
      <w:pPr>
        <w:pStyle w:val="Heading1"/>
        <w:ind w:firstLine="1440"/>
        <w:rPr>
          <w:szCs w:val="24"/>
        </w:rPr>
      </w:pPr>
      <w:r w:rsidRPr="00F34CA5">
        <w:rPr>
          <w:szCs w:val="24"/>
        </w:rPr>
        <w:t>Proprietary Information shall be made available to the Commission and its Staff for use in this proceeding.  For purposes of filing, to the extent that Proprietary Information is placed in the Commission’s report folders, such information shall be handled in accordance with routine Commission procedures inasmuch as the report folders are not subject to public disclosure.  To the extent that Proprietary Information is placed in the Commission’s testimony or document folders, such information shall be separately bound, conspicuously marked, and accompanied by a copy of this Order.  Public inspection of Proprietary Information shall be permitted only in accordance with this Order.</w:t>
      </w:r>
    </w:p>
    <w:p w:rsidR="00600DD5" w:rsidRPr="00F34CA5" w:rsidRDefault="00600DD5" w:rsidP="00600DD5">
      <w:pPr>
        <w:pStyle w:val="Heading1"/>
        <w:ind w:firstLine="1440"/>
        <w:rPr>
          <w:szCs w:val="24"/>
        </w:rPr>
      </w:pPr>
      <w:r w:rsidRPr="00F34CA5">
        <w:rPr>
          <w:szCs w:val="24"/>
        </w:rPr>
        <w:t xml:space="preserve">Proprietary Information shall be made available to counsel of record in this proceeding pursuant to the following procedures: </w:t>
      </w:r>
    </w:p>
    <w:p w:rsidR="00600DD5" w:rsidRPr="00F34CA5" w:rsidRDefault="00600DD5" w:rsidP="00600DD5">
      <w:pPr>
        <w:pStyle w:val="Heading2"/>
        <w:ind w:left="1440"/>
        <w:rPr>
          <w:snapToGrid w:val="0"/>
          <w:szCs w:val="24"/>
        </w:rPr>
      </w:pPr>
      <w:r w:rsidRPr="00F34CA5">
        <w:rPr>
          <w:snapToGrid w:val="0"/>
          <w:szCs w:val="24"/>
          <w:u w:val="single"/>
        </w:rPr>
        <w:t>Proprietary Information</w:t>
      </w:r>
      <w:r w:rsidRPr="00F34CA5">
        <w:rPr>
          <w:snapToGrid w:val="0"/>
          <w:szCs w:val="24"/>
        </w:rPr>
        <w:t>.  To the extent required for participation in this proceeding, a party’s counsel may afford access to Proprietary Information made available by another party (“the Producing Party”) to:</w:t>
      </w:r>
    </w:p>
    <w:p w:rsidR="00600DD5" w:rsidRPr="00F34CA5" w:rsidRDefault="00600DD5" w:rsidP="00600DD5">
      <w:pPr>
        <w:pStyle w:val="Heading3"/>
        <w:keepNext/>
        <w:widowControl w:val="0"/>
        <w:numPr>
          <w:ilvl w:val="2"/>
          <w:numId w:val="20"/>
        </w:numPr>
        <w:tabs>
          <w:tab w:val="clear" w:pos="2160"/>
        </w:tabs>
        <w:autoSpaceDE w:val="0"/>
        <w:autoSpaceDN w:val="0"/>
        <w:adjustRightInd w:val="0"/>
        <w:spacing w:before="240" w:after="60" w:line="240" w:lineRule="auto"/>
        <w:ind w:left="1728"/>
        <w:rPr>
          <w:szCs w:val="24"/>
        </w:rPr>
      </w:pPr>
      <w:r w:rsidRPr="00F34CA5">
        <w:rPr>
          <w:szCs w:val="24"/>
        </w:rPr>
        <w:t>The Commission at any hearing in this proceeding or in connection with motions filed in this proceeding;</w:t>
      </w:r>
    </w:p>
    <w:p w:rsidR="00600DD5" w:rsidRPr="00F34CA5" w:rsidRDefault="00600DD5" w:rsidP="00600DD5">
      <w:pPr>
        <w:pStyle w:val="Heading3"/>
        <w:keepNext/>
        <w:widowControl w:val="0"/>
        <w:numPr>
          <w:ilvl w:val="2"/>
          <w:numId w:val="20"/>
        </w:numPr>
        <w:tabs>
          <w:tab w:val="clear" w:pos="2160"/>
        </w:tabs>
        <w:autoSpaceDE w:val="0"/>
        <w:autoSpaceDN w:val="0"/>
        <w:adjustRightInd w:val="0"/>
        <w:spacing w:before="240" w:after="60" w:line="240" w:lineRule="auto"/>
        <w:ind w:left="1728"/>
        <w:rPr>
          <w:szCs w:val="24"/>
        </w:rPr>
      </w:pPr>
      <w:r w:rsidRPr="00F34CA5">
        <w:rPr>
          <w:szCs w:val="24"/>
        </w:rPr>
        <w:t>Counsel (including “in-house” counsel) to the named parties to this action and the paralegal, clerical and secretarial staff employed by such counsel;</w:t>
      </w:r>
    </w:p>
    <w:p w:rsidR="00600DD5" w:rsidRPr="00F34CA5" w:rsidRDefault="00600DD5" w:rsidP="00600DD5">
      <w:pPr>
        <w:pStyle w:val="Heading3"/>
        <w:keepNext/>
        <w:widowControl w:val="0"/>
        <w:numPr>
          <w:ilvl w:val="2"/>
          <w:numId w:val="20"/>
        </w:numPr>
        <w:tabs>
          <w:tab w:val="clear" w:pos="2160"/>
        </w:tabs>
        <w:autoSpaceDE w:val="0"/>
        <w:autoSpaceDN w:val="0"/>
        <w:adjustRightInd w:val="0"/>
        <w:spacing w:before="240" w:after="60" w:line="240" w:lineRule="auto"/>
        <w:ind w:left="1728" w:right="0"/>
        <w:rPr>
          <w:szCs w:val="24"/>
        </w:rPr>
      </w:pPr>
      <w:r w:rsidRPr="00F34CA5">
        <w:rPr>
          <w:szCs w:val="24"/>
        </w:rPr>
        <w:t>court reporters;</w:t>
      </w:r>
    </w:p>
    <w:p w:rsidR="00600DD5" w:rsidRPr="00F34CA5" w:rsidRDefault="00600DD5" w:rsidP="00600DD5">
      <w:pPr>
        <w:pStyle w:val="Heading3"/>
        <w:keepNext/>
        <w:widowControl w:val="0"/>
        <w:numPr>
          <w:ilvl w:val="2"/>
          <w:numId w:val="20"/>
        </w:numPr>
        <w:tabs>
          <w:tab w:val="clear" w:pos="2160"/>
        </w:tabs>
        <w:autoSpaceDE w:val="0"/>
        <w:autoSpaceDN w:val="0"/>
        <w:adjustRightInd w:val="0"/>
        <w:spacing w:before="240" w:after="60" w:line="240" w:lineRule="auto"/>
        <w:ind w:left="1728"/>
        <w:rPr>
          <w:szCs w:val="24"/>
        </w:rPr>
      </w:pPr>
      <w:r w:rsidRPr="00F34CA5">
        <w:rPr>
          <w:szCs w:val="24"/>
        </w:rPr>
        <w:t xml:space="preserve">any witness during the course of that witness’s deposition; </w:t>
      </w:r>
    </w:p>
    <w:p w:rsidR="00600DD5" w:rsidRPr="00F34CA5" w:rsidRDefault="00600DD5" w:rsidP="00600DD5">
      <w:pPr>
        <w:pStyle w:val="Heading3"/>
        <w:keepNext/>
        <w:widowControl w:val="0"/>
        <w:numPr>
          <w:ilvl w:val="2"/>
          <w:numId w:val="20"/>
        </w:numPr>
        <w:tabs>
          <w:tab w:val="clear" w:pos="2160"/>
        </w:tabs>
        <w:autoSpaceDE w:val="0"/>
        <w:autoSpaceDN w:val="0"/>
        <w:adjustRightInd w:val="0"/>
        <w:spacing w:before="240" w:after="60" w:line="240" w:lineRule="auto"/>
        <w:ind w:left="1728"/>
        <w:rPr>
          <w:szCs w:val="24"/>
        </w:rPr>
      </w:pPr>
      <w:r w:rsidRPr="00F34CA5">
        <w:rPr>
          <w:szCs w:val="24"/>
        </w:rPr>
        <w:t xml:space="preserve">experts and/or advisors consulted by the named parties or their counsel in connection with this action, whether or not retained to testify at </w:t>
      </w:r>
      <w:r w:rsidRPr="00F34CA5">
        <w:rPr>
          <w:szCs w:val="24"/>
          <w:lang w:val="en-US"/>
        </w:rPr>
        <w:t xml:space="preserve">a hearing or </w:t>
      </w:r>
      <w:r w:rsidRPr="00F34CA5">
        <w:rPr>
          <w:szCs w:val="24"/>
        </w:rPr>
        <w:t>trial</w:t>
      </w:r>
      <w:r w:rsidRPr="00F34CA5">
        <w:rPr>
          <w:szCs w:val="24"/>
          <w:lang w:val="en-US"/>
        </w:rPr>
        <w:t>.</w:t>
      </w:r>
      <w:r w:rsidRPr="00F34CA5">
        <w:rPr>
          <w:szCs w:val="24"/>
        </w:rPr>
        <w:t xml:space="preserve"> It shall be the obligation of counsel, upon learning of any breach or threatened breach of this Protective Order by any expert and/or advisor, promptly to notify opposing counsel of such breach or threatened breach;</w:t>
      </w:r>
    </w:p>
    <w:p w:rsidR="00600DD5" w:rsidRPr="00F34CA5" w:rsidRDefault="00600DD5" w:rsidP="00600DD5">
      <w:pPr>
        <w:pStyle w:val="Heading3"/>
        <w:numPr>
          <w:ilvl w:val="2"/>
          <w:numId w:val="20"/>
        </w:numPr>
        <w:tabs>
          <w:tab w:val="clear" w:pos="2160"/>
        </w:tabs>
        <w:autoSpaceDE w:val="0"/>
        <w:autoSpaceDN w:val="0"/>
        <w:adjustRightInd w:val="0"/>
        <w:spacing w:before="240" w:after="60" w:line="240" w:lineRule="auto"/>
        <w:ind w:left="1728"/>
        <w:rPr>
          <w:szCs w:val="24"/>
        </w:rPr>
      </w:pPr>
      <w:r w:rsidRPr="00F34CA5">
        <w:rPr>
          <w:szCs w:val="24"/>
        </w:rPr>
        <w:t>any other person as to whom the producing party agrees in writing prior to disclosure.</w:t>
      </w:r>
    </w:p>
    <w:p w:rsidR="00600DD5" w:rsidRPr="00F34CA5" w:rsidRDefault="00600DD5" w:rsidP="00600DD5">
      <w:pPr>
        <w:pStyle w:val="BodyText"/>
        <w:rPr>
          <w:sz w:val="24"/>
          <w:szCs w:val="24"/>
        </w:rPr>
      </w:pPr>
    </w:p>
    <w:p w:rsidR="00600DD5" w:rsidRPr="00F34CA5" w:rsidRDefault="00600DD5" w:rsidP="00600DD5">
      <w:pPr>
        <w:pStyle w:val="Heading2"/>
        <w:ind w:left="1440"/>
        <w:rPr>
          <w:snapToGrid w:val="0"/>
          <w:szCs w:val="24"/>
        </w:rPr>
      </w:pPr>
      <w:r w:rsidRPr="00F34CA5">
        <w:rPr>
          <w:snapToGrid w:val="0"/>
          <w:szCs w:val="24"/>
        </w:rPr>
        <w:t>For purposes of the foregoing paragraph, disclosure to a  party's expert(s) shall be subject to the following additional restrictions:</w:t>
      </w:r>
    </w:p>
    <w:p w:rsidR="00600DD5" w:rsidRPr="00F34CA5" w:rsidRDefault="00600DD5" w:rsidP="00600DD5">
      <w:pPr>
        <w:pStyle w:val="Heading3"/>
        <w:spacing w:line="240" w:lineRule="auto"/>
        <w:ind w:left="1728"/>
        <w:rPr>
          <w:szCs w:val="24"/>
        </w:rPr>
      </w:pPr>
      <w:r w:rsidRPr="00F34CA5">
        <w:rPr>
          <w:szCs w:val="24"/>
        </w:rPr>
        <w:t>Such expert(s) may not hold any of the following positions with any competitor of the producing party: (a) an officer, board member, significant stockholder, partner, owner (other than owner of stock) or an employee of any competitor of the producing party who is primarily involved in the pricing, development, and/or marketing of products or services that are offered in competition with those of the producing party; or (b) an officer, board member, significant stockholder, partner, owner (other than owner of stock) of any affiliate of a competitor of the producing party; provided, however, that any expert shall not be disqualified on account of being a stockholder, partner, or owner unless his/her interest in the business constitutes a significant potential for violation of the limitations of permissible use of the Proprietary Information.  For purposes of this Order, stocks, partnership, or other ownership interest valued at more than $10,000 or constituting more than a 1% interest in a business establishes a significant potential for violation.</w:t>
      </w:r>
    </w:p>
    <w:p w:rsidR="00600DD5" w:rsidRPr="00F34CA5" w:rsidRDefault="00600DD5" w:rsidP="00600DD5">
      <w:pPr>
        <w:pStyle w:val="Heading3"/>
        <w:spacing w:line="240" w:lineRule="auto"/>
        <w:ind w:left="1728"/>
        <w:rPr>
          <w:szCs w:val="24"/>
        </w:rPr>
      </w:pPr>
      <w:r w:rsidRPr="00F34CA5">
        <w:rPr>
          <w:szCs w:val="24"/>
        </w:rPr>
        <w:t>If a party's independent expert, another member of the independent expert's firm or the independent expert's firm generally also serves as an expert for, or as a consultant or advisor to a competitor or any affiliate of a competitor of the Producing Party, said independent expert must: (1) advise the Producing Party of the competitor's or affiliate's name(s); (2) make reasonable attempts to segregate those personnel assisting in the expert’s participation in this proceeding from those personnel working on behalf of a competitor or any affiliate of a competitor of the Producing Party; and (3) if segregation of such personnel is impractical, the independent expert shall give to the Producing Party written assurances that the lack of segregation will in no way jeopardize the interests of the Producing Party.  The Producing Party retains the right to challenge the adequacy of the written assurances that its interests will not be jeopardized.</w:t>
      </w:r>
    </w:p>
    <w:p w:rsidR="00600DD5" w:rsidRPr="00F34CA5" w:rsidRDefault="00600DD5" w:rsidP="00600DD5">
      <w:pPr>
        <w:pStyle w:val="Heading2"/>
        <w:spacing w:after="360"/>
        <w:ind w:left="1440"/>
        <w:rPr>
          <w:szCs w:val="24"/>
        </w:rPr>
      </w:pPr>
      <w:r w:rsidRPr="00F34CA5">
        <w:rPr>
          <w:szCs w:val="24"/>
        </w:rPr>
        <w:t>No other persons may have access to the Proprietary Information except as authorized by order of the Commission or of the presiding Administrative Law Judge.  No person who may be entitled to receive, or who is afforded access to any Proprietary Information, shall use or disclose such information for the purposes of business or competition, or for any purpose other than the preparation for and conduct of this proceeding or any administrative or judicial review thereof.</w:t>
      </w:r>
    </w:p>
    <w:p w:rsidR="00600DD5" w:rsidRPr="00F34CA5" w:rsidRDefault="00600DD5" w:rsidP="00600DD5">
      <w:pPr>
        <w:pStyle w:val="Heading1"/>
        <w:ind w:firstLine="1440"/>
        <w:rPr>
          <w:spacing w:val="2"/>
          <w:szCs w:val="24"/>
        </w:rPr>
      </w:pPr>
      <w:r w:rsidRPr="00F34CA5">
        <w:rPr>
          <w:szCs w:val="24"/>
        </w:rPr>
        <w:t xml:space="preserve">Prior to making Proprietary Information available to any person as provided in Ordering Paragraph No. 4, above, counsel for a party of record shall deliver a copy of this Order to such person and shall receive a written acknowledgement from that person in the form attached to this Order and designated as “Appendix A”.  Counsel shall promptly deliver to the Producing Party a copy of this executed acknowledgement form. </w:t>
      </w:r>
    </w:p>
    <w:p w:rsidR="00600DD5" w:rsidRPr="00F34CA5" w:rsidRDefault="00600DD5" w:rsidP="00600DD5">
      <w:pPr>
        <w:pStyle w:val="Heading1"/>
        <w:ind w:firstLine="1440"/>
        <w:rPr>
          <w:spacing w:val="2"/>
          <w:szCs w:val="24"/>
        </w:rPr>
      </w:pPr>
      <w:r w:rsidRPr="00F34CA5">
        <w:rPr>
          <w:szCs w:val="24"/>
        </w:rPr>
        <w:t>A producing party shall designate data or documents as constituting or containing Proprietary Information by affixing an appropriate proprietary stamp or typewritten or handwritten designation on such data or documents.  Where only part of data compilations or multi-page documents constitutes or contains Proprietary Information, the producing party, insofar as reasonably practicable within discovery and other time constraints imposed in this proceeding, shall designate only the specific data or pages of documents that constitute or contain Proprietary Information.</w:t>
      </w:r>
    </w:p>
    <w:p w:rsidR="00600DD5" w:rsidRPr="00F34CA5" w:rsidRDefault="00600DD5" w:rsidP="00600DD5">
      <w:pPr>
        <w:pStyle w:val="Heading1"/>
        <w:ind w:firstLine="1440"/>
        <w:rPr>
          <w:spacing w:val="2"/>
          <w:szCs w:val="24"/>
        </w:rPr>
      </w:pPr>
      <w:r w:rsidRPr="00F34CA5">
        <w:rPr>
          <w:szCs w:val="24"/>
        </w:rPr>
        <w:t xml:space="preserve">Any federal agency that has access to and/or receives copies of the Proprietary Information will consider and treat the Proprietary Information as within the exemption from disclosure provided in the Freedom of Information Act as set forth at 5 U.S.C.  </w:t>
      </w:r>
      <w:r w:rsidRPr="00F34CA5">
        <w:rPr>
          <w:spacing w:val="2"/>
          <w:szCs w:val="24"/>
        </w:rPr>
        <w:t>§552(b)(4) until such time as the information is found to be non-proprietary.</w:t>
      </w:r>
    </w:p>
    <w:p w:rsidR="00600DD5" w:rsidRPr="00F34CA5" w:rsidRDefault="00600DD5" w:rsidP="00600DD5">
      <w:pPr>
        <w:pStyle w:val="Heading1"/>
        <w:ind w:firstLine="1440"/>
        <w:rPr>
          <w:szCs w:val="24"/>
        </w:rPr>
      </w:pPr>
      <w:r w:rsidRPr="00F34CA5">
        <w:rPr>
          <w:szCs w:val="24"/>
        </w:rPr>
        <w:t>Any state agency which has access to and/or receives copies of the Proprietary Information will consider and treat the Proprietary Information as “Confidential Proprietary Information” that is exempt from disclosure under Section 708(b)(11) of the Pennsylvania Right-to-Know Law (65 P.S. § 67.708(b)(11)) until such time as the information is found to be non-proprietary.</w:t>
      </w:r>
    </w:p>
    <w:p w:rsidR="00600DD5" w:rsidRPr="00F34CA5" w:rsidRDefault="00600DD5" w:rsidP="00600DD5">
      <w:pPr>
        <w:pStyle w:val="Heading1"/>
        <w:ind w:firstLine="1440"/>
        <w:rPr>
          <w:szCs w:val="24"/>
        </w:rPr>
      </w:pPr>
      <w:r w:rsidRPr="00F34CA5">
        <w:rPr>
          <w:szCs w:val="24"/>
        </w:rPr>
        <w:t>Any public reference to Proprietary Information by the Commission or by counsel or persons afforded access thereto shall be to the title or exhibit reference in sufficient detail to permit persons with access to the Proprietary</w:t>
      </w:r>
      <w:r w:rsidRPr="00F34CA5">
        <w:rPr>
          <w:noProof/>
          <w:szCs w:val="24"/>
          <w:lang w:val="en-US" w:eastAsia="en-US"/>
        </w:rPr>
        <mc:AlternateContent>
          <mc:Choice Requires="wps">
            <w:drawing>
              <wp:anchor distT="0" distB="0" distL="0" distR="0" simplePos="0" relativeHeight="251659264" behindDoc="0" locked="0" layoutInCell="0" allowOverlap="1" wp14:anchorId="285D7D32" wp14:editId="2598B192">
                <wp:simplePos x="0" y="0"/>
                <wp:positionH relativeFrom="column">
                  <wp:posOffset>0</wp:posOffset>
                </wp:positionH>
                <wp:positionV relativeFrom="paragraph">
                  <wp:posOffset>8540750</wp:posOffset>
                </wp:positionV>
                <wp:extent cx="6189345" cy="194945"/>
                <wp:effectExtent l="0" t="0" r="1905" b="0"/>
                <wp:wrapThrough wrapText="bothSides">
                  <wp:wrapPolygon edited="0">
                    <wp:start x="-62" y="0"/>
                    <wp:lineTo x="-62" y="21600"/>
                    <wp:lineTo x="21662" y="21600"/>
                    <wp:lineTo x="21662" y="0"/>
                    <wp:lineTo x="-62"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3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DD5" w:rsidRDefault="00600DD5" w:rsidP="00600DD5">
                            <w:pPr>
                              <w:pStyle w:val="Style4"/>
                              <w:rPr>
                                <w:spacing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672.5pt;width:487.35pt;height:15.3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9i6qwIAAKk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" o:allowincell="f" filled="f" stroked="f">
                <v:textbox inset="0,0,0,0">
                  <w:txbxContent>
                    <w:p w:rsidR="00600DD5" w:rsidRDefault="00600DD5" w:rsidP="00600DD5">
                      <w:pPr>
                        <w:pStyle w:val="Style4"/>
                        <w:rPr>
                          <w:spacing w:val="2"/>
                        </w:rPr>
                      </w:pPr>
                    </w:p>
                  </w:txbxContent>
                </v:textbox>
                <w10:wrap type="through"/>
              </v:shape>
            </w:pict>
          </mc:Fallback>
        </mc:AlternateContent>
      </w:r>
      <w:r w:rsidRPr="00F34CA5">
        <w:rPr>
          <w:szCs w:val="24"/>
        </w:rPr>
        <w:t xml:space="preserve"> Information to fully understand the reference and not more. The Proprietary Information shall remain a part of the record, to the extent admitted, for all purposes of administrative or judicial review.</w:t>
      </w:r>
    </w:p>
    <w:p w:rsidR="00600DD5" w:rsidRPr="00F34CA5" w:rsidRDefault="00600DD5" w:rsidP="00600DD5">
      <w:pPr>
        <w:pStyle w:val="Heading1"/>
        <w:ind w:firstLine="1440"/>
        <w:rPr>
          <w:szCs w:val="24"/>
        </w:rPr>
      </w:pPr>
      <w:r w:rsidRPr="00F34CA5">
        <w:rPr>
          <w:szCs w:val="24"/>
        </w:rPr>
        <w:t>Part of any record of any of proceedings containing the Proprietary Information, including but not limited to all exhibits, writings, testimony, cross examination, argument, and responses to discovery, and including reference thereto as mentioned in Ordering Paragraph No. 9, above, shall be sealed for all purposes, including administrative and judicial review, unless such Proprietary Information is released from the restrictions of this Protective Order, either through the agreement of the parties or pursuant to an order of an Administrative Law Judge or the Commission.  Unresolved challenges arising under Ordering Paragraph No. 11, below, shall be decided on motion or petition by the presiding officer and/or the Commission as provided in 52 Pa. Code §5.423(a).  All such challenges will be resolved in conformity with existing rules, regulations, orders, statutes, and precedent to the extent such guidance is available.</w:t>
      </w:r>
    </w:p>
    <w:p w:rsidR="00600DD5" w:rsidRPr="00F34CA5" w:rsidRDefault="00600DD5" w:rsidP="00600DD5">
      <w:pPr>
        <w:pStyle w:val="Heading1"/>
        <w:ind w:firstLine="1440"/>
        <w:rPr>
          <w:szCs w:val="24"/>
        </w:rPr>
      </w:pPr>
      <w:r w:rsidRPr="00F34CA5">
        <w:rPr>
          <w:szCs w:val="24"/>
        </w:rPr>
        <w:t>The parties affected by the terms of this Protective Order shall retain the right to question or challenge the confidential or proprietary nature of Proprietary Information; to question or challenge the admissibility of Proprietary Information on any proper ground, including but not limited to irrelevance, immateriality or undue burden; to seek an order permitting disclosure of Proprietary Information beyond that allowed in this Protective Order; and to seek additional measures of protection of Proprietary Information beyond those provided in this Protective Order.  If a challenge is made to the designation of a document or information as Proprietary, the party claiming that the information is</w:t>
      </w:r>
      <w:r w:rsidRPr="00F34CA5">
        <w:rPr>
          <w:noProof/>
          <w:szCs w:val="24"/>
          <w:lang w:val="en-US" w:eastAsia="en-US"/>
        </w:rPr>
        <mc:AlternateContent>
          <mc:Choice Requires="wps">
            <w:drawing>
              <wp:anchor distT="0" distB="0" distL="0" distR="0" simplePos="0" relativeHeight="251660288" behindDoc="0" locked="0" layoutInCell="0" allowOverlap="1" wp14:anchorId="6DE0EFAC" wp14:editId="69579E2E">
                <wp:simplePos x="0" y="0"/>
                <wp:positionH relativeFrom="column">
                  <wp:posOffset>0</wp:posOffset>
                </wp:positionH>
                <wp:positionV relativeFrom="paragraph">
                  <wp:posOffset>8545195</wp:posOffset>
                </wp:positionV>
                <wp:extent cx="6166485" cy="194945"/>
                <wp:effectExtent l="0" t="1270" r="0" b="3810"/>
                <wp:wrapThrough wrapText="bothSides">
                  <wp:wrapPolygon edited="0">
                    <wp:start x="-62" y="0"/>
                    <wp:lineTo x="-62" y="21600"/>
                    <wp:lineTo x="21662" y="21600"/>
                    <wp:lineTo x="21662" y="0"/>
                    <wp:lineTo x="-62" y="0"/>
                  </wp:wrapPolygon>
                </wp:wrapThrough>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DD5" w:rsidRDefault="00600DD5" w:rsidP="00600DD5">
                            <w:pPr>
                              <w:pStyle w:val="Style4"/>
                              <w:rPr>
                                <w:spacing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0;margin-top:672.85pt;width:485.55pt;height:15.3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" o:allowincell="f" filled="f" stroked="f">
                <v:textbox inset="0,0,0,0">
                  <w:txbxContent>
                    <w:p w:rsidR="00600DD5" w:rsidRDefault="00600DD5" w:rsidP="00600DD5">
                      <w:pPr>
                        <w:pStyle w:val="Style4"/>
                        <w:rPr>
                          <w:spacing w:val="2"/>
                        </w:rPr>
                      </w:pPr>
                    </w:p>
                  </w:txbxContent>
                </v:textbox>
                <w10:wrap type="through"/>
              </v:shape>
            </w:pict>
          </mc:Fallback>
        </mc:AlternateContent>
      </w:r>
      <w:r w:rsidRPr="00F34CA5">
        <w:rPr>
          <w:szCs w:val="24"/>
        </w:rPr>
        <w:t xml:space="preserve"> Proprietary retains the burden of demonstrating that the designation is necessary and appropriate.</w:t>
      </w:r>
    </w:p>
    <w:p w:rsidR="00600DD5" w:rsidRPr="00F34CA5" w:rsidRDefault="00600DD5" w:rsidP="00600DD5">
      <w:pPr>
        <w:pStyle w:val="Heading1"/>
        <w:ind w:firstLine="1440"/>
        <w:rPr>
          <w:szCs w:val="24"/>
        </w:rPr>
      </w:pPr>
      <w:r w:rsidRPr="00F34CA5">
        <w:rPr>
          <w:szCs w:val="24"/>
        </w:rPr>
        <w:t>Upon completion of this proceeding, including any administrative or judicial review thereof, all copies of all documents and other materials, including notes, which contain any Proprietary Information, shall be immediately returned upon request to the party furnishing such Proprietary Information.  In the alternative, parties may provide an affidavit of counsel affirming that the materials containing or reflecting Proprietary Information have been destroyed</w:t>
      </w:r>
      <w:r w:rsidRPr="00F34CA5">
        <w:rPr>
          <w:szCs w:val="24"/>
          <w:lang w:val="en-US"/>
        </w:rPr>
        <w:t xml:space="preserve"> in accordance with the agency’s records retention policy</w:t>
      </w:r>
      <w:r w:rsidRPr="00F34CA5">
        <w:rPr>
          <w:szCs w:val="24"/>
        </w:rPr>
        <w:t xml:space="preserve">.  This provision shall not apply to the Commission and its Staff. </w:t>
      </w:r>
    </w:p>
    <w:p w:rsidR="00600DD5" w:rsidRPr="00F34CA5" w:rsidRDefault="00600DD5" w:rsidP="00600DD5">
      <w:pPr>
        <w:pStyle w:val="Heading1"/>
        <w:ind w:firstLine="1440"/>
        <w:rPr>
          <w:szCs w:val="24"/>
        </w:rPr>
      </w:pPr>
      <w:r w:rsidRPr="00F34CA5">
        <w:rPr>
          <w:szCs w:val="24"/>
        </w:rPr>
        <w:t>Nothing contained in this Protective Order shall be construed as inferring that any type of confidential document or Proprietary Information must be produced. Rather, this Protective Order is intended to set forth how confidential documents and Proprietary Information are handled by other parties to this matter if voluntarily or upon Order of the Commission are produced to other parties in this matter. </w:t>
      </w:r>
    </w:p>
    <w:p w:rsidR="007B29B6" w:rsidRDefault="007B29B6" w:rsidP="007B29B6"/>
    <w:p w:rsidR="007B29B6" w:rsidRPr="00550B34" w:rsidRDefault="007B29B6" w:rsidP="007B29B6">
      <w:pPr>
        <w:rPr>
          <w:u w:val="single"/>
        </w:rPr>
      </w:pPr>
      <w:r w:rsidRPr="00550B34">
        <w:t xml:space="preserve">Date: </w:t>
      </w:r>
      <w:r>
        <w:rPr>
          <w:u w:val="single"/>
        </w:rPr>
        <w:t xml:space="preserve">August </w:t>
      </w:r>
      <w:r w:rsidR="00C15584">
        <w:rPr>
          <w:u w:val="single"/>
        </w:rPr>
        <w:t>22</w:t>
      </w:r>
      <w:r w:rsidRPr="00550B34">
        <w:rPr>
          <w:u w:val="single"/>
        </w:rPr>
        <w:t>, 201</w:t>
      </w:r>
      <w:r>
        <w:rPr>
          <w:u w:val="single"/>
        </w:rPr>
        <w:t>4</w:t>
      </w:r>
      <w:r w:rsidRPr="00550B34">
        <w:tab/>
      </w:r>
      <w:r w:rsidRPr="00550B34">
        <w:tab/>
      </w:r>
      <w:r w:rsidRPr="00550B34">
        <w:rPr>
          <w:u w:val="single"/>
        </w:rPr>
        <w:tab/>
      </w:r>
      <w:r w:rsidRPr="00550B34">
        <w:rPr>
          <w:u w:val="single"/>
        </w:rPr>
        <w:tab/>
      </w:r>
      <w:r w:rsidRPr="00550B34">
        <w:rPr>
          <w:u w:val="single"/>
        </w:rPr>
        <w:tab/>
      </w:r>
      <w:r w:rsidRPr="00550B34">
        <w:rPr>
          <w:u w:val="single"/>
        </w:rPr>
        <w:tab/>
      </w:r>
      <w:r w:rsidRPr="00550B34">
        <w:rPr>
          <w:u w:val="single"/>
        </w:rPr>
        <w:tab/>
      </w:r>
      <w:r w:rsidRPr="00550B34">
        <w:rPr>
          <w:u w:val="single"/>
        </w:rPr>
        <w:tab/>
      </w:r>
      <w:r w:rsidRPr="00550B34">
        <w:rPr>
          <w:u w:val="single"/>
        </w:rPr>
        <w:tab/>
      </w:r>
    </w:p>
    <w:p w:rsidR="007B29B6" w:rsidRPr="00550B34" w:rsidRDefault="007B29B6" w:rsidP="007B29B6">
      <w:r w:rsidRPr="00550B34">
        <w:tab/>
      </w:r>
      <w:r w:rsidRPr="00550B34">
        <w:tab/>
      </w:r>
      <w:r w:rsidRPr="00550B34">
        <w:tab/>
      </w:r>
      <w:r w:rsidRPr="00550B34">
        <w:tab/>
      </w:r>
      <w:r w:rsidRPr="00550B34">
        <w:tab/>
      </w:r>
      <w:r>
        <w:t>Elizabeth Barnes</w:t>
      </w:r>
    </w:p>
    <w:p w:rsidR="007B29B6" w:rsidRPr="00550B34" w:rsidRDefault="007B29B6" w:rsidP="007B29B6">
      <w:r w:rsidRPr="00550B34">
        <w:tab/>
      </w:r>
      <w:r w:rsidRPr="00550B34">
        <w:tab/>
      </w:r>
      <w:r w:rsidRPr="00550B34">
        <w:tab/>
      </w:r>
      <w:r w:rsidRPr="00550B34">
        <w:tab/>
      </w:r>
      <w:r w:rsidRPr="00550B34">
        <w:tab/>
        <w:t>Administrative Law Judge</w:t>
      </w:r>
    </w:p>
    <w:p w:rsidR="007B29B6" w:rsidRDefault="007B29B6" w:rsidP="007B29B6">
      <w:pPr>
        <w:rPr>
          <w:u w:val="single"/>
        </w:rPr>
      </w:pPr>
    </w:p>
    <w:p w:rsidR="007B29B6" w:rsidRDefault="007B29B6" w:rsidP="007B29B6">
      <w:pPr>
        <w:rPr>
          <w:u w:val="single"/>
        </w:rPr>
      </w:pPr>
    </w:p>
    <w:p w:rsidR="007B29B6" w:rsidRDefault="007B29B6" w:rsidP="007B29B6">
      <w:pPr>
        <w:rPr>
          <w:u w:val="single"/>
        </w:rPr>
      </w:pPr>
    </w:p>
    <w:p w:rsidR="007B29B6" w:rsidRPr="00550B34" w:rsidRDefault="007B29B6" w:rsidP="007B29B6">
      <w:pPr>
        <w:rPr>
          <w:u w:val="single"/>
        </w:rPr>
      </w:pPr>
      <w:r>
        <w:tab/>
      </w:r>
      <w:r>
        <w:tab/>
      </w:r>
      <w:r>
        <w:tab/>
      </w:r>
      <w:r>
        <w:tab/>
      </w:r>
      <w:r>
        <w:tab/>
      </w:r>
      <w:r w:rsidRPr="00550B34">
        <w:rPr>
          <w:u w:val="single"/>
        </w:rPr>
        <w:tab/>
      </w:r>
      <w:r w:rsidRPr="00550B34">
        <w:rPr>
          <w:u w:val="single"/>
        </w:rPr>
        <w:tab/>
      </w:r>
      <w:r w:rsidRPr="00550B34">
        <w:rPr>
          <w:u w:val="single"/>
        </w:rPr>
        <w:tab/>
      </w:r>
      <w:r w:rsidRPr="00550B34">
        <w:rPr>
          <w:u w:val="single"/>
        </w:rPr>
        <w:tab/>
      </w:r>
      <w:r w:rsidRPr="00550B34">
        <w:rPr>
          <w:u w:val="single"/>
        </w:rPr>
        <w:tab/>
      </w:r>
      <w:r w:rsidRPr="00550B34">
        <w:rPr>
          <w:u w:val="single"/>
        </w:rPr>
        <w:tab/>
      </w:r>
      <w:r w:rsidRPr="00550B34">
        <w:rPr>
          <w:u w:val="single"/>
        </w:rPr>
        <w:tab/>
      </w:r>
    </w:p>
    <w:p w:rsidR="007B29B6" w:rsidRPr="00550B34" w:rsidRDefault="007B29B6" w:rsidP="007B29B6">
      <w:r w:rsidRPr="00550B34">
        <w:tab/>
      </w:r>
      <w:r w:rsidRPr="00550B34">
        <w:tab/>
      </w:r>
      <w:r w:rsidRPr="00550B34">
        <w:tab/>
      </w:r>
      <w:r w:rsidRPr="00550B34">
        <w:tab/>
      </w:r>
      <w:r w:rsidRPr="00550B34">
        <w:tab/>
        <w:t xml:space="preserve">Joel H. Cheskis </w:t>
      </w:r>
    </w:p>
    <w:p w:rsidR="007B29B6" w:rsidRPr="00550B34" w:rsidRDefault="007B29B6" w:rsidP="007B29B6">
      <w:r w:rsidRPr="00550B34">
        <w:tab/>
      </w:r>
      <w:r w:rsidRPr="00550B34">
        <w:tab/>
      </w:r>
      <w:r w:rsidRPr="00550B34">
        <w:tab/>
      </w:r>
      <w:r w:rsidRPr="00550B34">
        <w:tab/>
      </w:r>
      <w:r w:rsidRPr="00550B34">
        <w:tab/>
        <w:t>Administrative Law Judge</w:t>
      </w:r>
    </w:p>
    <w:p w:rsidR="00600DD5" w:rsidRPr="00F34CA5" w:rsidRDefault="00600DD5" w:rsidP="00600DD5">
      <w:r w:rsidRPr="00F34CA5">
        <w:tab/>
      </w:r>
      <w:r w:rsidRPr="00F34CA5">
        <w:tab/>
      </w:r>
      <w:r w:rsidRPr="00F34CA5">
        <w:tab/>
      </w:r>
    </w:p>
    <w:p w:rsidR="00600DD5" w:rsidRPr="00F34CA5" w:rsidRDefault="00600DD5" w:rsidP="00600DD5">
      <w:pPr>
        <w:jc w:val="center"/>
        <w:rPr>
          <w:b/>
        </w:rPr>
        <w:sectPr w:rsidR="00600DD5" w:rsidRPr="00F34CA5" w:rsidSect="00D5498C">
          <w:pgSz w:w="12240" w:h="15840"/>
          <w:pgMar w:top="1440" w:right="1440" w:bottom="1440" w:left="1440" w:header="720" w:footer="720" w:gutter="0"/>
          <w:cols w:space="720"/>
          <w:titlePg/>
        </w:sectPr>
      </w:pPr>
    </w:p>
    <w:p w:rsidR="00130CD6" w:rsidRPr="00130CD6" w:rsidRDefault="00130CD6" w:rsidP="00130CD6">
      <w:pPr>
        <w:autoSpaceDE/>
        <w:autoSpaceDN/>
        <w:rPr>
          <w:rFonts w:ascii="Microsoft Sans Serif" w:hAnsi="Microsoft Sans Serif" w:cs="Microsoft Sans Serif"/>
          <w:b/>
          <w:u w:val="single"/>
        </w:rPr>
      </w:pPr>
      <w:r w:rsidRPr="00130CD6">
        <w:rPr>
          <w:rFonts w:ascii="Microsoft Sans Serif" w:hAnsi="Microsoft Sans Serif" w:cs="Microsoft Sans Serif"/>
          <w:b/>
          <w:u w:val="single"/>
        </w:rPr>
        <w:t>C-2014-2427656 - ATTORNEY GENERAL PA &amp; OFFICE OF CONSUMER ADVOCATE v. ENERGY SERVICE PROVIDERS, INC D/B/A PENNSYLVANIA GAS &amp; ELECTRIC</w:t>
      </w:r>
    </w:p>
    <w:p w:rsidR="00130CD6" w:rsidRPr="00130CD6" w:rsidRDefault="00130CD6" w:rsidP="00130CD6">
      <w:pPr>
        <w:autoSpaceDE/>
        <w:autoSpaceDN/>
        <w:rPr>
          <w:rFonts w:ascii="Microsoft Sans Serif" w:hAnsi="Microsoft Sans Serif" w:cs="Microsoft Sans Serif"/>
          <w:b/>
          <w:i/>
          <w:u w:val="single"/>
        </w:rPr>
      </w:pPr>
    </w:p>
    <w:p w:rsidR="00130CD6" w:rsidRPr="00130CD6" w:rsidRDefault="00130CD6" w:rsidP="00130CD6">
      <w:pPr>
        <w:autoSpaceDE/>
        <w:autoSpaceDN/>
        <w:rPr>
          <w:rFonts w:ascii="Microsoft Sans Serif" w:hAnsi="Microsoft Sans Serif" w:cs="Microsoft Sans Serif"/>
          <w:b/>
          <w:i/>
          <w:u w:val="single"/>
        </w:rPr>
      </w:pPr>
      <w:r w:rsidRPr="00130CD6">
        <w:rPr>
          <w:rFonts w:ascii="Microsoft Sans Serif" w:hAnsi="Microsoft Sans Serif" w:cs="Microsoft Sans Serif"/>
          <w:b/>
          <w:i/>
          <w:u w:val="single"/>
        </w:rPr>
        <w:t>REVISED 08/20/14</w:t>
      </w:r>
      <w:r w:rsidRPr="00130CD6">
        <w:rPr>
          <w:rFonts w:ascii="Microsoft Sans Serif" w:hAnsi="Microsoft Sans Serif" w:cs="Microsoft Sans Serif"/>
          <w:b/>
          <w:u w:val="single"/>
        </w:rPr>
        <w:cr/>
      </w:r>
    </w:p>
    <w:p w:rsidR="00130CD6" w:rsidRPr="00130CD6" w:rsidRDefault="00130CD6" w:rsidP="00130CD6">
      <w:pPr>
        <w:autoSpaceDE/>
        <w:autoSpaceDN/>
        <w:rPr>
          <w:rFonts w:ascii="Microsoft Sans Serif" w:hAnsi="Microsoft Sans Serif" w:cs="Microsoft Sans Serif"/>
        </w:rPr>
      </w:pPr>
      <w:r w:rsidRPr="00130CD6">
        <w:rPr>
          <w:rFonts w:ascii="Microsoft Sans Serif" w:hAnsi="Microsoft Sans Serif" w:cs="Microsoft Sans Serif"/>
        </w:rPr>
        <w:t>JOHN M ABEL ESQUIRE</w:t>
      </w:r>
      <w:r w:rsidRPr="00130CD6">
        <w:rPr>
          <w:rFonts w:ascii="Microsoft Sans Serif" w:hAnsi="Microsoft Sans Serif" w:cs="Microsoft Sans Serif"/>
        </w:rPr>
        <w:cr/>
        <w:t>NICOLE R BECK ESQUIRE</w:t>
      </w:r>
    </w:p>
    <w:p w:rsidR="00130CD6" w:rsidRPr="00130CD6" w:rsidRDefault="00130CD6" w:rsidP="00130CD6">
      <w:pPr>
        <w:autoSpaceDE/>
        <w:autoSpaceDN/>
        <w:rPr>
          <w:rFonts w:ascii="Microsoft Sans Serif" w:hAnsi="Microsoft Sans Serif" w:cs="Microsoft Sans Serif"/>
        </w:rPr>
      </w:pPr>
      <w:r w:rsidRPr="00130CD6">
        <w:rPr>
          <w:rFonts w:ascii="Microsoft Sans Serif" w:hAnsi="Microsoft Sans Serif" w:cs="Microsoft Sans Serif"/>
        </w:rPr>
        <w:t>PA OFFICE OF ATTORNEY GENERAL</w:t>
      </w:r>
      <w:r w:rsidRPr="00130CD6">
        <w:rPr>
          <w:rFonts w:ascii="Microsoft Sans Serif" w:hAnsi="Microsoft Sans Serif" w:cs="Microsoft Sans Serif"/>
        </w:rPr>
        <w:cr/>
        <w:t>BUREAU OF CONSUMER PROTECTION</w:t>
      </w:r>
      <w:r w:rsidRPr="00130CD6">
        <w:rPr>
          <w:rFonts w:ascii="Microsoft Sans Serif" w:hAnsi="Microsoft Sans Serif" w:cs="Microsoft Sans Serif"/>
        </w:rPr>
        <w:cr/>
        <w:t>15</w:t>
      </w:r>
      <w:r w:rsidRPr="00130CD6">
        <w:rPr>
          <w:rFonts w:ascii="Microsoft Sans Serif" w:hAnsi="Microsoft Sans Serif" w:cs="Microsoft Sans Serif"/>
          <w:vertAlign w:val="superscript"/>
        </w:rPr>
        <w:t>TH</w:t>
      </w:r>
      <w:r w:rsidRPr="00130CD6">
        <w:rPr>
          <w:rFonts w:ascii="Microsoft Sans Serif" w:hAnsi="Microsoft Sans Serif" w:cs="Microsoft Sans Serif"/>
        </w:rPr>
        <w:t xml:space="preserve"> FL STRAWBERRY SQUARE</w:t>
      </w:r>
      <w:r w:rsidRPr="00130CD6">
        <w:rPr>
          <w:rFonts w:ascii="Microsoft Sans Serif" w:hAnsi="Microsoft Sans Serif" w:cs="Microsoft Sans Serif"/>
        </w:rPr>
        <w:cr/>
        <w:t>HARRISBURG PA  17120</w:t>
      </w:r>
      <w:r w:rsidRPr="00130CD6">
        <w:rPr>
          <w:rFonts w:ascii="Microsoft Sans Serif" w:hAnsi="Microsoft Sans Serif" w:cs="Microsoft Sans Serif"/>
        </w:rPr>
        <w:cr/>
      </w:r>
      <w:r w:rsidRPr="00130CD6">
        <w:rPr>
          <w:rFonts w:ascii="Microsoft Sans Serif" w:hAnsi="Microsoft Sans Serif" w:cs="Microsoft Sans Serif"/>
        </w:rPr>
        <w:cr/>
        <w:t>CANDIS A TUNILO ESQUIRE</w:t>
      </w:r>
      <w:r w:rsidRPr="00130CD6">
        <w:rPr>
          <w:rFonts w:ascii="Microsoft Sans Serif" w:hAnsi="Microsoft Sans Serif" w:cs="Microsoft Sans Serif"/>
        </w:rPr>
        <w:cr/>
        <w:t>BRANDON J PIERCE ESQUIRE</w:t>
      </w:r>
      <w:r w:rsidRPr="00130CD6">
        <w:rPr>
          <w:rFonts w:ascii="Microsoft Sans Serif" w:hAnsi="Microsoft Sans Serif" w:cs="Microsoft Sans Serif"/>
        </w:rPr>
        <w:cr/>
        <w:t>KRISTINE E ROBINSON ESQUIRE</w:t>
      </w:r>
    </w:p>
    <w:p w:rsidR="00130CD6" w:rsidRPr="00130CD6" w:rsidRDefault="00130CD6" w:rsidP="00130CD6">
      <w:pPr>
        <w:autoSpaceDE/>
        <w:autoSpaceDN/>
        <w:rPr>
          <w:rFonts w:ascii="Microsoft Sans Serif" w:hAnsi="Microsoft Sans Serif" w:cs="Microsoft Sans Serif"/>
        </w:rPr>
      </w:pPr>
      <w:r w:rsidRPr="00130CD6">
        <w:rPr>
          <w:rFonts w:ascii="Microsoft Sans Serif" w:hAnsi="Microsoft Sans Serif" w:cs="Microsoft Sans Serif"/>
        </w:rPr>
        <w:t>OFFICE OF CONSUMER ADVOCATE</w:t>
      </w:r>
      <w:r w:rsidRPr="00130CD6">
        <w:rPr>
          <w:rFonts w:ascii="Microsoft Sans Serif" w:hAnsi="Microsoft Sans Serif" w:cs="Microsoft Sans Serif"/>
        </w:rPr>
        <w:cr/>
        <w:t>5</w:t>
      </w:r>
      <w:r w:rsidRPr="00130CD6">
        <w:rPr>
          <w:rFonts w:ascii="Microsoft Sans Serif" w:hAnsi="Microsoft Sans Serif" w:cs="Microsoft Sans Serif"/>
          <w:vertAlign w:val="superscript"/>
        </w:rPr>
        <w:t>TH</w:t>
      </w:r>
      <w:r w:rsidRPr="00130CD6">
        <w:rPr>
          <w:rFonts w:ascii="Microsoft Sans Serif" w:hAnsi="Microsoft Sans Serif" w:cs="Microsoft Sans Serif"/>
        </w:rPr>
        <w:t xml:space="preserve"> FLOOR FORUM PLACE</w:t>
      </w:r>
      <w:r w:rsidRPr="00130CD6">
        <w:rPr>
          <w:rFonts w:ascii="Microsoft Sans Serif" w:hAnsi="Microsoft Sans Serif" w:cs="Microsoft Sans Serif"/>
        </w:rPr>
        <w:cr/>
        <w:t>555 WALNUT STREET</w:t>
      </w:r>
      <w:r w:rsidRPr="00130CD6">
        <w:rPr>
          <w:rFonts w:ascii="Microsoft Sans Serif" w:hAnsi="Microsoft Sans Serif" w:cs="Microsoft Sans Serif"/>
        </w:rPr>
        <w:cr/>
        <w:t>HARRISBURG PA  17101-1923</w:t>
      </w:r>
      <w:r w:rsidRPr="00130CD6">
        <w:rPr>
          <w:rFonts w:ascii="Microsoft Sans Serif" w:hAnsi="Microsoft Sans Serif" w:cs="Microsoft Sans Serif"/>
        </w:rPr>
        <w:cr/>
      </w:r>
      <w:r w:rsidRPr="00130CD6">
        <w:rPr>
          <w:rFonts w:ascii="Microsoft Sans Serif" w:hAnsi="Microsoft Sans Serif" w:cs="Microsoft Sans Serif"/>
        </w:rPr>
        <w:cr/>
        <w:t>SHARON WEBB ESQUIRE</w:t>
      </w:r>
      <w:r w:rsidRPr="00130CD6">
        <w:rPr>
          <w:rFonts w:ascii="Microsoft Sans Serif" w:hAnsi="Microsoft Sans Serif" w:cs="Microsoft Sans Serif"/>
        </w:rPr>
        <w:cr/>
        <w:t>OFFICE OF SMALL BUSINESS ADVOCATE</w:t>
      </w:r>
      <w:r w:rsidRPr="00130CD6">
        <w:rPr>
          <w:rFonts w:ascii="Microsoft Sans Serif" w:hAnsi="Microsoft Sans Serif" w:cs="Microsoft Sans Serif"/>
        </w:rPr>
        <w:cr/>
        <w:t>SUITE 1102</w:t>
      </w:r>
      <w:r w:rsidRPr="00130CD6">
        <w:rPr>
          <w:rFonts w:ascii="Microsoft Sans Serif" w:hAnsi="Microsoft Sans Serif" w:cs="Microsoft Sans Serif"/>
        </w:rPr>
        <w:cr/>
        <w:t xml:space="preserve">300 NORTH SECOND </w:t>
      </w:r>
      <w:proofErr w:type="gramStart"/>
      <w:r w:rsidRPr="00130CD6">
        <w:rPr>
          <w:rFonts w:ascii="Microsoft Sans Serif" w:hAnsi="Microsoft Sans Serif" w:cs="Microsoft Sans Serif"/>
        </w:rPr>
        <w:t>STREET</w:t>
      </w:r>
      <w:proofErr w:type="gramEnd"/>
      <w:r w:rsidRPr="00130CD6">
        <w:rPr>
          <w:rFonts w:ascii="Microsoft Sans Serif" w:hAnsi="Microsoft Sans Serif" w:cs="Microsoft Sans Serif"/>
        </w:rPr>
        <w:cr/>
        <w:t>HARRISBURG PA  17101</w:t>
      </w:r>
      <w:r w:rsidRPr="00130CD6">
        <w:rPr>
          <w:rFonts w:ascii="Microsoft Sans Serif" w:hAnsi="Microsoft Sans Serif" w:cs="Microsoft Sans Serif"/>
        </w:rPr>
        <w:cr/>
        <w:t>717-783-2525</w:t>
      </w:r>
      <w:r w:rsidRPr="00130CD6">
        <w:rPr>
          <w:rFonts w:ascii="Microsoft Sans Serif" w:hAnsi="Microsoft Sans Serif" w:cs="Microsoft Sans Serif"/>
        </w:rPr>
        <w:cr/>
      </w:r>
    </w:p>
    <w:p w:rsidR="00130CD6" w:rsidRPr="00130CD6" w:rsidRDefault="00130CD6" w:rsidP="00130CD6">
      <w:pPr>
        <w:autoSpaceDE/>
        <w:autoSpaceDN/>
        <w:rPr>
          <w:rFonts w:ascii="Microsoft Sans Serif" w:hAnsi="Microsoft Sans Serif" w:cs="Microsoft Sans Serif"/>
        </w:rPr>
      </w:pPr>
      <w:r w:rsidRPr="00130CD6">
        <w:rPr>
          <w:rFonts w:ascii="Microsoft Sans Serif" w:hAnsi="Microsoft Sans Serif" w:cs="Microsoft Sans Serif"/>
        </w:rPr>
        <w:t>STEPHANIE WIMER ESQUIRE</w:t>
      </w:r>
    </w:p>
    <w:p w:rsidR="00130CD6" w:rsidRPr="00130CD6" w:rsidRDefault="00130CD6" w:rsidP="00130CD6">
      <w:pPr>
        <w:autoSpaceDE/>
        <w:autoSpaceDN/>
        <w:rPr>
          <w:rFonts w:ascii="Microsoft Sans Serif" w:hAnsi="Microsoft Sans Serif" w:cs="Microsoft Sans Serif"/>
        </w:rPr>
      </w:pPr>
      <w:r w:rsidRPr="00130CD6">
        <w:rPr>
          <w:rFonts w:ascii="Microsoft Sans Serif" w:hAnsi="Microsoft Sans Serif" w:cs="Microsoft Sans Serif"/>
        </w:rPr>
        <w:t>PA PUC LAW BUREAU</w:t>
      </w:r>
    </w:p>
    <w:p w:rsidR="00130CD6" w:rsidRPr="00130CD6" w:rsidRDefault="00130CD6" w:rsidP="00130CD6">
      <w:pPr>
        <w:autoSpaceDE/>
        <w:autoSpaceDN/>
        <w:rPr>
          <w:rFonts w:ascii="Microsoft Sans Serif" w:hAnsi="Microsoft Sans Serif" w:cs="Microsoft Sans Serif"/>
        </w:rPr>
      </w:pPr>
      <w:r w:rsidRPr="00130CD6">
        <w:rPr>
          <w:rFonts w:ascii="Microsoft Sans Serif" w:hAnsi="Microsoft Sans Serif" w:cs="Microsoft Sans Serif"/>
        </w:rPr>
        <w:t>PO BOX 3265</w:t>
      </w:r>
    </w:p>
    <w:p w:rsidR="00130CD6" w:rsidRPr="00130CD6" w:rsidRDefault="00130CD6" w:rsidP="00130CD6">
      <w:pPr>
        <w:autoSpaceDE/>
        <w:autoSpaceDN/>
        <w:rPr>
          <w:rFonts w:ascii="Microsoft Sans Serif" w:hAnsi="Microsoft Sans Serif" w:cs="Microsoft Sans Serif"/>
        </w:rPr>
      </w:pPr>
      <w:r w:rsidRPr="00130CD6">
        <w:rPr>
          <w:rFonts w:ascii="Microsoft Sans Serif" w:hAnsi="Microsoft Sans Serif" w:cs="Microsoft Sans Serif"/>
        </w:rPr>
        <w:t>HARRISBURG PA  17105-3265</w:t>
      </w:r>
    </w:p>
    <w:p w:rsidR="00130CD6" w:rsidRPr="00130CD6" w:rsidRDefault="00130CD6" w:rsidP="00130CD6">
      <w:pPr>
        <w:autoSpaceDE/>
        <w:autoSpaceDN/>
        <w:rPr>
          <w:rFonts w:ascii="Microsoft Sans Serif" w:hAnsi="Microsoft Sans Serif" w:cs="Microsoft Sans Serif"/>
          <w:b/>
          <w:i/>
          <w:u w:val="single"/>
        </w:rPr>
      </w:pPr>
      <w:r w:rsidRPr="00130CD6">
        <w:rPr>
          <w:rFonts w:ascii="Microsoft Sans Serif" w:hAnsi="Microsoft Sans Serif" w:cs="Microsoft Sans Serif"/>
          <w:b/>
          <w:i/>
          <w:u w:val="single"/>
        </w:rPr>
        <w:t>Accepts eService</w:t>
      </w:r>
    </w:p>
    <w:p w:rsidR="00130CD6" w:rsidRPr="00130CD6" w:rsidRDefault="00130CD6" w:rsidP="00130CD6">
      <w:pPr>
        <w:autoSpaceDE/>
        <w:autoSpaceDN/>
        <w:rPr>
          <w:rFonts w:ascii="Microsoft Sans Serif" w:hAnsi="Microsoft Sans Serif" w:cs="Microsoft Sans Serif"/>
        </w:rPr>
      </w:pPr>
    </w:p>
    <w:p w:rsidR="00130CD6" w:rsidRPr="00130CD6" w:rsidRDefault="00130CD6" w:rsidP="00130CD6">
      <w:pPr>
        <w:autoSpaceDE/>
        <w:autoSpaceDN/>
        <w:rPr>
          <w:rFonts w:ascii="Microsoft Sans Serif" w:hAnsi="Microsoft Sans Serif" w:cs="Microsoft Sans Serif"/>
        </w:rPr>
      </w:pPr>
      <w:r w:rsidRPr="00130CD6">
        <w:rPr>
          <w:rFonts w:ascii="Microsoft Sans Serif" w:hAnsi="Microsoft Sans Serif" w:cs="Microsoft Sans Serif"/>
        </w:rPr>
        <w:t>TODD S STEWART ESQUIRE</w:t>
      </w:r>
    </w:p>
    <w:p w:rsidR="00130CD6" w:rsidRPr="00130CD6" w:rsidRDefault="00130CD6" w:rsidP="00130CD6">
      <w:pPr>
        <w:autoSpaceDE/>
        <w:autoSpaceDN/>
        <w:rPr>
          <w:rFonts w:ascii="Microsoft Sans Serif" w:hAnsi="Microsoft Sans Serif" w:cs="Microsoft Sans Serif"/>
        </w:rPr>
      </w:pPr>
      <w:r w:rsidRPr="00130CD6">
        <w:rPr>
          <w:rFonts w:ascii="Microsoft Sans Serif" w:hAnsi="Microsoft Sans Serif" w:cs="Microsoft Sans Serif"/>
        </w:rPr>
        <w:t>HAWKE MCKEON &amp; SNISCAK L</w:t>
      </w:r>
      <w:bookmarkStart w:id="1" w:name="_GoBack"/>
      <w:bookmarkEnd w:id="1"/>
      <w:r w:rsidRPr="00130CD6">
        <w:rPr>
          <w:rFonts w:ascii="Microsoft Sans Serif" w:hAnsi="Microsoft Sans Serif" w:cs="Microsoft Sans Serif"/>
        </w:rPr>
        <w:t>LP</w:t>
      </w:r>
    </w:p>
    <w:p w:rsidR="00130CD6" w:rsidRPr="00130CD6" w:rsidRDefault="00130CD6" w:rsidP="00130CD6">
      <w:pPr>
        <w:autoSpaceDE/>
        <w:autoSpaceDN/>
        <w:rPr>
          <w:rFonts w:ascii="Microsoft Sans Serif" w:hAnsi="Microsoft Sans Serif" w:cs="Microsoft Sans Serif"/>
        </w:rPr>
      </w:pPr>
      <w:r w:rsidRPr="00130CD6">
        <w:rPr>
          <w:rFonts w:ascii="Microsoft Sans Serif" w:hAnsi="Microsoft Sans Serif" w:cs="Microsoft Sans Serif"/>
        </w:rPr>
        <w:t>100 NORTH TENTH STREET</w:t>
      </w:r>
    </w:p>
    <w:p w:rsidR="00130CD6" w:rsidRPr="00130CD6" w:rsidRDefault="00130CD6" w:rsidP="00130CD6">
      <w:pPr>
        <w:autoSpaceDE/>
        <w:autoSpaceDN/>
        <w:rPr>
          <w:rFonts w:ascii="Microsoft Sans Serif" w:hAnsi="Microsoft Sans Serif" w:cs="Microsoft Sans Serif"/>
        </w:rPr>
      </w:pPr>
      <w:r w:rsidRPr="00130CD6">
        <w:rPr>
          <w:rFonts w:ascii="Microsoft Sans Serif" w:hAnsi="Microsoft Sans Serif" w:cs="Microsoft Sans Serif"/>
        </w:rPr>
        <w:t>PO BOX 1778</w:t>
      </w:r>
    </w:p>
    <w:p w:rsidR="00130CD6" w:rsidRPr="00130CD6" w:rsidRDefault="00130CD6" w:rsidP="00130CD6">
      <w:pPr>
        <w:autoSpaceDE/>
        <w:autoSpaceDN/>
        <w:rPr>
          <w:rFonts w:ascii="Microsoft Sans Serif" w:hAnsi="Microsoft Sans Serif" w:cs="Microsoft Sans Serif"/>
        </w:rPr>
      </w:pPr>
      <w:r w:rsidRPr="00130CD6">
        <w:rPr>
          <w:rFonts w:ascii="Microsoft Sans Serif" w:hAnsi="Microsoft Sans Serif" w:cs="Microsoft Sans Serif"/>
        </w:rPr>
        <w:t>HARRISBURG PA  17105-1778</w:t>
      </w:r>
    </w:p>
    <w:p w:rsidR="00130CD6" w:rsidRPr="00130CD6" w:rsidRDefault="00130CD6" w:rsidP="00130CD6">
      <w:pPr>
        <w:autoSpaceDE/>
        <w:autoSpaceDN/>
        <w:rPr>
          <w:rFonts w:ascii="Microsoft Sans Serif" w:hAnsi="Microsoft Sans Serif" w:cs="Microsoft Sans Serif"/>
          <w:b/>
          <w:i/>
          <w:u w:val="single"/>
        </w:rPr>
      </w:pPr>
      <w:r w:rsidRPr="00130CD6">
        <w:rPr>
          <w:rFonts w:ascii="Microsoft Sans Serif" w:hAnsi="Microsoft Sans Serif" w:cs="Microsoft Sans Serif"/>
          <w:b/>
          <w:i/>
          <w:u w:val="single"/>
        </w:rPr>
        <w:t>Accepts eService</w:t>
      </w:r>
    </w:p>
    <w:p w:rsidR="00130CD6" w:rsidRPr="00130CD6" w:rsidRDefault="00130CD6" w:rsidP="00130CD6">
      <w:pPr>
        <w:autoSpaceDE/>
        <w:autoSpaceDN/>
        <w:rPr>
          <w:rFonts w:ascii="Microsoft Sans Serif" w:hAnsi="Microsoft Sans Serif" w:cs="Microsoft Sans Serif"/>
          <w:b/>
          <w:i/>
          <w:u w:val="single"/>
        </w:rPr>
      </w:pPr>
    </w:p>
    <w:p w:rsidR="00130CD6" w:rsidRPr="00130CD6" w:rsidRDefault="00130CD6" w:rsidP="00130CD6">
      <w:pPr>
        <w:autoSpaceDE/>
        <w:autoSpaceDN/>
        <w:rPr>
          <w:rFonts w:ascii="Microsoft Sans Serif" w:hAnsi="Microsoft Sans Serif" w:cs="Microsoft Sans Serif"/>
        </w:rPr>
      </w:pPr>
      <w:r w:rsidRPr="00130CD6">
        <w:rPr>
          <w:rFonts w:ascii="Microsoft Sans Serif" w:hAnsi="Microsoft Sans Serif" w:cs="Microsoft Sans Serif"/>
        </w:rPr>
        <w:t>CHRISTOPHER A LEWIS ESQUIRE</w:t>
      </w:r>
    </w:p>
    <w:p w:rsidR="00130CD6" w:rsidRPr="00130CD6" w:rsidRDefault="00130CD6" w:rsidP="00130CD6">
      <w:pPr>
        <w:autoSpaceDE/>
        <w:autoSpaceDN/>
        <w:rPr>
          <w:rFonts w:ascii="Microsoft Sans Serif" w:hAnsi="Microsoft Sans Serif" w:cs="Microsoft Sans Serif"/>
        </w:rPr>
      </w:pPr>
      <w:r w:rsidRPr="00130CD6">
        <w:rPr>
          <w:rFonts w:ascii="Microsoft Sans Serif" w:hAnsi="Microsoft Sans Serif" w:cs="Microsoft Sans Serif"/>
        </w:rPr>
        <w:t>CHARLES A FITZPATRICK IV ESQUIRE</w:t>
      </w:r>
    </w:p>
    <w:p w:rsidR="00130CD6" w:rsidRPr="00130CD6" w:rsidRDefault="00130CD6" w:rsidP="00130CD6">
      <w:pPr>
        <w:autoSpaceDE/>
        <w:autoSpaceDN/>
        <w:rPr>
          <w:rFonts w:ascii="Microsoft Sans Serif" w:hAnsi="Microsoft Sans Serif" w:cs="Microsoft Sans Serif"/>
        </w:rPr>
      </w:pPr>
      <w:r w:rsidRPr="00130CD6">
        <w:rPr>
          <w:rFonts w:ascii="Microsoft Sans Serif" w:hAnsi="Microsoft Sans Serif" w:cs="Microsoft Sans Serif"/>
        </w:rPr>
        <w:t>BLANK ROME LLP</w:t>
      </w:r>
    </w:p>
    <w:p w:rsidR="00130CD6" w:rsidRPr="00130CD6" w:rsidRDefault="00130CD6" w:rsidP="00130CD6">
      <w:pPr>
        <w:autoSpaceDE/>
        <w:autoSpaceDN/>
        <w:rPr>
          <w:rFonts w:ascii="Microsoft Sans Serif" w:hAnsi="Microsoft Sans Serif" w:cs="Microsoft Sans Serif"/>
        </w:rPr>
      </w:pPr>
      <w:r w:rsidRPr="00130CD6">
        <w:rPr>
          <w:rFonts w:ascii="Microsoft Sans Serif" w:hAnsi="Microsoft Sans Serif" w:cs="Microsoft Sans Serif"/>
        </w:rPr>
        <w:t>ONE LOGAN SQUARE</w:t>
      </w:r>
    </w:p>
    <w:p w:rsidR="00130CD6" w:rsidRPr="00130CD6" w:rsidRDefault="00130CD6" w:rsidP="00130CD6">
      <w:pPr>
        <w:autoSpaceDE/>
        <w:autoSpaceDN/>
        <w:rPr>
          <w:rFonts w:ascii="Microsoft Sans Serif" w:hAnsi="Microsoft Sans Serif" w:cs="Microsoft Sans Serif"/>
        </w:rPr>
      </w:pPr>
      <w:r w:rsidRPr="00130CD6">
        <w:rPr>
          <w:rFonts w:ascii="Microsoft Sans Serif" w:hAnsi="Microsoft Sans Serif" w:cs="Microsoft Sans Serif"/>
        </w:rPr>
        <w:t>130 NORTH 18</w:t>
      </w:r>
      <w:r w:rsidRPr="00130CD6">
        <w:rPr>
          <w:rFonts w:ascii="Microsoft Sans Serif" w:hAnsi="Microsoft Sans Serif" w:cs="Microsoft Sans Serif"/>
          <w:vertAlign w:val="superscript"/>
        </w:rPr>
        <w:t>TH</w:t>
      </w:r>
      <w:r w:rsidRPr="00130CD6">
        <w:rPr>
          <w:rFonts w:ascii="Microsoft Sans Serif" w:hAnsi="Microsoft Sans Serif" w:cs="Microsoft Sans Serif"/>
        </w:rPr>
        <w:t xml:space="preserve"> STREET</w:t>
      </w:r>
    </w:p>
    <w:p w:rsidR="00130CD6" w:rsidRPr="00130CD6" w:rsidRDefault="00130CD6" w:rsidP="00130CD6">
      <w:pPr>
        <w:autoSpaceDE/>
        <w:autoSpaceDN/>
        <w:rPr>
          <w:rFonts w:ascii="Microsoft Sans Serif" w:hAnsi="Microsoft Sans Serif" w:cs="Microsoft Sans Serif"/>
        </w:rPr>
      </w:pPr>
      <w:r w:rsidRPr="00130CD6">
        <w:rPr>
          <w:rFonts w:ascii="Microsoft Sans Serif" w:hAnsi="Microsoft Sans Serif" w:cs="Microsoft Sans Serif"/>
        </w:rPr>
        <w:t>PHILADELPHIA PA  19130</w:t>
      </w:r>
    </w:p>
    <w:p w:rsidR="00130CD6" w:rsidRPr="00130CD6" w:rsidRDefault="00130CD6" w:rsidP="00130CD6">
      <w:pPr>
        <w:autoSpaceDE/>
        <w:autoSpaceDN/>
        <w:rPr>
          <w:rFonts w:ascii="Microsoft Sans Serif" w:hAnsi="Microsoft Sans Serif" w:cs="Microsoft Sans Serif"/>
          <w:b/>
          <w:i/>
          <w:u w:val="single"/>
        </w:rPr>
      </w:pPr>
      <w:r w:rsidRPr="00130CD6">
        <w:rPr>
          <w:rFonts w:ascii="Microsoft Sans Serif" w:hAnsi="Microsoft Sans Serif" w:cs="Microsoft Sans Serif"/>
          <w:b/>
          <w:i/>
          <w:u w:val="single"/>
        </w:rPr>
        <w:t>Accepts eService</w:t>
      </w:r>
    </w:p>
    <w:p w:rsidR="00130CD6" w:rsidRPr="00130CD6" w:rsidRDefault="00130CD6" w:rsidP="00130CD6">
      <w:pPr>
        <w:autoSpaceDE/>
        <w:autoSpaceDN/>
        <w:rPr>
          <w:rFonts w:ascii="Microsoft Sans Serif" w:hAnsi="Microsoft Sans Serif" w:cs="Microsoft Sans Serif"/>
        </w:rPr>
      </w:pPr>
    </w:p>
    <w:p w:rsidR="003003AC" w:rsidRDefault="003003AC" w:rsidP="00600DD5">
      <w:pPr>
        <w:jc w:val="center"/>
        <w:rPr>
          <w:b/>
        </w:rPr>
        <w:sectPr w:rsidR="003003AC" w:rsidSect="00130CD6">
          <w:footerReference w:type="default" r:id="rId11"/>
          <w:footerReference w:type="first" r:id="rId12"/>
          <w:pgSz w:w="12240" w:h="15840"/>
          <w:pgMar w:top="1296" w:right="1440" w:bottom="1296" w:left="1440" w:header="720" w:footer="720" w:gutter="0"/>
          <w:cols w:space="720"/>
          <w:titlePg/>
          <w:docGrid w:linePitch="326"/>
        </w:sectPr>
      </w:pPr>
    </w:p>
    <w:p w:rsidR="00600DD5" w:rsidRPr="00F34CA5" w:rsidRDefault="00600DD5" w:rsidP="00600DD5">
      <w:pPr>
        <w:jc w:val="center"/>
        <w:rPr>
          <w:b/>
        </w:rPr>
      </w:pPr>
      <w:r w:rsidRPr="00F34CA5">
        <w:rPr>
          <w:b/>
        </w:rPr>
        <w:t>APPENDIX A</w:t>
      </w:r>
    </w:p>
    <w:p w:rsidR="00600DD5" w:rsidRPr="00F34CA5" w:rsidRDefault="00600DD5" w:rsidP="00600DD5">
      <w:pPr>
        <w:jc w:val="center"/>
      </w:pPr>
    </w:p>
    <w:p w:rsidR="00600DD5" w:rsidRPr="00F34CA5" w:rsidRDefault="00600DD5" w:rsidP="00600DD5">
      <w:pPr>
        <w:jc w:val="center"/>
        <w:rPr>
          <w:b/>
        </w:rPr>
      </w:pPr>
      <w:r w:rsidRPr="00F34CA5">
        <w:rPr>
          <w:b/>
        </w:rPr>
        <w:t>BEFORE THE</w:t>
      </w:r>
    </w:p>
    <w:p w:rsidR="00600DD5" w:rsidRPr="00F34CA5" w:rsidRDefault="00600DD5" w:rsidP="00600DD5">
      <w:pPr>
        <w:jc w:val="center"/>
        <w:rPr>
          <w:b/>
        </w:rPr>
      </w:pPr>
      <w:r w:rsidRPr="00F34CA5">
        <w:rPr>
          <w:b/>
        </w:rPr>
        <w:t>PENNSYLVANIA PUBLIC UTILITY COMMISSION</w:t>
      </w:r>
    </w:p>
    <w:p w:rsidR="00600DD5" w:rsidRPr="00F34CA5" w:rsidRDefault="00600DD5" w:rsidP="00600DD5">
      <w:pPr>
        <w:jc w:val="center"/>
      </w:pPr>
    </w:p>
    <w:tbl>
      <w:tblPr>
        <w:tblW w:w="9648" w:type="dxa"/>
        <w:tblLook w:val="04A0" w:firstRow="1" w:lastRow="0" w:firstColumn="1" w:lastColumn="0" w:noHBand="0" w:noVBand="1"/>
      </w:tblPr>
      <w:tblGrid>
        <w:gridCol w:w="4602"/>
        <w:gridCol w:w="283"/>
        <w:gridCol w:w="4763"/>
      </w:tblGrid>
      <w:tr w:rsidR="00600DD5" w:rsidRPr="00F34CA5" w:rsidTr="00391DC1">
        <w:tc>
          <w:tcPr>
            <w:tcW w:w="4602" w:type="dxa"/>
            <w:tcBorders>
              <w:top w:val="single" w:sz="4" w:space="0" w:color="auto"/>
              <w:bottom w:val="single" w:sz="4" w:space="0" w:color="auto"/>
            </w:tcBorders>
          </w:tcPr>
          <w:p w:rsidR="00600DD5" w:rsidRPr="00F34CA5" w:rsidRDefault="00600DD5" w:rsidP="00391DC1">
            <w:pPr>
              <w:rPr>
                <w:rFonts w:eastAsia="Calibri"/>
              </w:rPr>
            </w:pPr>
            <w:r w:rsidRPr="00F34CA5">
              <w:rPr>
                <w:rFonts w:eastAsia="Calibri"/>
              </w:rPr>
              <w:t>Commonwealth of Pennsylvania, by</w:t>
            </w:r>
          </w:p>
          <w:p w:rsidR="00600DD5" w:rsidRPr="00F34CA5" w:rsidRDefault="00600DD5" w:rsidP="00391DC1">
            <w:pPr>
              <w:rPr>
                <w:rFonts w:eastAsia="Calibri"/>
              </w:rPr>
            </w:pPr>
            <w:r w:rsidRPr="00F34CA5">
              <w:rPr>
                <w:rFonts w:eastAsia="Calibri"/>
              </w:rPr>
              <w:t xml:space="preserve">Attorney General KATHLEEN G. KANE, </w:t>
            </w:r>
          </w:p>
          <w:p w:rsidR="00600DD5" w:rsidRPr="00F34CA5" w:rsidRDefault="00600DD5" w:rsidP="00391DC1">
            <w:pPr>
              <w:rPr>
                <w:rFonts w:eastAsia="Calibri"/>
              </w:rPr>
            </w:pPr>
            <w:r w:rsidRPr="00F34CA5">
              <w:rPr>
                <w:rFonts w:eastAsia="Calibri"/>
              </w:rPr>
              <w:t>Through the Bureau of Consumer Protection,</w:t>
            </w:r>
          </w:p>
          <w:p w:rsidR="00600DD5" w:rsidRPr="00F34CA5" w:rsidRDefault="00600DD5" w:rsidP="00391DC1">
            <w:pPr>
              <w:rPr>
                <w:rFonts w:eastAsia="Calibri"/>
              </w:rPr>
            </w:pPr>
          </w:p>
          <w:p w:rsidR="00600DD5" w:rsidRPr="00F34CA5" w:rsidRDefault="00600DD5" w:rsidP="00391DC1">
            <w:pPr>
              <w:rPr>
                <w:rFonts w:eastAsia="Calibri"/>
              </w:rPr>
            </w:pPr>
            <w:r w:rsidRPr="00F34CA5">
              <w:rPr>
                <w:rFonts w:eastAsia="Calibri"/>
              </w:rPr>
              <w:t>AND</w:t>
            </w:r>
          </w:p>
          <w:p w:rsidR="00600DD5" w:rsidRPr="00F34CA5" w:rsidRDefault="00600DD5" w:rsidP="00391DC1">
            <w:pPr>
              <w:rPr>
                <w:rFonts w:eastAsia="Calibri"/>
              </w:rPr>
            </w:pPr>
          </w:p>
          <w:p w:rsidR="00600DD5" w:rsidRPr="00F34CA5" w:rsidRDefault="00600DD5" w:rsidP="00391DC1">
            <w:pPr>
              <w:rPr>
                <w:rFonts w:eastAsia="Calibri"/>
              </w:rPr>
            </w:pPr>
            <w:r w:rsidRPr="00F34CA5">
              <w:rPr>
                <w:rFonts w:eastAsia="Calibri"/>
              </w:rPr>
              <w:t>TANYA J. McCLOSKEY, Acting Consumer Advocate,</w:t>
            </w:r>
          </w:p>
          <w:p w:rsidR="00600DD5" w:rsidRPr="00F34CA5" w:rsidRDefault="00600DD5" w:rsidP="00391DC1">
            <w:pPr>
              <w:rPr>
                <w:rFonts w:eastAsia="Calibri"/>
              </w:rPr>
            </w:pPr>
          </w:p>
          <w:p w:rsidR="00600DD5" w:rsidRPr="00F34CA5" w:rsidRDefault="00600DD5" w:rsidP="00391DC1">
            <w:pPr>
              <w:rPr>
                <w:rFonts w:eastAsia="Calibri"/>
              </w:rPr>
            </w:pPr>
            <w:r w:rsidRPr="00F34CA5">
              <w:rPr>
                <w:rFonts w:eastAsia="Calibri"/>
              </w:rPr>
              <w:t>Complainants,</w:t>
            </w:r>
          </w:p>
          <w:p w:rsidR="00600DD5" w:rsidRPr="00F34CA5" w:rsidRDefault="00600DD5" w:rsidP="00391DC1">
            <w:pPr>
              <w:rPr>
                <w:rFonts w:eastAsia="Calibri"/>
              </w:rPr>
            </w:pPr>
          </w:p>
          <w:p w:rsidR="00600DD5" w:rsidRPr="00F34CA5" w:rsidRDefault="00600DD5" w:rsidP="00391DC1">
            <w:pPr>
              <w:rPr>
                <w:rFonts w:eastAsia="Calibri"/>
              </w:rPr>
            </w:pPr>
            <w:r w:rsidRPr="00F34CA5">
              <w:rPr>
                <w:rFonts w:eastAsia="Calibri"/>
              </w:rPr>
              <w:t>v.</w:t>
            </w:r>
          </w:p>
          <w:p w:rsidR="00600DD5" w:rsidRPr="00F34CA5" w:rsidRDefault="00600DD5" w:rsidP="00391DC1">
            <w:pPr>
              <w:rPr>
                <w:rFonts w:eastAsia="Calibri"/>
              </w:rPr>
            </w:pPr>
          </w:p>
          <w:p w:rsidR="00600DD5" w:rsidRPr="00F34CA5" w:rsidRDefault="00600DD5" w:rsidP="00391DC1">
            <w:pPr>
              <w:rPr>
                <w:rFonts w:eastAsia="Calibri"/>
              </w:rPr>
            </w:pPr>
            <w:r w:rsidRPr="00F34CA5">
              <w:rPr>
                <w:rFonts w:eastAsia="Calibri"/>
              </w:rPr>
              <w:t>ENERGY SERVICES PROVIDERS, INC. d/b/a</w:t>
            </w:r>
          </w:p>
          <w:p w:rsidR="00600DD5" w:rsidRPr="00F34CA5" w:rsidRDefault="00600DD5" w:rsidP="00391DC1">
            <w:pPr>
              <w:rPr>
                <w:rFonts w:eastAsia="Calibri"/>
              </w:rPr>
            </w:pPr>
            <w:r w:rsidRPr="00F34CA5">
              <w:rPr>
                <w:rFonts w:eastAsia="Calibri"/>
              </w:rPr>
              <w:t xml:space="preserve">PENNSYLVANIA GAS &amp; ELECTRIC, </w:t>
            </w:r>
          </w:p>
          <w:p w:rsidR="00600DD5" w:rsidRPr="00F34CA5" w:rsidRDefault="00600DD5" w:rsidP="00391DC1">
            <w:pPr>
              <w:rPr>
                <w:rFonts w:eastAsia="Calibri"/>
              </w:rPr>
            </w:pPr>
          </w:p>
          <w:p w:rsidR="00600DD5" w:rsidRPr="00F34CA5" w:rsidRDefault="00600DD5" w:rsidP="00391DC1">
            <w:pPr>
              <w:rPr>
                <w:rFonts w:eastAsia="Calibri"/>
              </w:rPr>
            </w:pPr>
            <w:r w:rsidRPr="00F34CA5">
              <w:rPr>
                <w:rFonts w:eastAsia="Calibri"/>
              </w:rPr>
              <w:t>Respondent.</w:t>
            </w:r>
          </w:p>
        </w:tc>
        <w:tc>
          <w:tcPr>
            <w:tcW w:w="283" w:type="dxa"/>
          </w:tcPr>
          <w:p w:rsidR="00600DD5" w:rsidRPr="00F34CA5" w:rsidRDefault="00600DD5" w:rsidP="00391DC1">
            <w:pPr>
              <w:rPr>
                <w:rFonts w:eastAsia="Calibri"/>
              </w:rPr>
            </w:pPr>
            <w:r w:rsidRPr="00F34CA5">
              <w:rPr>
                <w:rFonts w:eastAsia="Calibri"/>
              </w:rPr>
              <w:t>:</w:t>
            </w:r>
          </w:p>
          <w:p w:rsidR="00600DD5" w:rsidRPr="00F34CA5" w:rsidRDefault="00600DD5" w:rsidP="00391DC1">
            <w:pPr>
              <w:rPr>
                <w:rFonts w:eastAsia="Calibri"/>
              </w:rPr>
            </w:pPr>
            <w:r w:rsidRPr="00F34CA5">
              <w:rPr>
                <w:rFonts w:eastAsia="Calibri"/>
              </w:rPr>
              <w:t>:</w:t>
            </w:r>
          </w:p>
          <w:p w:rsidR="00600DD5" w:rsidRPr="00F34CA5" w:rsidRDefault="00600DD5" w:rsidP="00391DC1">
            <w:pPr>
              <w:rPr>
                <w:rFonts w:eastAsia="Calibri"/>
              </w:rPr>
            </w:pPr>
            <w:r w:rsidRPr="00F34CA5">
              <w:rPr>
                <w:rFonts w:eastAsia="Calibri"/>
              </w:rPr>
              <w:t>:</w:t>
            </w:r>
          </w:p>
          <w:p w:rsidR="00600DD5" w:rsidRPr="00F34CA5" w:rsidRDefault="00600DD5" w:rsidP="00391DC1">
            <w:pPr>
              <w:rPr>
                <w:rFonts w:eastAsia="Calibri"/>
              </w:rPr>
            </w:pPr>
            <w:r w:rsidRPr="00F34CA5">
              <w:rPr>
                <w:rFonts w:eastAsia="Calibri"/>
              </w:rPr>
              <w:t>:</w:t>
            </w:r>
          </w:p>
          <w:p w:rsidR="00600DD5" w:rsidRPr="00F34CA5" w:rsidRDefault="00600DD5" w:rsidP="00391DC1">
            <w:pPr>
              <w:rPr>
                <w:rFonts w:eastAsia="Calibri"/>
              </w:rPr>
            </w:pPr>
            <w:r w:rsidRPr="00F34CA5">
              <w:rPr>
                <w:rFonts w:eastAsia="Calibri"/>
              </w:rPr>
              <w:t>:</w:t>
            </w:r>
          </w:p>
          <w:p w:rsidR="00600DD5" w:rsidRPr="00F34CA5" w:rsidRDefault="00600DD5" w:rsidP="00391DC1">
            <w:pPr>
              <w:rPr>
                <w:rFonts w:eastAsia="Calibri"/>
              </w:rPr>
            </w:pPr>
            <w:r w:rsidRPr="00F34CA5">
              <w:rPr>
                <w:rFonts w:eastAsia="Calibri"/>
              </w:rPr>
              <w:t>:</w:t>
            </w:r>
          </w:p>
          <w:p w:rsidR="00600DD5" w:rsidRPr="00F34CA5" w:rsidRDefault="00600DD5" w:rsidP="00391DC1">
            <w:pPr>
              <w:rPr>
                <w:rFonts w:eastAsia="Calibri"/>
              </w:rPr>
            </w:pPr>
            <w:r w:rsidRPr="00F34CA5">
              <w:rPr>
                <w:rFonts w:eastAsia="Calibri"/>
              </w:rPr>
              <w:t>:</w:t>
            </w:r>
          </w:p>
          <w:p w:rsidR="00600DD5" w:rsidRPr="00F34CA5" w:rsidRDefault="00600DD5" w:rsidP="00391DC1">
            <w:pPr>
              <w:rPr>
                <w:rFonts w:eastAsia="Calibri"/>
              </w:rPr>
            </w:pPr>
            <w:r w:rsidRPr="00F34CA5">
              <w:rPr>
                <w:rFonts w:eastAsia="Calibri"/>
              </w:rPr>
              <w:t>:</w:t>
            </w:r>
          </w:p>
          <w:p w:rsidR="00600DD5" w:rsidRPr="00F34CA5" w:rsidRDefault="00600DD5" w:rsidP="00391DC1">
            <w:pPr>
              <w:rPr>
                <w:rFonts w:eastAsia="Calibri"/>
              </w:rPr>
            </w:pPr>
            <w:r w:rsidRPr="00F34CA5">
              <w:rPr>
                <w:rFonts w:eastAsia="Calibri"/>
              </w:rPr>
              <w:t>:</w:t>
            </w:r>
          </w:p>
          <w:p w:rsidR="00600DD5" w:rsidRPr="00F34CA5" w:rsidRDefault="00600DD5" w:rsidP="00391DC1">
            <w:pPr>
              <w:rPr>
                <w:rFonts w:eastAsia="Calibri"/>
              </w:rPr>
            </w:pPr>
            <w:r w:rsidRPr="00F34CA5">
              <w:rPr>
                <w:rFonts w:eastAsia="Calibri"/>
              </w:rPr>
              <w:t>:</w:t>
            </w:r>
          </w:p>
          <w:p w:rsidR="00600DD5" w:rsidRPr="00F34CA5" w:rsidRDefault="00600DD5" w:rsidP="00391DC1">
            <w:pPr>
              <w:rPr>
                <w:rFonts w:eastAsia="Calibri"/>
              </w:rPr>
            </w:pPr>
            <w:r w:rsidRPr="00F34CA5">
              <w:rPr>
                <w:rFonts w:eastAsia="Calibri"/>
              </w:rPr>
              <w:t>:</w:t>
            </w:r>
          </w:p>
          <w:p w:rsidR="00600DD5" w:rsidRPr="00F34CA5" w:rsidRDefault="00600DD5" w:rsidP="00391DC1">
            <w:pPr>
              <w:rPr>
                <w:rFonts w:eastAsia="Calibri"/>
              </w:rPr>
            </w:pPr>
            <w:r w:rsidRPr="00F34CA5">
              <w:rPr>
                <w:rFonts w:eastAsia="Calibri"/>
              </w:rPr>
              <w:t>:</w:t>
            </w:r>
          </w:p>
          <w:p w:rsidR="00600DD5" w:rsidRPr="00F34CA5" w:rsidRDefault="00600DD5" w:rsidP="00391DC1">
            <w:pPr>
              <w:rPr>
                <w:rFonts w:eastAsia="Calibri"/>
              </w:rPr>
            </w:pPr>
            <w:r w:rsidRPr="00F34CA5">
              <w:rPr>
                <w:rFonts w:eastAsia="Calibri"/>
              </w:rPr>
              <w:t>:</w:t>
            </w:r>
          </w:p>
          <w:p w:rsidR="00600DD5" w:rsidRPr="00F34CA5" w:rsidRDefault="00600DD5" w:rsidP="00391DC1">
            <w:pPr>
              <w:rPr>
                <w:rFonts w:eastAsia="Calibri"/>
              </w:rPr>
            </w:pPr>
            <w:r w:rsidRPr="00F34CA5">
              <w:rPr>
                <w:rFonts w:eastAsia="Calibri"/>
              </w:rPr>
              <w:t>:</w:t>
            </w:r>
          </w:p>
          <w:p w:rsidR="00600DD5" w:rsidRPr="00F34CA5" w:rsidRDefault="00600DD5" w:rsidP="00391DC1">
            <w:pPr>
              <w:rPr>
                <w:rFonts w:eastAsia="Calibri"/>
              </w:rPr>
            </w:pPr>
            <w:r w:rsidRPr="00F34CA5">
              <w:rPr>
                <w:rFonts w:eastAsia="Calibri"/>
              </w:rPr>
              <w:t>:</w:t>
            </w:r>
          </w:p>
          <w:p w:rsidR="00600DD5" w:rsidRPr="00F34CA5" w:rsidRDefault="00600DD5" w:rsidP="00391DC1">
            <w:pPr>
              <w:rPr>
                <w:rFonts w:eastAsia="Calibri"/>
              </w:rPr>
            </w:pPr>
            <w:r w:rsidRPr="00F34CA5">
              <w:rPr>
                <w:rFonts w:eastAsia="Calibri"/>
              </w:rPr>
              <w:t>:</w:t>
            </w:r>
          </w:p>
          <w:p w:rsidR="00600DD5" w:rsidRPr="00F34CA5" w:rsidRDefault="00600DD5" w:rsidP="00391DC1">
            <w:pPr>
              <w:rPr>
                <w:rFonts w:eastAsia="Calibri"/>
              </w:rPr>
            </w:pPr>
            <w:r w:rsidRPr="00F34CA5">
              <w:rPr>
                <w:rFonts w:eastAsia="Calibri"/>
              </w:rPr>
              <w:t>:</w:t>
            </w:r>
          </w:p>
          <w:p w:rsidR="00600DD5" w:rsidRPr="00F34CA5" w:rsidRDefault="00600DD5" w:rsidP="00391DC1">
            <w:pPr>
              <w:rPr>
                <w:rFonts w:eastAsia="Calibri"/>
              </w:rPr>
            </w:pPr>
            <w:r w:rsidRPr="00F34CA5">
              <w:rPr>
                <w:rFonts w:eastAsia="Calibri"/>
              </w:rPr>
              <w:t>:</w:t>
            </w:r>
          </w:p>
        </w:tc>
        <w:tc>
          <w:tcPr>
            <w:tcW w:w="4763" w:type="dxa"/>
          </w:tcPr>
          <w:p w:rsidR="00600DD5" w:rsidRPr="00F34CA5" w:rsidRDefault="00600DD5" w:rsidP="00391DC1">
            <w:pPr>
              <w:rPr>
                <w:rFonts w:eastAsia="Calibri"/>
              </w:rPr>
            </w:pPr>
          </w:p>
          <w:p w:rsidR="00600DD5" w:rsidRPr="00F34CA5" w:rsidRDefault="00600DD5" w:rsidP="00391DC1">
            <w:pPr>
              <w:rPr>
                <w:rFonts w:eastAsia="Calibri"/>
              </w:rPr>
            </w:pPr>
            <w:r w:rsidRPr="00F34CA5">
              <w:rPr>
                <w:rFonts w:eastAsia="Calibri"/>
              </w:rPr>
              <w:t>Docket No. C-2014-2427656</w:t>
            </w:r>
          </w:p>
        </w:tc>
      </w:tr>
      <w:tr w:rsidR="00600DD5" w:rsidRPr="00F34CA5" w:rsidTr="00391DC1">
        <w:tc>
          <w:tcPr>
            <w:tcW w:w="4602" w:type="dxa"/>
          </w:tcPr>
          <w:p w:rsidR="00600DD5" w:rsidRPr="00F34CA5" w:rsidRDefault="00600DD5" w:rsidP="00391DC1">
            <w:pPr>
              <w:rPr>
                <w:rFonts w:eastAsia="Calibri"/>
              </w:rPr>
            </w:pPr>
          </w:p>
        </w:tc>
        <w:tc>
          <w:tcPr>
            <w:tcW w:w="283" w:type="dxa"/>
          </w:tcPr>
          <w:p w:rsidR="00600DD5" w:rsidRPr="00F34CA5" w:rsidRDefault="00600DD5" w:rsidP="00391DC1">
            <w:pPr>
              <w:rPr>
                <w:rFonts w:eastAsia="Calibri"/>
              </w:rPr>
            </w:pPr>
          </w:p>
        </w:tc>
        <w:tc>
          <w:tcPr>
            <w:tcW w:w="4763" w:type="dxa"/>
          </w:tcPr>
          <w:p w:rsidR="00600DD5" w:rsidRPr="00F34CA5" w:rsidRDefault="00600DD5" w:rsidP="00391DC1">
            <w:pPr>
              <w:rPr>
                <w:rFonts w:eastAsia="Calibri"/>
              </w:rPr>
            </w:pPr>
          </w:p>
        </w:tc>
      </w:tr>
    </w:tbl>
    <w:p w:rsidR="00600DD5" w:rsidRPr="00F34CA5" w:rsidRDefault="00600DD5" w:rsidP="00600DD5">
      <w:pPr>
        <w:spacing w:line="360" w:lineRule="auto"/>
        <w:rPr>
          <w:snapToGrid w:val="0"/>
        </w:rPr>
      </w:pPr>
      <w:r w:rsidRPr="00F34CA5">
        <w:rPr>
          <w:snapToGrid w:val="0"/>
        </w:rPr>
        <w:tab/>
        <w:t xml:space="preserve">The undersigned has read and understands the Protective Order issued in the above-captioned proceeding, which deals with the treatment of Proprietary and Highly Confidential Information. The undersigned agrees to be bound by, and comply with, the terms and conditions of said Protective Order.  In the case of an independent expert, the undersigned represents that he/she has complied with the provisions of paragraph 5(a)(ii) of this Order prior to submitting this Affidavit. The undersigned agrees that any Proprietary and Highly Confidential Information, as addressed and defined in the Protective Order, shall be used and disclosed only for purposes of preparation for, and the conduct of, the above-captioned proceeding, and any administrative or judicial review thereof, and shall not be disclosed or used for any other purposes whatsoever.  </w:t>
      </w:r>
    </w:p>
    <w:p w:rsidR="00600DD5" w:rsidRPr="00F34CA5" w:rsidRDefault="00600DD5" w:rsidP="00600DD5">
      <w:pPr>
        <w:spacing w:line="360" w:lineRule="auto"/>
        <w:rPr>
          <w:snapToGrid w:val="0"/>
        </w:rPr>
      </w:pPr>
      <w:r w:rsidRPr="00F34CA5">
        <w:rPr>
          <w:snapToGrid w:val="0"/>
        </w:rPr>
        <w:br w:type="page"/>
      </w:r>
    </w:p>
    <w:tbl>
      <w:tblPr>
        <w:tblW w:w="0" w:type="auto"/>
        <w:tblLayout w:type="fixed"/>
        <w:tblCellMar>
          <w:left w:w="115" w:type="dxa"/>
          <w:right w:w="115" w:type="dxa"/>
        </w:tblCellMar>
        <w:tblLook w:val="0000" w:firstRow="0" w:lastRow="0" w:firstColumn="0" w:lastColumn="0" w:noHBand="0" w:noVBand="0"/>
      </w:tblPr>
      <w:tblGrid>
        <w:gridCol w:w="2214"/>
        <w:gridCol w:w="250"/>
        <w:gridCol w:w="6406"/>
      </w:tblGrid>
      <w:tr w:rsidR="00600DD5" w:rsidRPr="00F34CA5" w:rsidTr="00391DC1">
        <w:tc>
          <w:tcPr>
            <w:tcW w:w="2214" w:type="dxa"/>
          </w:tcPr>
          <w:p w:rsidR="00600DD5" w:rsidRPr="00F34CA5" w:rsidRDefault="00600DD5" w:rsidP="00391DC1">
            <w:pPr>
              <w:rPr>
                <w:snapToGrid w:val="0"/>
              </w:rPr>
            </w:pPr>
          </w:p>
        </w:tc>
        <w:tc>
          <w:tcPr>
            <w:tcW w:w="250" w:type="dxa"/>
          </w:tcPr>
          <w:p w:rsidR="00600DD5" w:rsidRPr="00F34CA5" w:rsidRDefault="00600DD5" w:rsidP="00391DC1">
            <w:pPr>
              <w:rPr>
                <w:snapToGrid w:val="0"/>
              </w:rPr>
            </w:pPr>
          </w:p>
        </w:tc>
        <w:tc>
          <w:tcPr>
            <w:tcW w:w="6406" w:type="dxa"/>
          </w:tcPr>
          <w:p w:rsidR="00600DD5" w:rsidRPr="00F34CA5" w:rsidRDefault="00600DD5" w:rsidP="00391DC1">
            <w:pPr>
              <w:pBdr>
                <w:bottom w:val="single" w:sz="12" w:space="1" w:color="auto"/>
              </w:pBdr>
              <w:rPr>
                <w:snapToGrid w:val="0"/>
              </w:rPr>
            </w:pPr>
          </w:p>
          <w:p w:rsidR="00600DD5" w:rsidRPr="00F34CA5" w:rsidRDefault="00600DD5" w:rsidP="00391DC1">
            <w:pPr>
              <w:rPr>
                <w:snapToGrid w:val="0"/>
              </w:rPr>
            </w:pPr>
            <w:r w:rsidRPr="00F34CA5">
              <w:rPr>
                <w:snapToGrid w:val="0"/>
              </w:rPr>
              <w:t>Signature</w:t>
            </w:r>
          </w:p>
          <w:p w:rsidR="00600DD5" w:rsidRPr="00F34CA5" w:rsidRDefault="00600DD5" w:rsidP="00391DC1">
            <w:pPr>
              <w:pBdr>
                <w:bottom w:val="single" w:sz="12" w:space="1" w:color="auto"/>
              </w:pBdr>
              <w:rPr>
                <w:snapToGrid w:val="0"/>
              </w:rPr>
            </w:pPr>
          </w:p>
          <w:p w:rsidR="00600DD5" w:rsidRPr="00F34CA5" w:rsidRDefault="00600DD5" w:rsidP="00391DC1">
            <w:pPr>
              <w:pBdr>
                <w:bottom w:val="single" w:sz="12" w:space="1" w:color="auto"/>
              </w:pBdr>
              <w:rPr>
                <w:snapToGrid w:val="0"/>
              </w:rPr>
            </w:pPr>
          </w:p>
          <w:p w:rsidR="00600DD5" w:rsidRPr="00F34CA5" w:rsidRDefault="00600DD5" w:rsidP="00391DC1">
            <w:pPr>
              <w:rPr>
                <w:snapToGrid w:val="0"/>
              </w:rPr>
            </w:pPr>
            <w:r w:rsidRPr="00F34CA5">
              <w:rPr>
                <w:snapToGrid w:val="0"/>
              </w:rPr>
              <w:t xml:space="preserve">Print Name </w:t>
            </w:r>
          </w:p>
          <w:p w:rsidR="00600DD5" w:rsidRPr="00F34CA5" w:rsidRDefault="00600DD5" w:rsidP="00391DC1">
            <w:pPr>
              <w:pBdr>
                <w:bottom w:val="single" w:sz="12" w:space="1" w:color="auto"/>
              </w:pBdr>
              <w:rPr>
                <w:snapToGrid w:val="0"/>
              </w:rPr>
            </w:pPr>
          </w:p>
          <w:p w:rsidR="00600DD5" w:rsidRPr="00F34CA5" w:rsidRDefault="00600DD5" w:rsidP="00391DC1">
            <w:pPr>
              <w:pBdr>
                <w:bottom w:val="single" w:sz="12" w:space="1" w:color="auto"/>
              </w:pBdr>
              <w:rPr>
                <w:snapToGrid w:val="0"/>
              </w:rPr>
            </w:pPr>
          </w:p>
          <w:p w:rsidR="00600DD5" w:rsidRPr="00F34CA5" w:rsidRDefault="00600DD5" w:rsidP="00391DC1">
            <w:pPr>
              <w:rPr>
                <w:snapToGrid w:val="0"/>
              </w:rPr>
            </w:pPr>
            <w:r w:rsidRPr="00F34CA5">
              <w:rPr>
                <w:snapToGrid w:val="0"/>
              </w:rPr>
              <w:t>Date</w:t>
            </w:r>
          </w:p>
          <w:p w:rsidR="00600DD5" w:rsidRPr="00F34CA5" w:rsidRDefault="00600DD5" w:rsidP="00391DC1">
            <w:pPr>
              <w:pBdr>
                <w:bottom w:val="single" w:sz="12" w:space="1" w:color="auto"/>
              </w:pBdr>
              <w:rPr>
                <w:snapToGrid w:val="0"/>
              </w:rPr>
            </w:pPr>
          </w:p>
          <w:p w:rsidR="00600DD5" w:rsidRPr="00F34CA5" w:rsidRDefault="00600DD5" w:rsidP="00391DC1">
            <w:pPr>
              <w:pBdr>
                <w:bottom w:val="single" w:sz="12" w:space="1" w:color="auto"/>
              </w:pBdr>
              <w:rPr>
                <w:snapToGrid w:val="0"/>
              </w:rPr>
            </w:pPr>
          </w:p>
          <w:p w:rsidR="00600DD5" w:rsidRPr="00F34CA5" w:rsidRDefault="00600DD5" w:rsidP="00391DC1">
            <w:pPr>
              <w:rPr>
                <w:snapToGrid w:val="0"/>
              </w:rPr>
            </w:pPr>
            <w:r w:rsidRPr="00F34CA5">
              <w:rPr>
                <w:snapToGrid w:val="0"/>
              </w:rPr>
              <w:t>Job Title and Job Description</w:t>
            </w:r>
          </w:p>
          <w:p w:rsidR="00600DD5" w:rsidRPr="00F34CA5" w:rsidRDefault="00600DD5" w:rsidP="00391DC1">
            <w:pPr>
              <w:pBdr>
                <w:bottom w:val="single" w:sz="12" w:space="1" w:color="auto"/>
              </w:pBdr>
              <w:rPr>
                <w:snapToGrid w:val="0"/>
              </w:rPr>
            </w:pPr>
          </w:p>
          <w:p w:rsidR="00600DD5" w:rsidRPr="00F34CA5" w:rsidRDefault="00600DD5" w:rsidP="00391DC1">
            <w:pPr>
              <w:pBdr>
                <w:bottom w:val="single" w:sz="12" w:space="1" w:color="auto"/>
              </w:pBdr>
              <w:rPr>
                <w:snapToGrid w:val="0"/>
              </w:rPr>
            </w:pPr>
          </w:p>
          <w:p w:rsidR="00600DD5" w:rsidRPr="00F34CA5" w:rsidRDefault="00600DD5" w:rsidP="00391DC1">
            <w:pPr>
              <w:rPr>
                <w:snapToGrid w:val="0"/>
              </w:rPr>
            </w:pPr>
            <w:r w:rsidRPr="00F34CA5">
              <w:rPr>
                <w:snapToGrid w:val="0"/>
              </w:rPr>
              <w:t>Business Address</w:t>
            </w:r>
          </w:p>
          <w:p w:rsidR="00600DD5" w:rsidRPr="00F34CA5" w:rsidRDefault="00600DD5" w:rsidP="00391DC1">
            <w:pPr>
              <w:pBdr>
                <w:bottom w:val="single" w:sz="12" w:space="1" w:color="auto"/>
              </w:pBdr>
              <w:rPr>
                <w:snapToGrid w:val="0"/>
              </w:rPr>
            </w:pPr>
          </w:p>
          <w:p w:rsidR="00600DD5" w:rsidRPr="00F34CA5" w:rsidRDefault="00600DD5" w:rsidP="00391DC1">
            <w:pPr>
              <w:pBdr>
                <w:bottom w:val="single" w:sz="12" w:space="1" w:color="auto"/>
              </w:pBdr>
              <w:rPr>
                <w:snapToGrid w:val="0"/>
              </w:rPr>
            </w:pPr>
          </w:p>
          <w:p w:rsidR="00600DD5" w:rsidRPr="00F34CA5" w:rsidRDefault="00600DD5" w:rsidP="00391DC1">
            <w:pPr>
              <w:rPr>
                <w:snapToGrid w:val="0"/>
              </w:rPr>
            </w:pPr>
            <w:r w:rsidRPr="00F34CA5">
              <w:rPr>
                <w:snapToGrid w:val="0"/>
              </w:rPr>
              <w:t>Employer</w:t>
            </w:r>
          </w:p>
          <w:p w:rsidR="00600DD5" w:rsidRPr="00F34CA5" w:rsidRDefault="00600DD5" w:rsidP="00391DC1">
            <w:pPr>
              <w:pBdr>
                <w:bottom w:val="single" w:sz="12" w:space="1" w:color="auto"/>
              </w:pBdr>
              <w:rPr>
                <w:snapToGrid w:val="0"/>
              </w:rPr>
            </w:pPr>
          </w:p>
          <w:p w:rsidR="00600DD5" w:rsidRPr="00F34CA5" w:rsidRDefault="00600DD5" w:rsidP="00391DC1">
            <w:pPr>
              <w:pBdr>
                <w:bottom w:val="single" w:sz="12" w:space="1" w:color="auto"/>
              </w:pBdr>
              <w:rPr>
                <w:snapToGrid w:val="0"/>
              </w:rPr>
            </w:pPr>
          </w:p>
          <w:p w:rsidR="00600DD5" w:rsidRPr="00F34CA5" w:rsidRDefault="00600DD5" w:rsidP="00391DC1">
            <w:pPr>
              <w:rPr>
                <w:snapToGrid w:val="0"/>
              </w:rPr>
            </w:pPr>
            <w:r w:rsidRPr="00F34CA5">
              <w:rPr>
                <w:snapToGrid w:val="0"/>
              </w:rPr>
              <w:t>If Independent Expert, List Persons/Entities Retaining You</w:t>
            </w:r>
          </w:p>
          <w:p w:rsidR="00600DD5" w:rsidRPr="00F34CA5" w:rsidRDefault="00600DD5" w:rsidP="00391DC1">
            <w:pPr>
              <w:pBdr>
                <w:bottom w:val="single" w:sz="12" w:space="1" w:color="auto"/>
              </w:pBdr>
              <w:rPr>
                <w:snapToGrid w:val="0"/>
              </w:rPr>
            </w:pPr>
          </w:p>
          <w:p w:rsidR="00600DD5" w:rsidRPr="00F34CA5" w:rsidRDefault="00600DD5" w:rsidP="00391DC1">
            <w:pPr>
              <w:pBdr>
                <w:bottom w:val="single" w:sz="12" w:space="1" w:color="auto"/>
              </w:pBdr>
              <w:rPr>
                <w:snapToGrid w:val="0"/>
              </w:rPr>
            </w:pPr>
          </w:p>
          <w:p w:rsidR="00600DD5" w:rsidRPr="00F34CA5" w:rsidRDefault="00600DD5" w:rsidP="00391DC1">
            <w:pPr>
              <w:rPr>
                <w:snapToGrid w:val="0"/>
              </w:rPr>
            </w:pPr>
            <w:r w:rsidRPr="00F34CA5">
              <w:rPr>
                <w:snapToGrid w:val="0"/>
              </w:rPr>
              <w:t xml:space="preserve">Role in Proceeding </w:t>
            </w:r>
          </w:p>
        </w:tc>
      </w:tr>
    </w:tbl>
    <w:p w:rsidR="00600DD5" w:rsidRPr="00F34CA5" w:rsidRDefault="00600DD5" w:rsidP="00600DD5">
      <w:pPr>
        <w:rPr>
          <w:caps/>
        </w:rPr>
      </w:pPr>
    </w:p>
    <w:p w:rsidR="00600DD5" w:rsidRPr="00F077F4" w:rsidRDefault="00600DD5" w:rsidP="00600DD5">
      <w:pPr>
        <w:contextualSpacing/>
        <w:rPr>
          <w:kern w:val="2"/>
        </w:rPr>
      </w:pPr>
    </w:p>
    <w:p w:rsidR="009160D8" w:rsidRPr="000E30FF" w:rsidRDefault="009160D8" w:rsidP="00600DD5">
      <w:pPr>
        <w:pStyle w:val="NoSpacing"/>
        <w:spacing w:line="360" w:lineRule="auto"/>
        <w:rPr>
          <w:strike/>
        </w:rPr>
      </w:pPr>
    </w:p>
    <w:sectPr w:rsidR="009160D8" w:rsidRPr="000E30FF" w:rsidSect="00713D64">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66B" w:rsidRDefault="0006166B">
      <w:r>
        <w:separator/>
      </w:r>
    </w:p>
  </w:endnote>
  <w:endnote w:type="continuationSeparator" w:id="0">
    <w:p w:rsidR="0006166B" w:rsidRDefault="000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989014"/>
      <w:docPartObj>
        <w:docPartGallery w:val="Page Numbers (Bottom of Page)"/>
        <w:docPartUnique/>
      </w:docPartObj>
    </w:sdtPr>
    <w:sdtEndPr>
      <w:rPr>
        <w:noProof/>
        <w:sz w:val="20"/>
        <w:szCs w:val="20"/>
      </w:rPr>
    </w:sdtEndPr>
    <w:sdtContent>
      <w:p w:rsidR="00D5498C" w:rsidRPr="00D5498C" w:rsidRDefault="00D5498C">
        <w:pPr>
          <w:pStyle w:val="Footer"/>
          <w:jc w:val="center"/>
          <w:rPr>
            <w:sz w:val="20"/>
            <w:szCs w:val="20"/>
          </w:rPr>
        </w:pPr>
        <w:r w:rsidRPr="00D5498C">
          <w:rPr>
            <w:sz w:val="20"/>
            <w:szCs w:val="20"/>
          </w:rPr>
          <w:fldChar w:fldCharType="begin"/>
        </w:r>
        <w:r w:rsidRPr="00D5498C">
          <w:rPr>
            <w:sz w:val="20"/>
            <w:szCs w:val="20"/>
          </w:rPr>
          <w:instrText xml:space="preserve"> PAGE   \* MERGEFORMAT </w:instrText>
        </w:r>
        <w:r w:rsidRPr="00D5498C">
          <w:rPr>
            <w:sz w:val="20"/>
            <w:szCs w:val="20"/>
          </w:rPr>
          <w:fldChar w:fldCharType="separate"/>
        </w:r>
        <w:r w:rsidR="00130CD6">
          <w:rPr>
            <w:noProof/>
            <w:sz w:val="20"/>
            <w:szCs w:val="20"/>
          </w:rPr>
          <w:t>10</w:t>
        </w:r>
        <w:r w:rsidRPr="00D5498C">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285926241"/>
      <w:docPartObj>
        <w:docPartGallery w:val="Page Numbers (Bottom of Page)"/>
        <w:docPartUnique/>
      </w:docPartObj>
    </w:sdtPr>
    <w:sdtEndPr>
      <w:rPr>
        <w:noProof/>
      </w:rPr>
    </w:sdtEndPr>
    <w:sdtContent>
      <w:p w:rsidR="00D5498C" w:rsidRPr="00D5498C" w:rsidRDefault="00D5498C">
        <w:pPr>
          <w:pStyle w:val="Footer"/>
          <w:jc w:val="center"/>
          <w:rPr>
            <w:sz w:val="20"/>
            <w:szCs w:val="20"/>
          </w:rPr>
        </w:pPr>
        <w:r w:rsidRPr="00D5498C">
          <w:rPr>
            <w:sz w:val="20"/>
            <w:szCs w:val="20"/>
          </w:rPr>
          <w:fldChar w:fldCharType="begin"/>
        </w:r>
        <w:r w:rsidRPr="00D5498C">
          <w:rPr>
            <w:sz w:val="20"/>
            <w:szCs w:val="20"/>
          </w:rPr>
          <w:instrText xml:space="preserve"> PAGE   \* MERGEFORMAT </w:instrText>
        </w:r>
        <w:r w:rsidRPr="00D5498C">
          <w:rPr>
            <w:sz w:val="20"/>
            <w:szCs w:val="20"/>
          </w:rPr>
          <w:fldChar w:fldCharType="separate"/>
        </w:r>
        <w:r w:rsidR="00130CD6">
          <w:rPr>
            <w:noProof/>
            <w:sz w:val="20"/>
            <w:szCs w:val="20"/>
          </w:rPr>
          <w:t>5</w:t>
        </w:r>
        <w:r w:rsidRPr="00D5498C">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6D33B5">
    <w:pPr>
      <w:pStyle w:val="Footer"/>
      <w:rPr>
        <w:sz w:val="23"/>
        <w:szCs w:val="23"/>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98C" w:rsidRPr="00D5498C" w:rsidRDefault="00D5498C">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66B" w:rsidRDefault="0006166B">
      <w:r>
        <w:separator/>
      </w:r>
    </w:p>
  </w:footnote>
  <w:footnote w:type="continuationSeparator" w:id="0">
    <w:p w:rsidR="0006166B" w:rsidRDefault="000616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3C1CF1"/>
    <w:multiLevelType w:val="hybridMultilevel"/>
    <w:tmpl w:val="0E3ED41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6EC66F95"/>
    <w:multiLevelType w:val="multilevel"/>
    <w:tmpl w:val="69100034"/>
    <w:lvl w:ilvl="0">
      <w:start w:val="1"/>
      <w:numFmt w:val="decimal"/>
      <w:pStyle w:val="Heading1"/>
      <w:lvlText w:val="%1."/>
      <w:lvlJc w:val="left"/>
      <w:pPr>
        <w:tabs>
          <w:tab w:val="num" w:pos="0"/>
        </w:tabs>
        <w:ind w:left="0"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Heading2"/>
      <w:lvlText w:val="%2."/>
      <w:lvlJc w:val="left"/>
      <w:pPr>
        <w:tabs>
          <w:tab w:val="num" w:pos="0"/>
        </w:tabs>
        <w:ind w:left="72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Heading3"/>
      <w:lvlText w:val="%3."/>
      <w:lvlJc w:val="left"/>
      <w:pPr>
        <w:tabs>
          <w:tab w:val="num" w:pos="0"/>
        </w:tabs>
        <w:ind w:left="144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Heading4"/>
      <w:suff w:val="nothing"/>
      <w:lvlText w:val=""/>
      <w:lvlJc w:val="left"/>
      <w:pPr>
        <w:tabs>
          <w:tab w:val="num" w:pos="0"/>
        </w:tabs>
        <w:ind w:left="0" w:firstLine="0"/>
      </w:pPr>
      <w:rPr>
        <w:rFonts w:ascii="9999999" w:hAnsi="9999999"/>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Heading5"/>
      <w:suff w:val="nothing"/>
      <w:lvlText w:val=""/>
      <w:lvlJc w:val="left"/>
      <w:pPr>
        <w:tabs>
          <w:tab w:val="num" w:pos="0"/>
        </w:tabs>
        <w:ind w:left="0" w:firstLine="0"/>
      </w:pPr>
      <w:rPr>
        <w:rFonts w:ascii="9999999" w:hAnsi="9999999"/>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suff w:val="nothing"/>
      <w:lvlText w:val=""/>
      <w:lvlJc w:val="left"/>
      <w:pPr>
        <w:tabs>
          <w:tab w:val="num" w:pos="0"/>
        </w:tabs>
        <w:ind w:left="0" w:firstLine="0"/>
      </w:pPr>
      <w:rPr>
        <w:rFonts w:ascii="9999999" w:hAnsi="9999999"/>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tabs>
          <w:tab w:val="num" w:pos="0"/>
        </w:tabs>
        <w:ind w:left="0" w:firstLine="0"/>
      </w:pPr>
      <w:rPr>
        <w:rFonts w:ascii="9999999" w:hAnsi="9999999"/>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pPr>
        <w:tabs>
          <w:tab w:val="num" w:pos="0"/>
        </w:tabs>
        <w:ind w:left="0" w:firstLine="0"/>
      </w:pPr>
      <w:rPr>
        <w:rFonts w:ascii="9999999" w:hAnsi="9999999"/>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tabs>
          <w:tab w:val="num" w:pos="0"/>
        </w:tabs>
        <w:ind w:left="0" w:firstLine="0"/>
      </w:pPr>
      <w:rPr>
        <w:rFonts w:ascii="9999999" w:hAnsi="9999999"/>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7"/>
  </w:num>
  <w:num w:numId="3">
    <w:abstractNumId w:val="2"/>
  </w:num>
  <w:num w:numId="4">
    <w:abstractNumId w:val="15"/>
  </w:num>
  <w:num w:numId="5">
    <w:abstractNumId w:val="3"/>
  </w:num>
  <w:num w:numId="6">
    <w:abstractNumId w:val="18"/>
  </w:num>
  <w:num w:numId="7">
    <w:abstractNumId w:val="1"/>
  </w:num>
  <w:num w:numId="8">
    <w:abstractNumId w:val="11"/>
  </w:num>
  <w:num w:numId="9">
    <w:abstractNumId w:val="6"/>
  </w:num>
  <w:num w:numId="10">
    <w:abstractNumId w:val="17"/>
  </w:num>
  <w:num w:numId="11">
    <w:abstractNumId w:val="13"/>
  </w:num>
  <w:num w:numId="12">
    <w:abstractNumId w:val="5"/>
  </w:num>
  <w:num w:numId="13">
    <w:abstractNumId w:val="12"/>
  </w:num>
  <w:num w:numId="14">
    <w:abstractNumId w:val="0"/>
  </w:num>
  <w:num w:numId="15">
    <w:abstractNumId w:val="14"/>
  </w:num>
  <w:num w:numId="16">
    <w:abstractNumId w:val="9"/>
  </w:num>
  <w:num w:numId="17">
    <w:abstractNumId w:val="10"/>
  </w:num>
  <w:num w:numId="18">
    <w:abstractNumId w:val="4"/>
  </w:num>
  <w:num w:numId="19">
    <w:abstractNumId w:val="16"/>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2EF5"/>
    <w:rsid w:val="00017C0F"/>
    <w:rsid w:val="000253F8"/>
    <w:rsid w:val="00031CED"/>
    <w:rsid w:val="00037E8B"/>
    <w:rsid w:val="00040542"/>
    <w:rsid w:val="000447F9"/>
    <w:rsid w:val="00050489"/>
    <w:rsid w:val="00050AF1"/>
    <w:rsid w:val="00054540"/>
    <w:rsid w:val="00054A10"/>
    <w:rsid w:val="00055FCB"/>
    <w:rsid w:val="00060BB1"/>
    <w:rsid w:val="0006166B"/>
    <w:rsid w:val="00063F87"/>
    <w:rsid w:val="00073240"/>
    <w:rsid w:val="00080E54"/>
    <w:rsid w:val="00081A6A"/>
    <w:rsid w:val="000851FC"/>
    <w:rsid w:val="000878EC"/>
    <w:rsid w:val="00096D6A"/>
    <w:rsid w:val="000A5D97"/>
    <w:rsid w:val="000B6D6C"/>
    <w:rsid w:val="000C3A73"/>
    <w:rsid w:val="000C5271"/>
    <w:rsid w:val="000C541F"/>
    <w:rsid w:val="000C5888"/>
    <w:rsid w:val="000D2CCA"/>
    <w:rsid w:val="000D4032"/>
    <w:rsid w:val="000D67B4"/>
    <w:rsid w:val="000D6D75"/>
    <w:rsid w:val="000E30FF"/>
    <w:rsid w:val="000E6B3B"/>
    <w:rsid w:val="000F0A49"/>
    <w:rsid w:val="000F1EDF"/>
    <w:rsid w:val="000F7691"/>
    <w:rsid w:val="00100249"/>
    <w:rsid w:val="001011A4"/>
    <w:rsid w:val="00104073"/>
    <w:rsid w:val="00104D08"/>
    <w:rsid w:val="001066C1"/>
    <w:rsid w:val="00107108"/>
    <w:rsid w:val="00111D05"/>
    <w:rsid w:val="00113C98"/>
    <w:rsid w:val="001143EE"/>
    <w:rsid w:val="00116479"/>
    <w:rsid w:val="00116C62"/>
    <w:rsid w:val="00122A9C"/>
    <w:rsid w:val="001270B6"/>
    <w:rsid w:val="00130568"/>
    <w:rsid w:val="00130CD6"/>
    <w:rsid w:val="00132928"/>
    <w:rsid w:val="0013770C"/>
    <w:rsid w:val="00140883"/>
    <w:rsid w:val="00141DCE"/>
    <w:rsid w:val="00142EE0"/>
    <w:rsid w:val="00143290"/>
    <w:rsid w:val="001441F9"/>
    <w:rsid w:val="00144EB5"/>
    <w:rsid w:val="00153529"/>
    <w:rsid w:val="001547B2"/>
    <w:rsid w:val="001714A2"/>
    <w:rsid w:val="001767DF"/>
    <w:rsid w:val="00181415"/>
    <w:rsid w:val="00181BAB"/>
    <w:rsid w:val="00182ECA"/>
    <w:rsid w:val="00187495"/>
    <w:rsid w:val="00187940"/>
    <w:rsid w:val="001900E6"/>
    <w:rsid w:val="00190843"/>
    <w:rsid w:val="00193F4C"/>
    <w:rsid w:val="0019509B"/>
    <w:rsid w:val="00197B84"/>
    <w:rsid w:val="001A1495"/>
    <w:rsid w:val="001A32E1"/>
    <w:rsid w:val="001C23B6"/>
    <w:rsid w:val="001C7376"/>
    <w:rsid w:val="001C7DC7"/>
    <w:rsid w:val="001C7E2F"/>
    <w:rsid w:val="001D0606"/>
    <w:rsid w:val="001D36BC"/>
    <w:rsid w:val="001D48D9"/>
    <w:rsid w:val="001E0583"/>
    <w:rsid w:val="001E1EC3"/>
    <w:rsid w:val="001E1EE6"/>
    <w:rsid w:val="001E3CC9"/>
    <w:rsid w:val="001E41F1"/>
    <w:rsid w:val="001E755C"/>
    <w:rsid w:val="001F3D60"/>
    <w:rsid w:val="001F59C0"/>
    <w:rsid w:val="0020025C"/>
    <w:rsid w:val="002026C5"/>
    <w:rsid w:val="002069A1"/>
    <w:rsid w:val="00212459"/>
    <w:rsid w:val="00215350"/>
    <w:rsid w:val="0022121D"/>
    <w:rsid w:val="00224765"/>
    <w:rsid w:val="002251CE"/>
    <w:rsid w:val="0023008A"/>
    <w:rsid w:val="0024311B"/>
    <w:rsid w:val="00252F51"/>
    <w:rsid w:val="0025436A"/>
    <w:rsid w:val="0026329B"/>
    <w:rsid w:val="00266583"/>
    <w:rsid w:val="0027269F"/>
    <w:rsid w:val="00276158"/>
    <w:rsid w:val="002825EF"/>
    <w:rsid w:val="002860B7"/>
    <w:rsid w:val="002872AD"/>
    <w:rsid w:val="002967E5"/>
    <w:rsid w:val="002A5F90"/>
    <w:rsid w:val="002A6146"/>
    <w:rsid w:val="002B04F4"/>
    <w:rsid w:val="002B1DB7"/>
    <w:rsid w:val="002B5A65"/>
    <w:rsid w:val="002C06C1"/>
    <w:rsid w:val="002C13F5"/>
    <w:rsid w:val="002C2C4E"/>
    <w:rsid w:val="002C32C8"/>
    <w:rsid w:val="002C370F"/>
    <w:rsid w:val="002C40FB"/>
    <w:rsid w:val="002C66E9"/>
    <w:rsid w:val="002E2B8A"/>
    <w:rsid w:val="002E4F5F"/>
    <w:rsid w:val="002E5F7E"/>
    <w:rsid w:val="002E76DB"/>
    <w:rsid w:val="002F61D3"/>
    <w:rsid w:val="003003AC"/>
    <w:rsid w:val="003038D5"/>
    <w:rsid w:val="00312F22"/>
    <w:rsid w:val="00316851"/>
    <w:rsid w:val="00317051"/>
    <w:rsid w:val="00321207"/>
    <w:rsid w:val="003234C9"/>
    <w:rsid w:val="00326FA4"/>
    <w:rsid w:val="00330C99"/>
    <w:rsid w:val="00331314"/>
    <w:rsid w:val="00333A41"/>
    <w:rsid w:val="00334E63"/>
    <w:rsid w:val="00337DC7"/>
    <w:rsid w:val="00342A79"/>
    <w:rsid w:val="00345AF2"/>
    <w:rsid w:val="0036322E"/>
    <w:rsid w:val="00364A6D"/>
    <w:rsid w:val="00366708"/>
    <w:rsid w:val="003678E6"/>
    <w:rsid w:val="00367E2E"/>
    <w:rsid w:val="00371B8B"/>
    <w:rsid w:val="00374FE0"/>
    <w:rsid w:val="0037679C"/>
    <w:rsid w:val="00380135"/>
    <w:rsid w:val="003828F7"/>
    <w:rsid w:val="0039072F"/>
    <w:rsid w:val="0039566B"/>
    <w:rsid w:val="003A5D44"/>
    <w:rsid w:val="003B2B0E"/>
    <w:rsid w:val="003B4C91"/>
    <w:rsid w:val="003B4D8F"/>
    <w:rsid w:val="003C02CC"/>
    <w:rsid w:val="003C424C"/>
    <w:rsid w:val="003D419D"/>
    <w:rsid w:val="003E04E8"/>
    <w:rsid w:val="003E3839"/>
    <w:rsid w:val="003E44F8"/>
    <w:rsid w:val="003F164C"/>
    <w:rsid w:val="003F49DD"/>
    <w:rsid w:val="003F68D9"/>
    <w:rsid w:val="00407622"/>
    <w:rsid w:val="00413065"/>
    <w:rsid w:val="00415EAE"/>
    <w:rsid w:val="00421C2E"/>
    <w:rsid w:val="00427BB1"/>
    <w:rsid w:val="004327EC"/>
    <w:rsid w:val="0044078D"/>
    <w:rsid w:val="004417F1"/>
    <w:rsid w:val="00444026"/>
    <w:rsid w:val="004441EB"/>
    <w:rsid w:val="00444E27"/>
    <w:rsid w:val="00446AEA"/>
    <w:rsid w:val="004509B5"/>
    <w:rsid w:val="004677A9"/>
    <w:rsid w:val="0046782D"/>
    <w:rsid w:val="00476814"/>
    <w:rsid w:val="0048022D"/>
    <w:rsid w:val="00484CA9"/>
    <w:rsid w:val="00487C67"/>
    <w:rsid w:val="0049010E"/>
    <w:rsid w:val="004907E0"/>
    <w:rsid w:val="00491200"/>
    <w:rsid w:val="004A44C7"/>
    <w:rsid w:val="004A6217"/>
    <w:rsid w:val="004B12AD"/>
    <w:rsid w:val="004B3128"/>
    <w:rsid w:val="004B73DA"/>
    <w:rsid w:val="004C0C8D"/>
    <w:rsid w:val="004C19EA"/>
    <w:rsid w:val="004C54A1"/>
    <w:rsid w:val="004C5959"/>
    <w:rsid w:val="004D5EDA"/>
    <w:rsid w:val="004E3BB5"/>
    <w:rsid w:val="004E5B21"/>
    <w:rsid w:val="004E6F0A"/>
    <w:rsid w:val="004F0FF9"/>
    <w:rsid w:val="0050525A"/>
    <w:rsid w:val="00506ED2"/>
    <w:rsid w:val="00506F36"/>
    <w:rsid w:val="0051332A"/>
    <w:rsid w:val="005173E3"/>
    <w:rsid w:val="0052063B"/>
    <w:rsid w:val="00522D71"/>
    <w:rsid w:val="00526B7E"/>
    <w:rsid w:val="00531C6A"/>
    <w:rsid w:val="0053303C"/>
    <w:rsid w:val="0053542E"/>
    <w:rsid w:val="00535728"/>
    <w:rsid w:val="00535B47"/>
    <w:rsid w:val="00541FA5"/>
    <w:rsid w:val="00550B34"/>
    <w:rsid w:val="005534AB"/>
    <w:rsid w:val="00555AB2"/>
    <w:rsid w:val="0056090B"/>
    <w:rsid w:val="00562740"/>
    <w:rsid w:val="0056328E"/>
    <w:rsid w:val="00564A1C"/>
    <w:rsid w:val="00566D50"/>
    <w:rsid w:val="00577041"/>
    <w:rsid w:val="00582CDA"/>
    <w:rsid w:val="0058333F"/>
    <w:rsid w:val="005877DE"/>
    <w:rsid w:val="00587965"/>
    <w:rsid w:val="00593CE6"/>
    <w:rsid w:val="005A0C2C"/>
    <w:rsid w:val="005A36C7"/>
    <w:rsid w:val="005A3B57"/>
    <w:rsid w:val="005B49D8"/>
    <w:rsid w:val="005B6C33"/>
    <w:rsid w:val="005C038C"/>
    <w:rsid w:val="005C7120"/>
    <w:rsid w:val="005D0602"/>
    <w:rsid w:val="005D092D"/>
    <w:rsid w:val="005D470C"/>
    <w:rsid w:val="005E5B28"/>
    <w:rsid w:val="005F179B"/>
    <w:rsid w:val="005F1FD3"/>
    <w:rsid w:val="005F2817"/>
    <w:rsid w:val="005F3E44"/>
    <w:rsid w:val="005F5D43"/>
    <w:rsid w:val="00600DD5"/>
    <w:rsid w:val="006031D8"/>
    <w:rsid w:val="006044E1"/>
    <w:rsid w:val="0060777D"/>
    <w:rsid w:val="006151E8"/>
    <w:rsid w:val="00617F66"/>
    <w:rsid w:val="0062545F"/>
    <w:rsid w:val="00626332"/>
    <w:rsid w:val="006273A0"/>
    <w:rsid w:val="00634D85"/>
    <w:rsid w:val="006373C8"/>
    <w:rsid w:val="00643063"/>
    <w:rsid w:val="00645312"/>
    <w:rsid w:val="00646D7E"/>
    <w:rsid w:val="0064719F"/>
    <w:rsid w:val="00657239"/>
    <w:rsid w:val="00661F7B"/>
    <w:rsid w:val="00664B91"/>
    <w:rsid w:val="00666CE7"/>
    <w:rsid w:val="00670EBA"/>
    <w:rsid w:val="0067293C"/>
    <w:rsid w:val="006747F7"/>
    <w:rsid w:val="006763F3"/>
    <w:rsid w:val="006803CC"/>
    <w:rsid w:val="006816B8"/>
    <w:rsid w:val="00684075"/>
    <w:rsid w:val="00694651"/>
    <w:rsid w:val="0069608E"/>
    <w:rsid w:val="0069608F"/>
    <w:rsid w:val="006A2304"/>
    <w:rsid w:val="006A7A0E"/>
    <w:rsid w:val="006B19FC"/>
    <w:rsid w:val="006C2C4C"/>
    <w:rsid w:val="006C393A"/>
    <w:rsid w:val="006C5A4D"/>
    <w:rsid w:val="006D0B7D"/>
    <w:rsid w:val="006D1934"/>
    <w:rsid w:val="006D33B5"/>
    <w:rsid w:val="006D48B8"/>
    <w:rsid w:val="006D5523"/>
    <w:rsid w:val="006E3B8A"/>
    <w:rsid w:val="006E6FAE"/>
    <w:rsid w:val="006F0FF6"/>
    <w:rsid w:val="006F1BFA"/>
    <w:rsid w:val="006F3A0C"/>
    <w:rsid w:val="006F74A6"/>
    <w:rsid w:val="006F77FC"/>
    <w:rsid w:val="006F7FCB"/>
    <w:rsid w:val="00702A13"/>
    <w:rsid w:val="007041DB"/>
    <w:rsid w:val="007138CC"/>
    <w:rsid w:val="00713D64"/>
    <w:rsid w:val="00714476"/>
    <w:rsid w:val="007203E5"/>
    <w:rsid w:val="00724ABE"/>
    <w:rsid w:val="00725BFC"/>
    <w:rsid w:val="00726EC8"/>
    <w:rsid w:val="00735291"/>
    <w:rsid w:val="0074212A"/>
    <w:rsid w:val="00746EC7"/>
    <w:rsid w:val="00752614"/>
    <w:rsid w:val="0075751F"/>
    <w:rsid w:val="00761AAA"/>
    <w:rsid w:val="00763D51"/>
    <w:rsid w:val="00763DA0"/>
    <w:rsid w:val="00771201"/>
    <w:rsid w:val="00774975"/>
    <w:rsid w:val="00783F05"/>
    <w:rsid w:val="00784AE9"/>
    <w:rsid w:val="007876C7"/>
    <w:rsid w:val="007945B3"/>
    <w:rsid w:val="007B135C"/>
    <w:rsid w:val="007B19DA"/>
    <w:rsid w:val="007B29B6"/>
    <w:rsid w:val="007B76C4"/>
    <w:rsid w:val="007C6559"/>
    <w:rsid w:val="007D527E"/>
    <w:rsid w:val="007F24B0"/>
    <w:rsid w:val="007F6F2B"/>
    <w:rsid w:val="007F7EA4"/>
    <w:rsid w:val="00801014"/>
    <w:rsid w:val="008027C4"/>
    <w:rsid w:val="00802923"/>
    <w:rsid w:val="00817C41"/>
    <w:rsid w:val="00820EA8"/>
    <w:rsid w:val="008253A9"/>
    <w:rsid w:val="00830CF6"/>
    <w:rsid w:val="008316F7"/>
    <w:rsid w:val="008413F8"/>
    <w:rsid w:val="008438CF"/>
    <w:rsid w:val="00843D58"/>
    <w:rsid w:val="008454B9"/>
    <w:rsid w:val="00845A5B"/>
    <w:rsid w:val="0084613F"/>
    <w:rsid w:val="008540FD"/>
    <w:rsid w:val="00854EC8"/>
    <w:rsid w:val="008733C7"/>
    <w:rsid w:val="00874F41"/>
    <w:rsid w:val="008773BF"/>
    <w:rsid w:val="0088262B"/>
    <w:rsid w:val="00883E39"/>
    <w:rsid w:val="00886427"/>
    <w:rsid w:val="008921ED"/>
    <w:rsid w:val="00894A7C"/>
    <w:rsid w:val="008A048B"/>
    <w:rsid w:val="008A28B8"/>
    <w:rsid w:val="008A7776"/>
    <w:rsid w:val="008C0504"/>
    <w:rsid w:val="008C17E3"/>
    <w:rsid w:val="008C2266"/>
    <w:rsid w:val="008C53F0"/>
    <w:rsid w:val="008C6629"/>
    <w:rsid w:val="008C6C08"/>
    <w:rsid w:val="008C7929"/>
    <w:rsid w:val="008D2A90"/>
    <w:rsid w:val="008D34B8"/>
    <w:rsid w:val="008D59A2"/>
    <w:rsid w:val="008E6D84"/>
    <w:rsid w:val="008F755E"/>
    <w:rsid w:val="009065DB"/>
    <w:rsid w:val="00907551"/>
    <w:rsid w:val="00907E93"/>
    <w:rsid w:val="00910C3F"/>
    <w:rsid w:val="0091132C"/>
    <w:rsid w:val="009160D8"/>
    <w:rsid w:val="00922597"/>
    <w:rsid w:val="009242C7"/>
    <w:rsid w:val="00926832"/>
    <w:rsid w:val="00933A0A"/>
    <w:rsid w:val="00935A17"/>
    <w:rsid w:val="009422A8"/>
    <w:rsid w:val="009435E2"/>
    <w:rsid w:val="0094648D"/>
    <w:rsid w:val="009479D5"/>
    <w:rsid w:val="00951B5E"/>
    <w:rsid w:val="00951BBB"/>
    <w:rsid w:val="00952807"/>
    <w:rsid w:val="00957662"/>
    <w:rsid w:val="009651D5"/>
    <w:rsid w:val="00967192"/>
    <w:rsid w:val="009701FB"/>
    <w:rsid w:val="00970AF3"/>
    <w:rsid w:val="009712E6"/>
    <w:rsid w:val="00972A99"/>
    <w:rsid w:val="00973E46"/>
    <w:rsid w:val="0098199E"/>
    <w:rsid w:val="00985B9C"/>
    <w:rsid w:val="0099051F"/>
    <w:rsid w:val="00994060"/>
    <w:rsid w:val="009971D9"/>
    <w:rsid w:val="009A241C"/>
    <w:rsid w:val="009B0651"/>
    <w:rsid w:val="009C1C01"/>
    <w:rsid w:val="009C228F"/>
    <w:rsid w:val="009C2A10"/>
    <w:rsid w:val="009C416F"/>
    <w:rsid w:val="009C44F8"/>
    <w:rsid w:val="009C5580"/>
    <w:rsid w:val="009D2069"/>
    <w:rsid w:val="009D37EA"/>
    <w:rsid w:val="009D7DAC"/>
    <w:rsid w:val="009E1824"/>
    <w:rsid w:val="009E2517"/>
    <w:rsid w:val="009E69D3"/>
    <w:rsid w:val="009F01F6"/>
    <w:rsid w:val="009F421F"/>
    <w:rsid w:val="009F57DD"/>
    <w:rsid w:val="009F6BF1"/>
    <w:rsid w:val="00A050EC"/>
    <w:rsid w:val="00A06973"/>
    <w:rsid w:val="00A07A16"/>
    <w:rsid w:val="00A21C65"/>
    <w:rsid w:val="00A30723"/>
    <w:rsid w:val="00A319FB"/>
    <w:rsid w:val="00A33DC1"/>
    <w:rsid w:val="00A4123B"/>
    <w:rsid w:val="00A43247"/>
    <w:rsid w:val="00A442D1"/>
    <w:rsid w:val="00A452AA"/>
    <w:rsid w:val="00A52BD3"/>
    <w:rsid w:val="00A53315"/>
    <w:rsid w:val="00A543D6"/>
    <w:rsid w:val="00A54F8A"/>
    <w:rsid w:val="00A62BBE"/>
    <w:rsid w:val="00A74AF3"/>
    <w:rsid w:val="00A76336"/>
    <w:rsid w:val="00A76480"/>
    <w:rsid w:val="00A77426"/>
    <w:rsid w:val="00A8749E"/>
    <w:rsid w:val="00A92373"/>
    <w:rsid w:val="00A93FB7"/>
    <w:rsid w:val="00AA23BA"/>
    <w:rsid w:val="00AA3B44"/>
    <w:rsid w:val="00AA5A3B"/>
    <w:rsid w:val="00AB35A6"/>
    <w:rsid w:val="00AC425C"/>
    <w:rsid w:val="00AC56B3"/>
    <w:rsid w:val="00AC6D5D"/>
    <w:rsid w:val="00AD2E4C"/>
    <w:rsid w:val="00AD6AC6"/>
    <w:rsid w:val="00AE7C1B"/>
    <w:rsid w:val="00AF43A3"/>
    <w:rsid w:val="00AF4DD8"/>
    <w:rsid w:val="00AF5EBD"/>
    <w:rsid w:val="00AF6655"/>
    <w:rsid w:val="00AF754F"/>
    <w:rsid w:val="00B01228"/>
    <w:rsid w:val="00B01460"/>
    <w:rsid w:val="00B04A94"/>
    <w:rsid w:val="00B105BD"/>
    <w:rsid w:val="00B10BE1"/>
    <w:rsid w:val="00B12632"/>
    <w:rsid w:val="00B13E2F"/>
    <w:rsid w:val="00B16B10"/>
    <w:rsid w:val="00B17D2D"/>
    <w:rsid w:val="00B17E29"/>
    <w:rsid w:val="00B22385"/>
    <w:rsid w:val="00B2251B"/>
    <w:rsid w:val="00B22579"/>
    <w:rsid w:val="00B34D51"/>
    <w:rsid w:val="00B42052"/>
    <w:rsid w:val="00B42143"/>
    <w:rsid w:val="00B4231E"/>
    <w:rsid w:val="00B428B5"/>
    <w:rsid w:val="00B44A3E"/>
    <w:rsid w:val="00B606E5"/>
    <w:rsid w:val="00B6233D"/>
    <w:rsid w:val="00B70E1E"/>
    <w:rsid w:val="00B715DC"/>
    <w:rsid w:val="00B73F8B"/>
    <w:rsid w:val="00B7459D"/>
    <w:rsid w:val="00B76E4E"/>
    <w:rsid w:val="00B77BC5"/>
    <w:rsid w:val="00B806F4"/>
    <w:rsid w:val="00B83324"/>
    <w:rsid w:val="00B8363B"/>
    <w:rsid w:val="00B852ED"/>
    <w:rsid w:val="00B85A59"/>
    <w:rsid w:val="00B87D27"/>
    <w:rsid w:val="00B87F4C"/>
    <w:rsid w:val="00B905A3"/>
    <w:rsid w:val="00B94365"/>
    <w:rsid w:val="00B9621C"/>
    <w:rsid w:val="00B97AB5"/>
    <w:rsid w:val="00BA0600"/>
    <w:rsid w:val="00BA156B"/>
    <w:rsid w:val="00BA19C5"/>
    <w:rsid w:val="00BA5156"/>
    <w:rsid w:val="00BA5877"/>
    <w:rsid w:val="00BB0A31"/>
    <w:rsid w:val="00BB229F"/>
    <w:rsid w:val="00BB5DF1"/>
    <w:rsid w:val="00BB6570"/>
    <w:rsid w:val="00BC1B7C"/>
    <w:rsid w:val="00BC484E"/>
    <w:rsid w:val="00BC5CA3"/>
    <w:rsid w:val="00BC689D"/>
    <w:rsid w:val="00BD2783"/>
    <w:rsid w:val="00BE0854"/>
    <w:rsid w:val="00BE1ED2"/>
    <w:rsid w:val="00BF341D"/>
    <w:rsid w:val="00BF3473"/>
    <w:rsid w:val="00BF6876"/>
    <w:rsid w:val="00BF718F"/>
    <w:rsid w:val="00C0065E"/>
    <w:rsid w:val="00C12AD7"/>
    <w:rsid w:val="00C15584"/>
    <w:rsid w:val="00C16397"/>
    <w:rsid w:val="00C201CA"/>
    <w:rsid w:val="00C23D73"/>
    <w:rsid w:val="00C241A1"/>
    <w:rsid w:val="00C27500"/>
    <w:rsid w:val="00C27ADF"/>
    <w:rsid w:val="00C306E8"/>
    <w:rsid w:val="00C35956"/>
    <w:rsid w:val="00C407D6"/>
    <w:rsid w:val="00C5657B"/>
    <w:rsid w:val="00C60A73"/>
    <w:rsid w:val="00C6203D"/>
    <w:rsid w:val="00C67551"/>
    <w:rsid w:val="00C72120"/>
    <w:rsid w:val="00C77DA0"/>
    <w:rsid w:val="00C843D7"/>
    <w:rsid w:val="00C90325"/>
    <w:rsid w:val="00CA3396"/>
    <w:rsid w:val="00CA3B90"/>
    <w:rsid w:val="00CA73E2"/>
    <w:rsid w:val="00CB18E0"/>
    <w:rsid w:val="00CB4DB1"/>
    <w:rsid w:val="00CB748F"/>
    <w:rsid w:val="00CC3542"/>
    <w:rsid w:val="00CD68CE"/>
    <w:rsid w:val="00CE08CE"/>
    <w:rsid w:val="00CE20E9"/>
    <w:rsid w:val="00CE3773"/>
    <w:rsid w:val="00CE6FC5"/>
    <w:rsid w:val="00CE701C"/>
    <w:rsid w:val="00CF0E33"/>
    <w:rsid w:val="00CF4490"/>
    <w:rsid w:val="00CF5A8F"/>
    <w:rsid w:val="00D00379"/>
    <w:rsid w:val="00D02279"/>
    <w:rsid w:val="00D10467"/>
    <w:rsid w:val="00D10652"/>
    <w:rsid w:val="00D1125C"/>
    <w:rsid w:val="00D13DB2"/>
    <w:rsid w:val="00D209B6"/>
    <w:rsid w:val="00D22294"/>
    <w:rsid w:val="00D22442"/>
    <w:rsid w:val="00D2255F"/>
    <w:rsid w:val="00D22EBC"/>
    <w:rsid w:val="00D24374"/>
    <w:rsid w:val="00D24620"/>
    <w:rsid w:val="00D3123C"/>
    <w:rsid w:val="00D44B05"/>
    <w:rsid w:val="00D51B5E"/>
    <w:rsid w:val="00D5498C"/>
    <w:rsid w:val="00D5523D"/>
    <w:rsid w:val="00D55377"/>
    <w:rsid w:val="00D557D5"/>
    <w:rsid w:val="00D57E4B"/>
    <w:rsid w:val="00D601F0"/>
    <w:rsid w:val="00D626EC"/>
    <w:rsid w:val="00D64F50"/>
    <w:rsid w:val="00D65D31"/>
    <w:rsid w:val="00D7167B"/>
    <w:rsid w:val="00D73519"/>
    <w:rsid w:val="00D73E83"/>
    <w:rsid w:val="00D80A3E"/>
    <w:rsid w:val="00D84B3D"/>
    <w:rsid w:val="00D92151"/>
    <w:rsid w:val="00D94D3A"/>
    <w:rsid w:val="00D95385"/>
    <w:rsid w:val="00DA0323"/>
    <w:rsid w:val="00DA3FF9"/>
    <w:rsid w:val="00DB13BD"/>
    <w:rsid w:val="00DB1971"/>
    <w:rsid w:val="00DC451E"/>
    <w:rsid w:val="00DC5FA1"/>
    <w:rsid w:val="00DC7C98"/>
    <w:rsid w:val="00DD0CE4"/>
    <w:rsid w:val="00DE3721"/>
    <w:rsid w:val="00DF1F31"/>
    <w:rsid w:val="00DF2742"/>
    <w:rsid w:val="00DF448C"/>
    <w:rsid w:val="00E05479"/>
    <w:rsid w:val="00E061D8"/>
    <w:rsid w:val="00E07EE4"/>
    <w:rsid w:val="00E14245"/>
    <w:rsid w:val="00E21F02"/>
    <w:rsid w:val="00E22703"/>
    <w:rsid w:val="00E24228"/>
    <w:rsid w:val="00E27B5F"/>
    <w:rsid w:val="00E445D8"/>
    <w:rsid w:val="00E46ACA"/>
    <w:rsid w:val="00E50FFA"/>
    <w:rsid w:val="00E526F5"/>
    <w:rsid w:val="00E5528B"/>
    <w:rsid w:val="00E5593B"/>
    <w:rsid w:val="00E63F24"/>
    <w:rsid w:val="00E70A61"/>
    <w:rsid w:val="00E77251"/>
    <w:rsid w:val="00E817EE"/>
    <w:rsid w:val="00E818B6"/>
    <w:rsid w:val="00E83487"/>
    <w:rsid w:val="00E87CF0"/>
    <w:rsid w:val="00E9187B"/>
    <w:rsid w:val="00E91EAA"/>
    <w:rsid w:val="00E92FD0"/>
    <w:rsid w:val="00E93B0A"/>
    <w:rsid w:val="00E93D93"/>
    <w:rsid w:val="00EB045D"/>
    <w:rsid w:val="00EB41C4"/>
    <w:rsid w:val="00EC1909"/>
    <w:rsid w:val="00EC2835"/>
    <w:rsid w:val="00EC4455"/>
    <w:rsid w:val="00EC77BB"/>
    <w:rsid w:val="00ED1828"/>
    <w:rsid w:val="00ED4EEA"/>
    <w:rsid w:val="00F00D62"/>
    <w:rsid w:val="00F0305C"/>
    <w:rsid w:val="00F05556"/>
    <w:rsid w:val="00F1692D"/>
    <w:rsid w:val="00F23018"/>
    <w:rsid w:val="00F320B4"/>
    <w:rsid w:val="00F33096"/>
    <w:rsid w:val="00F40D25"/>
    <w:rsid w:val="00F441B2"/>
    <w:rsid w:val="00F46A84"/>
    <w:rsid w:val="00F5660C"/>
    <w:rsid w:val="00F60B99"/>
    <w:rsid w:val="00F63836"/>
    <w:rsid w:val="00F76819"/>
    <w:rsid w:val="00F9081A"/>
    <w:rsid w:val="00F90A9D"/>
    <w:rsid w:val="00FA0DC0"/>
    <w:rsid w:val="00FA0E84"/>
    <w:rsid w:val="00FA5B52"/>
    <w:rsid w:val="00FA73C3"/>
    <w:rsid w:val="00FA7A69"/>
    <w:rsid w:val="00FA7F14"/>
    <w:rsid w:val="00FB1FC4"/>
    <w:rsid w:val="00FD25D2"/>
    <w:rsid w:val="00FD342D"/>
    <w:rsid w:val="00FD4C02"/>
    <w:rsid w:val="00FD795C"/>
    <w:rsid w:val="00FE1C67"/>
    <w:rsid w:val="00FE1CDD"/>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paragraph" w:styleId="Heading1">
    <w:name w:val="heading 1"/>
    <w:basedOn w:val="Normal"/>
    <w:next w:val="BodyText"/>
    <w:link w:val="Heading1Char"/>
    <w:uiPriority w:val="9"/>
    <w:qFormat/>
    <w:rsid w:val="00600DD5"/>
    <w:pPr>
      <w:numPr>
        <w:numId w:val="19"/>
      </w:numPr>
      <w:tabs>
        <w:tab w:val="clear" w:pos="0"/>
      </w:tabs>
      <w:autoSpaceDE/>
      <w:autoSpaceDN/>
      <w:spacing w:after="360" w:line="360" w:lineRule="auto"/>
      <w:outlineLvl w:val="0"/>
    </w:pPr>
    <w:rPr>
      <w:bCs/>
      <w:szCs w:val="32"/>
      <w:lang w:val="x-none" w:eastAsia="x-none"/>
    </w:rPr>
  </w:style>
  <w:style w:type="paragraph" w:styleId="Heading2">
    <w:name w:val="heading 2"/>
    <w:basedOn w:val="Normal"/>
    <w:next w:val="BodyText"/>
    <w:link w:val="Heading2Char"/>
    <w:uiPriority w:val="9"/>
    <w:unhideWhenUsed/>
    <w:qFormat/>
    <w:rsid w:val="00600DD5"/>
    <w:pPr>
      <w:numPr>
        <w:ilvl w:val="1"/>
        <w:numId w:val="19"/>
      </w:numPr>
      <w:tabs>
        <w:tab w:val="clear" w:pos="0"/>
        <w:tab w:val="left" w:pos="2160"/>
      </w:tabs>
      <w:autoSpaceDE/>
      <w:autoSpaceDN/>
      <w:spacing w:line="360" w:lineRule="auto"/>
      <w:ind w:left="994" w:right="1440"/>
      <w:outlineLvl w:val="1"/>
    </w:pPr>
    <w:rPr>
      <w:bCs/>
      <w:iCs/>
      <w:szCs w:val="28"/>
      <w:lang w:val="x-none" w:eastAsia="x-none"/>
    </w:rPr>
  </w:style>
  <w:style w:type="paragraph" w:styleId="Heading3">
    <w:name w:val="heading 3"/>
    <w:basedOn w:val="Normal"/>
    <w:next w:val="BodyText"/>
    <w:link w:val="Heading3Char"/>
    <w:uiPriority w:val="9"/>
    <w:unhideWhenUsed/>
    <w:qFormat/>
    <w:rsid w:val="00600DD5"/>
    <w:pPr>
      <w:numPr>
        <w:ilvl w:val="2"/>
        <w:numId w:val="19"/>
      </w:numPr>
      <w:tabs>
        <w:tab w:val="left" w:pos="2160"/>
      </w:tabs>
      <w:autoSpaceDE/>
      <w:autoSpaceDN/>
      <w:spacing w:after="240" w:line="360" w:lineRule="auto"/>
      <w:ind w:right="1728"/>
      <w:outlineLvl w:val="2"/>
    </w:pPr>
    <w:rPr>
      <w:bCs/>
      <w:szCs w:val="26"/>
      <w:lang w:val="x-none" w:eastAsia="x-none"/>
    </w:rPr>
  </w:style>
  <w:style w:type="paragraph" w:styleId="Heading4">
    <w:name w:val="heading 4"/>
    <w:basedOn w:val="Normal"/>
    <w:next w:val="BodyText"/>
    <w:link w:val="Heading4Char"/>
    <w:uiPriority w:val="9"/>
    <w:semiHidden/>
    <w:unhideWhenUsed/>
    <w:qFormat/>
    <w:rsid w:val="00600DD5"/>
    <w:pPr>
      <w:keepNext/>
      <w:numPr>
        <w:ilvl w:val="3"/>
        <w:numId w:val="19"/>
      </w:numPr>
      <w:tabs>
        <w:tab w:val="clear" w:pos="0"/>
      </w:tabs>
      <w:autoSpaceDE/>
      <w:autoSpaceDN/>
      <w:spacing w:before="240" w:after="60"/>
      <w:outlineLvl w:val="3"/>
    </w:pPr>
    <w:rPr>
      <w:rFonts w:ascii="Calibri" w:hAnsi="Calibri"/>
      <w:b/>
      <w:bCs/>
      <w:sz w:val="28"/>
      <w:szCs w:val="28"/>
      <w:lang w:val="x-none" w:eastAsia="x-none"/>
    </w:rPr>
  </w:style>
  <w:style w:type="paragraph" w:styleId="Heading5">
    <w:name w:val="heading 5"/>
    <w:basedOn w:val="Normal"/>
    <w:next w:val="BodyText"/>
    <w:link w:val="Heading5Char"/>
    <w:uiPriority w:val="9"/>
    <w:semiHidden/>
    <w:unhideWhenUsed/>
    <w:qFormat/>
    <w:rsid w:val="00600DD5"/>
    <w:pPr>
      <w:numPr>
        <w:ilvl w:val="4"/>
        <w:numId w:val="19"/>
      </w:numPr>
      <w:tabs>
        <w:tab w:val="clear" w:pos="0"/>
      </w:tabs>
      <w:autoSpaceDE/>
      <w:autoSpaceDN/>
      <w:spacing w:before="240" w:after="60"/>
      <w:outlineLvl w:val="4"/>
    </w:pPr>
    <w:rPr>
      <w:rFonts w:ascii="Calibri" w:hAnsi="Calibri"/>
      <w:b/>
      <w:bCs/>
      <w:i/>
      <w:iCs/>
      <w:sz w:val="26"/>
      <w:szCs w:val="26"/>
      <w:lang w:val="x-none" w:eastAsia="x-none"/>
    </w:rPr>
  </w:style>
  <w:style w:type="paragraph" w:styleId="Heading6">
    <w:name w:val="heading 6"/>
    <w:basedOn w:val="Normal"/>
    <w:next w:val="BodyText"/>
    <w:link w:val="Heading6Char"/>
    <w:uiPriority w:val="9"/>
    <w:semiHidden/>
    <w:unhideWhenUsed/>
    <w:qFormat/>
    <w:rsid w:val="00600DD5"/>
    <w:pPr>
      <w:numPr>
        <w:ilvl w:val="5"/>
        <w:numId w:val="19"/>
      </w:numPr>
      <w:tabs>
        <w:tab w:val="clear" w:pos="0"/>
      </w:tabs>
      <w:autoSpaceDE/>
      <w:autoSpaceDN/>
      <w:spacing w:before="240" w:after="60"/>
      <w:outlineLvl w:val="5"/>
    </w:pPr>
    <w:rPr>
      <w:rFonts w:ascii="Calibri" w:hAnsi="Calibri"/>
      <w:b/>
      <w:bCs/>
      <w:sz w:val="22"/>
      <w:szCs w:val="22"/>
      <w:lang w:val="x-none" w:eastAsia="x-none"/>
    </w:rPr>
  </w:style>
  <w:style w:type="paragraph" w:styleId="Heading7">
    <w:name w:val="heading 7"/>
    <w:basedOn w:val="Normal"/>
    <w:next w:val="BodyText"/>
    <w:link w:val="Heading7Char"/>
    <w:uiPriority w:val="9"/>
    <w:unhideWhenUsed/>
    <w:qFormat/>
    <w:rsid w:val="00600DD5"/>
    <w:pPr>
      <w:numPr>
        <w:ilvl w:val="6"/>
        <w:numId w:val="19"/>
      </w:numPr>
      <w:tabs>
        <w:tab w:val="clear" w:pos="0"/>
      </w:tabs>
      <w:autoSpaceDE/>
      <w:autoSpaceDN/>
      <w:spacing w:before="240" w:after="60"/>
      <w:outlineLvl w:val="6"/>
    </w:pPr>
    <w:rPr>
      <w:rFonts w:ascii="Calibri" w:hAnsi="Calibri"/>
      <w:lang w:val="x-none" w:eastAsia="x-none"/>
    </w:rPr>
  </w:style>
  <w:style w:type="paragraph" w:styleId="Heading8">
    <w:name w:val="heading 8"/>
    <w:basedOn w:val="Normal"/>
    <w:next w:val="BodyText"/>
    <w:link w:val="Heading8Char"/>
    <w:uiPriority w:val="9"/>
    <w:semiHidden/>
    <w:unhideWhenUsed/>
    <w:qFormat/>
    <w:rsid w:val="00600DD5"/>
    <w:pPr>
      <w:numPr>
        <w:ilvl w:val="7"/>
        <w:numId w:val="19"/>
      </w:numPr>
      <w:tabs>
        <w:tab w:val="clear" w:pos="0"/>
      </w:tabs>
      <w:autoSpaceDE/>
      <w:autoSpaceDN/>
      <w:spacing w:before="240" w:after="60"/>
      <w:outlineLvl w:val="7"/>
    </w:pPr>
    <w:rPr>
      <w:rFonts w:ascii="Calibri" w:hAnsi="Calibri"/>
      <w:i/>
      <w:iCs/>
      <w:lang w:val="x-none" w:eastAsia="x-none"/>
    </w:rPr>
  </w:style>
  <w:style w:type="paragraph" w:styleId="Heading9">
    <w:name w:val="heading 9"/>
    <w:basedOn w:val="Normal"/>
    <w:next w:val="BodyText"/>
    <w:link w:val="Heading9Char"/>
    <w:uiPriority w:val="9"/>
    <w:semiHidden/>
    <w:unhideWhenUsed/>
    <w:qFormat/>
    <w:rsid w:val="00600DD5"/>
    <w:pPr>
      <w:numPr>
        <w:ilvl w:val="8"/>
        <w:numId w:val="19"/>
      </w:numPr>
      <w:tabs>
        <w:tab w:val="clear" w:pos="0"/>
      </w:tabs>
      <w:autoSpaceDE/>
      <w:autoSpaceDN/>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styleId="BalloonText">
    <w:name w:val="Balloon Text"/>
    <w:basedOn w:val="Normal"/>
    <w:link w:val="BalloonTextChar"/>
    <w:rsid w:val="00910C3F"/>
    <w:rPr>
      <w:rFonts w:ascii="Tahoma" w:hAnsi="Tahoma" w:cs="Tahoma"/>
      <w:sz w:val="16"/>
      <w:szCs w:val="16"/>
    </w:rPr>
  </w:style>
  <w:style w:type="character" w:customStyle="1" w:styleId="BalloonTextChar">
    <w:name w:val="Balloon Text Char"/>
    <w:basedOn w:val="DefaultParagraphFont"/>
    <w:link w:val="BalloonText"/>
    <w:rsid w:val="00910C3F"/>
    <w:rPr>
      <w:rFonts w:ascii="Tahoma" w:hAnsi="Tahoma" w:cs="Tahoma"/>
      <w:sz w:val="16"/>
      <w:szCs w:val="16"/>
    </w:rPr>
  </w:style>
  <w:style w:type="paragraph" w:styleId="NoSpacing">
    <w:name w:val="No Spacing"/>
    <w:uiPriority w:val="1"/>
    <w:qFormat/>
    <w:rsid w:val="009160D8"/>
    <w:rPr>
      <w:rFonts w:eastAsia="Calibri"/>
      <w:sz w:val="24"/>
    </w:rPr>
  </w:style>
  <w:style w:type="paragraph" w:styleId="BodyText3">
    <w:name w:val="Body Text 3"/>
    <w:basedOn w:val="Normal"/>
    <w:link w:val="BodyText3Char"/>
    <w:rsid w:val="00600DD5"/>
    <w:pPr>
      <w:spacing w:after="120"/>
    </w:pPr>
    <w:rPr>
      <w:sz w:val="16"/>
      <w:szCs w:val="16"/>
    </w:rPr>
  </w:style>
  <w:style w:type="character" w:customStyle="1" w:styleId="BodyText3Char">
    <w:name w:val="Body Text 3 Char"/>
    <w:basedOn w:val="DefaultParagraphFont"/>
    <w:link w:val="BodyText3"/>
    <w:rsid w:val="00600DD5"/>
    <w:rPr>
      <w:sz w:val="16"/>
      <w:szCs w:val="16"/>
    </w:rPr>
  </w:style>
  <w:style w:type="character" w:customStyle="1" w:styleId="Heading1Char">
    <w:name w:val="Heading 1 Char"/>
    <w:basedOn w:val="DefaultParagraphFont"/>
    <w:link w:val="Heading1"/>
    <w:uiPriority w:val="9"/>
    <w:rsid w:val="00600DD5"/>
    <w:rPr>
      <w:bCs/>
      <w:sz w:val="24"/>
      <w:szCs w:val="32"/>
      <w:lang w:val="x-none" w:eastAsia="x-none"/>
    </w:rPr>
  </w:style>
  <w:style w:type="character" w:customStyle="1" w:styleId="Heading2Char">
    <w:name w:val="Heading 2 Char"/>
    <w:basedOn w:val="DefaultParagraphFont"/>
    <w:link w:val="Heading2"/>
    <w:uiPriority w:val="9"/>
    <w:rsid w:val="00600DD5"/>
    <w:rPr>
      <w:bCs/>
      <w:iCs/>
      <w:sz w:val="24"/>
      <w:szCs w:val="28"/>
      <w:lang w:val="x-none" w:eastAsia="x-none"/>
    </w:rPr>
  </w:style>
  <w:style w:type="character" w:customStyle="1" w:styleId="Heading3Char">
    <w:name w:val="Heading 3 Char"/>
    <w:basedOn w:val="DefaultParagraphFont"/>
    <w:link w:val="Heading3"/>
    <w:uiPriority w:val="9"/>
    <w:rsid w:val="00600DD5"/>
    <w:rPr>
      <w:bCs/>
      <w:sz w:val="24"/>
      <w:szCs w:val="26"/>
      <w:lang w:val="x-none" w:eastAsia="x-none"/>
    </w:rPr>
  </w:style>
  <w:style w:type="character" w:customStyle="1" w:styleId="Heading4Char">
    <w:name w:val="Heading 4 Char"/>
    <w:basedOn w:val="DefaultParagraphFont"/>
    <w:link w:val="Heading4"/>
    <w:uiPriority w:val="9"/>
    <w:semiHidden/>
    <w:rsid w:val="00600DD5"/>
    <w:rPr>
      <w:rFonts w:ascii="Calibri" w:hAnsi="Calibri"/>
      <w:b/>
      <w:bCs/>
      <w:sz w:val="28"/>
      <w:szCs w:val="28"/>
      <w:lang w:val="x-none" w:eastAsia="x-none"/>
    </w:rPr>
  </w:style>
  <w:style w:type="character" w:customStyle="1" w:styleId="Heading5Char">
    <w:name w:val="Heading 5 Char"/>
    <w:basedOn w:val="DefaultParagraphFont"/>
    <w:link w:val="Heading5"/>
    <w:uiPriority w:val="9"/>
    <w:semiHidden/>
    <w:rsid w:val="00600DD5"/>
    <w:rPr>
      <w:rFonts w:ascii="Calibri" w:hAnsi="Calibri"/>
      <w:b/>
      <w:bCs/>
      <w:i/>
      <w:iCs/>
      <w:sz w:val="26"/>
      <w:szCs w:val="26"/>
      <w:lang w:val="x-none" w:eastAsia="x-none"/>
    </w:rPr>
  </w:style>
  <w:style w:type="character" w:customStyle="1" w:styleId="Heading6Char">
    <w:name w:val="Heading 6 Char"/>
    <w:basedOn w:val="DefaultParagraphFont"/>
    <w:link w:val="Heading6"/>
    <w:uiPriority w:val="9"/>
    <w:semiHidden/>
    <w:rsid w:val="00600DD5"/>
    <w:rPr>
      <w:rFonts w:ascii="Calibri" w:hAnsi="Calibri"/>
      <w:b/>
      <w:bCs/>
      <w:sz w:val="22"/>
      <w:szCs w:val="22"/>
      <w:lang w:val="x-none" w:eastAsia="x-none"/>
    </w:rPr>
  </w:style>
  <w:style w:type="character" w:customStyle="1" w:styleId="Heading7Char">
    <w:name w:val="Heading 7 Char"/>
    <w:basedOn w:val="DefaultParagraphFont"/>
    <w:link w:val="Heading7"/>
    <w:uiPriority w:val="9"/>
    <w:rsid w:val="00600DD5"/>
    <w:rPr>
      <w:rFonts w:ascii="Calibri" w:hAnsi="Calibri"/>
      <w:sz w:val="24"/>
      <w:szCs w:val="24"/>
      <w:lang w:val="x-none" w:eastAsia="x-none"/>
    </w:rPr>
  </w:style>
  <w:style w:type="character" w:customStyle="1" w:styleId="Heading8Char">
    <w:name w:val="Heading 8 Char"/>
    <w:basedOn w:val="DefaultParagraphFont"/>
    <w:link w:val="Heading8"/>
    <w:uiPriority w:val="9"/>
    <w:semiHidden/>
    <w:rsid w:val="00600DD5"/>
    <w:rPr>
      <w:rFonts w:ascii="Calibri" w:hAnsi="Calibri"/>
      <w:i/>
      <w:iCs/>
      <w:sz w:val="24"/>
      <w:szCs w:val="24"/>
      <w:lang w:val="x-none" w:eastAsia="x-none"/>
    </w:rPr>
  </w:style>
  <w:style w:type="character" w:customStyle="1" w:styleId="Heading9Char">
    <w:name w:val="Heading 9 Char"/>
    <w:basedOn w:val="DefaultParagraphFont"/>
    <w:link w:val="Heading9"/>
    <w:uiPriority w:val="9"/>
    <w:semiHidden/>
    <w:rsid w:val="00600DD5"/>
    <w:rPr>
      <w:rFonts w:ascii="Cambria" w:hAnsi="Cambria"/>
      <w:sz w:val="22"/>
      <w:szCs w:val="22"/>
      <w:lang w:val="x-none" w:eastAsia="x-none"/>
    </w:rPr>
  </w:style>
  <w:style w:type="paragraph" w:customStyle="1" w:styleId="Style4">
    <w:name w:val="Style 4"/>
    <w:basedOn w:val="Normal"/>
    <w:rsid w:val="00600DD5"/>
    <w:pPr>
      <w:widowControl w:val="0"/>
      <w:jc w:val="center"/>
    </w:pPr>
  </w:style>
  <w:style w:type="paragraph" w:styleId="BodyText">
    <w:name w:val="Body Text"/>
    <w:basedOn w:val="Normal"/>
    <w:link w:val="BodyTextChar"/>
    <w:uiPriority w:val="99"/>
    <w:unhideWhenUsed/>
    <w:rsid w:val="00600DD5"/>
    <w:pPr>
      <w:autoSpaceDE/>
      <w:autoSpaceDN/>
      <w:spacing w:after="120"/>
    </w:pPr>
    <w:rPr>
      <w:sz w:val="20"/>
      <w:szCs w:val="20"/>
    </w:rPr>
  </w:style>
  <w:style w:type="character" w:customStyle="1" w:styleId="BodyTextChar">
    <w:name w:val="Body Text Char"/>
    <w:basedOn w:val="DefaultParagraphFont"/>
    <w:link w:val="BodyText"/>
    <w:uiPriority w:val="99"/>
    <w:rsid w:val="00600D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paragraph" w:styleId="Heading1">
    <w:name w:val="heading 1"/>
    <w:basedOn w:val="Normal"/>
    <w:next w:val="BodyText"/>
    <w:link w:val="Heading1Char"/>
    <w:uiPriority w:val="9"/>
    <w:qFormat/>
    <w:rsid w:val="00600DD5"/>
    <w:pPr>
      <w:numPr>
        <w:numId w:val="19"/>
      </w:numPr>
      <w:tabs>
        <w:tab w:val="clear" w:pos="0"/>
      </w:tabs>
      <w:autoSpaceDE/>
      <w:autoSpaceDN/>
      <w:spacing w:after="360" w:line="360" w:lineRule="auto"/>
      <w:outlineLvl w:val="0"/>
    </w:pPr>
    <w:rPr>
      <w:bCs/>
      <w:szCs w:val="32"/>
      <w:lang w:val="x-none" w:eastAsia="x-none"/>
    </w:rPr>
  </w:style>
  <w:style w:type="paragraph" w:styleId="Heading2">
    <w:name w:val="heading 2"/>
    <w:basedOn w:val="Normal"/>
    <w:next w:val="BodyText"/>
    <w:link w:val="Heading2Char"/>
    <w:uiPriority w:val="9"/>
    <w:unhideWhenUsed/>
    <w:qFormat/>
    <w:rsid w:val="00600DD5"/>
    <w:pPr>
      <w:numPr>
        <w:ilvl w:val="1"/>
        <w:numId w:val="19"/>
      </w:numPr>
      <w:tabs>
        <w:tab w:val="clear" w:pos="0"/>
        <w:tab w:val="left" w:pos="2160"/>
      </w:tabs>
      <w:autoSpaceDE/>
      <w:autoSpaceDN/>
      <w:spacing w:line="360" w:lineRule="auto"/>
      <w:ind w:left="994" w:right="1440"/>
      <w:outlineLvl w:val="1"/>
    </w:pPr>
    <w:rPr>
      <w:bCs/>
      <w:iCs/>
      <w:szCs w:val="28"/>
      <w:lang w:val="x-none" w:eastAsia="x-none"/>
    </w:rPr>
  </w:style>
  <w:style w:type="paragraph" w:styleId="Heading3">
    <w:name w:val="heading 3"/>
    <w:basedOn w:val="Normal"/>
    <w:next w:val="BodyText"/>
    <w:link w:val="Heading3Char"/>
    <w:uiPriority w:val="9"/>
    <w:unhideWhenUsed/>
    <w:qFormat/>
    <w:rsid w:val="00600DD5"/>
    <w:pPr>
      <w:numPr>
        <w:ilvl w:val="2"/>
        <w:numId w:val="19"/>
      </w:numPr>
      <w:tabs>
        <w:tab w:val="left" w:pos="2160"/>
      </w:tabs>
      <w:autoSpaceDE/>
      <w:autoSpaceDN/>
      <w:spacing w:after="240" w:line="360" w:lineRule="auto"/>
      <w:ind w:right="1728"/>
      <w:outlineLvl w:val="2"/>
    </w:pPr>
    <w:rPr>
      <w:bCs/>
      <w:szCs w:val="26"/>
      <w:lang w:val="x-none" w:eastAsia="x-none"/>
    </w:rPr>
  </w:style>
  <w:style w:type="paragraph" w:styleId="Heading4">
    <w:name w:val="heading 4"/>
    <w:basedOn w:val="Normal"/>
    <w:next w:val="BodyText"/>
    <w:link w:val="Heading4Char"/>
    <w:uiPriority w:val="9"/>
    <w:semiHidden/>
    <w:unhideWhenUsed/>
    <w:qFormat/>
    <w:rsid w:val="00600DD5"/>
    <w:pPr>
      <w:keepNext/>
      <w:numPr>
        <w:ilvl w:val="3"/>
        <w:numId w:val="19"/>
      </w:numPr>
      <w:tabs>
        <w:tab w:val="clear" w:pos="0"/>
      </w:tabs>
      <w:autoSpaceDE/>
      <w:autoSpaceDN/>
      <w:spacing w:before="240" w:after="60"/>
      <w:outlineLvl w:val="3"/>
    </w:pPr>
    <w:rPr>
      <w:rFonts w:ascii="Calibri" w:hAnsi="Calibri"/>
      <w:b/>
      <w:bCs/>
      <w:sz w:val="28"/>
      <w:szCs w:val="28"/>
      <w:lang w:val="x-none" w:eastAsia="x-none"/>
    </w:rPr>
  </w:style>
  <w:style w:type="paragraph" w:styleId="Heading5">
    <w:name w:val="heading 5"/>
    <w:basedOn w:val="Normal"/>
    <w:next w:val="BodyText"/>
    <w:link w:val="Heading5Char"/>
    <w:uiPriority w:val="9"/>
    <w:semiHidden/>
    <w:unhideWhenUsed/>
    <w:qFormat/>
    <w:rsid w:val="00600DD5"/>
    <w:pPr>
      <w:numPr>
        <w:ilvl w:val="4"/>
        <w:numId w:val="19"/>
      </w:numPr>
      <w:tabs>
        <w:tab w:val="clear" w:pos="0"/>
      </w:tabs>
      <w:autoSpaceDE/>
      <w:autoSpaceDN/>
      <w:spacing w:before="240" w:after="60"/>
      <w:outlineLvl w:val="4"/>
    </w:pPr>
    <w:rPr>
      <w:rFonts w:ascii="Calibri" w:hAnsi="Calibri"/>
      <w:b/>
      <w:bCs/>
      <w:i/>
      <w:iCs/>
      <w:sz w:val="26"/>
      <w:szCs w:val="26"/>
      <w:lang w:val="x-none" w:eastAsia="x-none"/>
    </w:rPr>
  </w:style>
  <w:style w:type="paragraph" w:styleId="Heading6">
    <w:name w:val="heading 6"/>
    <w:basedOn w:val="Normal"/>
    <w:next w:val="BodyText"/>
    <w:link w:val="Heading6Char"/>
    <w:uiPriority w:val="9"/>
    <w:semiHidden/>
    <w:unhideWhenUsed/>
    <w:qFormat/>
    <w:rsid w:val="00600DD5"/>
    <w:pPr>
      <w:numPr>
        <w:ilvl w:val="5"/>
        <w:numId w:val="19"/>
      </w:numPr>
      <w:tabs>
        <w:tab w:val="clear" w:pos="0"/>
      </w:tabs>
      <w:autoSpaceDE/>
      <w:autoSpaceDN/>
      <w:spacing w:before="240" w:after="60"/>
      <w:outlineLvl w:val="5"/>
    </w:pPr>
    <w:rPr>
      <w:rFonts w:ascii="Calibri" w:hAnsi="Calibri"/>
      <w:b/>
      <w:bCs/>
      <w:sz w:val="22"/>
      <w:szCs w:val="22"/>
      <w:lang w:val="x-none" w:eastAsia="x-none"/>
    </w:rPr>
  </w:style>
  <w:style w:type="paragraph" w:styleId="Heading7">
    <w:name w:val="heading 7"/>
    <w:basedOn w:val="Normal"/>
    <w:next w:val="BodyText"/>
    <w:link w:val="Heading7Char"/>
    <w:uiPriority w:val="9"/>
    <w:unhideWhenUsed/>
    <w:qFormat/>
    <w:rsid w:val="00600DD5"/>
    <w:pPr>
      <w:numPr>
        <w:ilvl w:val="6"/>
        <w:numId w:val="19"/>
      </w:numPr>
      <w:tabs>
        <w:tab w:val="clear" w:pos="0"/>
      </w:tabs>
      <w:autoSpaceDE/>
      <w:autoSpaceDN/>
      <w:spacing w:before="240" w:after="60"/>
      <w:outlineLvl w:val="6"/>
    </w:pPr>
    <w:rPr>
      <w:rFonts w:ascii="Calibri" w:hAnsi="Calibri"/>
      <w:lang w:val="x-none" w:eastAsia="x-none"/>
    </w:rPr>
  </w:style>
  <w:style w:type="paragraph" w:styleId="Heading8">
    <w:name w:val="heading 8"/>
    <w:basedOn w:val="Normal"/>
    <w:next w:val="BodyText"/>
    <w:link w:val="Heading8Char"/>
    <w:uiPriority w:val="9"/>
    <w:semiHidden/>
    <w:unhideWhenUsed/>
    <w:qFormat/>
    <w:rsid w:val="00600DD5"/>
    <w:pPr>
      <w:numPr>
        <w:ilvl w:val="7"/>
        <w:numId w:val="19"/>
      </w:numPr>
      <w:tabs>
        <w:tab w:val="clear" w:pos="0"/>
      </w:tabs>
      <w:autoSpaceDE/>
      <w:autoSpaceDN/>
      <w:spacing w:before="240" w:after="60"/>
      <w:outlineLvl w:val="7"/>
    </w:pPr>
    <w:rPr>
      <w:rFonts w:ascii="Calibri" w:hAnsi="Calibri"/>
      <w:i/>
      <w:iCs/>
      <w:lang w:val="x-none" w:eastAsia="x-none"/>
    </w:rPr>
  </w:style>
  <w:style w:type="paragraph" w:styleId="Heading9">
    <w:name w:val="heading 9"/>
    <w:basedOn w:val="Normal"/>
    <w:next w:val="BodyText"/>
    <w:link w:val="Heading9Char"/>
    <w:uiPriority w:val="9"/>
    <w:semiHidden/>
    <w:unhideWhenUsed/>
    <w:qFormat/>
    <w:rsid w:val="00600DD5"/>
    <w:pPr>
      <w:numPr>
        <w:ilvl w:val="8"/>
        <w:numId w:val="19"/>
      </w:numPr>
      <w:tabs>
        <w:tab w:val="clear" w:pos="0"/>
      </w:tabs>
      <w:autoSpaceDE/>
      <w:autoSpaceDN/>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styleId="BalloonText">
    <w:name w:val="Balloon Text"/>
    <w:basedOn w:val="Normal"/>
    <w:link w:val="BalloonTextChar"/>
    <w:rsid w:val="00910C3F"/>
    <w:rPr>
      <w:rFonts w:ascii="Tahoma" w:hAnsi="Tahoma" w:cs="Tahoma"/>
      <w:sz w:val="16"/>
      <w:szCs w:val="16"/>
    </w:rPr>
  </w:style>
  <w:style w:type="character" w:customStyle="1" w:styleId="BalloonTextChar">
    <w:name w:val="Balloon Text Char"/>
    <w:basedOn w:val="DefaultParagraphFont"/>
    <w:link w:val="BalloonText"/>
    <w:rsid w:val="00910C3F"/>
    <w:rPr>
      <w:rFonts w:ascii="Tahoma" w:hAnsi="Tahoma" w:cs="Tahoma"/>
      <w:sz w:val="16"/>
      <w:szCs w:val="16"/>
    </w:rPr>
  </w:style>
  <w:style w:type="paragraph" w:styleId="NoSpacing">
    <w:name w:val="No Spacing"/>
    <w:uiPriority w:val="1"/>
    <w:qFormat/>
    <w:rsid w:val="009160D8"/>
    <w:rPr>
      <w:rFonts w:eastAsia="Calibri"/>
      <w:sz w:val="24"/>
    </w:rPr>
  </w:style>
  <w:style w:type="paragraph" w:styleId="BodyText3">
    <w:name w:val="Body Text 3"/>
    <w:basedOn w:val="Normal"/>
    <w:link w:val="BodyText3Char"/>
    <w:rsid w:val="00600DD5"/>
    <w:pPr>
      <w:spacing w:after="120"/>
    </w:pPr>
    <w:rPr>
      <w:sz w:val="16"/>
      <w:szCs w:val="16"/>
    </w:rPr>
  </w:style>
  <w:style w:type="character" w:customStyle="1" w:styleId="BodyText3Char">
    <w:name w:val="Body Text 3 Char"/>
    <w:basedOn w:val="DefaultParagraphFont"/>
    <w:link w:val="BodyText3"/>
    <w:rsid w:val="00600DD5"/>
    <w:rPr>
      <w:sz w:val="16"/>
      <w:szCs w:val="16"/>
    </w:rPr>
  </w:style>
  <w:style w:type="character" w:customStyle="1" w:styleId="Heading1Char">
    <w:name w:val="Heading 1 Char"/>
    <w:basedOn w:val="DefaultParagraphFont"/>
    <w:link w:val="Heading1"/>
    <w:uiPriority w:val="9"/>
    <w:rsid w:val="00600DD5"/>
    <w:rPr>
      <w:bCs/>
      <w:sz w:val="24"/>
      <w:szCs w:val="32"/>
      <w:lang w:val="x-none" w:eastAsia="x-none"/>
    </w:rPr>
  </w:style>
  <w:style w:type="character" w:customStyle="1" w:styleId="Heading2Char">
    <w:name w:val="Heading 2 Char"/>
    <w:basedOn w:val="DefaultParagraphFont"/>
    <w:link w:val="Heading2"/>
    <w:uiPriority w:val="9"/>
    <w:rsid w:val="00600DD5"/>
    <w:rPr>
      <w:bCs/>
      <w:iCs/>
      <w:sz w:val="24"/>
      <w:szCs w:val="28"/>
      <w:lang w:val="x-none" w:eastAsia="x-none"/>
    </w:rPr>
  </w:style>
  <w:style w:type="character" w:customStyle="1" w:styleId="Heading3Char">
    <w:name w:val="Heading 3 Char"/>
    <w:basedOn w:val="DefaultParagraphFont"/>
    <w:link w:val="Heading3"/>
    <w:uiPriority w:val="9"/>
    <w:rsid w:val="00600DD5"/>
    <w:rPr>
      <w:bCs/>
      <w:sz w:val="24"/>
      <w:szCs w:val="26"/>
      <w:lang w:val="x-none" w:eastAsia="x-none"/>
    </w:rPr>
  </w:style>
  <w:style w:type="character" w:customStyle="1" w:styleId="Heading4Char">
    <w:name w:val="Heading 4 Char"/>
    <w:basedOn w:val="DefaultParagraphFont"/>
    <w:link w:val="Heading4"/>
    <w:uiPriority w:val="9"/>
    <w:semiHidden/>
    <w:rsid w:val="00600DD5"/>
    <w:rPr>
      <w:rFonts w:ascii="Calibri" w:hAnsi="Calibri"/>
      <w:b/>
      <w:bCs/>
      <w:sz w:val="28"/>
      <w:szCs w:val="28"/>
      <w:lang w:val="x-none" w:eastAsia="x-none"/>
    </w:rPr>
  </w:style>
  <w:style w:type="character" w:customStyle="1" w:styleId="Heading5Char">
    <w:name w:val="Heading 5 Char"/>
    <w:basedOn w:val="DefaultParagraphFont"/>
    <w:link w:val="Heading5"/>
    <w:uiPriority w:val="9"/>
    <w:semiHidden/>
    <w:rsid w:val="00600DD5"/>
    <w:rPr>
      <w:rFonts w:ascii="Calibri" w:hAnsi="Calibri"/>
      <w:b/>
      <w:bCs/>
      <w:i/>
      <w:iCs/>
      <w:sz w:val="26"/>
      <w:szCs w:val="26"/>
      <w:lang w:val="x-none" w:eastAsia="x-none"/>
    </w:rPr>
  </w:style>
  <w:style w:type="character" w:customStyle="1" w:styleId="Heading6Char">
    <w:name w:val="Heading 6 Char"/>
    <w:basedOn w:val="DefaultParagraphFont"/>
    <w:link w:val="Heading6"/>
    <w:uiPriority w:val="9"/>
    <w:semiHidden/>
    <w:rsid w:val="00600DD5"/>
    <w:rPr>
      <w:rFonts w:ascii="Calibri" w:hAnsi="Calibri"/>
      <w:b/>
      <w:bCs/>
      <w:sz w:val="22"/>
      <w:szCs w:val="22"/>
      <w:lang w:val="x-none" w:eastAsia="x-none"/>
    </w:rPr>
  </w:style>
  <w:style w:type="character" w:customStyle="1" w:styleId="Heading7Char">
    <w:name w:val="Heading 7 Char"/>
    <w:basedOn w:val="DefaultParagraphFont"/>
    <w:link w:val="Heading7"/>
    <w:uiPriority w:val="9"/>
    <w:rsid w:val="00600DD5"/>
    <w:rPr>
      <w:rFonts w:ascii="Calibri" w:hAnsi="Calibri"/>
      <w:sz w:val="24"/>
      <w:szCs w:val="24"/>
      <w:lang w:val="x-none" w:eastAsia="x-none"/>
    </w:rPr>
  </w:style>
  <w:style w:type="character" w:customStyle="1" w:styleId="Heading8Char">
    <w:name w:val="Heading 8 Char"/>
    <w:basedOn w:val="DefaultParagraphFont"/>
    <w:link w:val="Heading8"/>
    <w:uiPriority w:val="9"/>
    <w:semiHidden/>
    <w:rsid w:val="00600DD5"/>
    <w:rPr>
      <w:rFonts w:ascii="Calibri" w:hAnsi="Calibri"/>
      <w:i/>
      <w:iCs/>
      <w:sz w:val="24"/>
      <w:szCs w:val="24"/>
      <w:lang w:val="x-none" w:eastAsia="x-none"/>
    </w:rPr>
  </w:style>
  <w:style w:type="character" w:customStyle="1" w:styleId="Heading9Char">
    <w:name w:val="Heading 9 Char"/>
    <w:basedOn w:val="DefaultParagraphFont"/>
    <w:link w:val="Heading9"/>
    <w:uiPriority w:val="9"/>
    <w:semiHidden/>
    <w:rsid w:val="00600DD5"/>
    <w:rPr>
      <w:rFonts w:ascii="Cambria" w:hAnsi="Cambria"/>
      <w:sz w:val="22"/>
      <w:szCs w:val="22"/>
      <w:lang w:val="x-none" w:eastAsia="x-none"/>
    </w:rPr>
  </w:style>
  <w:style w:type="paragraph" w:customStyle="1" w:styleId="Style4">
    <w:name w:val="Style 4"/>
    <w:basedOn w:val="Normal"/>
    <w:rsid w:val="00600DD5"/>
    <w:pPr>
      <w:widowControl w:val="0"/>
      <w:jc w:val="center"/>
    </w:pPr>
  </w:style>
  <w:style w:type="paragraph" w:styleId="BodyText">
    <w:name w:val="Body Text"/>
    <w:basedOn w:val="Normal"/>
    <w:link w:val="BodyTextChar"/>
    <w:uiPriority w:val="99"/>
    <w:unhideWhenUsed/>
    <w:rsid w:val="00600DD5"/>
    <w:pPr>
      <w:autoSpaceDE/>
      <w:autoSpaceDN/>
      <w:spacing w:after="120"/>
    </w:pPr>
    <w:rPr>
      <w:sz w:val="20"/>
      <w:szCs w:val="20"/>
    </w:rPr>
  </w:style>
  <w:style w:type="character" w:customStyle="1" w:styleId="BodyTextChar">
    <w:name w:val="Body Text Char"/>
    <w:basedOn w:val="DefaultParagraphFont"/>
    <w:link w:val="BodyText"/>
    <w:uiPriority w:val="99"/>
    <w:rsid w:val="00600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87B4D-9BDD-4102-B0DB-7BDEB14F6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3556</Words>
  <Characters>20275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23784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shoffner</cp:lastModifiedBy>
  <cp:revision>4</cp:revision>
  <cp:lastPrinted>2014-08-22T15:22:00Z</cp:lastPrinted>
  <dcterms:created xsi:type="dcterms:W3CDTF">2014-08-22T15:14:00Z</dcterms:created>
  <dcterms:modified xsi:type="dcterms:W3CDTF">2014-08-22T15:28:00Z</dcterms:modified>
</cp:coreProperties>
</file>