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78" w:rsidRPr="00C055EF" w:rsidRDefault="00DF1678" w:rsidP="00DF1678">
      <w:pPr>
        <w:tabs>
          <w:tab w:val="center" w:pos="4680"/>
        </w:tabs>
        <w:jc w:val="center"/>
        <w:rPr>
          <w:b/>
        </w:rPr>
      </w:pPr>
      <w:r w:rsidRPr="00C055EF">
        <w:rPr>
          <w:b/>
        </w:rPr>
        <w:t>BEFORE THE</w:t>
      </w:r>
    </w:p>
    <w:p w:rsidR="00DF1678" w:rsidRPr="00C055EF" w:rsidRDefault="00DF1678" w:rsidP="00DF1678">
      <w:pPr>
        <w:tabs>
          <w:tab w:val="center" w:pos="4680"/>
        </w:tabs>
        <w:jc w:val="both"/>
      </w:pPr>
      <w:r w:rsidRPr="00C055EF">
        <w:rPr>
          <w:b/>
        </w:rPr>
        <w:tab/>
      </w:r>
      <w:smartTag w:uri="urn:schemas-microsoft-com:office:smarttags" w:element="State">
        <w:smartTag w:uri="urn:schemas-microsoft-com:office:smarttags" w:element="place">
          <w:r w:rsidRPr="00C055EF">
            <w:rPr>
              <w:b/>
            </w:rPr>
            <w:t>PENNSYLVANIA</w:t>
          </w:r>
        </w:smartTag>
      </w:smartTag>
      <w:r w:rsidRPr="00C055EF">
        <w:rPr>
          <w:b/>
        </w:rPr>
        <w:t xml:space="preserve"> PUBLIC UTILITY COMMISSION</w:t>
      </w:r>
    </w:p>
    <w:p w:rsidR="00DF1678" w:rsidRPr="00C055EF" w:rsidRDefault="00DF1678" w:rsidP="00DF1678">
      <w:pPr>
        <w:jc w:val="both"/>
      </w:pPr>
    </w:p>
    <w:p w:rsidR="00DF1678" w:rsidRPr="00C055EF" w:rsidRDefault="00DF1678" w:rsidP="00DF1678">
      <w:pPr>
        <w:jc w:val="both"/>
      </w:pPr>
    </w:p>
    <w:p w:rsidR="00DF1678" w:rsidRPr="00C055EF" w:rsidRDefault="00DF1678" w:rsidP="00DF1678">
      <w:pPr>
        <w:jc w:val="both"/>
      </w:pPr>
    </w:p>
    <w:p w:rsidR="00DF1678" w:rsidRDefault="00DF1678" w:rsidP="00DF1678">
      <w:pPr>
        <w:jc w:val="both"/>
      </w:pPr>
      <w:r w:rsidRPr="00C055EF">
        <w:t xml:space="preserve">Pennsylvania Public Utility Commission, </w:t>
      </w:r>
      <w:r>
        <w:tab/>
      </w:r>
      <w:r w:rsidRPr="00C055EF">
        <w:tab/>
      </w:r>
      <w:r w:rsidRPr="00F54816">
        <w:t>:</w:t>
      </w:r>
      <w:r>
        <w:tab/>
      </w:r>
      <w:r>
        <w:tab/>
      </w:r>
      <w:r w:rsidRPr="00C055EF">
        <w:t>R</w:t>
      </w:r>
      <w:r w:rsidRPr="00C055EF">
        <w:noBreakHyphen/>
      </w:r>
      <w:r>
        <w:t>2014-2407345</w:t>
      </w:r>
    </w:p>
    <w:p w:rsidR="00DF1678" w:rsidRDefault="00DF1678" w:rsidP="00DF1678">
      <w:pPr>
        <w:jc w:val="both"/>
      </w:pPr>
      <w:r>
        <w:t>Office of Consumer Advocate</w:t>
      </w:r>
      <w:r>
        <w:tab/>
      </w:r>
      <w:r>
        <w:tab/>
      </w:r>
      <w:r>
        <w:tab/>
        <w:t>:</w:t>
      </w:r>
      <w:r>
        <w:tab/>
      </w:r>
      <w:r>
        <w:tab/>
        <w:t>C-2014-2410197</w:t>
      </w:r>
    </w:p>
    <w:p w:rsidR="00DF1678" w:rsidRPr="00C055EF" w:rsidRDefault="00DF1678" w:rsidP="00DF1678">
      <w:pPr>
        <w:jc w:val="both"/>
        <w:rPr>
          <w:b/>
        </w:rPr>
      </w:pPr>
      <w:r>
        <w:t>Office of Small Business Advocate</w:t>
      </w:r>
      <w:r>
        <w:tab/>
      </w:r>
      <w:r>
        <w:tab/>
      </w:r>
      <w:r>
        <w:tab/>
        <w:t>:</w:t>
      </w:r>
      <w:r>
        <w:tab/>
      </w:r>
      <w:r>
        <w:tab/>
        <w:t>C-2014-2415136</w:t>
      </w:r>
    </w:p>
    <w:p w:rsidR="00DF1678" w:rsidRPr="00C055EF" w:rsidRDefault="00DF1678" w:rsidP="00DF1678">
      <w:pPr>
        <w:ind w:firstLine="4320"/>
        <w:jc w:val="both"/>
      </w:pPr>
      <w:r w:rsidRPr="00C055EF">
        <w:rPr>
          <w:b/>
        </w:rPr>
        <w:tab/>
      </w:r>
      <w:r w:rsidRPr="00F54816">
        <w:t>:</w:t>
      </w:r>
      <w:r>
        <w:rPr>
          <w:b/>
        </w:rPr>
        <w:tab/>
      </w:r>
      <w:r>
        <w:rPr>
          <w:b/>
        </w:rPr>
        <w:tab/>
      </w:r>
    </w:p>
    <w:p w:rsidR="00DF1678" w:rsidRPr="005431B8" w:rsidRDefault="00DF1678" w:rsidP="00DF1678">
      <w:pPr>
        <w:ind w:firstLine="720"/>
        <w:jc w:val="both"/>
        <w:rPr>
          <w:color w:val="FF0000"/>
        </w:rPr>
      </w:pPr>
      <w:r w:rsidRPr="00C055EF">
        <w:t>v.</w:t>
      </w:r>
      <w:r w:rsidRPr="00C055EF">
        <w:tab/>
      </w:r>
      <w:r w:rsidRPr="00C055EF">
        <w:tab/>
      </w:r>
      <w:r w:rsidRPr="00C055EF">
        <w:tab/>
      </w:r>
      <w:r w:rsidRPr="00C055EF">
        <w:tab/>
      </w:r>
      <w:r w:rsidRPr="00C055EF">
        <w:tab/>
      </w:r>
      <w:r w:rsidRPr="00C055EF">
        <w:tab/>
      </w:r>
      <w:r w:rsidRPr="00F54816">
        <w:t>:</w:t>
      </w:r>
      <w:r>
        <w:tab/>
      </w:r>
      <w:r>
        <w:tab/>
      </w:r>
      <w:r>
        <w:rPr>
          <w:b/>
        </w:rPr>
        <w:tab/>
      </w:r>
      <w:r>
        <w:rPr>
          <w:b/>
        </w:rPr>
        <w:tab/>
      </w:r>
      <w:r w:rsidRPr="00C055EF">
        <w:tab/>
      </w:r>
      <w:r w:rsidRPr="00C055EF">
        <w:tab/>
      </w:r>
      <w:r>
        <w:tab/>
      </w:r>
      <w:r>
        <w:tab/>
      </w:r>
      <w:r>
        <w:tab/>
      </w:r>
      <w:r>
        <w:tab/>
      </w:r>
      <w:r>
        <w:tab/>
      </w:r>
      <w:r>
        <w:tab/>
      </w:r>
      <w:r>
        <w:tab/>
        <w:t>:</w:t>
      </w:r>
    </w:p>
    <w:p w:rsidR="00DF1678" w:rsidRPr="00F54816" w:rsidRDefault="00DF1678" w:rsidP="00DF1678">
      <w:pPr>
        <w:jc w:val="both"/>
      </w:pPr>
      <w:r>
        <w:t>Columbia Gas of Pennsylvania, Inc.</w:t>
      </w:r>
      <w:r w:rsidRPr="00C055EF">
        <w:tab/>
      </w:r>
      <w:r>
        <w:tab/>
      </w:r>
      <w:r>
        <w:tab/>
      </w:r>
      <w:r w:rsidRPr="00F54816">
        <w:t>:</w:t>
      </w:r>
    </w:p>
    <w:p w:rsidR="00DF1678" w:rsidRDefault="00DF1678" w:rsidP="00DF1678">
      <w:pPr>
        <w:jc w:val="center"/>
      </w:pPr>
    </w:p>
    <w:p w:rsidR="00DF1678" w:rsidRPr="009C6D70" w:rsidRDefault="00DF1678" w:rsidP="00DF1678">
      <w:pPr>
        <w:tabs>
          <w:tab w:val="center" w:pos="4680"/>
        </w:tabs>
        <w:jc w:val="both"/>
      </w:pPr>
    </w:p>
    <w:p w:rsidR="00DF1678" w:rsidRPr="009C6D70" w:rsidRDefault="00DF1678" w:rsidP="00DF1678">
      <w:pPr>
        <w:jc w:val="center"/>
        <w:rPr>
          <w:b/>
          <w:u w:val="single"/>
        </w:rPr>
      </w:pPr>
    </w:p>
    <w:p w:rsidR="00DF1678" w:rsidRPr="009C6D70" w:rsidRDefault="00DF1678" w:rsidP="00DF1678">
      <w:pPr>
        <w:jc w:val="center"/>
      </w:pPr>
      <w:r w:rsidRPr="009C6D70">
        <w:rPr>
          <w:b/>
          <w:u w:val="single"/>
        </w:rPr>
        <w:t>RECOMMENDED DECISION</w:t>
      </w:r>
    </w:p>
    <w:p w:rsidR="00DF1678" w:rsidRPr="009C6D70" w:rsidRDefault="00DF1678" w:rsidP="00DF1678">
      <w:pPr>
        <w:jc w:val="center"/>
      </w:pPr>
    </w:p>
    <w:p w:rsidR="00DF1678" w:rsidRPr="009C6D70" w:rsidRDefault="00DF1678" w:rsidP="00DF1678">
      <w:pPr>
        <w:jc w:val="center"/>
      </w:pPr>
    </w:p>
    <w:p w:rsidR="00DF1678" w:rsidRPr="009C6D70" w:rsidRDefault="00DF1678" w:rsidP="00DF1678">
      <w:pPr>
        <w:jc w:val="center"/>
      </w:pPr>
      <w:r w:rsidRPr="009C6D70">
        <w:t>Before</w:t>
      </w:r>
    </w:p>
    <w:p w:rsidR="00DF1678" w:rsidRPr="009C6D70" w:rsidRDefault="00DF1678" w:rsidP="00DF1678">
      <w:pPr>
        <w:jc w:val="center"/>
      </w:pPr>
      <w:r w:rsidRPr="009C6D70">
        <w:t xml:space="preserve">Mark A. Hoyer </w:t>
      </w:r>
    </w:p>
    <w:p w:rsidR="00DF1678" w:rsidRPr="009C6D70" w:rsidRDefault="00DF1678" w:rsidP="00DF1678">
      <w:pPr>
        <w:jc w:val="center"/>
      </w:pPr>
      <w:r w:rsidRPr="009C6D70">
        <w:t>Administrative Law Judge</w:t>
      </w:r>
    </w:p>
    <w:p w:rsidR="00DF1678" w:rsidRPr="009C6D70"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jc w:val="center"/>
      </w:pPr>
    </w:p>
    <w:p w:rsidR="00DF1678" w:rsidRDefault="00DF1678" w:rsidP="00DF1678">
      <w:pPr>
        <w:tabs>
          <w:tab w:val="left" w:pos="720"/>
          <w:tab w:val="left" w:pos="1440"/>
          <w:tab w:val="left" w:pos="2160"/>
        </w:tabs>
        <w:spacing w:line="360" w:lineRule="auto"/>
        <w:jc w:val="center"/>
        <w:rPr>
          <w:b/>
        </w:rPr>
      </w:pPr>
    </w:p>
    <w:p w:rsidR="00DF1678" w:rsidRDefault="00DF1678" w:rsidP="00DF1678">
      <w:pPr>
        <w:rPr>
          <w:b/>
        </w:rPr>
      </w:pPr>
      <w:r>
        <w:rPr>
          <w:b/>
        </w:rPr>
        <w:br w:type="page"/>
      </w:r>
    </w:p>
    <w:p w:rsidR="00DF1678" w:rsidRPr="00B5289D" w:rsidRDefault="00DF1678" w:rsidP="00DF1678">
      <w:pPr>
        <w:tabs>
          <w:tab w:val="left" w:pos="720"/>
          <w:tab w:val="left" w:pos="1440"/>
          <w:tab w:val="left" w:pos="2160"/>
        </w:tabs>
        <w:spacing w:line="360" w:lineRule="auto"/>
        <w:jc w:val="center"/>
        <w:rPr>
          <w:b/>
          <w:u w:val="single"/>
        </w:rPr>
      </w:pPr>
      <w:r w:rsidRPr="00B5289D">
        <w:rPr>
          <w:b/>
          <w:u w:val="single"/>
        </w:rPr>
        <w:lastRenderedPageBreak/>
        <w:t>TABLE OF CONTENTS</w:t>
      </w:r>
    </w:p>
    <w:p w:rsidR="00DF1678" w:rsidRPr="000626A5" w:rsidRDefault="00DF1678" w:rsidP="00DF1678">
      <w:pPr>
        <w:tabs>
          <w:tab w:val="left" w:pos="720"/>
          <w:tab w:val="left" w:pos="1440"/>
          <w:tab w:val="left" w:pos="2160"/>
        </w:tabs>
        <w:spacing w:line="360" w:lineRule="auto"/>
      </w:pPr>
    </w:p>
    <w:p w:rsidR="00DF1678" w:rsidRPr="00036621" w:rsidRDefault="00DF1678" w:rsidP="00036621">
      <w:pPr>
        <w:tabs>
          <w:tab w:val="left" w:pos="720"/>
          <w:tab w:val="left" w:pos="1440"/>
          <w:tab w:val="left" w:pos="2160"/>
          <w:tab w:val="left" w:pos="3600"/>
          <w:tab w:val="left" w:pos="9000"/>
        </w:tabs>
      </w:pPr>
      <w:r w:rsidRPr="00036621">
        <w:t>I.</w:t>
      </w:r>
      <w:r w:rsidRPr="00036621">
        <w:tab/>
      </w:r>
      <w:r w:rsidRPr="00036621">
        <w:rPr>
          <w:caps/>
        </w:rPr>
        <w:t>HISTORY OF THE PROCEEDINGS</w:t>
      </w:r>
      <w:r w:rsidR="00121FBE" w:rsidRPr="00036621">
        <w:rPr>
          <w:caps/>
          <w:u w:val="dotted"/>
        </w:rPr>
        <w:tab/>
      </w:r>
      <w:r w:rsidRPr="00036621">
        <w:t>1</w:t>
      </w:r>
    </w:p>
    <w:p w:rsidR="00BE1EA3" w:rsidRPr="00036621" w:rsidRDefault="00BE1EA3" w:rsidP="00036621">
      <w:pPr>
        <w:tabs>
          <w:tab w:val="left" w:pos="720"/>
          <w:tab w:val="left" w:pos="1440"/>
          <w:tab w:val="left" w:pos="2160"/>
          <w:tab w:val="left" w:pos="9000"/>
          <w:tab w:val="right" w:leader="dot" w:pos="9360"/>
        </w:tabs>
      </w:pPr>
    </w:p>
    <w:p w:rsidR="001209B3" w:rsidRPr="00036621" w:rsidRDefault="00DF1678" w:rsidP="00036621">
      <w:pPr>
        <w:tabs>
          <w:tab w:val="left" w:pos="720"/>
          <w:tab w:val="left" w:pos="1440"/>
          <w:tab w:val="left" w:pos="2160"/>
          <w:tab w:val="left" w:pos="2880"/>
          <w:tab w:val="left" w:pos="3600"/>
          <w:tab w:val="left" w:pos="9000"/>
        </w:tabs>
        <w:ind w:left="720" w:hanging="720"/>
        <w:rPr>
          <w:u w:val="dotted"/>
        </w:rPr>
      </w:pPr>
      <w:r w:rsidRPr="00036621">
        <w:t>II.</w:t>
      </w:r>
      <w:r w:rsidRPr="00036621">
        <w:tab/>
        <w:t>DESCRIPTION</w:t>
      </w:r>
      <w:r w:rsidR="00121FBE" w:rsidRPr="00036621">
        <w:rPr>
          <w:u w:val="dotted"/>
        </w:rPr>
        <w:tab/>
      </w:r>
      <w:r w:rsidR="00121FBE" w:rsidRPr="00036621">
        <w:rPr>
          <w:u w:val="dotted"/>
        </w:rPr>
        <w:tab/>
      </w:r>
      <w:r w:rsidR="00121FBE" w:rsidRPr="00036621">
        <w:rPr>
          <w:u w:val="dotted"/>
        </w:rPr>
        <w:tab/>
      </w:r>
      <w:r w:rsidR="00EE7AB0" w:rsidRPr="00036621">
        <w:t>2</w:t>
      </w:r>
    </w:p>
    <w:p w:rsidR="001209B3" w:rsidRPr="00036621" w:rsidRDefault="001209B3" w:rsidP="00036621">
      <w:pPr>
        <w:tabs>
          <w:tab w:val="left" w:pos="720"/>
          <w:tab w:val="left" w:pos="1440"/>
          <w:tab w:val="left" w:pos="2160"/>
          <w:tab w:val="left" w:pos="9000"/>
          <w:tab w:val="right" w:leader="dot" w:pos="9360"/>
        </w:tabs>
        <w:ind w:left="720" w:hanging="720"/>
      </w:pPr>
    </w:p>
    <w:p w:rsidR="00DF1678" w:rsidRPr="00036621" w:rsidRDefault="001209B3" w:rsidP="00036621">
      <w:pPr>
        <w:pStyle w:val="ListParagraph"/>
        <w:numPr>
          <w:ilvl w:val="0"/>
          <w:numId w:val="30"/>
        </w:numPr>
        <w:tabs>
          <w:tab w:val="left" w:pos="720"/>
          <w:tab w:val="left" w:pos="1440"/>
          <w:tab w:val="left" w:pos="2160"/>
          <w:tab w:val="left" w:pos="9000"/>
          <w:tab w:val="right" w:leader="dot" w:pos="9360"/>
        </w:tabs>
        <w:rPr>
          <w:sz w:val="24"/>
          <w:szCs w:val="24"/>
        </w:rPr>
      </w:pPr>
      <w:r w:rsidRPr="00036621">
        <w:rPr>
          <w:sz w:val="24"/>
          <w:szCs w:val="24"/>
        </w:rPr>
        <w:t>Columbia’s Supplement 210 Pilot Rider New Area Service (NAS)</w:t>
      </w:r>
      <w:r w:rsidR="00067E2D" w:rsidRPr="00036621">
        <w:rPr>
          <w:sz w:val="24"/>
          <w:szCs w:val="24"/>
          <w:u w:val="dotted"/>
        </w:rPr>
        <w:tab/>
      </w:r>
      <w:r w:rsidR="00E62C5F" w:rsidRPr="00036621">
        <w:rPr>
          <w:sz w:val="24"/>
          <w:szCs w:val="24"/>
        </w:rPr>
        <w:t>2</w:t>
      </w:r>
    </w:p>
    <w:p w:rsidR="00BE1EA3" w:rsidRPr="00036621" w:rsidRDefault="00BE1EA3" w:rsidP="00036621">
      <w:pPr>
        <w:tabs>
          <w:tab w:val="left" w:pos="720"/>
          <w:tab w:val="left" w:pos="1440"/>
          <w:tab w:val="left" w:pos="2160"/>
          <w:tab w:val="left" w:pos="9000"/>
          <w:tab w:val="right" w:leader="dot" w:pos="9360"/>
        </w:tabs>
        <w:ind w:left="720" w:hanging="720"/>
      </w:pPr>
    </w:p>
    <w:p w:rsidR="001209B3" w:rsidRPr="00036621" w:rsidRDefault="001209B3" w:rsidP="00036621">
      <w:pPr>
        <w:pStyle w:val="ListParagraph"/>
        <w:numPr>
          <w:ilvl w:val="0"/>
          <w:numId w:val="30"/>
        </w:numPr>
        <w:tabs>
          <w:tab w:val="left" w:pos="720"/>
          <w:tab w:val="left" w:pos="1440"/>
          <w:tab w:val="left" w:pos="9000"/>
          <w:tab w:val="right" w:leader="dot" w:pos="9360"/>
        </w:tabs>
        <w:rPr>
          <w:sz w:val="24"/>
          <w:szCs w:val="24"/>
        </w:rPr>
      </w:pPr>
      <w:r w:rsidRPr="00036621">
        <w:rPr>
          <w:sz w:val="24"/>
          <w:szCs w:val="24"/>
        </w:rPr>
        <w:t xml:space="preserve">Office of Consumer Advocate’s Proposed Modifications to Supplement 210 </w:t>
      </w:r>
    </w:p>
    <w:p w:rsidR="00DF1678" w:rsidRPr="00036621" w:rsidRDefault="001209B3" w:rsidP="00036621">
      <w:pPr>
        <w:pStyle w:val="ListParagraph"/>
        <w:tabs>
          <w:tab w:val="left" w:pos="720"/>
          <w:tab w:val="left" w:pos="1440"/>
          <w:tab w:val="left" w:pos="9000"/>
          <w:tab w:val="right" w:leader="dot" w:pos="9360"/>
        </w:tabs>
        <w:ind w:left="1440"/>
        <w:rPr>
          <w:sz w:val="24"/>
          <w:szCs w:val="24"/>
        </w:rPr>
      </w:pPr>
      <w:r w:rsidRPr="00036621">
        <w:rPr>
          <w:sz w:val="24"/>
          <w:szCs w:val="24"/>
        </w:rPr>
        <w:t>Pilot Rider N</w:t>
      </w:r>
      <w:r w:rsidR="00941C3C" w:rsidRPr="00036621">
        <w:rPr>
          <w:sz w:val="24"/>
          <w:szCs w:val="24"/>
        </w:rPr>
        <w:t>AS</w:t>
      </w:r>
      <w:r w:rsidR="00067E2D" w:rsidRPr="00036621">
        <w:rPr>
          <w:sz w:val="24"/>
          <w:szCs w:val="24"/>
          <w:u w:val="dotted"/>
        </w:rPr>
        <w:tab/>
      </w:r>
      <w:r w:rsidR="00E62C5F" w:rsidRPr="00036621">
        <w:rPr>
          <w:sz w:val="24"/>
          <w:szCs w:val="24"/>
        </w:rPr>
        <w:t>6</w:t>
      </w:r>
    </w:p>
    <w:p w:rsidR="00BE1EA3" w:rsidRPr="00036621" w:rsidRDefault="00BE1EA3" w:rsidP="00036621">
      <w:pPr>
        <w:tabs>
          <w:tab w:val="left" w:pos="720"/>
          <w:tab w:val="left" w:pos="1440"/>
          <w:tab w:val="left" w:pos="9000"/>
          <w:tab w:val="right" w:leader="dot" w:pos="9360"/>
        </w:tabs>
        <w:ind w:left="720" w:hanging="720"/>
      </w:pPr>
    </w:p>
    <w:p w:rsidR="00DF1678" w:rsidRPr="00036621" w:rsidRDefault="00A87F68" w:rsidP="00036621">
      <w:pPr>
        <w:pStyle w:val="ListParagraph"/>
        <w:numPr>
          <w:ilvl w:val="0"/>
          <w:numId w:val="31"/>
        </w:numPr>
        <w:tabs>
          <w:tab w:val="left" w:pos="720"/>
          <w:tab w:val="left" w:pos="1440"/>
          <w:tab w:val="left" w:pos="9000"/>
        </w:tabs>
        <w:ind w:left="2160" w:hanging="720"/>
        <w:rPr>
          <w:sz w:val="24"/>
          <w:szCs w:val="24"/>
        </w:rPr>
      </w:pPr>
      <w:r w:rsidRPr="00036621">
        <w:rPr>
          <w:sz w:val="24"/>
          <w:szCs w:val="24"/>
        </w:rPr>
        <w:t>Lowering Interest Rate to 3% for Customer’s Contribution Financed</w:t>
      </w:r>
      <w:r w:rsidR="00B03E71" w:rsidRPr="00036621">
        <w:rPr>
          <w:sz w:val="24"/>
          <w:szCs w:val="24"/>
          <w:u w:val="dotted"/>
        </w:rPr>
        <w:tab/>
      </w:r>
      <w:r w:rsidR="00E62C5F" w:rsidRPr="00036621">
        <w:rPr>
          <w:sz w:val="24"/>
          <w:szCs w:val="24"/>
        </w:rPr>
        <w:t>9</w:t>
      </w:r>
    </w:p>
    <w:p w:rsidR="00DB06D8" w:rsidRPr="00036621" w:rsidRDefault="00DB06D8" w:rsidP="00036621">
      <w:pPr>
        <w:pStyle w:val="ListParagraph"/>
        <w:tabs>
          <w:tab w:val="left" w:pos="720"/>
          <w:tab w:val="left" w:pos="1440"/>
          <w:tab w:val="left" w:pos="9000"/>
          <w:tab w:val="right" w:leader="dot" w:pos="9360"/>
        </w:tabs>
        <w:ind w:left="2160"/>
        <w:rPr>
          <w:sz w:val="24"/>
          <w:szCs w:val="24"/>
        </w:rPr>
      </w:pPr>
    </w:p>
    <w:p w:rsidR="00DF1678" w:rsidRPr="00036621" w:rsidRDefault="001209B3" w:rsidP="00036621">
      <w:pPr>
        <w:tabs>
          <w:tab w:val="left" w:pos="2160"/>
          <w:tab w:val="left" w:pos="9000"/>
        </w:tabs>
        <w:spacing w:line="360" w:lineRule="auto"/>
        <w:ind w:right="-90" w:firstLine="1440"/>
      </w:pPr>
      <w:r w:rsidRPr="00036621">
        <w:t>2.</w:t>
      </w:r>
      <w:r w:rsidR="00067E2D" w:rsidRPr="00036621">
        <w:tab/>
      </w:r>
      <w:r w:rsidR="00A87F68" w:rsidRPr="00036621">
        <w:t xml:space="preserve">Economic </w:t>
      </w:r>
      <w:r w:rsidRPr="00036621">
        <w:t>M</w:t>
      </w:r>
      <w:r w:rsidR="00A87F68" w:rsidRPr="00036621">
        <w:t>odel</w:t>
      </w:r>
      <w:r w:rsidR="00036621" w:rsidRPr="00036621">
        <w:rPr>
          <w:u w:val="dotted"/>
        </w:rPr>
        <w:tab/>
      </w:r>
      <w:r w:rsidR="00E62C5F" w:rsidRPr="00036621">
        <w:t>11</w:t>
      </w:r>
    </w:p>
    <w:p w:rsidR="00B03E71" w:rsidRPr="00036621" w:rsidRDefault="001209B3" w:rsidP="003451A7">
      <w:pPr>
        <w:tabs>
          <w:tab w:val="left" w:pos="720"/>
          <w:tab w:val="left" w:pos="1440"/>
          <w:tab w:val="left" w:pos="2160"/>
          <w:tab w:val="left" w:pos="2880"/>
          <w:tab w:val="left" w:pos="3600"/>
          <w:tab w:val="left" w:pos="9000"/>
        </w:tabs>
        <w:ind w:right="-720" w:firstLine="2160"/>
        <w:rPr>
          <w:u w:val="dotted"/>
        </w:rPr>
      </w:pPr>
      <w:r w:rsidRPr="00036621">
        <w:t>a</w:t>
      </w:r>
      <w:r w:rsidR="00A87F68" w:rsidRPr="00036621">
        <w:t>.</w:t>
      </w:r>
      <w:r w:rsidR="00E62C5F" w:rsidRPr="00036621">
        <w:tab/>
      </w:r>
      <w:r w:rsidR="00A87F68" w:rsidRPr="00036621">
        <w:t>Cost of Debt as Surrogate for Return on Equity</w:t>
      </w:r>
      <w:r w:rsidR="00B03E71" w:rsidRPr="00036621">
        <w:rPr>
          <w:u w:val="dotted"/>
        </w:rPr>
        <w:tab/>
      </w:r>
      <w:r w:rsidR="00B03E71" w:rsidRPr="00036621">
        <w:t>11</w:t>
      </w:r>
    </w:p>
    <w:p w:rsidR="00A87F68" w:rsidRPr="00036621" w:rsidRDefault="001209B3" w:rsidP="003451A7">
      <w:pPr>
        <w:tabs>
          <w:tab w:val="left" w:pos="720"/>
          <w:tab w:val="left" w:pos="1440"/>
          <w:tab w:val="left" w:pos="2160"/>
          <w:tab w:val="left" w:pos="2880"/>
          <w:tab w:val="left" w:pos="3600"/>
          <w:tab w:val="left" w:pos="9000"/>
        </w:tabs>
        <w:ind w:right="-90" w:firstLine="2160"/>
      </w:pPr>
      <w:r w:rsidRPr="00036621">
        <w:t>b</w:t>
      </w:r>
      <w:r w:rsidR="00A87F68" w:rsidRPr="00036621">
        <w:t>.</w:t>
      </w:r>
      <w:r w:rsidR="00036621" w:rsidRPr="00036621">
        <w:tab/>
      </w:r>
      <w:r w:rsidR="00A87F68" w:rsidRPr="00036621">
        <w:t>Cost of Service Lines, Meters and Regulating</w:t>
      </w:r>
      <w:r w:rsidR="00036621">
        <w:t xml:space="preserve"> Equipment</w:t>
      </w:r>
      <w:r w:rsidR="00036621" w:rsidRPr="00036621">
        <w:rPr>
          <w:u w:val="dotted"/>
        </w:rPr>
        <w:tab/>
      </w:r>
      <w:r w:rsidR="00B03E71" w:rsidRPr="00036621">
        <w:t>1</w:t>
      </w:r>
      <w:r w:rsidR="00321C30" w:rsidRPr="00036621">
        <w:t>6</w:t>
      </w:r>
    </w:p>
    <w:p w:rsidR="00B03E71" w:rsidRPr="00036621" w:rsidRDefault="00B03E71" w:rsidP="00036621">
      <w:pPr>
        <w:tabs>
          <w:tab w:val="left" w:pos="720"/>
          <w:tab w:val="left" w:pos="1440"/>
          <w:tab w:val="left" w:pos="2160"/>
          <w:tab w:val="left" w:pos="2880"/>
          <w:tab w:val="left" w:pos="3600"/>
          <w:tab w:val="left" w:pos="9000"/>
        </w:tabs>
        <w:ind w:firstLine="2160"/>
      </w:pPr>
    </w:p>
    <w:p w:rsidR="00DF1678" w:rsidRPr="00036621" w:rsidRDefault="001209B3" w:rsidP="00036621">
      <w:pPr>
        <w:tabs>
          <w:tab w:val="left" w:pos="720"/>
          <w:tab w:val="left" w:pos="2160"/>
          <w:tab w:val="left" w:pos="9000"/>
        </w:tabs>
        <w:ind w:firstLine="1440"/>
      </w:pPr>
      <w:r w:rsidRPr="00036621">
        <w:t>3</w:t>
      </w:r>
      <w:r w:rsidR="00A87F68" w:rsidRPr="00036621">
        <w:t>.</w:t>
      </w:r>
      <w:r w:rsidR="00036621">
        <w:tab/>
      </w:r>
      <w:r w:rsidR="00A87F68" w:rsidRPr="00036621">
        <w:t xml:space="preserve">Additional Reporting </w:t>
      </w:r>
      <w:r w:rsidR="00767862" w:rsidRPr="00580806">
        <w:t>R</w:t>
      </w:r>
      <w:r w:rsidR="00A87F68" w:rsidRPr="00580806">
        <w:t>equirements</w:t>
      </w:r>
      <w:r w:rsidR="00036621">
        <w:rPr>
          <w:u w:val="dotted"/>
        </w:rPr>
        <w:tab/>
      </w:r>
      <w:r w:rsidR="00427460" w:rsidRPr="00036621">
        <w:t>1</w:t>
      </w:r>
      <w:r w:rsidR="00767862" w:rsidRPr="00036621">
        <w:t>9</w:t>
      </w:r>
    </w:p>
    <w:p w:rsidR="00994ADD" w:rsidRPr="00036621" w:rsidRDefault="00994ADD" w:rsidP="00036621">
      <w:pPr>
        <w:tabs>
          <w:tab w:val="left" w:pos="720"/>
          <w:tab w:val="left" w:pos="9000"/>
        </w:tabs>
        <w:ind w:firstLine="720"/>
      </w:pPr>
    </w:p>
    <w:p w:rsidR="00DF1678" w:rsidRPr="00036621" w:rsidRDefault="001209B3" w:rsidP="00036621">
      <w:pPr>
        <w:tabs>
          <w:tab w:val="left" w:pos="2160"/>
          <w:tab w:val="left" w:pos="9000"/>
        </w:tabs>
        <w:ind w:firstLine="1440"/>
      </w:pPr>
      <w:r w:rsidRPr="00036621">
        <w:t>4</w:t>
      </w:r>
      <w:r w:rsidR="00A87F68" w:rsidRPr="00036621">
        <w:t>.</w:t>
      </w:r>
      <w:r w:rsidR="00036621">
        <w:tab/>
      </w:r>
      <w:r w:rsidR="00A87F68" w:rsidRPr="00036621">
        <w:t>Treatment of Residential Developers</w:t>
      </w:r>
      <w:r w:rsidR="00580806">
        <w:rPr>
          <w:u w:val="dotted"/>
        </w:rPr>
        <w:tab/>
      </w:r>
      <w:r w:rsidR="00021E97" w:rsidRPr="00036621">
        <w:t>2</w:t>
      </w:r>
      <w:r w:rsidR="00767862" w:rsidRPr="00036621">
        <w:t>2</w:t>
      </w:r>
    </w:p>
    <w:p w:rsidR="00994ADD" w:rsidRPr="00036621" w:rsidRDefault="00994ADD" w:rsidP="00036621">
      <w:pPr>
        <w:tabs>
          <w:tab w:val="left" w:pos="9000"/>
        </w:tabs>
        <w:ind w:firstLine="720"/>
      </w:pPr>
    </w:p>
    <w:p w:rsidR="00DF1678" w:rsidRPr="00036621" w:rsidRDefault="001209B3" w:rsidP="00580806">
      <w:pPr>
        <w:tabs>
          <w:tab w:val="left" w:pos="1440"/>
          <w:tab w:val="left" w:pos="2160"/>
          <w:tab w:val="left" w:pos="9000"/>
          <w:tab w:val="left" w:pos="9360"/>
        </w:tabs>
        <w:spacing w:line="360" w:lineRule="auto"/>
        <w:ind w:firstLine="1440"/>
        <w:rPr>
          <w:color w:val="000000"/>
          <w:shd w:val="clear" w:color="auto" w:fill="FFFFFF"/>
        </w:rPr>
      </w:pPr>
      <w:r w:rsidRPr="00036621">
        <w:rPr>
          <w:color w:val="000000"/>
          <w:shd w:val="clear" w:color="auto" w:fill="FFFFFF"/>
        </w:rPr>
        <w:t>5</w:t>
      </w:r>
      <w:r w:rsidR="00A87F68" w:rsidRPr="00036621">
        <w:rPr>
          <w:color w:val="000000"/>
          <w:shd w:val="clear" w:color="auto" w:fill="FFFFFF"/>
        </w:rPr>
        <w:t>.</w:t>
      </w:r>
      <w:r w:rsidR="00580806">
        <w:rPr>
          <w:color w:val="000000"/>
          <w:shd w:val="clear" w:color="auto" w:fill="FFFFFF"/>
        </w:rPr>
        <w:tab/>
      </w:r>
      <w:r w:rsidR="00A87F68" w:rsidRPr="00036621">
        <w:rPr>
          <w:color w:val="000000"/>
          <w:shd w:val="clear" w:color="auto" w:fill="FFFFFF"/>
        </w:rPr>
        <w:t>Other Proposed Modifications</w:t>
      </w:r>
      <w:r w:rsidR="00580806">
        <w:rPr>
          <w:color w:val="000000"/>
          <w:u w:val="dotted"/>
          <w:shd w:val="clear" w:color="auto" w:fill="FFFFFF"/>
        </w:rPr>
        <w:tab/>
      </w:r>
      <w:r w:rsidR="00021E97" w:rsidRPr="00036621">
        <w:rPr>
          <w:color w:val="000000"/>
          <w:shd w:val="clear" w:color="auto" w:fill="FFFFFF"/>
        </w:rPr>
        <w:t>2</w:t>
      </w:r>
      <w:r w:rsidR="00767862" w:rsidRPr="00036621">
        <w:rPr>
          <w:color w:val="000000"/>
          <w:shd w:val="clear" w:color="auto" w:fill="FFFFFF"/>
        </w:rPr>
        <w:t>5</w:t>
      </w:r>
    </w:p>
    <w:p w:rsidR="00DF1678" w:rsidRDefault="001209B3" w:rsidP="003451A7">
      <w:pPr>
        <w:tabs>
          <w:tab w:val="left" w:pos="1440"/>
          <w:tab w:val="left" w:pos="2160"/>
          <w:tab w:val="left" w:pos="2880"/>
          <w:tab w:val="left" w:pos="9000"/>
          <w:tab w:val="left" w:pos="9360"/>
        </w:tabs>
        <w:ind w:firstLine="2160"/>
        <w:rPr>
          <w:color w:val="000000"/>
          <w:shd w:val="clear" w:color="auto" w:fill="FFFFFF"/>
        </w:rPr>
      </w:pPr>
      <w:r w:rsidRPr="00036621">
        <w:rPr>
          <w:color w:val="000000"/>
          <w:shd w:val="clear" w:color="auto" w:fill="FFFFFF"/>
        </w:rPr>
        <w:t>a</w:t>
      </w:r>
      <w:r w:rsidR="00A87F68" w:rsidRPr="00036621">
        <w:rPr>
          <w:color w:val="000000"/>
          <w:shd w:val="clear" w:color="auto" w:fill="FFFFFF"/>
        </w:rPr>
        <w:t>.</w:t>
      </w:r>
      <w:r w:rsidR="00580806">
        <w:rPr>
          <w:color w:val="000000"/>
          <w:shd w:val="clear" w:color="auto" w:fill="FFFFFF"/>
        </w:rPr>
        <w:tab/>
        <w:t>G</w:t>
      </w:r>
      <w:r w:rsidR="00A87F68" w:rsidRPr="00036621">
        <w:rPr>
          <w:color w:val="000000"/>
          <w:shd w:val="clear" w:color="auto" w:fill="FFFFFF"/>
        </w:rPr>
        <w:t>as-</w:t>
      </w:r>
      <w:r w:rsidR="00A5179D" w:rsidRPr="00036621">
        <w:rPr>
          <w:color w:val="000000"/>
          <w:shd w:val="clear" w:color="auto" w:fill="FFFFFF"/>
        </w:rPr>
        <w:t>o</w:t>
      </w:r>
      <w:r w:rsidR="00A87F68" w:rsidRPr="00036621">
        <w:rPr>
          <w:color w:val="000000"/>
          <w:shd w:val="clear" w:color="auto" w:fill="FFFFFF"/>
        </w:rPr>
        <w:t>n-Gas Competition</w:t>
      </w:r>
      <w:r w:rsidR="00580806">
        <w:rPr>
          <w:color w:val="000000"/>
          <w:u w:val="dotted"/>
          <w:shd w:val="clear" w:color="auto" w:fill="FFFFFF"/>
        </w:rPr>
        <w:tab/>
      </w:r>
      <w:r w:rsidR="00964AF7" w:rsidRPr="00036621">
        <w:rPr>
          <w:color w:val="000000"/>
          <w:shd w:val="clear" w:color="auto" w:fill="FFFFFF"/>
        </w:rPr>
        <w:t>2</w:t>
      </w:r>
      <w:r w:rsidR="00767862" w:rsidRPr="00036621">
        <w:rPr>
          <w:color w:val="000000"/>
          <w:shd w:val="clear" w:color="auto" w:fill="FFFFFF"/>
        </w:rPr>
        <w:t>5</w:t>
      </w:r>
    </w:p>
    <w:p w:rsidR="00DF1678" w:rsidRDefault="006A3A32" w:rsidP="003451A7">
      <w:pPr>
        <w:tabs>
          <w:tab w:val="left" w:pos="1440"/>
          <w:tab w:val="left" w:pos="2160"/>
          <w:tab w:val="left" w:pos="2880"/>
          <w:tab w:val="left" w:pos="9000"/>
          <w:tab w:val="left" w:pos="9360"/>
        </w:tabs>
        <w:ind w:firstLine="2160"/>
        <w:rPr>
          <w:color w:val="000000"/>
          <w:shd w:val="clear" w:color="auto" w:fill="FFFFFF"/>
        </w:rPr>
      </w:pPr>
      <w:r w:rsidRPr="00036621">
        <w:rPr>
          <w:color w:val="000000"/>
          <w:shd w:val="clear" w:color="auto" w:fill="FFFFFF"/>
        </w:rPr>
        <w:t>b</w:t>
      </w:r>
      <w:r w:rsidR="00A87F68" w:rsidRPr="00036621">
        <w:rPr>
          <w:color w:val="000000"/>
          <w:shd w:val="clear" w:color="auto" w:fill="FFFFFF"/>
        </w:rPr>
        <w:t>.</w:t>
      </w:r>
      <w:r w:rsidR="00580806">
        <w:rPr>
          <w:color w:val="000000"/>
          <w:shd w:val="clear" w:color="auto" w:fill="FFFFFF"/>
        </w:rPr>
        <w:tab/>
      </w:r>
      <w:r w:rsidR="00A87F68" w:rsidRPr="00036621">
        <w:rPr>
          <w:color w:val="000000"/>
          <w:shd w:val="clear" w:color="auto" w:fill="FFFFFF"/>
        </w:rPr>
        <w:t>Repayment</w:t>
      </w:r>
      <w:r w:rsidRPr="00036621">
        <w:rPr>
          <w:color w:val="000000"/>
          <w:shd w:val="clear" w:color="auto" w:fill="FFFFFF"/>
        </w:rPr>
        <w:t xml:space="preserve"> </w:t>
      </w:r>
      <w:r w:rsidR="00A87F68" w:rsidRPr="00036621">
        <w:rPr>
          <w:color w:val="000000"/>
          <w:shd w:val="clear" w:color="auto" w:fill="FFFFFF"/>
        </w:rPr>
        <w:t>Option</w:t>
      </w:r>
      <w:r w:rsidR="00021E97" w:rsidRPr="00036621">
        <w:rPr>
          <w:color w:val="000000"/>
          <w:shd w:val="clear" w:color="auto" w:fill="FFFFFF"/>
        </w:rPr>
        <w:t>s</w:t>
      </w:r>
      <w:r w:rsidR="00580806">
        <w:rPr>
          <w:color w:val="000000"/>
          <w:u w:val="dotted"/>
          <w:shd w:val="clear" w:color="auto" w:fill="FFFFFF"/>
        </w:rPr>
        <w:tab/>
      </w:r>
      <w:r w:rsidR="00767862" w:rsidRPr="00036621">
        <w:rPr>
          <w:color w:val="000000"/>
          <w:shd w:val="clear" w:color="auto" w:fill="FFFFFF"/>
        </w:rPr>
        <w:t>26</w:t>
      </w:r>
    </w:p>
    <w:p w:rsidR="00DF1678" w:rsidRPr="00036621" w:rsidRDefault="006A3A32" w:rsidP="003451A7">
      <w:pPr>
        <w:tabs>
          <w:tab w:val="left" w:pos="2880"/>
          <w:tab w:val="left" w:pos="9000"/>
          <w:tab w:val="left" w:pos="9360"/>
        </w:tabs>
        <w:ind w:firstLine="2160"/>
        <w:rPr>
          <w:color w:val="000000"/>
          <w:shd w:val="clear" w:color="auto" w:fill="FFFFFF"/>
        </w:rPr>
      </w:pPr>
      <w:r w:rsidRPr="00036621">
        <w:rPr>
          <w:color w:val="000000"/>
          <w:shd w:val="clear" w:color="auto" w:fill="FFFFFF"/>
        </w:rPr>
        <w:t>c</w:t>
      </w:r>
      <w:r w:rsidR="00A87F68" w:rsidRPr="00036621">
        <w:rPr>
          <w:color w:val="000000"/>
          <w:shd w:val="clear" w:color="auto" w:fill="FFFFFF"/>
        </w:rPr>
        <w:t>.</w:t>
      </w:r>
      <w:r w:rsidR="00580806">
        <w:rPr>
          <w:color w:val="000000"/>
          <w:shd w:val="clear" w:color="auto" w:fill="FFFFFF"/>
        </w:rPr>
        <w:tab/>
      </w:r>
      <w:r w:rsidR="00A87F68" w:rsidRPr="00036621">
        <w:rPr>
          <w:color w:val="000000"/>
          <w:shd w:val="clear" w:color="auto" w:fill="FFFFFF"/>
        </w:rPr>
        <w:t>Annual Funding</w:t>
      </w:r>
      <w:r w:rsidR="00580806">
        <w:rPr>
          <w:color w:val="000000"/>
          <w:u w:val="dotted"/>
          <w:shd w:val="clear" w:color="auto" w:fill="FFFFFF"/>
        </w:rPr>
        <w:tab/>
      </w:r>
      <w:r w:rsidR="00427460" w:rsidRPr="00036621">
        <w:rPr>
          <w:color w:val="000000"/>
          <w:shd w:val="clear" w:color="auto" w:fill="FFFFFF"/>
        </w:rPr>
        <w:t>2</w:t>
      </w:r>
      <w:r w:rsidR="00767862" w:rsidRPr="00036621">
        <w:rPr>
          <w:color w:val="000000"/>
          <w:shd w:val="clear" w:color="auto" w:fill="FFFFFF"/>
        </w:rPr>
        <w:t>6</w:t>
      </w:r>
    </w:p>
    <w:p w:rsidR="00BE1EA3" w:rsidRPr="00036621" w:rsidRDefault="00BE1EA3" w:rsidP="00036621">
      <w:pPr>
        <w:tabs>
          <w:tab w:val="left" w:pos="720"/>
          <w:tab w:val="left" w:pos="9000"/>
          <w:tab w:val="left" w:pos="9360"/>
        </w:tabs>
        <w:rPr>
          <w:color w:val="000000"/>
          <w:shd w:val="clear" w:color="auto" w:fill="FFFFFF"/>
        </w:rPr>
      </w:pPr>
    </w:p>
    <w:p w:rsidR="00DF1678" w:rsidRPr="00036621" w:rsidRDefault="005144CF" w:rsidP="00036621">
      <w:pPr>
        <w:tabs>
          <w:tab w:val="left" w:pos="720"/>
          <w:tab w:val="left" w:pos="1440"/>
          <w:tab w:val="left" w:pos="9000"/>
          <w:tab w:val="left" w:pos="9360"/>
        </w:tabs>
        <w:ind w:firstLine="720"/>
        <w:rPr>
          <w:color w:val="000000"/>
          <w:shd w:val="clear" w:color="auto" w:fill="FFFFFF"/>
        </w:rPr>
      </w:pPr>
      <w:r w:rsidRPr="00036621">
        <w:rPr>
          <w:color w:val="000000"/>
          <w:shd w:val="clear" w:color="auto" w:fill="FFFFFF"/>
        </w:rPr>
        <w:t>C</w:t>
      </w:r>
      <w:r w:rsidR="00DF1678" w:rsidRPr="00036621">
        <w:rPr>
          <w:color w:val="000000"/>
          <w:shd w:val="clear" w:color="auto" w:fill="FFFFFF"/>
        </w:rPr>
        <w:t>.</w:t>
      </w:r>
      <w:r w:rsidRPr="00036621">
        <w:rPr>
          <w:color w:val="000000"/>
          <w:shd w:val="clear" w:color="auto" w:fill="FFFFFF"/>
        </w:rPr>
        <w:tab/>
      </w:r>
      <w:r w:rsidR="00DF1678" w:rsidRPr="00036621">
        <w:rPr>
          <w:color w:val="000000"/>
          <w:shd w:val="clear" w:color="auto" w:fill="FFFFFF"/>
        </w:rPr>
        <w:t>OSBA’S P</w:t>
      </w:r>
      <w:r w:rsidR="00CA2F6A" w:rsidRPr="00036621">
        <w:rPr>
          <w:color w:val="000000"/>
          <w:shd w:val="clear" w:color="auto" w:fill="FFFFFF"/>
        </w:rPr>
        <w:t>osition</w:t>
      </w:r>
      <w:r w:rsidR="00580806">
        <w:rPr>
          <w:color w:val="000000"/>
          <w:shd w:val="clear" w:color="auto" w:fill="FFFFFF"/>
        </w:rPr>
        <w:t xml:space="preserve"> </w:t>
      </w:r>
      <w:r w:rsidR="00580806">
        <w:rPr>
          <w:color w:val="000000"/>
          <w:u w:val="dotted"/>
          <w:shd w:val="clear" w:color="auto" w:fill="FFFFFF"/>
        </w:rPr>
        <w:tab/>
      </w:r>
      <w:r w:rsidR="00767862" w:rsidRPr="00036621">
        <w:rPr>
          <w:color w:val="000000"/>
          <w:shd w:val="clear" w:color="auto" w:fill="FFFFFF"/>
        </w:rPr>
        <w:t>27</w:t>
      </w:r>
    </w:p>
    <w:p w:rsidR="00DB06D8" w:rsidRPr="00036621" w:rsidRDefault="00DB06D8" w:rsidP="00036621">
      <w:pPr>
        <w:tabs>
          <w:tab w:val="left" w:pos="720"/>
          <w:tab w:val="left" w:pos="1440"/>
          <w:tab w:val="left" w:pos="9000"/>
          <w:tab w:val="left" w:pos="9360"/>
        </w:tabs>
        <w:ind w:firstLine="720"/>
        <w:rPr>
          <w:color w:val="000000"/>
          <w:shd w:val="clear" w:color="auto" w:fill="FFFFFF"/>
        </w:rPr>
      </w:pPr>
    </w:p>
    <w:p w:rsidR="00F83EDA" w:rsidRDefault="005144CF" w:rsidP="003451A7">
      <w:pPr>
        <w:tabs>
          <w:tab w:val="left" w:pos="720"/>
          <w:tab w:val="left" w:pos="2160"/>
          <w:tab w:val="left" w:pos="9000"/>
          <w:tab w:val="left" w:pos="9270"/>
        </w:tabs>
        <w:ind w:left="2160" w:hanging="720"/>
      </w:pPr>
      <w:r w:rsidRPr="00036621">
        <w:rPr>
          <w:color w:val="000000"/>
          <w:shd w:val="clear" w:color="auto" w:fill="FFFFFF"/>
        </w:rPr>
        <w:t>1</w:t>
      </w:r>
      <w:r w:rsidR="00A87F68" w:rsidRPr="00036621">
        <w:rPr>
          <w:color w:val="000000"/>
          <w:shd w:val="clear" w:color="auto" w:fill="FFFFFF"/>
        </w:rPr>
        <w:t>.</w:t>
      </w:r>
      <w:r w:rsidR="00580806">
        <w:rPr>
          <w:color w:val="000000"/>
          <w:shd w:val="clear" w:color="auto" w:fill="FFFFFF"/>
        </w:rPr>
        <w:tab/>
      </w:r>
      <w:r w:rsidR="00A87F68" w:rsidRPr="00036621">
        <w:rPr>
          <w:color w:val="000000"/>
          <w:shd w:val="clear" w:color="auto" w:fill="FFFFFF"/>
        </w:rPr>
        <w:t>Review of Tax Depreciation Benefits in Customer Contribution Calculation</w:t>
      </w:r>
      <w:r w:rsidR="003451A7">
        <w:rPr>
          <w:color w:val="000000"/>
          <w:u w:val="dotted"/>
          <w:shd w:val="clear" w:color="auto" w:fill="FFFFFF"/>
        </w:rPr>
        <w:tab/>
      </w:r>
      <w:r w:rsidR="00CA2F6A" w:rsidRPr="00036621">
        <w:t>3</w:t>
      </w:r>
      <w:r w:rsidR="003451A7">
        <w:t>1</w:t>
      </w:r>
    </w:p>
    <w:p w:rsidR="003451A7" w:rsidRPr="00036621" w:rsidRDefault="003451A7" w:rsidP="003451A7">
      <w:pPr>
        <w:tabs>
          <w:tab w:val="left" w:pos="720"/>
          <w:tab w:val="left" w:pos="2160"/>
          <w:tab w:val="left" w:pos="9000"/>
          <w:tab w:val="left" w:pos="9270"/>
        </w:tabs>
        <w:ind w:left="2160" w:hanging="720"/>
        <w:rPr>
          <w:color w:val="000000"/>
          <w:shd w:val="clear" w:color="auto" w:fill="FFFFFF"/>
        </w:rPr>
      </w:pPr>
    </w:p>
    <w:p w:rsidR="00F81610" w:rsidRDefault="00F81610" w:rsidP="002A09C9">
      <w:pPr>
        <w:tabs>
          <w:tab w:val="left" w:pos="720"/>
          <w:tab w:val="left" w:pos="1440"/>
          <w:tab w:val="left" w:pos="2160"/>
          <w:tab w:val="left" w:pos="2880"/>
          <w:tab w:val="left" w:pos="3600"/>
          <w:tab w:val="left" w:pos="4320"/>
          <w:tab w:val="left" w:pos="5040"/>
          <w:tab w:val="left" w:pos="9000"/>
        </w:tabs>
        <w:ind w:firstLine="1440"/>
        <w:rPr>
          <w:color w:val="000000"/>
          <w:shd w:val="clear" w:color="auto" w:fill="FFFFFF"/>
        </w:rPr>
      </w:pPr>
      <w:r>
        <w:rPr>
          <w:color w:val="000000"/>
          <w:shd w:val="clear" w:color="auto" w:fill="FFFFFF"/>
        </w:rPr>
        <w:t>2</w:t>
      </w:r>
      <w:r w:rsidRPr="00036621">
        <w:rPr>
          <w:color w:val="000000"/>
          <w:shd w:val="clear" w:color="auto" w:fill="FFFFFF"/>
        </w:rPr>
        <w:t>.</w:t>
      </w:r>
      <w:r w:rsidRPr="00036621">
        <w:rPr>
          <w:color w:val="000000"/>
          <w:shd w:val="clear" w:color="auto" w:fill="FFFFFF"/>
        </w:rPr>
        <w:tab/>
      </w:r>
      <w:r>
        <w:rPr>
          <w:color w:val="000000"/>
          <w:shd w:val="clear" w:color="auto" w:fill="FFFFFF"/>
        </w:rPr>
        <w:t xml:space="preserve">Income Tax Costs in Pilot Rider NAS Charge Calculation </w:t>
      </w:r>
      <w:r>
        <w:rPr>
          <w:color w:val="000000"/>
          <w:u w:val="dotted"/>
          <w:shd w:val="clear" w:color="auto" w:fill="FFFFFF"/>
        </w:rPr>
        <w:tab/>
      </w:r>
      <w:r w:rsidRPr="00036621">
        <w:rPr>
          <w:color w:val="000000"/>
          <w:shd w:val="clear" w:color="auto" w:fill="FFFFFF"/>
        </w:rPr>
        <w:t>3</w:t>
      </w:r>
      <w:r>
        <w:rPr>
          <w:color w:val="000000"/>
          <w:shd w:val="clear" w:color="auto" w:fill="FFFFFF"/>
        </w:rPr>
        <w:t>1</w:t>
      </w:r>
    </w:p>
    <w:p w:rsidR="00F81610" w:rsidRDefault="00F81610" w:rsidP="002A09C9">
      <w:pPr>
        <w:tabs>
          <w:tab w:val="left" w:pos="720"/>
          <w:tab w:val="left" w:pos="1440"/>
          <w:tab w:val="left" w:pos="2160"/>
          <w:tab w:val="left" w:pos="2880"/>
          <w:tab w:val="left" w:pos="3600"/>
          <w:tab w:val="left" w:pos="4320"/>
          <w:tab w:val="left" w:pos="5040"/>
          <w:tab w:val="left" w:pos="9000"/>
        </w:tabs>
        <w:ind w:firstLine="1440"/>
        <w:rPr>
          <w:color w:val="000000"/>
          <w:shd w:val="clear" w:color="auto" w:fill="FFFFFF"/>
        </w:rPr>
      </w:pPr>
    </w:p>
    <w:p w:rsidR="00F83EDA" w:rsidRPr="00036621" w:rsidRDefault="00A87F68" w:rsidP="00036621">
      <w:pPr>
        <w:tabs>
          <w:tab w:val="left" w:pos="720"/>
          <w:tab w:val="left" w:pos="1440"/>
          <w:tab w:val="left" w:pos="2160"/>
          <w:tab w:val="left" w:pos="2880"/>
          <w:tab w:val="left" w:pos="3600"/>
          <w:tab w:val="left" w:pos="4320"/>
          <w:tab w:val="left" w:pos="5040"/>
          <w:tab w:val="left" w:pos="9000"/>
        </w:tabs>
        <w:rPr>
          <w:color w:val="000000"/>
          <w:shd w:val="clear" w:color="auto" w:fill="FFFFFF"/>
        </w:rPr>
      </w:pPr>
      <w:r w:rsidRPr="00036621">
        <w:rPr>
          <w:color w:val="000000"/>
          <w:shd w:val="clear" w:color="auto" w:fill="FFFFFF"/>
        </w:rPr>
        <w:tab/>
      </w:r>
      <w:r w:rsidR="005144CF" w:rsidRPr="00036621">
        <w:rPr>
          <w:color w:val="000000"/>
          <w:shd w:val="clear" w:color="auto" w:fill="FFFFFF"/>
        </w:rPr>
        <w:tab/>
        <w:t>3</w:t>
      </w:r>
      <w:r w:rsidRPr="00036621">
        <w:rPr>
          <w:color w:val="000000"/>
          <w:shd w:val="clear" w:color="auto" w:fill="FFFFFF"/>
        </w:rPr>
        <w:t>.</w:t>
      </w:r>
      <w:r w:rsidR="00DB06D8" w:rsidRPr="00036621">
        <w:rPr>
          <w:color w:val="000000"/>
          <w:shd w:val="clear" w:color="auto" w:fill="FFFFFF"/>
        </w:rPr>
        <w:tab/>
      </w:r>
      <w:r w:rsidRPr="00036621">
        <w:rPr>
          <w:color w:val="000000"/>
          <w:shd w:val="clear" w:color="auto" w:fill="FFFFFF"/>
        </w:rPr>
        <w:t xml:space="preserve">Recording Customer Contributions </w:t>
      </w:r>
      <w:r w:rsidR="00876DFE" w:rsidRPr="00036621">
        <w:rPr>
          <w:color w:val="000000"/>
          <w:shd w:val="clear" w:color="auto" w:fill="FFFFFF"/>
        </w:rPr>
        <w:t>W</w:t>
      </w:r>
      <w:r w:rsidRPr="00036621">
        <w:rPr>
          <w:color w:val="000000"/>
          <w:shd w:val="clear" w:color="auto" w:fill="FFFFFF"/>
        </w:rPr>
        <w:t xml:space="preserve">hether Payments </w:t>
      </w:r>
      <w:r w:rsidR="00876DFE" w:rsidRPr="00036621">
        <w:rPr>
          <w:color w:val="000000"/>
          <w:shd w:val="clear" w:color="auto" w:fill="FFFFFF"/>
        </w:rPr>
        <w:t>A</w:t>
      </w:r>
      <w:r w:rsidRPr="00036621">
        <w:rPr>
          <w:color w:val="000000"/>
          <w:shd w:val="clear" w:color="auto" w:fill="FFFFFF"/>
        </w:rPr>
        <w:t xml:space="preserve">re </w:t>
      </w:r>
      <w:r w:rsidR="005144CF" w:rsidRPr="00036621">
        <w:rPr>
          <w:color w:val="000000"/>
          <w:shd w:val="clear" w:color="auto" w:fill="FFFFFF"/>
        </w:rPr>
        <w:t>Made</w:t>
      </w:r>
      <w:r w:rsidR="008B140D">
        <w:rPr>
          <w:color w:val="000000"/>
          <w:shd w:val="clear" w:color="auto" w:fill="FFFFFF"/>
        </w:rPr>
        <w:t xml:space="preserve"> </w:t>
      </w:r>
      <w:r w:rsidR="008B140D">
        <w:rPr>
          <w:color w:val="000000"/>
          <w:u w:val="dotted"/>
          <w:shd w:val="clear" w:color="auto" w:fill="FFFFFF"/>
        </w:rPr>
        <w:tab/>
      </w:r>
      <w:r w:rsidR="00CA2F6A" w:rsidRPr="00036621">
        <w:rPr>
          <w:color w:val="000000"/>
          <w:shd w:val="clear" w:color="auto" w:fill="FFFFFF"/>
        </w:rPr>
        <w:t>33</w:t>
      </w:r>
    </w:p>
    <w:p w:rsidR="00DB06D8" w:rsidRDefault="00F83EDA" w:rsidP="00B162CD">
      <w:pPr>
        <w:tabs>
          <w:tab w:val="left" w:pos="720"/>
          <w:tab w:val="left" w:pos="1440"/>
          <w:tab w:val="left" w:pos="2160"/>
          <w:tab w:val="left" w:pos="9000"/>
          <w:tab w:val="left" w:pos="9360"/>
        </w:tabs>
        <w:rPr>
          <w:color w:val="000000"/>
          <w:shd w:val="clear" w:color="auto" w:fill="FFFFFF"/>
        </w:rPr>
      </w:pPr>
      <w:r w:rsidRPr="00036621">
        <w:rPr>
          <w:color w:val="000000"/>
          <w:shd w:val="clear" w:color="auto" w:fill="FFFFFF"/>
        </w:rPr>
        <w:tab/>
      </w:r>
      <w:r w:rsidR="005144CF" w:rsidRPr="00036621">
        <w:rPr>
          <w:color w:val="000000"/>
          <w:shd w:val="clear" w:color="auto" w:fill="FFFFFF"/>
        </w:rPr>
        <w:tab/>
      </w:r>
    </w:p>
    <w:p w:rsidR="00706820" w:rsidRDefault="00706820" w:rsidP="007068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color w:val="000000"/>
          <w:shd w:val="clear" w:color="auto" w:fill="FFFFFF"/>
        </w:rPr>
      </w:pPr>
      <w:r>
        <w:rPr>
          <w:color w:val="000000"/>
          <w:shd w:val="clear" w:color="auto" w:fill="FFFFFF"/>
        </w:rPr>
        <w:tab/>
        <w:t>D.</w:t>
      </w:r>
      <w:r>
        <w:rPr>
          <w:color w:val="000000"/>
          <w:shd w:val="clear" w:color="auto" w:fill="FFFFFF"/>
        </w:rPr>
        <w:tab/>
        <w:t>Bureau of Investigation &amp; Enforcement’s Position</w:t>
      </w:r>
      <w:r>
        <w:rPr>
          <w:u w:val="dotted"/>
        </w:rPr>
        <w:tab/>
      </w:r>
      <w:r>
        <w:rPr>
          <w:u w:val="dotted"/>
        </w:rPr>
        <w:tab/>
      </w:r>
      <w:r>
        <w:rPr>
          <w:u w:val="dotted"/>
        </w:rPr>
        <w:tab/>
      </w:r>
      <w:r>
        <w:rPr>
          <w:u w:val="dotted"/>
        </w:rPr>
        <w:tab/>
      </w:r>
      <w:r>
        <w:rPr>
          <w:color w:val="000000"/>
          <w:shd w:val="clear" w:color="auto" w:fill="FFFFFF"/>
        </w:rPr>
        <w:t>34</w:t>
      </w:r>
    </w:p>
    <w:p w:rsidR="00706820" w:rsidRDefault="00706820" w:rsidP="00706820">
      <w:pPr>
        <w:tabs>
          <w:tab w:val="left" w:pos="720"/>
          <w:tab w:val="left" w:pos="1440"/>
          <w:tab w:val="left" w:pos="9000"/>
          <w:tab w:val="left" w:pos="9360"/>
        </w:tabs>
        <w:rPr>
          <w:color w:val="000000"/>
          <w:shd w:val="clear" w:color="auto" w:fill="FFFFFF"/>
        </w:rPr>
      </w:pPr>
      <w:r>
        <w:rPr>
          <w:color w:val="000000"/>
          <w:shd w:val="clear" w:color="auto" w:fill="FFFFFF"/>
        </w:rPr>
        <w:tab/>
        <w:t xml:space="preserve"> </w:t>
      </w:r>
    </w:p>
    <w:p w:rsidR="00F83EDA" w:rsidRDefault="00DF1678" w:rsidP="007C7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color w:val="000000"/>
          <w:shd w:val="clear" w:color="auto" w:fill="FFFFFF"/>
        </w:rPr>
      </w:pPr>
      <w:r>
        <w:rPr>
          <w:color w:val="000000"/>
          <w:shd w:val="clear" w:color="auto" w:fill="FFFFFF"/>
        </w:rPr>
        <w:tab/>
      </w:r>
      <w:r w:rsidR="005144CF">
        <w:rPr>
          <w:color w:val="000000"/>
          <w:shd w:val="clear" w:color="auto" w:fill="FFFFFF"/>
        </w:rPr>
        <w:tab/>
        <w:t>1</w:t>
      </w:r>
      <w:r w:rsidR="002A4278">
        <w:rPr>
          <w:color w:val="000000"/>
          <w:shd w:val="clear" w:color="auto" w:fill="FFFFFF"/>
        </w:rPr>
        <w:t>.</w:t>
      </w:r>
      <w:r w:rsidR="00DB06D8">
        <w:rPr>
          <w:color w:val="000000"/>
          <w:shd w:val="clear" w:color="auto" w:fill="FFFFFF"/>
        </w:rPr>
        <w:tab/>
      </w:r>
      <w:r w:rsidR="002A4278">
        <w:t>Lowering Interest Rate to 3% for Customer’s Contribution</w:t>
      </w:r>
      <w:r w:rsidR="005144CF">
        <w:t xml:space="preserve"> </w:t>
      </w:r>
      <w:r w:rsidR="00CA2F6A">
        <w:tab/>
      </w:r>
      <w:r w:rsidR="00CA2F6A">
        <w:tab/>
      </w:r>
      <w:r w:rsidR="00CA2F6A">
        <w:tab/>
      </w:r>
      <w:r w:rsidR="00CA2F6A">
        <w:tab/>
      </w:r>
      <w:r w:rsidR="00CA2F6A">
        <w:tab/>
      </w:r>
      <w:r w:rsidR="00CA2F6A">
        <w:tab/>
      </w:r>
      <w:r w:rsidR="002A4278">
        <w:t>Financed</w:t>
      </w:r>
      <w:r w:rsidR="007C7088">
        <w:t xml:space="preserve"> </w:t>
      </w:r>
      <w:r w:rsidR="007C7088">
        <w:rPr>
          <w:u w:val="dotted"/>
        </w:rPr>
        <w:tab/>
      </w:r>
      <w:r w:rsidR="007C7088">
        <w:rPr>
          <w:u w:val="dotted"/>
        </w:rPr>
        <w:tab/>
      </w:r>
      <w:r w:rsidR="007C7088">
        <w:rPr>
          <w:u w:val="dotted"/>
        </w:rPr>
        <w:tab/>
      </w:r>
      <w:r w:rsidR="007C7088">
        <w:rPr>
          <w:u w:val="dotted"/>
        </w:rPr>
        <w:tab/>
      </w:r>
      <w:r w:rsidR="007C7088">
        <w:rPr>
          <w:u w:val="dotted"/>
        </w:rPr>
        <w:tab/>
      </w:r>
      <w:r w:rsidR="007C7088">
        <w:rPr>
          <w:u w:val="dotted"/>
        </w:rPr>
        <w:tab/>
      </w:r>
      <w:r w:rsidR="007C7088">
        <w:rPr>
          <w:u w:val="dotted"/>
        </w:rPr>
        <w:tab/>
      </w:r>
      <w:r w:rsidR="007C7088">
        <w:rPr>
          <w:u w:val="dotted"/>
        </w:rPr>
        <w:tab/>
      </w:r>
      <w:r w:rsidR="00CA2F6A">
        <w:rPr>
          <w:color w:val="000000"/>
          <w:shd w:val="clear" w:color="auto" w:fill="FFFFFF"/>
        </w:rPr>
        <w:t>34</w:t>
      </w:r>
    </w:p>
    <w:p w:rsidR="00994ADD" w:rsidRDefault="00994ADD" w:rsidP="00994ADD">
      <w:pPr>
        <w:tabs>
          <w:tab w:val="left" w:pos="720"/>
          <w:tab w:val="left" w:pos="1440"/>
          <w:tab w:val="left" w:pos="2160"/>
          <w:tab w:val="left" w:pos="2880"/>
          <w:tab w:val="left" w:pos="3600"/>
          <w:tab w:val="left" w:pos="4320"/>
          <w:tab w:val="left" w:pos="5040"/>
        </w:tabs>
        <w:rPr>
          <w:color w:val="000000"/>
          <w:shd w:val="clear" w:color="auto" w:fill="FFFFFF"/>
        </w:rPr>
      </w:pPr>
    </w:p>
    <w:p w:rsidR="00DB06D8" w:rsidRDefault="002A4278" w:rsidP="00A04730">
      <w:pPr>
        <w:tabs>
          <w:tab w:val="left" w:pos="720"/>
          <w:tab w:val="left" w:pos="1440"/>
          <w:tab w:val="left" w:pos="2160"/>
          <w:tab w:val="left" w:pos="9000"/>
        </w:tabs>
        <w:rPr>
          <w:color w:val="000000"/>
          <w:shd w:val="clear" w:color="auto" w:fill="FFFFFF"/>
        </w:rPr>
      </w:pPr>
      <w:r>
        <w:rPr>
          <w:color w:val="000000"/>
          <w:shd w:val="clear" w:color="auto" w:fill="FFFFFF"/>
        </w:rPr>
        <w:t xml:space="preserve">   </w:t>
      </w:r>
      <w:r>
        <w:rPr>
          <w:color w:val="000000"/>
          <w:shd w:val="clear" w:color="auto" w:fill="FFFFFF"/>
        </w:rPr>
        <w:tab/>
      </w:r>
      <w:r w:rsidR="00EB0FC7">
        <w:rPr>
          <w:color w:val="000000"/>
          <w:shd w:val="clear" w:color="auto" w:fill="FFFFFF"/>
        </w:rPr>
        <w:tab/>
        <w:t>2</w:t>
      </w:r>
      <w:r>
        <w:rPr>
          <w:color w:val="000000"/>
          <w:shd w:val="clear" w:color="auto" w:fill="FFFFFF"/>
        </w:rPr>
        <w:t>.</w:t>
      </w:r>
      <w:r w:rsidR="00DB06D8">
        <w:rPr>
          <w:color w:val="000000"/>
          <w:shd w:val="clear" w:color="auto" w:fill="FFFFFF"/>
        </w:rPr>
        <w:tab/>
      </w:r>
      <w:r>
        <w:rPr>
          <w:color w:val="000000"/>
          <w:shd w:val="clear" w:color="auto" w:fill="FFFFFF"/>
        </w:rPr>
        <w:t xml:space="preserve">Economic </w:t>
      </w:r>
      <w:r w:rsidR="00EB0FC7">
        <w:rPr>
          <w:color w:val="000000"/>
          <w:shd w:val="clear" w:color="auto" w:fill="FFFFFF"/>
        </w:rPr>
        <w:t>M</w:t>
      </w:r>
      <w:r>
        <w:rPr>
          <w:color w:val="000000"/>
          <w:shd w:val="clear" w:color="auto" w:fill="FFFFFF"/>
        </w:rPr>
        <w:t>odel</w:t>
      </w:r>
      <w:r w:rsidR="00A04730">
        <w:rPr>
          <w:color w:val="000000"/>
          <w:shd w:val="clear" w:color="auto" w:fill="FFFFFF"/>
        </w:rPr>
        <w:t xml:space="preserve"> </w:t>
      </w:r>
      <w:r w:rsidR="00A04730">
        <w:rPr>
          <w:color w:val="000000"/>
          <w:u w:val="dotted"/>
          <w:shd w:val="clear" w:color="auto" w:fill="FFFFFF"/>
        </w:rPr>
        <w:tab/>
      </w:r>
      <w:r w:rsidR="0040632D">
        <w:rPr>
          <w:color w:val="000000"/>
          <w:shd w:val="clear" w:color="auto" w:fill="FFFFFF"/>
        </w:rPr>
        <w:t>4</w:t>
      </w:r>
      <w:r w:rsidR="00CA2F6A">
        <w:rPr>
          <w:color w:val="000000"/>
          <w:shd w:val="clear" w:color="auto" w:fill="FFFFFF"/>
        </w:rPr>
        <w:t>0</w:t>
      </w:r>
    </w:p>
    <w:p w:rsidR="00B162CD" w:rsidRDefault="00B162CD" w:rsidP="00A04730">
      <w:pPr>
        <w:tabs>
          <w:tab w:val="left" w:pos="720"/>
          <w:tab w:val="left" w:pos="1440"/>
          <w:tab w:val="left" w:pos="2160"/>
          <w:tab w:val="left" w:pos="9000"/>
        </w:tabs>
        <w:rPr>
          <w:color w:val="000000"/>
          <w:shd w:val="clear" w:color="auto" w:fill="FFFFFF"/>
        </w:rPr>
      </w:pPr>
    </w:p>
    <w:p w:rsidR="00DF1678" w:rsidRPr="006810B1" w:rsidRDefault="006810B1" w:rsidP="00AE121F">
      <w:pPr>
        <w:tabs>
          <w:tab w:val="left" w:pos="720"/>
          <w:tab w:val="left" w:pos="1440"/>
          <w:tab w:val="left" w:pos="2160"/>
          <w:tab w:val="left" w:pos="9000"/>
        </w:tabs>
        <w:ind w:left="1440"/>
      </w:pPr>
      <w:r>
        <w:t>3.</w:t>
      </w:r>
      <w:r>
        <w:tab/>
      </w:r>
      <w:r w:rsidR="002A4278" w:rsidRPr="006810B1">
        <w:t>Cost of Debt as Surrogate for Return on Equity</w:t>
      </w:r>
      <w:r w:rsidR="001A5091">
        <w:rPr>
          <w:u w:val="dotted"/>
        </w:rPr>
        <w:tab/>
      </w:r>
      <w:r w:rsidR="00CA2F6A" w:rsidRPr="006810B1">
        <w:t>40</w:t>
      </w:r>
    </w:p>
    <w:p w:rsidR="00994ADD" w:rsidRDefault="00994ADD" w:rsidP="00994ADD">
      <w:pPr>
        <w:tabs>
          <w:tab w:val="left" w:pos="720"/>
        </w:tabs>
        <w:ind w:firstLine="1440"/>
      </w:pPr>
    </w:p>
    <w:p w:rsidR="00DF1678" w:rsidRDefault="00DF1678" w:rsidP="00F83EDA">
      <w:pPr>
        <w:tabs>
          <w:tab w:val="left" w:pos="720"/>
          <w:tab w:val="left" w:pos="1440"/>
          <w:tab w:val="left" w:pos="2160"/>
        </w:tabs>
      </w:pPr>
      <w:r>
        <w:tab/>
      </w:r>
      <w:r w:rsidR="00DB06D8">
        <w:tab/>
      </w:r>
      <w:r w:rsidR="00B334D6">
        <w:t>4</w:t>
      </w:r>
      <w:r w:rsidR="002A4278">
        <w:t>.</w:t>
      </w:r>
      <w:r w:rsidR="00DB06D8">
        <w:tab/>
      </w:r>
      <w:r w:rsidR="002A4278">
        <w:t>Cost of Service Lines, Meters and Regulating</w:t>
      </w:r>
    </w:p>
    <w:p w:rsidR="00DF1678" w:rsidRDefault="002A4278" w:rsidP="00AE121F">
      <w:pPr>
        <w:tabs>
          <w:tab w:val="left" w:pos="720"/>
          <w:tab w:val="left" w:pos="2160"/>
          <w:tab w:val="left" w:pos="3600"/>
          <w:tab w:val="left" w:pos="4320"/>
          <w:tab w:val="left" w:pos="5040"/>
          <w:tab w:val="left" w:pos="6480"/>
          <w:tab w:val="left" w:pos="7920"/>
          <w:tab w:val="left" w:pos="9000"/>
          <w:tab w:val="left" w:pos="9090"/>
        </w:tabs>
      </w:pPr>
      <w:r>
        <w:tab/>
      </w:r>
      <w:r w:rsidR="00DB06D8">
        <w:tab/>
      </w:r>
      <w:r>
        <w:t>Equipment</w:t>
      </w:r>
      <w:r w:rsidR="007B19BF">
        <w:t xml:space="preserve"> </w:t>
      </w:r>
      <w:r w:rsidR="007B19BF">
        <w:rPr>
          <w:u w:val="dotted"/>
        </w:rPr>
        <w:tab/>
      </w:r>
      <w:r w:rsidR="007B19BF">
        <w:rPr>
          <w:u w:val="dotted"/>
        </w:rPr>
        <w:tab/>
      </w:r>
      <w:r w:rsidR="007B19BF">
        <w:rPr>
          <w:u w:val="dotted"/>
        </w:rPr>
        <w:tab/>
      </w:r>
      <w:r w:rsidR="007B19BF">
        <w:rPr>
          <w:u w:val="dotted"/>
        </w:rPr>
        <w:tab/>
      </w:r>
      <w:r w:rsidR="007B19BF">
        <w:rPr>
          <w:u w:val="dotted"/>
        </w:rPr>
        <w:tab/>
      </w:r>
      <w:r w:rsidR="007B19BF">
        <w:rPr>
          <w:u w:val="dotted"/>
        </w:rPr>
        <w:tab/>
      </w:r>
      <w:r w:rsidR="00CA2F6A">
        <w:t>45</w:t>
      </w:r>
    </w:p>
    <w:p w:rsidR="00994ADD" w:rsidRDefault="00994ADD" w:rsidP="00994ADD">
      <w:pPr>
        <w:tabs>
          <w:tab w:val="left" w:pos="720"/>
          <w:tab w:val="left" w:pos="2160"/>
        </w:tabs>
      </w:pPr>
    </w:p>
    <w:p w:rsidR="00DF1678" w:rsidRDefault="002A4278" w:rsidP="00AE121F">
      <w:pPr>
        <w:tabs>
          <w:tab w:val="left" w:pos="720"/>
          <w:tab w:val="left" w:pos="1440"/>
          <w:tab w:val="left" w:pos="7200"/>
          <w:tab w:val="left" w:pos="7920"/>
          <w:tab w:val="left" w:pos="8010"/>
          <w:tab w:val="left" w:pos="8640"/>
          <w:tab w:val="left" w:pos="9000"/>
          <w:tab w:val="left" w:pos="9360"/>
        </w:tabs>
        <w:spacing w:line="360" w:lineRule="auto"/>
      </w:pPr>
      <w:r>
        <w:tab/>
      </w:r>
      <w:r w:rsidR="00B334D6">
        <w:tab/>
        <w:t>5</w:t>
      </w:r>
      <w:r>
        <w:t>.        Additional Reporting Requirements</w:t>
      </w:r>
      <w:r w:rsidR="00946B7C">
        <w:t xml:space="preserve"> </w:t>
      </w:r>
      <w:r w:rsidR="00946B7C">
        <w:rPr>
          <w:u w:val="dotted"/>
        </w:rPr>
        <w:tab/>
      </w:r>
      <w:r w:rsidR="00946B7C">
        <w:rPr>
          <w:u w:val="dotted"/>
        </w:rPr>
        <w:tab/>
      </w:r>
      <w:r w:rsidR="00946B7C">
        <w:rPr>
          <w:u w:val="dotted"/>
        </w:rPr>
        <w:tab/>
      </w:r>
      <w:r w:rsidR="00946B7C">
        <w:rPr>
          <w:u w:val="dotted"/>
        </w:rPr>
        <w:tab/>
      </w:r>
      <w:r w:rsidR="00946B7C">
        <w:rPr>
          <w:u w:val="dotted"/>
        </w:rPr>
        <w:tab/>
      </w:r>
      <w:r w:rsidR="0040632D">
        <w:t>4</w:t>
      </w:r>
      <w:r w:rsidR="00CA2F6A">
        <w:t>8</w:t>
      </w:r>
    </w:p>
    <w:p w:rsidR="00A649CB" w:rsidRDefault="00A649CB" w:rsidP="000D1F2F">
      <w:pPr>
        <w:tabs>
          <w:tab w:val="left" w:pos="720"/>
          <w:tab w:val="left" w:pos="1440"/>
          <w:tab w:val="left" w:pos="2160"/>
          <w:tab w:val="left" w:pos="2880"/>
          <w:tab w:val="left" w:pos="3600"/>
          <w:tab w:val="left" w:pos="4320"/>
          <w:tab w:val="left" w:pos="5040"/>
          <w:tab w:val="left" w:pos="6480"/>
          <w:tab w:val="left" w:pos="7920"/>
          <w:tab w:val="left" w:pos="9000"/>
        </w:tabs>
        <w:ind w:right="450"/>
      </w:pPr>
    </w:p>
    <w:p w:rsidR="00DF1678" w:rsidRDefault="00E7743E" w:rsidP="000D1F2F">
      <w:pPr>
        <w:tabs>
          <w:tab w:val="left" w:pos="720"/>
          <w:tab w:val="left" w:pos="1440"/>
          <w:tab w:val="left" w:pos="2160"/>
          <w:tab w:val="left" w:pos="2880"/>
          <w:tab w:val="left" w:pos="3600"/>
          <w:tab w:val="left" w:pos="4320"/>
          <w:tab w:val="left" w:pos="5040"/>
          <w:tab w:val="left" w:pos="6480"/>
          <w:tab w:val="left" w:pos="7920"/>
          <w:tab w:val="left" w:pos="9000"/>
        </w:tabs>
        <w:ind w:right="450"/>
      </w:pPr>
      <w:r>
        <w:t>II</w:t>
      </w:r>
      <w:r w:rsidR="00DF1678">
        <w:t>I</w:t>
      </w:r>
      <w:r w:rsidR="00DF1678" w:rsidRPr="000626A5">
        <w:t>.</w:t>
      </w:r>
      <w:r w:rsidR="00DF1678" w:rsidRPr="000626A5">
        <w:tab/>
      </w:r>
      <w:r w:rsidR="00DF1678">
        <w:t>DISCUSSION</w:t>
      </w:r>
      <w:r w:rsidR="00DA6B22">
        <w:tab/>
      </w:r>
      <w:r w:rsidR="00DA6B22">
        <w:rPr>
          <w:u w:val="dotted"/>
        </w:rPr>
        <w:tab/>
      </w:r>
      <w:r w:rsidR="00DA6B22">
        <w:rPr>
          <w:u w:val="dotted"/>
        </w:rPr>
        <w:tab/>
      </w:r>
      <w:r w:rsidR="00DA6B22">
        <w:rPr>
          <w:u w:val="dotted"/>
        </w:rPr>
        <w:tab/>
      </w:r>
      <w:r w:rsidR="00DA6B22">
        <w:rPr>
          <w:u w:val="dotted"/>
        </w:rPr>
        <w:tab/>
      </w:r>
      <w:r w:rsidR="00DA6B22">
        <w:rPr>
          <w:u w:val="dotted"/>
        </w:rPr>
        <w:tab/>
      </w:r>
      <w:r w:rsidR="00DA6B22">
        <w:rPr>
          <w:u w:val="dotted"/>
        </w:rPr>
        <w:tab/>
      </w:r>
      <w:r w:rsidR="00DA6B22">
        <w:rPr>
          <w:u w:val="dotted"/>
        </w:rPr>
        <w:tab/>
      </w:r>
      <w:r w:rsidR="00CA2F6A">
        <w:t>48</w:t>
      </w:r>
    </w:p>
    <w:p w:rsidR="00CA2F6A" w:rsidRDefault="00CA2F6A" w:rsidP="00CA2F6A">
      <w:pPr>
        <w:tabs>
          <w:tab w:val="left" w:pos="720"/>
          <w:tab w:val="left" w:pos="1440"/>
          <w:tab w:val="right" w:leader="dot" w:pos="9360"/>
        </w:tabs>
      </w:pPr>
    </w:p>
    <w:p w:rsidR="00DF1678" w:rsidRDefault="00DF1678" w:rsidP="000D1F2F">
      <w:pPr>
        <w:tabs>
          <w:tab w:val="left" w:pos="720"/>
          <w:tab w:val="left" w:pos="1440"/>
          <w:tab w:val="left" w:pos="2160"/>
          <w:tab w:val="left" w:pos="2880"/>
          <w:tab w:val="left" w:pos="8640"/>
          <w:tab w:val="left" w:pos="9000"/>
        </w:tabs>
        <w:ind w:left="720" w:hanging="720"/>
      </w:pPr>
      <w:r>
        <w:tab/>
        <w:t>A.</w:t>
      </w:r>
      <w:r>
        <w:tab/>
      </w:r>
      <w:r w:rsidR="00F05F42">
        <w:t>Lowering Interest Rate to 3% for Customer’s Contribution Financed</w:t>
      </w:r>
      <w:r w:rsidR="008C7103">
        <w:t xml:space="preserve"> </w:t>
      </w:r>
      <w:r w:rsidR="008C7103">
        <w:rPr>
          <w:u w:val="dotted"/>
        </w:rPr>
        <w:tab/>
      </w:r>
      <w:r w:rsidR="000D1F2F">
        <w:rPr>
          <w:u w:val="dotted"/>
        </w:rPr>
        <w:tab/>
      </w:r>
      <w:r w:rsidR="00CA2F6A">
        <w:t>54</w:t>
      </w:r>
    </w:p>
    <w:p w:rsidR="00722F4D" w:rsidRDefault="00722F4D" w:rsidP="00722F4D">
      <w:pPr>
        <w:tabs>
          <w:tab w:val="left" w:pos="720"/>
          <w:tab w:val="left" w:pos="1440"/>
          <w:tab w:val="right" w:leader="dot" w:pos="9360"/>
        </w:tabs>
        <w:ind w:left="1440" w:hanging="1440"/>
      </w:pPr>
    </w:p>
    <w:p w:rsidR="00DF1678" w:rsidRPr="00B70E14" w:rsidRDefault="00DF1678" w:rsidP="00AE121F">
      <w:pPr>
        <w:tabs>
          <w:tab w:val="left" w:pos="720"/>
          <w:tab w:val="left" w:pos="1440"/>
          <w:tab w:val="left" w:pos="9000"/>
        </w:tabs>
        <w:spacing w:line="360" w:lineRule="auto"/>
      </w:pPr>
      <w:r>
        <w:tab/>
        <w:t xml:space="preserve">B.        </w:t>
      </w:r>
      <w:r w:rsidR="00F05F42" w:rsidRPr="00B70E14">
        <w:t>Economic Model</w:t>
      </w:r>
      <w:r w:rsidR="00E91689">
        <w:t xml:space="preserve"> </w:t>
      </w:r>
      <w:r w:rsidR="00E91689">
        <w:rPr>
          <w:u w:val="dotted"/>
        </w:rPr>
        <w:tab/>
      </w:r>
      <w:r w:rsidR="00CA2F6A">
        <w:t>57</w:t>
      </w:r>
    </w:p>
    <w:p w:rsidR="009E5FDE" w:rsidRDefault="00DF1678" w:rsidP="00AE121F">
      <w:pPr>
        <w:tabs>
          <w:tab w:val="left" w:pos="720"/>
          <w:tab w:val="left" w:pos="2160"/>
          <w:tab w:val="left" w:pos="9000"/>
        </w:tabs>
        <w:spacing w:line="360" w:lineRule="auto"/>
        <w:ind w:firstLine="1440"/>
      </w:pPr>
      <w:r>
        <w:t xml:space="preserve">1.        </w:t>
      </w:r>
      <w:r w:rsidR="00F05F42" w:rsidRPr="00B70E14">
        <w:t xml:space="preserve">Cost </w:t>
      </w:r>
      <w:r w:rsidR="00F05F42">
        <w:t>o</w:t>
      </w:r>
      <w:r w:rsidR="00F05F42" w:rsidRPr="00B70E14">
        <w:t xml:space="preserve">f Debt </w:t>
      </w:r>
      <w:r w:rsidR="00F05F42">
        <w:t>a</w:t>
      </w:r>
      <w:r w:rsidR="00F05F42" w:rsidRPr="00B70E14">
        <w:t xml:space="preserve">s Surrogate </w:t>
      </w:r>
      <w:r w:rsidR="00F05F42">
        <w:t>f</w:t>
      </w:r>
      <w:r w:rsidR="00F05F42" w:rsidRPr="00B70E14">
        <w:t xml:space="preserve">or Return </w:t>
      </w:r>
      <w:r w:rsidR="00F05F42">
        <w:t>o</w:t>
      </w:r>
      <w:r w:rsidR="00F05F42" w:rsidRPr="00B70E14">
        <w:t>n Equity</w:t>
      </w:r>
      <w:r w:rsidR="00A2770C">
        <w:t xml:space="preserve"> </w:t>
      </w:r>
      <w:r w:rsidR="00A2770C">
        <w:rPr>
          <w:u w:val="dotted"/>
        </w:rPr>
        <w:tab/>
      </w:r>
      <w:r w:rsidR="00A2770C">
        <w:t>5</w:t>
      </w:r>
      <w:r w:rsidR="00CA2F6A">
        <w:t>8</w:t>
      </w:r>
    </w:p>
    <w:p w:rsidR="00DF1678" w:rsidRDefault="00DF1678" w:rsidP="000D1F2F">
      <w:pPr>
        <w:tabs>
          <w:tab w:val="left" w:pos="720"/>
          <w:tab w:val="left" w:pos="1440"/>
          <w:tab w:val="left" w:pos="2160"/>
          <w:tab w:val="left" w:pos="8640"/>
          <w:tab w:val="left" w:pos="9000"/>
        </w:tabs>
      </w:pPr>
      <w:r>
        <w:tab/>
        <w:t xml:space="preserve">          </w:t>
      </w:r>
      <w:r w:rsidR="000D1F2F">
        <w:tab/>
      </w:r>
      <w:r>
        <w:t>2</w:t>
      </w:r>
      <w:r w:rsidR="00F05F42">
        <w:t>.        Cost of Service Lines, Meters and Regulating Equipment</w:t>
      </w:r>
      <w:r w:rsidR="00163B2B">
        <w:t xml:space="preserve"> </w:t>
      </w:r>
      <w:r w:rsidR="00163B2B">
        <w:rPr>
          <w:u w:val="dotted"/>
        </w:rPr>
        <w:tab/>
      </w:r>
      <w:r w:rsidR="00163B2B">
        <w:rPr>
          <w:u w:val="dotted"/>
        </w:rPr>
        <w:tab/>
      </w:r>
      <w:r w:rsidR="00CA2F6A">
        <w:t>59</w:t>
      </w:r>
    </w:p>
    <w:p w:rsidR="00E421F4" w:rsidRDefault="00E421F4" w:rsidP="00E421F4">
      <w:pPr>
        <w:tabs>
          <w:tab w:val="left" w:pos="720"/>
          <w:tab w:val="left" w:pos="2160"/>
          <w:tab w:val="left" w:pos="9360"/>
        </w:tabs>
      </w:pPr>
    </w:p>
    <w:p w:rsidR="00DF1678" w:rsidRDefault="00DF1678" w:rsidP="00AE121F">
      <w:pPr>
        <w:tabs>
          <w:tab w:val="left" w:pos="720"/>
          <w:tab w:val="left" w:pos="1440"/>
          <w:tab w:val="left" w:pos="9000"/>
          <w:tab w:val="left" w:pos="9360"/>
        </w:tabs>
      </w:pPr>
      <w:r>
        <w:tab/>
        <w:t xml:space="preserve">C.        </w:t>
      </w:r>
      <w:r w:rsidR="00F05F42">
        <w:t>Additional Reporting Requirement</w:t>
      </w:r>
      <w:r w:rsidR="00D44CC0">
        <w:t xml:space="preserve">s </w:t>
      </w:r>
      <w:r w:rsidR="00D44CC0">
        <w:rPr>
          <w:u w:val="dotted"/>
        </w:rPr>
        <w:tab/>
      </w:r>
      <w:r w:rsidR="003370AC">
        <w:t>62</w:t>
      </w:r>
    </w:p>
    <w:p w:rsidR="00E421F4" w:rsidRDefault="00E421F4" w:rsidP="00E421F4">
      <w:pPr>
        <w:tabs>
          <w:tab w:val="left" w:pos="720"/>
          <w:tab w:val="left" w:pos="1440"/>
          <w:tab w:val="left" w:pos="9360"/>
        </w:tabs>
      </w:pPr>
    </w:p>
    <w:p w:rsidR="00DF1678" w:rsidRDefault="00DF1678" w:rsidP="00AE121F">
      <w:pPr>
        <w:tabs>
          <w:tab w:val="left" w:pos="720"/>
          <w:tab w:val="left" w:pos="1440"/>
          <w:tab w:val="left" w:pos="9000"/>
          <w:tab w:val="left" w:pos="9360"/>
        </w:tabs>
      </w:pPr>
      <w:r>
        <w:tab/>
        <w:t xml:space="preserve">D.        </w:t>
      </w:r>
      <w:r w:rsidR="00F05F42">
        <w:t>Treatment of Residential Developers</w:t>
      </w:r>
      <w:r w:rsidR="006B1372">
        <w:t xml:space="preserve"> </w:t>
      </w:r>
      <w:r w:rsidR="006B1372">
        <w:rPr>
          <w:u w:val="dotted"/>
        </w:rPr>
        <w:tab/>
      </w:r>
      <w:r w:rsidR="003370AC">
        <w:t>67</w:t>
      </w:r>
    </w:p>
    <w:p w:rsidR="00E421F4" w:rsidRDefault="00E421F4" w:rsidP="00E421F4">
      <w:pPr>
        <w:tabs>
          <w:tab w:val="left" w:pos="720"/>
          <w:tab w:val="left" w:pos="1440"/>
          <w:tab w:val="left" w:pos="9360"/>
        </w:tabs>
      </w:pPr>
    </w:p>
    <w:p w:rsidR="00DF1678" w:rsidRDefault="00DF1678" w:rsidP="00AE121F">
      <w:pPr>
        <w:tabs>
          <w:tab w:val="left" w:pos="720"/>
          <w:tab w:val="left" w:pos="1440"/>
          <w:tab w:val="left" w:pos="9000"/>
          <w:tab w:val="left" w:pos="9360"/>
        </w:tabs>
        <w:spacing w:line="360" w:lineRule="auto"/>
        <w:rPr>
          <w:color w:val="000000"/>
          <w:shd w:val="clear" w:color="auto" w:fill="FFFFFF"/>
        </w:rPr>
      </w:pPr>
      <w:r>
        <w:rPr>
          <w:color w:val="000000"/>
          <w:shd w:val="clear" w:color="auto" w:fill="FFFFFF"/>
        </w:rPr>
        <w:tab/>
        <w:t>E</w:t>
      </w:r>
      <w:r w:rsidR="00F05F42">
        <w:rPr>
          <w:color w:val="000000"/>
          <w:shd w:val="clear" w:color="auto" w:fill="FFFFFF"/>
        </w:rPr>
        <w:t xml:space="preserve">.        </w:t>
      </w:r>
      <w:r w:rsidR="00F05F42" w:rsidRPr="001B1B38">
        <w:rPr>
          <w:color w:val="000000"/>
          <w:shd w:val="clear" w:color="auto" w:fill="FFFFFF"/>
        </w:rPr>
        <w:t>Other Proposed Modifications</w:t>
      </w:r>
      <w:r w:rsidR="00E7790D">
        <w:rPr>
          <w:color w:val="000000"/>
          <w:shd w:val="clear" w:color="auto" w:fill="FFFFFF"/>
        </w:rPr>
        <w:t xml:space="preserve"> </w:t>
      </w:r>
      <w:r w:rsidR="00E7790D">
        <w:rPr>
          <w:color w:val="000000"/>
          <w:u w:val="dotted"/>
          <w:shd w:val="clear" w:color="auto" w:fill="FFFFFF"/>
        </w:rPr>
        <w:tab/>
      </w:r>
      <w:r w:rsidR="00E7790D">
        <w:rPr>
          <w:color w:val="000000"/>
          <w:shd w:val="clear" w:color="auto" w:fill="FFFFFF"/>
        </w:rPr>
        <w:t>7</w:t>
      </w:r>
      <w:r w:rsidR="003370AC">
        <w:rPr>
          <w:color w:val="000000"/>
          <w:shd w:val="clear" w:color="auto" w:fill="FFFFFF"/>
        </w:rPr>
        <w:t>3</w:t>
      </w:r>
    </w:p>
    <w:p w:rsidR="00DF1678" w:rsidRDefault="00F05F42" w:rsidP="00AE121F">
      <w:pPr>
        <w:tabs>
          <w:tab w:val="left" w:pos="720"/>
          <w:tab w:val="left" w:pos="1440"/>
          <w:tab w:val="left" w:pos="2160"/>
          <w:tab w:val="left" w:pos="8820"/>
          <w:tab w:val="left" w:pos="9000"/>
          <w:tab w:val="left" w:pos="9360"/>
        </w:tabs>
        <w:spacing w:line="360" w:lineRule="auto"/>
        <w:rPr>
          <w:color w:val="000000"/>
          <w:shd w:val="clear" w:color="auto" w:fill="FFFFFF"/>
        </w:rPr>
      </w:pPr>
      <w:r>
        <w:rPr>
          <w:color w:val="000000"/>
          <w:shd w:val="clear" w:color="auto" w:fill="FFFFFF"/>
        </w:rPr>
        <w:tab/>
        <w:t xml:space="preserve">           </w:t>
      </w:r>
      <w:r w:rsidR="009E5FDE">
        <w:rPr>
          <w:color w:val="000000"/>
          <w:shd w:val="clear" w:color="auto" w:fill="FFFFFF"/>
        </w:rPr>
        <w:tab/>
      </w:r>
      <w:r>
        <w:rPr>
          <w:color w:val="000000"/>
          <w:shd w:val="clear" w:color="auto" w:fill="FFFFFF"/>
        </w:rPr>
        <w:t>1.          Gas-</w:t>
      </w:r>
      <w:r w:rsidR="002466B5">
        <w:rPr>
          <w:color w:val="000000"/>
          <w:shd w:val="clear" w:color="auto" w:fill="FFFFFF"/>
        </w:rPr>
        <w:t>o</w:t>
      </w:r>
      <w:r>
        <w:rPr>
          <w:color w:val="000000"/>
          <w:shd w:val="clear" w:color="auto" w:fill="FFFFFF"/>
        </w:rPr>
        <w:t xml:space="preserve">n-Gas </w:t>
      </w:r>
      <w:r w:rsidR="009E5FDE">
        <w:rPr>
          <w:color w:val="000000"/>
          <w:shd w:val="clear" w:color="auto" w:fill="FFFFFF"/>
        </w:rPr>
        <w:t>C</w:t>
      </w:r>
      <w:r>
        <w:rPr>
          <w:color w:val="000000"/>
          <w:shd w:val="clear" w:color="auto" w:fill="FFFFFF"/>
        </w:rPr>
        <w:t>ompetition</w:t>
      </w:r>
      <w:r w:rsidR="00A002A6">
        <w:rPr>
          <w:color w:val="000000"/>
          <w:shd w:val="clear" w:color="auto" w:fill="FFFFFF"/>
        </w:rPr>
        <w:t xml:space="preserve"> </w:t>
      </w:r>
      <w:r w:rsidR="00964AF7">
        <w:rPr>
          <w:color w:val="000000"/>
          <w:shd w:val="clear" w:color="auto" w:fill="FFFFFF"/>
        </w:rPr>
        <w:t xml:space="preserve"> </w:t>
      </w:r>
      <w:r w:rsidR="00A002A6">
        <w:rPr>
          <w:color w:val="000000"/>
          <w:u w:val="dotted"/>
          <w:shd w:val="clear" w:color="auto" w:fill="FFFFFF"/>
        </w:rPr>
        <w:tab/>
      </w:r>
      <w:r w:rsidR="00A002A6">
        <w:rPr>
          <w:color w:val="000000"/>
          <w:u w:val="dotted"/>
          <w:shd w:val="clear" w:color="auto" w:fill="FFFFFF"/>
        </w:rPr>
        <w:tab/>
      </w:r>
      <w:r w:rsidR="003370AC">
        <w:rPr>
          <w:color w:val="000000"/>
          <w:shd w:val="clear" w:color="auto" w:fill="FFFFFF"/>
        </w:rPr>
        <w:t>73</w:t>
      </w:r>
    </w:p>
    <w:p w:rsidR="00DF1678" w:rsidRDefault="00F05F42" w:rsidP="00AE121F">
      <w:pPr>
        <w:tabs>
          <w:tab w:val="left" w:pos="720"/>
          <w:tab w:val="left" w:pos="1440"/>
          <w:tab w:val="left" w:pos="2160"/>
          <w:tab w:val="left" w:pos="9000"/>
          <w:tab w:val="left" w:pos="9360"/>
        </w:tabs>
        <w:spacing w:line="360" w:lineRule="auto"/>
        <w:rPr>
          <w:color w:val="000000"/>
          <w:shd w:val="clear" w:color="auto" w:fill="FFFFFF"/>
        </w:rPr>
      </w:pPr>
      <w:r>
        <w:rPr>
          <w:color w:val="000000"/>
          <w:shd w:val="clear" w:color="auto" w:fill="FFFFFF"/>
        </w:rPr>
        <w:tab/>
        <w:t xml:space="preserve">           </w:t>
      </w:r>
      <w:r w:rsidR="009E5FDE">
        <w:rPr>
          <w:color w:val="000000"/>
          <w:shd w:val="clear" w:color="auto" w:fill="FFFFFF"/>
        </w:rPr>
        <w:tab/>
      </w:r>
      <w:r>
        <w:rPr>
          <w:color w:val="000000"/>
          <w:shd w:val="clear" w:color="auto" w:fill="FFFFFF"/>
        </w:rPr>
        <w:t xml:space="preserve">2.          Repayment </w:t>
      </w:r>
      <w:r w:rsidR="009E5FDE">
        <w:rPr>
          <w:color w:val="000000"/>
          <w:shd w:val="clear" w:color="auto" w:fill="FFFFFF"/>
        </w:rPr>
        <w:t>O</w:t>
      </w:r>
      <w:r>
        <w:rPr>
          <w:color w:val="000000"/>
          <w:shd w:val="clear" w:color="auto" w:fill="FFFFFF"/>
        </w:rPr>
        <w:t>ptions</w:t>
      </w:r>
      <w:r w:rsidR="00B25AD6">
        <w:rPr>
          <w:color w:val="000000"/>
          <w:shd w:val="clear" w:color="auto" w:fill="FFFFFF"/>
        </w:rPr>
        <w:t xml:space="preserve"> </w:t>
      </w:r>
      <w:r w:rsidR="00B25AD6">
        <w:rPr>
          <w:color w:val="000000"/>
          <w:u w:val="dotted"/>
          <w:shd w:val="clear" w:color="auto" w:fill="FFFFFF"/>
        </w:rPr>
        <w:tab/>
      </w:r>
      <w:r w:rsidR="003370AC">
        <w:rPr>
          <w:color w:val="000000"/>
          <w:shd w:val="clear" w:color="auto" w:fill="FFFFFF"/>
        </w:rPr>
        <w:t>74</w:t>
      </w:r>
    </w:p>
    <w:p w:rsidR="00722F4D" w:rsidRDefault="00F05F42" w:rsidP="00AE121F">
      <w:pPr>
        <w:tabs>
          <w:tab w:val="left" w:pos="720"/>
          <w:tab w:val="left" w:pos="1440"/>
          <w:tab w:val="left" w:pos="2160"/>
          <w:tab w:val="left" w:pos="9000"/>
          <w:tab w:val="right" w:leader="dot" w:pos="9360"/>
        </w:tabs>
        <w:spacing w:line="360" w:lineRule="auto"/>
        <w:rPr>
          <w:color w:val="000000"/>
          <w:shd w:val="clear" w:color="auto" w:fill="FFFFFF"/>
        </w:rPr>
      </w:pPr>
      <w:r>
        <w:rPr>
          <w:color w:val="000000"/>
          <w:shd w:val="clear" w:color="auto" w:fill="FFFFFF"/>
        </w:rPr>
        <w:t xml:space="preserve">                      </w:t>
      </w:r>
      <w:r w:rsidR="009E5FDE">
        <w:rPr>
          <w:color w:val="000000"/>
          <w:shd w:val="clear" w:color="auto" w:fill="FFFFFF"/>
        </w:rPr>
        <w:tab/>
      </w:r>
      <w:r>
        <w:rPr>
          <w:color w:val="000000"/>
          <w:shd w:val="clear" w:color="auto" w:fill="FFFFFF"/>
        </w:rPr>
        <w:t>3.          Annual Funding</w:t>
      </w:r>
      <w:r w:rsidR="00CA6ACF">
        <w:rPr>
          <w:color w:val="000000"/>
          <w:shd w:val="clear" w:color="auto" w:fill="FFFFFF"/>
        </w:rPr>
        <w:t xml:space="preserve"> </w:t>
      </w:r>
      <w:r w:rsidR="00CA6ACF">
        <w:rPr>
          <w:color w:val="000000"/>
          <w:u w:val="dotted"/>
          <w:shd w:val="clear" w:color="auto" w:fill="FFFFFF"/>
        </w:rPr>
        <w:tab/>
      </w:r>
      <w:r w:rsidR="003370AC">
        <w:rPr>
          <w:color w:val="000000"/>
          <w:shd w:val="clear" w:color="auto" w:fill="FFFFFF"/>
        </w:rPr>
        <w:t>75</w:t>
      </w:r>
    </w:p>
    <w:p w:rsidR="00722F4D" w:rsidRDefault="00722F4D" w:rsidP="00722F4D">
      <w:pPr>
        <w:tabs>
          <w:tab w:val="left" w:pos="720"/>
          <w:tab w:val="left" w:pos="1440"/>
          <w:tab w:val="right" w:leader="dot" w:pos="9360"/>
        </w:tabs>
        <w:rPr>
          <w:color w:val="000000"/>
          <w:shd w:val="clear" w:color="auto" w:fill="FFFFFF"/>
        </w:rPr>
      </w:pPr>
    </w:p>
    <w:p w:rsidR="009E5FDE" w:rsidRDefault="00DF1678" w:rsidP="009E5FDE">
      <w:pPr>
        <w:tabs>
          <w:tab w:val="left" w:pos="720"/>
          <w:tab w:val="left" w:pos="1440"/>
          <w:tab w:val="left" w:pos="2160"/>
          <w:tab w:val="left" w:pos="2880"/>
          <w:tab w:val="left" w:pos="9360"/>
        </w:tabs>
        <w:rPr>
          <w:color w:val="000000"/>
          <w:shd w:val="clear" w:color="auto" w:fill="FFFFFF"/>
        </w:rPr>
      </w:pPr>
      <w:r>
        <w:rPr>
          <w:color w:val="000000"/>
          <w:shd w:val="clear" w:color="auto" w:fill="FFFFFF"/>
        </w:rPr>
        <w:tab/>
        <w:t>F</w:t>
      </w:r>
      <w:r w:rsidR="00F05F42">
        <w:rPr>
          <w:color w:val="000000"/>
          <w:shd w:val="clear" w:color="auto" w:fill="FFFFFF"/>
        </w:rPr>
        <w:t>.</w:t>
      </w:r>
      <w:r w:rsidR="000D1F2F">
        <w:rPr>
          <w:color w:val="000000"/>
          <w:shd w:val="clear" w:color="auto" w:fill="FFFFFF"/>
        </w:rPr>
        <w:tab/>
      </w:r>
      <w:r w:rsidR="00F05F42">
        <w:rPr>
          <w:color w:val="000000"/>
          <w:shd w:val="clear" w:color="auto" w:fill="FFFFFF"/>
        </w:rPr>
        <w:t xml:space="preserve">Review of Tax Depreciation Benefits in Customer Contribution </w:t>
      </w:r>
      <w:r w:rsidR="009E5FDE">
        <w:rPr>
          <w:color w:val="000000"/>
          <w:shd w:val="clear" w:color="auto" w:fill="FFFFFF"/>
        </w:rPr>
        <w:tab/>
      </w:r>
    </w:p>
    <w:p w:rsidR="00722F4D" w:rsidRDefault="009E5FDE" w:rsidP="000D1F2F">
      <w:pPr>
        <w:tabs>
          <w:tab w:val="left" w:pos="720"/>
          <w:tab w:val="left" w:pos="1440"/>
          <w:tab w:val="left" w:pos="2160"/>
          <w:tab w:val="left" w:pos="2880"/>
          <w:tab w:val="left" w:pos="9000"/>
          <w:tab w:val="left" w:pos="9360"/>
        </w:tabs>
        <w:rPr>
          <w:color w:val="000000"/>
          <w:shd w:val="clear" w:color="auto" w:fill="FFFFFF"/>
        </w:rPr>
      </w:pPr>
      <w:r>
        <w:rPr>
          <w:color w:val="000000"/>
          <w:shd w:val="clear" w:color="auto" w:fill="FFFFFF"/>
        </w:rPr>
        <w:tab/>
      </w:r>
      <w:r w:rsidR="000D1F2F">
        <w:rPr>
          <w:color w:val="000000"/>
          <w:shd w:val="clear" w:color="auto" w:fill="FFFFFF"/>
        </w:rPr>
        <w:tab/>
      </w:r>
      <w:r w:rsidR="00F05F42">
        <w:rPr>
          <w:color w:val="000000"/>
          <w:shd w:val="clear" w:color="auto" w:fill="FFFFFF"/>
        </w:rPr>
        <w:t>Calculation</w:t>
      </w:r>
      <w:r w:rsidR="00002CE6">
        <w:rPr>
          <w:color w:val="000000"/>
          <w:shd w:val="clear" w:color="auto" w:fill="FFFFFF"/>
        </w:rPr>
        <w:t xml:space="preserve"> </w:t>
      </w:r>
      <w:r w:rsidR="00427EC5">
        <w:rPr>
          <w:color w:val="000000"/>
          <w:u w:val="dotted"/>
          <w:shd w:val="clear" w:color="auto" w:fill="FFFFFF"/>
        </w:rPr>
        <w:tab/>
      </w:r>
      <w:r w:rsidR="000D1F2F">
        <w:rPr>
          <w:color w:val="000000"/>
          <w:u w:val="dotted"/>
          <w:shd w:val="clear" w:color="auto" w:fill="FFFFFF"/>
        </w:rPr>
        <w:tab/>
      </w:r>
      <w:r w:rsidR="003370AC">
        <w:rPr>
          <w:color w:val="000000"/>
          <w:shd w:val="clear" w:color="auto" w:fill="FFFFFF"/>
        </w:rPr>
        <w:t>76</w:t>
      </w:r>
    </w:p>
    <w:p w:rsidR="009E5FDE" w:rsidRDefault="009E5FDE" w:rsidP="009E5FDE">
      <w:pPr>
        <w:tabs>
          <w:tab w:val="left" w:pos="720"/>
          <w:tab w:val="left" w:pos="1440"/>
          <w:tab w:val="left" w:pos="2160"/>
          <w:tab w:val="left" w:pos="2880"/>
          <w:tab w:val="left" w:pos="9360"/>
        </w:tabs>
        <w:rPr>
          <w:color w:val="000000"/>
          <w:shd w:val="clear" w:color="auto" w:fill="FFFFFF"/>
        </w:rPr>
      </w:pPr>
    </w:p>
    <w:p w:rsidR="00722F4D" w:rsidRDefault="00F05F42" w:rsidP="00AE121F">
      <w:pPr>
        <w:tabs>
          <w:tab w:val="left" w:pos="720"/>
          <w:tab w:val="left" w:pos="1440"/>
          <w:tab w:val="left" w:pos="9000"/>
          <w:tab w:val="left" w:pos="9360"/>
        </w:tabs>
        <w:rPr>
          <w:color w:val="000000"/>
          <w:shd w:val="clear" w:color="auto" w:fill="FFFFFF"/>
        </w:rPr>
      </w:pPr>
      <w:r>
        <w:rPr>
          <w:color w:val="000000"/>
          <w:shd w:val="clear" w:color="auto" w:fill="FFFFFF"/>
        </w:rPr>
        <w:tab/>
        <w:t>G.       Income Tax Costs in Pilot Rider NAS Charge Calculation</w:t>
      </w:r>
      <w:r w:rsidR="00427EC5">
        <w:rPr>
          <w:color w:val="000000"/>
          <w:shd w:val="clear" w:color="auto" w:fill="FFFFFF"/>
        </w:rPr>
        <w:t xml:space="preserve"> </w:t>
      </w:r>
      <w:r w:rsidR="00427EC5">
        <w:rPr>
          <w:color w:val="000000"/>
          <w:u w:val="dotted"/>
          <w:shd w:val="clear" w:color="auto" w:fill="FFFFFF"/>
        </w:rPr>
        <w:tab/>
      </w:r>
      <w:r w:rsidR="00427EC5">
        <w:rPr>
          <w:color w:val="000000"/>
          <w:shd w:val="clear" w:color="auto" w:fill="FFFFFF"/>
        </w:rPr>
        <w:t>7</w:t>
      </w:r>
      <w:r w:rsidR="003370AC">
        <w:rPr>
          <w:color w:val="000000"/>
          <w:shd w:val="clear" w:color="auto" w:fill="FFFFFF"/>
        </w:rPr>
        <w:t>8</w:t>
      </w:r>
    </w:p>
    <w:p w:rsidR="00722F4D" w:rsidRDefault="00722F4D" w:rsidP="00722F4D">
      <w:pPr>
        <w:tabs>
          <w:tab w:val="left" w:pos="720"/>
          <w:tab w:val="left" w:pos="9360"/>
        </w:tabs>
        <w:rPr>
          <w:color w:val="000000"/>
          <w:shd w:val="clear" w:color="auto" w:fill="FFFFFF"/>
        </w:rPr>
      </w:pPr>
    </w:p>
    <w:p w:rsidR="00F83EDA" w:rsidRDefault="00F05F42" w:rsidP="00AE121F">
      <w:pPr>
        <w:tabs>
          <w:tab w:val="left" w:pos="720"/>
          <w:tab w:val="left" w:pos="1440"/>
          <w:tab w:val="left" w:pos="2160"/>
          <w:tab w:val="left" w:pos="2880"/>
          <w:tab w:val="left" w:pos="3600"/>
          <w:tab w:val="left" w:pos="4320"/>
          <w:tab w:val="left" w:pos="5040"/>
          <w:tab w:val="left" w:pos="9000"/>
        </w:tabs>
        <w:rPr>
          <w:color w:val="000000"/>
          <w:shd w:val="clear" w:color="auto" w:fill="FFFFFF"/>
        </w:rPr>
      </w:pPr>
      <w:r>
        <w:rPr>
          <w:color w:val="000000"/>
          <w:shd w:val="clear" w:color="auto" w:fill="FFFFFF"/>
        </w:rPr>
        <w:tab/>
        <w:t xml:space="preserve">H.       Recording Customer Contributions Whether Payments </w:t>
      </w:r>
      <w:r w:rsidR="00D65D0A">
        <w:rPr>
          <w:color w:val="000000"/>
          <w:shd w:val="clear" w:color="auto" w:fill="FFFFFF"/>
        </w:rPr>
        <w:t>A</w:t>
      </w:r>
      <w:r>
        <w:rPr>
          <w:color w:val="000000"/>
          <w:shd w:val="clear" w:color="auto" w:fill="FFFFFF"/>
        </w:rPr>
        <w:t>re Made</w:t>
      </w:r>
      <w:r w:rsidR="00FD29F5">
        <w:rPr>
          <w:color w:val="000000"/>
          <w:shd w:val="clear" w:color="auto" w:fill="FFFFFF"/>
        </w:rPr>
        <w:t xml:space="preserve"> </w:t>
      </w:r>
      <w:r w:rsidR="00FD29F5">
        <w:rPr>
          <w:color w:val="000000"/>
          <w:u w:val="dotted"/>
          <w:shd w:val="clear" w:color="auto" w:fill="FFFFFF"/>
        </w:rPr>
        <w:tab/>
      </w:r>
      <w:r w:rsidR="00FD29F5">
        <w:rPr>
          <w:color w:val="000000"/>
          <w:shd w:val="clear" w:color="auto" w:fill="FFFFFF"/>
        </w:rPr>
        <w:t>8</w:t>
      </w:r>
      <w:r w:rsidR="003370AC">
        <w:rPr>
          <w:color w:val="000000"/>
          <w:shd w:val="clear" w:color="auto" w:fill="FFFFFF"/>
        </w:rPr>
        <w:t>1</w:t>
      </w:r>
    </w:p>
    <w:p w:rsidR="00D65D0A" w:rsidRDefault="00D65D0A" w:rsidP="00722F4D">
      <w:pPr>
        <w:tabs>
          <w:tab w:val="left" w:pos="720"/>
          <w:tab w:val="left" w:pos="1440"/>
          <w:tab w:val="right" w:leader="dot" w:pos="9360"/>
        </w:tabs>
      </w:pPr>
    </w:p>
    <w:p w:rsidR="00DF1678" w:rsidRDefault="00D65D0A" w:rsidP="00AE121F">
      <w:pPr>
        <w:tabs>
          <w:tab w:val="left" w:pos="720"/>
          <w:tab w:val="left" w:pos="1440"/>
          <w:tab w:val="left" w:pos="2160"/>
          <w:tab w:val="left" w:pos="9000"/>
          <w:tab w:val="right" w:leader="dot" w:pos="9360"/>
        </w:tabs>
        <w:spacing w:line="360" w:lineRule="auto"/>
        <w:ind w:left="1440" w:hanging="1440"/>
      </w:pPr>
      <w:r>
        <w:tab/>
      </w:r>
      <w:r w:rsidR="00F05F42">
        <w:t>I.        Notice Requirement for all Resident</w:t>
      </w:r>
      <w:r w:rsidR="00CE4402">
        <w:t>i</w:t>
      </w:r>
      <w:r w:rsidR="00F05F42">
        <w:t>al Pilot Rider NAS</w:t>
      </w:r>
      <w:r w:rsidR="00722F4D">
        <w:t xml:space="preserve"> Applicants</w:t>
      </w:r>
      <w:r w:rsidR="001945BD">
        <w:t xml:space="preserve"> </w:t>
      </w:r>
      <w:r w:rsidR="001945BD">
        <w:rPr>
          <w:u w:val="dotted"/>
        </w:rPr>
        <w:tab/>
      </w:r>
      <w:r w:rsidR="0040632D">
        <w:t>8</w:t>
      </w:r>
      <w:r w:rsidR="003370AC">
        <w:t>4</w:t>
      </w:r>
      <w:r w:rsidR="00F05F42">
        <w:t xml:space="preserve"> </w:t>
      </w:r>
    </w:p>
    <w:p w:rsidR="00722F4D" w:rsidRDefault="00722F4D" w:rsidP="00A85FB9">
      <w:pPr>
        <w:tabs>
          <w:tab w:val="left" w:pos="720"/>
          <w:tab w:val="left" w:pos="1440"/>
          <w:tab w:val="right" w:leader="dot" w:pos="9360"/>
        </w:tabs>
      </w:pPr>
    </w:p>
    <w:p w:rsidR="00DF1678" w:rsidRDefault="00D65D0A" w:rsidP="00293CD6">
      <w:pPr>
        <w:tabs>
          <w:tab w:val="left" w:pos="720"/>
          <w:tab w:val="left" w:pos="1440"/>
          <w:tab w:val="left" w:pos="9000"/>
          <w:tab w:val="right" w:leader="dot" w:pos="9360"/>
        </w:tabs>
        <w:spacing w:line="360" w:lineRule="auto"/>
      </w:pPr>
      <w:r>
        <w:t>I</w:t>
      </w:r>
      <w:r w:rsidR="00DF1678" w:rsidRPr="000626A5">
        <w:t>V.</w:t>
      </w:r>
      <w:r w:rsidR="00DF1678" w:rsidRPr="000626A5">
        <w:tab/>
      </w:r>
      <w:r w:rsidR="00DF1678">
        <w:t>CONCLUSION</w:t>
      </w:r>
      <w:r w:rsidR="0015362C">
        <w:t xml:space="preserve"> </w:t>
      </w:r>
      <w:r w:rsidR="0015362C">
        <w:rPr>
          <w:u w:val="dotted"/>
        </w:rPr>
        <w:tab/>
      </w:r>
      <w:r w:rsidR="00CA2F6A">
        <w:t>85</w:t>
      </w:r>
      <w:r w:rsidR="00DF1678">
        <w:t xml:space="preserve"> </w:t>
      </w:r>
    </w:p>
    <w:p w:rsidR="00722F4D" w:rsidRDefault="00722F4D" w:rsidP="00A85FB9">
      <w:pPr>
        <w:tabs>
          <w:tab w:val="left" w:pos="720"/>
          <w:tab w:val="left" w:pos="1440"/>
          <w:tab w:val="right" w:leader="dot" w:pos="9360"/>
        </w:tabs>
      </w:pPr>
    </w:p>
    <w:p w:rsidR="00DF1678" w:rsidRPr="000626A5" w:rsidRDefault="00DF1678" w:rsidP="00293CD6">
      <w:pPr>
        <w:tabs>
          <w:tab w:val="left" w:pos="720"/>
          <w:tab w:val="left" w:pos="1440"/>
          <w:tab w:val="left" w:pos="9000"/>
          <w:tab w:val="right" w:leader="dot" w:pos="9360"/>
        </w:tabs>
        <w:spacing w:line="360" w:lineRule="auto"/>
      </w:pPr>
      <w:r>
        <w:t>V.</w:t>
      </w:r>
      <w:r>
        <w:tab/>
        <w:t>CONCLUSIONS OF LAW</w:t>
      </w:r>
      <w:r w:rsidR="00741BE4">
        <w:t xml:space="preserve"> </w:t>
      </w:r>
      <w:r w:rsidR="00741BE4">
        <w:rPr>
          <w:u w:val="dotted"/>
        </w:rPr>
        <w:tab/>
      </w:r>
      <w:bookmarkStart w:id="0" w:name="_GoBack"/>
      <w:bookmarkEnd w:id="0"/>
      <w:r w:rsidR="00CA2F6A">
        <w:t>86</w:t>
      </w:r>
    </w:p>
    <w:p w:rsidR="00722F4D" w:rsidRDefault="00722F4D" w:rsidP="00A85FB9">
      <w:pPr>
        <w:tabs>
          <w:tab w:val="left" w:pos="720"/>
          <w:tab w:val="left" w:pos="1440"/>
          <w:tab w:val="right" w:leader="dot" w:pos="9360"/>
        </w:tabs>
      </w:pPr>
    </w:p>
    <w:p w:rsidR="00DF1678" w:rsidRDefault="00D65D0A" w:rsidP="00293CD6">
      <w:pPr>
        <w:tabs>
          <w:tab w:val="left" w:pos="720"/>
          <w:tab w:val="left" w:pos="1440"/>
          <w:tab w:val="left" w:pos="9000"/>
          <w:tab w:val="right" w:leader="dot" w:pos="9360"/>
        </w:tabs>
        <w:spacing w:line="360" w:lineRule="auto"/>
        <w:sectPr w:rsidR="00DF1678" w:rsidSect="00A1687A">
          <w:footerReference w:type="default" r:id="rId9"/>
          <w:footerReference w:type="first" r:id="rId10"/>
          <w:pgSz w:w="12240" w:h="15840" w:code="1"/>
          <w:pgMar w:top="1440" w:right="1440" w:bottom="1440" w:left="1440" w:header="1440" w:footer="1440" w:gutter="0"/>
          <w:cols w:space="720"/>
          <w:titlePg/>
          <w:docGrid w:linePitch="360"/>
        </w:sectPr>
      </w:pPr>
      <w:r>
        <w:t>VI</w:t>
      </w:r>
      <w:r w:rsidR="00DF1678" w:rsidRPr="000626A5">
        <w:t>.</w:t>
      </w:r>
      <w:r w:rsidR="00DF1678" w:rsidRPr="000626A5">
        <w:tab/>
        <w:t>ORDER</w:t>
      </w:r>
      <w:r w:rsidR="007537F7">
        <w:t xml:space="preserve"> </w:t>
      </w:r>
      <w:r w:rsidR="007537F7">
        <w:rPr>
          <w:u w:val="dotted"/>
        </w:rPr>
        <w:tab/>
      </w:r>
      <w:r w:rsidR="00CA2F6A">
        <w:t>87</w:t>
      </w:r>
    </w:p>
    <w:p w:rsidR="006163AA" w:rsidRPr="00613400" w:rsidRDefault="006163AA" w:rsidP="00613400">
      <w:pPr>
        <w:pStyle w:val="ListParagraph"/>
        <w:numPr>
          <w:ilvl w:val="0"/>
          <w:numId w:val="29"/>
        </w:numPr>
        <w:spacing w:line="360" w:lineRule="auto"/>
        <w:ind w:left="0" w:firstLine="0"/>
        <w:jc w:val="center"/>
        <w:rPr>
          <w:sz w:val="24"/>
          <w:szCs w:val="24"/>
        </w:rPr>
      </w:pPr>
      <w:r w:rsidRPr="00613400">
        <w:rPr>
          <w:sz w:val="24"/>
          <w:szCs w:val="24"/>
          <w:u w:val="single"/>
        </w:rPr>
        <w:t>HISTORY OF THE PROCEEDING</w:t>
      </w:r>
    </w:p>
    <w:p w:rsidR="006163AA" w:rsidRDefault="006163AA" w:rsidP="006163AA">
      <w:pPr>
        <w:spacing w:line="360" w:lineRule="auto"/>
      </w:pPr>
    </w:p>
    <w:p w:rsidR="00B27E89" w:rsidRPr="00803953" w:rsidRDefault="00B27E89" w:rsidP="00B27E89">
      <w:pPr>
        <w:spacing w:line="360" w:lineRule="auto"/>
        <w:ind w:firstLine="1440"/>
      </w:pPr>
      <w:r w:rsidRPr="00803953">
        <w:t>On February 26, 2014, Columbia Gas of Pennsylvania, Inc. (Respondent or Columbia), filed Supplement No. 210 to Tariff Gas PA. P.U.C. No. 9</w:t>
      </w:r>
      <w:r>
        <w:t xml:space="preserve"> with the Public Utility Commission (“Commission”)</w:t>
      </w:r>
      <w:r w:rsidRPr="00803953">
        <w:t xml:space="preserve"> to become effective April 28, 2014, containing a proposed Pilot Rider New Area Service (</w:t>
      </w:r>
      <w:r>
        <w:t>“</w:t>
      </w:r>
      <w:r w:rsidR="007B1BCA">
        <w:t xml:space="preserve">Pilot Rider </w:t>
      </w:r>
      <w:r w:rsidRPr="00803953">
        <w:t>NAS</w:t>
      </w:r>
      <w:r>
        <w:t>”</w:t>
      </w:r>
      <w:r w:rsidRPr="00803953">
        <w:t>).</w:t>
      </w:r>
      <w:r w:rsidR="0038353F">
        <w:t xml:space="preserve">  </w:t>
      </w:r>
      <w:r w:rsidR="0038353F" w:rsidRPr="00803953">
        <w:t>Columbia states that this Rider will provide an alternative approach to requiring potential new residential customers to pay a large up</w:t>
      </w:r>
      <w:r w:rsidR="003A1828">
        <w:t xml:space="preserve"> </w:t>
      </w:r>
      <w:r w:rsidR="0038353F" w:rsidRPr="00803953">
        <w:t xml:space="preserve">front deposit in order for Columbia to extend its facilities to provide natural gas service.  </w:t>
      </w:r>
      <w:r w:rsidRPr="00803953">
        <w:t xml:space="preserve">  </w:t>
      </w:r>
    </w:p>
    <w:p w:rsidR="00B27E89" w:rsidRPr="00803953" w:rsidRDefault="00B27E89" w:rsidP="00B27E89">
      <w:pPr>
        <w:spacing w:line="360" w:lineRule="auto"/>
        <w:ind w:firstLine="1440"/>
      </w:pPr>
    </w:p>
    <w:p w:rsidR="00B27E89" w:rsidRPr="00242B47" w:rsidRDefault="00B27E89" w:rsidP="00B27E89">
      <w:pPr>
        <w:spacing w:line="360" w:lineRule="auto"/>
        <w:ind w:firstLine="1440"/>
      </w:pPr>
      <w:r>
        <w:t xml:space="preserve">The Commission’s Bureau of Investigation and Enforcement (“BI&amp;E”) filed a Notice of Appearance.  </w:t>
      </w:r>
      <w:r w:rsidRPr="00803953">
        <w:t>A formal complaint was filed by the Office of Consumer Advocate</w:t>
      </w:r>
      <w:r>
        <w:t xml:space="preserve"> (“OCA”) at Docket No. C-2014-2410197 and by the Office of Small Business Advocate (“OSBA”) at Docket No. C-2014-2415136.  A petition to intervene was filed by Columbia Industrial Intervenors (“CII”) on March 21, 2014.</w:t>
      </w:r>
      <w:r>
        <w:rPr>
          <w:rStyle w:val="FootnoteReference"/>
        </w:rPr>
        <w:footnoteReference w:id="1"/>
      </w:r>
      <w:r w:rsidRPr="00803953">
        <w:t xml:space="preserve">  </w:t>
      </w:r>
    </w:p>
    <w:p w:rsidR="00B27E89" w:rsidRPr="00242B47" w:rsidRDefault="00B27E89" w:rsidP="00B27E89">
      <w:pPr>
        <w:spacing w:line="360" w:lineRule="auto"/>
        <w:ind w:firstLine="1440"/>
      </w:pPr>
    </w:p>
    <w:p w:rsidR="00B27E89" w:rsidRPr="00242B47" w:rsidRDefault="00B27E89" w:rsidP="00B27E89">
      <w:pPr>
        <w:spacing w:line="360" w:lineRule="auto"/>
        <w:ind w:firstLine="1440"/>
      </w:pPr>
      <w:r w:rsidRPr="00242B47">
        <w:t>Pursuant to 66 Pa.C.S. §</w:t>
      </w:r>
      <w:r w:rsidR="00091AC2">
        <w:t xml:space="preserve"> </w:t>
      </w:r>
      <w:r w:rsidRPr="00242B47">
        <w:t xml:space="preserve">1308(b), the filing </w:t>
      </w:r>
      <w:r>
        <w:t xml:space="preserve">was suspended </w:t>
      </w:r>
      <w:r w:rsidRPr="00242B47">
        <w:t>by operation of law on April 28, 2014, until October 28, 2014, unless permitted by Commission Order to become effective at an earlier date.</w:t>
      </w:r>
    </w:p>
    <w:p w:rsidR="00B27E89" w:rsidRDefault="00B27E89" w:rsidP="00B27E89">
      <w:pPr>
        <w:spacing w:line="360" w:lineRule="auto"/>
      </w:pPr>
      <w:r>
        <w:t xml:space="preserve">     </w:t>
      </w:r>
    </w:p>
    <w:p w:rsidR="006163AA" w:rsidRDefault="00B27E89" w:rsidP="003B4A96">
      <w:pPr>
        <w:spacing w:line="360" w:lineRule="auto"/>
        <w:ind w:firstLine="720"/>
      </w:pPr>
      <w:r>
        <w:t xml:space="preserve">            </w:t>
      </w:r>
      <w:r w:rsidRPr="00C055EF">
        <w:t xml:space="preserve">A prehearing conference was held on </w:t>
      </w:r>
      <w:r>
        <w:t xml:space="preserve">Friday, May 9, 2014.  </w:t>
      </w:r>
      <w:r w:rsidR="0038353F">
        <w:t>A Prehearin</w:t>
      </w:r>
      <w:r w:rsidR="003B4A96">
        <w:t xml:space="preserve">g Order was issued May 23, 2014, which, </w:t>
      </w:r>
      <w:r w:rsidR="003B4A96" w:rsidRPr="00B14CCC">
        <w:rPr>
          <w:i/>
        </w:rPr>
        <w:t>inter alia</w:t>
      </w:r>
      <w:r w:rsidR="003B4A96">
        <w:t>, established the litigation schedule agreed upon by the parties who participated at the prehearing conference.  N</w:t>
      </w:r>
      <w:r w:rsidR="006163AA">
        <w:t>o public input hearings were scheduled and no such hearings were requested by any party.</w:t>
      </w:r>
    </w:p>
    <w:p w:rsidR="006163AA" w:rsidRDefault="006163AA" w:rsidP="006163AA">
      <w:pPr>
        <w:spacing w:line="360" w:lineRule="auto"/>
      </w:pPr>
    </w:p>
    <w:p w:rsidR="008218EA" w:rsidRDefault="006163AA" w:rsidP="00F778B3">
      <w:pPr>
        <w:spacing w:line="360" w:lineRule="auto"/>
      </w:pPr>
      <w:r>
        <w:tab/>
      </w:r>
      <w:r>
        <w:tab/>
        <w:t xml:space="preserve">A </w:t>
      </w:r>
      <w:r w:rsidR="003B4A96">
        <w:t>technical evidentiary hearing was held on July 9, 2014.</w:t>
      </w:r>
      <w:r w:rsidR="002E3311">
        <w:t xml:space="preserve">  </w:t>
      </w:r>
      <w:r w:rsidR="003B4A96">
        <w:t xml:space="preserve">Main briefs </w:t>
      </w:r>
      <w:r w:rsidR="002E3311">
        <w:t xml:space="preserve">were filed following the hearing by Columbia, BI&amp;E, OCA and OSBA.  Reply briefs were filed by </w:t>
      </w:r>
      <w:r w:rsidR="003B4A96">
        <w:t>Columbia, BI&amp;E</w:t>
      </w:r>
      <w:r w:rsidR="002E3311">
        <w:t xml:space="preserve"> and </w:t>
      </w:r>
      <w:r w:rsidR="003B4A96">
        <w:t>OCA</w:t>
      </w:r>
      <w:r w:rsidR="002E3311">
        <w:t xml:space="preserve">.  </w:t>
      </w:r>
      <w:r w:rsidR="003B4A96">
        <w:t xml:space="preserve">On August </w:t>
      </w:r>
      <w:r w:rsidR="007B227D">
        <w:t>20</w:t>
      </w:r>
      <w:r w:rsidR="003B4A96">
        <w:t xml:space="preserve">, 2014, an </w:t>
      </w:r>
      <w:r w:rsidR="002E3311">
        <w:t xml:space="preserve">Interim </w:t>
      </w:r>
      <w:r w:rsidR="003B4A96">
        <w:t>Order was issued admitting</w:t>
      </w:r>
    </w:p>
    <w:p w:rsidR="006163AA" w:rsidRPr="00B14CCC" w:rsidRDefault="003B4A96" w:rsidP="002E3311">
      <w:pPr>
        <w:spacing w:line="360" w:lineRule="auto"/>
      </w:pPr>
      <w:r>
        <w:t xml:space="preserve">Columbia’s response to </w:t>
      </w:r>
      <w:r w:rsidR="00FF6CAF">
        <w:t xml:space="preserve">the </w:t>
      </w:r>
      <w:r w:rsidR="002E3311">
        <w:t xml:space="preserve">OCA’s </w:t>
      </w:r>
      <w:r>
        <w:t>on-the-record data request made at the hearing</w:t>
      </w:r>
      <w:r w:rsidR="002E3311">
        <w:t xml:space="preserve"> on July 9, </w:t>
      </w:r>
      <w:r w:rsidR="00FF6CAF">
        <w:t>2014.</w:t>
      </w:r>
      <w:r>
        <w:t xml:space="preserve">  The on-the-record data request was attached to the </w:t>
      </w:r>
      <w:r w:rsidR="002E3311">
        <w:t xml:space="preserve">Interim </w:t>
      </w:r>
      <w:r>
        <w:t xml:space="preserve">Order as Appendix “A” </w:t>
      </w:r>
      <w:r w:rsidR="002E3311">
        <w:t xml:space="preserve">and made a part thereof.  </w:t>
      </w:r>
      <w:r>
        <w:t xml:space="preserve">The </w:t>
      </w:r>
      <w:r w:rsidR="002E3311">
        <w:t xml:space="preserve">Interim </w:t>
      </w:r>
      <w:r>
        <w:t xml:space="preserve">Order </w:t>
      </w:r>
      <w:r w:rsidR="002E3311">
        <w:t xml:space="preserve">also closed the hearing record.  </w:t>
      </w:r>
      <w:r w:rsidR="006163AA" w:rsidRPr="00B14CCC">
        <w:t xml:space="preserve">   </w:t>
      </w:r>
    </w:p>
    <w:p w:rsidR="006163AA" w:rsidRPr="005A3CCC" w:rsidRDefault="006163AA" w:rsidP="00642AB1">
      <w:pPr>
        <w:spacing w:line="360" w:lineRule="auto"/>
        <w:jc w:val="center"/>
      </w:pPr>
    </w:p>
    <w:p w:rsidR="005A3CCC" w:rsidRPr="005A3CCC" w:rsidRDefault="00A4523E" w:rsidP="00A27BD1">
      <w:pPr>
        <w:pStyle w:val="ListParagraph"/>
        <w:numPr>
          <w:ilvl w:val="0"/>
          <w:numId w:val="29"/>
        </w:numPr>
        <w:spacing w:line="360" w:lineRule="auto"/>
        <w:ind w:left="0" w:firstLine="0"/>
        <w:jc w:val="center"/>
        <w:rPr>
          <w:sz w:val="24"/>
          <w:szCs w:val="24"/>
          <w:u w:val="single"/>
        </w:rPr>
      </w:pPr>
      <w:r w:rsidRPr="005A3CCC">
        <w:rPr>
          <w:sz w:val="24"/>
          <w:szCs w:val="24"/>
          <w:u w:val="single"/>
        </w:rPr>
        <w:t>DESCRIPTION</w:t>
      </w:r>
    </w:p>
    <w:p w:rsidR="005A3CCC" w:rsidRPr="005A3CCC" w:rsidRDefault="005A3CCC" w:rsidP="005A3CCC">
      <w:pPr>
        <w:pStyle w:val="ListParagraph"/>
        <w:ind w:left="1800"/>
        <w:rPr>
          <w:sz w:val="24"/>
          <w:szCs w:val="24"/>
        </w:rPr>
      </w:pPr>
    </w:p>
    <w:p w:rsidR="00A4523E" w:rsidRPr="005A3CCC" w:rsidRDefault="005A3CCC" w:rsidP="005A3CCC">
      <w:pPr>
        <w:pStyle w:val="ListParagraph"/>
        <w:ind w:hanging="720"/>
        <w:rPr>
          <w:sz w:val="24"/>
          <w:szCs w:val="24"/>
        </w:rPr>
      </w:pPr>
      <w:r w:rsidRPr="005A3CCC">
        <w:rPr>
          <w:sz w:val="24"/>
          <w:szCs w:val="24"/>
        </w:rPr>
        <w:t>A.</w:t>
      </w:r>
      <w:r w:rsidRPr="005A3CCC">
        <w:rPr>
          <w:sz w:val="24"/>
          <w:szCs w:val="24"/>
        </w:rPr>
        <w:tab/>
      </w:r>
      <w:r w:rsidRPr="00C25643">
        <w:rPr>
          <w:sz w:val="24"/>
          <w:szCs w:val="24"/>
          <w:u w:val="single"/>
        </w:rPr>
        <w:t xml:space="preserve">Columbia’s Proposed Supplement 210 Pilot </w:t>
      </w:r>
      <w:r w:rsidRPr="00C25643">
        <w:rPr>
          <w:sz w:val="24"/>
          <w:szCs w:val="24"/>
          <w:u w:val="single"/>
        </w:rPr>
        <w:tab/>
        <w:t>Rider New Area Service (NAS)</w:t>
      </w:r>
      <w:r w:rsidRPr="005A3CCC">
        <w:rPr>
          <w:sz w:val="24"/>
          <w:szCs w:val="24"/>
        </w:rPr>
        <w:t xml:space="preserve"> </w:t>
      </w:r>
    </w:p>
    <w:p w:rsidR="00A4523E" w:rsidRDefault="00A4523E" w:rsidP="00260910">
      <w:pPr>
        <w:spacing w:line="360" w:lineRule="auto"/>
      </w:pPr>
    </w:p>
    <w:p w:rsidR="00260910" w:rsidRDefault="00260910" w:rsidP="00260910">
      <w:pPr>
        <w:pStyle w:val="BodyText2"/>
        <w:spacing w:line="360" w:lineRule="auto"/>
        <w:ind w:firstLine="1440"/>
        <w:jc w:val="left"/>
      </w:pPr>
      <w:r>
        <w:t xml:space="preserve">Columbia is proposing Pilot Rider NAS, a </w:t>
      </w:r>
      <w:r w:rsidR="00F323EA">
        <w:t>4</w:t>
      </w:r>
      <w:r>
        <w:t xml:space="preserve">-year pilot program, as an alternative payment </w:t>
      </w:r>
      <w:r w:rsidR="007830B7">
        <w:t xml:space="preserve">option for </w:t>
      </w:r>
      <w:r>
        <w:t xml:space="preserve">customers requesting distribution line extensions in areas that currently do not have Columbia gas distribution facilities.  (Columbia Statement No. 1, pp. 2-3).  The Company originally proposed Pilot Rider NAS in its 2012 base rate proceeding at Docket No. R-2012-2321748.  As part of the settlement in that proceeding, the parties agreed “to enter into an informal collaborative . . . to attempt to develop a program to extend service to new areas.”  </w:t>
      </w:r>
      <w:r>
        <w:rPr>
          <w:i/>
        </w:rPr>
        <w:t>Pa. P</w:t>
      </w:r>
      <w:r w:rsidR="00E642D7">
        <w:rPr>
          <w:i/>
        </w:rPr>
        <w:t>ub. Util. Comm’n</w:t>
      </w:r>
      <w:r>
        <w:rPr>
          <w:i/>
        </w:rPr>
        <w:t xml:space="preserve"> v. Columbia Gas of Pennsylvania, Inc.</w:t>
      </w:r>
      <w:r>
        <w:t xml:space="preserve">, Docket Nos. R-2012-2321748, </w:t>
      </w:r>
      <w:r>
        <w:rPr>
          <w:i/>
        </w:rPr>
        <w:t>et al.</w:t>
      </w:r>
      <w:r>
        <w:t>, p. 14</w:t>
      </w:r>
      <w:r>
        <w:rPr>
          <w:i/>
        </w:rPr>
        <w:t xml:space="preserve"> </w:t>
      </w:r>
      <w:r>
        <w:t xml:space="preserve">(Apr. 24, 2013) (Recommended Decision), </w:t>
      </w:r>
      <w:r>
        <w:rPr>
          <w:i/>
        </w:rPr>
        <w:t>adopted</w:t>
      </w:r>
      <w:r>
        <w:t xml:space="preserve"> (Order Entered May</w:t>
      </w:r>
      <w:r w:rsidR="00E642D7">
        <w:t> </w:t>
      </w:r>
      <w:r>
        <w:t>23, 2013).  Pursuant to the settlement, the collaborative was held.  After that collaborative, Colu</w:t>
      </w:r>
      <w:r w:rsidR="005E4D6A">
        <w:t>mbia filed the instant proposal.  Columbia M.B., p. 4.</w:t>
      </w:r>
    </w:p>
    <w:p w:rsidR="00260910" w:rsidRDefault="00260910" w:rsidP="00260910">
      <w:pPr>
        <w:pStyle w:val="BodyText2"/>
        <w:spacing w:line="360" w:lineRule="auto"/>
        <w:ind w:firstLine="1440"/>
        <w:jc w:val="left"/>
      </w:pPr>
    </w:p>
    <w:p w:rsidR="00260910" w:rsidRDefault="00260910" w:rsidP="00260910">
      <w:pPr>
        <w:pStyle w:val="BodyText2"/>
        <w:spacing w:line="360" w:lineRule="auto"/>
        <w:ind w:firstLine="1440"/>
        <w:jc w:val="left"/>
      </w:pPr>
      <w:r>
        <w:t>Columbia’s current procedure for extending facilities to new applicants begins with an economic analysis that determines whether the full investment cost of the line extension is cost-justified by the projected revenues.  (Columbia Statement No. 1, p. 2).  If the project is not cost-justified, the applicant or applicants must pay an up</w:t>
      </w:r>
      <w:r w:rsidR="003A1828">
        <w:t xml:space="preserve"> </w:t>
      </w:r>
      <w:r>
        <w:t xml:space="preserve">front deposit to receive the distribution line extension.  (Columbia Statement No. 1, p. 2).  </w:t>
      </w:r>
      <w:r w:rsidR="0098490E">
        <w:t>According to Columbia, t</w:t>
      </w:r>
      <w:r>
        <w:t>he amount of the up</w:t>
      </w:r>
      <w:r w:rsidR="003A1828">
        <w:t xml:space="preserve"> </w:t>
      </w:r>
      <w:r>
        <w:t xml:space="preserve">front deposit equals the present value amount of investment to extend the facilities that are in excess of the projected future revenues from the new applicant(s) over the next 40 years.  (Columbia Statement No. 1, p. 5).  </w:t>
      </w:r>
      <w:r w:rsidR="0098490E">
        <w:t>T</w:t>
      </w:r>
      <w:r>
        <w:t>his economic analysis and determination of the deposit due remain</w:t>
      </w:r>
      <w:r w:rsidR="0098490E">
        <w:t>s</w:t>
      </w:r>
      <w:r>
        <w:t xml:space="preserve"> unchanged under Pilot Rider NAS.  (Columbia Statement No. 1, p. 5).  Since the lump-sum up</w:t>
      </w:r>
      <w:r w:rsidR="003A1828">
        <w:t xml:space="preserve"> </w:t>
      </w:r>
      <w:r>
        <w:t xml:space="preserve">front deposit can often be meaningful, </w:t>
      </w:r>
      <w:r w:rsidR="005E4D6A">
        <w:t>Columbia believes the deposit</w:t>
      </w:r>
      <w:r w:rsidR="004E3780">
        <w:t xml:space="preserve"> required</w:t>
      </w:r>
      <w:r>
        <w:t xml:space="preserve"> can hinder the expansion of natural gas service to unserved and underserved portions of Columbia’s service area.  (Columbia Statement No. 1, p. 3)</w:t>
      </w:r>
      <w:r w:rsidR="00CF12B9">
        <w:t xml:space="preserve">; </w:t>
      </w:r>
      <w:r w:rsidR="005E4D6A">
        <w:t>Columbia M.B., pp. 4-5.</w:t>
      </w:r>
    </w:p>
    <w:p w:rsidR="00260910" w:rsidRDefault="004E3780" w:rsidP="00260910">
      <w:pPr>
        <w:pStyle w:val="BodyText2"/>
        <w:spacing w:line="360" w:lineRule="auto"/>
        <w:ind w:firstLine="1440"/>
        <w:jc w:val="left"/>
      </w:pPr>
      <w:r>
        <w:t xml:space="preserve">Columbia explains that </w:t>
      </w:r>
      <w:r w:rsidR="00260910">
        <w:t xml:space="preserve">Pilot Rider NAS aims to expand natural gas service to those areas by serving as an additional option for customers to pay the deposit for the uneconomic portion of a line extension.  Specifically, Supplement No. 210 allows all or a portion of the deposit to be paid through a monthly surcharge over a 20-year period.  (Columbia Statement No. 1, pp. 2-3).  </w:t>
      </w:r>
      <w:r>
        <w:t>In order t</w:t>
      </w:r>
      <w:r w:rsidR="00260910">
        <w:t>o maintain a simple pilot program and control costs, only a 20-year payment term is permitted in calculating the</w:t>
      </w:r>
      <w:r>
        <w:t xml:space="preserve"> proposed</w:t>
      </w:r>
      <w:r w:rsidR="00260910">
        <w:t xml:space="preserve"> Pilot Rider NAS surcharge amount.  (Columbia Statement No. 1, p. 6; Columbia Statement No. 1-R, p. 14).  However,</w:t>
      </w:r>
      <w:r>
        <w:t xml:space="preserve"> the Pilot Rider NAS provides that</w:t>
      </w:r>
      <w:r w:rsidR="00260910">
        <w:t xml:space="preserve"> a customer may pay off the principal balance at any time.  (Columbia Statement No. 1-R, p. 14).  The monthly surcharge includes the carrying costs for the 20-year term and contains a principal amount and an interest amount.  (Col</w:t>
      </w:r>
      <w:r w:rsidR="00CF12B9">
        <w:t>umbia Statement No.</w:t>
      </w:r>
      <w:r w:rsidR="00A16C37">
        <w:t> </w:t>
      </w:r>
      <w:r w:rsidR="00CF12B9">
        <w:t xml:space="preserve">1, pp. 5-6); </w:t>
      </w:r>
      <w:r>
        <w:t>Columbia M.B., p. 5.</w:t>
      </w:r>
      <w:r w:rsidR="00260910">
        <w:t xml:space="preserve"> </w:t>
      </w:r>
    </w:p>
    <w:p w:rsidR="00260910" w:rsidRDefault="00260910" w:rsidP="00260910">
      <w:pPr>
        <w:pStyle w:val="BodyText2"/>
        <w:spacing w:line="360" w:lineRule="auto"/>
        <w:ind w:firstLine="1440"/>
        <w:jc w:val="left"/>
      </w:pPr>
    </w:p>
    <w:p w:rsidR="00260910" w:rsidRDefault="00260910" w:rsidP="00260910">
      <w:pPr>
        <w:pStyle w:val="BodyText2"/>
        <w:spacing w:line="360" w:lineRule="auto"/>
        <w:ind w:firstLine="1440"/>
        <w:jc w:val="left"/>
      </w:pPr>
      <w:r>
        <w:t xml:space="preserve">Under Pilot Rider NAS, the amount of the surcharge per meter may not exceed $35.00 per month.  (Columbia Statement No. 1, p. 11).  If the amount of the uneconomic portion of the line extension exceeds the principal amount that can be recovered through the Pilot Rider NAS surcharge, the applicant will be required to pay the difference through an </w:t>
      </w:r>
      <w:r w:rsidR="00923E1E">
        <w:t>up front</w:t>
      </w:r>
      <w:r>
        <w:t xml:space="preserve"> deposit.  (Columbia Statement No. 1, p. 11).  When a project involves more than one meter, the payment amount will be applied to all of the meters involved over the 20-year term.  (Columbia Statement No. 1, p. 5).</w:t>
      </w:r>
      <w:r>
        <w:rPr>
          <w:rStyle w:val="FootnoteReference"/>
        </w:rPr>
        <w:footnoteReference w:id="2"/>
      </w:r>
      <w:r>
        <w:t xml:space="preserve">  Also, the monthly surcharge will remain the same for 20 years or until the customer pays off the remaining balance, whichever comes first.  (Columbia Stat</w:t>
      </w:r>
      <w:r w:rsidR="004E3780">
        <w:t>ement No. 1, p.</w:t>
      </w:r>
      <w:r w:rsidR="00A16C37">
        <w:t> </w:t>
      </w:r>
      <w:r w:rsidR="004E3780">
        <w:t xml:space="preserve">6).  </w:t>
      </w:r>
      <w:r>
        <w:t xml:space="preserve">Pilot Rider NAS would give an applicant the option to pay a fixed amount up to $35.00 per month per meter for up to 20 years </w:t>
      </w:r>
      <w:r w:rsidR="004E3780">
        <w:t>rather than having to pay the full deposit up</w:t>
      </w:r>
      <w:r w:rsidR="00A24A39">
        <w:t xml:space="preserve"> </w:t>
      </w:r>
      <w:r w:rsidR="004E3780">
        <w:t>front to receive the line extension.  Columbia M.B., pp. 5-6.</w:t>
      </w:r>
    </w:p>
    <w:p w:rsidR="00260910" w:rsidRDefault="00260910" w:rsidP="00260910">
      <w:pPr>
        <w:pStyle w:val="BodyText2"/>
        <w:spacing w:line="360" w:lineRule="auto"/>
        <w:ind w:firstLine="1440"/>
        <w:jc w:val="left"/>
      </w:pPr>
    </w:p>
    <w:p w:rsidR="00260910" w:rsidRDefault="00CF12B9" w:rsidP="00260910">
      <w:pPr>
        <w:pStyle w:val="BodyText2"/>
        <w:spacing w:line="360" w:lineRule="auto"/>
        <w:ind w:firstLine="1440"/>
        <w:jc w:val="left"/>
      </w:pPr>
      <w:r>
        <w:t>I</w:t>
      </w:r>
      <w:r w:rsidR="00260910">
        <w:t>f more customers are added to the new Pilot Rider NAS line extensions, they would be charged the same surcharge.  (Columbia Statement No. 1, p. 8).</w:t>
      </w:r>
      <w:r w:rsidR="00260910">
        <w:rPr>
          <w:rStyle w:val="FootnoteReference"/>
        </w:rPr>
        <w:footnoteReference w:id="3"/>
      </w:r>
      <w:r w:rsidR="00260910">
        <w:t xml:space="preserve">  Although after the project is completed the surcharge amount would remain the same, the principal amount would be collected over a shorter timeframe than initially projected because more customers would be paying down the balance than anticipated.  (Columbia Statement No. 1, p. 8).  Furthermore, </w:t>
      </w:r>
      <w:r w:rsidR="0069407C">
        <w:t xml:space="preserve">it is proposed that </w:t>
      </w:r>
      <w:r w:rsidR="00260910">
        <w:t>all customers included in a particular Pilot Rider NAS project will receive the surcharge on their bill; however, they do have the option to pay the balance in full with their first bill from Columbia or anytime thereafter.  (</w:t>
      </w:r>
      <w:r w:rsidR="0098490E">
        <w:t>Columbia Statement No. 1, p. 8); Columbia M.B., p.</w:t>
      </w:r>
      <w:r w:rsidR="0057382C">
        <w:t> </w:t>
      </w:r>
      <w:r w:rsidR="0098490E">
        <w:t>6.</w:t>
      </w:r>
      <w:r>
        <w:t xml:space="preserve">  </w:t>
      </w:r>
    </w:p>
    <w:p w:rsidR="00260910" w:rsidRDefault="00260910" w:rsidP="00260910">
      <w:pPr>
        <w:pStyle w:val="BodyText2"/>
        <w:spacing w:line="360" w:lineRule="auto"/>
        <w:ind w:firstLine="1440"/>
        <w:jc w:val="left"/>
      </w:pPr>
    </w:p>
    <w:p w:rsidR="00260910" w:rsidRDefault="00260910" w:rsidP="00260910">
      <w:pPr>
        <w:pStyle w:val="BodyText2"/>
        <w:spacing w:line="360" w:lineRule="auto"/>
        <w:ind w:firstLine="1440"/>
        <w:jc w:val="left"/>
      </w:pPr>
      <w:r>
        <w:t xml:space="preserve">The customer’s obligation to pay the monthly surcharge begins when the meter is set (Columbia Exhibit EAE-4).  Further, the obligation remains with the meter.  (Columbia Statement No. 1, p. 7).  Therefore, in the event of a change in customer, the new customer is responsible for the monthly tariffed surcharge or may pay off the remaining balance after receiving the surcharge on the bill.  (Columbia Statement No. 1, pp. 7-8).  If that new customer does not want to pay the surcharge or the balance remaining, Columbia will simply not initiate service, and the new customer will have to seek alternative service.  (Columbia Statement No. 1, p. 7).  </w:t>
      </w:r>
      <w:r w:rsidR="0098490E">
        <w:t>Columbia believes these provisions</w:t>
      </w:r>
      <w:r>
        <w:t xml:space="preserve"> increase the likelihood that Columbia will collect the monthly surcharge amounts over the 20-year term.  (Columbia Statement No. 1, p. 7).  However, in the event of nonpayment of the Pilot Rider NAS charge, Columbia will not disconnect natural gas service.  (Columbia Statement No. 1, p. 7).  Instead, Columbia will use its standard collection practices.  (</w:t>
      </w:r>
      <w:r w:rsidR="0098490E">
        <w:t>Columbia Statement No. 1, p. 7); Columbia M.B., pp. 6-7.</w:t>
      </w:r>
      <w:r>
        <w:t xml:space="preserve">  </w:t>
      </w:r>
    </w:p>
    <w:p w:rsidR="00260910" w:rsidRDefault="00260910" w:rsidP="00260910">
      <w:pPr>
        <w:pStyle w:val="BodyText2"/>
        <w:spacing w:line="360" w:lineRule="auto"/>
        <w:ind w:firstLine="1440"/>
        <w:jc w:val="left"/>
      </w:pPr>
    </w:p>
    <w:p w:rsidR="00260910" w:rsidRDefault="00260910" w:rsidP="00260910">
      <w:pPr>
        <w:pStyle w:val="BodyText2"/>
        <w:spacing w:line="360" w:lineRule="auto"/>
        <w:ind w:firstLine="1440"/>
        <w:jc w:val="left"/>
      </w:pPr>
      <w:r>
        <w:t xml:space="preserve">For ratemaking purposes, when a customer chooses Pilot Rider NAS to pay for the deposit, the full cost of the line extension funded by Pilot Rider NAS initially would be placed in Columbia’s rate base.  (Columbia Statement No. 1, p. 5).  </w:t>
      </w:r>
      <w:r w:rsidR="00664407">
        <w:t>T</w:t>
      </w:r>
      <w:r>
        <w:t>he surcharge includes a principal amount and an interest amount.  As the monthly surcharges are received, the principal amounts will be applied as a customer advance to reduce the rate base.  (Columbia Statement No.</w:t>
      </w:r>
      <w:r w:rsidR="0057382C">
        <w:t> </w:t>
      </w:r>
      <w:r>
        <w:t>1, p. 5).  The interest amount will be credited to the Company’s cost of service to compensate all of the existing customers for the carrying costs.  (Columbia Statement No. 1, pp.</w:t>
      </w:r>
      <w:r w:rsidR="0057382C">
        <w:t> </w:t>
      </w:r>
      <w:r>
        <w:t>5-6).  The interest rate used in calculating the monthly surcharge is set at Columbia’s weighted average cost of capital in its most recent base rate proceeding.</w:t>
      </w:r>
      <w:r w:rsidR="0098490E">
        <w:rPr>
          <w:rStyle w:val="FootnoteReference"/>
        </w:rPr>
        <w:footnoteReference w:id="4"/>
      </w:r>
      <w:r>
        <w:t xml:space="preserve">  (Columbia Statement No. 1, p. 6).  Doing so will compensate existing customers for the carrying costs of the Pilot Rider NAS line extensions in rate base, thereby avoiding cost shifting from an inadequate interest rate.  (Columbia Statement No. 1-R, p. 5).  If a Pilot Rider NAS project has an unpaid balance at the end of the 20-year period, that amount remains in Columbia’s rate base.  (Columbia Statement No. 1, p. 9)</w:t>
      </w:r>
      <w:r w:rsidR="00664407">
        <w:t>;</w:t>
      </w:r>
      <w:r>
        <w:rPr>
          <w:rStyle w:val="FootnoteReference"/>
        </w:rPr>
        <w:footnoteReference w:id="5"/>
      </w:r>
      <w:r w:rsidR="00664407">
        <w:t xml:space="preserve"> Columbia M.B., p. 7.</w:t>
      </w:r>
    </w:p>
    <w:p w:rsidR="00260910" w:rsidRDefault="00260910" w:rsidP="00260910">
      <w:pPr>
        <w:pStyle w:val="BodyText2"/>
        <w:spacing w:line="360" w:lineRule="auto"/>
        <w:ind w:firstLine="1440"/>
        <w:jc w:val="left"/>
      </w:pPr>
    </w:p>
    <w:p w:rsidR="00260910" w:rsidRDefault="00260910" w:rsidP="00260910">
      <w:pPr>
        <w:pStyle w:val="BodyText2"/>
        <w:spacing w:line="360" w:lineRule="auto"/>
        <w:ind w:firstLine="1440"/>
        <w:jc w:val="left"/>
      </w:pPr>
      <w:r>
        <w:t xml:space="preserve">As proposed by Columbia, the Pilot Rider NAS program would be available to all residential customers and </w:t>
      </w:r>
      <w:r w:rsidRPr="00966E98">
        <w:t>bona fide</w:t>
      </w:r>
      <w:r>
        <w:t xml:space="preserve"> developers of residential properties in its service territory</w:t>
      </w:r>
      <w:r w:rsidRPr="00D421FC">
        <w:t xml:space="preserve"> </w:t>
      </w:r>
      <w:r>
        <w:t>that seek natural gas service.  (Columbia Statement No. 1, p. 4).  Certain qualifications exist for a developer of residential properties to be considered a “</w:t>
      </w:r>
      <w:r w:rsidRPr="00966E98">
        <w:t>bona fide</w:t>
      </w:r>
      <w:r>
        <w:t xml:space="preserve"> developer” under the Pilot Rider NAS program.  (Columbia Statement No. 1, p. 4).  The developer must be building in an area where Columbia currently does not provide service and it must be building or developing a large aggregation of residential entities that ask to obtain natural gas service.  (Columbia Statement No. 1, p. 4).  Columbia will consider the following regarding developers requesting Pilot Rider NAS:</w:t>
      </w:r>
      <w:r w:rsidR="00C37259">
        <w:t xml:space="preserve"> </w:t>
      </w:r>
      <w:r>
        <w:t xml:space="preserve"> (1) the number of potential customers; (2) the density of the area seeking service; (3) the potential usage; and (4) the cost of extending or expanding service.  (Columbia Statement No. 1, p. 4).  Commercial buildings, however, would be excluded from the program.  (Columbia Statement No. 1, p. 4)</w:t>
      </w:r>
      <w:r w:rsidR="00664407">
        <w:t>;</w:t>
      </w:r>
      <w:r>
        <w:rPr>
          <w:rStyle w:val="FootnoteReference"/>
        </w:rPr>
        <w:footnoteReference w:id="6"/>
      </w:r>
      <w:r w:rsidR="00664407">
        <w:t xml:space="preserve"> Columbia M.B., pp. 7-8.</w:t>
      </w:r>
    </w:p>
    <w:p w:rsidR="00260910" w:rsidRDefault="00260910" w:rsidP="00260910">
      <w:pPr>
        <w:pStyle w:val="BodyText2"/>
        <w:spacing w:line="360" w:lineRule="auto"/>
        <w:ind w:firstLine="1440"/>
        <w:jc w:val="left"/>
      </w:pPr>
    </w:p>
    <w:p w:rsidR="00985854" w:rsidRDefault="00260910" w:rsidP="00291F00">
      <w:pPr>
        <w:pStyle w:val="BodyText2"/>
        <w:spacing w:line="360" w:lineRule="auto"/>
        <w:ind w:firstLine="1440"/>
        <w:jc w:val="left"/>
      </w:pPr>
      <w:r>
        <w:t>Finally, for each calendar year of the pilot, Columbia is setting a maximum of $1</w:t>
      </w:r>
      <w:r w:rsidR="00EA0496">
        <w:t> </w:t>
      </w:r>
      <w:r>
        <w:t xml:space="preserve">million of excess amounts that can qualify for Pilot Rider NAS.  (Columbia Statement No. 1, p. 10).  </w:t>
      </w:r>
      <w:r w:rsidR="00664407">
        <w:t>According to Columbia, t</w:t>
      </w:r>
      <w:r>
        <w:t>his enables the Company to balance the extension of new facilities with its other obligations, such as providing safe and reliable service and continuing its main replacement program as scheduled.  (Columbia Statement No. 1, p. 10).  The limit of $1</w:t>
      </w:r>
      <w:r w:rsidR="00EA0496">
        <w:t> </w:t>
      </w:r>
      <w:r>
        <w:t xml:space="preserve">million was determined by reviewing customer deposits for the last five years.  (Columbia Statement No. 1, pp. 10-11).  Each year, the sum of those deposits averaged approximately $300,000.  (Columbia Statement No. 1, p. 11).  </w:t>
      </w:r>
      <w:r w:rsidR="00664407">
        <w:t>Columbia opines that, i</w:t>
      </w:r>
      <w:r>
        <w:t>f the future Pilot Rider NAS line extensions are similar to Columbia’s other line extension projects for the past five years, Columbia will have more than three times the number of line extension projects compared to each of the past five years.  (C</w:t>
      </w:r>
      <w:r w:rsidR="00664407">
        <w:t>olumbia Statement No. 1, p. 11); Columbia M.B., p. 8.</w:t>
      </w:r>
      <w:r w:rsidR="00A4523E" w:rsidRPr="009C6D70">
        <w:tab/>
      </w:r>
      <w:r w:rsidR="00A4523E" w:rsidRPr="009C6D70">
        <w:tab/>
      </w:r>
      <w:r w:rsidR="00BF2208">
        <w:t xml:space="preserve"> </w:t>
      </w:r>
    </w:p>
    <w:p w:rsidR="00C00828" w:rsidRDefault="00C00828" w:rsidP="00642AB1">
      <w:pPr>
        <w:spacing w:line="360" w:lineRule="auto"/>
      </w:pPr>
    </w:p>
    <w:p w:rsidR="00C00828" w:rsidRDefault="003026E6" w:rsidP="003026E6">
      <w:r>
        <w:t>B.</w:t>
      </w:r>
      <w:r>
        <w:tab/>
      </w:r>
      <w:r>
        <w:rPr>
          <w:u w:val="single"/>
        </w:rPr>
        <w:t xml:space="preserve">Office Of Consumer Advocate’s Proposed Modifications To Supplement 210 Pilot Rider </w:t>
      </w:r>
      <w:r w:rsidRPr="003026E6">
        <w:tab/>
      </w:r>
      <w:r>
        <w:rPr>
          <w:u w:val="single"/>
        </w:rPr>
        <w:t>NAS</w:t>
      </w:r>
    </w:p>
    <w:p w:rsidR="00C00828" w:rsidRDefault="00C00828" w:rsidP="00C00828">
      <w:pPr>
        <w:spacing w:line="360" w:lineRule="auto"/>
        <w:ind w:left="720" w:hanging="720"/>
      </w:pPr>
    </w:p>
    <w:p w:rsidR="00C00828" w:rsidRDefault="00C00828" w:rsidP="00C00828">
      <w:pPr>
        <w:pStyle w:val="BodyText"/>
        <w:spacing w:after="0" w:line="360" w:lineRule="auto"/>
        <w:ind w:firstLine="1440"/>
      </w:pPr>
      <w:r>
        <w:t>OCA witness Glenn Watkins evaluated Columbia’s proposed Pilot Rider NAS.  After evaluating Pilot Rider NAS, Mr. Watkins concluded:</w:t>
      </w:r>
    </w:p>
    <w:p w:rsidR="00C00828" w:rsidRDefault="00C00828" w:rsidP="00892C5E">
      <w:pPr>
        <w:pStyle w:val="NormalWeb"/>
        <w:spacing w:before="0" w:beforeAutospacing="0" w:after="0" w:afterAutospacing="0"/>
        <w:ind w:left="1440" w:right="1440"/>
        <w:rPr>
          <w:color w:val="000000"/>
          <w:shd w:val="clear" w:color="auto" w:fill="FFFFFF"/>
        </w:rPr>
      </w:pPr>
      <w:r>
        <w:rPr>
          <w:color w:val="000000"/>
          <w:shd w:val="clear" w:color="auto" w:fill="FFFFFF"/>
        </w:rPr>
        <w:t xml:space="preserve">[T]he Company’s proposal will provide some benefit to potential new customers and will likely result in a small amount of mains extensions that would otherwise not occur absent the financing provisions within the NAS rider.  However, I am concerned that if approved as proposed by Columbia, this rider will have only a very small marginal impact on making natural gas more available to energy consumers within the Company’s service area.  </w:t>
      </w:r>
    </w:p>
    <w:p w:rsidR="00892C5E" w:rsidRDefault="00892C5E" w:rsidP="00B0045A">
      <w:pPr>
        <w:pStyle w:val="NormalWeb"/>
        <w:spacing w:before="0" w:beforeAutospacing="0" w:after="0" w:afterAutospacing="0" w:line="360" w:lineRule="auto"/>
        <w:ind w:left="1440" w:right="1440"/>
        <w:rPr>
          <w:color w:val="000000"/>
          <w:shd w:val="clear" w:color="auto" w:fill="FFFFFF"/>
        </w:rPr>
      </w:pPr>
    </w:p>
    <w:p w:rsidR="00C00828" w:rsidRDefault="00892C5E" w:rsidP="00892C5E">
      <w:pPr>
        <w:pStyle w:val="NormalWeb"/>
        <w:tabs>
          <w:tab w:val="left" w:pos="9360"/>
        </w:tabs>
        <w:spacing w:before="0" w:beforeAutospacing="0" w:after="0" w:afterAutospacing="0" w:line="360" w:lineRule="auto"/>
        <w:rPr>
          <w:color w:val="000000"/>
          <w:shd w:val="clear" w:color="auto" w:fill="FFFFFF"/>
        </w:rPr>
      </w:pPr>
      <w:r>
        <w:rPr>
          <w:color w:val="000000"/>
          <w:shd w:val="clear" w:color="auto" w:fill="FFFFFF"/>
        </w:rPr>
        <w:t>(</w:t>
      </w:r>
      <w:r w:rsidR="00C00828">
        <w:rPr>
          <w:color w:val="000000"/>
          <w:shd w:val="clear" w:color="auto" w:fill="FFFFFF"/>
        </w:rPr>
        <w:t>OCA St</w:t>
      </w:r>
      <w:r>
        <w:rPr>
          <w:color w:val="000000"/>
          <w:shd w:val="clear" w:color="auto" w:fill="FFFFFF"/>
        </w:rPr>
        <w:t>atement No</w:t>
      </w:r>
      <w:r w:rsidR="00C00828">
        <w:rPr>
          <w:color w:val="000000"/>
          <w:shd w:val="clear" w:color="auto" w:fill="FFFFFF"/>
        </w:rPr>
        <w:t>. 1</w:t>
      </w:r>
      <w:r>
        <w:rPr>
          <w:color w:val="000000"/>
          <w:shd w:val="clear" w:color="auto" w:fill="FFFFFF"/>
        </w:rPr>
        <w:t xml:space="preserve">, p. </w:t>
      </w:r>
      <w:r w:rsidR="00C00828">
        <w:rPr>
          <w:color w:val="000000"/>
          <w:shd w:val="clear" w:color="auto" w:fill="FFFFFF"/>
        </w:rPr>
        <w:t>15</w:t>
      </w:r>
      <w:r>
        <w:rPr>
          <w:color w:val="000000"/>
          <w:shd w:val="clear" w:color="auto" w:fill="FFFFFF"/>
        </w:rPr>
        <w:t>)</w:t>
      </w:r>
      <w:r w:rsidR="000A168E">
        <w:rPr>
          <w:color w:val="000000"/>
          <w:shd w:val="clear" w:color="auto" w:fill="FFFFFF"/>
        </w:rPr>
        <w:t>; OCA M.B., p. 6</w:t>
      </w:r>
      <w:r w:rsidR="00C00828">
        <w:rPr>
          <w:color w:val="000000"/>
          <w:shd w:val="clear" w:color="auto" w:fill="FFFFFF"/>
        </w:rPr>
        <w:t xml:space="preserve">.  Recognizing that </w:t>
      </w:r>
      <w:r>
        <w:rPr>
          <w:color w:val="000000"/>
          <w:shd w:val="clear" w:color="auto" w:fill="FFFFFF"/>
        </w:rPr>
        <w:t xml:space="preserve">Pilot </w:t>
      </w:r>
      <w:r w:rsidR="00C00828">
        <w:rPr>
          <w:color w:val="000000"/>
          <w:shd w:val="clear" w:color="auto" w:fill="FFFFFF"/>
        </w:rPr>
        <w:t xml:space="preserve">Rider NAS is a pilot program, Mr. Watkins made several </w:t>
      </w:r>
      <w:r w:rsidR="00A05903">
        <w:rPr>
          <w:color w:val="000000"/>
          <w:shd w:val="clear" w:color="auto" w:fill="FFFFFF"/>
        </w:rPr>
        <w:t>modification</w:t>
      </w:r>
      <w:r w:rsidR="00C00828">
        <w:rPr>
          <w:color w:val="000000"/>
          <w:shd w:val="clear" w:color="auto" w:fill="FFFFFF"/>
        </w:rPr>
        <w:t xml:space="preserve">s to Columbia’s proposal to improve the success of the pilot program thereby making natural gas service more available to </w:t>
      </w:r>
      <w:r>
        <w:rPr>
          <w:color w:val="000000"/>
          <w:shd w:val="clear" w:color="auto" w:fill="FFFFFF"/>
        </w:rPr>
        <w:t xml:space="preserve">potential </w:t>
      </w:r>
      <w:r w:rsidR="00C00828">
        <w:rPr>
          <w:color w:val="000000"/>
          <w:shd w:val="clear" w:color="auto" w:fill="FFFFFF"/>
        </w:rPr>
        <w:t>residential consumers within Columbia’s service area.  Mr. Watkins</w:t>
      </w:r>
      <w:r>
        <w:rPr>
          <w:color w:val="000000"/>
          <w:shd w:val="clear" w:color="auto" w:fill="FFFFFF"/>
        </w:rPr>
        <w:t>’</w:t>
      </w:r>
      <w:r w:rsidR="00C00828">
        <w:rPr>
          <w:color w:val="000000"/>
          <w:shd w:val="clear" w:color="auto" w:fill="FFFFFF"/>
        </w:rPr>
        <w:t xml:space="preserve"> major recommendations to improve the success of the </w:t>
      </w:r>
      <w:r w:rsidR="00A05903">
        <w:rPr>
          <w:color w:val="000000"/>
          <w:shd w:val="clear" w:color="auto" w:fill="FFFFFF"/>
        </w:rPr>
        <w:t xml:space="preserve">Pilot </w:t>
      </w:r>
      <w:r w:rsidR="00C00828">
        <w:rPr>
          <w:color w:val="000000"/>
          <w:shd w:val="clear" w:color="auto" w:fill="FFFFFF"/>
        </w:rPr>
        <w:t>Rider NAS program are as follows:</w:t>
      </w:r>
    </w:p>
    <w:p w:rsidR="00C00828" w:rsidRDefault="00C00828" w:rsidP="00892C5E">
      <w:pPr>
        <w:numPr>
          <w:ilvl w:val="0"/>
          <w:numId w:val="17"/>
        </w:numPr>
        <w:ind w:left="1440" w:right="1440" w:firstLine="0"/>
      </w:pPr>
      <w:r>
        <w:t xml:space="preserve">For NAS projects, the Company’s </w:t>
      </w:r>
      <w:r w:rsidR="00084D81">
        <w:t xml:space="preserve">Discounted Cash Flow (DCF) </w:t>
      </w:r>
      <w:r>
        <w:t xml:space="preserve">model should use as inputs its most recent Commission-approved capital structure, wherein the cost of debt will reflect the weighted cost of long-term and short-term debt, and the cost of equity within the model will also use the weighted cost of long-term and short-term debt such that the discount rate will equal the Company’s weighted cost of debt (note:  the model will continue to reflect an equity return except that instead of utilizing the Commission’s approved return on equity, the DCF model will utilize the Company’s cost of debt as a surrogate for equity return). </w:t>
      </w:r>
    </w:p>
    <w:p w:rsidR="00C00828" w:rsidRDefault="00C00828" w:rsidP="00892C5E">
      <w:pPr>
        <w:ind w:left="1440" w:right="1440"/>
      </w:pPr>
    </w:p>
    <w:p w:rsidR="00C00828" w:rsidRDefault="00C00828" w:rsidP="00892C5E">
      <w:pPr>
        <w:numPr>
          <w:ilvl w:val="0"/>
          <w:numId w:val="17"/>
        </w:numPr>
        <w:ind w:left="1440" w:right="1440" w:firstLine="0"/>
      </w:pPr>
      <w:r>
        <w:t>For any NAS project, the projected capital costs of all service lines, meters, and regulating equipment should be excluded from the DCF model.</w:t>
      </w:r>
    </w:p>
    <w:p w:rsidR="00C00828" w:rsidRDefault="00C00828" w:rsidP="00892C5E">
      <w:pPr>
        <w:ind w:left="1440" w:right="1440"/>
      </w:pPr>
    </w:p>
    <w:p w:rsidR="00C00828" w:rsidRDefault="00C00828" w:rsidP="00892C5E">
      <w:pPr>
        <w:numPr>
          <w:ilvl w:val="0"/>
          <w:numId w:val="17"/>
        </w:numPr>
        <w:ind w:left="1440" w:right="1440" w:firstLine="0"/>
      </w:pPr>
      <w:r>
        <w:t>An NAS applicant should not pay for any costs of the meter or the Company’s service line from the main to the applicant’s property line.  In the Company’s eastern service area, Columbia will also provide up to 50</w:t>
      </w:r>
      <w:r w:rsidR="00087544">
        <w:t>ꞌ</w:t>
      </w:r>
      <w:r>
        <w:t xml:space="preserve"> of service line on the applicant’s property at no charge to the applicant per Tariff Rule No. 8.</w:t>
      </w:r>
    </w:p>
    <w:p w:rsidR="00C00828" w:rsidRDefault="00C00828" w:rsidP="00892C5E">
      <w:pPr>
        <w:ind w:left="1440" w:right="1440"/>
      </w:pPr>
    </w:p>
    <w:p w:rsidR="00C00828" w:rsidRDefault="00C00828" w:rsidP="00892C5E">
      <w:pPr>
        <w:numPr>
          <w:ilvl w:val="0"/>
          <w:numId w:val="17"/>
        </w:numPr>
        <w:ind w:left="1440" w:right="1440" w:firstLine="0"/>
      </w:pPr>
      <w:r>
        <w:t>For purposes of calculating an applicant’s surcharge amount under the NAS pilot, the annual interest rate shall be 3.00%.</w:t>
      </w:r>
    </w:p>
    <w:p w:rsidR="00C00828" w:rsidRDefault="00C00828" w:rsidP="00892C5E">
      <w:pPr>
        <w:pStyle w:val="ListParagraph"/>
        <w:ind w:left="1440" w:right="1440"/>
      </w:pPr>
    </w:p>
    <w:p w:rsidR="00C00828" w:rsidRDefault="00C00828" w:rsidP="00892C5E">
      <w:pPr>
        <w:numPr>
          <w:ilvl w:val="0"/>
          <w:numId w:val="17"/>
        </w:numPr>
        <w:ind w:left="1440" w:right="1440" w:firstLine="0"/>
      </w:pPr>
      <w:r>
        <w:t xml:space="preserve">The following items should be required to be reported annually by </w:t>
      </w:r>
      <w:r w:rsidRPr="006717BC">
        <w:t>Columbia</w:t>
      </w:r>
      <w:r>
        <w:t xml:space="preserve"> to the Commission, I&amp;E and OCA during the period of the pilot program</w:t>
      </w:r>
      <w:r w:rsidRPr="006717BC">
        <w:t>:</w:t>
      </w:r>
    </w:p>
    <w:p w:rsidR="00C00828" w:rsidRDefault="00C00828" w:rsidP="00892C5E">
      <w:pPr>
        <w:ind w:left="1440" w:right="1440"/>
      </w:pPr>
    </w:p>
    <w:p w:rsidR="00C00828" w:rsidRDefault="00C00828" w:rsidP="00892C5E">
      <w:pPr>
        <w:numPr>
          <w:ilvl w:val="0"/>
          <w:numId w:val="19"/>
        </w:numPr>
        <w:ind w:left="2160" w:right="1440" w:firstLine="0"/>
      </w:pPr>
      <w:r>
        <w:t>i</w:t>
      </w:r>
      <w:r w:rsidRPr="006717BC">
        <w:t>nvestment per project including the economic model results and surcharge calculation details;</w:t>
      </w:r>
    </w:p>
    <w:p w:rsidR="00C00828" w:rsidRDefault="00C00828" w:rsidP="00892C5E">
      <w:pPr>
        <w:ind w:left="2160" w:right="1440"/>
      </w:pPr>
    </w:p>
    <w:p w:rsidR="00C00828" w:rsidRDefault="00C00828" w:rsidP="00892C5E">
      <w:pPr>
        <w:numPr>
          <w:ilvl w:val="0"/>
          <w:numId w:val="19"/>
        </w:numPr>
        <w:ind w:left="2160" w:right="1440" w:firstLine="0"/>
      </w:pPr>
      <w:r>
        <w:t>t</w:t>
      </w:r>
      <w:r w:rsidRPr="006717BC">
        <w:t>otal distance of NAS main installed;</w:t>
      </w:r>
    </w:p>
    <w:p w:rsidR="00C00828" w:rsidRDefault="00C00828" w:rsidP="00892C5E">
      <w:pPr>
        <w:pStyle w:val="ListParagraph"/>
        <w:ind w:left="2160" w:right="1440"/>
      </w:pPr>
    </w:p>
    <w:p w:rsidR="00C00828" w:rsidRDefault="00C00828" w:rsidP="00892C5E">
      <w:pPr>
        <w:ind w:left="2160" w:right="1440"/>
      </w:pPr>
      <w:r>
        <w:t>(c)</w:t>
      </w:r>
      <w:r w:rsidRPr="006717BC">
        <w:tab/>
      </w:r>
      <w:r>
        <w:t>n</w:t>
      </w:r>
      <w:r w:rsidRPr="006717BC">
        <w:t>umber of customers connected by project and number of subsequent connections to NAS extensions;</w:t>
      </w:r>
    </w:p>
    <w:p w:rsidR="00C00828" w:rsidRPr="006717BC" w:rsidRDefault="00C00828" w:rsidP="00892C5E">
      <w:pPr>
        <w:ind w:left="2160" w:right="1440"/>
      </w:pPr>
    </w:p>
    <w:p w:rsidR="00C00828" w:rsidRPr="006717BC" w:rsidRDefault="00C00828" w:rsidP="00892C5E">
      <w:pPr>
        <w:ind w:left="2160" w:right="1440"/>
      </w:pPr>
      <w:r>
        <w:t>(d)</w:t>
      </w:r>
      <w:r w:rsidRPr="006717BC">
        <w:tab/>
        <w:t>NAS revenues received by principal and interest;</w:t>
      </w:r>
    </w:p>
    <w:p w:rsidR="00C00828" w:rsidRDefault="00C00828" w:rsidP="00892C5E">
      <w:pPr>
        <w:ind w:left="2160" w:right="1440"/>
      </w:pPr>
    </w:p>
    <w:p w:rsidR="00C00828" w:rsidRDefault="00C00828" w:rsidP="00892C5E">
      <w:pPr>
        <w:numPr>
          <w:ilvl w:val="0"/>
          <w:numId w:val="20"/>
        </w:numPr>
        <w:ind w:left="2160" w:right="1440" w:firstLine="0"/>
      </w:pPr>
      <w:r>
        <w:t>a</w:t>
      </w:r>
      <w:r w:rsidRPr="006717BC">
        <w:t>nnual NAS participant average use per customer (by residential and commercial sectors if applicable);</w:t>
      </w:r>
    </w:p>
    <w:p w:rsidR="00C00828" w:rsidRPr="006717BC" w:rsidRDefault="00C00828" w:rsidP="00892C5E">
      <w:pPr>
        <w:ind w:left="2160" w:right="1440"/>
      </w:pPr>
    </w:p>
    <w:p w:rsidR="00C00828" w:rsidRDefault="00C00828" w:rsidP="00892C5E">
      <w:pPr>
        <w:numPr>
          <w:ilvl w:val="0"/>
          <w:numId w:val="20"/>
        </w:numPr>
        <w:ind w:left="2160" w:right="1440" w:firstLine="0"/>
      </w:pPr>
      <w:r>
        <w:t>a</w:t>
      </w:r>
      <w:r w:rsidRPr="006717BC">
        <w:t xml:space="preserve">verage NAS participant investment cost per customer (by residential and commercial sectors if applicable); </w:t>
      </w:r>
    </w:p>
    <w:p w:rsidR="00C00828" w:rsidRPr="006717BC" w:rsidRDefault="00C00828" w:rsidP="00892C5E">
      <w:pPr>
        <w:ind w:left="2160" w:right="1440"/>
      </w:pPr>
    </w:p>
    <w:p w:rsidR="00C00828" w:rsidRPr="006717BC" w:rsidRDefault="00C00828" w:rsidP="00892C5E">
      <w:pPr>
        <w:ind w:left="2160" w:right="1440"/>
      </w:pPr>
      <w:r>
        <w:t>(g)</w:t>
      </w:r>
      <w:r>
        <w:tab/>
        <w:t>t</w:t>
      </w:r>
      <w:r w:rsidRPr="006717BC">
        <w:t>he number of customers along NAS extensions who have not yet connected and, to the extent available, why;</w:t>
      </w:r>
    </w:p>
    <w:p w:rsidR="00C00828" w:rsidRDefault="00C00828" w:rsidP="00892C5E">
      <w:pPr>
        <w:ind w:left="2160" w:right="1440"/>
      </w:pPr>
    </w:p>
    <w:p w:rsidR="00C00828" w:rsidRPr="006717BC" w:rsidRDefault="00C00828" w:rsidP="00892C5E">
      <w:pPr>
        <w:ind w:left="2160" w:right="1440"/>
      </w:pPr>
      <w:r>
        <w:t>(h)</w:t>
      </w:r>
      <w:r>
        <w:tab/>
        <w:t>d</w:t>
      </w:r>
      <w:r w:rsidRPr="006717BC">
        <w:t>irect program expenses;</w:t>
      </w:r>
    </w:p>
    <w:p w:rsidR="00C00828" w:rsidRDefault="00C00828" w:rsidP="00892C5E">
      <w:pPr>
        <w:ind w:left="2160" w:right="1440"/>
      </w:pPr>
    </w:p>
    <w:p w:rsidR="00C00828" w:rsidRDefault="00C00828" w:rsidP="00892C5E">
      <w:pPr>
        <w:numPr>
          <w:ilvl w:val="0"/>
          <w:numId w:val="21"/>
        </w:numPr>
        <w:ind w:left="2160" w:right="1440" w:firstLine="0"/>
      </w:pPr>
      <w:r>
        <w:t>d</w:t>
      </w:r>
      <w:r w:rsidRPr="006717BC">
        <w:t>ata on collections, including efforts for unpaid surcharge amounts; and</w:t>
      </w:r>
      <w:r>
        <w:t>,</w:t>
      </w:r>
    </w:p>
    <w:p w:rsidR="00C00828" w:rsidRDefault="00C00828" w:rsidP="00892C5E">
      <w:pPr>
        <w:ind w:left="2160" w:right="1440"/>
      </w:pPr>
    </w:p>
    <w:p w:rsidR="00C00828" w:rsidRDefault="00C00828" w:rsidP="00892C5E">
      <w:pPr>
        <w:numPr>
          <w:ilvl w:val="0"/>
          <w:numId w:val="21"/>
        </w:numPr>
        <w:ind w:left="2160" w:right="1440" w:firstLine="0"/>
      </w:pPr>
      <w:r>
        <w:t>t</w:t>
      </w:r>
      <w:r w:rsidRPr="006717BC">
        <w:t>he number of applicants turned down for insufficient credit.</w:t>
      </w:r>
    </w:p>
    <w:p w:rsidR="00C00828" w:rsidRDefault="00C00828" w:rsidP="00892C5E">
      <w:pPr>
        <w:ind w:left="2160" w:right="1440"/>
      </w:pPr>
    </w:p>
    <w:p w:rsidR="00C00828" w:rsidRDefault="00C00828" w:rsidP="00892C5E">
      <w:pPr>
        <w:numPr>
          <w:ilvl w:val="0"/>
          <w:numId w:val="17"/>
        </w:numPr>
        <w:tabs>
          <w:tab w:val="left" w:pos="1620"/>
        </w:tabs>
        <w:ind w:left="1440" w:right="1440" w:firstLine="0"/>
      </w:pPr>
      <w:r>
        <w:t>Rider NAS should not be available to applicants in areas where mains of another natural gas company are already available for the applicants to take service.</w:t>
      </w:r>
    </w:p>
    <w:p w:rsidR="00C00828" w:rsidRDefault="00C00828" w:rsidP="00892C5E">
      <w:pPr>
        <w:tabs>
          <w:tab w:val="left" w:pos="1620"/>
        </w:tabs>
        <w:ind w:left="1440" w:right="1440"/>
      </w:pPr>
    </w:p>
    <w:p w:rsidR="00C00828" w:rsidRDefault="00C00828" w:rsidP="00892C5E">
      <w:pPr>
        <w:numPr>
          <w:ilvl w:val="0"/>
          <w:numId w:val="17"/>
        </w:numPr>
        <w:ind w:left="1440" w:right="1440" w:firstLine="0"/>
      </w:pPr>
      <w:r>
        <w:t>Rider NAS should not be available to developers but should be applicable only to homeowners.</w:t>
      </w:r>
      <w:r>
        <w:tab/>
      </w:r>
    </w:p>
    <w:p w:rsidR="00C00828" w:rsidRDefault="00C00828" w:rsidP="00892C5E">
      <w:pPr>
        <w:pStyle w:val="ListParagraph"/>
        <w:ind w:left="1440" w:right="1440"/>
      </w:pPr>
    </w:p>
    <w:p w:rsidR="00C00828" w:rsidRDefault="00C00828" w:rsidP="00892C5E">
      <w:pPr>
        <w:numPr>
          <w:ilvl w:val="0"/>
          <w:numId w:val="17"/>
        </w:numPr>
        <w:ind w:left="1440" w:right="1440" w:firstLine="0"/>
      </w:pPr>
      <w:r>
        <w:t>Applicants should have the option of the following surcharge (financing) mechanisms:</w:t>
      </w:r>
    </w:p>
    <w:p w:rsidR="00C00828" w:rsidRDefault="00C00828" w:rsidP="00892C5E">
      <w:pPr>
        <w:pStyle w:val="ListParagraph"/>
        <w:ind w:left="1440" w:right="1440"/>
      </w:pPr>
    </w:p>
    <w:p w:rsidR="00C00828" w:rsidRDefault="00C00828" w:rsidP="00892C5E">
      <w:pPr>
        <w:numPr>
          <w:ilvl w:val="0"/>
          <w:numId w:val="18"/>
        </w:numPr>
        <w:ind w:left="2160" w:right="1440" w:firstLine="0"/>
      </w:pPr>
      <w:r>
        <w:t>A 20-year term, capped at $35.00 per month, wherein the applicant shall pay up</w:t>
      </w:r>
      <w:r w:rsidR="00A24A39">
        <w:t xml:space="preserve"> </w:t>
      </w:r>
      <w:r>
        <w:t>front any excess above the amount that will be collected through the surcharge</w:t>
      </w:r>
      <w:r w:rsidR="00A15034">
        <w:t>;</w:t>
      </w:r>
      <w:r>
        <w:t xml:space="preserve"> or</w:t>
      </w:r>
    </w:p>
    <w:p w:rsidR="00C00828" w:rsidRDefault="00C00828" w:rsidP="00892C5E">
      <w:pPr>
        <w:ind w:left="2160" w:right="1440"/>
      </w:pPr>
    </w:p>
    <w:p w:rsidR="00C00828" w:rsidRDefault="00C00828" w:rsidP="00892C5E">
      <w:pPr>
        <w:numPr>
          <w:ilvl w:val="0"/>
          <w:numId w:val="18"/>
        </w:numPr>
        <w:ind w:left="2160" w:right="1440" w:firstLine="0"/>
      </w:pPr>
      <w:r>
        <w:t>A 10-year term, with no payment cap, with a maximum amount of $8,000 permitted to be recovered through the surcharge.</w:t>
      </w:r>
    </w:p>
    <w:p w:rsidR="00C00828" w:rsidRDefault="00C00828" w:rsidP="00892C5E">
      <w:pPr>
        <w:ind w:left="1440" w:right="1440"/>
      </w:pPr>
    </w:p>
    <w:p w:rsidR="00C00828" w:rsidRDefault="00C00828" w:rsidP="00892C5E">
      <w:pPr>
        <w:numPr>
          <w:ilvl w:val="0"/>
          <w:numId w:val="17"/>
        </w:numPr>
        <w:ind w:left="1440" w:right="1440" w:firstLine="0"/>
      </w:pPr>
      <w:r>
        <w:t>The Company should commit $2 million annual funding for the NAS pilot.</w:t>
      </w:r>
    </w:p>
    <w:p w:rsidR="00C00828" w:rsidRDefault="00C00828" w:rsidP="0058117B">
      <w:pPr>
        <w:pStyle w:val="ListParagraph"/>
        <w:spacing w:line="360" w:lineRule="auto"/>
      </w:pPr>
    </w:p>
    <w:p w:rsidR="00C00828" w:rsidRDefault="00892C5E" w:rsidP="00892C5E">
      <w:pPr>
        <w:spacing w:line="360" w:lineRule="auto"/>
      </w:pPr>
      <w:r>
        <w:t>(</w:t>
      </w:r>
      <w:r w:rsidR="00C00828">
        <w:t>OCA St</w:t>
      </w:r>
      <w:r>
        <w:t xml:space="preserve">atement No. </w:t>
      </w:r>
      <w:r w:rsidR="00C00828">
        <w:t>1</w:t>
      </w:r>
      <w:r>
        <w:t xml:space="preserve">, pp </w:t>
      </w:r>
      <w:r w:rsidR="00C00828">
        <w:t>17-19</w:t>
      </w:r>
      <w:r>
        <w:t>)</w:t>
      </w:r>
      <w:r w:rsidR="00C00828">
        <w:t xml:space="preserve">.  Mr. Watkins testified that “with these modifications, there should be much more acceptance and participation in the NAS program, thereby making natural gas more available to energy consumers within Columbia’s service area.”  </w:t>
      </w:r>
      <w:r w:rsidR="00B23F01">
        <w:t>(</w:t>
      </w:r>
      <w:r w:rsidR="00C00828">
        <w:t>OCA S</w:t>
      </w:r>
      <w:r w:rsidR="00B23F01">
        <w:t>tatement No.</w:t>
      </w:r>
      <w:r w:rsidR="00280851">
        <w:t> </w:t>
      </w:r>
      <w:r w:rsidR="00C00828">
        <w:t>1</w:t>
      </w:r>
      <w:r w:rsidR="00B23F01">
        <w:t>, pp.</w:t>
      </w:r>
      <w:r w:rsidR="00C00828">
        <w:t xml:space="preserve"> 17-19</w:t>
      </w:r>
      <w:r w:rsidR="00B23F01">
        <w:t>)</w:t>
      </w:r>
      <w:r w:rsidR="00C00828">
        <w:t xml:space="preserve">.  The OCA submits that </w:t>
      </w:r>
      <w:r w:rsidR="00A05903">
        <w:t xml:space="preserve">Pilot </w:t>
      </w:r>
      <w:r w:rsidR="00C00828">
        <w:t>Rider NAS should be modified to include these recommendations.</w:t>
      </w:r>
      <w:r w:rsidR="000A168E">
        <w:t xml:space="preserve">  OCA M.B., pp. 6-8.</w:t>
      </w:r>
    </w:p>
    <w:p w:rsidR="00B23F01" w:rsidRDefault="00B23F01" w:rsidP="00892C5E">
      <w:pPr>
        <w:spacing w:line="360" w:lineRule="auto"/>
      </w:pPr>
    </w:p>
    <w:p w:rsidR="00280851" w:rsidRDefault="00280851" w:rsidP="00892C5E">
      <w:pPr>
        <w:spacing w:line="360" w:lineRule="auto"/>
      </w:pPr>
    </w:p>
    <w:p w:rsidR="00B23F01" w:rsidRPr="00F90D86" w:rsidRDefault="007520F2" w:rsidP="00F90D86">
      <w:pPr>
        <w:ind w:left="1440" w:hanging="720"/>
      </w:pPr>
      <w:r>
        <w:t>1</w:t>
      </w:r>
      <w:r w:rsidR="00B23F01">
        <w:t>.</w:t>
      </w:r>
      <w:r w:rsidR="00B23F01">
        <w:tab/>
      </w:r>
      <w:r w:rsidR="00A84795">
        <w:rPr>
          <w:u w:val="single"/>
        </w:rPr>
        <w:t>Lowering Interest Rate to 3% for Customer’s Contribution Financed</w:t>
      </w:r>
    </w:p>
    <w:p w:rsidR="00C00828" w:rsidRPr="00C00828" w:rsidRDefault="00C00828" w:rsidP="00C00828">
      <w:pPr>
        <w:spacing w:line="360" w:lineRule="auto"/>
        <w:ind w:left="720" w:hanging="720"/>
      </w:pPr>
    </w:p>
    <w:p w:rsidR="00926080" w:rsidRDefault="00D67F59" w:rsidP="007D4EBA">
      <w:pPr>
        <w:pStyle w:val="ListParagraph"/>
        <w:tabs>
          <w:tab w:val="left" w:pos="0"/>
          <w:tab w:val="left" w:pos="720"/>
          <w:tab w:val="left" w:pos="9360"/>
        </w:tabs>
        <w:spacing w:line="360" w:lineRule="auto"/>
        <w:ind w:left="0" w:firstLine="1440"/>
        <w:rPr>
          <w:sz w:val="24"/>
          <w:szCs w:val="24"/>
        </w:rPr>
      </w:pPr>
      <w:r w:rsidRPr="007D4EBA">
        <w:rPr>
          <w:sz w:val="24"/>
          <w:szCs w:val="24"/>
        </w:rPr>
        <w:t>In Columbia’s evaluation of gas extension projects, to the extent that the present value of cash inflows do</w:t>
      </w:r>
      <w:r w:rsidR="00D6192F">
        <w:rPr>
          <w:sz w:val="24"/>
          <w:szCs w:val="24"/>
        </w:rPr>
        <w:t>es</w:t>
      </w:r>
      <w:r w:rsidRPr="007D4EBA">
        <w:rPr>
          <w:sz w:val="24"/>
          <w:szCs w:val="24"/>
        </w:rPr>
        <w:t xml:space="preserve"> not cover the present value of cash outflows, this portion of the extension project is deemed uneconomical and the applicant is required to pay the uneconomic portion.  (OCA Statement No. 1, p. 12).  This is also known as a Customer Contribution in Aid of Construction (CIAC).  OCA M.B., p 13.  </w:t>
      </w:r>
      <w:r w:rsidR="00EC09C9" w:rsidRPr="007D4EBA">
        <w:rPr>
          <w:sz w:val="24"/>
          <w:szCs w:val="24"/>
        </w:rPr>
        <w:t>As proposed by Columbia, a Pilot Rider NAS applicant’s up</w:t>
      </w:r>
      <w:r w:rsidR="00A24A39">
        <w:rPr>
          <w:sz w:val="24"/>
          <w:szCs w:val="24"/>
        </w:rPr>
        <w:t xml:space="preserve"> </w:t>
      </w:r>
      <w:r w:rsidR="00EC09C9" w:rsidRPr="007D4EBA">
        <w:rPr>
          <w:sz w:val="24"/>
          <w:szCs w:val="24"/>
        </w:rPr>
        <w:t>front customer contribution will be paid over a period of up to 20</w:t>
      </w:r>
      <w:r w:rsidR="00B12F8E">
        <w:rPr>
          <w:sz w:val="24"/>
          <w:szCs w:val="24"/>
        </w:rPr>
        <w:t xml:space="preserve"> </w:t>
      </w:r>
      <w:r w:rsidR="00EC09C9" w:rsidRPr="007D4EBA">
        <w:rPr>
          <w:sz w:val="24"/>
          <w:szCs w:val="24"/>
        </w:rPr>
        <w:t>years at an interest rate at the Company’s cost of capital, which is currently set at 7.91%.</w:t>
      </w:r>
      <w:r w:rsidRPr="007D4EBA">
        <w:rPr>
          <w:rStyle w:val="FootnoteReference"/>
          <w:sz w:val="24"/>
          <w:szCs w:val="24"/>
        </w:rPr>
        <w:footnoteReference w:id="7"/>
      </w:r>
      <w:r w:rsidR="00EC09C9" w:rsidRPr="007D4EBA">
        <w:rPr>
          <w:sz w:val="24"/>
          <w:szCs w:val="24"/>
        </w:rPr>
        <w:t xml:space="preserve">  (</w:t>
      </w:r>
      <w:r w:rsidR="00EC09C9" w:rsidRPr="007D4EBA">
        <w:rPr>
          <w:i/>
          <w:sz w:val="24"/>
          <w:szCs w:val="24"/>
        </w:rPr>
        <w:t>See</w:t>
      </w:r>
      <w:r w:rsidR="00EC09C9" w:rsidRPr="007D4EBA">
        <w:rPr>
          <w:sz w:val="24"/>
          <w:szCs w:val="24"/>
        </w:rPr>
        <w:t xml:space="preserve"> I&amp;E Statement</w:t>
      </w:r>
      <w:r w:rsidRPr="007D4EBA">
        <w:rPr>
          <w:sz w:val="24"/>
          <w:szCs w:val="24"/>
        </w:rPr>
        <w:t xml:space="preserve"> No. 1-R, p.18); OCA M.B., p</w:t>
      </w:r>
      <w:r w:rsidR="0042422D">
        <w:rPr>
          <w:sz w:val="24"/>
          <w:szCs w:val="24"/>
        </w:rPr>
        <w:t>.</w:t>
      </w:r>
      <w:r w:rsidRPr="007D4EBA">
        <w:rPr>
          <w:sz w:val="24"/>
          <w:szCs w:val="24"/>
        </w:rPr>
        <w:t xml:space="preserve"> 13; OCA R.B., p. 4.  </w:t>
      </w:r>
      <w:r w:rsidR="00EC09C9" w:rsidRPr="007D4EBA">
        <w:rPr>
          <w:sz w:val="24"/>
          <w:szCs w:val="24"/>
        </w:rPr>
        <w:t xml:space="preserve">The OCA proposes that the </w:t>
      </w:r>
      <w:r w:rsidR="007D4EBA" w:rsidRPr="007D4EBA">
        <w:rPr>
          <w:sz w:val="24"/>
          <w:szCs w:val="24"/>
        </w:rPr>
        <w:t xml:space="preserve">Pilot </w:t>
      </w:r>
      <w:r w:rsidR="00EC09C9" w:rsidRPr="007D4EBA">
        <w:rPr>
          <w:sz w:val="24"/>
          <w:szCs w:val="24"/>
        </w:rPr>
        <w:t>Rider NAS interest rate should be reduced to 3% to reflect the low interest rates (which are tax deductible) currently available to consumers through such things as home equity loans or home equity lines of credit</w:t>
      </w:r>
      <w:r w:rsidR="00364764">
        <w:rPr>
          <w:sz w:val="24"/>
          <w:szCs w:val="24"/>
        </w:rPr>
        <w:t xml:space="preserve">.  </w:t>
      </w:r>
      <w:r w:rsidR="00364764" w:rsidRPr="00364764">
        <w:rPr>
          <w:sz w:val="24"/>
          <w:szCs w:val="24"/>
        </w:rPr>
        <w:t xml:space="preserve">(OCA Statement No. 1, p. 18); </w:t>
      </w:r>
      <w:r w:rsidR="00364764">
        <w:rPr>
          <w:sz w:val="24"/>
          <w:szCs w:val="24"/>
        </w:rPr>
        <w:t xml:space="preserve">OCA M.B., p. 14; </w:t>
      </w:r>
      <w:r w:rsidR="007D4EBA" w:rsidRPr="00364764">
        <w:rPr>
          <w:sz w:val="24"/>
          <w:szCs w:val="24"/>
        </w:rPr>
        <w:t>OCA R.B., pp. 4-5</w:t>
      </w:r>
      <w:r w:rsidR="007D4EBA" w:rsidRPr="007D4EBA">
        <w:rPr>
          <w:sz w:val="24"/>
          <w:szCs w:val="24"/>
        </w:rPr>
        <w:t>.</w:t>
      </w:r>
      <w:r w:rsidR="00EC09C9" w:rsidRPr="007D4EBA">
        <w:rPr>
          <w:sz w:val="24"/>
          <w:szCs w:val="24"/>
        </w:rPr>
        <w:t xml:space="preserve">  </w:t>
      </w:r>
    </w:p>
    <w:p w:rsidR="00A301A7" w:rsidRDefault="00A301A7" w:rsidP="007D4EBA">
      <w:pPr>
        <w:pStyle w:val="ListParagraph"/>
        <w:tabs>
          <w:tab w:val="left" w:pos="0"/>
          <w:tab w:val="left" w:pos="720"/>
          <w:tab w:val="left" w:pos="9360"/>
        </w:tabs>
        <w:spacing w:line="360" w:lineRule="auto"/>
        <w:ind w:left="0" w:firstLine="1440"/>
        <w:rPr>
          <w:sz w:val="24"/>
          <w:szCs w:val="24"/>
        </w:rPr>
      </w:pPr>
    </w:p>
    <w:p w:rsidR="00A301A7" w:rsidRDefault="00A301A7" w:rsidP="007D4EBA">
      <w:pPr>
        <w:pStyle w:val="ListParagraph"/>
        <w:tabs>
          <w:tab w:val="left" w:pos="0"/>
          <w:tab w:val="left" w:pos="720"/>
          <w:tab w:val="left" w:pos="9360"/>
        </w:tabs>
        <w:spacing w:line="360" w:lineRule="auto"/>
        <w:ind w:left="0" w:firstLine="1440"/>
        <w:rPr>
          <w:sz w:val="24"/>
          <w:szCs w:val="24"/>
        </w:rPr>
      </w:pPr>
      <w:r w:rsidRPr="007D4EBA">
        <w:rPr>
          <w:sz w:val="24"/>
          <w:szCs w:val="24"/>
        </w:rPr>
        <w:t xml:space="preserve">As currently structured, </w:t>
      </w:r>
      <w:r>
        <w:rPr>
          <w:sz w:val="24"/>
          <w:szCs w:val="24"/>
        </w:rPr>
        <w:t xml:space="preserve">the OCA contends that the Pilot </w:t>
      </w:r>
      <w:r w:rsidRPr="007D4EBA">
        <w:rPr>
          <w:sz w:val="24"/>
          <w:szCs w:val="24"/>
        </w:rPr>
        <w:t>Rider NAS is not an attractive financing option for most residential homeowners and will not provide the assistance needed to make gas extensions more available to residential consumers i</w:t>
      </w:r>
      <w:r>
        <w:rPr>
          <w:sz w:val="24"/>
          <w:szCs w:val="24"/>
        </w:rPr>
        <w:t>n Columbia’s service territory.  OCA R.B., p. 5.  OCA witness Watkins testified that,</w:t>
      </w:r>
    </w:p>
    <w:p w:rsidR="00A301A7" w:rsidRDefault="00A301A7" w:rsidP="00A301A7">
      <w:pPr>
        <w:ind w:left="1440" w:right="1440"/>
      </w:pPr>
      <w:r w:rsidRPr="00240534">
        <w:t>Current market interest rates are such that home equity loans are in the range of 3.5% to 4.5%, which are also generally tax deductible for income tax purposes, such that the effective interest rate to homeowners is considerably low.  Given that many, if not most, homeowners could finance the up</w:t>
      </w:r>
      <w:r w:rsidR="00A24A39">
        <w:t xml:space="preserve"> </w:t>
      </w:r>
      <w:r w:rsidRPr="00240534">
        <w:t xml:space="preserve">front contribution with a home equity loan with an effective interest rate of somewhere around 3%, it would make little sense to finance the same amount at approximately 8% (which is not deductible for income tax purposes).  As such, I believe it is fair to say that most homeowners are savvy enough to recognize the exceptionally high interest rate proposed by Columbia and this in and of itself, will result in limited participation and success.  </w:t>
      </w:r>
    </w:p>
    <w:p w:rsidR="00A301A7" w:rsidRDefault="00A301A7" w:rsidP="0022607D">
      <w:pPr>
        <w:tabs>
          <w:tab w:val="left" w:pos="8460"/>
          <w:tab w:val="left" w:pos="9360"/>
        </w:tabs>
        <w:spacing w:line="360" w:lineRule="auto"/>
        <w:jc w:val="both"/>
      </w:pPr>
    </w:p>
    <w:p w:rsidR="00B3143A" w:rsidRDefault="00874E07" w:rsidP="00A301A7">
      <w:pPr>
        <w:tabs>
          <w:tab w:val="left" w:pos="8460"/>
          <w:tab w:val="left" w:pos="9360"/>
        </w:tabs>
        <w:spacing w:line="360" w:lineRule="auto"/>
      </w:pPr>
      <w:r>
        <w:t>(</w:t>
      </w:r>
      <w:r w:rsidR="00A301A7">
        <w:t>OCA St</w:t>
      </w:r>
      <w:r>
        <w:t>atement No</w:t>
      </w:r>
      <w:r w:rsidR="00A301A7">
        <w:t>. 1</w:t>
      </w:r>
      <w:r>
        <w:t>, pp. 1</w:t>
      </w:r>
      <w:r w:rsidR="00A301A7">
        <w:t>5-16</w:t>
      </w:r>
      <w:r>
        <w:t>)</w:t>
      </w:r>
      <w:r w:rsidR="00A301A7">
        <w:t xml:space="preserve">.  </w:t>
      </w:r>
      <w:r>
        <w:t xml:space="preserve">According to the OCA, </w:t>
      </w:r>
      <w:r w:rsidR="00A301A7">
        <w:t xml:space="preserve">at Columbia’s proposed interest rate of nearly 8%, </w:t>
      </w:r>
      <w:r>
        <w:t xml:space="preserve">Pilot </w:t>
      </w:r>
      <w:r w:rsidR="00A301A7">
        <w:t>Rider NAS customers with the maximum surcharge of $35</w:t>
      </w:r>
      <w:r w:rsidR="0079272A">
        <w:t>.00</w:t>
      </w:r>
      <w:r w:rsidR="00A301A7">
        <w:t xml:space="preserve"> per month would pay more in interest than principal over the 20-year term of the financing agreement ($4,215 in interest and $4,184 in principal).</w:t>
      </w:r>
      <w:r w:rsidR="00B3143A">
        <w:rPr>
          <w:rStyle w:val="FootnoteReference"/>
        </w:rPr>
        <w:footnoteReference w:id="8"/>
      </w:r>
      <w:r w:rsidR="00A301A7">
        <w:t xml:space="preserve">  </w:t>
      </w:r>
      <w:r>
        <w:t>(</w:t>
      </w:r>
      <w:r w:rsidR="00EE44EA">
        <w:t>OCA Statement No. 1, pp. 15-16); OCA M.B., p. 14.</w:t>
      </w:r>
      <w:r>
        <w:t xml:space="preserve">  </w:t>
      </w:r>
    </w:p>
    <w:p w:rsidR="00B3143A" w:rsidRDefault="00B3143A" w:rsidP="00A301A7">
      <w:pPr>
        <w:tabs>
          <w:tab w:val="left" w:pos="8460"/>
          <w:tab w:val="left" w:pos="9360"/>
        </w:tabs>
        <w:spacing w:line="360" w:lineRule="auto"/>
      </w:pPr>
    </w:p>
    <w:p w:rsidR="00B3143A" w:rsidRDefault="00B3143A" w:rsidP="00B3143A">
      <w:pPr>
        <w:tabs>
          <w:tab w:val="left" w:pos="8460"/>
          <w:tab w:val="left" w:pos="9360"/>
        </w:tabs>
        <w:spacing w:line="360" w:lineRule="auto"/>
        <w:ind w:firstLine="1440"/>
      </w:pPr>
      <w:r>
        <w:t xml:space="preserve">According to OCA witness Watkins, </w:t>
      </w:r>
      <w:r w:rsidR="00EE44EA">
        <w:t>the OCA’s propose</w:t>
      </w:r>
      <w:r w:rsidR="00A05903">
        <w:t>d</w:t>
      </w:r>
      <w:r w:rsidR="00EE44EA">
        <w:t xml:space="preserve"> modifications to the Pilot Rider NAS will not result in subsidization of extensions by existing ratepayers.  Specifically, Mr. Watkins testified as follows:</w:t>
      </w:r>
    </w:p>
    <w:p w:rsidR="00EE44EA" w:rsidRDefault="00EE44EA" w:rsidP="00EE44EA">
      <w:pPr>
        <w:ind w:left="1440" w:right="1440"/>
      </w:pPr>
      <w:r>
        <w:t xml:space="preserve">While I agree that my proposed modifications to the Company’s NAS rider could have an immaterial increased impact in existing customers’ distribution rates in the near term, it cannot be said that existing customers will be “subsidizing” these new mains expansions.  This is because a subsidy only exists when a ratepayer is charged more than his/her stand alone cost of providing natural gas service.  Indeed, all customers receive substantial benefits by being part of Columbia’s distribution system.  Therefore, while customers are clearly better off by being part of a system that averages Columbia’s total cost, it cannot be said that they would be asked to subsidize other customers who join the system and share in the averaging of the Company’s total cost.  </w:t>
      </w:r>
    </w:p>
    <w:p w:rsidR="00EE44EA" w:rsidRDefault="00EE44EA" w:rsidP="00EE44EA">
      <w:pPr>
        <w:jc w:val="both"/>
      </w:pPr>
    </w:p>
    <w:p w:rsidR="006749D4" w:rsidRDefault="00EE44EA" w:rsidP="006749D4">
      <w:pPr>
        <w:tabs>
          <w:tab w:val="left" w:pos="720"/>
          <w:tab w:val="left" w:pos="9360"/>
        </w:tabs>
        <w:spacing w:line="360" w:lineRule="auto"/>
      </w:pPr>
      <w:r>
        <w:t xml:space="preserve">(OCA Statement No. 1-SR, pp. 5-6). </w:t>
      </w:r>
    </w:p>
    <w:p w:rsidR="006749D4" w:rsidRDefault="006749D4" w:rsidP="006749D4">
      <w:pPr>
        <w:tabs>
          <w:tab w:val="left" w:pos="720"/>
          <w:tab w:val="left" w:pos="9360"/>
        </w:tabs>
        <w:spacing w:line="360" w:lineRule="auto"/>
      </w:pPr>
    </w:p>
    <w:p w:rsidR="006749D4" w:rsidRDefault="006749D4" w:rsidP="006749D4">
      <w:pPr>
        <w:tabs>
          <w:tab w:val="left" w:pos="720"/>
          <w:tab w:val="left" w:pos="9360"/>
        </w:tabs>
        <w:spacing w:line="360" w:lineRule="auto"/>
        <w:ind w:firstLine="1440"/>
      </w:pPr>
      <w:r>
        <w:t xml:space="preserve">Of additional concern to the OCA, Columbia does not intend to provide Pilot Rider NAS applicants with notice of the interest rate used to calculate the surcharge.  When questioned about the information that the Company intended to provide Pilot Rider NAS applicants, Columbia witness </w:t>
      </w:r>
      <w:r w:rsidR="00B600AC">
        <w:t>Erich A. Evans</w:t>
      </w:r>
      <w:r>
        <w:t xml:space="preserve"> testified that the only information Columbia intends to provide is the up</w:t>
      </w:r>
      <w:r w:rsidR="00A24A39">
        <w:t xml:space="preserve"> </w:t>
      </w:r>
      <w:r>
        <w:t xml:space="preserve">front amount due, if any, and the monthly </w:t>
      </w:r>
      <w:r w:rsidR="00186B12">
        <w:t xml:space="preserve">Pilot </w:t>
      </w:r>
      <w:r>
        <w:t xml:space="preserve">Rider NAS surcharge amount.  </w:t>
      </w:r>
      <w:r w:rsidR="00B600AC">
        <w:t>(</w:t>
      </w:r>
      <w:r>
        <w:t xml:space="preserve">Tr. </w:t>
      </w:r>
      <w:r w:rsidRPr="00B71829">
        <w:t>15</w:t>
      </w:r>
      <w:r w:rsidR="00B600AC">
        <w:t>)</w:t>
      </w:r>
      <w:r w:rsidRPr="00B71829">
        <w:t>.</w:t>
      </w:r>
      <w:r>
        <w:t xml:space="preserve">  The OCA submits that the Company should be required to provide to Rider NAS applicants in writing the amount of </w:t>
      </w:r>
      <w:proofErr w:type="spellStart"/>
      <w:r>
        <w:t>up</w:t>
      </w:r>
      <w:r w:rsidR="00A24A39">
        <w:t xml:space="preserve"> </w:t>
      </w:r>
      <w:r>
        <w:t>front</w:t>
      </w:r>
      <w:proofErr w:type="spellEnd"/>
      <w:r>
        <w:t xml:space="preserve"> payment due, the amount of the </w:t>
      </w:r>
      <w:r w:rsidR="00186B12">
        <w:t xml:space="preserve">Pilot </w:t>
      </w:r>
      <w:r>
        <w:t xml:space="preserve">Rider NAS monthly surcharge, the term of the surcharge (20 years) and the interest rate used to calculate the surcharge amount so that applicants can make informed decisions.  </w:t>
      </w:r>
      <w:r w:rsidR="00FD1599">
        <w:t>According to the OCA, s</w:t>
      </w:r>
      <w:r>
        <w:t xml:space="preserve">uch information is crucial for </w:t>
      </w:r>
      <w:r w:rsidR="00186B12">
        <w:t xml:space="preserve">Pilot </w:t>
      </w:r>
      <w:r>
        <w:t>Rider NAS applicants to make a meaningful and informed decision regarding whether the use of Rider NAS is right for their situations and circumstances.  OCA M.B., p. 16.</w:t>
      </w:r>
    </w:p>
    <w:p w:rsidR="00186B12" w:rsidRDefault="00186B12" w:rsidP="006749D4">
      <w:pPr>
        <w:tabs>
          <w:tab w:val="left" w:pos="720"/>
          <w:tab w:val="left" w:pos="9360"/>
        </w:tabs>
        <w:spacing w:line="360" w:lineRule="auto"/>
        <w:ind w:firstLine="1440"/>
      </w:pPr>
    </w:p>
    <w:p w:rsidR="00186B12" w:rsidRDefault="00186B12" w:rsidP="006749D4">
      <w:pPr>
        <w:tabs>
          <w:tab w:val="left" w:pos="720"/>
          <w:tab w:val="left" w:pos="9360"/>
        </w:tabs>
        <w:spacing w:line="360" w:lineRule="auto"/>
        <w:ind w:firstLine="1440"/>
      </w:pPr>
      <w:r>
        <w:t>Lastly, with respect to the OCA’s proposed modification to the interest rate, the OCA contends that comparisons of its proposed 3% rate here to the interest level the Commission recently approved in the UGI Growth Extension Tariff (</w:t>
      </w:r>
      <w:r w:rsidR="005A2320">
        <w:t>“</w:t>
      </w:r>
      <w:r>
        <w:t>UGI GET Gas</w:t>
      </w:r>
      <w:r w:rsidR="005A2320">
        <w:t>”)</w:t>
      </w:r>
      <w:r>
        <w:t xml:space="preserve"> program is inappropriate because the two programs (Pilot Rider NAS and UGI GET Gas) are completely different.  </w:t>
      </w:r>
    </w:p>
    <w:p w:rsidR="00E26C6E" w:rsidRDefault="00E26C6E" w:rsidP="00E26C6E">
      <w:pPr>
        <w:tabs>
          <w:tab w:val="left" w:pos="720"/>
          <w:tab w:val="left" w:pos="9360"/>
        </w:tabs>
        <w:spacing w:line="360" w:lineRule="auto"/>
      </w:pPr>
    </w:p>
    <w:p w:rsidR="00E26C6E" w:rsidRPr="00E26C6E" w:rsidRDefault="00E26C6E" w:rsidP="00E26C6E">
      <w:pPr>
        <w:tabs>
          <w:tab w:val="left" w:pos="720"/>
          <w:tab w:val="left" w:pos="9360"/>
        </w:tabs>
        <w:spacing w:line="360" w:lineRule="auto"/>
        <w:rPr>
          <w:u w:val="single"/>
        </w:rPr>
      </w:pPr>
      <w:r>
        <w:tab/>
      </w:r>
      <w:r w:rsidR="00171107">
        <w:t>2</w:t>
      </w:r>
      <w:r w:rsidR="00EA3502">
        <w:t xml:space="preserve">.         </w:t>
      </w:r>
      <w:r w:rsidR="00EA3502">
        <w:rPr>
          <w:u w:val="single"/>
        </w:rPr>
        <w:t>Economic Model</w:t>
      </w:r>
    </w:p>
    <w:p w:rsidR="006749D4" w:rsidRDefault="006749D4" w:rsidP="006749D4">
      <w:pPr>
        <w:tabs>
          <w:tab w:val="left" w:pos="720"/>
          <w:tab w:val="left" w:pos="9360"/>
        </w:tabs>
        <w:spacing w:line="360" w:lineRule="auto"/>
      </w:pPr>
    </w:p>
    <w:p w:rsidR="006749D4" w:rsidRDefault="00171107" w:rsidP="00E26C6E">
      <w:pPr>
        <w:tabs>
          <w:tab w:val="left" w:pos="720"/>
          <w:tab w:val="left" w:pos="9360"/>
        </w:tabs>
        <w:spacing w:line="360" w:lineRule="auto"/>
        <w:ind w:firstLine="1440"/>
      </w:pPr>
      <w:r>
        <w:t>a</w:t>
      </w:r>
      <w:r w:rsidR="00E26C6E">
        <w:t xml:space="preserve">.        </w:t>
      </w:r>
      <w:r w:rsidR="00EA3502">
        <w:rPr>
          <w:u w:val="single"/>
        </w:rPr>
        <w:t>Cost of Debt as Surrogate for Return on Equity</w:t>
      </w:r>
    </w:p>
    <w:p w:rsidR="001B1904" w:rsidRDefault="001B1904" w:rsidP="00E26C6E">
      <w:pPr>
        <w:tabs>
          <w:tab w:val="left" w:pos="720"/>
          <w:tab w:val="left" w:pos="9360"/>
        </w:tabs>
        <w:spacing w:line="360" w:lineRule="auto"/>
        <w:ind w:firstLine="1440"/>
      </w:pPr>
    </w:p>
    <w:p w:rsidR="00BD0B52" w:rsidRDefault="001B1904" w:rsidP="00DC1B8D">
      <w:pPr>
        <w:spacing w:line="360" w:lineRule="auto"/>
      </w:pPr>
      <w:r>
        <w:tab/>
      </w:r>
      <w:r>
        <w:tab/>
      </w:r>
      <w:r w:rsidR="00DC1B8D">
        <w:t>The OCA submits that the economic model</w:t>
      </w:r>
      <w:r w:rsidR="0038210A">
        <w:t xml:space="preserve"> (Discounted Cash Flow model or DCF model)</w:t>
      </w:r>
      <w:r w:rsidR="00DC1B8D">
        <w:t xml:space="preserve"> used in Columbia’s proposed Pilot Rider NAS should be modified to use the Company’s cost of de</w:t>
      </w:r>
      <w:r w:rsidR="0038210A">
        <w:t xml:space="preserve">bt instead of its cost of equity.  </w:t>
      </w:r>
      <w:r w:rsidR="00DC1B8D">
        <w:t>As explained by both OCA witness Mr.</w:t>
      </w:r>
      <w:r w:rsidR="00245AB3">
        <w:t> </w:t>
      </w:r>
      <w:r w:rsidR="00DC1B8D">
        <w:t>Watkins and Columbia witness Mr. Evans, using the cost of debt in the economic model would reduce the amount that applicants will be required to pay for a line extension.</w:t>
      </w:r>
      <w:r w:rsidR="0038210A">
        <w:t xml:space="preserve">  This substitution, according to Mr. Watkins, would lower the portion of the expansion project deemed uneconomical.  (</w:t>
      </w:r>
      <w:r w:rsidR="00DC1B8D">
        <w:t>OCA Statement No. 1-SR, p. 3; Columbia Statement No. 1-R, p. 13).  According to the OCA, making Pilot Rider NAS more affordable should make this program more attractive to applicants, which in turn should increase participation and increase the success of the program.  OCA M.B., p. 20.</w:t>
      </w:r>
    </w:p>
    <w:p w:rsidR="00BD0B52" w:rsidRDefault="00BD0B52" w:rsidP="00DC1B8D">
      <w:pPr>
        <w:spacing w:line="360" w:lineRule="auto"/>
      </w:pPr>
    </w:p>
    <w:p w:rsidR="0038210A" w:rsidRDefault="00BD0B52" w:rsidP="0038210A">
      <w:pPr>
        <w:spacing w:line="360" w:lineRule="auto"/>
        <w:ind w:firstLine="1440"/>
      </w:pPr>
      <w:r w:rsidRPr="00896675">
        <w:t>Mr. Watkins testified that substituting the cost of debt for the cost of capital is not a novel concept.  Mr. Watkins testified that Delmarva Power &amp; Light (“DP&amp;L”), a public utility that provides natural gas service to areas in Delaware, Maryland, and Virginia, modified how it determines the amount of up</w:t>
      </w:r>
      <w:r w:rsidR="00AA3877">
        <w:t xml:space="preserve"> </w:t>
      </w:r>
      <w:r w:rsidRPr="00896675">
        <w:t xml:space="preserve">front customer contributions to use the company’s cost of debt instead of its cost of capital in its economic model, which is also a DCF model.  </w:t>
      </w:r>
      <w:r w:rsidR="00384E24">
        <w:t>(</w:t>
      </w:r>
      <w:r w:rsidRPr="00896675">
        <w:t>OCA St</w:t>
      </w:r>
      <w:r w:rsidR="00384E24">
        <w:t>atement No</w:t>
      </w:r>
      <w:r w:rsidRPr="00896675">
        <w:t>. 1</w:t>
      </w:r>
      <w:r w:rsidR="00384E24">
        <w:t xml:space="preserve">, p. 6).  </w:t>
      </w:r>
      <w:r>
        <w:t>Mr. Watkins also pointed to the major water utilities serving Pennsylvania as examples of utilities using cost of debt instead of cost of capital in their economic models to determine whether a customer contribution is required.  (OCA Statement No. 1, p. 6, note 3</w:t>
      </w:r>
      <w:r w:rsidR="0038210A">
        <w:t xml:space="preserve">); OCA M.B., pp. 16-17.  </w:t>
      </w:r>
    </w:p>
    <w:p w:rsidR="0038210A" w:rsidRDefault="0038210A" w:rsidP="0038210A">
      <w:pPr>
        <w:spacing w:line="360" w:lineRule="auto"/>
        <w:ind w:firstLine="1440"/>
      </w:pPr>
    </w:p>
    <w:p w:rsidR="00BD0B52" w:rsidRDefault="00384E24" w:rsidP="0038210A">
      <w:pPr>
        <w:spacing w:line="360" w:lineRule="auto"/>
        <w:ind w:firstLine="1440"/>
      </w:pPr>
      <w:r>
        <w:t>According to the OCA, s</w:t>
      </w:r>
      <w:r w:rsidR="00BD0B52">
        <w:t xml:space="preserve">upport for using cost of debt instead of cost of capital in an economic model can be found in the Commission’s regulations as well.  The use of cost of debt in economic models to determine whether a water main extension project is economical is found in 52 Pa.Code </w:t>
      </w:r>
      <w:r w:rsidR="00745474">
        <w:t xml:space="preserve">§ </w:t>
      </w:r>
      <w:r w:rsidR="00BD0B52">
        <w:t xml:space="preserve">65.21.  Chapter 65 was amended by Commission Order in 1996, and changed how major water utilities calculate the uneconomic portion of line extensions by requiring the utilities to use cost of debt in their economic models instead of cost of capital.  </w:t>
      </w:r>
      <w:r w:rsidR="00BD0B52" w:rsidRPr="00384E24">
        <w:rPr>
          <w:i/>
        </w:rPr>
        <w:t>See</w:t>
      </w:r>
      <w:r w:rsidR="00BD0B52">
        <w:t xml:space="preserve">  </w:t>
      </w:r>
      <w:r w:rsidR="00BD0B52" w:rsidRPr="00E431DC">
        <w:rPr>
          <w:u w:val="single"/>
        </w:rPr>
        <w:t>Re Line Extensions</w:t>
      </w:r>
      <w:r w:rsidR="00BD0B52">
        <w:t>, Revised Order, Docket No. L-930089 (Oct. 7, 1996)</w:t>
      </w:r>
      <w:r w:rsidR="00F53442">
        <w:t xml:space="preserve"> </w:t>
      </w:r>
      <w:r w:rsidR="00BD0B52">
        <w:t>(Revised Order), 1996 Pa. PUC Lexis 162</w:t>
      </w:r>
      <w:r w:rsidR="00BD0B52">
        <w:fldChar w:fldCharType="begin"/>
      </w:r>
      <w:r w:rsidR="00BD0B52">
        <w:instrText xml:space="preserve"> TA \l "</w:instrText>
      </w:r>
      <w:r w:rsidR="00BD0B52" w:rsidRPr="00877213">
        <w:rPr>
          <w:u w:val="single"/>
        </w:rPr>
        <w:instrText>See</w:instrText>
      </w:r>
      <w:r w:rsidR="00BD0B52" w:rsidRPr="00877213">
        <w:instrText xml:space="preserve">  </w:instrText>
      </w:r>
      <w:r w:rsidR="00BD0B52" w:rsidRPr="00877213">
        <w:rPr>
          <w:u w:val="single"/>
        </w:rPr>
        <w:instrText>Re Line Extensions</w:instrText>
      </w:r>
      <w:r w:rsidR="00BD0B52" w:rsidRPr="00877213">
        <w:instrText>, Revised Order, Docket No. L-930089 (Oct. 7, 1996 )(Revised Order), 1996 Pa. PUC Lexis 162</w:instrText>
      </w:r>
      <w:r w:rsidR="00BD0B52">
        <w:instrText xml:space="preserve">" \s "See  Re Line Extensions, Revised Order, D1996 Pa. PUC Lexis 162" \c 2 </w:instrText>
      </w:r>
      <w:r w:rsidR="00BD0B52">
        <w:fldChar w:fldCharType="end"/>
      </w:r>
      <w:r w:rsidR="00BD0B52">
        <w:t xml:space="preserve">;  </w:t>
      </w:r>
      <w:r w:rsidR="00BD0B52" w:rsidRPr="00384E24">
        <w:rPr>
          <w:i/>
        </w:rPr>
        <w:t>see also</w:t>
      </w:r>
      <w:r w:rsidR="00BD0B52">
        <w:t xml:space="preserve"> 52 Pa.Code § 65.21</w:t>
      </w:r>
      <w:r w:rsidR="00BD0B52">
        <w:fldChar w:fldCharType="begin"/>
      </w:r>
      <w:r w:rsidR="00BD0B52">
        <w:instrText xml:space="preserve"> TA \l "</w:instrText>
      </w:r>
      <w:r w:rsidR="00BD0B52" w:rsidRPr="00353541">
        <w:instrText>52 Pa.Code § 65.21</w:instrText>
      </w:r>
      <w:r w:rsidR="00BD0B52">
        <w:instrText xml:space="preserve">" \s "52 Pa.Code § 65.21" \c 3 </w:instrText>
      </w:r>
      <w:r w:rsidR="00BD0B52">
        <w:fldChar w:fldCharType="end"/>
      </w:r>
      <w:r w:rsidR="00BD0B52">
        <w:t>.  In the Order amending Chapter 65, the Commission states that “the application of this regulation should ensure, as recommended by IRRC</w:t>
      </w:r>
      <w:r w:rsidR="00A82D9F">
        <w:t xml:space="preserve"> (Independent Regulatory Review Commission)</w:t>
      </w:r>
      <w:r w:rsidR="00BD0B52">
        <w:t xml:space="preserve">, that utilities will fund all line extensions that are appropriate for the level of service to be purchased by the new customer without requiring the utilities and their existing customers to incur the costs of unreasonable line extensions.” </w:t>
      </w:r>
      <w:r w:rsidR="00E976DB">
        <w:t xml:space="preserve"> </w:t>
      </w:r>
      <w:r w:rsidR="00BD0B52">
        <w:t>1996 Pa. PUC Lexis 162</w:t>
      </w:r>
      <w:r w:rsidR="00BD0B52">
        <w:fldChar w:fldCharType="begin"/>
      </w:r>
      <w:r w:rsidR="00BD0B52">
        <w:instrText xml:space="preserve"> TA \l "</w:instrText>
      </w:r>
      <w:r w:rsidR="00BD0B52" w:rsidRPr="00B03BCF">
        <w:instrText>1996 Pa. PUC Lexis 162</w:instrText>
      </w:r>
      <w:r w:rsidR="00BD0B52">
        <w:instrText xml:space="preserve">" \s "1996 Pa. PUC Lexis 162" \c 2 </w:instrText>
      </w:r>
      <w:r w:rsidR="00BD0B52">
        <w:fldChar w:fldCharType="end"/>
      </w:r>
      <w:r w:rsidR="00BD0B52">
        <w:t xml:space="preserve">.  The Commission explained why cost of debt is appropriate in determining whether an extension project is economic, stating: </w:t>
      </w:r>
    </w:p>
    <w:p w:rsidR="00BD0B52" w:rsidRDefault="00BD0B52" w:rsidP="001E3F90">
      <w:pPr>
        <w:ind w:left="1440" w:right="1440"/>
      </w:pPr>
      <w:r>
        <w:t>Debt costs are the utility’s additional annual cost of debt associated with financing the line extension investment; the annual amount is determined by multiplying the proportion of line extension investment financed by debt times the utility’s debt cost rate.  Due to the infrequency of base rate cases for some companies, we have decided to use a company’s current debt cost data.  The cost of preferred stock [cost of capital], however, has been specifically excluded since it is a relatively minor component of any utility’s cost of service and would needlessly complicate the economic standard for a line extension.</w:t>
      </w:r>
    </w:p>
    <w:p w:rsidR="00BD0B52" w:rsidRDefault="00BD0B52" w:rsidP="003C36CD">
      <w:pPr>
        <w:spacing w:line="360" w:lineRule="auto"/>
        <w:ind w:left="720" w:right="720"/>
        <w:jc w:val="both"/>
      </w:pPr>
    </w:p>
    <w:p w:rsidR="000A5F6D" w:rsidRDefault="00BD0B52" w:rsidP="000A5F6D">
      <w:pPr>
        <w:spacing w:line="360" w:lineRule="auto"/>
      </w:pPr>
      <w:r>
        <w:t>1996 Pa. PUC Lexis 162</w:t>
      </w:r>
      <w:r>
        <w:fldChar w:fldCharType="begin"/>
      </w:r>
      <w:r>
        <w:instrText xml:space="preserve"> TA \s "1996 Pa. PUC Lexis 162" </w:instrText>
      </w:r>
      <w:r>
        <w:fldChar w:fldCharType="end"/>
      </w:r>
      <w:r>
        <w:t xml:space="preserve">.  </w:t>
      </w:r>
      <w:r w:rsidR="000E33B2">
        <w:t xml:space="preserve">The OCA contends that, </w:t>
      </w:r>
      <w:r>
        <w:t xml:space="preserve">by using cost </w:t>
      </w:r>
      <w:r w:rsidR="000E33B2">
        <w:t xml:space="preserve">of debt in the economic model, the Commission </w:t>
      </w:r>
      <w:r>
        <w:t>“believe[s] that this formula will result in the applicant bearing only those costs of his or her line extension which will not pay for itself through annual reven</w:t>
      </w:r>
      <w:r w:rsidR="00A82D9F">
        <w:t>ues.”  1996 Pa. PUC Lexis 162; OCA M.B., pp. 17-18.</w:t>
      </w:r>
    </w:p>
    <w:p w:rsidR="000A5F6D" w:rsidRDefault="000A5F6D" w:rsidP="000A5F6D">
      <w:pPr>
        <w:spacing w:line="360" w:lineRule="auto"/>
      </w:pPr>
    </w:p>
    <w:p w:rsidR="00BD0B52" w:rsidRDefault="00B70E14" w:rsidP="000A5F6D">
      <w:pPr>
        <w:spacing w:line="360" w:lineRule="auto"/>
        <w:ind w:firstLine="1440"/>
      </w:pPr>
      <w:r>
        <w:t>In its main brief, the OCA contends that, a</w:t>
      </w:r>
      <w:r w:rsidR="00BD0B52">
        <w:t>lthough Chapter 65 applies to water utilities, the adoption of Section 65.21 illustrates that using cost of debt in an economic model does not result in costs being shifted from new customers to existing customers, as the Commission has already found that using cost of debt in an economic model results in the applicant paying only the costs of the line extension project that “will not pay for itself through annual revenues,” i.e. the uneconomic portion.  1996 Pa. PUC Lexis 162</w:t>
      </w:r>
      <w:r w:rsidR="00BD0B52">
        <w:fldChar w:fldCharType="begin"/>
      </w:r>
      <w:r w:rsidR="00BD0B52">
        <w:instrText xml:space="preserve"> TA \s "1996 Pa. PUC Lexis 162" </w:instrText>
      </w:r>
      <w:r w:rsidR="00BD0B52">
        <w:fldChar w:fldCharType="end"/>
      </w:r>
      <w:r w:rsidR="00BD0B52">
        <w:t>.  The Commission stated</w:t>
      </w:r>
      <w:r>
        <w:t xml:space="preserve"> as follows</w:t>
      </w:r>
      <w:r w:rsidR="00BD0B52">
        <w:t>:</w:t>
      </w:r>
    </w:p>
    <w:p w:rsidR="00BD0B52" w:rsidRDefault="00BD0B52" w:rsidP="00A82D9F">
      <w:pPr>
        <w:ind w:left="1440" w:right="1440"/>
      </w:pPr>
      <w:r>
        <w:t xml:space="preserve">Moreover, even in the absence of mandatory regulations for the electric, telephone and natural gas industries, </w:t>
      </w:r>
      <w:r w:rsidRPr="00772220">
        <w:t>we suggest that the proposed water regulations serve as the appropriate economic concept and provide guidance for line extensions in the other utility industries</w:t>
      </w:r>
      <w:r>
        <w:t>.  These regulations reflect the Commission’s view regarding line extensions and may prove instructive in adjudicating complaint cases involving line extensions in any industry.</w:t>
      </w:r>
    </w:p>
    <w:p w:rsidR="00BD0B52" w:rsidRDefault="00BD0B52" w:rsidP="00BD0B52">
      <w:pPr>
        <w:ind w:left="720" w:right="720"/>
        <w:jc w:val="both"/>
      </w:pPr>
    </w:p>
    <w:p w:rsidR="00BD0B52" w:rsidRDefault="00BD0B52" w:rsidP="00B70E14">
      <w:pPr>
        <w:spacing w:line="360" w:lineRule="auto"/>
      </w:pPr>
      <w:r>
        <w:t>1996 Pa. P</w:t>
      </w:r>
      <w:r w:rsidR="00B70E14">
        <w:t>UC Lexis 162</w:t>
      </w:r>
      <w:r w:rsidR="00772220">
        <w:t xml:space="preserve">; </w:t>
      </w:r>
      <w:r w:rsidR="00B70E14">
        <w:t>OCA M.B., p. 18.</w:t>
      </w:r>
    </w:p>
    <w:p w:rsidR="00B70E14" w:rsidRDefault="00B70E14" w:rsidP="00B70E14">
      <w:pPr>
        <w:spacing w:line="360" w:lineRule="auto"/>
      </w:pPr>
    </w:p>
    <w:p w:rsidR="00BD3849" w:rsidRDefault="00BD0B52" w:rsidP="00BD3849">
      <w:pPr>
        <w:spacing w:line="360" w:lineRule="auto"/>
        <w:ind w:firstLine="1440"/>
      </w:pPr>
      <w:r>
        <w:t xml:space="preserve">Columbia and </w:t>
      </w:r>
      <w:r w:rsidR="00B70E14">
        <w:t>B</w:t>
      </w:r>
      <w:r>
        <w:t xml:space="preserve">I&amp;E both oppose substituting cost of debt for cost of capital in the economic model.  Columbia witness Evans testified that substituting the cost of debt for the cost of capital would shift costs to existing customers because “these changes would effectively lower the results in the model and reduce or eliminate the recommended deposit.”  </w:t>
      </w:r>
      <w:r w:rsidR="00BD3849">
        <w:t>(</w:t>
      </w:r>
      <w:r>
        <w:t>Columbia St</w:t>
      </w:r>
      <w:r w:rsidR="00BD3849">
        <w:t xml:space="preserve">atement No. 1-R, p. </w:t>
      </w:r>
      <w:r>
        <w:t>13</w:t>
      </w:r>
      <w:r w:rsidR="00BD3849">
        <w:t>)</w:t>
      </w:r>
      <w:r>
        <w:t xml:space="preserve">.  </w:t>
      </w:r>
      <w:r w:rsidR="00BD3849">
        <w:t>B</w:t>
      </w:r>
      <w:r>
        <w:t xml:space="preserve">I&amp;E witness Lisa Boyd similarly testified that “this change will require existing customers to further subsidize the costs of Company extensions to individuals who requested service.”  </w:t>
      </w:r>
      <w:r w:rsidR="00BD3849">
        <w:t>(B</w:t>
      </w:r>
      <w:r>
        <w:t>I&amp;E St</w:t>
      </w:r>
      <w:r w:rsidR="00BD3849">
        <w:t xml:space="preserve">atement No. </w:t>
      </w:r>
      <w:r>
        <w:t>1-R</w:t>
      </w:r>
      <w:r w:rsidR="00BD3849">
        <w:t>, p.</w:t>
      </w:r>
      <w:r w:rsidR="00F51C26">
        <w:t xml:space="preserve"> </w:t>
      </w:r>
      <w:r>
        <w:t>8</w:t>
      </w:r>
      <w:r w:rsidR="00BD3849">
        <w:t>)</w:t>
      </w:r>
      <w:r>
        <w:t xml:space="preserve">.  </w:t>
      </w:r>
      <w:r w:rsidR="00BD3849">
        <w:t>According to the OCA, b</w:t>
      </w:r>
      <w:r>
        <w:t>oth arguments fail to recognize, as the Commission did, that the cost of debt is the utility’s additional annual cost of financing the investment and there is no subsidy.</w:t>
      </w:r>
      <w:r w:rsidR="00BD3849">
        <w:t xml:space="preserve">  OCA M.B., pp. 18-19.</w:t>
      </w:r>
    </w:p>
    <w:p w:rsidR="00BD3849" w:rsidRDefault="00BD3849" w:rsidP="00BD3849">
      <w:pPr>
        <w:spacing w:line="360" w:lineRule="auto"/>
        <w:ind w:firstLine="1440"/>
      </w:pPr>
    </w:p>
    <w:p w:rsidR="00BD0B52" w:rsidRDefault="00BD0B52" w:rsidP="00BD3849">
      <w:pPr>
        <w:spacing w:line="360" w:lineRule="auto"/>
        <w:ind w:firstLine="1440"/>
      </w:pPr>
      <w:r>
        <w:t xml:space="preserve">Mr. Watkins </w:t>
      </w:r>
      <w:r w:rsidR="00E32BF8">
        <w:t>testified</w:t>
      </w:r>
      <w:r>
        <w:t xml:space="preserve"> that his recommendation to use cost of debt </w:t>
      </w:r>
      <w:r w:rsidR="00BD3849">
        <w:t>instead of</w:t>
      </w:r>
      <w:r>
        <w:t xml:space="preserve"> cost of capital </w:t>
      </w:r>
      <w:r w:rsidR="00BD3849">
        <w:t xml:space="preserve">in the Pilot Rider NAS </w:t>
      </w:r>
      <w:r>
        <w:t xml:space="preserve">should not be rejected based on the fact that new customers will be paying a lower contribution amount than under the Company’s proposal.  </w:t>
      </w:r>
      <w:r w:rsidR="00BD3849">
        <w:t>The OCA argues that, e</w:t>
      </w:r>
      <w:r>
        <w:t xml:space="preserve">ven if the Company’s approach had merit, the change to the use of debt would have a </w:t>
      </w:r>
      <w:r w:rsidRPr="00BD3849">
        <w:rPr>
          <w:i/>
        </w:rPr>
        <w:t>de</w:t>
      </w:r>
      <w:r w:rsidR="004C3195">
        <w:rPr>
          <w:i/>
        </w:rPr>
        <w:t> </w:t>
      </w:r>
      <w:r w:rsidRPr="00BD3849">
        <w:rPr>
          <w:i/>
        </w:rPr>
        <w:t>minimus</w:t>
      </w:r>
      <w:r>
        <w:t xml:space="preserve"> impact on existing ratepayers.  </w:t>
      </w:r>
      <w:r w:rsidR="00BD3849">
        <w:t xml:space="preserve">The OCA </w:t>
      </w:r>
      <w:r w:rsidR="001C3CF6">
        <w:t xml:space="preserve">claims </w:t>
      </w:r>
      <w:r>
        <w:t xml:space="preserve">Mr. Watkins demonstrated that even under a scenario where the Company derives no revenue from new customers participating in the </w:t>
      </w:r>
      <w:r w:rsidR="004C3195">
        <w:t xml:space="preserve">Pilot </w:t>
      </w:r>
      <w:r>
        <w:t>Rider NAS program, and all positive benefits to existing ratepayers from extension projects deemed economical are ignored, the impact on the rates to existing ratepayers is minimal</w:t>
      </w:r>
      <w:r w:rsidR="00BD3849">
        <w:t xml:space="preserve">.  </w:t>
      </w:r>
      <w:r w:rsidR="00E32BF8">
        <w:t>He testified as follows:</w:t>
      </w:r>
    </w:p>
    <w:p w:rsidR="00BD0B52" w:rsidRDefault="00BD0B52" w:rsidP="00E32BF8">
      <w:pPr>
        <w:ind w:left="1440" w:right="1440"/>
      </w:pPr>
      <w:r>
        <w:t>Under the Company’s proposal to cap the NAS financing annually at $1,000,000 of capital expenditures, this equates to an approximate annual revenue requirement in the first year (which will decline over time) of approximately $145,000.  If this $145,000 revenue requirement is divided by Columbia’s total number of residential customers of 384,331, an impact of slightly less than 38</w:t>
      </w:r>
      <w:r w:rsidRPr="00C517C2">
        <w:rPr>
          <w:rFonts w:ascii="Calibri" w:hAnsi="Calibri"/>
          <w:sz w:val="20"/>
          <w:szCs w:val="20"/>
        </w:rPr>
        <w:t>₵</w:t>
      </w:r>
      <w:r>
        <w:t xml:space="preserve"> per customer per year results.  This impact is itself greatly overstated in that it assumes absolutely no revenue contribution from any new customers, it does not recognize that in reality, new customers will be paying full tariff rates, and those that do elect to finance </w:t>
      </w:r>
      <w:r w:rsidR="00AA3877">
        <w:t>up front</w:t>
      </w:r>
      <w:r>
        <w:t xml:space="preserve"> construction costs will be contributing cash through their loan payments (and thereby reducing rate base through CIAC and increasing interest income crediting to all ratepayers).  </w:t>
      </w:r>
    </w:p>
    <w:p w:rsidR="00E32BF8" w:rsidRDefault="00E32BF8" w:rsidP="00E32BF8">
      <w:pPr>
        <w:spacing w:line="360" w:lineRule="auto"/>
      </w:pPr>
    </w:p>
    <w:p w:rsidR="00BE7BA1" w:rsidRDefault="00E32BF8" w:rsidP="00BE7BA1">
      <w:pPr>
        <w:spacing w:line="360" w:lineRule="auto"/>
      </w:pPr>
      <w:r>
        <w:t>(</w:t>
      </w:r>
      <w:r w:rsidR="00BD0B52">
        <w:t>OCA St</w:t>
      </w:r>
      <w:r>
        <w:t>atement No</w:t>
      </w:r>
      <w:r w:rsidR="00BD0B52">
        <w:t>. 1</w:t>
      </w:r>
      <w:r>
        <w:t>, pp. 21-22)</w:t>
      </w:r>
      <w:r w:rsidR="00645C9D">
        <w:t xml:space="preserve"> </w:t>
      </w:r>
      <w:r w:rsidR="00BD0B52">
        <w:t xml:space="preserve">(footnote omitted).  </w:t>
      </w:r>
      <w:r>
        <w:t xml:space="preserve">The OCA believes </w:t>
      </w:r>
      <w:r w:rsidR="00BD0B52">
        <w:t>Mr. Watkins clearly demonstrates that existing ratepayers will not be harmed by modifying the economic model to use the Company’s cost of debt instead of its cost of capital.</w:t>
      </w:r>
      <w:r w:rsidR="00BE7BA1">
        <w:t xml:space="preserve">  OCA M.B., 19.  </w:t>
      </w:r>
    </w:p>
    <w:p w:rsidR="00BE7BA1" w:rsidRDefault="00BE7BA1" w:rsidP="00BE7BA1">
      <w:pPr>
        <w:spacing w:line="360" w:lineRule="auto"/>
      </w:pPr>
    </w:p>
    <w:p w:rsidR="001F0E28" w:rsidRDefault="00BE7BA1" w:rsidP="001F0E28">
      <w:pPr>
        <w:spacing w:line="360" w:lineRule="auto"/>
        <w:ind w:firstLine="1440"/>
      </w:pPr>
      <w:r>
        <w:t xml:space="preserve">The OCA submits that its proposed modifications to the Pilot Rider NAS economic model should be judged on the merits of the recommendations and what will best achieve the goal of making natural gas more available to the residents of the Commonwealth through reasonable main extensions, and should not turn on whether the OCA’s recommendations may increase administrative costs.  The OCA contends that Columbia failed to introduce evidence in this proceeding that </w:t>
      </w:r>
      <w:r w:rsidR="001F0E28">
        <w:t>its prop</w:t>
      </w:r>
      <w:r w:rsidR="007B753F">
        <w:t>osed modifications to the economic model</w:t>
      </w:r>
      <w:r w:rsidR="007B753F">
        <w:rPr>
          <w:rStyle w:val="FootnoteReference"/>
        </w:rPr>
        <w:footnoteReference w:id="9"/>
      </w:r>
      <w:r w:rsidR="007B753F">
        <w:t xml:space="preserve"> </w:t>
      </w:r>
      <w:r>
        <w:t>would increase Columbia’s administrative costs.  OCA R.B., p. 7.</w:t>
      </w:r>
      <w:r w:rsidR="001F0E28">
        <w:t xml:space="preserve">  </w:t>
      </w:r>
    </w:p>
    <w:p w:rsidR="001F0E28" w:rsidRDefault="001F0E28" w:rsidP="001F0E28">
      <w:pPr>
        <w:spacing w:line="360" w:lineRule="auto"/>
        <w:ind w:firstLine="1440"/>
      </w:pPr>
    </w:p>
    <w:p w:rsidR="007B753F" w:rsidRDefault="001F0E28" w:rsidP="007B753F">
      <w:pPr>
        <w:spacing w:line="360" w:lineRule="auto"/>
        <w:ind w:firstLine="1440"/>
      </w:pPr>
      <w:r>
        <w:t xml:space="preserve">According to the OCA, Columbia could elect to use the same economic model for both its main extension tariff and Pilot Rider NAS, including the OCA’s proposed modifications </w:t>
      </w:r>
      <w:r w:rsidR="007B753F">
        <w:t>in</w:t>
      </w:r>
      <w:r>
        <w:t xml:space="preserve"> the model.  The OCA submits that if its recommendations are adopted customers would not be confused by the two options available for payment.  OCA R.B., p. 8.</w:t>
      </w:r>
      <w:r w:rsidR="007B753F">
        <w:t xml:space="preserve">  </w:t>
      </w:r>
    </w:p>
    <w:p w:rsidR="007B753F" w:rsidRDefault="007B753F" w:rsidP="007B753F">
      <w:pPr>
        <w:spacing w:line="360" w:lineRule="auto"/>
        <w:ind w:firstLine="1440"/>
      </w:pPr>
    </w:p>
    <w:p w:rsidR="007B753F" w:rsidRDefault="007B753F" w:rsidP="007B753F">
      <w:pPr>
        <w:spacing w:line="360" w:lineRule="auto"/>
        <w:ind w:firstLine="1440"/>
      </w:pPr>
      <w:r>
        <w:t>OCA witness Watkins addressed the potential of the OCA’s recommended modifications adversely impacting the Company’s shareholders in testimony, and explained that shareholders would not be adversely impacted if the OCA’s recommendations are adopted.  Specifically, Mr. Watkins stated,</w:t>
      </w:r>
    </w:p>
    <w:p w:rsidR="007B753F" w:rsidRDefault="007B753F" w:rsidP="007B753F">
      <w:pPr>
        <w:ind w:left="1440" w:right="1440"/>
      </w:pPr>
      <w:r>
        <w:t>Under my recommendations, all projects that go forward will simply be rolled into rate base and recovered in the normal course of business through the traditional regulatory process.  In this regard, while some may question a concern of regulatory lag, I note the following:</w:t>
      </w:r>
    </w:p>
    <w:p w:rsidR="00047613" w:rsidRDefault="00047613" w:rsidP="007B753F">
      <w:pPr>
        <w:ind w:left="2160" w:right="1440"/>
      </w:pPr>
    </w:p>
    <w:p w:rsidR="007B753F" w:rsidRDefault="007B753F" w:rsidP="007B753F">
      <w:pPr>
        <w:ind w:left="2160" w:right="1440"/>
      </w:pPr>
      <w:r>
        <w:t>(a)</w:t>
      </w:r>
      <w:r>
        <w:tab/>
        <w:t>This is true with any new plant investment and is simply the result of how rate regulation is performed in Pennsylvania;</w:t>
      </w:r>
    </w:p>
    <w:p w:rsidR="007B753F" w:rsidRDefault="007B753F" w:rsidP="007B753F">
      <w:pPr>
        <w:ind w:left="2160" w:right="1440"/>
      </w:pPr>
    </w:p>
    <w:p w:rsidR="007B753F" w:rsidRDefault="007B753F" w:rsidP="007B753F">
      <w:pPr>
        <w:ind w:left="2160" w:right="1440"/>
      </w:pPr>
      <w:r>
        <w:t>(b)</w:t>
      </w:r>
      <w:r>
        <w:tab/>
        <w:t>NGDCs (including Columbia) are allowed to, and do, utilize fully forecasted future test years within their general rate cases such that reasonable projections of expansions will be reflected within Columbia’s rate request using forward looking (future) expected mains expansion projects; and</w:t>
      </w:r>
    </w:p>
    <w:p w:rsidR="007B753F" w:rsidRDefault="007B753F" w:rsidP="007B753F">
      <w:pPr>
        <w:ind w:left="2160" w:right="1440"/>
      </w:pPr>
      <w:r>
        <w:t xml:space="preserve"> </w:t>
      </w:r>
    </w:p>
    <w:p w:rsidR="007B753F" w:rsidRDefault="007B753F" w:rsidP="007B753F">
      <w:pPr>
        <w:ind w:left="2160" w:right="1440"/>
      </w:pPr>
      <w:r>
        <w:t>(c)</w:t>
      </w:r>
      <w:r>
        <w:tab/>
        <w:t>In between rate cases, Columbia will recover interest and principal payments from NAS participants.  While the principal payments will eventually be booked as CIAC (and hence, a reduction to rate base), these rate base reductions will not be realized until the Company’s next base rate case.  Furthermore, although ratepayers will receive the benefit of annual interest income once a rate case is filed, the Company will keep the interest income it earns in between rate cases.</w:t>
      </w:r>
    </w:p>
    <w:p w:rsidR="007B753F" w:rsidRDefault="007B753F" w:rsidP="007B753F">
      <w:pPr>
        <w:pStyle w:val="ListParagraph"/>
        <w:tabs>
          <w:tab w:val="left" w:pos="9360"/>
        </w:tabs>
        <w:spacing w:line="360" w:lineRule="auto"/>
        <w:ind w:left="0"/>
        <w:rPr>
          <w:sz w:val="24"/>
          <w:szCs w:val="24"/>
        </w:rPr>
      </w:pPr>
    </w:p>
    <w:p w:rsidR="007B753F" w:rsidRDefault="007B753F" w:rsidP="007B753F">
      <w:pPr>
        <w:pStyle w:val="ListParagraph"/>
        <w:tabs>
          <w:tab w:val="left" w:pos="9360"/>
        </w:tabs>
        <w:spacing w:line="360" w:lineRule="auto"/>
        <w:ind w:left="0"/>
        <w:rPr>
          <w:sz w:val="24"/>
          <w:szCs w:val="24"/>
        </w:rPr>
      </w:pPr>
      <w:r>
        <w:rPr>
          <w:sz w:val="24"/>
          <w:szCs w:val="24"/>
        </w:rPr>
        <w:t>(</w:t>
      </w:r>
      <w:r w:rsidRPr="007B753F">
        <w:rPr>
          <w:sz w:val="24"/>
          <w:szCs w:val="24"/>
        </w:rPr>
        <w:t>OCA St</w:t>
      </w:r>
      <w:r>
        <w:rPr>
          <w:sz w:val="24"/>
          <w:szCs w:val="24"/>
        </w:rPr>
        <w:t>atement No</w:t>
      </w:r>
      <w:r w:rsidRPr="007B753F">
        <w:rPr>
          <w:sz w:val="24"/>
          <w:szCs w:val="24"/>
        </w:rPr>
        <w:t>. 1</w:t>
      </w:r>
      <w:r>
        <w:rPr>
          <w:sz w:val="24"/>
          <w:szCs w:val="24"/>
        </w:rPr>
        <w:t>, p. 2</w:t>
      </w:r>
      <w:r w:rsidRPr="007B753F">
        <w:rPr>
          <w:sz w:val="24"/>
          <w:szCs w:val="24"/>
        </w:rPr>
        <w:t>0</w:t>
      </w:r>
      <w:r>
        <w:rPr>
          <w:sz w:val="24"/>
          <w:szCs w:val="24"/>
        </w:rPr>
        <w:t>)</w:t>
      </w:r>
      <w:r w:rsidRPr="007B753F">
        <w:rPr>
          <w:sz w:val="24"/>
          <w:szCs w:val="24"/>
        </w:rPr>
        <w:t>.  The OCA submits that Columbia’s shareholders will not be adversely impacted if the OCA’s recommendations are adopted, and that this concern should not be a basis for rejecting the OCA’s recommendations.</w:t>
      </w:r>
      <w:r w:rsidR="005206EA">
        <w:rPr>
          <w:sz w:val="24"/>
          <w:szCs w:val="24"/>
        </w:rPr>
        <w:t xml:space="preserve">  OCA R.B., p. 9.</w:t>
      </w:r>
    </w:p>
    <w:p w:rsidR="00A039B1" w:rsidRDefault="007C26AB" w:rsidP="00EF5546">
      <w:pPr>
        <w:pStyle w:val="ListParagraph"/>
        <w:ind w:left="2160" w:hanging="720"/>
        <w:rPr>
          <w:sz w:val="24"/>
          <w:szCs w:val="24"/>
        </w:rPr>
      </w:pPr>
      <w:r>
        <w:rPr>
          <w:sz w:val="24"/>
          <w:szCs w:val="24"/>
        </w:rPr>
        <w:t>b</w:t>
      </w:r>
      <w:r w:rsidR="00A039B1">
        <w:rPr>
          <w:sz w:val="24"/>
          <w:szCs w:val="24"/>
        </w:rPr>
        <w:t>.</w:t>
      </w:r>
      <w:r w:rsidR="00A039B1">
        <w:rPr>
          <w:sz w:val="24"/>
          <w:szCs w:val="24"/>
        </w:rPr>
        <w:tab/>
      </w:r>
      <w:r w:rsidR="00A43276">
        <w:rPr>
          <w:sz w:val="24"/>
          <w:szCs w:val="24"/>
          <w:u w:val="single"/>
        </w:rPr>
        <w:t>Cost of Service Lines, Meters and Regulating Equipment</w:t>
      </w:r>
    </w:p>
    <w:p w:rsidR="00A039B1" w:rsidRDefault="00A039B1" w:rsidP="00A039B1">
      <w:pPr>
        <w:pStyle w:val="ListParagraph"/>
        <w:spacing w:line="360" w:lineRule="auto"/>
        <w:ind w:left="2160" w:hanging="720"/>
        <w:rPr>
          <w:sz w:val="24"/>
          <w:szCs w:val="24"/>
        </w:rPr>
      </w:pPr>
    </w:p>
    <w:p w:rsidR="00306FE0" w:rsidRDefault="00306FE0" w:rsidP="00306FE0">
      <w:pPr>
        <w:spacing w:line="360" w:lineRule="auto"/>
        <w:ind w:firstLine="1440"/>
      </w:pPr>
      <w:r>
        <w:t>OCA witness Mr. Watkins recommended that</w:t>
      </w:r>
      <w:r w:rsidR="00D42CF3">
        <w:t xml:space="preserve">: </w:t>
      </w:r>
      <w:r>
        <w:t xml:space="preserve"> </w:t>
      </w:r>
      <w:r w:rsidR="00D42CF3">
        <w:t>(</w:t>
      </w:r>
      <w:r>
        <w:t xml:space="preserve">1) the economic model include separate entries for the two types of service lines, and </w:t>
      </w:r>
      <w:r w:rsidR="00D42CF3">
        <w:t>(</w:t>
      </w:r>
      <w:r>
        <w:t xml:space="preserve">2) service lines, meters and regulating equipment not be included in the economic model used for </w:t>
      </w:r>
      <w:r w:rsidR="00853FD8">
        <w:t xml:space="preserve">Pilot </w:t>
      </w:r>
      <w:r>
        <w:t>Rider NAS.  (OCA Statement No. 1, p. 18); OCA M.B., p. 20.</w:t>
      </w:r>
    </w:p>
    <w:p w:rsidR="00306FE0" w:rsidRDefault="00306FE0" w:rsidP="00306FE0">
      <w:pPr>
        <w:spacing w:line="360" w:lineRule="auto"/>
        <w:ind w:firstLine="1440"/>
      </w:pPr>
    </w:p>
    <w:p w:rsidR="00306FE0" w:rsidRDefault="00306FE0" w:rsidP="00306FE0">
      <w:pPr>
        <w:spacing w:line="360" w:lineRule="auto"/>
        <w:ind w:firstLine="1440"/>
      </w:pPr>
      <w:r>
        <w:t xml:space="preserve">In regard to Mr. Watkins’ recommendation to have the economic model include separate entries for the two types of service lines, Mr. Watkins explained that </w:t>
      </w:r>
      <w:r w:rsidR="00A969CA">
        <w:t>“</w:t>
      </w:r>
      <w:r>
        <w:t>within the definition of “service lines” there are two separate distinctions.  These distinctions are:  (1) the service line from the distribution main to the customer’s property line</w:t>
      </w:r>
      <w:r w:rsidR="00D42CF3">
        <w:t>,</w:t>
      </w:r>
      <w:r>
        <w:t xml:space="preserve"> and (2) the service line on the customer’s property from the property line to the meter.”  </w:t>
      </w:r>
      <w:r w:rsidR="00853FD8">
        <w:t>(</w:t>
      </w:r>
      <w:r>
        <w:t>OCA St</w:t>
      </w:r>
      <w:r w:rsidR="00853FD8">
        <w:t>atement No</w:t>
      </w:r>
      <w:r>
        <w:t>. 1</w:t>
      </w:r>
      <w:r w:rsidR="00853FD8">
        <w:t xml:space="preserve">, p. </w:t>
      </w:r>
      <w:r>
        <w:t>14</w:t>
      </w:r>
      <w:r w:rsidR="00853FD8">
        <w:t>)</w:t>
      </w:r>
      <w:r>
        <w:t>.  Mr.</w:t>
      </w:r>
      <w:r w:rsidR="00C87856">
        <w:t> </w:t>
      </w:r>
      <w:r>
        <w:t xml:space="preserve">Watkins also explained in testimony that there is a distinction between how the Company treats service lines that run on the customer’s property to the meter in its western and eastern service areas, testifying that: </w:t>
      </w:r>
    </w:p>
    <w:p w:rsidR="00853FD8" w:rsidRDefault="00306FE0" w:rsidP="00853FD8">
      <w:pPr>
        <w:ind w:left="1440" w:right="1440"/>
      </w:pPr>
      <w:r>
        <w:t>As a matter of statute in Pennsylvania, customers in the western portion of Columbia’s service area must install, own, and maintain their own service lines within their property.</w:t>
      </w:r>
      <w:r w:rsidR="00853FD8">
        <w:rPr>
          <w:sz w:val="22"/>
          <w:vertAlign w:val="superscript"/>
        </w:rPr>
        <w:t xml:space="preserve"> </w:t>
      </w:r>
      <w:r w:rsidR="00853FD8">
        <w:t xml:space="preserve"> [66 Pa.C.S.</w:t>
      </w:r>
      <w:r w:rsidR="00E73CEA">
        <w:t xml:space="preserve"> </w:t>
      </w:r>
      <w:r w:rsidR="00853FD8">
        <w:t>§</w:t>
      </w:r>
      <w:r w:rsidR="00042F44">
        <w:t xml:space="preserve"> </w:t>
      </w:r>
      <w:r w:rsidR="00853FD8">
        <w:t>1510]</w:t>
      </w:r>
      <w:r>
        <w:t xml:space="preserve">  For customers in the eastern portion of the Company’s service area, the Company owns and maintains the service line and according to Tariff Rule 8.1, the Company will provide an allowance of up to approximately 50 feet of new service line for each new customer.  </w:t>
      </w:r>
    </w:p>
    <w:p w:rsidR="00853FD8" w:rsidRDefault="00853FD8" w:rsidP="001633FD">
      <w:pPr>
        <w:spacing w:line="360" w:lineRule="auto"/>
        <w:ind w:left="1440" w:right="1440"/>
        <w:rPr>
          <w:vertAlign w:val="superscript"/>
        </w:rPr>
      </w:pPr>
    </w:p>
    <w:p w:rsidR="00853FD8" w:rsidRDefault="00853FD8" w:rsidP="00853FD8">
      <w:pPr>
        <w:spacing w:line="360" w:lineRule="auto"/>
        <w:ind w:right="720"/>
      </w:pPr>
      <w:r>
        <w:t>(</w:t>
      </w:r>
      <w:r w:rsidR="00306FE0">
        <w:t>OCA St</w:t>
      </w:r>
      <w:r>
        <w:t>atement No</w:t>
      </w:r>
      <w:r w:rsidR="00306FE0">
        <w:t>. 1</w:t>
      </w:r>
      <w:r>
        <w:t xml:space="preserve">, pp. </w:t>
      </w:r>
      <w:r w:rsidR="00306FE0">
        <w:t>13-14</w:t>
      </w:r>
      <w:r>
        <w:t>)</w:t>
      </w:r>
      <w:r w:rsidR="00A969CA">
        <w:t>; OCA M.B., pp. 20-21.</w:t>
      </w:r>
      <w:r>
        <w:t xml:space="preserve"> </w:t>
      </w:r>
    </w:p>
    <w:p w:rsidR="001633FD" w:rsidRDefault="001633FD" w:rsidP="00853FD8">
      <w:pPr>
        <w:spacing w:line="360" w:lineRule="auto"/>
        <w:ind w:right="720"/>
      </w:pPr>
    </w:p>
    <w:p w:rsidR="00306FE0" w:rsidRDefault="00306FE0" w:rsidP="00853FD8">
      <w:pPr>
        <w:spacing w:line="360" w:lineRule="auto"/>
        <w:ind w:firstLine="1440"/>
      </w:pPr>
      <w:r>
        <w:t xml:space="preserve">Mr. Watkins explained that because of the distinctions between the two types of service lines, and the distinction between the western and eastern service areas, the </w:t>
      </w:r>
      <w:r w:rsidR="00853FD8">
        <w:t xml:space="preserve">Pilot </w:t>
      </w:r>
      <w:r>
        <w:t xml:space="preserve">Rider NAS economic model should be modified to include separate line entries, stating: </w:t>
      </w:r>
    </w:p>
    <w:p w:rsidR="00306FE0" w:rsidRDefault="00306FE0" w:rsidP="00853FD8">
      <w:pPr>
        <w:ind w:left="1440" w:right="1440"/>
      </w:pPr>
      <w:r>
        <w:t>[T]here is no distinction in Columbia’s DCF model between the various types of service line and/or whether allowances of up to 50</w:t>
      </w:r>
      <w:r w:rsidR="004A7593">
        <w:t> </w:t>
      </w:r>
      <w:r>
        <w:t xml:space="preserve">feet [for the Company’s eastern service area] are embedded within the model.  That is, there is simply a single entry for “service line investment” within the DCF model, and my evaluation of actual individual projects reveals there is no way to make a determination as to whether Columbia’s field personnel (who actually make inputs and run the model) properly reflect allowances or ownership.  However, based on informal conversations with the Company, I have been informed that field personnel are aware of these nuances and properly reflect allowances and ownership within its DCF modeling scenarios.  In this regard and absent my other recommendations that will be discussed later in my testimony, I recommend that specific separate entries be required for Company-owned service lines, allowances, and customer-owned service lines to ensure that individual field personnel appropriately apply the model in accordance with the Public Utility Code and the Company’s approved Tariff.  </w:t>
      </w:r>
    </w:p>
    <w:p w:rsidR="00306FE0" w:rsidRDefault="00306FE0" w:rsidP="00306FE0">
      <w:pPr>
        <w:pStyle w:val="NormalWeb"/>
        <w:spacing w:before="0" w:beforeAutospacing="0" w:after="0" w:afterAutospacing="0"/>
        <w:jc w:val="both"/>
        <w:rPr>
          <w:color w:val="000000"/>
          <w:shd w:val="clear" w:color="auto" w:fill="FFFFFF"/>
        </w:rPr>
      </w:pPr>
      <w:r>
        <w:rPr>
          <w:color w:val="000000"/>
          <w:shd w:val="clear" w:color="auto" w:fill="FFFFFF"/>
        </w:rPr>
        <w:tab/>
      </w:r>
    </w:p>
    <w:p w:rsidR="00306FE0" w:rsidRDefault="00853FD8" w:rsidP="00306FE0">
      <w:pPr>
        <w:pStyle w:val="NormalWeb"/>
        <w:spacing w:before="0" w:beforeAutospacing="0" w:after="0" w:afterAutospacing="0" w:line="480" w:lineRule="auto"/>
        <w:jc w:val="both"/>
        <w:rPr>
          <w:color w:val="000000"/>
          <w:shd w:val="clear" w:color="auto" w:fill="FFFFFF"/>
        </w:rPr>
      </w:pPr>
      <w:r>
        <w:rPr>
          <w:color w:val="000000"/>
          <w:shd w:val="clear" w:color="auto" w:fill="FFFFFF"/>
        </w:rPr>
        <w:t>(</w:t>
      </w:r>
      <w:r w:rsidR="00306FE0">
        <w:rPr>
          <w:color w:val="000000"/>
          <w:shd w:val="clear" w:color="auto" w:fill="FFFFFF"/>
        </w:rPr>
        <w:t>OCA St</w:t>
      </w:r>
      <w:r>
        <w:rPr>
          <w:color w:val="000000"/>
          <w:shd w:val="clear" w:color="auto" w:fill="FFFFFF"/>
        </w:rPr>
        <w:t>atement No</w:t>
      </w:r>
      <w:r w:rsidR="00306FE0">
        <w:rPr>
          <w:color w:val="000000"/>
          <w:shd w:val="clear" w:color="auto" w:fill="FFFFFF"/>
        </w:rPr>
        <w:t>. 1</w:t>
      </w:r>
      <w:r>
        <w:rPr>
          <w:color w:val="000000"/>
          <w:shd w:val="clear" w:color="auto" w:fill="FFFFFF"/>
        </w:rPr>
        <w:t xml:space="preserve">, p. </w:t>
      </w:r>
      <w:r w:rsidR="00306FE0">
        <w:rPr>
          <w:color w:val="000000"/>
          <w:shd w:val="clear" w:color="auto" w:fill="FFFFFF"/>
        </w:rPr>
        <w:t>14</w:t>
      </w:r>
      <w:r>
        <w:rPr>
          <w:color w:val="000000"/>
          <w:shd w:val="clear" w:color="auto" w:fill="FFFFFF"/>
        </w:rPr>
        <w:t>)</w:t>
      </w:r>
      <w:r w:rsidR="00A969CA">
        <w:rPr>
          <w:color w:val="000000"/>
          <w:shd w:val="clear" w:color="auto" w:fill="FFFFFF"/>
        </w:rPr>
        <w:t>; OCA M.B., p. 21.</w:t>
      </w:r>
    </w:p>
    <w:p w:rsidR="004A7593" w:rsidRDefault="004A7593" w:rsidP="004A7593">
      <w:pPr>
        <w:pStyle w:val="NormalWeb"/>
        <w:spacing w:before="0" w:beforeAutospacing="0" w:after="0" w:afterAutospacing="0"/>
        <w:jc w:val="both"/>
        <w:rPr>
          <w:color w:val="000000"/>
          <w:shd w:val="clear" w:color="auto" w:fill="FFFFFF"/>
        </w:rPr>
      </w:pPr>
    </w:p>
    <w:p w:rsidR="00306FE0" w:rsidRDefault="00306FE0" w:rsidP="00A969CA">
      <w:pPr>
        <w:pStyle w:val="NormalWeb"/>
        <w:spacing w:before="0" w:beforeAutospacing="0" w:after="0" w:afterAutospacing="0" w:line="360" w:lineRule="auto"/>
        <w:ind w:firstLine="1440"/>
        <w:rPr>
          <w:color w:val="000000"/>
          <w:shd w:val="clear" w:color="auto" w:fill="FFFFFF"/>
        </w:rPr>
      </w:pPr>
      <w:r>
        <w:rPr>
          <w:color w:val="000000"/>
          <w:shd w:val="clear" w:color="auto" w:fill="FFFFFF"/>
        </w:rPr>
        <w:t xml:space="preserve">Mr. Watkins also recommended excluding service lines, meters and regulating equipment from the </w:t>
      </w:r>
      <w:r w:rsidR="00A969CA">
        <w:rPr>
          <w:color w:val="000000"/>
          <w:shd w:val="clear" w:color="auto" w:fill="FFFFFF"/>
        </w:rPr>
        <w:t xml:space="preserve">Pilot </w:t>
      </w:r>
      <w:r>
        <w:rPr>
          <w:color w:val="000000"/>
          <w:shd w:val="clear" w:color="auto" w:fill="FFFFFF"/>
        </w:rPr>
        <w:t xml:space="preserve">Rider NAS economic model. </w:t>
      </w:r>
      <w:r w:rsidR="002C0429">
        <w:rPr>
          <w:color w:val="000000"/>
          <w:shd w:val="clear" w:color="auto" w:fill="FFFFFF"/>
        </w:rPr>
        <w:t xml:space="preserve"> </w:t>
      </w:r>
      <w:r>
        <w:rPr>
          <w:color w:val="000000"/>
          <w:shd w:val="clear" w:color="auto" w:fill="FFFFFF"/>
        </w:rPr>
        <w:t xml:space="preserve">Mr. Watkins explained that including these costs in the economic model does not promote the purpose of </w:t>
      </w:r>
      <w:r w:rsidR="00A969CA">
        <w:rPr>
          <w:color w:val="000000"/>
          <w:shd w:val="clear" w:color="auto" w:fill="FFFFFF"/>
        </w:rPr>
        <w:t xml:space="preserve">Pilot </w:t>
      </w:r>
      <w:r>
        <w:rPr>
          <w:color w:val="000000"/>
          <w:shd w:val="clear" w:color="auto" w:fill="FFFFFF"/>
        </w:rPr>
        <w:t>Rider NAS, which is to extend mains.  Mr. Watkins explained:</w:t>
      </w:r>
    </w:p>
    <w:p w:rsidR="00306FE0" w:rsidRDefault="00483BAB" w:rsidP="00A969CA">
      <w:pPr>
        <w:pStyle w:val="NormalWeb"/>
        <w:spacing w:before="0" w:beforeAutospacing="0" w:after="0" w:afterAutospacing="0"/>
        <w:ind w:left="1440" w:right="1440"/>
        <w:rPr>
          <w:color w:val="000000"/>
          <w:shd w:val="clear" w:color="auto" w:fill="FFFFFF"/>
        </w:rPr>
      </w:pPr>
      <w:r>
        <w:rPr>
          <w:color w:val="000000"/>
          <w:shd w:val="clear" w:color="auto" w:fill="FFFFFF"/>
        </w:rPr>
        <w:t>T</w:t>
      </w:r>
      <w:r w:rsidR="00306FE0">
        <w:rPr>
          <w:color w:val="000000"/>
          <w:shd w:val="clear" w:color="auto" w:fill="FFFFFF"/>
        </w:rPr>
        <w:t xml:space="preserve">he primary objective of this proposed program is to promote the expansion of Columbia’s mains to unserved areas and make natural gas more available to residential energy consumers.  Given the purpose of this program is to extend Columbia’s distribution mains, it is logical that other costs required to connect a new customer (i.e., services and metering costs) not be reflected in the determination of customer contributions.  </w:t>
      </w:r>
    </w:p>
    <w:p w:rsidR="00A969CA" w:rsidRDefault="00A969CA" w:rsidP="00A969CA">
      <w:pPr>
        <w:pStyle w:val="NormalWeb"/>
        <w:spacing w:before="0" w:beforeAutospacing="0" w:after="0" w:afterAutospacing="0" w:line="360" w:lineRule="auto"/>
        <w:rPr>
          <w:color w:val="000000"/>
          <w:shd w:val="clear" w:color="auto" w:fill="FFFFFF"/>
        </w:rPr>
      </w:pPr>
    </w:p>
    <w:p w:rsidR="00A969CA" w:rsidRDefault="00A969CA" w:rsidP="00A969CA">
      <w:pPr>
        <w:pStyle w:val="NormalWeb"/>
        <w:spacing w:before="0" w:beforeAutospacing="0" w:after="0" w:afterAutospacing="0" w:line="360" w:lineRule="auto"/>
        <w:rPr>
          <w:color w:val="000000"/>
          <w:shd w:val="clear" w:color="auto" w:fill="FFFFFF"/>
        </w:rPr>
      </w:pPr>
      <w:r>
        <w:rPr>
          <w:color w:val="000000"/>
          <w:shd w:val="clear" w:color="auto" w:fill="FFFFFF"/>
        </w:rPr>
        <w:t>(</w:t>
      </w:r>
      <w:r w:rsidR="00306FE0">
        <w:rPr>
          <w:color w:val="000000"/>
          <w:shd w:val="clear" w:color="auto" w:fill="FFFFFF"/>
        </w:rPr>
        <w:t>OCA St</w:t>
      </w:r>
      <w:r>
        <w:rPr>
          <w:color w:val="000000"/>
          <w:shd w:val="clear" w:color="auto" w:fill="FFFFFF"/>
        </w:rPr>
        <w:t>atement No</w:t>
      </w:r>
      <w:r w:rsidR="00306FE0">
        <w:rPr>
          <w:color w:val="000000"/>
          <w:shd w:val="clear" w:color="auto" w:fill="FFFFFF"/>
        </w:rPr>
        <w:t>. 1</w:t>
      </w:r>
      <w:r>
        <w:rPr>
          <w:color w:val="000000"/>
          <w:shd w:val="clear" w:color="auto" w:fill="FFFFFF"/>
        </w:rPr>
        <w:t xml:space="preserve">, p. 16); OCA M.B., pp. 21-22. </w:t>
      </w:r>
    </w:p>
    <w:p w:rsidR="002C0429" w:rsidRDefault="002C0429" w:rsidP="00A969CA">
      <w:pPr>
        <w:pStyle w:val="NormalWeb"/>
        <w:spacing w:before="0" w:beforeAutospacing="0" w:after="0" w:afterAutospacing="0" w:line="360" w:lineRule="auto"/>
        <w:rPr>
          <w:color w:val="000000"/>
          <w:shd w:val="clear" w:color="auto" w:fill="FFFFFF"/>
        </w:rPr>
      </w:pPr>
    </w:p>
    <w:p w:rsidR="00A969CA" w:rsidRDefault="00306FE0" w:rsidP="00A969CA">
      <w:pPr>
        <w:pStyle w:val="NormalWeb"/>
        <w:spacing w:before="0" w:beforeAutospacing="0" w:after="0" w:afterAutospacing="0" w:line="360" w:lineRule="auto"/>
        <w:ind w:firstLine="1440"/>
      </w:pPr>
      <w:r>
        <w:t xml:space="preserve">In addition, </w:t>
      </w:r>
      <w:r w:rsidR="00A969CA">
        <w:t xml:space="preserve">according to the OCA, </w:t>
      </w:r>
      <w:r>
        <w:t xml:space="preserve">inclusion of meters and regulating equipment in the economic model may not comport with </w:t>
      </w:r>
      <w:r w:rsidR="009B69B4">
        <w:t xml:space="preserve">the </w:t>
      </w:r>
      <w:r>
        <w:t>Commission’s regulation.  Specifically, 52</w:t>
      </w:r>
      <w:r w:rsidR="00F65F88">
        <w:t> </w:t>
      </w:r>
      <w:r>
        <w:t xml:space="preserve">Pa.Code </w:t>
      </w:r>
      <w:r w:rsidR="008C01E0">
        <w:t>§</w:t>
      </w:r>
      <w:r>
        <w:t xml:space="preserve"> 59.17</w:t>
      </w:r>
      <w:r>
        <w:fldChar w:fldCharType="begin"/>
      </w:r>
      <w:r>
        <w:instrText xml:space="preserve"> TA \l "</w:instrText>
      </w:r>
      <w:r w:rsidRPr="000D0108">
        <w:instrText xml:space="preserve">52 Pa. Code </w:instrText>
      </w:r>
      <w:r w:rsidRPr="000D0108">
        <w:rPr>
          <w:rFonts w:ascii="Calibri" w:hAnsi="Calibri"/>
        </w:rPr>
        <w:instrText>§</w:instrText>
      </w:r>
      <w:r w:rsidRPr="000D0108">
        <w:instrText xml:space="preserve"> 59.17</w:instrText>
      </w:r>
      <w:r>
        <w:instrText xml:space="preserve">" \s "52 Pa. Code § 59.17" \c 3 </w:instrText>
      </w:r>
      <w:r>
        <w:fldChar w:fldCharType="end"/>
      </w:r>
      <w:r>
        <w:t>, Furnishing o</w:t>
      </w:r>
      <w:r w:rsidR="00772220">
        <w:t>f Meters and Regulations, provides as follows</w:t>
      </w:r>
      <w:r>
        <w:t xml:space="preserve">: </w:t>
      </w:r>
    </w:p>
    <w:p w:rsidR="00306FE0" w:rsidRPr="00E859B3" w:rsidRDefault="00306FE0" w:rsidP="00772220">
      <w:pPr>
        <w:pStyle w:val="NormalWeb"/>
        <w:spacing w:before="0" w:beforeAutospacing="0" w:after="0" w:afterAutospacing="0"/>
        <w:ind w:left="1440" w:right="1440"/>
        <w:rPr>
          <w:b/>
          <w:color w:val="000000"/>
          <w:shd w:val="clear" w:color="auto" w:fill="FFFFFF"/>
        </w:rPr>
      </w:pPr>
      <w:r w:rsidRPr="00E859B3">
        <w:rPr>
          <w:color w:val="000000"/>
          <w:shd w:val="clear" w:color="auto" w:fill="FFFFFF"/>
        </w:rPr>
        <w:t>(a)  </w:t>
      </w:r>
      <w:r w:rsidRPr="00E859B3">
        <w:rPr>
          <w:i/>
          <w:iCs/>
          <w:color w:val="000000"/>
          <w:shd w:val="clear" w:color="auto" w:fill="FFFFFF"/>
        </w:rPr>
        <w:t>Installation.</w:t>
      </w:r>
      <w:r w:rsidRPr="00E859B3">
        <w:rPr>
          <w:rStyle w:val="apple-converted-space"/>
          <w:i/>
          <w:iCs/>
          <w:color w:val="000000"/>
          <w:shd w:val="clear" w:color="auto" w:fill="FFFFFF"/>
        </w:rPr>
        <w:t> </w:t>
      </w:r>
      <w:r w:rsidRPr="00E859B3">
        <w:rPr>
          <w:color w:val="000000"/>
          <w:shd w:val="clear" w:color="auto" w:fill="FFFFFF"/>
        </w:rPr>
        <w:t>Except as provided in §</w:t>
      </w:r>
      <w:r w:rsidR="005E2A19">
        <w:rPr>
          <w:color w:val="000000"/>
          <w:shd w:val="clear" w:color="auto" w:fill="FFFFFF"/>
        </w:rPr>
        <w:t xml:space="preserve"> </w:t>
      </w:r>
      <w:r w:rsidRPr="00E859B3">
        <w:rPr>
          <w:color w:val="000000"/>
          <w:shd w:val="clear" w:color="auto" w:fill="FFFFFF"/>
        </w:rPr>
        <w:t xml:space="preserve">59.31 (relating to service from production or transmission lines), </w:t>
      </w:r>
      <w:r w:rsidRPr="00772220">
        <w:rPr>
          <w:color w:val="000000"/>
          <w:shd w:val="clear" w:color="auto" w:fill="FFFFFF"/>
        </w:rPr>
        <w:t>a public utility shall provide and install at its own expense and shall continue to own, maintain and operate equipment necessary for the regulation and measurement of gas furnished to its customers.</w:t>
      </w:r>
      <w:r w:rsidRPr="00E859B3">
        <w:rPr>
          <w:b/>
          <w:color w:val="000000"/>
          <w:shd w:val="clear" w:color="auto" w:fill="FFFFFF"/>
        </w:rPr>
        <w:t xml:space="preserve"> </w:t>
      </w:r>
      <w:r>
        <w:rPr>
          <w:color w:val="000000"/>
          <w:shd w:val="clear" w:color="auto" w:fill="FFFFFF"/>
        </w:rPr>
        <w:t xml:space="preserve"> </w:t>
      </w:r>
    </w:p>
    <w:p w:rsidR="00772220" w:rsidRDefault="00772220" w:rsidP="00772220">
      <w:pPr>
        <w:pStyle w:val="NormalWeb"/>
        <w:spacing w:before="0" w:beforeAutospacing="0" w:after="0" w:afterAutospacing="0" w:line="360" w:lineRule="auto"/>
      </w:pPr>
    </w:p>
    <w:p w:rsidR="00306FE0" w:rsidRDefault="00306FE0" w:rsidP="00772220">
      <w:pPr>
        <w:pStyle w:val="NormalWeb"/>
        <w:spacing w:before="0" w:beforeAutospacing="0" w:after="0" w:afterAutospacing="0" w:line="360" w:lineRule="auto"/>
      </w:pPr>
      <w:r>
        <w:t xml:space="preserve">52 Pa.Code </w:t>
      </w:r>
      <w:r w:rsidR="00123D33">
        <w:t>§</w:t>
      </w:r>
      <w:r>
        <w:t xml:space="preserve"> 59.17</w:t>
      </w:r>
      <w:r>
        <w:fldChar w:fldCharType="begin"/>
      </w:r>
      <w:r>
        <w:instrText xml:space="preserve"> TA \s "52 Pa. Code § 59.17" </w:instrText>
      </w:r>
      <w:r>
        <w:fldChar w:fldCharType="end"/>
      </w:r>
      <w:r>
        <w:t>.</w:t>
      </w:r>
      <w:r>
        <w:rPr>
          <w:color w:val="000000"/>
          <w:shd w:val="clear" w:color="auto" w:fill="FFFFFF"/>
        </w:rPr>
        <w:t xml:space="preserve">  Columbia’s economic model, however, does include the costs of furnishing meters and regulating equipment.  </w:t>
      </w:r>
      <w:r>
        <w:t>As Mr. Watkins explained:</w:t>
      </w:r>
    </w:p>
    <w:p w:rsidR="00306FE0" w:rsidRDefault="00306FE0" w:rsidP="00772220">
      <w:pPr>
        <w:pStyle w:val="NormalWeb"/>
        <w:spacing w:before="0" w:beforeAutospacing="0" w:after="0" w:afterAutospacing="0"/>
        <w:ind w:left="1440" w:right="1440"/>
        <w:rPr>
          <w:color w:val="000000"/>
          <w:shd w:val="clear" w:color="auto" w:fill="FFFFFF"/>
        </w:rPr>
      </w:pPr>
      <w:r>
        <w:rPr>
          <w:color w:val="000000"/>
          <w:shd w:val="clear" w:color="auto" w:fill="FFFFFF"/>
        </w:rPr>
        <w:t>[B]</w:t>
      </w:r>
      <w:proofErr w:type="spellStart"/>
      <w:r>
        <w:rPr>
          <w:color w:val="000000"/>
          <w:shd w:val="clear" w:color="auto" w:fill="FFFFFF"/>
        </w:rPr>
        <w:t>ecause</w:t>
      </w:r>
      <w:proofErr w:type="spellEnd"/>
      <w:r>
        <w:rPr>
          <w:color w:val="000000"/>
          <w:shd w:val="clear" w:color="auto" w:fill="FFFFFF"/>
        </w:rPr>
        <w:t xml:space="preserve"> Columbia includes the capital (installation) costs of providing a meter within each DCF project feasibility analysis, for those projects in which a deposit is required, the customer is essentially paying for the cost of the meter.  For example, suppose that under Columbia’s current practices in which the installation costs of a meter are included within the DCF model, an </w:t>
      </w:r>
      <w:r w:rsidR="00AA3877">
        <w:rPr>
          <w:color w:val="000000"/>
          <w:shd w:val="clear" w:color="auto" w:fill="FFFFFF"/>
        </w:rPr>
        <w:t>up front</w:t>
      </w:r>
      <w:r>
        <w:rPr>
          <w:color w:val="000000"/>
          <w:shd w:val="clear" w:color="auto" w:fill="FFFFFF"/>
        </w:rPr>
        <w:t xml:space="preserve"> customer contribution of $1,000 is required.  However, if the exact same model was run but metering costs were input at zero, the required customer contribution would only be $800.  As such, the customer is being required to contribute an </w:t>
      </w:r>
      <w:r w:rsidR="00AA3877">
        <w:rPr>
          <w:color w:val="000000"/>
          <w:shd w:val="clear" w:color="auto" w:fill="FFFFFF"/>
        </w:rPr>
        <w:t>up front</w:t>
      </w:r>
      <w:r>
        <w:rPr>
          <w:color w:val="000000"/>
          <w:shd w:val="clear" w:color="auto" w:fill="FFFFFF"/>
        </w:rPr>
        <w:t xml:space="preserve"> meter installation cost of $200. </w:t>
      </w:r>
    </w:p>
    <w:p w:rsidR="00A307F6" w:rsidRDefault="00A307F6" w:rsidP="00686FE1">
      <w:pPr>
        <w:pStyle w:val="NormalWeb"/>
        <w:spacing w:before="0" w:beforeAutospacing="0" w:after="0" w:afterAutospacing="0" w:line="360" w:lineRule="auto"/>
        <w:ind w:left="1440" w:right="1440"/>
        <w:rPr>
          <w:color w:val="000000"/>
          <w:shd w:val="clear" w:color="auto" w:fill="FFFFFF"/>
        </w:rPr>
      </w:pPr>
    </w:p>
    <w:p w:rsidR="00772220" w:rsidRDefault="00772220" w:rsidP="00772220">
      <w:pPr>
        <w:pStyle w:val="NormalWeb"/>
        <w:spacing w:before="0" w:beforeAutospacing="0" w:after="0" w:afterAutospacing="0" w:line="360" w:lineRule="auto"/>
        <w:rPr>
          <w:color w:val="000000"/>
          <w:shd w:val="clear" w:color="auto" w:fill="FFFFFF"/>
        </w:rPr>
      </w:pPr>
      <w:r>
        <w:rPr>
          <w:color w:val="000000"/>
          <w:shd w:val="clear" w:color="auto" w:fill="FFFFFF"/>
        </w:rPr>
        <w:t>(</w:t>
      </w:r>
      <w:r w:rsidR="00306FE0">
        <w:rPr>
          <w:color w:val="000000"/>
          <w:shd w:val="clear" w:color="auto" w:fill="FFFFFF"/>
        </w:rPr>
        <w:t>OCA St</w:t>
      </w:r>
      <w:r>
        <w:rPr>
          <w:color w:val="000000"/>
          <w:shd w:val="clear" w:color="auto" w:fill="FFFFFF"/>
        </w:rPr>
        <w:t>atement No</w:t>
      </w:r>
      <w:r w:rsidR="00306FE0">
        <w:rPr>
          <w:color w:val="000000"/>
          <w:shd w:val="clear" w:color="auto" w:fill="FFFFFF"/>
        </w:rPr>
        <w:t>. 1</w:t>
      </w:r>
      <w:r>
        <w:rPr>
          <w:color w:val="000000"/>
          <w:shd w:val="clear" w:color="auto" w:fill="FFFFFF"/>
        </w:rPr>
        <w:t xml:space="preserve">, pp. </w:t>
      </w:r>
      <w:r w:rsidR="00306FE0">
        <w:rPr>
          <w:color w:val="000000"/>
          <w:shd w:val="clear" w:color="auto" w:fill="FFFFFF"/>
        </w:rPr>
        <w:t>13-15</w:t>
      </w:r>
      <w:r>
        <w:rPr>
          <w:color w:val="000000"/>
          <w:shd w:val="clear" w:color="auto" w:fill="FFFFFF"/>
        </w:rPr>
        <w:t xml:space="preserve">); OCA M.B., p. 22.  </w:t>
      </w:r>
    </w:p>
    <w:p w:rsidR="00154020" w:rsidRDefault="00154020" w:rsidP="00772220">
      <w:pPr>
        <w:pStyle w:val="NormalWeb"/>
        <w:spacing w:before="0" w:beforeAutospacing="0" w:after="0" w:afterAutospacing="0" w:line="360" w:lineRule="auto"/>
        <w:rPr>
          <w:color w:val="000000"/>
          <w:shd w:val="clear" w:color="auto" w:fill="FFFFFF"/>
        </w:rPr>
      </w:pPr>
    </w:p>
    <w:p w:rsidR="00154020" w:rsidRDefault="00154020" w:rsidP="00154020">
      <w:pPr>
        <w:pStyle w:val="ListParagraph"/>
        <w:spacing w:line="360" w:lineRule="auto"/>
        <w:ind w:left="0"/>
        <w:rPr>
          <w:sz w:val="24"/>
          <w:szCs w:val="24"/>
        </w:rPr>
      </w:pPr>
      <w:r>
        <w:rPr>
          <w:shd w:val="clear" w:color="auto" w:fill="FFFFFF"/>
        </w:rPr>
        <w:tab/>
      </w:r>
      <w:r>
        <w:rPr>
          <w:shd w:val="clear" w:color="auto" w:fill="FFFFFF"/>
        </w:rPr>
        <w:tab/>
      </w:r>
      <w:r w:rsidRPr="00154020">
        <w:rPr>
          <w:sz w:val="24"/>
          <w:szCs w:val="24"/>
          <w:shd w:val="clear" w:color="auto" w:fill="FFFFFF"/>
        </w:rPr>
        <w:t>In its Reply Brief</w:t>
      </w:r>
      <w:r>
        <w:rPr>
          <w:sz w:val="24"/>
          <w:szCs w:val="24"/>
          <w:shd w:val="clear" w:color="auto" w:fill="FFFFFF"/>
        </w:rPr>
        <w:t>,</w:t>
      </w:r>
      <w:r w:rsidRPr="00154020">
        <w:rPr>
          <w:sz w:val="24"/>
          <w:szCs w:val="24"/>
          <w:shd w:val="clear" w:color="auto" w:fill="FFFFFF"/>
        </w:rPr>
        <w:t xml:space="preserve"> the OCA further addresses Commission regulation Section 59.17(a).  It is the OCA’s position that this regulation requires public utilities, such as Columbia, to install at its own expense meters and regulating equipment, and as such, Columbia should not be including these costs into its </w:t>
      </w:r>
      <w:r>
        <w:rPr>
          <w:sz w:val="24"/>
          <w:szCs w:val="24"/>
          <w:shd w:val="clear" w:color="auto" w:fill="FFFFFF"/>
        </w:rPr>
        <w:t xml:space="preserve">Pilot </w:t>
      </w:r>
      <w:r w:rsidRPr="00154020">
        <w:rPr>
          <w:sz w:val="24"/>
          <w:szCs w:val="24"/>
          <w:shd w:val="clear" w:color="auto" w:fill="FFFFFF"/>
        </w:rPr>
        <w:t xml:space="preserve">Rider NAS economic model.  </w:t>
      </w:r>
      <w:r>
        <w:rPr>
          <w:sz w:val="24"/>
          <w:szCs w:val="24"/>
          <w:shd w:val="clear" w:color="auto" w:fill="FFFFFF"/>
        </w:rPr>
        <w:t xml:space="preserve">The OCA believes both Columbia’s interpretation and BI&amp;E’s interpretation of </w:t>
      </w:r>
      <w:r w:rsidRPr="00154020">
        <w:rPr>
          <w:sz w:val="24"/>
          <w:szCs w:val="24"/>
          <w:shd w:val="clear" w:color="auto" w:fill="FFFFFF"/>
        </w:rPr>
        <w:t>Section 59.17(a)</w:t>
      </w:r>
      <w:r>
        <w:rPr>
          <w:sz w:val="24"/>
          <w:szCs w:val="24"/>
          <w:shd w:val="clear" w:color="auto" w:fill="FFFFFF"/>
        </w:rPr>
        <w:t xml:space="preserve"> are strained interpretations of the plain language</w:t>
      </w:r>
      <w:r w:rsidR="00D065F2">
        <w:rPr>
          <w:sz w:val="24"/>
          <w:szCs w:val="24"/>
          <w:shd w:val="clear" w:color="auto" w:fill="FFFFFF"/>
        </w:rPr>
        <w:t xml:space="preserve"> contained therein</w:t>
      </w:r>
      <w:r>
        <w:rPr>
          <w:sz w:val="24"/>
          <w:szCs w:val="24"/>
          <w:shd w:val="clear" w:color="auto" w:fill="FFFFFF"/>
        </w:rPr>
        <w:t xml:space="preserve">.  </w:t>
      </w:r>
      <w:r w:rsidRPr="00154020">
        <w:rPr>
          <w:sz w:val="24"/>
          <w:szCs w:val="24"/>
        </w:rPr>
        <w:t>Columbia asserts that this regulation merely “prevent[s] situations where customers install and own meters.”  Columbia M.B.</w:t>
      </w:r>
      <w:r>
        <w:rPr>
          <w:sz w:val="24"/>
          <w:szCs w:val="24"/>
        </w:rPr>
        <w:t xml:space="preserve">, p. </w:t>
      </w:r>
      <w:r w:rsidRPr="00154020">
        <w:rPr>
          <w:sz w:val="24"/>
          <w:szCs w:val="24"/>
        </w:rPr>
        <w:t xml:space="preserve">23.  </w:t>
      </w:r>
      <w:r>
        <w:rPr>
          <w:sz w:val="24"/>
          <w:szCs w:val="24"/>
        </w:rPr>
        <w:t xml:space="preserve">The OCA contends that </w:t>
      </w:r>
      <w:r w:rsidRPr="00154020">
        <w:rPr>
          <w:sz w:val="24"/>
          <w:szCs w:val="24"/>
        </w:rPr>
        <w:t>Colu</w:t>
      </w:r>
      <w:r>
        <w:rPr>
          <w:sz w:val="24"/>
          <w:szCs w:val="24"/>
        </w:rPr>
        <w:t>mbia</w:t>
      </w:r>
      <w:r w:rsidRPr="00154020">
        <w:rPr>
          <w:sz w:val="24"/>
          <w:szCs w:val="24"/>
        </w:rPr>
        <w:t xml:space="preserve"> provides no explanation for its interpretation of this regulation.  </w:t>
      </w:r>
      <w:r>
        <w:rPr>
          <w:sz w:val="24"/>
          <w:szCs w:val="24"/>
        </w:rPr>
        <w:t>The OCA further argues that t</w:t>
      </w:r>
      <w:r w:rsidRPr="00154020">
        <w:rPr>
          <w:sz w:val="24"/>
          <w:szCs w:val="24"/>
        </w:rPr>
        <w:t xml:space="preserve">he regulation clearly identifies “a public utility” as the subject of the regulation, thus it is the public utility </w:t>
      </w:r>
      <w:r>
        <w:rPr>
          <w:sz w:val="24"/>
          <w:szCs w:val="24"/>
        </w:rPr>
        <w:t>that</w:t>
      </w:r>
      <w:r w:rsidRPr="00154020">
        <w:rPr>
          <w:sz w:val="24"/>
          <w:szCs w:val="24"/>
        </w:rPr>
        <w:t xml:space="preserve"> is “required to provide and install at its own expense” m</w:t>
      </w:r>
      <w:r>
        <w:rPr>
          <w:sz w:val="24"/>
          <w:szCs w:val="24"/>
        </w:rPr>
        <w:t xml:space="preserve">eters and regulating equipment.  OCA R.B., p. 10.  </w:t>
      </w:r>
    </w:p>
    <w:p w:rsidR="00154020" w:rsidRDefault="00154020" w:rsidP="00154020">
      <w:pPr>
        <w:pStyle w:val="ListParagraph"/>
        <w:spacing w:line="360" w:lineRule="auto"/>
        <w:ind w:left="0"/>
        <w:rPr>
          <w:sz w:val="24"/>
          <w:szCs w:val="24"/>
        </w:rPr>
      </w:pPr>
    </w:p>
    <w:p w:rsidR="00154020" w:rsidRDefault="00D065F2" w:rsidP="00D065F2">
      <w:pPr>
        <w:pStyle w:val="ListParagraph"/>
        <w:spacing w:line="360" w:lineRule="auto"/>
        <w:ind w:left="0" w:firstLine="1440"/>
        <w:rPr>
          <w:shd w:val="clear" w:color="auto" w:fill="FFFFFF"/>
        </w:rPr>
      </w:pPr>
      <w:r>
        <w:rPr>
          <w:sz w:val="24"/>
          <w:szCs w:val="24"/>
        </w:rPr>
        <w:t xml:space="preserve">According to the OCA, </w:t>
      </w:r>
      <w:r w:rsidR="00154020">
        <w:rPr>
          <w:sz w:val="24"/>
          <w:szCs w:val="24"/>
        </w:rPr>
        <w:t>B</w:t>
      </w:r>
      <w:r w:rsidR="00154020" w:rsidRPr="00154020">
        <w:rPr>
          <w:sz w:val="24"/>
          <w:szCs w:val="24"/>
        </w:rPr>
        <w:t xml:space="preserve">I&amp;E acknowledges in its Main Brief that this regulation makes the meter costs the Company’s responsibility, but concludes that “although meter costs are the Company’s responsibility, they are still a cost component of the extension project that should be considered in the economic model.”  </w:t>
      </w:r>
      <w:r w:rsidR="00154020">
        <w:rPr>
          <w:sz w:val="24"/>
          <w:szCs w:val="24"/>
        </w:rPr>
        <w:t>B</w:t>
      </w:r>
      <w:r w:rsidR="00154020" w:rsidRPr="00154020">
        <w:rPr>
          <w:sz w:val="24"/>
          <w:szCs w:val="24"/>
        </w:rPr>
        <w:t>I&amp;E M.B.</w:t>
      </w:r>
      <w:r w:rsidR="00154020">
        <w:rPr>
          <w:sz w:val="24"/>
          <w:szCs w:val="24"/>
        </w:rPr>
        <w:t>, p. 15.</w:t>
      </w:r>
      <w:r w:rsidR="00154020" w:rsidRPr="00154020">
        <w:rPr>
          <w:sz w:val="24"/>
          <w:szCs w:val="24"/>
        </w:rPr>
        <w:t xml:space="preserve">  </w:t>
      </w:r>
      <w:r w:rsidR="00154020">
        <w:rPr>
          <w:sz w:val="24"/>
          <w:szCs w:val="24"/>
        </w:rPr>
        <w:t>According to the OCA, B</w:t>
      </w:r>
      <w:r w:rsidR="00154020" w:rsidRPr="00154020">
        <w:rPr>
          <w:sz w:val="24"/>
          <w:szCs w:val="24"/>
        </w:rPr>
        <w:t>I&amp;E’s interpretation of this regulation is that</w:t>
      </w:r>
      <w:r w:rsidR="00154020">
        <w:rPr>
          <w:sz w:val="24"/>
          <w:szCs w:val="24"/>
        </w:rPr>
        <w:t>,</w:t>
      </w:r>
      <w:r w:rsidR="00154020" w:rsidRPr="00154020">
        <w:rPr>
          <w:sz w:val="24"/>
          <w:szCs w:val="24"/>
        </w:rPr>
        <w:t xml:space="preserve"> even though a public utility</w:t>
      </w:r>
      <w:r w:rsidR="00154020">
        <w:rPr>
          <w:sz w:val="24"/>
          <w:szCs w:val="24"/>
        </w:rPr>
        <w:t xml:space="preserve"> is required </w:t>
      </w:r>
      <w:r w:rsidR="00154020" w:rsidRPr="00154020">
        <w:rPr>
          <w:sz w:val="24"/>
          <w:szCs w:val="24"/>
        </w:rPr>
        <w:t xml:space="preserve">to “provide at its own expense” meters and regulating equipment to every customer, a public utility is free to then pass those costs on to its main extension customers.  </w:t>
      </w:r>
      <w:r w:rsidR="00154020">
        <w:rPr>
          <w:sz w:val="24"/>
          <w:szCs w:val="24"/>
        </w:rPr>
        <w:t>The OCA asserts that Section 59.17(a)</w:t>
      </w:r>
      <w:r w:rsidR="00154020" w:rsidRPr="00154020">
        <w:rPr>
          <w:sz w:val="24"/>
          <w:szCs w:val="24"/>
        </w:rPr>
        <w:t xml:space="preserve"> does not authorize public utilities to pass the costs of meters and regulating equipment directly on to customers – new or existing – and </w:t>
      </w:r>
      <w:r>
        <w:rPr>
          <w:sz w:val="24"/>
          <w:szCs w:val="24"/>
        </w:rPr>
        <w:t>also points out that B</w:t>
      </w:r>
      <w:r w:rsidR="00154020" w:rsidRPr="00154020">
        <w:rPr>
          <w:sz w:val="24"/>
          <w:szCs w:val="24"/>
        </w:rPr>
        <w:t xml:space="preserve">I&amp;E cites no regulation that permits a public utility to do so.  </w:t>
      </w:r>
      <w:r>
        <w:rPr>
          <w:sz w:val="24"/>
          <w:szCs w:val="24"/>
        </w:rPr>
        <w:t>The OCA opines that B</w:t>
      </w:r>
      <w:r w:rsidR="00154020" w:rsidRPr="00154020">
        <w:rPr>
          <w:sz w:val="24"/>
          <w:szCs w:val="24"/>
        </w:rPr>
        <w:t xml:space="preserve">I&amp;E’s interpretation renders the regulation meaningless if, as </w:t>
      </w:r>
      <w:r>
        <w:rPr>
          <w:sz w:val="24"/>
          <w:szCs w:val="24"/>
        </w:rPr>
        <w:t>B</w:t>
      </w:r>
      <w:r w:rsidR="00154020" w:rsidRPr="00154020">
        <w:rPr>
          <w:sz w:val="24"/>
          <w:szCs w:val="24"/>
        </w:rPr>
        <w:t>I&amp;E asserts, a public utility can simply pass on the costs to new customers that a regulation states the public utility is responsible for itself.</w:t>
      </w:r>
      <w:r>
        <w:rPr>
          <w:sz w:val="24"/>
          <w:szCs w:val="24"/>
        </w:rPr>
        <w:t xml:space="preserve">  OCA R.B., pp.</w:t>
      </w:r>
      <w:r w:rsidR="00815E31">
        <w:rPr>
          <w:sz w:val="24"/>
          <w:szCs w:val="24"/>
        </w:rPr>
        <w:t> </w:t>
      </w:r>
      <w:r>
        <w:rPr>
          <w:sz w:val="24"/>
          <w:szCs w:val="24"/>
        </w:rPr>
        <w:t>10</w:t>
      </w:r>
      <w:r w:rsidR="00815E31">
        <w:rPr>
          <w:sz w:val="24"/>
          <w:szCs w:val="24"/>
        </w:rPr>
        <w:noBreakHyphen/>
      </w:r>
      <w:r>
        <w:rPr>
          <w:sz w:val="24"/>
          <w:szCs w:val="24"/>
        </w:rPr>
        <w:t>11.</w:t>
      </w:r>
    </w:p>
    <w:p w:rsidR="00772220" w:rsidRDefault="00772220" w:rsidP="00772220">
      <w:pPr>
        <w:pStyle w:val="NormalWeb"/>
        <w:spacing w:before="0" w:beforeAutospacing="0" w:after="0" w:afterAutospacing="0" w:line="360" w:lineRule="auto"/>
        <w:rPr>
          <w:color w:val="000000"/>
          <w:shd w:val="clear" w:color="auto" w:fill="FFFFFF"/>
        </w:rPr>
      </w:pPr>
    </w:p>
    <w:p w:rsidR="00306FE0" w:rsidRDefault="00772220" w:rsidP="00772220">
      <w:pPr>
        <w:pStyle w:val="NormalWeb"/>
        <w:spacing w:before="0" w:beforeAutospacing="0" w:after="0" w:afterAutospacing="0" w:line="360" w:lineRule="auto"/>
        <w:ind w:firstLine="1440"/>
      </w:pPr>
      <w:r>
        <w:rPr>
          <w:color w:val="000000"/>
          <w:shd w:val="clear" w:color="auto" w:fill="FFFFFF"/>
        </w:rPr>
        <w:t>In summary, t</w:t>
      </w:r>
      <w:r w:rsidR="00306FE0">
        <w:t xml:space="preserve">he OCA submits that the economic model used in </w:t>
      </w:r>
      <w:r>
        <w:t xml:space="preserve">Pilot </w:t>
      </w:r>
      <w:r w:rsidR="00306FE0">
        <w:t xml:space="preserve">Rider NAS should reflect Mr. Watkins’ recommendations regarding the recording and treatment of service lines, meters, and regulating equipment.  </w:t>
      </w:r>
      <w:r>
        <w:t>The OCA believes d</w:t>
      </w:r>
      <w:r w:rsidR="00306FE0">
        <w:t>istinctions between the types of service lines and between the service areas necessitate separate entry lines in the economic model to ensure that only the costs associated with the appropriate service lines are included in the economic model (if service lines are to be included in the economic model at all).  In regard to including the costs of service lines, meters and reg</w:t>
      </w:r>
      <w:r w:rsidR="00CB1480">
        <w:t xml:space="preserve">ulating equipment, Mr. Watkins testified </w:t>
      </w:r>
      <w:r w:rsidR="00306FE0">
        <w:t xml:space="preserve">that inclusion of such costs does not promote the purpose of </w:t>
      </w:r>
      <w:r w:rsidR="00CB1480">
        <w:t xml:space="preserve">Pilot </w:t>
      </w:r>
      <w:r w:rsidR="00306FE0">
        <w:t>Rider NAS, does not comport with Commission regulation, and is not consistent with the cost of extending the mains.</w:t>
      </w:r>
      <w:r w:rsidR="00CB1480">
        <w:t xml:space="preserve">  The OCA contends these costs should not be included in the economic model.  </w:t>
      </w:r>
      <w:r>
        <w:t>OCA M.B., pp. 22-23.</w:t>
      </w:r>
    </w:p>
    <w:p w:rsidR="00D065F2" w:rsidRDefault="00D065F2" w:rsidP="00D065F2">
      <w:pPr>
        <w:pStyle w:val="NormalWeb"/>
        <w:spacing w:before="0" w:beforeAutospacing="0" w:after="0" w:afterAutospacing="0" w:line="360" w:lineRule="auto"/>
      </w:pPr>
    </w:p>
    <w:p w:rsidR="00D065F2" w:rsidRDefault="00D065F2" w:rsidP="00D065F2">
      <w:pPr>
        <w:pStyle w:val="NormalWeb"/>
        <w:spacing w:before="0" w:beforeAutospacing="0" w:after="0" w:afterAutospacing="0" w:line="360" w:lineRule="auto"/>
      </w:pPr>
      <w:r>
        <w:tab/>
      </w:r>
      <w:r w:rsidR="00E55C5E">
        <w:t>3</w:t>
      </w:r>
      <w:r>
        <w:t>.</w:t>
      </w:r>
      <w:r>
        <w:tab/>
      </w:r>
      <w:r w:rsidR="00597CEF" w:rsidRPr="00D065F2">
        <w:rPr>
          <w:u w:val="single"/>
        </w:rPr>
        <w:t>Additional Reporting Requirements</w:t>
      </w:r>
    </w:p>
    <w:p w:rsidR="00D065F2" w:rsidRDefault="00D065F2" w:rsidP="00D065F2">
      <w:pPr>
        <w:pStyle w:val="NormalWeb"/>
        <w:spacing w:before="0" w:beforeAutospacing="0" w:after="0" w:afterAutospacing="0" w:line="360" w:lineRule="auto"/>
      </w:pPr>
    </w:p>
    <w:p w:rsidR="001C65D8" w:rsidRDefault="001C65D8" w:rsidP="00135390">
      <w:pPr>
        <w:tabs>
          <w:tab w:val="left" w:pos="720"/>
        </w:tabs>
        <w:spacing w:line="360" w:lineRule="auto"/>
        <w:ind w:firstLine="1440"/>
      </w:pPr>
      <w:r>
        <w:t xml:space="preserve">In his Direct Testimony, OCA witness Watkins noted that Columbia did not propose any reporting requirements relating to the </w:t>
      </w:r>
      <w:r w:rsidR="00135390">
        <w:t xml:space="preserve">Pilot </w:t>
      </w:r>
      <w:r>
        <w:t xml:space="preserve">Rider NAS program.  </w:t>
      </w:r>
      <w:r w:rsidR="00135390">
        <w:t>(</w:t>
      </w:r>
      <w:r w:rsidRPr="00135390">
        <w:rPr>
          <w:i/>
        </w:rPr>
        <w:t>See</w:t>
      </w:r>
      <w:r>
        <w:t xml:space="preserve"> OCA St</w:t>
      </w:r>
      <w:r w:rsidR="00135390">
        <w:t xml:space="preserve">atement No. 1, p. </w:t>
      </w:r>
      <w:r>
        <w:t>17</w:t>
      </w:r>
      <w:r w:rsidR="00135390">
        <w:t>)</w:t>
      </w:r>
      <w:r>
        <w:t xml:space="preserve">.  Mr. Watkins recommended that Columbia be required to report annually to the Commission, the OCA and </w:t>
      </w:r>
      <w:r w:rsidR="00135390">
        <w:t>B</w:t>
      </w:r>
      <w:r>
        <w:t>I&amp;E the following:</w:t>
      </w:r>
    </w:p>
    <w:p w:rsidR="00BE49FB" w:rsidRPr="00463033" w:rsidRDefault="00BE49FB" w:rsidP="00463033">
      <w:pPr>
        <w:pStyle w:val="ListParagraph"/>
        <w:numPr>
          <w:ilvl w:val="0"/>
          <w:numId w:val="32"/>
        </w:numPr>
        <w:tabs>
          <w:tab w:val="left" w:pos="720"/>
        </w:tabs>
        <w:ind w:left="2160" w:right="1440" w:hanging="720"/>
        <w:rPr>
          <w:sz w:val="24"/>
          <w:szCs w:val="24"/>
        </w:rPr>
      </w:pPr>
      <w:r w:rsidRPr="00463033">
        <w:rPr>
          <w:sz w:val="24"/>
          <w:szCs w:val="24"/>
        </w:rPr>
        <w:t>investment per project including the economic model  results and surcharge calculation details;</w:t>
      </w:r>
    </w:p>
    <w:p w:rsidR="00BE49FB" w:rsidRPr="00BE49FB" w:rsidRDefault="00BE49FB" w:rsidP="00BE49FB">
      <w:pPr>
        <w:tabs>
          <w:tab w:val="left" w:pos="720"/>
        </w:tabs>
        <w:ind w:left="1440" w:right="1440"/>
      </w:pPr>
    </w:p>
    <w:p w:rsidR="00BE49FB" w:rsidRPr="00463033" w:rsidRDefault="00463033" w:rsidP="00463033">
      <w:pPr>
        <w:pStyle w:val="ListParagraph"/>
        <w:numPr>
          <w:ilvl w:val="0"/>
          <w:numId w:val="32"/>
        </w:numPr>
        <w:tabs>
          <w:tab w:val="left" w:pos="720"/>
        </w:tabs>
        <w:ind w:right="1440"/>
        <w:rPr>
          <w:sz w:val="24"/>
          <w:szCs w:val="24"/>
        </w:rPr>
      </w:pPr>
      <w:r>
        <w:rPr>
          <w:sz w:val="24"/>
          <w:szCs w:val="24"/>
        </w:rPr>
        <w:tab/>
      </w:r>
      <w:r w:rsidR="00BE49FB" w:rsidRPr="00463033">
        <w:rPr>
          <w:sz w:val="24"/>
          <w:szCs w:val="24"/>
        </w:rPr>
        <w:t>total distance of NAS main installed;</w:t>
      </w:r>
    </w:p>
    <w:p w:rsidR="00BE49FB" w:rsidRPr="00BE49FB" w:rsidRDefault="00BE49FB" w:rsidP="00463033">
      <w:pPr>
        <w:tabs>
          <w:tab w:val="left" w:pos="720"/>
        </w:tabs>
        <w:ind w:left="1440" w:right="1440"/>
      </w:pPr>
    </w:p>
    <w:p w:rsidR="00BE49FB" w:rsidRPr="00463033" w:rsidRDefault="00BE49FB" w:rsidP="00463033">
      <w:pPr>
        <w:pStyle w:val="ListParagraph"/>
        <w:numPr>
          <w:ilvl w:val="0"/>
          <w:numId w:val="32"/>
        </w:numPr>
        <w:tabs>
          <w:tab w:val="left" w:pos="720"/>
        </w:tabs>
        <w:ind w:left="2160" w:right="1440" w:hanging="720"/>
        <w:rPr>
          <w:sz w:val="24"/>
          <w:szCs w:val="24"/>
        </w:rPr>
      </w:pPr>
      <w:r w:rsidRPr="00463033">
        <w:rPr>
          <w:sz w:val="24"/>
          <w:szCs w:val="24"/>
        </w:rPr>
        <w:t>number of customers connected by project and number of subsequent connections to NAS extensions;</w:t>
      </w:r>
    </w:p>
    <w:p w:rsidR="00BE49FB" w:rsidRPr="00463033" w:rsidRDefault="00BE49FB" w:rsidP="00463033">
      <w:pPr>
        <w:pStyle w:val="ListParagraph"/>
        <w:numPr>
          <w:ilvl w:val="0"/>
          <w:numId w:val="32"/>
        </w:numPr>
        <w:tabs>
          <w:tab w:val="left" w:pos="720"/>
        </w:tabs>
        <w:ind w:left="2160" w:right="1440" w:hanging="720"/>
        <w:rPr>
          <w:sz w:val="24"/>
          <w:szCs w:val="24"/>
        </w:rPr>
      </w:pPr>
      <w:r w:rsidRPr="00463033">
        <w:rPr>
          <w:sz w:val="24"/>
          <w:szCs w:val="24"/>
        </w:rPr>
        <w:t>NAS revenues received by principal and interest;</w:t>
      </w:r>
    </w:p>
    <w:p w:rsidR="00BE49FB" w:rsidRPr="00463033" w:rsidRDefault="00BE49FB" w:rsidP="00463033">
      <w:pPr>
        <w:tabs>
          <w:tab w:val="left" w:pos="720"/>
        </w:tabs>
        <w:ind w:left="2160" w:right="1440" w:hanging="720"/>
      </w:pPr>
    </w:p>
    <w:p w:rsidR="00BE49FB" w:rsidRPr="00463033" w:rsidRDefault="00BE49FB" w:rsidP="00463033">
      <w:pPr>
        <w:pStyle w:val="ListParagraph"/>
        <w:numPr>
          <w:ilvl w:val="0"/>
          <w:numId w:val="32"/>
        </w:numPr>
        <w:tabs>
          <w:tab w:val="left" w:pos="720"/>
        </w:tabs>
        <w:ind w:left="2160" w:right="1440" w:hanging="720"/>
        <w:rPr>
          <w:sz w:val="24"/>
          <w:szCs w:val="24"/>
        </w:rPr>
      </w:pPr>
      <w:r w:rsidRPr="00463033">
        <w:rPr>
          <w:sz w:val="24"/>
          <w:szCs w:val="24"/>
        </w:rPr>
        <w:t>annual NAS participant average use per customer (by residential and commercial sectors if applicable);</w:t>
      </w:r>
    </w:p>
    <w:p w:rsidR="00BE49FB" w:rsidRPr="00463033" w:rsidRDefault="00BE49FB" w:rsidP="00463033">
      <w:pPr>
        <w:tabs>
          <w:tab w:val="left" w:pos="720"/>
        </w:tabs>
        <w:ind w:left="2160" w:right="1440" w:hanging="720"/>
      </w:pPr>
    </w:p>
    <w:p w:rsidR="00BE49FB" w:rsidRPr="00463033" w:rsidRDefault="00BE49FB" w:rsidP="00463033">
      <w:pPr>
        <w:pStyle w:val="ListParagraph"/>
        <w:numPr>
          <w:ilvl w:val="0"/>
          <w:numId w:val="32"/>
        </w:numPr>
        <w:tabs>
          <w:tab w:val="left" w:pos="720"/>
        </w:tabs>
        <w:ind w:left="2160" w:right="1440" w:hanging="720"/>
        <w:rPr>
          <w:sz w:val="24"/>
          <w:szCs w:val="24"/>
        </w:rPr>
      </w:pPr>
      <w:r w:rsidRPr="00463033">
        <w:rPr>
          <w:sz w:val="24"/>
          <w:szCs w:val="24"/>
        </w:rPr>
        <w:t xml:space="preserve">average NAS participant investment cost per customer (by residential and commercial sectors if applicable); </w:t>
      </w:r>
    </w:p>
    <w:p w:rsidR="00BE49FB" w:rsidRPr="00463033" w:rsidRDefault="00BE49FB" w:rsidP="00463033">
      <w:pPr>
        <w:tabs>
          <w:tab w:val="left" w:pos="720"/>
        </w:tabs>
        <w:ind w:left="2160" w:right="1440" w:hanging="720"/>
      </w:pPr>
    </w:p>
    <w:p w:rsidR="00BE49FB" w:rsidRPr="00463033" w:rsidRDefault="00BE49FB" w:rsidP="00463033">
      <w:pPr>
        <w:pStyle w:val="ListParagraph"/>
        <w:numPr>
          <w:ilvl w:val="0"/>
          <w:numId w:val="32"/>
        </w:numPr>
        <w:tabs>
          <w:tab w:val="left" w:pos="720"/>
        </w:tabs>
        <w:ind w:left="2160" w:right="1440" w:hanging="720"/>
        <w:rPr>
          <w:sz w:val="24"/>
          <w:szCs w:val="24"/>
        </w:rPr>
      </w:pPr>
      <w:r w:rsidRPr="00463033">
        <w:rPr>
          <w:sz w:val="24"/>
          <w:szCs w:val="24"/>
        </w:rPr>
        <w:t>the number of customers along NAS extensions who have not yet connected and, to the extent available, why;</w:t>
      </w:r>
    </w:p>
    <w:p w:rsidR="00BE49FB" w:rsidRPr="00463033" w:rsidRDefault="00BE49FB" w:rsidP="00463033">
      <w:pPr>
        <w:tabs>
          <w:tab w:val="left" w:pos="720"/>
        </w:tabs>
        <w:ind w:left="2160" w:right="1440" w:hanging="720"/>
      </w:pPr>
    </w:p>
    <w:p w:rsidR="00BE49FB" w:rsidRPr="00463033" w:rsidRDefault="00BE49FB" w:rsidP="00463033">
      <w:pPr>
        <w:pStyle w:val="ListParagraph"/>
        <w:numPr>
          <w:ilvl w:val="0"/>
          <w:numId w:val="32"/>
        </w:numPr>
        <w:tabs>
          <w:tab w:val="left" w:pos="720"/>
        </w:tabs>
        <w:ind w:left="2160" w:right="1440" w:hanging="720"/>
        <w:rPr>
          <w:sz w:val="24"/>
          <w:szCs w:val="24"/>
        </w:rPr>
      </w:pPr>
      <w:r w:rsidRPr="00463033">
        <w:rPr>
          <w:sz w:val="24"/>
          <w:szCs w:val="24"/>
        </w:rPr>
        <w:t>direct program expenses;</w:t>
      </w:r>
    </w:p>
    <w:p w:rsidR="00BE49FB" w:rsidRPr="00463033" w:rsidRDefault="00BE49FB" w:rsidP="00463033">
      <w:pPr>
        <w:tabs>
          <w:tab w:val="left" w:pos="720"/>
        </w:tabs>
        <w:ind w:left="2160" w:right="1440" w:hanging="720"/>
      </w:pPr>
    </w:p>
    <w:p w:rsidR="00BE49FB" w:rsidRPr="00463033" w:rsidRDefault="00BE49FB" w:rsidP="00463033">
      <w:pPr>
        <w:pStyle w:val="ListParagraph"/>
        <w:numPr>
          <w:ilvl w:val="0"/>
          <w:numId w:val="32"/>
        </w:numPr>
        <w:tabs>
          <w:tab w:val="left" w:pos="720"/>
        </w:tabs>
        <w:ind w:left="2160" w:right="1440" w:hanging="720"/>
        <w:rPr>
          <w:sz w:val="24"/>
          <w:szCs w:val="24"/>
        </w:rPr>
      </w:pPr>
      <w:r w:rsidRPr="00463033">
        <w:rPr>
          <w:sz w:val="24"/>
          <w:szCs w:val="24"/>
        </w:rPr>
        <w:t>data on collections, including efforts for unpaid surcharge amounts; and,</w:t>
      </w:r>
    </w:p>
    <w:p w:rsidR="00BE49FB" w:rsidRPr="00463033" w:rsidRDefault="00BE49FB" w:rsidP="00463033">
      <w:pPr>
        <w:tabs>
          <w:tab w:val="left" w:pos="720"/>
        </w:tabs>
        <w:ind w:left="2160" w:right="1440" w:hanging="720"/>
      </w:pPr>
    </w:p>
    <w:p w:rsidR="00BE49FB" w:rsidRPr="00463033" w:rsidRDefault="00BE49FB" w:rsidP="00463033">
      <w:pPr>
        <w:pStyle w:val="ListParagraph"/>
        <w:numPr>
          <w:ilvl w:val="0"/>
          <w:numId w:val="32"/>
        </w:numPr>
        <w:tabs>
          <w:tab w:val="left" w:pos="720"/>
        </w:tabs>
        <w:ind w:left="2160" w:right="1440" w:hanging="720"/>
        <w:rPr>
          <w:sz w:val="24"/>
          <w:szCs w:val="24"/>
        </w:rPr>
      </w:pPr>
      <w:r w:rsidRPr="00463033">
        <w:rPr>
          <w:sz w:val="24"/>
          <w:szCs w:val="24"/>
        </w:rPr>
        <w:t>the number of applicants turned down for insufficient credit.</w:t>
      </w:r>
    </w:p>
    <w:p w:rsidR="00BE49FB" w:rsidRPr="00463033" w:rsidRDefault="00BE49FB" w:rsidP="00135390">
      <w:pPr>
        <w:tabs>
          <w:tab w:val="left" w:pos="720"/>
        </w:tabs>
        <w:spacing w:line="360" w:lineRule="auto"/>
        <w:ind w:firstLine="1440"/>
      </w:pPr>
    </w:p>
    <w:p w:rsidR="006704B2" w:rsidRDefault="00135390" w:rsidP="006704B2">
      <w:pPr>
        <w:tabs>
          <w:tab w:val="left" w:pos="0"/>
        </w:tabs>
        <w:spacing w:line="360" w:lineRule="auto"/>
      </w:pPr>
      <w:r>
        <w:t>(</w:t>
      </w:r>
      <w:r w:rsidR="001C65D8" w:rsidRPr="00135390">
        <w:rPr>
          <w:i/>
        </w:rPr>
        <w:t xml:space="preserve">See </w:t>
      </w:r>
      <w:r w:rsidR="001C65D8">
        <w:t>OCA St</w:t>
      </w:r>
      <w:r>
        <w:t>atement No</w:t>
      </w:r>
      <w:r w:rsidR="001C65D8">
        <w:t>. 1</w:t>
      </w:r>
      <w:r>
        <w:t>, pp. 1</w:t>
      </w:r>
      <w:r w:rsidR="001C65D8">
        <w:t>8-19</w:t>
      </w:r>
      <w:r>
        <w:t>)</w:t>
      </w:r>
      <w:r w:rsidR="001C65D8">
        <w:t xml:space="preserve">.  In her Rebuttal Testimony, </w:t>
      </w:r>
      <w:r>
        <w:t>B</w:t>
      </w:r>
      <w:r w:rsidR="001C65D8">
        <w:t>I&amp;E witness Boyd supported OCA witness Watkins</w:t>
      </w:r>
      <w:r w:rsidR="00D679F6">
        <w:t>’</w:t>
      </w:r>
      <w:r w:rsidR="001C65D8">
        <w:t xml:space="preserve"> recommended reporting requirements. </w:t>
      </w:r>
      <w:r w:rsidR="00D679F6">
        <w:t xml:space="preserve"> </w:t>
      </w:r>
      <w:r w:rsidR="006704B2">
        <w:t>(</w:t>
      </w:r>
      <w:r w:rsidR="001C65D8" w:rsidRPr="006704B2">
        <w:rPr>
          <w:i/>
        </w:rPr>
        <w:t>See</w:t>
      </w:r>
      <w:r w:rsidR="001C65D8">
        <w:t xml:space="preserve"> </w:t>
      </w:r>
      <w:r w:rsidR="006704B2">
        <w:t>B</w:t>
      </w:r>
      <w:r w:rsidR="001C65D8">
        <w:t>I&amp;E St</w:t>
      </w:r>
      <w:r w:rsidR="006704B2">
        <w:t>atement No</w:t>
      </w:r>
      <w:r w:rsidR="001C65D8">
        <w:t>. 1-R</w:t>
      </w:r>
      <w:r w:rsidR="006704B2">
        <w:t xml:space="preserve">, p. </w:t>
      </w:r>
      <w:r w:rsidR="001C65D8">
        <w:t>20</w:t>
      </w:r>
      <w:r w:rsidR="006704B2">
        <w:t>)</w:t>
      </w:r>
      <w:r w:rsidR="00BF5A83">
        <w:t>; OCA M.B., p. 23.</w:t>
      </w:r>
      <w:r w:rsidR="006704B2">
        <w:t xml:space="preserve">  </w:t>
      </w:r>
    </w:p>
    <w:p w:rsidR="006704B2" w:rsidRDefault="006704B2" w:rsidP="006704B2">
      <w:pPr>
        <w:tabs>
          <w:tab w:val="left" w:pos="0"/>
        </w:tabs>
        <w:spacing w:line="360" w:lineRule="auto"/>
      </w:pPr>
    </w:p>
    <w:p w:rsidR="006704B2" w:rsidRDefault="001C65D8" w:rsidP="006704B2">
      <w:pPr>
        <w:tabs>
          <w:tab w:val="left" w:pos="0"/>
        </w:tabs>
        <w:spacing w:line="360" w:lineRule="auto"/>
        <w:ind w:firstLine="1440"/>
      </w:pPr>
      <w:r>
        <w:t xml:space="preserve">In his Rebuttal Testimony, Columbia witness Evans stated that the Company agrees with OCA witness Watkins’ recommended annual reporting requirements except for (g).  </w:t>
      </w:r>
      <w:r w:rsidR="006704B2">
        <w:t>(</w:t>
      </w:r>
      <w:r>
        <w:t>Columbia St</w:t>
      </w:r>
      <w:r w:rsidR="006704B2">
        <w:t xml:space="preserve">atement No. 1-R, p. </w:t>
      </w:r>
      <w:r>
        <w:t>10</w:t>
      </w:r>
      <w:r w:rsidR="006704B2">
        <w:t>)</w:t>
      </w:r>
      <w:r>
        <w:t xml:space="preserve">.  Mr. Evans testified that in order for Columbia to provide the information requested in (g) above, the Company would have to survey each potential customer along the proposed extension and determine why the potential customers were not connecting to the extension, which “would pose additional cost and effort for little reason.”  </w:t>
      </w:r>
      <w:r w:rsidRPr="006704B2">
        <w:rPr>
          <w:i/>
        </w:rPr>
        <w:t>Id</w:t>
      </w:r>
      <w:r>
        <w:t xml:space="preserve">. at 11.  Also, Mr. Evans testified that it could be difficult to determine who the potential customers along an extension are.  </w:t>
      </w:r>
      <w:r w:rsidRPr="006704B2">
        <w:rPr>
          <w:i/>
        </w:rPr>
        <w:t>Id</w:t>
      </w:r>
      <w:r>
        <w:t xml:space="preserve">.  As a replacement for (g), Mr. Evans stated that Columbia would agree to identify the number of projects evaluated for </w:t>
      </w:r>
      <w:r w:rsidR="006704B2">
        <w:t xml:space="preserve">Pilot </w:t>
      </w:r>
      <w:r>
        <w:t xml:space="preserve">Rider NAS service that did not elect to go forward under </w:t>
      </w:r>
      <w:r w:rsidR="006704B2">
        <w:t xml:space="preserve">Pilot </w:t>
      </w:r>
      <w:r>
        <w:t xml:space="preserve">Rider NAS.  </w:t>
      </w:r>
      <w:r w:rsidRPr="006704B2">
        <w:rPr>
          <w:i/>
        </w:rPr>
        <w:t>Id</w:t>
      </w:r>
      <w:r w:rsidR="00BF5A83">
        <w:t>; OCA M.B., pp. 23-24.</w:t>
      </w:r>
      <w:r w:rsidR="006704B2">
        <w:t xml:space="preserve">  </w:t>
      </w:r>
    </w:p>
    <w:p w:rsidR="006704B2" w:rsidRDefault="006704B2" w:rsidP="006704B2">
      <w:pPr>
        <w:tabs>
          <w:tab w:val="left" w:pos="0"/>
        </w:tabs>
        <w:spacing w:line="360" w:lineRule="auto"/>
        <w:ind w:firstLine="1440"/>
      </w:pPr>
    </w:p>
    <w:p w:rsidR="00BF5A83" w:rsidRDefault="001C65D8" w:rsidP="00BF5A83">
      <w:pPr>
        <w:tabs>
          <w:tab w:val="left" w:pos="0"/>
        </w:tabs>
        <w:spacing w:line="360" w:lineRule="auto"/>
        <w:ind w:firstLine="1440"/>
      </w:pPr>
      <w:r>
        <w:t xml:space="preserve">The OCA submits that the additional information relating to the number of projects evaluated for </w:t>
      </w:r>
      <w:r w:rsidR="006704B2">
        <w:t xml:space="preserve">Pilot </w:t>
      </w:r>
      <w:r>
        <w:t xml:space="preserve">Rider NAS service that did not elect to go forward under </w:t>
      </w:r>
      <w:r w:rsidR="00BF5A83">
        <w:t xml:space="preserve">Pilot </w:t>
      </w:r>
      <w:r>
        <w:t xml:space="preserve">Rider NAS, which Columbia agrees to provide in its annual reporting to the Commission, the OCA and </w:t>
      </w:r>
      <w:r w:rsidR="00BF5A83">
        <w:t>B</w:t>
      </w:r>
      <w:r>
        <w:t xml:space="preserve">I&amp;E, would be useful and should be provided.  The OCA, however, submits that Columbia’s concern regarding the determination of the number of potential customers along a </w:t>
      </w:r>
      <w:r w:rsidR="00BF5A83">
        <w:t xml:space="preserve">Pilot </w:t>
      </w:r>
      <w:r>
        <w:t>Rider NAS extension that do not connect to gas service may be overstated, particularly since Columbia should be attempting to maximize the number of customers connecting to a new main through outreach efforts.</w:t>
      </w:r>
      <w:r w:rsidR="00BF5A83">
        <w:t xml:space="preserve">  OCA M.B., p. 24.  </w:t>
      </w:r>
    </w:p>
    <w:p w:rsidR="00BF5A83" w:rsidRDefault="00BF5A83" w:rsidP="00BF5A83">
      <w:pPr>
        <w:tabs>
          <w:tab w:val="left" w:pos="0"/>
        </w:tabs>
        <w:spacing w:line="360" w:lineRule="auto"/>
        <w:ind w:firstLine="1440"/>
      </w:pPr>
    </w:p>
    <w:p w:rsidR="00BF5A83" w:rsidRDefault="001C65D8" w:rsidP="00BF5A83">
      <w:pPr>
        <w:tabs>
          <w:tab w:val="left" w:pos="0"/>
        </w:tabs>
        <w:spacing w:line="360" w:lineRule="auto"/>
        <w:ind w:firstLine="1440"/>
      </w:pPr>
      <w:r>
        <w:t xml:space="preserve">The OCA submits that it would be reasonable for Columbia to contact all structure owners with mailing or delivery addresses along a potential </w:t>
      </w:r>
      <w:r w:rsidR="00836A9F">
        <w:t xml:space="preserve">Pilot </w:t>
      </w:r>
      <w:r>
        <w:t>Rider NAS extension route to determine if they will connect to natural gas service if the extension is completed.  If structure owners do not accept natural gas service from the extension, Columbia should follow up with the owners to determine the reasons therefor.</w:t>
      </w:r>
      <w:r w:rsidR="00BF5A83">
        <w:rPr>
          <w:rStyle w:val="FootnoteReference"/>
        </w:rPr>
        <w:footnoteReference w:id="10"/>
      </w:r>
      <w:r>
        <w:t xml:space="preserve">  The OCA submits that such information is crucial to evaluating the </w:t>
      </w:r>
      <w:r w:rsidR="007315DF">
        <w:t xml:space="preserve">Pilot </w:t>
      </w:r>
      <w:r>
        <w:t>Rider NAS program and its attractiveness to potential customers.</w:t>
      </w:r>
      <w:r w:rsidR="00BF5A83">
        <w:t xml:space="preserve">  OCA M.B., p. 24.  </w:t>
      </w:r>
    </w:p>
    <w:p w:rsidR="00A311B8" w:rsidRDefault="00A311B8" w:rsidP="00BF5A83">
      <w:pPr>
        <w:tabs>
          <w:tab w:val="left" w:pos="0"/>
        </w:tabs>
        <w:spacing w:line="360" w:lineRule="auto"/>
        <w:ind w:firstLine="1440"/>
      </w:pPr>
    </w:p>
    <w:p w:rsidR="00A311B8" w:rsidRDefault="00A311B8" w:rsidP="00EF5546">
      <w:pPr>
        <w:tabs>
          <w:tab w:val="left" w:pos="720"/>
          <w:tab w:val="left" w:pos="9360"/>
        </w:tabs>
        <w:spacing w:line="360" w:lineRule="auto"/>
        <w:ind w:firstLine="1440"/>
      </w:pPr>
      <w:r>
        <w:t xml:space="preserve">The OCA submits that the Company should be required to provide to </w:t>
      </w:r>
      <w:r w:rsidR="00EF5546">
        <w:t xml:space="preserve">Pilot </w:t>
      </w:r>
      <w:r>
        <w:t xml:space="preserve">Rider NAS applicants in writing the amount of </w:t>
      </w:r>
      <w:proofErr w:type="spellStart"/>
      <w:r w:rsidR="00AA3877">
        <w:t>up front</w:t>
      </w:r>
      <w:proofErr w:type="spellEnd"/>
      <w:r>
        <w:t xml:space="preserve"> payment due, the amount of the </w:t>
      </w:r>
      <w:r w:rsidR="00EF5546">
        <w:t xml:space="preserve">Pilot </w:t>
      </w:r>
      <w:r>
        <w:t>Rider NAS monthly surcharge, the term of the surcharge (20 years) and the interest rate used to calculate the surcharge amount so that applicants can make informed decisions.</w:t>
      </w:r>
      <w:r>
        <w:rPr>
          <w:rStyle w:val="FootnoteReference"/>
        </w:rPr>
        <w:footnoteReference w:id="11"/>
      </w:r>
      <w:r>
        <w:t xml:space="preserve">  </w:t>
      </w:r>
      <w:r w:rsidR="00EF5546">
        <w:t>The OCA opines that s</w:t>
      </w:r>
      <w:r>
        <w:t xml:space="preserve">uch information is crucial for </w:t>
      </w:r>
      <w:r w:rsidR="00EF5546">
        <w:t xml:space="preserve">Pilot </w:t>
      </w:r>
      <w:r>
        <w:t xml:space="preserve">Rider NAS applicants to make a meaningful and informed decision regarding whether the use of </w:t>
      </w:r>
      <w:r w:rsidR="00EF5546">
        <w:t xml:space="preserve">Pilot </w:t>
      </w:r>
      <w:r>
        <w:t>Rider NAS is right for their situations and circumstances.  OCA M.B., p. 16.</w:t>
      </w:r>
    </w:p>
    <w:p w:rsidR="00BF5A83" w:rsidRDefault="00BF5A83" w:rsidP="00BF5A83">
      <w:pPr>
        <w:tabs>
          <w:tab w:val="left" w:pos="0"/>
        </w:tabs>
        <w:spacing w:line="360" w:lineRule="auto"/>
        <w:ind w:firstLine="1440"/>
      </w:pPr>
    </w:p>
    <w:p w:rsidR="001C65D8" w:rsidRDefault="00BF5A83" w:rsidP="00BF5A83">
      <w:pPr>
        <w:tabs>
          <w:tab w:val="left" w:pos="0"/>
        </w:tabs>
        <w:spacing w:line="360" w:lineRule="auto"/>
        <w:ind w:firstLine="1440"/>
      </w:pPr>
      <w:r>
        <w:t>In summary, the OCA argues</w:t>
      </w:r>
      <w:r w:rsidR="001C65D8">
        <w:t xml:space="preserve"> Columbia should be directed to provide all of the information in OCA witness Watkins’ recommended reporting requirements listed above to the Commission, the OCA and </w:t>
      </w:r>
      <w:r>
        <w:t>B</w:t>
      </w:r>
      <w:r w:rsidR="001C65D8">
        <w:t xml:space="preserve">I&amp;E annually for the duration of the </w:t>
      </w:r>
      <w:r>
        <w:t xml:space="preserve">Pilot </w:t>
      </w:r>
      <w:r w:rsidR="001C65D8">
        <w:t xml:space="preserve">Rider NAS program.  Additionally, as Columbia witness Evans stated the Company agreed to do, Columbia should be directed to identify the number of projects evaluated for </w:t>
      </w:r>
      <w:r>
        <w:t xml:space="preserve">Pilot </w:t>
      </w:r>
      <w:r w:rsidR="001C65D8">
        <w:t xml:space="preserve">Rider NAS service that did not elect to go forward under </w:t>
      </w:r>
      <w:r>
        <w:t xml:space="preserve">Pilot </w:t>
      </w:r>
      <w:r w:rsidR="001C65D8">
        <w:t xml:space="preserve">Rider NAS in its annual reporting to the Commission, the OCA and </w:t>
      </w:r>
      <w:r>
        <w:t>B</w:t>
      </w:r>
      <w:r w:rsidR="001C65D8">
        <w:t>I&amp;E.</w:t>
      </w:r>
      <w:r w:rsidR="00EF5546">
        <w:t xml:space="preserve">  OCA M.B., pp. 24-25; OCA R.B., pp. 11-13.</w:t>
      </w:r>
    </w:p>
    <w:p w:rsidR="00EF5546" w:rsidRDefault="00EF5546" w:rsidP="00EF5546">
      <w:pPr>
        <w:tabs>
          <w:tab w:val="left" w:pos="0"/>
        </w:tabs>
        <w:spacing w:line="360" w:lineRule="auto"/>
      </w:pPr>
    </w:p>
    <w:p w:rsidR="00EF5546" w:rsidRDefault="00EF5546" w:rsidP="00EF5546">
      <w:pPr>
        <w:tabs>
          <w:tab w:val="left" w:pos="0"/>
        </w:tabs>
        <w:spacing w:line="360" w:lineRule="auto"/>
      </w:pPr>
      <w:r>
        <w:tab/>
      </w:r>
      <w:r w:rsidR="007036B0">
        <w:t>4</w:t>
      </w:r>
      <w:r>
        <w:t>.</w:t>
      </w:r>
      <w:r>
        <w:tab/>
      </w:r>
      <w:r w:rsidR="004A03B4">
        <w:rPr>
          <w:u w:val="single"/>
        </w:rPr>
        <w:t>Treatment of Residential Developers</w:t>
      </w:r>
    </w:p>
    <w:p w:rsidR="00EF5546" w:rsidRDefault="00EF5546" w:rsidP="00EF5546">
      <w:pPr>
        <w:tabs>
          <w:tab w:val="left" w:pos="0"/>
        </w:tabs>
        <w:spacing w:line="360" w:lineRule="auto"/>
      </w:pPr>
    </w:p>
    <w:p w:rsidR="00594B28" w:rsidRDefault="00B11949" w:rsidP="00594B28">
      <w:pPr>
        <w:tabs>
          <w:tab w:val="left" w:pos="0"/>
        </w:tabs>
        <w:spacing w:line="360" w:lineRule="auto"/>
        <w:ind w:right="-86" w:firstLine="1440"/>
      </w:pPr>
      <w:r>
        <w:t xml:space="preserve">Columbia proposes that </w:t>
      </w:r>
      <w:r w:rsidR="00CC3384">
        <w:t xml:space="preserve">Pilot </w:t>
      </w:r>
      <w:r>
        <w:t xml:space="preserve">Rider NAS be available to </w:t>
      </w:r>
      <w:r w:rsidRPr="00AA3877">
        <w:t>bona fide</w:t>
      </w:r>
      <w:r>
        <w:t xml:space="preserve"> residential developers.  </w:t>
      </w:r>
      <w:r w:rsidR="00CC3384">
        <w:t>(</w:t>
      </w:r>
      <w:r>
        <w:t>Col</w:t>
      </w:r>
      <w:r w:rsidR="00CC3384">
        <w:t xml:space="preserve">umbia Exh. EAE-4 at Fifth Rev. p. </w:t>
      </w:r>
      <w:r>
        <w:t>174</w:t>
      </w:r>
      <w:r w:rsidR="00CC3384">
        <w:t>)</w:t>
      </w:r>
      <w:r>
        <w:t xml:space="preserve">.  A </w:t>
      </w:r>
      <w:r w:rsidRPr="00AA3877">
        <w:t>bona fide</w:t>
      </w:r>
      <w:r>
        <w:t xml:space="preserve"> residential developer is defined as: </w:t>
      </w:r>
      <w:r w:rsidR="00D53D8F">
        <w:t xml:space="preserve"> </w:t>
      </w:r>
      <w:r>
        <w:t>“a developer of residential dwellings, building in an area where Columbia does not currently provide service and requests to obtain gas service</w:t>
      </w:r>
      <w:r w:rsidRPr="00D53D8F">
        <w:t xml:space="preserve">.”  </w:t>
      </w:r>
      <w:r w:rsidR="00CC3384" w:rsidRPr="00D53D8F">
        <w:t>(</w:t>
      </w:r>
      <w:r>
        <w:t xml:space="preserve">Columbia Exh. EAE-4 at Fifth Rev. </w:t>
      </w:r>
      <w:r w:rsidR="00CD36BE">
        <w:t>P</w:t>
      </w:r>
      <w:r w:rsidR="00CC3384">
        <w:t xml:space="preserve">. </w:t>
      </w:r>
      <w:r>
        <w:t>175</w:t>
      </w:r>
      <w:r w:rsidR="00CC3384">
        <w:t>)</w:t>
      </w:r>
      <w:r>
        <w:t xml:space="preserve">.  Columbia will consider </w:t>
      </w:r>
      <w:r w:rsidRPr="00AA3877">
        <w:t>bona fide</w:t>
      </w:r>
      <w:r>
        <w:t xml:space="preserve"> residential developer applicants for </w:t>
      </w:r>
      <w:r w:rsidR="00CC3384">
        <w:t xml:space="preserve">Pilot </w:t>
      </w:r>
      <w:r>
        <w:t xml:space="preserve">Rider NAS “based on the number of potential customers, the density of the area seeking service, the potential usage and the cost of extending or expanding service.”  </w:t>
      </w:r>
      <w:r w:rsidR="00CC3384">
        <w:t>(</w:t>
      </w:r>
      <w:r>
        <w:t>Columbia St</w:t>
      </w:r>
      <w:r w:rsidR="00CC3384">
        <w:t>atement No</w:t>
      </w:r>
      <w:r>
        <w:t>. 1</w:t>
      </w:r>
      <w:r w:rsidR="00CC3384">
        <w:t>, p.</w:t>
      </w:r>
      <w:r w:rsidR="004A03B4">
        <w:t> </w:t>
      </w:r>
      <w:r>
        <w:t>4</w:t>
      </w:r>
      <w:r w:rsidR="00CC3384">
        <w:t>)</w:t>
      </w:r>
      <w:r>
        <w:t xml:space="preserve">.  In such cases, the </w:t>
      </w:r>
      <w:r w:rsidR="00CC3384">
        <w:t xml:space="preserve">Pilot </w:t>
      </w:r>
      <w:r>
        <w:t xml:space="preserve">Rider NAS surcharge would be the responsibility of whoever is paying the monthly bill after the meter is set.  </w:t>
      </w:r>
      <w:r w:rsidR="00594B28">
        <w:t>(</w:t>
      </w:r>
      <w:r>
        <w:t>Columbia St</w:t>
      </w:r>
      <w:r w:rsidR="00594B28">
        <w:t>atement No</w:t>
      </w:r>
      <w:r>
        <w:t>. 1</w:t>
      </w:r>
      <w:r w:rsidR="00594B28">
        <w:t xml:space="preserve">, p. </w:t>
      </w:r>
      <w:r>
        <w:t>4; Tr. 18</w:t>
      </w:r>
      <w:r w:rsidR="00594B28">
        <w:t xml:space="preserve">); OCA M.B., p. 25.  </w:t>
      </w:r>
    </w:p>
    <w:p w:rsidR="00594B28" w:rsidRDefault="00594B28" w:rsidP="00594B28">
      <w:pPr>
        <w:tabs>
          <w:tab w:val="left" w:pos="0"/>
        </w:tabs>
        <w:spacing w:line="360" w:lineRule="auto"/>
        <w:ind w:right="-86" w:firstLine="1440"/>
      </w:pPr>
    </w:p>
    <w:p w:rsidR="00B11949" w:rsidRDefault="00B11949" w:rsidP="00594B28">
      <w:pPr>
        <w:tabs>
          <w:tab w:val="left" w:pos="0"/>
        </w:tabs>
        <w:spacing w:line="360" w:lineRule="auto"/>
        <w:ind w:right="-86" w:firstLine="1440"/>
      </w:pPr>
      <w:r>
        <w:t xml:space="preserve">In his Direct Testimony, OCA witness Watkins testified that he is concerned about the proposed availability of </w:t>
      </w:r>
      <w:r w:rsidR="006627C4">
        <w:t xml:space="preserve">Pilot </w:t>
      </w:r>
      <w:r>
        <w:t>Rider NAS to residential developers.  Specifically, Mr. Watkins testified</w:t>
      </w:r>
      <w:r w:rsidR="006627C4">
        <w:t xml:space="preserve"> as follows</w:t>
      </w:r>
      <w:r>
        <w:t>:</w:t>
      </w:r>
    </w:p>
    <w:p w:rsidR="00B11949" w:rsidRDefault="00B11949" w:rsidP="006627C4">
      <w:pPr>
        <w:pStyle w:val="NormalWeb"/>
        <w:spacing w:before="0" w:beforeAutospacing="0" w:after="0" w:afterAutospacing="0"/>
        <w:ind w:left="1440" w:right="1440"/>
        <w:rPr>
          <w:color w:val="000000"/>
          <w:shd w:val="clear" w:color="auto" w:fill="FFFFFF"/>
        </w:rPr>
      </w:pPr>
      <w:r>
        <w:rPr>
          <w:color w:val="000000"/>
          <w:shd w:val="clear" w:color="auto" w:fill="FFFFFF"/>
        </w:rPr>
        <w:tab/>
        <w:t xml:space="preserve">As I understand Columbia’s proposal, Columbia would change its current policy of requiring contributions from developers, and instead install new mains in developments at no cost to the developer and when new homes are built and occupied, the new homeowner will then be required to either pay their proportionate share of an </w:t>
      </w:r>
      <w:proofErr w:type="spellStart"/>
      <w:r w:rsidR="00AA3877">
        <w:rPr>
          <w:color w:val="000000"/>
          <w:shd w:val="clear" w:color="auto" w:fill="FFFFFF"/>
        </w:rPr>
        <w:t>up front</w:t>
      </w:r>
      <w:proofErr w:type="spellEnd"/>
      <w:r>
        <w:rPr>
          <w:color w:val="000000"/>
          <w:shd w:val="clear" w:color="auto" w:fill="FFFFFF"/>
        </w:rPr>
        <w:t xml:space="preserve"> cash contribution or finance this amount over 20 years.  While there is no doubt that the homes built in these new developments will have natural gas heating equipment and appliances installed, the new homeowners will obviously need to subscribe to Columbia as its NGDC provider.  I am extremely concerned that these potential new homeowners will have no idea that they will be obligated to pay Columbia an </w:t>
      </w:r>
      <w:proofErr w:type="spellStart"/>
      <w:r w:rsidR="00AA3877">
        <w:rPr>
          <w:color w:val="000000"/>
          <w:shd w:val="clear" w:color="auto" w:fill="FFFFFF"/>
        </w:rPr>
        <w:t>up front</w:t>
      </w:r>
      <w:proofErr w:type="spellEnd"/>
      <w:r>
        <w:rPr>
          <w:color w:val="000000"/>
          <w:shd w:val="clear" w:color="auto" w:fill="FFFFFF"/>
        </w:rPr>
        <w:t xml:space="preserve"> cash contribution or finance this amount for 20 years until after they have purchased their new home and moved in.  Clearly, it is much easier and more economical for each new homeowner to simply roll the contribution requirement into the cost of the new home.  As such, while there may be other innovative ideas or plans to help developers, I do not believe the Company’s plan is appropriate for new developments.  </w:t>
      </w:r>
    </w:p>
    <w:p w:rsidR="00B11949" w:rsidRDefault="00B11949" w:rsidP="004B748E">
      <w:pPr>
        <w:pStyle w:val="NormalWeb"/>
        <w:spacing w:before="0" w:beforeAutospacing="0" w:after="0" w:afterAutospacing="0" w:line="360" w:lineRule="auto"/>
        <w:jc w:val="both"/>
        <w:rPr>
          <w:color w:val="000000"/>
          <w:shd w:val="clear" w:color="auto" w:fill="FFFFFF"/>
        </w:rPr>
      </w:pPr>
    </w:p>
    <w:p w:rsidR="006627C4" w:rsidRDefault="006627C4" w:rsidP="006627C4">
      <w:pPr>
        <w:pStyle w:val="NormalWeb"/>
        <w:spacing w:before="0" w:beforeAutospacing="0" w:after="0" w:afterAutospacing="0" w:line="360" w:lineRule="auto"/>
        <w:rPr>
          <w:color w:val="000000"/>
          <w:shd w:val="clear" w:color="auto" w:fill="FFFFFF"/>
        </w:rPr>
      </w:pPr>
      <w:r>
        <w:rPr>
          <w:color w:val="000000"/>
          <w:shd w:val="clear" w:color="auto" w:fill="FFFFFF"/>
        </w:rPr>
        <w:t>(</w:t>
      </w:r>
      <w:r w:rsidR="00B11949">
        <w:rPr>
          <w:color w:val="000000"/>
          <w:shd w:val="clear" w:color="auto" w:fill="FFFFFF"/>
        </w:rPr>
        <w:t>OCA St</w:t>
      </w:r>
      <w:r>
        <w:rPr>
          <w:color w:val="000000"/>
          <w:shd w:val="clear" w:color="auto" w:fill="FFFFFF"/>
        </w:rPr>
        <w:t>atement No.</w:t>
      </w:r>
      <w:r w:rsidR="00B11949">
        <w:rPr>
          <w:color w:val="000000"/>
          <w:shd w:val="clear" w:color="auto" w:fill="FFFFFF"/>
        </w:rPr>
        <w:t xml:space="preserve"> 1</w:t>
      </w:r>
      <w:r>
        <w:rPr>
          <w:color w:val="000000"/>
          <w:shd w:val="clear" w:color="auto" w:fill="FFFFFF"/>
        </w:rPr>
        <w:t>, pp. 16</w:t>
      </w:r>
      <w:r w:rsidR="00B11949">
        <w:rPr>
          <w:color w:val="000000"/>
          <w:shd w:val="clear" w:color="auto" w:fill="FFFFFF"/>
        </w:rPr>
        <w:t>-17</w:t>
      </w:r>
      <w:r>
        <w:rPr>
          <w:color w:val="000000"/>
          <w:shd w:val="clear" w:color="auto" w:fill="FFFFFF"/>
        </w:rPr>
        <w:t>)</w:t>
      </w:r>
      <w:r w:rsidR="00471634">
        <w:rPr>
          <w:color w:val="000000"/>
          <w:shd w:val="clear" w:color="auto" w:fill="FFFFFF"/>
        </w:rPr>
        <w:t xml:space="preserve"> </w:t>
      </w:r>
      <w:r w:rsidR="00B11949">
        <w:rPr>
          <w:color w:val="000000"/>
          <w:shd w:val="clear" w:color="auto" w:fill="FFFFFF"/>
        </w:rPr>
        <w:t xml:space="preserve">(Footnote omitted).  As such, Mr. Watkins recommended that the </w:t>
      </w:r>
      <w:r w:rsidR="00F30F22">
        <w:rPr>
          <w:color w:val="000000"/>
          <w:shd w:val="clear" w:color="auto" w:fill="FFFFFF"/>
        </w:rPr>
        <w:t xml:space="preserve">Pilot </w:t>
      </w:r>
      <w:r w:rsidR="00B11949">
        <w:rPr>
          <w:color w:val="000000"/>
          <w:shd w:val="clear" w:color="auto" w:fill="FFFFFF"/>
        </w:rPr>
        <w:t xml:space="preserve">Rider NAS program not be available to residential developers and instead, be applicable only to homeowners.  </w:t>
      </w:r>
      <w:r w:rsidR="00F30F22">
        <w:rPr>
          <w:color w:val="000000"/>
          <w:shd w:val="clear" w:color="auto" w:fill="FFFFFF"/>
        </w:rPr>
        <w:t>(</w:t>
      </w:r>
      <w:r w:rsidR="00B11949">
        <w:rPr>
          <w:color w:val="000000"/>
          <w:shd w:val="clear" w:color="auto" w:fill="FFFFFF"/>
        </w:rPr>
        <w:t>OCA St</w:t>
      </w:r>
      <w:r w:rsidR="00F30F22">
        <w:rPr>
          <w:color w:val="000000"/>
          <w:shd w:val="clear" w:color="auto" w:fill="FFFFFF"/>
        </w:rPr>
        <w:t xml:space="preserve">atement No. </w:t>
      </w:r>
      <w:r w:rsidR="00B11949">
        <w:rPr>
          <w:color w:val="000000"/>
          <w:shd w:val="clear" w:color="auto" w:fill="FFFFFF"/>
        </w:rPr>
        <w:t>1</w:t>
      </w:r>
      <w:r w:rsidR="00F30F22">
        <w:rPr>
          <w:color w:val="000000"/>
          <w:shd w:val="clear" w:color="auto" w:fill="FFFFFF"/>
        </w:rPr>
        <w:t xml:space="preserve">, p. </w:t>
      </w:r>
      <w:r w:rsidR="00B11949">
        <w:rPr>
          <w:color w:val="000000"/>
          <w:shd w:val="clear" w:color="auto" w:fill="FFFFFF"/>
        </w:rPr>
        <w:t>19</w:t>
      </w:r>
      <w:r w:rsidR="00F30F22">
        <w:rPr>
          <w:color w:val="000000"/>
          <w:shd w:val="clear" w:color="auto" w:fill="FFFFFF"/>
        </w:rPr>
        <w:t>); OCA M.B. pp. 25-26.</w:t>
      </w:r>
      <w:r>
        <w:rPr>
          <w:color w:val="000000"/>
          <w:shd w:val="clear" w:color="auto" w:fill="FFFFFF"/>
        </w:rPr>
        <w:t xml:space="preserve">  </w:t>
      </w:r>
    </w:p>
    <w:p w:rsidR="006627C4" w:rsidRDefault="006627C4" w:rsidP="006627C4">
      <w:pPr>
        <w:pStyle w:val="NormalWeb"/>
        <w:spacing w:before="0" w:beforeAutospacing="0" w:after="0" w:afterAutospacing="0" w:line="360" w:lineRule="auto"/>
        <w:rPr>
          <w:color w:val="000000"/>
          <w:shd w:val="clear" w:color="auto" w:fill="FFFFFF"/>
        </w:rPr>
      </w:pPr>
    </w:p>
    <w:p w:rsidR="00F30F22" w:rsidRDefault="00B11949" w:rsidP="00F30F22">
      <w:pPr>
        <w:pStyle w:val="NormalWeb"/>
        <w:spacing w:before="0" w:beforeAutospacing="0" w:after="0" w:afterAutospacing="0" w:line="360" w:lineRule="auto"/>
        <w:ind w:firstLine="1440"/>
        <w:rPr>
          <w:color w:val="000000"/>
          <w:shd w:val="clear" w:color="auto" w:fill="FFFFFF"/>
        </w:rPr>
      </w:pPr>
      <w:r>
        <w:rPr>
          <w:color w:val="000000"/>
          <w:shd w:val="clear" w:color="auto" w:fill="FFFFFF"/>
        </w:rPr>
        <w:t xml:space="preserve">In his Rebuttal Testimony, Columbia witness Evans testified that residential developers pass along any </w:t>
      </w:r>
      <w:r w:rsidR="00AA3877">
        <w:rPr>
          <w:color w:val="000000"/>
          <w:shd w:val="clear" w:color="auto" w:fill="FFFFFF"/>
        </w:rPr>
        <w:t>up front</w:t>
      </w:r>
      <w:r>
        <w:rPr>
          <w:color w:val="000000"/>
          <w:shd w:val="clear" w:color="auto" w:fill="FFFFFF"/>
        </w:rPr>
        <w:t xml:space="preserve"> costs for extensions and carrying costs to homeowners in the costs charged for the homes or lots in the developments, but some developers avoid natural gas due to the </w:t>
      </w:r>
      <w:r w:rsidR="00AA3877">
        <w:rPr>
          <w:color w:val="000000"/>
          <w:shd w:val="clear" w:color="auto" w:fill="FFFFFF"/>
        </w:rPr>
        <w:t>up front</w:t>
      </w:r>
      <w:r>
        <w:rPr>
          <w:color w:val="000000"/>
          <w:shd w:val="clear" w:color="auto" w:fill="FFFFFF"/>
        </w:rPr>
        <w:t xml:space="preserve"> cost.  </w:t>
      </w:r>
      <w:r w:rsidR="00F30F22">
        <w:rPr>
          <w:color w:val="000000"/>
          <w:shd w:val="clear" w:color="auto" w:fill="FFFFFF"/>
        </w:rPr>
        <w:t>(</w:t>
      </w:r>
      <w:r>
        <w:rPr>
          <w:color w:val="000000"/>
          <w:shd w:val="clear" w:color="auto" w:fill="FFFFFF"/>
        </w:rPr>
        <w:t>Columbia St</w:t>
      </w:r>
      <w:r w:rsidR="00F30F22">
        <w:rPr>
          <w:color w:val="000000"/>
          <w:shd w:val="clear" w:color="auto" w:fill="FFFFFF"/>
        </w:rPr>
        <w:t>atement No</w:t>
      </w:r>
      <w:r>
        <w:rPr>
          <w:color w:val="000000"/>
          <w:shd w:val="clear" w:color="auto" w:fill="FFFFFF"/>
        </w:rPr>
        <w:t>. 1-R</w:t>
      </w:r>
      <w:r w:rsidR="00F30F22">
        <w:rPr>
          <w:color w:val="000000"/>
          <w:shd w:val="clear" w:color="auto" w:fill="FFFFFF"/>
        </w:rPr>
        <w:t xml:space="preserve">, p. </w:t>
      </w:r>
      <w:r>
        <w:rPr>
          <w:color w:val="000000"/>
          <w:shd w:val="clear" w:color="auto" w:fill="FFFFFF"/>
        </w:rPr>
        <w:t>10</w:t>
      </w:r>
      <w:r w:rsidR="00F30F22">
        <w:rPr>
          <w:color w:val="000000"/>
          <w:shd w:val="clear" w:color="auto" w:fill="FFFFFF"/>
        </w:rPr>
        <w:t>)</w:t>
      </w:r>
      <w:r>
        <w:rPr>
          <w:color w:val="000000"/>
          <w:shd w:val="clear" w:color="auto" w:fill="FFFFFF"/>
        </w:rPr>
        <w:t xml:space="preserve">.  Additionally, Mr. Evans testified that residential developers can bring natural gas service to a large number of new customers, which would achieve one of the purposes of the pilot program to expand natural gas service in the Commonwealth.  </w:t>
      </w:r>
      <w:r w:rsidRPr="00F30F22">
        <w:rPr>
          <w:i/>
          <w:color w:val="000000"/>
          <w:shd w:val="clear" w:color="auto" w:fill="FFFFFF"/>
        </w:rPr>
        <w:t>Id</w:t>
      </w:r>
      <w:r w:rsidR="00F30F22">
        <w:rPr>
          <w:color w:val="000000"/>
          <w:shd w:val="clear" w:color="auto" w:fill="FFFFFF"/>
        </w:rPr>
        <w:t xml:space="preserve">.; OCA M.B., p. 26.  </w:t>
      </w:r>
    </w:p>
    <w:p w:rsidR="00F30F22" w:rsidRDefault="00F30F22" w:rsidP="00F30F22">
      <w:pPr>
        <w:pStyle w:val="NormalWeb"/>
        <w:spacing w:before="0" w:beforeAutospacing="0" w:after="0" w:afterAutospacing="0" w:line="360" w:lineRule="auto"/>
        <w:ind w:firstLine="1440"/>
        <w:rPr>
          <w:color w:val="000000"/>
          <w:shd w:val="clear" w:color="auto" w:fill="FFFFFF"/>
        </w:rPr>
      </w:pPr>
    </w:p>
    <w:p w:rsidR="00F30F22" w:rsidRDefault="00B11949" w:rsidP="00F30F22">
      <w:pPr>
        <w:pStyle w:val="NormalWeb"/>
        <w:spacing w:before="0" w:beforeAutospacing="0" w:after="0" w:afterAutospacing="0" w:line="360" w:lineRule="auto"/>
        <w:ind w:firstLine="1440"/>
        <w:rPr>
          <w:color w:val="000000"/>
          <w:shd w:val="clear" w:color="auto" w:fill="FFFFFF"/>
        </w:rPr>
      </w:pPr>
      <w:r>
        <w:rPr>
          <w:color w:val="000000"/>
          <w:shd w:val="clear" w:color="auto" w:fill="FFFFFF"/>
        </w:rPr>
        <w:t xml:space="preserve">The OCA submits that there is no evidence to support Columbia’s position that developers avoid natural gas due to the </w:t>
      </w:r>
      <w:proofErr w:type="spellStart"/>
      <w:r w:rsidR="00AA3877">
        <w:rPr>
          <w:color w:val="000000"/>
          <w:shd w:val="clear" w:color="auto" w:fill="FFFFFF"/>
        </w:rPr>
        <w:t>up front</w:t>
      </w:r>
      <w:proofErr w:type="spellEnd"/>
      <w:r>
        <w:rPr>
          <w:color w:val="000000"/>
          <w:shd w:val="clear" w:color="auto" w:fill="FFFFFF"/>
        </w:rPr>
        <w:t xml:space="preserve"> costs of extensions.  Mr. Watkins testified that Columbia had provided the economic analyses and underlying information for a random sampling of the 2013 requests to Columbia for main extension economic analyses.  </w:t>
      </w:r>
      <w:r w:rsidR="00F30F22">
        <w:rPr>
          <w:color w:val="000000"/>
          <w:shd w:val="clear" w:color="auto" w:fill="FFFFFF"/>
        </w:rPr>
        <w:t>(</w:t>
      </w:r>
      <w:r>
        <w:rPr>
          <w:color w:val="000000"/>
          <w:shd w:val="clear" w:color="auto" w:fill="FFFFFF"/>
        </w:rPr>
        <w:t>Tr. 34-35</w:t>
      </w:r>
      <w:r w:rsidR="00F30F22">
        <w:rPr>
          <w:color w:val="000000"/>
          <w:shd w:val="clear" w:color="auto" w:fill="FFFFFF"/>
        </w:rPr>
        <w:t>)</w:t>
      </w:r>
      <w:r w:rsidR="0039189C">
        <w:rPr>
          <w:color w:val="000000"/>
          <w:shd w:val="clear" w:color="auto" w:fill="FFFFFF"/>
        </w:rPr>
        <w:t xml:space="preserve">.  Mr. </w:t>
      </w:r>
      <w:r>
        <w:rPr>
          <w:color w:val="000000"/>
          <w:shd w:val="clear" w:color="auto" w:fill="FFFFFF"/>
        </w:rPr>
        <w:t xml:space="preserve">Watkins testified that he determined that there were two requests for economic analyses by developers in the sampling provided by Columbia.  </w:t>
      </w:r>
      <w:r w:rsidR="00F30F22">
        <w:rPr>
          <w:color w:val="000000"/>
          <w:shd w:val="clear" w:color="auto" w:fill="FFFFFF"/>
        </w:rPr>
        <w:t>(</w:t>
      </w:r>
      <w:r>
        <w:rPr>
          <w:color w:val="000000"/>
          <w:shd w:val="clear" w:color="auto" w:fill="FFFFFF"/>
        </w:rPr>
        <w:t>Tr. 35</w:t>
      </w:r>
      <w:r w:rsidR="00F30F22">
        <w:rPr>
          <w:color w:val="000000"/>
          <w:shd w:val="clear" w:color="auto" w:fill="FFFFFF"/>
        </w:rPr>
        <w:t>)</w:t>
      </w:r>
      <w:r>
        <w:rPr>
          <w:color w:val="000000"/>
          <w:shd w:val="clear" w:color="auto" w:fill="FFFFFF"/>
        </w:rPr>
        <w:t>.  Of these two requests for economic analyses by developers in 2013, Mr. Watkins testified that both requests were economic or</w:t>
      </w:r>
      <w:r w:rsidR="00F30F22">
        <w:rPr>
          <w:color w:val="000000"/>
          <w:shd w:val="clear" w:color="auto" w:fill="FFFFFF"/>
        </w:rPr>
        <w:t>,</w:t>
      </w:r>
      <w:r>
        <w:rPr>
          <w:color w:val="000000"/>
          <w:shd w:val="clear" w:color="auto" w:fill="FFFFFF"/>
        </w:rPr>
        <w:t xml:space="preserve"> in other words, that neither analyses resulted in an up</w:t>
      </w:r>
      <w:r w:rsidR="009533B4">
        <w:rPr>
          <w:color w:val="000000"/>
          <w:shd w:val="clear" w:color="auto" w:fill="FFFFFF"/>
        </w:rPr>
        <w:t xml:space="preserve"> </w:t>
      </w:r>
      <w:r>
        <w:rPr>
          <w:color w:val="000000"/>
          <w:shd w:val="clear" w:color="auto" w:fill="FFFFFF"/>
        </w:rPr>
        <w:t xml:space="preserve">front deposit.  </w:t>
      </w:r>
      <w:r w:rsidR="00F30F22">
        <w:rPr>
          <w:color w:val="000000"/>
          <w:shd w:val="clear" w:color="auto" w:fill="FFFFFF"/>
        </w:rPr>
        <w:t>(</w:t>
      </w:r>
      <w:r>
        <w:rPr>
          <w:color w:val="000000"/>
          <w:shd w:val="clear" w:color="auto" w:fill="FFFFFF"/>
        </w:rPr>
        <w:t>Tr. 36</w:t>
      </w:r>
      <w:r w:rsidR="00F30F22">
        <w:rPr>
          <w:color w:val="000000"/>
          <w:shd w:val="clear" w:color="auto" w:fill="FFFFFF"/>
        </w:rPr>
        <w:t xml:space="preserve">); OCA M.B., p. 26.  </w:t>
      </w:r>
    </w:p>
    <w:p w:rsidR="00F30F22" w:rsidRDefault="00F30F22" w:rsidP="00F30F22">
      <w:pPr>
        <w:pStyle w:val="NormalWeb"/>
        <w:spacing w:before="0" w:beforeAutospacing="0" w:after="0" w:afterAutospacing="0" w:line="360" w:lineRule="auto"/>
        <w:ind w:firstLine="1440"/>
        <w:rPr>
          <w:color w:val="000000"/>
          <w:shd w:val="clear" w:color="auto" w:fill="FFFFFF"/>
        </w:rPr>
      </w:pPr>
    </w:p>
    <w:p w:rsidR="004140E5" w:rsidRDefault="00B11949" w:rsidP="004140E5">
      <w:pPr>
        <w:pStyle w:val="NormalWeb"/>
        <w:spacing w:before="0" w:beforeAutospacing="0" w:after="0" w:afterAutospacing="0" w:line="360" w:lineRule="auto"/>
        <w:ind w:firstLine="1440"/>
        <w:rPr>
          <w:color w:val="000000"/>
          <w:shd w:val="clear" w:color="auto" w:fill="FFFFFF"/>
        </w:rPr>
      </w:pPr>
      <w:r>
        <w:rPr>
          <w:color w:val="000000"/>
          <w:shd w:val="clear" w:color="auto" w:fill="FFFFFF"/>
        </w:rPr>
        <w:t>Of additional concern</w:t>
      </w:r>
      <w:r w:rsidR="00F30F22">
        <w:rPr>
          <w:color w:val="000000"/>
          <w:shd w:val="clear" w:color="auto" w:fill="FFFFFF"/>
        </w:rPr>
        <w:t xml:space="preserve"> to the OCA</w:t>
      </w:r>
      <w:r>
        <w:rPr>
          <w:color w:val="000000"/>
          <w:shd w:val="clear" w:color="auto" w:fill="FFFFFF"/>
        </w:rPr>
        <w:t xml:space="preserve">, Columbia witness Evans testified that Columbia’s </w:t>
      </w:r>
      <w:r w:rsidR="004140E5">
        <w:rPr>
          <w:color w:val="000000"/>
          <w:shd w:val="clear" w:color="auto" w:fill="FFFFFF"/>
        </w:rPr>
        <w:t xml:space="preserve">Pilot </w:t>
      </w:r>
      <w:r>
        <w:rPr>
          <w:color w:val="000000"/>
          <w:shd w:val="clear" w:color="auto" w:fill="FFFFFF"/>
        </w:rPr>
        <w:t xml:space="preserve">Rider NAS program does not require </w:t>
      </w:r>
      <w:r w:rsidRPr="00966E98">
        <w:rPr>
          <w:color w:val="000000"/>
          <w:shd w:val="clear" w:color="auto" w:fill="FFFFFF"/>
        </w:rPr>
        <w:t>bona fide</w:t>
      </w:r>
      <w:r>
        <w:rPr>
          <w:color w:val="000000"/>
          <w:shd w:val="clear" w:color="auto" w:fill="FFFFFF"/>
        </w:rPr>
        <w:t xml:space="preserve"> developers to notify homebuyers that they will be responsible for the </w:t>
      </w:r>
      <w:r w:rsidR="004140E5">
        <w:rPr>
          <w:color w:val="000000"/>
          <w:shd w:val="clear" w:color="auto" w:fill="FFFFFF"/>
        </w:rPr>
        <w:t xml:space="preserve">Pilot </w:t>
      </w:r>
      <w:r>
        <w:rPr>
          <w:color w:val="000000"/>
          <w:shd w:val="clear" w:color="auto" w:fill="FFFFFF"/>
        </w:rPr>
        <w:t xml:space="preserve">Rider NAS surcharge, yet homebuyers must consent to payment of the surcharge when they call Columbia to turn on natural gas service before the Company will do so.  </w:t>
      </w:r>
      <w:r w:rsidR="004140E5">
        <w:rPr>
          <w:color w:val="000000"/>
          <w:shd w:val="clear" w:color="auto" w:fill="FFFFFF"/>
        </w:rPr>
        <w:t>(</w:t>
      </w:r>
      <w:r>
        <w:rPr>
          <w:color w:val="000000"/>
          <w:shd w:val="clear" w:color="auto" w:fill="FFFFFF"/>
        </w:rPr>
        <w:t>Tr. 17</w:t>
      </w:r>
      <w:r w:rsidR="004140E5">
        <w:rPr>
          <w:color w:val="000000"/>
          <w:shd w:val="clear" w:color="auto" w:fill="FFFFFF"/>
        </w:rPr>
        <w:t>)</w:t>
      </w:r>
      <w:r>
        <w:rPr>
          <w:color w:val="000000"/>
          <w:shd w:val="clear" w:color="auto" w:fill="FFFFFF"/>
        </w:rPr>
        <w:t xml:space="preserve">.  </w:t>
      </w:r>
      <w:r w:rsidR="0039189C">
        <w:rPr>
          <w:color w:val="000000"/>
          <w:shd w:val="clear" w:color="auto" w:fill="FFFFFF"/>
        </w:rPr>
        <w:t xml:space="preserve">The OCA asserts </w:t>
      </w:r>
      <w:r>
        <w:rPr>
          <w:color w:val="000000"/>
          <w:shd w:val="clear" w:color="auto" w:fill="FFFFFF"/>
        </w:rPr>
        <w:t xml:space="preserve">Mr. Evans agreed that homebuyers may not have any knowledge of the </w:t>
      </w:r>
      <w:r w:rsidR="004140E5">
        <w:rPr>
          <w:color w:val="000000"/>
          <w:shd w:val="clear" w:color="auto" w:fill="FFFFFF"/>
        </w:rPr>
        <w:t xml:space="preserve">Pilot </w:t>
      </w:r>
      <w:r>
        <w:rPr>
          <w:color w:val="000000"/>
          <w:shd w:val="clear" w:color="auto" w:fill="FFFFFF"/>
        </w:rPr>
        <w:t xml:space="preserve">Rider NAS surcharge until they call Columbia to turn on natural gas service.  </w:t>
      </w:r>
      <w:r w:rsidR="004140E5">
        <w:rPr>
          <w:color w:val="000000"/>
          <w:shd w:val="clear" w:color="auto" w:fill="FFFFFF"/>
        </w:rPr>
        <w:t>(</w:t>
      </w:r>
      <w:r>
        <w:rPr>
          <w:color w:val="000000"/>
          <w:shd w:val="clear" w:color="auto" w:fill="FFFFFF"/>
        </w:rPr>
        <w:t>Tr. 17-18</w:t>
      </w:r>
      <w:r w:rsidR="004140E5">
        <w:rPr>
          <w:color w:val="000000"/>
          <w:shd w:val="clear" w:color="auto" w:fill="FFFFFF"/>
        </w:rPr>
        <w:t>)</w:t>
      </w:r>
      <w:r>
        <w:rPr>
          <w:color w:val="000000"/>
          <w:shd w:val="clear" w:color="auto" w:fill="FFFFFF"/>
        </w:rPr>
        <w:t>.  By the time the homeowner requests natural gas service, the OCA submits that the opportunity to borrow the amount needed to pay the CIAC up front with a primary mortgage is missed.</w:t>
      </w:r>
      <w:r w:rsidR="004140E5">
        <w:rPr>
          <w:color w:val="000000"/>
          <w:shd w:val="clear" w:color="auto" w:fill="FFFFFF"/>
        </w:rPr>
        <w:t xml:space="preserve">  OCA M.B., pp. 26-27.  </w:t>
      </w:r>
    </w:p>
    <w:p w:rsidR="004B748E" w:rsidRDefault="004B748E" w:rsidP="004140E5">
      <w:pPr>
        <w:pStyle w:val="NormalWeb"/>
        <w:spacing w:before="0" w:beforeAutospacing="0" w:after="0" w:afterAutospacing="0" w:line="360" w:lineRule="auto"/>
        <w:ind w:firstLine="1440"/>
        <w:rPr>
          <w:color w:val="000000"/>
          <w:shd w:val="clear" w:color="auto" w:fill="FFFFFF"/>
        </w:rPr>
      </w:pPr>
    </w:p>
    <w:p w:rsidR="00B11949" w:rsidRDefault="00B11949" w:rsidP="004140E5">
      <w:pPr>
        <w:pStyle w:val="NormalWeb"/>
        <w:spacing w:before="0" w:beforeAutospacing="0" w:after="0" w:afterAutospacing="0" w:line="360" w:lineRule="auto"/>
        <w:ind w:firstLine="1440"/>
        <w:rPr>
          <w:color w:val="000000"/>
          <w:shd w:val="clear" w:color="auto" w:fill="FFFFFF"/>
        </w:rPr>
      </w:pPr>
      <w:r>
        <w:rPr>
          <w:color w:val="000000"/>
          <w:shd w:val="clear" w:color="auto" w:fill="FFFFFF"/>
        </w:rPr>
        <w:t>The OCA submits that not only has Columbia failed to provide any evidence of a need by residential developers for an alternative funding mechanism for natural gas extensions,</w:t>
      </w:r>
      <w:r w:rsidR="004140E5">
        <w:rPr>
          <w:color w:val="000000"/>
          <w:shd w:val="clear" w:color="auto" w:fill="FFFFFF"/>
        </w:rPr>
        <w:t xml:space="preserve"> but</w:t>
      </w:r>
      <w:r>
        <w:rPr>
          <w:color w:val="000000"/>
          <w:shd w:val="clear" w:color="auto" w:fill="FFFFFF"/>
        </w:rPr>
        <w:t xml:space="preserve"> allowing residential developers to use </w:t>
      </w:r>
      <w:r w:rsidR="004140E5">
        <w:rPr>
          <w:color w:val="000000"/>
          <w:shd w:val="clear" w:color="auto" w:fill="FFFFFF"/>
        </w:rPr>
        <w:t xml:space="preserve">Pilot </w:t>
      </w:r>
      <w:r>
        <w:rPr>
          <w:color w:val="000000"/>
          <w:shd w:val="clear" w:color="auto" w:fill="FFFFFF"/>
        </w:rPr>
        <w:t xml:space="preserve">Rider NAS would likely lead to other complications in the access to service by new customers.  </w:t>
      </w:r>
      <w:r w:rsidR="004140E5">
        <w:rPr>
          <w:color w:val="000000"/>
          <w:shd w:val="clear" w:color="auto" w:fill="FFFFFF"/>
        </w:rPr>
        <w:t>The OCA argues that, w</w:t>
      </w:r>
      <w:r>
        <w:rPr>
          <w:color w:val="000000"/>
          <w:shd w:val="clear" w:color="auto" w:fill="FFFFFF"/>
        </w:rPr>
        <w:t xml:space="preserve">ith appropriate notice, homebuyers might have rolled their portion of the </w:t>
      </w:r>
      <w:r w:rsidR="004140E5">
        <w:rPr>
          <w:color w:val="000000"/>
          <w:shd w:val="clear" w:color="auto" w:fill="FFFFFF"/>
        </w:rPr>
        <w:t xml:space="preserve">Pilot </w:t>
      </w:r>
      <w:r>
        <w:rPr>
          <w:color w:val="000000"/>
          <w:shd w:val="clear" w:color="auto" w:fill="FFFFFF"/>
        </w:rPr>
        <w:t xml:space="preserve">Rider NAS costs into their mortgages, or they may have determined to purchase another home or lot outside of the development.  Should a need for an alternative extension program for developers be determined, the OCA submits that Columbia should design a program specifically for developers.  Based on the foregoing, the OCA submits that Columbia’s </w:t>
      </w:r>
      <w:r w:rsidR="004A7465">
        <w:rPr>
          <w:color w:val="000000"/>
          <w:shd w:val="clear" w:color="auto" w:fill="FFFFFF"/>
        </w:rPr>
        <w:t xml:space="preserve">Pilot </w:t>
      </w:r>
      <w:r>
        <w:rPr>
          <w:color w:val="000000"/>
          <w:shd w:val="clear" w:color="auto" w:fill="FFFFFF"/>
        </w:rPr>
        <w:t>Rider NAS program should be available only to residential</w:t>
      </w:r>
      <w:r w:rsidRPr="00D77220">
        <w:rPr>
          <w:color w:val="000000"/>
          <w:shd w:val="clear" w:color="auto" w:fill="FFFFFF"/>
        </w:rPr>
        <w:t xml:space="preserve"> </w:t>
      </w:r>
      <w:r>
        <w:rPr>
          <w:color w:val="000000"/>
          <w:shd w:val="clear" w:color="auto" w:fill="FFFFFF"/>
        </w:rPr>
        <w:t xml:space="preserve">homeowners.  </w:t>
      </w:r>
    </w:p>
    <w:p w:rsidR="0039189C" w:rsidRDefault="0039189C" w:rsidP="004140E5">
      <w:pPr>
        <w:pStyle w:val="NormalWeb"/>
        <w:spacing w:before="0" w:beforeAutospacing="0" w:after="0" w:afterAutospacing="0" w:line="360" w:lineRule="auto"/>
        <w:ind w:firstLine="1440"/>
        <w:rPr>
          <w:color w:val="000000"/>
          <w:shd w:val="clear" w:color="auto" w:fill="FFFFFF"/>
        </w:rPr>
      </w:pPr>
    </w:p>
    <w:p w:rsidR="00202FB0" w:rsidRDefault="0039189C" w:rsidP="004140E5">
      <w:pPr>
        <w:pStyle w:val="NormalWeb"/>
        <w:spacing w:before="0" w:beforeAutospacing="0" w:after="0" w:afterAutospacing="0" w:line="360" w:lineRule="auto"/>
        <w:ind w:firstLine="1440"/>
        <w:rPr>
          <w:color w:val="000000"/>
          <w:shd w:val="clear" w:color="auto" w:fill="FFFFFF"/>
        </w:rPr>
      </w:pPr>
      <w:r>
        <w:rPr>
          <w:color w:val="000000"/>
          <w:shd w:val="clear" w:color="auto" w:fill="FFFFFF"/>
        </w:rPr>
        <w:t>The OCA opines that it is not reasonable public policy to approve a program that, as designed, would likely result in disputes between developers and homebuyers in instances where the developer does not advise the buyer of the Pilot Rider NAS surcharge and required payment</w:t>
      </w:r>
      <w:r w:rsidR="00202FB0">
        <w:rPr>
          <w:color w:val="000000"/>
          <w:shd w:val="clear" w:color="auto" w:fill="FFFFFF"/>
        </w:rPr>
        <w:t xml:space="preserve"> before closing</w:t>
      </w:r>
      <w:r>
        <w:rPr>
          <w:color w:val="000000"/>
          <w:shd w:val="clear" w:color="auto" w:fill="FFFFFF"/>
        </w:rPr>
        <w:t xml:space="preserve">.  OCA R.B., p. 14.  </w:t>
      </w:r>
    </w:p>
    <w:p w:rsidR="00202FB0" w:rsidRDefault="00202FB0" w:rsidP="004140E5">
      <w:pPr>
        <w:pStyle w:val="NormalWeb"/>
        <w:spacing w:before="0" w:beforeAutospacing="0" w:after="0" w:afterAutospacing="0" w:line="360" w:lineRule="auto"/>
        <w:ind w:firstLine="1440"/>
        <w:rPr>
          <w:color w:val="000000"/>
          <w:shd w:val="clear" w:color="auto" w:fill="FFFFFF"/>
        </w:rPr>
      </w:pPr>
    </w:p>
    <w:p w:rsidR="0039189C" w:rsidRDefault="00202FB0" w:rsidP="004140E5">
      <w:pPr>
        <w:pStyle w:val="NormalWeb"/>
        <w:spacing w:before="0" w:beforeAutospacing="0" w:after="0" w:afterAutospacing="0" w:line="360" w:lineRule="auto"/>
        <w:ind w:firstLine="1440"/>
        <w:rPr>
          <w:color w:val="000000"/>
          <w:shd w:val="clear" w:color="auto" w:fill="FFFFFF"/>
        </w:rPr>
      </w:pPr>
      <w:r>
        <w:rPr>
          <w:color w:val="000000"/>
          <w:shd w:val="clear" w:color="auto" w:fill="FFFFFF"/>
        </w:rPr>
        <w:t xml:space="preserve">The OCA’s position is that more expansion should be encouraged.  </w:t>
      </w:r>
      <w:r w:rsidR="0039189C">
        <w:rPr>
          <w:color w:val="000000"/>
          <w:shd w:val="clear" w:color="auto" w:fill="FFFFFF"/>
        </w:rPr>
        <w:t>The OCA</w:t>
      </w:r>
      <w:r>
        <w:rPr>
          <w:color w:val="000000"/>
          <w:shd w:val="clear" w:color="auto" w:fill="FFFFFF"/>
        </w:rPr>
        <w:t xml:space="preserve"> believes the inclusion</w:t>
      </w:r>
      <w:r w:rsidR="0039189C">
        <w:rPr>
          <w:color w:val="000000"/>
          <w:shd w:val="clear" w:color="auto" w:fill="FFFFFF"/>
        </w:rPr>
        <w:t xml:space="preserve"> of developers in the Pilot Rider NAS program</w:t>
      </w:r>
      <w:r>
        <w:rPr>
          <w:color w:val="000000"/>
          <w:shd w:val="clear" w:color="auto" w:fill="FFFFFF"/>
        </w:rPr>
        <w:t xml:space="preserve"> is not in the public interest.  According to the OCA, Columbia could develop and propose a program just for developers to better achieve the goal of expansion and address the unique circumstances presented by developers.  OCA R.B., p. 15.   </w:t>
      </w:r>
      <w:r w:rsidR="0039189C">
        <w:rPr>
          <w:color w:val="000000"/>
          <w:shd w:val="clear" w:color="auto" w:fill="FFFFFF"/>
        </w:rPr>
        <w:t xml:space="preserve"> </w:t>
      </w:r>
    </w:p>
    <w:p w:rsidR="001B1B38" w:rsidRDefault="001B1B38" w:rsidP="001B1B38">
      <w:pPr>
        <w:pStyle w:val="NormalWeb"/>
        <w:spacing w:before="0" w:beforeAutospacing="0" w:after="0" w:afterAutospacing="0" w:line="360" w:lineRule="auto"/>
        <w:rPr>
          <w:color w:val="000000"/>
          <w:shd w:val="clear" w:color="auto" w:fill="FFFFFF"/>
        </w:rPr>
      </w:pPr>
    </w:p>
    <w:p w:rsidR="001B1B38" w:rsidRDefault="001B1B38" w:rsidP="001B1B38">
      <w:pPr>
        <w:pStyle w:val="NormalWeb"/>
        <w:spacing w:before="0" w:beforeAutospacing="0" w:after="0" w:afterAutospacing="0" w:line="360" w:lineRule="auto"/>
        <w:rPr>
          <w:color w:val="000000"/>
          <w:u w:val="single"/>
          <w:shd w:val="clear" w:color="auto" w:fill="FFFFFF"/>
        </w:rPr>
      </w:pPr>
      <w:r>
        <w:rPr>
          <w:color w:val="000000"/>
          <w:shd w:val="clear" w:color="auto" w:fill="FFFFFF"/>
        </w:rPr>
        <w:tab/>
      </w:r>
      <w:r w:rsidR="00BF0F87">
        <w:rPr>
          <w:color w:val="000000"/>
          <w:shd w:val="clear" w:color="auto" w:fill="FFFFFF"/>
        </w:rPr>
        <w:t>5</w:t>
      </w:r>
      <w:r>
        <w:rPr>
          <w:color w:val="000000"/>
          <w:shd w:val="clear" w:color="auto" w:fill="FFFFFF"/>
        </w:rPr>
        <w:t>.</w:t>
      </w:r>
      <w:r>
        <w:rPr>
          <w:color w:val="000000"/>
          <w:shd w:val="clear" w:color="auto" w:fill="FFFFFF"/>
        </w:rPr>
        <w:tab/>
      </w:r>
      <w:r w:rsidR="00527A2D">
        <w:rPr>
          <w:color w:val="000000"/>
          <w:u w:val="single"/>
          <w:shd w:val="clear" w:color="auto" w:fill="FFFFFF"/>
        </w:rPr>
        <w:t>Other Proposed Modifications</w:t>
      </w:r>
    </w:p>
    <w:p w:rsidR="00527A2D" w:rsidRPr="001B1B38" w:rsidRDefault="00527A2D" w:rsidP="001B1B38">
      <w:pPr>
        <w:pStyle w:val="NormalWeb"/>
        <w:spacing w:before="0" w:beforeAutospacing="0" w:after="0" w:afterAutospacing="0" w:line="360" w:lineRule="auto"/>
        <w:rPr>
          <w:color w:val="000000"/>
          <w:shd w:val="clear" w:color="auto" w:fill="FFFFFF"/>
        </w:rPr>
      </w:pPr>
    </w:p>
    <w:p w:rsidR="00EF5546" w:rsidRDefault="00527A2D" w:rsidP="00EF5546">
      <w:pPr>
        <w:tabs>
          <w:tab w:val="left" w:pos="0"/>
        </w:tabs>
        <w:spacing w:line="360" w:lineRule="auto"/>
        <w:rPr>
          <w:color w:val="000000"/>
          <w:shd w:val="clear" w:color="auto" w:fill="FFFFFF"/>
        </w:rPr>
      </w:pPr>
      <w:r>
        <w:tab/>
      </w:r>
      <w:r>
        <w:tab/>
      </w:r>
      <w:r w:rsidR="00BF0F87">
        <w:t>a</w:t>
      </w:r>
      <w:r>
        <w:t>.</w:t>
      </w:r>
      <w:r>
        <w:tab/>
      </w:r>
      <w:r w:rsidRPr="001B1B38">
        <w:rPr>
          <w:color w:val="000000"/>
          <w:u w:val="single"/>
          <w:shd w:val="clear" w:color="auto" w:fill="FFFFFF"/>
        </w:rPr>
        <w:t>Gas-</w:t>
      </w:r>
      <w:r w:rsidR="002466B5">
        <w:rPr>
          <w:color w:val="000000"/>
          <w:u w:val="single"/>
          <w:shd w:val="clear" w:color="auto" w:fill="FFFFFF"/>
        </w:rPr>
        <w:t>o</w:t>
      </w:r>
      <w:r w:rsidRPr="001B1B38">
        <w:rPr>
          <w:color w:val="000000"/>
          <w:u w:val="single"/>
          <w:shd w:val="clear" w:color="auto" w:fill="FFFFFF"/>
        </w:rPr>
        <w:t>n-Gas Competition</w:t>
      </w:r>
    </w:p>
    <w:p w:rsidR="001B1B38" w:rsidRDefault="001B1B38" w:rsidP="00EF5546">
      <w:pPr>
        <w:tabs>
          <w:tab w:val="left" w:pos="0"/>
        </w:tabs>
        <w:spacing w:line="360" w:lineRule="auto"/>
        <w:rPr>
          <w:color w:val="000000"/>
          <w:shd w:val="clear" w:color="auto" w:fill="FFFFFF"/>
        </w:rPr>
      </w:pPr>
    </w:p>
    <w:p w:rsidR="007B1BCA" w:rsidRDefault="007B1BCA" w:rsidP="007B1BCA">
      <w:pPr>
        <w:pStyle w:val="NormalWeb"/>
        <w:spacing w:before="0" w:beforeAutospacing="0" w:after="0" w:afterAutospacing="0" w:line="360" w:lineRule="auto"/>
        <w:ind w:firstLine="1440"/>
        <w:rPr>
          <w:color w:val="000000"/>
          <w:shd w:val="clear" w:color="auto" w:fill="FFFFFF"/>
        </w:rPr>
      </w:pPr>
      <w:r>
        <w:rPr>
          <w:color w:val="000000"/>
          <w:shd w:val="clear" w:color="auto" w:fill="FFFFFF"/>
        </w:rPr>
        <w:t xml:space="preserve">Columbia’s Pilot Rider NAS contains no prohibition against extending mains to areas already served by mains of other natural gas distribution companies (NGDCs).  According to the OCA, Columbia’s service territory in the western part of the state overlaps with the service territories of other NGDCs, creating the possibility that Columbia could potentially use Pilot Rider NAS to extend mains in areas already served by these other NGDCs.  Mr. Watkins recommended that Pilot Rider NAS include a prohibition against extending mains to areas already serviced by mains of other NGDCs, testifying: </w:t>
      </w:r>
    </w:p>
    <w:p w:rsidR="007B1BCA" w:rsidRDefault="007B1BCA" w:rsidP="007B1BCA">
      <w:pPr>
        <w:pStyle w:val="NormalWeb"/>
        <w:spacing w:before="0" w:beforeAutospacing="0" w:after="0" w:afterAutospacing="0"/>
        <w:ind w:left="1440" w:right="1440"/>
        <w:rPr>
          <w:color w:val="000000"/>
          <w:shd w:val="clear" w:color="auto" w:fill="FFFFFF"/>
        </w:rPr>
      </w:pPr>
      <w:r>
        <w:rPr>
          <w:color w:val="000000"/>
          <w:shd w:val="clear" w:color="auto" w:fill="FFFFFF"/>
        </w:rPr>
        <w:t xml:space="preserve">While I acknowledge that there is little realistic probability that a new residential customer would elect to make an </w:t>
      </w:r>
      <w:proofErr w:type="spellStart"/>
      <w:r w:rsidR="00AA3877">
        <w:rPr>
          <w:color w:val="000000"/>
          <w:shd w:val="clear" w:color="auto" w:fill="FFFFFF"/>
        </w:rPr>
        <w:t>up front</w:t>
      </w:r>
      <w:proofErr w:type="spellEnd"/>
      <w:r>
        <w:rPr>
          <w:color w:val="000000"/>
          <w:shd w:val="clear" w:color="auto" w:fill="FFFFFF"/>
        </w:rPr>
        <w:t xml:space="preserve"> cash contribution or finance the cost of extending a Columbia main when another NGDC already has service available in that customers’ [</w:t>
      </w:r>
      <w:r>
        <w:rPr>
          <w:i/>
          <w:color w:val="000000"/>
          <w:shd w:val="clear" w:color="auto" w:fill="FFFFFF"/>
        </w:rPr>
        <w:t>sic</w:t>
      </w:r>
      <w:r>
        <w:rPr>
          <w:color w:val="000000"/>
          <w:shd w:val="clear" w:color="auto" w:fill="FFFFFF"/>
        </w:rPr>
        <w:t>] area and am fully aware of the current</w:t>
      </w:r>
      <w:r>
        <w:rPr>
          <w:i/>
          <w:color w:val="000000"/>
          <w:shd w:val="clear" w:color="auto" w:fill="FFFFFF"/>
        </w:rPr>
        <w:t xml:space="preserve"> </w:t>
      </w:r>
      <w:r>
        <w:rPr>
          <w:color w:val="000000"/>
          <w:shd w:val="clear" w:color="auto" w:fill="FFFFFF"/>
        </w:rPr>
        <w:t xml:space="preserve">Gas-on-Gas investigation that is pending before the Commission, any such duplicative facilities are not in the best public interest and should not be allowed in the NAS Rider.  </w:t>
      </w:r>
    </w:p>
    <w:p w:rsidR="007B1BCA" w:rsidRDefault="007B1BCA" w:rsidP="007B1BCA">
      <w:pPr>
        <w:pStyle w:val="NormalWeb"/>
        <w:spacing w:before="0" w:beforeAutospacing="0" w:after="0" w:afterAutospacing="0" w:line="360" w:lineRule="auto"/>
        <w:rPr>
          <w:color w:val="000000"/>
          <w:shd w:val="clear" w:color="auto" w:fill="FFFFFF"/>
        </w:rPr>
      </w:pPr>
    </w:p>
    <w:p w:rsidR="007B1BCA" w:rsidRDefault="007B1BCA" w:rsidP="007B1BCA">
      <w:pPr>
        <w:pStyle w:val="NormalWeb"/>
        <w:spacing w:before="0" w:beforeAutospacing="0" w:after="0" w:afterAutospacing="0" w:line="360" w:lineRule="auto"/>
        <w:rPr>
          <w:color w:val="000000"/>
          <w:shd w:val="clear" w:color="auto" w:fill="FFFFFF"/>
        </w:rPr>
      </w:pPr>
      <w:r>
        <w:rPr>
          <w:color w:val="000000"/>
          <w:shd w:val="clear" w:color="auto" w:fill="FFFFFF"/>
        </w:rPr>
        <w:t>(OCA Statement No. 1, p. 17)</w:t>
      </w:r>
      <w:r w:rsidR="0025605E">
        <w:rPr>
          <w:color w:val="000000"/>
          <w:shd w:val="clear" w:color="auto" w:fill="FFFFFF"/>
        </w:rPr>
        <w:t>; OCA M.B., pp. 27-28.</w:t>
      </w:r>
    </w:p>
    <w:p w:rsidR="007B1BCA" w:rsidRDefault="007B1BCA" w:rsidP="007B1BCA">
      <w:pPr>
        <w:pStyle w:val="NormalWeb"/>
        <w:spacing w:before="0" w:beforeAutospacing="0" w:after="0" w:afterAutospacing="0" w:line="360" w:lineRule="auto"/>
        <w:rPr>
          <w:color w:val="000000"/>
          <w:shd w:val="clear" w:color="auto" w:fill="FFFFFF"/>
        </w:rPr>
      </w:pPr>
    </w:p>
    <w:p w:rsidR="0025605E" w:rsidRDefault="0025605E" w:rsidP="007B1BCA">
      <w:pPr>
        <w:pStyle w:val="NormalWeb"/>
        <w:spacing w:before="0" w:beforeAutospacing="0" w:after="0" w:afterAutospacing="0" w:line="360" w:lineRule="auto"/>
        <w:ind w:firstLine="1440"/>
        <w:rPr>
          <w:color w:val="000000"/>
          <w:shd w:val="clear" w:color="auto" w:fill="FFFFFF"/>
        </w:rPr>
      </w:pPr>
      <w:r>
        <w:rPr>
          <w:color w:val="000000"/>
          <w:shd w:val="clear" w:color="auto" w:fill="FFFFFF"/>
        </w:rPr>
        <w:t xml:space="preserve">Columbia witness </w:t>
      </w:r>
      <w:r w:rsidR="007B1BCA">
        <w:rPr>
          <w:color w:val="000000"/>
          <w:shd w:val="clear" w:color="auto" w:fill="FFFFFF"/>
        </w:rPr>
        <w:t>Evans testified that Mr. Watkins’ recommendation is “overly vague” and th</w:t>
      </w:r>
      <w:r>
        <w:rPr>
          <w:color w:val="000000"/>
          <w:shd w:val="clear" w:color="auto" w:fill="FFFFFF"/>
        </w:rPr>
        <w:t>at</w:t>
      </w:r>
      <w:r w:rsidR="007B1BCA">
        <w:rPr>
          <w:color w:val="000000"/>
          <w:shd w:val="clear" w:color="auto" w:fill="FFFFFF"/>
        </w:rPr>
        <w:t xml:space="preserve"> Mr. Watkins</w:t>
      </w:r>
      <w:r>
        <w:rPr>
          <w:color w:val="000000"/>
          <w:shd w:val="clear" w:color="auto" w:fill="FFFFFF"/>
        </w:rPr>
        <w:t>’</w:t>
      </w:r>
      <w:r w:rsidR="007B1BCA">
        <w:rPr>
          <w:color w:val="000000"/>
          <w:shd w:val="clear" w:color="auto" w:fill="FFFFFF"/>
        </w:rPr>
        <w:t xml:space="preserve"> recommendation “offers no suggestion on how to define areas already served by another NGDC.”  </w:t>
      </w:r>
      <w:r>
        <w:rPr>
          <w:color w:val="000000"/>
          <w:shd w:val="clear" w:color="auto" w:fill="FFFFFF"/>
        </w:rPr>
        <w:t>(</w:t>
      </w:r>
      <w:r w:rsidR="007B1BCA">
        <w:rPr>
          <w:color w:val="000000"/>
          <w:shd w:val="clear" w:color="auto" w:fill="FFFFFF"/>
        </w:rPr>
        <w:t>Columbia St</w:t>
      </w:r>
      <w:r>
        <w:rPr>
          <w:color w:val="000000"/>
          <w:shd w:val="clear" w:color="auto" w:fill="FFFFFF"/>
        </w:rPr>
        <w:t>atement No</w:t>
      </w:r>
      <w:r w:rsidR="007B1BCA">
        <w:rPr>
          <w:color w:val="000000"/>
          <w:shd w:val="clear" w:color="auto" w:fill="FFFFFF"/>
        </w:rPr>
        <w:t>. 1-R</w:t>
      </w:r>
      <w:r>
        <w:rPr>
          <w:color w:val="000000"/>
          <w:shd w:val="clear" w:color="auto" w:fill="FFFFFF"/>
        </w:rPr>
        <w:t>, p. 11).</w:t>
      </w:r>
      <w:r w:rsidR="007B1BCA">
        <w:rPr>
          <w:color w:val="000000"/>
          <w:shd w:val="clear" w:color="auto" w:fill="FFFFFF"/>
        </w:rPr>
        <w:t xml:space="preserve">  To avoid any confusion, </w:t>
      </w:r>
      <w:r>
        <w:rPr>
          <w:color w:val="000000"/>
          <w:shd w:val="clear" w:color="auto" w:fill="FFFFFF"/>
        </w:rPr>
        <w:t xml:space="preserve">the OCA explains that </w:t>
      </w:r>
      <w:r w:rsidR="007B1BCA">
        <w:rPr>
          <w:color w:val="000000"/>
          <w:shd w:val="clear" w:color="auto" w:fill="FFFFFF"/>
        </w:rPr>
        <w:t xml:space="preserve">“already available” means that there is a main belonging to another NGDC in the ground which can be connected to the home being considered for </w:t>
      </w:r>
      <w:r>
        <w:rPr>
          <w:color w:val="000000"/>
          <w:shd w:val="clear" w:color="auto" w:fill="FFFFFF"/>
        </w:rPr>
        <w:t xml:space="preserve">Pilot </w:t>
      </w:r>
      <w:r w:rsidR="007B1BCA">
        <w:rPr>
          <w:color w:val="000000"/>
          <w:shd w:val="clear" w:color="auto" w:fill="FFFFFF"/>
        </w:rPr>
        <w:t>Rider NAS.</w:t>
      </w:r>
      <w:r>
        <w:rPr>
          <w:color w:val="000000"/>
          <w:shd w:val="clear" w:color="auto" w:fill="FFFFFF"/>
        </w:rPr>
        <w:t xml:space="preserve">  OCA M.B., p. 28.</w:t>
      </w:r>
      <w:r w:rsidR="007B1BCA">
        <w:rPr>
          <w:color w:val="000000"/>
          <w:shd w:val="clear" w:color="auto" w:fill="FFFFFF"/>
        </w:rPr>
        <w:t xml:space="preserve">  </w:t>
      </w:r>
    </w:p>
    <w:p w:rsidR="0025605E" w:rsidRDefault="0025605E" w:rsidP="007B1BCA">
      <w:pPr>
        <w:pStyle w:val="NormalWeb"/>
        <w:spacing w:before="0" w:beforeAutospacing="0" w:after="0" w:afterAutospacing="0" w:line="360" w:lineRule="auto"/>
        <w:ind w:firstLine="1440"/>
        <w:rPr>
          <w:color w:val="000000"/>
          <w:shd w:val="clear" w:color="auto" w:fill="FFFFFF"/>
        </w:rPr>
      </w:pPr>
    </w:p>
    <w:p w:rsidR="007B1BCA" w:rsidRDefault="00BF0F87" w:rsidP="007B1BCA">
      <w:pPr>
        <w:pStyle w:val="NormalWeb"/>
        <w:spacing w:before="0" w:beforeAutospacing="0" w:after="0" w:afterAutospacing="0" w:line="360" w:lineRule="auto"/>
        <w:ind w:firstLine="1440"/>
        <w:rPr>
          <w:color w:val="000000"/>
          <w:shd w:val="clear" w:color="auto" w:fill="FFFFFF"/>
        </w:rPr>
      </w:pPr>
      <w:r>
        <w:rPr>
          <w:color w:val="000000"/>
          <w:shd w:val="clear" w:color="auto" w:fill="FFFFFF"/>
        </w:rPr>
        <w:t>b</w:t>
      </w:r>
      <w:r w:rsidR="0025605E">
        <w:rPr>
          <w:color w:val="000000"/>
          <w:shd w:val="clear" w:color="auto" w:fill="FFFFFF"/>
        </w:rPr>
        <w:t>.</w:t>
      </w:r>
      <w:r w:rsidR="0025605E">
        <w:rPr>
          <w:color w:val="000000"/>
          <w:shd w:val="clear" w:color="auto" w:fill="FFFFFF"/>
        </w:rPr>
        <w:tab/>
      </w:r>
      <w:r w:rsidR="00C077DB">
        <w:rPr>
          <w:color w:val="000000"/>
          <w:u w:val="single"/>
          <w:shd w:val="clear" w:color="auto" w:fill="FFFFFF"/>
        </w:rPr>
        <w:t>Repayment Options</w:t>
      </w:r>
      <w:r w:rsidR="007B1BCA">
        <w:rPr>
          <w:color w:val="000000"/>
          <w:shd w:val="clear" w:color="auto" w:fill="FFFFFF"/>
        </w:rPr>
        <w:tab/>
      </w:r>
    </w:p>
    <w:p w:rsidR="001B1B38" w:rsidRDefault="001B1B38" w:rsidP="00EF5546">
      <w:pPr>
        <w:tabs>
          <w:tab w:val="left" w:pos="0"/>
        </w:tabs>
        <w:spacing w:line="360" w:lineRule="auto"/>
        <w:rPr>
          <w:color w:val="000000"/>
          <w:shd w:val="clear" w:color="auto" w:fill="FFFFFF"/>
        </w:rPr>
      </w:pPr>
      <w:r>
        <w:rPr>
          <w:color w:val="000000"/>
          <w:shd w:val="clear" w:color="auto" w:fill="FFFFFF"/>
        </w:rPr>
        <w:tab/>
      </w:r>
      <w:r>
        <w:rPr>
          <w:color w:val="000000"/>
          <w:shd w:val="clear" w:color="auto" w:fill="FFFFFF"/>
        </w:rPr>
        <w:tab/>
      </w:r>
    </w:p>
    <w:p w:rsidR="0025605E" w:rsidRDefault="0025605E" w:rsidP="0025605E">
      <w:pPr>
        <w:pStyle w:val="NormalWeb"/>
        <w:spacing w:before="0" w:beforeAutospacing="0" w:after="0" w:afterAutospacing="0" w:line="360" w:lineRule="auto"/>
      </w:pPr>
      <w:r>
        <w:rPr>
          <w:color w:val="000000"/>
          <w:shd w:val="clear" w:color="auto" w:fill="FFFFFF"/>
        </w:rPr>
        <w:tab/>
      </w:r>
      <w:r>
        <w:rPr>
          <w:color w:val="000000"/>
          <w:shd w:val="clear" w:color="auto" w:fill="FFFFFF"/>
        </w:rPr>
        <w:tab/>
        <w:t xml:space="preserve">As proposed, under Pilot Rider NAS, new customers will only have one payoff option, which is to pay the Pilot Rider NAS surcharge for a period of 20 years, capped at $35.00 </w:t>
      </w:r>
      <w:r w:rsidR="00631DD3">
        <w:rPr>
          <w:color w:val="000000"/>
          <w:shd w:val="clear" w:color="auto" w:fill="FFFFFF"/>
        </w:rPr>
        <w:t xml:space="preserve">per </w:t>
      </w:r>
      <w:r>
        <w:rPr>
          <w:color w:val="000000"/>
          <w:shd w:val="clear" w:color="auto" w:fill="FFFFFF"/>
        </w:rPr>
        <w:t>month</w:t>
      </w:r>
      <w:r>
        <w:t xml:space="preserve">, wherein the customer will have to pay </w:t>
      </w:r>
      <w:r w:rsidR="00AA3877">
        <w:t>up front</w:t>
      </w:r>
      <w:r>
        <w:t xml:space="preserve"> any excess above the amount that will be collected through the surcharge.  Mr. Watkins recommended that Pilot Rider NAS customers be provided a second option, specifically the option of having a 10-year repayment term with no payment cap, with a maximum amount of $8,000 permitted to be recovered through the surcharge.  (OCA Statement No. 1, p. 18).  According to the OCA, this second payoff option provides two benefits to Pilot Rider NAS customers.  First, the Pilot Rider NAS customer can reduce the overall amount of interest he or she pays over the lifetime of the payback period, since the payback period is reduced.  Second, the 10-year repayment option will enable customers to reduce their </w:t>
      </w:r>
      <w:r w:rsidR="00AA3877">
        <w:t>up front</w:t>
      </w:r>
      <w:r>
        <w:t xml:space="preserve"> contribution because the customer will be able to roll more of his or her uneconomic portion into the surcharge since there is no cap.  The OCA submits that Pilot Rider NAS should be modified to include a 10-year repayment option.</w:t>
      </w:r>
      <w:r w:rsidR="00C41841">
        <w:t xml:space="preserve">  OCA M.B., p. 28.</w:t>
      </w:r>
    </w:p>
    <w:p w:rsidR="0025605E" w:rsidRDefault="0025605E" w:rsidP="0025605E">
      <w:pPr>
        <w:pStyle w:val="NormalWeb"/>
        <w:spacing w:before="0" w:beforeAutospacing="0" w:after="0" w:afterAutospacing="0" w:line="360" w:lineRule="auto"/>
      </w:pPr>
    </w:p>
    <w:p w:rsidR="0025605E" w:rsidRPr="0025605E" w:rsidRDefault="0025605E" w:rsidP="0025605E">
      <w:pPr>
        <w:pStyle w:val="NormalWeb"/>
        <w:spacing w:before="0" w:beforeAutospacing="0" w:after="0" w:afterAutospacing="0" w:line="360" w:lineRule="auto"/>
      </w:pPr>
      <w:r>
        <w:tab/>
      </w:r>
      <w:r>
        <w:tab/>
      </w:r>
      <w:r w:rsidR="00BF0F87">
        <w:t>c</w:t>
      </w:r>
      <w:r>
        <w:t>.</w:t>
      </w:r>
      <w:r>
        <w:tab/>
      </w:r>
      <w:r w:rsidR="00CB40F7">
        <w:rPr>
          <w:u w:val="single"/>
        </w:rPr>
        <w:t>Annual Funding</w:t>
      </w:r>
    </w:p>
    <w:p w:rsidR="0025605E" w:rsidRPr="001B1B38" w:rsidRDefault="0025605E" w:rsidP="00EF5546">
      <w:pPr>
        <w:tabs>
          <w:tab w:val="left" w:pos="0"/>
        </w:tabs>
        <w:spacing w:line="360" w:lineRule="auto"/>
      </w:pPr>
    </w:p>
    <w:p w:rsidR="00813919" w:rsidRDefault="00813919" w:rsidP="00813919">
      <w:pPr>
        <w:pStyle w:val="NormalWeb"/>
        <w:spacing w:before="0" w:beforeAutospacing="0" w:after="0" w:afterAutospacing="0" w:line="360" w:lineRule="auto"/>
        <w:ind w:firstLine="1440"/>
      </w:pPr>
      <w:r>
        <w:t xml:space="preserve">Columbia proposes to commit $1 million of annual funding for the </w:t>
      </w:r>
      <w:r w:rsidR="00C41841">
        <w:t xml:space="preserve">Pilot Rider NAS </w:t>
      </w:r>
      <w:r>
        <w:t xml:space="preserve">program.  As recommended by Mr. Watkins, the OCA submits that the Company should commit $2 million a year towards </w:t>
      </w:r>
      <w:r w:rsidR="00C41841">
        <w:t xml:space="preserve">Pilot </w:t>
      </w:r>
      <w:r>
        <w:t xml:space="preserve">Rider NAS.  </w:t>
      </w:r>
      <w:r w:rsidR="00C41841">
        <w:t>The OCA believes that i</w:t>
      </w:r>
      <w:r>
        <w:t xml:space="preserve">ncreasing the amount of annual funding should increase the number of consumers able to participate in </w:t>
      </w:r>
      <w:r w:rsidR="00C41841">
        <w:t xml:space="preserve">Pilot </w:t>
      </w:r>
      <w:r>
        <w:t>Rider NAS per year, and better promote the expansion of natural gas service in Columbia’s service territory.</w:t>
      </w:r>
      <w:r w:rsidR="00C41841">
        <w:t xml:space="preserve">  OCA M.B., p. 29.</w:t>
      </w:r>
    </w:p>
    <w:p w:rsidR="00C250D5" w:rsidRDefault="00C250D5" w:rsidP="00C250D5">
      <w:pPr>
        <w:pStyle w:val="NormalWeb"/>
        <w:spacing w:before="0" w:beforeAutospacing="0" w:after="0" w:afterAutospacing="0" w:line="360" w:lineRule="auto"/>
      </w:pPr>
    </w:p>
    <w:p w:rsidR="00F36CD7" w:rsidRDefault="00617DF3" w:rsidP="00617DF3">
      <w:pPr>
        <w:pStyle w:val="NormalWeb"/>
        <w:spacing w:before="0" w:beforeAutospacing="0" w:after="0" w:afterAutospacing="0" w:line="360" w:lineRule="auto"/>
      </w:pPr>
      <w:r>
        <w:t>C</w:t>
      </w:r>
      <w:r w:rsidR="00C250D5">
        <w:t>.</w:t>
      </w:r>
      <w:r w:rsidR="00C250D5">
        <w:tab/>
      </w:r>
      <w:r>
        <w:rPr>
          <w:u w:val="single"/>
        </w:rPr>
        <w:t>OSBA’s Position</w:t>
      </w:r>
    </w:p>
    <w:p w:rsidR="002A3A37" w:rsidRDefault="002A3A37" w:rsidP="00C250D5">
      <w:pPr>
        <w:pStyle w:val="NormalWeb"/>
        <w:spacing w:before="0" w:beforeAutospacing="0" w:after="0" w:afterAutospacing="0" w:line="360" w:lineRule="auto"/>
      </w:pPr>
    </w:p>
    <w:p w:rsidR="002A3A37" w:rsidRDefault="002A3A37" w:rsidP="002A3A37">
      <w:pPr>
        <w:pStyle w:val="answ"/>
        <w:spacing w:after="0"/>
        <w:ind w:left="0" w:firstLine="1440"/>
        <w:jc w:val="left"/>
      </w:pPr>
      <w:r>
        <w:t>The OSBA is not contesting the Company’s decision to exclude small business customers from eligibility in this program.  The Company provided its rationale for excluding small business customers from the program in its response to OSBA-I-1.</w:t>
      </w:r>
      <w:r>
        <w:rPr>
          <w:rStyle w:val="FootnoteReference"/>
        </w:rPr>
        <w:footnoteReference w:id="12"/>
      </w:r>
      <w:r>
        <w:t xml:space="preserve">  Regarding that response, the OSBA disagrees with the Company that small business owners have a lower cost of capital than a large regulated natural gas distribution utility.  However, given the nature of </w:t>
      </w:r>
      <w:r w:rsidR="00A47CBD">
        <w:t xml:space="preserve">the Pilot </w:t>
      </w:r>
      <w:r>
        <w:t xml:space="preserve">Rider NAS program, the Company’s constraints on the overall size of the program, the economics of the program, and the complexities involved in offering this option to non-residential customers, the OSBA agrees with the Company that it is premature to extend this program to non-residential customers at this time.  According to the OSBA, its focus in this proceeding has been to ensure that small business customers are not absorbing costs or risks associated with the program, as they will not benefit from it.  OSBA M.B., p. 5. </w:t>
      </w:r>
    </w:p>
    <w:p w:rsidR="00225D85" w:rsidRDefault="00225D85" w:rsidP="00C31DEB">
      <w:pPr>
        <w:spacing w:line="360" w:lineRule="auto"/>
      </w:pPr>
    </w:p>
    <w:p w:rsidR="00225D85" w:rsidRDefault="00225D85" w:rsidP="00225D85">
      <w:pPr>
        <w:spacing w:line="360" w:lineRule="auto"/>
        <w:ind w:firstLine="1440"/>
      </w:pPr>
      <w:r w:rsidRPr="00E46221">
        <w:t xml:space="preserve">The OSBA agrees with </w:t>
      </w:r>
      <w:r>
        <w:t>B</w:t>
      </w:r>
      <w:r w:rsidRPr="00E46221">
        <w:t>I&amp;E that this is not the appropriate forum for a major review of Commission policy on customer contributions.  While there may be merit in such a review, the OSBA believes that the issue is important enough to warrant a generic proceeding.  The OSBA does not object to continuing to subsidize new customers through the depreciation tax benefits in Columbia’s DCF calculation until such time as the Commission undertakes a full evaluation of the policy.  Nevertheless, the OSBA recognizes that the existing mechanism is favorable to new customers in that respect, as the Commission explicitly intended.</w:t>
      </w:r>
      <w:r>
        <w:t xml:space="preserve">  OSBA, M.B., p. 6.</w:t>
      </w:r>
    </w:p>
    <w:p w:rsidR="00225D85" w:rsidRDefault="00225D85" w:rsidP="00225D85">
      <w:pPr>
        <w:spacing w:line="360" w:lineRule="auto"/>
        <w:ind w:firstLine="1440"/>
      </w:pPr>
    </w:p>
    <w:p w:rsidR="00225D85" w:rsidRDefault="00225D85" w:rsidP="00225D85">
      <w:pPr>
        <w:spacing w:line="360" w:lineRule="auto"/>
        <w:ind w:firstLine="1440"/>
      </w:pPr>
      <w:r w:rsidRPr="00E46221">
        <w:t xml:space="preserve">The OSBA objects to </w:t>
      </w:r>
      <w:r>
        <w:t xml:space="preserve">the </w:t>
      </w:r>
      <w:r w:rsidRPr="00E46221">
        <w:t>OCA’s propos</w:t>
      </w:r>
      <w:r w:rsidR="003C10C9">
        <w:t>ed modifications</w:t>
      </w:r>
      <w:r w:rsidRPr="00E46221">
        <w:t xml:space="preserve"> to overhaul the methodology and substantially increase subsidies for new customers at the expense of existing customers, in a proceeding designed merely to create an alternative to the existing method.  The OSBA is also concerned that increasing subsidies will result in higher costs being assigned to small business customers, under normal cost allocation procedures.</w:t>
      </w:r>
      <w:r>
        <w:t xml:space="preserve">  OSBA M.B., p. 6.  </w:t>
      </w:r>
    </w:p>
    <w:p w:rsidR="00225D85" w:rsidRDefault="00225D85" w:rsidP="00225D85">
      <w:pPr>
        <w:spacing w:line="360" w:lineRule="auto"/>
        <w:ind w:firstLine="1440"/>
      </w:pPr>
    </w:p>
    <w:p w:rsidR="00225D85" w:rsidRDefault="00225D85" w:rsidP="00225D85">
      <w:pPr>
        <w:spacing w:line="360" w:lineRule="auto"/>
        <w:ind w:firstLine="1440"/>
      </w:pPr>
      <w:r>
        <w:t xml:space="preserve">The OSBA contends that </w:t>
      </w:r>
      <w:r w:rsidRPr="00E46221">
        <w:t xml:space="preserve">Columbia has failed to make the </w:t>
      </w:r>
      <w:r>
        <w:t xml:space="preserve">Pilot Rider </w:t>
      </w:r>
      <w:r w:rsidRPr="00E46221">
        <w:t xml:space="preserve">NAS payments equivalent to the </w:t>
      </w:r>
      <w:r w:rsidR="00AA3877">
        <w:t>up front</w:t>
      </w:r>
      <w:r w:rsidRPr="00E46221">
        <w:t xml:space="preserve"> contribution, by excluding the income tax costs related to the return on equity from its </w:t>
      </w:r>
      <w:r>
        <w:t xml:space="preserve">Pilot Rider </w:t>
      </w:r>
      <w:r w:rsidRPr="00E46221">
        <w:t xml:space="preserve">NAS calculation.  In effect, if </w:t>
      </w:r>
      <w:r>
        <w:t xml:space="preserve">Pilot </w:t>
      </w:r>
      <w:r w:rsidRPr="00E46221">
        <w:t>Rider NAS is approved,</w:t>
      </w:r>
      <w:r>
        <w:t xml:space="preserve"> the OSBA asserts that </w:t>
      </w:r>
      <w:r w:rsidRPr="00E46221">
        <w:t>existing customers will be paying the taxes for the return on equity portion of the rate</w:t>
      </w:r>
      <w:r>
        <w:t xml:space="preserve"> </w:t>
      </w:r>
      <w:r w:rsidRPr="00E46221">
        <w:t>base for these new customers.</w:t>
      </w:r>
      <w:r>
        <w:t xml:space="preserve">  OSBA M.B., p. 6.  </w:t>
      </w:r>
    </w:p>
    <w:p w:rsidR="00225D85" w:rsidRDefault="00225D85" w:rsidP="00225D85">
      <w:pPr>
        <w:spacing w:line="360" w:lineRule="auto"/>
        <w:ind w:firstLine="1440"/>
      </w:pPr>
    </w:p>
    <w:p w:rsidR="00225D85" w:rsidRPr="00225D85" w:rsidRDefault="00225D85" w:rsidP="00225D85">
      <w:pPr>
        <w:spacing w:line="360" w:lineRule="auto"/>
        <w:ind w:firstLine="1440"/>
      </w:pPr>
      <w:r>
        <w:t xml:space="preserve">According to the OSBA, </w:t>
      </w:r>
      <w:r w:rsidRPr="00E46221">
        <w:t xml:space="preserve">the Company is unwilling to absorb any risk of non-payment of </w:t>
      </w:r>
      <w:r>
        <w:t xml:space="preserve">Pilot Rider </w:t>
      </w:r>
      <w:r w:rsidRPr="00E46221">
        <w:t xml:space="preserve">NAS charges, but is </w:t>
      </w:r>
      <w:r>
        <w:t xml:space="preserve">proposing </w:t>
      </w:r>
      <w:r w:rsidRPr="00E46221">
        <w:t>to assign that risk to existing ratepayers. </w:t>
      </w:r>
      <w:r>
        <w:t xml:space="preserve"> OSBA M.B., pp. 6-7.</w:t>
      </w:r>
    </w:p>
    <w:p w:rsidR="002A3A37" w:rsidRDefault="002A3A37" w:rsidP="00C250D5">
      <w:pPr>
        <w:pStyle w:val="NormalWeb"/>
        <w:spacing w:before="0" w:beforeAutospacing="0" w:after="0" w:afterAutospacing="0" w:line="360" w:lineRule="auto"/>
      </w:pPr>
    </w:p>
    <w:p w:rsidR="009D614C" w:rsidRDefault="00F36CD7" w:rsidP="009D614C">
      <w:pPr>
        <w:tabs>
          <w:tab w:val="left" w:pos="-1440"/>
          <w:tab w:val="left" w:pos="-720"/>
          <w:tab w:val="left" w:pos="1051"/>
          <w:tab w:val="left" w:pos="1752"/>
        </w:tabs>
        <w:suppressAutoHyphens/>
        <w:spacing w:line="360" w:lineRule="auto"/>
        <w:ind w:firstLine="1440"/>
        <w:rPr>
          <w:snapToGrid w:val="0"/>
        </w:rPr>
      </w:pPr>
      <w:r>
        <w:t xml:space="preserve">Generally speaking, the OSBA prefers the Company’s proposed Pilot Rider NAS to the Pilot Rider NAS as modified by the OCA.  OSBA M.B., p. 7.  </w:t>
      </w:r>
      <w:r w:rsidR="00564CFC">
        <w:t>“</w:t>
      </w:r>
      <w:r w:rsidR="00564CFC" w:rsidRPr="00EA5D61">
        <w:rPr>
          <w:snapToGrid w:val="0"/>
        </w:rPr>
        <w:t>The Company has offered a proposal that appears to increase subsidies to new residential customers, and Mr. Watkins</w:t>
      </w:r>
      <w:r w:rsidR="00564CFC">
        <w:rPr>
          <w:snapToGrid w:val="0"/>
        </w:rPr>
        <w:t xml:space="preserve"> (the OCA)</w:t>
      </w:r>
      <w:r w:rsidR="00564CFC" w:rsidRPr="00EA5D61">
        <w:rPr>
          <w:snapToGrid w:val="0"/>
        </w:rPr>
        <w:t xml:space="preserve"> offers a proposal that will result in larger subsidies to new customers.</w:t>
      </w:r>
      <w:r w:rsidR="00D04F19">
        <w:rPr>
          <w:snapToGrid w:val="0"/>
        </w:rPr>
        <w:t xml:space="preserve">”  OSBA M.B., p. 9.  </w:t>
      </w:r>
      <w:r w:rsidR="009D614C">
        <w:rPr>
          <w:snapToGrid w:val="0"/>
        </w:rPr>
        <w:t xml:space="preserve">The OSBA opposes </w:t>
      </w:r>
      <w:r w:rsidR="0080194F">
        <w:rPr>
          <w:snapToGrid w:val="0"/>
        </w:rPr>
        <w:t>the OCA’s</w:t>
      </w:r>
      <w:r w:rsidR="009D614C" w:rsidRPr="00EA5D61">
        <w:rPr>
          <w:snapToGrid w:val="0"/>
        </w:rPr>
        <w:t xml:space="preserve"> proposal in the current proceeding.</w:t>
      </w:r>
      <w:r w:rsidR="009D614C">
        <w:rPr>
          <w:snapToGrid w:val="0"/>
        </w:rPr>
        <w:t xml:space="preserve">  The OSBA explains that, while the magnitude of cross-subsidies may not be large, the potential exists for the approval of such a program to be used as a model for other NGDCs across the Commonwealth which may be contemplating a NAS program such as the one proposed here.  OSBA M.B., p. 10.</w:t>
      </w:r>
    </w:p>
    <w:p w:rsidR="00F5151C" w:rsidRDefault="00F5151C" w:rsidP="009D614C">
      <w:pPr>
        <w:tabs>
          <w:tab w:val="left" w:pos="-1440"/>
          <w:tab w:val="left" w:pos="-720"/>
          <w:tab w:val="left" w:pos="1051"/>
          <w:tab w:val="left" w:pos="1752"/>
        </w:tabs>
        <w:suppressAutoHyphens/>
        <w:spacing w:line="360" w:lineRule="auto"/>
        <w:ind w:firstLine="1440"/>
        <w:rPr>
          <w:snapToGrid w:val="0"/>
        </w:rPr>
      </w:pPr>
    </w:p>
    <w:p w:rsidR="00315572" w:rsidRDefault="00F5151C" w:rsidP="00315572">
      <w:pPr>
        <w:pStyle w:val="answ"/>
        <w:spacing w:after="0"/>
        <w:ind w:left="0" w:firstLine="1440"/>
        <w:jc w:val="left"/>
      </w:pPr>
      <w:r>
        <w:t xml:space="preserve">The OSBA opposes the OCA’s proposed modification to </w:t>
      </w:r>
      <w:r w:rsidR="006A1024">
        <w:t xml:space="preserve">calculate the charges </w:t>
      </w:r>
      <w:r>
        <w:t xml:space="preserve">for the Pilot Rider NAS </w:t>
      </w:r>
      <w:r w:rsidR="006A1024">
        <w:t>using a</w:t>
      </w:r>
      <w:r>
        <w:t xml:space="preserve"> </w:t>
      </w:r>
      <w:r w:rsidR="006A1024">
        <w:t xml:space="preserve">3.0 percent interest rate.  </w:t>
      </w:r>
      <w:r w:rsidR="00315572">
        <w:t>According to the OSBA, t</w:t>
      </w:r>
      <w:r>
        <w:t xml:space="preserve">his </w:t>
      </w:r>
      <w:r w:rsidR="00315572">
        <w:t xml:space="preserve">change </w:t>
      </w:r>
      <w:r>
        <w:t xml:space="preserve">will cause a shortfall between the charged cost of capital in </w:t>
      </w:r>
      <w:r w:rsidR="00315572">
        <w:t xml:space="preserve">Pilot </w:t>
      </w:r>
      <w:r>
        <w:t xml:space="preserve">Rider NAS and the Company’s claimed cost of capital on the total investments, a shortfall which will be passed on to existing ratepayers, including small business customers.  Additionally, at a 3.0 percent interest rate, </w:t>
      </w:r>
      <w:r w:rsidR="00315572">
        <w:t xml:space="preserve">the OSBA contends that the OCA’s </w:t>
      </w:r>
      <w:r>
        <w:t xml:space="preserve">proposed financing terms for </w:t>
      </w:r>
      <w:r w:rsidR="00315572">
        <w:t xml:space="preserve">Pilot </w:t>
      </w:r>
      <w:r>
        <w:t>Rider NAS are relatively attractive, compared to home equity or credit card interest rates.</w:t>
      </w:r>
      <w:r>
        <w:rPr>
          <w:rStyle w:val="FootnoteReference"/>
        </w:rPr>
        <w:footnoteReference w:id="13"/>
      </w:r>
      <w:r w:rsidR="00315572">
        <w:t xml:space="preserve">  OSBA M.B., p. 7.  </w:t>
      </w:r>
    </w:p>
    <w:p w:rsidR="00315572" w:rsidRDefault="00315572" w:rsidP="00315572">
      <w:pPr>
        <w:pStyle w:val="answ"/>
        <w:spacing w:after="0"/>
        <w:ind w:left="0" w:firstLine="1440"/>
        <w:jc w:val="left"/>
      </w:pPr>
    </w:p>
    <w:p w:rsidR="00564CFC" w:rsidRDefault="00F5151C" w:rsidP="0080194F">
      <w:pPr>
        <w:pStyle w:val="answ"/>
        <w:spacing w:after="0"/>
        <w:ind w:left="0" w:firstLine="1440"/>
        <w:jc w:val="left"/>
      </w:pPr>
      <w:r>
        <w:t>The OSBA believes th</w:t>
      </w:r>
      <w:r w:rsidR="0080194F">
        <w:t>e OCA’s proposed modifications to Columbia’s Pilot Rider NAS program w</w:t>
      </w:r>
      <w:r>
        <w:t>ould be likely to have a negative impact on small business customers.</w:t>
      </w:r>
      <w:r w:rsidR="0080194F">
        <w:t xml:space="preserve">  </w:t>
      </w:r>
      <w:r>
        <w:t xml:space="preserve">Under normal base rate cost allocation and rate design procedures, the new investment would be allocated to all rate classes.  </w:t>
      </w:r>
      <w:r w:rsidR="0080194F">
        <w:t>According to the OSBA, b</w:t>
      </w:r>
      <w:r>
        <w:t xml:space="preserve">ecause the Pilot </w:t>
      </w:r>
      <w:r w:rsidR="0080194F">
        <w:t xml:space="preserve">Rider </w:t>
      </w:r>
      <w:r>
        <w:t>NAS investment is not justified by rates, it is implicitly of higher cost per unit of demand (or per customer) than the existing rate base.  Under the normal arithmetic of cost allocation studies, this higher cost will be shared among all rate classes.  Moreover, the greater the cost of the expansion, the larger is the amount sh</w:t>
      </w:r>
      <w:r w:rsidR="00CA3339">
        <w:t xml:space="preserve">ared with other classes.  Thus, OSBA is of the opinion that, </w:t>
      </w:r>
      <w:r>
        <w:t xml:space="preserve">relative to the Company’s proposal, </w:t>
      </w:r>
      <w:r w:rsidR="0080194F">
        <w:t xml:space="preserve">the OCA’s proposed modifications </w:t>
      </w:r>
      <w:r>
        <w:t xml:space="preserve">will likely serve to increase the burden on small business customers. </w:t>
      </w:r>
      <w:r w:rsidR="006A7B80">
        <w:t xml:space="preserve"> </w:t>
      </w:r>
      <w:r>
        <w:t>Therefore, the OSBA prefers the Company’s proposal.</w:t>
      </w:r>
      <w:r w:rsidR="0080194F">
        <w:t xml:space="preserve">  OSBA M.B., p. 7</w:t>
      </w:r>
      <w:r w:rsidR="00CA3339">
        <w:t>.</w:t>
      </w:r>
    </w:p>
    <w:p w:rsidR="006A1024" w:rsidRDefault="006A1024" w:rsidP="00334977">
      <w:pPr>
        <w:spacing w:line="360" w:lineRule="auto"/>
      </w:pPr>
    </w:p>
    <w:p w:rsidR="006A1024" w:rsidRDefault="006A1024" w:rsidP="006A1024">
      <w:pPr>
        <w:pStyle w:val="answ"/>
        <w:spacing w:after="0"/>
        <w:ind w:left="0" w:firstLine="1440"/>
        <w:jc w:val="left"/>
      </w:pPr>
      <w:r>
        <w:t>The OCA proposes that the Company lower the pre-tax cost of equity capital used in its net present value (“NPV”) or DCF assessment model from the allowed equity return to the cost of long-term debt.</w:t>
      </w:r>
      <w:r>
        <w:rPr>
          <w:rStyle w:val="FootnoteReference"/>
        </w:rPr>
        <w:footnoteReference w:id="14"/>
      </w:r>
      <w:r>
        <w:t xml:space="preserve">  </w:t>
      </w:r>
      <w:r w:rsidR="00892F73">
        <w:t>The OSBA asserts that t</w:t>
      </w:r>
      <w:r>
        <w:t xml:space="preserve">his change will reduce the net investment amount that is the basis for the </w:t>
      </w:r>
      <w:r w:rsidR="00892F73">
        <w:t xml:space="preserve">Pilot </w:t>
      </w:r>
      <w:r>
        <w:t xml:space="preserve">Rider NAS charges.  However, as Columbia is unlikely to voluntarily lower its claimed cost of capital for these new investments, this change will reduce the implicit contribution made by </w:t>
      </w:r>
      <w:r w:rsidR="00892F73">
        <w:t xml:space="preserve">Pilot </w:t>
      </w:r>
      <w:r>
        <w:t xml:space="preserve">Rider NAS customers, creating an additional shortfall from new customers that is implicitly passed to existing customers. </w:t>
      </w:r>
      <w:r w:rsidR="002649E1">
        <w:t xml:space="preserve"> </w:t>
      </w:r>
      <w:r>
        <w:t xml:space="preserve">Therefore, </w:t>
      </w:r>
      <w:r w:rsidR="00892F73">
        <w:t xml:space="preserve">the OSBA concludes that </w:t>
      </w:r>
      <w:r>
        <w:t xml:space="preserve">existing customers, including small business customers, will be subsidizing the </w:t>
      </w:r>
      <w:r w:rsidR="00892F73">
        <w:t xml:space="preserve">Pilot </w:t>
      </w:r>
      <w:r>
        <w:t>Rider NAS customers.</w:t>
      </w:r>
      <w:r w:rsidR="00892F73">
        <w:t xml:space="preserve">  OSBA M.B., p. 8.</w:t>
      </w:r>
    </w:p>
    <w:p w:rsidR="00892F73" w:rsidRDefault="00892F73" w:rsidP="00892F73"/>
    <w:p w:rsidR="00CA3339" w:rsidRDefault="00BD689C" w:rsidP="00BD689C">
      <w:pPr>
        <w:pStyle w:val="answ"/>
        <w:spacing w:after="0"/>
        <w:ind w:left="0" w:firstLine="1440"/>
        <w:jc w:val="left"/>
      </w:pPr>
      <w:r>
        <w:rPr>
          <w:szCs w:val="24"/>
        </w:rPr>
        <w:t>The OSBA submits that, u</w:t>
      </w:r>
      <w:r w:rsidR="00892F73">
        <w:rPr>
          <w:szCs w:val="24"/>
        </w:rPr>
        <w:t xml:space="preserve">nder the OCA’s proposed modifications, the Pilot </w:t>
      </w:r>
      <w:r w:rsidR="00892F73" w:rsidRPr="00F04148">
        <w:rPr>
          <w:szCs w:val="24"/>
        </w:rPr>
        <w:t xml:space="preserve">Rider NAS customer </w:t>
      </w:r>
      <w:r w:rsidR="00892F73">
        <w:rPr>
          <w:szCs w:val="24"/>
        </w:rPr>
        <w:t xml:space="preserve">would </w:t>
      </w:r>
      <w:r w:rsidR="00892F73" w:rsidRPr="00F04148">
        <w:rPr>
          <w:szCs w:val="24"/>
        </w:rPr>
        <w:t>avoid the investment costs for a service line, meter and regulator, for which the non-Rider NAS customer generally must pay.</w:t>
      </w:r>
      <w:r w:rsidR="00892F73">
        <w:rPr>
          <w:rStyle w:val="FootnoteReference"/>
          <w:szCs w:val="24"/>
        </w:rPr>
        <w:footnoteReference w:id="15"/>
      </w:r>
      <w:r w:rsidR="00892F73" w:rsidRPr="00F04148">
        <w:rPr>
          <w:szCs w:val="24"/>
        </w:rPr>
        <w:t xml:space="preserve">  </w:t>
      </w:r>
      <w:r w:rsidR="00892F73">
        <w:rPr>
          <w:szCs w:val="24"/>
        </w:rPr>
        <w:t>This obviously makes the Rider NAS program more attractive to new customers than the existing tariff model.</w:t>
      </w:r>
      <w:r w:rsidR="00892F73" w:rsidRPr="00F04148">
        <w:t xml:space="preserve"> </w:t>
      </w:r>
      <w:r w:rsidR="00892F73">
        <w:t xml:space="preserve"> The OSBA is concerned </w:t>
      </w:r>
      <w:r w:rsidR="00892F73" w:rsidRPr="00F04148">
        <w:t xml:space="preserve">that rather than achieving the worthy goal of economically expanding gas service to new customers, </w:t>
      </w:r>
      <w:r>
        <w:t xml:space="preserve">the OCA’s proposed modifications </w:t>
      </w:r>
      <w:r w:rsidR="00892F73" w:rsidRPr="00F04148">
        <w:t>would essentially be a first-come first-served subsidy for Residential system expansions</w:t>
      </w:r>
      <w:r w:rsidR="00892F73">
        <w:t>, paid for, in part, by small business customers</w:t>
      </w:r>
      <w:r w:rsidR="00892F73" w:rsidRPr="00F04148">
        <w:t>.</w:t>
      </w:r>
      <w:r>
        <w:t xml:space="preserve">  OSBA M.B., 8.</w:t>
      </w:r>
    </w:p>
    <w:p w:rsidR="00094FC9" w:rsidRDefault="00094FC9" w:rsidP="00094FC9"/>
    <w:p w:rsidR="00A47CBD" w:rsidRDefault="00094FC9" w:rsidP="00970ED9">
      <w:pPr>
        <w:pStyle w:val="answ"/>
        <w:spacing w:after="0"/>
        <w:ind w:left="0" w:firstLine="1440"/>
        <w:jc w:val="left"/>
      </w:pPr>
      <w:r>
        <w:t>OCA witness Watkins includes in his proposed modifications a listing of the information requirements from the Company that would go a long way toward allowing a segregation of</w:t>
      </w:r>
      <w:r w:rsidRPr="00BC641F">
        <w:t xml:space="preserve"> </w:t>
      </w:r>
      <w:r>
        <w:t xml:space="preserve">the costs and revenues of the Pilot Rider NAS proposal in a base rate proceeding (cost allocation and rate design analyses) to ensure that small business and other non-Residential customers are not burdened by the subsidies provided to new Residential customers under Pilot Rider NAS.  The OSBA believes Mr. Watkins’ additional information requirements may need to be clarified to include class-specific information, for those expansion projects which involve both Residential and non-Residential customers.  </w:t>
      </w:r>
      <w:r w:rsidR="00AB1264">
        <w:t xml:space="preserve">The OSBA is interested in </w:t>
      </w:r>
      <w:r w:rsidR="00564CFC">
        <w:t>obtaining the necessary information from Columbia to track inter-class cross-subsidization for use in future base rate proceedings.</w:t>
      </w:r>
      <w:r w:rsidR="00A47CBD">
        <w:rPr>
          <w:rStyle w:val="FootnoteReference"/>
        </w:rPr>
        <w:footnoteReference w:id="16"/>
      </w:r>
      <w:r w:rsidR="002A3A37">
        <w:t xml:space="preserve">  OSBA M.B., pp. 7-10.  </w:t>
      </w:r>
    </w:p>
    <w:p w:rsidR="00970ED9" w:rsidRPr="00970ED9" w:rsidRDefault="00970ED9" w:rsidP="00970ED9">
      <w:pPr>
        <w:spacing w:line="360" w:lineRule="auto"/>
      </w:pPr>
      <w:r>
        <w:tab/>
      </w:r>
      <w:r>
        <w:tab/>
        <w:t>In addition to a critique of some of the OCA’s proposed modifications,</w:t>
      </w:r>
      <w:r>
        <w:rPr>
          <w:rStyle w:val="FootnoteReference"/>
        </w:rPr>
        <w:footnoteReference w:id="17"/>
      </w:r>
      <w:r>
        <w:t xml:space="preserve"> the OSBA addressed three areas of concern it has with Columbia’s Pilot Rider NAS program.  Those three positions will be addressed in subsections </w:t>
      </w:r>
      <w:r w:rsidR="00A046E1">
        <w:t>1</w:t>
      </w:r>
      <w:r>
        <w:t xml:space="preserve">, </w:t>
      </w:r>
      <w:r w:rsidR="00A046E1">
        <w:t>2</w:t>
      </w:r>
      <w:r>
        <w:t xml:space="preserve"> and</w:t>
      </w:r>
      <w:r w:rsidR="00A046E1">
        <w:t xml:space="preserve"> 3</w:t>
      </w:r>
      <w:r>
        <w:t xml:space="preserve"> to follow.</w:t>
      </w:r>
    </w:p>
    <w:p w:rsidR="0076604A" w:rsidRDefault="0076604A" w:rsidP="009E0AB5">
      <w:pPr>
        <w:spacing w:line="360" w:lineRule="auto"/>
      </w:pPr>
    </w:p>
    <w:p w:rsidR="009E0AB5" w:rsidRDefault="00C40900" w:rsidP="009E0AB5">
      <w:pPr>
        <w:ind w:left="720"/>
        <w:rPr>
          <w:u w:val="single"/>
        </w:rPr>
      </w:pPr>
      <w:r>
        <w:t>1</w:t>
      </w:r>
      <w:r w:rsidR="009E0AB5">
        <w:t>.</w:t>
      </w:r>
      <w:r w:rsidR="009E0AB5">
        <w:tab/>
      </w:r>
      <w:r w:rsidR="008A6479">
        <w:rPr>
          <w:u w:val="single"/>
        </w:rPr>
        <w:t>Review of Tax Depreciation Benefits in Customer</w:t>
      </w:r>
      <w:r w:rsidR="00BB1B9D">
        <w:rPr>
          <w:u w:val="single"/>
        </w:rPr>
        <w:t xml:space="preserve"> </w:t>
      </w:r>
      <w:r w:rsidR="008A6479">
        <w:rPr>
          <w:u w:val="single"/>
        </w:rPr>
        <w:t xml:space="preserve">Contribution Calculation </w:t>
      </w:r>
    </w:p>
    <w:p w:rsidR="00EC15DE" w:rsidRDefault="00EC15DE" w:rsidP="009E0AB5">
      <w:pPr>
        <w:ind w:left="720"/>
        <w:rPr>
          <w:u w:val="single"/>
        </w:rPr>
      </w:pPr>
    </w:p>
    <w:p w:rsidR="00EC15DE" w:rsidRDefault="00EC15DE" w:rsidP="009E0AB5">
      <w:pPr>
        <w:ind w:left="720"/>
        <w:rPr>
          <w:u w:val="single"/>
        </w:rPr>
      </w:pPr>
    </w:p>
    <w:p w:rsidR="007D55B5" w:rsidRDefault="007D55B5" w:rsidP="007D55B5">
      <w:pPr>
        <w:tabs>
          <w:tab w:val="left" w:pos="-1440"/>
          <w:tab w:val="left" w:pos="-720"/>
          <w:tab w:val="left" w:pos="1051"/>
          <w:tab w:val="left" w:pos="1752"/>
        </w:tabs>
        <w:suppressAutoHyphens/>
        <w:spacing w:line="360" w:lineRule="auto"/>
        <w:ind w:firstLine="1440"/>
        <w:rPr>
          <w:snapToGrid w:val="0"/>
        </w:rPr>
      </w:pPr>
      <w:r>
        <w:rPr>
          <w:snapToGrid w:val="0"/>
        </w:rPr>
        <w:t>The OSBA submits that t</w:t>
      </w:r>
      <w:r w:rsidRPr="00982F7A">
        <w:rPr>
          <w:snapToGrid w:val="0"/>
        </w:rPr>
        <w:t xml:space="preserve">his is not the appropriate venue for evaluating substantive changes to the Company’s economic evaluation.   </w:t>
      </w:r>
      <w:r>
        <w:rPr>
          <w:snapToGrid w:val="0"/>
        </w:rPr>
        <w:t>E</w:t>
      </w:r>
      <w:r w:rsidRPr="007116AB">
        <w:rPr>
          <w:snapToGrid w:val="0"/>
        </w:rPr>
        <w:t xml:space="preserve">conomic models related to customer contributions involve a variety of debatable assumptions, some of which may be relatively favorable to protecting existing customers and some of which may be favorable to new customers.  </w:t>
      </w:r>
      <w:r>
        <w:rPr>
          <w:snapToGrid w:val="0"/>
        </w:rPr>
        <w:t xml:space="preserve">As noted in OSBA witness </w:t>
      </w:r>
      <w:proofErr w:type="spellStart"/>
      <w:r>
        <w:rPr>
          <w:snapToGrid w:val="0"/>
        </w:rPr>
        <w:t>Knecht’s</w:t>
      </w:r>
      <w:proofErr w:type="spellEnd"/>
      <w:r>
        <w:rPr>
          <w:snapToGrid w:val="0"/>
        </w:rPr>
        <w:t xml:space="preserve"> D</w:t>
      </w:r>
      <w:r w:rsidRPr="007116AB">
        <w:rPr>
          <w:snapToGrid w:val="0"/>
        </w:rPr>
        <w:t xml:space="preserve">irect </w:t>
      </w:r>
      <w:r>
        <w:rPr>
          <w:snapToGrid w:val="0"/>
        </w:rPr>
        <w:t>T</w:t>
      </w:r>
      <w:r w:rsidRPr="007116AB">
        <w:rPr>
          <w:snapToGrid w:val="0"/>
        </w:rPr>
        <w:t xml:space="preserve">estimony, Columbia’s established procedures for making this calculation are biased in favor of new customers, and </w:t>
      </w:r>
      <w:r>
        <w:rPr>
          <w:snapToGrid w:val="0"/>
        </w:rPr>
        <w:t xml:space="preserve">it is the OSBA’s position that </w:t>
      </w:r>
      <w:r w:rsidRPr="007116AB">
        <w:rPr>
          <w:snapToGrid w:val="0"/>
        </w:rPr>
        <w:t xml:space="preserve">the Company’s method may merit additional review at the appropriate time. </w:t>
      </w:r>
      <w:r>
        <w:rPr>
          <w:snapToGrid w:val="0"/>
        </w:rPr>
        <w:t xml:space="preserve"> OSBA M.B., p. 11.</w:t>
      </w:r>
      <w:r w:rsidRPr="007116AB">
        <w:rPr>
          <w:snapToGrid w:val="0"/>
        </w:rPr>
        <w:t xml:space="preserve"> </w:t>
      </w:r>
    </w:p>
    <w:p w:rsidR="007D55B5" w:rsidRDefault="007D55B5" w:rsidP="007D55B5">
      <w:pPr>
        <w:tabs>
          <w:tab w:val="left" w:pos="-1440"/>
          <w:tab w:val="left" w:pos="-720"/>
          <w:tab w:val="left" w:pos="1051"/>
          <w:tab w:val="left" w:pos="1752"/>
        </w:tabs>
        <w:suppressAutoHyphens/>
        <w:spacing w:line="360" w:lineRule="auto"/>
        <w:rPr>
          <w:snapToGrid w:val="0"/>
        </w:rPr>
      </w:pPr>
    </w:p>
    <w:p w:rsidR="007D55B5" w:rsidRDefault="007D55B5" w:rsidP="00980C87">
      <w:pPr>
        <w:tabs>
          <w:tab w:val="left" w:pos="-1440"/>
          <w:tab w:val="left" w:pos="-720"/>
          <w:tab w:val="left" w:pos="720"/>
          <w:tab w:val="left" w:pos="1440"/>
        </w:tabs>
        <w:suppressAutoHyphens/>
        <w:spacing w:line="360" w:lineRule="auto"/>
        <w:rPr>
          <w:snapToGrid w:val="0"/>
        </w:rPr>
      </w:pPr>
      <w:r>
        <w:rPr>
          <w:snapToGrid w:val="0"/>
        </w:rPr>
        <w:tab/>
      </w:r>
      <w:r w:rsidR="00C40900">
        <w:rPr>
          <w:snapToGrid w:val="0"/>
        </w:rPr>
        <w:t>2</w:t>
      </w:r>
      <w:r>
        <w:rPr>
          <w:snapToGrid w:val="0"/>
        </w:rPr>
        <w:t>.</w:t>
      </w:r>
      <w:r>
        <w:rPr>
          <w:snapToGrid w:val="0"/>
        </w:rPr>
        <w:tab/>
      </w:r>
      <w:r w:rsidR="00DE4BAD">
        <w:rPr>
          <w:snapToGrid w:val="0"/>
          <w:u w:val="single"/>
        </w:rPr>
        <w:t>Income Tax Costs in Pilot Rider NAS Charge Calculation</w:t>
      </w:r>
    </w:p>
    <w:p w:rsidR="007D55B5" w:rsidRDefault="007D55B5" w:rsidP="007D55B5">
      <w:pPr>
        <w:tabs>
          <w:tab w:val="left" w:pos="-1440"/>
          <w:tab w:val="left" w:pos="-720"/>
          <w:tab w:val="left" w:pos="1051"/>
          <w:tab w:val="left" w:pos="1752"/>
        </w:tabs>
        <w:suppressAutoHyphens/>
        <w:spacing w:line="360" w:lineRule="auto"/>
        <w:rPr>
          <w:snapToGrid w:val="0"/>
        </w:rPr>
      </w:pPr>
    </w:p>
    <w:p w:rsidR="006872A8" w:rsidRDefault="006872A8" w:rsidP="006872A8">
      <w:pPr>
        <w:tabs>
          <w:tab w:val="left" w:pos="-1440"/>
          <w:tab w:val="left" w:pos="-720"/>
          <w:tab w:val="left" w:pos="1051"/>
          <w:tab w:val="left" w:pos="1752"/>
        </w:tabs>
        <w:suppressAutoHyphens/>
        <w:spacing w:line="360" w:lineRule="auto"/>
        <w:ind w:firstLine="1440"/>
        <w:rPr>
          <w:snapToGrid w:val="0"/>
        </w:rPr>
      </w:pPr>
      <w:r>
        <w:rPr>
          <w:snapToGrid w:val="0"/>
        </w:rPr>
        <w:t>T</w:t>
      </w:r>
      <w:r w:rsidRPr="007116AB">
        <w:rPr>
          <w:snapToGrid w:val="0"/>
        </w:rPr>
        <w:t xml:space="preserve">he OSBA </w:t>
      </w:r>
      <w:r>
        <w:rPr>
          <w:snapToGrid w:val="0"/>
        </w:rPr>
        <w:t xml:space="preserve">is not advocating </w:t>
      </w:r>
      <w:r w:rsidRPr="007116AB">
        <w:rPr>
          <w:snapToGrid w:val="0"/>
        </w:rPr>
        <w:t>a modification to the established practices at this time</w:t>
      </w:r>
      <w:r>
        <w:rPr>
          <w:snapToGrid w:val="0"/>
        </w:rPr>
        <w:t xml:space="preserve"> with respect to the treatment of income tax costs in the Pilot Rider NAS calculation </w:t>
      </w:r>
      <w:r w:rsidRPr="007116AB">
        <w:rPr>
          <w:snapToGrid w:val="0"/>
        </w:rPr>
        <w:t>as long as reasonable protections are established to prevent small business customers from bearing the costs for a program in which they are not eligible to participate.</w:t>
      </w:r>
      <w:r>
        <w:rPr>
          <w:snapToGrid w:val="0"/>
        </w:rPr>
        <w:t xml:space="preserve">  OSBA M.B., p. 11.  </w:t>
      </w:r>
    </w:p>
    <w:p w:rsidR="006872A8" w:rsidRDefault="006872A8" w:rsidP="006872A8">
      <w:pPr>
        <w:tabs>
          <w:tab w:val="left" w:pos="-1440"/>
          <w:tab w:val="left" w:pos="-720"/>
          <w:tab w:val="left" w:pos="1051"/>
          <w:tab w:val="left" w:pos="1752"/>
        </w:tabs>
        <w:suppressAutoHyphens/>
        <w:spacing w:line="360" w:lineRule="auto"/>
        <w:ind w:firstLine="1440"/>
        <w:rPr>
          <w:snapToGrid w:val="0"/>
        </w:rPr>
      </w:pPr>
    </w:p>
    <w:p w:rsidR="00805C9A" w:rsidRDefault="006872A8" w:rsidP="00805C9A">
      <w:pPr>
        <w:tabs>
          <w:tab w:val="left" w:pos="-1440"/>
          <w:tab w:val="left" w:pos="-720"/>
          <w:tab w:val="left" w:pos="1051"/>
          <w:tab w:val="left" w:pos="1752"/>
        </w:tabs>
        <w:suppressAutoHyphens/>
        <w:spacing w:line="360" w:lineRule="auto"/>
        <w:ind w:firstLine="1440"/>
        <w:rPr>
          <w:snapToGrid w:val="0"/>
        </w:rPr>
      </w:pPr>
      <w:r>
        <w:rPr>
          <w:snapToGrid w:val="0"/>
        </w:rPr>
        <w:t xml:space="preserve">According to the OSBA, Columbia’s </w:t>
      </w:r>
      <w:r w:rsidRPr="00E76B34">
        <w:rPr>
          <w:snapToGrid w:val="0"/>
        </w:rPr>
        <w:t xml:space="preserve">NPV </w:t>
      </w:r>
      <w:r>
        <w:rPr>
          <w:snapToGrid w:val="0"/>
        </w:rPr>
        <w:t xml:space="preserve">of DCF </w:t>
      </w:r>
      <w:r w:rsidRPr="00E76B34">
        <w:rPr>
          <w:snapToGrid w:val="0"/>
        </w:rPr>
        <w:t xml:space="preserve">analyses </w:t>
      </w:r>
      <w:r>
        <w:rPr>
          <w:snapToGrid w:val="0"/>
        </w:rPr>
        <w:t>(</w:t>
      </w:r>
      <w:r w:rsidRPr="00E76B34">
        <w:rPr>
          <w:snapToGrid w:val="0"/>
        </w:rPr>
        <w:t>provided in response to OSBA-I-2</w:t>
      </w:r>
      <w:r>
        <w:rPr>
          <w:snapToGrid w:val="0"/>
        </w:rPr>
        <w:t xml:space="preserve">) do not </w:t>
      </w:r>
      <w:r w:rsidRPr="00E76B34">
        <w:rPr>
          <w:snapToGrid w:val="0"/>
        </w:rPr>
        <w:t xml:space="preserve">include the </w:t>
      </w:r>
      <w:r>
        <w:rPr>
          <w:snapToGrid w:val="0"/>
        </w:rPr>
        <w:t>d</w:t>
      </w:r>
      <w:r w:rsidRPr="00E76B34">
        <w:rPr>
          <w:snapToGrid w:val="0"/>
        </w:rPr>
        <w:t>irect tax effect of CIAC in assessing the costs related to system expansion</w:t>
      </w:r>
      <w:r>
        <w:rPr>
          <w:snapToGrid w:val="0"/>
        </w:rPr>
        <w:t>.</w:t>
      </w:r>
      <w:r w:rsidR="006B5C0B">
        <w:rPr>
          <w:snapToGrid w:val="0"/>
        </w:rPr>
        <w:t xml:space="preserve"> </w:t>
      </w:r>
      <w:r w:rsidRPr="00E76B34">
        <w:rPr>
          <w:snapToGrid w:val="0"/>
        </w:rPr>
        <w:t xml:space="preserve"> The Company’s NPV model excludes the direct tax cost of the CIAC, but includes the depreciation tax shields.</w:t>
      </w:r>
      <w:r>
        <w:rPr>
          <w:snapToGrid w:val="0"/>
        </w:rPr>
        <w:t xml:space="preserve">  Company witness </w:t>
      </w:r>
      <w:r w:rsidRPr="00E76B34">
        <w:rPr>
          <w:snapToGrid w:val="0"/>
        </w:rPr>
        <w:t>Mr. Evans argue</w:t>
      </w:r>
      <w:r>
        <w:rPr>
          <w:snapToGrid w:val="0"/>
        </w:rPr>
        <w:t>s</w:t>
      </w:r>
      <w:r w:rsidRPr="00E76B34">
        <w:rPr>
          <w:snapToGrid w:val="0"/>
        </w:rPr>
        <w:t xml:space="preserve"> that the Commission determined that utilities “should include in rate base the resulting deferred tax debit from paying the tax on the CIAC and that the debit is removed from rate base as the gas utility receives the tax depreciation on plant constructed with the CIAC.”  </w:t>
      </w:r>
      <w:r>
        <w:rPr>
          <w:snapToGrid w:val="0"/>
        </w:rPr>
        <w:t>However, i</w:t>
      </w:r>
      <w:r w:rsidRPr="00E76B34">
        <w:rPr>
          <w:snapToGrid w:val="0"/>
        </w:rPr>
        <w:t xml:space="preserve">n the NPV analysis provided in response to OSBA-I-2, the Company </w:t>
      </w:r>
      <w:r>
        <w:rPr>
          <w:snapToGrid w:val="0"/>
        </w:rPr>
        <w:t xml:space="preserve">does not </w:t>
      </w:r>
      <w:r w:rsidRPr="00E76B34">
        <w:rPr>
          <w:snapToGrid w:val="0"/>
        </w:rPr>
        <w:t>reflect the costs to ratepayers for the rate</w:t>
      </w:r>
      <w:r>
        <w:rPr>
          <w:snapToGrid w:val="0"/>
        </w:rPr>
        <w:t xml:space="preserve"> </w:t>
      </w:r>
      <w:r w:rsidRPr="00E76B34">
        <w:rPr>
          <w:snapToGrid w:val="0"/>
        </w:rPr>
        <w:t>base associated with this deferred tax debit</w:t>
      </w:r>
      <w:r>
        <w:rPr>
          <w:snapToGrid w:val="0"/>
        </w:rPr>
        <w:t>.</w:t>
      </w:r>
      <w:r w:rsidR="00805C9A">
        <w:rPr>
          <w:snapToGrid w:val="0"/>
        </w:rPr>
        <w:t xml:space="preserve">  OSBA M.B., p. 12.  </w:t>
      </w:r>
    </w:p>
    <w:p w:rsidR="00805C9A" w:rsidRDefault="00805C9A" w:rsidP="00805C9A">
      <w:pPr>
        <w:tabs>
          <w:tab w:val="left" w:pos="-1440"/>
          <w:tab w:val="left" w:pos="-720"/>
          <w:tab w:val="left" w:pos="1051"/>
          <w:tab w:val="left" w:pos="1752"/>
        </w:tabs>
        <w:suppressAutoHyphens/>
        <w:spacing w:line="360" w:lineRule="auto"/>
        <w:ind w:firstLine="1440"/>
        <w:rPr>
          <w:snapToGrid w:val="0"/>
        </w:rPr>
      </w:pPr>
    </w:p>
    <w:p w:rsidR="00A05621" w:rsidRDefault="006872A8" w:rsidP="00A05621">
      <w:pPr>
        <w:tabs>
          <w:tab w:val="left" w:pos="-1440"/>
          <w:tab w:val="left" w:pos="-720"/>
          <w:tab w:val="left" w:pos="1051"/>
          <w:tab w:val="left" w:pos="1752"/>
        </w:tabs>
        <w:suppressAutoHyphens/>
        <w:spacing w:line="360" w:lineRule="auto"/>
        <w:ind w:firstLine="1440"/>
        <w:rPr>
          <w:snapToGrid w:val="0"/>
        </w:rPr>
      </w:pPr>
      <w:r>
        <w:rPr>
          <w:snapToGrid w:val="0"/>
        </w:rPr>
        <w:t>The OSBA concludes, therefore, that t</w:t>
      </w:r>
      <w:r w:rsidRPr="00E76B34">
        <w:rPr>
          <w:snapToGrid w:val="0"/>
        </w:rPr>
        <w:t>he Company’s NPV model understates the tax costs (or overstates the tax benefits) associated with the CIAC, thereby understating the economic cost of the system expansion.</w:t>
      </w:r>
      <w:r w:rsidR="00A05621">
        <w:rPr>
          <w:snapToGrid w:val="0"/>
        </w:rPr>
        <w:t xml:space="preserve">  OSBA M.B., p. 12.  </w:t>
      </w:r>
    </w:p>
    <w:p w:rsidR="00A05621" w:rsidRDefault="00A05621" w:rsidP="00A05621">
      <w:pPr>
        <w:tabs>
          <w:tab w:val="left" w:pos="-1440"/>
          <w:tab w:val="left" w:pos="-720"/>
          <w:tab w:val="left" w:pos="1051"/>
          <w:tab w:val="left" w:pos="1752"/>
        </w:tabs>
        <w:suppressAutoHyphens/>
        <w:spacing w:line="360" w:lineRule="auto"/>
        <w:ind w:firstLine="1440"/>
        <w:rPr>
          <w:snapToGrid w:val="0"/>
        </w:rPr>
      </w:pPr>
    </w:p>
    <w:p w:rsidR="00A05621" w:rsidRDefault="006872A8" w:rsidP="00A05621">
      <w:pPr>
        <w:tabs>
          <w:tab w:val="left" w:pos="-1440"/>
          <w:tab w:val="left" w:pos="-720"/>
          <w:tab w:val="left" w:pos="1051"/>
          <w:tab w:val="left" w:pos="1752"/>
        </w:tabs>
        <w:suppressAutoHyphens/>
        <w:spacing w:line="360" w:lineRule="auto"/>
        <w:ind w:firstLine="1440"/>
        <w:rPr>
          <w:snapToGrid w:val="0"/>
        </w:rPr>
      </w:pPr>
      <w:r>
        <w:rPr>
          <w:snapToGrid w:val="0"/>
        </w:rPr>
        <w:t xml:space="preserve">The OSBA also </w:t>
      </w:r>
      <w:r w:rsidRPr="00E76B34">
        <w:rPr>
          <w:snapToGrid w:val="0"/>
        </w:rPr>
        <w:t>conclu</w:t>
      </w:r>
      <w:r>
        <w:rPr>
          <w:snapToGrid w:val="0"/>
        </w:rPr>
        <w:t>des</w:t>
      </w:r>
      <w:r w:rsidRPr="00E76B34">
        <w:rPr>
          <w:snapToGrid w:val="0"/>
        </w:rPr>
        <w:t xml:space="preserve"> that the “interest” rate used by the Company in calculating the </w:t>
      </w:r>
      <w:r w:rsidR="00A05621">
        <w:rPr>
          <w:snapToGrid w:val="0"/>
        </w:rPr>
        <w:t xml:space="preserve">Pilot </w:t>
      </w:r>
      <w:r w:rsidRPr="00E76B34">
        <w:rPr>
          <w:snapToGrid w:val="0"/>
        </w:rPr>
        <w:t xml:space="preserve">Rider NAS charge fails to recognize that the Company incurs income taxes related to equity.  The Company’s economic evaluation explicitly includes the income tax costs associated with the new customer, including both regular and deferred tax impacts.  These costs (correctly) serve to increase the magnitude of the required contribution.  In contrast, the Company includes no such tax effects in deriving the “interest” rate for </w:t>
      </w:r>
      <w:r w:rsidR="00A05621">
        <w:rPr>
          <w:snapToGrid w:val="0"/>
        </w:rPr>
        <w:t xml:space="preserve">Pilot </w:t>
      </w:r>
      <w:r w:rsidRPr="00E76B34">
        <w:rPr>
          <w:snapToGrid w:val="0"/>
        </w:rPr>
        <w:t xml:space="preserve">Rider NAS.  </w:t>
      </w:r>
      <w:r w:rsidR="00A05621">
        <w:rPr>
          <w:snapToGrid w:val="0"/>
        </w:rPr>
        <w:t>According to the OSBA, t</w:t>
      </w:r>
      <w:r w:rsidRPr="00E76B34">
        <w:rPr>
          <w:snapToGrid w:val="0"/>
        </w:rPr>
        <w:t>he Company’s economic model and its “interest” calcul</w:t>
      </w:r>
      <w:r w:rsidR="00A05621">
        <w:rPr>
          <w:snapToGrid w:val="0"/>
        </w:rPr>
        <w:t xml:space="preserve">ation are simply not consistent.  OSBA M.B., p. 12.  </w:t>
      </w:r>
    </w:p>
    <w:p w:rsidR="00A05621" w:rsidRDefault="00A05621" w:rsidP="00A05621">
      <w:pPr>
        <w:tabs>
          <w:tab w:val="left" w:pos="-1440"/>
          <w:tab w:val="left" w:pos="-720"/>
          <w:tab w:val="left" w:pos="1051"/>
          <w:tab w:val="left" w:pos="1752"/>
        </w:tabs>
        <w:suppressAutoHyphens/>
        <w:spacing w:line="360" w:lineRule="auto"/>
        <w:ind w:firstLine="1440"/>
        <w:rPr>
          <w:snapToGrid w:val="0"/>
        </w:rPr>
      </w:pPr>
    </w:p>
    <w:p w:rsidR="00A05621" w:rsidRDefault="006872A8" w:rsidP="00A05621">
      <w:pPr>
        <w:tabs>
          <w:tab w:val="left" w:pos="-1440"/>
          <w:tab w:val="left" w:pos="-720"/>
          <w:tab w:val="left" w:pos="1051"/>
          <w:tab w:val="left" w:pos="1752"/>
        </w:tabs>
        <w:suppressAutoHyphens/>
        <w:spacing w:line="360" w:lineRule="auto"/>
        <w:ind w:firstLine="1440"/>
        <w:rPr>
          <w:snapToGrid w:val="0"/>
        </w:rPr>
      </w:pPr>
      <w:r>
        <w:rPr>
          <w:snapToGrid w:val="0"/>
        </w:rPr>
        <w:t xml:space="preserve">Finally, </w:t>
      </w:r>
      <w:r w:rsidRPr="00E76B34">
        <w:rPr>
          <w:snapToGrid w:val="0"/>
        </w:rPr>
        <w:t xml:space="preserve">with regard to the complexities associated with deferred taxes, </w:t>
      </w:r>
      <w:r>
        <w:rPr>
          <w:snapToGrid w:val="0"/>
        </w:rPr>
        <w:t xml:space="preserve">the OSBA </w:t>
      </w:r>
      <w:r w:rsidRPr="00E76B34">
        <w:rPr>
          <w:snapToGrid w:val="0"/>
        </w:rPr>
        <w:t>note</w:t>
      </w:r>
      <w:r>
        <w:rPr>
          <w:snapToGrid w:val="0"/>
        </w:rPr>
        <w:t>s</w:t>
      </w:r>
      <w:r w:rsidRPr="00E76B34">
        <w:rPr>
          <w:snapToGrid w:val="0"/>
        </w:rPr>
        <w:t xml:space="preserve"> that neither Columbia nor the Commission saw a need to include any such complexities in its DSIC calculations, which</w:t>
      </w:r>
      <w:r w:rsidR="00A05621">
        <w:rPr>
          <w:snapToGrid w:val="0"/>
        </w:rPr>
        <w:t xml:space="preserve"> </w:t>
      </w:r>
      <w:r w:rsidRPr="00E76B34">
        <w:rPr>
          <w:snapToGrid w:val="0"/>
        </w:rPr>
        <w:t>simply gross up the equity returns for income taxes.</w:t>
      </w:r>
      <w:r w:rsidRPr="00E76B34">
        <w:rPr>
          <w:snapToGrid w:val="0"/>
          <w:vertAlign w:val="superscript"/>
        </w:rPr>
        <w:footnoteReference w:id="18"/>
      </w:r>
      <w:r w:rsidRPr="00E76B34">
        <w:rPr>
          <w:snapToGrid w:val="0"/>
        </w:rPr>
        <w:t xml:space="preserve">  </w:t>
      </w:r>
      <w:r>
        <w:rPr>
          <w:snapToGrid w:val="0"/>
        </w:rPr>
        <w:t>The OSBA</w:t>
      </w:r>
      <w:r w:rsidR="00A05621">
        <w:rPr>
          <w:snapToGrid w:val="0"/>
        </w:rPr>
        <w:t xml:space="preserve"> submits that its </w:t>
      </w:r>
      <w:r w:rsidRPr="00E76B34">
        <w:rPr>
          <w:snapToGrid w:val="0"/>
        </w:rPr>
        <w:t>proposal is consistent with that approach.</w:t>
      </w:r>
      <w:r w:rsidR="00A05621">
        <w:rPr>
          <w:snapToGrid w:val="0"/>
        </w:rPr>
        <w:t xml:space="preserve">  OSBA M.B., p. 12.  </w:t>
      </w:r>
    </w:p>
    <w:p w:rsidR="00A05621" w:rsidRDefault="00A05621" w:rsidP="00A05621">
      <w:pPr>
        <w:tabs>
          <w:tab w:val="left" w:pos="-1440"/>
          <w:tab w:val="left" w:pos="-720"/>
          <w:tab w:val="left" w:pos="1051"/>
          <w:tab w:val="left" w:pos="1752"/>
        </w:tabs>
        <w:suppressAutoHyphens/>
        <w:spacing w:line="360" w:lineRule="auto"/>
        <w:rPr>
          <w:snapToGrid w:val="0"/>
        </w:rPr>
      </w:pPr>
    </w:p>
    <w:p w:rsidR="008C4D7B" w:rsidRDefault="008C4D7B" w:rsidP="00A05621">
      <w:pPr>
        <w:tabs>
          <w:tab w:val="left" w:pos="-1440"/>
          <w:tab w:val="left" w:pos="-720"/>
          <w:tab w:val="left" w:pos="1051"/>
          <w:tab w:val="left" w:pos="1752"/>
        </w:tabs>
        <w:suppressAutoHyphens/>
        <w:spacing w:line="360" w:lineRule="auto"/>
        <w:rPr>
          <w:snapToGrid w:val="0"/>
        </w:rPr>
      </w:pPr>
    </w:p>
    <w:p w:rsidR="008C4D7B" w:rsidRDefault="008C4D7B" w:rsidP="00A05621">
      <w:pPr>
        <w:tabs>
          <w:tab w:val="left" w:pos="-1440"/>
          <w:tab w:val="left" w:pos="-720"/>
          <w:tab w:val="left" w:pos="1051"/>
          <w:tab w:val="left" w:pos="1752"/>
        </w:tabs>
        <w:suppressAutoHyphens/>
        <w:spacing w:line="360" w:lineRule="auto"/>
        <w:rPr>
          <w:snapToGrid w:val="0"/>
        </w:rPr>
      </w:pPr>
    </w:p>
    <w:p w:rsidR="007D55B5" w:rsidRDefault="00A05621" w:rsidP="00C513FB">
      <w:pPr>
        <w:tabs>
          <w:tab w:val="left" w:pos="-1440"/>
          <w:tab w:val="left" w:pos="-720"/>
          <w:tab w:val="left" w:pos="1440"/>
          <w:tab w:val="left" w:pos="1752"/>
        </w:tabs>
        <w:suppressAutoHyphens/>
        <w:ind w:left="720" w:hanging="720"/>
        <w:rPr>
          <w:snapToGrid w:val="0"/>
        </w:rPr>
      </w:pPr>
      <w:r>
        <w:rPr>
          <w:snapToGrid w:val="0"/>
        </w:rPr>
        <w:tab/>
      </w:r>
      <w:r w:rsidR="00C40900">
        <w:rPr>
          <w:snapToGrid w:val="0"/>
        </w:rPr>
        <w:t>3</w:t>
      </w:r>
      <w:r>
        <w:rPr>
          <w:snapToGrid w:val="0"/>
        </w:rPr>
        <w:t>.</w:t>
      </w:r>
      <w:r>
        <w:rPr>
          <w:snapToGrid w:val="0"/>
        </w:rPr>
        <w:tab/>
      </w:r>
      <w:r w:rsidR="00C513FB">
        <w:rPr>
          <w:snapToGrid w:val="0"/>
          <w:u w:val="single"/>
        </w:rPr>
        <w:t>Recording Customer Contributions Whether Payments Are</w:t>
      </w:r>
      <w:r w:rsidR="00230CEA">
        <w:rPr>
          <w:snapToGrid w:val="0"/>
          <w:u w:val="single"/>
        </w:rPr>
        <w:t xml:space="preserve"> </w:t>
      </w:r>
      <w:r w:rsidR="00C513FB">
        <w:rPr>
          <w:snapToGrid w:val="0"/>
          <w:u w:val="single"/>
        </w:rPr>
        <w:t>Made</w:t>
      </w:r>
      <w:r w:rsidR="00C513FB" w:rsidRPr="00E76B34">
        <w:rPr>
          <w:snapToGrid w:val="0"/>
        </w:rPr>
        <w:t xml:space="preserve">    </w:t>
      </w:r>
    </w:p>
    <w:p w:rsidR="00A05621" w:rsidRDefault="00A05621" w:rsidP="00C513FB">
      <w:pPr>
        <w:tabs>
          <w:tab w:val="left" w:pos="-1440"/>
          <w:tab w:val="left" w:pos="-720"/>
          <w:tab w:val="left" w:pos="1051"/>
          <w:tab w:val="left" w:pos="1752"/>
        </w:tabs>
        <w:suppressAutoHyphens/>
        <w:spacing w:line="360" w:lineRule="auto"/>
        <w:ind w:left="720" w:hanging="720"/>
        <w:rPr>
          <w:snapToGrid w:val="0"/>
        </w:rPr>
      </w:pPr>
    </w:p>
    <w:p w:rsidR="00DC3EA8" w:rsidRDefault="00DC3EA8" w:rsidP="00DC3EA8">
      <w:pPr>
        <w:tabs>
          <w:tab w:val="left" w:pos="-1440"/>
          <w:tab w:val="left" w:pos="-720"/>
          <w:tab w:val="left" w:pos="1051"/>
          <w:tab w:val="left" w:pos="1752"/>
        </w:tabs>
        <w:suppressAutoHyphens/>
        <w:spacing w:line="360" w:lineRule="auto"/>
        <w:ind w:firstLine="1440"/>
        <w:rPr>
          <w:snapToGrid w:val="0"/>
        </w:rPr>
      </w:pPr>
      <w:r w:rsidRPr="00E76B34">
        <w:rPr>
          <w:snapToGrid w:val="0"/>
        </w:rPr>
        <w:t xml:space="preserve">The Company proposes to write down the gross book value of the </w:t>
      </w:r>
      <w:r>
        <w:rPr>
          <w:snapToGrid w:val="0"/>
        </w:rPr>
        <w:t xml:space="preserve">Pilot </w:t>
      </w:r>
      <w:r w:rsidRPr="00E76B34">
        <w:rPr>
          <w:snapToGrid w:val="0"/>
        </w:rPr>
        <w:t xml:space="preserve">Rider NAS investment only if </w:t>
      </w:r>
      <w:r>
        <w:rPr>
          <w:snapToGrid w:val="0"/>
        </w:rPr>
        <w:t xml:space="preserve">Pilot </w:t>
      </w:r>
      <w:r w:rsidRPr="00E76B34">
        <w:rPr>
          <w:snapToGrid w:val="0"/>
        </w:rPr>
        <w:t>Rider NAS payments are actually made.</w:t>
      </w:r>
      <w:r w:rsidRPr="00E76B34">
        <w:rPr>
          <w:snapToGrid w:val="0"/>
          <w:vertAlign w:val="superscript"/>
        </w:rPr>
        <w:footnoteReference w:id="19"/>
      </w:r>
      <w:r w:rsidRPr="00E76B34">
        <w:rPr>
          <w:snapToGrid w:val="0"/>
        </w:rPr>
        <w:t xml:space="preserve">  If the contributions are not made, the </w:t>
      </w:r>
      <w:r>
        <w:rPr>
          <w:snapToGrid w:val="0"/>
        </w:rPr>
        <w:t xml:space="preserve">Pilot </w:t>
      </w:r>
      <w:r w:rsidRPr="00E76B34">
        <w:rPr>
          <w:snapToGrid w:val="0"/>
        </w:rPr>
        <w:t xml:space="preserve">Rider NAS investment will remain in gross plant.  </w:t>
      </w:r>
      <w:r>
        <w:rPr>
          <w:snapToGrid w:val="0"/>
        </w:rPr>
        <w:t xml:space="preserve">It is the understanding of the OSBA that </w:t>
      </w:r>
      <w:r w:rsidRPr="00E76B34">
        <w:rPr>
          <w:snapToGrid w:val="0"/>
        </w:rPr>
        <w:t xml:space="preserve">this non-payment implies that net book value associated with the </w:t>
      </w:r>
      <w:r>
        <w:rPr>
          <w:snapToGrid w:val="0"/>
        </w:rPr>
        <w:t xml:space="preserve">Pilot </w:t>
      </w:r>
      <w:r w:rsidRPr="00E76B34">
        <w:rPr>
          <w:snapToGrid w:val="0"/>
        </w:rPr>
        <w:t xml:space="preserve">Rider NAS investment will be higher than if the </w:t>
      </w:r>
      <w:r>
        <w:rPr>
          <w:snapToGrid w:val="0"/>
        </w:rPr>
        <w:t xml:space="preserve">Pilot </w:t>
      </w:r>
      <w:r w:rsidRPr="00E76B34">
        <w:rPr>
          <w:snapToGrid w:val="0"/>
        </w:rPr>
        <w:t xml:space="preserve">Rider NAS payments were made.  In effect, non-Rider NAS customers will be absorbing higher costs if </w:t>
      </w:r>
      <w:r>
        <w:rPr>
          <w:snapToGrid w:val="0"/>
        </w:rPr>
        <w:t xml:space="preserve">Pilot </w:t>
      </w:r>
      <w:r w:rsidRPr="00E76B34">
        <w:rPr>
          <w:snapToGrid w:val="0"/>
        </w:rPr>
        <w:t>Rider NAS payments are not made than if they are made.</w:t>
      </w:r>
      <w:r>
        <w:rPr>
          <w:snapToGrid w:val="0"/>
        </w:rPr>
        <w:t xml:space="preserve">  OSBA M.B., p. 13.  </w:t>
      </w:r>
    </w:p>
    <w:p w:rsidR="00DC3EA8" w:rsidRDefault="00DC3EA8" w:rsidP="00DC3EA8">
      <w:pPr>
        <w:tabs>
          <w:tab w:val="left" w:pos="-1440"/>
          <w:tab w:val="left" w:pos="-720"/>
          <w:tab w:val="left" w:pos="1051"/>
          <w:tab w:val="left" w:pos="1752"/>
        </w:tabs>
        <w:suppressAutoHyphens/>
        <w:spacing w:line="360" w:lineRule="auto"/>
        <w:ind w:firstLine="1440"/>
        <w:rPr>
          <w:snapToGrid w:val="0"/>
        </w:rPr>
      </w:pPr>
    </w:p>
    <w:p w:rsidR="00DC3EA8" w:rsidRDefault="00DC3EA8" w:rsidP="00DC3EA8">
      <w:pPr>
        <w:tabs>
          <w:tab w:val="left" w:pos="-1440"/>
          <w:tab w:val="left" w:pos="-720"/>
          <w:tab w:val="left" w:pos="1051"/>
          <w:tab w:val="left" w:pos="1752"/>
        </w:tabs>
        <w:suppressAutoHyphens/>
        <w:spacing w:line="360" w:lineRule="auto"/>
        <w:ind w:firstLine="1440"/>
        <w:rPr>
          <w:snapToGrid w:val="0"/>
        </w:rPr>
      </w:pPr>
      <w:r>
        <w:rPr>
          <w:snapToGrid w:val="0"/>
        </w:rPr>
        <w:t>According to the OSBA, t</w:t>
      </w:r>
      <w:r w:rsidRPr="00E76B34">
        <w:rPr>
          <w:snapToGrid w:val="0"/>
        </w:rPr>
        <w:t xml:space="preserve">his is particularly problematic for two reasons.  First, the Company has relatively little leverage to collect </w:t>
      </w:r>
      <w:r>
        <w:rPr>
          <w:snapToGrid w:val="0"/>
        </w:rPr>
        <w:t xml:space="preserve">Pilot </w:t>
      </w:r>
      <w:r w:rsidRPr="00E76B34">
        <w:rPr>
          <w:snapToGrid w:val="0"/>
        </w:rPr>
        <w:t xml:space="preserve">Rider NAS charges, since it will not shut off service for non-payment of </w:t>
      </w:r>
      <w:r>
        <w:rPr>
          <w:snapToGrid w:val="0"/>
        </w:rPr>
        <w:t xml:space="preserve">Pilot </w:t>
      </w:r>
      <w:r w:rsidRPr="00E76B34">
        <w:rPr>
          <w:snapToGrid w:val="0"/>
        </w:rPr>
        <w:t>Rider NAS charges</w:t>
      </w:r>
      <w:r>
        <w:rPr>
          <w:snapToGrid w:val="0"/>
        </w:rPr>
        <w:t xml:space="preserve">.  This means </w:t>
      </w:r>
      <w:r w:rsidRPr="00E76B34">
        <w:rPr>
          <w:snapToGrid w:val="0"/>
        </w:rPr>
        <w:t>that un-collectibles costs are likely to be higher than normal.</w:t>
      </w:r>
      <w:r w:rsidRPr="00E76B34">
        <w:rPr>
          <w:snapToGrid w:val="0"/>
          <w:vertAlign w:val="superscript"/>
        </w:rPr>
        <w:footnoteReference w:id="20"/>
      </w:r>
      <w:r w:rsidRPr="00E76B34">
        <w:rPr>
          <w:snapToGrid w:val="0"/>
        </w:rPr>
        <w:t xml:space="preserve">  Second, the relatively high implied financing costs for the </w:t>
      </w:r>
      <w:r>
        <w:rPr>
          <w:snapToGrid w:val="0"/>
        </w:rPr>
        <w:t xml:space="preserve">Pilot </w:t>
      </w:r>
      <w:r w:rsidRPr="00E76B34">
        <w:rPr>
          <w:snapToGrid w:val="0"/>
        </w:rPr>
        <w:t xml:space="preserve">Rider NAS program (particularly if income tax costs are fully reflected) implies that the customers most interested in using the </w:t>
      </w:r>
      <w:r>
        <w:rPr>
          <w:snapToGrid w:val="0"/>
        </w:rPr>
        <w:t xml:space="preserve">Pilot </w:t>
      </w:r>
      <w:r w:rsidRPr="00E76B34">
        <w:rPr>
          <w:snapToGrid w:val="0"/>
        </w:rPr>
        <w:t>Rider NAS option are more likely to have capital constraints of their own, and are therefore less likely to pay their bills.</w:t>
      </w:r>
      <w:r>
        <w:rPr>
          <w:snapToGrid w:val="0"/>
        </w:rPr>
        <w:t xml:space="preserve">  OSBA M.B., p. 13.  </w:t>
      </w:r>
    </w:p>
    <w:p w:rsidR="00636BED" w:rsidRDefault="00636BED" w:rsidP="00DC3EA8">
      <w:pPr>
        <w:tabs>
          <w:tab w:val="left" w:pos="-1440"/>
          <w:tab w:val="left" w:pos="-720"/>
          <w:tab w:val="left" w:pos="1051"/>
          <w:tab w:val="left" w:pos="1752"/>
        </w:tabs>
        <w:suppressAutoHyphens/>
        <w:spacing w:line="360" w:lineRule="auto"/>
        <w:ind w:firstLine="1440"/>
        <w:rPr>
          <w:snapToGrid w:val="0"/>
        </w:rPr>
      </w:pPr>
    </w:p>
    <w:p w:rsidR="007953AC" w:rsidRDefault="00DC3EA8" w:rsidP="003C03C2">
      <w:pPr>
        <w:tabs>
          <w:tab w:val="left" w:pos="-1440"/>
          <w:tab w:val="left" w:pos="-720"/>
          <w:tab w:val="left" w:pos="1051"/>
          <w:tab w:val="left" w:pos="1752"/>
        </w:tabs>
        <w:suppressAutoHyphens/>
        <w:spacing w:line="360" w:lineRule="auto"/>
        <w:ind w:firstLine="1440"/>
      </w:pPr>
      <w:r w:rsidRPr="00E76B34">
        <w:rPr>
          <w:snapToGrid w:val="0"/>
        </w:rPr>
        <w:t xml:space="preserve">In order to eliminate this bias, </w:t>
      </w:r>
      <w:r>
        <w:rPr>
          <w:snapToGrid w:val="0"/>
        </w:rPr>
        <w:t xml:space="preserve">the OSBA </w:t>
      </w:r>
      <w:r w:rsidRPr="00E76B34">
        <w:rPr>
          <w:snapToGrid w:val="0"/>
        </w:rPr>
        <w:t>recommend</w:t>
      </w:r>
      <w:r>
        <w:rPr>
          <w:snapToGrid w:val="0"/>
        </w:rPr>
        <w:t>s</w:t>
      </w:r>
      <w:r w:rsidRPr="00E76B34">
        <w:rPr>
          <w:snapToGrid w:val="0"/>
        </w:rPr>
        <w:t xml:space="preserve"> that the Company write down gross book value associated with </w:t>
      </w:r>
      <w:r>
        <w:rPr>
          <w:snapToGrid w:val="0"/>
        </w:rPr>
        <w:t xml:space="preserve">Pilot </w:t>
      </w:r>
      <w:r w:rsidRPr="00E76B34">
        <w:rPr>
          <w:snapToGrid w:val="0"/>
        </w:rPr>
        <w:t>Rider NAS charges whether or not payments are made, in order to eliminate the impact of non-payments on non-Rider NAS ratepayers.  In light of this recommendation, the Company may wish to include an un-collectibles component in the Rider NAS charge, in order to offset the incremental un-collectibles costs that it is likely to incur.</w:t>
      </w:r>
      <w:r>
        <w:rPr>
          <w:snapToGrid w:val="0"/>
        </w:rPr>
        <w:t xml:space="preserve">  OSBA M.B., p. 13.  </w:t>
      </w:r>
    </w:p>
    <w:p w:rsidR="00985854" w:rsidRDefault="00985854" w:rsidP="00F90D86">
      <w:pPr>
        <w:spacing w:line="360" w:lineRule="auto"/>
      </w:pPr>
    </w:p>
    <w:p w:rsidR="00636BED" w:rsidRDefault="00636BED" w:rsidP="00F90D86">
      <w:pPr>
        <w:spacing w:line="360" w:lineRule="auto"/>
      </w:pPr>
    </w:p>
    <w:p w:rsidR="00646816" w:rsidRDefault="00646816" w:rsidP="00F90D86">
      <w:pPr>
        <w:spacing w:line="360" w:lineRule="auto"/>
      </w:pPr>
    </w:p>
    <w:p w:rsidR="00636BED" w:rsidRDefault="00636BED" w:rsidP="00F90D86">
      <w:pPr>
        <w:spacing w:line="360" w:lineRule="auto"/>
      </w:pPr>
    </w:p>
    <w:p w:rsidR="00985854" w:rsidRDefault="000B4215" w:rsidP="000B4215">
      <w:pPr>
        <w:spacing w:line="360" w:lineRule="auto"/>
      </w:pPr>
      <w:r>
        <w:t>D</w:t>
      </w:r>
      <w:r w:rsidR="00C00828">
        <w:t>.</w:t>
      </w:r>
      <w:r w:rsidR="00985854">
        <w:tab/>
      </w:r>
      <w:r>
        <w:rPr>
          <w:u w:val="single"/>
        </w:rPr>
        <w:t>Bureau of Investigation &amp; Enforcement’s Position</w:t>
      </w:r>
    </w:p>
    <w:p w:rsidR="00985854" w:rsidRDefault="00985854" w:rsidP="00642AB1">
      <w:pPr>
        <w:spacing w:line="360" w:lineRule="auto"/>
      </w:pPr>
    </w:p>
    <w:p w:rsidR="00ED20E9" w:rsidRDefault="00652277" w:rsidP="00F20FF5">
      <w:pPr>
        <w:pStyle w:val="BodyText"/>
        <w:spacing w:after="0" w:line="360" w:lineRule="auto"/>
        <w:ind w:firstLine="1440"/>
        <w:contextualSpacing/>
      </w:pPr>
      <w:r>
        <w:t xml:space="preserve">   </w:t>
      </w:r>
      <w:r w:rsidR="00F20FF5">
        <w:t>BI&amp;E supports Columbia’s proposed Pilot Rider NAS</w:t>
      </w:r>
      <w:r w:rsidR="00B84B12">
        <w:t xml:space="preserve">.  </w:t>
      </w:r>
      <w:r w:rsidR="00ED20E9">
        <w:t xml:space="preserve">BI&amp;E opposes the OCA’s proposal to lower the interest rate to 3.0% and also opposes the OCA’s proposed changes to the economic model.  BI&amp;E agrees with the OCA’s proposed additional information requirements.  BI&amp;E took no position with respect to the OCA’s proposed treatment of residential developers or the OCA’s other proposed modifications.  BI&amp;E also took no position on any of the issues raised by the OSBA.  BI&amp;E M.B., pp. 4-17.  </w:t>
      </w:r>
    </w:p>
    <w:p w:rsidR="00ED20E9" w:rsidRDefault="00ED20E9" w:rsidP="00F20FF5">
      <w:pPr>
        <w:pStyle w:val="BodyText"/>
        <w:spacing w:after="0" w:line="360" w:lineRule="auto"/>
        <w:ind w:firstLine="1440"/>
        <w:contextualSpacing/>
      </w:pPr>
    </w:p>
    <w:p w:rsidR="00F76163" w:rsidRDefault="00F76163" w:rsidP="00F20FF5">
      <w:pPr>
        <w:pStyle w:val="BodyText"/>
        <w:spacing w:after="0" w:line="360" w:lineRule="auto"/>
        <w:ind w:firstLine="1440"/>
        <w:contextualSpacing/>
      </w:pPr>
      <w:r w:rsidRPr="00F20FF5">
        <w:t xml:space="preserve">Columbia’s Pilot Rider NAS program is designed to provide an alternative to financing line extensions for customers located in unserved and underserved areas who may be unable to secure access to natural gas service due to the </w:t>
      </w:r>
      <w:r w:rsidR="00923E1E">
        <w:t>up front</w:t>
      </w:r>
      <w:r w:rsidRPr="00F20FF5">
        <w:t xml:space="preserve"> customer deposit required to extend such service.  </w:t>
      </w:r>
      <w:r w:rsidR="00F20FF5">
        <w:t>According to BI&amp;E, t</w:t>
      </w:r>
      <w:r w:rsidRPr="00F20FF5">
        <w:t xml:space="preserve">he </w:t>
      </w:r>
      <w:r w:rsidR="002800ED" w:rsidRPr="00F20FF5">
        <w:t xml:space="preserve">Pilot </w:t>
      </w:r>
      <w:r w:rsidRPr="00F20FF5">
        <w:t xml:space="preserve">Rider NAS program does not change the Company’s current line extensions rules.  It simply allows potential new customers to secure gas service for a modest monthly charge over a </w:t>
      </w:r>
      <w:r w:rsidR="00B13A05">
        <w:t>20</w:t>
      </w:r>
      <w:r w:rsidRPr="00F20FF5">
        <w:t>-year period rather than be required to pay the entire cash contribution up</w:t>
      </w:r>
      <w:r w:rsidR="00B938C5">
        <w:t xml:space="preserve"> </w:t>
      </w:r>
      <w:r w:rsidRPr="00F20FF5">
        <w:t xml:space="preserve">front.  </w:t>
      </w:r>
      <w:r w:rsidR="00F20FF5">
        <w:t xml:space="preserve">BI&amp;E believes the </w:t>
      </w:r>
      <w:r w:rsidRPr="00F20FF5">
        <w:t xml:space="preserve">OCA’s recommended </w:t>
      </w:r>
      <w:r w:rsidR="00F20FF5">
        <w:t>changes</w:t>
      </w:r>
      <w:r w:rsidRPr="00F20FF5">
        <w:t xml:space="preserve"> to the surcharge interest rate and economic model go far beyond the scope of what was envisioned by </w:t>
      </w:r>
      <w:r w:rsidR="00F20FF5">
        <w:t xml:space="preserve">Pilot </w:t>
      </w:r>
      <w:r w:rsidRPr="00F20FF5">
        <w:t xml:space="preserve">Rider NAS as they are wholesale changes to the Company’s line extension rules and will require existing customers to subsidize new </w:t>
      </w:r>
      <w:r w:rsidR="00F20FF5">
        <w:t xml:space="preserve">Pilot </w:t>
      </w:r>
      <w:r w:rsidRPr="00F20FF5">
        <w:t>Rider NAS customers</w:t>
      </w:r>
      <w:r w:rsidR="00F20FF5">
        <w:t>.  BI&amp;E M.B., p. 4</w:t>
      </w:r>
      <w:r w:rsidRPr="00F20FF5">
        <w:t xml:space="preserve">.  </w:t>
      </w:r>
    </w:p>
    <w:p w:rsidR="00A35430" w:rsidRDefault="00A35430" w:rsidP="00ED20E9">
      <w:pPr>
        <w:pStyle w:val="BodyText"/>
        <w:spacing w:after="0" w:line="360" w:lineRule="auto"/>
        <w:contextualSpacing/>
      </w:pPr>
    </w:p>
    <w:p w:rsidR="00ED20E9" w:rsidRPr="00ED20E9" w:rsidRDefault="00ED20E9" w:rsidP="0035564A">
      <w:pPr>
        <w:tabs>
          <w:tab w:val="left" w:pos="720"/>
          <w:tab w:val="left" w:pos="9360"/>
        </w:tabs>
        <w:rPr>
          <w:u w:val="single"/>
        </w:rPr>
      </w:pPr>
      <w:r>
        <w:tab/>
      </w:r>
      <w:r w:rsidR="00EC2730">
        <w:t>1</w:t>
      </w:r>
      <w:r w:rsidR="00A35430">
        <w:t xml:space="preserve">.       </w:t>
      </w:r>
      <w:r w:rsidR="00A35430" w:rsidRPr="00ED20E9">
        <w:rPr>
          <w:u w:val="single"/>
        </w:rPr>
        <w:t xml:space="preserve">Lowering Interest Rate </w:t>
      </w:r>
      <w:r w:rsidR="00A35430">
        <w:rPr>
          <w:u w:val="single"/>
        </w:rPr>
        <w:t>t</w:t>
      </w:r>
      <w:r w:rsidR="00A35430" w:rsidRPr="00ED20E9">
        <w:rPr>
          <w:u w:val="single"/>
        </w:rPr>
        <w:t xml:space="preserve">o 3% </w:t>
      </w:r>
      <w:r w:rsidR="00A35430">
        <w:rPr>
          <w:u w:val="single"/>
        </w:rPr>
        <w:t>f</w:t>
      </w:r>
      <w:r w:rsidR="00A35430" w:rsidRPr="00ED20E9">
        <w:rPr>
          <w:u w:val="single"/>
        </w:rPr>
        <w:t xml:space="preserve">or Customer’s </w:t>
      </w:r>
      <w:r w:rsidR="00A35430" w:rsidRPr="0035564A">
        <w:rPr>
          <w:u w:val="single"/>
        </w:rPr>
        <w:t>Contribution F</w:t>
      </w:r>
      <w:r w:rsidR="00A35430" w:rsidRPr="00ED20E9">
        <w:rPr>
          <w:u w:val="single"/>
        </w:rPr>
        <w:t>inanced</w:t>
      </w:r>
    </w:p>
    <w:p w:rsidR="00C4210E" w:rsidRDefault="00C4210E" w:rsidP="00642AB1">
      <w:pPr>
        <w:spacing w:line="360" w:lineRule="auto"/>
      </w:pPr>
    </w:p>
    <w:p w:rsidR="00843C9D" w:rsidRDefault="00843C9D" w:rsidP="00843C9D">
      <w:pPr>
        <w:pStyle w:val="BodyText"/>
        <w:spacing w:after="0" w:line="360" w:lineRule="auto"/>
        <w:ind w:firstLine="1440"/>
        <w:contextualSpacing/>
      </w:pPr>
      <w:r w:rsidRPr="00843C9D">
        <w:t xml:space="preserve">The monthly </w:t>
      </w:r>
      <w:r>
        <w:t xml:space="preserve">Pilot </w:t>
      </w:r>
      <w:r w:rsidRPr="00843C9D">
        <w:t xml:space="preserve">Rider NAS surcharge is designed to recover from customers the investment required for the Company to extend its facilities.  The Company proposes to use its weighted average cost of capital in its most recent base rate proceeding to determine the </w:t>
      </w:r>
      <w:r>
        <w:t xml:space="preserve">Pilot </w:t>
      </w:r>
      <w:r w:rsidRPr="00843C9D">
        <w:t xml:space="preserve">Rider NAS surcharge.  If no return on equity was specified in the most recent rate case, the Company proposes to use the Commission’s published Distribution System Improvement Charge (DSIC) equity return for gas utilities as a proxy.  </w:t>
      </w:r>
      <w:r>
        <w:t>BI&amp;E believes t</w:t>
      </w:r>
      <w:r w:rsidRPr="00843C9D">
        <w:t>his proposal is appropriate because it reflects the actual cost of the funds utilized by the Company in making the line extensions and minimizes the amount of costs shifted to existing ratepayers.</w:t>
      </w:r>
      <w:r>
        <w:t xml:space="preserve">  BI&amp;E M.B., pp.</w:t>
      </w:r>
      <w:r w:rsidR="00934948">
        <w:t> </w:t>
      </w:r>
      <w:r>
        <w:t>4</w:t>
      </w:r>
      <w:r w:rsidR="00934948">
        <w:noBreakHyphen/>
      </w:r>
      <w:r>
        <w:t>5.</w:t>
      </w:r>
    </w:p>
    <w:p w:rsidR="00843C9D" w:rsidRPr="00843C9D" w:rsidRDefault="00843C9D" w:rsidP="00843C9D">
      <w:pPr>
        <w:pStyle w:val="BodyText"/>
        <w:spacing w:after="0" w:line="360" w:lineRule="auto"/>
        <w:ind w:firstLine="1440"/>
        <w:contextualSpacing/>
      </w:pPr>
    </w:p>
    <w:p w:rsidR="00843C9D" w:rsidRDefault="00843C9D" w:rsidP="00843C9D">
      <w:pPr>
        <w:pStyle w:val="BodyText"/>
        <w:spacing w:after="0" w:line="360" w:lineRule="auto"/>
        <w:ind w:firstLine="1440"/>
        <w:contextualSpacing/>
      </w:pPr>
      <w:r>
        <w:t xml:space="preserve">The </w:t>
      </w:r>
      <w:r w:rsidRPr="00843C9D">
        <w:t>OCA maintains that an interest rate equal to the Commission authorized rate of return at approximately 8% is not competitive, and cites to home equity loans in the range of 3.5% to 4.5% to support its recommended annual interest rate of 3%.</w:t>
      </w:r>
      <w:r w:rsidRPr="00843C9D">
        <w:rPr>
          <w:rStyle w:val="FootnoteReference"/>
        </w:rPr>
        <w:footnoteReference w:id="21"/>
      </w:r>
      <w:r w:rsidRPr="00843C9D">
        <w:t xml:space="preserve">  OCA witness Watkins contends that the participation and success of the </w:t>
      </w:r>
      <w:r>
        <w:t xml:space="preserve">Pilot </w:t>
      </w:r>
      <w:r w:rsidRPr="00843C9D">
        <w:t>Rider NAS program will be limited given that most homeowners are savvy enough to recognize the high interest rate proposed by Columbia.</w:t>
      </w:r>
      <w:r w:rsidRPr="00843C9D">
        <w:rPr>
          <w:rStyle w:val="FootnoteReference"/>
        </w:rPr>
        <w:footnoteReference w:id="22"/>
      </w:r>
      <w:r w:rsidRPr="00843C9D">
        <w:t xml:space="preserve">  </w:t>
      </w:r>
      <w:r>
        <w:t xml:space="preserve">BI&amp;E argues that the </w:t>
      </w:r>
      <w:r w:rsidRPr="00843C9D">
        <w:t xml:space="preserve">OCA’s attempt to make </w:t>
      </w:r>
      <w:r>
        <w:t xml:space="preserve">Pilot </w:t>
      </w:r>
      <w:r w:rsidRPr="00843C9D">
        <w:t xml:space="preserve">Rider NAS more attractive to potential new customers by arbitrarily decreasing the interest rate to 3% is unsupported and requires existing customers to subsidize new costs to bring these new customers onto the system. </w:t>
      </w:r>
      <w:r>
        <w:t>According to BI&amp;E, t</w:t>
      </w:r>
      <w:r w:rsidRPr="00843C9D">
        <w:t xml:space="preserve">his is a fundamental alteration to the Company’s existing tariff rule since, as the Commission noted in its Suspension Order based upon Columbia’s design of the </w:t>
      </w:r>
      <w:r>
        <w:t xml:space="preserve">Pilot </w:t>
      </w:r>
      <w:r w:rsidRPr="00843C9D">
        <w:t>Rider</w:t>
      </w:r>
      <w:r>
        <w:t xml:space="preserve"> NAS</w:t>
      </w:r>
      <w:r w:rsidRPr="00843C9D">
        <w:t xml:space="preserve">, no current customer will be affected by this rider because it will only affect new customers who specifically choose this option. </w:t>
      </w:r>
      <w:r>
        <w:t xml:space="preserve"> BI&amp;E M.B., p. 5.</w:t>
      </w:r>
    </w:p>
    <w:p w:rsidR="00843C9D" w:rsidRPr="00843C9D" w:rsidRDefault="00843C9D" w:rsidP="00843C9D">
      <w:pPr>
        <w:pStyle w:val="BodyText"/>
        <w:spacing w:after="0" w:line="360" w:lineRule="auto"/>
        <w:ind w:firstLine="1440"/>
        <w:contextualSpacing/>
      </w:pPr>
    </w:p>
    <w:p w:rsidR="006420BB" w:rsidRDefault="00843C9D" w:rsidP="00843C9D">
      <w:pPr>
        <w:pStyle w:val="BodyText"/>
        <w:spacing w:after="0" w:line="360" w:lineRule="auto"/>
        <w:ind w:firstLine="1440"/>
        <w:contextualSpacing/>
      </w:pPr>
      <w:r>
        <w:t>BI&amp;E asserts that a</w:t>
      </w:r>
      <w:r w:rsidRPr="00843C9D">
        <w:t xml:space="preserve">ttempting to make the program parameters of </w:t>
      </w:r>
      <w:r>
        <w:t xml:space="preserve">Pilot </w:t>
      </w:r>
      <w:r w:rsidRPr="00843C9D">
        <w:t xml:space="preserve">Rider NAS more attractive to potential new customers based on the features of a home equity loan is inappropriate for several reasons.  First, </w:t>
      </w:r>
      <w:r w:rsidR="00601E1A">
        <w:t xml:space="preserve">according to BI&amp;E, </w:t>
      </w:r>
      <w:r w:rsidRPr="00843C9D">
        <w:t xml:space="preserve">Columbia witness Evans correctly articulated that no customer will be forced to use </w:t>
      </w:r>
      <w:r w:rsidR="00601E1A">
        <w:t xml:space="preserve">Pilot </w:t>
      </w:r>
      <w:r w:rsidRPr="00843C9D">
        <w:t>Rider NAS.</w:t>
      </w:r>
      <w:r w:rsidRPr="00843C9D">
        <w:rPr>
          <w:rStyle w:val="FootnoteReference"/>
        </w:rPr>
        <w:footnoteReference w:id="23"/>
      </w:r>
      <w:r w:rsidRPr="00843C9D">
        <w:t xml:space="preserve">  Some customers may have the option to use a home equity loan to finance the </w:t>
      </w:r>
      <w:r w:rsidR="00923E1E">
        <w:t>up front</w:t>
      </w:r>
      <w:r w:rsidRPr="00843C9D">
        <w:t xml:space="preserve"> contribution and may choose to do so.  The </w:t>
      </w:r>
      <w:r w:rsidR="00601E1A">
        <w:t xml:space="preserve">Pilot </w:t>
      </w:r>
      <w:r w:rsidRPr="00843C9D">
        <w:t xml:space="preserve">Rider NAS simply provides another option and is not designed to compete with or replace the use of a home equity loan or any other financing tool available to the customer.  Second, Columbia witness Evans highlights that Columbia is not a bank and </w:t>
      </w:r>
      <w:r w:rsidR="00601E1A">
        <w:t xml:space="preserve">Pilot </w:t>
      </w:r>
      <w:r w:rsidRPr="00843C9D">
        <w:t xml:space="preserve">Rider NAS is </w:t>
      </w:r>
    </w:p>
    <w:p w:rsidR="00843C9D" w:rsidRDefault="00843C9D" w:rsidP="006420BB">
      <w:pPr>
        <w:pStyle w:val="BodyText"/>
        <w:spacing w:after="0" w:line="360" w:lineRule="auto"/>
        <w:contextualSpacing/>
      </w:pPr>
      <w:r w:rsidRPr="00843C9D">
        <w:t>not a loan.</w:t>
      </w:r>
      <w:r w:rsidRPr="00843C9D">
        <w:rPr>
          <w:rStyle w:val="FootnoteReference"/>
        </w:rPr>
        <w:footnoteReference w:id="24"/>
      </w:r>
      <w:r w:rsidRPr="00843C9D">
        <w:t xml:space="preserve">  </w:t>
      </w:r>
      <w:r w:rsidR="00601E1A">
        <w:t xml:space="preserve">Pilot </w:t>
      </w:r>
      <w:r w:rsidRPr="00843C9D">
        <w:t xml:space="preserve">Rider NAS will not have any of the traditional requirements of a home equity loan, such as a credit check, collateral, or a home appraisal.  Given that they are very different instruments, </w:t>
      </w:r>
      <w:r w:rsidR="00601E1A">
        <w:t xml:space="preserve">BI&amp;E submits that Pilot </w:t>
      </w:r>
      <w:r w:rsidRPr="00843C9D">
        <w:t>Rider NAS should not be forced to mimic a home equity loan interest rate.</w:t>
      </w:r>
      <w:r w:rsidRPr="00843C9D">
        <w:rPr>
          <w:rStyle w:val="FootnoteReference"/>
        </w:rPr>
        <w:footnoteReference w:id="25"/>
      </w:r>
      <w:r w:rsidRPr="00843C9D">
        <w:t xml:space="preserve">  Third, to the extent that comparing </w:t>
      </w:r>
      <w:r w:rsidR="00601E1A">
        <w:t xml:space="preserve">Pilot </w:t>
      </w:r>
      <w:r w:rsidRPr="00843C9D">
        <w:t xml:space="preserve">Rider NAS to a loan is appropriate, if a potential new gas customer does not want to attach the line extension cost to their home or lacks the necessary equity to do so </w:t>
      </w:r>
      <w:r w:rsidR="00601E1A">
        <w:t>B</w:t>
      </w:r>
      <w:r w:rsidRPr="00843C9D">
        <w:t>I&amp;E witness Boyd argues that an 8% interest rate is reasonable for an unsecured personal loan.</w:t>
      </w:r>
      <w:r w:rsidRPr="00843C9D">
        <w:rPr>
          <w:rStyle w:val="FootnoteReference"/>
        </w:rPr>
        <w:footnoteReference w:id="26"/>
      </w:r>
      <w:r w:rsidR="00601E1A">
        <w:t xml:space="preserve">  BI&amp;E M.B., pp. 5-6.</w:t>
      </w:r>
    </w:p>
    <w:p w:rsidR="00601E1A" w:rsidRDefault="00601E1A" w:rsidP="00843C9D">
      <w:pPr>
        <w:pStyle w:val="BodyText"/>
        <w:spacing w:after="0" w:line="360" w:lineRule="auto"/>
        <w:ind w:firstLine="1440"/>
        <w:contextualSpacing/>
      </w:pPr>
    </w:p>
    <w:p w:rsidR="00601E1A" w:rsidRDefault="00843C9D" w:rsidP="00843C9D">
      <w:pPr>
        <w:pStyle w:val="BodyText"/>
        <w:spacing w:after="0" w:line="360" w:lineRule="auto"/>
        <w:ind w:firstLine="1440"/>
        <w:contextualSpacing/>
      </w:pPr>
      <w:r w:rsidRPr="00843C9D">
        <w:t xml:space="preserve">Additionally, </w:t>
      </w:r>
      <w:r w:rsidR="00601E1A">
        <w:t xml:space="preserve">the </w:t>
      </w:r>
      <w:r w:rsidRPr="00843C9D">
        <w:t xml:space="preserve">OCA’s position that the Company’s proposed interest rate will make </w:t>
      </w:r>
      <w:r w:rsidR="00601E1A">
        <w:t xml:space="preserve">Pilot </w:t>
      </w:r>
      <w:r w:rsidRPr="00843C9D">
        <w:t>Rider NAS unattractive ignores the fact that financing a gas line extension with a home equity loan may not necessarily reflect the best approach for all customers.</w:t>
      </w:r>
      <w:r w:rsidRPr="00843C9D">
        <w:rPr>
          <w:rStyle w:val="FootnoteReference"/>
        </w:rPr>
        <w:footnoteReference w:id="27"/>
      </w:r>
      <w:r w:rsidRPr="00843C9D">
        <w:t xml:space="preserve">  </w:t>
      </w:r>
      <w:r w:rsidR="00601E1A">
        <w:t xml:space="preserve">Pilot </w:t>
      </w:r>
      <w:r w:rsidRPr="00843C9D">
        <w:t xml:space="preserve">Rider NAS allows customers to secure gas service for a modest monthly charge over a </w:t>
      </w:r>
      <w:r w:rsidR="00815BA3">
        <w:t>20</w:t>
      </w:r>
      <w:r w:rsidRPr="00843C9D">
        <w:t xml:space="preserve">-year period and is paid by the person taking service from that meter; therefore, customers will not be responsible for the principal balance if they do not stay in the home for the </w:t>
      </w:r>
      <w:r w:rsidR="00815BA3">
        <w:t>20</w:t>
      </w:r>
      <w:r w:rsidRPr="00843C9D">
        <w:t>-year financing period.</w:t>
      </w:r>
      <w:r w:rsidRPr="00843C9D">
        <w:rPr>
          <w:rStyle w:val="FootnoteReference"/>
        </w:rPr>
        <w:footnoteReference w:id="28"/>
      </w:r>
      <w:r w:rsidRPr="00843C9D">
        <w:t xml:space="preserve">  </w:t>
      </w:r>
      <w:r w:rsidR="00601E1A">
        <w:t>B</w:t>
      </w:r>
      <w:r w:rsidRPr="00843C9D">
        <w:t xml:space="preserve">I&amp;E witness Boyd highlighted that, unlike a home equity or personal loan, the flexibility to walk away from the extension balance under </w:t>
      </w:r>
      <w:r w:rsidR="00601E1A">
        <w:t xml:space="preserve">Pilot </w:t>
      </w:r>
      <w:r w:rsidRPr="00843C9D">
        <w:t>Rider NAS if the home is sold may be an attractive feature given the mobile nature of society today.</w:t>
      </w:r>
      <w:r w:rsidRPr="00843C9D">
        <w:rPr>
          <w:rStyle w:val="FootnoteReference"/>
        </w:rPr>
        <w:footnoteReference w:id="29"/>
      </w:r>
      <w:r w:rsidRPr="00843C9D">
        <w:t xml:space="preserve">  </w:t>
      </w:r>
      <w:r w:rsidR="00601E1A">
        <w:t xml:space="preserve">BI&amp;E contends that the </w:t>
      </w:r>
      <w:r w:rsidRPr="00843C9D">
        <w:t xml:space="preserve">OCA’s narrow focus on the interest rate fails to fully recognize the benefit of </w:t>
      </w:r>
      <w:r w:rsidR="00601E1A">
        <w:t xml:space="preserve">Pilot </w:t>
      </w:r>
      <w:r w:rsidRPr="00843C9D">
        <w:t xml:space="preserve">Rider NAS, which is that it provides an option to pay the </w:t>
      </w:r>
      <w:r w:rsidR="00923E1E">
        <w:t>up front</w:t>
      </w:r>
      <w:r w:rsidRPr="00843C9D">
        <w:t xml:space="preserve"> deposit for those customers who may not have another option or who, for whatever reason, may not like the other options available to them.</w:t>
      </w:r>
      <w:r w:rsidR="00601E1A">
        <w:t xml:space="preserve">  BI&amp;E M.B., pp.</w:t>
      </w:r>
      <w:r w:rsidR="004219D6">
        <w:t xml:space="preserve"> </w:t>
      </w:r>
      <w:r w:rsidR="00601E1A">
        <w:t>6-7.</w:t>
      </w:r>
    </w:p>
    <w:p w:rsidR="00843C9D" w:rsidRPr="00843C9D" w:rsidRDefault="00843C9D" w:rsidP="00843C9D">
      <w:pPr>
        <w:pStyle w:val="BodyText"/>
        <w:spacing w:after="0" w:line="360" w:lineRule="auto"/>
        <w:ind w:firstLine="1440"/>
        <w:contextualSpacing/>
      </w:pPr>
      <w:r w:rsidRPr="00843C9D">
        <w:t xml:space="preserve">  </w:t>
      </w:r>
    </w:p>
    <w:p w:rsidR="00843C9D" w:rsidRDefault="00601E1A" w:rsidP="00843C9D">
      <w:pPr>
        <w:spacing w:line="360" w:lineRule="auto"/>
        <w:ind w:firstLine="1440"/>
        <w:contextualSpacing/>
      </w:pPr>
      <w:r>
        <w:t>BI&amp;E submits that r</w:t>
      </w:r>
      <w:r w:rsidR="00843C9D" w:rsidRPr="00843C9D">
        <w:t xml:space="preserve">educing the interest rate to </w:t>
      </w:r>
      <w:r>
        <w:t xml:space="preserve">the </w:t>
      </w:r>
      <w:r w:rsidR="00843C9D" w:rsidRPr="00843C9D">
        <w:t xml:space="preserve">OCA’s recommended 3% will cause Columbia’s existing customers to subsidize the new </w:t>
      </w:r>
      <w:r>
        <w:t xml:space="preserve">Pilot </w:t>
      </w:r>
      <w:r w:rsidR="00843C9D" w:rsidRPr="00843C9D">
        <w:t xml:space="preserve">Rider NAS customers by requiring them to provide significantly more funding of the revenue requirement for the rate-based uneconomic portion of </w:t>
      </w:r>
      <w:r>
        <w:t xml:space="preserve">Pilot </w:t>
      </w:r>
      <w:r w:rsidR="00843C9D" w:rsidRPr="00843C9D">
        <w:t>Rider NAS projects.</w:t>
      </w:r>
      <w:r w:rsidR="00843C9D" w:rsidRPr="00843C9D">
        <w:rPr>
          <w:rStyle w:val="FootnoteReference"/>
        </w:rPr>
        <w:footnoteReference w:id="30"/>
      </w:r>
      <w:r w:rsidR="00843C9D" w:rsidRPr="00843C9D">
        <w:t xml:space="preserve">  Columbia included the interest portion of the </w:t>
      </w:r>
      <w:r>
        <w:t xml:space="preserve">Pilot Rider </w:t>
      </w:r>
      <w:r w:rsidR="00843C9D" w:rsidRPr="00843C9D">
        <w:t xml:space="preserve">NAS payment to reimburse existing customers for the carrying costs of NAS investments costs that are included in rate base. </w:t>
      </w:r>
      <w:r w:rsidR="00F30F04">
        <w:t xml:space="preserve"> </w:t>
      </w:r>
      <w:r>
        <w:t>BI&amp;E contends that r</w:t>
      </w:r>
      <w:r w:rsidR="00843C9D" w:rsidRPr="00843C9D">
        <w:t xml:space="preserve">educing the interest percentage as </w:t>
      </w:r>
      <w:r>
        <w:t xml:space="preserve">the </w:t>
      </w:r>
      <w:r w:rsidR="00843C9D" w:rsidRPr="00843C9D">
        <w:t>OCA recommends requires existing customers to provide significantly more funding of the revenue requirement for the rate-based uneconomic portion of NAS projects.</w:t>
      </w:r>
      <w:r w:rsidR="00843C9D" w:rsidRPr="00843C9D">
        <w:rPr>
          <w:rStyle w:val="FootnoteReference"/>
        </w:rPr>
        <w:footnoteReference w:id="31"/>
      </w:r>
      <w:r w:rsidR="00843C9D" w:rsidRPr="00843C9D">
        <w:t xml:space="preserve">  Columbia also opposes </w:t>
      </w:r>
      <w:r w:rsidR="008B1E53">
        <w:t xml:space="preserve">the </w:t>
      </w:r>
      <w:r w:rsidR="00843C9D" w:rsidRPr="00843C9D">
        <w:t>OCA’s recommendation because “if the OCA’s proposed interest rate of 3% were used, then the existing customers would not be sufficiently compensated, and a subsidy would exist.”</w:t>
      </w:r>
      <w:r w:rsidR="00843C9D" w:rsidRPr="00843C9D">
        <w:rPr>
          <w:rStyle w:val="FootnoteReference"/>
        </w:rPr>
        <w:footnoteReference w:id="32"/>
      </w:r>
      <w:r w:rsidR="008B1E53">
        <w:t xml:space="preserve">  BI&amp;E M.B., 7.</w:t>
      </w:r>
    </w:p>
    <w:p w:rsidR="008B1E53" w:rsidRPr="00843C9D" w:rsidRDefault="008B1E53" w:rsidP="00843C9D">
      <w:pPr>
        <w:spacing w:line="360" w:lineRule="auto"/>
        <w:ind w:firstLine="1440"/>
        <w:contextualSpacing/>
      </w:pPr>
    </w:p>
    <w:p w:rsidR="00843C9D" w:rsidRPr="00843C9D" w:rsidRDefault="008B1E53" w:rsidP="00843C9D">
      <w:pPr>
        <w:spacing w:line="360" w:lineRule="auto"/>
        <w:ind w:firstLine="1440"/>
        <w:contextualSpacing/>
      </w:pPr>
      <w:r>
        <w:t>BI&amp;E argues that r</w:t>
      </w:r>
      <w:r w:rsidR="00843C9D" w:rsidRPr="00843C9D">
        <w:t>equiring existing customers to subsidize potential new customers is not in the public interest as it violates the Public Utility Code’s mandate that all rates must be just and reasonable</w:t>
      </w:r>
      <w:r w:rsidR="00843C9D" w:rsidRPr="00843C9D">
        <w:rPr>
          <w:rStyle w:val="FootnoteReference"/>
        </w:rPr>
        <w:footnoteReference w:id="33"/>
      </w:r>
      <w:r w:rsidR="00843C9D" w:rsidRPr="00843C9D">
        <w:t xml:space="preserve"> and non-discriminatory.</w:t>
      </w:r>
      <w:r w:rsidR="00843C9D" w:rsidRPr="00843C9D">
        <w:rPr>
          <w:rStyle w:val="FootnoteReference"/>
        </w:rPr>
        <w:footnoteReference w:id="34"/>
      </w:r>
      <w:r w:rsidR="00843C9D" w:rsidRPr="00843C9D">
        <w:t xml:space="preserve">  Moreover, </w:t>
      </w:r>
      <w:r>
        <w:t xml:space="preserve">according to BI&amp;E, the </w:t>
      </w:r>
      <w:r w:rsidR="00843C9D" w:rsidRPr="00843C9D">
        <w:t>OCA’s proposed subsidy is not consistent with the current thinking of the Pennsylvania General Assembly as reflected in Senate Bill 738, which was introduced on April 3, 2013, to address distribution system extension and expansion plans to increase natural gas usage in the Commonwealth.</w:t>
      </w:r>
      <w:r w:rsidR="00843C9D" w:rsidRPr="00843C9D">
        <w:rPr>
          <w:rStyle w:val="FootnoteReference"/>
        </w:rPr>
        <w:footnoteReference w:id="35"/>
      </w:r>
      <w:r w:rsidR="00843C9D" w:rsidRPr="00843C9D">
        <w:t xml:space="preserve">  </w:t>
      </w:r>
      <w:r>
        <w:t>BI&amp;E contends that w</w:t>
      </w:r>
      <w:r w:rsidR="00843C9D" w:rsidRPr="00843C9D">
        <w:t>hen the bill was considered on the Senate floor, concerns were raised about the potential risk to current customers to pay for these main extensions.  Senator Yaw, who sponsored Senate Bill 738, stated:</w:t>
      </w:r>
    </w:p>
    <w:p w:rsidR="00843C9D" w:rsidRPr="00843C9D" w:rsidRDefault="00843C9D" w:rsidP="008B1E53">
      <w:pPr>
        <w:ind w:left="1440" w:right="1440"/>
        <w:contextualSpacing/>
      </w:pPr>
      <w:r w:rsidRPr="00843C9D">
        <w:t>Pennsylvania has always had the policy of pay as you go.  It is the same way for electric utility lines.  If you want to have lines extended, then you have to pay for it.  We have a policy in this State, we do not socialize the cost of those, and it is the same way with gas service.</w:t>
      </w:r>
      <w:r w:rsidRPr="00843C9D">
        <w:rPr>
          <w:rStyle w:val="FootnoteReference"/>
        </w:rPr>
        <w:footnoteReference w:id="36"/>
      </w:r>
      <w:r w:rsidRPr="00843C9D">
        <w:t xml:space="preserve">  </w:t>
      </w:r>
    </w:p>
    <w:p w:rsidR="008B1E53" w:rsidRDefault="008B1E53" w:rsidP="008B1E53">
      <w:pPr>
        <w:pStyle w:val="ListNumber"/>
        <w:numPr>
          <w:ilvl w:val="0"/>
          <w:numId w:val="0"/>
        </w:numPr>
        <w:spacing w:line="360" w:lineRule="auto"/>
      </w:pPr>
    </w:p>
    <w:p w:rsidR="008B1E53" w:rsidRDefault="008B1E53" w:rsidP="008B1E53">
      <w:pPr>
        <w:pStyle w:val="ListNumber"/>
        <w:numPr>
          <w:ilvl w:val="0"/>
          <w:numId w:val="0"/>
        </w:numPr>
        <w:spacing w:line="360" w:lineRule="auto"/>
      </w:pPr>
      <w:r>
        <w:t>BI&amp;E M.B., pp. 7-8.</w:t>
      </w:r>
    </w:p>
    <w:p w:rsidR="008B1E53" w:rsidRDefault="008B1E53" w:rsidP="00843C9D">
      <w:pPr>
        <w:pStyle w:val="ListNumber"/>
        <w:numPr>
          <w:ilvl w:val="0"/>
          <w:numId w:val="0"/>
        </w:numPr>
        <w:spacing w:line="360" w:lineRule="auto"/>
        <w:ind w:firstLine="1440"/>
      </w:pPr>
    </w:p>
    <w:p w:rsidR="008B1E53" w:rsidRDefault="00843C9D" w:rsidP="00843C9D">
      <w:pPr>
        <w:pStyle w:val="ListNumber"/>
        <w:numPr>
          <w:ilvl w:val="0"/>
          <w:numId w:val="0"/>
        </w:numPr>
        <w:spacing w:line="360" w:lineRule="auto"/>
        <w:ind w:firstLine="1440"/>
      </w:pPr>
      <w:r w:rsidRPr="00843C9D">
        <w:t xml:space="preserve">Additionally, </w:t>
      </w:r>
      <w:r w:rsidR="008B1E53">
        <w:t xml:space="preserve">according to BI&amp;E, the </w:t>
      </w:r>
      <w:r w:rsidRPr="00843C9D">
        <w:t xml:space="preserve">OCA’s recommended 3% is significantly below the interest level the Commission recently approved in another line extension program.  UGI proposed its Growth Extension Tariff (GET Gas) Pilot Programs to explore ways to economically extend gas service to new customers by allowing certain new customers obtain service without paying a large </w:t>
      </w:r>
      <w:r w:rsidR="00923E1E">
        <w:t>up front</w:t>
      </w:r>
      <w:r w:rsidRPr="00843C9D">
        <w:t xml:space="preserve"> contribution.  With regard to the GET Gas surcharge rates, the parties reached a settlement that utilized a pre-tax weighted average cost of capital equal to 11.92%.</w:t>
      </w:r>
      <w:r w:rsidRPr="00843C9D">
        <w:rPr>
          <w:rStyle w:val="FootnoteReference"/>
        </w:rPr>
        <w:footnoteReference w:id="37"/>
      </w:r>
      <w:r w:rsidRPr="00843C9D">
        <w:t xml:space="preserve">  While the Settlement adopts a “black box” cost of capital without the adoption of any specific methodology for calculating individual capital cost components,</w:t>
      </w:r>
      <w:r w:rsidR="008B1E53">
        <w:t xml:space="preserve"> BI&amp;E asserts that </w:t>
      </w:r>
      <w:r w:rsidRPr="00843C9D">
        <w:t xml:space="preserve">Columbia’s current weighted average cost of capital of approximately 8% is more in line with what was approved for UGI’s GET Gas program than </w:t>
      </w:r>
      <w:r w:rsidR="008B1E53">
        <w:t xml:space="preserve">the </w:t>
      </w:r>
      <w:r w:rsidRPr="00843C9D">
        <w:t xml:space="preserve">OCA’s recommended 3% for Columbia’s </w:t>
      </w:r>
      <w:r w:rsidR="008B1E53">
        <w:t xml:space="preserve">Pilot </w:t>
      </w:r>
      <w:r w:rsidRPr="00843C9D">
        <w:t>Rider NAS program.</w:t>
      </w:r>
      <w:r w:rsidR="008B1E53">
        <w:t xml:space="preserve">  BI&amp;E M.B., p. 8.</w:t>
      </w:r>
    </w:p>
    <w:p w:rsidR="00843C9D" w:rsidRPr="00843C9D" w:rsidRDefault="00843C9D" w:rsidP="00843C9D">
      <w:pPr>
        <w:pStyle w:val="ListNumber"/>
        <w:numPr>
          <w:ilvl w:val="0"/>
          <w:numId w:val="0"/>
        </w:numPr>
        <w:spacing w:line="360" w:lineRule="auto"/>
        <w:ind w:firstLine="1440"/>
      </w:pPr>
      <w:r w:rsidRPr="00843C9D">
        <w:tab/>
      </w:r>
    </w:p>
    <w:p w:rsidR="008B1E53" w:rsidRDefault="008B1E53" w:rsidP="00843C9D">
      <w:pPr>
        <w:tabs>
          <w:tab w:val="left" w:pos="0"/>
        </w:tabs>
        <w:spacing w:line="360" w:lineRule="auto"/>
        <w:ind w:firstLine="1440"/>
        <w:contextualSpacing/>
      </w:pPr>
      <w:r>
        <w:t>B</w:t>
      </w:r>
      <w:r w:rsidR="00843C9D" w:rsidRPr="00843C9D">
        <w:t xml:space="preserve">I&amp;E witness Boyd explained the impact of the subsidy under </w:t>
      </w:r>
      <w:r>
        <w:t xml:space="preserve">the </w:t>
      </w:r>
      <w:r w:rsidR="00843C9D" w:rsidRPr="00843C9D">
        <w:t xml:space="preserve">OCA’s interest rate recommendation.  A single </w:t>
      </w:r>
      <w:r>
        <w:t xml:space="preserve">Pilot </w:t>
      </w:r>
      <w:r w:rsidR="00843C9D" w:rsidRPr="00843C9D">
        <w:t xml:space="preserve">Rider NAS customer financing $4,213 at the Company’s proposed interest rate of 7.91% for a </w:t>
      </w:r>
      <w:r w:rsidR="003E5102">
        <w:t>20</w:t>
      </w:r>
      <w:r w:rsidR="00843C9D" w:rsidRPr="00843C9D">
        <w:t>-year period would require existing customers to provide $109 in revenue to fund that project on the date it was placed in service.</w:t>
      </w:r>
      <w:r w:rsidR="00843C9D" w:rsidRPr="00843C9D">
        <w:rPr>
          <w:rStyle w:val="FootnoteReference"/>
        </w:rPr>
        <w:footnoteReference w:id="38"/>
      </w:r>
      <w:r w:rsidR="00843C9D" w:rsidRPr="00843C9D">
        <w:t xml:space="preserve">  The same amount over a </w:t>
      </w:r>
      <w:r w:rsidR="003E5102">
        <w:t>20</w:t>
      </w:r>
      <w:r w:rsidR="00843C9D" w:rsidRPr="00843C9D">
        <w:t xml:space="preserve">-year period at </w:t>
      </w:r>
      <w:r>
        <w:t xml:space="preserve">the </w:t>
      </w:r>
      <w:r w:rsidR="00843C9D" w:rsidRPr="00843C9D">
        <w:t xml:space="preserve">OCA’s proposed 3% interest rate would require existing customers to provide $314 in revenue to fund the </w:t>
      </w:r>
      <w:r>
        <w:t xml:space="preserve">Pilot </w:t>
      </w:r>
      <w:r w:rsidR="00843C9D" w:rsidRPr="00843C9D">
        <w:t>Rider NAS project on the date it was placed in service.</w:t>
      </w:r>
      <w:r w:rsidR="00843C9D" w:rsidRPr="00843C9D">
        <w:rPr>
          <w:rStyle w:val="FootnoteReference"/>
        </w:rPr>
        <w:footnoteReference w:id="39"/>
      </w:r>
      <w:r w:rsidR="00843C9D" w:rsidRPr="00843C9D">
        <w:t xml:space="preserve">  This example illustrates the effect of a single customer financing $4,213; however, the Company’s annual commitment to the Rider NAS program is $1,000,000, which would correspond to 237 new </w:t>
      </w:r>
      <w:r>
        <w:t xml:space="preserve">Pilot </w:t>
      </w:r>
      <w:r w:rsidR="00843C9D" w:rsidRPr="00843C9D">
        <w:t>Rider NAS customers if the same $4,213 is financed.</w:t>
      </w:r>
      <w:r w:rsidR="00843C9D" w:rsidRPr="00843C9D">
        <w:rPr>
          <w:rStyle w:val="FootnoteReference"/>
        </w:rPr>
        <w:footnoteReference w:id="40"/>
      </w:r>
      <w:r w:rsidR="00843C9D" w:rsidRPr="00843C9D">
        <w:t xml:space="preserve">  As a result, </w:t>
      </w:r>
      <w:r>
        <w:t xml:space="preserve">according to BI&amp;E, </w:t>
      </w:r>
      <w:r w:rsidR="00843C9D" w:rsidRPr="00843C9D">
        <w:t xml:space="preserve">existing customers would be required to provide revenue to fund the uneconomic share of </w:t>
      </w:r>
      <w:r>
        <w:t xml:space="preserve">Pilot </w:t>
      </w:r>
      <w:r w:rsidR="00843C9D" w:rsidRPr="00843C9D">
        <w:t>Rider NAS projects of $74,418.</w:t>
      </w:r>
      <w:r w:rsidR="00843C9D" w:rsidRPr="00843C9D">
        <w:rPr>
          <w:rStyle w:val="FootnoteReference"/>
        </w:rPr>
        <w:footnoteReference w:id="41"/>
      </w:r>
      <w:r>
        <w:t xml:space="preserve">  BI&amp;E M.B., </w:t>
      </w:r>
      <w:r w:rsidR="00FB0C2C">
        <w:t xml:space="preserve">p. </w:t>
      </w:r>
      <w:r>
        <w:t>9.</w:t>
      </w:r>
    </w:p>
    <w:p w:rsidR="00843C9D" w:rsidRPr="00843C9D" w:rsidRDefault="00843C9D" w:rsidP="00843C9D">
      <w:pPr>
        <w:tabs>
          <w:tab w:val="left" w:pos="0"/>
        </w:tabs>
        <w:spacing w:line="360" w:lineRule="auto"/>
        <w:ind w:firstLine="1440"/>
        <w:contextualSpacing/>
      </w:pPr>
      <w:r w:rsidRPr="00843C9D">
        <w:t xml:space="preserve">  </w:t>
      </w:r>
    </w:p>
    <w:p w:rsidR="00843C9D" w:rsidRDefault="00843C9D" w:rsidP="00843C9D">
      <w:pPr>
        <w:tabs>
          <w:tab w:val="left" w:pos="0"/>
        </w:tabs>
        <w:spacing w:line="360" w:lineRule="auto"/>
        <w:ind w:firstLine="1440"/>
        <w:contextualSpacing/>
      </w:pPr>
      <w:r w:rsidRPr="00843C9D">
        <w:t>OCA witness Watkins argues that the revenue required from existing customers is insignificant, highlighting that this $74,418 would increase exiting residential customer rates by only $0.19 per year.</w:t>
      </w:r>
      <w:r w:rsidRPr="00843C9D">
        <w:rPr>
          <w:rStyle w:val="FootnoteReference"/>
        </w:rPr>
        <w:footnoteReference w:id="42"/>
      </w:r>
      <w:r w:rsidRPr="00843C9D">
        <w:t xml:space="preserve">  </w:t>
      </w:r>
      <w:r w:rsidR="002665CB">
        <w:t>B</w:t>
      </w:r>
      <w:r w:rsidRPr="00843C9D">
        <w:t xml:space="preserve">I&amp;E disagrees that this cost shifting is inconsequential because, if </w:t>
      </w:r>
      <w:r w:rsidR="002665CB">
        <w:t xml:space="preserve">Pilot </w:t>
      </w:r>
      <w:r w:rsidRPr="00843C9D">
        <w:t xml:space="preserve">Rider NAS is continued beyond the proposed </w:t>
      </w:r>
      <w:r w:rsidR="00F323EA">
        <w:t>4-</w:t>
      </w:r>
      <w:r w:rsidRPr="00843C9D">
        <w:t xml:space="preserve">year pilot or if the Company’s dollar commitment is increased, the </w:t>
      </w:r>
      <w:r w:rsidR="002665CB">
        <w:t xml:space="preserve">Pilot </w:t>
      </w:r>
      <w:r w:rsidRPr="00843C9D">
        <w:t xml:space="preserve">Rider NAS program as modified by </w:t>
      </w:r>
      <w:r w:rsidR="002665CB">
        <w:t xml:space="preserve">the </w:t>
      </w:r>
      <w:r w:rsidRPr="00843C9D">
        <w:t>OCA has the potential to become a substantial burden to existing customers.</w:t>
      </w:r>
      <w:r w:rsidRPr="00843C9D">
        <w:rPr>
          <w:rStyle w:val="FootnoteReference"/>
        </w:rPr>
        <w:footnoteReference w:id="43"/>
      </w:r>
      <w:r w:rsidRPr="00843C9D">
        <w:t xml:space="preserve">  </w:t>
      </w:r>
      <w:r w:rsidR="002665CB">
        <w:t xml:space="preserve">BI&amp;E M.B., </w:t>
      </w:r>
      <w:r w:rsidR="00DB41D8">
        <w:t xml:space="preserve">p. </w:t>
      </w:r>
      <w:r w:rsidR="002665CB">
        <w:t>9.</w:t>
      </w:r>
    </w:p>
    <w:p w:rsidR="002665CB" w:rsidRPr="00843C9D" w:rsidRDefault="002665CB" w:rsidP="00843C9D">
      <w:pPr>
        <w:tabs>
          <w:tab w:val="left" w:pos="0"/>
        </w:tabs>
        <w:spacing w:line="360" w:lineRule="auto"/>
        <w:ind w:firstLine="1440"/>
        <w:contextualSpacing/>
      </w:pPr>
    </w:p>
    <w:p w:rsidR="002A4F76" w:rsidRDefault="002665CB" w:rsidP="00843C9D">
      <w:pPr>
        <w:tabs>
          <w:tab w:val="left" w:pos="0"/>
        </w:tabs>
        <w:spacing w:line="360" w:lineRule="auto"/>
        <w:ind w:firstLine="1440"/>
        <w:contextualSpacing/>
      </w:pPr>
      <w:r>
        <w:t>In summary, BI&amp;E concludes i</w:t>
      </w:r>
      <w:r w:rsidR="00843C9D" w:rsidRPr="00843C9D">
        <w:t xml:space="preserve">t is undisputed that existing customers will be required to pay more under </w:t>
      </w:r>
      <w:r>
        <w:t xml:space="preserve">the </w:t>
      </w:r>
      <w:r w:rsidR="00843C9D" w:rsidRPr="00843C9D">
        <w:t>OCA’s 3% interest than the Company’s proposed weighted average cost of capital.</w:t>
      </w:r>
      <w:r w:rsidR="00843C9D" w:rsidRPr="00843C9D">
        <w:rPr>
          <w:rStyle w:val="FootnoteReference"/>
        </w:rPr>
        <w:footnoteReference w:id="44"/>
      </w:r>
      <w:r w:rsidR="00843C9D" w:rsidRPr="00843C9D">
        <w:t xml:space="preserve">  </w:t>
      </w:r>
      <w:r w:rsidR="002A4F76">
        <w:t>BI&amp;E claims t</w:t>
      </w:r>
      <w:r>
        <w:t xml:space="preserve">he </w:t>
      </w:r>
      <w:r w:rsidR="00843C9D" w:rsidRPr="00843C9D">
        <w:t xml:space="preserve">OCA focuses the Commission’s attention on the benefit of utility expansion, but ignores the fact that those costs will be shifted to existing customers.  </w:t>
      </w:r>
      <w:r w:rsidR="002A4F76">
        <w:t xml:space="preserve">BI&amp;E believes </w:t>
      </w:r>
      <w:r w:rsidR="00843C9D" w:rsidRPr="00843C9D">
        <w:t xml:space="preserve">Columbia correctly maintains that there are many benefits to residential customers when they switch to natural gas and further incentives to use </w:t>
      </w:r>
      <w:r>
        <w:t xml:space="preserve">Pilot </w:t>
      </w:r>
      <w:r w:rsidR="00843C9D" w:rsidRPr="00843C9D">
        <w:t>Rider NAS, such as shifting costs to existing customers, should not be necessary.</w:t>
      </w:r>
      <w:r w:rsidR="00843C9D" w:rsidRPr="00843C9D">
        <w:rPr>
          <w:rStyle w:val="FootnoteReference"/>
        </w:rPr>
        <w:footnoteReference w:id="45"/>
      </w:r>
      <w:r w:rsidR="00843C9D" w:rsidRPr="00843C9D">
        <w:t xml:space="preserve">  Columbia does not believe its main extension rules should be intentionally designed to shift costs to existing customers.</w:t>
      </w:r>
      <w:r w:rsidR="00843C9D" w:rsidRPr="00843C9D">
        <w:rPr>
          <w:rStyle w:val="FootnoteReference"/>
        </w:rPr>
        <w:footnoteReference w:id="46"/>
      </w:r>
      <w:r w:rsidR="00843C9D" w:rsidRPr="00843C9D">
        <w:t xml:space="preserve">  </w:t>
      </w:r>
      <w:r>
        <w:t>B</w:t>
      </w:r>
      <w:r w:rsidR="00843C9D" w:rsidRPr="00843C9D">
        <w:t>I&amp;E agrees and maintains that this subsidy, no matter how small during the pilot phase, must be rejected as it results in unjust and unreasonable rates for Columbia’s existing ratepayers.</w:t>
      </w:r>
      <w:r w:rsidR="002A4F76">
        <w:t xml:space="preserve">  BI&amp;E M.B., p. 10.</w:t>
      </w:r>
    </w:p>
    <w:p w:rsidR="002A4F76" w:rsidRDefault="002A4F76" w:rsidP="002A4F76">
      <w:pPr>
        <w:tabs>
          <w:tab w:val="left" w:pos="0"/>
        </w:tabs>
        <w:spacing w:line="360" w:lineRule="auto"/>
        <w:contextualSpacing/>
      </w:pPr>
    </w:p>
    <w:p w:rsidR="004939F3" w:rsidRDefault="002A4F76" w:rsidP="002A4F76">
      <w:pPr>
        <w:tabs>
          <w:tab w:val="left" w:pos="0"/>
        </w:tabs>
        <w:spacing w:line="360" w:lineRule="auto"/>
        <w:contextualSpacing/>
      </w:pPr>
      <w:r>
        <w:tab/>
      </w:r>
      <w:r w:rsidR="00B60CD5">
        <w:t>2</w:t>
      </w:r>
      <w:r>
        <w:t>.</w:t>
      </w:r>
      <w:r>
        <w:tab/>
      </w:r>
      <w:r w:rsidR="00676BA2">
        <w:rPr>
          <w:u w:val="single"/>
        </w:rPr>
        <w:t>Economic Model</w:t>
      </w:r>
    </w:p>
    <w:p w:rsidR="004939F3" w:rsidRDefault="004939F3" w:rsidP="002A4F76">
      <w:pPr>
        <w:tabs>
          <w:tab w:val="left" w:pos="0"/>
        </w:tabs>
        <w:spacing w:line="360" w:lineRule="auto"/>
        <w:contextualSpacing/>
      </w:pPr>
    </w:p>
    <w:p w:rsidR="004939F3" w:rsidRDefault="00B103EE" w:rsidP="004939F3">
      <w:pPr>
        <w:tabs>
          <w:tab w:val="left" w:pos="0"/>
        </w:tabs>
        <w:spacing w:line="360" w:lineRule="auto"/>
        <w:ind w:firstLine="1440"/>
        <w:contextualSpacing/>
      </w:pPr>
      <w:r>
        <w:t xml:space="preserve">BI&amp;E submits that </w:t>
      </w:r>
      <w:r w:rsidR="004939F3" w:rsidRPr="004939F3">
        <w:t xml:space="preserve">Columbia’s </w:t>
      </w:r>
      <w:r>
        <w:t xml:space="preserve">Pilot </w:t>
      </w:r>
      <w:r w:rsidR="004939F3" w:rsidRPr="004939F3">
        <w:t>Rider NAS program is not designed to change Columbia’s existing line extension process.</w:t>
      </w:r>
      <w:r w:rsidR="004939F3" w:rsidRPr="004939F3">
        <w:rPr>
          <w:rStyle w:val="FootnoteReference"/>
        </w:rPr>
        <w:footnoteReference w:id="47"/>
      </w:r>
      <w:r w:rsidR="004939F3" w:rsidRPr="004939F3">
        <w:t xml:space="preserve">  </w:t>
      </w:r>
      <w:r>
        <w:t xml:space="preserve">Pilot </w:t>
      </w:r>
      <w:r w:rsidR="004939F3" w:rsidRPr="004939F3">
        <w:t xml:space="preserve">Rider NAS is offered as an alternative to help customers pay their required contribution, but the Company’s economic evaluation of line extensions will not be changed under the Company’s proposed program.  However, </w:t>
      </w:r>
      <w:r>
        <w:t xml:space="preserve">the </w:t>
      </w:r>
      <w:r w:rsidR="004939F3" w:rsidRPr="004939F3">
        <w:t xml:space="preserve">OCA has proposed wholesale changes to the Company’s current economic model by reducing the equity cost rate and removing service lines, meters, and regulating equipment costs from the evaluation.  </w:t>
      </w:r>
      <w:r>
        <w:t>BI&amp;E is of the opinion that C</w:t>
      </w:r>
      <w:r w:rsidR="004939F3" w:rsidRPr="004939F3">
        <w:t>olumbia correctly argues it would be impractical to have two different economic evaluations.</w:t>
      </w:r>
      <w:r w:rsidR="004939F3" w:rsidRPr="004939F3">
        <w:rPr>
          <w:rStyle w:val="FootnoteReference"/>
        </w:rPr>
        <w:footnoteReference w:id="48"/>
      </w:r>
      <w:r w:rsidR="004939F3" w:rsidRPr="004939F3">
        <w:t xml:space="preserve">  </w:t>
      </w:r>
      <w:r>
        <w:t>B</w:t>
      </w:r>
      <w:r w:rsidR="004939F3" w:rsidRPr="004939F3">
        <w:t xml:space="preserve">I&amp;E also contends that having two different economic evaluations for the same service establishes an unreasonable service distinction.  </w:t>
      </w:r>
      <w:r>
        <w:t>According to BI&amp;E, t</w:t>
      </w:r>
      <w:r w:rsidR="004939F3" w:rsidRPr="004939F3">
        <w:t xml:space="preserve">his is especially true in light of the fact that the OCA’s recommended changes to the Company’s economic model will shift costs from potential new </w:t>
      </w:r>
      <w:r>
        <w:t xml:space="preserve">Pilot </w:t>
      </w:r>
      <w:r w:rsidR="004939F3" w:rsidRPr="004939F3">
        <w:t>Rider NAS customers to existing customers.</w:t>
      </w:r>
      <w:r w:rsidR="004939F3">
        <w:t xml:space="preserve">  BI&amp;E M.B., pp. 10-11.</w:t>
      </w:r>
      <w:r w:rsidR="004939F3" w:rsidRPr="004939F3">
        <w:t xml:space="preserve">     </w:t>
      </w:r>
    </w:p>
    <w:p w:rsidR="009B6946" w:rsidRDefault="009B6946" w:rsidP="004939F3">
      <w:pPr>
        <w:tabs>
          <w:tab w:val="left" w:pos="0"/>
        </w:tabs>
        <w:spacing w:line="360" w:lineRule="auto"/>
        <w:ind w:firstLine="1440"/>
        <w:contextualSpacing/>
      </w:pPr>
    </w:p>
    <w:p w:rsidR="00B103EE" w:rsidRPr="00A854CA" w:rsidRDefault="00B60CD5" w:rsidP="00EB2081">
      <w:pPr>
        <w:tabs>
          <w:tab w:val="left" w:pos="0"/>
        </w:tabs>
        <w:spacing w:line="360" w:lineRule="auto"/>
        <w:ind w:firstLine="720"/>
        <w:contextualSpacing/>
        <w:rPr>
          <w:u w:val="single"/>
        </w:rPr>
      </w:pPr>
      <w:r>
        <w:t>3</w:t>
      </w:r>
      <w:r w:rsidR="00B103EE">
        <w:t>.</w:t>
      </w:r>
      <w:r w:rsidR="00B103EE">
        <w:tab/>
      </w:r>
      <w:r w:rsidR="00676BA2" w:rsidRPr="00A854CA">
        <w:rPr>
          <w:u w:val="single"/>
        </w:rPr>
        <w:t xml:space="preserve">Cost </w:t>
      </w:r>
      <w:r w:rsidR="00676BA2">
        <w:rPr>
          <w:u w:val="single"/>
        </w:rPr>
        <w:t>o</w:t>
      </w:r>
      <w:r w:rsidR="00676BA2" w:rsidRPr="00A854CA">
        <w:rPr>
          <w:u w:val="single"/>
        </w:rPr>
        <w:t xml:space="preserve">f Debt </w:t>
      </w:r>
      <w:r w:rsidR="00676BA2">
        <w:rPr>
          <w:u w:val="single"/>
        </w:rPr>
        <w:t>a</w:t>
      </w:r>
      <w:r w:rsidR="00676BA2" w:rsidRPr="00A854CA">
        <w:rPr>
          <w:u w:val="single"/>
        </w:rPr>
        <w:t xml:space="preserve">s Surrogate </w:t>
      </w:r>
      <w:r w:rsidR="00676BA2">
        <w:rPr>
          <w:u w:val="single"/>
        </w:rPr>
        <w:t>f</w:t>
      </w:r>
      <w:r w:rsidR="00676BA2" w:rsidRPr="00A854CA">
        <w:rPr>
          <w:u w:val="single"/>
        </w:rPr>
        <w:t xml:space="preserve">or Return </w:t>
      </w:r>
      <w:r w:rsidR="00676BA2">
        <w:rPr>
          <w:u w:val="single"/>
        </w:rPr>
        <w:t>o</w:t>
      </w:r>
      <w:r w:rsidR="00676BA2" w:rsidRPr="00A854CA">
        <w:rPr>
          <w:u w:val="single"/>
        </w:rPr>
        <w:t>n Equity</w:t>
      </w:r>
    </w:p>
    <w:p w:rsidR="00843C9D" w:rsidRDefault="00843C9D" w:rsidP="002A4F76">
      <w:pPr>
        <w:tabs>
          <w:tab w:val="left" w:pos="0"/>
        </w:tabs>
        <w:spacing w:line="360" w:lineRule="auto"/>
        <w:contextualSpacing/>
      </w:pPr>
      <w:r w:rsidRPr="00843C9D">
        <w:t xml:space="preserve"> </w:t>
      </w:r>
    </w:p>
    <w:p w:rsidR="00325E79" w:rsidRDefault="00325E79" w:rsidP="00325E79">
      <w:pPr>
        <w:tabs>
          <w:tab w:val="left" w:pos="0"/>
        </w:tabs>
        <w:spacing w:line="360" w:lineRule="auto"/>
        <w:ind w:firstLine="1440"/>
        <w:contextualSpacing/>
      </w:pPr>
      <w:r w:rsidRPr="00325E79">
        <w:t>Columbia uses a DCF model to evaluate the expected revenues and costs of line extension projects.</w:t>
      </w:r>
      <w:r w:rsidRPr="00325E79">
        <w:rPr>
          <w:rStyle w:val="FootnoteReference"/>
        </w:rPr>
        <w:footnoteReference w:id="49"/>
      </w:r>
      <w:r w:rsidRPr="00325E79">
        <w:t xml:space="preserve">  If the full cost of the extension is not justified by the projected revenues, customers must pay for the uneconomic portion in the form of an </w:t>
      </w:r>
      <w:r w:rsidR="00923E1E">
        <w:t>up front</w:t>
      </w:r>
      <w:r w:rsidRPr="00325E79">
        <w:t xml:space="preserve"> deposit.  No party disputes that the DCF model is appropriate; however, </w:t>
      </w:r>
      <w:r>
        <w:t xml:space="preserve">the </w:t>
      </w:r>
      <w:r w:rsidRPr="00325E79">
        <w:t xml:space="preserve">OCA proposes to modify the DCF for </w:t>
      </w:r>
      <w:r>
        <w:t xml:space="preserve">Pilot </w:t>
      </w:r>
      <w:r w:rsidRPr="00325E79">
        <w:t>Rider NAS projects by using the Company’s cost of debt as a surrogate for the Commission’s approved return on equity in the model.</w:t>
      </w:r>
      <w:r w:rsidRPr="00325E79">
        <w:rPr>
          <w:rStyle w:val="FootnoteReference"/>
        </w:rPr>
        <w:footnoteReference w:id="50"/>
      </w:r>
      <w:r w:rsidRPr="00325E79">
        <w:t xml:space="preserve"> </w:t>
      </w:r>
      <w:r>
        <w:t xml:space="preserve"> BI&amp;E M.B., p. 11.</w:t>
      </w:r>
    </w:p>
    <w:p w:rsidR="00325E79" w:rsidRPr="00325E79" w:rsidRDefault="00325E79" w:rsidP="00325E79">
      <w:pPr>
        <w:tabs>
          <w:tab w:val="left" w:pos="0"/>
        </w:tabs>
        <w:spacing w:line="360" w:lineRule="auto"/>
        <w:ind w:firstLine="1440"/>
        <w:contextualSpacing/>
      </w:pPr>
      <w:r w:rsidRPr="00325E79">
        <w:t xml:space="preserve"> </w:t>
      </w:r>
    </w:p>
    <w:p w:rsidR="00566C13" w:rsidRDefault="00566C13" w:rsidP="00325E79">
      <w:pPr>
        <w:tabs>
          <w:tab w:val="left" w:pos="0"/>
        </w:tabs>
        <w:spacing w:line="360" w:lineRule="auto"/>
        <w:ind w:firstLine="1440"/>
        <w:contextualSpacing/>
      </w:pPr>
      <w:r>
        <w:t xml:space="preserve">BI&amp;E believes the OCA’s </w:t>
      </w:r>
      <w:r w:rsidR="00325E79" w:rsidRPr="00325E79">
        <w:t xml:space="preserve">proposal to reduce the return on equity utilized in the Company’s economic analysis to the cost of debt will significantly change the outcome for the uneconomic and economic pieces of an extension.  </w:t>
      </w:r>
      <w:r>
        <w:t>BI&amp;E asserts that r</w:t>
      </w:r>
      <w:r w:rsidR="00325E79" w:rsidRPr="00325E79">
        <w:t>educing the equity input in the evaluation will shift some of the uneconomic portion that the new customer is required to pay to the economic portion that is recovered in rate base from existing customers.  In short, it will require existing customers to further subsidize the costs of extensions to individuals who have requested service.</w:t>
      </w:r>
      <w:r w:rsidR="00325E79" w:rsidRPr="00325E79">
        <w:rPr>
          <w:rStyle w:val="FootnoteReference"/>
        </w:rPr>
        <w:footnoteReference w:id="51"/>
      </w:r>
      <w:r w:rsidR="00325E79" w:rsidRPr="00325E79">
        <w:t xml:space="preserve">  Columbia agrees that not including the full cost of capital to serve a customer in the economic analysis will reduce or eliminate the recommended deposit for </w:t>
      </w:r>
      <w:r>
        <w:t xml:space="preserve">Pilot Rider </w:t>
      </w:r>
      <w:r w:rsidR="00325E79" w:rsidRPr="00325E79">
        <w:t>NAS customers and shift those costs to existing customers.</w:t>
      </w:r>
      <w:r w:rsidR="00325E79" w:rsidRPr="00325E79">
        <w:rPr>
          <w:rStyle w:val="FootnoteReference"/>
        </w:rPr>
        <w:footnoteReference w:id="52"/>
      </w:r>
      <w:r>
        <w:t xml:space="preserve">  BI&amp;E M.B., pp. 11-12.</w:t>
      </w:r>
    </w:p>
    <w:p w:rsidR="00325E79" w:rsidRPr="00325E79" w:rsidRDefault="00325E79" w:rsidP="00325E79">
      <w:pPr>
        <w:tabs>
          <w:tab w:val="left" w:pos="0"/>
        </w:tabs>
        <w:spacing w:line="360" w:lineRule="auto"/>
        <w:ind w:firstLine="1440"/>
        <w:contextualSpacing/>
      </w:pPr>
      <w:r w:rsidRPr="00325E79">
        <w:t xml:space="preserve">    </w:t>
      </w:r>
    </w:p>
    <w:p w:rsidR="00AE3FB3" w:rsidRDefault="00325E79" w:rsidP="00325E79">
      <w:pPr>
        <w:tabs>
          <w:tab w:val="left" w:pos="0"/>
        </w:tabs>
        <w:spacing w:line="360" w:lineRule="auto"/>
        <w:ind w:firstLine="1440"/>
        <w:contextualSpacing/>
      </w:pPr>
      <w:r w:rsidRPr="00325E79">
        <w:t>As discussed above,</w:t>
      </w:r>
      <w:r w:rsidR="00566C13">
        <w:t xml:space="preserve"> BI&amp;E contends that </w:t>
      </w:r>
      <w:r w:rsidRPr="00325E79">
        <w:t>requiring existing customers to subsidize potential new customers is not in the public interest as it violates the Public Utility Code’s mandate that all rates must be just and reasonable.</w:t>
      </w:r>
      <w:r w:rsidRPr="00325E79">
        <w:rPr>
          <w:rStyle w:val="FootnoteReference"/>
        </w:rPr>
        <w:footnoteReference w:id="53"/>
      </w:r>
      <w:r w:rsidRPr="00325E79">
        <w:t xml:space="preserve">  Additionally, the Public Utility Code </w:t>
      </w:r>
    </w:p>
    <w:p w:rsidR="00E76D31" w:rsidRDefault="00325E79" w:rsidP="00AE3FB3">
      <w:pPr>
        <w:tabs>
          <w:tab w:val="left" w:pos="0"/>
        </w:tabs>
        <w:spacing w:line="360" w:lineRule="auto"/>
        <w:contextualSpacing/>
      </w:pPr>
      <w:r w:rsidRPr="00325E79">
        <w:t>prohibits discrimination in rates</w:t>
      </w:r>
      <w:r w:rsidRPr="00325E79">
        <w:rPr>
          <w:rStyle w:val="FootnoteReference"/>
        </w:rPr>
        <w:footnoteReference w:id="54"/>
      </w:r>
      <w:r w:rsidRPr="00325E79">
        <w:t xml:space="preserve"> and service.</w:t>
      </w:r>
      <w:r w:rsidRPr="00325E79">
        <w:rPr>
          <w:rStyle w:val="FootnoteReference"/>
        </w:rPr>
        <w:footnoteReference w:id="55"/>
      </w:r>
      <w:r w:rsidRPr="00325E79">
        <w:t xml:space="preserve">  Under the OCA proposal, </w:t>
      </w:r>
      <w:r w:rsidR="00566C13">
        <w:t xml:space="preserve">BI&amp;E points out that </w:t>
      </w:r>
      <w:r w:rsidRPr="00325E79">
        <w:t xml:space="preserve">there will be two different economic evaluations for line extensions that could result in two very different deposit amounts based simply on the potential new customer’s choice for payment.  Columbia provided an example illustrating that under its current economic model a potential customer may owe a $1,500 deposit; however, if </w:t>
      </w:r>
      <w:r w:rsidR="00566C13">
        <w:t xml:space="preserve">the </w:t>
      </w:r>
      <w:r w:rsidRPr="00325E79">
        <w:t xml:space="preserve">OCA’s recommendation to reduce the cost </w:t>
      </w:r>
    </w:p>
    <w:p w:rsidR="00566C13" w:rsidRDefault="00325E79" w:rsidP="00AE3FB3">
      <w:pPr>
        <w:tabs>
          <w:tab w:val="left" w:pos="0"/>
        </w:tabs>
        <w:spacing w:line="360" w:lineRule="auto"/>
        <w:contextualSpacing/>
      </w:pPr>
      <w:r w:rsidRPr="00325E79">
        <w:t>of equity to the cost of debt is approved, that deposit could drop to $200 over 20 years.</w:t>
      </w:r>
      <w:r w:rsidRPr="00325E79">
        <w:rPr>
          <w:rStyle w:val="FootnoteReference"/>
        </w:rPr>
        <w:footnoteReference w:id="56"/>
      </w:r>
      <w:r w:rsidRPr="00325E79">
        <w:t xml:space="preserve">  </w:t>
      </w:r>
      <w:r w:rsidR="00566C13">
        <w:t xml:space="preserve">BI&amp;E contends that the </w:t>
      </w:r>
      <w:r w:rsidRPr="00325E79">
        <w:t xml:space="preserve">OCA has failed to prove why </w:t>
      </w:r>
      <w:r w:rsidR="00566C13">
        <w:t xml:space="preserve">Pilot </w:t>
      </w:r>
      <w:r w:rsidRPr="00325E79">
        <w:t>Rider NAS customers should have an economic evaluation that is substantially more favorable than non-NAS projects.</w:t>
      </w:r>
      <w:r w:rsidR="00566C13">
        <w:t xml:space="preserve">  BI&amp;E M.B., p.</w:t>
      </w:r>
      <w:r w:rsidR="003A6F33">
        <w:t> </w:t>
      </w:r>
      <w:r w:rsidR="00566C13">
        <w:t>12.</w:t>
      </w:r>
    </w:p>
    <w:p w:rsidR="00325E79" w:rsidRPr="00325E79" w:rsidRDefault="00325E79" w:rsidP="00325E79">
      <w:pPr>
        <w:tabs>
          <w:tab w:val="left" w:pos="0"/>
        </w:tabs>
        <w:spacing w:line="360" w:lineRule="auto"/>
        <w:ind w:firstLine="1440"/>
        <w:contextualSpacing/>
      </w:pPr>
      <w:r w:rsidRPr="00325E79">
        <w:t xml:space="preserve"> </w:t>
      </w:r>
    </w:p>
    <w:p w:rsidR="00566C13" w:rsidRDefault="00566C13" w:rsidP="00325E79">
      <w:pPr>
        <w:tabs>
          <w:tab w:val="left" w:pos="0"/>
        </w:tabs>
        <w:spacing w:line="360" w:lineRule="auto"/>
        <w:ind w:firstLine="1440"/>
        <w:contextualSpacing/>
      </w:pPr>
      <w:r>
        <w:t xml:space="preserve">In summary, BI&amp;E asserts that the </w:t>
      </w:r>
      <w:r w:rsidR="00325E79" w:rsidRPr="00325E79">
        <w:t xml:space="preserve">OCA has not supported why the full cost of capital to serve a customer should not be reflected in the Company’s economic analysis.  </w:t>
      </w:r>
      <w:r>
        <w:t>According to BI&amp;E, w</w:t>
      </w:r>
      <w:r w:rsidR="00325E79" w:rsidRPr="00325E79">
        <w:t>hile there is no standard line extension tariff provision applicable to all natural gas distribution companies, there is uniformity with respect to the party responsible for the uneconomic piece – the prospective customer.</w:t>
      </w:r>
      <w:r w:rsidR="00325E79" w:rsidRPr="00325E79">
        <w:rPr>
          <w:rStyle w:val="FootnoteReference"/>
        </w:rPr>
        <w:footnoteReference w:id="57"/>
      </w:r>
      <w:r w:rsidR="00325E79" w:rsidRPr="00325E79">
        <w:t xml:space="preserve">  </w:t>
      </w:r>
      <w:r>
        <w:t xml:space="preserve">BI&amp;E concludes that the </w:t>
      </w:r>
      <w:r w:rsidR="00325E79" w:rsidRPr="00325E79">
        <w:t>OCA’s proposal to substantially reduce the amount paid by potential new customers and shift it to existing customers must be rejected.</w:t>
      </w:r>
      <w:r>
        <w:t xml:space="preserve">  BI&amp;E M.B., pp. 12-13.</w:t>
      </w:r>
    </w:p>
    <w:p w:rsidR="00024940" w:rsidRDefault="00024940" w:rsidP="00325E79">
      <w:pPr>
        <w:tabs>
          <w:tab w:val="left" w:pos="0"/>
        </w:tabs>
        <w:spacing w:line="360" w:lineRule="auto"/>
        <w:ind w:firstLine="1440"/>
        <w:contextualSpacing/>
      </w:pPr>
    </w:p>
    <w:p w:rsidR="00024940" w:rsidRDefault="00024940" w:rsidP="00024940">
      <w:pPr>
        <w:tabs>
          <w:tab w:val="left" w:pos="0"/>
        </w:tabs>
        <w:spacing w:line="360" w:lineRule="auto"/>
        <w:ind w:firstLine="1440"/>
        <w:contextualSpacing/>
      </w:pPr>
      <w:r w:rsidRPr="00024940">
        <w:t xml:space="preserve">To support its proposed removal of the cost of equity from any consideration in the Company’s capital cost portion of the DCF analysis, </w:t>
      </w:r>
      <w:r>
        <w:t xml:space="preserve">the </w:t>
      </w:r>
      <w:r w:rsidRPr="00024940">
        <w:t xml:space="preserve">OCA relies heavily on the Commission’s regulation for water line extensions, which uses the cost of debt in economic models. </w:t>
      </w:r>
      <w:r w:rsidR="008455F8">
        <w:t xml:space="preserve"> </w:t>
      </w:r>
      <w:r w:rsidRPr="00024940">
        <w:t xml:space="preserve">As </w:t>
      </w:r>
      <w:r>
        <w:t xml:space="preserve">the </w:t>
      </w:r>
      <w:r w:rsidRPr="00024940">
        <w:t xml:space="preserve">OCA notes, the line extension regulation for water companies was revised by the Commission in 1996. </w:t>
      </w:r>
      <w:r w:rsidR="008455F8">
        <w:t xml:space="preserve"> </w:t>
      </w:r>
      <w:r>
        <w:t>According to BI&amp;E, w</w:t>
      </w:r>
      <w:r w:rsidRPr="00024940">
        <w:t xml:space="preserve">hile the OCA recognizes that this regulation applies to the water industry in Pennsylvania only, </w:t>
      </w:r>
      <w:r>
        <w:t xml:space="preserve">the </w:t>
      </w:r>
      <w:r w:rsidRPr="00024940">
        <w:t xml:space="preserve">OCA fails to acknowledge that the Commission considered – and rejected – applying this same capital cost alteration to other Pennsylvania regulated utilities, including gas. </w:t>
      </w:r>
      <w:r w:rsidR="008455F8">
        <w:t xml:space="preserve"> </w:t>
      </w:r>
      <w:r>
        <w:t xml:space="preserve">BI&amp;E argues that the </w:t>
      </w:r>
      <w:r w:rsidRPr="00024940">
        <w:t xml:space="preserve">OCA’s unilateral effort to amend this regulation for Columbia, therefore, is wholly unsupported not only because it understates the cost of capital to the detriment of existing ratepayers, but also because it was specifically considered and rejected by the Commission when the water regulation was revised.  </w:t>
      </w:r>
      <w:r>
        <w:t xml:space="preserve">BI&amp;E R.B., p. 8.  </w:t>
      </w:r>
    </w:p>
    <w:p w:rsidR="00024940" w:rsidRDefault="00024940" w:rsidP="00024940">
      <w:pPr>
        <w:tabs>
          <w:tab w:val="left" w:pos="0"/>
        </w:tabs>
        <w:spacing w:line="360" w:lineRule="auto"/>
        <w:ind w:firstLine="1440"/>
        <w:contextualSpacing/>
      </w:pPr>
    </w:p>
    <w:p w:rsidR="00024940" w:rsidRDefault="00024940" w:rsidP="00024940">
      <w:pPr>
        <w:tabs>
          <w:tab w:val="left" w:pos="0"/>
        </w:tabs>
        <w:spacing w:line="360" w:lineRule="auto"/>
        <w:ind w:firstLine="1440"/>
        <w:contextualSpacing/>
      </w:pPr>
      <w:r w:rsidRPr="00024940">
        <w:t>Regulations for line extensions for each of the electric, gas, and water industries in Pennsylvania have independent authority and direction in the Commission’s regulations.</w:t>
      </w:r>
      <w:r w:rsidR="00D84A76">
        <w:t xml:space="preserve"> </w:t>
      </w:r>
      <w:r w:rsidRPr="00024940">
        <w:t xml:space="preserve"> Line extensions for the electric industry are addressed in 52 Pa.Code §</w:t>
      </w:r>
      <w:r w:rsidR="008A78A1">
        <w:t xml:space="preserve"> </w:t>
      </w:r>
      <w:r w:rsidRPr="00024940">
        <w:t>57.19; gas line extensions are addressed in 52 Pa.Code §</w:t>
      </w:r>
      <w:r w:rsidR="008A78A1">
        <w:t xml:space="preserve"> </w:t>
      </w:r>
      <w:r w:rsidRPr="00024940">
        <w:t>59.27; water line extensions are addressed in 52 Pa.Code §</w:t>
      </w:r>
      <w:r w:rsidR="008A78A1">
        <w:t xml:space="preserve"> </w:t>
      </w:r>
      <w:r w:rsidRPr="00024940">
        <w:t>65.21. Each is different, with the water line extension regulation expressly mandating a formula to measure the utility’s investment.</w:t>
      </w:r>
      <w:r w:rsidR="00AC6FED">
        <w:t xml:space="preserve"> </w:t>
      </w:r>
      <w:r w:rsidRPr="00024940">
        <w:t xml:space="preserve"> </w:t>
      </w:r>
      <w:r>
        <w:t>According to BI&amp;E, m</w:t>
      </w:r>
      <w:r w:rsidRPr="00024940">
        <w:t xml:space="preserve">ore pertinent than each industry’s specific regulation, however, is the fact that the Commission specifically refused to impose the same standard on other industries as it had on water. </w:t>
      </w:r>
    </w:p>
    <w:p w:rsidR="00024940" w:rsidRPr="00024940" w:rsidRDefault="00024940" w:rsidP="00024940">
      <w:pPr>
        <w:tabs>
          <w:tab w:val="left" w:pos="0"/>
        </w:tabs>
        <w:spacing w:line="360" w:lineRule="auto"/>
        <w:ind w:firstLine="1440"/>
        <w:contextualSpacing/>
      </w:pPr>
    </w:p>
    <w:p w:rsidR="00024940" w:rsidRDefault="00024940" w:rsidP="00024940">
      <w:pPr>
        <w:tabs>
          <w:tab w:val="left" w:pos="0"/>
        </w:tabs>
        <w:spacing w:line="360" w:lineRule="auto"/>
        <w:ind w:firstLine="1440"/>
        <w:contextualSpacing/>
      </w:pPr>
      <w:r>
        <w:t>According to BI&amp;E, t</w:t>
      </w:r>
      <w:r w:rsidRPr="00024940">
        <w:t xml:space="preserve">he Commission’s </w:t>
      </w:r>
      <w:r w:rsidRPr="00024940">
        <w:rPr>
          <w:i/>
        </w:rPr>
        <w:t>1996</w:t>
      </w:r>
      <w:r w:rsidRPr="00024940">
        <w:t xml:space="preserve"> </w:t>
      </w:r>
      <w:r w:rsidRPr="00024940">
        <w:rPr>
          <w:i/>
        </w:rPr>
        <w:t>Water Line Extension Order</w:t>
      </w:r>
      <w:r w:rsidRPr="00024940">
        <w:t>,</w:t>
      </w:r>
      <w:r w:rsidRPr="00024940">
        <w:rPr>
          <w:vertAlign w:val="superscript"/>
        </w:rPr>
        <w:footnoteReference w:id="58"/>
      </w:r>
      <w:r w:rsidRPr="00024940">
        <w:t xml:space="preserve"> relied on by the OCA, was initiated in 1993 as a Commission rulemaking to provide a public forum to address issues related to utility extensions. In the order, the Commission expressly notes that “the claim of an individual seeking the line extension must be balanced against the right of the public utility to remain financially viable and </w:t>
      </w:r>
      <w:r w:rsidRPr="00024940">
        <w:rPr>
          <w:i/>
        </w:rPr>
        <w:t>the right of existing customers to avoid subsidizing uneconomic line extensions for new customers.</w:t>
      </w:r>
      <w:r w:rsidRPr="00024940">
        <w:t>”</w:t>
      </w:r>
      <w:r w:rsidRPr="00024940">
        <w:rPr>
          <w:rStyle w:val="FootnoteReference"/>
        </w:rPr>
        <w:footnoteReference w:id="59"/>
      </w:r>
      <w:r w:rsidRPr="00024940">
        <w:t xml:space="preserve"> While initially considered as perhaps an industry-wide resolution, the Commission noted that electric and telephone did not experience the same levels of uncertainty and litigation as had water and gas, and further that gas was increasingly an industry for which alternative fuels and electricity were readily available as alternatives, making natural gas “largely a matter of customer choice.”</w:t>
      </w:r>
      <w:r w:rsidRPr="00024940">
        <w:rPr>
          <w:rStyle w:val="FootnoteReference"/>
        </w:rPr>
        <w:footnoteReference w:id="60"/>
      </w:r>
      <w:r w:rsidRPr="00024940">
        <w:t xml:space="preserve"> And while the Commission did state that the water regulation could serve as guidance for other industries, it expressly found that the proposed line extension regulation no longer was necessary “across the board” but instead would be limited to “target the real problem area,” namely the water industry.</w:t>
      </w:r>
      <w:r w:rsidRPr="00024940">
        <w:rPr>
          <w:rStyle w:val="FootnoteReference"/>
        </w:rPr>
        <w:footnoteReference w:id="61"/>
      </w:r>
      <w:r w:rsidR="000D03FB">
        <w:t xml:space="preserve">  BI&amp;E R.B., p. 9.</w:t>
      </w:r>
    </w:p>
    <w:p w:rsidR="000D03FB" w:rsidRPr="00024940" w:rsidRDefault="000D03FB" w:rsidP="00024940">
      <w:pPr>
        <w:tabs>
          <w:tab w:val="left" w:pos="0"/>
        </w:tabs>
        <w:spacing w:line="360" w:lineRule="auto"/>
        <w:ind w:firstLine="1440"/>
        <w:contextualSpacing/>
      </w:pPr>
    </w:p>
    <w:p w:rsidR="00024940" w:rsidRDefault="00024940" w:rsidP="00024940">
      <w:pPr>
        <w:tabs>
          <w:tab w:val="left" w:pos="0"/>
        </w:tabs>
        <w:spacing w:line="360" w:lineRule="auto"/>
        <w:ind w:firstLine="1440"/>
        <w:contextualSpacing/>
      </w:pPr>
      <w:r w:rsidRPr="00024940">
        <w:t xml:space="preserve">Moreover, in defining the new “debt costs” term in Section 65.1 of the water regulation, </w:t>
      </w:r>
      <w:r w:rsidR="000D03FB">
        <w:t xml:space="preserve">BI&amp;E points out that </w:t>
      </w:r>
      <w:r w:rsidRPr="00024940">
        <w:t>the Commission specifically noted that</w:t>
      </w:r>
      <w:r w:rsidR="000D03FB">
        <w:t>,</w:t>
      </w:r>
      <w:r w:rsidRPr="00024940">
        <w:t xml:space="preserve"> “[d]</w:t>
      </w:r>
      <w:proofErr w:type="spellStart"/>
      <w:r w:rsidRPr="00024940">
        <w:t>ue</w:t>
      </w:r>
      <w:proofErr w:type="spellEnd"/>
      <w:r w:rsidRPr="00024940">
        <w:t xml:space="preserve"> to the infrequency of base rate cases for some companies, we have decided to use a company’s current debt cost data” and that “[t]he cost of preferred stock, however, has been specifically excluded since it is a relatively minor component of any utility’s cost of service and would needlessly complicate the economic standard for a line extension.”</w:t>
      </w:r>
      <w:r w:rsidRPr="00024940">
        <w:rPr>
          <w:rStyle w:val="FootnoteReference"/>
        </w:rPr>
        <w:footnoteReference w:id="62"/>
      </w:r>
      <w:r w:rsidRPr="00024940">
        <w:t xml:space="preserve"> </w:t>
      </w:r>
      <w:r w:rsidR="005B4AB4">
        <w:t xml:space="preserve"> </w:t>
      </w:r>
      <w:r w:rsidRPr="00024940">
        <w:t>Having filed four base rate cases in the past six years, it hardly holds true today that Columbia’s base rate cases are infrequent, nor has OCA attempted to limit Columbia’s capital cost rate to the cost of debt because preferred stock is either a minor component or needlessly complicates the Company’s economic model</w:t>
      </w:r>
      <w:r w:rsidR="000D03FB">
        <w:t>, according to BI&amp;E</w:t>
      </w:r>
      <w:r w:rsidRPr="00024940">
        <w:t xml:space="preserve">. </w:t>
      </w:r>
      <w:r w:rsidR="00021C88">
        <w:t xml:space="preserve"> </w:t>
      </w:r>
      <w:r w:rsidRPr="00024940">
        <w:t xml:space="preserve">Rather, </w:t>
      </w:r>
      <w:r w:rsidR="000D03FB">
        <w:t xml:space="preserve">the </w:t>
      </w:r>
      <w:r w:rsidRPr="00024940">
        <w:t>OCA relies on an order and regulation that both, by their express terms, do not apply to the gas industry and does so for reasons that do not warrant exclusion of the equity cost rate as was decided in 1996 for the water industry.</w:t>
      </w:r>
      <w:r w:rsidR="000D03FB">
        <w:t xml:space="preserve">  BI&amp;E R.B., pp. 9-10.</w:t>
      </w:r>
      <w:r w:rsidRPr="00024940">
        <w:t xml:space="preserve"> </w:t>
      </w:r>
    </w:p>
    <w:p w:rsidR="000D03FB" w:rsidRPr="00024940" w:rsidRDefault="000D03FB" w:rsidP="00024940">
      <w:pPr>
        <w:tabs>
          <w:tab w:val="left" w:pos="0"/>
        </w:tabs>
        <w:spacing w:line="360" w:lineRule="auto"/>
        <w:ind w:firstLine="1440"/>
        <w:contextualSpacing/>
      </w:pPr>
    </w:p>
    <w:p w:rsidR="00024940" w:rsidRPr="00024940" w:rsidRDefault="00024940" w:rsidP="00024940">
      <w:pPr>
        <w:tabs>
          <w:tab w:val="left" w:pos="0"/>
        </w:tabs>
        <w:spacing w:line="360" w:lineRule="auto"/>
        <w:ind w:firstLine="1440"/>
        <w:contextualSpacing/>
      </w:pPr>
      <w:r w:rsidRPr="00024940">
        <w:t xml:space="preserve">When approving the parties’ settlement of Columbia’s 2012 base rate case, Commissioner </w:t>
      </w:r>
      <w:r w:rsidR="009B04F1">
        <w:t xml:space="preserve">James H. </w:t>
      </w:r>
      <w:r w:rsidRPr="00024940">
        <w:t xml:space="preserve">Cawley addressed the proposed resolution of </w:t>
      </w:r>
      <w:r w:rsidR="000D03FB">
        <w:t xml:space="preserve">Pilot </w:t>
      </w:r>
      <w:r w:rsidRPr="00024940">
        <w:t>Rider NAS as follows:</w:t>
      </w:r>
    </w:p>
    <w:p w:rsidR="00024940" w:rsidRPr="00024940" w:rsidRDefault="00024940" w:rsidP="000D03FB">
      <w:pPr>
        <w:tabs>
          <w:tab w:val="left" w:pos="720"/>
        </w:tabs>
        <w:ind w:left="1440" w:right="1440"/>
        <w:contextualSpacing/>
      </w:pPr>
      <w:r w:rsidRPr="00024940">
        <w:t xml:space="preserve">The parties also committed to pursuing further discussions on a means of removing barriers to new service extensions by entering into an informal collaborative with Columbia to attempt to develop a program to extend service to new areas. </w:t>
      </w:r>
      <w:r w:rsidR="00016FD3">
        <w:t xml:space="preserve"> </w:t>
      </w:r>
      <w:r w:rsidRPr="00024940">
        <w:t xml:space="preserve">As a result, Columbia may file a tariff in the near future for our review that represents a new and creative method that </w:t>
      </w:r>
      <w:r w:rsidRPr="00024940">
        <w:rPr>
          <w:i/>
        </w:rPr>
        <w:t>balances the needs and concerns of existing and prospective customers.</w:t>
      </w:r>
      <w:r w:rsidRPr="00024940">
        <w:t>”</w:t>
      </w:r>
      <w:r w:rsidRPr="00024940">
        <w:rPr>
          <w:rStyle w:val="FootnoteReference"/>
        </w:rPr>
        <w:footnoteReference w:id="63"/>
      </w:r>
    </w:p>
    <w:p w:rsidR="00024940" w:rsidRPr="00024940" w:rsidRDefault="00024940" w:rsidP="00024940">
      <w:pPr>
        <w:tabs>
          <w:tab w:val="left" w:pos="720"/>
        </w:tabs>
        <w:spacing w:line="360" w:lineRule="auto"/>
        <w:ind w:firstLine="1440"/>
        <w:contextualSpacing/>
      </w:pPr>
      <w:r w:rsidRPr="00024940">
        <w:t xml:space="preserve">  </w:t>
      </w:r>
    </w:p>
    <w:p w:rsidR="00024940" w:rsidRDefault="000D03FB" w:rsidP="000D03FB">
      <w:pPr>
        <w:tabs>
          <w:tab w:val="left" w:pos="0"/>
        </w:tabs>
        <w:spacing w:line="360" w:lineRule="auto"/>
        <w:contextualSpacing/>
      </w:pPr>
      <w:r>
        <w:t xml:space="preserve">BI&amp;E contends that the </w:t>
      </w:r>
      <w:r w:rsidR="00024940" w:rsidRPr="00024940">
        <w:t xml:space="preserve">OCA’s reliance on the </w:t>
      </w:r>
      <w:r w:rsidR="00024940" w:rsidRPr="00024940">
        <w:rPr>
          <w:i/>
        </w:rPr>
        <w:t xml:space="preserve">1996 Water Line Extension Order </w:t>
      </w:r>
      <w:r w:rsidR="00024940" w:rsidRPr="00024940">
        <w:t xml:space="preserve">is misplaced. </w:t>
      </w:r>
      <w:r>
        <w:t xml:space="preserve">BI&amp;E argues that the </w:t>
      </w:r>
      <w:r w:rsidR="00024940" w:rsidRPr="00024940">
        <w:t>OCA’s proposed changes to Columbia’s economic model’s use of the capital cost rate fails to balance the needs and concerns of existing customers and should be rejected.</w:t>
      </w:r>
      <w:r>
        <w:t xml:space="preserve">  BI&amp;E R.B., p. 10.</w:t>
      </w:r>
    </w:p>
    <w:p w:rsidR="00566C13" w:rsidRDefault="00566C13" w:rsidP="00566C13">
      <w:pPr>
        <w:tabs>
          <w:tab w:val="left" w:pos="0"/>
        </w:tabs>
        <w:spacing w:line="360" w:lineRule="auto"/>
        <w:contextualSpacing/>
      </w:pPr>
    </w:p>
    <w:p w:rsidR="00D877ED" w:rsidRDefault="00D877ED" w:rsidP="00566C13">
      <w:pPr>
        <w:tabs>
          <w:tab w:val="left" w:pos="0"/>
        </w:tabs>
        <w:spacing w:line="360" w:lineRule="auto"/>
        <w:contextualSpacing/>
      </w:pPr>
    </w:p>
    <w:p w:rsidR="00D877ED" w:rsidRDefault="00D877ED" w:rsidP="00566C13">
      <w:pPr>
        <w:tabs>
          <w:tab w:val="left" w:pos="0"/>
        </w:tabs>
        <w:spacing w:line="360" w:lineRule="auto"/>
        <w:contextualSpacing/>
      </w:pPr>
    </w:p>
    <w:p w:rsidR="00566C13" w:rsidRDefault="00566C13" w:rsidP="00566C13">
      <w:pPr>
        <w:tabs>
          <w:tab w:val="left" w:pos="0"/>
        </w:tabs>
        <w:spacing w:line="360" w:lineRule="auto"/>
        <w:contextualSpacing/>
      </w:pPr>
      <w:r>
        <w:tab/>
      </w:r>
      <w:r w:rsidR="00BB64B2">
        <w:t>4</w:t>
      </w:r>
      <w:r>
        <w:t>.</w:t>
      </w:r>
      <w:r>
        <w:tab/>
      </w:r>
      <w:r w:rsidR="00DC2DAB">
        <w:rPr>
          <w:u w:val="single"/>
        </w:rPr>
        <w:t>Cost of Service Lines, Meters and Regulating Equipment</w:t>
      </w:r>
    </w:p>
    <w:p w:rsidR="00566C13" w:rsidRDefault="00566C13" w:rsidP="00566C13">
      <w:pPr>
        <w:tabs>
          <w:tab w:val="left" w:pos="0"/>
        </w:tabs>
        <w:spacing w:line="360" w:lineRule="auto"/>
        <w:contextualSpacing/>
      </w:pPr>
    </w:p>
    <w:p w:rsidR="00D822B1" w:rsidRDefault="00D822B1" w:rsidP="00D63D77">
      <w:pPr>
        <w:tabs>
          <w:tab w:val="left" w:pos="0"/>
        </w:tabs>
        <w:spacing w:line="360" w:lineRule="auto"/>
        <w:ind w:firstLine="1440"/>
        <w:contextualSpacing/>
      </w:pPr>
      <w:r>
        <w:t xml:space="preserve">The </w:t>
      </w:r>
      <w:r w:rsidR="00D63D77" w:rsidRPr="00D63D77">
        <w:t xml:space="preserve">OCA proposes to exclude the capital costs of service lines, meters, and regulating equipment from the DCF model when evaluating NAS projects, and further recommends that </w:t>
      </w:r>
      <w:r>
        <w:t xml:space="preserve">Pilot </w:t>
      </w:r>
      <w:r w:rsidR="00D63D77" w:rsidRPr="00D63D77">
        <w:t>Rider NAS customers not be required to pay for any service line or meter costs.</w:t>
      </w:r>
      <w:r w:rsidR="00D63D77" w:rsidRPr="00D63D77">
        <w:rPr>
          <w:rStyle w:val="FootnoteReference"/>
        </w:rPr>
        <w:footnoteReference w:id="64"/>
      </w:r>
      <w:r w:rsidR="00D63D77" w:rsidRPr="00D63D77">
        <w:t xml:space="preserve">  Again, </w:t>
      </w:r>
      <w:r>
        <w:t xml:space="preserve">according to BI&amp;E, </w:t>
      </w:r>
      <w:r w:rsidR="00D63D77" w:rsidRPr="00D63D77">
        <w:t xml:space="preserve">this proposal will require the Company to evaluate </w:t>
      </w:r>
      <w:r>
        <w:t xml:space="preserve">Pilot </w:t>
      </w:r>
      <w:r w:rsidR="00D63D77" w:rsidRPr="00D63D77">
        <w:t>Rider NAS projects differently from all other extension projects and will shift costs from new</w:t>
      </w:r>
      <w:r>
        <w:t xml:space="preserve"> Pilot </w:t>
      </w:r>
      <w:r w:rsidR="00D63D77" w:rsidRPr="00D63D77">
        <w:t xml:space="preserve">Rider NAS customers to existing customers. </w:t>
      </w:r>
      <w:r>
        <w:t xml:space="preserve"> BI&amp;E M.B., p. 13.</w:t>
      </w:r>
    </w:p>
    <w:p w:rsidR="00D63D77" w:rsidRPr="00D63D77" w:rsidRDefault="00D63D77" w:rsidP="00D63D77">
      <w:pPr>
        <w:tabs>
          <w:tab w:val="left" w:pos="0"/>
        </w:tabs>
        <w:spacing w:line="360" w:lineRule="auto"/>
        <w:ind w:firstLine="1440"/>
        <w:contextualSpacing/>
      </w:pPr>
      <w:r w:rsidRPr="00D63D77">
        <w:t xml:space="preserve"> </w:t>
      </w:r>
    </w:p>
    <w:p w:rsidR="00A047EA" w:rsidRDefault="00D822B1" w:rsidP="00D63D77">
      <w:pPr>
        <w:tabs>
          <w:tab w:val="left" w:pos="0"/>
        </w:tabs>
        <w:spacing w:line="360" w:lineRule="auto"/>
        <w:ind w:firstLine="1440"/>
        <w:contextualSpacing/>
      </w:pPr>
      <w:r>
        <w:t>BI&amp;E submits that s</w:t>
      </w:r>
      <w:r w:rsidR="00D63D77" w:rsidRPr="00D63D77">
        <w:t>ervice lines, meters, and regulating equipment are part of the project costs to extend natural gas service and, as such, belong in the analysis to determine the economic and uneconomic share.</w:t>
      </w:r>
      <w:r w:rsidR="00D63D77" w:rsidRPr="00D63D77">
        <w:rPr>
          <w:rStyle w:val="FootnoteReference"/>
        </w:rPr>
        <w:footnoteReference w:id="65"/>
      </w:r>
      <w:r w:rsidR="00D63D77" w:rsidRPr="00D63D77">
        <w:t xml:space="preserve">  Section 1501 of the Public Utility Code, as interpreted by the appellate courts, does not require utilities to extend service to all customers in their service territory, but only requires such extensions under reasonable conditions subject to the regulations and orders of the Commission.</w:t>
      </w:r>
      <w:r w:rsidR="00D63D77" w:rsidRPr="00D63D77">
        <w:rPr>
          <w:rStyle w:val="FootnoteReference"/>
        </w:rPr>
        <w:footnoteReference w:id="66"/>
      </w:r>
      <w:r w:rsidR="00D63D77" w:rsidRPr="00D63D77">
        <w:t xml:space="preserve">  As such, </w:t>
      </w:r>
      <w:r>
        <w:t xml:space="preserve">BI&amp;E contends </w:t>
      </w:r>
      <w:r w:rsidR="00D63D77" w:rsidRPr="00D63D77">
        <w:t xml:space="preserve">Columbia should not be required to engage in uneconomic expansions.  </w:t>
      </w:r>
      <w:r w:rsidR="00A047EA">
        <w:t>According to BI&amp;E, t</w:t>
      </w:r>
      <w:r w:rsidR="00D63D77" w:rsidRPr="00D63D77">
        <w:t>he Company correctly states that the “goal of the program is not to engage in uneconomic expansions; therefore, all proper costs of the expansions should be considered.”</w:t>
      </w:r>
      <w:r w:rsidR="00D63D77" w:rsidRPr="00D63D77">
        <w:rPr>
          <w:rStyle w:val="FootnoteReference"/>
        </w:rPr>
        <w:footnoteReference w:id="67"/>
      </w:r>
      <w:r w:rsidR="00D63D77" w:rsidRPr="00D63D77">
        <w:t xml:space="preserve">  Commission regulations require gas utilities to include a rule in its tariff setting forth the conditions under which facilities will be extended and allow gas utilities</w:t>
      </w:r>
      <w:r w:rsidR="00D63D77" w:rsidRPr="00D63D77">
        <w:rPr>
          <w:iCs/>
        </w:rPr>
        <w:t xml:space="preserve"> to, upon proper cause shown, refuse or condition the acceptance of a particular application of extension of facilities</w:t>
      </w:r>
      <w:r w:rsidR="00D63D77" w:rsidRPr="00D63D77">
        <w:t>.</w:t>
      </w:r>
      <w:r w:rsidR="00D63D77" w:rsidRPr="00D63D77">
        <w:rPr>
          <w:rStyle w:val="FootnoteReference"/>
        </w:rPr>
        <w:footnoteReference w:id="68"/>
      </w:r>
      <w:r w:rsidR="00D63D77" w:rsidRPr="00D63D77">
        <w:t xml:space="preserve">  Columbia’s Tariff Rule 8 complies with this regulatory mandate and requires residential applicants to provide a cash deposit equal to </w:t>
      </w:r>
      <w:r w:rsidR="009C2A0D">
        <w:t xml:space="preserve">the </w:t>
      </w:r>
      <w:r w:rsidR="00D63D77" w:rsidRPr="00D63D77">
        <w:t>difference between the minimum capital investment required to serve the applicant and the amount of capital the Company can justify investing in the project.</w:t>
      </w:r>
      <w:r w:rsidR="00D63D77" w:rsidRPr="00D63D77">
        <w:rPr>
          <w:rStyle w:val="FootnoteReference"/>
        </w:rPr>
        <w:footnoteReference w:id="69"/>
      </w:r>
      <w:r w:rsidR="00D63D77" w:rsidRPr="00D63D77">
        <w:t xml:space="preserve">  </w:t>
      </w:r>
      <w:r w:rsidR="00A047EA">
        <w:t>BI&amp;E contends that t</w:t>
      </w:r>
      <w:r w:rsidR="00D63D77" w:rsidRPr="00D63D77">
        <w:t xml:space="preserve">he economic analysis for </w:t>
      </w:r>
      <w:r w:rsidR="00A047EA">
        <w:t xml:space="preserve">Pilot </w:t>
      </w:r>
      <w:r w:rsidR="00D63D77" w:rsidRPr="00D63D77">
        <w:t>Rider NAS projects will not be complete if the cost of service lines, meters, and regulator equipment are excluded from the evaluation</w:t>
      </w:r>
      <w:r w:rsidR="00A047EA">
        <w:t xml:space="preserve">.  BI&amp;E believes </w:t>
      </w:r>
      <w:r w:rsidR="00D63D77" w:rsidRPr="00D63D77">
        <w:t xml:space="preserve">the OCA’s recommendation will significantly understate the investment required from the </w:t>
      </w:r>
      <w:r w:rsidR="00A047EA">
        <w:t xml:space="preserve">Pilot </w:t>
      </w:r>
      <w:r w:rsidR="00D63D77" w:rsidRPr="00D63D77">
        <w:t>Rider NAS customer.</w:t>
      </w:r>
      <w:r w:rsidR="00A047EA">
        <w:t xml:space="preserve">  BI&amp;E M.B.</w:t>
      </w:r>
      <w:r w:rsidR="00E77CDB">
        <w:t>,</w:t>
      </w:r>
      <w:r w:rsidR="00A047EA">
        <w:t xml:space="preserve"> pp.</w:t>
      </w:r>
      <w:r w:rsidR="008A1CB9">
        <w:t xml:space="preserve"> </w:t>
      </w:r>
      <w:r w:rsidR="00A047EA">
        <w:t>13-14.</w:t>
      </w:r>
    </w:p>
    <w:p w:rsidR="00D63D77" w:rsidRPr="00D63D77" w:rsidRDefault="00D63D77" w:rsidP="00D63D77">
      <w:pPr>
        <w:tabs>
          <w:tab w:val="left" w:pos="0"/>
        </w:tabs>
        <w:spacing w:line="360" w:lineRule="auto"/>
        <w:ind w:firstLine="1440"/>
        <w:contextualSpacing/>
      </w:pPr>
      <w:r w:rsidRPr="00D63D77">
        <w:t xml:space="preserve">    </w:t>
      </w:r>
    </w:p>
    <w:p w:rsidR="00A047EA" w:rsidRDefault="00D63D77" w:rsidP="00D63D77">
      <w:pPr>
        <w:tabs>
          <w:tab w:val="left" w:pos="0"/>
        </w:tabs>
        <w:spacing w:line="360" w:lineRule="auto"/>
        <w:ind w:firstLine="1440"/>
        <w:contextualSpacing/>
      </w:pPr>
      <w:r w:rsidRPr="00D63D77">
        <w:t>OCA witness Watkins objects to the inclusion of service lines in the economic analysis due to the fact that Columbia has two different service line policies relative to customer location, and the variation of policies in these territories is not clearly delineated in the Columbia DCF model.</w:t>
      </w:r>
      <w:r w:rsidRPr="00D63D77">
        <w:rPr>
          <w:rStyle w:val="FootnoteReference"/>
        </w:rPr>
        <w:footnoteReference w:id="70"/>
      </w:r>
      <w:r w:rsidRPr="00D63D77">
        <w:t xml:space="preserve">  </w:t>
      </w:r>
      <w:r w:rsidR="00A047EA">
        <w:t xml:space="preserve">BI&amp;E contends that the </w:t>
      </w:r>
      <w:r w:rsidRPr="00D63D77">
        <w:t>OCA’s concern about service line ownership and costs between eastern and western region customers is irrelevant to the Company’s economic analysis.  Moreover, Section 1510 of the Public Utility Code statutorily preserves any such tariffed differences that might have existed as far back as 1984.</w:t>
      </w:r>
      <w:r w:rsidRPr="00D63D77">
        <w:rPr>
          <w:rStyle w:val="FootnoteReference"/>
        </w:rPr>
        <w:footnoteReference w:id="71"/>
      </w:r>
      <w:r w:rsidRPr="00D63D77">
        <w:t xml:space="preserve"> </w:t>
      </w:r>
      <w:r w:rsidR="008A1CB9">
        <w:t xml:space="preserve"> </w:t>
      </w:r>
      <w:r w:rsidR="00A047EA">
        <w:t>B</w:t>
      </w:r>
      <w:r w:rsidRPr="00D63D77">
        <w:t>I&amp;E witness Boyd correctly contends that, regardless of who owns or is responsible for service lines, it is part of the project cost and should be included in the economic analysis.</w:t>
      </w:r>
      <w:r w:rsidRPr="00D63D77">
        <w:rPr>
          <w:rStyle w:val="FootnoteReference"/>
        </w:rPr>
        <w:footnoteReference w:id="72"/>
      </w:r>
      <w:r w:rsidRPr="00D63D77">
        <w:t xml:space="preserve">  Whether service lines are included in the Company’s rate base is an accounting function, but it does not change the fact that service line costs are part of the Company’s costs in reaching new customers and should be considered in economic evaluation of the project.</w:t>
      </w:r>
      <w:r w:rsidRPr="00D63D77">
        <w:rPr>
          <w:rStyle w:val="FootnoteReference"/>
        </w:rPr>
        <w:footnoteReference w:id="73"/>
      </w:r>
      <w:r w:rsidRPr="00D63D77">
        <w:t xml:space="preserve">  Likewise, Columbia contends that this proposed modification to the DCF model is “absurd.”</w:t>
      </w:r>
      <w:r w:rsidRPr="00D63D77">
        <w:rPr>
          <w:rStyle w:val="FootnoteReference"/>
        </w:rPr>
        <w:footnoteReference w:id="74"/>
      </w:r>
      <w:r w:rsidRPr="00D63D77">
        <w:t xml:space="preserve">  Columbia illustrates this absurdity by explaining that, under OCA’s proposal, if a potential </w:t>
      </w:r>
      <w:r w:rsidR="00A047EA">
        <w:t xml:space="preserve">Pilot </w:t>
      </w:r>
      <w:r w:rsidRPr="00D63D77">
        <w:t>Rider NAS customer requires a 1,000 foot service line those costs would be excluded from the DCF model and would be shifted to existing customers.</w:t>
      </w:r>
      <w:r w:rsidRPr="00D63D77">
        <w:rPr>
          <w:rStyle w:val="FootnoteReference"/>
        </w:rPr>
        <w:footnoteReference w:id="75"/>
      </w:r>
      <w:r w:rsidRPr="00D63D77">
        <w:t xml:space="preserve">  By doing so, the </w:t>
      </w:r>
      <w:r w:rsidR="00A047EA">
        <w:t xml:space="preserve">Pilot </w:t>
      </w:r>
      <w:r w:rsidRPr="00D63D77">
        <w:t>Rider NAS customer would receive a windfall because those costs would be entirely paid by existing customers.</w:t>
      </w:r>
      <w:r w:rsidR="00A047EA">
        <w:t xml:space="preserve">  BI&amp;E M.B.</w:t>
      </w:r>
      <w:r w:rsidR="000F7D9D">
        <w:t>,</w:t>
      </w:r>
      <w:r w:rsidR="00A047EA">
        <w:t xml:space="preserve"> pp. 14-15.</w:t>
      </w:r>
    </w:p>
    <w:p w:rsidR="00D63D77" w:rsidRPr="00D63D77" w:rsidRDefault="00D63D77" w:rsidP="00D63D77">
      <w:pPr>
        <w:tabs>
          <w:tab w:val="left" w:pos="0"/>
        </w:tabs>
        <w:spacing w:line="360" w:lineRule="auto"/>
        <w:ind w:firstLine="1440"/>
        <w:contextualSpacing/>
      </w:pPr>
      <w:r w:rsidRPr="00D63D77">
        <w:t xml:space="preserve">   </w:t>
      </w:r>
    </w:p>
    <w:p w:rsidR="00D63D77" w:rsidRDefault="00D63D77" w:rsidP="00D63D77">
      <w:pPr>
        <w:tabs>
          <w:tab w:val="left" w:pos="0"/>
        </w:tabs>
        <w:spacing w:line="360" w:lineRule="auto"/>
        <w:ind w:firstLine="1440"/>
        <w:contextualSpacing/>
      </w:pPr>
      <w:r w:rsidRPr="00D63D77">
        <w:t>Similarly, meters and regulator equipment must be included in the Company’s economic analysis</w:t>
      </w:r>
      <w:r w:rsidR="00610881">
        <w:t>,</w:t>
      </w:r>
      <w:r w:rsidR="00A047EA">
        <w:t xml:space="preserve"> according to BI&amp;E</w:t>
      </w:r>
      <w:r w:rsidRPr="00D63D77">
        <w:t>.  OCA witness Watkins relies upon 52 Pa.Code § 59.17, which states that regulation and measurement equipment shall be installed at the Company’s own expense.</w:t>
      </w:r>
      <w:r w:rsidRPr="00D63D77">
        <w:rPr>
          <w:rStyle w:val="FootnoteReference"/>
        </w:rPr>
        <w:footnoteReference w:id="76"/>
      </w:r>
      <w:r w:rsidRPr="00D63D77">
        <w:t xml:space="preserve">  Although meter costs are the Company’s responsibility, </w:t>
      </w:r>
      <w:r w:rsidR="00A047EA">
        <w:t xml:space="preserve">BI&amp;E contends </w:t>
      </w:r>
      <w:r w:rsidRPr="00D63D77">
        <w:t>they are still a cost component of the extension project that should be considered in the economic evaluation.</w:t>
      </w:r>
      <w:r w:rsidRPr="00D63D77">
        <w:rPr>
          <w:rStyle w:val="FootnoteReference"/>
        </w:rPr>
        <w:footnoteReference w:id="77"/>
      </w:r>
      <w:r w:rsidRPr="00D63D77">
        <w:t xml:space="preserve">  How those meters are accounted for in rate base is an accounting matter, but there is no doubt that they are costs the Company will incur to expand its infrastructure.</w:t>
      </w:r>
      <w:r w:rsidRPr="00D63D77">
        <w:rPr>
          <w:rStyle w:val="FootnoteReference"/>
        </w:rPr>
        <w:footnoteReference w:id="78"/>
      </w:r>
      <w:r w:rsidRPr="00D63D77">
        <w:t xml:space="preserve">  </w:t>
      </w:r>
      <w:r w:rsidR="00A047EA">
        <w:t xml:space="preserve">BI&amp;E believes </w:t>
      </w:r>
      <w:r w:rsidRPr="00D63D77">
        <w:t xml:space="preserve">Columbia witness Evans correctly notes that removing meter and regulation equipment costs from the economic model would improperly understate the cost to serve </w:t>
      </w:r>
      <w:r w:rsidR="00A047EA">
        <w:t xml:space="preserve">Pilot </w:t>
      </w:r>
      <w:r w:rsidRPr="00D63D77">
        <w:t>Rider NAS customers.</w:t>
      </w:r>
      <w:r w:rsidRPr="00D63D77">
        <w:rPr>
          <w:rStyle w:val="FootnoteReference"/>
        </w:rPr>
        <w:footnoteReference w:id="79"/>
      </w:r>
      <w:r w:rsidR="00A047EA">
        <w:t xml:space="preserve">  BI&amp;E M.B.</w:t>
      </w:r>
      <w:r w:rsidR="00F37767">
        <w:t>,</w:t>
      </w:r>
      <w:r w:rsidR="00A047EA">
        <w:t xml:space="preserve"> p. 15.</w:t>
      </w:r>
    </w:p>
    <w:p w:rsidR="00A047EA" w:rsidRPr="00D63D77" w:rsidRDefault="00A047EA" w:rsidP="00D63D77">
      <w:pPr>
        <w:tabs>
          <w:tab w:val="left" w:pos="0"/>
        </w:tabs>
        <w:spacing w:line="360" w:lineRule="auto"/>
        <w:ind w:firstLine="1440"/>
        <w:contextualSpacing/>
      </w:pPr>
    </w:p>
    <w:p w:rsidR="002D1DB8" w:rsidRDefault="00A047EA" w:rsidP="00D63D77">
      <w:pPr>
        <w:tabs>
          <w:tab w:val="left" w:pos="0"/>
        </w:tabs>
        <w:spacing w:line="360" w:lineRule="auto"/>
        <w:ind w:firstLine="1440"/>
        <w:contextualSpacing/>
      </w:pPr>
      <w:r>
        <w:t>BI&amp;E submits that r</w:t>
      </w:r>
      <w:r w:rsidR="00D63D77" w:rsidRPr="00D63D77">
        <w:t xml:space="preserve">emoving service lines, meters, and regulator equipment from the economic model will require the Company to utilize a completely different economic model for </w:t>
      </w:r>
      <w:r>
        <w:t xml:space="preserve">Pilot </w:t>
      </w:r>
      <w:r w:rsidR="00D63D77" w:rsidRPr="00D63D77">
        <w:t xml:space="preserve">Rider NAS projects than what it currently uses for other line extensions.  </w:t>
      </w:r>
      <w:r>
        <w:t xml:space="preserve">According to BI&amp;E, the </w:t>
      </w:r>
      <w:r w:rsidR="00D63D77" w:rsidRPr="00D63D77">
        <w:t xml:space="preserve">OCA has not demonstrated why it is appropriate for the Company’s economic evaluation of </w:t>
      </w:r>
      <w:r>
        <w:t xml:space="preserve">Pilot </w:t>
      </w:r>
      <w:r w:rsidR="00D63D77" w:rsidRPr="00D63D77">
        <w:t xml:space="preserve">Rider NAS projects to be different than its non-Rider NAS projects, and thus interjects a level of discrimination in the service provided by the Company that is unfounded.  Moreover, both </w:t>
      </w:r>
      <w:r>
        <w:t>B</w:t>
      </w:r>
      <w:r w:rsidR="00D63D77" w:rsidRPr="00D63D77">
        <w:t xml:space="preserve">I&amp;E and the Company are concerned that the economic analysis for </w:t>
      </w:r>
      <w:r>
        <w:t xml:space="preserve">Pilot </w:t>
      </w:r>
      <w:r w:rsidR="00D63D77" w:rsidRPr="00D63D77">
        <w:t xml:space="preserve">Rider NAS projects will not be complete if the cost of service lines, meters and regulator equipment are excluded.  Those costs are part of the expansion project and they must be appropriately reflected.  </w:t>
      </w:r>
      <w:r w:rsidR="002D1DB8">
        <w:t xml:space="preserve">According to BI&amp;E, </w:t>
      </w:r>
      <w:r w:rsidR="00D63D77" w:rsidRPr="00D63D77">
        <w:t>Columbia correctly argues that it should not have to engage in uneconomic expansions, and that is exactly what may occur if service lines, meters, and regulator costs are not properly reflected in its economic model.</w:t>
      </w:r>
      <w:r w:rsidR="00D63D77" w:rsidRPr="00D63D77">
        <w:rPr>
          <w:rStyle w:val="FootnoteReference"/>
        </w:rPr>
        <w:footnoteReference w:id="80"/>
      </w:r>
      <w:r w:rsidR="00D63D77" w:rsidRPr="00D63D77">
        <w:t xml:space="preserve">  </w:t>
      </w:r>
      <w:r w:rsidR="002D1DB8">
        <w:t xml:space="preserve">BI&amp;E contends that the </w:t>
      </w:r>
      <w:r w:rsidR="00D63D77" w:rsidRPr="00D63D77">
        <w:t xml:space="preserve">OCA’s proposal to remove those costs from the analysis does not mean that the costs will not be incurred; it simply means that such costs will be shifted to existing customers.  </w:t>
      </w:r>
      <w:r w:rsidR="002D1DB8">
        <w:t>BI&amp;E M.B., p.</w:t>
      </w:r>
      <w:r w:rsidR="00B545C9">
        <w:t> </w:t>
      </w:r>
      <w:r w:rsidR="002D1DB8">
        <w:t>16.</w:t>
      </w:r>
    </w:p>
    <w:p w:rsidR="002D1DB8" w:rsidRDefault="002D1DB8" w:rsidP="002D1DB8">
      <w:pPr>
        <w:tabs>
          <w:tab w:val="left" w:pos="0"/>
        </w:tabs>
        <w:spacing w:line="360" w:lineRule="auto"/>
        <w:contextualSpacing/>
      </w:pPr>
    </w:p>
    <w:p w:rsidR="002D1DB8" w:rsidRDefault="002D1DB8" w:rsidP="002D1DB8">
      <w:pPr>
        <w:tabs>
          <w:tab w:val="left" w:pos="0"/>
        </w:tabs>
        <w:spacing w:line="360" w:lineRule="auto"/>
        <w:contextualSpacing/>
      </w:pPr>
      <w:r>
        <w:tab/>
      </w:r>
      <w:r w:rsidR="00BB64B2">
        <w:t>5</w:t>
      </w:r>
      <w:r>
        <w:t>.</w:t>
      </w:r>
      <w:r>
        <w:tab/>
      </w:r>
      <w:r w:rsidR="00B545C9">
        <w:rPr>
          <w:u w:val="single"/>
        </w:rPr>
        <w:t>Additional Reporting Requirements</w:t>
      </w:r>
    </w:p>
    <w:p w:rsidR="002D1DB8" w:rsidRDefault="002D1DB8" w:rsidP="002D1DB8">
      <w:pPr>
        <w:tabs>
          <w:tab w:val="left" w:pos="0"/>
        </w:tabs>
        <w:spacing w:line="360" w:lineRule="auto"/>
        <w:contextualSpacing/>
      </w:pPr>
    </w:p>
    <w:p w:rsidR="00CD7391" w:rsidRDefault="00CD7391" w:rsidP="00CD7391">
      <w:pPr>
        <w:tabs>
          <w:tab w:val="left" w:pos="0"/>
        </w:tabs>
        <w:spacing w:line="360" w:lineRule="auto"/>
        <w:ind w:firstLine="1440"/>
        <w:contextualSpacing/>
      </w:pPr>
      <w:r>
        <w:t xml:space="preserve">The </w:t>
      </w:r>
      <w:r w:rsidRPr="00CD7391">
        <w:t xml:space="preserve">OCA proposed that the Company comply with a number of annual reporting requirements during the pilot phase of </w:t>
      </w:r>
      <w:r>
        <w:t xml:space="preserve">Pilot </w:t>
      </w:r>
      <w:r w:rsidRPr="00CD7391">
        <w:t>Rider NAS.</w:t>
      </w:r>
      <w:r w:rsidRPr="00CD7391">
        <w:rPr>
          <w:rStyle w:val="FootnoteReference"/>
        </w:rPr>
        <w:footnoteReference w:id="81"/>
      </w:r>
      <w:r w:rsidRPr="00CD7391">
        <w:t xml:space="preserve">  The Company modified one of the suggested requirements but agreed to the remaining reporting requirements recommended by OCA.</w:t>
      </w:r>
      <w:r w:rsidRPr="00CD7391">
        <w:rPr>
          <w:rStyle w:val="FootnoteReference"/>
        </w:rPr>
        <w:footnoteReference w:id="82"/>
      </w:r>
      <w:r w:rsidRPr="00CD7391">
        <w:t xml:space="preserve">  </w:t>
      </w:r>
      <w:r>
        <w:t>B</w:t>
      </w:r>
      <w:r w:rsidRPr="00CD7391">
        <w:t xml:space="preserve">I&amp;E reviewed OCA’s recommendation and agreed that the requested information would be beneficial to adequately evaluate the </w:t>
      </w:r>
      <w:r>
        <w:t xml:space="preserve">Pilot </w:t>
      </w:r>
      <w:r w:rsidRPr="00CD7391">
        <w:t>Rider NAS program during the pilot phase.</w:t>
      </w:r>
      <w:r w:rsidRPr="00CD7391">
        <w:rPr>
          <w:rStyle w:val="FootnoteReference"/>
        </w:rPr>
        <w:footnoteReference w:id="83"/>
      </w:r>
      <w:r w:rsidRPr="00CD7391">
        <w:t xml:space="preserve">  Therefore, </w:t>
      </w:r>
      <w:r>
        <w:t>B</w:t>
      </w:r>
      <w:r w:rsidRPr="00CD7391">
        <w:t xml:space="preserve">I&amp;E requests that </w:t>
      </w:r>
      <w:r>
        <w:t xml:space="preserve">the </w:t>
      </w:r>
      <w:r w:rsidRPr="00CD7391">
        <w:t>OCA’s additional reporting requirements be adopted by the Commission</w:t>
      </w:r>
      <w:r>
        <w:t xml:space="preserve"> here</w:t>
      </w:r>
      <w:r w:rsidRPr="00CD7391">
        <w:t xml:space="preserve">. </w:t>
      </w:r>
      <w:r>
        <w:t xml:space="preserve"> BI&amp;E M.B.</w:t>
      </w:r>
      <w:r w:rsidR="00D67868">
        <w:t>,</w:t>
      </w:r>
      <w:r>
        <w:t xml:space="preserve"> pp. 16-17.</w:t>
      </w:r>
      <w:r w:rsidRPr="00CD7391">
        <w:t xml:space="preserve">   </w:t>
      </w:r>
    </w:p>
    <w:p w:rsidR="00232BF4" w:rsidRDefault="00232BF4" w:rsidP="00232BF4">
      <w:pPr>
        <w:tabs>
          <w:tab w:val="left" w:pos="0"/>
        </w:tabs>
        <w:spacing w:line="360" w:lineRule="auto"/>
        <w:contextualSpacing/>
      </w:pPr>
    </w:p>
    <w:p w:rsidR="00232BF4" w:rsidRDefault="00BB64B2" w:rsidP="00B545C9">
      <w:pPr>
        <w:tabs>
          <w:tab w:val="left" w:pos="0"/>
        </w:tabs>
        <w:spacing w:line="360" w:lineRule="auto"/>
        <w:contextualSpacing/>
        <w:jc w:val="center"/>
      </w:pPr>
      <w:r>
        <w:t>II</w:t>
      </w:r>
      <w:r w:rsidR="00232BF4">
        <w:t>I.</w:t>
      </w:r>
      <w:r w:rsidR="00232BF4">
        <w:tab/>
      </w:r>
      <w:r w:rsidR="00232BF4">
        <w:rPr>
          <w:u w:val="single"/>
        </w:rPr>
        <w:t>DISCUSSION</w:t>
      </w:r>
    </w:p>
    <w:p w:rsidR="00395AA4" w:rsidRDefault="00395AA4" w:rsidP="00232BF4">
      <w:pPr>
        <w:tabs>
          <w:tab w:val="left" w:pos="0"/>
        </w:tabs>
        <w:spacing w:line="360" w:lineRule="auto"/>
        <w:contextualSpacing/>
      </w:pPr>
    </w:p>
    <w:p w:rsidR="00395AA4" w:rsidRDefault="00395AA4" w:rsidP="00395AA4">
      <w:pPr>
        <w:pStyle w:val="BodyText2"/>
        <w:spacing w:line="360" w:lineRule="auto"/>
        <w:ind w:firstLine="1440"/>
        <w:jc w:val="left"/>
      </w:pPr>
      <w:r w:rsidRPr="001A3A3D">
        <w:t xml:space="preserve">Pursuant to Section 332(a) of the Public Utility Code, 66 Pa.C.S. § 332(a), Columbia has the burden of proof in this proceeding as to </w:t>
      </w:r>
      <w:r>
        <w:t>Supplement No. 210</w:t>
      </w:r>
      <w:r w:rsidRPr="001A3A3D">
        <w:t xml:space="preserve">.  The burden of proof, also known as the burden of persuasion, means a duty to establish a fact by a preponderance of the evidence.  </w:t>
      </w:r>
      <w:r w:rsidRPr="001A3A3D">
        <w:rPr>
          <w:i/>
        </w:rPr>
        <w:t>Se-Ling Hosiery</w:t>
      </w:r>
      <w:r>
        <w:rPr>
          <w:i/>
        </w:rPr>
        <w:t>, Inc.</w:t>
      </w:r>
      <w:r w:rsidRPr="001A3A3D">
        <w:rPr>
          <w:i/>
        </w:rPr>
        <w:t xml:space="preserve"> v. Margulies</w:t>
      </w:r>
      <w:r w:rsidRPr="001A3A3D">
        <w:t xml:space="preserve">, 364 Pa. 45, 70 A.2d 854 (1950).  However, a party that offers a proposal not included in the Applicant’s filing bears the burden of proof for such proposal.  </w:t>
      </w:r>
      <w:r w:rsidRPr="001A3A3D">
        <w:rPr>
          <w:i/>
        </w:rPr>
        <w:t>See, e.g.</w:t>
      </w:r>
      <w:r w:rsidRPr="001A3A3D">
        <w:t>,</w:t>
      </w:r>
      <w:r w:rsidRPr="001A3A3D">
        <w:rPr>
          <w:i/>
        </w:rPr>
        <w:t xml:space="preserve"> Pa.</w:t>
      </w:r>
      <w:r>
        <w:rPr>
          <w:i/>
        </w:rPr>
        <w:t xml:space="preserve"> </w:t>
      </w:r>
      <w:r w:rsidRPr="001A3A3D">
        <w:rPr>
          <w:i/>
        </w:rPr>
        <w:t>P</w:t>
      </w:r>
      <w:r w:rsidR="00021E21">
        <w:rPr>
          <w:i/>
        </w:rPr>
        <w:t>ub. Util. Comm’n</w:t>
      </w:r>
      <w:r w:rsidRPr="001A3A3D">
        <w:rPr>
          <w:i/>
        </w:rPr>
        <w:t xml:space="preserve"> v. Philadelphia Gas Works</w:t>
      </w:r>
      <w:r w:rsidRPr="001A3A3D">
        <w:t>, Docket No</w:t>
      </w:r>
      <w:r>
        <w:t>s</w:t>
      </w:r>
      <w:r w:rsidRPr="001A3A3D">
        <w:t>. R-00061931,</w:t>
      </w:r>
      <w:r>
        <w:t xml:space="preserve"> </w:t>
      </w:r>
      <w:r>
        <w:rPr>
          <w:i/>
        </w:rPr>
        <w:t>et al.</w:t>
      </w:r>
      <w:r>
        <w:t>,</w:t>
      </w:r>
      <w:r w:rsidRPr="001A3A3D">
        <w:t xml:space="preserve"> 200</w:t>
      </w:r>
      <w:r>
        <w:t>7 Pa. PUC</w:t>
      </w:r>
      <w:r w:rsidRPr="001A3A3D">
        <w:t xml:space="preserve"> LEXIS 45</w:t>
      </w:r>
      <w:r>
        <w:t>,</w:t>
      </w:r>
      <w:r w:rsidRPr="001A3A3D">
        <w:t xml:space="preserve"> at *165-68 (</w:t>
      </w:r>
      <w:r>
        <w:t xml:space="preserve">Order Entered </w:t>
      </w:r>
      <w:r w:rsidRPr="001A3A3D">
        <w:t xml:space="preserve">Sept. 28, 2007); </w:t>
      </w:r>
      <w:r>
        <w:rPr>
          <w:i/>
        </w:rPr>
        <w:t>Pa. P</w:t>
      </w:r>
      <w:r w:rsidR="00021E21">
        <w:rPr>
          <w:i/>
        </w:rPr>
        <w:t>ub. Util. Comm’n</w:t>
      </w:r>
      <w:r>
        <w:rPr>
          <w:i/>
        </w:rPr>
        <w:t xml:space="preserve"> v. Metro. Edison Co.</w:t>
      </w:r>
      <w:r w:rsidRPr="001A3A3D">
        <w:t>, Docket No</w:t>
      </w:r>
      <w:r>
        <w:t>s</w:t>
      </w:r>
      <w:r w:rsidRPr="001A3A3D">
        <w:t>. R-00061366,</w:t>
      </w:r>
      <w:r>
        <w:t xml:space="preserve"> </w:t>
      </w:r>
      <w:r>
        <w:rPr>
          <w:i/>
        </w:rPr>
        <w:t>et al.</w:t>
      </w:r>
      <w:r>
        <w:t>, 2007 Pa. P</w:t>
      </w:r>
      <w:r w:rsidRPr="001A3A3D">
        <w:t>U</w:t>
      </w:r>
      <w:r>
        <w:t>C</w:t>
      </w:r>
      <w:r w:rsidRPr="001A3A3D">
        <w:t xml:space="preserve"> LEXIS</w:t>
      </w:r>
      <w:r w:rsidR="00021E21">
        <w:t> </w:t>
      </w:r>
      <w:r w:rsidRPr="001A3A3D">
        <w:t>5</w:t>
      </w:r>
      <w:r>
        <w:t>,</w:t>
      </w:r>
      <w:r w:rsidRPr="001A3A3D">
        <w:t xml:space="preserve"> at *111-12 (</w:t>
      </w:r>
      <w:r>
        <w:t xml:space="preserve">Order Entered </w:t>
      </w:r>
      <w:r w:rsidRPr="001A3A3D">
        <w:t xml:space="preserve">Jan. 11, 2007).  As the proponent of a Commission order with respect to its proposal, such party bears the burden of proof as to proposals not included in the filing.  </w:t>
      </w:r>
    </w:p>
    <w:p w:rsidR="00395AA4" w:rsidRPr="001A3A3D" w:rsidRDefault="00395AA4" w:rsidP="00395AA4">
      <w:pPr>
        <w:pStyle w:val="BodyText2"/>
        <w:spacing w:line="360" w:lineRule="auto"/>
        <w:ind w:firstLine="1440"/>
        <w:jc w:val="left"/>
      </w:pPr>
    </w:p>
    <w:p w:rsidR="00395AA4" w:rsidRDefault="00395AA4" w:rsidP="00D56FA6">
      <w:pPr>
        <w:pStyle w:val="BodyText2"/>
        <w:spacing w:line="360" w:lineRule="auto"/>
        <w:ind w:firstLine="1440"/>
        <w:jc w:val="left"/>
      </w:pPr>
      <w:r>
        <w:t xml:space="preserve">In addition, any finding in this case must be supported by and based upon substantial evidence of record.  </w:t>
      </w:r>
      <w:r>
        <w:rPr>
          <w:i/>
        </w:rPr>
        <w:t>Met-Ed Indus. Users Grp. v. Pa. P</w:t>
      </w:r>
      <w:r w:rsidR="00130605">
        <w:rPr>
          <w:i/>
        </w:rPr>
        <w:t>ub. Util. Comm’n</w:t>
      </w:r>
      <w:r>
        <w:t>, 960 A.2d 189, 193 n.2 (</w:t>
      </w:r>
      <w:proofErr w:type="spellStart"/>
      <w:r>
        <w:t>Pa.Cmwlth</w:t>
      </w:r>
      <w:proofErr w:type="spellEnd"/>
      <w:r>
        <w:t xml:space="preserve">. 2008) (citing 2 Pa.C.S. § 704).  Substantial evidence is such relevant evidence as a reasonable mind might accept as adequate to support a conclusion.  </w:t>
      </w:r>
      <w:r>
        <w:rPr>
          <w:i/>
        </w:rPr>
        <w:t>Borough of E.</w:t>
      </w:r>
      <w:r w:rsidR="00130605">
        <w:rPr>
          <w:i/>
        </w:rPr>
        <w:t> </w:t>
      </w:r>
      <w:r>
        <w:rPr>
          <w:i/>
        </w:rPr>
        <w:t>McKeesport v. Special/Temporary Civil Serv. Comm’n</w:t>
      </w:r>
      <w:r>
        <w:t>, 942 A.2d 274, 281 n.9 (</w:t>
      </w:r>
      <w:proofErr w:type="spellStart"/>
      <w:r>
        <w:t>Pa.Cmwlth</w:t>
      </w:r>
      <w:proofErr w:type="spellEnd"/>
      <w:r>
        <w:t xml:space="preserve">. 2008) (citation omitted).  Substantial evidence must be “more than a scintilla and must do more than create a suspicion of the existence of the fact to be established.”  </w:t>
      </w:r>
      <w:proofErr w:type="spellStart"/>
      <w:r>
        <w:rPr>
          <w:i/>
        </w:rPr>
        <w:t>Kyu</w:t>
      </w:r>
      <w:proofErr w:type="spellEnd"/>
      <w:r>
        <w:rPr>
          <w:i/>
        </w:rPr>
        <w:t xml:space="preserve"> Son Yi v. State Bd. of Veterinary Med.</w:t>
      </w:r>
      <w:r>
        <w:t>, 960 A.2d 864, 874 (</w:t>
      </w:r>
      <w:proofErr w:type="spellStart"/>
      <w:r>
        <w:t>Pa.Cmwlth</w:t>
      </w:r>
      <w:proofErr w:type="spellEnd"/>
      <w:r>
        <w:t>. 2008) (citation omitted).</w:t>
      </w:r>
    </w:p>
    <w:p w:rsidR="00D56FA6" w:rsidRDefault="00D56FA6" w:rsidP="00D56FA6">
      <w:pPr>
        <w:pStyle w:val="BodyText2"/>
        <w:spacing w:line="360" w:lineRule="auto"/>
        <w:ind w:firstLine="1440"/>
        <w:jc w:val="left"/>
      </w:pPr>
    </w:p>
    <w:p w:rsidR="00676F82" w:rsidRDefault="00D56FA6" w:rsidP="00D56FA6">
      <w:pPr>
        <w:pStyle w:val="BodyText2"/>
        <w:spacing w:line="360" w:lineRule="auto"/>
        <w:ind w:firstLine="1440"/>
        <w:jc w:val="left"/>
      </w:pPr>
      <w:r>
        <w:t>“Every rate made, demanded, or received by any public utility, or by any two or more public utilities jointly, shall be just and reasonable, and in conformity with regulations or orders of the commission.”  66 Pa.C.S. §</w:t>
      </w:r>
      <w:r w:rsidR="001370A3">
        <w:t xml:space="preserve"> </w:t>
      </w:r>
      <w:r>
        <w:t xml:space="preserve">1301.  In addition, Section 1304 of the Public Utility Code (“the Code”), </w:t>
      </w:r>
      <w:r w:rsidR="00676F82">
        <w:t>66 Pa.C.S. §</w:t>
      </w:r>
      <w:r w:rsidR="001370A3">
        <w:t xml:space="preserve"> </w:t>
      </w:r>
      <w:r w:rsidR="00676F82">
        <w:t>1304, provides in pertinent part as follows:</w:t>
      </w:r>
    </w:p>
    <w:p w:rsidR="00D56FA6" w:rsidRPr="00395AA4" w:rsidRDefault="00676F82" w:rsidP="00676F82">
      <w:pPr>
        <w:pStyle w:val="BodyText2"/>
        <w:spacing w:line="240" w:lineRule="auto"/>
        <w:ind w:left="1440" w:right="1440" w:firstLine="0"/>
        <w:jc w:val="left"/>
      </w:pPr>
      <w:r>
        <w:t>No public utility shall, as to rates, make or grant any unreasonable preference or advantage to any person, corporation, or municipal corporation or subject any person, corporation or municipal corporation to any unreasonable prejudice or disadvantage.  No public utility shall establish or maintain any unreasonable difference as to rates, either as between localities or as between classes of service…</w:t>
      </w:r>
      <w:r w:rsidR="00D56FA6">
        <w:t xml:space="preserve">   </w:t>
      </w:r>
    </w:p>
    <w:p w:rsidR="00232BF4" w:rsidRDefault="00232BF4" w:rsidP="00232BF4">
      <w:pPr>
        <w:tabs>
          <w:tab w:val="left" w:pos="0"/>
        </w:tabs>
        <w:spacing w:line="360" w:lineRule="auto"/>
        <w:contextualSpacing/>
      </w:pPr>
    </w:p>
    <w:p w:rsidR="00232BF4" w:rsidRDefault="00A0650A" w:rsidP="00A0650A">
      <w:pPr>
        <w:tabs>
          <w:tab w:val="left" w:pos="0"/>
        </w:tabs>
        <w:spacing w:line="360" w:lineRule="auto"/>
        <w:ind w:firstLine="1440"/>
        <w:contextualSpacing/>
      </w:pPr>
      <w:r w:rsidRPr="00A0650A">
        <w:t xml:space="preserve">Columbia’s </w:t>
      </w:r>
      <w:r>
        <w:t xml:space="preserve">Pilot </w:t>
      </w:r>
      <w:r w:rsidRPr="00A0650A">
        <w:t xml:space="preserve">Rider NAS program is designed to provide an alternative to financing line extensions for customers located in unserved and underserved areas who may be unable to secure access to natural gas service due to the </w:t>
      </w:r>
      <w:r w:rsidR="00923E1E">
        <w:t>up front</w:t>
      </w:r>
      <w:r w:rsidRPr="00A0650A">
        <w:t xml:space="preserve"> customer deposit required to extend such service.  The </w:t>
      </w:r>
      <w:r>
        <w:t xml:space="preserve">Pilot </w:t>
      </w:r>
      <w:r w:rsidRPr="00A0650A">
        <w:t xml:space="preserve">Rider NAS program </w:t>
      </w:r>
      <w:r>
        <w:t xml:space="preserve">proposed by Columbia here </w:t>
      </w:r>
      <w:r w:rsidRPr="00A0650A">
        <w:t xml:space="preserve">does not change the Company’s current line extensions rules.  It simply allows potential new customers to secure gas service for a modest monthly charge over a </w:t>
      </w:r>
      <w:r w:rsidR="007C56F3">
        <w:t>20</w:t>
      </w:r>
      <w:r w:rsidRPr="00A0650A">
        <w:t xml:space="preserve">-year period rather than be required to pay the entire cash contribution </w:t>
      </w:r>
      <w:r w:rsidR="00923E1E">
        <w:t>up front</w:t>
      </w:r>
      <w:r w:rsidRPr="00A0650A">
        <w:t xml:space="preserve">. </w:t>
      </w:r>
      <w:r w:rsidR="00851F92">
        <w:t xml:space="preserve"> Both the OCA and OSBA proposed modifications to the Company’s proposal.  These proposal</w:t>
      </w:r>
      <w:r w:rsidR="00EE4A00">
        <w:t>s</w:t>
      </w:r>
      <w:r w:rsidR="00851F92">
        <w:t xml:space="preserve"> will be discussed in separate subsections to follow.  </w:t>
      </w:r>
      <w:r w:rsidRPr="00A0650A">
        <w:t xml:space="preserve"> </w:t>
      </w:r>
    </w:p>
    <w:p w:rsidR="00851F92" w:rsidRDefault="00851F92" w:rsidP="00A0650A">
      <w:pPr>
        <w:tabs>
          <w:tab w:val="left" w:pos="0"/>
        </w:tabs>
        <w:spacing w:line="360" w:lineRule="auto"/>
        <w:ind w:firstLine="1440"/>
        <w:contextualSpacing/>
      </w:pPr>
    </w:p>
    <w:p w:rsidR="00851F92" w:rsidRDefault="00851F92" w:rsidP="00851F92">
      <w:pPr>
        <w:pStyle w:val="BodyText2"/>
        <w:spacing w:line="360" w:lineRule="auto"/>
        <w:ind w:firstLine="1440"/>
        <w:jc w:val="left"/>
      </w:pPr>
      <w:r>
        <w:t xml:space="preserve">Columbia is proposing Pilot Rider NAS, a </w:t>
      </w:r>
      <w:r w:rsidR="00F323EA">
        <w:t>4</w:t>
      </w:r>
      <w:r>
        <w:t>-year pilot program, as an alternative payment option for customers requesting distribution line extensions in areas that currently do not have Columbia gas distribution facilities.  (Columbia Statement No. 1, pp. 2-3).  The Company originally proposed Pilot Rider NAS in its 2012 base rate proceeding at Docket No. R</w:t>
      </w:r>
      <w:r w:rsidR="0098314D">
        <w:noBreakHyphen/>
      </w:r>
      <w:r>
        <w:t xml:space="preserve">2012-2321748.  As part of the settlement in that proceeding, the parties agreed “to enter into an informal collaborative . . . to attempt to develop a program to extend service to new areas.”  </w:t>
      </w:r>
      <w:r>
        <w:rPr>
          <w:i/>
        </w:rPr>
        <w:t>Pa. P</w:t>
      </w:r>
      <w:r w:rsidR="0098314D">
        <w:rPr>
          <w:i/>
        </w:rPr>
        <w:t>ub. Util. Comm’n</w:t>
      </w:r>
      <w:r>
        <w:rPr>
          <w:i/>
        </w:rPr>
        <w:t xml:space="preserve"> v. Columbia Gas of Pennsylvania, Inc.</w:t>
      </w:r>
      <w:r>
        <w:t xml:space="preserve">, Docket Nos. R-2012-2321748, </w:t>
      </w:r>
      <w:r>
        <w:rPr>
          <w:i/>
        </w:rPr>
        <w:t>et</w:t>
      </w:r>
      <w:r w:rsidR="0098314D">
        <w:rPr>
          <w:i/>
        </w:rPr>
        <w:t> </w:t>
      </w:r>
      <w:r>
        <w:rPr>
          <w:i/>
        </w:rPr>
        <w:t>al.</w:t>
      </w:r>
      <w:r>
        <w:t>, p. 14</w:t>
      </w:r>
      <w:r>
        <w:rPr>
          <w:i/>
        </w:rPr>
        <w:t xml:space="preserve"> </w:t>
      </w:r>
      <w:r>
        <w:t xml:space="preserve">(Apr. 24, 2013) (Recommended Decision), </w:t>
      </w:r>
      <w:r>
        <w:rPr>
          <w:i/>
        </w:rPr>
        <w:t>adopted</w:t>
      </w:r>
      <w:r>
        <w:t xml:space="preserve"> (Order Entered May 23, 2013).  Pursuant to the settlement, the collaborative was held.  After that collaborative, Columbia filed the instant proposal.  Columbia M.B., p. 4.</w:t>
      </w:r>
    </w:p>
    <w:p w:rsidR="00851F92" w:rsidRDefault="00851F92" w:rsidP="00851F92">
      <w:pPr>
        <w:pStyle w:val="BodyText2"/>
        <w:spacing w:line="360" w:lineRule="auto"/>
        <w:ind w:firstLine="1440"/>
        <w:jc w:val="left"/>
      </w:pPr>
    </w:p>
    <w:p w:rsidR="00851F92" w:rsidRDefault="00851F92" w:rsidP="00851F92">
      <w:pPr>
        <w:pStyle w:val="BodyText2"/>
        <w:spacing w:line="360" w:lineRule="auto"/>
        <w:ind w:firstLine="1440"/>
        <w:jc w:val="left"/>
      </w:pPr>
      <w:r>
        <w:t xml:space="preserve">Columbia’s current procedure for extending facilities to new applicants begins with an economic analysis that determines whether the full investment cost of the line extension is cost-justified by the projected revenues.  (Columbia Statement No. 1, p. 2).  If the project is not cost-justified, the applicant or applicants must pay an </w:t>
      </w:r>
      <w:r w:rsidR="00AA3877">
        <w:t>up front</w:t>
      </w:r>
      <w:r>
        <w:t xml:space="preserve"> deposit to receive the distribution line extension.  (Columbia Statement No. 1, p. 2).  According to Columbia, the amount of the </w:t>
      </w:r>
      <w:r w:rsidR="00AA3877">
        <w:t>up front</w:t>
      </w:r>
      <w:r>
        <w:t xml:space="preserve"> deposit equals the present value amount of investment to extend the facilities that are in excess of the projected future revenues from the new applicant(s) over the next 40 years.  (Columbia Statement No. 1, p. 5).  This economic analysis and determination of the deposit due remains unchanged under Pilot Rider NAS.  (Columbia Statement No. 1, p. 5).  Since the lump-sum </w:t>
      </w:r>
      <w:r w:rsidR="00AA3877">
        <w:t>up front</w:t>
      </w:r>
      <w:r>
        <w:t xml:space="preserve"> deposit can often be meaningful, Columbia believes the deposit required can hinder the expansion of natural gas service to unserved and underserved portions of Columbia’s service area.  (Columbia Statement No. 1, p. 3); Columbia M.B., pp. 4-5.</w:t>
      </w:r>
    </w:p>
    <w:p w:rsidR="00851F92" w:rsidRDefault="00851F92" w:rsidP="00851F92">
      <w:pPr>
        <w:pStyle w:val="BodyText2"/>
        <w:spacing w:line="360" w:lineRule="auto"/>
        <w:ind w:firstLine="1440"/>
        <w:jc w:val="left"/>
      </w:pPr>
    </w:p>
    <w:p w:rsidR="00851F92" w:rsidRDefault="00851F92" w:rsidP="00851F92">
      <w:pPr>
        <w:pStyle w:val="BodyText2"/>
        <w:spacing w:line="360" w:lineRule="auto"/>
        <w:ind w:firstLine="1440"/>
        <w:jc w:val="left"/>
      </w:pPr>
      <w:r>
        <w:t>Columbia explains that Pilot Rider NAS aims to expand natural gas service to those areas by serving as an additional option for customers to pay the deposit for the uneconomic portion of a line extension.  Specifically, Supplement No. 210 allows all or a portion of the deposit to be paid through a monthly surcharge over a 20-year period.  (Columbia Statement No. 1, pp. 2-3).  In order to maintain a simple pilot program and control costs, only a 20-year payment term is permitted in calculating the proposed Pilot Rider NAS surcharge amount.  (Columbia Statement No. 1, p. 6; Columbia Statement No. 1-R, p. 14).  However, the Pilot Rider NAS provides that a customer may pay off the principal balance at any time.  (Columbia Statement No. 1-R, p. 14).  The monthly surcharge includes the carrying costs for the 20-year term and contains a principal amount and an interest amount.  (Columbia Statement No.</w:t>
      </w:r>
      <w:r w:rsidR="00430979">
        <w:t> </w:t>
      </w:r>
      <w:r>
        <w:t xml:space="preserve">1, pp. 5-6); Columbia M.B., p. 5. </w:t>
      </w:r>
    </w:p>
    <w:p w:rsidR="00851F92" w:rsidRDefault="00851F92" w:rsidP="00851F92">
      <w:pPr>
        <w:pStyle w:val="BodyText2"/>
        <w:spacing w:line="360" w:lineRule="auto"/>
        <w:ind w:firstLine="1440"/>
        <w:jc w:val="left"/>
      </w:pPr>
    </w:p>
    <w:p w:rsidR="00851F92" w:rsidRDefault="00851F92" w:rsidP="00851F92">
      <w:pPr>
        <w:pStyle w:val="BodyText2"/>
        <w:spacing w:line="360" w:lineRule="auto"/>
        <w:ind w:firstLine="1440"/>
        <w:jc w:val="left"/>
      </w:pPr>
      <w:r>
        <w:t xml:space="preserve">Under Pilot Rider NAS, the amount of the surcharge per meter may not exceed $35.00 per month.  (Columbia Statement No. 1, p. 11).  If the amount of the uneconomic portion of the line extension exceeds the principal amount that can be recovered through the Pilot Rider NAS surcharge, the applicant will be required to pay the difference through an </w:t>
      </w:r>
      <w:r w:rsidR="00AA3877">
        <w:t>up front</w:t>
      </w:r>
      <w:r>
        <w:t xml:space="preserve"> deposit.  (Columbia Statement No. 1, p. 11).  When a project involves more than one meter, the payment amount will be applied to all of the meters involved over the 20-year term.  (Columbia Statement No. 1, p. 5).</w:t>
      </w:r>
      <w:r>
        <w:rPr>
          <w:rStyle w:val="FootnoteReference"/>
        </w:rPr>
        <w:footnoteReference w:id="84"/>
      </w:r>
      <w:r>
        <w:t xml:space="preserve">  Also, the monthly surcharge will remain the same for 20 years or until the customer pays off the remaining balance, whichever comes first.  (Columbia Statement No. 1, p.</w:t>
      </w:r>
      <w:r w:rsidR="00B778D7">
        <w:t> </w:t>
      </w:r>
      <w:r>
        <w:t xml:space="preserve">6).  Pilot Rider NAS would give an applicant the option to pay a fixed amount up to $35.00 per month per meter for up to 20 years rather than having to pay the full deposit </w:t>
      </w:r>
      <w:r w:rsidR="00AA3877">
        <w:t>up front</w:t>
      </w:r>
      <w:r>
        <w:t xml:space="preserve"> to receive the line extension.  Columbia M.B., pp. 5-6.</w:t>
      </w:r>
    </w:p>
    <w:p w:rsidR="00851F92" w:rsidRDefault="00851F92" w:rsidP="00851F92">
      <w:pPr>
        <w:pStyle w:val="BodyText2"/>
        <w:spacing w:line="360" w:lineRule="auto"/>
        <w:ind w:firstLine="1440"/>
        <w:jc w:val="left"/>
      </w:pPr>
    </w:p>
    <w:p w:rsidR="00851F92" w:rsidRDefault="00851F92" w:rsidP="00851F92">
      <w:pPr>
        <w:pStyle w:val="BodyText2"/>
        <w:spacing w:line="360" w:lineRule="auto"/>
        <w:ind w:firstLine="1440"/>
        <w:jc w:val="left"/>
      </w:pPr>
      <w:r>
        <w:t>If more customers are added to the new Pilot Rider NAS line extensions, they would be charged the same surcharge.  (Columbia Statement No. 1, p. 8).</w:t>
      </w:r>
      <w:r>
        <w:rPr>
          <w:rStyle w:val="FootnoteReference"/>
        </w:rPr>
        <w:footnoteReference w:id="85"/>
      </w:r>
      <w:r>
        <w:t xml:space="preserve">  Although after the project is completed the surcharge amount would remain the same, the principal amount would be collected over a shorter timeframe than initially projected because more customers would be paying down the balance than anticipated.  (Columbia Statement No. 1, p. 8).  Furthermore, it is proposed that all customers included in a particular Pilot Rider NAS project will receive the surcharge on their bill; however, they do have the option to pay the balance in full with their first bill from Columbia or anytime thereafter.  (Columbia Statement No. 1, p. 8); Columbia M.B., p.</w:t>
      </w:r>
      <w:r w:rsidR="008E3FB3">
        <w:t> </w:t>
      </w:r>
      <w:r>
        <w:t xml:space="preserve">6.  </w:t>
      </w:r>
    </w:p>
    <w:p w:rsidR="00851F92" w:rsidRDefault="00851F92" w:rsidP="00851F92">
      <w:pPr>
        <w:pStyle w:val="BodyText2"/>
        <w:spacing w:line="360" w:lineRule="auto"/>
        <w:ind w:firstLine="1440"/>
        <w:jc w:val="left"/>
      </w:pPr>
    </w:p>
    <w:p w:rsidR="00851F92" w:rsidRDefault="00851F92" w:rsidP="00851F92">
      <w:pPr>
        <w:pStyle w:val="BodyText2"/>
        <w:spacing w:line="360" w:lineRule="auto"/>
        <w:ind w:firstLine="1440"/>
        <w:jc w:val="left"/>
      </w:pPr>
      <w:r>
        <w:t xml:space="preserve">The customer’s obligation to pay the monthly surcharge begins when the meter is set (Columbia Exhibit EAE-4).  Further, the obligation remains with the meter.  (Columbia Statement No. 1, p. 7).  Therefore, in the event of a change in customer, the new customer is responsible for the monthly tariffed surcharge or may pay off the remaining balance after receiving the surcharge on the bill.  (Columbia Statement No. 1, pp. 7-8).  If that new customer does not want to pay the surcharge or the balance remaining, Columbia will simply not initiate service, and the new customer will have to seek alternative service.  (Columbia Statement No. 1, p. 7).  Columbia believes these provisions increase the likelihood that Columbia will collect the monthly surcharge amounts over the 20-year term.  (Columbia Statement No. 1, p. 7).  However, in the event of nonpayment of the Pilot Rider NAS charge, Columbia will not disconnect natural gas service.  (Columbia Statement No. 1, p. 7).  Instead, Columbia will use its standard collection practices.  (Columbia Statement No. 1, p. 7); Columbia M.B., pp. 6-7.  </w:t>
      </w:r>
    </w:p>
    <w:p w:rsidR="00851F92" w:rsidRDefault="00851F92" w:rsidP="00851F92">
      <w:pPr>
        <w:pStyle w:val="BodyText2"/>
        <w:spacing w:line="360" w:lineRule="auto"/>
        <w:ind w:firstLine="1440"/>
        <w:jc w:val="left"/>
      </w:pPr>
    </w:p>
    <w:p w:rsidR="00851F92" w:rsidRDefault="00851F92" w:rsidP="00851F92">
      <w:pPr>
        <w:pStyle w:val="BodyText2"/>
        <w:spacing w:line="360" w:lineRule="auto"/>
        <w:ind w:firstLine="1440"/>
        <w:jc w:val="left"/>
      </w:pPr>
      <w:r>
        <w:t>For ratemaking purposes, when a customer chooses Pilot Rider NAS to pay for the deposit, the full cost of the line extension funded by Pilot Rider NAS initially would be placed in Columbia’s rate base.  (Columbia Statement No. 1, p. 5).  The surcharge includes a principal amount and an interest amount.  As the monthly surcharges are received, the principal amounts will be applied as a customer advance to reduce the rate base.  (Columbia Statement No.</w:t>
      </w:r>
      <w:r w:rsidR="00EE3A54">
        <w:t> </w:t>
      </w:r>
      <w:r>
        <w:t>1, p. 5).  The interest amount will be credited to the Company’s cost of service to compensate all of the existing customers for the carrying costs.  (Columbia Statement No. 1, pp.</w:t>
      </w:r>
      <w:r w:rsidR="00EE3A54">
        <w:t> </w:t>
      </w:r>
      <w:r>
        <w:t>5-6).  The interest rate used in calculating the monthly surcharge is set at Columbia’s weighted average cost of capital in its most recent base rate proceeding.</w:t>
      </w:r>
      <w:r>
        <w:rPr>
          <w:rStyle w:val="FootnoteReference"/>
        </w:rPr>
        <w:footnoteReference w:id="86"/>
      </w:r>
      <w:r>
        <w:t xml:space="preserve">  (Columbia Statement No. 1, p. 6).  Doing so will compensate existing customers for the carrying costs of the Pilot Rider NAS line extensions in rate base, thereby avoiding cost shifting from an inadequate interest rate.  (Columbia Statement No. 1-R, p. 5).  If a Pilot Rider NAS project has an unpaid balance at the end of the 20-year period, that amount remains in Columbia’s rate base.  (Columbia Statement No. 1, p.</w:t>
      </w:r>
      <w:r w:rsidR="007A59CC">
        <w:t> </w:t>
      </w:r>
      <w:r>
        <w:t>9);</w:t>
      </w:r>
      <w:r>
        <w:rPr>
          <w:rStyle w:val="FootnoteReference"/>
        </w:rPr>
        <w:footnoteReference w:id="87"/>
      </w:r>
      <w:r>
        <w:t xml:space="preserve"> Columbia M.B., p. 7.</w:t>
      </w:r>
    </w:p>
    <w:p w:rsidR="00851F92" w:rsidRDefault="00851F92" w:rsidP="00851F92">
      <w:pPr>
        <w:pStyle w:val="BodyText2"/>
        <w:spacing w:line="360" w:lineRule="auto"/>
        <w:ind w:firstLine="1440"/>
        <w:jc w:val="left"/>
      </w:pPr>
    </w:p>
    <w:p w:rsidR="00851F92" w:rsidRDefault="00851F92" w:rsidP="00851F92">
      <w:pPr>
        <w:pStyle w:val="BodyText2"/>
        <w:spacing w:line="360" w:lineRule="auto"/>
        <w:ind w:firstLine="1440"/>
        <w:jc w:val="left"/>
      </w:pPr>
      <w:r>
        <w:t xml:space="preserve">As proposed by Columbia, the Pilot Rider NAS program would be available to all residential customers and </w:t>
      </w:r>
      <w:r w:rsidRPr="00DF1CA5">
        <w:t>bona fide</w:t>
      </w:r>
      <w:r>
        <w:t xml:space="preserve"> developers of residential properties in its service territory</w:t>
      </w:r>
      <w:r w:rsidRPr="00D421FC">
        <w:t xml:space="preserve"> </w:t>
      </w:r>
      <w:r>
        <w:t xml:space="preserve">that seek natural gas service.  (Columbia Statement No. 1, p. 4).  Certain qualifications exist for a developer of residential properties to be considered a “bona fide developer” under the Pilot Rider NAS program.  (Columbia Statement No. 1, p. 4).  The developer must be building in an area where Columbia currently does not provide service and it must be building or developing a large aggregation of residential entities that ask to obtain natural gas service.  (Columbia Statement No. 1, p. 4).  Columbia will consider the following regarding developers requesting Pilot Rider NAS: </w:t>
      </w:r>
      <w:r w:rsidR="000E4076">
        <w:t xml:space="preserve"> </w:t>
      </w:r>
      <w:r>
        <w:t>(1) the number of potential customers; (2) the density of the area seeking service; (3) the potential usage; and (4) the cost of extending or expanding service.  (Columbia Statement No. 1, p. 4).  Commercial buildings, however, would be excluded from the program.  (Columbia Statement No. 1, p. 4);</w:t>
      </w:r>
      <w:r>
        <w:rPr>
          <w:rStyle w:val="FootnoteReference"/>
        </w:rPr>
        <w:footnoteReference w:id="88"/>
      </w:r>
      <w:r>
        <w:t xml:space="preserve"> Columbia M.B., pp. 7-8.</w:t>
      </w:r>
    </w:p>
    <w:p w:rsidR="00851F92" w:rsidRDefault="00851F92" w:rsidP="00851F92">
      <w:pPr>
        <w:pStyle w:val="BodyText2"/>
        <w:spacing w:line="360" w:lineRule="auto"/>
        <w:ind w:firstLine="1440"/>
        <w:jc w:val="left"/>
      </w:pPr>
    </w:p>
    <w:p w:rsidR="00851F92" w:rsidRDefault="00851F92" w:rsidP="00851F92">
      <w:pPr>
        <w:tabs>
          <w:tab w:val="left" w:pos="0"/>
        </w:tabs>
        <w:spacing w:line="360" w:lineRule="auto"/>
        <w:ind w:firstLine="1440"/>
        <w:contextualSpacing/>
      </w:pPr>
      <w:r>
        <w:t>Finally, for each calendar year of the pilot, Columbia is setting a maximum of $1</w:t>
      </w:r>
      <w:r w:rsidR="002D43C3">
        <w:t> </w:t>
      </w:r>
      <w:r>
        <w:t>million of excess amounts that can qualify for Pilot Rider NAS.  (Columbia Statement No. 1, p. 10).  According to Columbia, this enables the Company to balance the extension of new facilities with its other obligations, such as providing safe and reliable service and continuing its main replacement program as scheduled.  (Columbia Statement No. 1, p. 10).  The limit of $1</w:t>
      </w:r>
      <w:r w:rsidR="002D43C3">
        <w:t> </w:t>
      </w:r>
      <w:r>
        <w:t>million was determined by reviewing customer deposits for the last five years.  (Columbia Statement No.</w:t>
      </w:r>
      <w:r w:rsidR="002D43C3">
        <w:t> </w:t>
      </w:r>
      <w:r>
        <w:t>1, pp. 10-11).  Each year, the sum of those deposits averaged approximately $300,000.  (Columbia Statement No. 1, p. 11).  Columbia opines that, if the future Pilot Rider NAS line extensions are similar to Columbia’s other line extension projects for the past five years, Columbia will have more than three times the number of line extension projects compared to each of the past five years.  (Columbia Statement No. 1, p. 11); Columbia M.B., p. 8.</w:t>
      </w:r>
      <w:r w:rsidRPr="009C6D70">
        <w:tab/>
      </w:r>
    </w:p>
    <w:p w:rsidR="00F6590D" w:rsidRDefault="00F6590D" w:rsidP="00F6590D">
      <w:pPr>
        <w:tabs>
          <w:tab w:val="left" w:pos="0"/>
        </w:tabs>
        <w:spacing w:line="360" w:lineRule="auto"/>
        <w:contextualSpacing/>
      </w:pPr>
    </w:p>
    <w:p w:rsidR="00F6590D" w:rsidRPr="00ED20E9" w:rsidRDefault="00F6590D" w:rsidP="002D43C3">
      <w:pPr>
        <w:tabs>
          <w:tab w:val="left" w:pos="720"/>
          <w:tab w:val="left" w:pos="9360"/>
        </w:tabs>
        <w:rPr>
          <w:u w:val="single"/>
        </w:rPr>
      </w:pPr>
      <w:r>
        <w:t>A</w:t>
      </w:r>
      <w:r w:rsidR="002D43C3">
        <w:t xml:space="preserve">.       </w:t>
      </w:r>
      <w:r w:rsidR="002D43C3" w:rsidRPr="00ED20E9">
        <w:rPr>
          <w:u w:val="single"/>
        </w:rPr>
        <w:t xml:space="preserve">Lowering Interest Rate </w:t>
      </w:r>
      <w:r w:rsidR="002D43C3">
        <w:rPr>
          <w:u w:val="single"/>
        </w:rPr>
        <w:t>t</w:t>
      </w:r>
      <w:r w:rsidR="002D43C3" w:rsidRPr="00ED20E9">
        <w:rPr>
          <w:u w:val="single"/>
        </w:rPr>
        <w:t xml:space="preserve">o 3% </w:t>
      </w:r>
      <w:r w:rsidR="002D43C3">
        <w:rPr>
          <w:u w:val="single"/>
        </w:rPr>
        <w:t>f</w:t>
      </w:r>
      <w:r w:rsidR="002D43C3" w:rsidRPr="00ED20E9">
        <w:rPr>
          <w:u w:val="single"/>
        </w:rPr>
        <w:t xml:space="preserve">or Customer’s </w:t>
      </w:r>
      <w:r w:rsidR="002D43C3" w:rsidRPr="002D43C3">
        <w:rPr>
          <w:u w:val="single"/>
        </w:rPr>
        <w:t>Contribution Fin</w:t>
      </w:r>
      <w:r w:rsidR="002D43C3" w:rsidRPr="00ED20E9">
        <w:rPr>
          <w:u w:val="single"/>
        </w:rPr>
        <w:t>anced</w:t>
      </w:r>
    </w:p>
    <w:p w:rsidR="00F6590D" w:rsidRDefault="00F6590D" w:rsidP="00F6590D">
      <w:pPr>
        <w:tabs>
          <w:tab w:val="left" w:pos="0"/>
        </w:tabs>
        <w:spacing w:line="360" w:lineRule="auto"/>
        <w:contextualSpacing/>
      </w:pPr>
    </w:p>
    <w:p w:rsidR="00EB4893" w:rsidRDefault="00F6590D" w:rsidP="00EB4893">
      <w:pPr>
        <w:pStyle w:val="BodyText2"/>
        <w:spacing w:line="360" w:lineRule="auto"/>
        <w:ind w:firstLine="1440"/>
        <w:jc w:val="left"/>
      </w:pPr>
      <w:r>
        <w:t>The undersigned</w:t>
      </w:r>
      <w:r w:rsidR="00EB4893">
        <w:t xml:space="preserve"> Administrative Law Judge </w:t>
      </w:r>
      <w:r>
        <w:t xml:space="preserve">agrees with the position of Columbia and BI&amp;E regarding the OCA’s proposal to lower the interest rate </w:t>
      </w:r>
      <w:r w:rsidR="00EB4893">
        <w:t>to 3.0% for purposes of calculating the monthly surcharge.  Since rate base will earn a return at the weighted cost of capital, Columbia proposes that the Pilot Rider NAS interest be set at the same weighted cost of capital.</w:t>
      </w:r>
      <w:r w:rsidR="00EB4893">
        <w:rPr>
          <w:rStyle w:val="FootnoteReference"/>
        </w:rPr>
        <w:footnoteReference w:id="89"/>
      </w:r>
      <w:r w:rsidR="00EB4893">
        <w:t xml:space="preserve">  (Columbia Statement No. 1, p. 6; Columbia Statement No. 1-R, p. 5).  In this way, Pilot Rider NAS will sufficiently compensate existing customers for the carrying costs of the line extension.  (Columbia Statement No. 1-R, p. 5).</w:t>
      </w:r>
    </w:p>
    <w:p w:rsidR="00EB4893" w:rsidRDefault="00EB4893" w:rsidP="00EB4893">
      <w:pPr>
        <w:pStyle w:val="BodyText2"/>
        <w:spacing w:line="360" w:lineRule="auto"/>
        <w:ind w:firstLine="1440"/>
        <w:jc w:val="left"/>
      </w:pPr>
    </w:p>
    <w:p w:rsidR="00EB4893" w:rsidRDefault="00EB4893" w:rsidP="00EB4893">
      <w:pPr>
        <w:pStyle w:val="BodyText2"/>
        <w:spacing w:line="360" w:lineRule="auto"/>
        <w:ind w:firstLine="1440"/>
        <w:jc w:val="left"/>
      </w:pPr>
      <w:r>
        <w:t>While lowering the interest rate to 3% and shifting costs to existing customers may make the Pilot Rider NAS program more attractive to new customers, the pilot should test whether the program can be successful without such subsidization by existing customers.  It would be unreasonable, contrary to cost-causation principles, and unnecessarily burdensome to make existing customers subsidize line extensions to new customers.  Columbia M.B., p. 18.</w:t>
      </w:r>
    </w:p>
    <w:p w:rsidR="000F62BF" w:rsidRDefault="000F62BF" w:rsidP="00EB4893">
      <w:pPr>
        <w:pStyle w:val="BodyText2"/>
        <w:spacing w:line="360" w:lineRule="auto"/>
        <w:ind w:firstLine="1440"/>
        <w:jc w:val="left"/>
      </w:pPr>
    </w:p>
    <w:p w:rsidR="00EB4893" w:rsidRDefault="00233FB5" w:rsidP="00EB4893">
      <w:pPr>
        <w:pStyle w:val="BodyText2"/>
        <w:spacing w:line="360" w:lineRule="auto"/>
        <w:ind w:firstLine="1440"/>
        <w:jc w:val="left"/>
      </w:pPr>
      <w:r>
        <w:t>T</w:t>
      </w:r>
      <w:r w:rsidR="007A244B">
        <w:t xml:space="preserve">he </w:t>
      </w:r>
      <w:r w:rsidR="00EB4893">
        <w:t>OCA argues that its proposed 3</w:t>
      </w:r>
      <w:r w:rsidR="007A244B">
        <w:t>.0</w:t>
      </w:r>
      <w:r w:rsidR="00EB4893">
        <w:t xml:space="preserve">% interest rate is justified because home equity loans are in the range of 3.5% to 4.5%.  </w:t>
      </w:r>
      <w:r w:rsidR="007A244B">
        <w:t xml:space="preserve">The </w:t>
      </w:r>
      <w:r w:rsidR="00EB4893">
        <w:t>OCA contends that applicants will be hesitant to use Pilot Rider NAS at an interest rate greater than 3</w:t>
      </w:r>
      <w:r w:rsidR="007A244B">
        <w:t>.0</w:t>
      </w:r>
      <w:r w:rsidR="00EB4893">
        <w:t xml:space="preserve">% because they could finance the </w:t>
      </w:r>
      <w:r w:rsidR="00AA3877">
        <w:t>up front</w:t>
      </w:r>
      <w:r w:rsidR="00EB4893">
        <w:t xml:space="preserve"> deposit with a lower interest rate.  (OCA Statement No. 1, pp. 15-16).  Specifically, Mr.</w:t>
      </w:r>
      <w:r w:rsidR="009A7155">
        <w:t> </w:t>
      </w:r>
      <w:r w:rsidR="00EB4893">
        <w:t>Watkins alleges that “[g]</w:t>
      </w:r>
      <w:proofErr w:type="spellStart"/>
      <w:r w:rsidR="00EB4893">
        <w:t>iven</w:t>
      </w:r>
      <w:proofErr w:type="spellEnd"/>
      <w:r w:rsidR="00EB4893">
        <w:t xml:space="preserve"> that many, if not most, homeowners could finance the </w:t>
      </w:r>
      <w:r w:rsidR="00AA3877">
        <w:t>up front</w:t>
      </w:r>
      <w:r w:rsidR="00EB4893">
        <w:t xml:space="preserve"> contribution with a home equity loan with an effective interest rate of somewhere around 3%, it would make little sense to finance the same amount at approximately 8%.”  (OCA Statement No.</w:t>
      </w:r>
      <w:r w:rsidR="009A7155">
        <w:t> </w:t>
      </w:r>
      <w:r w:rsidR="00EB4893">
        <w:t xml:space="preserve">1, p. 16).  He also believes that “most homeowners are savvy enough” to determine the difference between the Pilot Rider NAS interest rate and a home equity loan interest rate, resulting in limited customer participation.  (OCA Statement No. 1, p. 16).  </w:t>
      </w:r>
    </w:p>
    <w:p w:rsidR="00EB4893" w:rsidRDefault="00EB4893" w:rsidP="00EB4893">
      <w:pPr>
        <w:pStyle w:val="BodyText2"/>
        <w:spacing w:line="360" w:lineRule="auto"/>
        <w:ind w:firstLine="1440"/>
        <w:jc w:val="left"/>
      </w:pPr>
    </w:p>
    <w:p w:rsidR="00EB4893" w:rsidRDefault="00EB4893" w:rsidP="00EB4893">
      <w:pPr>
        <w:pStyle w:val="BodyText2"/>
        <w:spacing w:line="360" w:lineRule="auto"/>
        <w:ind w:firstLine="1440"/>
        <w:jc w:val="left"/>
      </w:pPr>
      <w:r>
        <w:t>While Columbia does not deny that some customers do in fact finance uneconomic portions of line extensions with home equity loans, it is unfair to compare Pilot Rider NAS to a secured bank loan because Columbia is not a bank and Pilot Rider NAS is not a loan.  (Columbia Statement No. 1-R, p. 8).  Home equity loans involve credit checks, collateral, and a home appraisal, among other things, to which a Pilot Rider NAS applicant would not be subjected.  (Columbia Statement No. 1-R, p. 8).  It is inappropriate to compare an unsecured Pilot Rider NAS surcharge to a home equity loan.</w:t>
      </w:r>
      <w:r w:rsidR="00233FB5">
        <w:t xml:space="preserve">  Columbia M.B., pp. 14-15.</w:t>
      </w:r>
      <w:r>
        <w:t xml:space="preserve">  </w:t>
      </w:r>
    </w:p>
    <w:p w:rsidR="00EB4893" w:rsidRDefault="00EB4893" w:rsidP="00EB4893">
      <w:pPr>
        <w:pStyle w:val="BodyText2"/>
        <w:spacing w:line="360" w:lineRule="auto"/>
        <w:ind w:firstLine="1440"/>
        <w:jc w:val="left"/>
      </w:pPr>
    </w:p>
    <w:p w:rsidR="00EB4893" w:rsidRDefault="00233FB5" w:rsidP="00EB4893">
      <w:pPr>
        <w:pStyle w:val="BodyText2"/>
        <w:spacing w:line="360" w:lineRule="auto"/>
        <w:ind w:firstLine="1440"/>
        <w:jc w:val="left"/>
      </w:pPr>
      <w:r>
        <w:t>With regard to subsidization by existing ratepayers, Columbia is correct.  T</w:t>
      </w:r>
      <w:r w:rsidR="00EB4893">
        <w:t xml:space="preserve">he magnitude of the subsidy for each of Columbia’s over 400,000 customers should not be determinative of whether </w:t>
      </w:r>
      <w:r w:rsidR="00EB4893" w:rsidRPr="00233FB5">
        <w:t>any</w:t>
      </w:r>
      <w:r w:rsidR="00EB4893">
        <w:rPr>
          <w:i/>
        </w:rPr>
        <w:t xml:space="preserve"> </w:t>
      </w:r>
      <w:r w:rsidR="00EB4893">
        <w:t xml:space="preserve">subsidy should be provided in the pilot.  One of the purposes of the pilot should be to test whether a surcharge mechanism, which does not require shifting costs to existing customers, will encourage more applicants to request service extensions.  (Columbia Statement No. 1, p. 3). </w:t>
      </w:r>
      <w:r w:rsidR="005B438E">
        <w:t xml:space="preserve"> </w:t>
      </w:r>
      <w:r>
        <w:t xml:space="preserve">The </w:t>
      </w:r>
      <w:r w:rsidR="00EB4893">
        <w:t>OCA should not presume that Pilot Rider NAS will be unsuccessful without a subsidy from current customers.</w:t>
      </w:r>
      <w:r>
        <w:t xml:space="preserve">  Columbia M.B., p. 15.</w:t>
      </w:r>
    </w:p>
    <w:p w:rsidR="00EB4893" w:rsidRDefault="00EB4893" w:rsidP="00EB4893">
      <w:pPr>
        <w:pStyle w:val="BodyText2"/>
        <w:spacing w:line="360" w:lineRule="auto"/>
        <w:ind w:firstLine="1440"/>
        <w:jc w:val="left"/>
      </w:pPr>
    </w:p>
    <w:p w:rsidR="00EB4893" w:rsidRDefault="00233FB5" w:rsidP="00EB4893">
      <w:pPr>
        <w:pStyle w:val="BodyText2"/>
        <w:spacing w:line="360" w:lineRule="auto"/>
        <w:ind w:firstLine="1440"/>
        <w:jc w:val="left"/>
      </w:pPr>
      <w:r>
        <w:t xml:space="preserve">The </w:t>
      </w:r>
      <w:r w:rsidR="00EB4893">
        <w:t xml:space="preserve">OCA’s support for a reduced interest rate on the basis that the subsidy will be small also understates the potential consequences of </w:t>
      </w:r>
      <w:r>
        <w:t xml:space="preserve">the </w:t>
      </w:r>
      <w:r w:rsidR="00EB4893">
        <w:t xml:space="preserve">OCA’s proposal.  To begin, Pilot Rider NAS is a pilot program that can set a precedent for any future expansion of Pilot Rider NAS for Columbia, or for other </w:t>
      </w:r>
      <w:r>
        <w:t>NGDCs</w:t>
      </w:r>
      <w:r w:rsidR="00EB4893">
        <w:t xml:space="preserve"> that might adopt a similar program.  If the “test” of Pilot Rider NAS using an insufficiently compensatory interest rate is used to justify an expanded program in the future, the magnitude of the subsidy per existing customer could grow exponentially.  Moreover, commercial and industrial customers are not able to participate in Pilot Rider NAS.  However, a future program could be implemented based on Pilot Rider NAS that includes those customers.  Any future expansion of Pilot Rider NAS to these customers with potentially greater capital investments would further grow a subsidy.  </w:t>
      </w:r>
      <w:r>
        <w:t xml:space="preserve">The </w:t>
      </w:r>
      <w:r w:rsidR="00EB4893">
        <w:t>OCA’s p</w:t>
      </w:r>
      <w:r>
        <w:t>roposed interest rate that results in subsidization by existing customers</w:t>
      </w:r>
      <w:r w:rsidR="00EB4893">
        <w:t xml:space="preserve"> should not be tested in the </w:t>
      </w:r>
      <w:r>
        <w:t>Pilot Rider NAS.  Columbia M.B., pp. 15-16.</w:t>
      </w:r>
    </w:p>
    <w:p w:rsidR="00EB4893" w:rsidRDefault="00EB4893" w:rsidP="00EB4893">
      <w:pPr>
        <w:pStyle w:val="BodyText2"/>
        <w:spacing w:line="360" w:lineRule="auto"/>
        <w:ind w:firstLine="1440"/>
        <w:jc w:val="left"/>
      </w:pPr>
    </w:p>
    <w:p w:rsidR="00EB4893" w:rsidRDefault="00233FB5" w:rsidP="00EB4893">
      <w:pPr>
        <w:pStyle w:val="BodyText2"/>
        <w:spacing w:line="360" w:lineRule="auto"/>
        <w:ind w:firstLine="1440"/>
        <w:jc w:val="left"/>
      </w:pPr>
      <w:r>
        <w:t xml:space="preserve">The </w:t>
      </w:r>
      <w:r w:rsidR="00EB4893">
        <w:t xml:space="preserve">OCA alleges that cost shifting in Pilot Rider NAS is appropriate because some main extension projects will have net positive values that will reduce the cost to serve existing customers.  (OCA Statement No. 1, pp. 20-21; OCA Statement No. 1-SR, p. 4).  </w:t>
      </w:r>
      <w:r w:rsidR="004712E0">
        <w:t xml:space="preserve">No </w:t>
      </w:r>
      <w:r w:rsidR="00EB4893">
        <w:rPr>
          <w:i/>
        </w:rPr>
        <w:t xml:space="preserve"> </w:t>
      </w:r>
      <w:r w:rsidR="00EB4893">
        <w:t xml:space="preserve">Pilot Rider NAS project will provide a positive </w:t>
      </w:r>
      <w:r w:rsidR="004712E0">
        <w:t>net present value (“</w:t>
      </w:r>
      <w:r w:rsidR="00EB4893">
        <w:t>NPV</w:t>
      </w:r>
      <w:r w:rsidR="004712E0">
        <w:t>”)</w:t>
      </w:r>
      <w:r w:rsidR="00EB4893">
        <w:t xml:space="preserve">.  Pilot Rider NAS will only be used as an alternative to paying deposits for uneconomic extensions.  Furthermore, as Columbia witness Mr. Evans explains in his rebuttal testimony, the fact that occasionally main extensions produce a positive NPV is not a basis to establish main extension rules that intentionally are designed to shift costs to existing customers.  </w:t>
      </w:r>
      <w:r w:rsidR="00EB4893" w:rsidRPr="0029174E">
        <w:t>(Columbia Statement No. 1-R, p.</w:t>
      </w:r>
      <w:r w:rsidR="002507D0">
        <w:t> </w:t>
      </w:r>
      <w:r w:rsidR="00EB4893" w:rsidRPr="0029174E">
        <w:t>16).</w:t>
      </w:r>
      <w:r w:rsidR="00EB4893">
        <w:t xml:space="preserve">  No assurance exists that future projects will have a positive NPV.  (Columbia Statement No. 1-R, p. 16).  Additionally, as OCA witness Mr. Watkins observed, existing customers have paid for much of the existing backbone plant that is needed to serve the new customers.  (Columbia Statement No. 1-R, p. 16).  Pilot Rider NAS projects will provide no contribution toward that existing backbone plant.  Therefore, any positive income effect from other main extension projects helps spread the cost of remaining recovery among a broader customer base.  (Columbia Statement No. 1-R, p. 16).  This occasional contribution toward recovery of existing fixed costs should not be used as a basis for requiring a subsidy of Pilot Rider NAS projects.  Consequently, </w:t>
      </w:r>
      <w:r w:rsidR="00BA2A14">
        <w:t xml:space="preserve">the </w:t>
      </w:r>
      <w:r w:rsidR="00EB4893">
        <w:t>OCA’s argument citing positive NPV from some main extension projects is without merit.</w:t>
      </w:r>
      <w:r w:rsidR="004712E0">
        <w:t xml:space="preserve">  Columbia M.B., pp. 16-17.</w:t>
      </w:r>
    </w:p>
    <w:p w:rsidR="009171F8" w:rsidRDefault="009171F8" w:rsidP="00EB4893">
      <w:pPr>
        <w:pStyle w:val="BodyText2"/>
        <w:spacing w:line="360" w:lineRule="auto"/>
        <w:ind w:firstLine="1440"/>
        <w:jc w:val="left"/>
      </w:pPr>
    </w:p>
    <w:p w:rsidR="00EB4893" w:rsidRDefault="004712E0" w:rsidP="00EB4893">
      <w:pPr>
        <w:pStyle w:val="BodyText2"/>
        <w:spacing w:line="360" w:lineRule="auto"/>
        <w:ind w:firstLine="1440"/>
        <w:jc w:val="left"/>
      </w:pPr>
      <w:r>
        <w:t xml:space="preserve">The </w:t>
      </w:r>
      <w:r w:rsidR="00EB4893">
        <w:t>OCA contends that the broader costs and benefits of expanding natural gas service should be considered.  (OCA Statement No. 1, pp. 5-6).  In support, Mr. Watkins states that “[i]n the last several years,” he “ha[s] been involved in numerous cases in which broader costs and benefits have also been considered,” citing five instances in New Jersey, Arizona, Virginia, and Delaware.  (OCA Statement No. 1, pp. 5-6).  Pennsylvania gas utilities should neither be forced to engage in uneconomic expansions that shift costs to existing customers nor abandon historic practices that require applicants to pay the cost to extend facilities.  (Columbia Statement No. 1-R, p. 3).  Such an approach contradicts the manner in which Pennsylvania NGDCs have conducted line extensions for decades.</w:t>
      </w:r>
      <w:r>
        <w:t xml:space="preserve">  Columbia M.B., p. 17.</w:t>
      </w:r>
    </w:p>
    <w:p w:rsidR="004712E0" w:rsidRDefault="004712E0" w:rsidP="00EB4893">
      <w:pPr>
        <w:pStyle w:val="BodyText2"/>
        <w:spacing w:line="360" w:lineRule="auto"/>
        <w:ind w:firstLine="1440"/>
        <w:jc w:val="left"/>
      </w:pPr>
    </w:p>
    <w:p w:rsidR="004712E0" w:rsidRDefault="004712E0" w:rsidP="004712E0">
      <w:pPr>
        <w:pStyle w:val="BodyText2"/>
        <w:spacing w:line="360" w:lineRule="auto"/>
        <w:ind w:firstLine="1440"/>
        <w:jc w:val="left"/>
      </w:pPr>
      <w:r>
        <w:t>Pilot Rider NAS customers will pay the same return that they will pay in utility rates on the utility investment.  The interest is then provided as a credit in rate cases to compensate existing customers for the uneconomic share of the investment.  (Columbia M.B., p.</w:t>
      </w:r>
      <w:r w:rsidR="00613681">
        <w:t> </w:t>
      </w:r>
      <w:r>
        <w:t>13).  Under the traditional economic model used to determine customer contributions, which Mr. Watkins admitted is “appropriate” and “an industry standard” (Tr. 31), Columbia accounts for the necessary return on the capital investment to determine whether the line extension is an economic investment or not.  (OCA Statement No. 1, p. 12).  To do so, Columbia uses the weighted average cost of capital.  (OCA Statement No. 1, p. 12).  Therefore, setting the interest rate at the weighted average cost of capital is appropriate and not excessive because it equals the return customers would have paid in rates for an economic plant investment.  Columbia R.B., p.</w:t>
      </w:r>
      <w:r w:rsidR="00E41C7F">
        <w:t> </w:t>
      </w:r>
      <w:r>
        <w:t xml:space="preserve">9. </w:t>
      </w:r>
    </w:p>
    <w:p w:rsidR="004712E0" w:rsidRDefault="004712E0" w:rsidP="004712E0">
      <w:pPr>
        <w:pStyle w:val="BodyText2"/>
        <w:spacing w:line="360" w:lineRule="auto"/>
        <w:ind w:firstLine="0"/>
        <w:jc w:val="left"/>
      </w:pPr>
    </w:p>
    <w:p w:rsidR="004712E0" w:rsidRDefault="004712E0" w:rsidP="006F07B5">
      <w:pPr>
        <w:pStyle w:val="BodyText2"/>
        <w:spacing w:line="360" w:lineRule="auto"/>
        <w:ind w:firstLine="0"/>
        <w:jc w:val="left"/>
      </w:pPr>
      <w:r>
        <w:t>B.</w:t>
      </w:r>
      <w:r>
        <w:tab/>
      </w:r>
      <w:r w:rsidR="00E41C7F">
        <w:rPr>
          <w:u w:val="single"/>
        </w:rPr>
        <w:t>Economic Model</w:t>
      </w:r>
    </w:p>
    <w:p w:rsidR="004712E0" w:rsidRDefault="004712E0" w:rsidP="004712E0">
      <w:pPr>
        <w:pStyle w:val="BodyText2"/>
        <w:spacing w:line="360" w:lineRule="auto"/>
        <w:jc w:val="left"/>
      </w:pPr>
    </w:p>
    <w:p w:rsidR="002E284C" w:rsidRDefault="002E284C" w:rsidP="002E284C">
      <w:pPr>
        <w:tabs>
          <w:tab w:val="left" w:pos="0"/>
        </w:tabs>
        <w:spacing w:line="360" w:lineRule="auto"/>
        <w:ind w:firstLine="1440"/>
        <w:contextualSpacing/>
      </w:pPr>
      <w:r w:rsidRPr="004939F3">
        <w:t xml:space="preserve">Columbia’s </w:t>
      </w:r>
      <w:r>
        <w:t xml:space="preserve">Pilot </w:t>
      </w:r>
      <w:r w:rsidRPr="004939F3">
        <w:t>Rider NAS program is not designed to change Columbia’s existing line extension process.</w:t>
      </w:r>
      <w:r w:rsidRPr="004939F3">
        <w:rPr>
          <w:rStyle w:val="FootnoteReference"/>
        </w:rPr>
        <w:footnoteReference w:id="90"/>
      </w:r>
      <w:r w:rsidRPr="004939F3">
        <w:t xml:space="preserve">  </w:t>
      </w:r>
      <w:r>
        <w:t xml:space="preserve">Pilot </w:t>
      </w:r>
      <w:r w:rsidRPr="004939F3">
        <w:t xml:space="preserve">Rider NAS is offered as an alternative to help customers pay their required contribution, but the Company’s economic evaluation of line extensions will not be changed under the Company’s proposed program.  However, </w:t>
      </w:r>
      <w:r>
        <w:t xml:space="preserve">the </w:t>
      </w:r>
      <w:r w:rsidRPr="004939F3">
        <w:t xml:space="preserve">OCA has proposed wholesale changes to the Company’s current economic model by reducing the equity cost rate and removing service lines, meters, and regulating equipment costs from the </w:t>
      </w:r>
      <w:r>
        <w:t xml:space="preserve">economic </w:t>
      </w:r>
      <w:r w:rsidRPr="004939F3">
        <w:t xml:space="preserve">evaluation.  </w:t>
      </w:r>
      <w:r>
        <w:t>I</w:t>
      </w:r>
      <w:r w:rsidRPr="004939F3">
        <w:t>t would be impractical to have two different economic evaluations</w:t>
      </w:r>
      <w:r>
        <w:t xml:space="preserve"> for Pilot Rider NAS customers and customers who elect to pay an </w:t>
      </w:r>
      <w:r w:rsidR="00AA3877">
        <w:t>up front</w:t>
      </w:r>
      <w:r>
        <w:t xml:space="preserve"> deposit to extend service</w:t>
      </w:r>
      <w:r w:rsidRPr="004939F3">
        <w:t>.</w:t>
      </w:r>
      <w:r w:rsidRPr="004939F3">
        <w:rPr>
          <w:rStyle w:val="FootnoteReference"/>
        </w:rPr>
        <w:footnoteReference w:id="91"/>
      </w:r>
      <w:r w:rsidRPr="004939F3">
        <w:t xml:space="preserve">  </w:t>
      </w:r>
      <w:r>
        <w:t>H</w:t>
      </w:r>
      <w:r w:rsidRPr="004939F3">
        <w:t xml:space="preserve">aving two different economic evaluations for the same service establishes an unreasonable service distinction.  </w:t>
      </w:r>
      <w:r>
        <w:t>T</w:t>
      </w:r>
      <w:r w:rsidRPr="004939F3">
        <w:t xml:space="preserve">his is especially true in light of the fact that the OCA’s recommended changes to the Company’s economic model will shift costs from potential new </w:t>
      </w:r>
      <w:r>
        <w:t xml:space="preserve">Pilot </w:t>
      </w:r>
      <w:r w:rsidRPr="004939F3">
        <w:t>Rider NAS customers to existing customers.</w:t>
      </w:r>
      <w:r>
        <w:t xml:space="preserve">  BI&amp;E M.B., pp. 10-11.</w:t>
      </w:r>
      <w:r w:rsidRPr="004939F3">
        <w:t xml:space="preserve">     </w:t>
      </w:r>
    </w:p>
    <w:p w:rsidR="002E284C" w:rsidRDefault="002E284C" w:rsidP="002E284C">
      <w:pPr>
        <w:tabs>
          <w:tab w:val="left" w:pos="0"/>
        </w:tabs>
        <w:spacing w:line="360" w:lineRule="auto"/>
        <w:ind w:firstLine="1440"/>
        <w:contextualSpacing/>
      </w:pPr>
    </w:p>
    <w:p w:rsidR="002E284C" w:rsidRDefault="002E284C" w:rsidP="002E284C">
      <w:pPr>
        <w:tabs>
          <w:tab w:val="left" w:pos="-1440"/>
          <w:tab w:val="left" w:pos="-720"/>
          <w:tab w:val="left" w:pos="1051"/>
          <w:tab w:val="left" w:pos="1752"/>
        </w:tabs>
        <w:suppressAutoHyphens/>
        <w:spacing w:line="360" w:lineRule="auto"/>
        <w:ind w:firstLine="1440"/>
        <w:rPr>
          <w:snapToGrid w:val="0"/>
        </w:rPr>
      </w:pPr>
      <w:r>
        <w:rPr>
          <w:snapToGrid w:val="0"/>
        </w:rPr>
        <w:t>T</w:t>
      </w:r>
      <w:r w:rsidRPr="00982F7A">
        <w:rPr>
          <w:snapToGrid w:val="0"/>
        </w:rPr>
        <w:t xml:space="preserve">his </w:t>
      </w:r>
      <w:r>
        <w:rPr>
          <w:snapToGrid w:val="0"/>
        </w:rPr>
        <w:t xml:space="preserve">proceeding </w:t>
      </w:r>
      <w:r w:rsidRPr="00982F7A">
        <w:rPr>
          <w:snapToGrid w:val="0"/>
        </w:rPr>
        <w:t xml:space="preserve">is not the appropriate venue for evaluating substantive changes to the Company’s economic evaluation.   </w:t>
      </w:r>
      <w:r>
        <w:rPr>
          <w:snapToGrid w:val="0"/>
        </w:rPr>
        <w:t>E</w:t>
      </w:r>
      <w:r w:rsidRPr="007116AB">
        <w:rPr>
          <w:snapToGrid w:val="0"/>
        </w:rPr>
        <w:t xml:space="preserve">conomic models related to customer contributions involve a variety of debatable assumptions, some of which may be relatively favorable to protecting existing customers and some of which may be favorable to new customers.  </w:t>
      </w:r>
      <w:r>
        <w:rPr>
          <w:snapToGrid w:val="0"/>
        </w:rPr>
        <w:t xml:space="preserve">OSBA M.B., p. 11.  </w:t>
      </w:r>
      <w:r w:rsidR="0092645E">
        <w:rPr>
          <w:snapToGrid w:val="0"/>
        </w:rPr>
        <w:t>T</w:t>
      </w:r>
      <w:r w:rsidR="0092645E" w:rsidRPr="00E46221">
        <w:t>his is not the appropriate forum for a major review of Commission policy on customer contributions.  While there may be merit in such a review, the issue is important enough to warrant a generic proceeding.  </w:t>
      </w:r>
      <w:r>
        <w:rPr>
          <w:snapToGrid w:val="0"/>
        </w:rPr>
        <w:t>The undersigned Administrative Law Judge concludes and recommends that the OCA’s proposed modifications to Columbia’s economic model (</w:t>
      </w:r>
      <w:r>
        <w:t>replace the cost of equity in the model with</w:t>
      </w:r>
      <w:r w:rsidR="005F3DFD">
        <w:t xml:space="preserve"> cost of</w:t>
      </w:r>
      <w:r>
        <w:t xml:space="preserve"> debt; and remove investment of service lines, meters, and regulatory equipment from the model)</w:t>
      </w:r>
      <w:r w:rsidR="0092645E">
        <w:t xml:space="preserve"> be rejected.  </w:t>
      </w:r>
      <w:r>
        <w:t>(OCA Statement No. 1, pp.</w:t>
      </w:r>
      <w:r w:rsidR="00FC50F2">
        <w:t> </w:t>
      </w:r>
      <w:r>
        <w:t>13</w:t>
      </w:r>
      <w:r w:rsidR="00AF163C">
        <w:noBreakHyphen/>
      </w:r>
      <w:r>
        <w:t xml:space="preserve">16, 18). </w:t>
      </w:r>
      <w:r>
        <w:rPr>
          <w:snapToGrid w:val="0"/>
        </w:rPr>
        <w:t xml:space="preserve"> </w:t>
      </w:r>
    </w:p>
    <w:p w:rsidR="00D777BC" w:rsidRDefault="00D777BC" w:rsidP="00D777BC">
      <w:pPr>
        <w:tabs>
          <w:tab w:val="left" w:pos="-1440"/>
          <w:tab w:val="left" w:pos="-720"/>
          <w:tab w:val="left" w:pos="1051"/>
          <w:tab w:val="left" w:pos="1752"/>
        </w:tabs>
        <w:suppressAutoHyphens/>
        <w:spacing w:line="360" w:lineRule="auto"/>
        <w:rPr>
          <w:snapToGrid w:val="0"/>
        </w:rPr>
      </w:pPr>
    </w:p>
    <w:p w:rsidR="00D777BC" w:rsidRDefault="00D777BC" w:rsidP="00FF214E">
      <w:pPr>
        <w:tabs>
          <w:tab w:val="left" w:pos="720"/>
          <w:tab w:val="left" w:pos="9360"/>
        </w:tabs>
        <w:spacing w:line="360" w:lineRule="auto"/>
        <w:ind w:firstLine="720"/>
      </w:pPr>
      <w:r>
        <w:t xml:space="preserve">1.        </w:t>
      </w:r>
      <w:r w:rsidR="00FC50F2">
        <w:rPr>
          <w:u w:val="single"/>
        </w:rPr>
        <w:t>Cost of Debt as Surrogate for Return on Equity</w:t>
      </w:r>
    </w:p>
    <w:p w:rsidR="00D777BC" w:rsidRDefault="00D777BC" w:rsidP="00D777BC">
      <w:pPr>
        <w:tabs>
          <w:tab w:val="left" w:pos="-1440"/>
          <w:tab w:val="left" w:pos="-720"/>
          <w:tab w:val="left" w:pos="1051"/>
          <w:tab w:val="left" w:pos="1752"/>
        </w:tabs>
        <w:suppressAutoHyphens/>
        <w:spacing w:line="360" w:lineRule="auto"/>
        <w:rPr>
          <w:snapToGrid w:val="0"/>
        </w:rPr>
      </w:pPr>
    </w:p>
    <w:p w:rsidR="00D777BC" w:rsidRDefault="00D777BC" w:rsidP="00D777BC">
      <w:pPr>
        <w:pStyle w:val="BodyText2"/>
        <w:spacing w:line="360" w:lineRule="auto"/>
        <w:ind w:firstLine="1440"/>
        <w:jc w:val="left"/>
      </w:pPr>
      <w:r>
        <w:t>The OCA’s first proposed change to the DCF model would replace the cost of equity for Pilot Rider NAS projects with the Company’s weighted cost of long-term and short-term debt.  (OCA Statement No. 1, p. 18).  Using the cost of debt instead of the equity return is unreasonable because it will understate the capital cost of a main extension and thereby overstate the justified investment.  Pilot Rider NAS line extensions are capital investments.  Therefore, the return on those capital investments should be reflected in the model accordingly by using a weighted cost of capital that includes equity return and the weighted cost of debt, rather than just a debt cost rate.  Columbia M.B., pp. 20-21.</w:t>
      </w:r>
    </w:p>
    <w:p w:rsidR="00D777BC" w:rsidRDefault="00D777BC" w:rsidP="00D777BC">
      <w:pPr>
        <w:pStyle w:val="BodyText2"/>
        <w:spacing w:line="360" w:lineRule="auto"/>
        <w:ind w:firstLine="1440"/>
        <w:jc w:val="left"/>
      </w:pPr>
    </w:p>
    <w:p w:rsidR="00B57C9A" w:rsidRDefault="00D777BC" w:rsidP="00D777BC">
      <w:pPr>
        <w:pStyle w:val="BodyText2"/>
        <w:spacing w:line="360" w:lineRule="auto"/>
        <w:ind w:firstLine="1440"/>
        <w:jc w:val="left"/>
      </w:pPr>
      <w:r>
        <w:t xml:space="preserve">Using two different economic models, one of which produces a lower required deposit, would shift costs to existing customers.  Columbia witness Evans notes in his rebuttal testimony that “using Columbia’s cost of debt in place of its cost of capital . . . would have the effect of lowering the deposit due from customers without any increase in revenue to compensate.”  (Columbia Statement No. 1-R, p. 15).  Costs will be shifted to existing customers if the deposit amount does not properly reflect the Company’s capital investment in the Pilot Rider NAS line extensions.  The OCA admits that by requiring the cost of debt to be used in place of the cost of equity for Pilot Rider NAS, costs would be shifted to existing customers.  (OCA Statement No. 1, p. 20).  </w:t>
      </w:r>
      <w:r w:rsidR="0087072A">
        <w:t>E</w:t>
      </w:r>
      <w:r>
        <w:t>stablishing a separate economic model for Pilot Rider NAS that replaces the equity return component with the weighted cost of debt is unreasonable because it shifts costs to existing customers in a pilot program</w:t>
      </w:r>
      <w:r w:rsidR="0087072A">
        <w:t xml:space="preserve"> without first establishing that doing so is necessary to achieve the goals of the program</w:t>
      </w:r>
      <w:r>
        <w:t>.</w:t>
      </w:r>
      <w:r w:rsidR="0087072A">
        <w:t xml:space="preserve">  Columbia M.B., p. 21.</w:t>
      </w:r>
    </w:p>
    <w:p w:rsidR="00D777BC" w:rsidRDefault="00D777BC" w:rsidP="00D777BC">
      <w:pPr>
        <w:pStyle w:val="BodyText2"/>
        <w:spacing w:line="360" w:lineRule="auto"/>
        <w:ind w:firstLine="1440"/>
        <w:jc w:val="left"/>
      </w:pPr>
    </w:p>
    <w:p w:rsidR="00D777BC" w:rsidRDefault="00D777BC" w:rsidP="00D777BC">
      <w:pPr>
        <w:pStyle w:val="BodyText2"/>
        <w:spacing w:line="360" w:lineRule="auto"/>
        <w:ind w:firstLine="1440"/>
        <w:jc w:val="left"/>
      </w:pPr>
      <w:r>
        <w:t xml:space="preserve">The cost of equity is properly used within </w:t>
      </w:r>
      <w:r w:rsidR="0087072A">
        <w:t>Columbia</w:t>
      </w:r>
      <w:r>
        <w:t xml:space="preserve"> DCF model because Pilot Rider NAS line extensions are capital investments.  To ensure that the Company obtains a proper return on its investment, the model should continue to use the cost of equity.  Requiring the Company to do otherwise would force it to engage in uneconomic expansions of its facilities.  Columbia would invest its capital in line extensions without accurately projecting the return it should receive on that investment.  The result would be to understate the costs of the project.  By replacing the equity return component with the weighted cost of debt, </w:t>
      </w:r>
      <w:r w:rsidR="0087072A">
        <w:t xml:space="preserve">the </w:t>
      </w:r>
      <w:r>
        <w:t xml:space="preserve">OCA’s proposal disrupts the balance of the DCF model for Pilot Rider NAS line extensions.  </w:t>
      </w:r>
      <w:r w:rsidR="0087072A">
        <w:t>T</w:t>
      </w:r>
      <w:r>
        <w:t xml:space="preserve">his results in the shifting of costs to existing customers.  Columbia’s DCF model should accordingly reflect the Company’s approved equity return, not the weighted cost of debt.  Thus, </w:t>
      </w:r>
      <w:r w:rsidR="00AE5355">
        <w:t>the undersigned A</w:t>
      </w:r>
      <w:r w:rsidR="0087072A">
        <w:t xml:space="preserve">dministrative Law Judge recommends that </w:t>
      </w:r>
      <w:r w:rsidR="00AE5355">
        <w:t xml:space="preserve">the </w:t>
      </w:r>
      <w:r>
        <w:t xml:space="preserve">OCA’s proposal </w:t>
      </w:r>
      <w:r w:rsidR="0087072A">
        <w:t xml:space="preserve">to use the weighted cost of debt in the economic model </w:t>
      </w:r>
      <w:r>
        <w:t>should be rejected.</w:t>
      </w:r>
      <w:r w:rsidR="0087072A">
        <w:t xml:space="preserve">  Columbia M.B., pp. 21-22.</w:t>
      </w:r>
    </w:p>
    <w:p w:rsidR="0053488F" w:rsidRDefault="0053488F" w:rsidP="00AE5355">
      <w:pPr>
        <w:pStyle w:val="BodyText2"/>
        <w:spacing w:line="360" w:lineRule="auto"/>
        <w:ind w:firstLine="0"/>
        <w:jc w:val="left"/>
      </w:pPr>
    </w:p>
    <w:p w:rsidR="00AE5355" w:rsidRDefault="00AE5355" w:rsidP="003771FC">
      <w:pPr>
        <w:pStyle w:val="ListParagraph"/>
        <w:ind w:left="1440" w:hanging="720"/>
        <w:rPr>
          <w:sz w:val="24"/>
          <w:szCs w:val="24"/>
        </w:rPr>
      </w:pPr>
      <w:r>
        <w:rPr>
          <w:sz w:val="24"/>
          <w:szCs w:val="24"/>
        </w:rPr>
        <w:t>2.</w:t>
      </w:r>
      <w:r>
        <w:rPr>
          <w:sz w:val="24"/>
          <w:szCs w:val="24"/>
        </w:rPr>
        <w:tab/>
      </w:r>
      <w:r w:rsidR="0053488F">
        <w:rPr>
          <w:sz w:val="24"/>
          <w:szCs w:val="24"/>
          <w:u w:val="single"/>
        </w:rPr>
        <w:t>Cost of Service Lines, Meters and Regulating Equipment</w:t>
      </w:r>
    </w:p>
    <w:p w:rsidR="00AE5355" w:rsidRDefault="00AE5355" w:rsidP="00AE5355">
      <w:pPr>
        <w:pStyle w:val="BodyText2"/>
        <w:spacing w:line="360" w:lineRule="auto"/>
        <w:ind w:firstLine="0"/>
        <w:jc w:val="left"/>
      </w:pPr>
    </w:p>
    <w:p w:rsidR="002D352E" w:rsidRDefault="002D352E" w:rsidP="002D352E">
      <w:pPr>
        <w:pStyle w:val="BodyText2"/>
        <w:spacing w:line="360" w:lineRule="auto"/>
        <w:ind w:firstLine="1440"/>
        <w:jc w:val="left"/>
      </w:pPr>
      <w:r>
        <w:t xml:space="preserve">The OCA proposes to remove the costs of service lines, meters, and regulating equipment from Columbia’s DCF model for Pilot Rider NAS projects.  (OCA Statement No. 1, pp. 13-16, 18).  The undersigned Administrative Law Judge concludes and recommends that this proposed modification should be rejected.  </w:t>
      </w:r>
    </w:p>
    <w:p w:rsidR="00D56D38" w:rsidRDefault="00D56D38" w:rsidP="002D352E">
      <w:pPr>
        <w:pStyle w:val="BodyText2"/>
        <w:spacing w:line="360" w:lineRule="auto"/>
        <w:ind w:firstLine="1440"/>
        <w:jc w:val="left"/>
      </w:pPr>
    </w:p>
    <w:p w:rsidR="002D352E" w:rsidRDefault="002D352E" w:rsidP="002D352E">
      <w:pPr>
        <w:pStyle w:val="BodyText2"/>
        <w:spacing w:line="360" w:lineRule="auto"/>
        <w:ind w:firstLine="1440"/>
        <w:jc w:val="left"/>
      </w:pPr>
      <w:r>
        <w:t xml:space="preserve">The OCA’s proposal would shift, on a dollar for dollar basis, the cost of service lines, meter, and regulating equipment from Pilot Rider NAS applicants to existing customers.  Such proposed shift is without limitation of any degree.  For example, </w:t>
      </w:r>
      <w:r w:rsidR="006161EE">
        <w:t xml:space="preserve">the </w:t>
      </w:r>
      <w:r>
        <w:t>OCA proposes that “[f]or any NAS project, the projected capital costs of all service lines . . . shall be excluded from the DCF model.”  (OCA Statement No. 1, p. 18).  Excluding the capital costs of all service lines could lead to extreme results.  Mr. Evans has provided the following example:</w:t>
      </w:r>
      <w:r w:rsidR="00092FEC">
        <w:t xml:space="preserve"> </w:t>
      </w:r>
      <w:r>
        <w:t xml:space="preserve"> “[I]f service to a new customer requires the installation of a 1,000 foot service line on the applicant’s property, Mr. Watkins would want Columbia to exclude the costs of that service line from the DCF model.”  (Columbia Statement No. 1-R, p. 13).  (Columbia Statement No. 1-R, pp. 13-14); Columbia M.B., p. 22.</w:t>
      </w:r>
    </w:p>
    <w:p w:rsidR="002D352E" w:rsidRDefault="002D352E" w:rsidP="002D352E">
      <w:pPr>
        <w:pStyle w:val="BodyText2"/>
        <w:spacing w:line="360" w:lineRule="auto"/>
        <w:ind w:firstLine="1440"/>
        <w:jc w:val="left"/>
      </w:pPr>
    </w:p>
    <w:p w:rsidR="002D352E" w:rsidRDefault="002D352E" w:rsidP="002D352E">
      <w:pPr>
        <w:pStyle w:val="BodyText2"/>
        <w:spacing w:line="360" w:lineRule="auto"/>
        <w:ind w:firstLine="1440"/>
        <w:jc w:val="left"/>
      </w:pPr>
      <w:r>
        <w:t xml:space="preserve">Similarly, excluding the costs of the meter and regulating equipment would shift those costs to existing customers.  Mr. Watkins admitted that the meter and regulating equipment are necessary to extend and provide service to a new customer.  (Tr. 27). </w:t>
      </w:r>
      <w:r w:rsidR="00092FEC">
        <w:t xml:space="preserve"> </w:t>
      </w:r>
      <w:r>
        <w:t>As explained by Mr.</w:t>
      </w:r>
      <w:r w:rsidR="003D1F42">
        <w:t> </w:t>
      </w:r>
      <w:r>
        <w:t>Evans in his rebuttal testimony, “The costs of the meter and regulation equipment are properly included in Columbia’s economic model because they are costs the Company will incur to expand its service infrastructure.”  (Columbia Statement No. 1-R, p. 6); Columbia M.B., pp.</w:t>
      </w:r>
      <w:r w:rsidR="003D1F42">
        <w:t> </w:t>
      </w:r>
      <w:r>
        <w:t xml:space="preserve">22-23.  </w:t>
      </w:r>
    </w:p>
    <w:p w:rsidR="002D352E" w:rsidRDefault="002D352E" w:rsidP="002D352E">
      <w:pPr>
        <w:pStyle w:val="BodyText2"/>
        <w:spacing w:line="360" w:lineRule="auto"/>
        <w:ind w:firstLine="1440"/>
        <w:jc w:val="left"/>
      </w:pPr>
    </w:p>
    <w:p w:rsidR="002D352E" w:rsidRDefault="002D352E" w:rsidP="002D352E">
      <w:pPr>
        <w:pStyle w:val="BodyText2"/>
        <w:spacing w:line="360" w:lineRule="auto"/>
        <w:ind w:firstLine="1440"/>
        <w:jc w:val="left"/>
      </w:pPr>
      <w:r>
        <w:t>An accurate economic model for line extensions properly reflects all of the costs required to extend and provide service to new customers.  Service lines, meters, and regulating equipment are necessary to extend and provide service to a new customer.  Therefore, costs of the service line, meters, and regulating equipment are and should continue to be properly reflected in Columbia’s economic model.  Columbia M.B., p. 23.</w:t>
      </w:r>
    </w:p>
    <w:p w:rsidR="002D352E" w:rsidRDefault="002D352E" w:rsidP="002D352E">
      <w:pPr>
        <w:pStyle w:val="BodyText2"/>
        <w:spacing w:line="360" w:lineRule="auto"/>
        <w:ind w:firstLine="1440"/>
        <w:jc w:val="left"/>
      </w:pPr>
    </w:p>
    <w:p w:rsidR="002D352E" w:rsidRDefault="002D352E" w:rsidP="002D352E">
      <w:pPr>
        <w:pStyle w:val="BodyText2"/>
        <w:spacing w:line="360" w:lineRule="auto"/>
        <w:ind w:firstLine="1440"/>
        <w:jc w:val="left"/>
      </w:pPr>
      <w:r>
        <w:t xml:space="preserve">The OCA contends, with respect to meter and regulating equipment investment, that Columbia’s DCF model does not comport with the Commission’s regulations.  (OCA Statement No. 1, pp. 14-15).  OCA cites 52 Pa.Code § 59.17(a), which states that “a public utility shall provide and install at its own expense and shall continue to own, maintain and operate equipment necessary for the regulation and measurement of gas furnished to its customers.”  (OCA Statement No. 1, pp. 14-15).  However, contrary to the assertions of the OCA, Columbia’s DCF model comports with the Commission’s regulations. </w:t>
      </w:r>
      <w:r w:rsidR="00F25F75">
        <w:t xml:space="preserve"> </w:t>
      </w:r>
      <w:r>
        <w:t>Section 59.17(a) is intended to prevent situations where customers install and own meters.  It is not intended to prohibit utilities from accounting for the cost of meters and regulating equipment in their economic analysis for line extensions.  As observed by Mr. Evans in his rebuttal testimony, “Removal of the meter and regulation equipment cost from the model would understate the cost to serve the customer.”  (Columbia Statement No. 1-R, p. 6).  Since Columbia’s rates include the cost of meters and regulating equipment, “[r]</w:t>
      </w:r>
      <w:proofErr w:type="spellStart"/>
      <w:r>
        <w:t>emoving</w:t>
      </w:r>
      <w:proofErr w:type="spellEnd"/>
      <w:r>
        <w:t xml:space="preserve"> those costs would cause that equation to become unbalanced” and should only be done “if the goal is to have existing customers subsidize new customers.”  (Columbia Statement No. 1-R, pp. 6-7).  Shifting costs of new customers’ line extensions to existing customers is inequitable and inappropriate for a pilot.  It forces existing customers to subsidize extending service to new customers while enabling those new customers to obtain substantial savings from receiving natural gas service.  Columbia M.B., pp. 23-24.</w:t>
      </w:r>
    </w:p>
    <w:p w:rsidR="002D352E" w:rsidRDefault="002D352E" w:rsidP="002D352E">
      <w:pPr>
        <w:pStyle w:val="BodyText2"/>
        <w:spacing w:line="360" w:lineRule="auto"/>
        <w:ind w:firstLine="1440"/>
        <w:jc w:val="left"/>
      </w:pPr>
    </w:p>
    <w:p w:rsidR="00AC70E2" w:rsidRDefault="002D352E" w:rsidP="00E74CFC">
      <w:pPr>
        <w:tabs>
          <w:tab w:val="left" w:pos="0"/>
        </w:tabs>
        <w:spacing w:line="360" w:lineRule="auto"/>
        <w:ind w:firstLine="1440"/>
        <w:contextualSpacing/>
        <w:rPr>
          <w:iCs/>
        </w:rPr>
      </w:pPr>
      <w:r w:rsidRPr="00D63D77">
        <w:t>Section 1501 of the Public Utility Code,</w:t>
      </w:r>
      <w:r>
        <w:t xml:space="preserve"> 66 Pa.C.S. §</w:t>
      </w:r>
      <w:r w:rsidR="00DC1EF0">
        <w:t xml:space="preserve"> </w:t>
      </w:r>
      <w:r>
        <w:t xml:space="preserve">1501, </w:t>
      </w:r>
      <w:r w:rsidRPr="00D63D77">
        <w:t>does not require utilities to extend service to all customers in their service territory, but only requires such extensions under reasonable conditions subject to the regulations and orders of the Commission.</w:t>
      </w:r>
      <w:r w:rsidRPr="00D63D77">
        <w:rPr>
          <w:rStyle w:val="FootnoteReference"/>
        </w:rPr>
        <w:footnoteReference w:id="92"/>
      </w:r>
      <w:r w:rsidR="00E74CFC">
        <w:t xml:space="preserve">  </w:t>
      </w:r>
      <w:r w:rsidRPr="00D63D77">
        <w:t xml:space="preserve">Columbia should not be required to engage in uneconomic expansions.  </w:t>
      </w:r>
      <w:r w:rsidR="00E74CFC">
        <w:t>T</w:t>
      </w:r>
      <w:r w:rsidRPr="00D63D77">
        <w:t>he Company correctly states that the “goal of the program is not to engage in uneconomic expansions; therefore, all proper costs of the expansions should be considered.”</w:t>
      </w:r>
      <w:r w:rsidRPr="00D63D77">
        <w:rPr>
          <w:rStyle w:val="FootnoteReference"/>
        </w:rPr>
        <w:footnoteReference w:id="93"/>
      </w:r>
      <w:r w:rsidRPr="00D63D77">
        <w:t xml:space="preserve">  Commission regulations require gas utilities to include a rule in its tariff setting forth the conditions under which facilities will be extended and allow gas utilities</w:t>
      </w:r>
      <w:r w:rsidRPr="00D63D77">
        <w:rPr>
          <w:iCs/>
        </w:rPr>
        <w:t xml:space="preserve"> to, upon proper cause </w:t>
      </w:r>
    </w:p>
    <w:p w:rsidR="002D352E" w:rsidRDefault="002D352E" w:rsidP="00AC70E2">
      <w:pPr>
        <w:tabs>
          <w:tab w:val="left" w:pos="0"/>
        </w:tabs>
        <w:spacing w:line="360" w:lineRule="auto"/>
        <w:contextualSpacing/>
      </w:pPr>
      <w:r w:rsidRPr="00D63D77">
        <w:rPr>
          <w:iCs/>
        </w:rPr>
        <w:t>shown, refuse or condition the acceptance of a particular application of extension of facilities</w:t>
      </w:r>
      <w:r w:rsidRPr="00D63D77">
        <w:t>.</w:t>
      </w:r>
      <w:r w:rsidRPr="00D63D77">
        <w:rPr>
          <w:rStyle w:val="FootnoteReference"/>
        </w:rPr>
        <w:footnoteReference w:id="94"/>
      </w:r>
      <w:r w:rsidRPr="00D63D77">
        <w:t xml:space="preserve">  Columbia’s Tariff Rule 8 complies with this regulatory mandate and requires residential applicants to provide a cash deposit equal to difference between the minimum capital investment required to serve the applicant and the amount of capital the Company can justify investing in the project.</w:t>
      </w:r>
      <w:r w:rsidRPr="00D63D77">
        <w:rPr>
          <w:rStyle w:val="FootnoteReference"/>
        </w:rPr>
        <w:footnoteReference w:id="95"/>
      </w:r>
      <w:r w:rsidRPr="00D63D77">
        <w:t xml:space="preserve">  </w:t>
      </w:r>
      <w:r w:rsidR="00E74CFC">
        <w:t>T</w:t>
      </w:r>
      <w:r w:rsidRPr="00D63D77">
        <w:t xml:space="preserve">he economic analysis for </w:t>
      </w:r>
      <w:r>
        <w:t xml:space="preserve">Pilot </w:t>
      </w:r>
      <w:r w:rsidRPr="00D63D77">
        <w:t>Rider NAS projects will not be complete if the cost of service lines, meters, and regulator equipment are excluded from the evaluation</w:t>
      </w:r>
      <w:r>
        <w:t xml:space="preserve">.  </w:t>
      </w:r>
      <w:r w:rsidR="00E74CFC">
        <w:t>T</w:t>
      </w:r>
      <w:r w:rsidRPr="00D63D77">
        <w:t xml:space="preserve">he OCA’s </w:t>
      </w:r>
      <w:r w:rsidR="00E74CFC">
        <w:t>proposal</w:t>
      </w:r>
      <w:r w:rsidRPr="00D63D77">
        <w:t xml:space="preserve"> will significantly understate the investment required from the </w:t>
      </w:r>
      <w:r>
        <w:t xml:space="preserve">Pilot </w:t>
      </w:r>
      <w:r w:rsidRPr="00D63D77">
        <w:t>Rider NAS customer.</w:t>
      </w:r>
      <w:r>
        <w:t xml:space="preserve">  BI&amp;E M.B.</w:t>
      </w:r>
      <w:r w:rsidR="007709C8">
        <w:t>,</w:t>
      </w:r>
      <w:r>
        <w:t xml:space="preserve"> pp.13-14.</w:t>
      </w:r>
    </w:p>
    <w:p w:rsidR="002D352E" w:rsidRDefault="002D352E" w:rsidP="002D352E">
      <w:pPr>
        <w:pStyle w:val="BodyText2"/>
        <w:spacing w:line="360" w:lineRule="auto"/>
        <w:ind w:firstLine="1440"/>
        <w:jc w:val="left"/>
      </w:pPr>
    </w:p>
    <w:p w:rsidR="002D352E" w:rsidRDefault="002D352E" w:rsidP="002D352E">
      <w:pPr>
        <w:pStyle w:val="BodyText2"/>
        <w:spacing w:line="360" w:lineRule="auto"/>
        <w:ind w:firstLine="1440"/>
        <w:jc w:val="left"/>
      </w:pPr>
      <w:r>
        <w:t xml:space="preserve">In addition, </w:t>
      </w:r>
      <w:r w:rsidR="00E74CFC">
        <w:t xml:space="preserve">the </w:t>
      </w:r>
      <w:r>
        <w:t xml:space="preserve">OCA’s proposal fails to account for the fact that Columbia’s customer charge, which covers these costs, is sufficient on its own to justify a meter and average service line without a customer contribution.  (Columbia Statement No. 1-R, p. 7).  For instance, the Company’s current customer charge is $16.75 and produces an NPV over 40 years of $2,018.  (Columbia Statement No. 1-R, p. 7).  In 2013, the average cost of a residential service line was $1,689.  (Columbia Exhibit EAE-2).  Using </w:t>
      </w:r>
      <w:r w:rsidR="00E74CFC">
        <w:t xml:space="preserve">the </w:t>
      </w:r>
      <w:r>
        <w:t>OCA’s example that a residential meter and regulating equipment cost $200, the total cost of an average residential service line, meter, and regulating equipment is $1,889.  (OCA Statement No. 1, p. 15; Columbia Statement No. 1-R, p.</w:t>
      </w:r>
      <w:r w:rsidR="00F024C0">
        <w:t> </w:t>
      </w:r>
      <w:r>
        <w:t xml:space="preserve">7).  As a result, the NPV over 40 years of the customer charge ($2,018) exceeds the cost of the service line, meter, and regulating equipment ($1,889).  </w:t>
      </w:r>
      <w:r w:rsidR="00E74CFC">
        <w:t>T</w:t>
      </w:r>
      <w:r>
        <w:t>he Company’s customer charge alone justifies the investment in the service line, meter, and regulating equipment.  (Columbia Statement No. 1-R, p. 7).  Thus, Columbia’s DCF model covers those costs without charging the customer and complies with 52 Pa.Code § 59.17(a)</w:t>
      </w:r>
      <w:r w:rsidR="00E74CFC">
        <w:t xml:space="preserve"> and 66 Pa.C.S. §</w:t>
      </w:r>
      <w:r w:rsidR="008939E0">
        <w:t xml:space="preserve"> </w:t>
      </w:r>
      <w:r w:rsidR="00E74CFC">
        <w:t>1501</w:t>
      </w:r>
      <w:r>
        <w:t>.  (Columbia Statement No. 1-R, p. 7)</w:t>
      </w:r>
      <w:r w:rsidR="00E74CFC">
        <w:t>; Columbia M.B., p. 24.</w:t>
      </w:r>
    </w:p>
    <w:p w:rsidR="00AC70E2" w:rsidRDefault="00AC70E2" w:rsidP="00AD467E">
      <w:pPr>
        <w:pStyle w:val="NormalWeb"/>
        <w:spacing w:before="0" w:beforeAutospacing="0" w:after="0" w:afterAutospacing="0" w:line="360" w:lineRule="auto"/>
        <w:ind w:firstLine="720"/>
      </w:pPr>
    </w:p>
    <w:p w:rsidR="00E74CFC" w:rsidRDefault="00E74CFC" w:rsidP="00032E97">
      <w:pPr>
        <w:pStyle w:val="NormalWeb"/>
        <w:spacing w:before="0" w:beforeAutospacing="0" w:after="0" w:afterAutospacing="0" w:line="360" w:lineRule="auto"/>
      </w:pPr>
      <w:r>
        <w:t>C.</w:t>
      </w:r>
      <w:r>
        <w:tab/>
      </w:r>
      <w:r w:rsidR="000F014A" w:rsidRPr="00D065F2">
        <w:rPr>
          <w:u w:val="single"/>
        </w:rPr>
        <w:t>Additional Reporting Requirements</w:t>
      </w:r>
    </w:p>
    <w:p w:rsidR="00E74CFC" w:rsidRDefault="00E74CFC" w:rsidP="00E74CFC">
      <w:pPr>
        <w:pStyle w:val="NormalWeb"/>
        <w:spacing w:before="0" w:beforeAutospacing="0" w:after="0" w:afterAutospacing="0" w:line="360" w:lineRule="auto"/>
      </w:pPr>
    </w:p>
    <w:p w:rsidR="001707CB" w:rsidRDefault="00E74CFC" w:rsidP="00E74CFC">
      <w:pPr>
        <w:tabs>
          <w:tab w:val="left" w:pos="720"/>
        </w:tabs>
        <w:spacing w:line="360" w:lineRule="auto"/>
        <w:ind w:firstLine="1440"/>
      </w:pPr>
      <w:r>
        <w:t>In his Direct Testimony, OCA witness Watkins noted that Columbia did not propose any reporting requirements relating to the Pilot Rider NAS program.  (</w:t>
      </w:r>
      <w:r w:rsidRPr="00135390">
        <w:rPr>
          <w:i/>
        </w:rPr>
        <w:t>See</w:t>
      </w:r>
      <w:r>
        <w:t xml:space="preserve"> OCA </w:t>
      </w:r>
    </w:p>
    <w:p w:rsidR="00BE49FB" w:rsidRDefault="00E74CFC" w:rsidP="001707CB">
      <w:pPr>
        <w:tabs>
          <w:tab w:val="left" w:pos="720"/>
        </w:tabs>
        <w:spacing w:line="360" w:lineRule="auto"/>
      </w:pPr>
      <w:r>
        <w:t>Statement No. 1, p. 17).  Mr. Watkins recommended that Columbia be required to report annually to the Commission, the OCA and BI&amp;E the following:</w:t>
      </w:r>
    </w:p>
    <w:p w:rsidR="00BE49FB" w:rsidRDefault="00BE49FB" w:rsidP="00844351">
      <w:pPr>
        <w:tabs>
          <w:tab w:val="left" w:pos="720"/>
        </w:tabs>
        <w:ind w:firstLine="1440"/>
      </w:pPr>
    </w:p>
    <w:p w:rsidR="00E74CFC" w:rsidRPr="00BE49FB" w:rsidRDefault="00E74CFC" w:rsidP="001707CB">
      <w:pPr>
        <w:numPr>
          <w:ilvl w:val="0"/>
          <w:numId w:val="35"/>
        </w:numPr>
        <w:tabs>
          <w:tab w:val="left" w:pos="720"/>
        </w:tabs>
        <w:ind w:left="2880" w:right="1440" w:hanging="720"/>
      </w:pPr>
      <w:r w:rsidRPr="00BE49FB">
        <w:t>investment per project including the economic model  results and surcharge calculation details;</w:t>
      </w:r>
    </w:p>
    <w:p w:rsidR="00E74CFC" w:rsidRPr="00BE49FB" w:rsidRDefault="00E74CFC" w:rsidP="00790155">
      <w:pPr>
        <w:tabs>
          <w:tab w:val="left" w:pos="720"/>
        </w:tabs>
        <w:ind w:left="1440" w:right="1440"/>
      </w:pPr>
    </w:p>
    <w:p w:rsidR="00E74CFC" w:rsidRPr="00BE49FB" w:rsidRDefault="00E74CFC" w:rsidP="00790155">
      <w:pPr>
        <w:numPr>
          <w:ilvl w:val="0"/>
          <w:numId w:val="35"/>
        </w:numPr>
        <w:tabs>
          <w:tab w:val="left" w:pos="720"/>
        </w:tabs>
        <w:ind w:right="1440" w:firstLine="0"/>
      </w:pPr>
      <w:r w:rsidRPr="00BE49FB">
        <w:t>total distance of NAS main installed;</w:t>
      </w:r>
    </w:p>
    <w:p w:rsidR="00E74CFC" w:rsidRPr="00BE49FB" w:rsidRDefault="00E74CFC" w:rsidP="00790155">
      <w:pPr>
        <w:tabs>
          <w:tab w:val="left" w:pos="720"/>
        </w:tabs>
        <w:ind w:left="1440" w:right="1440"/>
      </w:pPr>
    </w:p>
    <w:p w:rsidR="00E74CFC" w:rsidRPr="00BE49FB" w:rsidRDefault="00E74CFC" w:rsidP="00790155">
      <w:pPr>
        <w:pStyle w:val="ListParagraph"/>
        <w:numPr>
          <w:ilvl w:val="0"/>
          <w:numId w:val="35"/>
        </w:numPr>
        <w:tabs>
          <w:tab w:val="left" w:pos="720"/>
        </w:tabs>
        <w:ind w:left="2880" w:right="1440" w:hanging="720"/>
        <w:rPr>
          <w:sz w:val="24"/>
          <w:szCs w:val="24"/>
        </w:rPr>
      </w:pPr>
      <w:r w:rsidRPr="00BE49FB">
        <w:rPr>
          <w:sz w:val="24"/>
          <w:szCs w:val="24"/>
        </w:rPr>
        <w:t>number of customers connected by project and number of subsequent connections to NAS extensions;</w:t>
      </w:r>
    </w:p>
    <w:p w:rsidR="00E74CFC" w:rsidRPr="00BE49FB" w:rsidRDefault="00E74CFC" w:rsidP="00790155">
      <w:pPr>
        <w:tabs>
          <w:tab w:val="left" w:pos="720"/>
        </w:tabs>
        <w:ind w:left="1440" w:right="1440"/>
      </w:pPr>
    </w:p>
    <w:p w:rsidR="00E74CFC" w:rsidRPr="00BE49FB" w:rsidRDefault="00E74CFC" w:rsidP="00790155">
      <w:pPr>
        <w:pStyle w:val="ListParagraph"/>
        <w:numPr>
          <w:ilvl w:val="0"/>
          <w:numId w:val="35"/>
        </w:numPr>
        <w:tabs>
          <w:tab w:val="left" w:pos="720"/>
        </w:tabs>
        <w:ind w:right="1440" w:firstLine="0"/>
        <w:rPr>
          <w:sz w:val="24"/>
          <w:szCs w:val="24"/>
        </w:rPr>
      </w:pPr>
      <w:r w:rsidRPr="00BE49FB">
        <w:rPr>
          <w:sz w:val="24"/>
          <w:szCs w:val="24"/>
        </w:rPr>
        <w:t>NAS revenues received by principal and interest;</w:t>
      </w:r>
    </w:p>
    <w:p w:rsidR="00E74CFC" w:rsidRPr="00BE49FB" w:rsidRDefault="00E74CFC" w:rsidP="00790155">
      <w:pPr>
        <w:tabs>
          <w:tab w:val="left" w:pos="720"/>
        </w:tabs>
        <w:ind w:left="1440" w:right="1440"/>
      </w:pPr>
    </w:p>
    <w:p w:rsidR="00E74CFC" w:rsidRPr="00BE49FB" w:rsidRDefault="00E74CFC" w:rsidP="00790155">
      <w:pPr>
        <w:numPr>
          <w:ilvl w:val="0"/>
          <w:numId w:val="35"/>
        </w:numPr>
        <w:tabs>
          <w:tab w:val="left" w:pos="720"/>
        </w:tabs>
        <w:ind w:left="2880" w:right="1440" w:hanging="720"/>
      </w:pPr>
      <w:r w:rsidRPr="00BE49FB">
        <w:t>annual NAS participant average use per customer (by residential and commercial sectors if applicable);</w:t>
      </w:r>
    </w:p>
    <w:p w:rsidR="00E74CFC" w:rsidRPr="00BE49FB" w:rsidRDefault="00E74CFC" w:rsidP="00790155">
      <w:pPr>
        <w:tabs>
          <w:tab w:val="left" w:pos="720"/>
        </w:tabs>
        <w:ind w:left="1440" w:right="1440"/>
      </w:pPr>
    </w:p>
    <w:p w:rsidR="00E74CFC" w:rsidRPr="00BE49FB" w:rsidRDefault="00E74CFC" w:rsidP="00790155">
      <w:pPr>
        <w:numPr>
          <w:ilvl w:val="0"/>
          <w:numId w:val="35"/>
        </w:numPr>
        <w:tabs>
          <w:tab w:val="left" w:pos="720"/>
        </w:tabs>
        <w:ind w:left="2880" w:right="1440" w:hanging="720"/>
      </w:pPr>
      <w:r w:rsidRPr="00BE49FB">
        <w:t xml:space="preserve">average NAS participant investment cost per customer (by residential and commercial sectors if applicable); </w:t>
      </w:r>
    </w:p>
    <w:p w:rsidR="00E74CFC" w:rsidRPr="00BE49FB" w:rsidRDefault="00E74CFC" w:rsidP="00790155">
      <w:pPr>
        <w:tabs>
          <w:tab w:val="left" w:pos="720"/>
        </w:tabs>
        <w:ind w:left="1440" w:right="1440"/>
      </w:pPr>
    </w:p>
    <w:p w:rsidR="00E74CFC" w:rsidRPr="00BE49FB" w:rsidRDefault="00E74CFC" w:rsidP="00790155">
      <w:pPr>
        <w:pStyle w:val="ListParagraph"/>
        <w:numPr>
          <w:ilvl w:val="0"/>
          <w:numId w:val="35"/>
        </w:numPr>
        <w:tabs>
          <w:tab w:val="left" w:pos="720"/>
        </w:tabs>
        <w:ind w:left="2880" w:right="1440" w:hanging="720"/>
        <w:rPr>
          <w:sz w:val="24"/>
          <w:szCs w:val="24"/>
        </w:rPr>
      </w:pPr>
      <w:r w:rsidRPr="00BE49FB">
        <w:rPr>
          <w:sz w:val="24"/>
          <w:szCs w:val="24"/>
        </w:rPr>
        <w:t>the number of customers along NAS extensions who have not yet connected and, to the extent available, why;</w:t>
      </w:r>
    </w:p>
    <w:p w:rsidR="00E74CFC" w:rsidRPr="00BE49FB" w:rsidRDefault="00E74CFC" w:rsidP="00790155">
      <w:pPr>
        <w:tabs>
          <w:tab w:val="left" w:pos="720"/>
        </w:tabs>
        <w:ind w:left="1440" w:right="1440"/>
      </w:pPr>
    </w:p>
    <w:p w:rsidR="00E74CFC" w:rsidRPr="00BE49FB" w:rsidRDefault="00E74CFC" w:rsidP="00790155">
      <w:pPr>
        <w:pStyle w:val="ListParagraph"/>
        <w:numPr>
          <w:ilvl w:val="0"/>
          <w:numId w:val="35"/>
        </w:numPr>
        <w:tabs>
          <w:tab w:val="left" w:pos="720"/>
        </w:tabs>
        <w:ind w:right="1440" w:firstLine="0"/>
        <w:rPr>
          <w:sz w:val="24"/>
          <w:szCs w:val="24"/>
        </w:rPr>
      </w:pPr>
      <w:r w:rsidRPr="00BE49FB">
        <w:rPr>
          <w:sz w:val="24"/>
          <w:szCs w:val="24"/>
        </w:rPr>
        <w:t>direct program expenses;</w:t>
      </w:r>
    </w:p>
    <w:p w:rsidR="00E74CFC" w:rsidRPr="00BE49FB" w:rsidRDefault="00E74CFC" w:rsidP="00790155">
      <w:pPr>
        <w:tabs>
          <w:tab w:val="left" w:pos="720"/>
        </w:tabs>
        <w:ind w:left="1440" w:right="1440"/>
      </w:pPr>
    </w:p>
    <w:p w:rsidR="00E74CFC" w:rsidRPr="00BE49FB" w:rsidRDefault="00E74CFC" w:rsidP="00790155">
      <w:pPr>
        <w:numPr>
          <w:ilvl w:val="0"/>
          <w:numId w:val="35"/>
        </w:numPr>
        <w:tabs>
          <w:tab w:val="left" w:pos="720"/>
        </w:tabs>
        <w:ind w:left="2880" w:right="1440" w:hanging="720"/>
      </w:pPr>
      <w:r w:rsidRPr="00BE49FB">
        <w:t>data on collections, including efforts for unpaid surcharge amounts; and,</w:t>
      </w:r>
    </w:p>
    <w:p w:rsidR="00E74CFC" w:rsidRPr="00BE49FB" w:rsidRDefault="00E74CFC" w:rsidP="00790155">
      <w:pPr>
        <w:tabs>
          <w:tab w:val="left" w:pos="720"/>
        </w:tabs>
        <w:ind w:left="1440" w:right="1440"/>
      </w:pPr>
    </w:p>
    <w:p w:rsidR="00E74CFC" w:rsidRPr="00BE49FB" w:rsidRDefault="00E74CFC" w:rsidP="00790155">
      <w:pPr>
        <w:numPr>
          <w:ilvl w:val="0"/>
          <w:numId w:val="35"/>
        </w:numPr>
        <w:tabs>
          <w:tab w:val="left" w:pos="720"/>
        </w:tabs>
        <w:ind w:left="2880" w:right="1440" w:hanging="720"/>
      </w:pPr>
      <w:r w:rsidRPr="00BE49FB">
        <w:t>the number of applicants turned down for insufficient credit.</w:t>
      </w:r>
    </w:p>
    <w:p w:rsidR="00E74CFC" w:rsidRPr="00BE49FB" w:rsidRDefault="00E74CFC" w:rsidP="00AA594D">
      <w:pPr>
        <w:tabs>
          <w:tab w:val="left" w:pos="0"/>
        </w:tabs>
        <w:spacing w:line="360" w:lineRule="auto"/>
        <w:ind w:right="-90"/>
        <w:jc w:val="both"/>
      </w:pPr>
    </w:p>
    <w:p w:rsidR="00E74CFC" w:rsidRDefault="00E74CFC" w:rsidP="00E74CFC">
      <w:pPr>
        <w:tabs>
          <w:tab w:val="left" w:pos="0"/>
        </w:tabs>
        <w:spacing w:line="360" w:lineRule="auto"/>
      </w:pPr>
      <w:r>
        <w:t>(</w:t>
      </w:r>
      <w:r w:rsidRPr="00135390">
        <w:rPr>
          <w:i/>
        </w:rPr>
        <w:t xml:space="preserve">See </w:t>
      </w:r>
      <w:r>
        <w:t xml:space="preserve">OCA Statement No. 1, pp. 18-19).  In her Rebuttal Testimony, BI&amp;E witness Boyd supported OCA witness Watkins’ recommended reporting requirements. </w:t>
      </w:r>
      <w:r w:rsidR="00790155">
        <w:t xml:space="preserve"> </w:t>
      </w:r>
      <w:r>
        <w:t>(BI&amp;E Statement No.</w:t>
      </w:r>
      <w:r w:rsidR="00AA594D">
        <w:t> </w:t>
      </w:r>
      <w:r>
        <w:t xml:space="preserve">1-R, p. 20); OCA M.B., p. 23.  </w:t>
      </w:r>
    </w:p>
    <w:p w:rsidR="00E74CFC" w:rsidRDefault="00E74CFC" w:rsidP="00E74CFC">
      <w:pPr>
        <w:tabs>
          <w:tab w:val="left" w:pos="0"/>
        </w:tabs>
        <w:spacing w:line="360" w:lineRule="auto"/>
      </w:pPr>
    </w:p>
    <w:p w:rsidR="00FC145D" w:rsidRDefault="00E74CFC" w:rsidP="00E74CFC">
      <w:pPr>
        <w:tabs>
          <w:tab w:val="left" w:pos="0"/>
        </w:tabs>
        <w:spacing w:line="360" w:lineRule="auto"/>
        <w:ind w:firstLine="1440"/>
      </w:pPr>
      <w:r>
        <w:t>In his Rebuttal Testimony, Columbia witness Evans stated that the Company agrees with OCA witness Watkins’ recommended annual</w:t>
      </w:r>
      <w:r w:rsidR="00FC145D">
        <w:t xml:space="preserve"> reporting requirements except for</w:t>
      </w:r>
      <w:r w:rsidR="009B3B1E">
        <w:t xml:space="preserve"> the </w:t>
      </w:r>
      <w:r w:rsidR="00FC145D">
        <w:t>following requirement:</w:t>
      </w:r>
    </w:p>
    <w:p w:rsidR="00FC145D" w:rsidRPr="00F325B1" w:rsidRDefault="00FC145D" w:rsidP="00F325B1">
      <w:pPr>
        <w:pStyle w:val="ListParagraph"/>
        <w:numPr>
          <w:ilvl w:val="0"/>
          <w:numId w:val="36"/>
        </w:numPr>
        <w:ind w:left="2880" w:right="1440" w:hanging="720"/>
        <w:rPr>
          <w:sz w:val="24"/>
          <w:szCs w:val="24"/>
        </w:rPr>
      </w:pPr>
      <w:r w:rsidRPr="00F325B1">
        <w:rPr>
          <w:sz w:val="24"/>
          <w:szCs w:val="24"/>
        </w:rPr>
        <w:t>the number of customers along NAS extensions who have not yet connected and, to the extent available, why?</w:t>
      </w:r>
    </w:p>
    <w:p w:rsidR="00604953" w:rsidRPr="00BE49FB" w:rsidRDefault="00604953" w:rsidP="00604953">
      <w:pPr>
        <w:pStyle w:val="ListParagraph"/>
        <w:tabs>
          <w:tab w:val="left" w:pos="720"/>
        </w:tabs>
        <w:spacing w:line="360" w:lineRule="auto"/>
        <w:ind w:left="2160" w:right="1440"/>
        <w:rPr>
          <w:sz w:val="24"/>
          <w:szCs w:val="24"/>
        </w:rPr>
      </w:pPr>
    </w:p>
    <w:p w:rsidR="00E74CFC" w:rsidRDefault="00E74CFC" w:rsidP="00FC145D">
      <w:pPr>
        <w:tabs>
          <w:tab w:val="left" w:pos="0"/>
        </w:tabs>
        <w:spacing w:line="360" w:lineRule="auto"/>
      </w:pPr>
      <w:r>
        <w:t>(Columbia Statement No. 1-R, p. 10).  Mr. Evans testified that in order for Columbia to provide th</w:t>
      </w:r>
      <w:r w:rsidR="00FC145D">
        <w:t>is</w:t>
      </w:r>
      <w:r>
        <w:t xml:space="preserve"> information</w:t>
      </w:r>
      <w:r w:rsidR="00FC145D">
        <w:t xml:space="preserve">, </w:t>
      </w:r>
      <w:r>
        <w:t xml:space="preserve">the Company would have to survey each potential customer along the proposed extension and determine why the potential customers were not connecting to the extension, which “would pose additional cost and effort for little reason.”  </w:t>
      </w:r>
      <w:r w:rsidRPr="006704B2">
        <w:rPr>
          <w:i/>
        </w:rPr>
        <w:t>Id</w:t>
      </w:r>
      <w:r>
        <w:t xml:space="preserve">. at 11.  Also, Mr. Evans testified that it could be difficult to determine who the potential customers along an extension are.  </w:t>
      </w:r>
      <w:r w:rsidRPr="006704B2">
        <w:rPr>
          <w:i/>
        </w:rPr>
        <w:t>Id</w:t>
      </w:r>
      <w:r>
        <w:t xml:space="preserve">.  As a replacement for </w:t>
      </w:r>
      <w:r w:rsidR="00FC145D">
        <w:t>this requested information</w:t>
      </w:r>
      <w:r>
        <w:t xml:space="preserve">, Mr. Evans stated that Columbia would agree to identify the number of projects evaluated for Pilot Rider NAS service that did not elect to go forward under Pilot Rider NAS.  </w:t>
      </w:r>
      <w:r w:rsidRPr="006704B2">
        <w:rPr>
          <w:i/>
        </w:rPr>
        <w:t>Id</w:t>
      </w:r>
      <w:r>
        <w:t xml:space="preserve">; OCA M.B., pp. 23-24.  </w:t>
      </w:r>
    </w:p>
    <w:p w:rsidR="0011213F" w:rsidRDefault="0011213F" w:rsidP="00FC145D">
      <w:pPr>
        <w:tabs>
          <w:tab w:val="left" w:pos="0"/>
        </w:tabs>
        <w:spacing w:line="360" w:lineRule="auto"/>
      </w:pPr>
    </w:p>
    <w:p w:rsidR="0011213F" w:rsidRDefault="0011213F" w:rsidP="00FC145D">
      <w:pPr>
        <w:tabs>
          <w:tab w:val="left" w:pos="0"/>
        </w:tabs>
        <w:spacing w:line="360" w:lineRule="auto"/>
      </w:pPr>
      <w:r>
        <w:tab/>
      </w:r>
      <w:r>
        <w:tab/>
        <w:t>The undersigned Administrative Law Judge agrees with Columbia and recommends that all of the additional information requirements requested by the OCA</w:t>
      </w:r>
      <w:r w:rsidR="00AD467E">
        <w:t xml:space="preserve"> (which Columbia agreed to provide)</w:t>
      </w:r>
      <w:r>
        <w:t xml:space="preserve"> prior to the submission of its Main Brief, with the exception of the requirement to provide “the number of customers along NAS extensions who have not yet connected and to the extent available, why” should be provided because the information requested will aid the parties and the Commission in evaluating the success of the Pilot Rider NAS program and in identifying issues that may arise.  Additionally, since Columbia agreed it would identify the number of projects evaluated for Pilot Rider NAS service that did not elect to go forward under Pilot Rider NAS and provide that information, it is recommended that the Commission order Columbia to provide this information as well.      </w:t>
      </w:r>
    </w:p>
    <w:p w:rsidR="00626B3B" w:rsidRDefault="00626B3B" w:rsidP="00FC145D">
      <w:pPr>
        <w:tabs>
          <w:tab w:val="left" w:pos="0"/>
        </w:tabs>
        <w:spacing w:line="360" w:lineRule="auto"/>
      </w:pPr>
    </w:p>
    <w:p w:rsidR="00626B3B" w:rsidRDefault="00626B3B" w:rsidP="00626B3B">
      <w:pPr>
        <w:tabs>
          <w:tab w:val="left" w:pos="0"/>
        </w:tabs>
        <w:spacing w:line="360" w:lineRule="auto"/>
        <w:ind w:firstLine="1440"/>
      </w:pPr>
      <w:r>
        <w:t>The OCA submits that it would be reasonable for Columbia to contact all structure owners with mailing or delivery addresses along a potential Pilot Rider NAS extension route to determine if they will connect to natural gas service if the extension is completed.  If structure owners do not accept natural gas service from the extension, Columbia should follow up with the owners to determine the reasons therefor.</w:t>
      </w:r>
      <w:r>
        <w:rPr>
          <w:rStyle w:val="FootnoteReference"/>
        </w:rPr>
        <w:footnoteReference w:id="96"/>
      </w:r>
      <w:r>
        <w:t xml:space="preserve">  The OCA submits that such information is crucial to evaluating the </w:t>
      </w:r>
      <w:r w:rsidR="00680241">
        <w:t xml:space="preserve">Pilot </w:t>
      </w:r>
      <w:r>
        <w:t xml:space="preserve">Rider NAS pilot program and its attractiveness to potential customers.  OCA M.B., p. 24.  </w:t>
      </w:r>
    </w:p>
    <w:p w:rsidR="00547929" w:rsidRDefault="00547929" w:rsidP="00FC145D">
      <w:pPr>
        <w:tabs>
          <w:tab w:val="left" w:pos="0"/>
        </w:tabs>
        <w:spacing w:line="360" w:lineRule="auto"/>
      </w:pPr>
    </w:p>
    <w:p w:rsidR="00547929" w:rsidRDefault="00AD467E" w:rsidP="00547929">
      <w:pPr>
        <w:pStyle w:val="BodyText2"/>
        <w:spacing w:line="360" w:lineRule="auto"/>
        <w:ind w:firstLine="1440"/>
        <w:jc w:val="left"/>
      </w:pPr>
      <w:r>
        <w:t>The undersigned Administrative Law Judge concludes that t</w:t>
      </w:r>
      <w:r w:rsidR="00547929" w:rsidRPr="00836A9F">
        <w:t>he OCA’s proposal</w:t>
      </w:r>
      <w:r w:rsidR="00547929">
        <w:t xml:space="preserve">, made for the first time in its Main Brief, </w:t>
      </w:r>
      <w:r w:rsidR="00547929" w:rsidRPr="00836A9F">
        <w:t xml:space="preserve">that Columbia contact every structure owner with a mailing or delivery address along the potential Pilot Rider NAS extension to determine whether each owner will connect to the new line extension, and then “follow-up” with those structure owners if they do not accept service should be rejected.  Columbia notes that </w:t>
      </w:r>
      <w:r w:rsidR="00547929">
        <w:t>i</w:t>
      </w:r>
      <w:r w:rsidR="00547929" w:rsidRPr="00836A9F">
        <w:t xml:space="preserve">t was not proposed in </w:t>
      </w:r>
      <w:r w:rsidR="00441C19">
        <w:t xml:space="preserve">the </w:t>
      </w:r>
      <w:r w:rsidR="00547929" w:rsidRPr="00836A9F">
        <w:t>OCA’s testimony or at hearing.  Waiting until its Main Brief to propose such a requirement is improper</w:t>
      </w:r>
      <w:r w:rsidR="00547929">
        <w:t xml:space="preserve">.  Moreover, the OCA fails to detail what costs would be involved with contacting all of these customers or whether contacts would be in-person, by repeated mailing, or by telephone calls.  If the latter, the OCA does not discuss whether this proposal violates “Do-Not-Call.”  </w:t>
      </w:r>
      <w:r w:rsidR="00547929">
        <w:rPr>
          <w:i/>
        </w:rPr>
        <w:t xml:space="preserve">See </w:t>
      </w:r>
      <w:r w:rsidR="00547929">
        <w:t xml:space="preserve">73 P.S. § 2245.2.  </w:t>
      </w:r>
    </w:p>
    <w:p w:rsidR="009C433A" w:rsidRDefault="009C433A" w:rsidP="00547929">
      <w:pPr>
        <w:pStyle w:val="BodyText2"/>
        <w:spacing w:line="360" w:lineRule="auto"/>
        <w:ind w:firstLine="1440"/>
        <w:jc w:val="left"/>
      </w:pPr>
    </w:p>
    <w:p w:rsidR="009C433A" w:rsidRDefault="009C433A" w:rsidP="009C433A">
      <w:pPr>
        <w:tabs>
          <w:tab w:val="left" w:pos="-1440"/>
          <w:tab w:val="left" w:pos="-720"/>
          <w:tab w:val="left" w:pos="1051"/>
          <w:tab w:val="left" w:pos="1752"/>
        </w:tabs>
        <w:suppressAutoHyphens/>
        <w:spacing w:line="360" w:lineRule="auto"/>
        <w:ind w:firstLine="1440"/>
        <w:rPr>
          <w:snapToGrid w:val="0"/>
        </w:rPr>
      </w:pPr>
      <w:r w:rsidRPr="009C433A">
        <w:t>The OSBA also requested additional reporting requirements.  The OSBA contends that, w</w:t>
      </w:r>
      <w:r w:rsidRPr="009C433A">
        <w:rPr>
          <w:snapToGrid w:val="0"/>
        </w:rPr>
        <w:t>hile it is theoretically possible that the issues related to inter-class cross-subsidization can be addressed in a base rate proceeding, they can only be so addressed if the Company (a) is capable of tracking the information needed, and (b) is either willing or required to track the information needed to do so.</w:t>
      </w:r>
      <w:r w:rsidR="00D953BF">
        <w:rPr>
          <w:snapToGrid w:val="0"/>
        </w:rPr>
        <w:t xml:space="preserve">  OSBA M.B., p. 9.</w:t>
      </w:r>
      <w:r w:rsidRPr="009C433A">
        <w:rPr>
          <w:snapToGrid w:val="0"/>
        </w:rPr>
        <w:t xml:space="preserve">  </w:t>
      </w:r>
    </w:p>
    <w:p w:rsidR="009C433A" w:rsidRDefault="009C433A" w:rsidP="009C433A">
      <w:pPr>
        <w:tabs>
          <w:tab w:val="left" w:pos="-1440"/>
          <w:tab w:val="left" w:pos="-720"/>
          <w:tab w:val="left" w:pos="1051"/>
          <w:tab w:val="left" w:pos="1752"/>
        </w:tabs>
        <w:suppressAutoHyphens/>
        <w:spacing w:line="360" w:lineRule="auto"/>
        <w:ind w:firstLine="1440"/>
        <w:rPr>
          <w:snapToGrid w:val="0"/>
        </w:rPr>
      </w:pPr>
    </w:p>
    <w:p w:rsidR="009C433A" w:rsidRPr="009C433A" w:rsidRDefault="009C433A" w:rsidP="009C433A">
      <w:pPr>
        <w:tabs>
          <w:tab w:val="left" w:pos="-1440"/>
          <w:tab w:val="left" w:pos="-720"/>
          <w:tab w:val="left" w:pos="1051"/>
          <w:tab w:val="left" w:pos="1752"/>
        </w:tabs>
        <w:suppressAutoHyphens/>
        <w:spacing w:line="360" w:lineRule="auto"/>
        <w:ind w:firstLine="1440"/>
        <w:rPr>
          <w:snapToGrid w:val="0"/>
        </w:rPr>
      </w:pPr>
      <w:r w:rsidRPr="009C433A">
        <w:rPr>
          <w:snapToGrid w:val="0"/>
        </w:rPr>
        <w:t xml:space="preserve">The OSBA’s witness, Mr. </w:t>
      </w:r>
      <w:proofErr w:type="spellStart"/>
      <w:r w:rsidRPr="009C433A">
        <w:rPr>
          <w:snapToGrid w:val="0"/>
        </w:rPr>
        <w:t>Knecht</w:t>
      </w:r>
      <w:proofErr w:type="spellEnd"/>
      <w:r w:rsidRPr="009C433A">
        <w:rPr>
          <w:snapToGrid w:val="0"/>
        </w:rPr>
        <w:t>, proposed a list of tracking requirements, based upon Mr. Watkins</w:t>
      </w:r>
      <w:r w:rsidR="00AD467E">
        <w:rPr>
          <w:snapToGrid w:val="0"/>
        </w:rPr>
        <w:t>’</w:t>
      </w:r>
      <w:r w:rsidRPr="009C433A">
        <w:rPr>
          <w:snapToGrid w:val="0"/>
        </w:rPr>
        <w:t xml:space="preserve"> model, which included:</w:t>
      </w:r>
    </w:p>
    <w:p w:rsidR="009C433A" w:rsidRDefault="009C433A" w:rsidP="00644302">
      <w:pPr>
        <w:numPr>
          <w:ilvl w:val="0"/>
          <w:numId w:val="37"/>
        </w:numPr>
        <w:tabs>
          <w:tab w:val="left" w:pos="-1440"/>
          <w:tab w:val="left" w:pos="-720"/>
          <w:tab w:val="left" w:pos="2160"/>
        </w:tabs>
        <w:suppressAutoHyphens/>
        <w:ind w:left="2160" w:right="1440" w:firstLine="0"/>
        <w:rPr>
          <w:snapToGrid w:val="0"/>
        </w:rPr>
      </w:pPr>
      <w:r w:rsidRPr="009C433A">
        <w:rPr>
          <w:snapToGrid w:val="0"/>
        </w:rPr>
        <w:t xml:space="preserve">Investment per project by rate class, including the </w:t>
      </w:r>
      <w:r w:rsidR="00644302">
        <w:rPr>
          <w:snapToGrid w:val="0"/>
        </w:rPr>
        <w:tab/>
      </w:r>
      <w:r w:rsidRPr="009C433A">
        <w:rPr>
          <w:snapToGrid w:val="0"/>
        </w:rPr>
        <w:t xml:space="preserve">economic model results and surcharge calculation </w:t>
      </w:r>
      <w:r w:rsidR="00644302">
        <w:rPr>
          <w:snapToGrid w:val="0"/>
        </w:rPr>
        <w:tab/>
      </w:r>
      <w:r w:rsidRPr="009C433A">
        <w:rPr>
          <w:snapToGrid w:val="0"/>
        </w:rPr>
        <w:t>details;</w:t>
      </w:r>
    </w:p>
    <w:p w:rsidR="00E01A17" w:rsidRPr="009C433A" w:rsidRDefault="00E01A17" w:rsidP="00644302">
      <w:pPr>
        <w:tabs>
          <w:tab w:val="left" w:pos="-1440"/>
          <w:tab w:val="left" w:pos="-720"/>
          <w:tab w:val="left" w:pos="1051"/>
          <w:tab w:val="left" w:pos="2160"/>
        </w:tabs>
        <w:suppressAutoHyphens/>
        <w:ind w:left="1440" w:right="1440"/>
        <w:rPr>
          <w:snapToGrid w:val="0"/>
        </w:rPr>
      </w:pPr>
    </w:p>
    <w:p w:rsidR="009C433A" w:rsidRDefault="009C433A" w:rsidP="00644302">
      <w:pPr>
        <w:numPr>
          <w:ilvl w:val="0"/>
          <w:numId w:val="37"/>
        </w:numPr>
        <w:tabs>
          <w:tab w:val="left" w:pos="-1440"/>
          <w:tab w:val="left" w:pos="-720"/>
          <w:tab w:val="left" w:pos="2160"/>
        </w:tabs>
        <w:suppressAutoHyphens/>
        <w:ind w:left="2160" w:right="1440" w:firstLine="0"/>
        <w:rPr>
          <w:snapToGrid w:val="0"/>
        </w:rPr>
      </w:pPr>
      <w:r w:rsidRPr="009C433A">
        <w:rPr>
          <w:snapToGrid w:val="0"/>
        </w:rPr>
        <w:t xml:space="preserve">Total distance and cost of NAS project mains and </w:t>
      </w:r>
      <w:r w:rsidR="00644302">
        <w:rPr>
          <w:snapToGrid w:val="0"/>
        </w:rPr>
        <w:tab/>
      </w:r>
      <w:r w:rsidRPr="009C433A">
        <w:rPr>
          <w:snapToGrid w:val="0"/>
        </w:rPr>
        <w:t>service lines installed, by pipe diameter;</w:t>
      </w:r>
    </w:p>
    <w:p w:rsidR="00E01A17" w:rsidRPr="009C433A" w:rsidRDefault="00E01A17" w:rsidP="00644302">
      <w:pPr>
        <w:tabs>
          <w:tab w:val="left" w:pos="-1440"/>
          <w:tab w:val="left" w:pos="-720"/>
          <w:tab w:val="left" w:pos="1051"/>
          <w:tab w:val="left" w:pos="2160"/>
        </w:tabs>
        <w:suppressAutoHyphens/>
        <w:ind w:left="1440" w:right="1440"/>
        <w:rPr>
          <w:snapToGrid w:val="0"/>
        </w:rPr>
      </w:pPr>
    </w:p>
    <w:p w:rsidR="009C433A" w:rsidRDefault="009C433A" w:rsidP="00644302">
      <w:pPr>
        <w:numPr>
          <w:ilvl w:val="0"/>
          <w:numId w:val="37"/>
        </w:numPr>
        <w:tabs>
          <w:tab w:val="left" w:pos="-1440"/>
          <w:tab w:val="left" w:pos="-720"/>
          <w:tab w:val="left" w:pos="1051"/>
          <w:tab w:val="left" w:pos="2160"/>
        </w:tabs>
        <w:suppressAutoHyphens/>
        <w:ind w:left="2160" w:right="1440" w:firstLine="0"/>
        <w:rPr>
          <w:snapToGrid w:val="0"/>
        </w:rPr>
      </w:pPr>
      <w:r w:rsidRPr="009C433A">
        <w:rPr>
          <w:snapToGrid w:val="0"/>
        </w:rPr>
        <w:t xml:space="preserve">Number of customers originally and subsequently </w:t>
      </w:r>
      <w:r w:rsidR="00644302">
        <w:rPr>
          <w:snapToGrid w:val="0"/>
        </w:rPr>
        <w:tab/>
      </w:r>
      <w:r w:rsidRPr="009C433A">
        <w:rPr>
          <w:snapToGrid w:val="0"/>
        </w:rPr>
        <w:t>connected, by rate class;</w:t>
      </w:r>
    </w:p>
    <w:p w:rsidR="00E01A17" w:rsidRPr="009C433A" w:rsidRDefault="00E01A17" w:rsidP="00644302">
      <w:pPr>
        <w:tabs>
          <w:tab w:val="left" w:pos="-1440"/>
          <w:tab w:val="left" w:pos="-720"/>
          <w:tab w:val="left" w:pos="1051"/>
          <w:tab w:val="left" w:pos="2160"/>
        </w:tabs>
        <w:suppressAutoHyphens/>
        <w:ind w:left="1440" w:right="1440"/>
        <w:rPr>
          <w:snapToGrid w:val="0"/>
        </w:rPr>
      </w:pPr>
    </w:p>
    <w:p w:rsidR="009C433A" w:rsidRDefault="009C433A" w:rsidP="002F377F">
      <w:pPr>
        <w:numPr>
          <w:ilvl w:val="0"/>
          <w:numId w:val="37"/>
        </w:numPr>
        <w:tabs>
          <w:tab w:val="left" w:pos="-1440"/>
          <w:tab w:val="left" w:pos="-720"/>
          <w:tab w:val="left" w:pos="1051"/>
          <w:tab w:val="left" w:pos="2160"/>
        </w:tabs>
        <w:suppressAutoHyphens/>
        <w:ind w:left="2250" w:right="1440" w:hanging="90"/>
        <w:rPr>
          <w:snapToGrid w:val="0"/>
        </w:rPr>
      </w:pPr>
      <w:r w:rsidRPr="009C433A">
        <w:rPr>
          <w:snapToGrid w:val="0"/>
        </w:rPr>
        <w:t xml:space="preserve">Annual load by rate class, segregated between </w:t>
      </w:r>
      <w:r w:rsidR="00644302">
        <w:rPr>
          <w:snapToGrid w:val="0"/>
        </w:rPr>
        <w:tab/>
      </w:r>
      <w:r w:rsidRPr="009C433A">
        <w:rPr>
          <w:snapToGrid w:val="0"/>
        </w:rPr>
        <w:t>customers initially and subsequently connected;</w:t>
      </w:r>
    </w:p>
    <w:p w:rsidR="00E01A17" w:rsidRPr="009C433A" w:rsidRDefault="00E01A17" w:rsidP="00644302">
      <w:pPr>
        <w:tabs>
          <w:tab w:val="left" w:pos="-1440"/>
          <w:tab w:val="left" w:pos="-720"/>
          <w:tab w:val="left" w:pos="1051"/>
          <w:tab w:val="left" w:pos="2160"/>
        </w:tabs>
        <w:suppressAutoHyphens/>
        <w:ind w:left="1440" w:right="1440"/>
        <w:rPr>
          <w:snapToGrid w:val="0"/>
        </w:rPr>
      </w:pPr>
    </w:p>
    <w:p w:rsidR="009C433A" w:rsidRDefault="009C433A" w:rsidP="00644302">
      <w:pPr>
        <w:numPr>
          <w:ilvl w:val="0"/>
          <w:numId w:val="37"/>
        </w:numPr>
        <w:tabs>
          <w:tab w:val="left" w:pos="-1440"/>
          <w:tab w:val="left" w:pos="-720"/>
          <w:tab w:val="left" w:pos="2160"/>
        </w:tabs>
        <w:suppressAutoHyphens/>
        <w:ind w:left="2160" w:right="1440" w:firstLine="0"/>
        <w:rPr>
          <w:snapToGrid w:val="0"/>
        </w:rPr>
      </w:pPr>
      <w:r w:rsidRPr="009C433A">
        <w:rPr>
          <w:snapToGrid w:val="0"/>
        </w:rPr>
        <w:t xml:space="preserve">Base rate and Rider NAS revenues received by </w:t>
      </w:r>
      <w:r w:rsidR="00644302">
        <w:rPr>
          <w:snapToGrid w:val="0"/>
        </w:rPr>
        <w:tab/>
      </w:r>
      <w:r w:rsidRPr="009C433A">
        <w:rPr>
          <w:snapToGrid w:val="0"/>
        </w:rPr>
        <w:t xml:space="preserve">NAS project by rate class, with Rider NAS </w:t>
      </w:r>
      <w:r w:rsidR="00644302">
        <w:rPr>
          <w:snapToGrid w:val="0"/>
        </w:rPr>
        <w:tab/>
      </w:r>
      <w:r w:rsidRPr="009C433A">
        <w:rPr>
          <w:snapToGrid w:val="0"/>
        </w:rPr>
        <w:t xml:space="preserve">revenues segregated between “principal” and </w:t>
      </w:r>
      <w:r w:rsidR="00644302">
        <w:rPr>
          <w:snapToGrid w:val="0"/>
        </w:rPr>
        <w:tab/>
      </w:r>
      <w:r w:rsidRPr="009C433A">
        <w:rPr>
          <w:snapToGrid w:val="0"/>
        </w:rPr>
        <w:t>“interest;”</w:t>
      </w:r>
    </w:p>
    <w:p w:rsidR="00E01A17" w:rsidRPr="009C433A" w:rsidRDefault="00E01A17" w:rsidP="00644302">
      <w:pPr>
        <w:tabs>
          <w:tab w:val="left" w:pos="-1440"/>
          <w:tab w:val="left" w:pos="-720"/>
          <w:tab w:val="left" w:pos="1051"/>
          <w:tab w:val="left" w:pos="2160"/>
        </w:tabs>
        <w:suppressAutoHyphens/>
        <w:ind w:left="1440" w:right="1440"/>
        <w:rPr>
          <w:snapToGrid w:val="0"/>
        </w:rPr>
      </w:pPr>
    </w:p>
    <w:p w:rsidR="009C433A" w:rsidRDefault="009C433A" w:rsidP="00644302">
      <w:pPr>
        <w:numPr>
          <w:ilvl w:val="0"/>
          <w:numId w:val="37"/>
        </w:numPr>
        <w:tabs>
          <w:tab w:val="left" w:pos="-1440"/>
          <w:tab w:val="left" w:pos="-720"/>
          <w:tab w:val="left" w:pos="2160"/>
        </w:tabs>
        <w:suppressAutoHyphens/>
        <w:ind w:left="2160" w:right="1440" w:firstLine="0"/>
        <w:rPr>
          <w:snapToGrid w:val="0"/>
        </w:rPr>
      </w:pPr>
      <w:r w:rsidRPr="009C433A">
        <w:rPr>
          <w:snapToGrid w:val="0"/>
        </w:rPr>
        <w:t xml:space="preserve">Number of customers along NAS extensions who </w:t>
      </w:r>
      <w:r w:rsidR="00644302">
        <w:rPr>
          <w:snapToGrid w:val="0"/>
        </w:rPr>
        <w:tab/>
      </w:r>
      <w:r w:rsidRPr="009C433A">
        <w:rPr>
          <w:snapToGrid w:val="0"/>
        </w:rPr>
        <w:t xml:space="preserve">have not yet connected, by rate class, and, to the </w:t>
      </w:r>
      <w:r w:rsidR="00644302">
        <w:rPr>
          <w:snapToGrid w:val="0"/>
        </w:rPr>
        <w:tab/>
      </w:r>
      <w:r w:rsidRPr="009C433A">
        <w:rPr>
          <w:snapToGrid w:val="0"/>
        </w:rPr>
        <w:t>extent available, an explanation for non-conversion;</w:t>
      </w:r>
    </w:p>
    <w:p w:rsidR="00E01A17" w:rsidRPr="009C433A" w:rsidRDefault="00E01A17" w:rsidP="00644302">
      <w:pPr>
        <w:tabs>
          <w:tab w:val="left" w:pos="-1440"/>
          <w:tab w:val="left" w:pos="-720"/>
          <w:tab w:val="left" w:pos="1051"/>
          <w:tab w:val="left" w:pos="2160"/>
        </w:tabs>
        <w:suppressAutoHyphens/>
        <w:ind w:left="1440" w:right="1440"/>
        <w:rPr>
          <w:snapToGrid w:val="0"/>
        </w:rPr>
      </w:pPr>
    </w:p>
    <w:p w:rsidR="009C433A" w:rsidRDefault="009C433A" w:rsidP="00644302">
      <w:pPr>
        <w:numPr>
          <w:ilvl w:val="0"/>
          <w:numId w:val="37"/>
        </w:numPr>
        <w:tabs>
          <w:tab w:val="left" w:pos="-1440"/>
          <w:tab w:val="left" w:pos="-720"/>
          <w:tab w:val="left" w:pos="1051"/>
          <w:tab w:val="left" w:pos="2160"/>
        </w:tabs>
        <w:suppressAutoHyphens/>
        <w:ind w:right="1440" w:firstLine="1080"/>
        <w:rPr>
          <w:snapToGrid w:val="0"/>
        </w:rPr>
      </w:pPr>
      <w:r w:rsidRPr="009C433A">
        <w:rPr>
          <w:snapToGrid w:val="0"/>
        </w:rPr>
        <w:t xml:space="preserve"> Direct program expenses;</w:t>
      </w:r>
    </w:p>
    <w:p w:rsidR="00E01A17" w:rsidRPr="009C433A" w:rsidRDefault="00E01A17" w:rsidP="00644302">
      <w:pPr>
        <w:tabs>
          <w:tab w:val="left" w:pos="-1440"/>
          <w:tab w:val="left" w:pos="-720"/>
          <w:tab w:val="left" w:pos="1051"/>
          <w:tab w:val="left" w:pos="2160"/>
        </w:tabs>
        <w:suppressAutoHyphens/>
        <w:ind w:left="1440" w:right="1440"/>
        <w:rPr>
          <w:snapToGrid w:val="0"/>
        </w:rPr>
      </w:pPr>
    </w:p>
    <w:p w:rsidR="009C433A" w:rsidRDefault="009C433A" w:rsidP="00644302">
      <w:pPr>
        <w:numPr>
          <w:ilvl w:val="0"/>
          <w:numId w:val="37"/>
        </w:numPr>
        <w:tabs>
          <w:tab w:val="left" w:pos="-1440"/>
          <w:tab w:val="left" w:pos="-720"/>
          <w:tab w:val="left" w:pos="2160"/>
        </w:tabs>
        <w:suppressAutoHyphens/>
        <w:ind w:left="2160" w:right="1440" w:firstLine="0"/>
        <w:rPr>
          <w:snapToGrid w:val="0"/>
        </w:rPr>
      </w:pPr>
      <w:r w:rsidRPr="009C433A">
        <w:rPr>
          <w:snapToGrid w:val="0"/>
        </w:rPr>
        <w:t xml:space="preserve">Data on collections, including efforts for unpaid </w:t>
      </w:r>
      <w:r w:rsidR="00644302">
        <w:rPr>
          <w:snapToGrid w:val="0"/>
        </w:rPr>
        <w:tab/>
      </w:r>
      <w:r w:rsidRPr="009C433A">
        <w:rPr>
          <w:snapToGrid w:val="0"/>
        </w:rPr>
        <w:t>surcharge amounts; and,</w:t>
      </w:r>
    </w:p>
    <w:p w:rsidR="00E01A17" w:rsidRPr="009C433A" w:rsidRDefault="00E01A17" w:rsidP="00644302">
      <w:pPr>
        <w:tabs>
          <w:tab w:val="left" w:pos="-1440"/>
          <w:tab w:val="left" w:pos="-720"/>
          <w:tab w:val="left" w:pos="1051"/>
          <w:tab w:val="left" w:pos="2160"/>
        </w:tabs>
        <w:suppressAutoHyphens/>
        <w:ind w:left="1440" w:right="1440"/>
        <w:rPr>
          <w:snapToGrid w:val="0"/>
        </w:rPr>
      </w:pPr>
    </w:p>
    <w:p w:rsidR="009C433A" w:rsidRPr="009C433A" w:rsidRDefault="009C433A" w:rsidP="00644302">
      <w:pPr>
        <w:numPr>
          <w:ilvl w:val="0"/>
          <w:numId w:val="37"/>
        </w:numPr>
        <w:tabs>
          <w:tab w:val="left" w:pos="-1440"/>
          <w:tab w:val="left" w:pos="-720"/>
          <w:tab w:val="left" w:pos="1051"/>
          <w:tab w:val="left" w:pos="2160"/>
        </w:tabs>
        <w:suppressAutoHyphens/>
        <w:ind w:right="1440" w:firstLine="1080"/>
        <w:rPr>
          <w:snapToGrid w:val="0"/>
        </w:rPr>
      </w:pPr>
      <w:r w:rsidRPr="009C433A">
        <w:rPr>
          <w:snapToGrid w:val="0"/>
        </w:rPr>
        <w:t xml:space="preserve">Number of applicants turned down for insufficient </w:t>
      </w:r>
      <w:r w:rsidR="00644302">
        <w:rPr>
          <w:snapToGrid w:val="0"/>
        </w:rPr>
        <w:tab/>
      </w:r>
      <w:r w:rsidR="00644302">
        <w:rPr>
          <w:snapToGrid w:val="0"/>
        </w:rPr>
        <w:tab/>
      </w:r>
      <w:r w:rsidR="00644302">
        <w:rPr>
          <w:snapToGrid w:val="0"/>
        </w:rPr>
        <w:tab/>
      </w:r>
      <w:r w:rsidRPr="009C433A">
        <w:rPr>
          <w:snapToGrid w:val="0"/>
        </w:rPr>
        <w:t>credit.</w:t>
      </w:r>
    </w:p>
    <w:p w:rsidR="00D953BF" w:rsidRDefault="00D953BF" w:rsidP="00781D60">
      <w:pPr>
        <w:tabs>
          <w:tab w:val="left" w:pos="-1440"/>
          <w:tab w:val="left" w:pos="-720"/>
          <w:tab w:val="left" w:pos="1051"/>
          <w:tab w:val="left" w:pos="2160"/>
        </w:tabs>
        <w:suppressAutoHyphens/>
        <w:spacing w:line="360" w:lineRule="auto"/>
        <w:ind w:firstLine="360"/>
        <w:rPr>
          <w:snapToGrid w:val="0"/>
        </w:rPr>
      </w:pPr>
    </w:p>
    <w:p w:rsidR="009C433A" w:rsidRDefault="00D953BF" w:rsidP="009C433A">
      <w:pPr>
        <w:tabs>
          <w:tab w:val="left" w:pos="-1440"/>
          <w:tab w:val="left" w:pos="-720"/>
          <w:tab w:val="left" w:pos="1051"/>
          <w:tab w:val="left" w:pos="1752"/>
        </w:tabs>
        <w:suppressAutoHyphens/>
        <w:spacing w:line="360" w:lineRule="auto"/>
        <w:rPr>
          <w:snapToGrid w:val="0"/>
        </w:rPr>
      </w:pPr>
      <w:r>
        <w:rPr>
          <w:snapToGrid w:val="0"/>
        </w:rPr>
        <w:t>(OSBA Statement No. 3, pp. 6-7); OSBA M.B., pp. 9-10.</w:t>
      </w:r>
    </w:p>
    <w:p w:rsidR="009C433A" w:rsidRDefault="009C433A" w:rsidP="009C433A">
      <w:pPr>
        <w:tabs>
          <w:tab w:val="left" w:pos="-1440"/>
          <w:tab w:val="left" w:pos="-720"/>
          <w:tab w:val="left" w:pos="1051"/>
          <w:tab w:val="left" w:pos="1752"/>
        </w:tabs>
        <w:suppressAutoHyphens/>
        <w:spacing w:line="360" w:lineRule="auto"/>
        <w:rPr>
          <w:snapToGrid w:val="0"/>
        </w:rPr>
      </w:pPr>
    </w:p>
    <w:p w:rsidR="009C433A" w:rsidRDefault="009C433A" w:rsidP="009C433A">
      <w:pPr>
        <w:pStyle w:val="BodyText2"/>
        <w:spacing w:line="360" w:lineRule="auto"/>
        <w:ind w:firstLine="1440"/>
        <w:jc w:val="left"/>
      </w:pPr>
      <w:r>
        <w:t>Columbia argues that the OSBA’s suggested reporting requirements, listed above, are premature and unnecessary.  According to Columbia witness Evans, “[t]his proceeding is not where base rate decisions should be made.”  (Columbia Statement No. 1-SR, p. 3).  Further, the Company maintains that it would be inappropriate to exclusively assign costs to residential customers when all customers could benefit from Pilot Rider NAS mains and when all customers receive the benefit of crediting the interest paid by Pilot Rider NAS customers to the cost of service.  (Columbia Statement No. 1-SR, p. 4).  Moreover, the Company has agreed to several of OCA’s proposed reporting requirements, including the annual reporting of “investment per project” and the “direct program expenses” of Pilot Rider NAS.  (Columbia Statement No. 1-SR, p. 4).</w:t>
      </w:r>
      <w:r>
        <w:rPr>
          <w:rStyle w:val="FootnoteReference"/>
        </w:rPr>
        <w:footnoteReference w:id="97"/>
      </w:r>
      <w:r>
        <w:t xml:space="preserve">  </w:t>
      </w:r>
    </w:p>
    <w:p w:rsidR="00441C19" w:rsidRDefault="00441C19" w:rsidP="009C433A">
      <w:pPr>
        <w:pStyle w:val="BodyText2"/>
        <w:spacing w:line="360" w:lineRule="auto"/>
        <w:ind w:firstLine="1440"/>
        <w:jc w:val="left"/>
      </w:pPr>
    </w:p>
    <w:p w:rsidR="00441C19" w:rsidRDefault="00441C19" w:rsidP="009C433A">
      <w:pPr>
        <w:pStyle w:val="BodyText2"/>
        <w:spacing w:line="360" w:lineRule="auto"/>
        <w:ind w:firstLine="1440"/>
        <w:jc w:val="left"/>
      </w:pPr>
      <w:r>
        <w:t xml:space="preserve">The undersigned Administrative Law Judge agrees with the OSBA that all of the tracking information requested by the OSBA above should be collected and provided to the parties, with the exception of the following: </w:t>
      </w:r>
    </w:p>
    <w:p w:rsidR="00441C19" w:rsidRDefault="00441C19" w:rsidP="00E131F9">
      <w:pPr>
        <w:pStyle w:val="BodyText2"/>
        <w:spacing w:line="240" w:lineRule="auto"/>
        <w:ind w:left="1440" w:right="1440"/>
        <w:jc w:val="left"/>
      </w:pPr>
      <w:r>
        <w:rPr>
          <w:snapToGrid w:val="0"/>
        </w:rPr>
        <w:t>(f)</w:t>
      </w:r>
      <w:r>
        <w:rPr>
          <w:snapToGrid w:val="0"/>
        </w:rPr>
        <w:tab/>
      </w:r>
      <w:r w:rsidRPr="009C433A">
        <w:rPr>
          <w:snapToGrid w:val="0"/>
        </w:rPr>
        <w:t xml:space="preserve">Number of customers along NAS extensions who </w:t>
      </w:r>
      <w:r w:rsidR="00E131F9">
        <w:rPr>
          <w:snapToGrid w:val="0"/>
        </w:rPr>
        <w:tab/>
      </w:r>
      <w:r w:rsidR="00E131F9">
        <w:rPr>
          <w:snapToGrid w:val="0"/>
        </w:rPr>
        <w:tab/>
      </w:r>
      <w:r w:rsidR="00E131F9">
        <w:rPr>
          <w:snapToGrid w:val="0"/>
        </w:rPr>
        <w:tab/>
      </w:r>
      <w:r w:rsidRPr="009C433A">
        <w:rPr>
          <w:snapToGrid w:val="0"/>
        </w:rPr>
        <w:t xml:space="preserve">have not yet connected, by rate class, and, to the </w:t>
      </w:r>
      <w:r w:rsidR="00E131F9">
        <w:rPr>
          <w:snapToGrid w:val="0"/>
        </w:rPr>
        <w:tab/>
      </w:r>
      <w:r w:rsidR="00E131F9">
        <w:rPr>
          <w:snapToGrid w:val="0"/>
        </w:rPr>
        <w:tab/>
      </w:r>
      <w:r w:rsidR="00E131F9">
        <w:rPr>
          <w:snapToGrid w:val="0"/>
        </w:rPr>
        <w:tab/>
      </w:r>
      <w:r w:rsidRPr="009C433A">
        <w:rPr>
          <w:snapToGrid w:val="0"/>
        </w:rPr>
        <w:t>extent available, an explanation for non-conversion</w:t>
      </w:r>
      <w:r w:rsidR="00E131F9">
        <w:rPr>
          <w:snapToGrid w:val="0"/>
        </w:rPr>
        <w:t>.</w:t>
      </w:r>
    </w:p>
    <w:p w:rsidR="00626B3B" w:rsidRDefault="00626B3B" w:rsidP="009C433A">
      <w:pPr>
        <w:pStyle w:val="BodyText2"/>
        <w:spacing w:line="360" w:lineRule="auto"/>
        <w:ind w:firstLine="1440"/>
        <w:jc w:val="left"/>
      </w:pPr>
    </w:p>
    <w:p w:rsidR="00E74CFC" w:rsidRDefault="00441C19" w:rsidP="00441C19">
      <w:pPr>
        <w:pStyle w:val="BodyText2"/>
        <w:spacing w:line="360" w:lineRule="auto"/>
        <w:ind w:firstLine="0"/>
        <w:jc w:val="left"/>
      </w:pPr>
      <w:r>
        <w:t xml:space="preserve">Requirement (f) is rejected because it is overly vague and subjective, would impose additional costs for no reason, and would create administrative issues.  The other information requested by the OSBA will assist parties who may wish to challenge cross-subsidization in a future base rate proceeding.  </w:t>
      </w:r>
    </w:p>
    <w:p w:rsidR="00AD467E" w:rsidRDefault="00AD467E" w:rsidP="00441C19">
      <w:pPr>
        <w:pStyle w:val="BodyText2"/>
        <w:spacing w:line="360" w:lineRule="auto"/>
        <w:ind w:firstLine="0"/>
        <w:jc w:val="left"/>
      </w:pPr>
    </w:p>
    <w:p w:rsidR="00AD467E" w:rsidRPr="00AD467E" w:rsidRDefault="00AD467E" w:rsidP="00032E97">
      <w:pPr>
        <w:pStyle w:val="BodyText2"/>
        <w:spacing w:line="360" w:lineRule="auto"/>
        <w:ind w:firstLine="0"/>
        <w:jc w:val="left"/>
      </w:pPr>
      <w:r>
        <w:t>D.</w:t>
      </w:r>
      <w:r>
        <w:tab/>
      </w:r>
      <w:r w:rsidR="00B00443">
        <w:rPr>
          <w:u w:val="single"/>
        </w:rPr>
        <w:t>Treatment of Residential Developers</w:t>
      </w:r>
    </w:p>
    <w:p w:rsidR="00E74CFC" w:rsidRDefault="00E74CFC" w:rsidP="00E74CFC">
      <w:pPr>
        <w:pStyle w:val="BodyText2"/>
        <w:spacing w:line="360" w:lineRule="auto"/>
        <w:ind w:firstLine="0"/>
        <w:jc w:val="left"/>
      </w:pPr>
    </w:p>
    <w:p w:rsidR="002D352E" w:rsidRDefault="0077007D" w:rsidP="002D352E">
      <w:pPr>
        <w:pStyle w:val="BodyText2"/>
        <w:spacing w:line="360" w:lineRule="auto"/>
        <w:ind w:firstLine="1440"/>
        <w:jc w:val="left"/>
      </w:pPr>
      <w:r>
        <w:t xml:space="preserve">As proposed by Columbia, the Pilot Rider NAS program would be available to all residential customers and </w:t>
      </w:r>
      <w:r w:rsidRPr="00DF1CA5">
        <w:t>bona fide</w:t>
      </w:r>
      <w:r>
        <w:t xml:space="preserve"> developers of residential properties in its service territory</w:t>
      </w:r>
      <w:r w:rsidRPr="00D421FC">
        <w:t xml:space="preserve"> </w:t>
      </w:r>
      <w:r>
        <w:t xml:space="preserve">that seek natural gas service.  (Columbia Statement No. 1, p. 4).  Certain qualifications exist for a developer of residential properties to be considered a “bona fide developer” under the Pilot Rider NAS program.  (Columbia Statement No. 1, p. 4).  The developer must be building in an area where Columbia currently does not provide service and it must be building or developing a large aggregation of residential entities that ask to obtain natural gas service.  (Columbia Statement No. 1, p. 4).  Columbia will consider the following regarding developers requesting Pilot Rider NAS: </w:t>
      </w:r>
      <w:r w:rsidR="009D5C18">
        <w:t xml:space="preserve"> </w:t>
      </w:r>
      <w:r>
        <w:t>(1) the number of potential customers; (2) the density of the area seeking service; (3) the potential usage; and (4) the cost of extending or expanding service.  (Columbia Statement No. 1, p. 4).  Commercial buildings, however, would be excluded from the program.  (Columbia Statement No. 1, p. 4);</w:t>
      </w:r>
      <w:r>
        <w:rPr>
          <w:rStyle w:val="FootnoteReference"/>
        </w:rPr>
        <w:footnoteReference w:id="98"/>
      </w:r>
      <w:r>
        <w:t xml:space="preserve"> Columbia M.B., pp. 7-8.</w:t>
      </w:r>
    </w:p>
    <w:p w:rsidR="0077007D" w:rsidRDefault="0077007D" w:rsidP="002D352E">
      <w:pPr>
        <w:pStyle w:val="BodyText2"/>
        <w:spacing w:line="360" w:lineRule="auto"/>
        <w:ind w:firstLine="1440"/>
        <w:jc w:val="left"/>
      </w:pPr>
    </w:p>
    <w:p w:rsidR="0077007D" w:rsidRDefault="0077007D" w:rsidP="0077007D">
      <w:pPr>
        <w:tabs>
          <w:tab w:val="left" w:pos="0"/>
        </w:tabs>
        <w:spacing w:line="360" w:lineRule="auto"/>
        <w:ind w:right="-86" w:firstLine="1440"/>
      </w:pPr>
      <w:r>
        <w:t>In his Direct Testimony, OCA witness Watkins testified that he is concerned about the proposed availability of Pilot Rider NAS to residential developers.  Specifically, Mr. Watkins testified as follows:</w:t>
      </w:r>
    </w:p>
    <w:p w:rsidR="0077007D" w:rsidRDefault="0077007D" w:rsidP="0077007D">
      <w:pPr>
        <w:pStyle w:val="NormalWeb"/>
        <w:spacing w:before="0" w:beforeAutospacing="0" w:after="0" w:afterAutospacing="0"/>
        <w:ind w:left="1440" w:right="1440"/>
        <w:rPr>
          <w:color w:val="000000"/>
          <w:shd w:val="clear" w:color="auto" w:fill="FFFFFF"/>
        </w:rPr>
      </w:pPr>
      <w:r>
        <w:rPr>
          <w:color w:val="000000"/>
          <w:shd w:val="clear" w:color="auto" w:fill="FFFFFF"/>
        </w:rPr>
        <w:tab/>
        <w:t xml:space="preserve">As I understand Columbia’s proposal, Columbia would change its current policy of requiring contributions from developers, and instead install new mains in developments at no cost to the developer and when new homes are built and occupied, the new homeowner will then be required to either pay their proportionate share of an </w:t>
      </w:r>
      <w:proofErr w:type="spellStart"/>
      <w:r w:rsidR="00AA3877">
        <w:rPr>
          <w:color w:val="000000"/>
          <w:shd w:val="clear" w:color="auto" w:fill="FFFFFF"/>
        </w:rPr>
        <w:t>up front</w:t>
      </w:r>
      <w:proofErr w:type="spellEnd"/>
      <w:r>
        <w:rPr>
          <w:color w:val="000000"/>
          <w:shd w:val="clear" w:color="auto" w:fill="FFFFFF"/>
        </w:rPr>
        <w:t xml:space="preserve"> cash contribution or finance this amount over 20 years.  While there is no doubt that the homes built in these new developments will have natural gas heating equipment and appliances installed, the new homeowners will obviously need to subscribe to Columbia as its NGDC provider.  I am extremely concerned that these potential new homeowners will have no idea that they will be obligated to pay Columbia an </w:t>
      </w:r>
      <w:proofErr w:type="spellStart"/>
      <w:r w:rsidR="00AA3877">
        <w:rPr>
          <w:color w:val="000000"/>
          <w:shd w:val="clear" w:color="auto" w:fill="FFFFFF"/>
        </w:rPr>
        <w:t>up front</w:t>
      </w:r>
      <w:proofErr w:type="spellEnd"/>
      <w:r>
        <w:rPr>
          <w:color w:val="000000"/>
          <w:shd w:val="clear" w:color="auto" w:fill="FFFFFF"/>
        </w:rPr>
        <w:t xml:space="preserve"> cash contribution or finance this amount for 20 years until after they have purchased their new home and moved in.  Clearly, it is much easier and more economical for each new homeowner to simply roll the contribution requirement into the cost of the new home.  As such, while there may be other innovative ideas or plans to help developers, I do not believe the Company’s plan is appropriate for new developments.  </w:t>
      </w:r>
    </w:p>
    <w:p w:rsidR="0077007D" w:rsidRDefault="0077007D" w:rsidP="00BE0786">
      <w:pPr>
        <w:pStyle w:val="NormalWeb"/>
        <w:spacing w:before="0" w:beforeAutospacing="0" w:after="0" w:afterAutospacing="0" w:line="360" w:lineRule="auto"/>
        <w:jc w:val="both"/>
        <w:rPr>
          <w:color w:val="000000"/>
          <w:shd w:val="clear" w:color="auto" w:fill="FFFFFF"/>
        </w:rPr>
      </w:pPr>
    </w:p>
    <w:p w:rsidR="0077007D" w:rsidRDefault="0077007D" w:rsidP="0077007D">
      <w:pPr>
        <w:pStyle w:val="NormalWeb"/>
        <w:spacing w:before="0" w:beforeAutospacing="0" w:after="0" w:afterAutospacing="0" w:line="360" w:lineRule="auto"/>
        <w:rPr>
          <w:color w:val="000000"/>
          <w:shd w:val="clear" w:color="auto" w:fill="FFFFFF"/>
        </w:rPr>
      </w:pPr>
      <w:r>
        <w:rPr>
          <w:color w:val="000000"/>
          <w:shd w:val="clear" w:color="auto" w:fill="FFFFFF"/>
        </w:rPr>
        <w:t>(OCA Statement No. 1, pp. 16-17)</w:t>
      </w:r>
      <w:r w:rsidR="00DE4D47">
        <w:rPr>
          <w:color w:val="000000"/>
          <w:shd w:val="clear" w:color="auto" w:fill="FFFFFF"/>
        </w:rPr>
        <w:t xml:space="preserve"> </w:t>
      </w:r>
      <w:r>
        <w:rPr>
          <w:color w:val="000000"/>
          <w:shd w:val="clear" w:color="auto" w:fill="FFFFFF"/>
        </w:rPr>
        <w:t xml:space="preserve">(Footnote omitted).  As such, Mr. Watkins recommended that the Pilot Rider NAS program not be available to residential developers and instead, be applicable only to homeowners.  (OCA Statement No. 1, p. 19); OCA M.B. pp. 25-26.  </w:t>
      </w:r>
    </w:p>
    <w:p w:rsidR="00AC7C19" w:rsidRDefault="00AC7C19" w:rsidP="0077007D">
      <w:pPr>
        <w:pStyle w:val="NormalWeb"/>
        <w:spacing w:before="0" w:beforeAutospacing="0" w:after="0" w:afterAutospacing="0" w:line="360" w:lineRule="auto"/>
        <w:rPr>
          <w:color w:val="000000"/>
          <w:shd w:val="clear" w:color="auto" w:fill="FFFFFF"/>
        </w:rPr>
      </w:pPr>
    </w:p>
    <w:p w:rsidR="0077007D" w:rsidRDefault="0077007D" w:rsidP="0077007D">
      <w:pPr>
        <w:pStyle w:val="NormalWeb"/>
        <w:spacing w:before="0" w:beforeAutospacing="0" w:after="0" w:afterAutospacing="0" w:line="360" w:lineRule="auto"/>
        <w:ind w:firstLine="1440"/>
        <w:rPr>
          <w:color w:val="000000"/>
          <w:shd w:val="clear" w:color="auto" w:fill="FFFFFF"/>
        </w:rPr>
      </w:pPr>
      <w:r>
        <w:rPr>
          <w:color w:val="000000"/>
          <w:shd w:val="clear" w:color="auto" w:fill="FFFFFF"/>
        </w:rPr>
        <w:t xml:space="preserve">In his Rebuttal Testimony, Columbia witness Evans testified that residential developers pass along any </w:t>
      </w:r>
      <w:r w:rsidR="00AA3877">
        <w:rPr>
          <w:color w:val="000000"/>
          <w:shd w:val="clear" w:color="auto" w:fill="FFFFFF"/>
        </w:rPr>
        <w:t>up front</w:t>
      </w:r>
      <w:r>
        <w:rPr>
          <w:color w:val="000000"/>
          <w:shd w:val="clear" w:color="auto" w:fill="FFFFFF"/>
        </w:rPr>
        <w:t xml:space="preserve"> costs for extensions and carrying costs to homeowners in the costs charged for the homes or lots in the developments, but some developers avoid natural gas due to the </w:t>
      </w:r>
      <w:r w:rsidR="00AA3877">
        <w:rPr>
          <w:color w:val="000000"/>
          <w:shd w:val="clear" w:color="auto" w:fill="FFFFFF"/>
        </w:rPr>
        <w:t>up front</w:t>
      </w:r>
      <w:r>
        <w:rPr>
          <w:color w:val="000000"/>
          <w:shd w:val="clear" w:color="auto" w:fill="FFFFFF"/>
        </w:rPr>
        <w:t xml:space="preserve"> cost.  (Columbia Statement No. 1-R, p. 10).  Additionally, Mr. Evans testified that residential developers can bring natural gas service to a large number of new customers, which would achieve one of the purposes of the pilot program to expand natural gas service in the Commonwealth.  </w:t>
      </w:r>
      <w:r w:rsidRPr="00F30F22">
        <w:rPr>
          <w:i/>
          <w:color w:val="000000"/>
          <w:shd w:val="clear" w:color="auto" w:fill="FFFFFF"/>
        </w:rPr>
        <w:t>Id</w:t>
      </w:r>
      <w:r>
        <w:rPr>
          <w:color w:val="000000"/>
          <w:shd w:val="clear" w:color="auto" w:fill="FFFFFF"/>
        </w:rPr>
        <w:t xml:space="preserve">.; OCA M.B., p. 26.  </w:t>
      </w:r>
    </w:p>
    <w:p w:rsidR="0077007D" w:rsidRDefault="0077007D" w:rsidP="0077007D">
      <w:pPr>
        <w:pStyle w:val="NormalWeb"/>
        <w:spacing w:before="0" w:beforeAutospacing="0" w:after="0" w:afterAutospacing="0" w:line="360" w:lineRule="auto"/>
        <w:ind w:firstLine="1440"/>
        <w:rPr>
          <w:color w:val="000000"/>
          <w:shd w:val="clear" w:color="auto" w:fill="FFFFFF"/>
        </w:rPr>
      </w:pPr>
    </w:p>
    <w:p w:rsidR="0077007D" w:rsidRDefault="0077007D" w:rsidP="0077007D">
      <w:pPr>
        <w:pStyle w:val="NormalWeb"/>
        <w:spacing w:before="0" w:beforeAutospacing="0" w:after="0" w:afterAutospacing="0" w:line="360" w:lineRule="auto"/>
        <w:ind w:firstLine="1440"/>
        <w:rPr>
          <w:color w:val="000000"/>
          <w:shd w:val="clear" w:color="auto" w:fill="FFFFFF"/>
        </w:rPr>
      </w:pPr>
      <w:r>
        <w:rPr>
          <w:color w:val="000000"/>
          <w:shd w:val="clear" w:color="auto" w:fill="FFFFFF"/>
        </w:rPr>
        <w:t xml:space="preserve">The OCA submits that there is no evidence to support Columbia’s position that developers avoid natural gas due to the </w:t>
      </w:r>
      <w:proofErr w:type="spellStart"/>
      <w:r w:rsidR="00AA3877">
        <w:rPr>
          <w:color w:val="000000"/>
          <w:shd w:val="clear" w:color="auto" w:fill="FFFFFF"/>
        </w:rPr>
        <w:t>up front</w:t>
      </w:r>
      <w:proofErr w:type="spellEnd"/>
      <w:r>
        <w:rPr>
          <w:color w:val="000000"/>
          <w:shd w:val="clear" w:color="auto" w:fill="FFFFFF"/>
        </w:rPr>
        <w:t xml:space="preserve"> costs of extensions.  Mr. Watkins testified that Columbia had provided the economic analyses and underlying information for a random sampling of the 2013 requests to Columbia for main extension economic analyses.  (Tr. 34-35).  Mr. Watkins testified that he determined that there were two requests for economic analyses by developers in the sampling provided by Columbia.  (Tr. 35).  Of these two requests for economic analyses by developers in 2013, Mr. Watkins testified that both requests were economic or, in other words, that neither analyses resulted in an </w:t>
      </w:r>
      <w:r w:rsidR="00AA3877">
        <w:rPr>
          <w:color w:val="000000"/>
          <w:shd w:val="clear" w:color="auto" w:fill="FFFFFF"/>
        </w:rPr>
        <w:t>up front</w:t>
      </w:r>
      <w:r>
        <w:rPr>
          <w:color w:val="000000"/>
          <w:shd w:val="clear" w:color="auto" w:fill="FFFFFF"/>
        </w:rPr>
        <w:t xml:space="preserve"> deposit.  (Tr. 36); OCA M.B., p. 26.  </w:t>
      </w:r>
    </w:p>
    <w:p w:rsidR="0077007D" w:rsidRDefault="0077007D" w:rsidP="0077007D">
      <w:pPr>
        <w:pStyle w:val="NormalWeb"/>
        <w:spacing w:before="0" w:beforeAutospacing="0" w:after="0" w:afterAutospacing="0" w:line="360" w:lineRule="auto"/>
        <w:ind w:firstLine="1440"/>
        <w:rPr>
          <w:color w:val="000000"/>
          <w:shd w:val="clear" w:color="auto" w:fill="FFFFFF"/>
        </w:rPr>
      </w:pPr>
    </w:p>
    <w:p w:rsidR="0077007D" w:rsidRDefault="0077007D" w:rsidP="0077007D">
      <w:pPr>
        <w:pStyle w:val="NormalWeb"/>
        <w:spacing w:before="0" w:beforeAutospacing="0" w:after="0" w:afterAutospacing="0" w:line="360" w:lineRule="auto"/>
        <w:ind w:firstLine="1440"/>
        <w:rPr>
          <w:color w:val="000000"/>
          <w:shd w:val="clear" w:color="auto" w:fill="FFFFFF"/>
        </w:rPr>
      </w:pPr>
      <w:r>
        <w:rPr>
          <w:color w:val="000000"/>
          <w:shd w:val="clear" w:color="auto" w:fill="FFFFFF"/>
        </w:rPr>
        <w:t xml:space="preserve">Of additional concern to the OCA, Columbia witness Evans testified that </w:t>
      </w:r>
      <w:r w:rsidRPr="0077007D">
        <w:rPr>
          <w:color w:val="000000"/>
          <w:shd w:val="clear" w:color="auto" w:fill="FFFFFF"/>
        </w:rPr>
        <w:t xml:space="preserve">Columbia’s Pilot Rider NAS program does not require </w:t>
      </w:r>
      <w:r w:rsidRPr="00DF1CA5">
        <w:rPr>
          <w:color w:val="000000"/>
          <w:shd w:val="clear" w:color="auto" w:fill="FFFFFF"/>
        </w:rPr>
        <w:t>bona fide</w:t>
      </w:r>
      <w:r w:rsidRPr="0077007D">
        <w:rPr>
          <w:color w:val="000000"/>
          <w:shd w:val="clear" w:color="auto" w:fill="FFFFFF"/>
        </w:rPr>
        <w:t xml:space="preserve"> developers to notify homebuyers that they will be responsible for the Pilot Rider NAS surcharge, yet homebuyers must consent to payment of the surcharge when they call Columbia to turn on natural gas service before the Company will do so.</w:t>
      </w:r>
      <w:r w:rsidRPr="0077007D">
        <w:rPr>
          <w:b/>
          <w:color w:val="000000"/>
          <w:shd w:val="clear" w:color="auto" w:fill="FFFFFF"/>
        </w:rPr>
        <w:t xml:space="preserve">  </w:t>
      </w:r>
      <w:r>
        <w:rPr>
          <w:color w:val="000000"/>
          <w:shd w:val="clear" w:color="auto" w:fill="FFFFFF"/>
        </w:rPr>
        <w:t xml:space="preserve">(Tr. 17).  The OCA asserts Mr. Evans agreed that homebuyers may not have any knowledge of the Pilot Rider NAS surcharge until they call Columbia to turn on natural gas service.  (Tr. 17-18).  By the time the homeowner requests natural gas service, the OCA submits that the opportunity to borrow the amount needed to pay the CIAC up front with a primary mortgage is missed.  OCA M.B., pp. 26-27.  </w:t>
      </w:r>
    </w:p>
    <w:p w:rsidR="0077007D" w:rsidRDefault="0077007D" w:rsidP="0077007D">
      <w:pPr>
        <w:pStyle w:val="NormalWeb"/>
        <w:spacing w:before="0" w:beforeAutospacing="0" w:after="0" w:afterAutospacing="0" w:line="360" w:lineRule="auto"/>
        <w:ind w:firstLine="1440"/>
        <w:rPr>
          <w:color w:val="000000"/>
          <w:shd w:val="clear" w:color="auto" w:fill="FFFFFF"/>
        </w:rPr>
      </w:pPr>
      <w:r>
        <w:rPr>
          <w:color w:val="000000"/>
          <w:shd w:val="clear" w:color="auto" w:fill="FFFFFF"/>
        </w:rPr>
        <w:t>The OCA submits that not only has Columbia failed to provide any evidence of a need by residential developers for an alternative funding mechanism for natural gas extensions, but allowing residential developers to use Pilot Rider NAS would likely lead to other complications in the access to service by new customers.  The OCA argues that, with appropriate notice, homebuyers might have rolled their portion of the Pilot Rider NAS costs into their mortgages, or they may have determined to purchase another home or lot outside of the development.  Should a need for an alternative extension program for developers be determined, the OCA submits that Columbia should design a program specifically for developers.  Based on the foregoing, the OCA submits that Columbia’s Pilot Rider NAS program should be available only to residential</w:t>
      </w:r>
      <w:r w:rsidRPr="00D77220">
        <w:rPr>
          <w:color w:val="000000"/>
          <w:shd w:val="clear" w:color="auto" w:fill="FFFFFF"/>
        </w:rPr>
        <w:t xml:space="preserve"> </w:t>
      </w:r>
      <w:r>
        <w:rPr>
          <w:color w:val="000000"/>
          <w:shd w:val="clear" w:color="auto" w:fill="FFFFFF"/>
        </w:rPr>
        <w:t>homeowners.</w:t>
      </w:r>
      <w:r w:rsidR="00D953BF">
        <w:rPr>
          <w:color w:val="000000"/>
          <w:shd w:val="clear" w:color="auto" w:fill="FFFFFF"/>
        </w:rPr>
        <w:t xml:space="preserve">  OCA M.B., p. 27.</w:t>
      </w:r>
      <w:r>
        <w:rPr>
          <w:color w:val="000000"/>
          <w:shd w:val="clear" w:color="auto" w:fill="FFFFFF"/>
        </w:rPr>
        <w:t xml:space="preserve">  </w:t>
      </w:r>
    </w:p>
    <w:p w:rsidR="0077007D" w:rsidRDefault="0077007D" w:rsidP="0077007D">
      <w:pPr>
        <w:pStyle w:val="NormalWeb"/>
        <w:spacing w:before="0" w:beforeAutospacing="0" w:after="0" w:afterAutospacing="0" w:line="360" w:lineRule="auto"/>
        <w:ind w:firstLine="1440"/>
        <w:rPr>
          <w:color w:val="000000"/>
          <w:shd w:val="clear" w:color="auto" w:fill="FFFFFF"/>
        </w:rPr>
      </w:pPr>
    </w:p>
    <w:p w:rsidR="0077007D" w:rsidRDefault="0077007D" w:rsidP="0077007D">
      <w:pPr>
        <w:pStyle w:val="NormalWeb"/>
        <w:spacing w:before="0" w:beforeAutospacing="0" w:after="0" w:afterAutospacing="0" w:line="360" w:lineRule="auto"/>
        <w:ind w:firstLine="1440"/>
        <w:rPr>
          <w:color w:val="000000"/>
          <w:shd w:val="clear" w:color="auto" w:fill="FFFFFF"/>
        </w:rPr>
      </w:pPr>
      <w:r>
        <w:rPr>
          <w:color w:val="000000"/>
          <w:shd w:val="clear" w:color="auto" w:fill="FFFFFF"/>
        </w:rPr>
        <w:t xml:space="preserve">The OCA opines that it is not reasonable public policy to approve a program that, as designed, would likely result in disputes between developers and homebuyers in instances where the developer does not advise the buyer of the Pilot Rider NAS surcharge and required payment before closing.  OCA R.B., p. 14.  </w:t>
      </w:r>
    </w:p>
    <w:p w:rsidR="0077007D" w:rsidRDefault="0077007D" w:rsidP="0077007D">
      <w:pPr>
        <w:pStyle w:val="NormalWeb"/>
        <w:spacing w:before="0" w:beforeAutospacing="0" w:after="0" w:afterAutospacing="0" w:line="360" w:lineRule="auto"/>
        <w:ind w:firstLine="1440"/>
        <w:rPr>
          <w:color w:val="000000"/>
          <w:shd w:val="clear" w:color="auto" w:fill="FFFFFF"/>
        </w:rPr>
      </w:pPr>
    </w:p>
    <w:p w:rsidR="0077007D" w:rsidRDefault="0077007D" w:rsidP="0077007D">
      <w:pPr>
        <w:pStyle w:val="NormalWeb"/>
        <w:spacing w:before="0" w:beforeAutospacing="0" w:after="0" w:afterAutospacing="0" w:line="360" w:lineRule="auto"/>
        <w:ind w:firstLine="1440"/>
        <w:rPr>
          <w:color w:val="000000"/>
          <w:shd w:val="clear" w:color="auto" w:fill="FFFFFF"/>
        </w:rPr>
      </w:pPr>
      <w:r>
        <w:rPr>
          <w:color w:val="000000"/>
          <w:shd w:val="clear" w:color="auto" w:fill="FFFFFF"/>
        </w:rPr>
        <w:t xml:space="preserve">The OCA’s position is that more expansion should be encouraged.  The OCA believes the inclusion of developers in the Pilot Rider NAS program is not in the public interest.  According to the OCA, Columbia could develop and propose a program just for developers to better achieve the goal of expansion and address the unique circumstances presented by developers.  OCA R.B., p. 15. </w:t>
      </w:r>
    </w:p>
    <w:p w:rsidR="0077007D" w:rsidRDefault="0077007D" w:rsidP="0077007D">
      <w:pPr>
        <w:pStyle w:val="NormalWeb"/>
        <w:spacing w:before="0" w:beforeAutospacing="0" w:after="0" w:afterAutospacing="0" w:line="360" w:lineRule="auto"/>
        <w:ind w:firstLine="1440"/>
        <w:rPr>
          <w:color w:val="000000"/>
          <w:shd w:val="clear" w:color="auto" w:fill="FFFFFF"/>
        </w:rPr>
      </w:pPr>
    </w:p>
    <w:p w:rsidR="005104D1" w:rsidRDefault="0077007D" w:rsidP="0077007D">
      <w:pPr>
        <w:pStyle w:val="NormalWeb"/>
        <w:spacing w:before="0" w:beforeAutospacing="0" w:after="0" w:afterAutospacing="0" w:line="360" w:lineRule="auto"/>
        <w:ind w:firstLine="1440"/>
        <w:rPr>
          <w:color w:val="000000"/>
          <w:shd w:val="clear" w:color="auto" w:fill="FFFFFF"/>
        </w:rPr>
      </w:pPr>
      <w:r>
        <w:rPr>
          <w:color w:val="000000"/>
          <w:shd w:val="clear" w:color="auto" w:fill="FFFFFF"/>
        </w:rPr>
        <w:t xml:space="preserve">The undersigned Administrative Law Judge believes the OCA has identified foreseeable problems with allowing </w:t>
      </w:r>
      <w:r w:rsidRPr="00DF1CA5">
        <w:rPr>
          <w:color w:val="000000"/>
          <w:shd w:val="clear" w:color="auto" w:fill="FFFFFF"/>
        </w:rPr>
        <w:t>bona fide</w:t>
      </w:r>
      <w:r>
        <w:rPr>
          <w:color w:val="000000"/>
          <w:shd w:val="clear" w:color="auto" w:fill="FFFFFF"/>
        </w:rPr>
        <w:t xml:space="preserve"> developers to participate in the Pilot Rider NAS</w:t>
      </w:r>
      <w:r w:rsidR="005104D1">
        <w:rPr>
          <w:color w:val="000000"/>
          <w:shd w:val="clear" w:color="auto" w:fill="FFFFFF"/>
        </w:rPr>
        <w:t xml:space="preserve"> program</w:t>
      </w:r>
      <w:r>
        <w:rPr>
          <w:color w:val="000000"/>
          <w:shd w:val="clear" w:color="auto" w:fill="FFFFFF"/>
        </w:rPr>
        <w:t>.  Of parti</w:t>
      </w:r>
      <w:r w:rsidR="005104D1">
        <w:rPr>
          <w:color w:val="000000"/>
          <w:shd w:val="clear" w:color="auto" w:fill="FFFFFF"/>
        </w:rPr>
        <w:t xml:space="preserve">cular concern is that </w:t>
      </w:r>
      <w:r w:rsidR="005104D1" w:rsidRPr="0077007D">
        <w:rPr>
          <w:color w:val="000000"/>
          <w:shd w:val="clear" w:color="auto" w:fill="FFFFFF"/>
        </w:rPr>
        <w:t xml:space="preserve">Columbia’s Pilot Rider NAS program does not require </w:t>
      </w:r>
      <w:r w:rsidR="005104D1" w:rsidRPr="00DF1CA5">
        <w:rPr>
          <w:color w:val="000000"/>
          <w:shd w:val="clear" w:color="auto" w:fill="FFFFFF"/>
        </w:rPr>
        <w:t>bona fide</w:t>
      </w:r>
      <w:r w:rsidR="005104D1" w:rsidRPr="0077007D">
        <w:rPr>
          <w:color w:val="000000"/>
          <w:shd w:val="clear" w:color="auto" w:fill="FFFFFF"/>
        </w:rPr>
        <w:t xml:space="preserve"> developers to notify homebuyers that they will be responsible for the Pilot Rider NAS surcharge, yet homebuyers must consent to payment of the surcharge when they call Columbia to turn on natural gas service before the Company will do so.</w:t>
      </w:r>
      <w:r w:rsidR="005104D1" w:rsidRPr="0077007D">
        <w:rPr>
          <w:b/>
          <w:color w:val="000000"/>
          <w:shd w:val="clear" w:color="auto" w:fill="FFFFFF"/>
        </w:rPr>
        <w:t xml:space="preserve">  </w:t>
      </w:r>
      <w:r w:rsidR="005104D1">
        <w:rPr>
          <w:color w:val="000000"/>
          <w:shd w:val="clear" w:color="auto" w:fill="FFFFFF"/>
        </w:rPr>
        <w:t xml:space="preserve">(Tr. 17). </w:t>
      </w:r>
      <w:r w:rsidR="00731AFE">
        <w:rPr>
          <w:color w:val="000000"/>
          <w:shd w:val="clear" w:color="auto" w:fill="FFFFFF"/>
        </w:rPr>
        <w:t xml:space="preserve"> In addition, there are no property records that could be accessed </w:t>
      </w:r>
      <w:r w:rsidR="00C96B8A">
        <w:rPr>
          <w:color w:val="000000"/>
          <w:shd w:val="clear" w:color="auto" w:fill="FFFFFF"/>
        </w:rPr>
        <w:t xml:space="preserve">by purchasers </w:t>
      </w:r>
      <w:r w:rsidR="00731AFE">
        <w:rPr>
          <w:color w:val="000000"/>
          <w:shd w:val="clear" w:color="auto" w:fill="FFFFFF"/>
        </w:rPr>
        <w:t xml:space="preserve">at the Court of Common Pleas where the property is situate to obtain information regarding the Pilot Rider NAS surcharge prior to entering into an agreement of sale and purchasing </w:t>
      </w:r>
      <w:r w:rsidR="004B0BAC">
        <w:rPr>
          <w:color w:val="000000"/>
          <w:shd w:val="clear" w:color="auto" w:fill="FFFFFF"/>
        </w:rPr>
        <w:t>a</w:t>
      </w:r>
      <w:r w:rsidR="00731AFE">
        <w:rPr>
          <w:color w:val="000000"/>
          <w:shd w:val="clear" w:color="auto" w:fill="FFFFFF"/>
        </w:rPr>
        <w:t xml:space="preserve"> property.  </w:t>
      </w:r>
      <w:r w:rsidR="005104D1">
        <w:rPr>
          <w:color w:val="000000"/>
          <w:shd w:val="clear" w:color="auto" w:fill="FFFFFF"/>
        </w:rPr>
        <w:t xml:space="preserve"> </w:t>
      </w:r>
    </w:p>
    <w:p w:rsidR="005104D1" w:rsidRDefault="005104D1" w:rsidP="0077007D">
      <w:pPr>
        <w:pStyle w:val="NormalWeb"/>
        <w:spacing w:before="0" w:beforeAutospacing="0" w:after="0" w:afterAutospacing="0" w:line="360" w:lineRule="auto"/>
        <w:ind w:firstLine="1440"/>
        <w:rPr>
          <w:color w:val="000000"/>
          <w:shd w:val="clear" w:color="auto" w:fill="FFFFFF"/>
        </w:rPr>
      </w:pPr>
    </w:p>
    <w:p w:rsidR="005104D1" w:rsidRDefault="005104D1" w:rsidP="0077007D">
      <w:pPr>
        <w:pStyle w:val="NormalWeb"/>
        <w:spacing w:before="0" w:beforeAutospacing="0" w:after="0" w:afterAutospacing="0" w:line="360" w:lineRule="auto"/>
        <w:ind w:firstLine="1440"/>
        <w:rPr>
          <w:color w:val="000000"/>
          <w:shd w:val="clear" w:color="auto" w:fill="FFFFFF"/>
        </w:rPr>
      </w:pPr>
      <w:r>
        <w:rPr>
          <w:color w:val="000000"/>
          <w:shd w:val="clear" w:color="auto" w:fill="FFFFFF"/>
        </w:rPr>
        <w:t>A developer could conceal or fail to disclose the fact that it is participating in the Pilot Rider NAS program to an unsuspecting homebuyer.  The homebuyer may agree to a price for the home relying on the assumption that natural gas service will be available and that the cost</w:t>
      </w:r>
      <w:r w:rsidR="00731AFE">
        <w:rPr>
          <w:color w:val="000000"/>
          <w:shd w:val="clear" w:color="auto" w:fill="FFFFFF"/>
        </w:rPr>
        <w:t xml:space="preserve"> of the </w:t>
      </w:r>
      <w:r>
        <w:rPr>
          <w:color w:val="000000"/>
          <w:shd w:val="clear" w:color="auto" w:fill="FFFFFF"/>
        </w:rPr>
        <w:t>infrastructure necessary for delivering the gas has been factored</w:t>
      </w:r>
      <w:r w:rsidR="00731AFE">
        <w:rPr>
          <w:color w:val="000000"/>
          <w:shd w:val="clear" w:color="auto" w:fill="FFFFFF"/>
        </w:rPr>
        <w:t xml:space="preserve"> into the purchase price.  A homebuyer who, after closing on the home, calls Columbia and is made aware for the first time that he must agree to a surcharge as high as $35</w:t>
      </w:r>
      <w:r w:rsidR="003D4426">
        <w:rPr>
          <w:color w:val="000000"/>
          <w:shd w:val="clear" w:color="auto" w:fill="FFFFFF"/>
        </w:rPr>
        <w:t>.00</w:t>
      </w:r>
      <w:r w:rsidR="00731AFE">
        <w:rPr>
          <w:color w:val="000000"/>
          <w:shd w:val="clear" w:color="auto" w:fill="FFFFFF"/>
        </w:rPr>
        <w:t xml:space="preserve"> per month for 20 years would more than likely be confused, surprised and angry.  The homebuyer may agree to pay the Pilot Rider NAS surcharge in order to establish service but </w:t>
      </w:r>
      <w:r w:rsidR="004B0BAC">
        <w:rPr>
          <w:color w:val="000000"/>
          <w:shd w:val="clear" w:color="auto" w:fill="FFFFFF"/>
        </w:rPr>
        <w:t xml:space="preserve">subsequently refuse to pay it because he was not notified.  The Pilot Rider NAS program does not permit termination for failure to pay the monthly surcharge.  Columbia must resort to collection methods.  Obtaining judgments against homebuyers and then executing on judgments in an effort to collect unpaid monthly surcharges results in collection costs, including attorneys’ fees.  In addition, collection efforts would involve using Columbia’s resources and result in costs that cannot be collected and may, perhaps, be difficult to quantify. </w:t>
      </w:r>
      <w:r w:rsidR="00184657">
        <w:rPr>
          <w:color w:val="000000"/>
          <w:shd w:val="clear" w:color="auto" w:fill="FFFFFF"/>
        </w:rPr>
        <w:t xml:space="preserve"> </w:t>
      </w:r>
      <w:r w:rsidR="005908C1">
        <w:rPr>
          <w:color w:val="000000"/>
          <w:shd w:val="clear" w:color="auto" w:fill="FFFFFF"/>
        </w:rPr>
        <w:t xml:space="preserve">Columbia’s </w:t>
      </w:r>
      <w:r w:rsidR="00184657">
        <w:rPr>
          <w:color w:val="000000"/>
          <w:shd w:val="clear" w:color="auto" w:fill="FFFFFF"/>
        </w:rPr>
        <w:t>Pilot Rider NAS program provides that the unpaid charge</w:t>
      </w:r>
      <w:r w:rsidR="005908C1">
        <w:rPr>
          <w:color w:val="000000"/>
          <w:shd w:val="clear" w:color="auto" w:fill="FFFFFF"/>
        </w:rPr>
        <w:t>s</w:t>
      </w:r>
      <w:r w:rsidR="00184657">
        <w:rPr>
          <w:color w:val="000000"/>
          <w:shd w:val="clear" w:color="auto" w:fill="FFFFFF"/>
        </w:rPr>
        <w:t xml:space="preserve"> remain in rate base.</w:t>
      </w:r>
      <w:r w:rsidR="004B0BAC">
        <w:rPr>
          <w:color w:val="000000"/>
          <w:shd w:val="clear" w:color="auto" w:fill="FFFFFF"/>
        </w:rPr>
        <w:t xml:space="preserve">  </w:t>
      </w:r>
      <w:r w:rsidR="00731AFE">
        <w:rPr>
          <w:color w:val="000000"/>
          <w:shd w:val="clear" w:color="auto" w:fill="FFFFFF"/>
        </w:rPr>
        <w:t xml:space="preserve">   </w:t>
      </w:r>
      <w:r>
        <w:rPr>
          <w:color w:val="000000"/>
          <w:shd w:val="clear" w:color="auto" w:fill="FFFFFF"/>
        </w:rPr>
        <w:t xml:space="preserve">    </w:t>
      </w:r>
    </w:p>
    <w:p w:rsidR="005104D1" w:rsidRDefault="005104D1" w:rsidP="0077007D">
      <w:pPr>
        <w:pStyle w:val="NormalWeb"/>
        <w:spacing w:before="0" w:beforeAutospacing="0" w:after="0" w:afterAutospacing="0" w:line="360" w:lineRule="auto"/>
        <w:ind w:firstLine="1440"/>
        <w:rPr>
          <w:color w:val="000000"/>
          <w:shd w:val="clear" w:color="auto" w:fill="FFFFFF"/>
        </w:rPr>
      </w:pPr>
    </w:p>
    <w:p w:rsidR="00E41A47" w:rsidRDefault="005104D1" w:rsidP="0077007D">
      <w:pPr>
        <w:pStyle w:val="NormalWeb"/>
        <w:spacing w:before="0" w:beforeAutospacing="0" w:after="0" w:afterAutospacing="0" w:line="360" w:lineRule="auto"/>
        <w:ind w:firstLine="1440"/>
        <w:rPr>
          <w:color w:val="000000"/>
          <w:shd w:val="clear" w:color="auto" w:fill="FFFFFF"/>
        </w:rPr>
      </w:pPr>
      <w:r>
        <w:rPr>
          <w:color w:val="000000"/>
          <w:shd w:val="clear" w:color="auto" w:fill="FFFFFF"/>
        </w:rPr>
        <w:t>The OCA’s position that, because of the problems it has identified with notification, developers should not be permitted to participate in the program is a bit extreme</w:t>
      </w:r>
      <w:r w:rsidR="00E41A47">
        <w:rPr>
          <w:color w:val="000000"/>
          <w:shd w:val="clear" w:color="auto" w:fill="FFFFFF"/>
        </w:rPr>
        <w:t xml:space="preserve"> and would be contrary to </w:t>
      </w:r>
      <w:r w:rsidR="0051101D">
        <w:rPr>
          <w:color w:val="000000"/>
          <w:shd w:val="clear" w:color="auto" w:fill="FFFFFF"/>
        </w:rPr>
        <w:t xml:space="preserve">the </w:t>
      </w:r>
      <w:r w:rsidR="00E41A47">
        <w:rPr>
          <w:color w:val="000000"/>
          <w:shd w:val="clear" w:color="auto" w:fill="FFFFFF"/>
        </w:rPr>
        <w:t>stated purpose of the program (expanding residential natural gas service).</w:t>
      </w:r>
      <w:r>
        <w:rPr>
          <w:color w:val="000000"/>
          <w:shd w:val="clear" w:color="auto" w:fill="FFFFFF"/>
        </w:rPr>
        <w:t xml:space="preserve">  However, the undersigned believes that the Commission must impose conditions to allay the OCA’s concerns and insure that potential homebuyers know what they are getting into when they purchase a tract of land, developed or undeveloped, from a developer.</w:t>
      </w:r>
    </w:p>
    <w:p w:rsidR="00E41A47" w:rsidRDefault="00E41A47" w:rsidP="0077007D">
      <w:pPr>
        <w:pStyle w:val="NormalWeb"/>
        <w:spacing w:before="0" w:beforeAutospacing="0" w:after="0" w:afterAutospacing="0" w:line="360" w:lineRule="auto"/>
        <w:ind w:firstLine="1440"/>
        <w:rPr>
          <w:color w:val="000000"/>
          <w:shd w:val="clear" w:color="auto" w:fill="FFFFFF"/>
        </w:rPr>
      </w:pPr>
    </w:p>
    <w:p w:rsidR="009104DB" w:rsidRDefault="00E41A47" w:rsidP="0077007D">
      <w:pPr>
        <w:pStyle w:val="NormalWeb"/>
        <w:spacing w:before="0" w:beforeAutospacing="0" w:after="0" w:afterAutospacing="0" w:line="360" w:lineRule="auto"/>
        <w:ind w:firstLine="1440"/>
        <w:rPr>
          <w:color w:val="000000"/>
          <w:shd w:val="clear" w:color="auto" w:fill="FFFFFF"/>
        </w:rPr>
      </w:pPr>
      <w:r>
        <w:rPr>
          <w:color w:val="000000"/>
          <w:shd w:val="clear" w:color="auto" w:fill="FFFFFF"/>
        </w:rPr>
        <w:t xml:space="preserve">In order to participate in the Pilot Rider NAS program, </w:t>
      </w:r>
      <w:r w:rsidRPr="00BF267C">
        <w:rPr>
          <w:color w:val="000000"/>
          <w:shd w:val="clear" w:color="auto" w:fill="FFFFFF"/>
        </w:rPr>
        <w:t>bona fide</w:t>
      </w:r>
      <w:r w:rsidR="009104DB">
        <w:rPr>
          <w:color w:val="000000"/>
          <w:shd w:val="clear" w:color="auto" w:fill="FFFFFF"/>
        </w:rPr>
        <w:t xml:space="preserve"> developers should </w:t>
      </w:r>
      <w:r>
        <w:rPr>
          <w:color w:val="000000"/>
          <w:shd w:val="clear" w:color="auto" w:fill="FFFFFF"/>
        </w:rPr>
        <w:t>be required to place a note on any final subdivision plan approved and recorded in the Recorder of Deeds of the Court of Common Pleas where the property is situate stating that the residential lots in [the proposed development specifically identified] that have gas meters can</w:t>
      </w:r>
      <w:r w:rsidR="009104DB">
        <w:rPr>
          <w:color w:val="000000"/>
          <w:shd w:val="clear" w:color="auto" w:fill="FFFFFF"/>
        </w:rPr>
        <w:t xml:space="preserve"> only receive </w:t>
      </w:r>
      <w:r>
        <w:rPr>
          <w:color w:val="000000"/>
          <w:shd w:val="clear" w:color="auto" w:fill="FFFFFF"/>
        </w:rPr>
        <w:t xml:space="preserve">natural gas utility service </w:t>
      </w:r>
      <w:r w:rsidR="009104DB">
        <w:rPr>
          <w:color w:val="000000"/>
          <w:shd w:val="clear" w:color="auto" w:fill="FFFFFF"/>
        </w:rPr>
        <w:t xml:space="preserve">from Columbia if the lot owner </w:t>
      </w:r>
      <w:r>
        <w:rPr>
          <w:color w:val="000000"/>
          <w:shd w:val="clear" w:color="auto" w:fill="FFFFFF"/>
        </w:rPr>
        <w:t>agree</w:t>
      </w:r>
      <w:r w:rsidR="009104DB">
        <w:rPr>
          <w:color w:val="000000"/>
          <w:shd w:val="clear" w:color="auto" w:fill="FFFFFF"/>
        </w:rPr>
        <w:t>s</w:t>
      </w:r>
      <w:r>
        <w:rPr>
          <w:color w:val="000000"/>
          <w:shd w:val="clear" w:color="auto" w:fill="FFFFFF"/>
        </w:rPr>
        <w:t xml:space="preserve"> to pay a monthly </w:t>
      </w:r>
      <w:r w:rsidR="009104DB">
        <w:rPr>
          <w:color w:val="000000"/>
          <w:shd w:val="clear" w:color="auto" w:fill="FFFFFF"/>
        </w:rPr>
        <w:t>Pilot Rider NAS surcharge [</w:t>
      </w:r>
      <w:r w:rsidR="009104DB" w:rsidRPr="00803953">
        <w:t>Supplement No. 210 to Tariff Gas PA. P.U.C. No. 9</w:t>
      </w:r>
      <w:r w:rsidR="009104DB">
        <w:t>]</w:t>
      </w:r>
      <w:r w:rsidR="009104DB">
        <w:rPr>
          <w:color w:val="000000"/>
          <w:shd w:val="clear" w:color="auto" w:fill="FFFFFF"/>
        </w:rPr>
        <w:t xml:space="preserve"> </w:t>
      </w:r>
      <w:r>
        <w:rPr>
          <w:color w:val="000000"/>
          <w:shd w:val="clear" w:color="auto" w:fill="FFFFFF"/>
        </w:rPr>
        <w:t>not to exceed $35</w:t>
      </w:r>
      <w:r w:rsidR="00226B08">
        <w:rPr>
          <w:color w:val="000000"/>
          <w:shd w:val="clear" w:color="auto" w:fill="FFFFFF"/>
        </w:rPr>
        <w:t>.00</w:t>
      </w:r>
      <w:r>
        <w:rPr>
          <w:color w:val="000000"/>
          <w:shd w:val="clear" w:color="auto" w:fill="FFFFFF"/>
        </w:rPr>
        <w:t xml:space="preserve"> for a period of 20 years.</w:t>
      </w:r>
      <w:r w:rsidR="009104DB">
        <w:rPr>
          <w:color w:val="000000"/>
          <w:shd w:val="clear" w:color="auto" w:fill="FFFFFF"/>
        </w:rPr>
        <w:t xml:space="preserve">  Lenders and homebuyers would then be able to review the subdivision plan and obtain the information needed to make an informed decision regarding purchase.</w:t>
      </w:r>
    </w:p>
    <w:p w:rsidR="009104DB" w:rsidRDefault="009104DB" w:rsidP="0077007D">
      <w:pPr>
        <w:pStyle w:val="NormalWeb"/>
        <w:spacing w:before="0" w:beforeAutospacing="0" w:after="0" w:afterAutospacing="0" w:line="360" w:lineRule="auto"/>
        <w:ind w:firstLine="1440"/>
        <w:rPr>
          <w:color w:val="000000"/>
          <w:shd w:val="clear" w:color="auto" w:fill="FFFFFF"/>
        </w:rPr>
      </w:pPr>
    </w:p>
    <w:p w:rsidR="00032433" w:rsidRDefault="009104DB" w:rsidP="0077007D">
      <w:pPr>
        <w:pStyle w:val="NormalWeb"/>
        <w:spacing w:before="0" w:beforeAutospacing="0" w:after="0" w:afterAutospacing="0" w:line="360" w:lineRule="auto"/>
        <w:ind w:firstLine="1440"/>
        <w:rPr>
          <w:color w:val="000000"/>
          <w:shd w:val="clear" w:color="auto" w:fill="FFFFFF"/>
        </w:rPr>
      </w:pPr>
      <w:r>
        <w:rPr>
          <w:color w:val="000000"/>
          <w:shd w:val="clear" w:color="auto" w:fill="FFFFFF"/>
        </w:rPr>
        <w:t xml:space="preserve">Additionally, in order to participate in the Pilot Rider NAS program, </w:t>
      </w:r>
      <w:r w:rsidRPr="00BF267C">
        <w:rPr>
          <w:color w:val="000000"/>
          <w:shd w:val="clear" w:color="auto" w:fill="FFFFFF"/>
        </w:rPr>
        <w:t>bona fide</w:t>
      </w:r>
      <w:r>
        <w:rPr>
          <w:color w:val="000000"/>
          <w:shd w:val="clear" w:color="auto" w:fill="FFFFFF"/>
        </w:rPr>
        <w:t xml:space="preserve"> developers should be required to have purchasers of residential lots sign a form, similar to a Truth-in-Lending Di</w:t>
      </w:r>
      <w:r w:rsidR="00032433">
        <w:rPr>
          <w:color w:val="000000"/>
          <w:shd w:val="clear" w:color="auto" w:fill="FFFFFF"/>
        </w:rPr>
        <w:t>sclosure Statement</w:t>
      </w:r>
      <w:r w:rsidR="00D505E2">
        <w:rPr>
          <w:color w:val="000000"/>
          <w:shd w:val="clear" w:color="auto" w:fill="FFFFFF"/>
        </w:rPr>
        <w:t>,</w:t>
      </w:r>
      <w:r w:rsidR="00032433">
        <w:rPr>
          <w:color w:val="000000"/>
          <w:shd w:val="clear" w:color="auto" w:fill="FFFFFF"/>
        </w:rPr>
        <w:t xml:space="preserve"> prior to the sale</w:t>
      </w:r>
      <w:r w:rsidR="00D505E2">
        <w:rPr>
          <w:color w:val="000000"/>
          <w:shd w:val="clear" w:color="auto" w:fill="FFFFFF"/>
        </w:rPr>
        <w:t>,</w:t>
      </w:r>
      <w:r w:rsidR="00032433">
        <w:rPr>
          <w:color w:val="000000"/>
          <w:shd w:val="clear" w:color="auto" w:fill="FFFFFF"/>
        </w:rPr>
        <w:t xml:space="preserve"> and return the same to Columbia.  </w:t>
      </w:r>
      <w:r w:rsidR="00D505E2">
        <w:rPr>
          <w:color w:val="000000"/>
          <w:shd w:val="clear" w:color="auto" w:fill="FFFFFF"/>
        </w:rPr>
        <w:t xml:space="preserve">The form should be a standard form created by Columbia.  It should be the developer’s responsibility to request the form prior to closing.  </w:t>
      </w:r>
      <w:r w:rsidR="00032433">
        <w:rPr>
          <w:color w:val="000000"/>
          <w:shd w:val="clear" w:color="auto" w:fill="FFFFFF"/>
        </w:rPr>
        <w:t xml:space="preserve">The form should contain the following information regarding the </w:t>
      </w:r>
      <w:r w:rsidR="00D505E2">
        <w:rPr>
          <w:color w:val="000000"/>
          <w:shd w:val="clear" w:color="auto" w:fill="FFFFFF"/>
        </w:rPr>
        <w:t xml:space="preserve">Pilot Rider NAS surcharge for the </w:t>
      </w:r>
      <w:r w:rsidR="00184657">
        <w:rPr>
          <w:color w:val="000000"/>
          <w:shd w:val="clear" w:color="auto" w:fill="FFFFFF"/>
        </w:rPr>
        <w:t xml:space="preserve">residential </w:t>
      </w:r>
      <w:r w:rsidR="00032433">
        <w:rPr>
          <w:color w:val="000000"/>
          <w:shd w:val="clear" w:color="auto" w:fill="FFFFFF"/>
        </w:rPr>
        <w:t>lot purchased:</w:t>
      </w:r>
    </w:p>
    <w:p w:rsidR="00032433" w:rsidRDefault="00032433" w:rsidP="007E64A5">
      <w:pPr>
        <w:pStyle w:val="NormalWeb"/>
        <w:numPr>
          <w:ilvl w:val="1"/>
          <w:numId w:val="38"/>
        </w:numPr>
        <w:spacing w:before="0" w:beforeAutospacing="0" w:after="0" w:afterAutospacing="0"/>
        <w:ind w:firstLine="720"/>
        <w:rPr>
          <w:color w:val="000000"/>
          <w:shd w:val="clear" w:color="auto" w:fill="FFFFFF"/>
        </w:rPr>
      </w:pPr>
      <w:r>
        <w:rPr>
          <w:color w:val="000000"/>
          <w:shd w:val="clear" w:color="auto" w:fill="FFFFFF"/>
        </w:rPr>
        <w:t>Interest rate-cost of credit;</w:t>
      </w:r>
    </w:p>
    <w:p w:rsidR="00D708D7" w:rsidRDefault="00D708D7" w:rsidP="007E64A5">
      <w:pPr>
        <w:pStyle w:val="NormalWeb"/>
        <w:spacing w:before="0" w:beforeAutospacing="0" w:after="0" w:afterAutospacing="0"/>
        <w:ind w:left="3600" w:firstLine="720"/>
        <w:rPr>
          <w:color w:val="000000"/>
          <w:shd w:val="clear" w:color="auto" w:fill="FFFFFF"/>
        </w:rPr>
      </w:pPr>
    </w:p>
    <w:p w:rsidR="00032433" w:rsidRDefault="00032433" w:rsidP="007E64A5">
      <w:pPr>
        <w:pStyle w:val="NormalWeb"/>
        <w:numPr>
          <w:ilvl w:val="0"/>
          <w:numId w:val="38"/>
        </w:numPr>
        <w:spacing w:before="0" w:beforeAutospacing="0" w:after="0" w:afterAutospacing="0"/>
        <w:ind w:left="2160" w:right="720" w:firstLine="0"/>
        <w:rPr>
          <w:color w:val="000000"/>
          <w:shd w:val="clear" w:color="auto" w:fill="FFFFFF"/>
        </w:rPr>
      </w:pPr>
      <w:r>
        <w:rPr>
          <w:color w:val="000000"/>
          <w:shd w:val="clear" w:color="auto" w:fill="FFFFFF"/>
        </w:rPr>
        <w:t xml:space="preserve">Finance charge-estimated total amount of the interest </w:t>
      </w:r>
      <w:r w:rsidR="007E64A5">
        <w:rPr>
          <w:color w:val="000000"/>
          <w:shd w:val="clear" w:color="auto" w:fill="FFFFFF"/>
        </w:rPr>
        <w:tab/>
      </w:r>
      <w:r>
        <w:rPr>
          <w:color w:val="000000"/>
          <w:shd w:val="clear" w:color="auto" w:fill="FFFFFF"/>
        </w:rPr>
        <w:t>payments for the 20</w:t>
      </w:r>
      <w:r w:rsidR="00C66BE5">
        <w:rPr>
          <w:color w:val="000000"/>
          <w:shd w:val="clear" w:color="auto" w:fill="FFFFFF"/>
        </w:rPr>
        <w:noBreakHyphen/>
      </w:r>
      <w:r>
        <w:rPr>
          <w:color w:val="000000"/>
          <w:shd w:val="clear" w:color="auto" w:fill="FFFFFF"/>
        </w:rPr>
        <w:t>year term;</w:t>
      </w:r>
    </w:p>
    <w:p w:rsidR="00C66BE5" w:rsidRDefault="00C66BE5" w:rsidP="007E64A5">
      <w:pPr>
        <w:pStyle w:val="NormalWeb"/>
        <w:spacing w:before="0" w:beforeAutospacing="0" w:after="0" w:afterAutospacing="0"/>
        <w:ind w:left="2160" w:firstLine="720"/>
        <w:rPr>
          <w:color w:val="000000"/>
          <w:shd w:val="clear" w:color="auto" w:fill="FFFFFF"/>
        </w:rPr>
      </w:pPr>
    </w:p>
    <w:p w:rsidR="00032433" w:rsidRDefault="00032433" w:rsidP="007E64A5">
      <w:pPr>
        <w:pStyle w:val="NormalWeb"/>
        <w:numPr>
          <w:ilvl w:val="0"/>
          <w:numId w:val="38"/>
        </w:numPr>
        <w:spacing w:before="0" w:beforeAutospacing="0" w:after="0" w:afterAutospacing="0"/>
        <w:ind w:left="2160" w:firstLine="0"/>
        <w:rPr>
          <w:color w:val="000000"/>
          <w:shd w:val="clear" w:color="auto" w:fill="FFFFFF"/>
        </w:rPr>
      </w:pPr>
      <w:r>
        <w:rPr>
          <w:color w:val="000000"/>
          <w:shd w:val="clear" w:color="auto" w:fill="FFFFFF"/>
        </w:rPr>
        <w:t xml:space="preserve">Total of Payments-the estimated total amount including principal </w:t>
      </w:r>
      <w:r w:rsidR="007E64A5">
        <w:rPr>
          <w:color w:val="000000"/>
          <w:shd w:val="clear" w:color="auto" w:fill="FFFFFF"/>
        </w:rPr>
        <w:tab/>
      </w:r>
      <w:r>
        <w:rPr>
          <w:color w:val="000000"/>
          <w:shd w:val="clear" w:color="auto" w:fill="FFFFFF"/>
        </w:rPr>
        <w:t xml:space="preserve">and interest of all payments made over the 20-year term as </w:t>
      </w:r>
      <w:r w:rsidR="007E64A5">
        <w:rPr>
          <w:color w:val="000000"/>
          <w:shd w:val="clear" w:color="auto" w:fill="FFFFFF"/>
        </w:rPr>
        <w:tab/>
      </w:r>
      <w:r>
        <w:rPr>
          <w:color w:val="000000"/>
          <w:shd w:val="clear" w:color="auto" w:fill="FFFFFF"/>
        </w:rPr>
        <w:t>scheduled;</w:t>
      </w:r>
    </w:p>
    <w:p w:rsidR="00C66BE5" w:rsidRDefault="00C66BE5" w:rsidP="007E64A5">
      <w:pPr>
        <w:pStyle w:val="NormalWeb"/>
        <w:spacing w:before="0" w:beforeAutospacing="0" w:after="0" w:afterAutospacing="0"/>
        <w:ind w:left="2160" w:firstLine="720"/>
        <w:rPr>
          <w:color w:val="000000"/>
          <w:shd w:val="clear" w:color="auto" w:fill="FFFFFF"/>
        </w:rPr>
      </w:pPr>
    </w:p>
    <w:p w:rsidR="00032433" w:rsidRDefault="00032433" w:rsidP="007E64A5">
      <w:pPr>
        <w:pStyle w:val="NormalWeb"/>
        <w:numPr>
          <w:ilvl w:val="0"/>
          <w:numId w:val="38"/>
        </w:numPr>
        <w:spacing w:before="0" w:beforeAutospacing="0" w:after="0" w:afterAutospacing="0"/>
        <w:ind w:firstLine="1440"/>
        <w:rPr>
          <w:color w:val="000000"/>
          <w:shd w:val="clear" w:color="auto" w:fill="FFFFFF"/>
        </w:rPr>
      </w:pPr>
      <w:r>
        <w:rPr>
          <w:color w:val="000000"/>
          <w:shd w:val="clear" w:color="auto" w:fill="FFFFFF"/>
        </w:rPr>
        <w:t>Total Number of Payments</w:t>
      </w:r>
      <w:r w:rsidR="00D708D7">
        <w:rPr>
          <w:color w:val="000000"/>
          <w:shd w:val="clear" w:color="auto" w:fill="FFFFFF"/>
        </w:rPr>
        <w:t>;</w:t>
      </w:r>
    </w:p>
    <w:p w:rsidR="00D708D7" w:rsidRDefault="00D708D7" w:rsidP="007E64A5">
      <w:pPr>
        <w:pStyle w:val="NormalWeb"/>
        <w:spacing w:before="0" w:beforeAutospacing="0" w:after="0" w:afterAutospacing="0"/>
        <w:ind w:left="2160" w:firstLine="1440"/>
        <w:rPr>
          <w:color w:val="000000"/>
          <w:shd w:val="clear" w:color="auto" w:fill="FFFFFF"/>
        </w:rPr>
      </w:pPr>
    </w:p>
    <w:p w:rsidR="00032433" w:rsidRDefault="00032433" w:rsidP="007E64A5">
      <w:pPr>
        <w:pStyle w:val="NormalWeb"/>
        <w:numPr>
          <w:ilvl w:val="0"/>
          <w:numId w:val="38"/>
        </w:numPr>
        <w:spacing w:before="0" w:beforeAutospacing="0" w:after="0" w:afterAutospacing="0"/>
        <w:ind w:firstLine="1440"/>
        <w:rPr>
          <w:color w:val="000000"/>
          <w:shd w:val="clear" w:color="auto" w:fill="FFFFFF"/>
        </w:rPr>
      </w:pPr>
      <w:r>
        <w:rPr>
          <w:color w:val="000000"/>
          <w:shd w:val="clear" w:color="auto" w:fill="FFFFFF"/>
        </w:rPr>
        <w:t>Monthly Payment</w:t>
      </w:r>
      <w:r w:rsidR="00D505E2">
        <w:rPr>
          <w:color w:val="000000"/>
          <w:shd w:val="clear" w:color="auto" w:fill="FFFFFF"/>
        </w:rPr>
        <w:t xml:space="preserve"> Amount</w:t>
      </w:r>
      <w:r w:rsidR="00D708D7">
        <w:rPr>
          <w:color w:val="000000"/>
          <w:shd w:val="clear" w:color="auto" w:fill="FFFFFF"/>
        </w:rPr>
        <w:t>; and</w:t>
      </w:r>
    </w:p>
    <w:p w:rsidR="00D708D7" w:rsidRDefault="00D708D7" w:rsidP="007E64A5">
      <w:pPr>
        <w:pStyle w:val="NormalWeb"/>
        <w:spacing w:before="0" w:beforeAutospacing="0" w:after="0" w:afterAutospacing="0"/>
        <w:ind w:left="2160" w:firstLine="1440"/>
        <w:rPr>
          <w:color w:val="000000"/>
          <w:shd w:val="clear" w:color="auto" w:fill="FFFFFF"/>
        </w:rPr>
      </w:pPr>
    </w:p>
    <w:p w:rsidR="00C96B8A" w:rsidRDefault="00C66BE5" w:rsidP="007E64A5">
      <w:pPr>
        <w:pStyle w:val="NormalWeb"/>
        <w:numPr>
          <w:ilvl w:val="0"/>
          <w:numId w:val="38"/>
        </w:numPr>
        <w:spacing w:before="0" w:beforeAutospacing="0" w:after="0" w:afterAutospacing="0"/>
        <w:ind w:firstLine="1440"/>
        <w:rPr>
          <w:color w:val="000000"/>
          <w:shd w:val="clear" w:color="auto" w:fill="FFFFFF"/>
        </w:rPr>
      </w:pPr>
      <w:r>
        <w:rPr>
          <w:color w:val="000000"/>
          <w:shd w:val="clear" w:color="auto" w:fill="FFFFFF"/>
        </w:rPr>
        <w:t xml:space="preserve">Advise that the balance may be paid off at any time without any </w:t>
      </w:r>
      <w:r w:rsidR="007E64A5">
        <w:rPr>
          <w:color w:val="000000"/>
          <w:shd w:val="clear" w:color="auto" w:fill="FFFFFF"/>
        </w:rPr>
        <w:tab/>
      </w:r>
      <w:r w:rsidR="007E64A5">
        <w:rPr>
          <w:color w:val="000000"/>
          <w:shd w:val="clear" w:color="auto" w:fill="FFFFFF"/>
        </w:rPr>
        <w:tab/>
      </w:r>
      <w:r w:rsidR="007E64A5">
        <w:rPr>
          <w:color w:val="000000"/>
          <w:shd w:val="clear" w:color="auto" w:fill="FFFFFF"/>
        </w:rPr>
        <w:tab/>
      </w:r>
      <w:r w:rsidR="007E64A5">
        <w:rPr>
          <w:color w:val="000000"/>
          <w:shd w:val="clear" w:color="auto" w:fill="FFFFFF"/>
        </w:rPr>
        <w:tab/>
      </w:r>
      <w:r>
        <w:rPr>
          <w:color w:val="000000"/>
          <w:shd w:val="clear" w:color="auto" w:fill="FFFFFF"/>
        </w:rPr>
        <w:t>penalty.</w:t>
      </w:r>
    </w:p>
    <w:p w:rsidR="00C66BE5" w:rsidRDefault="00C66BE5" w:rsidP="00032433">
      <w:pPr>
        <w:pStyle w:val="NormalWeb"/>
        <w:spacing w:before="0" w:beforeAutospacing="0" w:after="0" w:afterAutospacing="0" w:line="360" w:lineRule="auto"/>
        <w:ind w:left="2160" w:hanging="720"/>
        <w:rPr>
          <w:color w:val="000000"/>
          <w:shd w:val="clear" w:color="auto" w:fill="FFFFFF"/>
        </w:rPr>
      </w:pPr>
    </w:p>
    <w:p w:rsidR="00C96B8A" w:rsidRDefault="00C96B8A" w:rsidP="00C96B8A">
      <w:pPr>
        <w:pStyle w:val="NormalWeb"/>
        <w:spacing w:before="0" w:beforeAutospacing="0" w:after="0" w:afterAutospacing="0" w:line="360" w:lineRule="auto"/>
        <w:ind w:firstLine="1440"/>
        <w:rPr>
          <w:color w:val="000000"/>
          <w:shd w:val="clear" w:color="auto" w:fill="FFFFFF"/>
        </w:rPr>
      </w:pPr>
      <w:r>
        <w:rPr>
          <w:color w:val="000000"/>
          <w:shd w:val="clear" w:color="auto" w:fill="FFFFFF"/>
        </w:rPr>
        <w:t xml:space="preserve">If these two requirements are made a part of the program, the undersigned Administrative Law Judge would recommend that </w:t>
      </w:r>
      <w:r w:rsidRPr="003146C3">
        <w:rPr>
          <w:color w:val="000000"/>
          <w:shd w:val="clear" w:color="auto" w:fill="FFFFFF"/>
        </w:rPr>
        <w:t>bona fide</w:t>
      </w:r>
      <w:r>
        <w:rPr>
          <w:i/>
          <w:color w:val="000000"/>
          <w:shd w:val="clear" w:color="auto" w:fill="FFFFFF"/>
        </w:rPr>
        <w:t xml:space="preserve"> </w:t>
      </w:r>
      <w:r>
        <w:rPr>
          <w:color w:val="000000"/>
          <w:shd w:val="clear" w:color="auto" w:fill="FFFFFF"/>
        </w:rPr>
        <w:t xml:space="preserve">developers be included in the Pilot Rider NAS program.   </w:t>
      </w:r>
    </w:p>
    <w:p w:rsidR="00ED2C64" w:rsidRDefault="00ED2C64" w:rsidP="00ED2C64">
      <w:pPr>
        <w:pStyle w:val="NormalWeb"/>
        <w:spacing w:before="0" w:beforeAutospacing="0" w:after="0" w:afterAutospacing="0" w:line="360" w:lineRule="auto"/>
        <w:rPr>
          <w:color w:val="000000"/>
          <w:shd w:val="clear" w:color="auto" w:fill="FFFFFF"/>
        </w:rPr>
      </w:pPr>
    </w:p>
    <w:p w:rsidR="002D13E0" w:rsidRDefault="002D13E0" w:rsidP="00ED2C64">
      <w:pPr>
        <w:pStyle w:val="NormalWeb"/>
        <w:spacing w:before="0" w:beforeAutospacing="0" w:after="0" w:afterAutospacing="0" w:line="360" w:lineRule="auto"/>
        <w:rPr>
          <w:color w:val="000000"/>
          <w:shd w:val="clear" w:color="auto" w:fill="FFFFFF"/>
        </w:rPr>
      </w:pPr>
    </w:p>
    <w:p w:rsidR="002D13E0" w:rsidRDefault="002D13E0" w:rsidP="00ED2C64">
      <w:pPr>
        <w:pStyle w:val="NormalWeb"/>
        <w:spacing w:before="0" w:beforeAutospacing="0" w:after="0" w:afterAutospacing="0" w:line="360" w:lineRule="auto"/>
        <w:rPr>
          <w:color w:val="000000"/>
          <w:shd w:val="clear" w:color="auto" w:fill="FFFFFF"/>
        </w:rPr>
      </w:pPr>
    </w:p>
    <w:p w:rsidR="002D13E0" w:rsidRDefault="002D13E0" w:rsidP="00ED2C64">
      <w:pPr>
        <w:pStyle w:val="NormalWeb"/>
        <w:spacing w:before="0" w:beforeAutospacing="0" w:after="0" w:afterAutospacing="0" w:line="360" w:lineRule="auto"/>
        <w:rPr>
          <w:color w:val="000000"/>
          <w:shd w:val="clear" w:color="auto" w:fill="FFFFFF"/>
        </w:rPr>
      </w:pPr>
    </w:p>
    <w:p w:rsidR="00ED2C64" w:rsidRDefault="00ED2C64" w:rsidP="00ED2C64">
      <w:pPr>
        <w:pStyle w:val="NormalWeb"/>
        <w:spacing w:before="0" w:beforeAutospacing="0" w:after="0" w:afterAutospacing="0" w:line="360" w:lineRule="auto"/>
        <w:rPr>
          <w:color w:val="000000"/>
          <w:shd w:val="clear" w:color="auto" w:fill="FFFFFF"/>
        </w:rPr>
      </w:pPr>
      <w:r>
        <w:rPr>
          <w:color w:val="000000"/>
          <w:shd w:val="clear" w:color="auto" w:fill="FFFFFF"/>
        </w:rPr>
        <w:t>E.</w:t>
      </w:r>
      <w:r w:rsidR="00BD3C98">
        <w:rPr>
          <w:color w:val="000000"/>
          <w:shd w:val="clear" w:color="auto" w:fill="FFFFFF"/>
        </w:rPr>
        <w:tab/>
      </w:r>
      <w:r w:rsidR="00BD3C98">
        <w:rPr>
          <w:color w:val="000000"/>
          <w:u w:val="single"/>
          <w:shd w:val="clear" w:color="auto" w:fill="FFFFFF"/>
        </w:rPr>
        <w:t>Other Proposed Modifications</w:t>
      </w:r>
    </w:p>
    <w:p w:rsidR="00ED2C64" w:rsidRPr="00ED2C64" w:rsidRDefault="00ED2C64" w:rsidP="00ED2C64">
      <w:pPr>
        <w:pStyle w:val="NormalWeb"/>
        <w:spacing w:before="0" w:beforeAutospacing="0" w:after="0" w:afterAutospacing="0" w:line="360" w:lineRule="auto"/>
        <w:rPr>
          <w:color w:val="000000"/>
          <w:shd w:val="clear" w:color="auto" w:fill="FFFFFF"/>
        </w:rPr>
      </w:pPr>
    </w:p>
    <w:p w:rsidR="00ED2C64" w:rsidRDefault="00BD3C98" w:rsidP="00ED2C64">
      <w:pPr>
        <w:tabs>
          <w:tab w:val="left" w:pos="0"/>
        </w:tabs>
        <w:spacing w:line="360" w:lineRule="auto"/>
        <w:rPr>
          <w:color w:val="000000"/>
          <w:shd w:val="clear" w:color="auto" w:fill="FFFFFF"/>
        </w:rPr>
      </w:pPr>
      <w:r>
        <w:tab/>
        <w:t>1.</w:t>
      </w:r>
      <w:r>
        <w:tab/>
      </w:r>
      <w:r w:rsidRPr="001B1B38">
        <w:rPr>
          <w:color w:val="000000"/>
          <w:u w:val="single"/>
          <w:shd w:val="clear" w:color="auto" w:fill="FFFFFF"/>
        </w:rPr>
        <w:t>Gas-</w:t>
      </w:r>
      <w:r w:rsidR="001447DA">
        <w:rPr>
          <w:color w:val="000000"/>
          <w:u w:val="single"/>
          <w:shd w:val="clear" w:color="auto" w:fill="FFFFFF"/>
        </w:rPr>
        <w:t>o</w:t>
      </w:r>
      <w:r w:rsidRPr="001B1B38">
        <w:rPr>
          <w:color w:val="000000"/>
          <w:u w:val="single"/>
          <w:shd w:val="clear" w:color="auto" w:fill="FFFFFF"/>
        </w:rPr>
        <w:t>n-Gas Competition</w:t>
      </w:r>
    </w:p>
    <w:p w:rsidR="00ED2C64" w:rsidRDefault="00ED2C64" w:rsidP="00ED2C64">
      <w:pPr>
        <w:tabs>
          <w:tab w:val="left" w:pos="0"/>
        </w:tabs>
        <w:spacing w:line="360" w:lineRule="auto"/>
        <w:rPr>
          <w:color w:val="000000"/>
          <w:shd w:val="clear" w:color="auto" w:fill="FFFFFF"/>
        </w:rPr>
      </w:pPr>
    </w:p>
    <w:p w:rsidR="00ED2C64" w:rsidRDefault="00ED2C64" w:rsidP="00ED2C64">
      <w:pPr>
        <w:pStyle w:val="NormalWeb"/>
        <w:spacing w:before="0" w:beforeAutospacing="0" w:after="0" w:afterAutospacing="0" w:line="360" w:lineRule="auto"/>
        <w:ind w:firstLine="1440"/>
        <w:rPr>
          <w:color w:val="000000"/>
          <w:shd w:val="clear" w:color="auto" w:fill="FFFFFF"/>
        </w:rPr>
      </w:pPr>
      <w:r>
        <w:rPr>
          <w:color w:val="000000"/>
          <w:shd w:val="clear" w:color="auto" w:fill="FFFFFF"/>
        </w:rPr>
        <w:t xml:space="preserve">Columbia’s Pilot Rider NAS contains no prohibition against extending mains to areas already served by mains of other natural gas distribution companies (NGDCs).  According to the OCA, Columbia’s service territory in the western part of the state overlaps with the service territories of other NGDCs, creating the possibility that Columbia could potentially use Pilot Rider NAS to extend mains in areas already served by these other NGDCs.  Mr. Watkins recommended that Pilot Rider NAS include a prohibition against extending mains to areas already serviced by mains of other NGDCs, testifying: </w:t>
      </w:r>
    </w:p>
    <w:p w:rsidR="00ED2C64" w:rsidRDefault="00ED2C64" w:rsidP="00ED2C64">
      <w:pPr>
        <w:pStyle w:val="NormalWeb"/>
        <w:spacing w:before="0" w:beforeAutospacing="0" w:after="0" w:afterAutospacing="0"/>
        <w:ind w:left="1440" w:right="1440"/>
        <w:rPr>
          <w:color w:val="000000"/>
          <w:shd w:val="clear" w:color="auto" w:fill="FFFFFF"/>
        </w:rPr>
      </w:pPr>
      <w:r>
        <w:rPr>
          <w:color w:val="000000"/>
          <w:shd w:val="clear" w:color="auto" w:fill="FFFFFF"/>
        </w:rPr>
        <w:t xml:space="preserve">While I acknowledge that there is little realistic probability that a new residential customer would elect to make an </w:t>
      </w:r>
      <w:proofErr w:type="spellStart"/>
      <w:r w:rsidR="00AA3877">
        <w:rPr>
          <w:color w:val="000000"/>
          <w:shd w:val="clear" w:color="auto" w:fill="FFFFFF"/>
        </w:rPr>
        <w:t>up front</w:t>
      </w:r>
      <w:proofErr w:type="spellEnd"/>
      <w:r>
        <w:rPr>
          <w:color w:val="000000"/>
          <w:shd w:val="clear" w:color="auto" w:fill="FFFFFF"/>
        </w:rPr>
        <w:t xml:space="preserve"> cash contribution or finance the cost of extending a Columbia main when another NGDC already has service available in that customers’ [</w:t>
      </w:r>
      <w:r>
        <w:rPr>
          <w:i/>
          <w:color w:val="000000"/>
          <w:shd w:val="clear" w:color="auto" w:fill="FFFFFF"/>
        </w:rPr>
        <w:t>sic</w:t>
      </w:r>
      <w:r>
        <w:rPr>
          <w:color w:val="000000"/>
          <w:shd w:val="clear" w:color="auto" w:fill="FFFFFF"/>
        </w:rPr>
        <w:t>] area and am fully aware of the current</w:t>
      </w:r>
      <w:r>
        <w:rPr>
          <w:i/>
          <w:color w:val="000000"/>
          <w:shd w:val="clear" w:color="auto" w:fill="FFFFFF"/>
        </w:rPr>
        <w:t xml:space="preserve"> </w:t>
      </w:r>
      <w:r>
        <w:rPr>
          <w:color w:val="000000"/>
          <w:shd w:val="clear" w:color="auto" w:fill="FFFFFF"/>
        </w:rPr>
        <w:t xml:space="preserve">Gas-on-Gas investigation that is pending before the Commission, any such duplicative facilities are not in the best public interest and should not be allowed in the NAS Rider.  </w:t>
      </w:r>
    </w:p>
    <w:p w:rsidR="00ED2C64" w:rsidRDefault="00ED2C64" w:rsidP="00ED2C64">
      <w:pPr>
        <w:pStyle w:val="NormalWeb"/>
        <w:spacing w:before="0" w:beforeAutospacing="0" w:after="0" w:afterAutospacing="0" w:line="360" w:lineRule="auto"/>
        <w:rPr>
          <w:color w:val="000000"/>
          <w:shd w:val="clear" w:color="auto" w:fill="FFFFFF"/>
        </w:rPr>
      </w:pPr>
    </w:p>
    <w:p w:rsidR="00ED2C64" w:rsidRDefault="00ED2C64" w:rsidP="00ED2C64">
      <w:pPr>
        <w:pStyle w:val="NormalWeb"/>
        <w:spacing w:before="0" w:beforeAutospacing="0" w:after="0" w:afterAutospacing="0" w:line="360" w:lineRule="auto"/>
        <w:rPr>
          <w:color w:val="000000"/>
          <w:shd w:val="clear" w:color="auto" w:fill="FFFFFF"/>
        </w:rPr>
      </w:pPr>
      <w:r>
        <w:rPr>
          <w:color w:val="000000"/>
          <w:shd w:val="clear" w:color="auto" w:fill="FFFFFF"/>
        </w:rPr>
        <w:t>(OCA Statement No. 1, p. 17); OCA M.B., pp. 27-28.</w:t>
      </w:r>
    </w:p>
    <w:p w:rsidR="00ED2C64" w:rsidRDefault="00ED2C64" w:rsidP="00ED2C64">
      <w:pPr>
        <w:pStyle w:val="NormalWeb"/>
        <w:spacing w:before="0" w:beforeAutospacing="0" w:after="0" w:afterAutospacing="0" w:line="360" w:lineRule="auto"/>
        <w:rPr>
          <w:color w:val="000000"/>
          <w:shd w:val="clear" w:color="auto" w:fill="FFFFFF"/>
        </w:rPr>
      </w:pPr>
    </w:p>
    <w:p w:rsidR="00ED2C64" w:rsidRDefault="00ED2C64" w:rsidP="00ED2C64">
      <w:pPr>
        <w:pStyle w:val="NormalWeb"/>
        <w:spacing w:before="0" w:beforeAutospacing="0" w:after="0" w:afterAutospacing="0" w:line="360" w:lineRule="auto"/>
        <w:ind w:firstLine="1440"/>
        <w:rPr>
          <w:color w:val="000000"/>
          <w:shd w:val="clear" w:color="auto" w:fill="FFFFFF"/>
        </w:rPr>
      </w:pPr>
      <w:r>
        <w:rPr>
          <w:color w:val="000000"/>
          <w:shd w:val="clear" w:color="auto" w:fill="FFFFFF"/>
        </w:rPr>
        <w:t xml:space="preserve">Columbia witness Evans testified that Mr. Watkins’ recommendation is “overly vague” and that Mr. Watkins’ recommendation “offers no suggestion on how to define areas already served by another NGDC.”  (Columbia Statement No. 1-R, p. 11).  To avoid any confusion, the OCA explains that “already available” means that there is a main belonging to another NGDC in the ground which can be connected to the home being considered for Pilot Rider NAS.  OCA M.B., p. 28.  </w:t>
      </w:r>
    </w:p>
    <w:p w:rsidR="00CE6C4E" w:rsidRDefault="00CE6C4E" w:rsidP="00ED2C64">
      <w:pPr>
        <w:pStyle w:val="NormalWeb"/>
        <w:spacing w:before="0" w:beforeAutospacing="0" w:after="0" w:afterAutospacing="0" w:line="360" w:lineRule="auto"/>
        <w:ind w:firstLine="1440"/>
        <w:rPr>
          <w:color w:val="000000"/>
          <w:shd w:val="clear" w:color="auto" w:fill="FFFFFF"/>
        </w:rPr>
      </w:pPr>
    </w:p>
    <w:p w:rsidR="00CE6C4E" w:rsidRDefault="00CE6C4E" w:rsidP="00CE6C4E">
      <w:pPr>
        <w:pStyle w:val="BodyText2"/>
        <w:spacing w:line="360" w:lineRule="auto"/>
        <w:ind w:firstLine="1440"/>
        <w:jc w:val="left"/>
      </w:pPr>
      <w:r>
        <w:t>Columbia submits that, if an applicant requested a line extension from Columbia today, Columbia cannot reject the request based upon whether another gas utility’s mains were in the area.  (Columbia Statement No. 1-R, pp. 11-12).</w:t>
      </w:r>
      <w:r>
        <w:rPr>
          <w:rStyle w:val="FootnoteReference"/>
        </w:rPr>
        <w:footnoteReference w:id="99"/>
      </w:r>
      <w:r>
        <w:t xml:space="preserve">  According to Columbia, Pilot Rider NAS should similarly not be limited in such a fashion.  (Columbia Statement No. 1-R, p. 12).  Furthermore, Mr. Evans states in his rebuttal testimony that “the issue of duplicative facilities is being considered by the Commission in the ‘Gas-on-Gas’ competition case at Docket Nos. P</w:t>
      </w:r>
      <w:r w:rsidR="007D1F01">
        <w:noBreakHyphen/>
      </w:r>
      <w:r>
        <w:t>2011-2277868 and I-2012-2320323 and should not be prejudged in this context.”  (Col</w:t>
      </w:r>
      <w:r w:rsidR="00D953BF">
        <w:t>umbia Statement No. 1-R, p. 12); Columbia M.B., p. 29.</w:t>
      </w:r>
    </w:p>
    <w:p w:rsidR="00B4496C" w:rsidRDefault="00B4496C" w:rsidP="00CE6C4E">
      <w:pPr>
        <w:pStyle w:val="BodyText2"/>
        <w:spacing w:line="360" w:lineRule="auto"/>
        <w:ind w:firstLine="1440"/>
        <w:jc w:val="left"/>
      </w:pPr>
    </w:p>
    <w:p w:rsidR="0099787D" w:rsidRDefault="00CE6C4E" w:rsidP="00CE6C4E">
      <w:pPr>
        <w:pStyle w:val="BodyText2"/>
        <w:spacing w:line="360" w:lineRule="auto"/>
        <w:ind w:firstLine="1440"/>
        <w:jc w:val="left"/>
        <w:rPr>
          <w:color w:val="000000"/>
          <w:shd w:val="clear" w:color="auto" w:fill="FFFFFF"/>
        </w:rPr>
      </w:pPr>
      <w:r>
        <w:t xml:space="preserve">The undersigned Administrative Law concludes that this proceeding is not the proper place to consider the issue of duplicative facilities and recommends that the OCA’s </w:t>
      </w:r>
      <w:r w:rsidR="0099787D">
        <w:t xml:space="preserve">proposal for the inclusion of </w:t>
      </w:r>
      <w:r>
        <w:rPr>
          <w:color w:val="000000"/>
          <w:shd w:val="clear" w:color="auto" w:fill="FFFFFF"/>
        </w:rPr>
        <w:t>a prohibition against extending mains to areas already serviced by mains of other NGDCs</w:t>
      </w:r>
      <w:r w:rsidR="0099787D">
        <w:rPr>
          <w:color w:val="000000"/>
          <w:shd w:val="clear" w:color="auto" w:fill="FFFFFF"/>
        </w:rPr>
        <w:t xml:space="preserve"> in the Pilot Rider NAS be rejected.  </w:t>
      </w:r>
    </w:p>
    <w:p w:rsidR="0099787D" w:rsidRDefault="0099787D" w:rsidP="00CE6C4E">
      <w:pPr>
        <w:pStyle w:val="BodyText2"/>
        <w:spacing w:line="360" w:lineRule="auto"/>
        <w:ind w:firstLine="1440"/>
        <w:jc w:val="left"/>
        <w:rPr>
          <w:color w:val="000000"/>
          <w:shd w:val="clear" w:color="auto" w:fill="FFFFFF"/>
        </w:rPr>
      </w:pPr>
    </w:p>
    <w:p w:rsidR="0099787D" w:rsidRDefault="0099787D" w:rsidP="009B3CDE">
      <w:pPr>
        <w:pStyle w:val="NormalWeb"/>
        <w:spacing w:before="0" w:beforeAutospacing="0" w:after="0" w:afterAutospacing="0" w:line="360" w:lineRule="auto"/>
        <w:ind w:firstLine="720"/>
        <w:rPr>
          <w:color w:val="000000"/>
          <w:shd w:val="clear" w:color="auto" w:fill="FFFFFF"/>
        </w:rPr>
      </w:pPr>
      <w:r>
        <w:rPr>
          <w:color w:val="000000"/>
          <w:shd w:val="clear" w:color="auto" w:fill="FFFFFF"/>
        </w:rPr>
        <w:t>2.</w:t>
      </w:r>
      <w:r>
        <w:rPr>
          <w:color w:val="000000"/>
          <w:shd w:val="clear" w:color="auto" w:fill="FFFFFF"/>
        </w:rPr>
        <w:tab/>
      </w:r>
      <w:r w:rsidR="008A7F2B">
        <w:rPr>
          <w:color w:val="000000"/>
          <w:u w:val="single"/>
          <w:shd w:val="clear" w:color="auto" w:fill="FFFFFF"/>
        </w:rPr>
        <w:t>Repayment Options</w:t>
      </w:r>
      <w:r>
        <w:rPr>
          <w:color w:val="000000"/>
          <w:shd w:val="clear" w:color="auto" w:fill="FFFFFF"/>
        </w:rPr>
        <w:tab/>
      </w:r>
    </w:p>
    <w:p w:rsidR="0099787D" w:rsidRDefault="0099787D" w:rsidP="0099787D">
      <w:pPr>
        <w:tabs>
          <w:tab w:val="left" w:pos="0"/>
        </w:tabs>
        <w:spacing w:line="360" w:lineRule="auto"/>
        <w:rPr>
          <w:color w:val="000000"/>
          <w:shd w:val="clear" w:color="auto" w:fill="FFFFFF"/>
        </w:rPr>
      </w:pPr>
      <w:r>
        <w:rPr>
          <w:color w:val="000000"/>
          <w:shd w:val="clear" w:color="auto" w:fill="FFFFFF"/>
        </w:rPr>
        <w:tab/>
      </w:r>
      <w:r>
        <w:rPr>
          <w:color w:val="000000"/>
          <w:shd w:val="clear" w:color="auto" w:fill="FFFFFF"/>
        </w:rPr>
        <w:tab/>
      </w:r>
    </w:p>
    <w:p w:rsidR="0099787D" w:rsidRDefault="0099787D" w:rsidP="0099787D">
      <w:pPr>
        <w:pStyle w:val="NormalWeb"/>
        <w:spacing w:before="0" w:beforeAutospacing="0" w:after="0" w:afterAutospacing="0" w:line="360" w:lineRule="auto"/>
      </w:pPr>
      <w:r>
        <w:rPr>
          <w:color w:val="000000"/>
          <w:shd w:val="clear" w:color="auto" w:fill="FFFFFF"/>
        </w:rPr>
        <w:tab/>
      </w:r>
      <w:r>
        <w:rPr>
          <w:color w:val="000000"/>
          <w:shd w:val="clear" w:color="auto" w:fill="FFFFFF"/>
        </w:rPr>
        <w:tab/>
        <w:t xml:space="preserve">As proposed, under Pilot Rider NAS, new customers will only have one payoff option, which is to pay the Pilot Rider NAS surcharge for a period of 20 years, capped at $35.00 </w:t>
      </w:r>
      <w:r w:rsidR="00FB0B5A">
        <w:rPr>
          <w:color w:val="000000"/>
          <w:shd w:val="clear" w:color="auto" w:fill="FFFFFF"/>
        </w:rPr>
        <w:t xml:space="preserve">per </w:t>
      </w:r>
      <w:r>
        <w:rPr>
          <w:color w:val="000000"/>
          <w:shd w:val="clear" w:color="auto" w:fill="FFFFFF"/>
        </w:rPr>
        <w:t>month</w:t>
      </w:r>
      <w:r>
        <w:t xml:space="preserve">, wherein the customer will have to pay </w:t>
      </w:r>
      <w:r w:rsidR="00AA3877">
        <w:t>up front</w:t>
      </w:r>
      <w:r>
        <w:t xml:space="preserve"> any excess above the amount that will be collected through the surcharge.  Mr. Watkins recommended that Pilot Rider NAS customers be provided a second option, specifically the option of having a 10-year repayment term with no payment cap, with a maximum amount of $8,000 permitted to be recovered through the surcharge.  (OCA Statement No. 1, p. 18).  According to the OCA, this second payoff option provides two benefits to Pilot Rider NAS customers.  First, the Pilot Rider NAS customer can reduce the overall amount of interest he or she pays over the lifetime of the payback period, since the payback period is reduced.  Second, the 10-year repayment option will enable customers to reduce their </w:t>
      </w:r>
      <w:r w:rsidR="00AA3877">
        <w:t>up front</w:t>
      </w:r>
      <w:r>
        <w:t xml:space="preserve"> contribution because the customer will be able to roll more of his or her uneconomic portion into the surcharge since there is no cap.  The OCA submits that Pilot Rider NAS should be modified to include a 10-year repayment option.  OCA M.B., p. 28.</w:t>
      </w:r>
    </w:p>
    <w:p w:rsidR="005908C1" w:rsidRDefault="005908C1" w:rsidP="0099787D">
      <w:pPr>
        <w:pStyle w:val="NormalWeb"/>
        <w:spacing w:before="0" w:beforeAutospacing="0" w:after="0" w:afterAutospacing="0" w:line="360" w:lineRule="auto"/>
      </w:pPr>
    </w:p>
    <w:p w:rsidR="005908C1" w:rsidRDefault="005908C1" w:rsidP="005908C1">
      <w:pPr>
        <w:pStyle w:val="BodyText2"/>
        <w:spacing w:line="360" w:lineRule="auto"/>
        <w:ind w:firstLine="1440"/>
        <w:jc w:val="left"/>
      </w:pPr>
      <w:r>
        <w:t>Columbia disagrees that this additional option under Pilot Rider NAS should be implemented.  According to Columbia, the different payment term and dollar limitation would cause additional programming and administration issues for the program.  (Columbia Statement No. 1-R, p. 14).  Thus, it would add costs for the pilot.  Columbia submits that a shorter term is also unnecessary because customers always have the option of paying down the remaining Pilot Rider NAS balance early.  (Columbia Statement No. 1-R, p. 14).  Since customers always have the option to voluntarily increase their monthly payments to pay off the balance in 10 years (or less) or to pay the balance off with a lump sum without penalty, no reason exists for the additional Pilot Rider NAS program option proposed by Mr. Watkins.  (Col</w:t>
      </w:r>
      <w:r w:rsidR="00D953BF">
        <w:t>umbia Statement No.</w:t>
      </w:r>
      <w:r w:rsidR="005C3503">
        <w:t> </w:t>
      </w:r>
      <w:r w:rsidR="00D953BF">
        <w:t>1-R, p. 14); Columbia M.B., pp. 29-30.</w:t>
      </w:r>
    </w:p>
    <w:p w:rsidR="005908C1" w:rsidRDefault="005908C1" w:rsidP="005908C1">
      <w:pPr>
        <w:pStyle w:val="BodyText2"/>
        <w:spacing w:line="360" w:lineRule="auto"/>
        <w:ind w:firstLine="1440"/>
        <w:jc w:val="left"/>
      </w:pPr>
    </w:p>
    <w:p w:rsidR="005908C1" w:rsidRDefault="005908C1" w:rsidP="005908C1">
      <w:pPr>
        <w:pStyle w:val="BodyText2"/>
        <w:spacing w:line="360" w:lineRule="auto"/>
        <w:ind w:firstLine="1440"/>
        <w:jc w:val="left"/>
      </w:pPr>
      <w:r>
        <w:t>The undersigned Administrative Law Judge agrees with Columbia.  There is no need for a second payment option in the Pilot Rider NAS program.  Customers always have the option of paying down the remaining Pilot Rider NAS balance early.  (Columbia Statement No.</w:t>
      </w:r>
      <w:r w:rsidR="005C3503">
        <w:t> </w:t>
      </w:r>
      <w:r>
        <w:t>1-R, p. 14).  Since customers always have the option to voluntarily increase their monthly payments to pay off the balance in 10 years (or less) or to pay the balance off with a lump sum without penalty, no reason exists for the additional Pilot Rider NAS program option proposed by Mr. Watkins.  (Columbia Statement No. 1-R, p. 14).  The undersigned Administrative Law Judge recommends that the OCA’s proposal for a second payment option be rejected.</w:t>
      </w:r>
    </w:p>
    <w:p w:rsidR="0099787D" w:rsidRDefault="0099787D" w:rsidP="0099787D">
      <w:pPr>
        <w:pStyle w:val="NormalWeb"/>
        <w:spacing w:before="0" w:beforeAutospacing="0" w:after="0" w:afterAutospacing="0" w:line="360" w:lineRule="auto"/>
      </w:pPr>
    </w:p>
    <w:p w:rsidR="0099787D" w:rsidRPr="0025605E" w:rsidRDefault="0099787D" w:rsidP="0099787D">
      <w:pPr>
        <w:pStyle w:val="NormalWeb"/>
        <w:spacing w:before="0" w:beforeAutospacing="0" w:after="0" w:afterAutospacing="0" w:line="360" w:lineRule="auto"/>
      </w:pPr>
      <w:r>
        <w:tab/>
        <w:t>3.</w:t>
      </w:r>
      <w:r>
        <w:tab/>
      </w:r>
      <w:r w:rsidR="005C3503">
        <w:rPr>
          <w:u w:val="single"/>
        </w:rPr>
        <w:t>Annual Funding</w:t>
      </w:r>
    </w:p>
    <w:p w:rsidR="0099787D" w:rsidRPr="001B1B38" w:rsidRDefault="0099787D" w:rsidP="0099787D">
      <w:pPr>
        <w:tabs>
          <w:tab w:val="left" w:pos="0"/>
        </w:tabs>
        <w:spacing w:line="360" w:lineRule="auto"/>
      </w:pPr>
    </w:p>
    <w:p w:rsidR="0099787D" w:rsidRDefault="0099787D" w:rsidP="0099787D">
      <w:pPr>
        <w:pStyle w:val="NormalWeb"/>
        <w:spacing w:before="0" w:beforeAutospacing="0" w:after="0" w:afterAutospacing="0" w:line="360" w:lineRule="auto"/>
        <w:ind w:firstLine="1440"/>
      </w:pPr>
      <w:r>
        <w:t>Columbia proposes to commit $1 million of annual funding for the Pilot Rider NAS program.  As recommended by Mr. Watkins, the OCA submits that the Company should commit $2 million a year towards Pilot Rider NAS.  The OCA believes that increasing the amount of annual funding should increase the number of consumers able to participate in Pilot Rider NAS per year, and better promote the expansion of natural gas service in Columbia’s service territory.  OCA M.B., p. 29.</w:t>
      </w:r>
    </w:p>
    <w:p w:rsidR="005908C1" w:rsidRDefault="005908C1" w:rsidP="0099787D">
      <w:pPr>
        <w:pStyle w:val="NormalWeb"/>
        <w:spacing w:before="0" w:beforeAutospacing="0" w:after="0" w:afterAutospacing="0" w:line="360" w:lineRule="auto"/>
        <w:ind w:firstLine="1440"/>
      </w:pPr>
    </w:p>
    <w:p w:rsidR="005C3949" w:rsidRDefault="005C3949" w:rsidP="005C3949">
      <w:pPr>
        <w:pStyle w:val="BodyText2"/>
        <w:spacing w:line="360" w:lineRule="auto"/>
        <w:ind w:firstLine="1440"/>
        <w:jc w:val="left"/>
      </w:pPr>
      <w:r>
        <w:t>Columbia claims it set the $1 million limit on annual funding to prevent any adverse impact on its main replacement program.  Columbia only has so much capital to invest in any given year.  (Columbia Statement No. 1-R, p. 15).  Columbia argues that funneling another $1 million in annual funding to Pilot Rider NAS may adversely affect Columbia’s ability to replace existing bare steel mains.  (Columbia Statement No. 1-R, pp. 15-16).  Moreover, according to Columbia, the OCA has noted in its surrebuttal testimony that under Mr. Watkins’ “worst case scenario,” any increase in capital investment pursuant to Pilot Rider NAS, as modified by the OCA, would increase cost shifting to existing customers.  (OCA Statement No.</w:t>
      </w:r>
      <w:r w:rsidR="00A43946">
        <w:t> </w:t>
      </w:r>
      <w:r>
        <w:t>1-SR, p. 4 n.5).  Despite recognizing this, the OCA proposes to double the annual funding of Pilot Rider NAS and, therefore, double the cost shifting to existing customers that will occur if its modifications are adopted.  Therefore, Columbia concludes that annual funding for Pilot Rider NAS should remain at $1 million.</w:t>
      </w:r>
      <w:r w:rsidR="00D953BF">
        <w:t xml:space="preserve">  Columbia M.B., p. 30.</w:t>
      </w:r>
    </w:p>
    <w:p w:rsidR="00FF6CAF" w:rsidRDefault="00FF6CAF" w:rsidP="005C3949">
      <w:pPr>
        <w:pStyle w:val="BodyText2"/>
        <w:spacing w:line="360" w:lineRule="auto"/>
        <w:ind w:firstLine="1440"/>
        <w:jc w:val="left"/>
      </w:pPr>
    </w:p>
    <w:p w:rsidR="00FF6CAF" w:rsidRDefault="00FF6CAF" w:rsidP="005C3949">
      <w:pPr>
        <w:pStyle w:val="BodyText2"/>
        <w:spacing w:line="360" w:lineRule="auto"/>
        <w:ind w:firstLine="1440"/>
        <w:jc w:val="left"/>
      </w:pPr>
      <w:r>
        <w:t xml:space="preserve">The undersigned Administrative Law Judge concludes and recommends that the Pilot Rider NAS funding should remain at $1 million per year as Columbia proposed.  This is a pilot program that must be studied to determine whether it accomplishes its goals and also to identify issues and problems with the program that emerge.  The additional information requirements recommended in this proceeding, which were proposed by the OCA and the OSBA, should enable the parties and the Commission to study this pilot and modify it in the future, if necessary.  Funding can always be increased or decreased in the future.  </w:t>
      </w:r>
    </w:p>
    <w:p w:rsidR="00FB2376" w:rsidRDefault="00FB2376" w:rsidP="005C3949">
      <w:pPr>
        <w:pStyle w:val="BodyText2"/>
        <w:spacing w:line="360" w:lineRule="auto"/>
        <w:ind w:firstLine="1440"/>
        <w:jc w:val="left"/>
      </w:pPr>
    </w:p>
    <w:p w:rsidR="0014228F" w:rsidRDefault="0014228F" w:rsidP="004D53DD">
      <w:pPr>
        <w:rPr>
          <w:u w:val="single"/>
        </w:rPr>
      </w:pPr>
      <w:r>
        <w:t>F.</w:t>
      </w:r>
      <w:r>
        <w:tab/>
      </w:r>
      <w:r w:rsidR="00DE11BE">
        <w:rPr>
          <w:u w:val="single"/>
        </w:rPr>
        <w:t xml:space="preserve">Review of Tax Depreciation Benefits in Customer Contribution Calculation </w:t>
      </w:r>
    </w:p>
    <w:p w:rsidR="0014228F" w:rsidRDefault="0014228F" w:rsidP="0014228F">
      <w:pPr>
        <w:ind w:left="720"/>
        <w:rPr>
          <w:u w:val="single"/>
        </w:rPr>
      </w:pPr>
    </w:p>
    <w:p w:rsidR="0014228F" w:rsidRDefault="0014228F" w:rsidP="0014228F">
      <w:pPr>
        <w:ind w:left="720"/>
        <w:rPr>
          <w:u w:val="single"/>
        </w:rPr>
      </w:pPr>
    </w:p>
    <w:p w:rsidR="0014228F" w:rsidRDefault="0014228F" w:rsidP="0014228F">
      <w:pPr>
        <w:tabs>
          <w:tab w:val="left" w:pos="-1440"/>
          <w:tab w:val="left" w:pos="-720"/>
          <w:tab w:val="left" w:pos="1051"/>
          <w:tab w:val="left" w:pos="1752"/>
        </w:tabs>
        <w:suppressAutoHyphens/>
        <w:spacing w:line="360" w:lineRule="auto"/>
        <w:ind w:firstLine="1440"/>
        <w:rPr>
          <w:snapToGrid w:val="0"/>
        </w:rPr>
      </w:pPr>
      <w:r>
        <w:rPr>
          <w:snapToGrid w:val="0"/>
        </w:rPr>
        <w:t>The OSBA submits that t</w:t>
      </w:r>
      <w:r w:rsidRPr="00982F7A">
        <w:rPr>
          <w:snapToGrid w:val="0"/>
        </w:rPr>
        <w:t xml:space="preserve">his is not the appropriate venue for evaluating substantive changes to the Company’s economic evaluation.  </w:t>
      </w:r>
      <w:r>
        <w:rPr>
          <w:snapToGrid w:val="0"/>
        </w:rPr>
        <w:t>E</w:t>
      </w:r>
      <w:r w:rsidRPr="007116AB">
        <w:rPr>
          <w:snapToGrid w:val="0"/>
        </w:rPr>
        <w:t xml:space="preserve">conomic models related to customer contributions involve a variety of debatable assumptions, some of which may be relatively favorable to protecting existing customers and some of which may be favorable to new customers.  </w:t>
      </w:r>
      <w:r>
        <w:rPr>
          <w:snapToGrid w:val="0"/>
        </w:rPr>
        <w:t xml:space="preserve">OSBA witness </w:t>
      </w:r>
      <w:proofErr w:type="spellStart"/>
      <w:r>
        <w:rPr>
          <w:snapToGrid w:val="0"/>
        </w:rPr>
        <w:t>Knecht</w:t>
      </w:r>
      <w:proofErr w:type="spellEnd"/>
      <w:r>
        <w:rPr>
          <w:snapToGrid w:val="0"/>
        </w:rPr>
        <w:t xml:space="preserve"> testified that </w:t>
      </w:r>
      <w:r w:rsidRPr="007116AB">
        <w:rPr>
          <w:snapToGrid w:val="0"/>
        </w:rPr>
        <w:t>Columbia’s established procedures for making this calculation are biased in favor of new customers</w:t>
      </w:r>
      <w:r>
        <w:rPr>
          <w:snapToGrid w:val="0"/>
        </w:rPr>
        <w:t xml:space="preserve">.  It is the OSBA’s position that </w:t>
      </w:r>
      <w:r w:rsidRPr="007116AB">
        <w:rPr>
          <w:snapToGrid w:val="0"/>
        </w:rPr>
        <w:t xml:space="preserve">the Company’s method may merit additional review at the appropriate time. </w:t>
      </w:r>
      <w:r>
        <w:rPr>
          <w:snapToGrid w:val="0"/>
        </w:rPr>
        <w:t xml:space="preserve"> OSBA M.B., p. 11.</w:t>
      </w:r>
      <w:r w:rsidRPr="007116AB">
        <w:rPr>
          <w:snapToGrid w:val="0"/>
        </w:rPr>
        <w:t xml:space="preserve"> </w:t>
      </w:r>
    </w:p>
    <w:p w:rsidR="00C709F6" w:rsidRDefault="00C709F6" w:rsidP="00C709F6">
      <w:pPr>
        <w:pStyle w:val="BodyText2"/>
        <w:spacing w:line="360" w:lineRule="auto"/>
        <w:ind w:firstLine="1440"/>
        <w:jc w:val="left"/>
      </w:pPr>
      <w:r>
        <w:rPr>
          <w:snapToGrid w:val="0"/>
        </w:rPr>
        <w:t xml:space="preserve">Columbia claims the OSBA’s position is flawed for several reasons.  </w:t>
      </w:r>
      <w:r w:rsidR="00D953BF">
        <w:rPr>
          <w:snapToGrid w:val="0"/>
        </w:rPr>
        <w:t xml:space="preserve">According to Columbia, </w:t>
      </w:r>
      <w:r>
        <w:t xml:space="preserve">Mr. </w:t>
      </w:r>
      <w:proofErr w:type="spellStart"/>
      <w:r>
        <w:t>Knecht’s</w:t>
      </w:r>
      <w:proofErr w:type="spellEnd"/>
      <w:r>
        <w:t xml:space="preserve"> position is based upon his belief that Columbia is overstating the value of the customer contribution.  (OSBA Statement No. 1, p. 4).  Mr. </w:t>
      </w:r>
      <w:proofErr w:type="spellStart"/>
      <w:r>
        <w:t>Knecht</w:t>
      </w:r>
      <w:proofErr w:type="spellEnd"/>
      <w:r>
        <w:t xml:space="preserve"> reasons that Columbia “should not obtain any additional depreciation tax shields” because there allegedly is “no incremental gross plant to depreciate.”  (OSBA Statement No. 1, p. 4; </w:t>
      </w:r>
      <w:r>
        <w:rPr>
          <w:i/>
        </w:rPr>
        <w:t xml:space="preserve">see also </w:t>
      </w:r>
      <w:r>
        <w:t xml:space="preserve">OSBA Statement No. 3, p. 2); Columbia M.B., p. 31. </w:t>
      </w:r>
    </w:p>
    <w:p w:rsidR="00926711" w:rsidRDefault="00926711" w:rsidP="00C709F6">
      <w:pPr>
        <w:pStyle w:val="BodyText2"/>
        <w:spacing w:line="360" w:lineRule="auto"/>
        <w:ind w:firstLine="1440"/>
        <w:jc w:val="left"/>
      </w:pPr>
    </w:p>
    <w:p w:rsidR="00C709F6" w:rsidRDefault="00D953BF" w:rsidP="00C709F6">
      <w:pPr>
        <w:pStyle w:val="BodyText2"/>
        <w:spacing w:line="360" w:lineRule="auto"/>
        <w:ind w:firstLine="1440"/>
        <w:jc w:val="left"/>
      </w:pPr>
      <w:r>
        <w:t xml:space="preserve">Columbia claims the </w:t>
      </w:r>
      <w:r w:rsidR="00C709F6">
        <w:t xml:space="preserve">OSBA’s argument is incorrect.  </w:t>
      </w:r>
      <w:r>
        <w:t>According to Columbia, t</w:t>
      </w:r>
      <w:r w:rsidR="00C709F6">
        <w:t xml:space="preserve">he crux of </w:t>
      </w:r>
      <w:r>
        <w:t xml:space="preserve">the </w:t>
      </w:r>
      <w:r w:rsidR="00C709F6">
        <w:t xml:space="preserve">OSBA’s argument is its assertion that contributions in aid of construction (“CIACs”) are not depreciable.  </w:t>
      </w:r>
      <w:r>
        <w:t xml:space="preserve">Columbia claims the </w:t>
      </w:r>
      <w:r w:rsidR="00C709F6">
        <w:t xml:space="preserve">OSBA fails to recognize that the Internal Revenue Code, as amended by the Tax Reform Act of 1986, treats CIACs as taxable income to the utility.  Consequently, line extensions funded by CIACs are depreciable assets for tax purposes.  (Columbia Statement No. 1-R, p. 17).  Therefore, Columbia </w:t>
      </w:r>
      <w:r w:rsidR="006A378F">
        <w:t xml:space="preserve">contends that it </w:t>
      </w:r>
      <w:r w:rsidR="00C709F6">
        <w:t xml:space="preserve">appropriately reflects tax depreciation benefits in its economic model.  Columbia M.B., p. 31. </w:t>
      </w:r>
    </w:p>
    <w:p w:rsidR="00C709F6" w:rsidRDefault="00C709F6" w:rsidP="00C709F6">
      <w:pPr>
        <w:pStyle w:val="BodyText2"/>
        <w:spacing w:line="360" w:lineRule="auto"/>
        <w:ind w:firstLine="1440"/>
        <w:jc w:val="left"/>
      </w:pPr>
      <w:r>
        <w:t xml:space="preserve">  </w:t>
      </w:r>
    </w:p>
    <w:p w:rsidR="00C709F6" w:rsidRDefault="006A378F" w:rsidP="00C709F6">
      <w:pPr>
        <w:pStyle w:val="BodyText2"/>
        <w:spacing w:line="360" w:lineRule="auto"/>
        <w:ind w:firstLine="1440"/>
        <w:jc w:val="left"/>
      </w:pPr>
      <w:r>
        <w:t>According to Columbia, t</w:t>
      </w:r>
      <w:r w:rsidR="00C709F6">
        <w:t xml:space="preserve">he Commission’s investigation in 1989 concerning how to treat the new taxable status of CIACs supports this position.  </w:t>
      </w:r>
      <w:r w:rsidR="00C709F6">
        <w:rPr>
          <w:i/>
        </w:rPr>
        <w:t>See Re Contributions in Aid of Construction and Customer Advances</w:t>
      </w:r>
      <w:r w:rsidR="00C709F6">
        <w:t xml:space="preserve">, Docket No. I-880083, 70 Pa. PUC 44, 47 (Order Entered June 14, 1989).  Therein, the Commission determined that natural gas utilities should include in their rate base the resulting deferred tax debit from paying income tax on the CIAC.  </w:t>
      </w:r>
      <w:r w:rsidR="00C709F6">
        <w:rPr>
          <w:i/>
        </w:rPr>
        <w:t>Id.</w:t>
      </w:r>
      <w:r w:rsidR="00C709F6">
        <w:t xml:space="preserve"> at</w:t>
      </w:r>
      <w:r w:rsidR="00CD4BC6">
        <w:t> </w:t>
      </w:r>
      <w:r w:rsidR="00C709F6">
        <w:t>47</w:t>
      </w:r>
      <w:r w:rsidR="00CD4BC6">
        <w:noBreakHyphen/>
      </w:r>
      <w:r w:rsidR="00C709F6">
        <w:t>48,</w:t>
      </w:r>
      <w:r w:rsidR="00CD4BC6">
        <w:t> </w:t>
      </w:r>
      <w:r w:rsidR="00C709F6">
        <w:t xml:space="preserve">57.  Moreover, as the natural gas utility receives the tax depreciation on the facilities constructed with the CIAC, the deferred tax debit is removed from the utility’s rate base.  </w:t>
      </w:r>
      <w:r w:rsidR="00C709F6">
        <w:rPr>
          <w:i/>
        </w:rPr>
        <w:t>Id.</w:t>
      </w:r>
      <w:r w:rsidR="00C709F6">
        <w:t>; Columbia M.B., p. 31.</w:t>
      </w:r>
    </w:p>
    <w:p w:rsidR="00C709F6" w:rsidRPr="00C709F6" w:rsidRDefault="00C709F6" w:rsidP="00C709F6">
      <w:pPr>
        <w:pStyle w:val="BodyText2"/>
        <w:spacing w:line="360" w:lineRule="auto"/>
        <w:ind w:firstLine="1440"/>
        <w:jc w:val="left"/>
      </w:pPr>
    </w:p>
    <w:p w:rsidR="00C709F6" w:rsidRDefault="00C709F6" w:rsidP="00C709F6">
      <w:pPr>
        <w:pStyle w:val="BodyText2"/>
        <w:spacing w:line="360" w:lineRule="auto"/>
        <w:ind w:firstLine="1440"/>
        <w:jc w:val="left"/>
      </w:pPr>
      <w:r>
        <w:t xml:space="preserve">Here, </w:t>
      </w:r>
      <w:r w:rsidR="006A378F">
        <w:t xml:space="preserve">Columbia claims its </w:t>
      </w:r>
      <w:r>
        <w:t xml:space="preserve">approach of including tax depreciation benefits in its economic model is entirely consistent with the Tax Reform Act of 1986 and the Commission’s order in </w:t>
      </w:r>
      <w:r>
        <w:rPr>
          <w:i/>
        </w:rPr>
        <w:t>Re Contributions in Aid of Construction and Customer Advances</w:t>
      </w:r>
      <w:r>
        <w:t>.  To begin, Columbia treats the CIACs it receives from customers as taxable income.  Moreover, for tax purposes, it considers the facilities funded by CIACs as depreciable assets.  Additionally, the deferred tax debit resulting from Columbia paying income tax on the CIAC is included in its rate base.  As the Company realizes the tax depreciation on the facilities funded by the CIAC, it removes the deferred tax debit from its rate base.  Columbia M.B., p. 32.</w:t>
      </w:r>
    </w:p>
    <w:p w:rsidR="00C709F6" w:rsidRDefault="00C709F6" w:rsidP="00C709F6">
      <w:pPr>
        <w:pStyle w:val="BodyText2"/>
        <w:spacing w:line="360" w:lineRule="auto"/>
        <w:ind w:firstLine="1440"/>
        <w:jc w:val="left"/>
      </w:pPr>
    </w:p>
    <w:p w:rsidR="0014228F" w:rsidRDefault="006A378F" w:rsidP="00C709F6">
      <w:pPr>
        <w:pStyle w:val="BodyText2"/>
        <w:spacing w:line="360" w:lineRule="auto"/>
        <w:ind w:firstLine="1440"/>
        <w:jc w:val="left"/>
      </w:pPr>
      <w:r>
        <w:t>According to Columbia, i</w:t>
      </w:r>
      <w:r w:rsidR="00C709F6">
        <w:t xml:space="preserve">n his surrebuttal testimony, Mr. </w:t>
      </w:r>
      <w:proofErr w:type="spellStart"/>
      <w:r w:rsidR="00C709F6">
        <w:t>Knecht</w:t>
      </w:r>
      <w:proofErr w:type="spellEnd"/>
      <w:r w:rsidR="00C709F6">
        <w:t xml:space="preserve">  mischaracterizes the Commission’s findings in </w:t>
      </w:r>
      <w:r w:rsidR="00C709F6">
        <w:rPr>
          <w:i/>
        </w:rPr>
        <w:t>Re Contributions in Aid of Construction and Customer Advances</w:t>
      </w:r>
      <w:r w:rsidR="00C709F6">
        <w:t xml:space="preserve">.  Mr. </w:t>
      </w:r>
      <w:proofErr w:type="spellStart"/>
      <w:r w:rsidR="00C709F6">
        <w:t>Knecht</w:t>
      </w:r>
      <w:proofErr w:type="spellEnd"/>
      <w:r w:rsidR="00C709F6">
        <w:t xml:space="preserve"> asserts that Columbia had an alternative to including taxes on CIACs in rate base because Columbia had the option to charge the taxes to the applicant as a gross up to the contribution.  (OSBA Statement No. 3, p. 3 n.1).  </w:t>
      </w:r>
      <w:r>
        <w:t xml:space="preserve">According to Columbia, </w:t>
      </w:r>
      <w:r w:rsidR="00C709F6">
        <w:t xml:space="preserve">the Commission explicitly approved the method used by Columbia in </w:t>
      </w:r>
      <w:r w:rsidR="00C709F6">
        <w:rPr>
          <w:i/>
        </w:rPr>
        <w:t>Re Contributions in Aid of Construction and Customer Advances</w:t>
      </w:r>
      <w:r w:rsidR="00C709F6">
        <w:t xml:space="preserve">.  However, the “grossed up for income taxes” method, which Mr. </w:t>
      </w:r>
      <w:proofErr w:type="spellStart"/>
      <w:r w:rsidR="00C709F6">
        <w:t>Knecht</w:t>
      </w:r>
      <w:proofErr w:type="spellEnd"/>
      <w:r w:rsidR="00C709F6">
        <w:t xml:space="preserve"> alleges was also approved, could only continue to be used by those “gas utilities which currently employ[</w:t>
      </w:r>
      <w:proofErr w:type="spellStart"/>
      <w:r w:rsidR="00C709F6">
        <w:t>ed</w:t>
      </w:r>
      <w:proofErr w:type="spellEnd"/>
      <w:r w:rsidR="00C709F6">
        <w:t xml:space="preserve">]” that method.  </w:t>
      </w:r>
      <w:r w:rsidR="00C709F6">
        <w:rPr>
          <w:i/>
        </w:rPr>
        <w:t>Id.</w:t>
      </w:r>
      <w:r w:rsidR="00C709F6">
        <w:t xml:space="preserve"> at 57.  The Commission stated further that “[s]</w:t>
      </w:r>
      <w:proofErr w:type="spellStart"/>
      <w:r w:rsidR="00C709F6">
        <w:t>hould</w:t>
      </w:r>
      <w:proofErr w:type="spellEnd"/>
      <w:r w:rsidR="00C709F6">
        <w:t xml:space="preserve"> any electric or gas utility wish to deviate from these methods it must file a petition, complete with proposed tariffs, to deviate from this method.”  </w:t>
      </w:r>
      <w:r w:rsidR="00C709F6">
        <w:rPr>
          <w:i/>
        </w:rPr>
        <w:t>Id.</w:t>
      </w:r>
      <w:r w:rsidR="00C709F6">
        <w:t xml:space="preserve">  Since Columbia has neither used the grossed-up method cited by Mr. </w:t>
      </w:r>
      <w:proofErr w:type="spellStart"/>
      <w:r w:rsidR="00C709F6">
        <w:t>Knecht</w:t>
      </w:r>
      <w:proofErr w:type="spellEnd"/>
      <w:r w:rsidR="00C709F6">
        <w:t xml:space="preserve"> nor petitioned to use it, </w:t>
      </w:r>
      <w:r>
        <w:t xml:space="preserve">Columbia argues it </w:t>
      </w:r>
      <w:r w:rsidR="00C709F6">
        <w:t xml:space="preserve">should continue to use the methodology explicitly approved by the Commission in </w:t>
      </w:r>
      <w:r w:rsidR="00C709F6">
        <w:rPr>
          <w:i/>
        </w:rPr>
        <w:t>Re Contributions in Aid of Construction and Customer Advances</w:t>
      </w:r>
      <w:r w:rsidR="00C709F6">
        <w:t xml:space="preserve">, and any argument to the contrary is without merit.  Thus, for the foregoing reasons, Columbia </w:t>
      </w:r>
      <w:r w:rsidR="008D22FF">
        <w:t xml:space="preserve">believes it </w:t>
      </w:r>
      <w:r w:rsidR="00C709F6">
        <w:t xml:space="preserve">properly includes accelerated tax depreciation benefits in its model, and OSBA’s proposed review of the model should be rejected.  </w:t>
      </w:r>
      <w:r w:rsidR="00D953BF">
        <w:t>Columbia M.B., pp. 32-33.</w:t>
      </w:r>
    </w:p>
    <w:p w:rsidR="00C709F6" w:rsidRDefault="00C709F6" w:rsidP="00C709F6">
      <w:pPr>
        <w:pStyle w:val="BodyText2"/>
        <w:spacing w:line="360" w:lineRule="auto"/>
        <w:ind w:firstLine="1440"/>
        <w:jc w:val="left"/>
        <w:rPr>
          <w:snapToGrid w:val="0"/>
        </w:rPr>
      </w:pPr>
    </w:p>
    <w:p w:rsidR="0014228F" w:rsidRPr="006A378F" w:rsidRDefault="0014228F" w:rsidP="0014228F">
      <w:pPr>
        <w:tabs>
          <w:tab w:val="left" w:pos="-1440"/>
          <w:tab w:val="left" w:pos="-720"/>
          <w:tab w:val="left" w:pos="1051"/>
          <w:tab w:val="left" w:pos="1752"/>
        </w:tabs>
        <w:suppressAutoHyphens/>
        <w:spacing w:line="360" w:lineRule="auto"/>
        <w:ind w:firstLine="1440"/>
        <w:rPr>
          <w:snapToGrid w:val="0"/>
        </w:rPr>
      </w:pPr>
      <w:r>
        <w:rPr>
          <w:snapToGrid w:val="0"/>
        </w:rPr>
        <w:t xml:space="preserve">The undersigned Administrative Law Judge agrees </w:t>
      </w:r>
      <w:r w:rsidR="006A378F">
        <w:rPr>
          <w:snapToGrid w:val="0"/>
        </w:rPr>
        <w:t>with Columbia that s</w:t>
      </w:r>
      <w:r w:rsidR="006A378F">
        <w:t xml:space="preserve">ince Columbia has neither used the grossed-up method cited by Mr. </w:t>
      </w:r>
      <w:proofErr w:type="spellStart"/>
      <w:r w:rsidR="006A378F">
        <w:t>Knecht</w:t>
      </w:r>
      <w:proofErr w:type="spellEnd"/>
      <w:r w:rsidR="006A378F">
        <w:t xml:space="preserve"> nor petitioned to use it, Columbia should continue to use the methodology explicitly approved by the Commission in </w:t>
      </w:r>
      <w:r w:rsidR="006A378F">
        <w:rPr>
          <w:i/>
        </w:rPr>
        <w:t>Re Contributions in Aid of Construction and Customer Advances</w:t>
      </w:r>
      <w:r w:rsidR="006A378F">
        <w:t xml:space="preserve"> in the Pilot Rider NAS program. </w:t>
      </w:r>
    </w:p>
    <w:p w:rsidR="00FB2376" w:rsidRDefault="00FB2376" w:rsidP="005C3949">
      <w:pPr>
        <w:pStyle w:val="BodyText2"/>
        <w:spacing w:line="360" w:lineRule="auto"/>
        <w:ind w:firstLine="1440"/>
        <w:jc w:val="left"/>
      </w:pPr>
    </w:p>
    <w:p w:rsidR="00FF6CAF" w:rsidRDefault="0014228F" w:rsidP="00CF4AEC">
      <w:pPr>
        <w:tabs>
          <w:tab w:val="left" w:pos="-1440"/>
          <w:tab w:val="left" w:pos="-720"/>
          <w:tab w:val="left" w:pos="720"/>
          <w:tab w:val="left" w:pos="1752"/>
        </w:tabs>
        <w:suppressAutoHyphens/>
        <w:spacing w:line="360" w:lineRule="auto"/>
        <w:rPr>
          <w:snapToGrid w:val="0"/>
        </w:rPr>
      </w:pPr>
      <w:r>
        <w:rPr>
          <w:snapToGrid w:val="0"/>
        </w:rPr>
        <w:t>G</w:t>
      </w:r>
      <w:r w:rsidR="00FF6CAF">
        <w:rPr>
          <w:snapToGrid w:val="0"/>
        </w:rPr>
        <w:t>.</w:t>
      </w:r>
      <w:r w:rsidR="00FF6CAF">
        <w:rPr>
          <w:snapToGrid w:val="0"/>
        </w:rPr>
        <w:tab/>
      </w:r>
      <w:r w:rsidR="003A237D">
        <w:rPr>
          <w:snapToGrid w:val="0"/>
          <w:u w:val="single"/>
        </w:rPr>
        <w:t>Income Tax Costs in Pilot Rider NAS Charge Calculation</w:t>
      </w:r>
    </w:p>
    <w:p w:rsidR="00FF6CAF" w:rsidRDefault="00FF6CAF" w:rsidP="00FF6CAF">
      <w:pPr>
        <w:tabs>
          <w:tab w:val="left" w:pos="-1440"/>
          <w:tab w:val="left" w:pos="-720"/>
          <w:tab w:val="left" w:pos="1051"/>
          <w:tab w:val="left" w:pos="1752"/>
        </w:tabs>
        <w:suppressAutoHyphens/>
        <w:spacing w:line="360" w:lineRule="auto"/>
        <w:rPr>
          <w:snapToGrid w:val="0"/>
        </w:rPr>
      </w:pPr>
    </w:p>
    <w:p w:rsidR="00FF6CAF" w:rsidRDefault="00FF6CAF" w:rsidP="00FF6CAF">
      <w:pPr>
        <w:tabs>
          <w:tab w:val="left" w:pos="-1440"/>
          <w:tab w:val="left" w:pos="-720"/>
          <w:tab w:val="left" w:pos="1051"/>
          <w:tab w:val="left" w:pos="1752"/>
        </w:tabs>
        <w:suppressAutoHyphens/>
        <w:spacing w:line="360" w:lineRule="auto"/>
        <w:ind w:firstLine="1440"/>
        <w:rPr>
          <w:snapToGrid w:val="0"/>
        </w:rPr>
      </w:pPr>
      <w:r>
        <w:rPr>
          <w:snapToGrid w:val="0"/>
        </w:rPr>
        <w:t>T</w:t>
      </w:r>
      <w:r w:rsidRPr="007116AB">
        <w:rPr>
          <w:snapToGrid w:val="0"/>
        </w:rPr>
        <w:t xml:space="preserve">he OSBA </w:t>
      </w:r>
      <w:r>
        <w:rPr>
          <w:snapToGrid w:val="0"/>
        </w:rPr>
        <w:t xml:space="preserve">is not advocating </w:t>
      </w:r>
      <w:r w:rsidRPr="007116AB">
        <w:rPr>
          <w:snapToGrid w:val="0"/>
        </w:rPr>
        <w:t>a modification to the established practices at this time</w:t>
      </w:r>
      <w:r>
        <w:rPr>
          <w:snapToGrid w:val="0"/>
        </w:rPr>
        <w:t xml:space="preserve"> with respect to the treatment of income tax costs in the Pilot Rider NAS calculation </w:t>
      </w:r>
      <w:r w:rsidRPr="007116AB">
        <w:rPr>
          <w:snapToGrid w:val="0"/>
        </w:rPr>
        <w:t>as long as reasonable protections are established to prevent small business customers from bearing the costs for a program in which they are not eligible to participate.</w:t>
      </w:r>
      <w:r>
        <w:rPr>
          <w:snapToGrid w:val="0"/>
        </w:rPr>
        <w:t xml:space="preserve">  OSBA M.B., p. 11.  </w:t>
      </w:r>
    </w:p>
    <w:p w:rsidR="00FF6CAF" w:rsidRDefault="00FF6CAF" w:rsidP="00FF6CAF">
      <w:pPr>
        <w:tabs>
          <w:tab w:val="left" w:pos="-1440"/>
          <w:tab w:val="left" w:pos="-720"/>
          <w:tab w:val="left" w:pos="1051"/>
          <w:tab w:val="left" w:pos="1752"/>
        </w:tabs>
        <w:suppressAutoHyphens/>
        <w:spacing w:line="360" w:lineRule="auto"/>
        <w:ind w:firstLine="1440"/>
        <w:rPr>
          <w:snapToGrid w:val="0"/>
        </w:rPr>
      </w:pPr>
    </w:p>
    <w:p w:rsidR="00FF6CAF" w:rsidRDefault="00FF6CAF" w:rsidP="00FF6CAF">
      <w:pPr>
        <w:tabs>
          <w:tab w:val="left" w:pos="-1440"/>
          <w:tab w:val="left" w:pos="-720"/>
          <w:tab w:val="left" w:pos="1051"/>
          <w:tab w:val="left" w:pos="1752"/>
        </w:tabs>
        <w:suppressAutoHyphens/>
        <w:spacing w:line="360" w:lineRule="auto"/>
        <w:ind w:firstLine="1440"/>
        <w:rPr>
          <w:snapToGrid w:val="0"/>
        </w:rPr>
      </w:pPr>
      <w:r>
        <w:rPr>
          <w:snapToGrid w:val="0"/>
        </w:rPr>
        <w:t xml:space="preserve">According to the OSBA, Columbia’s </w:t>
      </w:r>
      <w:r w:rsidRPr="00E76B34">
        <w:rPr>
          <w:snapToGrid w:val="0"/>
        </w:rPr>
        <w:t xml:space="preserve">NPV </w:t>
      </w:r>
      <w:r>
        <w:rPr>
          <w:snapToGrid w:val="0"/>
        </w:rPr>
        <w:t xml:space="preserve">of DCF </w:t>
      </w:r>
      <w:r w:rsidRPr="00E76B34">
        <w:rPr>
          <w:snapToGrid w:val="0"/>
        </w:rPr>
        <w:t xml:space="preserve">analyses </w:t>
      </w:r>
      <w:r>
        <w:rPr>
          <w:snapToGrid w:val="0"/>
        </w:rPr>
        <w:t>(</w:t>
      </w:r>
      <w:r w:rsidRPr="00E76B34">
        <w:rPr>
          <w:snapToGrid w:val="0"/>
        </w:rPr>
        <w:t>provided in response to OSBA-I-2</w:t>
      </w:r>
      <w:r>
        <w:rPr>
          <w:snapToGrid w:val="0"/>
        </w:rPr>
        <w:t xml:space="preserve">) do not </w:t>
      </w:r>
      <w:r w:rsidRPr="00E76B34">
        <w:rPr>
          <w:snapToGrid w:val="0"/>
        </w:rPr>
        <w:t xml:space="preserve">include the </w:t>
      </w:r>
      <w:r>
        <w:rPr>
          <w:snapToGrid w:val="0"/>
        </w:rPr>
        <w:t>d</w:t>
      </w:r>
      <w:r w:rsidRPr="00E76B34">
        <w:rPr>
          <w:snapToGrid w:val="0"/>
        </w:rPr>
        <w:t>irect tax effect of CIAC in assessing the costs related to system expansion</w:t>
      </w:r>
      <w:r>
        <w:rPr>
          <w:snapToGrid w:val="0"/>
        </w:rPr>
        <w:t>.</w:t>
      </w:r>
      <w:r w:rsidRPr="00E76B34">
        <w:rPr>
          <w:snapToGrid w:val="0"/>
        </w:rPr>
        <w:t xml:space="preserve"> The Company’s NPV model excludes the direct tax cost of the CIAC, but includes the depreciation tax shields.</w:t>
      </w:r>
      <w:r>
        <w:rPr>
          <w:snapToGrid w:val="0"/>
        </w:rPr>
        <w:t xml:space="preserve">  Company witness </w:t>
      </w:r>
      <w:r w:rsidRPr="00E76B34">
        <w:rPr>
          <w:snapToGrid w:val="0"/>
        </w:rPr>
        <w:t>Mr. Evans argue</w:t>
      </w:r>
      <w:r>
        <w:rPr>
          <w:snapToGrid w:val="0"/>
        </w:rPr>
        <w:t>s</w:t>
      </w:r>
      <w:r w:rsidRPr="00E76B34">
        <w:rPr>
          <w:snapToGrid w:val="0"/>
        </w:rPr>
        <w:t xml:space="preserve"> that the Commission determined that utilities “should include in rate base the resulting deferred tax debit from paying the tax on the CIAC and that the debit is removed from rate base as the gas utility receives the tax depreciation on plant constructed with the CIAC.”  </w:t>
      </w:r>
      <w:r>
        <w:rPr>
          <w:snapToGrid w:val="0"/>
        </w:rPr>
        <w:t>However, i</w:t>
      </w:r>
      <w:r w:rsidRPr="00E76B34">
        <w:rPr>
          <w:snapToGrid w:val="0"/>
        </w:rPr>
        <w:t xml:space="preserve">n the NPV analysis provided in response to OSBA-I-2, the Company </w:t>
      </w:r>
      <w:r>
        <w:rPr>
          <w:snapToGrid w:val="0"/>
        </w:rPr>
        <w:t xml:space="preserve">does not </w:t>
      </w:r>
      <w:r w:rsidRPr="00E76B34">
        <w:rPr>
          <w:snapToGrid w:val="0"/>
        </w:rPr>
        <w:t>reflect the costs to ratepayers for the rate</w:t>
      </w:r>
      <w:r>
        <w:rPr>
          <w:snapToGrid w:val="0"/>
        </w:rPr>
        <w:t xml:space="preserve"> </w:t>
      </w:r>
      <w:r w:rsidRPr="00E76B34">
        <w:rPr>
          <w:snapToGrid w:val="0"/>
        </w:rPr>
        <w:t>base associated with this deferred tax debit</w:t>
      </w:r>
      <w:r>
        <w:rPr>
          <w:snapToGrid w:val="0"/>
        </w:rPr>
        <w:t xml:space="preserve">.  OSBA M.B., p. 12.  </w:t>
      </w:r>
    </w:p>
    <w:p w:rsidR="00FF6CAF" w:rsidRDefault="00FF6CAF" w:rsidP="00FF6CAF">
      <w:pPr>
        <w:tabs>
          <w:tab w:val="left" w:pos="-1440"/>
          <w:tab w:val="left" w:pos="-720"/>
          <w:tab w:val="left" w:pos="1051"/>
          <w:tab w:val="left" w:pos="1752"/>
        </w:tabs>
        <w:suppressAutoHyphens/>
        <w:spacing w:line="360" w:lineRule="auto"/>
        <w:ind w:firstLine="1440"/>
        <w:rPr>
          <w:snapToGrid w:val="0"/>
        </w:rPr>
      </w:pPr>
    </w:p>
    <w:p w:rsidR="00FF6CAF" w:rsidRDefault="00FF6CAF" w:rsidP="00FF6CAF">
      <w:pPr>
        <w:tabs>
          <w:tab w:val="left" w:pos="-1440"/>
          <w:tab w:val="left" w:pos="-720"/>
          <w:tab w:val="left" w:pos="1051"/>
          <w:tab w:val="left" w:pos="1752"/>
        </w:tabs>
        <w:suppressAutoHyphens/>
        <w:spacing w:line="360" w:lineRule="auto"/>
        <w:ind w:firstLine="1440"/>
        <w:rPr>
          <w:snapToGrid w:val="0"/>
        </w:rPr>
      </w:pPr>
      <w:r>
        <w:rPr>
          <w:snapToGrid w:val="0"/>
        </w:rPr>
        <w:t>The OSBA concludes, therefore, that t</w:t>
      </w:r>
      <w:r w:rsidRPr="00E76B34">
        <w:rPr>
          <w:snapToGrid w:val="0"/>
        </w:rPr>
        <w:t>he Company’s NPV model understates the tax costs (or overstates the tax benefits) associated with the CIAC, thereby understating the economic cost of the system expansion.</w:t>
      </w:r>
      <w:r>
        <w:rPr>
          <w:snapToGrid w:val="0"/>
        </w:rPr>
        <w:t xml:space="preserve">  OSBA M.B., p. 12.  </w:t>
      </w:r>
    </w:p>
    <w:p w:rsidR="00FF6CAF" w:rsidRDefault="00FF6CAF" w:rsidP="00FF6CAF">
      <w:pPr>
        <w:tabs>
          <w:tab w:val="left" w:pos="-1440"/>
          <w:tab w:val="left" w:pos="-720"/>
          <w:tab w:val="left" w:pos="1051"/>
          <w:tab w:val="left" w:pos="1752"/>
        </w:tabs>
        <w:suppressAutoHyphens/>
        <w:spacing w:line="360" w:lineRule="auto"/>
        <w:ind w:firstLine="1440"/>
        <w:rPr>
          <w:snapToGrid w:val="0"/>
        </w:rPr>
      </w:pPr>
    </w:p>
    <w:p w:rsidR="00FF6CAF" w:rsidRDefault="00FF6CAF" w:rsidP="00FF6CAF">
      <w:pPr>
        <w:tabs>
          <w:tab w:val="left" w:pos="-1440"/>
          <w:tab w:val="left" w:pos="-720"/>
          <w:tab w:val="left" w:pos="1051"/>
          <w:tab w:val="left" w:pos="1752"/>
        </w:tabs>
        <w:suppressAutoHyphens/>
        <w:spacing w:line="360" w:lineRule="auto"/>
        <w:ind w:firstLine="1440"/>
        <w:rPr>
          <w:snapToGrid w:val="0"/>
        </w:rPr>
      </w:pPr>
      <w:r>
        <w:rPr>
          <w:snapToGrid w:val="0"/>
        </w:rPr>
        <w:t xml:space="preserve">The OSBA also </w:t>
      </w:r>
      <w:r w:rsidRPr="00E76B34">
        <w:rPr>
          <w:snapToGrid w:val="0"/>
        </w:rPr>
        <w:t>conclu</w:t>
      </w:r>
      <w:r>
        <w:rPr>
          <w:snapToGrid w:val="0"/>
        </w:rPr>
        <w:t>des</w:t>
      </w:r>
      <w:r w:rsidRPr="00E76B34">
        <w:rPr>
          <w:snapToGrid w:val="0"/>
        </w:rPr>
        <w:t xml:space="preserve"> that the “interest” rate used by the Company in calculating the </w:t>
      </w:r>
      <w:r>
        <w:rPr>
          <w:snapToGrid w:val="0"/>
        </w:rPr>
        <w:t xml:space="preserve">Pilot </w:t>
      </w:r>
      <w:r w:rsidRPr="00E76B34">
        <w:rPr>
          <w:snapToGrid w:val="0"/>
        </w:rPr>
        <w:t xml:space="preserve">Rider NAS charge fails to recognize that the Company incurs income taxes related to equity.  The Company’s economic evaluation explicitly includes the income tax costs associated with the new customer, including both regular and deferred tax impacts.  These costs (correctly) serve to increase the magnitude of the required contribution.  In contrast, the Company includes no such tax effects in deriving the “interest” rate for </w:t>
      </w:r>
      <w:r>
        <w:rPr>
          <w:snapToGrid w:val="0"/>
        </w:rPr>
        <w:t xml:space="preserve">Pilot </w:t>
      </w:r>
      <w:r w:rsidRPr="00E76B34">
        <w:rPr>
          <w:snapToGrid w:val="0"/>
        </w:rPr>
        <w:t xml:space="preserve">Rider NAS.  </w:t>
      </w:r>
      <w:r>
        <w:rPr>
          <w:snapToGrid w:val="0"/>
        </w:rPr>
        <w:t>According to the OSBA, t</w:t>
      </w:r>
      <w:r w:rsidRPr="00E76B34">
        <w:rPr>
          <w:snapToGrid w:val="0"/>
        </w:rPr>
        <w:t>he Company’s economic model and its “interest” calcul</w:t>
      </w:r>
      <w:r>
        <w:rPr>
          <w:snapToGrid w:val="0"/>
        </w:rPr>
        <w:t xml:space="preserve">ation are simply not consistent.  OSBA M.B., p. 12.  </w:t>
      </w:r>
    </w:p>
    <w:p w:rsidR="00FF6CAF" w:rsidRDefault="00FF6CAF" w:rsidP="00FF6CAF">
      <w:pPr>
        <w:tabs>
          <w:tab w:val="left" w:pos="-1440"/>
          <w:tab w:val="left" w:pos="-720"/>
          <w:tab w:val="left" w:pos="1051"/>
          <w:tab w:val="left" w:pos="1752"/>
        </w:tabs>
        <w:suppressAutoHyphens/>
        <w:spacing w:line="360" w:lineRule="auto"/>
        <w:ind w:firstLine="1440"/>
        <w:rPr>
          <w:snapToGrid w:val="0"/>
        </w:rPr>
      </w:pPr>
    </w:p>
    <w:p w:rsidR="00FF6CAF" w:rsidRDefault="00FF6CAF" w:rsidP="00FF6CAF">
      <w:pPr>
        <w:tabs>
          <w:tab w:val="left" w:pos="-1440"/>
          <w:tab w:val="left" w:pos="-720"/>
          <w:tab w:val="left" w:pos="1051"/>
          <w:tab w:val="left" w:pos="1752"/>
        </w:tabs>
        <w:suppressAutoHyphens/>
        <w:spacing w:line="360" w:lineRule="auto"/>
        <w:ind w:firstLine="1440"/>
        <w:rPr>
          <w:snapToGrid w:val="0"/>
        </w:rPr>
      </w:pPr>
      <w:r>
        <w:rPr>
          <w:snapToGrid w:val="0"/>
        </w:rPr>
        <w:t xml:space="preserve">Finally, </w:t>
      </w:r>
      <w:r w:rsidRPr="00E76B34">
        <w:rPr>
          <w:snapToGrid w:val="0"/>
        </w:rPr>
        <w:t xml:space="preserve">with regard to the complexities associated with deferred taxes, </w:t>
      </w:r>
      <w:r>
        <w:rPr>
          <w:snapToGrid w:val="0"/>
        </w:rPr>
        <w:t xml:space="preserve">the OSBA </w:t>
      </w:r>
      <w:r w:rsidRPr="00E76B34">
        <w:rPr>
          <w:snapToGrid w:val="0"/>
        </w:rPr>
        <w:t>note</w:t>
      </w:r>
      <w:r>
        <w:rPr>
          <w:snapToGrid w:val="0"/>
        </w:rPr>
        <w:t>s</w:t>
      </w:r>
      <w:r w:rsidRPr="00E76B34">
        <w:rPr>
          <w:snapToGrid w:val="0"/>
        </w:rPr>
        <w:t xml:space="preserve"> that neither Columbia nor the Commission saw a need to include any such complexities in its DSIC calculations, which</w:t>
      </w:r>
      <w:r>
        <w:rPr>
          <w:snapToGrid w:val="0"/>
        </w:rPr>
        <w:t xml:space="preserve"> </w:t>
      </w:r>
      <w:r w:rsidRPr="00E76B34">
        <w:rPr>
          <w:snapToGrid w:val="0"/>
        </w:rPr>
        <w:t>simply gross up the equity returns for income taxes.</w:t>
      </w:r>
      <w:r w:rsidRPr="00E76B34">
        <w:rPr>
          <w:snapToGrid w:val="0"/>
          <w:vertAlign w:val="superscript"/>
        </w:rPr>
        <w:footnoteReference w:id="100"/>
      </w:r>
      <w:r w:rsidRPr="00E76B34">
        <w:rPr>
          <w:snapToGrid w:val="0"/>
        </w:rPr>
        <w:t xml:space="preserve">  </w:t>
      </w:r>
      <w:r>
        <w:rPr>
          <w:snapToGrid w:val="0"/>
        </w:rPr>
        <w:t xml:space="preserve">The OSBA submits that its </w:t>
      </w:r>
      <w:r w:rsidRPr="00E76B34">
        <w:rPr>
          <w:snapToGrid w:val="0"/>
        </w:rPr>
        <w:t>proposal is consistent with that approach.</w:t>
      </w:r>
      <w:r>
        <w:rPr>
          <w:snapToGrid w:val="0"/>
        </w:rPr>
        <w:t xml:space="preserve">  OSBA M.B., p. 12.  </w:t>
      </w:r>
    </w:p>
    <w:p w:rsidR="0014228F" w:rsidRDefault="0014228F" w:rsidP="00FF6CAF">
      <w:pPr>
        <w:tabs>
          <w:tab w:val="left" w:pos="-1440"/>
          <w:tab w:val="left" w:pos="-720"/>
          <w:tab w:val="left" w:pos="1051"/>
          <w:tab w:val="left" w:pos="1752"/>
        </w:tabs>
        <w:suppressAutoHyphens/>
        <w:spacing w:line="360" w:lineRule="auto"/>
        <w:ind w:firstLine="1440"/>
        <w:rPr>
          <w:snapToGrid w:val="0"/>
        </w:rPr>
      </w:pPr>
    </w:p>
    <w:p w:rsidR="005E6755" w:rsidRDefault="0014228F" w:rsidP="005E6755">
      <w:pPr>
        <w:pStyle w:val="BodyText2"/>
        <w:spacing w:line="360" w:lineRule="auto"/>
        <w:ind w:firstLine="1440"/>
        <w:jc w:val="left"/>
      </w:pPr>
      <w:r>
        <w:rPr>
          <w:snapToGrid w:val="0"/>
        </w:rPr>
        <w:t xml:space="preserve">Columbia contends that OSBA’s argument that the Pilot Rider NAS charge should be grossed up for income tax costs is erroneous.  </w:t>
      </w:r>
      <w:r w:rsidR="005E6755">
        <w:rPr>
          <w:snapToGrid w:val="0"/>
        </w:rPr>
        <w:t>According to Columbia, w</w:t>
      </w:r>
      <w:r w:rsidR="005E6755">
        <w:t>hile Mr.</w:t>
      </w:r>
      <w:r w:rsidR="00653F72">
        <w:t> </w:t>
      </w:r>
      <w:proofErr w:type="spellStart"/>
      <w:r w:rsidR="005E6755">
        <w:t>Knecht</w:t>
      </w:r>
      <w:proofErr w:type="spellEnd"/>
      <w:r w:rsidR="005E6755">
        <w:t xml:space="preserve"> contends that the Company understates the requisite revenues to fund the Pilot Rider NAS investment by allegedly not reflecting the equity cost of capital’s associated income tax costs, no need exists to gross up the interest rate for calculating the Pilot Rider NAS charge.  (OSBA Statement No. 1, pp. 5, 7; Columbia Statement No. 1-R, pp. 18-19).  As explained by Mr. Evans in his rebuttal testimony, “Columbia has proposed the Pilot Rider NAS charge to be consistent with its economic evaluation of line extensions,” which “uses its most recent weighted average cost of capital to determine if any deposit is due from the customer.”  (Columbia Statement No. 1-R, pp. 18-19).  Therefore, Columbia contends, it is simpler, more efficient, and consistent with the Company’s evaluation of line extensions for Columbia to use the weighted average cost of capital when determining the Pilot Rider NAS monthly surcharge and the total deposit due.  (Columbia Statement No. 1-R, p. 19). </w:t>
      </w:r>
    </w:p>
    <w:p w:rsidR="005E6755" w:rsidRDefault="005E6755" w:rsidP="005E6755">
      <w:pPr>
        <w:pStyle w:val="BodyText2"/>
        <w:spacing w:line="360" w:lineRule="auto"/>
        <w:ind w:firstLine="1440"/>
        <w:jc w:val="left"/>
      </w:pPr>
      <w:r>
        <w:t xml:space="preserve"> </w:t>
      </w:r>
    </w:p>
    <w:p w:rsidR="005E6755" w:rsidRDefault="005E6755" w:rsidP="005E6755">
      <w:pPr>
        <w:pStyle w:val="BodyText2"/>
        <w:spacing w:line="360" w:lineRule="auto"/>
        <w:ind w:firstLine="1440"/>
        <w:jc w:val="left"/>
      </w:pPr>
      <w:r>
        <w:t xml:space="preserve">Moreover, according to Columbia, grossing up the interest rate used in the Pilot Rider NAS surcharge calculation would needlessly complicate the formula. </w:t>
      </w:r>
      <w:r w:rsidR="007B6647">
        <w:t xml:space="preserve"> </w:t>
      </w:r>
      <w:r>
        <w:t xml:space="preserve">(Columbia Statement No. 1-R, p. 19).  Columbia claims Mr. </w:t>
      </w:r>
      <w:proofErr w:type="spellStart"/>
      <w:r>
        <w:t>Knecht</w:t>
      </w:r>
      <w:proofErr w:type="spellEnd"/>
      <w:r>
        <w:t xml:space="preserve"> fails to recognize that a deferred tax impact exists, which serves to reduce rate base, and that between base rate cases, Columbia incurs carrying charges.  (Columbia Statement No. 1-R, p. 19).  Mr. Evans explains that “different tax impacts and carrying charges would cause minor up and down changes to the interest rate,” and that these fluctuations would unnecessarily complicate the Pilot Rider NAS surcharge calculation.  (Columbia Statement No. 1-R, p. 19).  Columbia concludes the OSBA’s proposed modification to Columbia’s Pilot Rider NAS calculation should be denied. </w:t>
      </w:r>
    </w:p>
    <w:p w:rsidR="00C709F6" w:rsidRDefault="00C709F6" w:rsidP="005E6755">
      <w:pPr>
        <w:pStyle w:val="BodyText2"/>
        <w:spacing w:line="360" w:lineRule="auto"/>
        <w:ind w:firstLine="1440"/>
        <w:jc w:val="left"/>
      </w:pPr>
    </w:p>
    <w:p w:rsidR="00C709F6" w:rsidRDefault="00C709F6" w:rsidP="00C709F6">
      <w:pPr>
        <w:tabs>
          <w:tab w:val="left" w:pos="-1440"/>
          <w:tab w:val="left" w:pos="-720"/>
          <w:tab w:val="left" w:pos="1051"/>
          <w:tab w:val="left" w:pos="1752"/>
        </w:tabs>
        <w:suppressAutoHyphens/>
        <w:spacing w:line="360" w:lineRule="auto"/>
        <w:ind w:firstLine="1440"/>
        <w:rPr>
          <w:snapToGrid w:val="0"/>
        </w:rPr>
      </w:pPr>
      <w:r>
        <w:rPr>
          <w:snapToGrid w:val="0"/>
        </w:rPr>
        <w:t>The undersigned Administrative Law Judge agrees that this Pilot Rider NAS proceeding is not the proper proceeding to review and potentially change the customer contribution calculation.  It is a pilot program, small in scale, with the stated goal of expanding natural gas service to residential customers in Columbia’s service territory.</w:t>
      </w:r>
      <w:r w:rsidR="00A01FDD">
        <w:rPr>
          <w:snapToGrid w:val="0"/>
        </w:rPr>
        <w:t xml:space="preserve">  Additionally, </w:t>
      </w:r>
      <w:r w:rsidR="00A01FDD">
        <w:t xml:space="preserve">it is simpler, more efficient, and consistent with the Company’s evaluation of line extensions for Columbia to use the weighted average cost of capital when determining the Pilot Rider NAS monthly surcharge and the total deposit due.  </w:t>
      </w:r>
      <w:r w:rsidR="00A01FDD">
        <w:rPr>
          <w:snapToGrid w:val="0"/>
        </w:rPr>
        <w:t xml:space="preserve"> </w:t>
      </w:r>
    </w:p>
    <w:p w:rsidR="0064308D" w:rsidRDefault="0064308D" w:rsidP="005E6755">
      <w:pPr>
        <w:pStyle w:val="BodyText2"/>
        <w:spacing w:line="360" w:lineRule="auto"/>
        <w:ind w:firstLine="1440"/>
        <w:jc w:val="left"/>
      </w:pPr>
    </w:p>
    <w:p w:rsidR="00FF6CAF" w:rsidRDefault="0014228F" w:rsidP="00D30F31">
      <w:pPr>
        <w:tabs>
          <w:tab w:val="left" w:pos="-1440"/>
          <w:tab w:val="left" w:pos="-720"/>
        </w:tabs>
        <w:suppressAutoHyphens/>
        <w:rPr>
          <w:snapToGrid w:val="0"/>
        </w:rPr>
      </w:pPr>
      <w:r>
        <w:rPr>
          <w:snapToGrid w:val="0"/>
        </w:rPr>
        <w:t>H</w:t>
      </w:r>
      <w:r w:rsidR="00FF6CAF">
        <w:rPr>
          <w:snapToGrid w:val="0"/>
        </w:rPr>
        <w:t>.</w:t>
      </w:r>
      <w:r w:rsidR="00FF6CAF">
        <w:rPr>
          <w:snapToGrid w:val="0"/>
        </w:rPr>
        <w:tab/>
      </w:r>
      <w:r w:rsidR="00C23AD7">
        <w:rPr>
          <w:snapToGrid w:val="0"/>
          <w:u w:val="single"/>
        </w:rPr>
        <w:t>Recording Customer Contributions Whether Payments Are Made</w:t>
      </w:r>
      <w:r w:rsidR="00C23AD7" w:rsidRPr="00E76B34">
        <w:rPr>
          <w:snapToGrid w:val="0"/>
        </w:rPr>
        <w:t xml:space="preserve"> </w:t>
      </w:r>
      <w:r w:rsidR="00FF6CAF" w:rsidRPr="00E76B34">
        <w:rPr>
          <w:snapToGrid w:val="0"/>
        </w:rPr>
        <w:t xml:space="preserve">   </w:t>
      </w:r>
    </w:p>
    <w:p w:rsidR="00FF6CAF" w:rsidRDefault="00FF6CAF" w:rsidP="00C24334">
      <w:pPr>
        <w:tabs>
          <w:tab w:val="left" w:pos="-1440"/>
          <w:tab w:val="left" w:pos="-720"/>
          <w:tab w:val="left" w:pos="1051"/>
          <w:tab w:val="left" w:pos="1752"/>
        </w:tabs>
        <w:suppressAutoHyphens/>
        <w:spacing w:line="360" w:lineRule="auto"/>
        <w:ind w:left="720" w:hanging="720"/>
        <w:rPr>
          <w:snapToGrid w:val="0"/>
        </w:rPr>
      </w:pPr>
    </w:p>
    <w:p w:rsidR="00FF6CAF" w:rsidRDefault="00FF6CAF" w:rsidP="00FF6CAF">
      <w:pPr>
        <w:tabs>
          <w:tab w:val="left" w:pos="-1440"/>
          <w:tab w:val="left" w:pos="-720"/>
          <w:tab w:val="left" w:pos="1051"/>
          <w:tab w:val="left" w:pos="1752"/>
        </w:tabs>
        <w:suppressAutoHyphens/>
        <w:spacing w:line="360" w:lineRule="auto"/>
        <w:ind w:firstLine="1440"/>
        <w:rPr>
          <w:snapToGrid w:val="0"/>
        </w:rPr>
      </w:pPr>
      <w:r w:rsidRPr="00E76B34">
        <w:rPr>
          <w:snapToGrid w:val="0"/>
        </w:rPr>
        <w:t xml:space="preserve">The Company proposes to write down the gross book value of the </w:t>
      </w:r>
      <w:r>
        <w:rPr>
          <w:snapToGrid w:val="0"/>
        </w:rPr>
        <w:t xml:space="preserve">Pilot </w:t>
      </w:r>
      <w:r w:rsidRPr="00E76B34">
        <w:rPr>
          <w:snapToGrid w:val="0"/>
        </w:rPr>
        <w:t xml:space="preserve">Rider NAS investment only if </w:t>
      </w:r>
      <w:r>
        <w:rPr>
          <w:snapToGrid w:val="0"/>
        </w:rPr>
        <w:t xml:space="preserve">Pilot </w:t>
      </w:r>
      <w:r w:rsidRPr="00E76B34">
        <w:rPr>
          <w:snapToGrid w:val="0"/>
        </w:rPr>
        <w:t>Rider NAS payments are actually made.</w:t>
      </w:r>
      <w:r w:rsidRPr="00E76B34">
        <w:rPr>
          <w:snapToGrid w:val="0"/>
          <w:vertAlign w:val="superscript"/>
        </w:rPr>
        <w:footnoteReference w:id="101"/>
      </w:r>
      <w:r w:rsidRPr="00E76B34">
        <w:rPr>
          <w:snapToGrid w:val="0"/>
        </w:rPr>
        <w:t xml:space="preserve">  If the contributions are not made, the </w:t>
      </w:r>
      <w:r>
        <w:rPr>
          <w:snapToGrid w:val="0"/>
        </w:rPr>
        <w:t xml:space="preserve">Pilot </w:t>
      </w:r>
      <w:r w:rsidRPr="00E76B34">
        <w:rPr>
          <w:snapToGrid w:val="0"/>
        </w:rPr>
        <w:t xml:space="preserve">Rider NAS investment will remain in gross plant.  </w:t>
      </w:r>
      <w:r>
        <w:rPr>
          <w:snapToGrid w:val="0"/>
        </w:rPr>
        <w:t xml:space="preserve">It is the understanding of the OSBA that </w:t>
      </w:r>
      <w:r w:rsidRPr="00E76B34">
        <w:rPr>
          <w:snapToGrid w:val="0"/>
        </w:rPr>
        <w:t xml:space="preserve">this non-payment implies that net book value associated with the </w:t>
      </w:r>
      <w:r>
        <w:rPr>
          <w:snapToGrid w:val="0"/>
        </w:rPr>
        <w:t xml:space="preserve">Pilot </w:t>
      </w:r>
      <w:r w:rsidRPr="00E76B34">
        <w:rPr>
          <w:snapToGrid w:val="0"/>
        </w:rPr>
        <w:t xml:space="preserve">Rider NAS investment will be higher than if the </w:t>
      </w:r>
      <w:r>
        <w:rPr>
          <w:snapToGrid w:val="0"/>
        </w:rPr>
        <w:t xml:space="preserve">Pilot </w:t>
      </w:r>
      <w:r w:rsidRPr="00E76B34">
        <w:rPr>
          <w:snapToGrid w:val="0"/>
        </w:rPr>
        <w:t xml:space="preserve">Rider NAS payments were made.  In effect, non-Rider NAS customers will be absorbing higher costs if </w:t>
      </w:r>
      <w:r>
        <w:rPr>
          <w:snapToGrid w:val="0"/>
        </w:rPr>
        <w:t xml:space="preserve">Pilot </w:t>
      </w:r>
      <w:r w:rsidRPr="00E76B34">
        <w:rPr>
          <w:snapToGrid w:val="0"/>
        </w:rPr>
        <w:t>Rider NAS payments are not made than if they are made.</w:t>
      </w:r>
      <w:r>
        <w:rPr>
          <w:snapToGrid w:val="0"/>
        </w:rPr>
        <w:t xml:space="preserve">  OSBA M.B., p. 13.  </w:t>
      </w:r>
    </w:p>
    <w:p w:rsidR="00FF6CAF" w:rsidRDefault="00FF6CAF" w:rsidP="00FF6CAF">
      <w:pPr>
        <w:tabs>
          <w:tab w:val="left" w:pos="-1440"/>
          <w:tab w:val="left" w:pos="-720"/>
          <w:tab w:val="left" w:pos="1051"/>
          <w:tab w:val="left" w:pos="1752"/>
        </w:tabs>
        <w:suppressAutoHyphens/>
        <w:spacing w:line="360" w:lineRule="auto"/>
        <w:ind w:firstLine="1440"/>
        <w:rPr>
          <w:snapToGrid w:val="0"/>
        </w:rPr>
      </w:pPr>
    </w:p>
    <w:p w:rsidR="00FF6CAF" w:rsidRDefault="00FF6CAF" w:rsidP="00FF6CAF">
      <w:pPr>
        <w:tabs>
          <w:tab w:val="left" w:pos="-1440"/>
          <w:tab w:val="left" w:pos="-720"/>
          <w:tab w:val="left" w:pos="1051"/>
          <w:tab w:val="left" w:pos="1752"/>
        </w:tabs>
        <w:suppressAutoHyphens/>
        <w:spacing w:line="360" w:lineRule="auto"/>
        <w:ind w:firstLine="1440"/>
        <w:rPr>
          <w:snapToGrid w:val="0"/>
        </w:rPr>
      </w:pPr>
      <w:r>
        <w:rPr>
          <w:snapToGrid w:val="0"/>
        </w:rPr>
        <w:t>According to the OSBA, t</w:t>
      </w:r>
      <w:r w:rsidRPr="00E76B34">
        <w:rPr>
          <w:snapToGrid w:val="0"/>
        </w:rPr>
        <w:t xml:space="preserve">his is particularly problematic for two reasons.  First, the Company has relatively little leverage to collect </w:t>
      </w:r>
      <w:r>
        <w:rPr>
          <w:snapToGrid w:val="0"/>
        </w:rPr>
        <w:t xml:space="preserve">Pilot </w:t>
      </w:r>
      <w:r w:rsidRPr="00E76B34">
        <w:rPr>
          <w:snapToGrid w:val="0"/>
        </w:rPr>
        <w:t xml:space="preserve">Rider NAS charges, since it will not shut off service for non-payment of </w:t>
      </w:r>
      <w:r>
        <w:rPr>
          <w:snapToGrid w:val="0"/>
        </w:rPr>
        <w:t xml:space="preserve">Pilot </w:t>
      </w:r>
      <w:r w:rsidRPr="00E76B34">
        <w:rPr>
          <w:snapToGrid w:val="0"/>
        </w:rPr>
        <w:t>Rider NAS charges</w:t>
      </w:r>
      <w:r>
        <w:rPr>
          <w:snapToGrid w:val="0"/>
        </w:rPr>
        <w:t xml:space="preserve">.  This means </w:t>
      </w:r>
      <w:r w:rsidRPr="00E76B34">
        <w:rPr>
          <w:snapToGrid w:val="0"/>
        </w:rPr>
        <w:t>that un-collectibles costs are likely to be higher than normal.</w:t>
      </w:r>
      <w:r w:rsidRPr="00E76B34">
        <w:rPr>
          <w:snapToGrid w:val="0"/>
          <w:vertAlign w:val="superscript"/>
        </w:rPr>
        <w:footnoteReference w:id="102"/>
      </w:r>
      <w:r w:rsidRPr="00E76B34">
        <w:rPr>
          <w:snapToGrid w:val="0"/>
        </w:rPr>
        <w:t xml:space="preserve">  Second, the relatively high implied financing costs for the </w:t>
      </w:r>
      <w:r>
        <w:rPr>
          <w:snapToGrid w:val="0"/>
        </w:rPr>
        <w:t xml:space="preserve">Pilot </w:t>
      </w:r>
      <w:r w:rsidRPr="00E76B34">
        <w:rPr>
          <w:snapToGrid w:val="0"/>
        </w:rPr>
        <w:t xml:space="preserve">Rider NAS program (particularly if income tax costs are fully reflected) implies that the customers most interested in using the </w:t>
      </w:r>
      <w:r>
        <w:rPr>
          <w:snapToGrid w:val="0"/>
        </w:rPr>
        <w:t xml:space="preserve">Pilot </w:t>
      </w:r>
      <w:r w:rsidRPr="00E76B34">
        <w:rPr>
          <w:snapToGrid w:val="0"/>
        </w:rPr>
        <w:t>Rider NAS option are more likely to have capital constraints of their own, and are therefore less likely to pay their bills.</w:t>
      </w:r>
      <w:r>
        <w:rPr>
          <w:snapToGrid w:val="0"/>
        </w:rPr>
        <w:t xml:space="preserve">  OSBA M.B., p. 13.  </w:t>
      </w:r>
    </w:p>
    <w:p w:rsidR="00FF6CAF" w:rsidRDefault="00FF6CAF" w:rsidP="00FF6CAF">
      <w:pPr>
        <w:tabs>
          <w:tab w:val="left" w:pos="-1440"/>
          <w:tab w:val="left" w:pos="-720"/>
          <w:tab w:val="left" w:pos="1051"/>
          <w:tab w:val="left" w:pos="1752"/>
        </w:tabs>
        <w:suppressAutoHyphens/>
        <w:spacing w:line="360" w:lineRule="auto"/>
        <w:ind w:firstLine="1440"/>
        <w:rPr>
          <w:snapToGrid w:val="0"/>
        </w:rPr>
      </w:pPr>
    </w:p>
    <w:p w:rsidR="00FF6CAF" w:rsidRDefault="00FF6CAF" w:rsidP="00FF6CAF">
      <w:pPr>
        <w:tabs>
          <w:tab w:val="left" w:pos="-1440"/>
          <w:tab w:val="left" w:pos="-720"/>
          <w:tab w:val="left" w:pos="1051"/>
          <w:tab w:val="left" w:pos="1752"/>
        </w:tabs>
        <w:suppressAutoHyphens/>
        <w:spacing w:line="360" w:lineRule="auto"/>
        <w:ind w:firstLine="1440"/>
        <w:rPr>
          <w:snapToGrid w:val="0"/>
        </w:rPr>
      </w:pPr>
      <w:r w:rsidRPr="00E76B34">
        <w:rPr>
          <w:snapToGrid w:val="0"/>
        </w:rPr>
        <w:t xml:space="preserve">In order to eliminate this bias, </w:t>
      </w:r>
      <w:r>
        <w:rPr>
          <w:snapToGrid w:val="0"/>
        </w:rPr>
        <w:t xml:space="preserve">the OSBA </w:t>
      </w:r>
      <w:r w:rsidRPr="00E76B34">
        <w:rPr>
          <w:snapToGrid w:val="0"/>
        </w:rPr>
        <w:t>recommend</w:t>
      </w:r>
      <w:r>
        <w:rPr>
          <w:snapToGrid w:val="0"/>
        </w:rPr>
        <w:t>s</w:t>
      </w:r>
      <w:r w:rsidRPr="00E76B34">
        <w:rPr>
          <w:snapToGrid w:val="0"/>
        </w:rPr>
        <w:t xml:space="preserve"> that the Company write down gross book value associated with </w:t>
      </w:r>
      <w:r>
        <w:rPr>
          <w:snapToGrid w:val="0"/>
        </w:rPr>
        <w:t xml:space="preserve">Pilot </w:t>
      </w:r>
      <w:r w:rsidRPr="00E76B34">
        <w:rPr>
          <w:snapToGrid w:val="0"/>
        </w:rPr>
        <w:t xml:space="preserve">Rider NAS charges whether or not payments are made, in order to eliminate the impact of non-payments on non-Rider NAS ratepayers.  In light of this recommendation, </w:t>
      </w:r>
      <w:r w:rsidR="00A01FDD">
        <w:rPr>
          <w:snapToGrid w:val="0"/>
        </w:rPr>
        <w:t xml:space="preserve">the OSBA suggests that </w:t>
      </w:r>
      <w:r w:rsidRPr="00E76B34">
        <w:rPr>
          <w:snapToGrid w:val="0"/>
        </w:rPr>
        <w:t>the Company may wish to include an un</w:t>
      </w:r>
      <w:r w:rsidR="00583B2E">
        <w:rPr>
          <w:snapToGrid w:val="0"/>
        </w:rPr>
        <w:noBreakHyphen/>
      </w:r>
      <w:r w:rsidRPr="00E76B34">
        <w:rPr>
          <w:snapToGrid w:val="0"/>
        </w:rPr>
        <w:t xml:space="preserve">collectibles component in the </w:t>
      </w:r>
      <w:r w:rsidR="002524AB">
        <w:rPr>
          <w:snapToGrid w:val="0"/>
        </w:rPr>
        <w:t xml:space="preserve">Pilot </w:t>
      </w:r>
      <w:r w:rsidRPr="00E76B34">
        <w:rPr>
          <w:snapToGrid w:val="0"/>
        </w:rPr>
        <w:t>Rider NAS charge, in order to offset the incremental un</w:t>
      </w:r>
      <w:r w:rsidR="00583B2E">
        <w:rPr>
          <w:snapToGrid w:val="0"/>
        </w:rPr>
        <w:noBreakHyphen/>
      </w:r>
      <w:r w:rsidRPr="00E76B34">
        <w:rPr>
          <w:snapToGrid w:val="0"/>
        </w:rPr>
        <w:t>collectibles costs that it is likely to incur.</w:t>
      </w:r>
      <w:r>
        <w:rPr>
          <w:snapToGrid w:val="0"/>
        </w:rPr>
        <w:t xml:space="preserve">  OSBA M.B., p. 13.  </w:t>
      </w:r>
    </w:p>
    <w:p w:rsidR="00A01FDD" w:rsidRDefault="00A01FDD" w:rsidP="00FF6CAF">
      <w:pPr>
        <w:tabs>
          <w:tab w:val="left" w:pos="-1440"/>
          <w:tab w:val="left" w:pos="-720"/>
          <w:tab w:val="left" w:pos="1051"/>
          <w:tab w:val="left" w:pos="1752"/>
        </w:tabs>
        <w:suppressAutoHyphens/>
        <w:spacing w:line="360" w:lineRule="auto"/>
        <w:ind w:firstLine="1440"/>
        <w:rPr>
          <w:snapToGrid w:val="0"/>
        </w:rPr>
      </w:pPr>
    </w:p>
    <w:p w:rsidR="00A01FDD" w:rsidRDefault="002524AB" w:rsidP="002524AB">
      <w:pPr>
        <w:pStyle w:val="BodyText2"/>
        <w:spacing w:line="360" w:lineRule="auto"/>
        <w:ind w:firstLine="1440"/>
        <w:jc w:val="left"/>
      </w:pPr>
      <w:r>
        <w:t xml:space="preserve">According to Columbia, the </w:t>
      </w:r>
      <w:r w:rsidR="00A01FDD">
        <w:t xml:space="preserve">OSBA offers two reasons for its proposal.  First, OSBA believes that the Company has “little leverage” to collect payments because it will not terminate service for nonpayment.  (OSBA Statement No. 1, p. 6).  However, Columbia </w:t>
      </w:r>
      <w:r>
        <w:t xml:space="preserve">claims it </w:t>
      </w:r>
      <w:r w:rsidR="00A01FDD">
        <w:t>does have leverage to collect payments from its customers for nonpayment.  (Columbia Statement No. 1-R, p. 20).  As observed by Mr. Evans in his rebuttal testimony, “Columbia has legal avenues to collect outstanding payments from customers besides shutting off their service.”  (Columbia Statement No. 1-R, p. 20)</w:t>
      </w:r>
      <w:r>
        <w:t>; Columbia M.B., p. 34.</w:t>
      </w:r>
      <w:r w:rsidR="00A01FDD">
        <w:t xml:space="preserve">  </w:t>
      </w:r>
    </w:p>
    <w:p w:rsidR="002524AB" w:rsidRDefault="002524AB" w:rsidP="002524AB">
      <w:pPr>
        <w:pStyle w:val="BodyText2"/>
        <w:spacing w:line="360" w:lineRule="auto"/>
        <w:ind w:firstLine="1440"/>
        <w:jc w:val="left"/>
      </w:pPr>
    </w:p>
    <w:p w:rsidR="00A01FDD" w:rsidRDefault="002524AB" w:rsidP="002524AB">
      <w:pPr>
        <w:pStyle w:val="BodyText2"/>
        <w:spacing w:line="360" w:lineRule="auto"/>
        <w:ind w:firstLine="1440"/>
        <w:jc w:val="left"/>
      </w:pPr>
      <w:r>
        <w:t xml:space="preserve">According to Columbia, the </w:t>
      </w:r>
      <w:r w:rsidR="00A01FDD">
        <w:t xml:space="preserve">OSBA’s second reason is that “the relatively high implied financing costs” means that applicants most likely to enlist in the program will have capital constraints and, as a result, will be less likely to pay the NAS surcharge.  (OSBA Statement No. 1, p. 6).  However, </w:t>
      </w:r>
      <w:r>
        <w:t xml:space="preserve">Columbia asserts that </w:t>
      </w:r>
      <w:r w:rsidR="00A01FDD">
        <w:t>applicants with more interest in Pilot Rider NAS are not likely to present problems with nonpayment.  (Columbia Statement No. 1-R, p. 20).  A</w:t>
      </w:r>
      <w:r>
        <w:t xml:space="preserve">ccording to Columbia, </w:t>
      </w:r>
      <w:r w:rsidR="00A01FDD">
        <w:t xml:space="preserve">the monthly surcharge “is capped at $35.00, but it will often times be lower.”  (Columbia Statement No. 1-R, p. 20).  </w:t>
      </w:r>
      <w:r>
        <w:t>Columbia believes that c</w:t>
      </w:r>
      <w:r w:rsidR="00A01FDD">
        <w:t xml:space="preserve">apping the monthly surcharge at such a small amount increases the likelihood that customers will pay the surcharge in full and on time.  (Columbia Statement No. 1-R, p. 20).  </w:t>
      </w:r>
      <w:r>
        <w:t>Columbia also claims that c</w:t>
      </w:r>
      <w:r w:rsidR="00A01FDD">
        <w:t xml:space="preserve">ustomers can also more easily account for the payment each month because it is fixed.  (Columbia Statement No. 1-R, p. 20).  </w:t>
      </w:r>
      <w:r>
        <w:t>Columbia M.B., p. 34.</w:t>
      </w:r>
    </w:p>
    <w:p w:rsidR="002524AB" w:rsidRDefault="002524AB" w:rsidP="002524AB">
      <w:pPr>
        <w:pStyle w:val="BodyText2"/>
        <w:spacing w:line="360" w:lineRule="auto"/>
        <w:ind w:firstLine="1440"/>
        <w:jc w:val="left"/>
      </w:pPr>
    </w:p>
    <w:p w:rsidR="00A01FDD" w:rsidRDefault="00A01FDD" w:rsidP="002524AB">
      <w:pPr>
        <w:pStyle w:val="BodyText2"/>
        <w:spacing w:line="360" w:lineRule="auto"/>
        <w:ind w:firstLine="1440"/>
        <w:jc w:val="left"/>
      </w:pPr>
      <w:r>
        <w:t xml:space="preserve">As part of its proposal to write down payment balances even if the payments are not made, </w:t>
      </w:r>
      <w:r w:rsidR="007E332A">
        <w:t xml:space="preserve">the </w:t>
      </w:r>
      <w:r>
        <w:t>OSBA also proposes adding an un</w:t>
      </w:r>
      <w:r w:rsidR="00AD7932">
        <w:t>-</w:t>
      </w:r>
      <w:r>
        <w:t xml:space="preserve">collectibles component to the Pilot Rider NAS surcharge to offset the uncollectible expenses that the Company may incur.  (OSBA Statement No. 1, p. 6).  </w:t>
      </w:r>
      <w:r w:rsidR="007E332A">
        <w:t>According to Columbia, the O</w:t>
      </w:r>
      <w:r>
        <w:t xml:space="preserve">SBA’s proposal would completely change the operation of Pilot Rider NAS.  It would create hypothetical recovery of principal and interest on a Pilot Rider NAS project and then treat the hypothetical recovery as an uncollectible expense.  Columbia would be placed at risk for these uncollectible amounts and would be required to incorporate an unknown additional charge in the Pilot Rider NAS surcharge to compensate for this unknown collectible.  </w:t>
      </w:r>
      <w:r w:rsidR="007E332A">
        <w:t xml:space="preserve">Columbia asserts that the </w:t>
      </w:r>
      <w:r>
        <w:t>OSBA does not indicate whether this uncollectible charge is an amount in addition to the $35.00 maximum monthly charge or whether this amount is to be included within the maximum charge.  If the former,</w:t>
      </w:r>
      <w:r w:rsidR="007E332A">
        <w:t xml:space="preserve"> Columbia argues, </w:t>
      </w:r>
      <w:r>
        <w:t>it violates the proposed pilot cap on the monthly surcharge.  If the latter, it would reduce the principal amount of uneconomic plant that can be paid through the Pilot Rider NAS surcharge.</w:t>
      </w:r>
      <w:r w:rsidR="007E332A">
        <w:t xml:space="preserve">  Columbia M.B., p. 35.</w:t>
      </w:r>
    </w:p>
    <w:p w:rsidR="007E332A" w:rsidRDefault="007E332A" w:rsidP="002524AB">
      <w:pPr>
        <w:pStyle w:val="BodyText2"/>
        <w:spacing w:line="360" w:lineRule="auto"/>
        <w:ind w:firstLine="1440"/>
        <w:jc w:val="left"/>
      </w:pPr>
    </w:p>
    <w:p w:rsidR="007E332A" w:rsidRDefault="00A01FDD" w:rsidP="002524AB">
      <w:pPr>
        <w:pStyle w:val="BodyText2"/>
        <w:spacing w:line="360" w:lineRule="auto"/>
        <w:ind w:firstLine="1440"/>
        <w:jc w:val="left"/>
      </w:pPr>
      <w:r>
        <w:t xml:space="preserve">Columbia </w:t>
      </w:r>
      <w:r w:rsidR="007E332A">
        <w:t xml:space="preserve">submits that it </w:t>
      </w:r>
      <w:r>
        <w:t xml:space="preserve">should not bear the risk for any under-recovery of the Pilot Rider NAS charge because it is not at risk under its traditional contribution method.  (Columbia Statement No. 1-R, p. 20).  As a result, </w:t>
      </w:r>
      <w:r w:rsidR="007E332A">
        <w:t xml:space="preserve">Columbia argues </w:t>
      </w:r>
      <w:r>
        <w:t xml:space="preserve">no need exists for the Pilot Rider NAS charge to include an uncollectible component.  (Columbia Statement No. 1-R, p. 20).  </w:t>
      </w:r>
      <w:r w:rsidR="007E332A">
        <w:t>According to Columbia, its</w:t>
      </w:r>
      <w:r>
        <w:t xml:space="preserve"> effort to develop an alternative to make contributions more affordable to pay should not be changed to put Columbia at risk.  </w:t>
      </w:r>
      <w:r w:rsidR="007E332A">
        <w:t xml:space="preserve">Columbia requests that the </w:t>
      </w:r>
      <w:r>
        <w:t>OSBA’s proposal to write down gross plant whether or not payments are actually received and its proposal to add an uncollectible component to the Pilot Rider NAS charge be rejected.</w:t>
      </w:r>
      <w:r w:rsidR="007E332A">
        <w:t xml:space="preserve">  Columbia M.B., p. 35.  </w:t>
      </w:r>
    </w:p>
    <w:p w:rsidR="007E332A" w:rsidRDefault="007E332A" w:rsidP="002524AB">
      <w:pPr>
        <w:pStyle w:val="BodyText2"/>
        <w:spacing w:line="360" w:lineRule="auto"/>
        <w:ind w:firstLine="1440"/>
        <w:jc w:val="left"/>
      </w:pPr>
    </w:p>
    <w:p w:rsidR="007E332A" w:rsidRDefault="007E332A" w:rsidP="007E332A">
      <w:pPr>
        <w:spacing w:line="360" w:lineRule="auto"/>
        <w:ind w:firstLine="1440"/>
      </w:pPr>
      <w:r>
        <w:t>OCA witness Watkins weighed in on this issue as well.  Mr. Watkins testified that</w:t>
      </w:r>
      <w:r w:rsidR="00D07AE2">
        <w:t>,</w:t>
      </w:r>
    </w:p>
    <w:p w:rsidR="007E332A" w:rsidRDefault="007E332A" w:rsidP="007E332A">
      <w:pPr>
        <w:ind w:left="1440" w:right="1440"/>
      </w:pPr>
      <w:r>
        <w:t xml:space="preserve">While there may be an extremely small percentage of customers that do not make timely NAS payments, this percentage should be so small that it will not have any measurable impact on Columbia’s rates or revenue requirement.  However, should the Commission agree with Mr. </w:t>
      </w:r>
      <w:proofErr w:type="spellStart"/>
      <w:r>
        <w:t>Knecht</w:t>
      </w:r>
      <w:proofErr w:type="spellEnd"/>
      <w:r>
        <w:t xml:space="preserve"> in this regard, any uncollectible [expense] associated with NAS monthly payments will simply increase the Company’s uncollectible expense reflected in base rates.</w:t>
      </w:r>
    </w:p>
    <w:p w:rsidR="007E332A" w:rsidRDefault="007E332A" w:rsidP="007E332A">
      <w:pPr>
        <w:pStyle w:val="BodyText"/>
        <w:spacing w:after="0" w:line="360" w:lineRule="auto"/>
      </w:pPr>
    </w:p>
    <w:p w:rsidR="007E332A" w:rsidRDefault="007E332A" w:rsidP="007E332A">
      <w:pPr>
        <w:pStyle w:val="BodyText"/>
        <w:spacing w:after="0" w:line="360" w:lineRule="auto"/>
      </w:pPr>
      <w:r>
        <w:t xml:space="preserve">(OCA Statement No. 1-R, p. 3).  The OCA submits that Mr. </w:t>
      </w:r>
      <w:proofErr w:type="spellStart"/>
      <w:r>
        <w:t>Knecht’s</w:t>
      </w:r>
      <w:proofErr w:type="spellEnd"/>
      <w:r>
        <w:t xml:space="preserve"> recommendation is unnecessary.</w:t>
      </w:r>
      <w:r w:rsidR="00D07AE2">
        <w:t xml:space="preserve">  OCA M.B., p. 30.</w:t>
      </w:r>
    </w:p>
    <w:p w:rsidR="00D07AE2" w:rsidRDefault="00D07AE2" w:rsidP="007E332A">
      <w:pPr>
        <w:pStyle w:val="BodyText"/>
        <w:spacing w:after="0" w:line="360" w:lineRule="auto"/>
      </w:pPr>
      <w:r>
        <w:tab/>
      </w:r>
      <w:r>
        <w:tab/>
        <w:t xml:space="preserve">The undersigned Administrative Law Judge agrees with the Company and the OCA on this issue.  Columbia should not bear the risk for any under-recovery of the Pilot Rider NAS charge because it is not at risk under its traditional contribution method.  Uncollectible expenses are a concern in the Pilot Rider NAS program.  The additional reporting requirements and the notice requirements for Pilot Rider NAS participants discussed below and in the discussion section titled, “Treatment of Residential Developers,” may result in a very small uncollectible expense.  The undersigned Administrative Law Judge recommends that the OSBA’s proposal to record customer contributions whether payments are made or not should be rejected.  </w:t>
      </w:r>
    </w:p>
    <w:p w:rsidR="00D07AE2" w:rsidRDefault="00D07AE2" w:rsidP="007E332A">
      <w:pPr>
        <w:pStyle w:val="BodyText"/>
        <w:spacing w:after="0" w:line="360" w:lineRule="auto"/>
      </w:pPr>
    </w:p>
    <w:p w:rsidR="00D07AE2" w:rsidRPr="00D07AE2" w:rsidRDefault="00D07AE2" w:rsidP="00704720">
      <w:pPr>
        <w:pStyle w:val="BodyText"/>
        <w:spacing w:after="0"/>
        <w:ind w:left="720" w:hanging="720"/>
      </w:pPr>
      <w:r>
        <w:t>I.</w:t>
      </w:r>
      <w:r>
        <w:tab/>
      </w:r>
      <w:r w:rsidR="00FF3DD8">
        <w:rPr>
          <w:u w:val="single"/>
        </w:rPr>
        <w:t>Notice Requir</w:t>
      </w:r>
      <w:r w:rsidR="002A0470">
        <w:rPr>
          <w:u w:val="single"/>
        </w:rPr>
        <w:t>e</w:t>
      </w:r>
      <w:r w:rsidR="00FF3DD8">
        <w:rPr>
          <w:u w:val="single"/>
        </w:rPr>
        <w:t>ment for All Residential Pilot Rider NAS Applicants</w:t>
      </w:r>
    </w:p>
    <w:p w:rsidR="007E332A" w:rsidRDefault="007E332A" w:rsidP="002524AB">
      <w:pPr>
        <w:pStyle w:val="BodyText2"/>
        <w:spacing w:line="360" w:lineRule="auto"/>
        <w:ind w:firstLine="1440"/>
        <w:jc w:val="left"/>
      </w:pPr>
    </w:p>
    <w:p w:rsidR="00E06B78" w:rsidRDefault="00E06B78" w:rsidP="00E06B78">
      <w:pPr>
        <w:tabs>
          <w:tab w:val="left" w:pos="720"/>
          <w:tab w:val="left" w:pos="9360"/>
        </w:tabs>
        <w:spacing w:line="360" w:lineRule="auto"/>
        <w:ind w:firstLine="1440"/>
      </w:pPr>
      <w:r>
        <w:t xml:space="preserve">In its Main Brief, the OCA succinctly addressed a notice issue that is of great concern.  Columbia does not intend to provide Pilot Rider NAS applicants with notice of the interest rate used to calculate the surcharge.  When questioned about the information that the Company intended to provide Pilot Rider NAS applicants, Columbia witness Evans testified that the only information Columbia intends to provide is the </w:t>
      </w:r>
      <w:r w:rsidR="00AA3877">
        <w:t>up front</w:t>
      </w:r>
      <w:r>
        <w:t xml:space="preserve"> amount due, if any, and the monthly Rider NAS surcharge amount.  (Tr. 1</w:t>
      </w:r>
      <w:r w:rsidRPr="00B71829">
        <w:t>5</w:t>
      </w:r>
      <w:r>
        <w:t>)</w:t>
      </w:r>
      <w:r w:rsidRPr="00B71829">
        <w:t>.</w:t>
      </w:r>
      <w:r>
        <w:t xml:space="preserve">  The OCA submits that the Company should be required to provide to Pilot Rider NAS applicants in writing the amount of </w:t>
      </w:r>
      <w:proofErr w:type="spellStart"/>
      <w:r w:rsidR="00AA3877">
        <w:t>up front</w:t>
      </w:r>
      <w:proofErr w:type="spellEnd"/>
      <w:r>
        <w:t xml:space="preserve"> payment due, the amount of the Rider NAS monthly surcharge, the term of the surcharge (20 years) and the interest rate used to calculate the surcharge amount so that applicants can make informed decisions.  According to the OCA, such information is crucial for Pilot Rider NAS applicants to make a meaningful and informed decision regarding whether the use of Pilot Rider NAS is right for their situations and circumstances.  OCA M.B., p. 16.</w:t>
      </w:r>
    </w:p>
    <w:p w:rsidR="00E06B78" w:rsidRDefault="00E06B78" w:rsidP="00E06B78">
      <w:pPr>
        <w:tabs>
          <w:tab w:val="left" w:pos="720"/>
          <w:tab w:val="left" w:pos="9360"/>
        </w:tabs>
        <w:spacing w:line="360" w:lineRule="auto"/>
        <w:ind w:firstLine="1440"/>
      </w:pPr>
    </w:p>
    <w:p w:rsidR="005A79BD" w:rsidRDefault="00E06B78" w:rsidP="00E06B78">
      <w:pPr>
        <w:tabs>
          <w:tab w:val="left" w:pos="720"/>
          <w:tab w:val="left" w:pos="9360"/>
        </w:tabs>
        <w:spacing w:line="360" w:lineRule="auto"/>
        <w:ind w:firstLine="1440"/>
      </w:pPr>
      <w:r>
        <w:t xml:space="preserve">The undersigned Administrative Law Judge agrees with the OCA.  Each and every Pilot Rider NAS customer should know the terms of the contract obligations he is agreeing to perform and have sufficient information to weigh the Pilot Rider NAS program alternative </w:t>
      </w:r>
    </w:p>
    <w:p w:rsidR="005A79BD" w:rsidRDefault="005A79BD">
      <w:r>
        <w:br w:type="page"/>
      </w:r>
    </w:p>
    <w:p w:rsidR="005A79BD" w:rsidRDefault="00E06B78" w:rsidP="005A79BD">
      <w:pPr>
        <w:tabs>
          <w:tab w:val="left" w:pos="720"/>
          <w:tab w:val="left" w:pos="9360"/>
        </w:tabs>
        <w:spacing w:line="360" w:lineRule="auto"/>
      </w:pPr>
      <w:r>
        <w:t xml:space="preserve">against other options.  It is recommended that Columbia be required to provide the following </w:t>
      </w:r>
    </w:p>
    <w:p w:rsidR="00CA3356" w:rsidRDefault="00E06B78" w:rsidP="005A79BD">
      <w:pPr>
        <w:tabs>
          <w:tab w:val="left" w:pos="720"/>
          <w:tab w:val="left" w:pos="9360"/>
        </w:tabs>
        <w:spacing w:line="360" w:lineRule="auto"/>
      </w:pPr>
      <w:r>
        <w:t xml:space="preserve">information in writing to </w:t>
      </w:r>
      <w:r w:rsidR="00CA3356">
        <w:t>all potential Pilot Rider NAS customers:</w:t>
      </w:r>
    </w:p>
    <w:p w:rsidR="00CA3356" w:rsidRDefault="00AA3877" w:rsidP="00EB05B0">
      <w:pPr>
        <w:pStyle w:val="ListParagraph"/>
        <w:numPr>
          <w:ilvl w:val="1"/>
          <w:numId w:val="39"/>
        </w:numPr>
        <w:tabs>
          <w:tab w:val="left" w:pos="720"/>
          <w:tab w:val="left" w:pos="2160"/>
        </w:tabs>
        <w:ind w:firstLine="720"/>
        <w:rPr>
          <w:sz w:val="24"/>
          <w:szCs w:val="24"/>
        </w:rPr>
      </w:pPr>
      <w:r w:rsidRPr="008F4400">
        <w:rPr>
          <w:sz w:val="24"/>
          <w:szCs w:val="24"/>
        </w:rPr>
        <w:t>Up front</w:t>
      </w:r>
      <w:r w:rsidR="00DD451A" w:rsidRPr="008F4400">
        <w:rPr>
          <w:sz w:val="24"/>
          <w:szCs w:val="24"/>
        </w:rPr>
        <w:t xml:space="preserve"> amount due;</w:t>
      </w:r>
    </w:p>
    <w:p w:rsidR="008F4400" w:rsidRPr="008F4400" w:rsidRDefault="008F4400" w:rsidP="00EB05B0">
      <w:pPr>
        <w:pStyle w:val="ListParagraph"/>
        <w:tabs>
          <w:tab w:val="left" w:pos="720"/>
          <w:tab w:val="left" w:pos="2160"/>
        </w:tabs>
        <w:ind w:left="1440" w:firstLine="720"/>
        <w:rPr>
          <w:sz w:val="24"/>
          <w:szCs w:val="24"/>
        </w:rPr>
      </w:pPr>
    </w:p>
    <w:p w:rsidR="00CA3356" w:rsidRDefault="008F4400" w:rsidP="00EB05B0">
      <w:pPr>
        <w:pStyle w:val="NormalWeb"/>
        <w:numPr>
          <w:ilvl w:val="1"/>
          <w:numId w:val="39"/>
        </w:numPr>
        <w:spacing w:before="0" w:beforeAutospacing="0" w:after="0" w:afterAutospacing="0"/>
        <w:ind w:firstLine="720"/>
        <w:rPr>
          <w:color w:val="000000"/>
          <w:shd w:val="clear" w:color="auto" w:fill="FFFFFF"/>
        </w:rPr>
      </w:pPr>
      <w:r>
        <w:rPr>
          <w:color w:val="000000"/>
          <w:shd w:val="clear" w:color="auto" w:fill="FFFFFF"/>
        </w:rPr>
        <w:t>Interest rate-cost of credit;</w:t>
      </w:r>
    </w:p>
    <w:p w:rsidR="008F4400" w:rsidRDefault="008F4400" w:rsidP="00EB05B0">
      <w:pPr>
        <w:pStyle w:val="NormalWeb"/>
        <w:spacing w:before="0" w:beforeAutospacing="0" w:after="0" w:afterAutospacing="0"/>
        <w:ind w:left="1440" w:firstLine="720"/>
        <w:rPr>
          <w:color w:val="000000"/>
          <w:shd w:val="clear" w:color="auto" w:fill="FFFFFF"/>
        </w:rPr>
      </w:pPr>
    </w:p>
    <w:p w:rsidR="00CA3356" w:rsidRDefault="00CA3356" w:rsidP="00EB05B0">
      <w:pPr>
        <w:pStyle w:val="NormalWeb"/>
        <w:numPr>
          <w:ilvl w:val="1"/>
          <w:numId w:val="39"/>
        </w:numPr>
        <w:spacing w:before="0" w:beforeAutospacing="0" w:after="0" w:afterAutospacing="0"/>
        <w:ind w:left="2160" w:right="720" w:firstLine="0"/>
        <w:rPr>
          <w:color w:val="000000"/>
          <w:shd w:val="clear" w:color="auto" w:fill="FFFFFF"/>
        </w:rPr>
      </w:pPr>
      <w:r>
        <w:rPr>
          <w:color w:val="000000"/>
          <w:shd w:val="clear" w:color="auto" w:fill="FFFFFF"/>
        </w:rPr>
        <w:t xml:space="preserve">Finance charge-estimated total amount of the interest </w:t>
      </w:r>
      <w:r w:rsidR="00EB05B0">
        <w:rPr>
          <w:color w:val="000000"/>
          <w:shd w:val="clear" w:color="auto" w:fill="FFFFFF"/>
        </w:rPr>
        <w:tab/>
      </w:r>
      <w:r>
        <w:rPr>
          <w:color w:val="000000"/>
          <w:shd w:val="clear" w:color="auto" w:fill="FFFFFF"/>
        </w:rPr>
        <w:t>payments for the 20</w:t>
      </w:r>
      <w:r w:rsidR="00DD451A">
        <w:rPr>
          <w:color w:val="000000"/>
          <w:shd w:val="clear" w:color="auto" w:fill="FFFFFF"/>
        </w:rPr>
        <w:noBreakHyphen/>
      </w:r>
      <w:r>
        <w:rPr>
          <w:color w:val="000000"/>
          <w:shd w:val="clear" w:color="auto" w:fill="FFFFFF"/>
        </w:rPr>
        <w:t>year term;</w:t>
      </w:r>
    </w:p>
    <w:p w:rsidR="00486E4A" w:rsidRDefault="00486E4A" w:rsidP="00EB05B0">
      <w:pPr>
        <w:pStyle w:val="NormalWeb"/>
        <w:spacing w:before="0" w:beforeAutospacing="0" w:after="0" w:afterAutospacing="0"/>
        <w:ind w:left="2160" w:firstLine="720"/>
        <w:rPr>
          <w:color w:val="000000"/>
          <w:shd w:val="clear" w:color="auto" w:fill="FFFFFF"/>
        </w:rPr>
      </w:pPr>
    </w:p>
    <w:p w:rsidR="00CA3356" w:rsidRDefault="00CA3356" w:rsidP="00EB05B0">
      <w:pPr>
        <w:pStyle w:val="NormalWeb"/>
        <w:numPr>
          <w:ilvl w:val="1"/>
          <w:numId w:val="39"/>
        </w:numPr>
        <w:spacing w:before="0" w:beforeAutospacing="0" w:after="0" w:afterAutospacing="0"/>
        <w:ind w:left="2160" w:firstLine="0"/>
        <w:rPr>
          <w:color w:val="000000"/>
          <w:shd w:val="clear" w:color="auto" w:fill="FFFFFF"/>
        </w:rPr>
      </w:pPr>
      <w:r>
        <w:rPr>
          <w:color w:val="000000"/>
          <w:shd w:val="clear" w:color="auto" w:fill="FFFFFF"/>
        </w:rPr>
        <w:t xml:space="preserve">Total of Payments-the estimated total amount including principal </w:t>
      </w:r>
      <w:r w:rsidR="00EB05B0">
        <w:rPr>
          <w:color w:val="000000"/>
          <w:shd w:val="clear" w:color="auto" w:fill="FFFFFF"/>
        </w:rPr>
        <w:tab/>
      </w:r>
      <w:r>
        <w:rPr>
          <w:color w:val="000000"/>
          <w:shd w:val="clear" w:color="auto" w:fill="FFFFFF"/>
        </w:rPr>
        <w:t xml:space="preserve">and interest of all payments made over the 20-year term as </w:t>
      </w:r>
      <w:r w:rsidR="00EB05B0">
        <w:rPr>
          <w:color w:val="000000"/>
          <w:shd w:val="clear" w:color="auto" w:fill="FFFFFF"/>
        </w:rPr>
        <w:tab/>
      </w:r>
      <w:r>
        <w:rPr>
          <w:color w:val="000000"/>
          <w:shd w:val="clear" w:color="auto" w:fill="FFFFFF"/>
        </w:rPr>
        <w:t>scheduled;</w:t>
      </w:r>
    </w:p>
    <w:p w:rsidR="00486E4A" w:rsidRDefault="00486E4A" w:rsidP="00EB05B0">
      <w:pPr>
        <w:pStyle w:val="NormalWeb"/>
        <w:spacing w:before="0" w:beforeAutospacing="0" w:after="0" w:afterAutospacing="0"/>
        <w:ind w:left="2160" w:firstLine="720"/>
        <w:rPr>
          <w:color w:val="000000"/>
          <w:shd w:val="clear" w:color="auto" w:fill="FFFFFF"/>
        </w:rPr>
      </w:pPr>
    </w:p>
    <w:p w:rsidR="00CA3356" w:rsidRDefault="00CA3356" w:rsidP="00EB05B0">
      <w:pPr>
        <w:pStyle w:val="NormalWeb"/>
        <w:numPr>
          <w:ilvl w:val="1"/>
          <w:numId w:val="39"/>
        </w:numPr>
        <w:spacing w:before="0" w:beforeAutospacing="0" w:after="0" w:afterAutospacing="0"/>
        <w:ind w:firstLine="720"/>
        <w:rPr>
          <w:color w:val="000000"/>
          <w:shd w:val="clear" w:color="auto" w:fill="FFFFFF"/>
        </w:rPr>
      </w:pPr>
      <w:r>
        <w:rPr>
          <w:color w:val="000000"/>
          <w:shd w:val="clear" w:color="auto" w:fill="FFFFFF"/>
        </w:rPr>
        <w:t>Total Number of Payments</w:t>
      </w:r>
      <w:r w:rsidR="008F4400">
        <w:rPr>
          <w:color w:val="000000"/>
          <w:shd w:val="clear" w:color="auto" w:fill="FFFFFF"/>
        </w:rPr>
        <w:t>;</w:t>
      </w:r>
    </w:p>
    <w:p w:rsidR="008F4400" w:rsidRDefault="008F4400" w:rsidP="00EB05B0">
      <w:pPr>
        <w:pStyle w:val="NormalWeb"/>
        <w:spacing w:before="0" w:beforeAutospacing="0" w:after="0" w:afterAutospacing="0"/>
        <w:ind w:left="1440" w:firstLine="720"/>
        <w:rPr>
          <w:color w:val="000000"/>
          <w:shd w:val="clear" w:color="auto" w:fill="FFFFFF"/>
        </w:rPr>
      </w:pPr>
    </w:p>
    <w:p w:rsidR="00CA3356" w:rsidRDefault="00CA3356" w:rsidP="00EB05B0">
      <w:pPr>
        <w:pStyle w:val="NormalWeb"/>
        <w:numPr>
          <w:ilvl w:val="1"/>
          <w:numId w:val="39"/>
        </w:numPr>
        <w:spacing w:before="0" w:beforeAutospacing="0" w:after="0" w:afterAutospacing="0"/>
        <w:ind w:firstLine="720"/>
        <w:rPr>
          <w:color w:val="000000"/>
          <w:shd w:val="clear" w:color="auto" w:fill="FFFFFF"/>
        </w:rPr>
      </w:pPr>
      <w:r>
        <w:rPr>
          <w:color w:val="000000"/>
          <w:shd w:val="clear" w:color="auto" w:fill="FFFFFF"/>
        </w:rPr>
        <w:t>Monthly Payment Amount</w:t>
      </w:r>
      <w:r w:rsidR="008F4400">
        <w:rPr>
          <w:color w:val="000000"/>
          <w:shd w:val="clear" w:color="auto" w:fill="FFFFFF"/>
        </w:rPr>
        <w:t>;</w:t>
      </w:r>
      <w:r w:rsidR="002723C0">
        <w:rPr>
          <w:color w:val="000000"/>
          <w:shd w:val="clear" w:color="auto" w:fill="FFFFFF"/>
        </w:rPr>
        <w:t xml:space="preserve"> and</w:t>
      </w:r>
    </w:p>
    <w:p w:rsidR="008F4400" w:rsidRDefault="008F4400" w:rsidP="00EB05B0">
      <w:pPr>
        <w:pStyle w:val="NormalWeb"/>
        <w:spacing w:before="0" w:beforeAutospacing="0" w:after="0" w:afterAutospacing="0"/>
        <w:ind w:left="1440" w:firstLine="720"/>
        <w:rPr>
          <w:color w:val="000000"/>
          <w:shd w:val="clear" w:color="auto" w:fill="FFFFFF"/>
        </w:rPr>
      </w:pPr>
    </w:p>
    <w:p w:rsidR="008F4400" w:rsidRDefault="00CA3356" w:rsidP="00EB05B0">
      <w:pPr>
        <w:pStyle w:val="NormalWeb"/>
        <w:numPr>
          <w:ilvl w:val="1"/>
          <w:numId w:val="39"/>
        </w:numPr>
        <w:spacing w:before="0" w:beforeAutospacing="0" w:after="0" w:afterAutospacing="0"/>
        <w:ind w:left="2160" w:right="720" w:firstLine="0"/>
        <w:rPr>
          <w:color w:val="000000"/>
          <w:shd w:val="clear" w:color="auto" w:fill="FFFFFF"/>
        </w:rPr>
      </w:pPr>
      <w:r>
        <w:rPr>
          <w:color w:val="000000"/>
          <w:shd w:val="clear" w:color="auto" w:fill="FFFFFF"/>
        </w:rPr>
        <w:t xml:space="preserve">Comparison of Pilot Rider NAS surcharge total of </w:t>
      </w:r>
      <w:r w:rsidR="00EB05B0">
        <w:rPr>
          <w:color w:val="000000"/>
          <w:shd w:val="clear" w:color="auto" w:fill="FFFFFF"/>
        </w:rPr>
        <w:tab/>
      </w:r>
      <w:r>
        <w:rPr>
          <w:color w:val="000000"/>
          <w:shd w:val="clear" w:color="auto" w:fill="FFFFFF"/>
        </w:rPr>
        <w:t xml:space="preserve">payments over 20-year term to total cost of establishing </w:t>
      </w:r>
      <w:r w:rsidR="00EB05B0">
        <w:rPr>
          <w:color w:val="000000"/>
          <w:shd w:val="clear" w:color="auto" w:fill="FFFFFF"/>
        </w:rPr>
        <w:tab/>
      </w:r>
      <w:r>
        <w:rPr>
          <w:color w:val="000000"/>
          <w:shd w:val="clear" w:color="auto" w:fill="FFFFFF"/>
        </w:rPr>
        <w:t>service without participating in the program (</w:t>
      </w:r>
      <w:r w:rsidR="00AA3877">
        <w:rPr>
          <w:color w:val="000000"/>
          <w:shd w:val="clear" w:color="auto" w:fill="FFFFFF"/>
        </w:rPr>
        <w:t>up front</w:t>
      </w:r>
      <w:r>
        <w:rPr>
          <w:color w:val="000000"/>
          <w:shd w:val="clear" w:color="auto" w:fill="FFFFFF"/>
        </w:rPr>
        <w:t xml:space="preserve"> </w:t>
      </w:r>
      <w:r w:rsidR="00EB05B0">
        <w:rPr>
          <w:color w:val="000000"/>
          <w:shd w:val="clear" w:color="auto" w:fill="FFFFFF"/>
        </w:rPr>
        <w:tab/>
      </w:r>
      <w:r>
        <w:rPr>
          <w:color w:val="000000"/>
          <w:shd w:val="clear" w:color="auto" w:fill="FFFFFF"/>
        </w:rPr>
        <w:t xml:space="preserve">deposit). </w:t>
      </w:r>
    </w:p>
    <w:p w:rsidR="00C70D25" w:rsidRPr="008F4400" w:rsidRDefault="00C70D25" w:rsidP="00C70D25">
      <w:pPr>
        <w:pStyle w:val="NormalWeb"/>
        <w:spacing w:before="0" w:beforeAutospacing="0" w:after="0" w:afterAutospacing="0"/>
        <w:ind w:left="2160" w:right="720"/>
        <w:rPr>
          <w:color w:val="000000"/>
          <w:shd w:val="clear" w:color="auto" w:fill="FFFFFF"/>
        </w:rPr>
      </w:pPr>
    </w:p>
    <w:p w:rsidR="00CA3356" w:rsidRDefault="00C70D25" w:rsidP="001C11F7">
      <w:pPr>
        <w:pStyle w:val="ListParagraph"/>
        <w:numPr>
          <w:ilvl w:val="1"/>
          <w:numId w:val="39"/>
        </w:numPr>
        <w:tabs>
          <w:tab w:val="left" w:pos="720"/>
        </w:tabs>
        <w:ind w:firstLine="720"/>
        <w:rPr>
          <w:sz w:val="24"/>
          <w:szCs w:val="24"/>
        </w:rPr>
      </w:pPr>
      <w:r w:rsidRPr="00C70D25">
        <w:rPr>
          <w:sz w:val="24"/>
          <w:szCs w:val="24"/>
        </w:rPr>
        <w:t xml:space="preserve">Advise that the </w:t>
      </w:r>
      <w:r w:rsidR="001C11F7">
        <w:rPr>
          <w:sz w:val="24"/>
          <w:szCs w:val="24"/>
        </w:rPr>
        <w:t xml:space="preserve">balance may be paid off at any time without any </w:t>
      </w:r>
      <w:r w:rsidR="001C11F7">
        <w:rPr>
          <w:sz w:val="24"/>
          <w:szCs w:val="24"/>
        </w:rPr>
        <w:tab/>
      </w:r>
      <w:r w:rsidR="001C11F7">
        <w:rPr>
          <w:sz w:val="24"/>
          <w:szCs w:val="24"/>
        </w:rPr>
        <w:tab/>
      </w:r>
      <w:r w:rsidR="001C11F7">
        <w:rPr>
          <w:sz w:val="24"/>
          <w:szCs w:val="24"/>
        </w:rPr>
        <w:tab/>
        <w:t>penalty.</w:t>
      </w:r>
    </w:p>
    <w:p w:rsidR="001C11F7" w:rsidRPr="00C70D25" w:rsidRDefault="001C11F7" w:rsidP="001C11F7">
      <w:pPr>
        <w:pStyle w:val="ListParagraph"/>
        <w:tabs>
          <w:tab w:val="left" w:pos="720"/>
        </w:tabs>
        <w:spacing w:line="360" w:lineRule="auto"/>
        <w:ind w:left="2160"/>
        <w:rPr>
          <w:sz w:val="24"/>
          <w:szCs w:val="24"/>
        </w:rPr>
      </w:pPr>
    </w:p>
    <w:p w:rsidR="00472EBA" w:rsidRDefault="00472EBA" w:rsidP="00472EBA">
      <w:pPr>
        <w:jc w:val="center"/>
      </w:pPr>
    </w:p>
    <w:p w:rsidR="00497A64" w:rsidRDefault="000F62BF" w:rsidP="005C420C">
      <w:pPr>
        <w:spacing w:line="360" w:lineRule="auto"/>
        <w:jc w:val="center"/>
      </w:pPr>
      <w:r>
        <w:t>I</w:t>
      </w:r>
      <w:r w:rsidR="00497A64">
        <w:t>V.</w:t>
      </w:r>
      <w:r w:rsidR="00497A64">
        <w:tab/>
      </w:r>
      <w:r w:rsidR="00497A64">
        <w:rPr>
          <w:u w:val="single"/>
        </w:rPr>
        <w:t>CONCLUSION</w:t>
      </w:r>
    </w:p>
    <w:p w:rsidR="00497A64" w:rsidRDefault="00497A64" w:rsidP="00497A64">
      <w:pPr>
        <w:spacing w:line="360" w:lineRule="auto"/>
      </w:pPr>
    </w:p>
    <w:p w:rsidR="00541E3F" w:rsidRDefault="007F6840" w:rsidP="00497A64">
      <w:pPr>
        <w:spacing w:line="360" w:lineRule="auto"/>
      </w:pPr>
      <w:r>
        <w:tab/>
      </w:r>
      <w:r>
        <w:tab/>
        <w:t xml:space="preserve">The undersigned </w:t>
      </w:r>
      <w:r w:rsidR="00541E3F">
        <w:t>Administrative Law Judge concludes that Columbia has met its burden of proof that its proposed Pilot Rider NAS program, as modified in the preceding discussion section, is just</w:t>
      </w:r>
      <w:r w:rsidR="008A637B">
        <w:t>,</w:t>
      </w:r>
      <w:r w:rsidR="00541E3F">
        <w:t xml:space="preserve"> reasonable and in the public interest.  </w:t>
      </w:r>
      <w:r w:rsidR="00541E3F" w:rsidRPr="001A3A3D">
        <w:t>66 Pa.C.S. § 332(a)</w:t>
      </w:r>
      <w:r w:rsidR="00541E3F">
        <w:t xml:space="preserve">; </w:t>
      </w:r>
      <w:r w:rsidR="00541E3F" w:rsidRPr="001A3A3D">
        <w:t xml:space="preserve">66 Pa.C.S. </w:t>
      </w:r>
      <w:r w:rsidR="00F8688A">
        <w:t xml:space="preserve">§§ </w:t>
      </w:r>
      <w:r w:rsidR="00541E3F">
        <w:t xml:space="preserve">1301, 1304.  The undersigned Administrative Law Judge recommends approval of the Pilot Rider NAS program provided the additional information requirements, notice requirement for residential customers and modifications regarding the participation of </w:t>
      </w:r>
      <w:r w:rsidR="00541E3F" w:rsidRPr="003146C3">
        <w:t>bona fide</w:t>
      </w:r>
      <w:r w:rsidR="00541E3F">
        <w:t xml:space="preserve"> developers set forth in the </w:t>
      </w:r>
      <w:r w:rsidR="00C876AF">
        <w:t>o</w:t>
      </w:r>
      <w:r w:rsidR="00541E3F">
        <w:t xml:space="preserve">rdering paragraphs to follow are met.   </w:t>
      </w:r>
    </w:p>
    <w:p w:rsidR="000F7CE1" w:rsidRDefault="00497A64" w:rsidP="005A0D31">
      <w:pPr>
        <w:spacing w:line="360" w:lineRule="auto"/>
      </w:pPr>
      <w:r>
        <w:tab/>
      </w:r>
      <w:r>
        <w:tab/>
      </w:r>
    </w:p>
    <w:p w:rsidR="000C4292" w:rsidRDefault="000C4292" w:rsidP="005A0D31">
      <w:pPr>
        <w:spacing w:line="360" w:lineRule="auto"/>
      </w:pPr>
    </w:p>
    <w:p w:rsidR="000C4292" w:rsidRDefault="000C4292" w:rsidP="005A0D31">
      <w:pPr>
        <w:spacing w:line="360" w:lineRule="auto"/>
      </w:pPr>
    </w:p>
    <w:p w:rsidR="000F7CE1" w:rsidRPr="009C6D70" w:rsidRDefault="00A0650A" w:rsidP="0085607B">
      <w:pPr>
        <w:spacing w:line="360" w:lineRule="auto"/>
        <w:jc w:val="center"/>
      </w:pPr>
      <w:r>
        <w:t>V</w:t>
      </w:r>
      <w:r w:rsidR="000F7CE1" w:rsidRPr="009C6D70">
        <w:t>.</w:t>
      </w:r>
      <w:r>
        <w:tab/>
      </w:r>
      <w:r w:rsidR="000F7CE1" w:rsidRPr="009C6D70">
        <w:rPr>
          <w:u w:val="single"/>
        </w:rPr>
        <w:t>CONCLUSIONS OF LAW</w:t>
      </w:r>
    </w:p>
    <w:p w:rsidR="000F7CE1" w:rsidRPr="009C6D70" w:rsidRDefault="000F7CE1" w:rsidP="000F7CE1">
      <w:pPr>
        <w:spacing w:line="360" w:lineRule="auto"/>
      </w:pPr>
    </w:p>
    <w:p w:rsidR="000F7CE1" w:rsidRDefault="000F7CE1" w:rsidP="00291135">
      <w:pPr>
        <w:numPr>
          <w:ilvl w:val="0"/>
          <w:numId w:val="2"/>
        </w:numPr>
        <w:tabs>
          <w:tab w:val="clear" w:pos="720"/>
          <w:tab w:val="num" w:pos="0"/>
        </w:tabs>
        <w:spacing w:line="360" w:lineRule="auto"/>
        <w:ind w:left="0" w:firstLine="1440"/>
      </w:pPr>
      <w:r w:rsidRPr="009C6D70">
        <w:t>The Commission has jurisdiction over the subject matter and the parties to this proceeding.  66 Pa.C.S. §§</w:t>
      </w:r>
      <w:r w:rsidR="0085607B">
        <w:t xml:space="preserve"> </w:t>
      </w:r>
      <w:r w:rsidRPr="009C6D70">
        <w:t xml:space="preserve">501, </w:t>
      </w:r>
      <w:r w:rsidRPr="009C6D70">
        <w:rPr>
          <w:i/>
        </w:rPr>
        <w:t>et seq</w:t>
      </w:r>
      <w:r w:rsidRPr="009C6D70">
        <w:t>.</w:t>
      </w:r>
    </w:p>
    <w:p w:rsidR="000F7CE1" w:rsidRDefault="000F7CE1" w:rsidP="000F7CE1">
      <w:pPr>
        <w:spacing w:line="360" w:lineRule="auto"/>
        <w:ind w:left="1440"/>
      </w:pPr>
    </w:p>
    <w:p w:rsidR="000F7CE1" w:rsidRDefault="00C876AF" w:rsidP="000F7CE1">
      <w:pPr>
        <w:numPr>
          <w:ilvl w:val="0"/>
          <w:numId w:val="2"/>
        </w:numPr>
        <w:tabs>
          <w:tab w:val="clear" w:pos="720"/>
          <w:tab w:val="num" w:pos="0"/>
        </w:tabs>
        <w:spacing w:line="360" w:lineRule="auto"/>
        <w:ind w:left="0" w:firstLine="1440"/>
      </w:pPr>
      <w:r>
        <w:t xml:space="preserve">Columbia Gas of Pennsylvania, Inc. has the burden of proof in this proceeding regarding </w:t>
      </w:r>
      <w:r w:rsidRPr="00803953">
        <w:t>Supplement No. 210 to Tariff Gas PA. P</w:t>
      </w:r>
      <w:r w:rsidR="00193C15">
        <w:t>.</w:t>
      </w:r>
      <w:r w:rsidRPr="00803953">
        <w:t>U</w:t>
      </w:r>
      <w:r w:rsidR="00193C15">
        <w:t>.</w:t>
      </w:r>
      <w:r w:rsidRPr="00803953">
        <w:t>C. No. 9</w:t>
      </w:r>
      <w:r>
        <w:t xml:space="preserve">.  </w:t>
      </w:r>
      <w:r w:rsidRPr="009C6D70">
        <w:t>66 Pa.C.S. §</w:t>
      </w:r>
      <w:r w:rsidR="0085607B">
        <w:t xml:space="preserve"> </w:t>
      </w:r>
      <w:r>
        <w:t xml:space="preserve">332(a).  </w:t>
      </w:r>
    </w:p>
    <w:p w:rsidR="00C876AF" w:rsidRDefault="00C876AF" w:rsidP="00C876AF">
      <w:pPr>
        <w:spacing w:line="360" w:lineRule="auto"/>
        <w:ind w:left="1440"/>
      </w:pPr>
    </w:p>
    <w:p w:rsidR="000F7CE1" w:rsidRDefault="00C876AF" w:rsidP="00291135">
      <w:pPr>
        <w:numPr>
          <w:ilvl w:val="0"/>
          <w:numId w:val="2"/>
        </w:numPr>
        <w:tabs>
          <w:tab w:val="clear" w:pos="720"/>
          <w:tab w:val="num" w:pos="0"/>
        </w:tabs>
        <w:spacing w:line="360" w:lineRule="auto"/>
        <w:ind w:left="0" w:firstLine="1440"/>
      </w:pPr>
      <w:r>
        <w:t>A</w:t>
      </w:r>
      <w:r w:rsidRPr="001A3A3D">
        <w:t xml:space="preserve"> party that offers a proposal not included in the Applicant’s filing bears the burden of proof for such proposal.  </w:t>
      </w:r>
      <w:r w:rsidRPr="001A3A3D">
        <w:rPr>
          <w:i/>
        </w:rPr>
        <w:t>See, e.g.</w:t>
      </w:r>
      <w:r w:rsidRPr="001A3A3D">
        <w:t>,</w:t>
      </w:r>
      <w:r w:rsidRPr="001A3A3D">
        <w:rPr>
          <w:i/>
        </w:rPr>
        <w:t xml:space="preserve"> Pa.</w:t>
      </w:r>
      <w:r>
        <w:rPr>
          <w:i/>
        </w:rPr>
        <w:t xml:space="preserve"> </w:t>
      </w:r>
      <w:r w:rsidRPr="001A3A3D">
        <w:rPr>
          <w:i/>
        </w:rPr>
        <w:t>P</w:t>
      </w:r>
      <w:r w:rsidR="009121D2">
        <w:rPr>
          <w:i/>
        </w:rPr>
        <w:t>ub. Util. Comm’n</w:t>
      </w:r>
      <w:r w:rsidRPr="001A3A3D">
        <w:rPr>
          <w:i/>
        </w:rPr>
        <w:t xml:space="preserve"> v. Philadelphia Gas Works</w:t>
      </w:r>
      <w:r w:rsidRPr="001A3A3D">
        <w:t>, Docket No</w:t>
      </w:r>
      <w:r>
        <w:t>s</w:t>
      </w:r>
      <w:r w:rsidRPr="001A3A3D">
        <w:t>. R-00061931,</w:t>
      </w:r>
      <w:r>
        <w:t xml:space="preserve"> </w:t>
      </w:r>
      <w:r>
        <w:rPr>
          <w:i/>
        </w:rPr>
        <w:t>et al.</w:t>
      </w:r>
      <w:r>
        <w:t>,</w:t>
      </w:r>
      <w:r w:rsidRPr="001A3A3D">
        <w:t xml:space="preserve"> 200</w:t>
      </w:r>
      <w:r>
        <w:t>7 Pa. PUC</w:t>
      </w:r>
      <w:r w:rsidRPr="001A3A3D">
        <w:t xml:space="preserve"> LEXIS 45</w:t>
      </w:r>
      <w:r>
        <w:t>,</w:t>
      </w:r>
      <w:r w:rsidRPr="001A3A3D">
        <w:t xml:space="preserve"> at *165-68 (</w:t>
      </w:r>
      <w:r>
        <w:t xml:space="preserve">Order Entered </w:t>
      </w:r>
      <w:r w:rsidRPr="001A3A3D">
        <w:t xml:space="preserve">Sept. 28, 2007); </w:t>
      </w:r>
      <w:r>
        <w:rPr>
          <w:i/>
        </w:rPr>
        <w:t>Pa. P</w:t>
      </w:r>
      <w:r w:rsidR="009121D2">
        <w:rPr>
          <w:i/>
        </w:rPr>
        <w:t>ub. Util. Comm’n</w:t>
      </w:r>
      <w:r>
        <w:rPr>
          <w:i/>
        </w:rPr>
        <w:t xml:space="preserve"> v. Metro. Edison Co.</w:t>
      </w:r>
      <w:r w:rsidRPr="001A3A3D">
        <w:t>, Docket No</w:t>
      </w:r>
      <w:r>
        <w:t>s</w:t>
      </w:r>
      <w:r w:rsidRPr="001A3A3D">
        <w:t>. R-00061366,</w:t>
      </w:r>
      <w:r>
        <w:t xml:space="preserve"> </w:t>
      </w:r>
      <w:r>
        <w:rPr>
          <w:i/>
        </w:rPr>
        <w:t>et al.</w:t>
      </w:r>
      <w:r>
        <w:t>, 2007 Pa. P</w:t>
      </w:r>
      <w:r w:rsidRPr="001A3A3D">
        <w:t>U</w:t>
      </w:r>
      <w:r>
        <w:t>C</w:t>
      </w:r>
      <w:r w:rsidRPr="001A3A3D">
        <w:t xml:space="preserve"> LEXIS 5</w:t>
      </w:r>
      <w:r>
        <w:t>,</w:t>
      </w:r>
      <w:r w:rsidRPr="001A3A3D">
        <w:t xml:space="preserve"> at *111-12 (</w:t>
      </w:r>
      <w:r>
        <w:t xml:space="preserve">Order Entered </w:t>
      </w:r>
      <w:r w:rsidRPr="001A3A3D">
        <w:t>Jan. 11, 2007).</w:t>
      </w:r>
    </w:p>
    <w:p w:rsidR="00C876AF" w:rsidRDefault="00C876AF" w:rsidP="00C876AF">
      <w:pPr>
        <w:spacing w:line="360" w:lineRule="auto"/>
        <w:ind w:left="1440"/>
      </w:pPr>
    </w:p>
    <w:p w:rsidR="006161EE" w:rsidRPr="005317AF" w:rsidRDefault="006161EE" w:rsidP="006161EE">
      <w:pPr>
        <w:pStyle w:val="ListParagraph"/>
        <w:numPr>
          <w:ilvl w:val="0"/>
          <w:numId w:val="2"/>
        </w:numPr>
        <w:tabs>
          <w:tab w:val="clear" w:pos="720"/>
        </w:tabs>
        <w:spacing w:line="360" w:lineRule="auto"/>
        <w:ind w:left="0" w:firstLine="1440"/>
        <w:rPr>
          <w:sz w:val="24"/>
          <w:szCs w:val="24"/>
        </w:rPr>
      </w:pPr>
      <w:r w:rsidRPr="006161EE">
        <w:rPr>
          <w:sz w:val="24"/>
          <w:szCs w:val="24"/>
        </w:rPr>
        <w:t>Section 1501 of the Public Utility Code, 66 Pa.C.S. § 1501, does not require utilities to extend service to all customers in their service territory, but only requires such extensions under reasonable conditions subject to the regulations and orders of the Commission</w:t>
      </w:r>
      <w:r>
        <w:rPr>
          <w:sz w:val="24"/>
          <w:szCs w:val="24"/>
        </w:rPr>
        <w:t>.</w:t>
      </w:r>
      <w:r w:rsidR="005317AF" w:rsidRPr="005317AF">
        <w:t xml:space="preserve"> </w:t>
      </w:r>
      <w:r w:rsidR="005317AF" w:rsidRPr="005317AF">
        <w:rPr>
          <w:sz w:val="24"/>
          <w:szCs w:val="24"/>
        </w:rPr>
        <w:t xml:space="preserve">66 Pa.C.S. § 1501; </w:t>
      </w:r>
      <w:r w:rsidR="005317AF" w:rsidRPr="005317AF">
        <w:rPr>
          <w:i/>
          <w:sz w:val="24"/>
          <w:szCs w:val="24"/>
        </w:rPr>
        <w:t>Fayette County Gas Co. v. Pa. Pub. Util. Comm’n</w:t>
      </w:r>
      <w:r w:rsidR="005317AF" w:rsidRPr="005317AF">
        <w:rPr>
          <w:sz w:val="24"/>
          <w:szCs w:val="24"/>
        </w:rPr>
        <w:t xml:space="preserve">, 33 A.2d 761 (Pa. Super. 1943); </w:t>
      </w:r>
      <w:proofErr w:type="spellStart"/>
      <w:r w:rsidR="005317AF" w:rsidRPr="005317AF">
        <w:rPr>
          <w:i/>
          <w:sz w:val="24"/>
          <w:szCs w:val="24"/>
        </w:rPr>
        <w:t>Popowsky</w:t>
      </w:r>
      <w:proofErr w:type="spellEnd"/>
      <w:r w:rsidR="005317AF" w:rsidRPr="005317AF">
        <w:rPr>
          <w:i/>
          <w:sz w:val="24"/>
          <w:szCs w:val="24"/>
        </w:rPr>
        <w:t xml:space="preserve"> v. Pa. Pub. Util. Comm’n</w:t>
      </w:r>
      <w:r w:rsidR="005317AF" w:rsidRPr="005317AF">
        <w:rPr>
          <w:sz w:val="24"/>
          <w:szCs w:val="24"/>
        </w:rPr>
        <w:t>, 589 Pa. 605, 910 A.2d 38 (2006).</w:t>
      </w:r>
    </w:p>
    <w:p w:rsidR="006161EE" w:rsidRDefault="006161EE" w:rsidP="00C876AF">
      <w:pPr>
        <w:spacing w:line="360" w:lineRule="auto"/>
        <w:ind w:left="1440"/>
      </w:pPr>
    </w:p>
    <w:p w:rsidR="00C876AF" w:rsidRDefault="006161EE" w:rsidP="00C876AF">
      <w:pPr>
        <w:spacing w:line="360" w:lineRule="auto"/>
        <w:ind w:left="1440"/>
      </w:pPr>
      <w:r>
        <w:t>5</w:t>
      </w:r>
      <w:r w:rsidR="00C876AF">
        <w:t>.</w:t>
      </w:r>
      <w:r w:rsidR="00C876AF">
        <w:tab/>
        <w:t xml:space="preserve">Columbia Gas of Pennsylvania, Inc. has met it burden of proof in this </w:t>
      </w:r>
    </w:p>
    <w:p w:rsidR="00C876AF" w:rsidRDefault="00C876AF" w:rsidP="00C876AF">
      <w:pPr>
        <w:spacing w:line="360" w:lineRule="auto"/>
      </w:pPr>
      <w:r>
        <w:t xml:space="preserve">proceeding regarding </w:t>
      </w:r>
      <w:r w:rsidRPr="00803953">
        <w:t>Supplement No. 210 to Tariff Gas PA. P</w:t>
      </w:r>
      <w:r w:rsidR="00735898">
        <w:t>.</w:t>
      </w:r>
      <w:r w:rsidRPr="00803953">
        <w:t>U</w:t>
      </w:r>
      <w:r w:rsidR="00735898">
        <w:t>.</w:t>
      </w:r>
      <w:r w:rsidRPr="00803953">
        <w:t>C</w:t>
      </w:r>
      <w:r w:rsidR="00735898">
        <w:t>.</w:t>
      </w:r>
      <w:r w:rsidRPr="00803953">
        <w:t xml:space="preserve"> No. 9</w:t>
      </w:r>
      <w:r>
        <w:t xml:space="preserve">, as modified in the </w:t>
      </w:r>
      <w:r w:rsidR="008A637B">
        <w:t>D</w:t>
      </w:r>
      <w:r>
        <w:t>iscussion section of this Recommended Decision and the ordering paragraphs to follow.</w:t>
      </w:r>
      <w:r w:rsidR="00577ECB">
        <w:t xml:space="preserve">  66</w:t>
      </w:r>
      <w:r w:rsidR="009121D2">
        <w:t> </w:t>
      </w:r>
      <w:r w:rsidR="00577ECB">
        <w:t>Pa.C.S.</w:t>
      </w:r>
      <w:r w:rsidRPr="009C6D70">
        <w:t xml:space="preserve"> §</w:t>
      </w:r>
      <w:r w:rsidR="009121D2">
        <w:t xml:space="preserve"> </w:t>
      </w:r>
      <w:r>
        <w:t>332(a).</w:t>
      </w:r>
    </w:p>
    <w:p w:rsidR="00577ECB" w:rsidRDefault="00577ECB" w:rsidP="00C876AF">
      <w:pPr>
        <w:spacing w:line="360" w:lineRule="auto"/>
      </w:pPr>
    </w:p>
    <w:p w:rsidR="00577ECB" w:rsidRDefault="00577ECB" w:rsidP="00C876AF">
      <w:pPr>
        <w:spacing w:line="360" w:lineRule="auto"/>
      </w:pPr>
      <w:r>
        <w:tab/>
      </w:r>
      <w:r>
        <w:tab/>
      </w:r>
      <w:r w:rsidR="006161EE">
        <w:t>6</w:t>
      </w:r>
      <w:r>
        <w:t>.</w:t>
      </w:r>
      <w:r>
        <w:tab/>
        <w:t>The Office of Consumer Advocate has met its burden of proving that the additional information requirement</w:t>
      </w:r>
      <w:r w:rsidR="00E1512F">
        <w:t>s</w:t>
      </w:r>
      <w:r>
        <w:t xml:space="preserve"> </w:t>
      </w:r>
      <w:r w:rsidR="00E1512F">
        <w:t>accepted by Columbia Gas of Pennsylvania, Inc. and recommended in the Discussion section of this Recommended Decision, and fully set forth in the Ordering paragraphs to follow, are in the public interest and reasonable.</w:t>
      </w:r>
    </w:p>
    <w:p w:rsidR="00057D14" w:rsidRDefault="00057D14" w:rsidP="00C876AF">
      <w:pPr>
        <w:spacing w:line="360" w:lineRule="auto"/>
      </w:pPr>
    </w:p>
    <w:p w:rsidR="00E1512F" w:rsidRDefault="00E1512F" w:rsidP="00C876AF">
      <w:pPr>
        <w:spacing w:line="360" w:lineRule="auto"/>
      </w:pPr>
      <w:r>
        <w:tab/>
      </w:r>
      <w:r>
        <w:tab/>
      </w:r>
      <w:r w:rsidR="006161EE">
        <w:t>7</w:t>
      </w:r>
      <w:r>
        <w:t>.</w:t>
      </w:r>
      <w:r>
        <w:tab/>
        <w:t xml:space="preserve">The Office of Consumer Advocate has met its burden of proving that the notice requirement for Pilot Rider NAS applicants as modified and recommended in the Discussion section </w:t>
      </w:r>
      <w:r w:rsidR="00E570E9">
        <w:t xml:space="preserve">of </w:t>
      </w:r>
      <w:r>
        <w:t>this Recommended Decision, and fully set forth in the Ordering paragraphs to follow, is in the public interest and reasonable.</w:t>
      </w:r>
    </w:p>
    <w:p w:rsidR="00E1512F" w:rsidRDefault="00E1512F" w:rsidP="00C876AF">
      <w:pPr>
        <w:spacing w:line="360" w:lineRule="auto"/>
      </w:pPr>
    </w:p>
    <w:p w:rsidR="00E1512F" w:rsidRDefault="00E1512F" w:rsidP="00E1512F">
      <w:pPr>
        <w:spacing w:line="360" w:lineRule="auto"/>
      </w:pPr>
      <w:r>
        <w:tab/>
      </w:r>
      <w:r>
        <w:tab/>
      </w:r>
      <w:r w:rsidR="006161EE">
        <w:t>8</w:t>
      </w:r>
      <w:r>
        <w:t>.</w:t>
      </w:r>
      <w:r>
        <w:tab/>
        <w:t>The Office of Small Business Advocate has met its burden of proving that the additional information requirements accepted by Columbia Gas of Pennsylvania, Inc. and recommended in the Discussion section of this Recommended Decision, and fully set forth in the Ordering paragraphs to follow, are in the public interest and reasonable.</w:t>
      </w:r>
    </w:p>
    <w:p w:rsidR="002227CD" w:rsidRDefault="002227CD" w:rsidP="00E1512F">
      <w:pPr>
        <w:spacing w:line="360" w:lineRule="auto"/>
      </w:pPr>
    </w:p>
    <w:p w:rsidR="001E5712" w:rsidRDefault="001E5712" w:rsidP="00E1512F">
      <w:pPr>
        <w:spacing w:line="360" w:lineRule="auto"/>
      </w:pPr>
      <w:r>
        <w:tab/>
      </w:r>
      <w:r>
        <w:tab/>
      </w:r>
      <w:r w:rsidR="006161EE">
        <w:t>9</w:t>
      </w:r>
      <w:r>
        <w:t>.</w:t>
      </w:r>
      <w:r>
        <w:tab/>
        <w:t xml:space="preserve">Every rate made, demanded, or received by any public utility, or by any two or more public utilities jointly, shall be just and reasonable, and in conformity with regulations or orders of the </w:t>
      </w:r>
      <w:r w:rsidR="006F4C53">
        <w:t>C</w:t>
      </w:r>
      <w:r>
        <w:t>ommission.  66 Pa.C.S. §</w:t>
      </w:r>
      <w:r w:rsidR="006F4C53">
        <w:t xml:space="preserve"> </w:t>
      </w:r>
      <w:r>
        <w:t>1301.</w:t>
      </w:r>
    </w:p>
    <w:p w:rsidR="001E5712" w:rsidRDefault="001E5712" w:rsidP="00E1512F">
      <w:pPr>
        <w:spacing w:line="360" w:lineRule="auto"/>
      </w:pPr>
    </w:p>
    <w:p w:rsidR="001E5712" w:rsidRDefault="001E5712" w:rsidP="00E1512F">
      <w:pPr>
        <w:spacing w:line="360" w:lineRule="auto"/>
      </w:pPr>
      <w:r>
        <w:tab/>
      </w:r>
      <w:r>
        <w:tab/>
      </w:r>
      <w:r w:rsidR="006161EE">
        <w:t>10</w:t>
      </w:r>
      <w:r>
        <w:t>.</w:t>
      </w:r>
      <w:r>
        <w:tab/>
        <w:t>No public utility shall, as to rates, make or grant any unreasonable preference or advantage to any person, corporation, or municipal corporation or subject any person, corporation or municipal corporation to any unreasonable prejudice or disadvantage.  No public utility shall establish or maintain any unreasonable difference as to rates, either as between localities or as between classes of service.  66 Pa.C.S. §</w:t>
      </w:r>
      <w:r w:rsidR="006F4C53">
        <w:t xml:space="preserve"> </w:t>
      </w:r>
      <w:r>
        <w:t>1304.</w:t>
      </w:r>
    </w:p>
    <w:p w:rsidR="00E1512F" w:rsidRDefault="00E1512F" w:rsidP="00C876AF">
      <w:pPr>
        <w:spacing w:line="360" w:lineRule="auto"/>
      </w:pPr>
    </w:p>
    <w:p w:rsidR="000F7CE1" w:rsidRPr="009C6D70" w:rsidRDefault="000F62BF" w:rsidP="00AC7FA7">
      <w:pPr>
        <w:spacing w:line="360" w:lineRule="auto"/>
        <w:jc w:val="center"/>
      </w:pPr>
      <w:r>
        <w:t>V</w:t>
      </w:r>
      <w:r w:rsidR="001E5712">
        <w:t>I.</w:t>
      </w:r>
      <w:r w:rsidR="001E5712">
        <w:tab/>
      </w:r>
      <w:r w:rsidR="000F7CE1" w:rsidRPr="009C6D70">
        <w:rPr>
          <w:u w:val="single"/>
        </w:rPr>
        <w:t>ORDER</w:t>
      </w:r>
    </w:p>
    <w:p w:rsidR="000F7CE1" w:rsidRDefault="000F7CE1" w:rsidP="000F7CE1">
      <w:pPr>
        <w:spacing w:line="360" w:lineRule="auto"/>
      </w:pPr>
    </w:p>
    <w:p w:rsidR="00057D14" w:rsidRPr="009C6D70" w:rsidRDefault="00057D14" w:rsidP="000F7CE1">
      <w:pPr>
        <w:spacing w:line="360" w:lineRule="auto"/>
      </w:pPr>
    </w:p>
    <w:p w:rsidR="000F7CE1" w:rsidRPr="009C6D70" w:rsidRDefault="000F7CE1" w:rsidP="000F7CE1">
      <w:pPr>
        <w:spacing w:line="360" w:lineRule="auto"/>
      </w:pPr>
      <w:r w:rsidRPr="009C6D70">
        <w:tab/>
      </w:r>
      <w:r w:rsidRPr="009C6D70">
        <w:tab/>
        <w:t>THEREFORE,</w:t>
      </w:r>
    </w:p>
    <w:p w:rsidR="000F7CE1" w:rsidRPr="009C6D70" w:rsidRDefault="000F7CE1" w:rsidP="000F7CE1">
      <w:pPr>
        <w:spacing w:line="360" w:lineRule="auto"/>
      </w:pPr>
    </w:p>
    <w:p w:rsidR="000F7CE1" w:rsidRPr="009C6D70" w:rsidRDefault="000F7CE1" w:rsidP="000F7CE1">
      <w:pPr>
        <w:spacing w:line="360" w:lineRule="auto"/>
      </w:pPr>
      <w:r w:rsidRPr="009C6D70">
        <w:tab/>
      </w:r>
      <w:r w:rsidRPr="009C6D70">
        <w:tab/>
        <w:t>IT IS RECOMMENDED:</w:t>
      </w:r>
    </w:p>
    <w:p w:rsidR="000F7CE1" w:rsidRPr="009C6D70" w:rsidRDefault="000F7CE1" w:rsidP="000F7CE1">
      <w:pPr>
        <w:spacing w:line="360" w:lineRule="auto"/>
      </w:pPr>
    </w:p>
    <w:p w:rsidR="003C07B6" w:rsidRDefault="000F7CE1" w:rsidP="00291135">
      <w:pPr>
        <w:numPr>
          <w:ilvl w:val="0"/>
          <w:numId w:val="1"/>
        </w:numPr>
        <w:tabs>
          <w:tab w:val="clear" w:pos="720"/>
        </w:tabs>
        <w:spacing w:line="360" w:lineRule="auto"/>
        <w:ind w:left="0" w:firstLine="1440"/>
      </w:pPr>
      <w:r w:rsidRPr="009C6D70">
        <w:t xml:space="preserve">That </w:t>
      </w:r>
      <w:r w:rsidR="001E5712" w:rsidRPr="00803953">
        <w:t>Supplement No. 210 to Tariff Gas PA. P</w:t>
      </w:r>
      <w:r w:rsidR="00A55B49">
        <w:t>.</w:t>
      </w:r>
      <w:r w:rsidR="001E5712" w:rsidRPr="00803953">
        <w:t>U</w:t>
      </w:r>
      <w:r w:rsidR="00A55B49">
        <w:t>.</w:t>
      </w:r>
      <w:r w:rsidR="001E5712" w:rsidRPr="00803953">
        <w:t>C</w:t>
      </w:r>
      <w:r w:rsidR="00A55B49">
        <w:t>.</w:t>
      </w:r>
      <w:r w:rsidR="001E5712" w:rsidRPr="00803953">
        <w:t xml:space="preserve"> No. 9</w:t>
      </w:r>
      <w:r w:rsidR="001E5712">
        <w:t>, Columbia Gas of Pennsylvania, Inc.’s proposed Pilot Rider New Area Service (NAS)</w:t>
      </w:r>
      <w:r w:rsidR="00A90430">
        <w:t>, filed at Docket No. R</w:t>
      </w:r>
      <w:r w:rsidR="00A90430">
        <w:noBreakHyphen/>
      </w:r>
      <w:r w:rsidR="003C07B6">
        <w:t>2014-2407345,</w:t>
      </w:r>
      <w:r w:rsidR="001E5712">
        <w:t xml:space="preserve"> </w:t>
      </w:r>
      <w:r w:rsidR="003C07B6">
        <w:t xml:space="preserve">be approved as modified in the numbered ordering paragraphs to follow.  </w:t>
      </w:r>
    </w:p>
    <w:p w:rsidR="003C07B6" w:rsidRDefault="003C07B6" w:rsidP="003C07B6">
      <w:pPr>
        <w:spacing w:line="360" w:lineRule="auto"/>
        <w:ind w:left="1440"/>
      </w:pPr>
      <w:r>
        <w:t>2.</w:t>
      </w:r>
      <w:r>
        <w:tab/>
        <w:t>That Columbia Gas of Pennsylvania, Inc.’s Pilot Rider New Area Service</w:t>
      </w:r>
    </w:p>
    <w:p w:rsidR="000F7CE1" w:rsidRDefault="003C07B6" w:rsidP="003C07B6">
      <w:pPr>
        <w:spacing w:line="360" w:lineRule="auto"/>
      </w:pPr>
      <w:r>
        <w:t xml:space="preserve">(NAS) include the following additional information requirements: </w:t>
      </w:r>
      <w:r w:rsidR="000F7CE1" w:rsidRPr="009C6D70">
        <w:t xml:space="preserve">  </w:t>
      </w:r>
    </w:p>
    <w:p w:rsidR="003C07B6" w:rsidRPr="00BE49FB" w:rsidRDefault="003C07B6" w:rsidP="00A55B49">
      <w:pPr>
        <w:numPr>
          <w:ilvl w:val="0"/>
          <w:numId w:val="23"/>
        </w:numPr>
        <w:tabs>
          <w:tab w:val="left" w:pos="720"/>
        </w:tabs>
        <w:ind w:right="1440" w:firstLine="0"/>
      </w:pPr>
      <w:r w:rsidRPr="00BE49FB">
        <w:t xml:space="preserve">investment per project including the economic </w:t>
      </w:r>
      <w:r w:rsidR="00A55B49">
        <w:tab/>
      </w:r>
      <w:r w:rsidRPr="00BE49FB">
        <w:t>model  results and surcharge calculation details;</w:t>
      </w:r>
    </w:p>
    <w:p w:rsidR="003C07B6" w:rsidRPr="00BE49FB" w:rsidRDefault="003C07B6" w:rsidP="003C07B6">
      <w:pPr>
        <w:tabs>
          <w:tab w:val="left" w:pos="720"/>
        </w:tabs>
        <w:ind w:left="1440" w:right="1440"/>
      </w:pPr>
    </w:p>
    <w:p w:rsidR="003C07B6" w:rsidRPr="00BE49FB" w:rsidRDefault="003C07B6" w:rsidP="00A55B49">
      <w:pPr>
        <w:numPr>
          <w:ilvl w:val="0"/>
          <w:numId w:val="23"/>
        </w:numPr>
        <w:tabs>
          <w:tab w:val="left" w:pos="720"/>
        </w:tabs>
        <w:ind w:right="1440" w:firstLine="0"/>
      </w:pPr>
      <w:r w:rsidRPr="00BE49FB">
        <w:t>total distance of NAS main installed;</w:t>
      </w:r>
    </w:p>
    <w:p w:rsidR="003C07B6" w:rsidRPr="00BE49FB" w:rsidRDefault="003C07B6" w:rsidP="003C07B6">
      <w:pPr>
        <w:tabs>
          <w:tab w:val="left" w:pos="720"/>
        </w:tabs>
        <w:ind w:left="1440" w:right="1440"/>
      </w:pPr>
    </w:p>
    <w:p w:rsidR="003C07B6" w:rsidRPr="00BE49FB" w:rsidRDefault="003C07B6" w:rsidP="00A55B49">
      <w:pPr>
        <w:pStyle w:val="ListParagraph"/>
        <w:numPr>
          <w:ilvl w:val="0"/>
          <w:numId w:val="23"/>
        </w:numPr>
        <w:tabs>
          <w:tab w:val="left" w:pos="720"/>
        </w:tabs>
        <w:ind w:right="1440" w:firstLine="0"/>
        <w:rPr>
          <w:sz w:val="24"/>
          <w:szCs w:val="24"/>
        </w:rPr>
      </w:pPr>
      <w:r w:rsidRPr="00BE49FB">
        <w:rPr>
          <w:sz w:val="24"/>
          <w:szCs w:val="24"/>
        </w:rPr>
        <w:t xml:space="preserve">number of customers connected by project and </w:t>
      </w:r>
      <w:r w:rsidR="00A55B49">
        <w:rPr>
          <w:sz w:val="24"/>
          <w:szCs w:val="24"/>
        </w:rPr>
        <w:tab/>
      </w:r>
      <w:r w:rsidRPr="00BE49FB">
        <w:rPr>
          <w:sz w:val="24"/>
          <w:szCs w:val="24"/>
        </w:rPr>
        <w:t xml:space="preserve">number of subsequent connections to NAS </w:t>
      </w:r>
      <w:r w:rsidR="00A55B49">
        <w:rPr>
          <w:sz w:val="24"/>
          <w:szCs w:val="24"/>
        </w:rPr>
        <w:tab/>
      </w:r>
      <w:r w:rsidRPr="00BE49FB">
        <w:rPr>
          <w:sz w:val="24"/>
          <w:szCs w:val="24"/>
        </w:rPr>
        <w:t>extensions;</w:t>
      </w:r>
    </w:p>
    <w:p w:rsidR="003C07B6" w:rsidRPr="00BE49FB" w:rsidRDefault="003C07B6" w:rsidP="003C07B6">
      <w:pPr>
        <w:tabs>
          <w:tab w:val="left" w:pos="720"/>
        </w:tabs>
        <w:ind w:left="1440" w:right="1440"/>
      </w:pPr>
    </w:p>
    <w:p w:rsidR="003C07B6" w:rsidRPr="00BE49FB" w:rsidRDefault="003C07B6" w:rsidP="00A55B49">
      <w:pPr>
        <w:pStyle w:val="ListParagraph"/>
        <w:numPr>
          <w:ilvl w:val="0"/>
          <w:numId w:val="23"/>
        </w:numPr>
        <w:tabs>
          <w:tab w:val="left" w:pos="720"/>
        </w:tabs>
        <w:ind w:right="1440" w:firstLine="0"/>
        <w:rPr>
          <w:sz w:val="24"/>
          <w:szCs w:val="24"/>
        </w:rPr>
      </w:pPr>
      <w:r w:rsidRPr="00BE49FB">
        <w:rPr>
          <w:sz w:val="24"/>
          <w:szCs w:val="24"/>
        </w:rPr>
        <w:t>NAS revenues received by principal and interest;</w:t>
      </w:r>
    </w:p>
    <w:p w:rsidR="003C07B6" w:rsidRPr="00BE49FB" w:rsidRDefault="003C07B6" w:rsidP="003C07B6">
      <w:pPr>
        <w:tabs>
          <w:tab w:val="left" w:pos="720"/>
        </w:tabs>
        <w:ind w:left="1440" w:right="1440"/>
      </w:pPr>
    </w:p>
    <w:p w:rsidR="003C07B6" w:rsidRPr="00BE49FB" w:rsidRDefault="003C07B6" w:rsidP="005236D8">
      <w:pPr>
        <w:numPr>
          <w:ilvl w:val="0"/>
          <w:numId w:val="23"/>
        </w:numPr>
        <w:tabs>
          <w:tab w:val="left" w:pos="720"/>
        </w:tabs>
        <w:ind w:right="1440" w:firstLine="0"/>
      </w:pPr>
      <w:r w:rsidRPr="00BE49FB">
        <w:t xml:space="preserve">annual NAS participant average use per customer </w:t>
      </w:r>
      <w:r w:rsidR="005236D8">
        <w:tab/>
      </w:r>
      <w:r w:rsidRPr="00BE49FB">
        <w:t xml:space="preserve">(by residential and commercial sectors if </w:t>
      </w:r>
      <w:r w:rsidR="005236D8">
        <w:tab/>
      </w:r>
      <w:r w:rsidRPr="00BE49FB">
        <w:t>applicable);</w:t>
      </w:r>
    </w:p>
    <w:p w:rsidR="003C07B6" w:rsidRPr="00BE49FB" w:rsidRDefault="003C07B6" w:rsidP="003C07B6">
      <w:pPr>
        <w:tabs>
          <w:tab w:val="left" w:pos="720"/>
        </w:tabs>
        <w:ind w:left="1440" w:right="1440"/>
      </w:pPr>
    </w:p>
    <w:p w:rsidR="003C07B6" w:rsidRPr="00BE49FB" w:rsidRDefault="003C07B6" w:rsidP="005236D8">
      <w:pPr>
        <w:numPr>
          <w:ilvl w:val="0"/>
          <w:numId w:val="23"/>
        </w:numPr>
        <w:tabs>
          <w:tab w:val="left" w:pos="720"/>
        </w:tabs>
        <w:ind w:left="2880" w:right="1440" w:hanging="720"/>
      </w:pPr>
      <w:r w:rsidRPr="00BE49FB">
        <w:t xml:space="preserve">average NAS participant investment cost per customer (by residential and commercial sectors if applicable); </w:t>
      </w:r>
    </w:p>
    <w:p w:rsidR="003C07B6" w:rsidRPr="00BE49FB" w:rsidRDefault="003C07B6" w:rsidP="003C07B6">
      <w:pPr>
        <w:tabs>
          <w:tab w:val="left" w:pos="720"/>
        </w:tabs>
        <w:ind w:left="1440" w:right="1440"/>
      </w:pPr>
    </w:p>
    <w:p w:rsidR="003C07B6" w:rsidRDefault="003C07B6" w:rsidP="005236D8">
      <w:pPr>
        <w:pStyle w:val="ListParagraph"/>
        <w:numPr>
          <w:ilvl w:val="0"/>
          <w:numId w:val="23"/>
        </w:numPr>
        <w:tabs>
          <w:tab w:val="left" w:pos="720"/>
        </w:tabs>
        <w:ind w:right="1440" w:firstLine="0"/>
        <w:rPr>
          <w:sz w:val="24"/>
          <w:szCs w:val="24"/>
        </w:rPr>
      </w:pPr>
      <w:r w:rsidRPr="00BE49FB">
        <w:rPr>
          <w:sz w:val="24"/>
          <w:szCs w:val="24"/>
        </w:rPr>
        <w:t>direct program expenses;</w:t>
      </w:r>
    </w:p>
    <w:p w:rsidR="005236D8" w:rsidRPr="00BE49FB" w:rsidRDefault="005236D8" w:rsidP="005236D8">
      <w:pPr>
        <w:pStyle w:val="ListParagraph"/>
        <w:tabs>
          <w:tab w:val="left" w:pos="720"/>
        </w:tabs>
        <w:ind w:left="2160" w:right="1440"/>
        <w:rPr>
          <w:sz w:val="24"/>
          <w:szCs w:val="24"/>
        </w:rPr>
      </w:pPr>
    </w:p>
    <w:p w:rsidR="003C07B6" w:rsidRPr="00BE49FB" w:rsidRDefault="003C07B6" w:rsidP="005236D8">
      <w:pPr>
        <w:numPr>
          <w:ilvl w:val="0"/>
          <w:numId w:val="23"/>
        </w:numPr>
        <w:tabs>
          <w:tab w:val="left" w:pos="720"/>
        </w:tabs>
        <w:ind w:right="1440" w:firstLine="0"/>
      </w:pPr>
      <w:r w:rsidRPr="00BE49FB">
        <w:t xml:space="preserve">data on collections, including efforts for unpaid </w:t>
      </w:r>
      <w:r w:rsidR="005236D8">
        <w:tab/>
      </w:r>
      <w:r w:rsidRPr="00BE49FB">
        <w:t xml:space="preserve">surcharge amounts; </w:t>
      </w:r>
    </w:p>
    <w:p w:rsidR="003C07B6" w:rsidRPr="00BE49FB" w:rsidRDefault="003C07B6" w:rsidP="003C07B6">
      <w:pPr>
        <w:tabs>
          <w:tab w:val="left" w:pos="720"/>
        </w:tabs>
        <w:ind w:left="1440" w:right="1440"/>
      </w:pPr>
    </w:p>
    <w:p w:rsidR="003C07B6" w:rsidRPr="00BE49FB" w:rsidRDefault="003C07B6" w:rsidP="005236D8">
      <w:pPr>
        <w:numPr>
          <w:ilvl w:val="0"/>
          <w:numId w:val="23"/>
        </w:numPr>
        <w:tabs>
          <w:tab w:val="left" w:pos="720"/>
        </w:tabs>
        <w:ind w:right="1440" w:firstLine="0"/>
      </w:pPr>
      <w:r w:rsidRPr="00BE49FB">
        <w:t xml:space="preserve">the number of applicants turned down for </w:t>
      </w:r>
      <w:r w:rsidR="005236D8">
        <w:tab/>
      </w:r>
      <w:r w:rsidRPr="00BE49FB">
        <w:t>insufficient credit</w:t>
      </w:r>
      <w:r w:rsidR="005236D8">
        <w:t>;</w:t>
      </w:r>
    </w:p>
    <w:p w:rsidR="003C07B6" w:rsidRPr="009C6D70" w:rsidRDefault="003C07B6" w:rsidP="003C07B6">
      <w:pPr>
        <w:ind w:left="1440" w:right="1440"/>
      </w:pPr>
    </w:p>
    <w:p w:rsidR="003C07B6" w:rsidRDefault="003C07B6" w:rsidP="005236D8">
      <w:pPr>
        <w:numPr>
          <w:ilvl w:val="0"/>
          <w:numId w:val="23"/>
        </w:numPr>
        <w:tabs>
          <w:tab w:val="left" w:pos="-1440"/>
          <w:tab w:val="left" w:pos="-720"/>
          <w:tab w:val="left" w:pos="1051"/>
          <w:tab w:val="left" w:pos="1752"/>
        </w:tabs>
        <w:suppressAutoHyphens/>
        <w:ind w:right="1440" w:firstLine="0"/>
        <w:rPr>
          <w:snapToGrid w:val="0"/>
        </w:rPr>
      </w:pPr>
      <w:r w:rsidRPr="009C433A">
        <w:rPr>
          <w:snapToGrid w:val="0"/>
        </w:rPr>
        <w:t xml:space="preserve">Investment per project by rate class, including the </w:t>
      </w:r>
      <w:r w:rsidR="005236D8">
        <w:rPr>
          <w:snapToGrid w:val="0"/>
        </w:rPr>
        <w:tab/>
      </w:r>
      <w:r w:rsidRPr="009C433A">
        <w:rPr>
          <w:snapToGrid w:val="0"/>
        </w:rPr>
        <w:t xml:space="preserve">economic model results and surcharge calculation </w:t>
      </w:r>
      <w:r w:rsidR="005236D8">
        <w:rPr>
          <w:snapToGrid w:val="0"/>
        </w:rPr>
        <w:tab/>
      </w:r>
      <w:r w:rsidRPr="009C433A">
        <w:rPr>
          <w:snapToGrid w:val="0"/>
        </w:rPr>
        <w:t>details;</w:t>
      </w:r>
    </w:p>
    <w:p w:rsidR="003C07B6" w:rsidRPr="009C433A" w:rsidRDefault="003C07B6" w:rsidP="005236D8">
      <w:pPr>
        <w:tabs>
          <w:tab w:val="left" w:pos="-1440"/>
          <w:tab w:val="left" w:pos="-720"/>
          <w:tab w:val="left" w:pos="1051"/>
          <w:tab w:val="left" w:pos="1752"/>
        </w:tabs>
        <w:suppressAutoHyphens/>
        <w:ind w:left="1440" w:right="1440"/>
        <w:rPr>
          <w:snapToGrid w:val="0"/>
        </w:rPr>
      </w:pPr>
    </w:p>
    <w:p w:rsidR="003C07B6" w:rsidRPr="007F36D9" w:rsidRDefault="003C07B6" w:rsidP="005236D8">
      <w:pPr>
        <w:numPr>
          <w:ilvl w:val="0"/>
          <w:numId w:val="23"/>
        </w:numPr>
        <w:tabs>
          <w:tab w:val="left" w:pos="-1440"/>
          <w:tab w:val="left" w:pos="-720"/>
          <w:tab w:val="left" w:pos="1051"/>
          <w:tab w:val="left" w:pos="1752"/>
        </w:tabs>
        <w:suppressAutoHyphens/>
        <w:ind w:right="1440" w:firstLine="0"/>
        <w:rPr>
          <w:snapToGrid w:val="0"/>
        </w:rPr>
      </w:pPr>
      <w:r w:rsidRPr="007F36D9">
        <w:rPr>
          <w:snapToGrid w:val="0"/>
        </w:rPr>
        <w:t xml:space="preserve">Total distance and cost of NAS project mains and </w:t>
      </w:r>
      <w:r w:rsidR="005236D8">
        <w:rPr>
          <w:snapToGrid w:val="0"/>
        </w:rPr>
        <w:tab/>
      </w:r>
      <w:r w:rsidRPr="007F36D9">
        <w:rPr>
          <w:snapToGrid w:val="0"/>
        </w:rPr>
        <w:t>service lines installed, by pipe diameter;</w:t>
      </w:r>
    </w:p>
    <w:p w:rsidR="003C07B6" w:rsidRPr="009C433A" w:rsidRDefault="003C07B6" w:rsidP="005236D8">
      <w:pPr>
        <w:tabs>
          <w:tab w:val="left" w:pos="-1440"/>
          <w:tab w:val="left" w:pos="-720"/>
          <w:tab w:val="left" w:pos="1051"/>
          <w:tab w:val="left" w:pos="1752"/>
        </w:tabs>
        <w:suppressAutoHyphens/>
        <w:ind w:left="1440" w:right="1440"/>
        <w:rPr>
          <w:snapToGrid w:val="0"/>
        </w:rPr>
      </w:pPr>
    </w:p>
    <w:p w:rsidR="003C07B6" w:rsidRDefault="003C07B6" w:rsidP="005236D8">
      <w:pPr>
        <w:numPr>
          <w:ilvl w:val="0"/>
          <w:numId w:val="23"/>
        </w:numPr>
        <w:tabs>
          <w:tab w:val="left" w:pos="-1440"/>
          <w:tab w:val="left" w:pos="-720"/>
          <w:tab w:val="left" w:pos="1051"/>
          <w:tab w:val="left" w:pos="1752"/>
        </w:tabs>
        <w:suppressAutoHyphens/>
        <w:ind w:right="1440" w:firstLine="0"/>
        <w:rPr>
          <w:snapToGrid w:val="0"/>
        </w:rPr>
      </w:pPr>
      <w:r w:rsidRPr="009C433A">
        <w:rPr>
          <w:snapToGrid w:val="0"/>
        </w:rPr>
        <w:t xml:space="preserve">Number of customers originally and subsequently </w:t>
      </w:r>
      <w:r w:rsidR="005236D8">
        <w:rPr>
          <w:snapToGrid w:val="0"/>
        </w:rPr>
        <w:tab/>
      </w:r>
      <w:r w:rsidRPr="009C433A">
        <w:rPr>
          <w:snapToGrid w:val="0"/>
        </w:rPr>
        <w:t>connected, by rate class;</w:t>
      </w:r>
    </w:p>
    <w:p w:rsidR="003C07B6" w:rsidRPr="009C433A" w:rsidRDefault="003C07B6" w:rsidP="005236D8">
      <w:pPr>
        <w:tabs>
          <w:tab w:val="left" w:pos="-1440"/>
          <w:tab w:val="left" w:pos="-720"/>
          <w:tab w:val="left" w:pos="1051"/>
          <w:tab w:val="left" w:pos="1752"/>
        </w:tabs>
        <w:suppressAutoHyphens/>
        <w:ind w:left="1440" w:right="1440"/>
        <w:rPr>
          <w:snapToGrid w:val="0"/>
        </w:rPr>
      </w:pPr>
    </w:p>
    <w:p w:rsidR="003C07B6" w:rsidRPr="007F36D9" w:rsidRDefault="003C07B6" w:rsidP="005236D8">
      <w:pPr>
        <w:numPr>
          <w:ilvl w:val="0"/>
          <w:numId w:val="23"/>
        </w:numPr>
        <w:tabs>
          <w:tab w:val="left" w:pos="-1440"/>
          <w:tab w:val="left" w:pos="-720"/>
          <w:tab w:val="left" w:pos="1051"/>
          <w:tab w:val="left" w:pos="1752"/>
        </w:tabs>
        <w:suppressAutoHyphens/>
        <w:ind w:right="1440" w:firstLine="0"/>
        <w:rPr>
          <w:snapToGrid w:val="0"/>
        </w:rPr>
      </w:pPr>
      <w:r w:rsidRPr="007F36D9">
        <w:rPr>
          <w:snapToGrid w:val="0"/>
        </w:rPr>
        <w:t xml:space="preserve">Annual load by rate class, segregated between </w:t>
      </w:r>
      <w:r w:rsidR="005236D8">
        <w:rPr>
          <w:snapToGrid w:val="0"/>
        </w:rPr>
        <w:tab/>
      </w:r>
      <w:r w:rsidRPr="007F36D9">
        <w:rPr>
          <w:snapToGrid w:val="0"/>
        </w:rPr>
        <w:t>customers initially and subsequently connected;</w:t>
      </w:r>
    </w:p>
    <w:p w:rsidR="003C07B6" w:rsidRDefault="003C07B6" w:rsidP="005236D8">
      <w:pPr>
        <w:tabs>
          <w:tab w:val="left" w:pos="-1440"/>
          <w:tab w:val="left" w:pos="-720"/>
          <w:tab w:val="left" w:pos="1051"/>
          <w:tab w:val="left" w:pos="1752"/>
        </w:tabs>
        <w:suppressAutoHyphens/>
        <w:ind w:left="1440" w:right="1440"/>
        <w:rPr>
          <w:snapToGrid w:val="0"/>
        </w:rPr>
      </w:pPr>
    </w:p>
    <w:p w:rsidR="00C529D7" w:rsidRPr="009C433A" w:rsidRDefault="00C529D7" w:rsidP="005236D8">
      <w:pPr>
        <w:tabs>
          <w:tab w:val="left" w:pos="-1440"/>
          <w:tab w:val="left" w:pos="-720"/>
          <w:tab w:val="left" w:pos="1051"/>
          <w:tab w:val="left" w:pos="1752"/>
        </w:tabs>
        <w:suppressAutoHyphens/>
        <w:ind w:left="1440" w:right="1440"/>
        <w:rPr>
          <w:snapToGrid w:val="0"/>
        </w:rPr>
      </w:pPr>
    </w:p>
    <w:p w:rsidR="003C07B6" w:rsidRDefault="003C07B6" w:rsidP="005236D8">
      <w:pPr>
        <w:numPr>
          <w:ilvl w:val="0"/>
          <w:numId w:val="23"/>
        </w:numPr>
        <w:tabs>
          <w:tab w:val="left" w:pos="-1440"/>
          <w:tab w:val="left" w:pos="-720"/>
          <w:tab w:val="left" w:pos="1051"/>
          <w:tab w:val="left" w:pos="1752"/>
        </w:tabs>
        <w:suppressAutoHyphens/>
        <w:ind w:right="1440" w:firstLine="0"/>
        <w:rPr>
          <w:snapToGrid w:val="0"/>
        </w:rPr>
      </w:pPr>
      <w:r w:rsidRPr="009C433A">
        <w:rPr>
          <w:snapToGrid w:val="0"/>
        </w:rPr>
        <w:t xml:space="preserve">Base rate and Rider NAS revenues received by </w:t>
      </w:r>
      <w:r w:rsidR="005236D8">
        <w:rPr>
          <w:snapToGrid w:val="0"/>
        </w:rPr>
        <w:tab/>
      </w:r>
      <w:r w:rsidRPr="009C433A">
        <w:rPr>
          <w:snapToGrid w:val="0"/>
        </w:rPr>
        <w:t xml:space="preserve">NAS project by rate class, with Rider NAS </w:t>
      </w:r>
      <w:r w:rsidR="005236D8">
        <w:rPr>
          <w:snapToGrid w:val="0"/>
        </w:rPr>
        <w:tab/>
      </w:r>
      <w:r w:rsidRPr="009C433A">
        <w:rPr>
          <w:snapToGrid w:val="0"/>
        </w:rPr>
        <w:t xml:space="preserve">revenues segregated between “principal” and </w:t>
      </w:r>
      <w:r w:rsidR="005236D8">
        <w:rPr>
          <w:snapToGrid w:val="0"/>
        </w:rPr>
        <w:tab/>
      </w:r>
      <w:r w:rsidRPr="009C433A">
        <w:rPr>
          <w:snapToGrid w:val="0"/>
        </w:rPr>
        <w:t>“interest”</w:t>
      </w:r>
      <w:r w:rsidR="00A879E2">
        <w:rPr>
          <w:snapToGrid w:val="0"/>
        </w:rPr>
        <w:t>;</w:t>
      </w:r>
    </w:p>
    <w:p w:rsidR="007F36D9" w:rsidRPr="009C433A" w:rsidRDefault="007F36D9" w:rsidP="005236D8">
      <w:pPr>
        <w:tabs>
          <w:tab w:val="left" w:pos="-1440"/>
          <w:tab w:val="left" w:pos="-720"/>
          <w:tab w:val="left" w:pos="1051"/>
          <w:tab w:val="left" w:pos="1752"/>
        </w:tabs>
        <w:suppressAutoHyphens/>
        <w:ind w:left="1440" w:right="1440"/>
        <w:rPr>
          <w:snapToGrid w:val="0"/>
        </w:rPr>
      </w:pPr>
    </w:p>
    <w:p w:rsidR="007F36D9" w:rsidRPr="007F36D9" w:rsidRDefault="003C07B6" w:rsidP="005236D8">
      <w:pPr>
        <w:numPr>
          <w:ilvl w:val="0"/>
          <w:numId w:val="23"/>
        </w:numPr>
        <w:tabs>
          <w:tab w:val="left" w:pos="-1440"/>
          <w:tab w:val="left" w:pos="-720"/>
          <w:tab w:val="left" w:pos="1051"/>
          <w:tab w:val="left" w:pos="1752"/>
        </w:tabs>
        <w:suppressAutoHyphens/>
        <w:ind w:right="1440" w:firstLine="0"/>
        <w:rPr>
          <w:snapToGrid w:val="0"/>
        </w:rPr>
      </w:pPr>
      <w:r w:rsidRPr="007F36D9">
        <w:rPr>
          <w:snapToGrid w:val="0"/>
        </w:rPr>
        <w:t>Direct program expenses;</w:t>
      </w:r>
      <w:r w:rsidR="00B004B1">
        <w:rPr>
          <w:snapToGrid w:val="0"/>
        </w:rPr>
        <w:t xml:space="preserve"> and</w:t>
      </w:r>
    </w:p>
    <w:p w:rsidR="007F36D9" w:rsidRPr="009C433A" w:rsidRDefault="007F36D9" w:rsidP="005236D8">
      <w:pPr>
        <w:tabs>
          <w:tab w:val="left" w:pos="-1440"/>
          <w:tab w:val="left" w:pos="-720"/>
          <w:tab w:val="left" w:pos="1051"/>
          <w:tab w:val="left" w:pos="1752"/>
        </w:tabs>
        <w:suppressAutoHyphens/>
        <w:ind w:left="1440" w:right="1440"/>
        <w:rPr>
          <w:snapToGrid w:val="0"/>
        </w:rPr>
      </w:pPr>
    </w:p>
    <w:p w:rsidR="007F36D9" w:rsidRDefault="005236D8" w:rsidP="005236D8">
      <w:pPr>
        <w:pStyle w:val="ListParagraph"/>
        <w:numPr>
          <w:ilvl w:val="0"/>
          <w:numId w:val="23"/>
        </w:numPr>
        <w:ind w:right="1440" w:firstLine="0"/>
        <w:rPr>
          <w:sz w:val="24"/>
          <w:szCs w:val="24"/>
        </w:rPr>
      </w:pPr>
      <w:r>
        <w:rPr>
          <w:sz w:val="24"/>
          <w:szCs w:val="24"/>
        </w:rPr>
        <w:t>I</w:t>
      </w:r>
      <w:r w:rsidR="007F36D9" w:rsidRPr="007F36D9">
        <w:rPr>
          <w:sz w:val="24"/>
          <w:szCs w:val="24"/>
        </w:rPr>
        <w:t xml:space="preserve">dentify the number of projects evaluated for Pilot </w:t>
      </w:r>
      <w:r w:rsidR="00351E32">
        <w:rPr>
          <w:sz w:val="24"/>
          <w:szCs w:val="24"/>
        </w:rPr>
        <w:tab/>
      </w:r>
      <w:r w:rsidR="007F36D9" w:rsidRPr="007F36D9">
        <w:rPr>
          <w:sz w:val="24"/>
          <w:szCs w:val="24"/>
        </w:rPr>
        <w:t xml:space="preserve">Rider NAS service that did not elect to go forward </w:t>
      </w:r>
      <w:r w:rsidR="00351E32">
        <w:rPr>
          <w:sz w:val="24"/>
          <w:szCs w:val="24"/>
        </w:rPr>
        <w:tab/>
      </w:r>
      <w:r w:rsidR="007F36D9" w:rsidRPr="007F36D9">
        <w:rPr>
          <w:sz w:val="24"/>
          <w:szCs w:val="24"/>
        </w:rPr>
        <w:t>under Pilot Rider NAS</w:t>
      </w:r>
      <w:r>
        <w:rPr>
          <w:sz w:val="24"/>
          <w:szCs w:val="24"/>
        </w:rPr>
        <w:t>.</w:t>
      </w:r>
      <w:r w:rsidR="007F36D9">
        <w:rPr>
          <w:sz w:val="24"/>
          <w:szCs w:val="24"/>
        </w:rPr>
        <w:t xml:space="preserve"> </w:t>
      </w:r>
    </w:p>
    <w:p w:rsidR="004F60B2" w:rsidRDefault="004F60B2" w:rsidP="004F60B2">
      <w:pPr>
        <w:pStyle w:val="ListParagraph"/>
        <w:ind w:left="2160" w:right="1440"/>
        <w:rPr>
          <w:sz w:val="24"/>
          <w:szCs w:val="24"/>
        </w:rPr>
      </w:pPr>
    </w:p>
    <w:p w:rsidR="004F60B2" w:rsidRDefault="004F60B2" w:rsidP="004F60B2">
      <w:pPr>
        <w:pStyle w:val="ListParagraph"/>
        <w:ind w:left="2160" w:right="1440"/>
        <w:rPr>
          <w:sz w:val="24"/>
          <w:szCs w:val="24"/>
        </w:rPr>
      </w:pPr>
    </w:p>
    <w:p w:rsidR="007F36D9" w:rsidRDefault="007F36D9" w:rsidP="007F36D9">
      <w:pPr>
        <w:spacing w:line="360" w:lineRule="auto"/>
        <w:ind w:left="1440"/>
      </w:pPr>
      <w:r>
        <w:t>3.</w:t>
      </w:r>
      <w:r>
        <w:tab/>
        <w:t>That Columbia Gas of Pennsylvania, Inc.’s Pilot Rider New Area Service</w:t>
      </w:r>
    </w:p>
    <w:p w:rsidR="00AD201B" w:rsidRDefault="007F36D9" w:rsidP="007F36D9">
      <w:pPr>
        <w:spacing w:line="360" w:lineRule="auto"/>
        <w:rPr>
          <w:color w:val="000000"/>
          <w:shd w:val="clear" w:color="auto" w:fill="FFFFFF"/>
        </w:rPr>
      </w:pPr>
      <w:r>
        <w:t>(NAS) include a provision that, i</w:t>
      </w:r>
      <w:r>
        <w:rPr>
          <w:color w:val="000000"/>
          <w:shd w:val="clear" w:color="auto" w:fill="FFFFFF"/>
        </w:rPr>
        <w:t xml:space="preserve">n order to participate in the Pilot Rider NAS program, </w:t>
      </w:r>
      <w:r w:rsidRPr="00567787">
        <w:rPr>
          <w:color w:val="000000"/>
          <w:shd w:val="clear" w:color="auto" w:fill="FFFFFF"/>
        </w:rPr>
        <w:t>bona fide</w:t>
      </w:r>
      <w:r>
        <w:rPr>
          <w:color w:val="000000"/>
          <w:shd w:val="clear" w:color="auto" w:fill="FFFFFF"/>
        </w:rPr>
        <w:t xml:space="preserve"> developers </w:t>
      </w:r>
      <w:r w:rsidR="00AD201B">
        <w:rPr>
          <w:color w:val="000000"/>
          <w:shd w:val="clear" w:color="auto" w:fill="FFFFFF"/>
        </w:rPr>
        <w:t xml:space="preserve">must </w:t>
      </w:r>
      <w:r>
        <w:rPr>
          <w:color w:val="000000"/>
          <w:shd w:val="clear" w:color="auto" w:fill="FFFFFF"/>
        </w:rPr>
        <w:t>place a note on any final subdivision plan approved and recorded in the Recorder of Deeds of the Court of Common Pleas where the property is situate stating that the residential lots in [the proposed development specifically identified] that have gas meters can only receive natural gas utility service from Columbia</w:t>
      </w:r>
      <w:r w:rsidR="00AD201B">
        <w:rPr>
          <w:color w:val="000000"/>
          <w:shd w:val="clear" w:color="auto" w:fill="FFFFFF"/>
        </w:rPr>
        <w:t xml:space="preserve"> Gas of Pennsylvania, Inc. </w:t>
      </w:r>
      <w:r>
        <w:rPr>
          <w:color w:val="000000"/>
          <w:shd w:val="clear" w:color="auto" w:fill="FFFFFF"/>
        </w:rPr>
        <w:t>if the lot owner agrees to pay a monthly Pilot Rider NAS surcharge [</w:t>
      </w:r>
      <w:r w:rsidRPr="00803953">
        <w:t>Supplement No. 210 to Tariff Gas PA</w:t>
      </w:r>
      <w:r w:rsidR="00AD201B">
        <w:t>.</w:t>
      </w:r>
      <w:r w:rsidRPr="00803953">
        <w:t xml:space="preserve"> P</w:t>
      </w:r>
      <w:r w:rsidR="00567787">
        <w:t>.</w:t>
      </w:r>
      <w:r w:rsidRPr="00803953">
        <w:t>U</w:t>
      </w:r>
      <w:r w:rsidR="00567787">
        <w:t>.</w:t>
      </w:r>
      <w:r w:rsidRPr="00803953">
        <w:t>C</w:t>
      </w:r>
      <w:r w:rsidR="00567787">
        <w:t>.</w:t>
      </w:r>
      <w:r w:rsidRPr="00803953">
        <w:t xml:space="preserve"> No. 9</w:t>
      </w:r>
      <w:r w:rsidR="00AD201B">
        <w:t xml:space="preserve"> or new tariff supplement filed to comply with the Commission’s Final Order in this proceeding</w:t>
      </w:r>
      <w:r>
        <w:t>]</w:t>
      </w:r>
      <w:r>
        <w:rPr>
          <w:color w:val="000000"/>
          <w:shd w:val="clear" w:color="auto" w:fill="FFFFFF"/>
        </w:rPr>
        <w:t xml:space="preserve"> not to exceed $35</w:t>
      </w:r>
      <w:r w:rsidR="002E740F">
        <w:rPr>
          <w:color w:val="000000"/>
          <w:shd w:val="clear" w:color="auto" w:fill="FFFFFF"/>
        </w:rPr>
        <w:t>.00</w:t>
      </w:r>
      <w:r>
        <w:rPr>
          <w:color w:val="000000"/>
          <w:shd w:val="clear" w:color="auto" w:fill="FFFFFF"/>
        </w:rPr>
        <w:t xml:space="preserve"> for a period of 20 years. </w:t>
      </w:r>
    </w:p>
    <w:p w:rsidR="00057D14" w:rsidRDefault="00057D14" w:rsidP="007F36D9">
      <w:pPr>
        <w:spacing w:line="360" w:lineRule="auto"/>
        <w:rPr>
          <w:color w:val="000000"/>
          <w:shd w:val="clear" w:color="auto" w:fill="FFFFFF"/>
        </w:rPr>
      </w:pPr>
    </w:p>
    <w:p w:rsidR="00AD201B" w:rsidRDefault="00AD201B" w:rsidP="00AD201B">
      <w:pPr>
        <w:spacing w:line="360" w:lineRule="auto"/>
        <w:ind w:left="1440"/>
      </w:pPr>
      <w:r>
        <w:rPr>
          <w:color w:val="000000"/>
          <w:shd w:val="clear" w:color="auto" w:fill="FFFFFF"/>
        </w:rPr>
        <w:t>4.</w:t>
      </w:r>
      <w:r>
        <w:rPr>
          <w:color w:val="000000"/>
          <w:shd w:val="clear" w:color="auto" w:fill="FFFFFF"/>
        </w:rPr>
        <w:tab/>
      </w:r>
      <w:r>
        <w:t>That Columbia Gas of Pennsylvania, Inc.’s Pilot Rider New Area Service</w:t>
      </w:r>
    </w:p>
    <w:p w:rsidR="00AD201B" w:rsidRDefault="00AD201B" w:rsidP="00AD201B">
      <w:pPr>
        <w:pStyle w:val="NormalWeb"/>
        <w:spacing w:before="0" w:beforeAutospacing="0" w:after="0" w:afterAutospacing="0" w:line="360" w:lineRule="auto"/>
        <w:rPr>
          <w:color w:val="000000"/>
          <w:shd w:val="clear" w:color="auto" w:fill="FFFFFF"/>
        </w:rPr>
      </w:pPr>
      <w:r>
        <w:t>(NAS) include a provision that, i</w:t>
      </w:r>
      <w:r>
        <w:rPr>
          <w:color w:val="000000"/>
          <w:shd w:val="clear" w:color="auto" w:fill="FFFFFF"/>
        </w:rPr>
        <w:t xml:space="preserve">n order to participate in the Pilot Rider NAS program, </w:t>
      </w:r>
      <w:r w:rsidRPr="0028568D">
        <w:rPr>
          <w:color w:val="000000"/>
          <w:shd w:val="clear" w:color="auto" w:fill="FFFFFF"/>
        </w:rPr>
        <w:t>bona fide</w:t>
      </w:r>
      <w:r>
        <w:rPr>
          <w:color w:val="000000"/>
          <w:shd w:val="clear" w:color="auto" w:fill="FFFFFF"/>
        </w:rPr>
        <w:t xml:space="preserve"> developers must require purchasers of residential lots to sign a form, prior to the sale, and return the same to Columbia</w:t>
      </w:r>
      <w:r w:rsidR="009D35B4">
        <w:rPr>
          <w:color w:val="000000"/>
          <w:shd w:val="clear" w:color="auto" w:fill="FFFFFF"/>
        </w:rPr>
        <w:t xml:space="preserve"> Gas of Pennsylvania, Inc</w:t>
      </w:r>
      <w:r>
        <w:rPr>
          <w:color w:val="000000"/>
          <w:shd w:val="clear" w:color="auto" w:fill="FFFFFF"/>
        </w:rPr>
        <w:t>.  The form must be a standard form created by Columbia</w:t>
      </w:r>
      <w:r w:rsidR="00805E16">
        <w:rPr>
          <w:color w:val="000000"/>
          <w:shd w:val="clear" w:color="auto" w:fill="FFFFFF"/>
        </w:rPr>
        <w:t xml:space="preserve"> Gas of Pennsylvania, Inc</w:t>
      </w:r>
      <w:r>
        <w:rPr>
          <w:color w:val="000000"/>
          <w:shd w:val="clear" w:color="auto" w:fill="FFFFFF"/>
        </w:rPr>
        <w:t xml:space="preserve">.  The </w:t>
      </w:r>
      <w:r w:rsidRPr="0028568D">
        <w:rPr>
          <w:color w:val="000000"/>
          <w:shd w:val="clear" w:color="auto" w:fill="FFFFFF"/>
        </w:rPr>
        <w:t>bona fide</w:t>
      </w:r>
      <w:r>
        <w:rPr>
          <w:color w:val="000000"/>
          <w:shd w:val="clear" w:color="auto" w:fill="FFFFFF"/>
        </w:rPr>
        <w:t xml:space="preserve"> developers must request the form from Columbia Gas of Pennsylvania, Inc. prior to closing or sale.  The form must contain the following information regarding the Pilot Rider NAS surcharge for the residential lot purchased:</w:t>
      </w:r>
    </w:p>
    <w:p w:rsidR="00B6612C" w:rsidRDefault="00AD201B" w:rsidP="00351E32">
      <w:pPr>
        <w:pStyle w:val="NormalWeb"/>
        <w:numPr>
          <w:ilvl w:val="0"/>
          <w:numId w:val="40"/>
        </w:numPr>
        <w:spacing w:before="0" w:beforeAutospacing="0" w:after="0" w:afterAutospacing="0"/>
        <w:ind w:firstLine="360"/>
        <w:rPr>
          <w:color w:val="000000"/>
          <w:shd w:val="clear" w:color="auto" w:fill="FFFFFF"/>
        </w:rPr>
      </w:pPr>
      <w:r>
        <w:rPr>
          <w:color w:val="000000"/>
          <w:shd w:val="clear" w:color="auto" w:fill="FFFFFF"/>
        </w:rPr>
        <w:t>Interest rate-cost of credit;</w:t>
      </w:r>
    </w:p>
    <w:p w:rsidR="00B6612C" w:rsidRPr="00B6612C" w:rsidRDefault="00B6612C" w:rsidP="00B6612C">
      <w:pPr>
        <w:pStyle w:val="NormalWeb"/>
        <w:spacing w:before="0" w:beforeAutospacing="0" w:after="0" w:afterAutospacing="0"/>
        <w:ind w:left="1800"/>
        <w:rPr>
          <w:color w:val="000000"/>
          <w:shd w:val="clear" w:color="auto" w:fill="FFFFFF"/>
        </w:rPr>
      </w:pPr>
    </w:p>
    <w:p w:rsidR="001F7572" w:rsidRDefault="00AD201B" w:rsidP="004B20CD">
      <w:pPr>
        <w:pStyle w:val="NormalWeb"/>
        <w:numPr>
          <w:ilvl w:val="0"/>
          <w:numId w:val="40"/>
        </w:numPr>
        <w:spacing w:before="0" w:beforeAutospacing="0" w:after="0" w:afterAutospacing="0"/>
        <w:ind w:left="2880" w:right="720" w:hanging="720"/>
        <w:rPr>
          <w:color w:val="000000"/>
          <w:shd w:val="clear" w:color="auto" w:fill="FFFFFF"/>
        </w:rPr>
      </w:pPr>
      <w:r>
        <w:rPr>
          <w:color w:val="000000"/>
          <w:shd w:val="clear" w:color="auto" w:fill="FFFFFF"/>
        </w:rPr>
        <w:t>Finance charge-estimated total amount of the interest payments for the 20</w:t>
      </w:r>
      <w:r w:rsidR="0028568D">
        <w:rPr>
          <w:color w:val="000000"/>
          <w:shd w:val="clear" w:color="auto" w:fill="FFFFFF"/>
        </w:rPr>
        <w:noBreakHyphen/>
      </w:r>
      <w:r>
        <w:rPr>
          <w:color w:val="000000"/>
          <w:shd w:val="clear" w:color="auto" w:fill="FFFFFF"/>
        </w:rPr>
        <w:t xml:space="preserve"> year term;</w:t>
      </w:r>
    </w:p>
    <w:p w:rsidR="001F7572" w:rsidRPr="001F7572" w:rsidRDefault="001F7572" w:rsidP="004B20CD">
      <w:pPr>
        <w:pStyle w:val="NormalWeb"/>
        <w:spacing w:before="0" w:beforeAutospacing="0" w:after="0" w:afterAutospacing="0"/>
        <w:ind w:left="2880" w:hanging="720"/>
        <w:rPr>
          <w:color w:val="000000"/>
          <w:shd w:val="clear" w:color="auto" w:fill="FFFFFF"/>
        </w:rPr>
      </w:pPr>
    </w:p>
    <w:p w:rsidR="00AD201B" w:rsidRDefault="00AD201B" w:rsidP="004B20CD">
      <w:pPr>
        <w:pStyle w:val="NormalWeb"/>
        <w:numPr>
          <w:ilvl w:val="0"/>
          <w:numId w:val="40"/>
        </w:numPr>
        <w:spacing w:before="0" w:beforeAutospacing="0" w:after="0" w:afterAutospacing="0"/>
        <w:ind w:left="2880" w:hanging="720"/>
        <w:rPr>
          <w:color w:val="000000"/>
          <w:shd w:val="clear" w:color="auto" w:fill="FFFFFF"/>
        </w:rPr>
      </w:pPr>
      <w:r>
        <w:rPr>
          <w:color w:val="000000"/>
          <w:shd w:val="clear" w:color="auto" w:fill="FFFFFF"/>
        </w:rPr>
        <w:t>Total of Payments-the estimated total amount including principal and interest of all payments made over the 20-year term as scheduled;</w:t>
      </w:r>
    </w:p>
    <w:p w:rsidR="001F7572" w:rsidRDefault="001F7572" w:rsidP="004B20CD">
      <w:pPr>
        <w:pStyle w:val="NormalWeb"/>
        <w:spacing w:before="0" w:beforeAutospacing="0" w:after="0" w:afterAutospacing="0"/>
        <w:ind w:left="2880" w:hanging="720"/>
        <w:rPr>
          <w:color w:val="000000"/>
          <w:shd w:val="clear" w:color="auto" w:fill="FFFFFF"/>
        </w:rPr>
      </w:pPr>
    </w:p>
    <w:p w:rsidR="00AD201B" w:rsidRDefault="00AD201B" w:rsidP="004B20CD">
      <w:pPr>
        <w:pStyle w:val="NormalWeb"/>
        <w:numPr>
          <w:ilvl w:val="0"/>
          <w:numId w:val="40"/>
        </w:numPr>
        <w:spacing w:before="0" w:beforeAutospacing="0" w:after="0" w:afterAutospacing="0"/>
        <w:ind w:left="2880" w:hanging="720"/>
        <w:rPr>
          <w:color w:val="000000"/>
          <w:shd w:val="clear" w:color="auto" w:fill="FFFFFF"/>
        </w:rPr>
      </w:pPr>
      <w:r>
        <w:rPr>
          <w:color w:val="000000"/>
          <w:shd w:val="clear" w:color="auto" w:fill="FFFFFF"/>
        </w:rPr>
        <w:t>Total Number of Payments</w:t>
      </w:r>
      <w:r w:rsidR="007D4470">
        <w:rPr>
          <w:color w:val="000000"/>
          <w:shd w:val="clear" w:color="auto" w:fill="FFFFFF"/>
        </w:rPr>
        <w:t>;</w:t>
      </w:r>
    </w:p>
    <w:p w:rsidR="007D4470" w:rsidRDefault="007D4470" w:rsidP="004B20CD">
      <w:pPr>
        <w:pStyle w:val="NormalWeb"/>
        <w:spacing w:before="0" w:beforeAutospacing="0" w:after="0" w:afterAutospacing="0"/>
        <w:ind w:left="2880" w:hanging="720"/>
        <w:rPr>
          <w:color w:val="000000"/>
          <w:shd w:val="clear" w:color="auto" w:fill="FFFFFF"/>
        </w:rPr>
      </w:pPr>
    </w:p>
    <w:p w:rsidR="00AD201B" w:rsidRDefault="00AD201B" w:rsidP="004B20CD">
      <w:pPr>
        <w:pStyle w:val="NormalWeb"/>
        <w:numPr>
          <w:ilvl w:val="0"/>
          <w:numId w:val="40"/>
        </w:numPr>
        <w:spacing w:before="0" w:beforeAutospacing="0" w:after="0" w:afterAutospacing="0"/>
        <w:ind w:left="2880" w:hanging="720"/>
        <w:rPr>
          <w:color w:val="000000"/>
          <w:shd w:val="clear" w:color="auto" w:fill="FFFFFF"/>
        </w:rPr>
      </w:pPr>
      <w:r>
        <w:rPr>
          <w:color w:val="000000"/>
          <w:shd w:val="clear" w:color="auto" w:fill="FFFFFF"/>
        </w:rPr>
        <w:t>Monthly Payment Amount</w:t>
      </w:r>
      <w:r w:rsidR="007D4470">
        <w:rPr>
          <w:color w:val="000000"/>
          <w:shd w:val="clear" w:color="auto" w:fill="FFFFFF"/>
        </w:rPr>
        <w:t>; and</w:t>
      </w:r>
    </w:p>
    <w:p w:rsidR="007D4470" w:rsidRDefault="007D4470" w:rsidP="004B20CD">
      <w:pPr>
        <w:pStyle w:val="NormalWeb"/>
        <w:spacing w:before="0" w:beforeAutospacing="0" w:after="0" w:afterAutospacing="0"/>
        <w:ind w:left="2880" w:hanging="720"/>
        <w:rPr>
          <w:color w:val="000000"/>
          <w:shd w:val="clear" w:color="auto" w:fill="FFFFFF"/>
        </w:rPr>
      </w:pPr>
    </w:p>
    <w:p w:rsidR="001F7572" w:rsidRDefault="001F7572" w:rsidP="002E770A">
      <w:pPr>
        <w:pStyle w:val="NormalWeb"/>
        <w:numPr>
          <w:ilvl w:val="0"/>
          <w:numId w:val="40"/>
        </w:numPr>
        <w:spacing w:before="0" w:beforeAutospacing="0" w:after="0" w:afterAutospacing="0"/>
        <w:ind w:left="2880" w:hanging="720"/>
        <w:rPr>
          <w:color w:val="000000"/>
          <w:shd w:val="clear" w:color="auto" w:fill="FFFFFF"/>
        </w:rPr>
      </w:pPr>
      <w:r>
        <w:rPr>
          <w:color w:val="000000"/>
          <w:shd w:val="clear" w:color="auto" w:fill="FFFFFF"/>
        </w:rPr>
        <w:t>Advise that the balance may be paid off at any time without any penalty.</w:t>
      </w:r>
    </w:p>
    <w:p w:rsidR="000F7CE1" w:rsidRDefault="001F7572" w:rsidP="00765278">
      <w:pPr>
        <w:pStyle w:val="ListParagraph"/>
        <w:spacing w:line="360" w:lineRule="auto"/>
      </w:pPr>
      <w:r>
        <w:tab/>
      </w:r>
    </w:p>
    <w:p w:rsidR="008916BD" w:rsidRDefault="008916BD" w:rsidP="008916BD">
      <w:pPr>
        <w:tabs>
          <w:tab w:val="left" w:pos="720"/>
          <w:tab w:val="left" w:pos="9360"/>
        </w:tabs>
        <w:spacing w:line="360" w:lineRule="auto"/>
        <w:ind w:firstLine="1440"/>
      </w:pPr>
      <w:r>
        <w:t>5.     That Columbia Gas of Pennsylvania, Inc.  be required to provide the following information in writing to all potential Pilot Rider NAS customers:</w:t>
      </w:r>
    </w:p>
    <w:p w:rsidR="00BF7C66" w:rsidRDefault="00AA3877" w:rsidP="007521D4">
      <w:pPr>
        <w:pStyle w:val="NormalWeb"/>
        <w:numPr>
          <w:ilvl w:val="0"/>
          <w:numId w:val="41"/>
        </w:numPr>
        <w:spacing w:before="0" w:beforeAutospacing="0" w:after="0" w:afterAutospacing="0"/>
        <w:ind w:firstLine="360"/>
        <w:rPr>
          <w:color w:val="000000"/>
          <w:shd w:val="clear" w:color="auto" w:fill="FFFFFF"/>
        </w:rPr>
      </w:pPr>
      <w:r>
        <w:rPr>
          <w:color w:val="000000"/>
          <w:shd w:val="clear" w:color="auto" w:fill="FFFFFF"/>
        </w:rPr>
        <w:t>Up front</w:t>
      </w:r>
      <w:r w:rsidR="00BF7C66">
        <w:rPr>
          <w:color w:val="000000"/>
          <w:shd w:val="clear" w:color="auto" w:fill="FFFFFF"/>
        </w:rPr>
        <w:t xml:space="preserve"> amount due;</w:t>
      </w:r>
    </w:p>
    <w:p w:rsidR="007521D4" w:rsidRDefault="007521D4" w:rsidP="007521D4">
      <w:pPr>
        <w:pStyle w:val="NormalWeb"/>
        <w:spacing w:before="0" w:beforeAutospacing="0" w:after="0" w:afterAutospacing="0"/>
        <w:ind w:left="2160"/>
        <w:rPr>
          <w:color w:val="000000"/>
          <w:shd w:val="clear" w:color="auto" w:fill="FFFFFF"/>
        </w:rPr>
      </w:pPr>
    </w:p>
    <w:p w:rsidR="008916BD" w:rsidRDefault="008916BD" w:rsidP="00B6612C">
      <w:pPr>
        <w:pStyle w:val="NormalWeb"/>
        <w:numPr>
          <w:ilvl w:val="0"/>
          <w:numId w:val="41"/>
        </w:numPr>
        <w:spacing w:before="0" w:beforeAutospacing="0" w:after="0" w:afterAutospacing="0"/>
        <w:ind w:left="2160" w:right="720" w:firstLine="0"/>
        <w:rPr>
          <w:color w:val="000000"/>
          <w:shd w:val="clear" w:color="auto" w:fill="FFFFFF"/>
        </w:rPr>
      </w:pPr>
      <w:r>
        <w:rPr>
          <w:color w:val="000000"/>
          <w:shd w:val="clear" w:color="auto" w:fill="FFFFFF"/>
        </w:rPr>
        <w:t>Interest rate;</w:t>
      </w:r>
    </w:p>
    <w:p w:rsidR="00B6612C" w:rsidRDefault="00B6612C" w:rsidP="00B6612C">
      <w:pPr>
        <w:pStyle w:val="NormalWeb"/>
        <w:spacing w:before="0" w:beforeAutospacing="0" w:after="0" w:afterAutospacing="0"/>
        <w:ind w:left="2160" w:right="720"/>
        <w:rPr>
          <w:color w:val="000000"/>
          <w:shd w:val="clear" w:color="auto" w:fill="FFFFFF"/>
        </w:rPr>
      </w:pPr>
    </w:p>
    <w:p w:rsidR="00BF7C66" w:rsidRDefault="008916BD" w:rsidP="00B6612C">
      <w:pPr>
        <w:pStyle w:val="NormalWeb"/>
        <w:numPr>
          <w:ilvl w:val="0"/>
          <w:numId w:val="41"/>
        </w:numPr>
        <w:spacing w:before="0" w:beforeAutospacing="0" w:after="0" w:afterAutospacing="0"/>
        <w:ind w:left="2160" w:right="720" w:firstLine="0"/>
        <w:rPr>
          <w:color w:val="000000"/>
          <w:shd w:val="clear" w:color="auto" w:fill="FFFFFF"/>
        </w:rPr>
      </w:pPr>
      <w:r>
        <w:rPr>
          <w:color w:val="000000"/>
          <w:shd w:val="clear" w:color="auto" w:fill="FFFFFF"/>
        </w:rPr>
        <w:t xml:space="preserve">Finance charge-estimated total amount of the interest </w:t>
      </w:r>
      <w:r w:rsidR="00B6612C">
        <w:rPr>
          <w:color w:val="000000"/>
          <w:shd w:val="clear" w:color="auto" w:fill="FFFFFF"/>
        </w:rPr>
        <w:tab/>
      </w:r>
      <w:r>
        <w:rPr>
          <w:color w:val="000000"/>
          <w:shd w:val="clear" w:color="auto" w:fill="FFFFFF"/>
        </w:rPr>
        <w:t>payments for the 20</w:t>
      </w:r>
      <w:r w:rsidR="00BF7C66">
        <w:rPr>
          <w:color w:val="000000"/>
          <w:shd w:val="clear" w:color="auto" w:fill="FFFFFF"/>
        </w:rPr>
        <w:noBreakHyphen/>
      </w:r>
      <w:r>
        <w:rPr>
          <w:color w:val="000000"/>
          <w:shd w:val="clear" w:color="auto" w:fill="FFFFFF"/>
        </w:rPr>
        <w:t xml:space="preserve"> year term;</w:t>
      </w:r>
    </w:p>
    <w:p w:rsidR="00BF7C66" w:rsidRPr="00BF7C66" w:rsidRDefault="00BF7C66" w:rsidP="00B6612C">
      <w:pPr>
        <w:pStyle w:val="NormalWeb"/>
        <w:spacing w:before="0" w:beforeAutospacing="0" w:after="0" w:afterAutospacing="0"/>
        <w:ind w:left="2160" w:right="720"/>
        <w:rPr>
          <w:color w:val="000000"/>
          <w:shd w:val="clear" w:color="auto" w:fill="FFFFFF"/>
        </w:rPr>
      </w:pPr>
    </w:p>
    <w:p w:rsidR="008916BD" w:rsidRDefault="008916BD" w:rsidP="00B6612C">
      <w:pPr>
        <w:pStyle w:val="NormalWeb"/>
        <w:numPr>
          <w:ilvl w:val="0"/>
          <w:numId w:val="41"/>
        </w:numPr>
        <w:spacing w:before="0" w:beforeAutospacing="0" w:after="0" w:afterAutospacing="0"/>
        <w:ind w:left="2160" w:right="720" w:firstLine="0"/>
        <w:rPr>
          <w:color w:val="000000"/>
          <w:shd w:val="clear" w:color="auto" w:fill="FFFFFF"/>
        </w:rPr>
      </w:pPr>
      <w:r>
        <w:rPr>
          <w:color w:val="000000"/>
          <w:shd w:val="clear" w:color="auto" w:fill="FFFFFF"/>
        </w:rPr>
        <w:t xml:space="preserve">Total of Payments-the estimated total amount including </w:t>
      </w:r>
      <w:r w:rsidR="00B6612C">
        <w:rPr>
          <w:color w:val="000000"/>
          <w:shd w:val="clear" w:color="auto" w:fill="FFFFFF"/>
        </w:rPr>
        <w:tab/>
      </w:r>
      <w:r>
        <w:rPr>
          <w:color w:val="000000"/>
          <w:shd w:val="clear" w:color="auto" w:fill="FFFFFF"/>
        </w:rPr>
        <w:t>principal and interest of all payments made over the 20-</w:t>
      </w:r>
      <w:r w:rsidR="00B6612C">
        <w:rPr>
          <w:color w:val="000000"/>
          <w:shd w:val="clear" w:color="auto" w:fill="FFFFFF"/>
        </w:rPr>
        <w:tab/>
      </w:r>
      <w:r>
        <w:rPr>
          <w:color w:val="000000"/>
          <w:shd w:val="clear" w:color="auto" w:fill="FFFFFF"/>
        </w:rPr>
        <w:t>year term as scheduled;</w:t>
      </w:r>
    </w:p>
    <w:p w:rsidR="00BF7C66" w:rsidRDefault="00BF7C66" w:rsidP="00B6612C">
      <w:pPr>
        <w:pStyle w:val="NormalWeb"/>
        <w:spacing w:before="0" w:beforeAutospacing="0" w:after="0" w:afterAutospacing="0"/>
        <w:ind w:left="2160" w:right="720"/>
        <w:rPr>
          <w:color w:val="000000"/>
          <w:shd w:val="clear" w:color="auto" w:fill="FFFFFF"/>
        </w:rPr>
      </w:pPr>
    </w:p>
    <w:p w:rsidR="008916BD" w:rsidRDefault="008916BD" w:rsidP="00B6612C">
      <w:pPr>
        <w:pStyle w:val="NormalWeb"/>
        <w:numPr>
          <w:ilvl w:val="0"/>
          <w:numId w:val="41"/>
        </w:numPr>
        <w:spacing w:before="0" w:beforeAutospacing="0" w:after="0" w:afterAutospacing="0"/>
        <w:ind w:left="2160" w:right="720" w:firstLine="0"/>
        <w:rPr>
          <w:color w:val="000000"/>
          <w:shd w:val="clear" w:color="auto" w:fill="FFFFFF"/>
        </w:rPr>
      </w:pPr>
      <w:r>
        <w:rPr>
          <w:color w:val="000000"/>
          <w:shd w:val="clear" w:color="auto" w:fill="FFFFFF"/>
        </w:rPr>
        <w:t>Total Number of Payments</w:t>
      </w:r>
      <w:r w:rsidR="00B6612C">
        <w:rPr>
          <w:color w:val="000000"/>
          <w:shd w:val="clear" w:color="auto" w:fill="FFFFFF"/>
        </w:rPr>
        <w:t>;</w:t>
      </w:r>
    </w:p>
    <w:p w:rsidR="00B6612C" w:rsidRDefault="00B6612C" w:rsidP="00B6612C">
      <w:pPr>
        <w:pStyle w:val="NormalWeb"/>
        <w:spacing w:before="0" w:beforeAutospacing="0" w:after="0" w:afterAutospacing="0"/>
        <w:ind w:left="2160" w:right="720"/>
        <w:rPr>
          <w:color w:val="000000"/>
          <w:shd w:val="clear" w:color="auto" w:fill="FFFFFF"/>
        </w:rPr>
      </w:pPr>
    </w:p>
    <w:p w:rsidR="008916BD" w:rsidRDefault="008916BD" w:rsidP="00B6612C">
      <w:pPr>
        <w:pStyle w:val="NormalWeb"/>
        <w:numPr>
          <w:ilvl w:val="0"/>
          <w:numId w:val="41"/>
        </w:numPr>
        <w:spacing w:before="0" w:beforeAutospacing="0" w:after="0" w:afterAutospacing="0"/>
        <w:ind w:left="2160" w:right="720" w:firstLine="0"/>
        <w:rPr>
          <w:color w:val="000000"/>
          <w:shd w:val="clear" w:color="auto" w:fill="FFFFFF"/>
        </w:rPr>
      </w:pPr>
      <w:r>
        <w:rPr>
          <w:color w:val="000000"/>
          <w:shd w:val="clear" w:color="auto" w:fill="FFFFFF"/>
        </w:rPr>
        <w:t>Monthly Payment Amount</w:t>
      </w:r>
      <w:r w:rsidR="00B6612C">
        <w:rPr>
          <w:color w:val="000000"/>
          <w:shd w:val="clear" w:color="auto" w:fill="FFFFFF"/>
        </w:rPr>
        <w:t>;</w:t>
      </w:r>
      <w:r w:rsidR="009875C0">
        <w:rPr>
          <w:color w:val="000000"/>
          <w:shd w:val="clear" w:color="auto" w:fill="FFFFFF"/>
        </w:rPr>
        <w:t xml:space="preserve"> </w:t>
      </w:r>
    </w:p>
    <w:p w:rsidR="00B6612C" w:rsidRDefault="00B6612C" w:rsidP="00B6612C">
      <w:pPr>
        <w:pStyle w:val="NormalWeb"/>
        <w:spacing w:before="0" w:beforeAutospacing="0" w:after="0" w:afterAutospacing="0"/>
        <w:ind w:left="2160" w:right="720"/>
        <w:rPr>
          <w:color w:val="000000"/>
          <w:shd w:val="clear" w:color="auto" w:fill="FFFFFF"/>
        </w:rPr>
      </w:pPr>
    </w:p>
    <w:p w:rsidR="008916BD" w:rsidRPr="008916BD" w:rsidRDefault="008916BD" w:rsidP="00B6612C">
      <w:pPr>
        <w:pStyle w:val="NormalWeb"/>
        <w:numPr>
          <w:ilvl w:val="0"/>
          <w:numId w:val="41"/>
        </w:numPr>
        <w:spacing w:before="0" w:beforeAutospacing="0" w:after="0" w:afterAutospacing="0"/>
        <w:ind w:left="2160" w:right="720" w:firstLine="0"/>
      </w:pPr>
      <w:r w:rsidRPr="00AD201B">
        <w:rPr>
          <w:color w:val="000000"/>
          <w:shd w:val="clear" w:color="auto" w:fill="FFFFFF"/>
        </w:rPr>
        <w:t xml:space="preserve">Comparison of Pilot Rider NAS surcharge total of </w:t>
      </w:r>
      <w:r w:rsidR="00B6612C">
        <w:rPr>
          <w:color w:val="000000"/>
          <w:shd w:val="clear" w:color="auto" w:fill="FFFFFF"/>
        </w:rPr>
        <w:tab/>
      </w:r>
      <w:r w:rsidRPr="00AD201B">
        <w:rPr>
          <w:color w:val="000000"/>
          <w:shd w:val="clear" w:color="auto" w:fill="FFFFFF"/>
        </w:rPr>
        <w:t xml:space="preserve">payments over 20-year term to total cost of establishing </w:t>
      </w:r>
      <w:r w:rsidR="00B6612C">
        <w:rPr>
          <w:color w:val="000000"/>
          <w:shd w:val="clear" w:color="auto" w:fill="FFFFFF"/>
        </w:rPr>
        <w:tab/>
      </w:r>
      <w:r w:rsidRPr="00AD201B">
        <w:rPr>
          <w:color w:val="000000"/>
          <w:shd w:val="clear" w:color="auto" w:fill="FFFFFF"/>
        </w:rPr>
        <w:t>service without participating in the program (</w:t>
      </w:r>
      <w:r w:rsidR="00AA3877">
        <w:rPr>
          <w:color w:val="000000"/>
          <w:shd w:val="clear" w:color="auto" w:fill="FFFFFF"/>
        </w:rPr>
        <w:t>up front</w:t>
      </w:r>
      <w:r w:rsidRPr="00AD201B">
        <w:rPr>
          <w:color w:val="000000"/>
          <w:shd w:val="clear" w:color="auto" w:fill="FFFFFF"/>
        </w:rPr>
        <w:t xml:space="preserve"> </w:t>
      </w:r>
      <w:r w:rsidR="00B6612C">
        <w:rPr>
          <w:color w:val="000000"/>
          <w:shd w:val="clear" w:color="auto" w:fill="FFFFFF"/>
        </w:rPr>
        <w:tab/>
      </w:r>
      <w:r w:rsidRPr="00AD201B">
        <w:rPr>
          <w:color w:val="000000"/>
          <w:shd w:val="clear" w:color="auto" w:fill="FFFFFF"/>
        </w:rPr>
        <w:t>deposit)</w:t>
      </w:r>
      <w:r w:rsidR="00DC771F">
        <w:rPr>
          <w:color w:val="000000"/>
          <w:shd w:val="clear" w:color="auto" w:fill="FFFFFF"/>
        </w:rPr>
        <w:t>; and</w:t>
      </w:r>
      <w:r w:rsidRPr="00AD201B">
        <w:rPr>
          <w:color w:val="000000"/>
          <w:shd w:val="clear" w:color="auto" w:fill="FFFFFF"/>
        </w:rPr>
        <w:t xml:space="preserve"> </w:t>
      </w:r>
    </w:p>
    <w:p w:rsidR="008916BD" w:rsidRDefault="008916BD" w:rsidP="00D2672F">
      <w:pPr>
        <w:pStyle w:val="NormalWeb"/>
        <w:spacing w:before="0" w:beforeAutospacing="0" w:after="0" w:afterAutospacing="0"/>
        <w:ind w:left="1440"/>
        <w:rPr>
          <w:color w:val="000000"/>
          <w:shd w:val="clear" w:color="auto" w:fill="FFFFFF"/>
        </w:rPr>
      </w:pPr>
    </w:p>
    <w:p w:rsidR="00D2672F" w:rsidRDefault="00D2672F" w:rsidP="00D2672F">
      <w:pPr>
        <w:pStyle w:val="NormalWeb"/>
        <w:numPr>
          <w:ilvl w:val="0"/>
          <w:numId w:val="41"/>
        </w:numPr>
        <w:spacing w:before="0" w:beforeAutospacing="0" w:after="0" w:afterAutospacing="0"/>
        <w:ind w:firstLine="360"/>
        <w:rPr>
          <w:color w:val="000000"/>
          <w:shd w:val="clear" w:color="auto" w:fill="FFFFFF"/>
        </w:rPr>
      </w:pPr>
      <w:r>
        <w:rPr>
          <w:color w:val="000000"/>
          <w:shd w:val="clear" w:color="auto" w:fill="FFFFFF"/>
        </w:rPr>
        <w:t xml:space="preserve">Advise that the balance may be paid off at any time without any </w:t>
      </w:r>
      <w:r>
        <w:rPr>
          <w:color w:val="000000"/>
          <w:shd w:val="clear" w:color="auto" w:fill="FFFFFF"/>
        </w:rPr>
        <w:tab/>
      </w:r>
      <w:r>
        <w:rPr>
          <w:color w:val="000000"/>
          <w:shd w:val="clear" w:color="auto" w:fill="FFFFFF"/>
        </w:rPr>
        <w:tab/>
      </w:r>
      <w:r>
        <w:rPr>
          <w:color w:val="000000"/>
          <w:shd w:val="clear" w:color="auto" w:fill="FFFFFF"/>
        </w:rPr>
        <w:tab/>
        <w:t>penalty.</w:t>
      </w:r>
    </w:p>
    <w:p w:rsidR="00D2672F" w:rsidRDefault="00D2672F" w:rsidP="00D2672F">
      <w:pPr>
        <w:pStyle w:val="NormalWeb"/>
        <w:spacing w:before="0" w:beforeAutospacing="0" w:after="0" w:afterAutospacing="0" w:line="360" w:lineRule="auto"/>
        <w:ind w:left="1800"/>
        <w:rPr>
          <w:color w:val="000000"/>
          <w:shd w:val="clear" w:color="auto" w:fill="FFFFFF"/>
        </w:rPr>
      </w:pPr>
    </w:p>
    <w:p w:rsidR="008916BD" w:rsidRDefault="008916BD" w:rsidP="008916BD">
      <w:pPr>
        <w:pStyle w:val="NormalWeb"/>
        <w:spacing w:before="0" w:beforeAutospacing="0" w:after="0" w:afterAutospacing="0" w:line="360" w:lineRule="auto"/>
        <w:ind w:left="1440"/>
      </w:pPr>
      <w:r>
        <w:rPr>
          <w:color w:val="000000"/>
          <w:shd w:val="clear" w:color="auto" w:fill="FFFFFF"/>
        </w:rPr>
        <w:t>6.</w:t>
      </w:r>
      <w:r>
        <w:rPr>
          <w:color w:val="000000"/>
          <w:shd w:val="clear" w:color="auto" w:fill="FFFFFF"/>
        </w:rPr>
        <w:tab/>
        <w:t>That Columbia Gas of Pennsylvania, Inc.</w:t>
      </w:r>
      <w:r>
        <w:t xml:space="preserve"> shall be permitted to file a tariff</w:t>
      </w:r>
    </w:p>
    <w:p w:rsidR="008916BD" w:rsidRDefault="008916BD" w:rsidP="008916BD">
      <w:pPr>
        <w:pStyle w:val="NormalWeb"/>
        <w:spacing w:before="0" w:beforeAutospacing="0" w:after="0" w:afterAutospacing="0" w:line="360" w:lineRule="auto"/>
        <w:rPr>
          <w:color w:val="000000"/>
          <w:shd w:val="clear" w:color="auto" w:fill="FFFFFF"/>
        </w:rPr>
      </w:pPr>
      <w:r>
        <w:t>supplement incorporating the modifications, additions and changes contained in these ordering paragraphs to become</w:t>
      </w:r>
      <w:r w:rsidRPr="009C6D70">
        <w:t xml:space="preserve"> effect</w:t>
      </w:r>
      <w:r>
        <w:t>ive</w:t>
      </w:r>
      <w:r w:rsidRPr="009C6D70">
        <w:t xml:space="preserve"> on </w:t>
      </w:r>
      <w:r>
        <w:t>one day’s notice after entry of the Commission’s Order</w:t>
      </w:r>
      <w:r w:rsidRPr="00AD201B">
        <w:rPr>
          <w:color w:val="000000"/>
          <w:shd w:val="clear" w:color="auto" w:fill="FFFFFF"/>
        </w:rPr>
        <w:t xml:space="preserve"> </w:t>
      </w:r>
      <w:r w:rsidR="00D33B55">
        <w:rPr>
          <w:color w:val="000000"/>
          <w:shd w:val="clear" w:color="auto" w:fill="FFFFFF"/>
        </w:rPr>
        <w:t>.</w:t>
      </w:r>
    </w:p>
    <w:p w:rsidR="00D33B55" w:rsidRDefault="00D33B55" w:rsidP="008916BD">
      <w:pPr>
        <w:pStyle w:val="NormalWeb"/>
        <w:spacing w:before="0" w:beforeAutospacing="0" w:after="0" w:afterAutospacing="0" w:line="360" w:lineRule="auto"/>
        <w:rPr>
          <w:color w:val="000000"/>
          <w:shd w:val="clear" w:color="auto" w:fill="FFFFFF"/>
        </w:rPr>
      </w:pPr>
    </w:p>
    <w:p w:rsidR="000F7CE1" w:rsidRDefault="00D33B55" w:rsidP="00D33B55">
      <w:pPr>
        <w:pStyle w:val="NormalWeb"/>
        <w:spacing w:before="0" w:beforeAutospacing="0" w:after="0" w:afterAutospacing="0" w:line="360" w:lineRule="auto"/>
      </w:pPr>
      <w:r>
        <w:rPr>
          <w:color w:val="000000"/>
          <w:shd w:val="clear" w:color="auto" w:fill="FFFFFF"/>
        </w:rPr>
        <w:tab/>
      </w:r>
      <w:r>
        <w:rPr>
          <w:color w:val="000000"/>
          <w:shd w:val="clear" w:color="auto" w:fill="FFFFFF"/>
        </w:rPr>
        <w:tab/>
        <w:t>7.</w:t>
      </w:r>
      <w:r>
        <w:rPr>
          <w:color w:val="000000"/>
          <w:shd w:val="clear" w:color="auto" w:fill="FFFFFF"/>
        </w:rPr>
        <w:tab/>
      </w:r>
      <w:r w:rsidR="000F7CE1" w:rsidRPr="009C6D70">
        <w:t xml:space="preserve">That the following </w:t>
      </w:r>
      <w:r>
        <w:t xml:space="preserve">formal </w:t>
      </w:r>
      <w:r w:rsidR="000F7CE1" w:rsidRPr="009C6D70">
        <w:t xml:space="preserve">complaints consolidated </w:t>
      </w:r>
      <w:r>
        <w:t xml:space="preserve">at Docket No. R-2014-2407345 be granted in part and dismissed in part consistent with this Recommended Decision and the preceding ordering paragraphs: </w:t>
      </w:r>
      <w:r w:rsidR="00733D8C">
        <w:t xml:space="preserve"> </w:t>
      </w:r>
      <w:r w:rsidRPr="00803953">
        <w:t>the Office of Consumer Advocate</w:t>
      </w:r>
      <w:r>
        <w:t xml:space="preserve"> </w:t>
      </w:r>
      <w:r w:rsidR="00733D8C">
        <w:t>a</w:t>
      </w:r>
      <w:r>
        <w:t>t Docket No. C</w:t>
      </w:r>
      <w:r w:rsidR="00733D8C">
        <w:noBreakHyphen/>
      </w:r>
      <w:r>
        <w:t>2014-2410197 and the Office of Small Business Advocate at Docket No. C</w:t>
      </w:r>
      <w:r w:rsidR="00621907">
        <w:noBreakHyphen/>
      </w:r>
      <w:r>
        <w:t xml:space="preserve">2014-2415136.  </w:t>
      </w:r>
    </w:p>
    <w:p w:rsidR="000F7CE1" w:rsidRPr="009C6D70" w:rsidRDefault="000F7CE1" w:rsidP="000F7CE1">
      <w:pPr>
        <w:spacing w:line="360" w:lineRule="auto"/>
      </w:pPr>
    </w:p>
    <w:p w:rsidR="00D33B55" w:rsidRDefault="00D33B55" w:rsidP="00D33B55">
      <w:pPr>
        <w:spacing w:line="360" w:lineRule="auto"/>
        <w:ind w:left="720" w:firstLine="720"/>
      </w:pPr>
      <w:r>
        <w:t>8.</w:t>
      </w:r>
      <w:r>
        <w:tab/>
      </w:r>
      <w:r w:rsidR="000F7CE1" w:rsidRPr="009C6D70">
        <w:t>That the Commission’s investigation at Docket No. R-201</w:t>
      </w:r>
      <w:r>
        <w:t xml:space="preserve">4-2407345 </w:t>
      </w:r>
      <w:r w:rsidR="000F7CE1">
        <w:t>be</w:t>
      </w:r>
    </w:p>
    <w:p w:rsidR="000F7CE1" w:rsidRPr="009C6D70" w:rsidRDefault="000F7CE1" w:rsidP="00D33B55">
      <w:pPr>
        <w:spacing w:line="360" w:lineRule="auto"/>
      </w:pPr>
      <w:r w:rsidRPr="009C6D70">
        <w:t>marked closed.</w:t>
      </w:r>
    </w:p>
    <w:p w:rsidR="007210F1" w:rsidRDefault="007210F1" w:rsidP="003B02F6">
      <w:pPr>
        <w:spacing w:line="360" w:lineRule="auto"/>
        <w:ind w:left="1440"/>
      </w:pPr>
    </w:p>
    <w:p w:rsidR="00621907" w:rsidRDefault="00621907" w:rsidP="003B02F6">
      <w:pPr>
        <w:spacing w:line="360" w:lineRule="auto"/>
        <w:ind w:left="1440"/>
      </w:pPr>
    </w:p>
    <w:p w:rsidR="00621907" w:rsidRDefault="00621907" w:rsidP="003B02F6">
      <w:pPr>
        <w:spacing w:line="360" w:lineRule="auto"/>
        <w:ind w:left="1440"/>
      </w:pPr>
    </w:p>
    <w:p w:rsidR="007D6F98" w:rsidRDefault="00595E5F" w:rsidP="007D6F98">
      <w:r w:rsidRPr="009C6D70">
        <w:t xml:space="preserve">Date:  </w:t>
      </w:r>
      <w:r w:rsidR="003B02F6">
        <w:rPr>
          <w:u w:val="single"/>
        </w:rPr>
        <w:t>A</w:t>
      </w:r>
      <w:r w:rsidR="00D33B55">
        <w:rPr>
          <w:u w:val="single"/>
        </w:rPr>
        <w:t>ugust 22, 2014</w:t>
      </w:r>
      <w:r w:rsidRPr="009C6D70">
        <w:tab/>
      </w:r>
      <w:r w:rsidRPr="009C6D70">
        <w:tab/>
      </w:r>
      <w:r w:rsidRPr="009C6D70">
        <w:tab/>
      </w:r>
      <w:r w:rsidR="003B02F6">
        <w:tab/>
      </w:r>
      <w:r w:rsidR="00621907">
        <w:tab/>
      </w:r>
      <w:r w:rsidR="007D6F98">
        <w:rPr>
          <w:u w:val="single"/>
        </w:rPr>
        <w:tab/>
      </w:r>
      <w:r w:rsidR="007D6F98">
        <w:rPr>
          <w:u w:val="single"/>
        </w:rPr>
        <w:tab/>
        <w:t>/s/</w:t>
      </w:r>
      <w:r w:rsidR="007D6F98">
        <w:rPr>
          <w:u w:val="single"/>
        </w:rPr>
        <w:tab/>
      </w:r>
      <w:r w:rsidR="007D6F98">
        <w:rPr>
          <w:u w:val="single"/>
        </w:rPr>
        <w:tab/>
      </w:r>
      <w:r w:rsidR="007D6F98">
        <w:rPr>
          <w:u w:val="single"/>
        </w:rPr>
        <w:tab/>
      </w:r>
    </w:p>
    <w:p w:rsidR="00595E5F" w:rsidRPr="009C6D70" w:rsidRDefault="00595E5F" w:rsidP="00595E5F">
      <w:r w:rsidRPr="009C6D70">
        <w:tab/>
      </w:r>
      <w:r w:rsidRPr="009C6D70">
        <w:tab/>
      </w:r>
      <w:r w:rsidRPr="009C6D70">
        <w:tab/>
      </w:r>
      <w:r w:rsidRPr="009C6D70">
        <w:tab/>
      </w:r>
      <w:r w:rsidRPr="009C6D70">
        <w:tab/>
      </w:r>
      <w:r w:rsidRPr="009C6D70">
        <w:tab/>
      </w:r>
      <w:r w:rsidRPr="009C6D70">
        <w:tab/>
      </w:r>
      <w:r w:rsidR="00621907">
        <w:tab/>
      </w:r>
      <w:r w:rsidR="00D33B55">
        <w:t>Mark A. Hoyer</w:t>
      </w:r>
    </w:p>
    <w:p w:rsidR="00595E5F" w:rsidRPr="009C6D70" w:rsidRDefault="00595E5F" w:rsidP="00595E5F">
      <w:r w:rsidRPr="009C6D70">
        <w:tab/>
      </w:r>
      <w:r w:rsidRPr="009C6D70">
        <w:tab/>
      </w:r>
      <w:r w:rsidRPr="009C6D70">
        <w:tab/>
      </w:r>
      <w:r w:rsidRPr="009C6D70">
        <w:tab/>
      </w:r>
      <w:r w:rsidRPr="009C6D70">
        <w:tab/>
      </w:r>
      <w:r w:rsidRPr="009C6D70">
        <w:tab/>
      </w:r>
      <w:r w:rsidRPr="009C6D70">
        <w:tab/>
      </w:r>
      <w:r w:rsidR="00621907">
        <w:tab/>
      </w:r>
      <w:r w:rsidRPr="009C6D70">
        <w:t>Administrative Law Judge</w:t>
      </w:r>
    </w:p>
    <w:p w:rsidR="00595E5F" w:rsidRDefault="00595E5F" w:rsidP="00595E5F"/>
    <w:sectPr w:rsidR="00595E5F" w:rsidSect="00DF1678">
      <w:footerReference w:type="default" r:id="rId11"/>
      <w:footerReference w:type="first" r:id="rId12"/>
      <w:pgSz w:w="12240" w:h="15840" w:code="1"/>
      <w:pgMar w:top="1440" w:right="1440" w:bottom="1440" w:left="1440" w:header="144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E68" w:rsidRDefault="00B83E68">
      <w:r>
        <w:separator/>
      </w:r>
    </w:p>
  </w:endnote>
  <w:endnote w:type="continuationSeparator" w:id="0">
    <w:p w:rsidR="00B83E68" w:rsidRDefault="00B8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0B1" w:rsidRDefault="006810B1">
    <w:pPr>
      <w:pStyle w:val="Footer"/>
      <w:jc w:val="center"/>
    </w:pPr>
  </w:p>
  <w:p w:rsidR="006810B1" w:rsidRDefault="006810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0B1" w:rsidRDefault="006810B1">
    <w:pPr>
      <w:pStyle w:val="Footer"/>
      <w:jc w:val="center"/>
    </w:pPr>
  </w:p>
  <w:p w:rsidR="006810B1" w:rsidRPr="00F2188C" w:rsidRDefault="006810B1" w:rsidP="00717DF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593470"/>
      <w:docPartObj>
        <w:docPartGallery w:val="Page Numbers (Bottom of Page)"/>
        <w:docPartUnique/>
      </w:docPartObj>
    </w:sdtPr>
    <w:sdtEndPr>
      <w:rPr>
        <w:noProof/>
        <w:sz w:val="20"/>
        <w:szCs w:val="20"/>
      </w:rPr>
    </w:sdtEndPr>
    <w:sdtContent>
      <w:p w:rsidR="006810B1" w:rsidRPr="005B4769" w:rsidRDefault="006810B1">
        <w:pPr>
          <w:pStyle w:val="Footer"/>
          <w:jc w:val="center"/>
          <w:rPr>
            <w:sz w:val="20"/>
            <w:szCs w:val="20"/>
          </w:rPr>
        </w:pPr>
        <w:r w:rsidRPr="005B4769">
          <w:rPr>
            <w:sz w:val="20"/>
            <w:szCs w:val="20"/>
          </w:rPr>
          <w:fldChar w:fldCharType="begin"/>
        </w:r>
        <w:r w:rsidRPr="005B4769">
          <w:rPr>
            <w:sz w:val="20"/>
            <w:szCs w:val="20"/>
          </w:rPr>
          <w:instrText xml:space="preserve"> PAGE   \* MERGEFORMAT </w:instrText>
        </w:r>
        <w:r w:rsidRPr="005B4769">
          <w:rPr>
            <w:sz w:val="20"/>
            <w:szCs w:val="20"/>
          </w:rPr>
          <w:fldChar w:fldCharType="separate"/>
        </w:r>
        <w:r w:rsidR="00CE4402">
          <w:rPr>
            <w:noProof/>
            <w:sz w:val="20"/>
            <w:szCs w:val="20"/>
          </w:rPr>
          <w:t>84</w:t>
        </w:r>
        <w:r w:rsidRPr="005B4769">
          <w:rPr>
            <w:noProof/>
            <w:sz w:val="20"/>
            <w:szCs w:val="20"/>
          </w:rPr>
          <w:fldChar w:fldCharType="end"/>
        </w:r>
      </w:p>
    </w:sdtContent>
  </w:sdt>
  <w:p w:rsidR="006810B1" w:rsidRDefault="006810B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0B1" w:rsidRDefault="006810B1">
    <w:pPr>
      <w:pStyle w:val="Footer"/>
      <w:jc w:val="center"/>
    </w:pPr>
  </w:p>
  <w:p w:rsidR="006810B1" w:rsidRPr="00F2188C" w:rsidRDefault="006810B1" w:rsidP="00717DF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E68" w:rsidRDefault="00B83E68">
      <w:r>
        <w:separator/>
      </w:r>
    </w:p>
  </w:footnote>
  <w:footnote w:type="continuationSeparator" w:id="0">
    <w:p w:rsidR="00B83E68" w:rsidRDefault="00B83E68">
      <w:r>
        <w:continuationSeparator/>
      </w:r>
    </w:p>
  </w:footnote>
  <w:footnote w:id="1">
    <w:p w:rsidR="006810B1" w:rsidRDefault="006810B1" w:rsidP="00B27E89">
      <w:pPr>
        <w:pStyle w:val="FootnoteText"/>
      </w:pPr>
      <w:r>
        <w:rPr>
          <w:rStyle w:val="FootnoteReference"/>
        </w:rPr>
        <w:footnoteRef/>
      </w:r>
      <w:r>
        <w:t xml:space="preserve"> </w:t>
      </w:r>
      <w:r w:rsidRPr="004051A3">
        <w:t xml:space="preserve">Members of the CII include the following: </w:t>
      </w:r>
      <w:r>
        <w:t xml:space="preserve"> </w:t>
      </w:r>
      <w:r w:rsidRPr="004051A3">
        <w:t>Glen-</w:t>
      </w:r>
      <w:proofErr w:type="spellStart"/>
      <w:r w:rsidRPr="004051A3">
        <w:t>Gery</w:t>
      </w:r>
      <w:proofErr w:type="spellEnd"/>
      <w:r w:rsidRPr="004051A3">
        <w:t xml:space="preserve"> Corporation</w:t>
      </w:r>
      <w:r>
        <w:t xml:space="preserve">, Harley-Davidson Motor Company, Inc. </w:t>
      </w:r>
      <w:r w:rsidRPr="004051A3">
        <w:t xml:space="preserve">and </w:t>
      </w:r>
      <w:proofErr w:type="spellStart"/>
      <w:r w:rsidRPr="004051A3">
        <w:t>Knouse</w:t>
      </w:r>
      <w:proofErr w:type="spellEnd"/>
      <w:r w:rsidRPr="004051A3">
        <w:t xml:space="preserve"> Foods Cooperative, Inc.</w:t>
      </w:r>
    </w:p>
  </w:footnote>
  <w:footnote w:id="2">
    <w:p w:rsidR="006810B1" w:rsidRDefault="006810B1" w:rsidP="00260910">
      <w:pPr>
        <w:pStyle w:val="FootnoteText"/>
      </w:pPr>
      <w:r>
        <w:rPr>
          <w:rStyle w:val="FootnoteReference"/>
        </w:rPr>
        <w:footnoteRef/>
      </w:r>
      <w:r>
        <w:t xml:space="preserve"> In the case of a project involving multiple residences, the amount of the uneconomic portion that can be recovered through Pilot Rider NAS will increase, as the $35.00 per month cap will apply to each applicant.</w:t>
      </w:r>
    </w:p>
    <w:p w:rsidR="006810B1" w:rsidRDefault="006810B1" w:rsidP="00260910">
      <w:pPr>
        <w:pStyle w:val="FootnoteText"/>
      </w:pPr>
    </w:p>
  </w:footnote>
  <w:footnote w:id="3">
    <w:p w:rsidR="006810B1" w:rsidRDefault="006810B1" w:rsidP="00260910">
      <w:pPr>
        <w:pStyle w:val="FootnoteText"/>
      </w:pPr>
      <w:r>
        <w:rPr>
          <w:rStyle w:val="FootnoteReference"/>
        </w:rPr>
        <w:footnoteRef/>
      </w:r>
      <w:r>
        <w:t xml:space="preserve"> In the event a commercial or industrial customer connects to the Pilot Rider NAS line extension, they would not be eligible for the Pilot Rider NAS surcharge.  </w:t>
      </w:r>
      <w:proofErr w:type="gramStart"/>
      <w:r>
        <w:t>(Columbia Statement No. 1, p. 4).</w:t>
      </w:r>
      <w:proofErr w:type="gramEnd"/>
      <w:r>
        <w:t xml:space="preserve">  However, the Pilot Rider NAS customers associated with that project would receive a credit against their Pilot Rider NAS balance for new revenues.  </w:t>
      </w:r>
      <w:proofErr w:type="gramStart"/>
      <w:r>
        <w:t>(Columbia Statement No. 1, pp. 4, 8).</w:t>
      </w:r>
      <w:proofErr w:type="gramEnd"/>
    </w:p>
  </w:footnote>
  <w:footnote w:id="4">
    <w:p w:rsidR="006810B1" w:rsidRPr="00847F69" w:rsidRDefault="006810B1" w:rsidP="00847F69">
      <w:pPr>
        <w:rPr>
          <w:sz w:val="20"/>
          <w:szCs w:val="20"/>
        </w:rPr>
      </w:pPr>
      <w:r w:rsidRPr="00847F69">
        <w:rPr>
          <w:rStyle w:val="FootnoteReference"/>
          <w:sz w:val="20"/>
          <w:szCs w:val="20"/>
        </w:rPr>
        <w:footnoteRef/>
      </w:r>
      <w:r w:rsidRPr="00847F69">
        <w:rPr>
          <w:sz w:val="20"/>
          <w:szCs w:val="20"/>
        </w:rPr>
        <w:t xml:space="preserve"> Columbia currently has a base rate proceeding requesting a rate increase before the Commission at Docket No. </w:t>
      </w:r>
      <w:proofErr w:type="gramStart"/>
      <w:r w:rsidRPr="00847F69">
        <w:rPr>
          <w:sz w:val="20"/>
          <w:szCs w:val="20"/>
        </w:rPr>
        <w:t>R</w:t>
      </w:r>
      <w:r>
        <w:rPr>
          <w:sz w:val="20"/>
          <w:szCs w:val="20"/>
        </w:rPr>
        <w:noBreakHyphen/>
      </w:r>
      <w:r w:rsidRPr="00847F69">
        <w:rPr>
          <w:sz w:val="20"/>
          <w:szCs w:val="20"/>
        </w:rPr>
        <w:t>2014-2406274.</w:t>
      </w:r>
      <w:proofErr w:type="gramEnd"/>
      <w:r w:rsidRPr="00847F69">
        <w:rPr>
          <w:sz w:val="20"/>
          <w:szCs w:val="20"/>
        </w:rPr>
        <w:t xml:space="preserve">  </w:t>
      </w:r>
      <w:r>
        <w:rPr>
          <w:sz w:val="20"/>
          <w:szCs w:val="20"/>
        </w:rPr>
        <w:t xml:space="preserve">I am the presiding officer in that case as well.  </w:t>
      </w:r>
      <w:r w:rsidRPr="00847F69">
        <w:rPr>
          <w:sz w:val="20"/>
          <w:szCs w:val="20"/>
        </w:rPr>
        <w:t>On April 23, 2014, the Commission issued an Order suspending Columbia’s Supplement No. 211 until December 20, 2014, unless otherwise directed by Order of the Commission.</w:t>
      </w:r>
      <w:r>
        <w:rPr>
          <w:sz w:val="20"/>
          <w:szCs w:val="20"/>
        </w:rPr>
        <w:t xml:space="preserve">  A hearing was held on August 4, 2014.  Columbia advised me on August 6, 2014 that a settlement has been achieved and that the settlement parties intend to file a joint petition for settlement by September 5, 2014.</w:t>
      </w:r>
      <w:r w:rsidRPr="00847F69">
        <w:rPr>
          <w:sz w:val="20"/>
          <w:szCs w:val="20"/>
        </w:rPr>
        <w:t xml:space="preserve">  </w:t>
      </w:r>
    </w:p>
    <w:p w:rsidR="006810B1" w:rsidRDefault="006810B1">
      <w:pPr>
        <w:pStyle w:val="FootnoteText"/>
      </w:pPr>
    </w:p>
  </w:footnote>
  <w:footnote w:id="5">
    <w:p w:rsidR="006810B1" w:rsidRDefault="006810B1" w:rsidP="00260910">
      <w:pPr>
        <w:pStyle w:val="FootnoteText"/>
      </w:pPr>
      <w:r>
        <w:rPr>
          <w:rStyle w:val="FootnoteReference"/>
        </w:rPr>
        <w:footnoteRef/>
      </w:r>
      <w:r>
        <w:t xml:space="preserve"> The only reason for an unpaid balance would be nonpayment during the 20-</w:t>
      </w:r>
      <w:r w:rsidRPr="003D0DD4">
        <w:t xml:space="preserve">year term, such as if the meter were inactive for a period of time or the customer defaults on the payments.  </w:t>
      </w:r>
      <w:proofErr w:type="gramStart"/>
      <w:r w:rsidRPr="003D0DD4">
        <w:t>(Columbia Statement No. 1, p. 9).</w:t>
      </w:r>
      <w:proofErr w:type="gramEnd"/>
    </w:p>
    <w:p w:rsidR="006810B1" w:rsidRDefault="006810B1" w:rsidP="00260910">
      <w:pPr>
        <w:pStyle w:val="FootnoteText"/>
      </w:pPr>
    </w:p>
  </w:footnote>
  <w:footnote w:id="6">
    <w:p w:rsidR="006810B1" w:rsidRDefault="006810B1" w:rsidP="00F86CAD">
      <w:pPr>
        <w:pStyle w:val="FootnoteText"/>
      </w:pPr>
      <w:r>
        <w:rPr>
          <w:rStyle w:val="FootnoteReference"/>
        </w:rPr>
        <w:footnoteRef/>
      </w:r>
      <w:r>
        <w:t xml:space="preserve"> Columbia witness Erich A. Evans has explained what would happen if a project is a combination of residential and commercial buildings.  </w:t>
      </w:r>
      <w:proofErr w:type="gramStart"/>
      <w:r>
        <w:t>(Columbia Statement No. 1, p. 4).</w:t>
      </w:r>
      <w:proofErr w:type="gramEnd"/>
      <w:r>
        <w:t xml:space="preserve">  Specifically, “The commercial buildings would be excluded.  In this situation, if a deposit is due for the project the deposit would be split between the residential homes and the commercial buildings.  The residential homes would be able to use Pilot Rider NAS, and the commercial buildings would need to pay their share of the deposit up front.”  </w:t>
      </w:r>
      <w:proofErr w:type="gramStart"/>
      <w:r>
        <w:t>(Columbia Statement No. 1, p. 4).</w:t>
      </w:r>
      <w:proofErr w:type="gramEnd"/>
    </w:p>
  </w:footnote>
  <w:footnote w:id="7">
    <w:p w:rsidR="006810B1" w:rsidRDefault="006810B1">
      <w:pPr>
        <w:pStyle w:val="FootnoteText"/>
      </w:pPr>
      <w:r>
        <w:rPr>
          <w:rStyle w:val="FootnoteReference"/>
        </w:rPr>
        <w:footnoteRef/>
      </w:r>
      <w:r>
        <w:t xml:space="preserve"> According to Columbia’s Pilot Rider NAS, the surcharge will include “interest equal to the fixed cost of capital as approved in the Company’s most recent rate case at the time the meter is set.”  </w:t>
      </w:r>
      <w:r w:rsidRPr="00D67F59">
        <w:rPr>
          <w:i/>
        </w:rPr>
        <w:t>See</w:t>
      </w:r>
      <w:r>
        <w:t xml:space="preserve"> Columbia Exh. </w:t>
      </w:r>
      <w:proofErr w:type="gramStart"/>
      <w:r>
        <w:t>EAE-4 at Third Rev. Pg. No. 175.</w:t>
      </w:r>
      <w:proofErr w:type="gramEnd"/>
      <w:r>
        <w:t xml:space="preserve">  Columbia proposes that this interest will serve as a credit to the cost of service to compensate all other customers for the carrying costs of financing the CIAC over twenty years.  </w:t>
      </w:r>
      <w:proofErr w:type="gramStart"/>
      <w:r>
        <w:t>(Columbia Statement No. 1, pp. 5</w:t>
      </w:r>
      <w:r>
        <w:noBreakHyphen/>
        <w:t>6); OCA M.B., 13.</w:t>
      </w:r>
      <w:proofErr w:type="gramEnd"/>
      <w:r>
        <w:t xml:space="preserve">  </w:t>
      </w:r>
    </w:p>
  </w:footnote>
  <w:footnote w:id="8">
    <w:p w:rsidR="006810B1" w:rsidRDefault="006810B1">
      <w:pPr>
        <w:pStyle w:val="FootnoteText"/>
      </w:pPr>
      <w:r>
        <w:rPr>
          <w:rStyle w:val="FootnoteReference"/>
        </w:rPr>
        <w:footnoteRef/>
      </w:r>
      <w:r>
        <w:t xml:space="preserve"> According to the OCA, applicants will be able to finance no more than $4,184 over twenty years through the Pilot Rider NAS, and therefore, only relatively small extension projects would qualify for the pilot program.  OCA M.B., p. 14.  </w:t>
      </w:r>
    </w:p>
  </w:footnote>
  <w:footnote w:id="9">
    <w:p w:rsidR="006810B1" w:rsidRDefault="006810B1">
      <w:pPr>
        <w:pStyle w:val="FootnoteText"/>
      </w:pPr>
      <w:r>
        <w:rPr>
          <w:rStyle w:val="FootnoteReference"/>
        </w:rPr>
        <w:footnoteRef/>
      </w:r>
      <w:r>
        <w:t xml:space="preserve"> The OCA’s proposed modifications to the DCF economic model include the use of the cost of debt, as discussed here, as well as removing the costs of service lines, meters and regulating equipment from the model.   </w:t>
      </w:r>
    </w:p>
  </w:footnote>
  <w:footnote w:id="10">
    <w:p w:rsidR="006810B1" w:rsidRPr="00836A9F" w:rsidRDefault="006810B1" w:rsidP="00BF3003">
      <w:pPr>
        <w:pStyle w:val="FootnoteText"/>
      </w:pPr>
      <w:r>
        <w:rPr>
          <w:rStyle w:val="FootnoteReference"/>
        </w:rPr>
        <w:footnoteRef/>
      </w:r>
      <w:r>
        <w:t xml:space="preserve"> </w:t>
      </w:r>
      <w:r w:rsidRPr="00836A9F">
        <w:t xml:space="preserve">In its Reply Brief, Columbia argues the OCA’s proposal that Columbia contact every structure owner with a mailing or delivery address along the potential Pilot Rider NAS extension to determine whether each owner will connect to the new line extension, and then “follow-up” with those structure owners if they do not accept service should be rejected.  Columbia notes that </w:t>
      </w:r>
      <w:r>
        <w:t>i</w:t>
      </w:r>
      <w:r w:rsidRPr="00836A9F">
        <w:t>t was not proposed in OCA’s testimony or at hearing.  Waiting until its Main Brief to propose such a requirement is improper</w:t>
      </w:r>
      <w:r>
        <w:t xml:space="preserve">, according to Columbia.  </w:t>
      </w:r>
      <w:proofErr w:type="gramStart"/>
      <w:r>
        <w:rPr>
          <w:i/>
        </w:rPr>
        <w:t>See, e.g.</w:t>
      </w:r>
      <w:r>
        <w:t xml:space="preserve">, </w:t>
      </w:r>
      <w:r>
        <w:rPr>
          <w:i/>
        </w:rPr>
        <w:t>Pa. Pub.</w:t>
      </w:r>
      <w:proofErr w:type="gramEnd"/>
      <w:r>
        <w:rPr>
          <w:i/>
        </w:rPr>
        <w:t xml:space="preserve"> </w:t>
      </w:r>
      <w:proofErr w:type="gramStart"/>
      <w:r>
        <w:rPr>
          <w:i/>
        </w:rPr>
        <w:t>Util. Comm’n v. Pa. Power and Light Co.</w:t>
      </w:r>
      <w:r>
        <w:t>, Docket Nos.</w:t>
      </w:r>
      <w:proofErr w:type="gramEnd"/>
      <w:r>
        <w:t xml:space="preserve"> R-822169, </w:t>
      </w:r>
      <w:r>
        <w:rPr>
          <w:i/>
        </w:rPr>
        <w:t>et al.</w:t>
      </w:r>
      <w:r>
        <w:t xml:space="preserve">, 55 P.U.R. 4th 185, 57 Pa. PUC 559, 596-97 (Order Entered Aug. 19, 1983) (“Merits aside, it is highly inappropriate for a party to propose a completely new adjustment for the first time in its brief . . . Trial staff made no attempt to develop this issue during the course of this case, nor did they present testimony in support of such an adjustment.”); </w:t>
      </w:r>
      <w:r>
        <w:rPr>
          <w:i/>
        </w:rPr>
        <w:t>Enron Capital &amp; Trade Res. Corp. v. Peoples Natural Gas Co.</w:t>
      </w:r>
      <w:r>
        <w:t xml:space="preserve">, Docket No. R-00973928C0001, 1997 Pa. PUC LEXIS 178, at *10-11 (Nov. 13, 1997) (Recommended Decision) (“Enron cannot be permitted to introduce an argument at the briefing stage which it did not introduce in the evidentiary phase of this proceeding . . . Imposing [the alternative proposal] without the other parties having notice and an opportunity to be heard would violate their due process rights.”), </w:t>
      </w:r>
      <w:r>
        <w:rPr>
          <w:i/>
        </w:rPr>
        <w:t>affirmed</w:t>
      </w:r>
      <w:r>
        <w:t xml:space="preserve">, 1998 Pa. PUC LEXIS 199 (Order Entered Aug. 24, 1998).  Columbia argues the </w:t>
      </w:r>
      <w:r w:rsidRPr="00836A9F">
        <w:t xml:space="preserve">OCA deprived </w:t>
      </w:r>
      <w:r>
        <w:t>the Company</w:t>
      </w:r>
      <w:r w:rsidRPr="00836A9F">
        <w:t xml:space="preserve"> of the opportunity to develop testimony and to cross-examine OCA’s witness on this proposal.  Moreover, OCA fails to detail what costs would be involved with contacting all of these customers or whether contacts would be in-person, by repeated mailing, or by telephone calls.  If the latter, OCA does not discuss whether this proposal violates “Do-Not-Call.”  </w:t>
      </w:r>
      <w:r w:rsidRPr="00836A9F">
        <w:rPr>
          <w:i/>
        </w:rPr>
        <w:t xml:space="preserve">See </w:t>
      </w:r>
      <w:r w:rsidRPr="00836A9F">
        <w:t>73 P.S. § 2245.2.</w:t>
      </w:r>
      <w:r>
        <w:t xml:space="preserve">  Columbia R.B., pp. 15-16.</w:t>
      </w:r>
    </w:p>
    <w:p w:rsidR="006810B1" w:rsidRDefault="006810B1">
      <w:pPr>
        <w:pStyle w:val="FootnoteText"/>
      </w:pPr>
      <w:r>
        <w:t xml:space="preserve"> </w:t>
      </w:r>
    </w:p>
  </w:footnote>
  <w:footnote w:id="11">
    <w:p w:rsidR="006810B1" w:rsidRDefault="006810B1">
      <w:pPr>
        <w:pStyle w:val="FootnoteText"/>
      </w:pPr>
      <w:r>
        <w:rPr>
          <w:rStyle w:val="FootnoteReference"/>
        </w:rPr>
        <w:footnoteRef/>
      </w:r>
      <w:r>
        <w:t xml:space="preserve"> Columbia objects to this suggested modification as well because, </w:t>
      </w:r>
      <w:r>
        <w:rPr>
          <w:i/>
        </w:rPr>
        <w:t>inter alia</w:t>
      </w:r>
      <w:r>
        <w:t xml:space="preserve">, it was first proposed in the OCA’s Main Brief.  Columbia R.B., p. 16.  </w:t>
      </w:r>
    </w:p>
  </w:footnote>
  <w:footnote w:id="12">
    <w:p w:rsidR="006810B1" w:rsidRDefault="006810B1" w:rsidP="002A3A37">
      <w:pPr>
        <w:pStyle w:val="FootnoteText"/>
      </w:pPr>
      <w:r>
        <w:rPr>
          <w:rStyle w:val="FootnoteReference"/>
        </w:rPr>
        <w:footnoteRef/>
      </w:r>
      <w:r>
        <w:t xml:space="preserve"> Referenced interrogatory responses are attached to OSBA Statement No. 1, as Exhibit IEc-2.</w:t>
      </w:r>
    </w:p>
  </w:footnote>
  <w:footnote w:id="13">
    <w:p w:rsidR="006810B1" w:rsidRDefault="006810B1" w:rsidP="00F5151C">
      <w:pPr>
        <w:pStyle w:val="FootnoteText"/>
      </w:pPr>
      <w:r>
        <w:rPr>
          <w:rStyle w:val="FootnoteReference"/>
        </w:rPr>
        <w:footnoteRef/>
      </w:r>
      <w:r>
        <w:t xml:space="preserve">  The OSBA points out that, in comparing the interest rate charged by Columbia under Pilot Rider NAS with home mortgage or home equity loans, it is important to recognize that Pilot Rider NAS is not secured by the property, and is in fact not even secured by the threat of cutting off service.  As such, Columbia would face higher lending risk than a bank, and the customer would face much lower risks associated with non-payment.</w:t>
      </w:r>
    </w:p>
    <w:p w:rsidR="006810B1" w:rsidRDefault="006810B1" w:rsidP="00F5151C">
      <w:pPr>
        <w:pStyle w:val="FootnoteText"/>
      </w:pPr>
    </w:p>
  </w:footnote>
  <w:footnote w:id="14">
    <w:p w:rsidR="006810B1" w:rsidRDefault="006810B1" w:rsidP="006A1024">
      <w:pPr>
        <w:pStyle w:val="FootnoteText"/>
      </w:pPr>
      <w:r>
        <w:rPr>
          <w:rStyle w:val="FootnoteReference"/>
        </w:rPr>
        <w:footnoteRef/>
      </w:r>
      <w:r>
        <w:t xml:space="preserve"> As OSBA witness Robert D. </w:t>
      </w:r>
      <w:proofErr w:type="spellStart"/>
      <w:r>
        <w:t>Knecht</w:t>
      </w:r>
      <w:proofErr w:type="spellEnd"/>
      <w:r>
        <w:t xml:space="preserve"> explained in his Direct Testimony, the Company uses a NPV or DCF model to compare the present value of expected rate revenues from a new customer with the capital cost associated with attaching a new customer.  OSBA Statement No. 1, pp. 3-5. </w:t>
      </w:r>
    </w:p>
    <w:p w:rsidR="006810B1" w:rsidRDefault="006810B1" w:rsidP="006A1024">
      <w:pPr>
        <w:pStyle w:val="FootnoteText"/>
      </w:pPr>
    </w:p>
  </w:footnote>
  <w:footnote w:id="15">
    <w:p w:rsidR="006810B1" w:rsidRDefault="006810B1" w:rsidP="00892F73">
      <w:pPr>
        <w:pStyle w:val="FootnoteText"/>
      </w:pPr>
      <w:r>
        <w:rPr>
          <w:rStyle w:val="FootnoteReference"/>
        </w:rPr>
        <w:footnoteRef/>
      </w:r>
      <w:r>
        <w:t xml:space="preserve"> OSBA Statement No. 2, p. 3.</w:t>
      </w:r>
    </w:p>
    <w:p w:rsidR="006810B1" w:rsidRDefault="006810B1" w:rsidP="00892F73">
      <w:pPr>
        <w:pStyle w:val="FootnoteText"/>
      </w:pPr>
    </w:p>
  </w:footnote>
  <w:footnote w:id="16">
    <w:p w:rsidR="006810B1" w:rsidRPr="00A47CBD" w:rsidRDefault="006810B1" w:rsidP="00A47CBD">
      <w:pPr>
        <w:tabs>
          <w:tab w:val="left" w:pos="-1440"/>
          <w:tab w:val="left" w:pos="-720"/>
          <w:tab w:val="left" w:pos="1051"/>
          <w:tab w:val="left" w:pos="1752"/>
        </w:tabs>
        <w:suppressAutoHyphens/>
        <w:outlineLvl w:val="0"/>
        <w:rPr>
          <w:snapToGrid w:val="0"/>
          <w:sz w:val="20"/>
          <w:szCs w:val="20"/>
        </w:rPr>
      </w:pPr>
      <w:r w:rsidRPr="00A47CBD">
        <w:rPr>
          <w:rStyle w:val="FootnoteReference"/>
          <w:sz w:val="20"/>
          <w:szCs w:val="20"/>
        </w:rPr>
        <w:footnoteRef/>
      </w:r>
      <w:r w:rsidRPr="00A47CBD">
        <w:rPr>
          <w:sz w:val="20"/>
          <w:szCs w:val="20"/>
        </w:rPr>
        <w:t xml:space="preserve"> </w:t>
      </w:r>
      <w:r>
        <w:rPr>
          <w:sz w:val="20"/>
          <w:szCs w:val="20"/>
        </w:rPr>
        <w:t>The OSBA contends that, w</w:t>
      </w:r>
      <w:r w:rsidRPr="00A47CBD">
        <w:rPr>
          <w:snapToGrid w:val="0"/>
          <w:sz w:val="20"/>
          <w:szCs w:val="20"/>
        </w:rPr>
        <w:t xml:space="preserve">hile it is theoretically possible that the issues related to inter-class cross-subsidization can be addressed in a base rate proceeding, they can only be so addressed if the Company (a) is capable of tracking the information needed, and (b) is either willing or required to track the information needed to do so.  </w:t>
      </w:r>
    </w:p>
    <w:p w:rsidR="006810B1" w:rsidRPr="00A47CBD" w:rsidRDefault="006810B1" w:rsidP="00A47CBD">
      <w:pPr>
        <w:tabs>
          <w:tab w:val="left" w:pos="-1440"/>
          <w:tab w:val="left" w:pos="-720"/>
          <w:tab w:val="left" w:pos="1051"/>
          <w:tab w:val="left" w:pos="1752"/>
        </w:tabs>
        <w:suppressAutoHyphens/>
        <w:outlineLvl w:val="0"/>
        <w:rPr>
          <w:snapToGrid w:val="0"/>
          <w:sz w:val="20"/>
          <w:szCs w:val="20"/>
        </w:rPr>
      </w:pPr>
      <w:r w:rsidRPr="00A47CBD">
        <w:rPr>
          <w:snapToGrid w:val="0"/>
          <w:sz w:val="20"/>
          <w:szCs w:val="20"/>
        </w:rPr>
        <w:t xml:space="preserve">The OSBA’s witness, Mr. </w:t>
      </w:r>
      <w:proofErr w:type="spellStart"/>
      <w:r w:rsidRPr="00A47CBD">
        <w:rPr>
          <w:snapToGrid w:val="0"/>
          <w:sz w:val="20"/>
          <w:szCs w:val="20"/>
        </w:rPr>
        <w:t>Knecht</w:t>
      </w:r>
      <w:proofErr w:type="spellEnd"/>
      <w:r w:rsidRPr="00A47CBD">
        <w:rPr>
          <w:snapToGrid w:val="0"/>
          <w:sz w:val="20"/>
          <w:szCs w:val="20"/>
        </w:rPr>
        <w:t>, proposed a list of tracking requirements, based upon Mr. Watkins</w:t>
      </w:r>
      <w:r>
        <w:rPr>
          <w:snapToGrid w:val="0"/>
          <w:sz w:val="20"/>
          <w:szCs w:val="20"/>
        </w:rPr>
        <w:t>’</w:t>
      </w:r>
      <w:r w:rsidRPr="00A47CBD">
        <w:rPr>
          <w:snapToGrid w:val="0"/>
          <w:sz w:val="20"/>
          <w:szCs w:val="20"/>
        </w:rPr>
        <w:t xml:space="preserve"> model, which included:</w:t>
      </w:r>
    </w:p>
    <w:p w:rsidR="006810B1" w:rsidRPr="00A47CBD" w:rsidRDefault="006810B1" w:rsidP="00315572">
      <w:pPr>
        <w:numPr>
          <w:ilvl w:val="0"/>
          <w:numId w:val="22"/>
        </w:numPr>
        <w:tabs>
          <w:tab w:val="left" w:pos="-1440"/>
          <w:tab w:val="left" w:pos="-720"/>
          <w:tab w:val="left" w:pos="1051"/>
          <w:tab w:val="left" w:pos="1752"/>
        </w:tabs>
        <w:suppressAutoHyphens/>
        <w:ind w:left="1440"/>
        <w:rPr>
          <w:snapToGrid w:val="0"/>
          <w:sz w:val="20"/>
          <w:szCs w:val="20"/>
        </w:rPr>
      </w:pPr>
      <w:r w:rsidRPr="00A47CBD">
        <w:rPr>
          <w:snapToGrid w:val="0"/>
          <w:sz w:val="20"/>
          <w:szCs w:val="20"/>
        </w:rPr>
        <w:t>Investment per project by rate class, including the economic model results and surcharge calculation details;</w:t>
      </w:r>
    </w:p>
    <w:p w:rsidR="006810B1" w:rsidRPr="00A47CBD" w:rsidRDefault="006810B1" w:rsidP="00315572">
      <w:pPr>
        <w:numPr>
          <w:ilvl w:val="0"/>
          <w:numId w:val="22"/>
        </w:numPr>
        <w:tabs>
          <w:tab w:val="left" w:pos="-1440"/>
          <w:tab w:val="left" w:pos="-720"/>
          <w:tab w:val="left" w:pos="1051"/>
          <w:tab w:val="left" w:pos="1752"/>
        </w:tabs>
        <w:suppressAutoHyphens/>
        <w:ind w:left="1440"/>
        <w:rPr>
          <w:snapToGrid w:val="0"/>
          <w:sz w:val="20"/>
          <w:szCs w:val="20"/>
        </w:rPr>
      </w:pPr>
      <w:r w:rsidRPr="00A47CBD">
        <w:rPr>
          <w:snapToGrid w:val="0"/>
          <w:sz w:val="20"/>
          <w:szCs w:val="20"/>
        </w:rPr>
        <w:t>Total distance and cost of NAS project mains and service lines installed, by pipe diameter;</w:t>
      </w:r>
    </w:p>
    <w:p w:rsidR="006810B1" w:rsidRPr="00A47CBD" w:rsidRDefault="006810B1" w:rsidP="00315572">
      <w:pPr>
        <w:numPr>
          <w:ilvl w:val="0"/>
          <w:numId w:val="22"/>
        </w:numPr>
        <w:tabs>
          <w:tab w:val="left" w:pos="-1440"/>
          <w:tab w:val="left" w:pos="-720"/>
          <w:tab w:val="left" w:pos="1051"/>
          <w:tab w:val="left" w:pos="1752"/>
        </w:tabs>
        <w:suppressAutoHyphens/>
        <w:ind w:left="1440"/>
        <w:rPr>
          <w:snapToGrid w:val="0"/>
          <w:sz w:val="20"/>
          <w:szCs w:val="20"/>
        </w:rPr>
      </w:pPr>
      <w:r w:rsidRPr="00A47CBD">
        <w:rPr>
          <w:snapToGrid w:val="0"/>
          <w:sz w:val="20"/>
          <w:szCs w:val="20"/>
        </w:rPr>
        <w:t>Number of customers originally and subsequently connected, by rate class;</w:t>
      </w:r>
    </w:p>
    <w:p w:rsidR="006810B1" w:rsidRPr="00A47CBD" w:rsidRDefault="006810B1" w:rsidP="00315572">
      <w:pPr>
        <w:numPr>
          <w:ilvl w:val="0"/>
          <w:numId w:val="22"/>
        </w:numPr>
        <w:tabs>
          <w:tab w:val="left" w:pos="-1440"/>
          <w:tab w:val="left" w:pos="-720"/>
          <w:tab w:val="left" w:pos="1051"/>
          <w:tab w:val="left" w:pos="1752"/>
        </w:tabs>
        <w:suppressAutoHyphens/>
        <w:ind w:left="1440"/>
        <w:rPr>
          <w:snapToGrid w:val="0"/>
          <w:sz w:val="20"/>
          <w:szCs w:val="20"/>
        </w:rPr>
      </w:pPr>
      <w:r w:rsidRPr="00A47CBD">
        <w:rPr>
          <w:snapToGrid w:val="0"/>
          <w:sz w:val="20"/>
          <w:szCs w:val="20"/>
        </w:rPr>
        <w:t>Annual load by rate class, segregated between customers initially and subsequently connected;</w:t>
      </w:r>
    </w:p>
    <w:p w:rsidR="006810B1" w:rsidRPr="00A47CBD" w:rsidRDefault="006810B1" w:rsidP="00315572">
      <w:pPr>
        <w:numPr>
          <w:ilvl w:val="0"/>
          <w:numId w:val="22"/>
        </w:numPr>
        <w:tabs>
          <w:tab w:val="left" w:pos="-1440"/>
          <w:tab w:val="left" w:pos="-720"/>
          <w:tab w:val="left" w:pos="1051"/>
          <w:tab w:val="left" w:pos="1752"/>
        </w:tabs>
        <w:suppressAutoHyphens/>
        <w:ind w:left="1440"/>
        <w:rPr>
          <w:snapToGrid w:val="0"/>
          <w:sz w:val="20"/>
          <w:szCs w:val="20"/>
        </w:rPr>
      </w:pPr>
      <w:r w:rsidRPr="00A47CBD">
        <w:rPr>
          <w:snapToGrid w:val="0"/>
          <w:sz w:val="20"/>
          <w:szCs w:val="20"/>
        </w:rPr>
        <w:t>Base rate and Rider NAS revenues received by NAS project by rate class, with Rider NAS revenues segregated between “principal” and “interest;”</w:t>
      </w:r>
    </w:p>
    <w:p w:rsidR="006810B1" w:rsidRPr="00A47CBD" w:rsidRDefault="006810B1" w:rsidP="00315572">
      <w:pPr>
        <w:numPr>
          <w:ilvl w:val="0"/>
          <w:numId w:val="22"/>
        </w:numPr>
        <w:tabs>
          <w:tab w:val="left" w:pos="-1440"/>
          <w:tab w:val="left" w:pos="-720"/>
          <w:tab w:val="left" w:pos="1051"/>
          <w:tab w:val="left" w:pos="1752"/>
        </w:tabs>
        <w:suppressAutoHyphens/>
        <w:ind w:left="1440"/>
        <w:rPr>
          <w:snapToGrid w:val="0"/>
          <w:sz w:val="20"/>
          <w:szCs w:val="20"/>
        </w:rPr>
      </w:pPr>
      <w:r w:rsidRPr="00A47CBD">
        <w:rPr>
          <w:snapToGrid w:val="0"/>
          <w:sz w:val="20"/>
          <w:szCs w:val="20"/>
        </w:rPr>
        <w:t>Number of customers along NAS extensions who have not yet connected, by rate class, and, to the extent available, an explanation for non-conversion;</w:t>
      </w:r>
    </w:p>
    <w:p w:rsidR="006810B1" w:rsidRPr="00A47CBD" w:rsidRDefault="006810B1" w:rsidP="00315572">
      <w:pPr>
        <w:numPr>
          <w:ilvl w:val="0"/>
          <w:numId w:val="22"/>
        </w:numPr>
        <w:tabs>
          <w:tab w:val="left" w:pos="-1440"/>
          <w:tab w:val="left" w:pos="-720"/>
          <w:tab w:val="left" w:pos="1051"/>
          <w:tab w:val="left" w:pos="1752"/>
        </w:tabs>
        <w:suppressAutoHyphens/>
        <w:ind w:left="1440"/>
        <w:rPr>
          <w:snapToGrid w:val="0"/>
          <w:sz w:val="20"/>
          <w:szCs w:val="20"/>
        </w:rPr>
      </w:pPr>
      <w:r w:rsidRPr="00A47CBD">
        <w:rPr>
          <w:snapToGrid w:val="0"/>
          <w:sz w:val="20"/>
          <w:szCs w:val="20"/>
        </w:rPr>
        <w:t>Direct program expenses;</w:t>
      </w:r>
    </w:p>
    <w:p w:rsidR="006810B1" w:rsidRDefault="006810B1" w:rsidP="00C55F2B">
      <w:pPr>
        <w:tabs>
          <w:tab w:val="left" w:pos="-1440"/>
          <w:tab w:val="left" w:pos="-720"/>
          <w:tab w:val="left" w:pos="1051"/>
          <w:tab w:val="left" w:pos="1752"/>
        </w:tabs>
        <w:suppressAutoHyphens/>
        <w:ind w:left="1440"/>
        <w:rPr>
          <w:snapToGrid w:val="0"/>
          <w:sz w:val="20"/>
          <w:szCs w:val="20"/>
        </w:rPr>
      </w:pPr>
    </w:p>
    <w:p w:rsidR="006810B1" w:rsidRDefault="006810B1" w:rsidP="00C55F2B">
      <w:pPr>
        <w:tabs>
          <w:tab w:val="left" w:pos="-1440"/>
          <w:tab w:val="left" w:pos="-720"/>
          <w:tab w:val="left" w:pos="1051"/>
          <w:tab w:val="left" w:pos="1752"/>
        </w:tabs>
        <w:suppressAutoHyphens/>
        <w:ind w:left="1440"/>
        <w:rPr>
          <w:snapToGrid w:val="0"/>
          <w:sz w:val="20"/>
          <w:szCs w:val="20"/>
        </w:rPr>
      </w:pPr>
    </w:p>
    <w:p w:rsidR="006810B1" w:rsidRPr="00A47CBD" w:rsidRDefault="006810B1" w:rsidP="00315572">
      <w:pPr>
        <w:numPr>
          <w:ilvl w:val="0"/>
          <w:numId w:val="22"/>
        </w:numPr>
        <w:tabs>
          <w:tab w:val="left" w:pos="-1440"/>
          <w:tab w:val="left" w:pos="-720"/>
          <w:tab w:val="left" w:pos="1051"/>
          <w:tab w:val="left" w:pos="1752"/>
        </w:tabs>
        <w:suppressAutoHyphens/>
        <w:ind w:left="1440"/>
        <w:rPr>
          <w:snapToGrid w:val="0"/>
          <w:sz w:val="20"/>
          <w:szCs w:val="20"/>
        </w:rPr>
      </w:pPr>
      <w:r w:rsidRPr="00A47CBD">
        <w:rPr>
          <w:snapToGrid w:val="0"/>
          <w:sz w:val="20"/>
          <w:szCs w:val="20"/>
        </w:rPr>
        <w:t>Data on collections, including efforts for unpaid surcharge amounts; and,</w:t>
      </w:r>
    </w:p>
    <w:p w:rsidR="006810B1" w:rsidRDefault="006810B1" w:rsidP="00315572">
      <w:pPr>
        <w:numPr>
          <w:ilvl w:val="0"/>
          <w:numId w:val="22"/>
        </w:numPr>
        <w:tabs>
          <w:tab w:val="left" w:pos="-1440"/>
          <w:tab w:val="left" w:pos="-720"/>
          <w:tab w:val="left" w:pos="1051"/>
          <w:tab w:val="left" w:pos="1752"/>
        </w:tabs>
        <w:suppressAutoHyphens/>
        <w:ind w:left="1440"/>
        <w:rPr>
          <w:snapToGrid w:val="0"/>
          <w:sz w:val="20"/>
          <w:szCs w:val="20"/>
        </w:rPr>
      </w:pPr>
      <w:r w:rsidRPr="00A47CBD">
        <w:rPr>
          <w:snapToGrid w:val="0"/>
          <w:sz w:val="20"/>
          <w:szCs w:val="20"/>
        </w:rPr>
        <w:t>Number of applicants turned down for insufficient credit.</w:t>
      </w:r>
    </w:p>
    <w:p w:rsidR="006810B1" w:rsidRPr="00A47CBD" w:rsidRDefault="006810B1" w:rsidP="00315572">
      <w:pPr>
        <w:tabs>
          <w:tab w:val="left" w:pos="-1440"/>
          <w:tab w:val="left" w:pos="-720"/>
          <w:tab w:val="left" w:pos="1051"/>
          <w:tab w:val="left" w:pos="1752"/>
        </w:tabs>
        <w:suppressAutoHyphens/>
        <w:ind w:left="1440"/>
        <w:rPr>
          <w:snapToGrid w:val="0"/>
          <w:sz w:val="20"/>
          <w:szCs w:val="20"/>
        </w:rPr>
      </w:pPr>
      <w:proofErr w:type="gramStart"/>
      <w:r>
        <w:rPr>
          <w:snapToGrid w:val="0"/>
          <w:sz w:val="20"/>
          <w:szCs w:val="20"/>
        </w:rPr>
        <w:t>(OSBA Statement No. 3, pp. 6-7).</w:t>
      </w:r>
      <w:proofErr w:type="gramEnd"/>
    </w:p>
    <w:p w:rsidR="006810B1" w:rsidRDefault="006810B1">
      <w:pPr>
        <w:pStyle w:val="FootnoteText"/>
      </w:pPr>
    </w:p>
  </w:footnote>
  <w:footnote w:id="17">
    <w:p w:rsidR="006810B1" w:rsidRDefault="006810B1">
      <w:pPr>
        <w:pStyle w:val="FootnoteText"/>
      </w:pPr>
      <w:r>
        <w:rPr>
          <w:rStyle w:val="FootnoteReference"/>
        </w:rPr>
        <w:footnoteRef/>
      </w:r>
      <w:r>
        <w:t xml:space="preserve"> As discussed above, the OSBA opposed the OCA’s suggested interest rate of 3.0% and also opposed the changes to the economic model suggested (use of cost of debt in the DCF model and exclusion of service lines, meters and regulating equipment from the model).  The OSBA supports the OCA’s suggested additional information requirements and suggested that even more information be collected.  The OSBA took no position on the other modifications suggested by the OCA, including the treatment of residential developers.  OSBA M.B., pp. 7-10.</w:t>
      </w:r>
    </w:p>
  </w:footnote>
  <w:footnote w:id="18">
    <w:p w:rsidR="006810B1" w:rsidRDefault="006810B1" w:rsidP="006872A8">
      <w:pPr>
        <w:pStyle w:val="FootnoteText"/>
      </w:pPr>
      <w:r>
        <w:rPr>
          <w:rStyle w:val="FootnoteReference"/>
        </w:rPr>
        <w:footnoteRef/>
      </w:r>
      <w:r>
        <w:t xml:space="preserve"> See Petition of Columbia Gas of Pennsylvania, Inc. for Approval of a Distribution System Improvement Charge, Docket No. P-2012-2338282, January 2, 2013.</w:t>
      </w:r>
    </w:p>
    <w:p w:rsidR="006810B1" w:rsidRDefault="006810B1" w:rsidP="006872A8">
      <w:pPr>
        <w:pStyle w:val="FootnoteText"/>
      </w:pPr>
    </w:p>
  </w:footnote>
  <w:footnote w:id="19">
    <w:p w:rsidR="006810B1" w:rsidRDefault="006810B1" w:rsidP="00DC3EA8">
      <w:pPr>
        <w:pStyle w:val="FootnoteText"/>
      </w:pPr>
      <w:r>
        <w:rPr>
          <w:rStyle w:val="FootnoteReference"/>
        </w:rPr>
        <w:footnoteRef/>
      </w:r>
      <w:r>
        <w:t xml:space="preserve"> </w:t>
      </w:r>
      <w:proofErr w:type="gramStart"/>
      <w:r>
        <w:t>OSBA-I-5(d).</w:t>
      </w:r>
      <w:proofErr w:type="gramEnd"/>
    </w:p>
    <w:p w:rsidR="006810B1" w:rsidRDefault="006810B1" w:rsidP="00DC3EA8">
      <w:pPr>
        <w:pStyle w:val="FootnoteText"/>
      </w:pPr>
    </w:p>
  </w:footnote>
  <w:footnote w:id="20">
    <w:p w:rsidR="006810B1" w:rsidRDefault="006810B1" w:rsidP="00DC3EA8">
      <w:pPr>
        <w:pStyle w:val="FootnoteText"/>
      </w:pPr>
      <w:r>
        <w:rPr>
          <w:rStyle w:val="FootnoteReference"/>
        </w:rPr>
        <w:footnoteRef/>
      </w:r>
      <w:r>
        <w:t xml:space="preserve"> </w:t>
      </w:r>
      <w:proofErr w:type="gramStart"/>
      <w:r>
        <w:t>OSBA-I-5(b).</w:t>
      </w:r>
      <w:proofErr w:type="gramEnd"/>
    </w:p>
  </w:footnote>
  <w:footnote w:id="21">
    <w:p w:rsidR="006810B1" w:rsidRDefault="006810B1" w:rsidP="00843C9D">
      <w:pPr>
        <w:pStyle w:val="FootnoteText"/>
      </w:pPr>
      <w:r w:rsidRPr="00271D0F">
        <w:rPr>
          <w:rStyle w:val="FootnoteReference"/>
        </w:rPr>
        <w:footnoteRef/>
      </w:r>
      <w:r w:rsidRPr="00271D0F">
        <w:t xml:space="preserve"> </w:t>
      </w:r>
      <w:r w:rsidRPr="00271D0F">
        <w:tab/>
      </w:r>
      <w:proofErr w:type="gramStart"/>
      <w:r w:rsidRPr="00271D0F">
        <w:t>OCA St</w:t>
      </w:r>
      <w:r>
        <w:t xml:space="preserve">atement </w:t>
      </w:r>
      <w:r w:rsidRPr="00271D0F">
        <w:t>No. 1, pp. 15-16, 18.</w:t>
      </w:r>
      <w:proofErr w:type="gramEnd"/>
    </w:p>
    <w:p w:rsidR="006810B1" w:rsidRPr="00271D0F" w:rsidRDefault="006810B1" w:rsidP="00843C9D">
      <w:pPr>
        <w:pStyle w:val="FootnoteText"/>
      </w:pPr>
    </w:p>
  </w:footnote>
  <w:footnote w:id="22">
    <w:p w:rsidR="006810B1" w:rsidRDefault="006810B1" w:rsidP="00843C9D">
      <w:pPr>
        <w:pStyle w:val="FootnoteText"/>
      </w:pPr>
      <w:r w:rsidRPr="00271D0F">
        <w:rPr>
          <w:rStyle w:val="FootnoteReference"/>
        </w:rPr>
        <w:footnoteRef/>
      </w:r>
      <w:r w:rsidRPr="00271D0F">
        <w:t xml:space="preserve"> </w:t>
      </w:r>
      <w:r w:rsidRPr="00271D0F">
        <w:tab/>
      </w:r>
      <w:proofErr w:type="gramStart"/>
      <w:r w:rsidRPr="00271D0F">
        <w:t>OCA St</w:t>
      </w:r>
      <w:r>
        <w:t>atement</w:t>
      </w:r>
      <w:r w:rsidRPr="00271D0F">
        <w:t>.</w:t>
      </w:r>
      <w:proofErr w:type="gramEnd"/>
      <w:r w:rsidRPr="00271D0F">
        <w:t xml:space="preserve"> No. 1, p. 16.</w:t>
      </w:r>
    </w:p>
    <w:p w:rsidR="006810B1" w:rsidRPr="00271D0F" w:rsidRDefault="006810B1" w:rsidP="00843C9D">
      <w:pPr>
        <w:pStyle w:val="FootnoteText"/>
      </w:pPr>
    </w:p>
  </w:footnote>
  <w:footnote w:id="23">
    <w:p w:rsidR="006810B1" w:rsidRDefault="006810B1" w:rsidP="00843C9D">
      <w:pPr>
        <w:pStyle w:val="FootnoteText"/>
      </w:pPr>
      <w:r w:rsidRPr="00271D0F">
        <w:rPr>
          <w:rStyle w:val="FootnoteReference"/>
        </w:rPr>
        <w:footnoteRef/>
      </w:r>
      <w:r w:rsidRPr="00271D0F">
        <w:t xml:space="preserve"> </w:t>
      </w:r>
      <w:r w:rsidRPr="00271D0F">
        <w:tab/>
        <w:t>Columbia St</w:t>
      </w:r>
      <w:r>
        <w:t>atement</w:t>
      </w:r>
      <w:r w:rsidRPr="00271D0F">
        <w:t xml:space="preserve"> No. 1-R, p. 8.</w:t>
      </w:r>
    </w:p>
    <w:p w:rsidR="006810B1" w:rsidRPr="00271D0F" w:rsidRDefault="006810B1" w:rsidP="00843C9D">
      <w:pPr>
        <w:pStyle w:val="FootnoteText"/>
      </w:pPr>
    </w:p>
  </w:footnote>
  <w:footnote w:id="24">
    <w:p w:rsidR="006810B1" w:rsidRDefault="006810B1" w:rsidP="00843C9D">
      <w:pPr>
        <w:pStyle w:val="FootnoteText"/>
      </w:pPr>
      <w:r w:rsidRPr="00271D0F">
        <w:rPr>
          <w:rStyle w:val="FootnoteReference"/>
        </w:rPr>
        <w:footnoteRef/>
      </w:r>
      <w:r w:rsidRPr="00271D0F">
        <w:t xml:space="preserve"> </w:t>
      </w:r>
      <w:r w:rsidRPr="00271D0F">
        <w:tab/>
        <w:t>Columbia St</w:t>
      </w:r>
      <w:r>
        <w:t>atement</w:t>
      </w:r>
      <w:r w:rsidRPr="00271D0F">
        <w:t xml:space="preserve"> No. 1-R, p. 8.</w:t>
      </w:r>
    </w:p>
    <w:p w:rsidR="006810B1" w:rsidRPr="00271D0F" w:rsidRDefault="006810B1" w:rsidP="00843C9D">
      <w:pPr>
        <w:pStyle w:val="FootnoteText"/>
      </w:pPr>
    </w:p>
  </w:footnote>
  <w:footnote w:id="25">
    <w:p w:rsidR="006810B1" w:rsidRDefault="006810B1" w:rsidP="00843C9D">
      <w:pPr>
        <w:pStyle w:val="FootnoteText"/>
      </w:pPr>
      <w:r w:rsidRPr="00271D0F">
        <w:rPr>
          <w:rStyle w:val="FootnoteReference"/>
        </w:rPr>
        <w:footnoteRef/>
      </w:r>
      <w:r w:rsidRPr="00271D0F">
        <w:t xml:space="preserve"> </w:t>
      </w:r>
      <w:r w:rsidRPr="00271D0F">
        <w:tab/>
        <w:t>Columbia St</w:t>
      </w:r>
      <w:r>
        <w:t>atement</w:t>
      </w:r>
      <w:r w:rsidRPr="00271D0F">
        <w:t xml:space="preserve"> No. 1-R, p. 8.</w:t>
      </w:r>
    </w:p>
    <w:p w:rsidR="006810B1" w:rsidRPr="00271D0F" w:rsidRDefault="006810B1" w:rsidP="00843C9D">
      <w:pPr>
        <w:pStyle w:val="FootnoteText"/>
      </w:pPr>
    </w:p>
  </w:footnote>
  <w:footnote w:id="26">
    <w:p w:rsidR="006810B1" w:rsidRDefault="006810B1" w:rsidP="00843C9D">
      <w:pPr>
        <w:pStyle w:val="FootnoteText"/>
      </w:pPr>
      <w:r w:rsidRPr="00271D0F">
        <w:rPr>
          <w:rStyle w:val="FootnoteReference"/>
        </w:rPr>
        <w:footnoteRef/>
      </w:r>
      <w:r w:rsidRPr="00271D0F">
        <w:t xml:space="preserve"> </w:t>
      </w:r>
      <w:r w:rsidRPr="00271D0F">
        <w:tab/>
      </w:r>
      <w:r>
        <w:t>B</w:t>
      </w:r>
      <w:r w:rsidRPr="00271D0F">
        <w:t>I&amp;E St</w:t>
      </w:r>
      <w:r>
        <w:t>atement</w:t>
      </w:r>
      <w:r w:rsidRPr="00271D0F">
        <w:t xml:space="preserve"> No. 1-R, p. 16.</w:t>
      </w:r>
    </w:p>
    <w:p w:rsidR="006810B1" w:rsidRPr="00271D0F" w:rsidRDefault="006810B1" w:rsidP="00843C9D">
      <w:pPr>
        <w:pStyle w:val="FootnoteText"/>
      </w:pPr>
    </w:p>
  </w:footnote>
  <w:footnote w:id="27">
    <w:p w:rsidR="006810B1" w:rsidRDefault="006810B1" w:rsidP="00843C9D">
      <w:pPr>
        <w:pStyle w:val="FootnoteText"/>
      </w:pPr>
      <w:r w:rsidRPr="00271D0F">
        <w:rPr>
          <w:rStyle w:val="FootnoteReference"/>
        </w:rPr>
        <w:footnoteRef/>
      </w:r>
      <w:r w:rsidRPr="00271D0F">
        <w:t xml:space="preserve"> </w:t>
      </w:r>
      <w:r w:rsidRPr="00271D0F">
        <w:tab/>
      </w:r>
      <w:r>
        <w:t>B</w:t>
      </w:r>
      <w:r w:rsidRPr="00271D0F">
        <w:t>I&amp;E St</w:t>
      </w:r>
      <w:r>
        <w:t>atement</w:t>
      </w:r>
      <w:r w:rsidRPr="00271D0F">
        <w:t xml:space="preserve"> No. 1-R, p. 16.</w:t>
      </w:r>
    </w:p>
    <w:p w:rsidR="006810B1" w:rsidRPr="00271D0F" w:rsidRDefault="006810B1" w:rsidP="00843C9D">
      <w:pPr>
        <w:pStyle w:val="FootnoteText"/>
      </w:pPr>
    </w:p>
  </w:footnote>
  <w:footnote w:id="28">
    <w:p w:rsidR="006810B1" w:rsidRDefault="006810B1" w:rsidP="00843C9D">
      <w:pPr>
        <w:pStyle w:val="FootnoteText"/>
      </w:pPr>
      <w:r w:rsidRPr="00271D0F">
        <w:rPr>
          <w:rStyle w:val="FootnoteReference"/>
        </w:rPr>
        <w:footnoteRef/>
      </w:r>
      <w:r w:rsidRPr="00271D0F">
        <w:t xml:space="preserve"> </w:t>
      </w:r>
      <w:r w:rsidRPr="00271D0F">
        <w:tab/>
      </w:r>
      <w:r>
        <w:t>B</w:t>
      </w:r>
      <w:r w:rsidRPr="00271D0F">
        <w:t>I&amp;E St</w:t>
      </w:r>
      <w:r>
        <w:t>atement</w:t>
      </w:r>
      <w:r w:rsidRPr="00271D0F">
        <w:t xml:space="preserve"> No. 1-R, p. 16</w:t>
      </w:r>
      <w:r>
        <w:t>;</w:t>
      </w:r>
      <w:r w:rsidRPr="00271D0F">
        <w:t xml:space="preserve"> Columbia St</w:t>
      </w:r>
      <w:r>
        <w:t>atement</w:t>
      </w:r>
      <w:r w:rsidRPr="00271D0F">
        <w:t xml:space="preserve"> No. 1, p. 7.</w:t>
      </w:r>
    </w:p>
    <w:p w:rsidR="006810B1" w:rsidRPr="00271D0F" w:rsidRDefault="006810B1" w:rsidP="00843C9D">
      <w:pPr>
        <w:pStyle w:val="FootnoteText"/>
      </w:pPr>
    </w:p>
  </w:footnote>
  <w:footnote w:id="29">
    <w:p w:rsidR="006810B1" w:rsidRPr="00271D0F" w:rsidRDefault="006810B1" w:rsidP="00843C9D">
      <w:pPr>
        <w:pStyle w:val="FootnoteText"/>
      </w:pPr>
      <w:r w:rsidRPr="00271D0F">
        <w:rPr>
          <w:rStyle w:val="FootnoteReference"/>
        </w:rPr>
        <w:footnoteRef/>
      </w:r>
      <w:r w:rsidRPr="00271D0F">
        <w:t xml:space="preserve"> </w:t>
      </w:r>
      <w:r w:rsidRPr="00271D0F">
        <w:tab/>
      </w:r>
      <w:r>
        <w:t>B</w:t>
      </w:r>
      <w:r w:rsidRPr="00271D0F">
        <w:t>I&amp;E St</w:t>
      </w:r>
      <w:r>
        <w:t>atement</w:t>
      </w:r>
      <w:r w:rsidRPr="00271D0F">
        <w:t xml:space="preserve"> No. 1-R, p. 16.</w:t>
      </w:r>
    </w:p>
  </w:footnote>
  <w:footnote w:id="30">
    <w:p w:rsidR="006810B1" w:rsidRDefault="006810B1" w:rsidP="00843C9D">
      <w:pPr>
        <w:pStyle w:val="FootnoteText"/>
      </w:pPr>
      <w:r w:rsidRPr="00271D0F">
        <w:rPr>
          <w:rStyle w:val="FootnoteReference"/>
        </w:rPr>
        <w:footnoteRef/>
      </w:r>
      <w:r w:rsidRPr="00271D0F">
        <w:t xml:space="preserve"> </w:t>
      </w:r>
      <w:r w:rsidRPr="00271D0F">
        <w:tab/>
      </w:r>
      <w:r>
        <w:t>B</w:t>
      </w:r>
      <w:r w:rsidRPr="00271D0F">
        <w:t>I&amp;E St</w:t>
      </w:r>
      <w:r>
        <w:t>atement</w:t>
      </w:r>
      <w:r w:rsidRPr="00271D0F">
        <w:t xml:space="preserve"> No. 1-R, p. 15; Columbia St</w:t>
      </w:r>
      <w:r>
        <w:t>atement</w:t>
      </w:r>
      <w:r w:rsidRPr="00271D0F">
        <w:t xml:space="preserve"> No. 1, p. 4.</w:t>
      </w:r>
    </w:p>
    <w:p w:rsidR="006810B1" w:rsidRPr="00271D0F" w:rsidRDefault="006810B1" w:rsidP="00843C9D">
      <w:pPr>
        <w:pStyle w:val="FootnoteText"/>
      </w:pPr>
    </w:p>
  </w:footnote>
  <w:footnote w:id="31">
    <w:p w:rsidR="006810B1" w:rsidRDefault="006810B1" w:rsidP="00843C9D">
      <w:pPr>
        <w:pStyle w:val="FootnoteText"/>
      </w:pPr>
      <w:r w:rsidRPr="00271D0F">
        <w:rPr>
          <w:rStyle w:val="FootnoteReference"/>
        </w:rPr>
        <w:footnoteRef/>
      </w:r>
      <w:r w:rsidRPr="00271D0F">
        <w:t xml:space="preserve"> </w:t>
      </w:r>
      <w:r w:rsidRPr="00271D0F">
        <w:tab/>
      </w:r>
      <w:r>
        <w:t>B</w:t>
      </w:r>
      <w:r w:rsidRPr="00271D0F">
        <w:t>I&amp;E St</w:t>
      </w:r>
      <w:r>
        <w:t>atement</w:t>
      </w:r>
      <w:r w:rsidRPr="00271D0F">
        <w:t xml:space="preserve"> No. 1-R, pp. 17-18.</w:t>
      </w:r>
    </w:p>
    <w:p w:rsidR="006810B1" w:rsidRPr="00271D0F" w:rsidRDefault="006810B1" w:rsidP="00843C9D">
      <w:pPr>
        <w:pStyle w:val="FootnoteText"/>
      </w:pPr>
    </w:p>
  </w:footnote>
  <w:footnote w:id="32">
    <w:p w:rsidR="006810B1" w:rsidRDefault="006810B1" w:rsidP="00843C9D">
      <w:pPr>
        <w:pStyle w:val="FootnoteText"/>
      </w:pPr>
      <w:r w:rsidRPr="00271D0F">
        <w:rPr>
          <w:rStyle w:val="FootnoteReference"/>
        </w:rPr>
        <w:footnoteRef/>
      </w:r>
      <w:r w:rsidRPr="00271D0F">
        <w:t xml:space="preserve"> </w:t>
      </w:r>
      <w:r w:rsidRPr="00271D0F">
        <w:tab/>
        <w:t>Columbia St</w:t>
      </w:r>
      <w:r>
        <w:t>atement</w:t>
      </w:r>
      <w:r w:rsidRPr="00271D0F">
        <w:t xml:space="preserve"> No. 1-R, p. 5.</w:t>
      </w:r>
    </w:p>
    <w:p w:rsidR="006810B1" w:rsidRPr="00271D0F" w:rsidRDefault="006810B1" w:rsidP="00843C9D">
      <w:pPr>
        <w:pStyle w:val="FootnoteText"/>
      </w:pPr>
    </w:p>
  </w:footnote>
  <w:footnote w:id="33">
    <w:p w:rsidR="006810B1" w:rsidRDefault="006810B1" w:rsidP="00843C9D">
      <w:pPr>
        <w:pStyle w:val="FootnoteText"/>
      </w:pPr>
      <w:r w:rsidRPr="00271D0F">
        <w:rPr>
          <w:rStyle w:val="FootnoteReference"/>
        </w:rPr>
        <w:footnoteRef/>
      </w:r>
      <w:r w:rsidRPr="00271D0F">
        <w:t xml:space="preserve"> </w:t>
      </w:r>
      <w:r w:rsidRPr="00271D0F">
        <w:tab/>
      </w:r>
      <w:proofErr w:type="gramStart"/>
      <w:r w:rsidRPr="00271D0F">
        <w:t>66 Pa.C.S.</w:t>
      </w:r>
      <w:proofErr w:type="gramEnd"/>
      <w:r w:rsidRPr="00271D0F">
        <w:t xml:space="preserve"> § 1301.</w:t>
      </w:r>
    </w:p>
    <w:p w:rsidR="006810B1" w:rsidRPr="00271D0F" w:rsidRDefault="006810B1" w:rsidP="00843C9D">
      <w:pPr>
        <w:pStyle w:val="FootnoteText"/>
      </w:pPr>
    </w:p>
  </w:footnote>
  <w:footnote w:id="34">
    <w:p w:rsidR="006810B1" w:rsidRDefault="006810B1" w:rsidP="00843C9D">
      <w:pPr>
        <w:pStyle w:val="FootnoteText"/>
      </w:pPr>
      <w:r w:rsidRPr="00271D0F">
        <w:rPr>
          <w:rStyle w:val="FootnoteReference"/>
        </w:rPr>
        <w:footnoteRef/>
      </w:r>
      <w:r w:rsidRPr="00271D0F">
        <w:t xml:space="preserve"> </w:t>
      </w:r>
      <w:r w:rsidRPr="00271D0F">
        <w:tab/>
      </w:r>
      <w:proofErr w:type="gramStart"/>
      <w:r w:rsidRPr="00271D0F">
        <w:t>66 Pa.C.S.</w:t>
      </w:r>
      <w:proofErr w:type="gramEnd"/>
      <w:r w:rsidRPr="00271D0F">
        <w:t xml:space="preserve"> § 1304.</w:t>
      </w:r>
    </w:p>
    <w:p w:rsidR="006810B1" w:rsidRPr="00271D0F" w:rsidRDefault="006810B1" w:rsidP="00843C9D">
      <w:pPr>
        <w:pStyle w:val="FootnoteText"/>
      </w:pPr>
    </w:p>
  </w:footnote>
  <w:footnote w:id="35">
    <w:p w:rsidR="006810B1" w:rsidRDefault="006810B1" w:rsidP="00843C9D">
      <w:pPr>
        <w:pStyle w:val="FootnoteText"/>
      </w:pPr>
      <w:r w:rsidRPr="00271D0F">
        <w:rPr>
          <w:rStyle w:val="FootnoteReference"/>
        </w:rPr>
        <w:footnoteRef/>
      </w:r>
      <w:r w:rsidRPr="00271D0F">
        <w:t xml:space="preserve"> </w:t>
      </w:r>
      <w:r w:rsidRPr="00271D0F">
        <w:tab/>
      </w:r>
      <w:proofErr w:type="gramStart"/>
      <w:r>
        <w:t>B</w:t>
      </w:r>
      <w:r w:rsidRPr="00271D0F">
        <w:t>I&amp;E Ex. 1-R, Sch. 1.</w:t>
      </w:r>
      <w:proofErr w:type="gramEnd"/>
    </w:p>
    <w:p w:rsidR="006810B1" w:rsidRPr="00271D0F" w:rsidRDefault="006810B1" w:rsidP="00843C9D">
      <w:pPr>
        <w:pStyle w:val="FootnoteText"/>
      </w:pPr>
    </w:p>
  </w:footnote>
  <w:footnote w:id="36">
    <w:p w:rsidR="006810B1" w:rsidRDefault="006810B1" w:rsidP="00843C9D">
      <w:pPr>
        <w:pStyle w:val="FootnoteText"/>
      </w:pPr>
      <w:r w:rsidRPr="00271D0F">
        <w:rPr>
          <w:rStyle w:val="FootnoteReference"/>
        </w:rPr>
        <w:footnoteRef/>
      </w:r>
      <w:r w:rsidRPr="00271D0F">
        <w:t xml:space="preserve"> </w:t>
      </w:r>
      <w:r w:rsidRPr="00271D0F">
        <w:tab/>
      </w:r>
      <w:r>
        <w:t>B</w:t>
      </w:r>
      <w:r w:rsidRPr="00271D0F">
        <w:t xml:space="preserve">I&amp;E Ex. 1-R, Sch. 2, p. 3. </w:t>
      </w:r>
    </w:p>
    <w:p w:rsidR="006810B1" w:rsidRPr="00271D0F" w:rsidRDefault="006810B1" w:rsidP="00843C9D">
      <w:pPr>
        <w:pStyle w:val="FootnoteText"/>
      </w:pPr>
    </w:p>
  </w:footnote>
  <w:footnote w:id="37">
    <w:p w:rsidR="006810B1" w:rsidRDefault="006810B1" w:rsidP="00843C9D">
      <w:pPr>
        <w:pStyle w:val="FootnoteText"/>
      </w:pPr>
      <w:r w:rsidRPr="00271D0F">
        <w:rPr>
          <w:rStyle w:val="FootnoteReference"/>
        </w:rPr>
        <w:footnoteRef/>
      </w:r>
      <w:r w:rsidRPr="00271D0F">
        <w:t xml:space="preserve"> </w:t>
      </w:r>
      <w:r w:rsidRPr="00271D0F">
        <w:tab/>
        <w:t xml:space="preserve">Joint Petition of UGI Utilities, Inc. – Gas Division, UGI Penn Natural Gas, Inc. and UGI Central Penn Gas, Inc. for Approval to Implement Growth Extension Tariff Pilot Programs to Facilitate the Extension of Gas Service to Unserved and Underserved Areas within the Companies’ Service Territories, Docket No. P-2013-2356232, Recommended Decision, pp. 25-29. </w:t>
      </w:r>
    </w:p>
    <w:p w:rsidR="006810B1" w:rsidRPr="00271D0F" w:rsidRDefault="006810B1" w:rsidP="00843C9D">
      <w:pPr>
        <w:pStyle w:val="FootnoteText"/>
      </w:pPr>
      <w:r w:rsidRPr="00271D0F">
        <w:tab/>
      </w:r>
      <w:r w:rsidRPr="00271D0F">
        <w:tab/>
      </w:r>
    </w:p>
  </w:footnote>
  <w:footnote w:id="38">
    <w:p w:rsidR="006810B1" w:rsidRDefault="006810B1" w:rsidP="00843C9D">
      <w:pPr>
        <w:pStyle w:val="FootnoteText"/>
      </w:pPr>
      <w:r w:rsidRPr="00271D0F">
        <w:rPr>
          <w:rStyle w:val="FootnoteReference"/>
        </w:rPr>
        <w:footnoteRef/>
      </w:r>
      <w:r w:rsidRPr="00271D0F">
        <w:t xml:space="preserve"> </w:t>
      </w:r>
      <w:r w:rsidRPr="00271D0F">
        <w:tab/>
      </w:r>
      <w:r>
        <w:t>B</w:t>
      </w:r>
      <w:r w:rsidRPr="00271D0F">
        <w:t>I&amp;E St</w:t>
      </w:r>
      <w:r>
        <w:t>atement</w:t>
      </w:r>
      <w:r w:rsidRPr="00271D0F">
        <w:t xml:space="preserve"> No. 1-R, pp. 17-18.</w:t>
      </w:r>
    </w:p>
    <w:p w:rsidR="006810B1" w:rsidRPr="00271D0F" w:rsidRDefault="006810B1" w:rsidP="00843C9D">
      <w:pPr>
        <w:pStyle w:val="FootnoteText"/>
      </w:pPr>
    </w:p>
  </w:footnote>
  <w:footnote w:id="39">
    <w:p w:rsidR="006810B1" w:rsidRDefault="006810B1" w:rsidP="00843C9D">
      <w:pPr>
        <w:pStyle w:val="FootnoteText"/>
      </w:pPr>
      <w:r w:rsidRPr="00271D0F">
        <w:rPr>
          <w:rStyle w:val="FootnoteReference"/>
        </w:rPr>
        <w:footnoteRef/>
      </w:r>
      <w:r w:rsidRPr="00271D0F">
        <w:t xml:space="preserve"> </w:t>
      </w:r>
      <w:r w:rsidRPr="00271D0F">
        <w:tab/>
      </w:r>
      <w:r>
        <w:t>B</w:t>
      </w:r>
      <w:r w:rsidRPr="00271D0F">
        <w:t>I&amp;E St</w:t>
      </w:r>
      <w:r>
        <w:t xml:space="preserve">atement </w:t>
      </w:r>
      <w:r w:rsidRPr="00271D0F">
        <w:t>No. 1-R, pp. 18-19.</w:t>
      </w:r>
    </w:p>
    <w:p w:rsidR="006810B1" w:rsidRPr="00271D0F" w:rsidRDefault="006810B1" w:rsidP="00843C9D">
      <w:pPr>
        <w:pStyle w:val="FootnoteText"/>
      </w:pPr>
    </w:p>
  </w:footnote>
  <w:footnote w:id="40">
    <w:p w:rsidR="006810B1" w:rsidRDefault="006810B1" w:rsidP="00843C9D">
      <w:pPr>
        <w:pStyle w:val="FootnoteText"/>
      </w:pPr>
      <w:r w:rsidRPr="00271D0F">
        <w:rPr>
          <w:rStyle w:val="FootnoteReference"/>
        </w:rPr>
        <w:footnoteRef/>
      </w:r>
      <w:r w:rsidRPr="00271D0F">
        <w:t xml:space="preserve"> </w:t>
      </w:r>
      <w:r w:rsidRPr="00271D0F">
        <w:tab/>
      </w:r>
      <w:r>
        <w:t>B</w:t>
      </w:r>
      <w:r w:rsidRPr="00271D0F">
        <w:t>I&amp;E St</w:t>
      </w:r>
      <w:r>
        <w:t>atement</w:t>
      </w:r>
      <w:r w:rsidRPr="00271D0F">
        <w:t xml:space="preserve"> No. 1-R, p. 19.</w:t>
      </w:r>
    </w:p>
    <w:p w:rsidR="006810B1" w:rsidRPr="00271D0F" w:rsidRDefault="006810B1" w:rsidP="00843C9D">
      <w:pPr>
        <w:pStyle w:val="FootnoteText"/>
      </w:pPr>
    </w:p>
  </w:footnote>
  <w:footnote w:id="41">
    <w:p w:rsidR="006810B1" w:rsidRDefault="006810B1" w:rsidP="00843C9D">
      <w:pPr>
        <w:pStyle w:val="FootnoteText"/>
      </w:pPr>
      <w:r w:rsidRPr="00271D0F">
        <w:rPr>
          <w:rStyle w:val="FootnoteReference"/>
        </w:rPr>
        <w:footnoteRef/>
      </w:r>
      <w:r w:rsidRPr="00271D0F">
        <w:t xml:space="preserve"> </w:t>
      </w:r>
      <w:r w:rsidRPr="00271D0F">
        <w:tab/>
      </w:r>
      <w:r>
        <w:t>B</w:t>
      </w:r>
      <w:r w:rsidRPr="00271D0F">
        <w:t>I&amp;E St</w:t>
      </w:r>
      <w:r>
        <w:t>atement</w:t>
      </w:r>
      <w:r w:rsidRPr="00271D0F">
        <w:t xml:space="preserve"> No. 1-R, p. 19.</w:t>
      </w:r>
    </w:p>
    <w:p w:rsidR="006810B1" w:rsidRPr="00271D0F" w:rsidRDefault="006810B1" w:rsidP="00843C9D">
      <w:pPr>
        <w:pStyle w:val="FootnoteText"/>
      </w:pPr>
    </w:p>
  </w:footnote>
  <w:footnote w:id="42">
    <w:p w:rsidR="006810B1" w:rsidRDefault="006810B1" w:rsidP="00843C9D">
      <w:pPr>
        <w:pStyle w:val="FootnoteText"/>
      </w:pPr>
      <w:r w:rsidRPr="00271D0F">
        <w:rPr>
          <w:rStyle w:val="FootnoteReference"/>
        </w:rPr>
        <w:footnoteRef/>
      </w:r>
      <w:r w:rsidRPr="00271D0F">
        <w:t xml:space="preserve"> </w:t>
      </w:r>
      <w:r w:rsidRPr="00271D0F">
        <w:tab/>
        <w:t>OCA St</w:t>
      </w:r>
      <w:r>
        <w:t>atement</w:t>
      </w:r>
      <w:r w:rsidRPr="00271D0F">
        <w:t xml:space="preserve"> No. 1-SR, p. 5.</w:t>
      </w:r>
    </w:p>
    <w:p w:rsidR="006810B1" w:rsidRPr="00271D0F" w:rsidRDefault="006810B1" w:rsidP="00843C9D">
      <w:pPr>
        <w:pStyle w:val="FootnoteText"/>
      </w:pPr>
    </w:p>
  </w:footnote>
  <w:footnote w:id="43">
    <w:p w:rsidR="006810B1" w:rsidRDefault="006810B1" w:rsidP="00843C9D">
      <w:pPr>
        <w:pStyle w:val="FootnoteText"/>
      </w:pPr>
      <w:r w:rsidRPr="00271D0F">
        <w:rPr>
          <w:rStyle w:val="FootnoteReference"/>
        </w:rPr>
        <w:footnoteRef/>
      </w:r>
      <w:r w:rsidRPr="00271D0F">
        <w:t xml:space="preserve"> </w:t>
      </w:r>
      <w:r w:rsidRPr="00271D0F">
        <w:tab/>
      </w:r>
      <w:r>
        <w:t>B</w:t>
      </w:r>
      <w:r w:rsidRPr="00271D0F">
        <w:t>I&amp;E St</w:t>
      </w:r>
      <w:r>
        <w:t>atement</w:t>
      </w:r>
      <w:r w:rsidRPr="00271D0F">
        <w:t xml:space="preserve"> No. 1-RJ, p. 10.</w:t>
      </w:r>
    </w:p>
    <w:p w:rsidR="006810B1" w:rsidRPr="00271D0F" w:rsidRDefault="006810B1" w:rsidP="00843C9D">
      <w:pPr>
        <w:pStyle w:val="FootnoteText"/>
      </w:pPr>
    </w:p>
  </w:footnote>
  <w:footnote w:id="44">
    <w:p w:rsidR="006810B1" w:rsidRDefault="006810B1" w:rsidP="00843C9D">
      <w:pPr>
        <w:pStyle w:val="FootnoteText"/>
      </w:pPr>
      <w:r w:rsidRPr="00271D0F">
        <w:rPr>
          <w:rStyle w:val="FootnoteReference"/>
        </w:rPr>
        <w:footnoteRef/>
      </w:r>
      <w:r w:rsidRPr="00271D0F">
        <w:t xml:space="preserve"> </w:t>
      </w:r>
      <w:r w:rsidRPr="00271D0F">
        <w:tab/>
      </w:r>
      <w:r>
        <w:t>B</w:t>
      </w:r>
      <w:r w:rsidRPr="00271D0F">
        <w:t>I&amp;E St</w:t>
      </w:r>
      <w:r>
        <w:t>atement</w:t>
      </w:r>
      <w:r w:rsidRPr="00271D0F">
        <w:t xml:space="preserve"> No. 1-R, pp. 18-19</w:t>
      </w:r>
      <w:r>
        <w:t>;</w:t>
      </w:r>
      <w:r w:rsidRPr="00271D0F">
        <w:t xml:space="preserve"> Columbia St</w:t>
      </w:r>
      <w:r>
        <w:t>atement</w:t>
      </w:r>
      <w:r w:rsidRPr="00271D0F">
        <w:t xml:space="preserve"> No. 1-R, p. 9</w:t>
      </w:r>
      <w:r>
        <w:t>;</w:t>
      </w:r>
      <w:r w:rsidRPr="00271D0F">
        <w:t xml:space="preserve"> </w:t>
      </w:r>
      <w:r>
        <w:t>OCA Statement</w:t>
      </w:r>
      <w:r w:rsidRPr="00271D0F">
        <w:t xml:space="preserve"> No. 1, p. 20.</w:t>
      </w:r>
    </w:p>
    <w:p w:rsidR="006810B1" w:rsidRPr="00271D0F" w:rsidRDefault="006810B1" w:rsidP="00843C9D">
      <w:pPr>
        <w:pStyle w:val="FootnoteText"/>
      </w:pPr>
    </w:p>
  </w:footnote>
  <w:footnote w:id="45">
    <w:p w:rsidR="006810B1" w:rsidRDefault="006810B1" w:rsidP="00843C9D">
      <w:pPr>
        <w:pStyle w:val="FootnoteText"/>
      </w:pPr>
      <w:r w:rsidRPr="00271D0F">
        <w:rPr>
          <w:rStyle w:val="FootnoteReference"/>
        </w:rPr>
        <w:footnoteRef/>
      </w:r>
      <w:r w:rsidRPr="00271D0F">
        <w:t xml:space="preserve"> </w:t>
      </w:r>
      <w:r w:rsidRPr="00271D0F">
        <w:tab/>
        <w:t>Columbia St</w:t>
      </w:r>
      <w:r>
        <w:t>atement</w:t>
      </w:r>
      <w:r w:rsidRPr="00271D0F">
        <w:t xml:space="preserve"> No. 1-R, p. 2.</w:t>
      </w:r>
    </w:p>
    <w:p w:rsidR="006810B1" w:rsidRPr="00271D0F" w:rsidRDefault="006810B1" w:rsidP="00843C9D">
      <w:pPr>
        <w:pStyle w:val="FootnoteText"/>
      </w:pPr>
    </w:p>
  </w:footnote>
  <w:footnote w:id="46">
    <w:p w:rsidR="006810B1" w:rsidRDefault="006810B1" w:rsidP="00843C9D">
      <w:pPr>
        <w:pStyle w:val="FootnoteText"/>
      </w:pPr>
      <w:r w:rsidRPr="00271D0F">
        <w:rPr>
          <w:rStyle w:val="FootnoteReference"/>
        </w:rPr>
        <w:footnoteRef/>
      </w:r>
      <w:r w:rsidRPr="00271D0F">
        <w:t xml:space="preserve"> </w:t>
      </w:r>
      <w:r w:rsidRPr="00271D0F">
        <w:tab/>
        <w:t>Columbia St</w:t>
      </w:r>
      <w:r>
        <w:t>atement</w:t>
      </w:r>
      <w:r w:rsidRPr="00271D0F">
        <w:t xml:space="preserve"> No. 1-R, p. 16.</w:t>
      </w:r>
    </w:p>
    <w:p w:rsidR="006810B1" w:rsidRPr="00271D0F" w:rsidRDefault="006810B1" w:rsidP="00843C9D">
      <w:pPr>
        <w:pStyle w:val="FootnoteText"/>
      </w:pPr>
    </w:p>
  </w:footnote>
  <w:footnote w:id="47">
    <w:p w:rsidR="006810B1" w:rsidRDefault="006810B1" w:rsidP="004939F3">
      <w:pPr>
        <w:pStyle w:val="FootnoteText"/>
      </w:pPr>
      <w:r w:rsidRPr="00271D0F">
        <w:rPr>
          <w:rStyle w:val="FootnoteReference"/>
        </w:rPr>
        <w:footnoteRef/>
      </w:r>
      <w:r w:rsidRPr="00271D0F">
        <w:t xml:space="preserve"> </w:t>
      </w:r>
      <w:r w:rsidRPr="00271D0F">
        <w:tab/>
        <w:t>Columbia St</w:t>
      </w:r>
      <w:r>
        <w:t>atement</w:t>
      </w:r>
      <w:r w:rsidRPr="00271D0F">
        <w:t xml:space="preserve"> No. 1-R, p. 12.</w:t>
      </w:r>
    </w:p>
    <w:p w:rsidR="006810B1" w:rsidRPr="00271D0F" w:rsidRDefault="006810B1" w:rsidP="004939F3">
      <w:pPr>
        <w:pStyle w:val="FootnoteText"/>
      </w:pPr>
    </w:p>
  </w:footnote>
  <w:footnote w:id="48">
    <w:p w:rsidR="006810B1" w:rsidRDefault="006810B1" w:rsidP="004939F3">
      <w:pPr>
        <w:pStyle w:val="FootnoteText"/>
      </w:pPr>
      <w:r w:rsidRPr="00271D0F">
        <w:rPr>
          <w:rStyle w:val="FootnoteReference"/>
        </w:rPr>
        <w:footnoteRef/>
      </w:r>
      <w:r w:rsidRPr="00271D0F">
        <w:t xml:space="preserve"> </w:t>
      </w:r>
      <w:r w:rsidRPr="00271D0F">
        <w:tab/>
        <w:t>Columbia St</w:t>
      </w:r>
      <w:r>
        <w:t>atement</w:t>
      </w:r>
      <w:r w:rsidRPr="00271D0F">
        <w:t xml:space="preserve"> No. 1-R, p. 12.</w:t>
      </w:r>
    </w:p>
    <w:p w:rsidR="006810B1" w:rsidRPr="00271D0F" w:rsidRDefault="006810B1" w:rsidP="004939F3">
      <w:pPr>
        <w:pStyle w:val="FootnoteText"/>
      </w:pPr>
    </w:p>
  </w:footnote>
  <w:footnote w:id="49">
    <w:p w:rsidR="006810B1" w:rsidRDefault="006810B1" w:rsidP="00325E79">
      <w:pPr>
        <w:pStyle w:val="FootnoteText"/>
      </w:pPr>
      <w:r w:rsidRPr="00271D0F">
        <w:rPr>
          <w:rStyle w:val="FootnoteReference"/>
        </w:rPr>
        <w:footnoteRef/>
      </w:r>
      <w:r w:rsidRPr="00271D0F">
        <w:t xml:space="preserve"> </w:t>
      </w:r>
      <w:r w:rsidRPr="00271D0F">
        <w:tab/>
        <w:t>OCA St</w:t>
      </w:r>
      <w:r>
        <w:t>atement</w:t>
      </w:r>
      <w:r w:rsidRPr="00271D0F">
        <w:t xml:space="preserve"> No. 1, p. 12.</w:t>
      </w:r>
    </w:p>
    <w:p w:rsidR="006810B1" w:rsidRPr="00271D0F" w:rsidRDefault="006810B1" w:rsidP="00325E79">
      <w:pPr>
        <w:pStyle w:val="FootnoteText"/>
      </w:pPr>
    </w:p>
  </w:footnote>
  <w:footnote w:id="50">
    <w:p w:rsidR="006810B1" w:rsidRDefault="006810B1" w:rsidP="00325E79">
      <w:pPr>
        <w:pStyle w:val="FootnoteText"/>
      </w:pPr>
      <w:r w:rsidRPr="00271D0F">
        <w:rPr>
          <w:rStyle w:val="FootnoteReference"/>
        </w:rPr>
        <w:footnoteRef/>
      </w:r>
      <w:r w:rsidRPr="00271D0F">
        <w:t xml:space="preserve"> </w:t>
      </w:r>
      <w:r w:rsidRPr="00271D0F">
        <w:tab/>
        <w:t>OCA St</w:t>
      </w:r>
      <w:r>
        <w:t>atement</w:t>
      </w:r>
      <w:r w:rsidRPr="00271D0F">
        <w:t xml:space="preserve"> No. 1, p. 18.  </w:t>
      </w:r>
    </w:p>
    <w:p w:rsidR="006810B1" w:rsidRPr="00271D0F" w:rsidRDefault="006810B1" w:rsidP="00325E79">
      <w:pPr>
        <w:pStyle w:val="FootnoteText"/>
      </w:pPr>
    </w:p>
  </w:footnote>
  <w:footnote w:id="51">
    <w:p w:rsidR="006810B1" w:rsidRDefault="006810B1" w:rsidP="00325E79">
      <w:pPr>
        <w:pStyle w:val="FootnoteText"/>
      </w:pPr>
      <w:r w:rsidRPr="00271D0F">
        <w:rPr>
          <w:rStyle w:val="FootnoteReference"/>
        </w:rPr>
        <w:footnoteRef/>
      </w:r>
      <w:r w:rsidRPr="00271D0F">
        <w:t xml:space="preserve"> </w:t>
      </w:r>
      <w:r w:rsidRPr="00271D0F">
        <w:tab/>
      </w:r>
      <w:r>
        <w:t>BI&amp;E Statement</w:t>
      </w:r>
      <w:r w:rsidRPr="00271D0F">
        <w:t xml:space="preserve"> No. 1-R, p. 8.</w:t>
      </w:r>
    </w:p>
    <w:p w:rsidR="006810B1" w:rsidRPr="00271D0F" w:rsidRDefault="006810B1" w:rsidP="00325E79">
      <w:pPr>
        <w:pStyle w:val="FootnoteText"/>
      </w:pPr>
    </w:p>
  </w:footnote>
  <w:footnote w:id="52">
    <w:p w:rsidR="006810B1" w:rsidRDefault="006810B1" w:rsidP="00325E79">
      <w:pPr>
        <w:pStyle w:val="FootnoteText"/>
      </w:pPr>
      <w:r w:rsidRPr="00271D0F">
        <w:rPr>
          <w:rStyle w:val="FootnoteReference"/>
        </w:rPr>
        <w:footnoteRef/>
      </w:r>
      <w:r w:rsidRPr="00271D0F">
        <w:t xml:space="preserve"> </w:t>
      </w:r>
      <w:r w:rsidRPr="00271D0F">
        <w:tab/>
        <w:t>Columbia St</w:t>
      </w:r>
      <w:r>
        <w:t>atement</w:t>
      </w:r>
      <w:r w:rsidRPr="00271D0F">
        <w:t xml:space="preserve"> No. 1-R, p. 13. </w:t>
      </w:r>
    </w:p>
    <w:p w:rsidR="006810B1" w:rsidRPr="00271D0F" w:rsidRDefault="006810B1" w:rsidP="00325E79">
      <w:pPr>
        <w:pStyle w:val="FootnoteText"/>
      </w:pPr>
    </w:p>
  </w:footnote>
  <w:footnote w:id="53">
    <w:p w:rsidR="006810B1" w:rsidRDefault="006810B1" w:rsidP="00325E79">
      <w:pPr>
        <w:pStyle w:val="FootnoteText"/>
      </w:pPr>
      <w:r w:rsidRPr="00271D0F">
        <w:rPr>
          <w:rStyle w:val="FootnoteReference"/>
        </w:rPr>
        <w:footnoteRef/>
      </w:r>
      <w:r w:rsidRPr="00271D0F">
        <w:t xml:space="preserve"> </w:t>
      </w:r>
      <w:r w:rsidRPr="00271D0F">
        <w:tab/>
      </w:r>
      <w:proofErr w:type="gramStart"/>
      <w:r w:rsidRPr="00271D0F">
        <w:t>66 Pa.C.S.</w:t>
      </w:r>
      <w:proofErr w:type="gramEnd"/>
      <w:r w:rsidRPr="00271D0F">
        <w:t xml:space="preserve"> § 1301.</w:t>
      </w:r>
    </w:p>
    <w:p w:rsidR="006810B1" w:rsidRPr="00271D0F" w:rsidRDefault="006810B1" w:rsidP="00325E79">
      <w:pPr>
        <w:pStyle w:val="FootnoteText"/>
      </w:pPr>
    </w:p>
  </w:footnote>
  <w:footnote w:id="54">
    <w:p w:rsidR="006810B1" w:rsidRDefault="006810B1" w:rsidP="00325E79">
      <w:pPr>
        <w:pStyle w:val="FootnoteText"/>
      </w:pPr>
      <w:r w:rsidRPr="00271D0F">
        <w:rPr>
          <w:rStyle w:val="FootnoteReference"/>
        </w:rPr>
        <w:footnoteRef/>
      </w:r>
      <w:r w:rsidRPr="00271D0F">
        <w:t xml:space="preserve"> </w:t>
      </w:r>
      <w:r w:rsidRPr="00271D0F">
        <w:tab/>
      </w:r>
      <w:proofErr w:type="gramStart"/>
      <w:r w:rsidRPr="00271D0F">
        <w:t>66 Pa.C.S.</w:t>
      </w:r>
      <w:proofErr w:type="gramEnd"/>
      <w:r w:rsidRPr="00271D0F">
        <w:t xml:space="preserve"> § 1304.</w:t>
      </w:r>
    </w:p>
    <w:p w:rsidR="006810B1" w:rsidRPr="00271D0F" w:rsidRDefault="006810B1" w:rsidP="00325E79">
      <w:pPr>
        <w:pStyle w:val="FootnoteText"/>
      </w:pPr>
    </w:p>
  </w:footnote>
  <w:footnote w:id="55">
    <w:p w:rsidR="006810B1" w:rsidRDefault="006810B1" w:rsidP="00325E79">
      <w:pPr>
        <w:pStyle w:val="FootnoteText"/>
      </w:pPr>
      <w:r w:rsidRPr="00271D0F">
        <w:rPr>
          <w:rStyle w:val="FootnoteReference"/>
        </w:rPr>
        <w:footnoteRef/>
      </w:r>
      <w:r w:rsidRPr="00271D0F">
        <w:t xml:space="preserve"> </w:t>
      </w:r>
      <w:r w:rsidRPr="00271D0F">
        <w:tab/>
      </w:r>
      <w:proofErr w:type="gramStart"/>
      <w:r w:rsidRPr="00271D0F">
        <w:t>66 Pa.C.S.</w:t>
      </w:r>
      <w:proofErr w:type="gramEnd"/>
      <w:r w:rsidRPr="00271D0F">
        <w:t xml:space="preserve"> § 1502.</w:t>
      </w:r>
    </w:p>
    <w:p w:rsidR="006810B1" w:rsidRPr="00271D0F" w:rsidRDefault="006810B1" w:rsidP="00325E79">
      <w:pPr>
        <w:pStyle w:val="FootnoteText"/>
      </w:pPr>
    </w:p>
  </w:footnote>
  <w:footnote w:id="56">
    <w:p w:rsidR="006810B1" w:rsidRDefault="006810B1" w:rsidP="00325E79">
      <w:pPr>
        <w:pStyle w:val="FootnoteText"/>
      </w:pPr>
      <w:r w:rsidRPr="00271D0F">
        <w:rPr>
          <w:rStyle w:val="FootnoteReference"/>
        </w:rPr>
        <w:footnoteRef/>
      </w:r>
      <w:r w:rsidRPr="00271D0F">
        <w:t xml:space="preserve"> </w:t>
      </w:r>
      <w:r w:rsidRPr="00271D0F">
        <w:tab/>
        <w:t>Columbia St</w:t>
      </w:r>
      <w:r>
        <w:t>atement</w:t>
      </w:r>
      <w:r w:rsidRPr="00271D0F">
        <w:t xml:space="preserve"> No. 1-R, p. 13. </w:t>
      </w:r>
    </w:p>
    <w:p w:rsidR="006810B1" w:rsidRPr="00271D0F" w:rsidRDefault="006810B1" w:rsidP="00325E79">
      <w:pPr>
        <w:pStyle w:val="FootnoteText"/>
      </w:pPr>
    </w:p>
  </w:footnote>
  <w:footnote w:id="57">
    <w:p w:rsidR="006810B1" w:rsidRPr="00271D0F" w:rsidRDefault="006810B1" w:rsidP="00325E79">
      <w:pPr>
        <w:pStyle w:val="FootnoteText"/>
      </w:pPr>
      <w:r w:rsidRPr="00271D0F">
        <w:rPr>
          <w:rStyle w:val="FootnoteReference"/>
        </w:rPr>
        <w:footnoteRef/>
      </w:r>
      <w:r w:rsidRPr="00271D0F">
        <w:t xml:space="preserve"> </w:t>
      </w:r>
      <w:r w:rsidRPr="00271D0F">
        <w:tab/>
      </w:r>
      <w:r>
        <w:t>B</w:t>
      </w:r>
      <w:r w:rsidRPr="00271D0F">
        <w:t>I&amp;E St</w:t>
      </w:r>
      <w:r>
        <w:t>atement</w:t>
      </w:r>
      <w:r w:rsidRPr="00271D0F">
        <w:t xml:space="preserve"> No. 1-R, p. 9.</w:t>
      </w:r>
    </w:p>
  </w:footnote>
  <w:footnote w:id="58">
    <w:p w:rsidR="006810B1" w:rsidRDefault="006810B1" w:rsidP="007A557D">
      <w:pPr>
        <w:pStyle w:val="FootnoteText"/>
      </w:pPr>
      <w:r w:rsidRPr="00CA3056">
        <w:rPr>
          <w:rStyle w:val="FootnoteReference"/>
        </w:rPr>
        <w:footnoteRef/>
      </w:r>
      <w:r w:rsidRPr="00B55CBC">
        <w:t xml:space="preserve"> </w:t>
      </w:r>
      <w:r w:rsidRPr="00B55CBC">
        <w:rPr>
          <w:i/>
        </w:rPr>
        <w:t>Re Line Extensions</w:t>
      </w:r>
      <w:r w:rsidRPr="00B55CBC">
        <w:t xml:space="preserve">, Docket No. </w:t>
      </w:r>
      <w:proofErr w:type="gramStart"/>
      <w:r w:rsidRPr="00B55CBC">
        <w:t>L-930089, 1996 Pa. PUC Lexis 162 (Order entered October 7, 1996</w:t>
      </w:r>
      <w:r w:rsidRPr="001D2108">
        <w:t>)</w:t>
      </w:r>
      <w:r w:rsidRPr="001D2108">
        <w:rPr>
          <w:i/>
        </w:rPr>
        <w:t xml:space="preserve"> (1996 Water Line Extension Order).</w:t>
      </w:r>
      <w:proofErr w:type="gramEnd"/>
    </w:p>
    <w:p w:rsidR="006810B1" w:rsidRPr="00B55CBC" w:rsidRDefault="006810B1" w:rsidP="00024940">
      <w:pPr>
        <w:pStyle w:val="FootnoteText"/>
        <w:ind w:left="270" w:hanging="270"/>
      </w:pPr>
    </w:p>
  </w:footnote>
  <w:footnote w:id="59">
    <w:p w:rsidR="006810B1" w:rsidRDefault="006810B1" w:rsidP="00024940">
      <w:pPr>
        <w:pStyle w:val="FootnoteText"/>
        <w:ind w:left="270" w:hanging="270"/>
        <w:rPr>
          <w:i/>
        </w:rPr>
      </w:pPr>
      <w:r w:rsidRPr="00CA3056">
        <w:rPr>
          <w:rStyle w:val="FootnoteReference"/>
        </w:rPr>
        <w:footnoteRef/>
      </w:r>
      <w:r w:rsidRPr="00B55CBC">
        <w:t xml:space="preserve"> </w:t>
      </w:r>
      <w:r w:rsidRPr="00B55CBC">
        <w:rPr>
          <w:i/>
        </w:rPr>
        <w:t>1996 Water Line Extension Order,</w:t>
      </w:r>
      <w:r w:rsidRPr="00B55CBC">
        <w:t xml:space="preserve"> at *8 (emphasis added).</w:t>
      </w:r>
      <w:r w:rsidRPr="00B55CBC">
        <w:rPr>
          <w:i/>
        </w:rPr>
        <w:t xml:space="preserve"> </w:t>
      </w:r>
    </w:p>
    <w:p w:rsidR="006810B1" w:rsidRPr="00B55CBC" w:rsidRDefault="006810B1" w:rsidP="00024940">
      <w:pPr>
        <w:pStyle w:val="FootnoteText"/>
        <w:ind w:left="270" w:hanging="270"/>
        <w:rPr>
          <w:i/>
        </w:rPr>
      </w:pPr>
    </w:p>
  </w:footnote>
  <w:footnote w:id="60">
    <w:p w:rsidR="006810B1" w:rsidRDefault="006810B1" w:rsidP="00024940">
      <w:pPr>
        <w:pStyle w:val="FootnoteText"/>
        <w:ind w:left="270" w:hanging="270"/>
      </w:pPr>
      <w:r w:rsidRPr="00CA3056">
        <w:rPr>
          <w:rStyle w:val="FootnoteReference"/>
        </w:rPr>
        <w:footnoteRef/>
      </w:r>
      <w:r w:rsidRPr="00CA3056">
        <w:t xml:space="preserve"> </w:t>
      </w:r>
      <w:proofErr w:type="gramStart"/>
      <w:r w:rsidRPr="00B55CBC">
        <w:rPr>
          <w:i/>
        </w:rPr>
        <w:t>Id</w:t>
      </w:r>
      <w:r w:rsidRPr="00B55CBC">
        <w:t>., at *10.</w:t>
      </w:r>
      <w:proofErr w:type="gramEnd"/>
    </w:p>
    <w:p w:rsidR="006810B1" w:rsidRPr="00B55CBC" w:rsidRDefault="006810B1" w:rsidP="00024940">
      <w:pPr>
        <w:pStyle w:val="FootnoteText"/>
        <w:ind w:left="270" w:hanging="270"/>
      </w:pPr>
    </w:p>
  </w:footnote>
  <w:footnote w:id="61">
    <w:p w:rsidR="006810B1" w:rsidRDefault="006810B1" w:rsidP="00024940">
      <w:pPr>
        <w:pStyle w:val="FootnoteText"/>
        <w:ind w:left="270" w:hanging="270"/>
      </w:pPr>
      <w:r w:rsidRPr="00CA3056">
        <w:rPr>
          <w:rStyle w:val="FootnoteReference"/>
        </w:rPr>
        <w:footnoteRef/>
      </w:r>
      <w:r w:rsidRPr="00B55CBC">
        <w:t xml:space="preserve"> </w:t>
      </w:r>
      <w:r w:rsidRPr="00B55CBC">
        <w:rPr>
          <w:i/>
        </w:rPr>
        <w:t>Id</w:t>
      </w:r>
      <w:r w:rsidRPr="00B55CBC">
        <w:t>.</w:t>
      </w:r>
    </w:p>
    <w:p w:rsidR="006810B1" w:rsidRPr="00074BEF" w:rsidRDefault="006810B1" w:rsidP="00024940">
      <w:pPr>
        <w:pStyle w:val="FootnoteText"/>
        <w:ind w:left="270" w:hanging="270"/>
      </w:pPr>
    </w:p>
  </w:footnote>
  <w:footnote w:id="62">
    <w:p w:rsidR="006810B1" w:rsidRDefault="006810B1" w:rsidP="00024940">
      <w:pPr>
        <w:pStyle w:val="FootnoteText"/>
      </w:pPr>
      <w:r w:rsidRPr="00CA3056">
        <w:rPr>
          <w:rStyle w:val="FootnoteReference"/>
        </w:rPr>
        <w:footnoteRef/>
      </w:r>
      <w:r w:rsidRPr="00B55CBC">
        <w:t xml:space="preserve"> </w:t>
      </w:r>
      <w:proofErr w:type="gramStart"/>
      <w:r w:rsidRPr="00B55CBC">
        <w:rPr>
          <w:i/>
        </w:rPr>
        <w:t>Id</w:t>
      </w:r>
      <w:r w:rsidRPr="00B55CBC">
        <w:t>., at * 15.</w:t>
      </w:r>
      <w:proofErr w:type="gramEnd"/>
    </w:p>
    <w:p w:rsidR="006810B1" w:rsidRPr="00B55CBC" w:rsidRDefault="006810B1" w:rsidP="00024940">
      <w:pPr>
        <w:pStyle w:val="FootnoteText"/>
      </w:pPr>
    </w:p>
  </w:footnote>
  <w:footnote w:id="63">
    <w:p w:rsidR="006810B1" w:rsidRPr="00745BA7" w:rsidRDefault="006810B1" w:rsidP="003D3F4F">
      <w:pPr>
        <w:pStyle w:val="FootnoteText"/>
      </w:pPr>
      <w:r w:rsidRPr="00CA3056">
        <w:rPr>
          <w:rStyle w:val="FootnoteReference"/>
        </w:rPr>
        <w:footnoteRef/>
      </w:r>
      <w:r w:rsidRPr="00B55CBC">
        <w:t xml:space="preserve"> </w:t>
      </w:r>
      <w:r w:rsidRPr="00B55CBC">
        <w:rPr>
          <w:i/>
        </w:rPr>
        <w:t>P</w:t>
      </w:r>
      <w:r>
        <w:rPr>
          <w:i/>
        </w:rPr>
        <w:t>a.</w:t>
      </w:r>
      <w:r w:rsidRPr="00B55CBC">
        <w:rPr>
          <w:i/>
        </w:rPr>
        <w:t xml:space="preserve"> Pub</w:t>
      </w:r>
      <w:r>
        <w:rPr>
          <w:i/>
        </w:rPr>
        <w:t>.</w:t>
      </w:r>
      <w:r w:rsidRPr="00B55CBC">
        <w:rPr>
          <w:i/>
        </w:rPr>
        <w:t xml:space="preserve"> Util</w:t>
      </w:r>
      <w:r>
        <w:rPr>
          <w:i/>
        </w:rPr>
        <w:t>.</w:t>
      </w:r>
      <w:r w:rsidRPr="00B55CBC">
        <w:rPr>
          <w:i/>
        </w:rPr>
        <w:t xml:space="preserve"> Comm</w:t>
      </w:r>
      <w:r>
        <w:rPr>
          <w:i/>
        </w:rPr>
        <w:t>’n</w:t>
      </w:r>
      <w:r w:rsidRPr="00B55CBC">
        <w:rPr>
          <w:i/>
        </w:rPr>
        <w:t xml:space="preserve"> v. Columbia Gas of Pennsylvania, Inc.</w:t>
      </w:r>
      <w:r w:rsidRPr="00B55CBC">
        <w:t xml:space="preserve">, Docket No. R-2012-2321748, Statement of Commissioner </w:t>
      </w:r>
      <w:r>
        <w:t xml:space="preserve">James H. </w:t>
      </w:r>
      <w:r w:rsidRPr="00B55CBC">
        <w:t>Cawley at 2 (emphasis added).</w:t>
      </w:r>
    </w:p>
  </w:footnote>
  <w:footnote w:id="64">
    <w:p w:rsidR="006810B1" w:rsidRDefault="006810B1" w:rsidP="00D63D77">
      <w:pPr>
        <w:pStyle w:val="FootnoteText"/>
      </w:pPr>
      <w:r w:rsidRPr="00271D0F">
        <w:rPr>
          <w:rStyle w:val="FootnoteReference"/>
        </w:rPr>
        <w:footnoteRef/>
      </w:r>
      <w:r w:rsidRPr="00271D0F">
        <w:t xml:space="preserve"> </w:t>
      </w:r>
      <w:r w:rsidRPr="00271D0F">
        <w:tab/>
      </w:r>
      <w:proofErr w:type="gramStart"/>
      <w:r w:rsidRPr="00271D0F">
        <w:t>OCA St</w:t>
      </w:r>
      <w:r>
        <w:t>atement</w:t>
      </w:r>
      <w:r w:rsidRPr="00271D0F">
        <w:t xml:space="preserve"> No. 1, pp. 13-15, 18.</w:t>
      </w:r>
      <w:proofErr w:type="gramEnd"/>
    </w:p>
    <w:p w:rsidR="006810B1" w:rsidRPr="00271D0F" w:rsidRDefault="006810B1" w:rsidP="00D63D77">
      <w:pPr>
        <w:pStyle w:val="FootnoteText"/>
      </w:pPr>
    </w:p>
  </w:footnote>
  <w:footnote w:id="65">
    <w:p w:rsidR="006810B1" w:rsidRDefault="006810B1" w:rsidP="00D63D77">
      <w:pPr>
        <w:pStyle w:val="FootnoteText"/>
      </w:pPr>
      <w:r w:rsidRPr="00271D0F">
        <w:rPr>
          <w:rStyle w:val="FootnoteReference"/>
        </w:rPr>
        <w:footnoteRef/>
      </w:r>
      <w:r w:rsidRPr="00271D0F">
        <w:t xml:space="preserve"> </w:t>
      </w:r>
      <w:r w:rsidRPr="00271D0F">
        <w:tab/>
      </w:r>
      <w:r>
        <w:t>B</w:t>
      </w:r>
      <w:r w:rsidRPr="00271D0F">
        <w:t>I&amp;E St</w:t>
      </w:r>
      <w:r>
        <w:t>atement</w:t>
      </w:r>
      <w:r w:rsidRPr="00271D0F">
        <w:t xml:space="preserve"> No. 1-R, p. 11.</w:t>
      </w:r>
    </w:p>
    <w:p w:rsidR="006810B1" w:rsidRPr="00271D0F" w:rsidRDefault="006810B1" w:rsidP="00D63D77">
      <w:pPr>
        <w:pStyle w:val="FootnoteText"/>
      </w:pPr>
    </w:p>
  </w:footnote>
  <w:footnote w:id="66">
    <w:p w:rsidR="006810B1" w:rsidRDefault="006810B1" w:rsidP="00D63D77">
      <w:pPr>
        <w:pStyle w:val="FootnoteText"/>
      </w:pPr>
      <w:r w:rsidRPr="00271D0F">
        <w:rPr>
          <w:rStyle w:val="FootnoteReference"/>
        </w:rPr>
        <w:footnoteRef/>
      </w:r>
      <w:r w:rsidRPr="00271D0F">
        <w:t xml:space="preserve"> </w:t>
      </w:r>
      <w:r w:rsidRPr="00271D0F">
        <w:tab/>
      </w:r>
      <w:proofErr w:type="gramStart"/>
      <w:r w:rsidRPr="00271D0F">
        <w:t>66 Pa.C.S.</w:t>
      </w:r>
      <w:proofErr w:type="gramEnd"/>
      <w:r w:rsidRPr="00271D0F">
        <w:t xml:space="preserve"> § 1501; </w:t>
      </w:r>
      <w:r w:rsidRPr="00271D0F">
        <w:rPr>
          <w:i/>
        </w:rPr>
        <w:t xml:space="preserve">Fayette County Gas Co. v. Pa. Pub. </w:t>
      </w:r>
      <w:proofErr w:type="gramStart"/>
      <w:r w:rsidRPr="00271D0F">
        <w:rPr>
          <w:i/>
        </w:rPr>
        <w:t>Util. Comm’n</w:t>
      </w:r>
      <w:r w:rsidRPr="00271D0F">
        <w:t xml:space="preserve">, 33 A.2d 761 (Pa. Super. 1943); </w:t>
      </w:r>
      <w:proofErr w:type="spellStart"/>
      <w:r w:rsidRPr="00271D0F">
        <w:rPr>
          <w:i/>
        </w:rPr>
        <w:t>Popowsky</w:t>
      </w:r>
      <w:proofErr w:type="spellEnd"/>
      <w:r w:rsidRPr="00271D0F">
        <w:rPr>
          <w:i/>
        </w:rPr>
        <w:t xml:space="preserve"> v. Pa. Pub.</w:t>
      </w:r>
      <w:proofErr w:type="gramEnd"/>
      <w:r w:rsidRPr="00271D0F">
        <w:rPr>
          <w:i/>
        </w:rPr>
        <w:t xml:space="preserve"> </w:t>
      </w:r>
      <w:proofErr w:type="gramStart"/>
      <w:r w:rsidRPr="00271D0F">
        <w:rPr>
          <w:i/>
        </w:rPr>
        <w:t>Util. Comm’n</w:t>
      </w:r>
      <w:r w:rsidRPr="00271D0F">
        <w:t>, 589 Pa. 605, 910 A.2d 38 (2006).</w:t>
      </w:r>
      <w:proofErr w:type="gramEnd"/>
    </w:p>
    <w:p w:rsidR="006810B1" w:rsidRPr="00271D0F" w:rsidRDefault="006810B1" w:rsidP="00D63D77">
      <w:pPr>
        <w:pStyle w:val="FootnoteText"/>
      </w:pPr>
    </w:p>
  </w:footnote>
  <w:footnote w:id="67">
    <w:p w:rsidR="006810B1" w:rsidRDefault="006810B1" w:rsidP="00D63D77">
      <w:pPr>
        <w:pStyle w:val="FootnoteText"/>
      </w:pPr>
      <w:r w:rsidRPr="00271D0F">
        <w:rPr>
          <w:rStyle w:val="FootnoteReference"/>
        </w:rPr>
        <w:footnoteRef/>
      </w:r>
      <w:r w:rsidRPr="00271D0F">
        <w:t xml:space="preserve"> </w:t>
      </w:r>
      <w:r w:rsidRPr="00271D0F">
        <w:tab/>
        <w:t>Columbia St</w:t>
      </w:r>
      <w:r>
        <w:t>atement</w:t>
      </w:r>
      <w:r w:rsidRPr="00271D0F">
        <w:t xml:space="preserve"> No. 1-R, p. 7.</w:t>
      </w:r>
    </w:p>
    <w:p w:rsidR="006810B1" w:rsidRPr="00271D0F" w:rsidRDefault="006810B1" w:rsidP="00D63D77">
      <w:pPr>
        <w:pStyle w:val="FootnoteText"/>
      </w:pPr>
    </w:p>
  </w:footnote>
  <w:footnote w:id="68">
    <w:p w:rsidR="006810B1" w:rsidRDefault="006810B1" w:rsidP="00D63D77">
      <w:pPr>
        <w:pStyle w:val="FootnoteText"/>
      </w:pPr>
      <w:r w:rsidRPr="00271D0F">
        <w:rPr>
          <w:rStyle w:val="FootnoteReference"/>
        </w:rPr>
        <w:footnoteRef/>
      </w:r>
      <w:r w:rsidRPr="00271D0F">
        <w:t xml:space="preserve"> </w:t>
      </w:r>
      <w:r w:rsidRPr="00271D0F">
        <w:tab/>
      </w:r>
      <w:proofErr w:type="gramStart"/>
      <w:r w:rsidRPr="00271D0F">
        <w:t>52 Pa.Code § 59.27.</w:t>
      </w:r>
      <w:proofErr w:type="gramEnd"/>
    </w:p>
    <w:p w:rsidR="006810B1" w:rsidRPr="00271D0F" w:rsidRDefault="006810B1" w:rsidP="00D63D77">
      <w:pPr>
        <w:pStyle w:val="FootnoteText"/>
      </w:pPr>
    </w:p>
  </w:footnote>
  <w:footnote w:id="69">
    <w:p w:rsidR="006810B1" w:rsidRDefault="006810B1" w:rsidP="00D63D77">
      <w:pPr>
        <w:pStyle w:val="FootnoteText"/>
      </w:pPr>
      <w:r w:rsidRPr="00271D0F">
        <w:rPr>
          <w:rStyle w:val="FootnoteReference"/>
        </w:rPr>
        <w:footnoteRef/>
      </w:r>
      <w:r w:rsidRPr="00271D0F">
        <w:t xml:space="preserve"> </w:t>
      </w:r>
      <w:r w:rsidRPr="00271D0F">
        <w:tab/>
        <w:t>Supplement 181 to Tariff Gas-Pa. P.U.C. No. 9, Fourth Revised Page No. 8, Tariff Rule 8.2.1.</w:t>
      </w:r>
    </w:p>
    <w:p w:rsidR="006810B1" w:rsidRPr="00271D0F" w:rsidRDefault="006810B1" w:rsidP="00D63D77">
      <w:pPr>
        <w:pStyle w:val="FootnoteText"/>
      </w:pPr>
    </w:p>
  </w:footnote>
  <w:footnote w:id="70">
    <w:p w:rsidR="006810B1" w:rsidRDefault="006810B1" w:rsidP="00D63D77">
      <w:pPr>
        <w:pStyle w:val="FootnoteText"/>
      </w:pPr>
      <w:r w:rsidRPr="00271D0F">
        <w:rPr>
          <w:rStyle w:val="FootnoteReference"/>
        </w:rPr>
        <w:footnoteRef/>
      </w:r>
      <w:r w:rsidRPr="00271D0F">
        <w:t xml:space="preserve"> </w:t>
      </w:r>
      <w:r w:rsidRPr="00271D0F">
        <w:tab/>
        <w:t>OCA Statement No. 1, pp. 13-14.</w:t>
      </w:r>
    </w:p>
    <w:p w:rsidR="006810B1" w:rsidRPr="00271D0F" w:rsidRDefault="006810B1" w:rsidP="00D63D77">
      <w:pPr>
        <w:pStyle w:val="FootnoteText"/>
      </w:pPr>
    </w:p>
  </w:footnote>
  <w:footnote w:id="71">
    <w:p w:rsidR="006810B1" w:rsidRDefault="006810B1" w:rsidP="00D63D77">
      <w:pPr>
        <w:pStyle w:val="FootnoteText"/>
      </w:pPr>
      <w:r w:rsidRPr="00271D0F">
        <w:rPr>
          <w:rStyle w:val="FootnoteReference"/>
        </w:rPr>
        <w:footnoteRef/>
      </w:r>
      <w:r w:rsidRPr="00271D0F">
        <w:t xml:space="preserve"> </w:t>
      </w:r>
      <w:r w:rsidRPr="00271D0F">
        <w:tab/>
      </w:r>
      <w:proofErr w:type="gramStart"/>
      <w:r w:rsidRPr="00271D0F">
        <w:t>66 Pa.C.S.</w:t>
      </w:r>
      <w:proofErr w:type="gramEnd"/>
      <w:r w:rsidRPr="00271D0F">
        <w:t xml:space="preserve"> §</w:t>
      </w:r>
      <w:r>
        <w:t xml:space="preserve"> </w:t>
      </w:r>
      <w:r w:rsidRPr="00271D0F">
        <w:t>1510.</w:t>
      </w:r>
    </w:p>
    <w:p w:rsidR="006810B1" w:rsidRPr="00271D0F" w:rsidRDefault="006810B1" w:rsidP="00D63D77">
      <w:pPr>
        <w:pStyle w:val="FootnoteText"/>
      </w:pPr>
    </w:p>
  </w:footnote>
  <w:footnote w:id="72">
    <w:p w:rsidR="006810B1" w:rsidRDefault="006810B1" w:rsidP="00D63D77">
      <w:pPr>
        <w:pStyle w:val="FootnoteText"/>
      </w:pPr>
      <w:r w:rsidRPr="00271D0F">
        <w:rPr>
          <w:rStyle w:val="FootnoteReference"/>
        </w:rPr>
        <w:footnoteRef/>
      </w:r>
      <w:r w:rsidRPr="00271D0F">
        <w:t xml:space="preserve"> </w:t>
      </w:r>
      <w:r w:rsidRPr="00271D0F">
        <w:tab/>
      </w:r>
      <w:r>
        <w:t xml:space="preserve">BI&amp;E Statement </w:t>
      </w:r>
      <w:r w:rsidRPr="00271D0F">
        <w:t>No. 1-R, p. 12.</w:t>
      </w:r>
    </w:p>
    <w:p w:rsidR="006810B1" w:rsidRPr="00271D0F" w:rsidRDefault="006810B1" w:rsidP="00D63D77">
      <w:pPr>
        <w:pStyle w:val="FootnoteText"/>
      </w:pPr>
    </w:p>
  </w:footnote>
  <w:footnote w:id="73">
    <w:p w:rsidR="006810B1" w:rsidRDefault="006810B1" w:rsidP="00D63D77">
      <w:pPr>
        <w:pStyle w:val="FootnoteText"/>
      </w:pPr>
      <w:r w:rsidRPr="00271D0F">
        <w:rPr>
          <w:rStyle w:val="FootnoteReference"/>
        </w:rPr>
        <w:footnoteRef/>
      </w:r>
      <w:r w:rsidRPr="00271D0F">
        <w:t xml:space="preserve"> </w:t>
      </w:r>
      <w:r w:rsidRPr="00271D0F">
        <w:tab/>
      </w:r>
      <w:r>
        <w:t>B</w:t>
      </w:r>
      <w:r w:rsidRPr="00271D0F">
        <w:t>I&amp;E St</w:t>
      </w:r>
      <w:r>
        <w:t>atement</w:t>
      </w:r>
      <w:r w:rsidRPr="00271D0F">
        <w:t xml:space="preserve"> No. 1-R, p. 12.</w:t>
      </w:r>
    </w:p>
    <w:p w:rsidR="006810B1" w:rsidRPr="00271D0F" w:rsidRDefault="006810B1" w:rsidP="00D63D77">
      <w:pPr>
        <w:pStyle w:val="FootnoteText"/>
      </w:pPr>
    </w:p>
  </w:footnote>
  <w:footnote w:id="74">
    <w:p w:rsidR="006810B1" w:rsidRDefault="006810B1" w:rsidP="00D63D77">
      <w:pPr>
        <w:pStyle w:val="FootnoteText"/>
      </w:pPr>
      <w:r w:rsidRPr="00271D0F">
        <w:rPr>
          <w:rStyle w:val="FootnoteReference"/>
        </w:rPr>
        <w:footnoteRef/>
      </w:r>
      <w:r w:rsidRPr="00271D0F">
        <w:t xml:space="preserve"> </w:t>
      </w:r>
      <w:r w:rsidRPr="00271D0F">
        <w:tab/>
        <w:t>Columbia St</w:t>
      </w:r>
      <w:r>
        <w:t>atement</w:t>
      </w:r>
      <w:r w:rsidRPr="00271D0F">
        <w:t xml:space="preserve"> No. 1-R, p. 13.</w:t>
      </w:r>
    </w:p>
    <w:p w:rsidR="006810B1" w:rsidRPr="00271D0F" w:rsidRDefault="006810B1" w:rsidP="00D63D77">
      <w:pPr>
        <w:pStyle w:val="FootnoteText"/>
      </w:pPr>
    </w:p>
  </w:footnote>
  <w:footnote w:id="75">
    <w:p w:rsidR="006810B1" w:rsidRDefault="006810B1" w:rsidP="00D63D77">
      <w:pPr>
        <w:pStyle w:val="FootnoteText"/>
      </w:pPr>
      <w:r w:rsidRPr="00271D0F">
        <w:rPr>
          <w:rStyle w:val="FootnoteReference"/>
        </w:rPr>
        <w:footnoteRef/>
      </w:r>
      <w:r w:rsidRPr="00271D0F">
        <w:t xml:space="preserve"> </w:t>
      </w:r>
      <w:r w:rsidRPr="00271D0F">
        <w:tab/>
        <w:t>Columbia St</w:t>
      </w:r>
      <w:r>
        <w:t>atement</w:t>
      </w:r>
      <w:r w:rsidRPr="00271D0F">
        <w:t xml:space="preserve"> No. 1-R, pp. 13-14.  </w:t>
      </w:r>
    </w:p>
    <w:p w:rsidR="006810B1" w:rsidRPr="00271D0F" w:rsidRDefault="006810B1" w:rsidP="00D63D77">
      <w:pPr>
        <w:pStyle w:val="FootnoteText"/>
      </w:pPr>
    </w:p>
  </w:footnote>
  <w:footnote w:id="76">
    <w:p w:rsidR="006810B1" w:rsidRDefault="006810B1" w:rsidP="00D63D77">
      <w:pPr>
        <w:pStyle w:val="FootnoteText"/>
      </w:pPr>
      <w:r w:rsidRPr="00271D0F">
        <w:rPr>
          <w:rStyle w:val="FootnoteReference"/>
        </w:rPr>
        <w:footnoteRef/>
      </w:r>
      <w:r w:rsidRPr="00271D0F">
        <w:t xml:space="preserve"> </w:t>
      </w:r>
      <w:r w:rsidRPr="00271D0F">
        <w:tab/>
        <w:t>OCA St</w:t>
      </w:r>
      <w:r>
        <w:t>atement</w:t>
      </w:r>
      <w:r w:rsidRPr="00271D0F">
        <w:t xml:space="preserve"> No. 1, pp. 14-15.</w:t>
      </w:r>
    </w:p>
    <w:p w:rsidR="006810B1" w:rsidRPr="00271D0F" w:rsidRDefault="006810B1" w:rsidP="00D63D77">
      <w:pPr>
        <w:pStyle w:val="FootnoteText"/>
      </w:pPr>
    </w:p>
  </w:footnote>
  <w:footnote w:id="77">
    <w:p w:rsidR="006810B1" w:rsidRDefault="006810B1" w:rsidP="00D63D77">
      <w:pPr>
        <w:pStyle w:val="FootnoteText"/>
      </w:pPr>
      <w:r w:rsidRPr="00271D0F">
        <w:rPr>
          <w:rStyle w:val="FootnoteReference"/>
        </w:rPr>
        <w:footnoteRef/>
      </w:r>
      <w:r w:rsidRPr="00271D0F">
        <w:t xml:space="preserve"> </w:t>
      </w:r>
      <w:r w:rsidRPr="00271D0F">
        <w:tab/>
      </w:r>
      <w:r>
        <w:t>B</w:t>
      </w:r>
      <w:r w:rsidRPr="00271D0F">
        <w:t>I&amp;E St</w:t>
      </w:r>
      <w:r>
        <w:t>atement</w:t>
      </w:r>
      <w:r w:rsidRPr="00271D0F">
        <w:t xml:space="preserve"> No. 1-R, p. 12</w:t>
      </w:r>
      <w:r>
        <w:t>;</w:t>
      </w:r>
      <w:r w:rsidRPr="00271D0F">
        <w:t xml:space="preserve"> Columbia St</w:t>
      </w:r>
      <w:r>
        <w:t>atement</w:t>
      </w:r>
      <w:r w:rsidRPr="00271D0F">
        <w:t xml:space="preserve"> No. 1-R, p. 6.  </w:t>
      </w:r>
    </w:p>
    <w:p w:rsidR="006810B1" w:rsidRPr="00271D0F" w:rsidRDefault="006810B1" w:rsidP="00D63D77">
      <w:pPr>
        <w:pStyle w:val="FootnoteText"/>
      </w:pPr>
    </w:p>
  </w:footnote>
  <w:footnote w:id="78">
    <w:p w:rsidR="006810B1" w:rsidRDefault="006810B1" w:rsidP="00D63D77">
      <w:pPr>
        <w:pStyle w:val="FootnoteText"/>
      </w:pPr>
      <w:r w:rsidRPr="00271D0F">
        <w:rPr>
          <w:rStyle w:val="FootnoteReference"/>
        </w:rPr>
        <w:footnoteRef/>
      </w:r>
      <w:r w:rsidRPr="00271D0F">
        <w:t xml:space="preserve"> </w:t>
      </w:r>
      <w:r w:rsidRPr="00271D0F">
        <w:tab/>
      </w:r>
      <w:r>
        <w:t>BI</w:t>
      </w:r>
      <w:r w:rsidRPr="00271D0F">
        <w:t>&amp;E St</w:t>
      </w:r>
      <w:r>
        <w:t>atement</w:t>
      </w:r>
      <w:r w:rsidRPr="00271D0F">
        <w:t xml:space="preserve"> No. 1-R, p. 12.</w:t>
      </w:r>
    </w:p>
    <w:p w:rsidR="006810B1" w:rsidRPr="00271D0F" w:rsidRDefault="006810B1" w:rsidP="00D63D77">
      <w:pPr>
        <w:pStyle w:val="FootnoteText"/>
      </w:pPr>
    </w:p>
  </w:footnote>
  <w:footnote w:id="79">
    <w:p w:rsidR="006810B1" w:rsidRDefault="006810B1" w:rsidP="00D63D77">
      <w:pPr>
        <w:pStyle w:val="FootnoteText"/>
      </w:pPr>
      <w:r w:rsidRPr="00271D0F">
        <w:rPr>
          <w:rStyle w:val="FootnoteReference"/>
        </w:rPr>
        <w:footnoteRef/>
      </w:r>
      <w:r w:rsidRPr="00271D0F">
        <w:t xml:space="preserve"> </w:t>
      </w:r>
      <w:r w:rsidRPr="00271D0F">
        <w:tab/>
        <w:t>Columbia St</w:t>
      </w:r>
      <w:r>
        <w:t>atement</w:t>
      </w:r>
      <w:r w:rsidRPr="00271D0F">
        <w:t xml:space="preserve"> No. 1-R, p. 6.</w:t>
      </w:r>
    </w:p>
    <w:p w:rsidR="006810B1" w:rsidRPr="00271D0F" w:rsidRDefault="006810B1" w:rsidP="00D63D77">
      <w:pPr>
        <w:pStyle w:val="FootnoteText"/>
      </w:pPr>
    </w:p>
  </w:footnote>
  <w:footnote w:id="80">
    <w:p w:rsidR="006810B1" w:rsidRDefault="006810B1" w:rsidP="00D63D77">
      <w:pPr>
        <w:pStyle w:val="FootnoteText"/>
      </w:pPr>
      <w:r w:rsidRPr="00271D0F">
        <w:rPr>
          <w:rStyle w:val="FootnoteReference"/>
        </w:rPr>
        <w:footnoteRef/>
      </w:r>
      <w:r w:rsidRPr="00271D0F">
        <w:t xml:space="preserve"> </w:t>
      </w:r>
      <w:r w:rsidRPr="00271D0F">
        <w:tab/>
        <w:t>Columbia St</w:t>
      </w:r>
      <w:r>
        <w:t>atement</w:t>
      </w:r>
      <w:r w:rsidRPr="00271D0F">
        <w:t xml:space="preserve"> No. 1-R, p. 6.</w:t>
      </w:r>
    </w:p>
    <w:p w:rsidR="006810B1" w:rsidRPr="00271D0F" w:rsidRDefault="006810B1" w:rsidP="00D63D77">
      <w:pPr>
        <w:pStyle w:val="FootnoteText"/>
      </w:pPr>
    </w:p>
  </w:footnote>
  <w:footnote w:id="81">
    <w:p w:rsidR="006810B1" w:rsidRDefault="006810B1" w:rsidP="00CD7391">
      <w:pPr>
        <w:pStyle w:val="FootnoteText"/>
      </w:pPr>
      <w:r w:rsidRPr="00271D0F">
        <w:rPr>
          <w:rStyle w:val="FootnoteReference"/>
        </w:rPr>
        <w:footnoteRef/>
      </w:r>
      <w:r w:rsidRPr="00271D0F">
        <w:t xml:space="preserve"> </w:t>
      </w:r>
      <w:r w:rsidRPr="00271D0F">
        <w:tab/>
        <w:t>OCA St</w:t>
      </w:r>
      <w:r>
        <w:t>atement</w:t>
      </w:r>
      <w:r w:rsidRPr="00271D0F">
        <w:t xml:space="preserve"> No. 1, pp. 18-19.</w:t>
      </w:r>
    </w:p>
    <w:p w:rsidR="006810B1" w:rsidRPr="00271D0F" w:rsidRDefault="006810B1" w:rsidP="00CD7391">
      <w:pPr>
        <w:pStyle w:val="FootnoteText"/>
      </w:pPr>
    </w:p>
  </w:footnote>
  <w:footnote w:id="82">
    <w:p w:rsidR="006810B1" w:rsidRDefault="006810B1" w:rsidP="00CD7391">
      <w:pPr>
        <w:pStyle w:val="FootnoteText"/>
      </w:pPr>
      <w:r w:rsidRPr="00271D0F">
        <w:rPr>
          <w:rStyle w:val="FootnoteReference"/>
        </w:rPr>
        <w:footnoteRef/>
      </w:r>
      <w:r w:rsidRPr="00271D0F">
        <w:t xml:space="preserve"> </w:t>
      </w:r>
      <w:r w:rsidRPr="00271D0F">
        <w:tab/>
        <w:t>Columbia St</w:t>
      </w:r>
      <w:r>
        <w:t>atement</w:t>
      </w:r>
      <w:r w:rsidRPr="00271D0F">
        <w:t xml:space="preserve"> No. 1-R, pp. 10-11.</w:t>
      </w:r>
    </w:p>
    <w:p w:rsidR="006810B1" w:rsidRPr="00271D0F" w:rsidRDefault="006810B1" w:rsidP="00CD7391">
      <w:pPr>
        <w:pStyle w:val="FootnoteText"/>
      </w:pPr>
    </w:p>
  </w:footnote>
  <w:footnote w:id="83">
    <w:p w:rsidR="006810B1" w:rsidRPr="00271D0F" w:rsidRDefault="006810B1" w:rsidP="00CD7391">
      <w:pPr>
        <w:pStyle w:val="FootnoteText"/>
      </w:pPr>
      <w:r w:rsidRPr="00271D0F">
        <w:rPr>
          <w:rStyle w:val="FootnoteReference"/>
        </w:rPr>
        <w:footnoteRef/>
      </w:r>
      <w:r w:rsidRPr="00271D0F">
        <w:t xml:space="preserve"> </w:t>
      </w:r>
      <w:r w:rsidRPr="00271D0F">
        <w:tab/>
      </w:r>
      <w:r>
        <w:t>B</w:t>
      </w:r>
      <w:r w:rsidRPr="00271D0F">
        <w:t>I&amp;E St</w:t>
      </w:r>
      <w:r>
        <w:t>atement</w:t>
      </w:r>
      <w:r w:rsidRPr="00271D0F">
        <w:t xml:space="preserve"> No. 1-R, p. 20.</w:t>
      </w:r>
    </w:p>
  </w:footnote>
  <w:footnote w:id="84">
    <w:p w:rsidR="006810B1" w:rsidRDefault="006810B1" w:rsidP="00851F92">
      <w:pPr>
        <w:pStyle w:val="FootnoteText"/>
      </w:pPr>
      <w:r>
        <w:rPr>
          <w:rStyle w:val="FootnoteReference"/>
        </w:rPr>
        <w:footnoteRef/>
      </w:r>
      <w:r>
        <w:t xml:space="preserve"> In the case of a project involving multiple residences, the amount of the uneconomic portion that can be recovered through Pilot Rider NAS will increase, as the $35.00 per month cap will apply to each applicant.</w:t>
      </w:r>
    </w:p>
    <w:p w:rsidR="006810B1" w:rsidRDefault="006810B1" w:rsidP="00851F92">
      <w:pPr>
        <w:pStyle w:val="FootnoteText"/>
      </w:pPr>
    </w:p>
  </w:footnote>
  <w:footnote w:id="85">
    <w:p w:rsidR="006810B1" w:rsidRDefault="006810B1" w:rsidP="00851F92">
      <w:pPr>
        <w:pStyle w:val="FootnoteText"/>
      </w:pPr>
      <w:r>
        <w:rPr>
          <w:rStyle w:val="FootnoteReference"/>
        </w:rPr>
        <w:footnoteRef/>
      </w:r>
      <w:r>
        <w:t xml:space="preserve"> In the event a commercial or industrial customer connects to the Pilot Rider NAS line extension, they would not be eligible for the Pilot Rider NAS surcharge.  </w:t>
      </w:r>
      <w:proofErr w:type="gramStart"/>
      <w:r>
        <w:t>(Columbia Statement No. 1, p. 4).</w:t>
      </w:r>
      <w:proofErr w:type="gramEnd"/>
      <w:r>
        <w:t xml:space="preserve">  However, the Pilot Rider NAS customers associated with that project would receive a credit against their Pilot Rider NAS balance for new revenues.  </w:t>
      </w:r>
      <w:proofErr w:type="gramStart"/>
      <w:r>
        <w:t>(Columbia Statement No. 1, pp. 4, 8).</w:t>
      </w:r>
      <w:proofErr w:type="gramEnd"/>
    </w:p>
  </w:footnote>
  <w:footnote w:id="86">
    <w:p w:rsidR="006810B1" w:rsidRPr="00847F69" w:rsidRDefault="006810B1" w:rsidP="00851F92">
      <w:pPr>
        <w:rPr>
          <w:sz w:val="20"/>
          <w:szCs w:val="20"/>
        </w:rPr>
      </w:pPr>
      <w:r w:rsidRPr="00847F69">
        <w:rPr>
          <w:rStyle w:val="FootnoteReference"/>
          <w:sz w:val="20"/>
          <w:szCs w:val="20"/>
        </w:rPr>
        <w:footnoteRef/>
      </w:r>
      <w:r w:rsidRPr="00847F69">
        <w:rPr>
          <w:sz w:val="20"/>
          <w:szCs w:val="20"/>
        </w:rPr>
        <w:t xml:space="preserve"> Columbia currently has a base rate proceeding requesting a rate increase before the Commission at Docket No. </w:t>
      </w:r>
      <w:proofErr w:type="gramStart"/>
      <w:r w:rsidRPr="00847F69">
        <w:rPr>
          <w:sz w:val="20"/>
          <w:szCs w:val="20"/>
        </w:rPr>
        <w:t>R</w:t>
      </w:r>
      <w:r>
        <w:rPr>
          <w:sz w:val="20"/>
          <w:szCs w:val="20"/>
        </w:rPr>
        <w:noBreakHyphen/>
      </w:r>
      <w:r w:rsidRPr="00847F69">
        <w:rPr>
          <w:sz w:val="20"/>
          <w:szCs w:val="20"/>
        </w:rPr>
        <w:t>2014-2406274.</w:t>
      </w:r>
      <w:proofErr w:type="gramEnd"/>
      <w:r w:rsidRPr="00847F69">
        <w:rPr>
          <w:sz w:val="20"/>
          <w:szCs w:val="20"/>
        </w:rPr>
        <w:t xml:space="preserve">  </w:t>
      </w:r>
      <w:r>
        <w:rPr>
          <w:sz w:val="20"/>
          <w:szCs w:val="20"/>
        </w:rPr>
        <w:t xml:space="preserve">I am the presiding officer in that case as well.  </w:t>
      </w:r>
      <w:r w:rsidRPr="00847F69">
        <w:rPr>
          <w:sz w:val="20"/>
          <w:szCs w:val="20"/>
        </w:rPr>
        <w:t>On April 23, 2014, the Commission issued an Order suspending Columbia’s Supplement No. 211 until December 20, 2014, unless otherwise directed by Order of the Commission.</w:t>
      </w:r>
      <w:r>
        <w:rPr>
          <w:sz w:val="20"/>
          <w:szCs w:val="20"/>
        </w:rPr>
        <w:t xml:space="preserve">  A hearing was held on August 4, 2014.  Columbia advised me on August 6, 2014 that a settlement has been achieved and that the settlement parties intend to file a joint petition for settlement by September 5, 2014.</w:t>
      </w:r>
      <w:r w:rsidRPr="00847F69">
        <w:rPr>
          <w:sz w:val="20"/>
          <w:szCs w:val="20"/>
        </w:rPr>
        <w:t xml:space="preserve">  </w:t>
      </w:r>
    </w:p>
    <w:p w:rsidR="006810B1" w:rsidRDefault="006810B1" w:rsidP="00851F92">
      <w:pPr>
        <w:pStyle w:val="FootnoteText"/>
      </w:pPr>
    </w:p>
  </w:footnote>
  <w:footnote w:id="87">
    <w:p w:rsidR="006810B1" w:rsidRDefault="006810B1" w:rsidP="00851F92">
      <w:pPr>
        <w:pStyle w:val="FootnoteText"/>
      </w:pPr>
      <w:r>
        <w:rPr>
          <w:rStyle w:val="FootnoteReference"/>
        </w:rPr>
        <w:footnoteRef/>
      </w:r>
      <w:r>
        <w:t xml:space="preserve"> The only reason for an unpaid balance would be nonpayment during the 20-</w:t>
      </w:r>
      <w:r w:rsidRPr="003D0DD4">
        <w:t xml:space="preserve">year term, such as if the meter were inactive for a period of time or the customer defaults on the payments.  </w:t>
      </w:r>
      <w:proofErr w:type="gramStart"/>
      <w:r w:rsidRPr="003D0DD4">
        <w:t>(Columbia Statement No. 1, p. 9).</w:t>
      </w:r>
      <w:proofErr w:type="gramEnd"/>
    </w:p>
    <w:p w:rsidR="006810B1" w:rsidRDefault="006810B1" w:rsidP="00851F92">
      <w:pPr>
        <w:pStyle w:val="FootnoteText"/>
      </w:pPr>
    </w:p>
  </w:footnote>
  <w:footnote w:id="88">
    <w:p w:rsidR="006810B1" w:rsidRDefault="006810B1" w:rsidP="00A94439">
      <w:pPr>
        <w:pStyle w:val="FootnoteText"/>
      </w:pPr>
      <w:r>
        <w:rPr>
          <w:rStyle w:val="FootnoteReference"/>
        </w:rPr>
        <w:footnoteRef/>
      </w:r>
      <w:r>
        <w:t xml:space="preserve"> Columbia witness Erich A. Evans has explained what would happen if a project is a combination of residential and commercial buildings.  </w:t>
      </w:r>
      <w:proofErr w:type="gramStart"/>
      <w:r>
        <w:t>(Columbia Statement No. 1, p. 4).</w:t>
      </w:r>
      <w:proofErr w:type="gramEnd"/>
      <w:r>
        <w:t xml:space="preserve">  Specifically, “The commercial buildings would be excluded.  In this situation, if a deposit is due for the project the deposit would be split between the residential homes and the commercial buildings.  The residential homes would be able to use Pilot Rider NAS, and the commercial buildings would need to pay their share of the deposit up front.”  </w:t>
      </w:r>
      <w:proofErr w:type="gramStart"/>
      <w:r>
        <w:t>(Columbia Statement No. 1, p. 4).</w:t>
      </w:r>
      <w:proofErr w:type="gramEnd"/>
    </w:p>
  </w:footnote>
  <w:footnote w:id="89">
    <w:p w:rsidR="006810B1" w:rsidRDefault="006810B1" w:rsidP="004F6A7E">
      <w:pPr>
        <w:pStyle w:val="FootnoteText"/>
      </w:pPr>
      <w:r>
        <w:rPr>
          <w:rStyle w:val="FootnoteReference"/>
        </w:rPr>
        <w:footnoteRef/>
      </w:r>
      <w:r>
        <w:t xml:space="preserve"> To be clear, each new Pilot Rider NAS project will receive an interest rate calculated at the weighted cost of capital from Columbia’s most recent litigated base rate proceeding.  If the most recent proceeding was settled, the equity return rate to be included in the weighted cost of capital will be the rate set by the Commission for Distribution System Improvement Charge (“DSIC”) purposes.  </w:t>
      </w:r>
      <w:proofErr w:type="gramStart"/>
      <w:r>
        <w:t>(Columbia Statement No. 1, p. 6).</w:t>
      </w:r>
      <w:proofErr w:type="gramEnd"/>
      <w:r>
        <w:t xml:space="preserve">  The rate will remain fixed for the term of each project.</w:t>
      </w:r>
    </w:p>
  </w:footnote>
  <w:footnote w:id="90">
    <w:p w:rsidR="006810B1" w:rsidRDefault="006810B1" w:rsidP="002E284C">
      <w:pPr>
        <w:pStyle w:val="FootnoteText"/>
      </w:pPr>
      <w:r w:rsidRPr="00271D0F">
        <w:rPr>
          <w:rStyle w:val="FootnoteReference"/>
        </w:rPr>
        <w:footnoteRef/>
      </w:r>
      <w:r w:rsidRPr="00271D0F">
        <w:t xml:space="preserve"> </w:t>
      </w:r>
      <w:r w:rsidRPr="00271D0F">
        <w:tab/>
        <w:t>Columbia St</w:t>
      </w:r>
      <w:r>
        <w:t>atement</w:t>
      </w:r>
      <w:r w:rsidRPr="00271D0F">
        <w:t xml:space="preserve"> No. 1-R, p. 12.</w:t>
      </w:r>
    </w:p>
    <w:p w:rsidR="006810B1" w:rsidRPr="00271D0F" w:rsidRDefault="006810B1" w:rsidP="002E284C">
      <w:pPr>
        <w:pStyle w:val="FootnoteText"/>
      </w:pPr>
    </w:p>
  </w:footnote>
  <w:footnote w:id="91">
    <w:p w:rsidR="006810B1" w:rsidRPr="00271D0F" w:rsidRDefault="006810B1" w:rsidP="002E284C">
      <w:pPr>
        <w:pStyle w:val="FootnoteText"/>
      </w:pPr>
      <w:r w:rsidRPr="00271D0F">
        <w:rPr>
          <w:rStyle w:val="FootnoteReference"/>
        </w:rPr>
        <w:footnoteRef/>
      </w:r>
      <w:r w:rsidRPr="00271D0F">
        <w:t xml:space="preserve"> </w:t>
      </w:r>
      <w:r w:rsidRPr="00271D0F">
        <w:tab/>
        <w:t>Columbia St</w:t>
      </w:r>
      <w:r>
        <w:t>atement</w:t>
      </w:r>
      <w:r w:rsidRPr="00271D0F">
        <w:t xml:space="preserve"> No. 1-R, p. 12.</w:t>
      </w:r>
    </w:p>
  </w:footnote>
  <w:footnote w:id="92">
    <w:p w:rsidR="006810B1" w:rsidRDefault="006810B1" w:rsidP="002D352E">
      <w:pPr>
        <w:pStyle w:val="FootnoteText"/>
      </w:pPr>
      <w:r w:rsidRPr="00271D0F">
        <w:rPr>
          <w:rStyle w:val="FootnoteReference"/>
        </w:rPr>
        <w:footnoteRef/>
      </w:r>
      <w:r w:rsidRPr="00271D0F">
        <w:t xml:space="preserve"> </w:t>
      </w:r>
      <w:r w:rsidRPr="00271D0F">
        <w:tab/>
      </w:r>
      <w:proofErr w:type="gramStart"/>
      <w:r w:rsidRPr="00271D0F">
        <w:t>66 Pa.C.S.</w:t>
      </w:r>
      <w:proofErr w:type="gramEnd"/>
      <w:r w:rsidRPr="00271D0F">
        <w:t xml:space="preserve"> § 1501; </w:t>
      </w:r>
      <w:r w:rsidRPr="00271D0F">
        <w:rPr>
          <w:i/>
        </w:rPr>
        <w:t xml:space="preserve">Fayette County Gas Co. v. Pa. Pub. </w:t>
      </w:r>
      <w:proofErr w:type="gramStart"/>
      <w:r w:rsidRPr="00271D0F">
        <w:rPr>
          <w:i/>
        </w:rPr>
        <w:t>Util. Comm’n</w:t>
      </w:r>
      <w:r w:rsidRPr="00271D0F">
        <w:t xml:space="preserve">, 33 A.2d 761 (Pa. Super. 1943); </w:t>
      </w:r>
      <w:proofErr w:type="spellStart"/>
      <w:r w:rsidRPr="00271D0F">
        <w:rPr>
          <w:i/>
        </w:rPr>
        <w:t>Popowsky</w:t>
      </w:r>
      <w:proofErr w:type="spellEnd"/>
      <w:r w:rsidRPr="00271D0F">
        <w:rPr>
          <w:i/>
        </w:rPr>
        <w:t xml:space="preserve"> v. Pa. Pub.</w:t>
      </w:r>
      <w:proofErr w:type="gramEnd"/>
      <w:r w:rsidRPr="00271D0F">
        <w:rPr>
          <w:i/>
        </w:rPr>
        <w:t xml:space="preserve"> </w:t>
      </w:r>
      <w:proofErr w:type="gramStart"/>
      <w:r w:rsidRPr="00271D0F">
        <w:rPr>
          <w:i/>
        </w:rPr>
        <w:t>Util. Comm’n</w:t>
      </w:r>
      <w:r w:rsidRPr="00271D0F">
        <w:t>, 589 Pa. 605, 910 A.2d 38 (2006).</w:t>
      </w:r>
      <w:proofErr w:type="gramEnd"/>
    </w:p>
    <w:p w:rsidR="006810B1" w:rsidRPr="00271D0F" w:rsidRDefault="006810B1" w:rsidP="002D352E">
      <w:pPr>
        <w:pStyle w:val="FootnoteText"/>
      </w:pPr>
    </w:p>
  </w:footnote>
  <w:footnote w:id="93">
    <w:p w:rsidR="006810B1" w:rsidRDefault="006810B1" w:rsidP="002D352E">
      <w:pPr>
        <w:pStyle w:val="FootnoteText"/>
      </w:pPr>
      <w:r w:rsidRPr="00271D0F">
        <w:rPr>
          <w:rStyle w:val="FootnoteReference"/>
        </w:rPr>
        <w:footnoteRef/>
      </w:r>
      <w:r w:rsidRPr="00271D0F">
        <w:t xml:space="preserve"> </w:t>
      </w:r>
      <w:r w:rsidRPr="00271D0F">
        <w:tab/>
        <w:t>Columbia St</w:t>
      </w:r>
      <w:r>
        <w:t>atement</w:t>
      </w:r>
      <w:r w:rsidRPr="00271D0F">
        <w:t xml:space="preserve"> No. 1-R, p. 7.</w:t>
      </w:r>
    </w:p>
    <w:p w:rsidR="006810B1" w:rsidRPr="00271D0F" w:rsidRDefault="006810B1" w:rsidP="002D352E">
      <w:pPr>
        <w:pStyle w:val="FootnoteText"/>
      </w:pPr>
    </w:p>
  </w:footnote>
  <w:footnote w:id="94">
    <w:p w:rsidR="006810B1" w:rsidRDefault="006810B1" w:rsidP="002D352E">
      <w:pPr>
        <w:pStyle w:val="FootnoteText"/>
      </w:pPr>
      <w:r w:rsidRPr="00271D0F">
        <w:rPr>
          <w:rStyle w:val="FootnoteReference"/>
        </w:rPr>
        <w:footnoteRef/>
      </w:r>
      <w:r w:rsidRPr="00271D0F">
        <w:t xml:space="preserve"> </w:t>
      </w:r>
      <w:r w:rsidRPr="00271D0F">
        <w:tab/>
      </w:r>
      <w:proofErr w:type="gramStart"/>
      <w:r w:rsidRPr="00271D0F">
        <w:t>52 Pa.Code § 59.27.</w:t>
      </w:r>
      <w:proofErr w:type="gramEnd"/>
    </w:p>
    <w:p w:rsidR="006810B1" w:rsidRPr="00271D0F" w:rsidRDefault="006810B1" w:rsidP="002D352E">
      <w:pPr>
        <w:pStyle w:val="FootnoteText"/>
      </w:pPr>
    </w:p>
  </w:footnote>
  <w:footnote w:id="95">
    <w:p w:rsidR="006810B1" w:rsidRPr="00271D0F" w:rsidRDefault="006810B1" w:rsidP="002D352E">
      <w:pPr>
        <w:pStyle w:val="FootnoteText"/>
      </w:pPr>
      <w:r w:rsidRPr="00271D0F">
        <w:rPr>
          <w:rStyle w:val="FootnoteReference"/>
        </w:rPr>
        <w:footnoteRef/>
      </w:r>
      <w:r w:rsidRPr="00271D0F">
        <w:t xml:space="preserve"> </w:t>
      </w:r>
      <w:r w:rsidRPr="00271D0F">
        <w:tab/>
        <w:t>Supplement 181 to Tariff Gas-Pa. P</w:t>
      </w:r>
      <w:r>
        <w:t>.</w:t>
      </w:r>
      <w:r w:rsidRPr="00271D0F">
        <w:t>U</w:t>
      </w:r>
      <w:r>
        <w:t>.</w:t>
      </w:r>
      <w:r w:rsidRPr="00271D0F">
        <w:t>C</w:t>
      </w:r>
      <w:r>
        <w:t>.</w:t>
      </w:r>
      <w:r w:rsidRPr="00271D0F">
        <w:t xml:space="preserve"> No. 9, Fourth Revised Page No. 8, Tariff Rule 8.2.1.</w:t>
      </w:r>
    </w:p>
  </w:footnote>
  <w:footnote w:id="96">
    <w:p w:rsidR="006810B1" w:rsidRPr="00836A9F" w:rsidRDefault="006810B1" w:rsidP="007C7E1F">
      <w:pPr>
        <w:pStyle w:val="FootnoteText"/>
      </w:pPr>
      <w:r>
        <w:rPr>
          <w:rStyle w:val="FootnoteReference"/>
        </w:rPr>
        <w:footnoteRef/>
      </w:r>
      <w:r>
        <w:t xml:space="preserve"> </w:t>
      </w:r>
      <w:r w:rsidRPr="00836A9F">
        <w:t xml:space="preserve">In its Reply Brief, Columbia argues the OCA’s proposal that Columbia contact every structure owner with a mailing or delivery address along the potential Pilot Rider NAS extension to determine whether each owner will connect to the new line extension, and then “follow-up” with those structure owners if they do not accept service should be rejected.  Columbia notes that </w:t>
      </w:r>
      <w:r>
        <w:t>i</w:t>
      </w:r>
      <w:r w:rsidRPr="00836A9F">
        <w:t>t was not proposed in OCA’s testimony or at hearing.  Waiting until its Main Brief to propose such a requirement is improper</w:t>
      </w:r>
      <w:r>
        <w:t xml:space="preserve">, according to Columbia.  </w:t>
      </w:r>
      <w:proofErr w:type="gramStart"/>
      <w:r>
        <w:rPr>
          <w:i/>
        </w:rPr>
        <w:t>See, e.g.</w:t>
      </w:r>
      <w:r>
        <w:t xml:space="preserve">, </w:t>
      </w:r>
      <w:r>
        <w:rPr>
          <w:i/>
        </w:rPr>
        <w:t>Pa. Pub.</w:t>
      </w:r>
      <w:proofErr w:type="gramEnd"/>
      <w:r>
        <w:rPr>
          <w:i/>
        </w:rPr>
        <w:t xml:space="preserve"> </w:t>
      </w:r>
      <w:proofErr w:type="gramStart"/>
      <w:r>
        <w:rPr>
          <w:i/>
        </w:rPr>
        <w:t>Util. Comm’n v. Pa. Power and Light Co.</w:t>
      </w:r>
      <w:r>
        <w:t>, Docket Nos.</w:t>
      </w:r>
      <w:proofErr w:type="gramEnd"/>
      <w:r>
        <w:t xml:space="preserve"> R-822169, </w:t>
      </w:r>
      <w:r>
        <w:rPr>
          <w:i/>
        </w:rPr>
        <w:t>et al.</w:t>
      </w:r>
      <w:r>
        <w:t xml:space="preserve">, 55 P.U.R. 4th 185, 57 Pa. PUC 559, 596-97 (Order Entered Aug. 19, 1983) (“Merits aside, it is highly inappropriate for a party to propose a completely new adjustment for the first time in its brief . . . Trial staff made no attempt to develop this issue during the course of this case, nor did they present testimony in support of such an adjustment.”); </w:t>
      </w:r>
      <w:r>
        <w:rPr>
          <w:i/>
        </w:rPr>
        <w:t>Enron Capital &amp; Trade Res. Corp. v. Peoples Natural Gas Co.</w:t>
      </w:r>
      <w:r>
        <w:t xml:space="preserve">, Docket No. R-00973928C0001, 1997 Pa. PUC LEXIS 178, at *10-11 (Nov. 13, 1997) (Recommended Decision) (“Enron cannot be permitted to introduce an argument at the briefing stage which it did not introduce in the evidentiary phase of this proceeding . . . Imposing [the alternative proposal] without the other parties having notice and an opportunity to be heard would violate their due process rights.”), </w:t>
      </w:r>
      <w:r>
        <w:rPr>
          <w:i/>
        </w:rPr>
        <w:t>affirmed</w:t>
      </w:r>
      <w:r>
        <w:t xml:space="preserve">, 1998 Pa. PUC LEXIS 199 (Order Entered Aug. 24, 1998).  Columbia argues the </w:t>
      </w:r>
      <w:r w:rsidRPr="00836A9F">
        <w:t xml:space="preserve">OCA deprived </w:t>
      </w:r>
      <w:r>
        <w:t>the Company</w:t>
      </w:r>
      <w:r w:rsidRPr="00836A9F">
        <w:t xml:space="preserve"> of the opportunity to develop testimony and to cross-examine OCA’s witness on this proposal.  Moreover, OCA fails to detail what costs would be involved with contacting all of these customers or whether contacts would be in-person, by repeated mailing, or by telephone calls.  If the latter, OCA does not discuss whether this proposal violates “Do-Not-Call.”  </w:t>
      </w:r>
      <w:r w:rsidRPr="00836A9F">
        <w:rPr>
          <w:i/>
        </w:rPr>
        <w:t xml:space="preserve">See </w:t>
      </w:r>
      <w:r w:rsidRPr="00836A9F">
        <w:t>73 P.S. § 2245.2.</w:t>
      </w:r>
      <w:r>
        <w:t xml:space="preserve">  Columbia R.B., pp. 15-16.</w:t>
      </w:r>
    </w:p>
    <w:p w:rsidR="006810B1" w:rsidRDefault="006810B1" w:rsidP="00626B3B">
      <w:pPr>
        <w:pStyle w:val="FootnoteText"/>
      </w:pPr>
      <w:r>
        <w:t xml:space="preserve"> </w:t>
      </w:r>
    </w:p>
  </w:footnote>
  <w:footnote w:id="97">
    <w:p w:rsidR="006810B1" w:rsidRDefault="006810B1" w:rsidP="00D81289">
      <w:pPr>
        <w:pStyle w:val="FootnoteText"/>
      </w:pPr>
      <w:r>
        <w:rPr>
          <w:rStyle w:val="FootnoteReference"/>
        </w:rPr>
        <w:footnoteRef/>
      </w:r>
      <w:r>
        <w:t xml:space="preserve"> Columbia notes that OSBA’s reporting requirement in letter (f) is similar to OCA’s reporting requirement in letter (g).  OSBA M.B., p. 10; OCA M.B., p. 23.  For the reasons explained in Columbia’s Main Brief (Columbia M.B., pp. 24-25) and in </w:t>
      </w:r>
      <w:r w:rsidRPr="007718F1">
        <w:t>Section III.D</w:t>
      </w:r>
      <w:r>
        <w:t xml:space="preserve"> therein, Columbia opposes such a reporting requirement because it is overly vague and subjective, would impose additional costs for no reason, and would create administrative issues.  However, Columbia has offered a replacement for letter (g), under which Columbia would identify the number of projects evaluated for Pilot Rider NAS that ultimately do not elect Pilot Rider NAS.  Columbia M.B., p. 25.</w:t>
      </w:r>
    </w:p>
  </w:footnote>
  <w:footnote w:id="98">
    <w:p w:rsidR="006810B1" w:rsidRDefault="006810B1" w:rsidP="00BE0786">
      <w:pPr>
        <w:pStyle w:val="FootnoteText"/>
      </w:pPr>
      <w:r>
        <w:rPr>
          <w:rStyle w:val="FootnoteReference"/>
        </w:rPr>
        <w:footnoteRef/>
      </w:r>
      <w:r>
        <w:t xml:space="preserve"> Columbia witness Erich A. Evans has explained what would happen if a project is a combination of residential and commercial buildings.  </w:t>
      </w:r>
      <w:proofErr w:type="gramStart"/>
      <w:r>
        <w:t>(Columbia Statement No. 1, p. 4).</w:t>
      </w:r>
      <w:proofErr w:type="gramEnd"/>
      <w:r>
        <w:t xml:space="preserve">  Specifically, “The commercial buildings would be excluded.  In this situation, if a deposit is due for the project the deposit would be split between the residential homes and the commercial buildings.  The residential homes would be able to use Pilot Rider NAS, and the commercial buildings would need to pay their share of the deposit up front.”  </w:t>
      </w:r>
      <w:proofErr w:type="gramStart"/>
      <w:r>
        <w:t>(Columbia Statement No. 1, p. 4).</w:t>
      </w:r>
      <w:proofErr w:type="gramEnd"/>
    </w:p>
  </w:footnote>
  <w:footnote w:id="99">
    <w:p w:rsidR="006810B1" w:rsidRDefault="006810B1" w:rsidP="007D1F01">
      <w:pPr>
        <w:pStyle w:val="FootnoteText"/>
      </w:pPr>
      <w:r>
        <w:rPr>
          <w:rStyle w:val="FootnoteReference"/>
        </w:rPr>
        <w:footnoteRef/>
      </w:r>
      <w:r>
        <w:t xml:space="preserve"> Columbia observes that there is no reason to believe that a residential customer of another gas utility would pay a deposit, or use Pilot Rider NAS, to switch to Columbia’s service.  Therefore, Pilot Rider NAS would not be used to take residential customers from another utility.</w:t>
      </w:r>
    </w:p>
  </w:footnote>
  <w:footnote w:id="100">
    <w:p w:rsidR="006810B1" w:rsidRDefault="006810B1" w:rsidP="00FF6CAF">
      <w:pPr>
        <w:pStyle w:val="FootnoteText"/>
      </w:pPr>
      <w:r>
        <w:rPr>
          <w:rStyle w:val="FootnoteReference"/>
        </w:rPr>
        <w:footnoteRef/>
      </w:r>
      <w:r>
        <w:t xml:space="preserve"> </w:t>
      </w:r>
      <w:r w:rsidRPr="00326155">
        <w:rPr>
          <w:i/>
        </w:rPr>
        <w:t>See</w:t>
      </w:r>
      <w:r>
        <w:t xml:space="preserve"> </w:t>
      </w:r>
      <w:r w:rsidRPr="003F4AE8">
        <w:rPr>
          <w:i/>
        </w:rPr>
        <w:t>Petition of Columbia Gas of Pennsylvania, Inc. for Approval of a Distribution System Improvement Charge,</w:t>
      </w:r>
      <w:r>
        <w:t xml:space="preserve"> Docket No. P-2012-2338282, January 2, 2013.</w:t>
      </w:r>
    </w:p>
  </w:footnote>
  <w:footnote w:id="101">
    <w:p w:rsidR="006810B1" w:rsidRDefault="006810B1" w:rsidP="00FF6CAF">
      <w:pPr>
        <w:pStyle w:val="FootnoteText"/>
      </w:pPr>
      <w:r>
        <w:rPr>
          <w:rStyle w:val="FootnoteReference"/>
        </w:rPr>
        <w:footnoteRef/>
      </w:r>
      <w:r>
        <w:t xml:space="preserve"> </w:t>
      </w:r>
      <w:proofErr w:type="gramStart"/>
      <w:r>
        <w:t>OSBA-I-5(d).</w:t>
      </w:r>
      <w:proofErr w:type="gramEnd"/>
    </w:p>
    <w:p w:rsidR="006810B1" w:rsidRDefault="006810B1" w:rsidP="00FF6CAF">
      <w:pPr>
        <w:pStyle w:val="FootnoteText"/>
      </w:pPr>
    </w:p>
  </w:footnote>
  <w:footnote w:id="102">
    <w:p w:rsidR="006810B1" w:rsidRDefault="006810B1" w:rsidP="00FF6CAF">
      <w:pPr>
        <w:pStyle w:val="FootnoteText"/>
      </w:pPr>
      <w:r>
        <w:rPr>
          <w:rStyle w:val="FootnoteReference"/>
        </w:rPr>
        <w:footnoteRef/>
      </w:r>
      <w:r>
        <w:t xml:space="preserve"> OSBA-I-5(b).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C341540"/>
    <w:lvl w:ilvl="0">
      <w:start w:val="1"/>
      <w:numFmt w:val="decimal"/>
      <w:pStyle w:val="ListNumber"/>
      <w:lvlText w:val="%1."/>
      <w:lvlJc w:val="left"/>
      <w:pPr>
        <w:tabs>
          <w:tab w:val="num" w:pos="450"/>
        </w:tabs>
        <w:ind w:left="450" w:hanging="360"/>
      </w:pPr>
    </w:lvl>
  </w:abstractNum>
  <w:abstractNum w:abstractNumId="1">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1012E93"/>
    <w:multiLevelType w:val="hybridMultilevel"/>
    <w:tmpl w:val="7FEE6262"/>
    <w:lvl w:ilvl="0" w:tplc="D57C9BA4">
      <w:start w:val="9"/>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3C12D11"/>
    <w:multiLevelType w:val="hybridMultilevel"/>
    <w:tmpl w:val="27EA8498"/>
    <w:lvl w:ilvl="0" w:tplc="80084B38">
      <w:start w:val="1"/>
      <w:numFmt w:val="lowerLetter"/>
      <w:lvlText w:val="(%1)"/>
      <w:lvlJc w:val="left"/>
      <w:pPr>
        <w:ind w:left="2520" w:hanging="360"/>
      </w:pPr>
      <w:rPr>
        <w:rFonts w:hint="default"/>
      </w:rPr>
    </w:lvl>
    <w:lvl w:ilvl="1" w:tplc="637E3C1A">
      <w:start w:val="1"/>
      <w:numFmt w:val="decimal"/>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8E56DAC"/>
    <w:multiLevelType w:val="hybridMultilevel"/>
    <w:tmpl w:val="62CCA86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C75170C"/>
    <w:multiLevelType w:val="hybridMultilevel"/>
    <w:tmpl w:val="DC006E62"/>
    <w:lvl w:ilvl="0" w:tplc="26748FFA">
      <w:start w:val="1"/>
      <w:numFmt w:val="upp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F200E0"/>
    <w:multiLevelType w:val="hybridMultilevel"/>
    <w:tmpl w:val="2D626756"/>
    <w:lvl w:ilvl="0" w:tplc="1E167A0A">
      <w:start w:val="7"/>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0D14525"/>
    <w:multiLevelType w:val="hybridMultilevel"/>
    <w:tmpl w:val="DA325E6C"/>
    <w:lvl w:ilvl="0" w:tplc="D9E824E6">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27C4CE6"/>
    <w:multiLevelType w:val="hybridMultilevel"/>
    <w:tmpl w:val="CEDC6AE0"/>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35851F4"/>
    <w:multiLevelType w:val="hybridMultilevel"/>
    <w:tmpl w:val="2A902A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4642C"/>
    <w:multiLevelType w:val="hybridMultilevel"/>
    <w:tmpl w:val="8B665554"/>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FD30B6F"/>
    <w:multiLevelType w:val="hybridMultilevel"/>
    <w:tmpl w:val="9C4825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0337154"/>
    <w:multiLevelType w:val="hybridMultilevel"/>
    <w:tmpl w:val="AE1AD172"/>
    <w:lvl w:ilvl="0" w:tplc="04090019">
      <w:start w:val="1"/>
      <w:numFmt w:val="lowerLetter"/>
      <w:lvlText w:val="%1."/>
      <w:lvlJc w:val="left"/>
      <w:pPr>
        <w:ind w:left="720" w:hanging="360"/>
      </w:pPr>
    </w:lvl>
    <w:lvl w:ilvl="1" w:tplc="A192DF56">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E86CB0"/>
    <w:multiLevelType w:val="hybridMultilevel"/>
    <w:tmpl w:val="AF56F9F0"/>
    <w:lvl w:ilvl="0" w:tplc="BD82CD2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30A6AB3"/>
    <w:multiLevelType w:val="hybridMultilevel"/>
    <w:tmpl w:val="24A06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B6036A"/>
    <w:multiLevelType w:val="hybridMultilevel"/>
    <w:tmpl w:val="6EEE26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BE0369"/>
    <w:multiLevelType w:val="hybridMultilevel"/>
    <w:tmpl w:val="F8E06B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16C390F"/>
    <w:multiLevelType w:val="hybridMultilevel"/>
    <w:tmpl w:val="9B70BD2A"/>
    <w:lvl w:ilvl="0" w:tplc="5AAE3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8C0EA5"/>
    <w:multiLevelType w:val="hybridMultilevel"/>
    <w:tmpl w:val="72000324"/>
    <w:lvl w:ilvl="0" w:tplc="8A4C176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BF36B0"/>
    <w:multiLevelType w:val="hybridMultilevel"/>
    <w:tmpl w:val="55C613A2"/>
    <w:lvl w:ilvl="0" w:tplc="13889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A642A5"/>
    <w:multiLevelType w:val="hybridMultilevel"/>
    <w:tmpl w:val="47CE2B20"/>
    <w:lvl w:ilvl="0" w:tplc="F38E4C84">
      <w:start w:val="1"/>
      <w:numFmt w:val="decimal"/>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EAE497E"/>
    <w:multiLevelType w:val="hybridMultilevel"/>
    <w:tmpl w:val="4A9487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FAF5364"/>
    <w:multiLevelType w:val="hybridMultilevel"/>
    <w:tmpl w:val="E0385A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193780F"/>
    <w:multiLevelType w:val="hybridMultilevel"/>
    <w:tmpl w:val="FA88C506"/>
    <w:lvl w:ilvl="0" w:tplc="B1E4F6EA">
      <w:start w:val="5"/>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43AD7537"/>
    <w:multiLevelType w:val="hybridMultilevel"/>
    <w:tmpl w:val="B7EA410A"/>
    <w:lvl w:ilvl="0" w:tplc="2D8CA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250423"/>
    <w:multiLevelType w:val="hybridMultilevel"/>
    <w:tmpl w:val="0B5286C6"/>
    <w:lvl w:ilvl="0" w:tplc="C5F26F8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A043407"/>
    <w:multiLevelType w:val="hybridMultilevel"/>
    <w:tmpl w:val="609A47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3D4A4C"/>
    <w:multiLevelType w:val="hybridMultilevel"/>
    <w:tmpl w:val="087619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140B87"/>
    <w:multiLevelType w:val="hybridMultilevel"/>
    <w:tmpl w:val="EB140642"/>
    <w:lvl w:ilvl="0" w:tplc="4D5428D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4895DB4"/>
    <w:multiLevelType w:val="hybridMultilevel"/>
    <w:tmpl w:val="0B5ADF62"/>
    <w:lvl w:ilvl="0" w:tplc="DC7626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D7B0FA8"/>
    <w:multiLevelType w:val="hybridMultilevel"/>
    <w:tmpl w:val="E7705056"/>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32020F9"/>
    <w:multiLevelType w:val="hybridMultilevel"/>
    <w:tmpl w:val="AFCA725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3A21BA0"/>
    <w:multiLevelType w:val="hybridMultilevel"/>
    <w:tmpl w:val="8AD6BF54"/>
    <w:lvl w:ilvl="0" w:tplc="5AF82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5250942"/>
    <w:multiLevelType w:val="hybridMultilevel"/>
    <w:tmpl w:val="B7526D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B7D6CB1"/>
    <w:multiLevelType w:val="hybridMultilevel"/>
    <w:tmpl w:val="E3E0A9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821965"/>
    <w:multiLevelType w:val="hybridMultilevel"/>
    <w:tmpl w:val="182A7B34"/>
    <w:lvl w:ilvl="0" w:tplc="71287DF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820167"/>
    <w:multiLevelType w:val="hybridMultilevel"/>
    <w:tmpl w:val="EBDE36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9D2FAC"/>
    <w:multiLevelType w:val="multilevel"/>
    <w:tmpl w:val="0BEEF57C"/>
    <w:name w:val="Jo brief"/>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upp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39">
    <w:nsid w:val="770A7F72"/>
    <w:multiLevelType w:val="hybridMultilevel"/>
    <w:tmpl w:val="803C1140"/>
    <w:lvl w:ilvl="0" w:tplc="1A441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E79332C"/>
    <w:multiLevelType w:val="hybridMultilevel"/>
    <w:tmpl w:val="D7A673B2"/>
    <w:lvl w:ilvl="0" w:tplc="661005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27"/>
  </w:num>
  <w:num w:numId="3">
    <w:abstractNumId w:val="0"/>
  </w:num>
  <w:num w:numId="4">
    <w:abstractNumId w:val="1"/>
    <w:lvlOverride w:ilvl="0">
      <w:lvl w:ilvl="0">
        <w:start w:val="10"/>
        <w:numFmt w:val="decimal"/>
        <w:pStyle w:val="Level1"/>
        <w:lvlText w:val="%1."/>
        <w:lvlJc w:val="left"/>
        <w:pPr>
          <w:tabs>
            <w:tab w:val="num" w:pos="0"/>
          </w:tabs>
          <w:ind w:left="0" w:firstLine="0"/>
        </w:pPr>
        <w:rPr>
          <w:rFonts w:hint="default"/>
        </w:rPr>
      </w:lvl>
    </w:lvlOverride>
    <w:lvlOverride w:ilvl="1">
      <w:lvl w:ilvl="1">
        <w:start w:val="1"/>
        <w:numFmt w:val="lowerLetter"/>
        <w:lvlText w:val="%2."/>
        <w:lvlJc w:val="left"/>
        <w:pPr>
          <w:tabs>
            <w:tab w:val="num" w:pos="0"/>
          </w:tabs>
          <w:ind w:left="0" w:firstLine="0"/>
        </w:pPr>
        <w:rPr>
          <w:rFonts w:hint="default"/>
        </w:rPr>
      </w:lvl>
    </w:lvlOverride>
    <w:lvlOverride w:ilvl="2">
      <w:lvl w:ilvl="2">
        <w:start w:val="1"/>
        <w:numFmt w:val="lowerRoman"/>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lowerLetter"/>
        <w:lvlText w:val="(%5)"/>
        <w:lvlJc w:val="left"/>
        <w:pPr>
          <w:tabs>
            <w:tab w:val="num" w:pos="0"/>
          </w:tabs>
          <w:ind w:left="0" w:firstLine="0"/>
        </w:pPr>
        <w:rPr>
          <w:rFonts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lowerLetter"/>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5">
    <w:abstractNumId w:val="38"/>
  </w:num>
  <w:num w:numId="6">
    <w:abstractNumId w:val="9"/>
  </w:num>
  <w:num w:numId="7">
    <w:abstractNumId w:val="25"/>
  </w:num>
  <w:num w:numId="8">
    <w:abstractNumId w:val="29"/>
  </w:num>
  <w:num w:numId="9">
    <w:abstractNumId w:val="40"/>
  </w:num>
  <w:num w:numId="10">
    <w:abstractNumId w:val="23"/>
  </w:num>
  <w:num w:numId="11">
    <w:abstractNumId w:val="36"/>
  </w:num>
  <w:num w:numId="12">
    <w:abstractNumId w:val="20"/>
  </w:num>
  <w:num w:numId="13">
    <w:abstractNumId w:val="18"/>
  </w:num>
  <w:num w:numId="14">
    <w:abstractNumId w:val="39"/>
  </w:num>
  <w:num w:numId="15">
    <w:abstractNumId w:val="21"/>
  </w:num>
  <w:num w:numId="16">
    <w:abstractNumId w:val="33"/>
  </w:num>
  <w:num w:numId="17">
    <w:abstractNumId w:val="26"/>
  </w:num>
  <w:num w:numId="18">
    <w:abstractNumId w:val="3"/>
  </w:num>
  <w:num w:numId="19">
    <w:abstractNumId w:val="7"/>
  </w:num>
  <w:num w:numId="20">
    <w:abstractNumId w:val="24"/>
  </w:num>
  <w:num w:numId="21">
    <w:abstractNumId w:val="2"/>
  </w:num>
  <w:num w:numId="22">
    <w:abstractNumId w:val="34"/>
  </w:num>
  <w:num w:numId="23">
    <w:abstractNumId w:val="31"/>
  </w:num>
  <w:num w:numId="24">
    <w:abstractNumId w:val="35"/>
  </w:num>
  <w:num w:numId="25">
    <w:abstractNumId w:val="11"/>
  </w:num>
  <w:num w:numId="26">
    <w:abstractNumId w:val="14"/>
  </w:num>
  <w:num w:numId="27">
    <w:abstractNumId w:val="17"/>
  </w:num>
  <w:num w:numId="28">
    <w:abstractNumId w:val="19"/>
  </w:num>
  <w:num w:numId="29">
    <w:abstractNumId w:val="13"/>
  </w:num>
  <w:num w:numId="30">
    <w:abstractNumId w:val="5"/>
  </w:num>
  <w:num w:numId="31">
    <w:abstractNumId w:val="30"/>
  </w:num>
  <w:num w:numId="32">
    <w:abstractNumId w:val="32"/>
  </w:num>
  <w:num w:numId="33">
    <w:abstractNumId w:val="15"/>
  </w:num>
  <w:num w:numId="34">
    <w:abstractNumId w:val="28"/>
  </w:num>
  <w:num w:numId="35">
    <w:abstractNumId w:val="10"/>
  </w:num>
  <w:num w:numId="36">
    <w:abstractNumId w:val="6"/>
  </w:num>
  <w:num w:numId="37">
    <w:abstractNumId w:val="22"/>
  </w:num>
  <w:num w:numId="38">
    <w:abstractNumId w:val="37"/>
  </w:num>
  <w:num w:numId="39">
    <w:abstractNumId w:val="12"/>
  </w:num>
  <w:num w:numId="40">
    <w:abstractNumId w:val="4"/>
  </w:num>
  <w:num w:numId="4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8707680"/>
  </w:docVars>
  <w:rsids>
    <w:rsidRoot w:val="00F40AF4"/>
    <w:rsid w:val="00001D5E"/>
    <w:rsid w:val="00002CE6"/>
    <w:rsid w:val="00002E71"/>
    <w:rsid w:val="00007A6A"/>
    <w:rsid w:val="00010E60"/>
    <w:rsid w:val="00011EAD"/>
    <w:rsid w:val="00011F9D"/>
    <w:rsid w:val="00012D29"/>
    <w:rsid w:val="0001444C"/>
    <w:rsid w:val="00014752"/>
    <w:rsid w:val="000158F5"/>
    <w:rsid w:val="00015C87"/>
    <w:rsid w:val="00016FD3"/>
    <w:rsid w:val="00017247"/>
    <w:rsid w:val="000200B5"/>
    <w:rsid w:val="000206BA"/>
    <w:rsid w:val="00021C88"/>
    <w:rsid w:val="00021E21"/>
    <w:rsid w:val="00021E97"/>
    <w:rsid w:val="00022031"/>
    <w:rsid w:val="00022664"/>
    <w:rsid w:val="00024223"/>
    <w:rsid w:val="00024940"/>
    <w:rsid w:val="00024AA5"/>
    <w:rsid w:val="00026A77"/>
    <w:rsid w:val="00027740"/>
    <w:rsid w:val="00027E4C"/>
    <w:rsid w:val="00030657"/>
    <w:rsid w:val="000307B4"/>
    <w:rsid w:val="00031D10"/>
    <w:rsid w:val="00032433"/>
    <w:rsid w:val="00032E97"/>
    <w:rsid w:val="00035127"/>
    <w:rsid w:val="00035D88"/>
    <w:rsid w:val="00035F60"/>
    <w:rsid w:val="00036621"/>
    <w:rsid w:val="00036DA6"/>
    <w:rsid w:val="00037773"/>
    <w:rsid w:val="00037AF8"/>
    <w:rsid w:val="000404B5"/>
    <w:rsid w:val="00040C90"/>
    <w:rsid w:val="00040CC9"/>
    <w:rsid w:val="00041943"/>
    <w:rsid w:val="00042860"/>
    <w:rsid w:val="00042F44"/>
    <w:rsid w:val="00043EC5"/>
    <w:rsid w:val="000443C4"/>
    <w:rsid w:val="00044944"/>
    <w:rsid w:val="0004498A"/>
    <w:rsid w:val="00047613"/>
    <w:rsid w:val="000477D1"/>
    <w:rsid w:val="00052673"/>
    <w:rsid w:val="00052AFB"/>
    <w:rsid w:val="0005471E"/>
    <w:rsid w:val="0005554B"/>
    <w:rsid w:val="00057D14"/>
    <w:rsid w:val="000647EC"/>
    <w:rsid w:val="0006554F"/>
    <w:rsid w:val="00066931"/>
    <w:rsid w:val="00067E2D"/>
    <w:rsid w:val="00070D98"/>
    <w:rsid w:val="000716B7"/>
    <w:rsid w:val="00074135"/>
    <w:rsid w:val="000767FF"/>
    <w:rsid w:val="0008135A"/>
    <w:rsid w:val="00082E5C"/>
    <w:rsid w:val="000849DC"/>
    <w:rsid w:val="00084D81"/>
    <w:rsid w:val="00087544"/>
    <w:rsid w:val="00087CC5"/>
    <w:rsid w:val="0009005C"/>
    <w:rsid w:val="00091AC2"/>
    <w:rsid w:val="000921BC"/>
    <w:rsid w:val="000925B9"/>
    <w:rsid w:val="000927E9"/>
    <w:rsid w:val="000929D9"/>
    <w:rsid w:val="00092FEC"/>
    <w:rsid w:val="00094FC9"/>
    <w:rsid w:val="000950CA"/>
    <w:rsid w:val="00096994"/>
    <w:rsid w:val="00096F74"/>
    <w:rsid w:val="000A094E"/>
    <w:rsid w:val="000A168E"/>
    <w:rsid w:val="000A220E"/>
    <w:rsid w:val="000A510C"/>
    <w:rsid w:val="000A5F6D"/>
    <w:rsid w:val="000A7EFE"/>
    <w:rsid w:val="000B4215"/>
    <w:rsid w:val="000B4E42"/>
    <w:rsid w:val="000B629F"/>
    <w:rsid w:val="000B6D95"/>
    <w:rsid w:val="000C04BD"/>
    <w:rsid w:val="000C1A6B"/>
    <w:rsid w:val="000C269C"/>
    <w:rsid w:val="000C4292"/>
    <w:rsid w:val="000C5510"/>
    <w:rsid w:val="000C598F"/>
    <w:rsid w:val="000C71B2"/>
    <w:rsid w:val="000D03FB"/>
    <w:rsid w:val="000D1336"/>
    <w:rsid w:val="000D178E"/>
    <w:rsid w:val="000D1F2F"/>
    <w:rsid w:val="000D3CB5"/>
    <w:rsid w:val="000D4B11"/>
    <w:rsid w:val="000D5CA1"/>
    <w:rsid w:val="000D763A"/>
    <w:rsid w:val="000D7906"/>
    <w:rsid w:val="000E0C64"/>
    <w:rsid w:val="000E111C"/>
    <w:rsid w:val="000E20B9"/>
    <w:rsid w:val="000E2DCB"/>
    <w:rsid w:val="000E33B2"/>
    <w:rsid w:val="000E3D69"/>
    <w:rsid w:val="000E4076"/>
    <w:rsid w:val="000E63AA"/>
    <w:rsid w:val="000E6C36"/>
    <w:rsid w:val="000E7B3F"/>
    <w:rsid w:val="000F014A"/>
    <w:rsid w:val="000F0CB0"/>
    <w:rsid w:val="000F1E2C"/>
    <w:rsid w:val="000F22AD"/>
    <w:rsid w:val="000F41D1"/>
    <w:rsid w:val="000F62BF"/>
    <w:rsid w:val="000F64D1"/>
    <w:rsid w:val="000F7CE1"/>
    <w:rsid w:val="000F7D9D"/>
    <w:rsid w:val="001006EF"/>
    <w:rsid w:val="00101813"/>
    <w:rsid w:val="001022EE"/>
    <w:rsid w:val="00102B62"/>
    <w:rsid w:val="00105690"/>
    <w:rsid w:val="001059C3"/>
    <w:rsid w:val="0010611E"/>
    <w:rsid w:val="00106881"/>
    <w:rsid w:val="001068AE"/>
    <w:rsid w:val="0011005B"/>
    <w:rsid w:val="0011130E"/>
    <w:rsid w:val="0011213F"/>
    <w:rsid w:val="00113811"/>
    <w:rsid w:val="00114446"/>
    <w:rsid w:val="0011497C"/>
    <w:rsid w:val="00114A5C"/>
    <w:rsid w:val="00114D69"/>
    <w:rsid w:val="00115E17"/>
    <w:rsid w:val="001163B8"/>
    <w:rsid w:val="00116960"/>
    <w:rsid w:val="00116EA8"/>
    <w:rsid w:val="0012099C"/>
    <w:rsid w:val="001209B3"/>
    <w:rsid w:val="00121FBE"/>
    <w:rsid w:val="0012210B"/>
    <w:rsid w:val="0012337D"/>
    <w:rsid w:val="00123D33"/>
    <w:rsid w:val="00124DF6"/>
    <w:rsid w:val="00125161"/>
    <w:rsid w:val="00125631"/>
    <w:rsid w:val="00126555"/>
    <w:rsid w:val="001266C6"/>
    <w:rsid w:val="001278D6"/>
    <w:rsid w:val="00130605"/>
    <w:rsid w:val="00130EC8"/>
    <w:rsid w:val="00131C14"/>
    <w:rsid w:val="00132B39"/>
    <w:rsid w:val="001336B2"/>
    <w:rsid w:val="0013439B"/>
    <w:rsid w:val="00135390"/>
    <w:rsid w:val="00136AC2"/>
    <w:rsid w:val="001370A3"/>
    <w:rsid w:val="00140A3D"/>
    <w:rsid w:val="0014228F"/>
    <w:rsid w:val="001447DA"/>
    <w:rsid w:val="00145954"/>
    <w:rsid w:val="001465C5"/>
    <w:rsid w:val="0014695E"/>
    <w:rsid w:val="00150F38"/>
    <w:rsid w:val="00151110"/>
    <w:rsid w:val="00151828"/>
    <w:rsid w:val="001534FA"/>
    <w:rsid w:val="0015362C"/>
    <w:rsid w:val="00154020"/>
    <w:rsid w:val="00154B75"/>
    <w:rsid w:val="00154ED9"/>
    <w:rsid w:val="001551E1"/>
    <w:rsid w:val="001551FE"/>
    <w:rsid w:val="001567F1"/>
    <w:rsid w:val="001608E4"/>
    <w:rsid w:val="00162236"/>
    <w:rsid w:val="00162882"/>
    <w:rsid w:val="001633FD"/>
    <w:rsid w:val="00163667"/>
    <w:rsid w:val="00163B2B"/>
    <w:rsid w:val="00166BB4"/>
    <w:rsid w:val="001707CB"/>
    <w:rsid w:val="00171107"/>
    <w:rsid w:val="00171BA7"/>
    <w:rsid w:val="00171CF4"/>
    <w:rsid w:val="00174444"/>
    <w:rsid w:val="001760EF"/>
    <w:rsid w:val="0017663E"/>
    <w:rsid w:val="00177B03"/>
    <w:rsid w:val="00177C22"/>
    <w:rsid w:val="00180B59"/>
    <w:rsid w:val="00180FEC"/>
    <w:rsid w:val="0018232A"/>
    <w:rsid w:val="00183770"/>
    <w:rsid w:val="001838DA"/>
    <w:rsid w:val="00183A93"/>
    <w:rsid w:val="00184657"/>
    <w:rsid w:val="00184ED9"/>
    <w:rsid w:val="0018502A"/>
    <w:rsid w:val="0018543E"/>
    <w:rsid w:val="0018569C"/>
    <w:rsid w:val="00186B12"/>
    <w:rsid w:val="0019010C"/>
    <w:rsid w:val="00190B52"/>
    <w:rsid w:val="001912D9"/>
    <w:rsid w:val="00192F81"/>
    <w:rsid w:val="00193C15"/>
    <w:rsid w:val="001945BD"/>
    <w:rsid w:val="001948E6"/>
    <w:rsid w:val="00197214"/>
    <w:rsid w:val="00197FE7"/>
    <w:rsid w:val="001A1C19"/>
    <w:rsid w:val="001A2B3D"/>
    <w:rsid w:val="001A3FD3"/>
    <w:rsid w:val="001A5091"/>
    <w:rsid w:val="001A517C"/>
    <w:rsid w:val="001B1593"/>
    <w:rsid w:val="001B1904"/>
    <w:rsid w:val="001B1B38"/>
    <w:rsid w:val="001B2589"/>
    <w:rsid w:val="001B3253"/>
    <w:rsid w:val="001B37F9"/>
    <w:rsid w:val="001B389A"/>
    <w:rsid w:val="001B5278"/>
    <w:rsid w:val="001B6251"/>
    <w:rsid w:val="001B669F"/>
    <w:rsid w:val="001B6840"/>
    <w:rsid w:val="001B7B44"/>
    <w:rsid w:val="001B7C95"/>
    <w:rsid w:val="001C11F7"/>
    <w:rsid w:val="001C1DA4"/>
    <w:rsid w:val="001C2410"/>
    <w:rsid w:val="001C3CF6"/>
    <w:rsid w:val="001C5D0A"/>
    <w:rsid w:val="001C65D8"/>
    <w:rsid w:val="001C72D2"/>
    <w:rsid w:val="001D2108"/>
    <w:rsid w:val="001D2D9A"/>
    <w:rsid w:val="001D2DE1"/>
    <w:rsid w:val="001D30C8"/>
    <w:rsid w:val="001D664C"/>
    <w:rsid w:val="001D74F8"/>
    <w:rsid w:val="001D760B"/>
    <w:rsid w:val="001D76DB"/>
    <w:rsid w:val="001D7A55"/>
    <w:rsid w:val="001E0024"/>
    <w:rsid w:val="001E13F6"/>
    <w:rsid w:val="001E25E5"/>
    <w:rsid w:val="001E2D99"/>
    <w:rsid w:val="001E3811"/>
    <w:rsid w:val="001E3F90"/>
    <w:rsid w:val="001E4F34"/>
    <w:rsid w:val="001E5712"/>
    <w:rsid w:val="001E606E"/>
    <w:rsid w:val="001E6948"/>
    <w:rsid w:val="001E6AC2"/>
    <w:rsid w:val="001E6FE8"/>
    <w:rsid w:val="001E70AB"/>
    <w:rsid w:val="001E796B"/>
    <w:rsid w:val="001F0E28"/>
    <w:rsid w:val="001F4294"/>
    <w:rsid w:val="001F5D45"/>
    <w:rsid w:val="001F5E84"/>
    <w:rsid w:val="001F7572"/>
    <w:rsid w:val="002002ED"/>
    <w:rsid w:val="00202271"/>
    <w:rsid w:val="00202FB0"/>
    <w:rsid w:val="00205676"/>
    <w:rsid w:val="00205758"/>
    <w:rsid w:val="0020725F"/>
    <w:rsid w:val="0020746B"/>
    <w:rsid w:val="002107F3"/>
    <w:rsid w:val="0021129B"/>
    <w:rsid w:val="00212F85"/>
    <w:rsid w:val="0021472B"/>
    <w:rsid w:val="0021589B"/>
    <w:rsid w:val="00216054"/>
    <w:rsid w:val="00217A9A"/>
    <w:rsid w:val="00221630"/>
    <w:rsid w:val="00221E39"/>
    <w:rsid w:val="00221ED7"/>
    <w:rsid w:val="002227CD"/>
    <w:rsid w:val="002231E7"/>
    <w:rsid w:val="002234AF"/>
    <w:rsid w:val="00223B61"/>
    <w:rsid w:val="00224D6C"/>
    <w:rsid w:val="00224F44"/>
    <w:rsid w:val="00225346"/>
    <w:rsid w:val="00225D85"/>
    <w:rsid w:val="0022607D"/>
    <w:rsid w:val="0022623F"/>
    <w:rsid w:val="00226B08"/>
    <w:rsid w:val="002270C7"/>
    <w:rsid w:val="00227A7F"/>
    <w:rsid w:val="0023014D"/>
    <w:rsid w:val="00230CEA"/>
    <w:rsid w:val="00231C3E"/>
    <w:rsid w:val="00232BF4"/>
    <w:rsid w:val="00233FB5"/>
    <w:rsid w:val="00234986"/>
    <w:rsid w:val="00235782"/>
    <w:rsid w:val="0023594C"/>
    <w:rsid w:val="00237F95"/>
    <w:rsid w:val="00244773"/>
    <w:rsid w:val="00244DC3"/>
    <w:rsid w:val="00245AB3"/>
    <w:rsid w:val="002466B5"/>
    <w:rsid w:val="002507D0"/>
    <w:rsid w:val="00250B66"/>
    <w:rsid w:val="00251C0A"/>
    <w:rsid w:val="002524AB"/>
    <w:rsid w:val="00254AC4"/>
    <w:rsid w:val="0025505D"/>
    <w:rsid w:val="0025568C"/>
    <w:rsid w:val="0025605E"/>
    <w:rsid w:val="0025624A"/>
    <w:rsid w:val="002569D2"/>
    <w:rsid w:val="00256F15"/>
    <w:rsid w:val="00257E68"/>
    <w:rsid w:val="00260078"/>
    <w:rsid w:val="00260910"/>
    <w:rsid w:val="002640B5"/>
    <w:rsid w:val="002649E1"/>
    <w:rsid w:val="002659C1"/>
    <w:rsid w:val="002665CB"/>
    <w:rsid w:val="002705F3"/>
    <w:rsid w:val="002715D6"/>
    <w:rsid w:val="00272171"/>
    <w:rsid w:val="002723C0"/>
    <w:rsid w:val="00272824"/>
    <w:rsid w:val="00273113"/>
    <w:rsid w:val="002747BC"/>
    <w:rsid w:val="00275A41"/>
    <w:rsid w:val="002772C3"/>
    <w:rsid w:val="002800ED"/>
    <w:rsid w:val="00280851"/>
    <w:rsid w:val="00282E72"/>
    <w:rsid w:val="00283170"/>
    <w:rsid w:val="0028568D"/>
    <w:rsid w:val="00286013"/>
    <w:rsid w:val="00286E18"/>
    <w:rsid w:val="00287FA6"/>
    <w:rsid w:val="00290BC4"/>
    <w:rsid w:val="00291135"/>
    <w:rsid w:val="00291F00"/>
    <w:rsid w:val="00292413"/>
    <w:rsid w:val="00293CD6"/>
    <w:rsid w:val="002942CE"/>
    <w:rsid w:val="00296427"/>
    <w:rsid w:val="00296A74"/>
    <w:rsid w:val="00297007"/>
    <w:rsid w:val="002A0470"/>
    <w:rsid w:val="002A08AE"/>
    <w:rsid w:val="002A09C9"/>
    <w:rsid w:val="002A12FA"/>
    <w:rsid w:val="002A2F0E"/>
    <w:rsid w:val="002A39F2"/>
    <w:rsid w:val="002A3A37"/>
    <w:rsid w:val="002A4278"/>
    <w:rsid w:val="002A4F76"/>
    <w:rsid w:val="002A5634"/>
    <w:rsid w:val="002A5DF8"/>
    <w:rsid w:val="002B07F2"/>
    <w:rsid w:val="002B080D"/>
    <w:rsid w:val="002B2395"/>
    <w:rsid w:val="002B3616"/>
    <w:rsid w:val="002B4288"/>
    <w:rsid w:val="002B43C8"/>
    <w:rsid w:val="002C0429"/>
    <w:rsid w:val="002C0A83"/>
    <w:rsid w:val="002C2EE0"/>
    <w:rsid w:val="002C4171"/>
    <w:rsid w:val="002C5195"/>
    <w:rsid w:val="002C6736"/>
    <w:rsid w:val="002C7F85"/>
    <w:rsid w:val="002D13E0"/>
    <w:rsid w:val="002D1DB8"/>
    <w:rsid w:val="002D1EA6"/>
    <w:rsid w:val="002D2495"/>
    <w:rsid w:val="002D3212"/>
    <w:rsid w:val="002D352E"/>
    <w:rsid w:val="002D43C3"/>
    <w:rsid w:val="002D46AD"/>
    <w:rsid w:val="002D50E8"/>
    <w:rsid w:val="002D61BE"/>
    <w:rsid w:val="002D684D"/>
    <w:rsid w:val="002E13C9"/>
    <w:rsid w:val="002E235D"/>
    <w:rsid w:val="002E284C"/>
    <w:rsid w:val="002E3311"/>
    <w:rsid w:val="002E3EEC"/>
    <w:rsid w:val="002E414F"/>
    <w:rsid w:val="002E528B"/>
    <w:rsid w:val="002E5D73"/>
    <w:rsid w:val="002E62AE"/>
    <w:rsid w:val="002E740F"/>
    <w:rsid w:val="002E75AB"/>
    <w:rsid w:val="002E770A"/>
    <w:rsid w:val="002E784D"/>
    <w:rsid w:val="002E7CBD"/>
    <w:rsid w:val="002F0988"/>
    <w:rsid w:val="002F32B5"/>
    <w:rsid w:val="002F377F"/>
    <w:rsid w:val="002F4C42"/>
    <w:rsid w:val="002F63D2"/>
    <w:rsid w:val="002F78A6"/>
    <w:rsid w:val="003009B5"/>
    <w:rsid w:val="00300C1A"/>
    <w:rsid w:val="003026E6"/>
    <w:rsid w:val="00302904"/>
    <w:rsid w:val="00303125"/>
    <w:rsid w:val="00303D93"/>
    <w:rsid w:val="00306801"/>
    <w:rsid w:val="00306C1D"/>
    <w:rsid w:val="00306FE0"/>
    <w:rsid w:val="00307892"/>
    <w:rsid w:val="0030792D"/>
    <w:rsid w:val="00307B85"/>
    <w:rsid w:val="003105EB"/>
    <w:rsid w:val="00311A50"/>
    <w:rsid w:val="003137EE"/>
    <w:rsid w:val="00314634"/>
    <w:rsid w:val="003146C3"/>
    <w:rsid w:val="00315572"/>
    <w:rsid w:val="00316261"/>
    <w:rsid w:val="00317373"/>
    <w:rsid w:val="00317481"/>
    <w:rsid w:val="0032184B"/>
    <w:rsid w:val="00321C30"/>
    <w:rsid w:val="00322AAB"/>
    <w:rsid w:val="00323CE9"/>
    <w:rsid w:val="00324FB2"/>
    <w:rsid w:val="0032536B"/>
    <w:rsid w:val="00325E79"/>
    <w:rsid w:val="00325F9A"/>
    <w:rsid w:val="00326155"/>
    <w:rsid w:val="00326552"/>
    <w:rsid w:val="00327015"/>
    <w:rsid w:val="00334977"/>
    <w:rsid w:val="003360C5"/>
    <w:rsid w:val="003367D1"/>
    <w:rsid w:val="00336E01"/>
    <w:rsid w:val="003370AC"/>
    <w:rsid w:val="00340085"/>
    <w:rsid w:val="003421C2"/>
    <w:rsid w:val="00342F59"/>
    <w:rsid w:val="00343DF7"/>
    <w:rsid w:val="003444AE"/>
    <w:rsid w:val="00344BBD"/>
    <w:rsid w:val="003451A7"/>
    <w:rsid w:val="00351E32"/>
    <w:rsid w:val="0035364E"/>
    <w:rsid w:val="003549EE"/>
    <w:rsid w:val="0035564A"/>
    <w:rsid w:val="00355C7E"/>
    <w:rsid w:val="003560A1"/>
    <w:rsid w:val="0036055F"/>
    <w:rsid w:val="00362D30"/>
    <w:rsid w:val="00363FC4"/>
    <w:rsid w:val="00364764"/>
    <w:rsid w:val="00366EBA"/>
    <w:rsid w:val="003679E6"/>
    <w:rsid w:val="00367E9A"/>
    <w:rsid w:val="00371F35"/>
    <w:rsid w:val="00372822"/>
    <w:rsid w:val="00372BCE"/>
    <w:rsid w:val="00373050"/>
    <w:rsid w:val="003756FC"/>
    <w:rsid w:val="00375FC7"/>
    <w:rsid w:val="00376FD2"/>
    <w:rsid w:val="003771FC"/>
    <w:rsid w:val="00377219"/>
    <w:rsid w:val="0037769A"/>
    <w:rsid w:val="0038154F"/>
    <w:rsid w:val="00381F9B"/>
    <w:rsid w:val="0038210A"/>
    <w:rsid w:val="00382711"/>
    <w:rsid w:val="00382FA0"/>
    <w:rsid w:val="003834CD"/>
    <w:rsid w:val="0038353F"/>
    <w:rsid w:val="00383E9E"/>
    <w:rsid w:val="00384E24"/>
    <w:rsid w:val="0038584B"/>
    <w:rsid w:val="003868BE"/>
    <w:rsid w:val="00386EC2"/>
    <w:rsid w:val="00387C55"/>
    <w:rsid w:val="003914A1"/>
    <w:rsid w:val="0039189C"/>
    <w:rsid w:val="003928FD"/>
    <w:rsid w:val="00394624"/>
    <w:rsid w:val="00395AA4"/>
    <w:rsid w:val="00397189"/>
    <w:rsid w:val="00397341"/>
    <w:rsid w:val="003A02D8"/>
    <w:rsid w:val="003A05D0"/>
    <w:rsid w:val="003A05E1"/>
    <w:rsid w:val="003A1828"/>
    <w:rsid w:val="003A18EE"/>
    <w:rsid w:val="003A237D"/>
    <w:rsid w:val="003A32DF"/>
    <w:rsid w:val="003A51FD"/>
    <w:rsid w:val="003A57E2"/>
    <w:rsid w:val="003A6F33"/>
    <w:rsid w:val="003A7731"/>
    <w:rsid w:val="003B02F6"/>
    <w:rsid w:val="003B0F7E"/>
    <w:rsid w:val="003B2E04"/>
    <w:rsid w:val="003B3093"/>
    <w:rsid w:val="003B3970"/>
    <w:rsid w:val="003B4935"/>
    <w:rsid w:val="003B4A96"/>
    <w:rsid w:val="003B5554"/>
    <w:rsid w:val="003B585E"/>
    <w:rsid w:val="003B67C3"/>
    <w:rsid w:val="003C03C2"/>
    <w:rsid w:val="003C07B6"/>
    <w:rsid w:val="003C0F08"/>
    <w:rsid w:val="003C10C9"/>
    <w:rsid w:val="003C1CFD"/>
    <w:rsid w:val="003C36CD"/>
    <w:rsid w:val="003C3A99"/>
    <w:rsid w:val="003C49C9"/>
    <w:rsid w:val="003C7B70"/>
    <w:rsid w:val="003D00C1"/>
    <w:rsid w:val="003D0E27"/>
    <w:rsid w:val="003D15D0"/>
    <w:rsid w:val="003D1F42"/>
    <w:rsid w:val="003D38F7"/>
    <w:rsid w:val="003D3F4F"/>
    <w:rsid w:val="003D4426"/>
    <w:rsid w:val="003D4E61"/>
    <w:rsid w:val="003D5D49"/>
    <w:rsid w:val="003D6830"/>
    <w:rsid w:val="003E1405"/>
    <w:rsid w:val="003E15B6"/>
    <w:rsid w:val="003E4DDA"/>
    <w:rsid w:val="003E5102"/>
    <w:rsid w:val="003E5628"/>
    <w:rsid w:val="003E5903"/>
    <w:rsid w:val="003E5D1E"/>
    <w:rsid w:val="003F1192"/>
    <w:rsid w:val="003F2139"/>
    <w:rsid w:val="003F347A"/>
    <w:rsid w:val="003F4AE8"/>
    <w:rsid w:val="003F69C5"/>
    <w:rsid w:val="003F7475"/>
    <w:rsid w:val="003F7D0F"/>
    <w:rsid w:val="00400060"/>
    <w:rsid w:val="00401755"/>
    <w:rsid w:val="00402468"/>
    <w:rsid w:val="00403F28"/>
    <w:rsid w:val="0040436B"/>
    <w:rsid w:val="0040464B"/>
    <w:rsid w:val="00405B82"/>
    <w:rsid w:val="0040632D"/>
    <w:rsid w:val="00407E2D"/>
    <w:rsid w:val="004127CC"/>
    <w:rsid w:val="00412E75"/>
    <w:rsid w:val="004140E5"/>
    <w:rsid w:val="00414D79"/>
    <w:rsid w:val="00415060"/>
    <w:rsid w:val="0041758B"/>
    <w:rsid w:val="00417A48"/>
    <w:rsid w:val="00417ABA"/>
    <w:rsid w:val="004219D6"/>
    <w:rsid w:val="00422E70"/>
    <w:rsid w:val="0042422D"/>
    <w:rsid w:val="004255AD"/>
    <w:rsid w:val="004266A4"/>
    <w:rsid w:val="00427446"/>
    <w:rsid w:val="00427460"/>
    <w:rsid w:val="004275DC"/>
    <w:rsid w:val="00427731"/>
    <w:rsid w:val="00427EC5"/>
    <w:rsid w:val="00430968"/>
    <w:rsid w:val="00430979"/>
    <w:rsid w:val="00431ED9"/>
    <w:rsid w:val="0043213F"/>
    <w:rsid w:val="0043388C"/>
    <w:rsid w:val="004345F2"/>
    <w:rsid w:val="00441C19"/>
    <w:rsid w:val="00441E8C"/>
    <w:rsid w:val="00443FC3"/>
    <w:rsid w:val="004444FF"/>
    <w:rsid w:val="00444C99"/>
    <w:rsid w:val="00444F84"/>
    <w:rsid w:val="00447047"/>
    <w:rsid w:val="004471A5"/>
    <w:rsid w:val="00447DAD"/>
    <w:rsid w:val="00450D55"/>
    <w:rsid w:val="004563F9"/>
    <w:rsid w:val="004610DD"/>
    <w:rsid w:val="0046142B"/>
    <w:rsid w:val="004621F5"/>
    <w:rsid w:val="00463033"/>
    <w:rsid w:val="00466707"/>
    <w:rsid w:val="00466EEB"/>
    <w:rsid w:val="00470730"/>
    <w:rsid w:val="00470BD1"/>
    <w:rsid w:val="004712E0"/>
    <w:rsid w:val="00471634"/>
    <w:rsid w:val="00472EBA"/>
    <w:rsid w:val="00473103"/>
    <w:rsid w:val="00473B3D"/>
    <w:rsid w:val="00474D92"/>
    <w:rsid w:val="004758B7"/>
    <w:rsid w:val="004763CF"/>
    <w:rsid w:val="00476406"/>
    <w:rsid w:val="004801CF"/>
    <w:rsid w:val="004825BA"/>
    <w:rsid w:val="00483BAB"/>
    <w:rsid w:val="0048404B"/>
    <w:rsid w:val="004852BC"/>
    <w:rsid w:val="00486387"/>
    <w:rsid w:val="00486E4A"/>
    <w:rsid w:val="0048731E"/>
    <w:rsid w:val="00490024"/>
    <w:rsid w:val="004921A2"/>
    <w:rsid w:val="00492902"/>
    <w:rsid w:val="004933DD"/>
    <w:rsid w:val="004939F3"/>
    <w:rsid w:val="004979A7"/>
    <w:rsid w:val="00497A64"/>
    <w:rsid w:val="004A03B4"/>
    <w:rsid w:val="004A0D2F"/>
    <w:rsid w:val="004A16D5"/>
    <w:rsid w:val="004A2AE1"/>
    <w:rsid w:val="004A3A17"/>
    <w:rsid w:val="004A4379"/>
    <w:rsid w:val="004A4472"/>
    <w:rsid w:val="004A45F3"/>
    <w:rsid w:val="004A5F2D"/>
    <w:rsid w:val="004A5F6F"/>
    <w:rsid w:val="004A7465"/>
    <w:rsid w:val="004A7593"/>
    <w:rsid w:val="004B0BAC"/>
    <w:rsid w:val="004B0C6B"/>
    <w:rsid w:val="004B1125"/>
    <w:rsid w:val="004B1E4E"/>
    <w:rsid w:val="004B20CD"/>
    <w:rsid w:val="004B29B1"/>
    <w:rsid w:val="004B2B1A"/>
    <w:rsid w:val="004B4763"/>
    <w:rsid w:val="004B4793"/>
    <w:rsid w:val="004B506A"/>
    <w:rsid w:val="004B58A0"/>
    <w:rsid w:val="004B748E"/>
    <w:rsid w:val="004B77E2"/>
    <w:rsid w:val="004C10B1"/>
    <w:rsid w:val="004C1105"/>
    <w:rsid w:val="004C146A"/>
    <w:rsid w:val="004C1ADF"/>
    <w:rsid w:val="004C2586"/>
    <w:rsid w:val="004C3195"/>
    <w:rsid w:val="004C3351"/>
    <w:rsid w:val="004C6258"/>
    <w:rsid w:val="004C66B6"/>
    <w:rsid w:val="004C6ACC"/>
    <w:rsid w:val="004D1AF6"/>
    <w:rsid w:val="004D1E01"/>
    <w:rsid w:val="004D26B3"/>
    <w:rsid w:val="004D3CF4"/>
    <w:rsid w:val="004D4264"/>
    <w:rsid w:val="004D53DD"/>
    <w:rsid w:val="004D5571"/>
    <w:rsid w:val="004D6A84"/>
    <w:rsid w:val="004D7AC2"/>
    <w:rsid w:val="004D7EE2"/>
    <w:rsid w:val="004E0DC8"/>
    <w:rsid w:val="004E1DF0"/>
    <w:rsid w:val="004E2DEE"/>
    <w:rsid w:val="004E3780"/>
    <w:rsid w:val="004E3916"/>
    <w:rsid w:val="004E48B8"/>
    <w:rsid w:val="004E55A0"/>
    <w:rsid w:val="004E56E5"/>
    <w:rsid w:val="004F1873"/>
    <w:rsid w:val="004F1BE5"/>
    <w:rsid w:val="004F205C"/>
    <w:rsid w:val="004F22BE"/>
    <w:rsid w:val="004F3674"/>
    <w:rsid w:val="004F52CA"/>
    <w:rsid w:val="004F60B2"/>
    <w:rsid w:val="004F6A7E"/>
    <w:rsid w:val="00500E04"/>
    <w:rsid w:val="00501290"/>
    <w:rsid w:val="005013B7"/>
    <w:rsid w:val="00501579"/>
    <w:rsid w:val="00503B65"/>
    <w:rsid w:val="005049DA"/>
    <w:rsid w:val="00504E02"/>
    <w:rsid w:val="005055FD"/>
    <w:rsid w:val="00507DE5"/>
    <w:rsid w:val="0051001A"/>
    <w:rsid w:val="005103AE"/>
    <w:rsid w:val="005104D1"/>
    <w:rsid w:val="00510BCD"/>
    <w:rsid w:val="0051101D"/>
    <w:rsid w:val="00512CA6"/>
    <w:rsid w:val="00512F18"/>
    <w:rsid w:val="00513A0D"/>
    <w:rsid w:val="00513E78"/>
    <w:rsid w:val="00514107"/>
    <w:rsid w:val="005144CF"/>
    <w:rsid w:val="00514F6E"/>
    <w:rsid w:val="00515B4F"/>
    <w:rsid w:val="00515E12"/>
    <w:rsid w:val="005167FD"/>
    <w:rsid w:val="005206EA"/>
    <w:rsid w:val="00520B4D"/>
    <w:rsid w:val="005235D3"/>
    <w:rsid w:val="005236D8"/>
    <w:rsid w:val="005245B1"/>
    <w:rsid w:val="00526125"/>
    <w:rsid w:val="005261C2"/>
    <w:rsid w:val="0052693F"/>
    <w:rsid w:val="00527A2D"/>
    <w:rsid w:val="005309CA"/>
    <w:rsid w:val="005317AF"/>
    <w:rsid w:val="005319D7"/>
    <w:rsid w:val="0053488F"/>
    <w:rsid w:val="00534944"/>
    <w:rsid w:val="00540318"/>
    <w:rsid w:val="00541E3F"/>
    <w:rsid w:val="005431B8"/>
    <w:rsid w:val="005452F4"/>
    <w:rsid w:val="005463A9"/>
    <w:rsid w:val="005467C2"/>
    <w:rsid w:val="00546F57"/>
    <w:rsid w:val="005474D6"/>
    <w:rsid w:val="00547929"/>
    <w:rsid w:val="005500F1"/>
    <w:rsid w:val="00562BF1"/>
    <w:rsid w:val="005630B3"/>
    <w:rsid w:val="00564CFC"/>
    <w:rsid w:val="00566C13"/>
    <w:rsid w:val="00567787"/>
    <w:rsid w:val="00567867"/>
    <w:rsid w:val="00572D33"/>
    <w:rsid w:val="00573658"/>
    <w:rsid w:val="0057382C"/>
    <w:rsid w:val="00574162"/>
    <w:rsid w:val="005756F9"/>
    <w:rsid w:val="00575B38"/>
    <w:rsid w:val="00576844"/>
    <w:rsid w:val="005773BD"/>
    <w:rsid w:val="00577ECB"/>
    <w:rsid w:val="00580806"/>
    <w:rsid w:val="0058117B"/>
    <w:rsid w:val="00583715"/>
    <w:rsid w:val="00583B2E"/>
    <w:rsid w:val="00584382"/>
    <w:rsid w:val="00584762"/>
    <w:rsid w:val="00585BAB"/>
    <w:rsid w:val="005868E8"/>
    <w:rsid w:val="0059057B"/>
    <w:rsid w:val="00590615"/>
    <w:rsid w:val="005908C1"/>
    <w:rsid w:val="005937CF"/>
    <w:rsid w:val="005945F6"/>
    <w:rsid w:val="00594B28"/>
    <w:rsid w:val="00595C07"/>
    <w:rsid w:val="00595E5F"/>
    <w:rsid w:val="005963C4"/>
    <w:rsid w:val="00597CEF"/>
    <w:rsid w:val="005A0D31"/>
    <w:rsid w:val="005A2320"/>
    <w:rsid w:val="005A2758"/>
    <w:rsid w:val="005A2AEA"/>
    <w:rsid w:val="005A338D"/>
    <w:rsid w:val="005A3CCC"/>
    <w:rsid w:val="005A4A3B"/>
    <w:rsid w:val="005A54F0"/>
    <w:rsid w:val="005A560D"/>
    <w:rsid w:val="005A78DB"/>
    <w:rsid w:val="005A79BD"/>
    <w:rsid w:val="005B04D0"/>
    <w:rsid w:val="005B3A85"/>
    <w:rsid w:val="005B438E"/>
    <w:rsid w:val="005B4769"/>
    <w:rsid w:val="005B4AB4"/>
    <w:rsid w:val="005B4EAA"/>
    <w:rsid w:val="005C02C1"/>
    <w:rsid w:val="005C1128"/>
    <w:rsid w:val="005C3503"/>
    <w:rsid w:val="005C3949"/>
    <w:rsid w:val="005C420C"/>
    <w:rsid w:val="005C5138"/>
    <w:rsid w:val="005C5ED9"/>
    <w:rsid w:val="005D141F"/>
    <w:rsid w:val="005D45C9"/>
    <w:rsid w:val="005D4D12"/>
    <w:rsid w:val="005D4F69"/>
    <w:rsid w:val="005D5B3D"/>
    <w:rsid w:val="005D5D54"/>
    <w:rsid w:val="005D7C72"/>
    <w:rsid w:val="005E159E"/>
    <w:rsid w:val="005E2A19"/>
    <w:rsid w:val="005E3D7C"/>
    <w:rsid w:val="005E4D6A"/>
    <w:rsid w:val="005E5064"/>
    <w:rsid w:val="005E6755"/>
    <w:rsid w:val="005E6C7E"/>
    <w:rsid w:val="005E7A75"/>
    <w:rsid w:val="005F0F61"/>
    <w:rsid w:val="005F1BB9"/>
    <w:rsid w:val="005F3DFD"/>
    <w:rsid w:val="00601E1A"/>
    <w:rsid w:val="0060218C"/>
    <w:rsid w:val="0060255E"/>
    <w:rsid w:val="00603426"/>
    <w:rsid w:val="00603FCF"/>
    <w:rsid w:val="00604953"/>
    <w:rsid w:val="00610120"/>
    <w:rsid w:val="006104AA"/>
    <w:rsid w:val="00610881"/>
    <w:rsid w:val="00613400"/>
    <w:rsid w:val="00613681"/>
    <w:rsid w:val="00613DA8"/>
    <w:rsid w:val="00614796"/>
    <w:rsid w:val="00614B07"/>
    <w:rsid w:val="006151A3"/>
    <w:rsid w:val="00615A16"/>
    <w:rsid w:val="006161EE"/>
    <w:rsid w:val="006163AA"/>
    <w:rsid w:val="00616EF1"/>
    <w:rsid w:val="00617DF3"/>
    <w:rsid w:val="0062040F"/>
    <w:rsid w:val="00621907"/>
    <w:rsid w:val="00622936"/>
    <w:rsid w:val="0062391C"/>
    <w:rsid w:val="00625493"/>
    <w:rsid w:val="00626B3B"/>
    <w:rsid w:val="0063177A"/>
    <w:rsid w:val="00631DD3"/>
    <w:rsid w:val="00633BFE"/>
    <w:rsid w:val="00636172"/>
    <w:rsid w:val="006362E9"/>
    <w:rsid w:val="00636BED"/>
    <w:rsid w:val="0064016B"/>
    <w:rsid w:val="006412BB"/>
    <w:rsid w:val="006420BB"/>
    <w:rsid w:val="00642AB1"/>
    <w:rsid w:val="0064308D"/>
    <w:rsid w:val="00644302"/>
    <w:rsid w:val="00645C9D"/>
    <w:rsid w:val="00646816"/>
    <w:rsid w:val="006471CE"/>
    <w:rsid w:val="00652277"/>
    <w:rsid w:val="0065351C"/>
    <w:rsid w:val="00653F72"/>
    <w:rsid w:val="00654BDD"/>
    <w:rsid w:val="0065509C"/>
    <w:rsid w:val="006550A6"/>
    <w:rsid w:val="006552C0"/>
    <w:rsid w:val="0065674E"/>
    <w:rsid w:val="006568DF"/>
    <w:rsid w:val="00657C80"/>
    <w:rsid w:val="00657F07"/>
    <w:rsid w:val="0066057A"/>
    <w:rsid w:val="00661B4E"/>
    <w:rsid w:val="006627C4"/>
    <w:rsid w:val="00662C19"/>
    <w:rsid w:val="00663F11"/>
    <w:rsid w:val="00664407"/>
    <w:rsid w:val="00667232"/>
    <w:rsid w:val="00670398"/>
    <w:rsid w:val="006704B2"/>
    <w:rsid w:val="006705F3"/>
    <w:rsid w:val="0067080A"/>
    <w:rsid w:val="00670B1B"/>
    <w:rsid w:val="00672252"/>
    <w:rsid w:val="006729FF"/>
    <w:rsid w:val="006734EC"/>
    <w:rsid w:val="006749D4"/>
    <w:rsid w:val="006759E3"/>
    <w:rsid w:val="00675F41"/>
    <w:rsid w:val="00676400"/>
    <w:rsid w:val="00676BA2"/>
    <w:rsid w:val="00676ECB"/>
    <w:rsid w:val="00676F82"/>
    <w:rsid w:val="00680241"/>
    <w:rsid w:val="0068098C"/>
    <w:rsid w:val="006810B1"/>
    <w:rsid w:val="00683C4F"/>
    <w:rsid w:val="00686FE1"/>
    <w:rsid w:val="006872A8"/>
    <w:rsid w:val="00690302"/>
    <w:rsid w:val="0069134A"/>
    <w:rsid w:val="006922F4"/>
    <w:rsid w:val="00692D9A"/>
    <w:rsid w:val="0069407C"/>
    <w:rsid w:val="006940B3"/>
    <w:rsid w:val="00694B2E"/>
    <w:rsid w:val="00695881"/>
    <w:rsid w:val="00695E6E"/>
    <w:rsid w:val="006972B1"/>
    <w:rsid w:val="006A1024"/>
    <w:rsid w:val="006A378F"/>
    <w:rsid w:val="006A3A32"/>
    <w:rsid w:val="006A4740"/>
    <w:rsid w:val="006A64F2"/>
    <w:rsid w:val="006A6A40"/>
    <w:rsid w:val="006A7B80"/>
    <w:rsid w:val="006B1056"/>
    <w:rsid w:val="006B1372"/>
    <w:rsid w:val="006B3ADF"/>
    <w:rsid w:val="006B3EFB"/>
    <w:rsid w:val="006B5C0B"/>
    <w:rsid w:val="006B6735"/>
    <w:rsid w:val="006B690F"/>
    <w:rsid w:val="006C245A"/>
    <w:rsid w:val="006C245B"/>
    <w:rsid w:val="006C2ED7"/>
    <w:rsid w:val="006C3295"/>
    <w:rsid w:val="006C5DA4"/>
    <w:rsid w:val="006C6489"/>
    <w:rsid w:val="006C64EC"/>
    <w:rsid w:val="006C6F08"/>
    <w:rsid w:val="006C7836"/>
    <w:rsid w:val="006D48D9"/>
    <w:rsid w:val="006D491B"/>
    <w:rsid w:val="006D4A8D"/>
    <w:rsid w:val="006D7B01"/>
    <w:rsid w:val="006E1783"/>
    <w:rsid w:val="006E1DF2"/>
    <w:rsid w:val="006E324E"/>
    <w:rsid w:val="006E57E8"/>
    <w:rsid w:val="006E5DEC"/>
    <w:rsid w:val="006E73E3"/>
    <w:rsid w:val="006F07B5"/>
    <w:rsid w:val="006F08AE"/>
    <w:rsid w:val="006F08CA"/>
    <w:rsid w:val="006F178E"/>
    <w:rsid w:val="006F2ACE"/>
    <w:rsid w:val="006F2DB9"/>
    <w:rsid w:val="006F4C53"/>
    <w:rsid w:val="006F593A"/>
    <w:rsid w:val="006F6660"/>
    <w:rsid w:val="006F6C06"/>
    <w:rsid w:val="006F79BB"/>
    <w:rsid w:val="007000FB"/>
    <w:rsid w:val="007002F0"/>
    <w:rsid w:val="00700552"/>
    <w:rsid w:val="007008E0"/>
    <w:rsid w:val="007036B0"/>
    <w:rsid w:val="00704720"/>
    <w:rsid w:val="007050B0"/>
    <w:rsid w:val="00705235"/>
    <w:rsid w:val="00706820"/>
    <w:rsid w:val="007107AD"/>
    <w:rsid w:val="007154AA"/>
    <w:rsid w:val="00715CCA"/>
    <w:rsid w:val="0071661A"/>
    <w:rsid w:val="00717DF2"/>
    <w:rsid w:val="007210F1"/>
    <w:rsid w:val="0072189B"/>
    <w:rsid w:val="00722F4D"/>
    <w:rsid w:val="007234E4"/>
    <w:rsid w:val="007244AB"/>
    <w:rsid w:val="0072729B"/>
    <w:rsid w:val="00727A57"/>
    <w:rsid w:val="00727A76"/>
    <w:rsid w:val="007315DF"/>
    <w:rsid w:val="00731AFE"/>
    <w:rsid w:val="0073264E"/>
    <w:rsid w:val="00732658"/>
    <w:rsid w:val="00733D8C"/>
    <w:rsid w:val="00735001"/>
    <w:rsid w:val="00735898"/>
    <w:rsid w:val="0073635E"/>
    <w:rsid w:val="007375AF"/>
    <w:rsid w:val="007407B0"/>
    <w:rsid w:val="00741BE4"/>
    <w:rsid w:val="00742C25"/>
    <w:rsid w:val="00743300"/>
    <w:rsid w:val="00745364"/>
    <w:rsid w:val="00745474"/>
    <w:rsid w:val="00747A6F"/>
    <w:rsid w:val="0075002A"/>
    <w:rsid w:val="00750070"/>
    <w:rsid w:val="00750E64"/>
    <w:rsid w:val="007520AB"/>
    <w:rsid w:val="007520F2"/>
    <w:rsid w:val="007521D4"/>
    <w:rsid w:val="00752308"/>
    <w:rsid w:val="007537F7"/>
    <w:rsid w:val="00760397"/>
    <w:rsid w:val="007603DD"/>
    <w:rsid w:val="00763043"/>
    <w:rsid w:val="00765278"/>
    <w:rsid w:val="007653B8"/>
    <w:rsid w:val="0076604A"/>
    <w:rsid w:val="00766C21"/>
    <w:rsid w:val="007674BB"/>
    <w:rsid w:val="00767862"/>
    <w:rsid w:val="0077007D"/>
    <w:rsid w:val="0077010C"/>
    <w:rsid w:val="0077058E"/>
    <w:rsid w:val="007709C8"/>
    <w:rsid w:val="00770F98"/>
    <w:rsid w:val="00772220"/>
    <w:rsid w:val="007727AA"/>
    <w:rsid w:val="007731F4"/>
    <w:rsid w:val="00780E4B"/>
    <w:rsid w:val="00781BAD"/>
    <w:rsid w:val="00781D60"/>
    <w:rsid w:val="007828F0"/>
    <w:rsid w:val="007830B7"/>
    <w:rsid w:val="007841E7"/>
    <w:rsid w:val="00784D93"/>
    <w:rsid w:val="00785E80"/>
    <w:rsid w:val="00786812"/>
    <w:rsid w:val="00787B82"/>
    <w:rsid w:val="00790155"/>
    <w:rsid w:val="007902C3"/>
    <w:rsid w:val="0079272A"/>
    <w:rsid w:val="00794193"/>
    <w:rsid w:val="00794EF5"/>
    <w:rsid w:val="007953AC"/>
    <w:rsid w:val="00795B64"/>
    <w:rsid w:val="007964AA"/>
    <w:rsid w:val="00796F08"/>
    <w:rsid w:val="007A1A4C"/>
    <w:rsid w:val="007A204B"/>
    <w:rsid w:val="007A244B"/>
    <w:rsid w:val="007A4181"/>
    <w:rsid w:val="007A46A0"/>
    <w:rsid w:val="007A557D"/>
    <w:rsid w:val="007A59CC"/>
    <w:rsid w:val="007A7939"/>
    <w:rsid w:val="007B0FC5"/>
    <w:rsid w:val="007B15D5"/>
    <w:rsid w:val="007B19BF"/>
    <w:rsid w:val="007B1BCA"/>
    <w:rsid w:val="007B21DD"/>
    <w:rsid w:val="007B227D"/>
    <w:rsid w:val="007B430A"/>
    <w:rsid w:val="007B442A"/>
    <w:rsid w:val="007B5630"/>
    <w:rsid w:val="007B6647"/>
    <w:rsid w:val="007B753F"/>
    <w:rsid w:val="007C01F0"/>
    <w:rsid w:val="007C0BAC"/>
    <w:rsid w:val="007C0F73"/>
    <w:rsid w:val="007C13D5"/>
    <w:rsid w:val="007C26AB"/>
    <w:rsid w:val="007C2F87"/>
    <w:rsid w:val="007C3E3C"/>
    <w:rsid w:val="007C51C9"/>
    <w:rsid w:val="007C5570"/>
    <w:rsid w:val="007C56F3"/>
    <w:rsid w:val="007C7088"/>
    <w:rsid w:val="007C7E1F"/>
    <w:rsid w:val="007D1F01"/>
    <w:rsid w:val="007D2137"/>
    <w:rsid w:val="007D2E70"/>
    <w:rsid w:val="007D4470"/>
    <w:rsid w:val="007D4EBA"/>
    <w:rsid w:val="007D55B5"/>
    <w:rsid w:val="007D67D1"/>
    <w:rsid w:val="007D6F98"/>
    <w:rsid w:val="007E0E8A"/>
    <w:rsid w:val="007E1C31"/>
    <w:rsid w:val="007E2A88"/>
    <w:rsid w:val="007E332A"/>
    <w:rsid w:val="007E39DB"/>
    <w:rsid w:val="007E426A"/>
    <w:rsid w:val="007E451E"/>
    <w:rsid w:val="007E5D49"/>
    <w:rsid w:val="007E64A5"/>
    <w:rsid w:val="007E6676"/>
    <w:rsid w:val="007E6AE2"/>
    <w:rsid w:val="007E6C65"/>
    <w:rsid w:val="007E6D75"/>
    <w:rsid w:val="007F03D1"/>
    <w:rsid w:val="007F275F"/>
    <w:rsid w:val="007F35FD"/>
    <w:rsid w:val="007F36D9"/>
    <w:rsid w:val="007F4DA3"/>
    <w:rsid w:val="007F6840"/>
    <w:rsid w:val="007F7857"/>
    <w:rsid w:val="007F7E28"/>
    <w:rsid w:val="008000B7"/>
    <w:rsid w:val="0080194F"/>
    <w:rsid w:val="008038A5"/>
    <w:rsid w:val="008046A7"/>
    <w:rsid w:val="00805423"/>
    <w:rsid w:val="00805519"/>
    <w:rsid w:val="00805C9A"/>
    <w:rsid w:val="00805E16"/>
    <w:rsid w:val="00807ABE"/>
    <w:rsid w:val="00813919"/>
    <w:rsid w:val="00815BA3"/>
    <w:rsid w:val="00815E31"/>
    <w:rsid w:val="008161F8"/>
    <w:rsid w:val="0081702E"/>
    <w:rsid w:val="0082072C"/>
    <w:rsid w:val="008208F3"/>
    <w:rsid w:val="008210E6"/>
    <w:rsid w:val="008211B6"/>
    <w:rsid w:val="008215F2"/>
    <w:rsid w:val="008218EA"/>
    <w:rsid w:val="00821DC6"/>
    <w:rsid w:val="00822EEA"/>
    <w:rsid w:val="00823E64"/>
    <w:rsid w:val="008251FA"/>
    <w:rsid w:val="008311D0"/>
    <w:rsid w:val="0083171E"/>
    <w:rsid w:val="00831EDA"/>
    <w:rsid w:val="00833FF2"/>
    <w:rsid w:val="0083482E"/>
    <w:rsid w:val="008363BD"/>
    <w:rsid w:val="00836A9F"/>
    <w:rsid w:val="00837226"/>
    <w:rsid w:val="008417CC"/>
    <w:rsid w:val="00842293"/>
    <w:rsid w:val="0084233D"/>
    <w:rsid w:val="008433EA"/>
    <w:rsid w:val="00843C9D"/>
    <w:rsid w:val="00844152"/>
    <w:rsid w:val="0084419E"/>
    <w:rsid w:val="00844351"/>
    <w:rsid w:val="008443D6"/>
    <w:rsid w:val="008455F8"/>
    <w:rsid w:val="00847619"/>
    <w:rsid w:val="00847F69"/>
    <w:rsid w:val="00851F92"/>
    <w:rsid w:val="008527AF"/>
    <w:rsid w:val="0085390C"/>
    <w:rsid w:val="00853982"/>
    <w:rsid w:val="00853FD8"/>
    <w:rsid w:val="008548A7"/>
    <w:rsid w:val="00855822"/>
    <w:rsid w:val="0085607B"/>
    <w:rsid w:val="0085796E"/>
    <w:rsid w:val="00860B56"/>
    <w:rsid w:val="00861229"/>
    <w:rsid w:val="0086208C"/>
    <w:rsid w:val="00862DD6"/>
    <w:rsid w:val="00863319"/>
    <w:rsid w:val="008659C3"/>
    <w:rsid w:val="00865E1F"/>
    <w:rsid w:val="0087072A"/>
    <w:rsid w:val="00870E3F"/>
    <w:rsid w:val="00872FDD"/>
    <w:rsid w:val="008739F3"/>
    <w:rsid w:val="00873C98"/>
    <w:rsid w:val="00873E3A"/>
    <w:rsid w:val="00873ED3"/>
    <w:rsid w:val="00874B82"/>
    <w:rsid w:val="00874E07"/>
    <w:rsid w:val="00874F7D"/>
    <w:rsid w:val="00875888"/>
    <w:rsid w:val="00876DFE"/>
    <w:rsid w:val="00877335"/>
    <w:rsid w:val="008779F9"/>
    <w:rsid w:val="00877F40"/>
    <w:rsid w:val="00881A7C"/>
    <w:rsid w:val="00881D0D"/>
    <w:rsid w:val="00883C2D"/>
    <w:rsid w:val="00883D57"/>
    <w:rsid w:val="00884500"/>
    <w:rsid w:val="008849D7"/>
    <w:rsid w:val="00885412"/>
    <w:rsid w:val="00886291"/>
    <w:rsid w:val="0089092B"/>
    <w:rsid w:val="00890FD6"/>
    <w:rsid w:val="0089104A"/>
    <w:rsid w:val="008916BD"/>
    <w:rsid w:val="00892C5E"/>
    <w:rsid w:val="00892F73"/>
    <w:rsid w:val="008938E8"/>
    <w:rsid w:val="008939E0"/>
    <w:rsid w:val="00895B38"/>
    <w:rsid w:val="0089619E"/>
    <w:rsid w:val="008A1CB9"/>
    <w:rsid w:val="008A53F1"/>
    <w:rsid w:val="008A5FE2"/>
    <w:rsid w:val="008A637B"/>
    <w:rsid w:val="008A6479"/>
    <w:rsid w:val="008A78A1"/>
    <w:rsid w:val="008A7F2B"/>
    <w:rsid w:val="008B140D"/>
    <w:rsid w:val="008B1E53"/>
    <w:rsid w:val="008B4536"/>
    <w:rsid w:val="008B4F4B"/>
    <w:rsid w:val="008B629C"/>
    <w:rsid w:val="008C01E0"/>
    <w:rsid w:val="008C0A8C"/>
    <w:rsid w:val="008C0D37"/>
    <w:rsid w:val="008C1CCC"/>
    <w:rsid w:val="008C30BF"/>
    <w:rsid w:val="008C3426"/>
    <w:rsid w:val="008C387F"/>
    <w:rsid w:val="008C3DFA"/>
    <w:rsid w:val="008C3E88"/>
    <w:rsid w:val="008C41C0"/>
    <w:rsid w:val="008C4B08"/>
    <w:rsid w:val="008C4D7B"/>
    <w:rsid w:val="008C6C90"/>
    <w:rsid w:val="008C6CD3"/>
    <w:rsid w:val="008C6F74"/>
    <w:rsid w:val="008C7103"/>
    <w:rsid w:val="008D22FF"/>
    <w:rsid w:val="008D25CC"/>
    <w:rsid w:val="008D3E8B"/>
    <w:rsid w:val="008D5627"/>
    <w:rsid w:val="008E0D6A"/>
    <w:rsid w:val="008E0FA9"/>
    <w:rsid w:val="008E121E"/>
    <w:rsid w:val="008E1FBF"/>
    <w:rsid w:val="008E3C17"/>
    <w:rsid w:val="008E3FB3"/>
    <w:rsid w:val="008E4487"/>
    <w:rsid w:val="008E73F7"/>
    <w:rsid w:val="008F022D"/>
    <w:rsid w:val="008F2375"/>
    <w:rsid w:val="008F31AE"/>
    <w:rsid w:val="008F4400"/>
    <w:rsid w:val="008F46F1"/>
    <w:rsid w:val="008F5E2B"/>
    <w:rsid w:val="008F7441"/>
    <w:rsid w:val="00900165"/>
    <w:rsid w:val="009009CD"/>
    <w:rsid w:val="00901FC3"/>
    <w:rsid w:val="00904091"/>
    <w:rsid w:val="009044B7"/>
    <w:rsid w:val="00904D93"/>
    <w:rsid w:val="00904E5E"/>
    <w:rsid w:val="00905F14"/>
    <w:rsid w:val="00906166"/>
    <w:rsid w:val="00906E26"/>
    <w:rsid w:val="00907C81"/>
    <w:rsid w:val="00907D64"/>
    <w:rsid w:val="00910329"/>
    <w:rsid w:val="009104DB"/>
    <w:rsid w:val="009121D2"/>
    <w:rsid w:val="00912360"/>
    <w:rsid w:val="00912546"/>
    <w:rsid w:val="00914472"/>
    <w:rsid w:val="00916BA7"/>
    <w:rsid w:val="009171F8"/>
    <w:rsid w:val="009179A5"/>
    <w:rsid w:val="00917AE9"/>
    <w:rsid w:val="0092089F"/>
    <w:rsid w:val="00921B0A"/>
    <w:rsid w:val="00921DA9"/>
    <w:rsid w:val="009221A8"/>
    <w:rsid w:val="00923E1E"/>
    <w:rsid w:val="0092569D"/>
    <w:rsid w:val="00926080"/>
    <w:rsid w:val="0092645E"/>
    <w:rsid w:val="00926711"/>
    <w:rsid w:val="00927382"/>
    <w:rsid w:val="00930D93"/>
    <w:rsid w:val="00933019"/>
    <w:rsid w:val="00934948"/>
    <w:rsid w:val="009357B8"/>
    <w:rsid w:val="00936FDA"/>
    <w:rsid w:val="009404E9"/>
    <w:rsid w:val="00940C6E"/>
    <w:rsid w:val="0094137F"/>
    <w:rsid w:val="00941BFF"/>
    <w:rsid w:val="00941C3C"/>
    <w:rsid w:val="00941E0A"/>
    <w:rsid w:val="0094214A"/>
    <w:rsid w:val="00942B3C"/>
    <w:rsid w:val="00942C01"/>
    <w:rsid w:val="00943ADC"/>
    <w:rsid w:val="00943C45"/>
    <w:rsid w:val="00943FF3"/>
    <w:rsid w:val="00946B7C"/>
    <w:rsid w:val="00947A6E"/>
    <w:rsid w:val="00951681"/>
    <w:rsid w:val="00951BC4"/>
    <w:rsid w:val="009533B4"/>
    <w:rsid w:val="00957FE3"/>
    <w:rsid w:val="009603C9"/>
    <w:rsid w:val="00960B87"/>
    <w:rsid w:val="0096254C"/>
    <w:rsid w:val="00962AAD"/>
    <w:rsid w:val="009635AB"/>
    <w:rsid w:val="00964AF7"/>
    <w:rsid w:val="00964C04"/>
    <w:rsid w:val="00964ECF"/>
    <w:rsid w:val="00966E98"/>
    <w:rsid w:val="00970ED9"/>
    <w:rsid w:val="00971A09"/>
    <w:rsid w:val="00972391"/>
    <w:rsid w:val="00975E03"/>
    <w:rsid w:val="00976E44"/>
    <w:rsid w:val="00980566"/>
    <w:rsid w:val="009805A2"/>
    <w:rsid w:val="00980C87"/>
    <w:rsid w:val="00980DC8"/>
    <w:rsid w:val="00982F45"/>
    <w:rsid w:val="0098314D"/>
    <w:rsid w:val="0098490E"/>
    <w:rsid w:val="00985854"/>
    <w:rsid w:val="00985D2D"/>
    <w:rsid w:val="0098641B"/>
    <w:rsid w:val="00986732"/>
    <w:rsid w:val="00986ECD"/>
    <w:rsid w:val="009875C0"/>
    <w:rsid w:val="009903E3"/>
    <w:rsid w:val="0099152D"/>
    <w:rsid w:val="0099176B"/>
    <w:rsid w:val="00994325"/>
    <w:rsid w:val="0099459B"/>
    <w:rsid w:val="00994ADD"/>
    <w:rsid w:val="00994B27"/>
    <w:rsid w:val="009972E5"/>
    <w:rsid w:val="0099787D"/>
    <w:rsid w:val="009A1208"/>
    <w:rsid w:val="009A2737"/>
    <w:rsid w:val="009A2A70"/>
    <w:rsid w:val="009A3D45"/>
    <w:rsid w:val="009A7155"/>
    <w:rsid w:val="009A7D1A"/>
    <w:rsid w:val="009B04F1"/>
    <w:rsid w:val="009B2249"/>
    <w:rsid w:val="009B3268"/>
    <w:rsid w:val="009B355A"/>
    <w:rsid w:val="009B3B1E"/>
    <w:rsid w:val="009B3CDE"/>
    <w:rsid w:val="009B3FBE"/>
    <w:rsid w:val="009B43DA"/>
    <w:rsid w:val="009B5FBB"/>
    <w:rsid w:val="009B6175"/>
    <w:rsid w:val="009B6946"/>
    <w:rsid w:val="009B69B4"/>
    <w:rsid w:val="009B6B49"/>
    <w:rsid w:val="009B6CD7"/>
    <w:rsid w:val="009C027C"/>
    <w:rsid w:val="009C106B"/>
    <w:rsid w:val="009C14CA"/>
    <w:rsid w:val="009C2A0D"/>
    <w:rsid w:val="009C433A"/>
    <w:rsid w:val="009C4BA5"/>
    <w:rsid w:val="009C69FB"/>
    <w:rsid w:val="009C6D70"/>
    <w:rsid w:val="009C7CB5"/>
    <w:rsid w:val="009C7CDC"/>
    <w:rsid w:val="009D0659"/>
    <w:rsid w:val="009D119A"/>
    <w:rsid w:val="009D2EAF"/>
    <w:rsid w:val="009D35B4"/>
    <w:rsid w:val="009D440B"/>
    <w:rsid w:val="009D54FD"/>
    <w:rsid w:val="009D5C18"/>
    <w:rsid w:val="009D60CC"/>
    <w:rsid w:val="009D614C"/>
    <w:rsid w:val="009D6721"/>
    <w:rsid w:val="009E0743"/>
    <w:rsid w:val="009E0762"/>
    <w:rsid w:val="009E0AB5"/>
    <w:rsid w:val="009E16BB"/>
    <w:rsid w:val="009E3469"/>
    <w:rsid w:val="009E3575"/>
    <w:rsid w:val="009E4DD5"/>
    <w:rsid w:val="009E57B9"/>
    <w:rsid w:val="009E5FDE"/>
    <w:rsid w:val="009E6258"/>
    <w:rsid w:val="009E63AB"/>
    <w:rsid w:val="009E6878"/>
    <w:rsid w:val="009F07ED"/>
    <w:rsid w:val="009F17FE"/>
    <w:rsid w:val="009F34A1"/>
    <w:rsid w:val="009F4617"/>
    <w:rsid w:val="009F47A7"/>
    <w:rsid w:val="009F707B"/>
    <w:rsid w:val="009F77C4"/>
    <w:rsid w:val="009F7990"/>
    <w:rsid w:val="009F7A6D"/>
    <w:rsid w:val="00A002A6"/>
    <w:rsid w:val="00A009D4"/>
    <w:rsid w:val="00A01B68"/>
    <w:rsid w:val="00A01FDD"/>
    <w:rsid w:val="00A039B1"/>
    <w:rsid w:val="00A046E1"/>
    <w:rsid w:val="00A04730"/>
    <w:rsid w:val="00A047EA"/>
    <w:rsid w:val="00A05621"/>
    <w:rsid w:val="00A05903"/>
    <w:rsid w:val="00A0650A"/>
    <w:rsid w:val="00A11885"/>
    <w:rsid w:val="00A12944"/>
    <w:rsid w:val="00A13C54"/>
    <w:rsid w:val="00A141F0"/>
    <w:rsid w:val="00A14EFC"/>
    <w:rsid w:val="00A15034"/>
    <w:rsid w:val="00A15C72"/>
    <w:rsid w:val="00A15DFA"/>
    <w:rsid w:val="00A1687A"/>
    <w:rsid w:val="00A1696D"/>
    <w:rsid w:val="00A16C37"/>
    <w:rsid w:val="00A22BE0"/>
    <w:rsid w:val="00A23AFA"/>
    <w:rsid w:val="00A24A39"/>
    <w:rsid w:val="00A24C4F"/>
    <w:rsid w:val="00A26FCB"/>
    <w:rsid w:val="00A2719F"/>
    <w:rsid w:val="00A27480"/>
    <w:rsid w:val="00A2770C"/>
    <w:rsid w:val="00A27BD1"/>
    <w:rsid w:val="00A301A7"/>
    <w:rsid w:val="00A307F6"/>
    <w:rsid w:val="00A311B8"/>
    <w:rsid w:val="00A312B8"/>
    <w:rsid w:val="00A315F9"/>
    <w:rsid w:val="00A32C82"/>
    <w:rsid w:val="00A33A9C"/>
    <w:rsid w:val="00A34581"/>
    <w:rsid w:val="00A35315"/>
    <w:rsid w:val="00A35430"/>
    <w:rsid w:val="00A35702"/>
    <w:rsid w:val="00A3641B"/>
    <w:rsid w:val="00A4083A"/>
    <w:rsid w:val="00A42FB5"/>
    <w:rsid w:val="00A43276"/>
    <w:rsid w:val="00A43946"/>
    <w:rsid w:val="00A442C3"/>
    <w:rsid w:val="00A449D3"/>
    <w:rsid w:val="00A4502E"/>
    <w:rsid w:val="00A4523E"/>
    <w:rsid w:val="00A474D4"/>
    <w:rsid w:val="00A47CBD"/>
    <w:rsid w:val="00A50903"/>
    <w:rsid w:val="00A5179D"/>
    <w:rsid w:val="00A51CF5"/>
    <w:rsid w:val="00A52CD8"/>
    <w:rsid w:val="00A5487E"/>
    <w:rsid w:val="00A55B49"/>
    <w:rsid w:val="00A57FFA"/>
    <w:rsid w:val="00A60BE2"/>
    <w:rsid w:val="00A649CB"/>
    <w:rsid w:val="00A64BCE"/>
    <w:rsid w:val="00A66FC3"/>
    <w:rsid w:val="00A7014D"/>
    <w:rsid w:val="00A71047"/>
    <w:rsid w:val="00A7177D"/>
    <w:rsid w:val="00A717D7"/>
    <w:rsid w:val="00A77698"/>
    <w:rsid w:val="00A80DFE"/>
    <w:rsid w:val="00A82D9F"/>
    <w:rsid w:val="00A83596"/>
    <w:rsid w:val="00A835FF"/>
    <w:rsid w:val="00A83846"/>
    <w:rsid w:val="00A83E30"/>
    <w:rsid w:val="00A84795"/>
    <w:rsid w:val="00A854CA"/>
    <w:rsid w:val="00A85FB9"/>
    <w:rsid w:val="00A879E2"/>
    <w:rsid w:val="00A87F68"/>
    <w:rsid w:val="00A901DA"/>
    <w:rsid w:val="00A90430"/>
    <w:rsid w:val="00A916E8"/>
    <w:rsid w:val="00A91C93"/>
    <w:rsid w:val="00A92349"/>
    <w:rsid w:val="00A92F77"/>
    <w:rsid w:val="00A937FA"/>
    <w:rsid w:val="00A942FA"/>
    <w:rsid w:val="00A94439"/>
    <w:rsid w:val="00A944BC"/>
    <w:rsid w:val="00A969CA"/>
    <w:rsid w:val="00A97F3E"/>
    <w:rsid w:val="00AA0CF2"/>
    <w:rsid w:val="00AA1CCA"/>
    <w:rsid w:val="00AA2232"/>
    <w:rsid w:val="00AA24E2"/>
    <w:rsid w:val="00AA31D4"/>
    <w:rsid w:val="00AA3877"/>
    <w:rsid w:val="00AA4C9C"/>
    <w:rsid w:val="00AA594D"/>
    <w:rsid w:val="00AB07B5"/>
    <w:rsid w:val="00AB0B25"/>
    <w:rsid w:val="00AB1264"/>
    <w:rsid w:val="00AB1D8F"/>
    <w:rsid w:val="00AB5A09"/>
    <w:rsid w:val="00AC14B3"/>
    <w:rsid w:val="00AC20E7"/>
    <w:rsid w:val="00AC26E2"/>
    <w:rsid w:val="00AC4481"/>
    <w:rsid w:val="00AC54FF"/>
    <w:rsid w:val="00AC6FED"/>
    <w:rsid w:val="00AC70E2"/>
    <w:rsid w:val="00AC7A91"/>
    <w:rsid w:val="00AC7B96"/>
    <w:rsid w:val="00AC7C19"/>
    <w:rsid w:val="00AC7FA7"/>
    <w:rsid w:val="00AD066A"/>
    <w:rsid w:val="00AD069F"/>
    <w:rsid w:val="00AD1100"/>
    <w:rsid w:val="00AD16E8"/>
    <w:rsid w:val="00AD201B"/>
    <w:rsid w:val="00AD467E"/>
    <w:rsid w:val="00AD7932"/>
    <w:rsid w:val="00AE0F52"/>
    <w:rsid w:val="00AE121F"/>
    <w:rsid w:val="00AE236B"/>
    <w:rsid w:val="00AE315A"/>
    <w:rsid w:val="00AE3450"/>
    <w:rsid w:val="00AE3FB3"/>
    <w:rsid w:val="00AE5355"/>
    <w:rsid w:val="00AE6923"/>
    <w:rsid w:val="00AE699D"/>
    <w:rsid w:val="00AE6BBC"/>
    <w:rsid w:val="00AF1477"/>
    <w:rsid w:val="00AF163C"/>
    <w:rsid w:val="00AF23B5"/>
    <w:rsid w:val="00AF33FC"/>
    <w:rsid w:val="00AF4C7A"/>
    <w:rsid w:val="00AF5461"/>
    <w:rsid w:val="00AF5CE0"/>
    <w:rsid w:val="00AF5F9E"/>
    <w:rsid w:val="00B003A5"/>
    <w:rsid w:val="00B00443"/>
    <w:rsid w:val="00B0045A"/>
    <w:rsid w:val="00B004B1"/>
    <w:rsid w:val="00B00751"/>
    <w:rsid w:val="00B00AA3"/>
    <w:rsid w:val="00B0111A"/>
    <w:rsid w:val="00B01DC8"/>
    <w:rsid w:val="00B02770"/>
    <w:rsid w:val="00B03CB4"/>
    <w:rsid w:val="00B03E71"/>
    <w:rsid w:val="00B042A9"/>
    <w:rsid w:val="00B059C6"/>
    <w:rsid w:val="00B072ED"/>
    <w:rsid w:val="00B0740E"/>
    <w:rsid w:val="00B07D2A"/>
    <w:rsid w:val="00B103EE"/>
    <w:rsid w:val="00B1144E"/>
    <w:rsid w:val="00B1170E"/>
    <w:rsid w:val="00B11949"/>
    <w:rsid w:val="00B12F8E"/>
    <w:rsid w:val="00B131FA"/>
    <w:rsid w:val="00B1361D"/>
    <w:rsid w:val="00B13A05"/>
    <w:rsid w:val="00B13AF7"/>
    <w:rsid w:val="00B14A97"/>
    <w:rsid w:val="00B14CCC"/>
    <w:rsid w:val="00B15030"/>
    <w:rsid w:val="00B150FA"/>
    <w:rsid w:val="00B1617D"/>
    <w:rsid w:val="00B162CD"/>
    <w:rsid w:val="00B17E85"/>
    <w:rsid w:val="00B20520"/>
    <w:rsid w:val="00B20D8C"/>
    <w:rsid w:val="00B20EE3"/>
    <w:rsid w:val="00B21B7C"/>
    <w:rsid w:val="00B22AC5"/>
    <w:rsid w:val="00B23F01"/>
    <w:rsid w:val="00B242E9"/>
    <w:rsid w:val="00B24C6D"/>
    <w:rsid w:val="00B25AD6"/>
    <w:rsid w:val="00B273CB"/>
    <w:rsid w:val="00B27E89"/>
    <w:rsid w:val="00B3143A"/>
    <w:rsid w:val="00B31971"/>
    <w:rsid w:val="00B323F0"/>
    <w:rsid w:val="00B32DC1"/>
    <w:rsid w:val="00B334D6"/>
    <w:rsid w:val="00B37E41"/>
    <w:rsid w:val="00B40D3A"/>
    <w:rsid w:val="00B4176E"/>
    <w:rsid w:val="00B42CD9"/>
    <w:rsid w:val="00B445DE"/>
    <w:rsid w:val="00B4496C"/>
    <w:rsid w:val="00B46373"/>
    <w:rsid w:val="00B47304"/>
    <w:rsid w:val="00B47709"/>
    <w:rsid w:val="00B47C3D"/>
    <w:rsid w:val="00B5009D"/>
    <w:rsid w:val="00B50794"/>
    <w:rsid w:val="00B50EE6"/>
    <w:rsid w:val="00B51C9C"/>
    <w:rsid w:val="00B5289D"/>
    <w:rsid w:val="00B545C9"/>
    <w:rsid w:val="00B547CD"/>
    <w:rsid w:val="00B56F52"/>
    <w:rsid w:val="00B5729B"/>
    <w:rsid w:val="00B5789D"/>
    <w:rsid w:val="00B57C9A"/>
    <w:rsid w:val="00B600AC"/>
    <w:rsid w:val="00B60CD5"/>
    <w:rsid w:val="00B610FF"/>
    <w:rsid w:val="00B61DEE"/>
    <w:rsid w:val="00B6612C"/>
    <w:rsid w:val="00B67637"/>
    <w:rsid w:val="00B70E14"/>
    <w:rsid w:val="00B72BEA"/>
    <w:rsid w:val="00B72EFC"/>
    <w:rsid w:val="00B757FB"/>
    <w:rsid w:val="00B763C7"/>
    <w:rsid w:val="00B76AE9"/>
    <w:rsid w:val="00B778D7"/>
    <w:rsid w:val="00B77E31"/>
    <w:rsid w:val="00B77E3B"/>
    <w:rsid w:val="00B816DD"/>
    <w:rsid w:val="00B81A18"/>
    <w:rsid w:val="00B81D8F"/>
    <w:rsid w:val="00B82AC2"/>
    <w:rsid w:val="00B83235"/>
    <w:rsid w:val="00B83B3D"/>
    <w:rsid w:val="00B83C4A"/>
    <w:rsid w:val="00B83E68"/>
    <w:rsid w:val="00B84B12"/>
    <w:rsid w:val="00B8709A"/>
    <w:rsid w:val="00B87A0A"/>
    <w:rsid w:val="00B90879"/>
    <w:rsid w:val="00B914C2"/>
    <w:rsid w:val="00B91B31"/>
    <w:rsid w:val="00B93583"/>
    <w:rsid w:val="00B938C5"/>
    <w:rsid w:val="00B955B3"/>
    <w:rsid w:val="00B95C1A"/>
    <w:rsid w:val="00BA11C8"/>
    <w:rsid w:val="00BA2A14"/>
    <w:rsid w:val="00BA3333"/>
    <w:rsid w:val="00BA36B3"/>
    <w:rsid w:val="00BA3AF2"/>
    <w:rsid w:val="00BA4E68"/>
    <w:rsid w:val="00BA577F"/>
    <w:rsid w:val="00BA5B1F"/>
    <w:rsid w:val="00BA66B1"/>
    <w:rsid w:val="00BB0985"/>
    <w:rsid w:val="00BB1136"/>
    <w:rsid w:val="00BB1638"/>
    <w:rsid w:val="00BB1B9D"/>
    <w:rsid w:val="00BB4BAF"/>
    <w:rsid w:val="00BB4EF1"/>
    <w:rsid w:val="00BB5FEA"/>
    <w:rsid w:val="00BB64B2"/>
    <w:rsid w:val="00BB6E06"/>
    <w:rsid w:val="00BB7BBE"/>
    <w:rsid w:val="00BB7E8B"/>
    <w:rsid w:val="00BC118A"/>
    <w:rsid w:val="00BC1C98"/>
    <w:rsid w:val="00BC1DCF"/>
    <w:rsid w:val="00BC346D"/>
    <w:rsid w:val="00BC34EF"/>
    <w:rsid w:val="00BC35D4"/>
    <w:rsid w:val="00BC3D16"/>
    <w:rsid w:val="00BC66DF"/>
    <w:rsid w:val="00BD0B52"/>
    <w:rsid w:val="00BD15A9"/>
    <w:rsid w:val="00BD21CA"/>
    <w:rsid w:val="00BD3849"/>
    <w:rsid w:val="00BD3C98"/>
    <w:rsid w:val="00BD3E57"/>
    <w:rsid w:val="00BD3FCD"/>
    <w:rsid w:val="00BD4318"/>
    <w:rsid w:val="00BD4DFB"/>
    <w:rsid w:val="00BD689C"/>
    <w:rsid w:val="00BE0786"/>
    <w:rsid w:val="00BE16EE"/>
    <w:rsid w:val="00BE1EA3"/>
    <w:rsid w:val="00BE2DE0"/>
    <w:rsid w:val="00BE3510"/>
    <w:rsid w:val="00BE4071"/>
    <w:rsid w:val="00BE49FB"/>
    <w:rsid w:val="00BE4BA6"/>
    <w:rsid w:val="00BE6C86"/>
    <w:rsid w:val="00BE761E"/>
    <w:rsid w:val="00BE7BA1"/>
    <w:rsid w:val="00BF0827"/>
    <w:rsid w:val="00BF0F87"/>
    <w:rsid w:val="00BF2208"/>
    <w:rsid w:val="00BF267C"/>
    <w:rsid w:val="00BF2F4A"/>
    <w:rsid w:val="00BF3003"/>
    <w:rsid w:val="00BF3093"/>
    <w:rsid w:val="00BF3C89"/>
    <w:rsid w:val="00BF43D9"/>
    <w:rsid w:val="00BF4912"/>
    <w:rsid w:val="00BF4EB8"/>
    <w:rsid w:val="00BF5A83"/>
    <w:rsid w:val="00BF7C66"/>
    <w:rsid w:val="00C00828"/>
    <w:rsid w:val="00C00BA8"/>
    <w:rsid w:val="00C01334"/>
    <w:rsid w:val="00C01528"/>
    <w:rsid w:val="00C04531"/>
    <w:rsid w:val="00C04558"/>
    <w:rsid w:val="00C04EA1"/>
    <w:rsid w:val="00C05A4A"/>
    <w:rsid w:val="00C070B5"/>
    <w:rsid w:val="00C07784"/>
    <w:rsid w:val="00C077DB"/>
    <w:rsid w:val="00C1108E"/>
    <w:rsid w:val="00C11AAF"/>
    <w:rsid w:val="00C11EFF"/>
    <w:rsid w:val="00C12370"/>
    <w:rsid w:val="00C124E6"/>
    <w:rsid w:val="00C12BAE"/>
    <w:rsid w:val="00C12DB3"/>
    <w:rsid w:val="00C12F53"/>
    <w:rsid w:val="00C13F83"/>
    <w:rsid w:val="00C15167"/>
    <w:rsid w:val="00C15382"/>
    <w:rsid w:val="00C15A52"/>
    <w:rsid w:val="00C15ECA"/>
    <w:rsid w:val="00C16531"/>
    <w:rsid w:val="00C1705F"/>
    <w:rsid w:val="00C1764C"/>
    <w:rsid w:val="00C20E93"/>
    <w:rsid w:val="00C222F3"/>
    <w:rsid w:val="00C23AD7"/>
    <w:rsid w:val="00C23BF2"/>
    <w:rsid w:val="00C24004"/>
    <w:rsid w:val="00C24334"/>
    <w:rsid w:val="00C24455"/>
    <w:rsid w:val="00C24695"/>
    <w:rsid w:val="00C250D5"/>
    <w:rsid w:val="00C254F0"/>
    <w:rsid w:val="00C25643"/>
    <w:rsid w:val="00C26F54"/>
    <w:rsid w:val="00C3175F"/>
    <w:rsid w:val="00C31DEB"/>
    <w:rsid w:val="00C33EB2"/>
    <w:rsid w:val="00C34124"/>
    <w:rsid w:val="00C37259"/>
    <w:rsid w:val="00C37799"/>
    <w:rsid w:val="00C37CD0"/>
    <w:rsid w:val="00C405C2"/>
    <w:rsid w:val="00C40900"/>
    <w:rsid w:val="00C411DB"/>
    <w:rsid w:val="00C41841"/>
    <w:rsid w:val="00C4210E"/>
    <w:rsid w:val="00C43B60"/>
    <w:rsid w:val="00C44018"/>
    <w:rsid w:val="00C44637"/>
    <w:rsid w:val="00C46557"/>
    <w:rsid w:val="00C46D59"/>
    <w:rsid w:val="00C46DC6"/>
    <w:rsid w:val="00C4789A"/>
    <w:rsid w:val="00C513FB"/>
    <w:rsid w:val="00C51603"/>
    <w:rsid w:val="00C51DDA"/>
    <w:rsid w:val="00C51F95"/>
    <w:rsid w:val="00C529D7"/>
    <w:rsid w:val="00C5538B"/>
    <w:rsid w:val="00C55401"/>
    <w:rsid w:val="00C55A2D"/>
    <w:rsid w:val="00C55F2B"/>
    <w:rsid w:val="00C574B0"/>
    <w:rsid w:val="00C612DD"/>
    <w:rsid w:val="00C6172C"/>
    <w:rsid w:val="00C61F60"/>
    <w:rsid w:val="00C61F76"/>
    <w:rsid w:val="00C66BE5"/>
    <w:rsid w:val="00C679CE"/>
    <w:rsid w:val="00C7079F"/>
    <w:rsid w:val="00C709F6"/>
    <w:rsid w:val="00C70D25"/>
    <w:rsid w:val="00C71E83"/>
    <w:rsid w:val="00C72533"/>
    <w:rsid w:val="00C72589"/>
    <w:rsid w:val="00C81090"/>
    <w:rsid w:val="00C822FE"/>
    <w:rsid w:val="00C82321"/>
    <w:rsid w:val="00C832E4"/>
    <w:rsid w:val="00C8389C"/>
    <w:rsid w:val="00C84FCE"/>
    <w:rsid w:val="00C85284"/>
    <w:rsid w:val="00C852A9"/>
    <w:rsid w:val="00C868C1"/>
    <w:rsid w:val="00C8745C"/>
    <w:rsid w:val="00C876AF"/>
    <w:rsid w:val="00C87856"/>
    <w:rsid w:val="00C92EAD"/>
    <w:rsid w:val="00C93740"/>
    <w:rsid w:val="00C94D9D"/>
    <w:rsid w:val="00C9609F"/>
    <w:rsid w:val="00C961E7"/>
    <w:rsid w:val="00C96B8A"/>
    <w:rsid w:val="00CA06B1"/>
    <w:rsid w:val="00CA06FD"/>
    <w:rsid w:val="00CA0796"/>
    <w:rsid w:val="00CA1D4E"/>
    <w:rsid w:val="00CA1E61"/>
    <w:rsid w:val="00CA2F6A"/>
    <w:rsid w:val="00CA3339"/>
    <w:rsid w:val="00CA3356"/>
    <w:rsid w:val="00CA635B"/>
    <w:rsid w:val="00CA6ACF"/>
    <w:rsid w:val="00CA6B55"/>
    <w:rsid w:val="00CA7E2B"/>
    <w:rsid w:val="00CB0088"/>
    <w:rsid w:val="00CB1480"/>
    <w:rsid w:val="00CB2B08"/>
    <w:rsid w:val="00CB2F62"/>
    <w:rsid w:val="00CB39C7"/>
    <w:rsid w:val="00CB40F7"/>
    <w:rsid w:val="00CB6300"/>
    <w:rsid w:val="00CB709D"/>
    <w:rsid w:val="00CB7B6B"/>
    <w:rsid w:val="00CB7E04"/>
    <w:rsid w:val="00CC0BE8"/>
    <w:rsid w:val="00CC300E"/>
    <w:rsid w:val="00CC3384"/>
    <w:rsid w:val="00CC3396"/>
    <w:rsid w:val="00CC3474"/>
    <w:rsid w:val="00CC3CE6"/>
    <w:rsid w:val="00CC3E11"/>
    <w:rsid w:val="00CC5944"/>
    <w:rsid w:val="00CC6700"/>
    <w:rsid w:val="00CC6D89"/>
    <w:rsid w:val="00CC6F63"/>
    <w:rsid w:val="00CD02F6"/>
    <w:rsid w:val="00CD1278"/>
    <w:rsid w:val="00CD20F8"/>
    <w:rsid w:val="00CD34E9"/>
    <w:rsid w:val="00CD36BE"/>
    <w:rsid w:val="00CD3EF6"/>
    <w:rsid w:val="00CD4BC6"/>
    <w:rsid w:val="00CD4D6A"/>
    <w:rsid w:val="00CD7391"/>
    <w:rsid w:val="00CD798E"/>
    <w:rsid w:val="00CE116F"/>
    <w:rsid w:val="00CE1403"/>
    <w:rsid w:val="00CE2FD5"/>
    <w:rsid w:val="00CE3E6F"/>
    <w:rsid w:val="00CE4402"/>
    <w:rsid w:val="00CE452F"/>
    <w:rsid w:val="00CE5FDD"/>
    <w:rsid w:val="00CE6C4E"/>
    <w:rsid w:val="00CE7902"/>
    <w:rsid w:val="00CE7F8F"/>
    <w:rsid w:val="00CF03D2"/>
    <w:rsid w:val="00CF12B9"/>
    <w:rsid w:val="00CF1A8C"/>
    <w:rsid w:val="00CF35E9"/>
    <w:rsid w:val="00CF43F2"/>
    <w:rsid w:val="00CF464C"/>
    <w:rsid w:val="00CF4AEC"/>
    <w:rsid w:val="00CF4B8D"/>
    <w:rsid w:val="00CF512C"/>
    <w:rsid w:val="00CF644A"/>
    <w:rsid w:val="00D00AB4"/>
    <w:rsid w:val="00D02312"/>
    <w:rsid w:val="00D0333B"/>
    <w:rsid w:val="00D0406D"/>
    <w:rsid w:val="00D04F19"/>
    <w:rsid w:val="00D065F2"/>
    <w:rsid w:val="00D06CF4"/>
    <w:rsid w:val="00D07AE2"/>
    <w:rsid w:val="00D1088E"/>
    <w:rsid w:val="00D113CD"/>
    <w:rsid w:val="00D13579"/>
    <w:rsid w:val="00D162BC"/>
    <w:rsid w:val="00D167BB"/>
    <w:rsid w:val="00D205BA"/>
    <w:rsid w:val="00D20805"/>
    <w:rsid w:val="00D20EF1"/>
    <w:rsid w:val="00D231B9"/>
    <w:rsid w:val="00D25882"/>
    <w:rsid w:val="00D25F59"/>
    <w:rsid w:val="00D2672F"/>
    <w:rsid w:val="00D267A9"/>
    <w:rsid w:val="00D3025A"/>
    <w:rsid w:val="00D30F31"/>
    <w:rsid w:val="00D31B84"/>
    <w:rsid w:val="00D3255C"/>
    <w:rsid w:val="00D33B55"/>
    <w:rsid w:val="00D3420E"/>
    <w:rsid w:val="00D34779"/>
    <w:rsid w:val="00D356CF"/>
    <w:rsid w:val="00D4206A"/>
    <w:rsid w:val="00D42CF3"/>
    <w:rsid w:val="00D44393"/>
    <w:rsid w:val="00D446FE"/>
    <w:rsid w:val="00D447C5"/>
    <w:rsid w:val="00D44CC0"/>
    <w:rsid w:val="00D4644F"/>
    <w:rsid w:val="00D50135"/>
    <w:rsid w:val="00D505E2"/>
    <w:rsid w:val="00D50C61"/>
    <w:rsid w:val="00D53926"/>
    <w:rsid w:val="00D53B6D"/>
    <w:rsid w:val="00D53D8F"/>
    <w:rsid w:val="00D5467C"/>
    <w:rsid w:val="00D55B35"/>
    <w:rsid w:val="00D56D38"/>
    <w:rsid w:val="00D56EED"/>
    <w:rsid w:val="00D56FA6"/>
    <w:rsid w:val="00D6141B"/>
    <w:rsid w:val="00D6192F"/>
    <w:rsid w:val="00D630EC"/>
    <w:rsid w:val="00D63D77"/>
    <w:rsid w:val="00D6438C"/>
    <w:rsid w:val="00D648E8"/>
    <w:rsid w:val="00D6498B"/>
    <w:rsid w:val="00D65AC8"/>
    <w:rsid w:val="00D65C12"/>
    <w:rsid w:val="00D65D0A"/>
    <w:rsid w:val="00D65EC9"/>
    <w:rsid w:val="00D66805"/>
    <w:rsid w:val="00D67868"/>
    <w:rsid w:val="00D679F6"/>
    <w:rsid w:val="00D67F59"/>
    <w:rsid w:val="00D7008E"/>
    <w:rsid w:val="00D708D7"/>
    <w:rsid w:val="00D70BC1"/>
    <w:rsid w:val="00D723DB"/>
    <w:rsid w:val="00D72F00"/>
    <w:rsid w:val="00D7641A"/>
    <w:rsid w:val="00D777BC"/>
    <w:rsid w:val="00D77E01"/>
    <w:rsid w:val="00D807D1"/>
    <w:rsid w:val="00D81289"/>
    <w:rsid w:val="00D81489"/>
    <w:rsid w:val="00D81AED"/>
    <w:rsid w:val="00D81DC6"/>
    <w:rsid w:val="00D822B1"/>
    <w:rsid w:val="00D8395C"/>
    <w:rsid w:val="00D8451F"/>
    <w:rsid w:val="00D84A76"/>
    <w:rsid w:val="00D84E2D"/>
    <w:rsid w:val="00D867F5"/>
    <w:rsid w:val="00D877ED"/>
    <w:rsid w:val="00D87BEB"/>
    <w:rsid w:val="00D91676"/>
    <w:rsid w:val="00D9281D"/>
    <w:rsid w:val="00D953BF"/>
    <w:rsid w:val="00D957AB"/>
    <w:rsid w:val="00D9695C"/>
    <w:rsid w:val="00D96A25"/>
    <w:rsid w:val="00DA0270"/>
    <w:rsid w:val="00DA04D6"/>
    <w:rsid w:val="00DA0675"/>
    <w:rsid w:val="00DA06FC"/>
    <w:rsid w:val="00DA313B"/>
    <w:rsid w:val="00DA50A3"/>
    <w:rsid w:val="00DA56F0"/>
    <w:rsid w:val="00DA5A83"/>
    <w:rsid w:val="00DA5F0B"/>
    <w:rsid w:val="00DA6B22"/>
    <w:rsid w:val="00DA729C"/>
    <w:rsid w:val="00DB06D8"/>
    <w:rsid w:val="00DB0F38"/>
    <w:rsid w:val="00DB41D8"/>
    <w:rsid w:val="00DB4C8D"/>
    <w:rsid w:val="00DB58AA"/>
    <w:rsid w:val="00DB5F13"/>
    <w:rsid w:val="00DB645E"/>
    <w:rsid w:val="00DB6B07"/>
    <w:rsid w:val="00DB7DBD"/>
    <w:rsid w:val="00DC00BE"/>
    <w:rsid w:val="00DC014B"/>
    <w:rsid w:val="00DC159F"/>
    <w:rsid w:val="00DC1B8D"/>
    <w:rsid w:val="00DC1EF0"/>
    <w:rsid w:val="00DC2236"/>
    <w:rsid w:val="00DC2DAB"/>
    <w:rsid w:val="00DC3338"/>
    <w:rsid w:val="00DC3EA8"/>
    <w:rsid w:val="00DC4551"/>
    <w:rsid w:val="00DC5B32"/>
    <w:rsid w:val="00DC771F"/>
    <w:rsid w:val="00DD02BB"/>
    <w:rsid w:val="00DD40C0"/>
    <w:rsid w:val="00DD451A"/>
    <w:rsid w:val="00DD510A"/>
    <w:rsid w:val="00DD6F9B"/>
    <w:rsid w:val="00DE0A87"/>
    <w:rsid w:val="00DE11BE"/>
    <w:rsid w:val="00DE11FA"/>
    <w:rsid w:val="00DE1408"/>
    <w:rsid w:val="00DE2FEA"/>
    <w:rsid w:val="00DE3B4F"/>
    <w:rsid w:val="00DE4BAD"/>
    <w:rsid w:val="00DE4D47"/>
    <w:rsid w:val="00DE5630"/>
    <w:rsid w:val="00DE5FF0"/>
    <w:rsid w:val="00DE6E83"/>
    <w:rsid w:val="00DE7566"/>
    <w:rsid w:val="00DF0EC6"/>
    <w:rsid w:val="00DF1678"/>
    <w:rsid w:val="00DF1CA5"/>
    <w:rsid w:val="00DF26E7"/>
    <w:rsid w:val="00DF372E"/>
    <w:rsid w:val="00DF6DBF"/>
    <w:rsid w:val="00DF6EF9"/>
    <w:rsid w:val="00E01A17"/>
    <w:rsid w:val="00E02289"/>
    <w:rsid w:val="00E04585"/>
    <w:rsid w:val="00E049A4"/>
    <w:rsid w:val="00E051E1"/>
    <w:rsid w:val="00E061CA"/>
    <w:rsid w:val="00E061FF"/>
    <w:rsid w:val="00E06B78"/>
    <w:rsid w:val="00E07531"/>
    <w:rsid w:val="00E076BF"/>
    <w:rsid w:val="00E1233F"/>
    <w:rsid w:val="00E125AF"/>
    <w:rsid w:val="00E12F39"/>
    <w:rsid w:val="00E13082"/>
    <w:rsid w:val="00E131F9"/>
    <w:rsid w:val="00E1342A"/>
    <w:rsid w:val="00E14388"/>
    <w:rsid w:val="00E1512F"/>
    <w:rsid w:val="00E1687C"/>
    <w:rsid w:val="00E2103D"/>
    <w:rsid w:val="00E21788"/>
    <w:rsid w:val="00E22831"/>
    <w:rsid w:val="00E242D3"/>
    <w:rsid w:val="00E24CA4"/>
    <w:rsid w:val="00E26C6E"/>
    <w:rsid w:val="00E30D11"/>
    <w:rsid w:val="00E319D9"/>
    <w:rsid w:val="00E32889"/>
    <w:rsid w:val="00E32BF8"/>
    <w:rsid w:val="00E32DD2"/>
    <w:rsid w:val="00E348CA"/>
    <w:rsid w:val="00E36C6E"/>
    <w:rsid w:val="00E37FA1"/>
    <w:rsid w:val="00E40279"/>
    <w:rsid w:val="00E4066A"/>
    <w:rsid w:val="00E414F8"/>
    <w:rsid w:val="00E41A47"/>
    <w:rsid w:val="00E41C7F"/>
    <w:rsid w:val="00E421F4"/>
    <w:rsid w:val="00E42757"/>
    <w:rsid w:val="00E42C19"/>
    <w:rsid w:val="00E4363B"/>
    <w:rsid w:val="00E43A15"/>
    <w:rsid w:val="00E4472A"/>
    <w:rsid w:val="00E46221"/>
    <w:rsid w:val="00E46C04"/>
    <w:rsid w:val="00E47077"/>
    <w:rsid w:val="00E476A4"/>
    <w:rsid w:val="00E52101"/>
    <w:rsid w:val="00E52653"/>
    <w:rsid w:val="00E53C53"/>
    <w:rsid w:val="00E5575C"/>
    <w:rsid w:val="00E55C5E"/>
    <w:rsid w:val="00E56ADF"/>
    <w:rsid w:val="00E570E9"/>
    <w:rsid w:val="00E6165E"/>
    <w:rsid w:val="00E62C5F"/>
    <w:rsid w:val="00E641A6"/>
    <w:rsid w:val="00E642D7"/>
    <w:rsid w:val="00E64F66"/>
    <w:rsid w:val="00E6714F"/>
    <w:rsid w:val="00E705D3"/>
    <w:rsid w:val="00E70D89"/>
    <w:rsid w:val="00E71C74"/>
    <w:rsid w:val="00E73146"/>
    <w:rsid w:val="00E7317F"/>
    <w:rsid w:val="00E73276"/>
    <w:rsid w:val="00E73CEA"/>
    <w:rsid w:val="00E74CFC"/>
    <w:rsid w:val="00E75038"/>
    <w:rsid w:val="00E75C9B"/>
    <w:rsid w:val="00E76ACE"/>
    <w:rsid w:val="00E76D31"/>
    <w:rsid w:val="00E7743E"/>
    <w:rsid w:val="00E777B7"/>
    <w:rsid w:val="00E7790D"/>
    <w:rsid w:val="00E77CDB"/>
    <w:rsid w:val="00E77D59"/>
    <w:rsid w:val="00E807BA"/>
    <w:rsid w:val="00E84012"/>
    <w:rsid w:val="00E84480"/>
    <w:rsid w:val="00E8595C"/>
    <w:rsid w:val="00E860CF"/>
    <w:rsid w:val="00E861DA"/>
    <w:rsid w:val="00E86F6F"/>
    <w:rsid w:val="00E90358"/>
    <w:rsid w:val="00E904E5"/>
    <w:rsid w:val="00E909F3"/>
    <w:rsid w:val="00E9160C"/>
    <w:rsid w:val="00E91689"/>
    <w:rsid w:val="00E939F6"/>
    <w:rsid w:val="00E94E50"/>
    <w:rsid w:val="00E959E8"/>
    <w:rsid w:val="00E96A0E"/>
    <w:rsid w:val="00E976DB"/>
    <w:rsid w:val="00EA0496"/>
    <w:rsid w:val="00EA0C62"/>
    <w:rsid w:val="00EA3502"/>
    <w:rsid w:val="00EA3CAE"/>
    <w:rsid w:val="00EA3FE7"/>
    <w:rsid w:val="00EA4268"/>
    <w:rsid w:val="00EA7897"/>
    <w:rsid w:val="00EB05B0"/>
    <w:rsid w:val="00EB0FC7"/>
    <w:rsid w:val="00EB1779"/>
    <w:rsid w:val="00EB1B66"/>
    <w:rsid w:val="00EB1F57"/>
    <w:rsid w:val="00EB2081"/>
    <w:rsid w:val="00EB208A"/>
    <w:rsid w:val="00EB2FB3"/>
    <w:rsid w:val="00EB4893"/>
    <w:rsid w:val="00EB4959"/>
    <w:rsid w:val="00EB4B99"/>
    <w:rsid w:val="00EB64E7"/>
    <w:rsid w:val="00EC09C9"/>
    <w:rsid w:val="00EC09F4"/>
    <w:rsid w:val="00EC11E4"/>
    <w:rsid w:val="00EC15DE"/>
    <w:rsid w:val="00EC1AE7"/>
    <w:rsid w:val="00EC2730"/>
    <w:rsid w:val="00EC5E91"/>
    <w:rsid w:val="00EC7970"/>
    <w:rsid w:val="00EC7FD4"/>
    <w:rsid w:val="00ED0053"/>
    <w:rsid w:val="00ED0115"/>
    <w:rsid w:val="00ED157F"/>
    <w:rsid w:val="00ED16EC"/>
    <w:rsid w:val="00ED1EC3"/>
    <w:rsid w:val="00ED20E9"/>
    <w:rsid w:val="00ED2C64"/>
    <w:rsid w:val="00ED2F45"/>
    <w:rsid w:val="00ED4012"/>
    <w:rsid w:val="00ED415A"/>
    <w:rsid w:val="00ED4625"/>
    <w:rsid w:val="00ED464E"/>
    <w:rsid w:val="00ED55A2"/>
    <w:rsid w:val="00EE010A"/>
    <w:rsid w:val="00EE0A67"/>
    <w:rsid w:val="00EE143D"/>
    <w:rsid w:val="00EE157C"/>
    <w:rsid w:val="00EE3249"/>
    <w:rsid w:val="00EE358E"/>
    <w:rsid w:val="00EE3A54"/>
    <w:rsid w:val="00EE3CF9"/>
    <w:rsid w:val="00EE44EA"/>
    <w:rsid w:val="00EE4A00"/>
    <w:rsid w:val="00EE4A0B"/>
    <w:rsid w:val="00EE5074"/>
    <w:rsid w:val="00EE7AB0"/>
    <w:rsid w:val="00EF07AB"/>
    <w:rsid w:val="00EF12CB"/>
    <w:rsid w:val="00EF4AF0"/>
    <w:rsid w:val="00EF4F0C"/>
    <w:rsid w:val="00EF5546"/>
    <w:rsid w:val="00EF7056"/>
    <w:rsid w:val="00F0033E"/>
    <w:rsid w:val="00F024C0"/>
    <w:rsid w:val="00F02A7A"/>
    <w:rsid w:val="00F02D29"/>
    <w:rsid w:val="00F03624"/>
    <w:rsid w:val="00F05F42"/>
    <w:rsid w:val="00F05FE8"/>
    <w:rsid w:val="00F06057"/>
    <w:rsid w:val="00F134D1"/>
    <w:rsid w:val="00F14251"/>
    <w:rsid w:val="00F1463E"/>
    <w:rsid w:val="00F149D9"/>
    <w:rsid w:val="00F15A09"/>
    <w:rsid w:val="00F16DB4"/>
    <w:rsid w:val="00F205BC"/>
    <w:rsid w:val="00F20FF5"/>
    <w:rsid w:val="00F2188C"/>
    <w:rsid w:val="00F2359D"/>
    <w:rsid w:val="00F24439"/>
    <w:rsid w:val="00F25F75"/>
    <w:rsid w:val="00F27259"/>
    <w:rsid w:val="00F3014C"/>
    <w:rsid w:val="00F30F04"/>
    <w:rsid w:val="00F30F22"/>
    <w:rsid w:val="00F323EA"/>
    <w:rsid w:val="00F325B1"/>
    <w:rsid w:val="00F32882"/>
    <w:rsid w:val="00F353CE"/>
    <w:rsid w:val="00F361D0"/>
    <w:rsid w:val="00F3651B"/>
    <w:rsid w:val="00F36CD7"/>
    <w:rsid w:val="00F37163"/>
    <w:rsid w:val="00F37767"/>
    <w:rsid w:val="00F40AF4"/>
    <w:rsid w:val="00F435F1"/>
    <w:rsid w:val="00F4448E"/>
    <w:rsid w:val="00F45F9D"/>
    <w:rsid w:val="00F47958"/>
    <w:rsid w:val="00F47DD6"/>
    <w:rsid w:val="00F51224"/>
    <w:rsid w:val="00F5151C"/>
    <w:rsid w:val="00F51C26"/>
    <w:rsid w:val="00F53442"/>
    <w:rsid w:val="00F5541C"/>
    <w:rsid w:val="00F556E9"/>
    <w:rsid w:val="00F55869"/>
    <w:rsid w:val="00F6446F"/>
    <w:rsid w:val="00F65411"/>
    <w:rsid w:val="00F6590D"/>
    <w:rsid w:val="00F65F88"/>
    <w:rsid w:val="00F702E0"/>
    <w:rsid w:val="00F710FC"/>
    <w:rsid w:val="00F7394C"/>
    <w:rsid w:val="00F73E58"/>
    <w:rsid w:val="00F7406E"/>
    <w:rsid w:val="00F74249"/>
    <w:rsid w:val="00F75473"/>
    <w:rsid w:val="00F75C7C"/>
    <w:rsid w:val="00F76163"/>
    <w:rsid w:val="00F778B3"/>
    <w:rsid w:val="00F7795D"/>
    <w:rsid w:val="00F77DD7"/>
    <w:rsid w:val="00F80C2C"/>
    <w:rsid w:val="00F81610"/>
    <w:rsid w:val="00F81749"/>
    <w:rsid w:val="00F838BA"/>
    <w:rsid w:val="00F83EDA"/>
    <w:rsid w:val="00F84751"/>
    <w:rsid w:val="00F85051"/>
    <w:rsid w:val="00F85075"/>
    <w:rsid w:val="00F85504"/>
    <w:rsid w:val="00F8688A"/>
    <w:rsid w:val="00F86CAD"/>
    <w:rsid w:val="00F90A6B"/>
    <w:rsid w:val="00F90D86"/>
    <w:rsid w:val="00F937B0"/>
    <w:rsid w:val="00F93E48"/>
    <w:rsid w:val="00F95169"/>
    <w:rsid w:val="00F956E4"/>
    <w:rsid w:val="00FA1909"/>
    <w:rsid w:val="00FA2073"/>
    <w:rsid w:val="00FA521B"/>
    <w:rsid w:val="00FA6ABB"/>
    <w:rsid w:val="00FA6DBB"/>
    <w:rsid w:val="00FA7E0A"/>
    <w:rsid w:val="00FB0580"/>
    <w:rsid w:val="00FB0B5A"/>
    <w:rsid w:val="00FB0C2C"/>
    <w:rsid w:val="00FB0CB0"/>
    <w:rsid w:val="00FB1797"/>
    <w:rsid w:val="00FB2376"/>
    <w:rsid w:val="00FB2652"/>
    <w:rsid w:val="00FB3496"/>
    <w:rsid w:val="00FC12FF"/>
    <w:rsid w:val="00FC145D"/>
    <w:rsid w:val="00FC4AD5"/>
    <w:rsid w:val="00FC4FC5"/>
    <w:rsid w:val="00FC50F2"/>
    <w:rsid w:val="00FD1599"/>
    <w:rsid w:val="00FD241B"/>
    <w:rsid w:val="00FD27D9"/>
    <w:rsid w:val="00FD29F5"/>
    <w:rsid w:val="00FD2ADF"/>
    <w:rsid w:val="00FD6E5F"/>
    <w:rsid w:val="00FD732C"/>
    <w:rsid w:val="00FD7700"/>
    <w:rsid w:val="00FD7A82"/>
    <w:rsid w:val="00FD7A96"/>
    <w:rsid w:val="00FE0A6D"/>
    <w:rsid w:val="00FE2301"/>
    <w:rsid w:val="00FE3202"/>
    <w:rsid w:val="00FE3976"/>
    <w:rsid w:val="00FE3D46"/>
    <w:rsid w:val="00FE4274"/>
    <w:rsid w:val="00FE5327"/>
    <w:rsid w:val="00FE5D1D"/>
    <w:rsid w:val="00FE6FF7"/>
    <w:rsid w:val="00FF214E"/>
    <w:rsid w:val="00FF3DD8"/>
    <w:rsid w:val="00FF3FA9"/>
    <w:rsid w:val="00FF515A"/>
    <w:rsid w:val="00FF60D4"/>
    <w:rsid w:val="00FF6210"/>
    <w:rsid w:val="00FF6CAF"/>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AF4"/>
    <w:rPr>
      <w:sz w:val="24"/>
      <w:szCs w:val="24"/>
    </w:rPr>
  </w:style>
  <w:style w:type="paragraph" w:styleId="Heading1">
    <w:name w:val="heading 1"/>
    <w:basedOn w:val="Normal"/>
    <w:next w:val="BodyText2"/>
    <w:qFormat/>
    <w:rsid w:val="00A4523E"/>
    <w:pPr>
      <w:keepLines/>
      <w:numPr>
        <w:numId w:val="5"/>
      </w:numPr>
      <w:tabs>
        <w:tab w:val="clear" w:pos="720"/>
      </w:tabs>
      <w:spacing w:after="240"/>
      <w:jc w:val="both"/>
      <w:outlineLvl w:val="0"/>
    </w:pPr>
    <w:rPr>
      <w:b/>
      <w:bCs/>
      <w:caps/>
      <w:szCs w:val="32"/>
      <w:u w:val="single"/>
    </w:rPr>
  </w:style>
  <w:style w:type="paragraph" w:styleId="Heading2">
    <w:name w:val="heading 2"/>
    <w:basedOn w:val="Normal"/>
    <w:next w:val="BodyText2"/>
    <w:link w:val="Heading2Char"/>
    <w:qFormat/>
    <w:rsid w:val="00A4523E"/>
    <w:pPr>
      <w:keepLines/>
      <w:numPr>
        <w:ilvl w:val="1"/>
        <w:numId w:val="5"/>
      </w:numPr>
      <w:spacing w:after="240"/>
      <w:jc w:val="both"/>
      <w:outlineLvl w:val="1"/>
    </w:pPr>
    <w:rPr>
      <w:b/>
      <w:bCs/>
      <w:iCs/>
      <w:caps/>
      <w:szCs w:val="28"/>
    </w:rPr>
  </w:style>
  <w:style w:type="paragraph" w:styleId="Heading3">
    <w:name w:val="heading 3"/>
    <w:basedOn w:val="Normal"/>
    <w:next w:val="BodyText2"/>
    <w:qFormat/>
    <w:rsid w:val="00A4523E"/>
    <w:pPr>
      <w:numPr>
        <w:ilvl w:val="2"/>
        <w:numId w:val="5"/>
      </w:numPr>
      <w:spacing w:after="240"/>
      <w:jc w:val="both"/>
      <w:outlineLvl w:val="2"/>
    </w:pPr>
    <w:rPr>
      <w:b/>
      <w:bCs/>
      <w:szCs w:val="26"/>
    </w:rPr>
  </w:style>
  <w:style w:type="paragraph" w:styleId="Heading4">
    <w:name w:val="heading 4"/>
    <w:basedOn w:val="Normal"/>
    <w:next w:val="BodyText2"/>
    <w:qFormat/>
    <w:rsid w:val="00A4523E"/>
    <w:pPr>
      <w:numPr>
        <w:ilvl w:val="3"/>
        <w:numId w:val="5"/>
      </w:numPr>
      <w:spacing w:after="240"/>
      <w:jc w:val="both"/>
      <w:outlineLvl w:val="3"/>
    </w:pPr>
    <w:rPr>
      <w:b/>
      <w:bCs/>
      <w:szCs w:val="28"/>
    </w:rPr>
  </w:style>
  <w:style w:type="paragraph" w:styleId="Heading5">
    <w:name w:val="heading 5"/>
    <w:basedOn w:val="Normal"/>
    <w:next w:val="BodyText2"/>
    <w:qFormat/>
    <w:rsid w:val="00A4523E"/>
    <w:pPr>
      <w:numPr>
        <w:ilvl w:val="4"/>
        <w:numId w:val="5"/>
      </w:numPr>
      <w:spacing w:after="240"/>
      <w:jc w:val="both"/>
      <w:outlineLvl w:val="4"/>
    </w:pPr>
    <w:rPr>
      <w:b/>
      <w:bCs/>
      <w:iCs/>
      <w:szCs w:val="26"/>
    </w:rPr>
  </w:style>
  <w:style w:type="paragraph" w:styleId="Heading6">
    <w:name w:val="heading 6"/>
    <w:basedOn w:val="Normal"/>
    <w:next w:val="BodyText2"/>
    <w:qFormat/>
    <w:rsid w:val="00A4523E"/>
    <w:pPr>
      <w:numPr>
        <w:ilvl w:val="5"/>
        <w:numId w:val="5"/>
      </w:numPr>
      <w:spacing w:after="240"/>
      <w:outlineLvl w:val="5"/>
    </w:pPr>
    <w:rPr>
      <w:b/>
      <w:bCs/>
      <w:szCs w:val="22"/>
    </w:rPr>
  </w:style>
  <w:style w:type="paragraph" w:styleId="Heading7">
    <w:name w:val="heading 7"/>
    <w:basedOn w:val="Normal"/>
    <w:next w:val="BodyText2"/>
    <w:qFormat/>
    <w:rsid w:val="00A4523E"/>
    <w:pPr>
      <w:numPr>
        <w:ilvl w:val="6"/>
        <w:numId w:val="5"/>
      </w:numPr>
      <w:spacing w:after="240"/>
      <w:outlineLvl w:val="6"/>
    </w:pPr>
    <w:rPr>
      <w:b/>
    </w:rPr>
  </w:style>
  <w:style w:type="paragraph" w:styleId="Heading8">
    <w:name w:val="heading 8"/>
    <w:basedOn w:val="Normal"/>
    <w:next w:val="BodyText2"/>
    <w:qFormat/>
    <w:rsid w:val="00A4523E"/>
    <w:pPr>
      <w:numPr>
        <w:ilvl w:val="7"/>
        <w:numId w:val="5"/>
      </w:numPr>
      <w:spacing w:after="240"/>
      <w:jc w:val="both"/>
      <w:outlineLvl w:val="7"/>
    </w:pPr>
    <w:rPr>
      <w:b/>
      <w:iCs/>
    </w:rPr>
  </w:style>
  <w:style w:type="paragraph" w:styleId="Heading9">
    <w:name w:val="heading 9"/>
    <w:basedOn w:val="Normal"/>
    <w:next w:val="BodyText2"/>
    <w:qFormat/>
    <w:rsid w:val="00A4523E"/>
    <w:pPr>
      <w:numPr>
        <w:ilvl w:val="8"/>
        <w:numId w:val="5"/>
      </w:numPr>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
    <w:basedOn w:val="Normal"/>
    <w:link w:val="FootnoteTextChar1"/>
    <w:uiPriority w:val="99"/>
    <w:semiHidden/>
    <w:rsid w:val="00F40AF4"/>
    <w:rPr>
      <w:sz w:val="20"/>
      <w:szCs w:val="20"/>
    </w:rPr>
  </w:style>
  <w:style w:type="character" w:styleId="FootnoteReference">
    <w:name w:val="footnote reference"/>
    <w:aliases w:val="o,fr"/>
    <w:basedOn w:val="DefaultParagraphFont"/>
    <w:uiPriority w:val="99"/>
    <w:rsid w:val="00F40AF4"/>
    <w:rPr>
      <w:vertAlign w:val="superscript"/>
    </w:rPr>
  </w:style>
  <w:style w:type="paragraph" w:styleId="Footer">
    <w:name w:val="footer"/>
    <w:basedOn w:val="Normal"/>
    <w:link w:val="FooterChar"/>
    <w:uiPriority w:val="99"/>
    <w:rsid w:val="00F40AF4"/>
    <w:pPr>
      <w:tabs>
        <w:tab w:val="center" w:pos="4320"/>
        <w:tab w:val="right" w:pos="8640"/>
      </w:tabs>
    </w:pPr>
  </w:style>
  <w:style w:type="character" w:styleId="PageNumber">
    <w:name w:val="page number"/>
    <w:basedOn w:val="DefaultParagraphFont"/>
    <w:rsid w:val="00F40AF4"/>
  </w:style>
  <w:style w:type="paragraph" w:styleId="ListNumber">
    <w:name w:val="List Number"/>
    <w:basedOn w:val="Normal"/>
    <w:rsid w:val="00272171"/>
    <w:pPr>
      <w:numPr>
        <w:numId w:val="3"/>
      </w:numPr>
      <w:spacing w:line="480" w:lineRule="auto"/>
      <w:ind w:left="0" w:firstLine="720"/>
    </w:pPr>
  </w:style>
  <w:style w:type="paragraph" w:styleId="BodyText2">
    <w:name w:val="Body Text 2"/>
    <w:basedOn w:val="Normal"/>
    <w:link w:val="BodyText2Char"/>
    <w:rsid w:val="00272171"/>
    <w:pPr>
      <w:spacing w:line="480" w:lineRule="auto"/>
      <w:ind w:firstLine="720"/>
      <w:jc w:val="both"/>
    </w:pPr>
  </w:style>
  <w:style w:type="paragraph" w:styleId="ListParagraph">
    <w:name w:val="List Paragraph"/>
    <w:basedOn w:val="Normal"/>
    <w:uiPriority w:val="34"/>
    <w:qFormat/>
    <w:rsid w:val="006F178E"/>
    <w:pPr>
      <w:ind w:left="720"/>
      <w:contextualSpacing/>
    </w:pPr>
    <w:rPr>
      <w:color w:val="000000"/>
      <w:sz w:val="26"/>
      <w:szCs w:val="20"/>
    </w:rPr>
  </w:style>
  <w:style w:type="paragraph" w:customStyle="1" w:styleId="IndentSingle">
    <w:name w:val="Indent Single"/>
    <w:basedOn w:val="Normal"/>
    <w:next w:val="BodyText"/>
    <w:rsid w:val="008038A5"/>
    <w:pPr>
      <w:spacing w:after="240"/>
      <w:ind w:left="1440" w:right="1440"/>
    </w:pPr>
  </w:style>
  <w:style w:type="paragraph" w:styleId="BodyText">
    <w:name w:val="Body Text"/>
    <w:basedOn w:val="Normal"/>
    <w:rsid w:val="008038A5"/>
    <w:pPr>
      <w:spacing w:after="120"/>
    </w:pPr>
  </w:style>
  <w:style w:type="paragraph" w:styleId="BodyTextIndent">
    <w:name w:val="Body Text Indent"/>
    <w:basedOn w:val="Normal"/>
    <w:rsid w:val="002B07F2"/>
    <w:pPr>
      <w:spacing w:after="120"/>
      <w:ind w:left="360"/>
    </w:pPr>
  </w:style>
  <w:style w:type="paragraph" w:styleId="PlainText">
    <w:name w:val="Plain Text"/>
    <w:basedOn w:val="Normal"/>
    <w:link w:val="PlainTextChar"/>
    <w:unhideWhenUsed/>
    <w:rsid w:val="00F15A09"/>
    <w:rPr>
      <w:rFonts w:ascii="Consolas" w:eastAsia="Calibri" w:hAnsi="Consolas"/>
      <w:sz w:val="21"/>
      <w:szCs w:val="21"/>
    </w:rPr>
  </w:style>
  <w:style w:type="character" w:customStyle="1" w:styleId="PlainTextChar">
    <w:name w:val="Plain Text Char"/>
    <w:basedOn w:val="DefaultParagraphFont"/>
    <w:link w:val="PlainText"/>
    <w:rsid w:val="00F15A09"/>
    <w:rPr>
      <w:rFonts w:ascii="Consolas" w:eastAsia="Calibri" w:hAnsi="Consolas"/>
      <w:sz w:val="21"/>
      <w:szCs w:val="21"/>
      <w:lang w:val="en-US" w:eastAsia="en-US" w:bidi="ar-SA"/>
    </w:rPr>
  </w:style>
  <w:style w:type="character" w:customStyle="1" w:styleId="FootnoteTextChar1">
    <w:name w:val="Footnote Text Char1"/>
    <w:aliases w:val="Footnote Text Char4 Char Char1,Footnote Text Char Char4 Char Char1,Footnote Text Char4 Char1 Char Char Char1,Footnote Text Char Char4 Char1 Char Char Char1,Footnote Text Char5 Char1 Char Char Char Char Char Char1,ALTS FOOTNOTE Char"/>
    <w:basedOn w:val="DefaultParagraphFont"/>
    <w:link w:val="FootnoteText"/>
    <w:rsid w:val="00A4523E"/>
    <w:rPr>
      <w:lang w:val="en-US" w:eastAsia="en-US" w:bidi="ar-SA"/>
    </w:rPr>
  </w:style>
  <w:style w:type="paragraph" w:customStyle="1" w:styleId="Level1">
    <w:name w:val="Level 1"/>
    <w:basedOn w:val="Normal"/>
    <w:rsid w:val="00A4523E"/>
    <w:pPr>
      <w:widowControl w:val="0"/>
      <w:numPr>
        <w:numId w:val="4"/>
      </w:numPr>
      <w:autoSpaceDE w:val="0"/>
      <w:autoSpaceDN w:val="0"/>
      <w:adjustRightInd w:val="0"/>
      <w:ind w:firstLine="720"/>
      <w:outlineLvl w:val="0"/>
    </w:pPr>
  </w:style>
  <w:style w:type="character" w:customStyle="1" w:styleId="Heading2Char">
    <w:name w:val="Heading 2 Char"/>
    <w:basedOn w:val="DefaultParagraphFont"/>
    <w:link w:val="Heading2"/>
    <w:rsid w:val="00A4523E"/>
    <w:rPr>
      <w:b/>
      <w:bCs/>
      <w:iCs/>
      <w:caps/>
      <w:sz w:val="24"/>
      <w:szCs w:val="28"/>
    </w:r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basedOn w:val="DefaultParagraphFont"/>
    <w:uiPriority w:val="99"/>
    <w:semiHidden/>
    <w:locked/>
    <w:rsid w:val="00E84480"/>
    <w:rPr>
      <w:rFonts w:ascii="Times" w:hAnsi="Times" w:cs="Times New Roman"/>
      <w:sz w:val="20"/>
      <w:szCs w:val="20"/>
    </w:rPr>
  </w:style>
  <w:style w:type="paragraph" w:styleId="Header">
    <w:name w:val="header"/>
    <w:basedOn w:val="Normal"/>
    <w:link w:val="HeaderChar"/>
    <w:rsid w:val="009C6D70"/>
    <w:pPr>
      <w:tabs>
        <w:tab w:val="center" w:pos="4680"/>
        <w:tab w:val="right" w:pos="9360"/>
      </w:tabs>
    </w:pPr>
  </w:style>
  <w:style w:type="character" w:customStyle="1" w:styleId="HeaderChar">
    <w:name w:val="Header Char"/>
    <w:basedOn w:val="DefaultParagraphFont"/>
    <w:link w:val="Header"/>
    <w:rsid w:val="009C6D70"/>
    <w:rPr>
      <w:sz w:val="24"/>
      <w:szCs w:val="24"/>
    </w:rPr>
  </w:style>
  <w:style w:type="character" w:customStyle="1" w:styleId="FooterChar">
    <w:name w:val="Footer Char"/>
    <w:basedOn w:val="DefaultParagraphFont"/>
    <w:link w:val="Footer"/>
    <w:uiPriority w:val="99"/>
    <w:rsid w:val="009C6D70"/>
    <w:rPr>
      <w:sz w:val="24"/>
      <w:szCs w:val="24"/>
    </w:rPr>
  </w:style>
  <w:style w:type="paragraph" w:styleId="EndnoteText">
    <w:name w:val="endnote text"/>
    <w:basedOn w:val="Normal"/>
    <w:link w:val="EndnoteTextChar"/>
    <w:rsid w:val="00D34779"/>
    <w:rPr>
      <w:sz w:val="20"/>
      <w:szCs w:val="20"/>
    </w:rPr>
  </w:style>
  <w:style w:type="character" w:customStyle="1" w:styleId="EndnoteTextChar">
    <w:name w:val="Endnote Text Char"/>
    <w:basedOn w:val="DefaultParagraphFont"/>
    <w:link w:val="EndnoteText"/>
    <w:rsid w:val="00D34779"/>
  </w:style>
  <w:style w:type="character" w:styleId="EndnoteReference">
    <w:name w:val="endnote reference"/>
    <w:basedOn w:val="DefaultParagraphFont"/>
    <w:rsid w:val="00D34779"/>
    <w:rPr>
      <w:vertAlign w:val="superscript"/>
    </w:rPr>
  </w:style>
  <w:style w:type="table" w:styleId="TableGrid">
    <w:name w:val="Table Grid"/>
    <w:basedOn w:val="TableNormal"/>
    <w:rsid w:val="00616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A77698"/>
    <w:rPr>
      <w:sz w:val="24"/>
      <w:szCs w:val="24"/>
    </w:rPr>
  </w:style>
  <w:style w:type="paragraph" w:styleId="NormalWeb">
    <w:name w:val="Normal (Web)"/>
    <w:basedOn w:val="Normal"/>
    <w:uiPriority w:val="99"/>
    <w:unhideWhenUsed/>
    <w:rsid w:val="00C00828"/>
    <w:pPr>
      <w:spacing w:before="100" w:beforeAutospacing="1" w:after="100" w:afterAutospacing="1"/>
    </w:pPr>
  </w:style>
  <w:style w:type="character" w:customStyle="1" w:styleId="apple-converted-space">
    <w:name w:val="apple-converted-space"/>
    <w:rsid w:val="00306FE0"/>
  </w:style>
  <w:style w:type="paragraph" w:customStyle="1" w:styleId="answ">
    <w:name w:val="answ"/>
    <w:basedOn w:val="Normal"/>
    <w:next w:val="Normal"/>
    <w:rsid w:val="002A3A37"/>
    <w:pPr>
      <w:tabs>
        <w:tab w:val="left" w:pos="-1440"/>
        <w:tab w:val="left" w:pos="-720"/>
        <w:tab w:val="left" w:pos="0"/>
        <w:tab w:val="left" w:pos="720"/>
        <w:tab w:val="left" w:pos="1051"/>
        <w:tab w:val="left" w:pos="1440"/>
        <w:tab w:val="left" w:pos="1752"/>
        <w:tab w:val="left" w:pos="2160"/>
      </w:tabs>
      <w:suppressAutoHyphens/>
      <w:spacing w:after="240" w:line="360" w:lineRule="auto"/>
      <w:ind w:left="720" w:hanging="720"/>
      <w:jc w:val="both"/>
    </w:pPr>
    <w:rPr>
      <w:snapToGrid w:val="0"/>
      <w:szCs w:val="20"/>
    </w:rPr>
  </w:style>
  <w:style w:type="paragraph" w:styleId="BalloonText">
    <w:name w:val="Balloon Text"/>
    <w:basedOn w:val="Normal"/>
    <w:link w:val="BalloonTextChar"/>
    <w:rsid w:val="00805423"/>
    <w:rPr>
      <w:rFonts w:ascii="Tahoma" w:hAnsi="Tahoma" w:cs="Tahoma"/>
      <w:sz w:val="16"/>
      <w:szCs w:val="16"/>
    </w:rPr>
  </w:style>
  <w:style w:type="character" w:customStyle="1" w:styleId="BalloonTextChar">
    <w:name w:val="Balloon Text Char"/>
    <w:basedOn w:val="DefaultParagraphFont"/>
    <w:link w:val="BalloonText"/>
    <w:rsid w:val="008054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AF4"/>
    <w:rPr>
      <w:sz w:val="24"/>
      <w:szCs w:val="24"/>
    </w:rPr>
  </w:style>
  <w:style w:type="paragraph" w:styleId="Heading1">
    <w:name w:val="heading 1"/>
    <w:basedOn w:val="Normal"/>
    <w:next w:val="BodyText2"/>
    <w:qFormat/>
    <w:rsid w:val="00A4523E"/>
    <w:pPr>
      <w:keepLines/>
      <w:numPr>
        <w:numId w:val="5"/>
      </w:numPr>
      <w:tabs>
        <w:tab w:val="clear" w:pos="720"/>
      </w:tabs>
      <w:spacing w:after="240"/>
      <w:jc w:val="both"/>
      <w:outlineLvl w:val="0"/>
    </w:pPr>
    <w:rPr>
      <w:b/>
      <w:bCs/>
      <w:caps/>
      <w:szCs w:val="32"/>
      <w:u w:val="single"/>
    </w:rPr>
  </w:style>
  <w:style w:type="paragraph" w:styleId="Heading2">
    <w:name w:val="heading 2"/>
    <w:basedOn w:val="Normal"/>
    <w:next w:val="BodyText2"/>
    <w:link w:val="Heading2Char"/>
    <w:qFormat/>
    <w:rsid w:val="00A4523E"/>
    <w:pPr>
      <w:keepLines/>
      <w:numPr>
        <w:ilvl w:val="1"/>
        <w:numId w:val="5"/>
      </w:numPr>
      <w:spacing w:after="240"/>
      <w:jc w:val="both"/>
      <w:outlineLvl w:val="1"/>
    </w:pPr>
    <w:rPr>
      <w:b/>
      <w:bCs/>
      <w:iCs/>
      <w:caps/>
      <w:szCs w:val="28"/>
    </w:rPr>
  </w:style>
  <w:style w:type="paragraph" w:styleId="Heading3">
    <w:name w:val="heading 3"/>
    <w:basedOn w:val="Normal"/>
    <w:next w:val="BodyText2"/>
    <w:qFormat/>
    <w:rsid w:val="00A4523E"/>
    <w:pPr>
      <w:numPr>
        <w:ilvl w:val="2"/>
        <w:numId w:val="5"/>
      </w:numPr>
      <w:spacing w:after="240"/>
      <w:jc w:val="both"/>
      <w:outlineLvl w:val="2"/>
    </w:pPr>
    <w:rPr>
      <w:b/>
      <w:bCs/>
      <w:szCs w:val="26"/>
    </w:rPr>
  </w:style>
  <w:style w:type="paragraph" w:styleId="Heading4">
    <w:name w:val="heading 4"/>
    <w:basedOn w:val="Normal"/>
    <w:next w:val="BodyText2"/>
    <w:qFormat/>
    <w:rsid w:val="00A4523E"/>
    <w:pPr>
      <w:numPr>
        <w:ilvl w:val="3"/>
        <w:numId w:val="5"/>
      </w:numPr>
      <w:spacing w:after="240"/>
      <w:jc w:val="both"/>
      <w:outlineLvl w:val="3"/>
    </w:pPr>
    <w:rPr>
      <w:b/>
      <w:bCs/>
      <w:szCs w:val="28"/>
    </w:rPr>
  </w:style>
  <w:style w:type="paragraph" w:styleId="Heading5">
    <w:name w:val="heading 5"/>
    <w:basedOn w:val="Normal"/>
    <w:next w:val="BodyText2"/>
    <w:qFormat/>
    <w:rsid w:val="00A4523E"/>
    <w:pPr>
      <w:numPr>
        <w:ilvl w:val="4"/>
        <w:numId w:val="5"/>
      </w:numPr>
      <w:spacing w:after="240"/>
      <w:jc w:val="both"/>
      <w:outlineLvl w:val="4"/>
    </w:pPr>
    <w:rPr>
      <w:b/>
      <w:bCs/>
      <w:iCs/>
      <w:szCs w:val="26"/>
    </w:rPr>
  </w:style>
  <w:style w:type="paragraph" w:styleId="Heading6">
    <w:name w:val="heading 6"/>
    <w:basedOn w:val="Normal"/>
    <w:next w:val="BodyText2"/>
    <w:qFormat/>
    <w:rsid w:val="00A4523E"/>
    <w:pPr>
      <w:numPr>
        <w:ilvl w:val="5"/>
        <w:numId w:val="5"/>
      </w:numPr>
      <w:spacing w:after="240"/>
      <w:outlineLvl w:val="5"/>
    </w:pPr>
    <w:rPr>
      <w:b/>
      <w:bCs/>
      <w:szCs w:val="22"/>
    </w:rPr>
  </w:style>
  <w:style w:type="paragraph" w:styleId="Heading7">
    <w:name w:val="heading 7"/>
    <w:basedOn w:val="Normal"/>
    <w:next w:val="BodyText2"/>
    <w:qFormat/>
    <w:rsid w:val="00A4523E"/>
    <w:pPr>
      <w:numPr>
        <w:ilvl w:val="6"/>
        <w:numId w:val="5"/>
      </w:numPr>
      <w:spacing w:after="240"/>
      <w:outlineLvl w:val="6"/>
    </w:pPr>
    <w:rPr>
      <w:b/>
    </w:rPr>
  </w:style>
  <w:style w:type="paragraph" w:styleId="Heading8">
    <w:name w:val="heading 8"/>
    <w:basedOn w:val="Normal"/>
    <w:next w:val="BodyText2"/>
    <w:qFormat/>
    <w:rsid w:val="00A4523E"/>
    <w:pPr>
      <w:numPr>
        <w:ilvl w:val="7"/>
        <w:numId w:val="5"/>
      </w:numPr>
      <w:spacing w:after="240"/>
      <w:jc w:val="both"/>
      <w:outlineLvl w:val="7"/>
    </w:pPr>
    <w:rPr>
      <w:b/>
      <w:iCs/>
    </w:rPr>
  </w:style>
  <w:style w:type="paragraph" w:styleId="Heading9">
    <w:name w:val="heading 9"/>
    <w:basedOn w:val="Normal"/>
    <w:next w:val="BodyText2"/>
    <w:qFormat/>
    <w:rsid w:val="00A4523E"/>
    <w:pPr>
      <w:numPr>
        <w:ilvl w:val="8"/>
        <w:numId w:val="5"/>
      </w:numPr>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
    <w:basedOn w:val="Normal"/>
    <w:link w:val="FootnoteTextChar1"/>
    <w:uiPriority w:val="99"/>
    <w:semiHidden/>
    <w:rsid w:val="00F40AF4"/>
    <w:rPr>
      <w:sz w:val="20"/>
      <w:szCs w:val="20"/>
    </w:rPr>
  </w:style>
  <w:style w:type="character" w:styleId="FootnoteReference">
    <w:name w:val="footnote reference"/>
    <w:aliases w:val="o,fr"/>
    <w:basedOn w:val="DefaultParagraphFont"/>
    <w:uiPriority w:val="99"/>
    <w:rsid w:val="00F40AF4"/>
    <w:rPr>
      <w:vertAlign w:val="superscript"/>
    </w:rPr>
  </w:style>
  <w:style w:type="paragraph" w:styleId="Footer">
    <w:name w:val="footer"/>
    <w:basedOn w:val="Normal"/>
    <w:link w:val="FooterChar"/>
    <w:uiPriority w:val="99"/>
    <w:rsid w:val="00F40AF4"/>
    <w:pPr>
      <w:tabs>
        <w:tab w:val="center" w:pos="4320"/>
        <w:tab w:val="right" w:pos="8640"/>
      </w:tabs>
    </w:pPr>
  </w:style>
  <w:style w:type="character" w:styleId="PageNumber">
    <w:name w:val="page number"/>
    <w:basedOn w:val="DefaultParagraphFont"/>
    <w:rsid w:val="00F40AF4"/>
  </w:style>
  <w:style w:type="paragraph" w:styleId="ListNumber">
    <w:name w:val="List Number"/>
    <w:basedOn w:val="Normal"/>
    <w:rsid w:val="00272171"/>
    <w:pPr>
      <w:numPr>
        <w:numId w:val="3"/>
      </w:numPr>
      <w:spacing w:line="480" w:lineRule="auto"/>
      <w:ind w:left="0" w:firstLine="720"/>
    </w:pPr>
  </w:style>
  <w:style w:type="paragraph" w:styleId="BodyText2">
    <w:name w:val="Body Text 2"/>
    <w:basedOn w:val="Normal"/>
    <w:link w:val="BodyText2Char"/>
    <w:rsid w:val="00272171"/>
    <w:pPr>
      <w:spacing w:line="480" w:lineRule="auto"/>
      <w:ind w:firstLine="720"/>
      <w:jc w:val="both"/>
    </w:pPr>
  </w:style>
  <w:style w:type="paragraph" w:styleId="ListParagraph">
    <w:name w:val="List Paragraph"/>
    <w:basedOn w:val="Normal"/>
    <w:uiPriority w:val="34"/>
    <w:qFormat/>
    <w:rsid w:val="006F178E"/>
    <w:pPr>
      <w:ind w:left="720"/>
      <w:contextualSpacing/>
    </w:pPr>
    <w:rPr>
      <w:color w:val="000000"/>
      <w:sz w:val="26"/>
      <w:szCs w:val="20"/>
    </w:rPr>
  </w:style>
  <w:style w:type="paragraph" w:customStyle="1" w:styleId="IndentSingle">
    <w:name w:val="Indent Single"/>
    <w:basedOn w:val="Normal"/>
    <w:next w:val="BodyText"/>
    <w:rsid w:val="008038A5"/>
    <w:pPr>
      <w:spacing w:after="240"/>
      <w:ind w:left="1440" w:right="1440"/>
    </w:pPr>
  </w:style>
  <w:style w:type="paragraph" w:styleId="BodyText">
    <w:name w:val="Body Text"/>
    <w:basedOn w:val="Normal"/>
    <w:rsid w:val="008038A5"/>
    <w:pPr>
      <w:spacing w:after="120"/>
    </w:pPr>
  </w:style>
  <w:style w:type="paragraph" w:styleId="BodyTextIndent">
    <w:name w:val="Body Text Indent"/>
    <w:basedOn w:val="Normal"/>
    <w:rsid w:val="002B07F2"/>
    <w:pPr>
      <w:spacing w:after="120"/>
      <w:ind w:left="360"/>
    </w:pPr>
  </w:style>
  <w:style w:type="paragraph" w:styleId="PlainText">
    <w:name w:val="Plain Text"/>
    <w:basedOn w:val="Normal"/>
    <w:link w:val="PlainTextChar"/>
    <w:unhideWhenUsed/>
    <w:rsid w:val="00F15A09"/>
    <w:rPr>
      <w:rFonts w:ascii="Consolas" w:eastAsia="Calibri" w:hAnsi="Consolas"/>
      <w:sz w:val="21"/>
      <w:szCs w:val="21"/>
    </w:rPr>
  </w:style>
  <w:style w:type="character" w:customStyle="1" w:styleId="PlainTextChar">
    <w:name w:val="Plain Text Char"/>
    <w:basedOn w:val="DefaultParagraphFont"/>
    <w:link w:val="PlainText"/>
    <w:rsid w:val="00F15A09"/>
    <w:rPr>
      <w:rFonts w:ascii="Consolas" w:eastAsia="Calibri" w:hAnsi="Consolas"/>
      <w:sz w:val="21"/>
      <w:szCs w:val="21"/>
      <w:lang w:val="en-US" w:eastAsia="en-US" w:bidi="ar-SA"/>
    </w:rPr>
  </w:style>
  <w:style w:type="character" w:customStyle="1" w:styleId="FootnoteTextChar1">
    <w:name w:val="Footnote Text Char1"/>
    <w:aliases w:val="Footnote Text Char4 Char Char1,Footnote Text Char Char4 Char Char1,Footnote Text Char4 Char1 Char Char Char1,Footnote Text Char Char4 Char1 Char Char Char1,Footnote Text Char5 Char1 Char Char Char Char Char Char1,ALTS FOOTNOTE Char"/>
    <w:basedOn w:val="DefaultParagraphFont"/>
    <w:link w:val="FootnoteText"/>
    <w:rsid w:val="00A4523E"/>
    <w:rPr>
      <w:lang w:val="en-US" w:eastAsia="en-US" w:bidi="ar-SA"/>
    </w:rPr>
  </w:style>
  <w:style w:type="paragraph" w:customStyle="1" w:styleId="Level1">
    <w:name w:val="Level 1"/>
    <w:basedOn w:val="Normal"/>
    <w:rsid w:val="00A4523E"/>
    <w:pPr>
      <w:widowControl w:val="0"/>
      <w:numPr>
        <w:numId w:val="4"/>
      </w:numPr>
      <w:autoSpaceDE w:val="0"/>
      <w:autoSpaceDN w:val="0"/>
      <w:adjustRightInd w:val="0"/>
      <w:ind w:firstLine="720"/>
      <w:outlineLvl w:val="0"/>
    </w:pPr>
  </w:style>
  <w:style w:type="character" w:customStyle="1" w:styleId="Heading2Char">
    <w:name w:val="Heading 2 Char"/>
    <w:basedOn w:val="DefaultParagraphFont"/>
    <w:link w:val="Heading2"/>
    <w:rsid w:val="00A4523E"/>
    <w:rPr>
      <w:b/>
      <w:bCs/>
      <w:iCs/>
      <w:caps/>
      <w:sz w:val="24"/>
      <w:szCs w:val="28"/>
    </w:r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basedOn w:val="DefaultParagraphFont"/>
    <w:uiPriority w:val="99"/>
    <w:semiHidden/>
    <w:locked/>
    <w:rsid w:val="00E84480"/>
    <w:rPr>
      <w:rFonts w:ascii="Times" w:hAnsi="Times" w:cs="Times New Roman"/>
      <w:sz w:val="20"/>
      <w:szCs w:val="20"/>
    </w:rPr>
  </w:style>
  <w:style w:type="paragraph" w:styleId="Header">
    <w:name w:val="header"/>
    <w:basedOn w:val="Normal"/>
    <w:link w:val="HeaderChar"/>
    <w:rsid w:val="009C6D70"/>
    <w:pPr>
      <w:tabs>
        <w:tab w:val="center" w:pos="4680"/>
        <w:tab w:val="right" w:pos="9360"/>
      </w:tabs>
    </w:pPr>
  </w:style>
  <w:style w:type="character" w:customStyle="1" w:styleId="HeaderChar">
    <w:name w:val="Header Char"/>
    <w:basedOn w:val="DefaultParagraphFont"/>
    <w:link w:val="Header"/>
    <w:rsid w:val="009C6D70"/>
    <w:rPr>
      <w:sz w:val="24"/>
      <w:szCs w:val="24"/>
    </w:rPr>
  </w:style>
  <w:style w:type="character" w:customStyle="1" w:styleId="FooterChar">
    <w:name w:val="Footer Char"/>
    <w:basedOn w:val="DefaultParagraphFont"/>
    <w:link w:val="Footer"/>
    <w:uiPriority w:val="99"/>
    <w:rsid w:val="009C6D70"/>
    <w:rPr>
      <w:sz w:val="24"/>
      <w:szCs w:val="24"/>
    </w:rPr>
  </w:style>
  <w:style w:type="paragraph" w:styleId="EndnoteText">
    <w:name w:val="endnote text"/>
    <w:basedOn w:val="Normal"/>
    <w:link w:val="EndnoteTextChar"/>
    <w:rsid w:val="00D34779"/>
    <w:rPr>
      <w:sz w:val="20"/>
      <w:szCs w:val="20"/>
    </w:rPr>
  </w:style>
  <w:style w:type="character" w:customStyle="1" w:styleId="EndnoteTextChar">
    <w:name w:val="Endnote Text Char"/>
    <w:basedOn w:val="DefaultParagraphFont"/>
    <w:link w:val="EndnoteText"/>
    <w:rsid w:val="00D34779"/>
  </w:style>
  <w:style w:type="character" w:styleId="EndnoteReference">
    <w:name w:val="endnote reference"/>
    <w:basedOn w:val="DefaultParagraphFont"/>
    <w:rsid w:val="00D34779"/>
    <w:rPr>
      <w:vertAlign w:val="superscript"/>
    </w:rPr>
  </w:style>
  <w:style w:type="table" w:styleId="TableGrid">
    <w:name w:val="Table Grid"/>
    <w:basedOn w:val="TableNormal"/>
    <w:rsid w:val="00616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A77698"/>
    <w:rPr>
      <w:sz w:val="24"/>
      <w:szCs w:val="24"/>
    </w:rPr>
  </w:style>
  <w:style w:type="paragraph" w:styleId="NormalWeb">
    <w:name w:val="Normal (Web)"/>
    <w:basedOn w:val="Normal"/>
    <w:uiPriority w:val="99"/>
    <w:unhideWhenUsed/>
    <w:rsid w:val="00C00828"/>
    <w:pPr>
      <w:spacing w:before="100" w:beforeAutospacing="1" w:after="100" w:afterAutospacing="1"/>
    </w:pPr>
  </w:style>
  <w:style w:type="character" w:customStyle="1" w:styleId="apple-converted-space">
    <w:name w:val="apple-converted-space"/>
    <w:rsid w:val="00306FE0"/>
  </w:style>
  <w:style w:type="paragraph" w:customStyle="1" w:styleId="answ">
    <w:name w:val="answ"/>
    <w:basedOn w:val="Normal"/>
    <w:next w:val="Normal"/>
    <w:rsid w:val="002A3A37"/>
    <w:pPr>
      <w:tabs>
        <w:tab w:val="left" w:pos="-1440"/>
        <w:tab w:val="left" w:pos="-720"/>
        <w:tab w:val="left" w:pos="0"/>
        <w:tab w:val="left" w:pos="720"/>
        <w:tab w:val="left" w:pos="1051"/>
        <w:tab w:val="left" w:pos="1440"/>
        <w:tab w:val="left" w:pos="1752"/>
        <w:tab w:val="left" w:pos="2160"/>
      </w:tabs>
      <w:suppressAutoHyphens/>
      <w:spacing w:after="240" w:line="360" w:lineRule="auto"/>
      <w:ind w:left="720" w:hanging="720"/>
      <w:jc w:val="both"/>
    </w:pPr>
    <w:rPr>
      <w:snapToGrid w:val="0"/>
      <w:szCs w:val="20"/>
    </w:rPr>
  </w:style>
  <w:style w:type="paragraph" w:styleId="BalloonText">
    <w:name w:val="Balloon Text"/>
    <w:basedOn w:val="Normal"/>
    <w:link w:val="BalloonTextChar"/>
    <w:rsid w:val="00805423"/>
    <w:rPr>
      <w:rFonts w:ascii="Tahoma" w:hAnsi="Tahoma" w:cs="Tahoma"/>
      <w:sz w:val="16"/>
      <w:szCs w:val="16"/>
    </w:rPr>
  </w:style>
  <w:style w:type="character" w:customStyle="1" w:styleId="BalloonTextChar">
    <w:name w:val="Balloon Text Char"/>
    <w:basedOn w:val="DefaultParagraphFont"/>
    <w:link w:val="BalloonText"/>
    <w:rsid w:val="008054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873650">
      <w:bodyDiv w:val="1"/>
      <w:marLeft w:val="0"/>
      <w:marRight w:val="0"/>
      <w:marTop w:val="0"/>
      <w:marBottom w:val="0"/>
      <w:divBdr>
        <w:top w:val="none" w:sz="0" w:space="0" w:color="auto"/>
        <w:left w:val="none" w:sz="0" w:space="0" w:color="auto"/>
        <w:bottom w:val="none" w:sz="0" w:space="0" w:color="auto"/>
        <w:right w:val="none" w:sz="0" w:space="0" w:color="auto"/>
      </w:divBdr>
    </w:div>
    <w:div w:id="187854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E47AB-AEA6-4681-B0D8-9CFCAFF0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94</Pages>
  <Words>27041</Words>
  <Characters>154134</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180814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5</cp:revision>
  <cp:lastPrinted>2014-08-26T13:20:00Z</cp:lastPrinted>
  <dcterms:created xsi:type="dcterms:W3CDTF">2014-08-26T13:21:00Z</dcterms:created>
  <dcterms:modified xsi:type="dcterms:W3CDTF">2014-08-27T13:57:00Z</dcterms:modified>
</cp:coreProperties>
</file>