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DB2" w:rsidRPr="00666AFB" w:rsidRDefault="007D2DB2" w:rsidP="00211604">
      <w:pPr>
        <w:pStyle w:val="Title"/>
        <w:widowControl/>
        <w:outlineLvl w:val="0"/>
        <w:rPr>
          <w:sz w:val="24"/>
          <w:szCs w:val="24"/>
        </w:rPr>
      </w:pPr>
      <w:r w:rsidRPr="00666AFB">
        <w:rPr>
          <w:sz w:val="24"/>
          <w:szCs w:val="24"/>
        </w:rPr>
        <w:t>BEFORE THE</w:t>
      </w:r>
    </w:p>
    <w:p w:rsidR="007D2DB2" w:rsidRPr="00666AFB" w:rsidRDefault="007D2DB2" w:rsidP="00211604">
      <w:pPr>
        <w:jc w:val="center"/>
        <w:outlineLvl w:val="0"/>
        <w:rPr>
          <w:b/>
          <w:szCs w:val="24"/>
        </w:rPr>
      </w:pPr>
      <w:r w:rsidRPr="00666AFB">
        <w:rPr>
          <w:b/>
          <w:szCs w:val="24"/>
        </w:rPr>
        <w:t>PENNSYLVANIA PUBLIC UTILITY COMMISSION</w:t>
      </w:r>
    </w:p>
    <w:p w:rsidR="006D7DA7" w:rsidRPr="00666AFB" w:rsidRDefault="006D7DA7" w:rsidP="007D2DB2">
      <w:pPr>
        <w:jc w:val="center"/>
        <w:rPr>
          <w:b/>
          <w:szCs w:val="24"/>
        </w:rPr>
      </w:pPr>
    </w:p>
    <w:p w:rsidR="00D31796" w:rsidRPr="00666AFB" w:rsidRDefault="00D31796" w:rsidP="00D31796">
      <w:pPr>
        <w:tabs>
          <w:tab w:val="left" w:pos="-720"/>
        </w:tabs>
        <w:suppressAutoHyphens/>
        <w:rPr>
          <w:spacing w:val="-3"/>
        </w:rPr>
      </w:pPr>
      <w:r w:rsidRPr="00666AFB">
        <w:rPr>
          <w:spacing w:val="-3"/>
        </w:rPr>
        <w:t xml:space="preserve">Pennsylvania Public Utility </w:t>
      </w:r>
      <w:proofErr w:type="gramStart"/>
      <w:r w:rsidRPr="00666AFB">
        <w:rPr>
          <w:spacing w:val="-3"/>
        </w:rPr>
        <w:t>Commission,</w:t>
      </w:r>
      <w:r w:rsidRPr="00666AFB">
        <w:rPr>
          <w:spacing w:val="-3"/>
        </w:rPr>
        <w:tab/>
        <w:t>:</w:t>
      </w:r>
      <w:proofErr w:type="gramEnd"/>
    </w:p>
    <w:p w:rsidR="00D31796" w:rsidRPr="00666AFB" w:rsidRDefault="00D31796" w:rsidP="00D31796">
      <w:pPr>
        <w:tabs>
          <w:tab w:val="left" w:pos="-720"/>
        </w:tabs>
        <w:suppressAutoHyphens/>
        <w:rPr>
          <w:spacing w:val="-3"/>
        </w:rPr>
      </w:pPr>
      <w:r w:rsidRPr="00666AFB">
        <w:rPr>
          <w:spacing w:val="-3"/>
        </w:rPr>
        <w:t>Bureau of Investigation and Enforcement</w:t>
      </w:r>
      <w:r w:rsidRPr="00666AFB">
        <w:rPr>
          <w:spacing w:val="-3"/>
        </w:rPr>
        <w:tab/>
        <w:t>:</w:t>
      </w:r>
    </w:p>
    <w:p w:rsidR="00D31796" w:rsidRPr="00666AFB" w:rsidRDefault="00D31796" w:rsidP="00D31796">
      <w:pPr>
        <w:tabs>
          <w:tab w:val="left" w:pos="-720"/>
        </w:tabs>
        <w:suppressAutoHyphens/>
        <w:rPr>
          <w:spacing w:val="-3"/>
        </w:rPr>
      </w:pPr>
      <w:r w:rsidRPr="00666AFB">
        <w:rPr>
          <w:spacing w:val="-3"/>
        </w:rPr>
        <w:tab/>
      </w:r>
      <w:r w:rsidRPr="00666AFB">
        <w:rPr>
          <w:spacing w:val="-3"/>
        </w:rPr>
        <w:tab/>
      </w:r>
      <w:r w:rsidRPr="00666AFB">
        <w:rPr>
          <w:spacing w:val="-3"/>
        </w:rPr>
        <w:tab/>
      </w:r>
      <w:r w:rsidRPr="00666AFB">
        <w:rPr>
          <w:spacing w:val="-3"/>
        </w:rPr>
        <w:tab/>
      </w:r>
      <w:r w:rsidRPr="00666AFB">
        <w:rPr>
          <w:spacing w:val="-3"/>
        </w:rPr>
        <w:tab/>
      </w:r>
      <w:r w:rsidRPr="00666AFB">
        <w:rPr>
          <w:spacing w:val="-3"/>
        </w:rPr>
        <w:tab/>
        <w:t>:</w:t>
      </w:r>
    </w:p>
    <w:p w:rsidR="00D31796" w:rsidRPr="00666AFB" w:rsidRDefault="00D31796" w:rsidP="00D31796">
      <w:pPr>
        <w:tabs>
          <w:tab w:val="left" w:pos="-720"/>
        </w:tabs>
        <w:suppressAutoHyphens/>
        <w:rPr>
          <w:spacing w:val="-3"/>
        </w:rPr>
      </w:pPr>
      <w:r w:rsidRPr="00666AFB">
        <w:rPr>
          <w:spacing w:val="-3"/>
        </w:rPr>
        <w:tab/>
      </w:r>
      <w:r w:rsidRPr="00666AFB">
        <w:rPr>
          <w:spacing w:val="-3"/>
        </w:rPr>
        <w:tab/>
      </w:r>
      <w:r w:rsidRPr="00666AFB">
        <w:rPr>
          <w:spacing w:val="-3"/>
        </w:rPr>
        <w:tab/>
        <w:t>v.</w:t>
      </w:r>
      <w:r w:rsidRPr="00666AFB">
        <w:rPr>
          <w:spacing w:val="-3"/>
        </w:rPr>
        <w:tab/>
      </w:r>
      <w:r w:rsidRPr="00666AFB">
        <w:rPr>
          <w:spacing w:val="-3"/>
        </w:rPr>
        <w:tab/>
      </w:r>
      <w:r w:rsidRPr="00666AFB">
        <w:rPr>
          <w:spacing w:val="-3"/>
        </w:rPr>
        <w:tab/>
        <w:t>:</w:t>
      </w:r>
      <w:r w:rsidRPr="00666AFB">
        <w:rPr>
          <w:spacing w:val="-3"/>
        </w:rPr>
        <w:tab/>
      </w:r>
      <w:r w:rsidRPr="00666AFB">
        <w:rPr>
          <w:spacing w:val="-3"/>
        </w:rPr>
        <w:tab/>
        <w:t>C-2014-2402746</w:t>
      </w:r>
    </w:p>
    <w:p w:rsidR="00D31796" w:rsidRPr="00666AFB" w:rsidRDefault="00D31796" w:rsidP="00D31796">
      <w:pPr>
        <w:tabs>
          <w:tab w:val="left" w:pos="-720"/>
        </w:tabs>
        <w:suppressAutoHyphens/>
        <w:rPr>
          <w:spacing w:val="-3"/>
        </w:rPr>
      </w:pPr>
      <w:r w:rsidRPr="00666AFB">
        <w:rPr>
          <w:spacing w:val="-3"/>
        </w:rPr>
        <w:tab/>
      </w:r>
      <w:r w:rsidRPr="00666AFB">
        <w:rPr>
          <w:spacing w:val="-3"/>
        </w:rPr>
        <w:tab/>
      </w:r>
      <w:r w:rsidRPr="00666AFB">
        <w:rPr>
          <w:spacing w:val="-3"/>
        </w:rPr>
        <w:tab/>
      </w:r>
      <w:r w:rsidRPr="00666AFB">
        <w:rPr>
          <w:spacing w:val="-3"/>
        </w:rPr>
        <w:tab/>
      </w:r>
      <w:r w:rsidRPr="00666AFB">
        <w:rPr>
          <w:spacing w:val="-3"/>
        </w:rPr>
        <w:tab/>
      </w:r>
      <w:r w:rsidRPr="00666AFB">
        <w:rPr>
          <w:spacing w:val="-3"/>
        </w:rPr>
        <w:tab/>
        <w:t>:</w:t>
      </w:r>
    </w:p>
    <w:p w:rsidR="00D31796" w:rsidRPr="00666AFB" w:rsidRDefault="00D31796" w:rsidP="00D31796">
      <w:pPr>
        <w:tabs>
          <w:tab w:val="left" w:pos="-720"/>
        </w:tabs>
        <w:suppressAutoHyphens/>
        <w:rPr>
          <w:spacing w:val="-3"/>
        </w:rPr>
      </w:pPr>
      <w:r w:rsidRPr="00666AFB">
        <w:rPr>
          <w:spacing w:val="-3"/>
        </w:rPr>
        <w:t>Snyder Brothers, Inc.</w:t>
      </w:r>
      <w:r w:rsidRPr="00666AFB">
        <w:rPr>
          <w:spacing w:val="-3"/>
        </w:rPr>
        <w:tab/>
      </w:r>
      <w:r w:rsidRPr="00666AFB">
        <w:rPr>
          <w:spacing w:val="-3"/>
        </w:rPr>
        <w:tab/>
      </w:r>
      <w:r w:rsidRPr="00666AFB">
        <w:rPr>
          <w:spacing w:val="-3"/>
        </w:rPr>
        <w:tab/>
      </w:r>
      <w:r w:rsidRPr="00666AFB">
        <w:rPr>
          <w:spacing w:val="-3"/>
        </w:rPr>
        <w:tab/>
        <w:t>:</w:t>
      </w:r>
    </w:p>
    <w:p w:rsidR="00D31796" w:rsidRPr="00666AFB" w:rsidRDefault="00D31796" w:rsidP="00D31796">
      <w:pPr>
        <w:tabs>
          <w:tab w:val="left" w:pos="-720"/>
        </w:tabs>
        <w:suppressAutoHyphens/>
        <w:rPr>
          <w:spacing w:val="-3"/>
        </w:rPr>
      </w:pPr>
    </w:p>
    <w:p w:rsidR="00524C0E" w:rsidRPr="00666AFB" w:rsidRDefault="00524C0E" w:rsidP="00AD7CFA">
      <w:pPr>
        <w:tabs>
          <w:tab w:val="center" w:pos="4680"/>
        </w:tabs>
        <w:suppressAutoHyphens/>
        <w:jc w:val="center"/>
        <w:rPr>
          <w:b/>
          <w:bCs/>
          <w:spacing w:val="-3"/>
          <w:szCs w:val="24"/>
          <w:u w:val="single"/>
        </w:rPr>
      </w:pPr>
    </w:p>
    <w:p w:rsidR="00524C0E" w:rsidRPr="00666AFB" w:rsidRDefault="00524C0E" w:rsidP="00AD7CFA">
      <w:pPr>
        <w:tabs>
          <w:tab w:val="center" w:pos="4680"/>
        </w:tabs>
        <w:suppressAutoHyphens/>
        <w:jc w:val="center"/>
        <w:rPr>
          <w:b/>
          <w:bCs/>
          <w:spacing w:val="-3"/>
          <w:szCs w:val="24"/>
          <w:u w:val="single"/>
        </w:rPr>
      </w:pPr>
    </w:p>
    <w:p w:rsidR="00AD7CFA" w:rsidRPr="00666AFB" w:rsidRDefault="00BA2A5C" w:rsidP="00AD7CFA">
      <w:pPr>
        <w:tabs>
          <w:tab w:val="center" w:pos="4680"/>
        </w:tabs>
        <w:suppressAutoHyphens/>
        <w:jc w:val="center"/>
        <w:rPr>
          <w:b/>
          <w:bCs/>
          <w:spacing w:val="-3"/>
          <w:szCs w:val="24"/>
          <w:u w:val="single"/>
        </w:rPr>
      </w:pPr>
      <w:r w:rsidRPr="00666AFB">
        <w:rPr>
          <w:b/>
          <w:bCs/>
          <w:spacing w:val="-3"/>
          <w:szCs w:val="24"/>
          <w:u w:val="single"/>
        </w:rPr>
        <w:t>ORDER DENYING M</w:t>
      </w:r>
      <w:r w:rsidR="00AD7CFA" w:rsidRPr="00666AFB">
        <w:rPr>
          <w:b/>
          <w:bCs/>
          <w:spacing w:val="-3"/>
          <w:szCs w:val="24"/>
          <w:u w:val="single"/>
        </w:rPr>
        <w:t xml:space="preserve">OTION </w:t>
      </w:r>
      <w:r w:rsidR="00A0470C" w:rsidRPr="00666AFB">
        <w:rPr>
          <w:b/>
          <w:bCs/>
          <w:spacing w:val="-3"/>
          <w:szCs w:val="24"/>
          <w:u w:val="single"/>
        </w:rPr>
        <w:t>FOR SUMMARY JUDGMENT</w:t>
      </w:r>
      <w:r w:rsidR="0074192A" w:rsidRPr="00666AFB">
        <w:rPr>
          <w:b/>
          <w:bCs/>
          <w:spacing w:val="-3"/>
          <w:szCs w:val="24"/>
          <w:u w:val="single"/>
        </w:rPr>
        <w:t xml:space="preserve"> </w:t>
      </w:r>
    </w:p>
    <w:p w:rsidR="00AD7CFA" w:rsidRPr="00666AFB" w:rsidRDefault="00AD7CFA" w:rsidP="00AD7CFA">
      <w:pPr>
        <w:tabs>
          <w:tab w:val="center" w:pos="4680"/>
        </w:tabs>
        <w:suppressAutoHyphens/>
        <w:jc w:val="center"/>
        <w:rPr>
          <w:b/>
          <w:bCs/>
          <w:spacing w:val="-3"/>
          <w:szCs w:val="24"/>
          <w:u w:val="single"/>
        </w:rPr>
      </w:pPr>
    </w:p>
    <w:p w:rsidR="00BA2A5C" w:rsidRPr="00666AFB" w:rsidRDefault="00BA2A5C" w:rsidP="00BA2A5C">
      <w:pPr>
        <w:spacing w:line="360" w:lineRule="auto"/>
      </w:pPr>
      <w:r w:rsidRPr="00666AFB">
        <w:tab/>
      </w:r>
      <w:r w:rsidRPr="00666AFB">
        <w:tab/>
      </w:r>
    </w:p>
    <w:p w:rsidR="00BA2A5C" w:rsidRPr="00666AFB" w:rsidRDefault="00BA2A5C" w:rsidP="00BA2A5C">
      <w:pPr>
        <w:spacing w:line="360" w:lineRule="auto"/>
        <w:ind w:firstLine="1440"/>
      </w:pPr>
      <w:r w:rsidRPr="00666AFB">
        <w:t xml:space="preserve">On January 17, 2014, the Commission’s Bureau of Investigation and Enforcement (I&amp;E) filed a complaint with the Pennsylvania Public Utility Commission (Commission) against Snyder Brothers, Inc. (Snyder).  The complaint alleges that Snyder violated Act 13 of 2012, the Unconventional Gas Well Impact Fee Act (Act 13).  Act 13 authorizes the Commission to collect, administer and distribute fees collected from unconventional gas well producers.  </w:t>
      </w:r>
    </w:p>
    <w:p w:rsidR="00BA2A5C" w:rsidRPr="00666AFB" w:rsidRDefault="00BA2A5C" w:rsidP="00BA2A5C">
      <w:pPr>
        <w:spacing w:line="360" w:lineRule="auto"/>
        <w:ind w:firstLine="1440"/>
      </w:pPr>
    </w:p>
    <w:p w:rsidR="00BA2A5C" w:rsidRPr="00666AFB" w:rsidRDefault="00BA2A5C" w:rsidP="00BA2A5C">
      <w:pPr>
        <w:spacing w:line="360" w:lineRule="auto"/>
        <w:ind w:firstLine="1440"/>
      </w:pPr>
      <w:r w:rsidRPr="00666AFB">
        <w:t xml:space="preserve">The I&amp;E complaint alleges that in calendar year 2011, Snyder failed to identify 24 of its unconventional vertical gas wells and pay impact fees and administrative charges on those wells.  The I&amp;E complaint further alleges that for calendar year 2012, Snyder failed to identify 21 of its unconventional vertical gas wells and pay impact fees and administrative charges on those wells.  </w:t>
      </w:r>
      <w:proofErr w:type="gramStart"/>
      <w:r w:rsidRPr="00666AFB">
        <w:t>The I</w:t>
      </w:r>
      <w:proofErr w:type="gramEnd"/>
      <w:r w:rsidRPr="00666AFB">
        <w:t>&amp;E complaint requests that the Commission order Snyder to pay the past due impact fees plus interest and penalties and administrative charges totaling $507,586.00 and a civil penalty of $50,000.00.</w:t>
      </w:r>
    </w:p>
    <w:p w:rsidR="00BA2A5C" w:rsidRPr="00666AFB" w:rsidRDefault="00BA2A5C" w:rsidP="00BA2A5C">
      <w:pPr>
        <w:spacing w:line="360" w:lineRule="auto"/>
        <w:ind w:firstLine="1440"/>
      </w:pPr>
    </w:p>
    <w:p w:rsidR="00BA2A5C" w:rsidRPr="00666AFB" w:rsidRDefault="00BA2A5C" w:rsidP="00BA2A5C">
      <w:pPr>
        <w:spacing w:line="360" w:lineRule="auto"/>
        <w:ind w:firstLine="1440"/>
      </w:pPr>
      <w:r w:rsidRPr="00666AFB">
        <w:t xml:space="preserve">On February 5, 2014, Snyder filed an answer with new matter to </w:t>
      </w:r>
      <w:proofErr w:type="gramStart"/>
      <w:r w:rsidRPr="00666AFB">
        <w:t>the I</w:t>
      </w:r>
      <w:proofErr w:type="gramEnd"/>
      <w:r w:rsidRPr="00666AFB">
        <w:t xml:space="preserve">&amp;E complaint.  The answer denies that Snyder failed to identify any unconventional vertical gas wells or to pay any impact fees or administrative charges for calendar years 2011 and 2012. </w:t>
      </w:r>
    </w:p>
    <w:p w:rsidR="00BA2A5C" w:rsidRPr="00666AFB" w:rsidRDefault="00BA2A5C" w:rsidP="00BA2A5C">
      <w:pPr>
        <w:spacing w:line="360" w:lineRule="auto"/>
        <w:ind w:firstLine="1440"/>
      </w:pPr>
    </w:p>
    <w:p w:rsidR="00BA2A5C" w:rsidRPr="00666AFB" w:rsidRDefault="00BA2A5C" w:rsidP="00BA2A5C">
      <w:pPr>
        <w:spacing w:line="360" w:lineRule="auto"/>
        <w:ind w:firstLine="1440"/>
      </w:pPr>
      <w:r w:rsidRPr="00666AFB">
        <w:t xml:space="preserve">The new matter asserts that Snyder submitted annual reports to the Commission for calendar years 2011 and 2012, as required by Act 13.  The new matter contends that Snyder accurately identified all of its unconventional vertical gas wells and correctly paid the impact </w:t>
      </w:r>
      <w:r w:rsidRPr="00666AFB">
        <w:lastRenderedPageBreak/>
        <w:t xml:space="preserve">fees and administrative charges on those wells, as required by Act 13.  The answer with new matter requests that the Commission dismiss </w:t>
      </w:r>
      <w:proofErr w:type="gramStart"/>
      <w:r w:rsidRPr="00666AFB">
        <w:t>I&amp;E’s</w:t>
      </w:r>
      <w:proofErr w:type="gramEnd"/>
      <w:r w:rsidRPr="00666AFB">
        <w:t xml:space="preserve"> complaint with prejudice.  </w:t>
      </w:r>
    </w:p>
    <w:p w:rsidR="00BA2A5C" w:rsidRPr="00666AFB" w:rsidRDefault="00BA2A5C" w:rsidP="00BA2A5C">
      <w:pPr>
        <w:spacing w:line="360" w:lineRule="auto"/>
        <w:ind w:firstLine="1440"/>
      </w:pPr>
    </w:p>
    <w:p w:rsidR="00BA2A5C" w:rsidRPr="00666AFB" w:rsidRDefault="00BA2A5C" w:rsidP="00BA2A5C">
      <w:pPr>
        <w:spacing w:line="360" w:lineRule="auto"/>
        <w:ind w:firstLine="1440"/>
      </w:pPr>
      <w:r w:rsidRPr="00666AFB">
        <w:t xml:space="preserve">On February 11, 2014, the Pennsylvania Independent Oil &amp; Gas Association (PIOGA) filed a petition to intervene in this proceeding, pursuant to 52 </w:t>
      </w:r>
      <w:proofErr w:type="spellStart"/>
      <w:r w:rsidRPr="00666AFB">
        <w:t>Pa.Code</w:t>
      </w:r>
      <w:proofErr w:type="spellEnd"/>
      <w:r w:rsidRPr="00666AFB">
        <w:t xml:space="preserve"> §§ 5.72-5.75.  PIOGA’s petition allege</w:t>
      </w:r>
      <w:r w:rsidR="00291EC9">
        <w:t>d</w:t>
      </w:r>
      <w:r w:rsidRPr="00666AFB">
        <w:t xml:space="preserve"> that it represents over 900 members interested in natural gas development, including oil and natural gas producers, drilling contractors and service companies, as well as professional firms, individuals and royalty owners.  According to the petition, some of PIOGA’s members are involved in producing natural gas and are subject to the fees imposed by Act 13.</w:t>
      </w:r>
    </w:p>
    <w:p w:rsidR="00BA2A5C" w:rsidRPr="00666AFB" w:rsidRDefault="00BA2A5C" w:rsidP="00BA2A5C">
      <w:pPr>
        <w:spacing w:line="360" w:lineRule="auto"/>
        <w:ind w:firstLine="1440"/>
      </w:pPr>
    </w:p>
    <w:p w:rsidR="00BA2A5C" w:rsidRPr="00666AFB" w:rsidRDefault="00BA2A5C" w:rsidP="00BA2A5C">
      <w:pPr>
        <w:spacing w:line="360" w:lineRule="auto"/>
        <w:ind w:firstLine="1440"/>
      </w:pPr>
      <w:r w:rsidRPr="00666AFB">
        <w:t>The petition assert</w:t>
      </w:r>
      <w:r w:rsidR="00291EC9">
        <w:t>ed</w:t>
      </w:r>
      <w:r w:rsidRPr="00666AFB">
        <w:t xml:space="preserve"> that several of PIOGA’s members filed objections or appeals with the Commission alleging that they had erroneously paid impact fees for calendar year 2011 on wells that were not unconventional vertical gas wells.  According to the petition, the Commission closed the appeals administratively without a formal Commission determination of the issues raised in the objections or appeals because Act 13 contains no provision for refunding impact fees.</w:t>
      </w:r>
    </w:p>
    <w:p w:rsidR="00BA2A5C" w:rsidRPr="00666AFB" w:rsidRDefault="00BA2A5C" w:rsidP="00BA2A5C">
      <w:pPr>
        <w:spacing w:line="360" w:lineRule="auto"/>
        <w:ind w:firstLine="1440"/>
      </w:pPr>
    </w:p>
    <w:p w:rsidR="00BA2A5C" w:rsidRPr="00666AFB" w:rsidRDefault="00BA2A5C" w:rsidP="00BA2A5C">
      <w:pPr>
        <w:spacing w:line="360" w:lineRule="auto"/>
        <w:ind w:firstLine="1440"/>
      </w:pPr>
      <w:r w:rsidRPr="00666AFB">
        <w:t>The petition contend</w:t>
      </w:r>
      <w:r w:rsidR="00291EC9">
        <w:t>ed</w:t>
      </w:r>
      <w:r w:rsidRPr="00666AFB">
        <w:t xml:space="preserve"> that the Commission’s resolution of the issues raised by I&amp;E’s complaint will directly affect PIOGA and its producer members subject to the Act 13 impact fees.  The petition argue</w:t>
      </w:r>
      <w:r w:rsidR="00DF534E">
        <w:t>d</w:t>
      </w:r>
      <w:r w:rsidRPr="00666AFB">
        <w:t xml:space="preserve"> that PIOGA and its producer members subject to the Act 13 impact fees w</w:t>
      </w:r>
      <w:r w:rsidR="00DF534E">
        <w:t>ould</w:t>
      </w:r>
      <w:r w:rsidRPr="00666AFB">
        <w:t xml:space="preserve"> be bound by the Commission’s resolution of the issues raised in this proceeding.  According to the petition, the interests of PIOGA and its members </w:t>
      </w:r>
      <w:r w:rsidR="00DF534E">
        <w:t>were</w:t>
      </w:r>
      <w:r w:rsidRPr="00666AFB">
        <w:t xml:space="preserve"> not adequately represented by Snyder or any other party that may seek to intervene in this proceeding.</w:t>
      </w:r>
    </w:p>
    <w:p w:rsidR="00BA2A5C" w:rsidRPr="00666AFB" w:rsidRDefault="00BA2A5C" w:rsidP="00BA2A5C">
      <w:pPr>
        <w:spacing w:line="360" w:lineRule="auto"/>
        <w:ind w:firstLine="1440"/>
      </w:pPr>
    </w:p>
    <w:p w:rsidR="00BA2A5C" w:rsidRPr="00666AFB" w:rsidRDefault="00BA2A5C" w:rsidP="00BA2A5C">
      <w:pPr>
        <w:spacing w:line="360" w:lineRule="auto"/>
        <w:ind w:firstLine="1440"/>
      </w:pPr>
      <w:r w:rsidRPr="00666AFB">
        <w:t>The petition state</w:t>
      </w:r>
      <w:r w:rsidR="00291EC9">
        <w:t>d</w:t>
      </w:r>
      <w:r w:rsidRPr="00666AFB">
        <w:t xml:space="preserve"> that PIOGA’s intervention in this proceeding </w:t>
      </w:r>
      <w:r w:rsidR="00291EC9">
        <w:t>was</w:t>
      </w:r>
      <w:r w:rsidRPr="00666AFB">
        <w:t xml:space="preserve"> in the public interest because PIOGA and its members participated in the Commission proceedings implementing Act 13 and this experience would enable PIOGA to contribute to the full development of the record in t</w:t>
      </w:r>
      <w:r w:rsidR="00291EC9">
        <w:t>his proceeding.  PIOGA indicated</w:t>
      </w:r>
      <w:r w:rsidRPr="00666AFB">
        <w:t xml:space="preserve"> that it disagree</w:t>
      </w:r>
      <w:r w:rsidR="00DF534E">
        <w:t>d</w:t>
      </w:r>
      <w:r w:rsidRPr="00666AFB">
        <w:t xml:space="preserve"> with </w:t>
      </w:r>
      <w:proofErr w:type="gramStart"/>
      <w:r w:rsidRPr="00666AFB">
        <w:t>I&amp;E’s</w:t>
      </w:r>
      <w:proofErr w:type="gramEnd"/>
      <w:r w:rsidRPr="00666AFB">
        <w:t xml:space="preserve"> </w:t>
      </w:r>
      <w:r w:rsidRPr="00666AFB">
        <w:lastRenderedPageBreak/>
        <w:t>interpretation of the provisions of Act 13.  PIOGA request</w:t>
      </w:r>
      <w:r w:rsidR="00291EC9">
        <w:t>ed</w:t>
      </w:r>
      <w:r w:rsidRPr="00666AFB">
        <w:t xml:space="preserve"> that it be permitted to intervene in this proceeding. </w:t>
      </w:r>
    </w:p>
    <w:p w:rsidR="00BA2A5C" w:rsidRPr="00666AFB" w:rsidRDefault="00BA2A5C" w:rsidP="00BA2A5C">
      <w:pPr>
        <w:spacing w:line="360" w:lineRule="auto"/>
        <w:ind w:firstLine="1440"/>
      </w:pPr>
    </w:p>
    <w:p w:rsidR="00BA2A5C" w:rsidRPr="00666AFB" w:rsidRDefault="00BA2A5C" w:rsidP="00BA2A5C">
      <w:pPr>
        <w:spacing w:line="360" w:lineRule="auto"/>
        <w:ind w:firstLine="1440"/>
      </w:pPr>
      <w:r w:rsidRPr="00666AFB">
        <w:t>On February 27, 2014, I&amp;E filed a reply to Snyder’s new matter.  The reply to new matter denie</w:t>
      </w:r>
      <w:r w:rsidR="00DF534E">
        <w:t>d</w:t>
      </w:r>
      <w:r w:rsidRPr="00666AFB">
        <w:t xml:space="preserve"> that Snyder accurately identified all of its unconventional vertical gas wells and correctly paid the impact fees and administrative fees on those wells as required by Act 13.  The reply to new matter request</w:t>
      </w:r>
      <w:r w:rsidR="00DF534E">
        <w:t>ed</w:t>
      </w:r>
      <w:r w:rsidRPr="00666AFB">
        <w:t xml:space="preserve"> that the Commission sustain </w:t>
      </w:r>
      <w:proofErr w:type="gramStart"/>
      <w:r w:rsidRPr="00666AFB">
        <w:t>I&amp;E’s</w:t>
      </w:r>
      <w:proofErr w:type="gramEnd"/>
      <w:r w:rsidRPr="00666AFB">
        <w:t xml:space="preserve"> complaint and find Snyder in violation of Act 13.</w:t>
      </w:r>
    </w:p>
    <w:p w:rsidR="00BA2A5C" w:rsidRPr="00666AFB" w:rsidRDefault="00BA2A5C" w:rsidP="00BA2A5C">
      <w:pPr>
        <w:spacing w:line="360" w:lineRule="auto"/>
        <w:ind w:firstLine="1440"/>
      </w:pPr>
    </w:p>
    <w:p w:rsidR="00BA2A5C" w:rsidRPr="00666AFB" w:rsidRDefault="00BA2A5C" w:rsidP="00BA2A5C">
      <w:pPr>
        <w:spacing w:line="360" w:lineRule="auto"/>
        <w:ind w:firstLine="1440"/>
      </w:pPr>
      <w:r w:rsidRPr="00666AFB">
        <w:t>By notice dated March 20, 2014, the Commission scheduled a telephonic prehearing conference for this matter on April 22, 2014 and assigned the case to me.  I issued a prehearing conference order, dated March 20, 2014, setting forth the procedural matters to be addressed at the prehearing conference.</w:t>
      </w:r>
    </w:p>
    <w:p w:rsidR="00BA2A5C" w:rsidRPr="00666AFB" w:rsidRDefault="00BA2A5C" w:rsidP="00BA2A5C">
      <w:pPr>
        <w:spacing w:line="360" w:lineRule="auto"/>
        <w:ind w:firstLine="1440"/>
      </w:pPr>
    </w:p>
    <w:p w:rsidR="00BA2A5C" w:rsidRPr="00666AFB" w:rsidRDefault="00BA2A5C" w:rsidP="00BA2A5C">
      <w:pPr>
        <w:spacing w:line="360" w:lineRule="auto"/>
        <w:ind w:firstLine="1440"/>
      </w:pPr>
      <w:r w:rsidRPr="00666AFB">
        <w:t xml:space="preserve">By order dated March 24, 2014, I granted PIOGA’s petition to intervene.  </w:t>
      </w:r>
    </w:p>
    <w:p w:rsidR="00BA2A5C" w:rsidRPr="00666AFB" w:rsidRDefault="00BA2A5C" w:rsidP="00BA2A5C">
      <w:pPr>
        <w:spacing w:line="360" w:lineRule="auto"/>
        <w:ind w:firstLine="1440"/>
      </w:pPr>
    </w:p>
    <w:p w:rsidR="00BA2A5C" w:rsidRPr="00666AFB" w:rsidRDefault="00BA2A5C" w:rsidP="00BA2A5C">
      <w:pPr>
        <w:spacing w:line="360" w:lineRule="auto"/>
        <w:ind w:firstLine="1440"/>
      </w:pPr>
      <w:r w:rsidRPr="00666AFB">
        <w:t>On April 7, 2014, Snyder filed a petition requesting that the Commission allow it to escrow the amounts in dispute owed for 2013 in an interest bearing account with a federally insured bank, pending a Commission decision in this matter.  In the petition, Snyder claim</w:t>
      </w:r>
      <w:r w:rsidR="00291EC9">
        <w:t>ed</w:t>
      </w:r>
      <w:r w:rsidRPr="00666AFB">
        <w:t xml:space="preserve"> that permitting it to escrow the amount in dispute </w:t>
      </w:r>
      <w:r w:rsidR="00291EC9">
        <w:t>would</w:t>
      </w:r>
      <w:r w:rsidRPr="00666AFB">
        <w:t xml:space="preserve"> create a fund from which the Commission </w:t>
      </w:r>
      <w:r w:rsidR="00291EC9">
        <w:t>could</w:t>
      </w:r>
      <w:r w:rsidRPr="00666AFB">
        <w:t xml:space="preserve"> obtain payment for whatever amount the Commission determin</w:t>
      </w:r>
      <w:r w:rsidR="00291EC9">
        <w:t>ed</w:t>
      </w:r>
      <w:r w:rsidRPr="00666AFB">
        <w:t xml:space="preserve"> that Snyder owe</w:t>
      </w:r>
      <w:r w:rsidR="00291EC9">
        <w:t>d</w:t>
      </w:r>
      <w:r w:rsidRPr="00666AFB">
        <w:t>.</w:t>
      </w:r>
    </w:p>
    <w:p w:rsidR="00BA2A5C" w:rsidRPr="00666AFB" w:rsidRDefault="00BA2A5C" w:rsidP="00BA2A5C">
      <w:pPr>
        <w:spacing w:line="360" w:lineRule="auto"/>
        <w:ind w:firstLine="1440"/>
      </w:pPr>
    </w:p>
    <w:p w:rsidR="00BA2A5C" w:rsidRPr="00666AFB" w:rsidRDefault="00BA2A5C" w:rsidP="00BA2A5C">
      <w:pPr>
        <w:spacing w:line="360" w:lineRule="auto"/>
        <w:ind w:firstLine="1440"/>
      </w:pPr>
      <w:r w:rsidRPr="00666AFB">
        <w:t>The petition state</w:t>
      </w:r>
      <w:r w:rsidR="00291EC9">
        <w:t>d</w:t>
      </w:r>
      <w:r w:rsidRPr="00666AFB">
        <w:t xml:space="preserve"> that there is no provision in Act 13, any regulation issued pursuant to Act 13 or any other mechanism by which a producer can escrow a disputed amount while exercising its right to seek review of the amounts claimed due by the Commission.  The petition argue</w:t>
      </w:r>
      <w:r w:rsidR="00291EC9">
        <w:t>d</w:t>
      </w:r>
      <w:r w:rsidRPr="00666AFB">
        <w:t xml:space="preserve"> that if the producer d</w:t>
      </w:r>
      <w:r w:rsidR="00291EC9">
        <w:t>id</w:t>
      </w:r>
      <w:r w:rsidRPr="00666AFB">
        <w:t xml:space="preserve"> not pay the entire amount owed</w:t>
      </w:r>
      <w:r w:rsidR="00291EC9">
        <w:t>,</w:t>
      </w:r>
      <w:r w:rsidRPr="00666AFB">
        <w:t xml:space="preserve"> whether disputed or not, the producer </w:t>
      </w:r>
      <w:r w:rsidR="00291EC9">
        <w:t>would be</w:t>
      </w:r>
      <w:r w:rsidRPr="00666AFB">
        <w:t xml:space="preserve"> subject to an enforcement action for impact and administrative fees as well as interest and penalt</w:t>
      </w:r>
      <w:r w:rsidR="00291EC9">
        <w:t>ies</w:t>
      </w:r>
      <w:r w:rsidRPr="00666AFB">
        <w:t xml:space="preserve">, pursuant to 58 </w:t>
      </w:r>
      <w:proofErr w:type="spellStart"/>
      <w:r w:rsidRPr="00666AFB">
        <w:t>Pa.C.S</w:t>
      </w:r>
      <w:proofErr w:type="spellEnd"/>
      <w:r w:rsidRPr="00666AFB">
        <w:t>. § 2308.  The petition contend</w:t>
      </w:r>
      <w:r w:rsidR="00291EC9">
        <w:t>ed</w:t>
      </w:r>
      <w:r w:rsidRPr="00666AFB">
        <w:t xml:space="preserve"> that the Commission, in </w:t>
      </w:r>
      <w:r w:rsidRPr="00666AFB">
        <w:rPr>
          <w:u w:val="single"/>
        </w:rPr>
        <w:t>Act 13 of 2012-Implementation of Unconventional Gas Well Impact Fee Act</w:t>
      </w:r>
      <w:r w:rsidRPr="00666AFB">
        <w:t>, Docket No. M-2012-2288561, (Clarification Order entered December 20, 2012) (</w:t>
      </w:r>
      <w:r w:rsidRPr="00666AFB">
        <w:rPr>
          <w:u w:val="single"/>
        </w:rPr>
        <w:t xml:space="preserve">Clarification </w:t>
      </w:r>
      <w:r w:rsidRPr="00666AFB">
        <w:rPr>
          <w:u w:val="single"/>
        </w:rPr>
        <w:lastRenderedPageBreak/>
        <w:t>Order</w:t>
      </w:r>
      <w:r w:rsidRPr="00666AFB">
        <w:t>) stated that Act 13 d</w:t>
      </w:r>
      <w:r w:rsidR="00291EC9">
        <w:t>id</w:t>
      </w:r>
      <w:r w:rsidRPr="00666AFB">
        <w:t xml:space="preserve"> not provide for a refund of an overpayment of an impact or administrative fee.  </w:t>
      </w:r>
    </w:p>
    <w:p w:rsidR="00BA2A5C" w:rsidRPr="00666AFB" w:rsidRDefault="00BA2A5C" w:rsidP="00BA2A5C">
      <w:pPr>
        <w:spacing w:line="360" w:lineRule="auto"/>
        <w:ind w:firstLine="1440"/>
      </w:pPr>
    </w:p>
    <w:p w:rsidR="00BA2A5C" w:rsidRPr="00666AFB" w:rsidRDefault="00BA2A5C" w:rsidP="00BA2A5C">
      <w:pPr>
        <w:spacing w:line="360" w:lineRule="auto"/>
        <w:ind w:firstLine="1440"/>
      </w:pPr>
      <w:r w:rsidRPr="00666AFB">
        <w:t>Snyder’s petition argue</w:t>
      </w:r>
      <w:r w:rsidR="00291EC9">
        <w:t>d</w:t>
      </w:r>
      <w:r w:rsidRPr="00666AFB">
        <w:t xml:space="preserve"> that a producer must chose to either withhold payments of any disputed amount and face an enforcement action or remit the disputed amount with no expectation of receiving any amount determined not to be owed.  Snyder argue</w:t>
      </w:r>
      <w:r w:rsidR="00291EC9">
        <w:t>d</w:t>
      </w:r>
      <w:r w:rsidRPr="00666AFB">
        <w:t xml:space="preserve"> that this circumstance constitute</w:t>
      </w:r>
      <w:r w:rsidR="00291EC9">
        <w:t>d</w:t>
      </w:r>
      <w:r w:rsidRPr="00666AFB">
        <w:t xml:space="preserve"> an improper condition on the right to appeal government actions guaranteed by Article 5, Section 9 of the Pennsylvania Constitution.  The petition </w:t>
      </w:r>
      <w:r w:rsidR="00291EC9">
        <w:t xml:space="preserve">also </w:t>
      </w:r>
      <w:r w:rsidRPr="00666AFB">
        <w:t>assert</w:t>
      </w:r>
      <w:r w:rsidR="00291EC9">
        <w:t>ed</w:t>
      </w:r>
      <w:r w:rsidRPr="00666AFB">
        <w:t xml:space="preserve"> that this circumstance constitute</w:t>
      </w:r>
      <w:r w:rsidR="00291EC9">
        <w:t>d</w:t>
      </w:r>
      <w:r w:rsidRPr="00666AFB">
        <w:t xml:space="preserve"> an improper taking, and constitute</w:t>
      </w:r>
      <w:r w:rsidR="00291EC9">
        <w:t>d</w:t>
      </w:r>
      <w:r w:rsidRPr="00666AFB">
        <w:t xml:space="preserve"> a denial of Snyder’s substantive and procedural due process rights, in violation of the Pennsylvania Constitution.  The petition request</w:t>
      </w:r>
      <w:r w:rsidR="00291EC9">
        <w:t>ed</w:t>
      </w:r>
      <w:r w:rsidRPr="00666AFB">
        <w:t xml:space="preserve"> that Snyder be permitted to escrow the disputed amounts for 2013, pending further Commission order. </w:t>
      </w:r>
    </w:p>
    <w:p w:rsidR="00BA2A5C" w:rsidRPr="00666AFB" w:rsidRDefault="00BA2A5C" w:rsidP="00BA2A5C">
      <w:pPr>
        <w:spacing w:line="360" w:lineRule="auto"/>
        <w:ind w:firstLine="1440"/>
      </w:pPr>
    </w:p>
    <w:p w:rsidR="00BA2A5C" w:rsidRPr="00666AFB" w:rsidRDefault="00BA2A5C" w:rsidP="00BA2A5C">
      <w:pPr>
        <w:spacing w:line="360" w:lineRule="auto"/>
        <w:ind w:firstLine="1440"/>
      </w:pPr>
      <w:r w:rsidRPr="00666AFB">
        <w:t>On April 18, 2014, Snyder filed a motion to compel discovery</w:t>
      </w:r>
      <w:r w:rsidR="00DF534E">
        <w:t>,</w:t>
      </w:r>
      <w:r w:rsidRPr="00666AFB">
        <w:t xml:space="preserve"> pursuant to 52 </w:t>
      </w:r>
      <w:proofErr w:type="spellStart"/>
      <w:r w:rsidRPr="00666AFB">
        <w:t>Pa.Code</w:t>
      </w:r>
      <w:proofErr w:type="spellEnd"/>
      <w:r w:rsidRPr="00666AFB">
        <w:t xml:space="preserve"> §§ 5.342 and 5.349.  The motion request</w:t>
      </w:r>
      <w:r w:rsidR="00291EC9">
        <w:t>ed</w:t>
      </w:r>
      <w:r w:rsidRPr="00666AFB">
        <w:t xml:space="preserve"> that the presiding officer issue an order compelling </w:t>
      </w:r>
      <w:proofErr w:type="gramStart"/>
      <w:r w:rsidRPr="00666AFB">
        <w:t>I&amp;E</w:t>
      </w:r>
      <w:proofErr w:type="gramEnd"/>
      <w:r w:rsidRPr="00666AFB">
        <w:t xml:space="preserve"> to provide responses to Snyder’s interrogatories and requests for production of documents.  On April 22, 2014, I&amp;E filed an answer to the motion to compel.  </w:t>
      </w:r>
    </w:p>
    <w:p w:rsidR="00BA2A5C" w:rsidRPr="00666AFB" w:rsidRDefault="00BA2A5C" w:rsidP="00BA2A5C">
      <w:pPr>
        <w:spacing w:line="360" w:lineRule="auto"/>
        <w:ind w:firstLine="1440"/>
      </w:pPr>
    </w:p>
    <w:p w:rsidR="00BA2A5C" w:rsidRPr="00666AFB" w:rsidRDefault="00BA2A5C" w:rsidP="00BA2A5C">
      <w:pPr>
        <w:spacing w:line="360" w:lineRule="auto"/>
        <w:ind w:firstLine="1440"/>
      </w:pPr>
      <w:r w:rsidRPr="00666AFB">
        <w:t>On April 22, 2104, I&amp;E filed an answer to Snyder’s petition for leave to escrow.  I&amp;E admit</w:t>
      </w:r>
      <w:r w:rsidR="00291EC9">
        <w:t>ted</w:t>
      </w:r>
      <w:r w:rsidRPr="00666AFB">
        <w:t xml:space="preserve"> there </w:t>
      </w:r>
      <w:r w:rsidR="00291EC9">
        <w:t>was</w:t>
      </w:r>
      <w:r w:rsidRPr="00666AFB">
        <w:t xml:space="preserve"> no provision in Act 13 or any regulation issued pursuant to Act 13 by which a producer c</w:t>
      </w:r>
      <w:r w:rsidR="00291EC9">
        <w:t>ould</w:t>
      </w:r>
      <w:r w:rsidRPr="00666AFB">
        <w:t xml:space="preserve"> escrow a disputed amount while exercising its right to seek review of the amounts claimed due by the Commission. </w:t>
      </w:r>
      <w:r w:rsidR="00291EC9">
        <w:t xml:space="preserve"> </w:t>
      </w:r>
      <w:r w:rsidRPr="00666AFB">
        <w:t>I&amp;E acknowledge</w:t>
      </w:r>
      <w:r w:rsidR="00291EC9">
        <w:t>d</w:t>
      </w:r>
      <w:r w:rsidRPr="00666AFB">
        <w:t xml:space="preserve"> that if a producer d</w:t>
      </w:r>
      <w:r w:rsidR="00291EC9">
        <w:t>id</w:t>
      </w:r>
      <w:r w:rsidRPr="00666AFB">
        <w:t xml:space="preserve"> not pay the entire amount of the impact fee owed, the producer </w:t>
      </w:r>
      <w:r w:rsidR="00291EC9">
        <w:t>would be</w:t>
      </w:r>
      <w:r w:rsidRPr="00666AFB">
        <w:t xml:space="preserve"> subject to an enforcement action for impact and administrative fees as well as interest and penalties.  I&amp;E admit</w:t>
      </w:r>
      <w:r w:rsidR="00291EC9">
        <w:t>ted</w:t>
      </w:r>
      <w:r w:rsidRPr="00666AFB">
        <w:t xml:space="preserve"> that Act 13 d</w:t>
      </w:r>
      <w:r w:rsidR="00291EC9">
        <w:t>id</w:t>
      </w:r>
      <w:r w:rsidRPr="00666AFB">
        <w:t xml:space="preserve"> not provide for a refund of an overpayment of an impact or administrative fee.  However, I&amp;E assert</w:t>
      </w:r>
      <w:r w:rsidR="00291EC9">
        <w:t>ed</w:t>
      </w:r>
      <w:r w:rsidRPr="00666AFB">
        <w:t xml:space="preserve"> that on several occasions, overpayments ha</w:t>
      </w:r>
      <w:r w:rsidR="00291EC9">
        <w:t>d</w:t>
      </w:r>
      <w:r w:rsidRPr="00666AFB">
        <w:t xml:space="preserve"> been refunded to producers when money from the impact fees had not yet been distributed to municipalities.  I&amp;E request</w:t>
      </w:r>
      <w:r w:rsidR="00291EC9">
        <w:t>ed</w:t>
      </w:r>
      <w:r w:rsidRPr="00666AFB">
        <w:t xml:space="preserve"> that the Commission deny Snyder’s petition.</w:t>
      </w:r>
    </w:p>
    <w:p w:rsidR="00BA2A5C" w:rsidRPr="00666AFB" w:rsidRDefault="00BA2A5C" w:rsidP="00BA2A5C">
      <w:pPr>
        <w:spacing w:line="360" w:lineRule="auto"/>
        <w:ind w:firstLine="1440"/>
      </w:pPr>
    </w:p>
    <w:p w:rsidR="00BA2A5C" w:rsidRPr="00666AFB" w:rsidRDefault="00BA2A5C" w:rsidP="00BA2A5C">
      <w:pPr>
        <w:spacing w:line="360" w:lineRule="auto"/>
        <w:ind w:firstLine="1440"/>
      </w:pPr>
      <w:r w:rsidRPr="00666AFB">
        <w:t xml:space="preserve">I conducted a telephonic prehearing conference in this case as scheduled on April 22, 2014.  Participating </w:t>
      </w:r>
      <w:proofErr w:type="gramStart"/>
      <w:r w:rsidRPr="00666AFB">
        <w:t>were</w:t>
      </w:r>
      <w:proofErr w:type="gramEnd"/>
      <w:r w:rsidRPr="00666AFB">
        <w:t xml:space="preserve"> counsel for I&amp;E, Snyder and PIOGA. As a result of the prehearing </w:t>
      </w:r>
      <w:r w:rsidRPr="00666AFB">
        <w:lastRenderedPageBreak/>
        <w:t>conference, I issued Prehearing Order #2 on April 23, 2014.  Prehearing Order #2 established a litigation schedule and modified the Commission’s normal discovery timelines.</w:t>
      </w:r>
    </w:p>
    <w:p w:rsidR="00BA2A5C" w:rsidRPr="00666AFB" w:rsidRDefault="00BA2A5C" w:rsidP="00BA2A5C">
      <w:pPr>
        <w:spacing w:line="360" w:lineRule="auto"/>
        <w:ind w:firstLine="1440"/>
      </w:pPr>
    </w:p>
    <w:p w:rsidR="00BA2A5C" w:rsidRPr="00666AFB" w:rsidRDefault="00BA2A5C" w:rsidP="00BA2A5C">
      <w:pPr>
        <w:spacing w:line="360" w:lineRule="auto"/>
        <w:ind w:firstLine="1440"/>
      </w:pPr>
      <w:r w:rsidRPr="00666AFB">
        <w:t xml:space="preserve">By notice dated April 23, 2014, the Commission scheduled hearings on this matter for September 9 and 10, 2014, in Hearing Room 4, Commonwealth Keystone Building, </w:t>
      </w:r>
      <w:proofErr w:type="gramStart"/>
      <w:r w:rsidRPr="00666AFB">
        <w:t>Harrisburg</w:t>
      </w:r>
      <w:proofErr w:type="gramEnd"/>
      <w:r w:rsidRPr="00666AFB">
        <w:t>.</w:t>
      </w:r>
    </w:p>
    <w:p w:rsidR="00BA2A5C" w:rsidRPr="00666AFB" w:rsidRDefault="00BA2A5C" w:rsidP="00BA2A5C">
      <w:pPr>
        <w:spacing w:line="360" w:lineRule="auto"/>
        <w:ind w:firstLine="1440"/>
      </w:pPr>
    </w:p>
    <w:p w:rsidR="00BA2A5C" w:rsidRPr="00666AFB" w:rsidRDefault="00BA2A5C" w:rsidP="00BA2A5C">
      <w:pPr>
        <w:spacing w:line="360" w:lineRule="auto"/>
        <w:ind w:firstLine="1440"/>
      </w:pPr>
      <w:r w:rsidRPr="00666AFB">
        <w:t>On April 23, 2104, PIOGA filed an answer to Snyder’s petition for leave to escrow.  PIOGA reiterate</w:t>
      </w:r>
      <w:r w:rsidR="00291EC9">
        <w:t>d</w:t>
      </w:r>
      <w:r w:rsidRPr="00666AFB">
        <w:t xml:space="preserve"> and support</w:t>
      </w:r>
      <w:r w:rsidR="00291EC9">
        <w:t>ed</w:t>
      </w:r>
      <w:r w:rsidRPr="00666AFB">
        <w:t xml:space="preserve"> the arguments made in Snyder’s petition.</w:t>
      </w:r>
    </w:p>
    <w:p w:rsidR="00BA2A5C" w:rsidRPr="00666AFB" w:rsidRDefault="00BA2A5C" w:rsidP="00BA2A5C">
      <w:pPr>
        <w:spacing w:line="360" w:lineRule="auto"/>
        <w:ind w:firstLine="1440"/>
      </w:pPr>
      <w:r w:rsidRPr="00666AFB">
        <w:t xml:space="preserve">  </w:t>
      </w:r>
    </w:p>
    <w:p w:rsidR="00BA2A5C" w:rsidRPr="00666AFB" w:rsidRDefault="00BA2A5C" w:rsidP="00BA2A5C">
      <w:pPr>
        <w:spacing w:line="360" w:lineRule="auto"/>
        <w:ind w:firstLine="1440"/>
      </w:pPr>
      <w:r w:rsidRPr="00666AFB">
        <w:t>In addition, PIOGA point</w:t>
      </w:r>
      <w:r w:rsidR="00291EC9">
        <w:t>ed</w:t>
      </w:r>
      <w:r w:rsidRPr="00666AFB">
        <w:t xml:space="preserve"> out that the Commission, in its proposed rulemaking order at </w:t>
      </w:r>
      <w:r w:rsidRPr="00666AFB">
        <w:rPr>
          <w:u w:val="single"/>
        </w:rPr>
        <w:t>Act 13 of 2012-Implementation of Unconventional Gas Well Impact Fee Act; Chapter 23</w:t>
      </w:r>
      <w:r w:rsidRPr="00666AFB">
        <w:t>, Docket No. L-2013-2375551 (Order entered October 17, 2013) (</w:t>
      </w:r>
      <w:r w:rsidRPr="00666AFB">
        <w:rPr>
          <w:u w:val="single"/>
        </w:rPr>
        <w:t>Rulemaking Order</w:t>
      </w:r>
      <w:r w:rsidRPr="00666AFB">
        <w:t>), at page 18-19, provide</w:t>
      </w:r>
      <w:r w:rsidR="00291EC9">
        <w:t>d</w:t>
      </w:r>
      <w:r w:rsidRPr="00666AFB">
        <w:t xml:space="preserve"> that refunds may be made on a case by case basis if there </w:t>
      </w:r>
      <w:r w:rsidR="00291EC9">
        <w:t>was</w:t>
      </w:r>
      <w:r w:rsidRPr="00666AFB">
        <w:t xml:space="preserve"> a classification or computational error in calculating the impact fee but that the refund petition would have to be filed by May 1 following the April 1 impact fee payment due date.  Under the Commission’s proposal, after the expiration of the thirty day refund petition period, the Commission w</w:t>
      </w:r>
      <w:r w:rsidR="00291EC9">
        <w:t>ould</w:t>
      </w:r>
      <w:r w:rsidRPr="00666AFB">
        <w:t xml:space="preserve"> not issue any refunds of overpaid impact fees.  PIOGA contends that this refund mechanism would not address the situation faced by Snyder.  PIOGA request</w:t>
      </w:r>
      <w:r w:rsidR="00291EC9">
        <w:t>ed</w:t>
      </w:r>
      <w:r w:rsidRPr="00666AFB">
        <w:t xml:space="preserve"> that the Commission grant Snyder’s petition.</w:t>
      </w:r>
    </w:p>
    <w:p w:rsidR="00BA2A5C" w:rsidRPr="00666AFB" w:rsidRDefault="00BA2A5C" w:rsidP="00BA2A5C">
      <w:pPr>
        <w:spacing w:line="360" w:lineRule="auto"/>
        <w:ind w:firstLine="1440"/>
      </w:pPr>
    </w:p>
    <w:p w:rsidR="00BA2A5C" w:rsidRPr="00666AFB" w:rsidRDefault="00BA2A5C" w:rsidP="00BA2A5C">
      <w:pPr>
        <w:spacing w:line="360" w:lineRule="auto"/>
        <w:ind w:firstLine="1440"/>
      </w:pPr>
      <w:r w:rsidRPr="00666AFB">
        <w:t xml:space="preserve">By order dated April 24, 2014, I denied Snyder’s petition to escrow because the Commission lacked the authority to order Snyder to escrow funds.  </w:t>
      </w:r>
    </w:p>
    <w:p w:rsidR="00BA2A5C" w:rsidRPr="00666AFB" w:rsidRDefault="00BA2A5C" w:rsidP="00BA2A5C">
      <w:pPr>
        <w:spacing w:line="360" w:lineRule="auto"/>
        <w:ind w:firstLine="1440"/>
      </w:pPr>
    </w:p>
    <w:p w:rsidR="00BA2A5C" w:rsidRPr="00666AFB" w:rsidRDefault="00BA2A5C" w:rsidP="00BA2A5C">
      <w:pPr>
        <w:spacing w:line="360" w:lineRule="auto"/>
        <w:ind w:firstLine="1440"/>
        <w:rPr>
          <w:snapToGrid w:val="0"/>
        </w:rPr>
      </w:pPr>
      <w:r w:rsidRPr="00666AFB">
        <w:t xml:space="preserve">By order dated April 28, 2014, I denied Snyder’s motion to compel because Snyder’s interrogatories and requests for production sought </w:t>
      </w:r>
      <w:r w:rsidRPr="00666AFB">
        <w:rPr>
          <w:snapToGrid w:val="0"/>
        </w:rPr>
        <w:t xml:space="preserve">irrelevant information or information not reasonably calculated to lead to the discovery of admissible evidence.  In addition, I determined that the information sought by Snyder was outside the scope of discovery.  </w:t>
      </w:r>
    </w:p>
    <w:p w:rsidR="00BA2A5C" w:rsidRPr="00666AFB" w:rsidRDefault="00BA2A5C" w:rsidP="00BA2A5C">
      <w:pPr>
        <w:spacing w:line="360" w:lineRule="auto"/>
        <w:ind w:firstLine="1440"/>
        <w:rPr>
          <w:snapToGrid w:val="0"/>
        </w:rPr>
      </w:pPr>
    </w:p>
    <w:p w:rsidR="00BA2A5C" w:rsidRPr="00666AFB" w:rsidRDefault="00BA2A5C" w:rsidP="00BA2A5C">
      <w:pPr>
        <w:spacing w:line="360" w:lineRule="auto"/>
        <w:ind w:firstLine="1440"/>
        <w:rPr>
          <w:snapToGrid w:val="0"/>
        </w:rPr>
      </w:pPr>
      <w:r w:rsidRPr="00666AFB">
        <w:rPr>
          <w:snapToGrid w:val="0"/>
        </w:rPr>
        <w:t xml:space="preserve">On June 4, 2014, I&amp;E filed a petition for interlocutory review, pursuant to 52 </w:t>
      </w:r>
      <w:proofErr w:type="spellStart"/>
      <w:r w:rsidRPr="00666AFB">
        <w:rPr>
          <w:snapToGrid w:val="0"/>
        </w:rPr>
        <w:t>Pa.Code</w:t>
      </w:r>
      <w:proofErr w:type="spellEnd"/>
      <w:r w:rsidRPr="00666AFB">
        <w:rPr>
          <w:snapToGrid w:val="0"/>
        </w:rPr>
        <w:t xml:space="preserve"> § 5.302.  The petition allege</w:t>
      </w:r>
      <w:r w:rsidR="002D323A">
        <w:rPr>
          <w:snapToGrid w:val="0"/>
        </w:rPr>
        <w:t>d</w:t>
      </w:r>
      <w:r w:rsidRPr="00666AFB">
        <w:rPr>
          <w:snapToGrid w:val="0"/>
        </w:rPr>
        <w:t xml:space="preserve"> that there </w:t>
      </w:r>
      <w:r w:rsidR="002D323A">
        <w:rPr>
          <w:snapToGrid w:val="0"/>
        </w:rPr>
        <w:t>was</w:t>
      </w:r>
      <w:r w:rsidRPr="00666AFB">
        <w:rPr>
          <w:snapToGrid w:val="0"/>
        </w:rPr>
        <w:t xml:space="preserve"> a material question as to whether an </w:t>
      </w:r>
      <w:r w:rsidRPr="00666AFB">
        <w:rPr>
          <w:snapToGrid w:val="0"/>
        </w:rPr>
        <w:lastRenderedPageBreak/>
        <w:t xml:space="preserve">unconventional gas well that produces more than 90,000 </w:t>
      </w:r>
      <w:proofErr w:type="spellStart"/>
      <w:r w:rsidRPr="00666AFB">
        <w:rPr>
          <w:snapToGrid w:val="0"/>
        </w:rPr>
        <w:t>mcf</w:t>
      </w:r>
      <w:proofErr w:type="spellEnd"/>
      <w:r w:rsidRPr="00666AFB">
        <w:rPr>
          <w:snapToGrid w:val="0"/>
        </w:rPr>
        <w:t xml:space="preserve"> </w:t>
      </w:r>
      <w:r w:rsidR="00532444">
        <w:rPr>
          <w:snapToGrid w:val="0"/>
        </w:rPr>
        <w:t xml:space="preserve">of gas </w:t>
      </w:r>
      <w:r w:rsidRPr="00666AFB">
        <w:rPr>
          <w:snapToGrid w:val="0"/>
        </w:rPr>
        <w:t xml:space="preserve">average per day in any given month during a calendar year </w:t>
      </w:r>
      <w:r w:rsidR="002D323A">
        <w:rPr>
          <w:snapToGrid w:val="0"/>
        </w:rPr>
        <w:t>was</w:t>
      </w:r>
      <w:r w:rsidRPr="00666AFB">
        <w:rPr>
          <w:snapToGrid w:val="0"/>
        </w:rPr>
        <w:t xml:space="preserve"> properly subject to the impact fees and administrative charges applicable to that well pursuant to Act 13.  I&amp;E contend</w:t>
      </w:r>
      <w:r w:rsidR="002D323A">
        <w:rPr>
          <w:snapToGrid w:val="0"/>
        </w:rPr>
        <w:t>ed</w:t>
      </w:r>
      <w:r w:rsidRPr="00666AFB">
        <w:rPr>
          <w:snapToGrid w:val="0"/>
        </w:rPr>
        <w:t xml:space="preserve"> that resolution of the material question w</w:t>
      </w:r>
      <w:r w:rsidR="002D323A">
        <w:rPr>
          <w:snapToGrid w:val="0"/>
        </w:rPr>
        <w:t>ould</w:t>
      </w:r>
      <w:r w:rsidRPr="00666AFB">
        <w:rPr>
          <w:snapToGrid w:val="0"/>
        </w:rPr>
        <w:t xml:space="preserve"> expedite this proceeding.  I&amp;E request</w:t>
      </w:r>
      <w:r w:rsidR="002D323A">
        <w:rPr>
          <w:snapToGrid w:val="0"/>
        </w:rPr>
        <w:t>ed</w:t>
      </w:r>
      <w:r w:rsidRPr="00666AFB">
        <w:rPr>
          <w:snapToGrid w:val="0"/>
        </w:rPr>
        <w:t xml:space="preserve"> that the Commission grant its petition for interlocutory review.   </w:t>
      </w:r>
    </w:p>
    <w:p w:rsidR="00BA2A5C" w:rsidRPr="00666AFB" w:rsidRDefault="00BA2A5C" w:rsidP="00BA2A5C">
      <w:pPr>
        <w:spacing w:line="360" w:lineRule="auto"/>
        <w:ind w:firstLine="1440"/>
        <w:rPr>
          <w:snapToGrid w:val="0"/>
        </w:rPr>
      </w:pPr>
    </w:p>
    <w:p w:rsidR="00BA2A5C" w:rsidRPr="00666AFB" w:rsidRDefault="00BA2A5C" w:rsidP="00BA2A5C">
      <w:pPr>
        <w:spacing w:line="360" w:lineRule="auto"/>
        <w:ind w:firstLine="1440"/>
        <w:rPr>
          <w:snapToGrid w:val="0"/>
        </w:rPr>
      </w:pPr>
      <w:r w:rsidRPr="00666AFB">
        <w:rPr>
          <w:snapToGrid w:val="0"/>
        </w:rPr>
        <w:t xml:space="preserve">On June 9, 2014, Snyder filed an answer to </w:t>
      </w:r>
      <w:proofErr w:type="gramStart"/>
      <w:r w:rsidRPr="00666AFB">
        <w:rPr>
          <w:snapToGrid w:val="0"/>
        </w:rPr>
        <w:t>I&amp;E’s</w:t>
      </w:r>
      <w:proofErr w:type="gramEnd"/>
      <w:r w:rsidRPr="00666AFB">
        <w:rPr>
          <w:snapToGrid w:val="0"/>
        </w:rPr>
        <w:t xml:space="preserve"> petition for interlocutory review.  Snyder’s answer oppose</w:t>
      </w:r>
      <w:r w:rsidR="002D323A">
        <w:rPr>
          <w:snapToGrid w:val="0"/>
        </w:rPr>
        <w:t>d</w:t>
      </w:r>
      <w:r w:rsidRPr="00666AFB">
        <w:rPr>
          <w:snapToGrid w:val="0"/>
        </w:rPr>
        <w:t xml:space="preserve"> </w:t>
      </w:r>
      <w:proofErr w:type="gramStart"/>
      <w:r w:rsidRPr="00666AFB">
        <w:rPr>
          <w:snapToGrid w:val="0"/>
        </w:rPr>
        <w:t>I&amp;E’s</w:t>
      </w:r>
      <w:proofErr w:type="gramEnd"/>
      <w:r w:rsidRPr="00666AFB">
        <w:rPr>
          <w:snapToGrid w:val="0"/>
        </w:rPr>
        <w:t xml:space="preserve"> petition for interlocutory review.  Snyder’s answer </w:t>
      </w:r>
      <w:proofErr w:type="gramStart"/>
      <w:r w:rsidRPr="00666AFB">
        <w:rPr>
          <w:snapToGrid w:val="0"/>
        </w:rPr>
        <w:t>disagree</w:t>
      </w:r>
      <w:r w:rsidR="002D323A">
        <w:rPr>
          <w:snapToGrid w:val="0"/>
        </w:rPr>
        <w:t>d</w:t>
      </w:r>
      <w:proofErr w:type="gramEnd"/>
      <w:r w:rsidRPr="00666AFB">
        <w:rPr>
          <w:snapToGrid w:val="0"/>
        </w:rPr>
        <w:t xml:space="preserve"> that resolution of the material question posed in I&amp;E’s petition w</w:t>
      </w:r>
      <w:r w:rsidR="002D323A">
        <w:rPr>
          <w:snapToGrid w:val="0"/>
        </w:rPr>
        <w:t>ould</w:t>
      </w:r>
      <w:r w:rsidRPr="00666AFB">
        <w:rPr>
          <w:snapToGrid w:val="0"/>
        </w:rPr>
        <w:t xml:space="preserve"> expedite the proceeding.  Snyder also argue</w:t>
      </w:r>
      <w:r w:rsidR="002D323A">
        <w:rPr>
          <w:snapToGrid w:val="0"/>
        </w:rPr>
        <w:t>d</w:t>
      </w:r>
      <w:r w:rsidRPr="00666AFB">
        <w:rPr>
          <w:snapToGrid w:val="0"/>
        </w:rPr>
        <w:t xml:space="preserve"> that I&amp;E’s petition fail</w:t>
      </w:r>
      <w:r w:rsidR="002D323A">
        <w:rPr>
          <w:snapToGrid w:val="0"/>
        </w:rPr>
        <w:t>ed</w:t>
      </w:r>
      <w:r w:rsidRPr="00666AFB">
        <w:rPr>
          <w:snapToGrid w:val="0"/>
        </w:rPr>
        <w:t xml:space="preserve"> to articulate a compelling reason for granting the relief requested.  Snyder request</w:t>
      </w:r>
      <w:r w:rsidR="002D323A">
        <w:rPr>
          <w:snapToGrid w:val="0"/>
        </w:rPr>
        <w:t>ed</w:t>
      </w:r>
      <w:r w:rsidRPr="00666AFB">
        <w:rPr>
          <w:snapToGrid w:val="0"/>
        </w:rPr>
        <w:t xml:space="preserve"> that the Commission deny the petition.</w:t>
      </w:r>
    </w:p>
    <w:p w:rsidR="00BA2A5C" w:rsidRPr="00666AFB" w:rsidRDefault="00BA2A5C" w:rsidP="00BA2A5C">
      <w:pPr>
        <w:spacing w:line="360" w:lineRule="auto"/>
        <w:ind w:firstLine="1440"/>
        <w:rPr>
          <w:snapToGrid w:val="0"/>
        </w:rPr>
      </w:pPr>
    </w:p>
    <w:p w:rsidR="00BA2A5C" w:rsidRPr="00666AFB" w:rsidRDefault="00BA2A5C" w:rsidP="00BA2A5C">
      <w:pPr>
        <w:spacing w:line="360" w:lineRule="auto"/>
        <w:ind w:firstLine="1440"/>
        <w:rPr>
          <w:snapToGrid w:val="0"/>
        </w:rPr>
      </w:pPr>
      <w:r w:rsidRPr="00666AFB">
        <w:rPr>
          <w:snapToGrid w:val="0"/>
        </w:rPr>
        <w:t xml:space="preserve">On June 13, 2014, PIOGA filed a brief in opposition to </w:t>
      </w:r>
      <w:proofErr w:type="gramStart"/>
      <w:r w:rsidRPr="00666AFB">
        <w:rPr>
          <w:snapToGrid w:val="0"/>
        </w:rPr>
        <w:t>I&amp;E’s</w:t>
      </w:r>
      <w:proofErr w:type="gramEnd"/>
      <w:r w:rsidRPr="00666AFB">
        <w:rPr>
          <w:snapToGrid w:val="0"/>
        </w:rPr>
        <w:t xml:space="preserve"> petition for interlocutory review.  PIOGA argue</w:t>
      </w:r>
      <w:r w:rsidR="002D323A">
        <w:rPr>
          <w:snapToGrid w:val="0"/>
        </w:rPr>
        <w:t>d</w:t>
      </w:r>
      <w:r w:rsidRPr="00666AFB">
        <w:rPr>
          <w:snapToGrid w:val="0"/>
        </w:rPr>
        <w:t xml:space="preserve"> that I&amp;E’s petition </w:t>
      </w:r>
      <w:r w:rsidR="002D323A">
        <w:rPr>
          <w:snapToGrid w:val="0"/>
        </w:rPr>
        <w:t>was</w:t>
      </w:r>
      <w:r w:rsidRPr="00666AFB">
        <w:rPr>
          <w:snapToGrid w:val="0"/>
        </w:rPr>
        <w:t xml:space="preserve"> improper, fail</w:t>
      </w:r>
      <w:r w:rsidR="002D323A">
        <w:rPr>
          <w:snapToGrid w:val="0"/>
        </w:rPr>
        <w:t>ed</w:t>
      </w:r>
      <w:r w:rsidRPr="00666AFB">
        <w:rPr>
          <w:snapToGrid w:val="0"/>
        </w:rPr>
        <w:t xml:space="preserve"> to meet the requirements for interlocutory review and that I&amp;E’s interpretation of Act 13 </w:t>
      </w:r>
      <w:r w:rsidR="002D323A">
        <w:rPr>
          <w:snapToGrid w:val="0"/>
        </w:rPr>
        <w:t>was</w:t>
      </w:r>
      <w:r w:rsidRPr="00666AFB">
        <w:rPr>
          <w:snapToGrid w:val="0"/>
        </w:rPr>
        <w:t xml:space="preserve"> incorrect.  PIOGA request</w:t>
      </w:r>
      <w:r w:rsidR="002D323A">
        <w:rPr>
          <w:snapToGrid w:val="0"/>
        </w:rPr>
        <w:t>ed</w:t>
      </w:r>
      <w:r w:rsidRPr="00666AFB">
        <w:rPr>
          <w:snapToGrid w:val="0"/>
        </w:rPr>
        <w:t xml:space="preserve"> that the Commission deny </w:t>
      </w:r>
      <w:proofErr w:type="gramStart"/>
      <w:r w:rsidRPr="00666AFB">
        <w:rPr>
          <w:snapToGrid w:val="0"/>
        </w:rPr>
        <w:t>I&amp;E’s</w:t>
      </w:r>
      <w:proofErr w:type="gramEnd"/>
      <w:r w:rsidRPr="00666AFB">
        <w:rPr>
          <w:snapToGrid w:val="0"/>
        </w:rPr>
        <w:t xml:space="preserve"> petition.</w:t>
      </w:r>
    </w:p>
    <w:p w:rsidR="00BA2A5C" w:rsidRPr="00666AFB" w:rsidRDefault="00BA2A5C" w:rsidP="00BA2A5C">
      <w:pPr>
        <w:spacing w:line="360" w:lineRule="auto"/>
        <w:ind w:firstLine="1440"/>
        <w:rPr>
          <w:snapToGrid w:val="0"/>
        </w:rPr>
      </w:pPr>
    </w:p>
    <w:p w:rsidR="00BA2A5C" w:rsidRPr="00666AFB" w:rsidRDefault="00BA2A5C" w:rsidP="00BA2A5C">
      <w:pPr>
        <w:spacing w:line="360" w:lineRule="auto"/>
        <w:ind w:firstLine="1440"/>
        <w:rPr>
          <w:snapToGrid w:val="0"/>
        </w:rPr>
      </w:pPr>
      <w:r w:rsidRPr="00666AFB">
        <w:rPr>
          <w:snapToGrid w:val="0"/>
        </w:rPr>
        <w:t xml:space="preserve">On June 17, 2014, I&amp;E filed a brief in support of its petition for interlocutory review.    </w:t>
      </w:r>
    </w:p>
    <w:p w:rsidR="00BA2A5C" w:rsidRPr="00666AFB" w:rsidRDefault="00BA2A5C" w:rsidP="00BA2A5C">
      <w:pPr>
        <w:spacing w:line="360" w:lineRule="auto"/>
        <w:ind w:firstLine="1440"/>
        <w:rPr>
          <w:snapToGrid w:val="0"/>
        </w:rPr>
      </w:pPr>
    </w:p>
    <w:p w:rsidR="00BA2A5C" w:rsidRPr="00666AFB" w:rsidRDefault="00BA2A5C" w:rsidP="00BA2A5C">
      <w:pPr>
        <w:spacing w:line="360" w:lineRule="auto"/>
        <w:ind w:firstLine="1440"/>
        <w:rPr>
          <w:snapToGrid w:val="0"/>
        </w:rPr>
      </w:pPr>
      <w:r w:rsidRPr="00666AFB">
        <w:rPr>
          <w:snapToGrid w:val="0"/>
        </w:rPr>
        <w:t xml:space="preserve">On June 19, 2014, the Commission issued a Secretarial Letter stating that it was waiving the 30 day period set forth at 52 </w:t>
      </w:r>
      <w:proofErr w:type="spellStart"/>
      <w:r w:rsidRPr="00666AFB">
        <w:rPr>
          <w:snapToGrid w:val="0"/>
        </w:rPr>
        <w:t>Pa.Code</w:t>
      </w:r>
      <w:proofErr w:type="spellEnd"/>
      <w:r w:rsidRPr="00666AFB">
        <w:rPr>
          <w:snapToGrid w:val="0"/>
        </w:rPr>
        <w:t xml:space="preserve"> § 5.303 for consideration of I&amp;E’s petition for interlocutory review.  The Secretarial Letter stated that the Commission would extend its consideration of the petition beyond the 30 day</w:t>
      </w:r>
      <w:r w:rsidR="002D323A">
        <w:rPr>
          <w:snapToGrid w:val="0"/>
        </w:rPr>
        <w:t xml:space="preserve"> period</w:t>
      </w:r>
      <w:r w:rsidRPr="00666AFB">
        <w:rPr>
          <w:snapToGrid w:val="0"/>
        </w:rPr>
        <w:t xml:space="preserve"> in order to afford it adequate time to address the material question.  The Secretarial letter stated that the Commission would address the petition in the future.</w:t>
      </w:r>
    </w:p>
    <w:p w:rsidR="00BA2A5C" w:rsidRPr="00666AFB" w:rsidRDefault="00BA2A5C" w:rsidP="00BA2A5C">
      <w:pPr>
        <w:spacing w:line="360" w:lineRule="auto"/>
        <w:ind w:firstLine="1440"/>
        <w:rPr>
          <w:snapToGrid w:val="0"/>
        </w:rPr>
      </w:pPr>
    </w:p>
    <w:p w:rsidR="00BA2A5C" w:rsidRPr="00666AFB" w:rsidRDefault="00BA2A5C" w:rsidP="00BA2A5C">
      <w:pPr>
        <w:spacing w:line="360" w:lineRule="auto"/>
        <w:ind w:firstLine="1440"/>
        <w:rPr>
          <w:snapToGrid w:val="0"/>
        </w:rPr>
      </w:pPr>
      <w:r w:rsidRPr="00666AFB">
        <w:rPr>
          <w:snapToGrid w:val="0"/>
        </w:rPr>
        <w:t xml:space="preserve">Also on June 19, 2014, Snyder filed a motion for summary judgment, pursuant to 52 </w:t>
      </w:r>
      <w:proofErr w:type="spellStart"/>
      <w:r w:rsidRPr="00666AFB">
        <w:rPr>
          <w:snapToGrid w:val="0"/>
        </w:rPr>
        <w:t>Pa.Code</w:t>
      </w:r>
      <w:proofErr w:type="spellEnd"/>
      <w:r w:rsidRPr="00666AFB">
        <w:rPr>
          <w:snapToGrid w:val="0"/>
        </w:rPr>
        <w:t xml:space="preserve"> § 5.102</w:t>
      </w:r>
      <w:r w:rsidR="002D323A">
        <w:rPr>
          <w:snapToGrid w:val="0"/>
        </w:rPr>
        <w:t>,</w:t>
      </w:r>
      <w:r w:rsidRPr="00666AFB">
        <w:rPr>
          <w:snapToGrid w:val="0"/>
        </w:rPr>
        <w:t xml:space="preserve"> and a brief in support of the motion.  Attached to Snyder’s motion for summary judgment is a joint stipulation of facts signed by counsel for Snyder, I&amp;E and PIOGA.  </w:t>
      </w:r>
      <w:r w:rsidRPr="00666AFB">
        <w:rPr>
          <w:snapToGrid w:val="0"/>
        </w:rPr>
        <w:lastRenderedPageBreak/>
        <w:t xml:space="preserve">Also attached to Snyder’s motion for summary judgment are documents marked as </w:t>
      </w:r>
      <w:r w:rsidR="002D323A">
        <w:rPr>
          <w:snapToGrid w:val="0"/>
        </w:rPr>
        <w:t>J</w:t>
      </w:r>
      <w:r w:rsidRPr="00666AFB">
        <w:rPr>
          <w:snapToGrid w:val="0"/>
        </w:rPr>
        <w:t xml:space="preserve">oint </w:t>
      </w:r>
      <w:r w:rsidR="002D323A">
        <w:rPr>
          <w:snapToGrid w:val="0"/>
        </w:rPr>
        <w:t>E</w:t>
      </w:r>
      <w:r w:rsidRPr="00666AFB">
        <w:rPr>
          <w:snapToGrid w:val="0"/>
        </w:rPr>
        <w:t>xhibits 1-6.</w:t>
      </w:r>
    </w:p>
    <w:p w:rsidR="00BA2A5C" w:rsidRPr="00666AFB" w:rsidRDefault="00BA2A5C" w:rsidP="00BA2A5C">
      <w:pPr>
        <w:spacing w:line="360" w:lineRule="auto"/>
        <w:ind w:firstLine="1440"/>
        <w:rPr>
          <w:snapToGrid w:val="0"/>
        </w:rPr>
      </w:pPr>
    </w:p>
    <w:p w:rsidR="00BA2A5C" w:rsidRPr="00666AFB" w:rsidRDefault="00BA2A5C" w:rsidP="00BA2A5C">
      <w:pPr>
        <w:spacing w:line="360" w:lineRule="auto"/>
        <w:ind w:firstLine="1440"/>
        <w:rPr>
          <w:snapToGrid w:val="0"/>
        </w:rPr>
      </w:pPr>
      <w:r w:rsidRPr="00666AFB">
        <w:rPr>
          <w:snapToGrid w:val="0"/>
        </w:rPr>
        <w:t xml:space="preserve">Snyder’s motion asserts that on August 15, 2011, it submitted to the Commission an annual report for the year 2011 as required by Act 13.  A true and correct copy of the 2011 annual report is marked as Joint Exhibit 1.  According to Snyder’s motion for summary judgment, the 2011 annual report lists each well operated by Snyder that was potentially subject to the administrative and impact fees imposed by Act 13 and accurately sets forth the production for each well for the 2011 reporting period.  </w:t>
      </w:r>
    </w:p>
    <w:p w:rsidR="00BA2A5C" w:rsidRPr="00666AFB" w:rsidRDefault="00BA2A5C" w:rsidP="00BA2A5C">
      <w:pPr>
        <w:spacing w:line="360" w:lineRule="auto"/>
        <w:ind w:firstLine="1440"/>
        <w:rPr>
          <w:snapToGrid w:val="0"/>
        </w:rPr>
      </w:pPr>
    </w:p>
    <w:p w:rsidR="00BA2A5C" w:rsidRPr="00666AFB" w:rsidRDefault="00BA2A5C" w:rsidP="00BA2A5C">
      <w:pPr>
        <w:spacing w:line="360" w:lineRule="auto"/>
        <w:ind w:firstLine="1440"/>
        <w:rPr>
          <w:snapToGrid w:val="0"/>
        </w:rPr>
      </w:pPr>
      <w:r w:rsidRPr="00666AFB">
        <w:rPr>
          <w:snapToGrid w:val="0"/>
        </w:rPr>
        <w:t xml:space="preserve">Snyder’s motion states that on August 29, 2011 it received a 2011 impact fee statement from the Commission stating </w:t>
      </w:r>
      <w:r w:rsidR="002D323A">
        <w:rPr>
          <w:snapToGrid w:val="0"/>
        </w:rPr>
        <w:t xml:space="preserve">that </w:t>
      </w:r>
      <w:r w:rsidRPr="00666AFB">
        <w:rPr>
          <w:snapToGrid w:val="0"/>
        </w:rPr>
        <w:t xml:space="preserve">the amount of Act 13 impact fees due for the period January 1, 2011 through December 31, 2011 </w:t>
      </w:r>
      <w:r w:rsidR="002D323A">
        <w:rPr>
          <w:snapToGrid w:val="0"/>
        </w:rPr>
        <w:t>was</w:t>
      </w:r>
      <w:r w:rsidRPr="00666AFB">
        <w:rPr>
          <w:snapToGrid w:val="0"/>
        </w:rPr>
        <w:t xml:space="preserve"> $170,000.  A true and correct copy of the 2011 impact fee statement is marked as Joint Exhibit 2. Snyder paid this amount to the Commission on August 30, 2011.</w:t>
      </w:r>
    </w:p>
    <w:p w:rsidR="00BA2A5C" w:rsidRPr="00666AFB" w:rsidRDefault="00BA2A5C" w:rsidP="00BA2A5C">
      <w:pPr>
        <w:spacing w:line="360" w:lineRule="auto"/>
        <w:ind w:firstLine="1440"/>
        <w:rPr>
          <w:snapToGrid w:val="0"/>
        </w:rPr>
      </w:pPr>
    </w:p>
    <w:p w:rsidR="00BA2A5C" w:rsidRPr="00666AFB" w:rsidRDefault="00BA2A5C" w:rsidP="00BA2A5C">
      <w:pPr>
        <w:spacing w:line="360" w:lineRule="auto"/>
        <w:ind w:firstLine="1440"/>
        <w:rPr>
          <w:snapToGrid w:val="0"/>
        </w:rPr>
      </w:pPr>
      <w:r w:rsidRPr="00666AFB">
        <w:rPr>
          <w:snapToGrid w:val="0"/>
        </w:rPr>
        <w:t>According to the motion, on August 29, 2011</w:t>
      </w:r>
      <w:r w:rsidR="00532444">
        <w:rPr>
          <w:snapToGrid w:val="0"/>
        </w:rPr>
        <w:t>,</w:t>
      </w:r>
      <w:r w:rsidRPr="00666AFB">
        <w:rPr>
          <w:snapToGrid w:val="0"/>
        </w:rPr>
        <w:t xml:space="preserve"> Snyder received a 2011 administrative fee statement from the Commission stating the amount of Act 13 administrative fees due for the period January 1, 2011 through December 31, 2011 w</w:t>
      </w:r>
      <w:r w:rsidR="002D323A">
        <w:rPr>
          <w:snapToGrid w:val="0"/>
        </w:rPr>
        <w:t>as</w:t>
      </w:r>
      <w:r w:rsidRPr="00666AFB">
        <w:rPr>
          <w:snapToGrid w:val="0"/>
        </w:rPr>
        <w:t xml:space="preserve"> $850.  A true and correct copy of the 2011 administrative fee statement is marked as Joint Exhibit 3. Snyder paid this amount to the Commission on August 30, 2011.</w:t>
      </w:r>
    </w:p>
    <w:p w:rsidR="00BA2A5C" w:rsidRPr="00666AFB" w:rsidRDefault="00BA2A5C" w:rsidP="00BA2A5C">
      <w:pPr>
        <w:spacing w:line="360" w:lineRule="auto"/>
        <w:ind w:firstLine="1440"/>
        <w:rPr>
          <w:snapToGrid w:val="0"/>
        </w:rPr>
      </w:pPr>
    </w:p>
    <w:p w:rsidR="00BA2A5C" w:rsidRPr="00666AFB" w:rsidRDefault="00BA2A5C" w:rsidP="00BA2A5C">
      <w:pPr>
        <w:spacing w:line="360" w:lineRule="auto"/>
        <w:ind w:firstLine="1440"/>
        <w:rPr>
          <w:snapToGrid w:val="0"/>
        </w:rPr>
      </w:pPr>
      <w:r w:rsidRPr="00666AFB">
        <w:rPr>
          <w:snapToGrid w:val="0"/>
        </w:rPr>
        <w:t xml:space="preserve">Snyder’s motion asserts that on March 27, 2012, it submitted to the Commission an annual report for the year 2012 as required by Act 13.  A true and correct copy of the 2011 annual report is marked as Joint Exhibit 4.  According to Snyder’s motion for summary judgment, the 2012 annual report lists each well operated by Snyder that was potentially subject to the administrative and impact fees imposed by Act 13 and accurately sets forth the production for each well for the 2012 reporting period.  </w:t>
      </w:r>
    </w:p>
    <w:p w:rsidR="00BA2A5C" w:rsidRPr="00666AFB" w:rsidRDefault="00BA2A5C" w:rsidP="00BA2A5C">
      <w:pPr>
        <w:spacing w:line="360" w:lineRule="auto"/>
        <w:ind w:firstLine="1440"/>
        <w:rPr>
          <w:snapToGrid w:val="0"/>
        </w:rPr>
      </w:pPr>
    </w:p>
    <w:p w:rsidR="00BA2A5C" w:rsidRPr="00666AFB" w:rsidRDefault="00BA2A5C" w:rsidP="00BA2A5C">
      <w:pPr>
        <w:spacing w:line="360" w:lineRule="auto"/>
        <w:ind w:firstLine="1440"/>
        <w:rPr>
          <w:snapToGrid w:val="0"/>
        </w:rPr>
      </w:pPr>
      <w:r w:rsidRPr="00666AFB">
        <w:rPr>
          <w:snapToGrid w:val="0"/>
        </w:rPr>
        <w:t>Snyder’s motion states that on April 8, 2013, it received a 2012 impact fee statement from the Commission stating the amount of Act 13 impact fees due for 2012 w</w:t>
      </w:r>
      <w:r w:rsidR="002D323A">
        <w:rPr>
          <w:snapToGrid w:val="0"/>
        </w:rPr>
        <w:t>as</w:t>
      </w:r>
      <w:r w:rsidRPr="00666AFB">
        <w:rPr>
          <w:snapToGrid w:val="0"/>
        </w:rPr>
        <w:t xml:space="preserve"> </w:t>
      </w:r>
      <w:r w:rsidRPr="00666AFB">
        <w:rPr>
          <w:snapToGrid w:val="0"/>
        </w:rPr>
        <w:lastRenderedPageBreak/>
        <w:t>$236,000.  A true and correct copy of the 2012 impact fee statement is marked as Joint Exhibit 6.  Snyder paid this amount to the Commission.</w:t>
      </w:r>
    </w:p>
    <w:p w:rsidR="00BA2A5C" w:rsidRPr="00666AFB" w:rsidRDefault="00BA2A5C" w:rsidP="00BA2A5C">
      <w:pPr>
        <w:spacing w:line="360" w:lineRule="auto"/>
        <w:ind w:firstLine="1440"/>
        <w:rPr>
          <w:snapToGrid w:val="0"/>
        </w:rPr>
      </w:pPr>
    </w:p>
    <w:p w:rsidR="00BA2A5C" w:rsidRPr="00666AFB" w:rsidRDefault="00BA2A5C" w:rsidP="00BA2A5C">
      <w:pPr>
        <w:spacing w:line="360" w:lineRule="auto"/>
        <w:ind w:firstLine="1440"/>
        <w:rPr>
          <w:snapToGrid w:val="0"/>
        </w:rPr>
      </w:pPr>
      <w:r w:rsidRPr="00666AFB">
        <w:rPr>
          <w:snapToGrid w:val="0"/>
        </w:rPr>
        <w:t>According to the motion, on April 8, 2013, Snyder received a 2012 administrative fee statement from the Commission stating the amount of Act 13 administrative fees due for 2012 w</w:t>
      </w:r>
      <w:r w:rsidR="002D323A">
        <w:rPr>
          <w:snapToGrid w:val="0"/>
        </w:rPr>
        <w:t>as</w:t>
      </w:r>
      <w:r w:rsidRPr="00666AFB">
        <w:rPr>
          <w:snapToGrid w:val="0"/>
        </w:rPr>
        <w:t xml:space="preserve"> $1,400.  Snyder paid this amount to the Commission.</w:t>
      </w:r>
    </w:p>
    <w:p w:rsidR="00BA2A5C" w:rsidRPr="00666AFB" w:rsidRDefault="00BA2A5C" w:rsidP="00BA2A5C">
      <w:pPr>
        <w:spacing w:line="360" w:lineRule="auto"/>
        <w:ind w:firstLine="1440"/>
        <w:rPr>
          <w:snapToGrid w:val="0"/>
        </w:rPr>
      </w:pPr>
    </w:p>
    <w:p w:rsidR="00BA2A5C" w:rsidRPr="00666AFB" w:rsidRDefault="00BA2A5C" w:rsidP="00BA2A5C">
      <w:pPr>
        <w:spacing w:line="360" w:lineRule="auto"/>
        <w:ind w:firstLine="1440"/>
        <w:rPr>
          <w:snapToGrid w:val="0"/>
        </w:rPr>
      </w:pPr>
      <w:r w:rsidRPr="00666AFB">
        <w:rPr>
          <w:snapToGrid w:val="0"/>
        </w:rPr>
        <w:t>The motion alleges that on November 13, 2013, the Commission served a notice of amount due on Snyder.  The notice of amount due alleged that Snyder’s calculation of the 2011 and 2012 impact and administrative fees were incorrect and deficient in the amount of $391,250.</w:t>
      </w:r>
    </w:p>
    <w:p w:rsidR="00BA2A5C" w:rsidRPr="00666AFB" w:rsidRDefault="00BA2A5C" w:rsidP="00BA2A5C">
      <w:pPr>
        <w:spacing w:line="360" w:lineRule="auto"/>
        <w:ind w:firstLine="1440"/>
        <w:rPr>
          <w:snapToGrid w:val="0"/>
        </w:rPr>
      </w:pPr>
    </w:p>
    <w:p w:rsidR="00BA2A5C" w:rsidRPr="00666AFB" w:rsidRDefault="00BA2A5C" w:rsidP="00BA2A5C">
      <w:pPr>
        <w:spacing w:line="360" w:lineRule="auto"/>
        <w:ind w:firstLine="1440"/>
        <w:rPr>
          <w:snapToGrid w:val="0"/>
        </w:rPr>
      </w:pPr>
      <w:r w:rsidRPr="00666AFB">
        <w:rPr>
          <w:snapToGrid w:val="0"/>
        </w:rPr>
        <w:t xml:space="preserve">Snyder’s motion for summary judgment contends that for the reasons set forth in its brief, it does not owe the amounts that I&amp;E </w:t>
      </w:r>
      <w:proofErr w:type="gramStart"/>
      <w:r w:rsidRPr="00666AFB">
        <w:rPr>
          <w:snapToGrid w:val="0"/>
        </w:rPr>
        <w:t>claims</w:t>
      </w:r>
      <w:proofErr w:type="gramEnd"/>
      <w:r w:rsidRPr="00666AFB">
        <w:rPr>
          <w:snapToGrid w:val="0"/>
        </w:rPr>
        <w:t xml:space="preserve"> that it owes.  Snyder’s motion for summary judgment requests that the Commission dismiss </w:t>
      </w:r>
      <w:proofErr w:type="gramStart"/>
      <w:r w:rsidRPr="00666AFB">
        <w:rPr>
          <w:snapToGrid w:val="0"/>
        </w:rPr>
        <w:t>I&amp;E’s</w:t>
      </w:r>
      <w:proofErr w:type="gramEnd"/>
      <w:r w:rsidRPr="00666AFB">
        <w:rPr>
          <w:snapToGrid w:val="0"/>
        </w:rPr>
        <w:t xml:space="preserve"> complaint and enter judgment in its favor.  </w:t>
      </w:r>
    </w:p>
    <w:p w:rsidR="00BA2A5C" w:rsidRPr="00666AFB" w:rsidRDefault="00BA2A5C" w:rsidP="00BA2A5C">
      <w:pPr>
        <w:spacing w:line="360" w:lineRule="auto"/>
        <w:ind w:firstLine="1440"/>
        <w:rPr>
          <w:snapToGrid w:val="0"/>
        </w:rPr>
      </w:pPr>
    </w:p>
    <w:p w:rsidR="00BA2A5C" w:rsidRPr="00666AFB" w:rsidRDefault="00BA2A5C" w:rsidP="00BA2A5C">
      <w:pPr>
        <w:spacing w:line="360" w:lineRule="auto"/>
        <w:ind w:firstLine="1440"/>
        <w:rPr>
          <w:snapToGrid w:val="0"/>
        </w:rPr>
      </w:pPr>
      <w:r w:rsidRPr="00666AFB">
        <w:rPr>
          <w:snapToGrid w:val="0"/>
        </w:rPr>
        <w:t>On June 20, 2014, I&amp;E filed a petition for stay.  I&amp;E point</w:t>
      </w:r>
      <w:r w:rsidR="002D323A">
        <w:rPr>
          <w:snapToGrid w:val="0"/>
        </w:rPr>
        <w:t>ed</w:t>
      </w:r>
      <w:r w:rsidRPr="00666AFB">
        <w:rPr>
          <w:snapToGrid w:val="0"/>
        </w:rPr>
        <w:t xml:space="preserve"> out that if the Commission answer</w:t>
      </w:r>
      <w:r w:rsidR="002D323A">
        <w:rPr>
          <w:snapToGrid w:val="0"/>
        </w:rPr>
        <w:t>ed</w:t>
      </w:r>
      <w:r w:rsidRPr="00666AFB">
        <w:rPr>
          <w:snapToGrid w:val="0"/>
        </w:rPr>
        <w:t xml:space="preserve"> its petition</w:t>
      </w:r>
      <w:r w:rsidR="00DF534E">
        <w:rPr>
          <w:snapToGrid w:val="0"/>
        </w:rPr>
        <w:t xml:space="preserve"> for interlocutory review</w:t>
      </w:r>
      <w:r w:rsidRPr="00666AFB">
        <w:rPr>
          <w:snapToGrid w:val="0"/>
        </w:rPr>
        <w:t xml:space="preserve">, it would be unnecessary for </w:t>
      </w:r>
      <w:proofErr w:type="gramStart"/>
      <w:r w:rsidRPr="00666AFB">
        <w:rPr>
          <w:snapToGrid w:val="0"/>
        </w:rPr>
        <w:t>I&amp;E</w:t>
      </w:r>
      <w:proofErr w:type="gramEnd"/>
      <w:r w:rsidRPr="00666AFB">
        <w:rPr>
          <w:snapToGrid w:val="0"/>
        </w:rPr>
        <w:t xml:space="preserve"> to file an answer to Snyder’s motion for summary judgment.  It would also be unnecessary for </w:t>
      </w:r>
      <w:proofErr w:type="gramStart"/>
      <w:r w:rsidRPr="00666AFB">
        <w:rPr>
          <w:snapToGrid w:val="0"/>
        </w:rPr>
        <w:t>I&amp;E</w:t>
      </w:r>
      <w:proofErr w:type="gramEnd"/>
      <w:r w:rsidRPr="00666AFB">
        <w:rPr>
          <w:snapToGrid w:val="0"/>
        </w:rPr>
        <w:t xml:space="preserve"> to file a motion for summary judgment.  In addition the need for or scope of prepared direct testimony would be impacted by the Commission’s resolution of the petition.  The petition request</w:t>
      </w:r>
      <w:r w:rsidR="002D323A">
        <w:rPr>
          <w:snapToGrid w:val="0"/>
        </w:rPr>
        <w:t>ed</w:t>
      </w:r>
      <w:r w:rsidRPr="00666AFB">
        <w:rPr>
          <w:snapToGrid w:val="0"/>
        </w:rPr>
        <w:t xml:space="preserve"> that the matter be stayed until after the Commission ha</w:t>
      </w:r>
      <w:r w:rsidR="002D323A">
        <w:rPr>
          <w:snapToGrid w:val="0"/>
        </w:rPr>
        <w:t>d</w:t>
      </w:r>
      <w:r w:rsidRPr="00666AFB">
        <w:rPr>
          <w:snapToGrid w:val="0"/>
        </w:rPr>
        <w:t xml:space="preserve"> rendered a final decision on </w:t>
      </w:r>
      <w:proofErr w:type="gramStart"/>
      <w:r w:rsidRPr="00666AFB">
        <w:rPr>
          <w:snapToGrid w:val="0"/>
        </w:rPr>
        <w:t>I&amp;E’s</w:t>
      </w:r>
      <w:proofErr w:type="gramEnd"/>
      <w:r w:rsidRPr="00666AFB">
        <w:rPr>
          <w:snapToGrid w:val="0"/>
        </w:rPr>
        <w:t xml:space="preserve"> petition for interlocutory review.</w:t>
      </w:r>
    </w:p>
    <w:p w:rsidR="00BA2A5C" w:rsidRPr="00666AFB" w:rsidRDefault="00BA2A5C" w:rsidP="00BA2A5C">
      <w:pPr>
        <w:spacing w:line="360" w:lineRule="auto"/>
        <w:ind w:firstLine="1440"/>
        <w:rPr>
          <w:snapToGrid w:val="0"/>
        </w:rPr>
      </w:pPr>
    </w:p>
    <w:p w:rsidR="00BA2A5C" w:rsidRPr="00666AFB" w:rsidRDefault="00BA2A5C" w:rsidP="00BA2A5C">
      <w:pPr>
        <w:spacing w:line="360" w:lineRule="auto"/>
        <w:ind w:firstLine="1440"/>
      </w:pPr>
      <w:r w:rsidRPr="00666AFB">
        <w:rPr>
          <w:snapToGrid w:val="0"/>
        </w:rPr>
        <w:t xml:space="preserve">On July 1, 2014, Snyder filed an answer to </w:t>
      </w:r>
      <w:proofErr w:type="gramStart"/>
      <w:r w:rsidRPr="00666AFB">
        <w:rPr>
          <w:snapToGrid w:val="0"/>
        </w:rPr>
        <w:t>I&amp;E’s</w:t>
      </w:r>
      <w:proofErr w:type="gramEnd"/>
      <w:r w:rsidRPr="00666AFB">
        <w:rPr>
          <w:snapToGrid w:val="0"/>
        </w:rPr>
        <w:t xml:space="preserve"> petition for </w:t>
      </w:r>
      <w:r w:rsidR="002D323A">
        <w:rPr>
          <w:snapToGrid w:val="0"/>
        </w:rPr>
        <w:t>stay</w:t>
      </w:r>
      <w:r w:rsidRPr="00666AFB">
        <w:rPr>
          <w:snapToGrid w:val="0"/>
        </w:rPr>
        <w:t xml:space="preserve">.  Snyder’s answer opposed </w:t>
      </w:r>
      <w:proofErr w:type="gramStart"/>
      <w:r w:rsidRPr="00666AFB">
        <w:rPr>
          <w:snapToGrid w:val="0"/>
        </w:rPr>
        <w:t>I&amp;E’s</w:t>
      </w:r>
      <w:proofErr w:type="gramEnd"/>
      <w:r w:rsidRPr="00666AFB">
        <w:rPr>
          <w:snapToGrid w:val="0"/>
        </w:rPr>
        <w:t xml:space="preserve"> petition for stay.  Snyder argue</w:t>
      </w:r>
      <w:r w:rsidR="002D323A">
        <w:rPr>
          <w:snapToGrid w:val="0"/>
        </w:rPr>
        <w:t>d</w:t>
      </w:r>
      <w:r w:rsidRPr="00666AFB">
        <w:rPr>
          <w:snapToGrid w:val="0"/>
        </w:rPr>
        <w:t xml:space="preserve"> that </w:t>
      </w:r>
      <w:r w:rsidRPr="00666AFB">
        <w:t>Prehearing Order #2 ha</w:t>
      </w:r>
      <w:r w:rsidR="002D323A">
        <w:t>d</w:t>
      </w:r>
      <w:r w:rsidRPr="00666AFB">
        <w:t xml:space="preserve"> already established </w:t>
      </w:r>
      <w:r w:rsidR="002D323A">
        <w:t>a</w:t>
      </w:r>
      <w:r w:rsidRPr="00666AFB">
        <w:t xml:space="preserve"> litigation schedule and that adhering to that litigation schedule w</w:t>
      </w:r>
      <w:r w:rsidR="002D323A">
        <w:t>ould</w:t>
      </w:r>
      <w:r w:rsidRPr="00666AFB">
        <w:t xml:space="preserve"> result in moving the matter in a timely and expeditious manner.  Snyder requested that I&amp;E’s petition for stay be denied.</w:t>
      </w:r>
    </w:p>
    <w:p w:rsidR="00BA2A5C" w:rsidRPr="00666AFB" w:rsidRDefault="00BA2A5C" w:rsidP="00BA2A5C">
      <w:pPr>
        <w:spacing w:line="360" w:lineRule="auto"/>
        <w:ind w:firstLine="1440"/>
      </w:pPr>
    </w:p>
    <w:p w:rsidR="00BA2A5C" w:rsidRDefault="00BA2A5C" w:rsidP="00BA2A5C">
      <w:pPr>
        <w:widowControl w:val="0"/>
        <w:spacing w:line="360" w:lineRule="auto"/>
        <w:ind w:firstLine="1440"/>
      </w:pPr>
      <w:r w:rsidRPr="00666AFB">
        <w:t xml:space="preserve">On July 7, 2014, I issued an order staying the proceeding, suspending the </w:t>
      </w:r>
      <w:r w:rsidRPr="00666AFB">
        <w:lastRenderedPageBreak/>
        <w:t>litigation schedule and cancelling the hearings scheduled for September 9 and 10, 2014.  I reasoned that if the Commission ruled on I&amp;E’s petition</w:t>
      </w:r>
      <w:r w:rsidR="00DF534E">
        <w:t xml:space="preserve"> </w:t>
      </w:r>
      <w:r w:rsidR="00DF534E">
        <w:rPr>
          <w:snapToGrid w:val="0"/>
        </w:rPr>
        <w:t>for interlocutory review</w:t>
      </w:r>
      <w:r w:rsidRPr="00666AFB">
        <w:t xml:space="preserve">, it could change the scope of the proceeding and that allowing this proceeding to go forward while I&amp;E’s petition was outstanding could lead to additional costs in time and money addressing issues that could be rendered moot by a Commission decision on the petition for interlocutory review.  </w:t>
      </w:r>
    </w:p>
    <w:p w:rsidR="002D323A" w:rsidRPr="00666AFB" w:rsidRDefault="002D323A" w:rsidP="00BA2A5C">
      <w:pPr>
        <w:widowControl w:val="0"/>
        <w:spacing w:line="360" w:lineRule="auto"/>
        <w:ind w:firstLine="1440"/>
      </w:pPr>
    </w:p>
    <w:p w:rsidR="00BA2A5C" w:rsidRPr="00666AFB" w:rsidRDefault="00BA2A5C" w:rsidP="00BA2A5C">
      <w:pPr>
        <w:spacing w:line="360" w:lineRule="auto"/>
        <w:ind w:firstLine="1440"/>
      </w:pPr>
      <w:r w:rsidRPr="00666AFB">
        <w:t>By notice dated July 9, 2014, the Commission cancelled the hearings scheduled on this matter for September 9 and 10, 2014.</w:t>
      </w:r>
    </w:p>
    <w:p w:rsidR="00BA2A5C" w:rsidRPr="00666AFB" w:rsidRDefault="00BA2A5C" w:rsidP="00BA2A5C">
      <w:pPr>
        <w:spacing w:line="360" w:lineRule="auto"/>
        <w:ind w:firstLine="1440"/>
      </w:pPr>
    </w:p>
    <w:p w:rsidR="00BA2A5C" w:rsidRPr="00666AFB" w:rsidRDefault="00BA2A5C" w:rsidP="00BA2A5C">
      <w:pPr>
        <w:spacing w:line="360" w:lineRule="auto"/>
        <w:ind w:firstLine="1440"/>
      </w:pPr>
      <w:r w:rsidRPr="00666AFB">
        <w:t xml:space="preserve">On July 11, 2014, PIOGA filed an answer in opposition to </w:t>
      </w:r>
      <w:proofErr w:type="gramStart"/>
      <w:r w:rsidRPr="00666AFB">
        <w:t>I&amp;E’s</w:t>
      </w:r>
      <w:proofErr w:type="gramEnd"/>
      <w:r w:rsidRPr="00666AFB">
        <w:t xml:space="preserve"> petition for stay and a motion for reconsideration of my July 7, 2014 stay order.  PIOGA opposed </w:t>
      </w:r>
      <w:proofErr w:type="gramStart"/>
      <w:r w:rsidRPr="00666AFB">
        <w:t>I&amp;E’s</w:t>
      </w:r>
      <w:proofErr w:type="gramEnd"/>
      <w:r w:rsidRPr="00666AFB">
        <w:t xml:space="preserve"> petition for stay for the same reasons stated by Snyder.  PIOGA requested that I&amp;E’s petition for stay be denied.</w:t>
      </w:r>
    </w:p>
    <w:p w:rsidR="00BA2A5C" w:rsidRPr="00666AFB" w:rsidRDefault="00BA2A5C" w:rsidP="00BA2A5C">
      <w:pPr>
        <w:spacing w:line="360" w:lineRule="auto"/>
        <w:ind w:firstLine="1440"/>
      </w:pPr>
      <w:r w:rsidRPr="00666AFB">
        <w:t xml:space="preserve">  </w:t>
      </w:r>
    </w:p>
    <w:p w:rsidR="00BA2A5C" w:rsidRPr="00666AFB" w:rsidRDefault="00BA2A5C" w:rsidP="00BA2A5C">
      <w:pPr>
        <w:spacing w:line="360" w:lineRule="auto"/>
        <w:ind w:firstLine="1440"/>
      </w:pPr>
      <w:r w:rsidRPr="00666AFB">
        <w:t xml:space="preserve">PIOGA also requested that I reconsider my stay order since the order was issued before its time to respond to I&amp;E’s petition had expired.  PIOGA alleges that issuing the order had violated its due process rights.   PIOGA requested that I revoke the stay.    </w:t>
      </w:r>
    </w:p>
    <w:p w:rsidR="00BA2A5C" w:rsidRPr="00666AFB" w:rsidRDefault="00BA2A5C" w:rsidP="00BA2A5C">
      <w:pPr>
        <w:spacing w:line="360" w:lineRule="auto"/>
        <w:ind w:firstLine="1440"/>
      </w:pPr>
    </w:p>
    <w:p w:rsidR="00BA2A5C" w:rsidRPr="00666AFB" w:rsidRDefault="00BA2A5C" w:rsidP="00BA2A5C">
      <w:pPr>
        <w:spacing w:line="360" w:lineRule="auto"/>
        <w:ind w:firstLine="1440"/>
      </w:pPr>
      <w:r w:rsidRPr="00666AFB">
        <w:t xml:space="preserve">On July 24, 2014, the Commission issued an opinion and order declining to answer </w:t>
      </w:r>
      <w:proofErr w:type="gramStart"/>
      <w:r w:rsidRPr="00666AFB">
        <w:t>I&amp;E’s</w:t>
      </w:r>
      <w:proofErr w:type="gramEnd"/>
      <w:r w:rsidRPr="00666AFB">
        <w:t xml:space="preserve"> petition.  The July 24, 2014 Commission opinion and order returned the matter to the Office of Administrative Law Judge.  </w:t>
      </w:r>
    </w:p>
    <w:p w:rsidR="00BA2A5C" w:rsidRPr="00666AFB" w:rsidRDefault="00BA2A5C" w:rsidP="00BA2A5C">
      <w:pPr>
        <w:spacing w:line="360" w:lineRule="auto"/>
        <w:ind w:firstLine="1440"/>
      </w:pPr>
    </w:p>
    <w:p w:rsidR="00BA2A5C" w:rsidRPr="00666AFB" w:rsidRDefault="00BA2A5C" w:rsidP="00BA2A5C">
      <w:pPr>
        <w:spacing w:line="360" w:lineRule="auto"/>
        <w:ind w:firstLine="1440"/>
        <w:rPr>
          <w:snapToGrid w:val="0"/>
        </w:rPr>
      </w:pPr>
      <w:r w:rsidRPr="00666AFB">
        <w:t xml:space="preserve">On July 28, 2014, I&amp;E filed an answer to </w:t>
      </w:r>
      <w:r w:rsidRPr="00666AFB">
        <w:rPr>
          <w:snapToGrid w:val="0"/>
        </w:rPr>
        <w:t xml:space="preserve">Snyder’s motion for summary judgment, pursuant to 52 </w:t>
      </w:r>
      <w:proofErr w:type="spellStart"/>
      <w:r w:rsidRPr="00666AFB">
        <w:rPr>
          <w:snapToGrid w:val="0"/>
        </w:rPr>
        <w:t>Pa.Code</w:t>
      </w:r>
      <w:proofErr w:type="spellEnd"/>
      <w:r w:rsidRPr="00666AFB">
        <w:rPr>
          <w:snapToGrid w:val="0"/>
        </w:rPr>
        <w:t xml:space="preserve"> § 5.102 and a brief in support of its answer. I&amp;E’s answer to Snyder’s motion for summary judgment admits most of the allegations in Snyder’s motion.  However, it asserts that for the reasons set forth in its brief, Snyder owes the amounts set forth in the November 13, 2013 notice of amount due served on Snyder.  </w:t>
      </w:r>
      <w:proofErr w:type="gramStart"/>
      <w:r w:rsidRPr="00666AFB">
        <w:rPr>
          <w:snapToGrid w:val="0"/>
        </w:rPr>
        <w:t>I&amp;E’s answer requests that the Commission deny Snyder’s motion for summary judgment.</w:t>
      </w:r>
      <w:proofErr w:type="gramEnd"/>
      <w:r w:rsidRPr="00666AFB">
        <w:rPr>
          <w:snapToGrid w:val="0"/>
        </w:rPr>
        <w:t xml:space="preserve"> </w:t>
      </w:r>
    </w:p>
    <w:p w:rsidR="00BA2A5C" w:rsidRPr="00666AFB" w:rsidRDefault="00BA2A5C" w:rsidP="00BA2A5C">
      <w:pPr>
        <w:spacing w:line="360" w:lineRule="auto"/>
        <w:ind w:firstLine="1440"/>
      </w:pPr>
    </w:p>
    <w:p w:rsidR="00BA2A5C" w:rsidRPr="00666AFB" w:rsidRDefault="00BA2A5C" w:rsidP="00BA2A5C">
      <w:pPr>
        <w:widowControl w:val="0"/>
        <w:spacing w:line="360" w:lineRule="auto"/>
        <w:ind w:firstLine="1440"/>
      </w:pPr>
      <w:r w:rsidRPr="00666AFB">
        <w:t xml:space="preserve">On August </w:t>
      </w:r>
      <w:r w:rsidR="00DF534E">
        <w:t>6</w:t>
      </w:r>
      <w:r w:rsidRPr="00666AFB">
        <w:t xml:space="preserve">, 2014, PIOGA filed a motion to strike an unsupported factual assertion set forth in its brief in response to Snyder’s motion for summary judgment.  PIOGA </w:t>
      </w:r>
      <w:r w:rsidRPr="00666AFB">
        <w:lastRenderedPageBreak/>
        <w:t>points out that I&amp;E’s brief contains the assertion that Snyder’s and PIOGA’s interpretation of Act 13 would greatly reduce the amount of fees and distributions under Act 13.  According to PIOGA, there is no evidentiary support for this assertion.  While PIOGA acknowledges that Snyder’s and PIOGA’s interpretation of Act 13 would greatly reduce the impact fees that would be due from Snyder, it does not follow that other producers would experience a similar reduction if the Commission were to adopt Snyder’s and PIOGA’s position.  PIOGA requests that the Commission strike the reference from I&amp;E’s brief.</w:t>
      </w:r>
    </w:p>
    <w:p w:rsidR="00BA2A5C" w:rsidRPr="00666AFB" w:rsidRDefault="00BA2A5C" w:rsidP="00BA2A5C">
      <w:pPr>
        <w:widowControl w:val="0"/>
        <w:spacing w:line="360" w:lineRule="auto"/>
        <w:ind w:firstLine="1440"/>
      </w:pPr>
    </w:p>
    <w:p w:rsidR="00BA2A5C" w:rsidRPr="00666AFB" w:rsidRDefault="0042582D" w:rsidP="00BA2A5C">
      <w:pPr>
        <w:widowControl w:val="0"/>
        <w:spacing w:line="360" w:lineRule="auto"/>
        <w:ind w:firstLine="1440"/>
      </w:pPr>
      <w:proofErr w:type="gramStart"/>
      <w:r>
        <w:t xml:space="preserve">As of the date of this order, </w:t>
      </w:r>
      <w:r w:rsidR="00BA2A5C" w:rsidRPr="00666AFB">
        <w:t xml:space="preserve">I&amp;E </w:t>
      </w:r>
      <w:r>
        <w:t xml:space="preserve">has not </w:t>
      </w:r>
      <w:r w:rsidR="00BA2A5C" w:rsidRPr="00666AFB">
        <w:t>filed an answer to PIOGA’s motion to strike.</w:t>
      </w:r>
      <w:proofErr w:type="gramEnd"/>
    </w:p>
    <w:p w:rsidR="002D323A" w:rsidRPr="00666AFB" w:rsidRDefault="002D323A" w:rsidP="00BA2A5C">
      <w:pPr>
        <w:widowControl w:val="0"/>
        <w:spacing w:line="360" w:lineRule="auto"/>
        <w:ind w:firstLine="1440"/>
      </w:pPr>
    </w:p>
    <w:p w:rsidR="00BA2A5C" w:rsidRDefault="00BA2A5C" w:rsidP="00BA2A5C">
      <w:pPr>
        <w:pStyle w:val="ParaTab1"/>
        <w:spacing w:line="360" w:lineRule="auto"/>
        <w:ind w:left="90" w:firstLine="1350"/>
        <w:rPr>
          <w:rFonts w:ascii="Times New Roman" w:hAnsi="Times New Roman" w:cs="Times New Roman"/>
        </w:rPr>
      </w:pPr>
      <w:r w:rsidRPr="00666AFB">
        <w:rPr>
          <w:rFonts w:ascii="Times New Roman" w:hAnsi="Times New Roman" w:cs="Times New Roman"/>
        </w:rPr>
        <w:t>Snyder’s motion for summary judgment is ready for decision.  For the reasons set forth below, I will deny Snyder’s motion for summary judgment.</w:t>
      </w:r>
    </w:p>
    <w:p w:rsidR="00E85C79" w:rsidRDefault="00E85C79" w:rsidP="00BA2A5C">
      <w:pPr>
        <w:pStyle w:val="ParaTab1"/>
        <w:spacing w:line="360" w:lineRule="auto"/>
        <w:ind w:left="90" w:firstLine="1350"/>
        <w:rPr>
          <w:rFonts w:ascii="Times New Roman" w:hAnsi="Times New Roman" w:cs="Times New Roman"/>
        </w:rPr>
      </w:pPr>
    </w:p>
    <w:p w:rsidR="00E85C79" w:rsidRPr="00666AFB" w:rsidRDefault="00E85C79" w:rsidP="00BA2A5C">
      <w:pPr>
        <w:pStyle w:val="ParaTab1"/>
        <w:spacing w:line="360" w:lineRule="auto"/>
        <w:ind w:left="90" w:firstLine="1350"/>
        <w:rPr>
          <w:rFonts w:ascii="Times New Roman" w:hAnsi="Times New Roman" w:cs="Times New Roman"/>
        </w:rPr>
      </w:pPr>
      <w:r>
        <w:rPr>
          <w:rFonts w:ascii="Times New Roman" w:hAnsi="Times New Roman" w:cs="Times New Roman"/>
        </w:rPr>
        <w:t xml:space="preserve">Before addressing Snyder’s motion for summary judgment, I will address PIOGA’s motion to strike a portion of I&amp;E’s brief.  PIOGA is correct that there is no evidentiary support at this stage of the proceeding for </w:t>
      </w:r>
      <w:proofErr w:type="gramStart"/>
      <w:r>
        <w:rPr>
          <w:rFonts w:ascii="Times New Roman" w:hAnsi="Times New Roman" w:cs="Times New Roman"/>
        </w:rPr>
        <w:t>I&amp;E’s</w:t>
      </w:r>
      <w:proofErr w:type="gramEnd"/>
      <w:r>
        <w:rPr>
          <w:rFonts w:ascii="Times New Roman" w:hAnsi="Times New Roman" w:cs="Times New Roman"/>
        </w:rPr>
        <w:t xml:space="preserve"> assertion in its brief that Snyder’s and PIOGA’s interpretation of Act 13 would greatly reduce the amount of fees collected </w:t>
      </w:r>
      <w:r w:rsidR="00C25F1B">
        <w:rPr>
          <w:rFonts w:ascii="Times New Roman" w:hAnsi="Times New Roman" w:cs="Times New Roman"/>
        </w:rPr>
        <w:t>and</w:t>
      </w:r>
      <w:r>
        <w:rPr>
          <w:rFonts w:ascii="Times New Roman" w:hAnsi="Times New Roman" w:cs="Times New Roman"/>
        </w:rPr>
        <w:t xml:space="preserve"> distributed pursuant to Act 13.  However, as PIOGA acknowledges, Snyder’s and PIOGA’s interpretation of Act 13 would greatly reduce the impact fees due from Snyder.  Rather than strike this reference altogether, I will limit the reference to the reduction of amounts due from Snyder. </w:t>
      </w:r>
    </w:p>
    <w:p w:rsidR="00E85C79" w:rsidRPr="00666AFB" w:rsidRDefault="00E85C79" w:rsidP="004906BE">
      <w:pPr>
        <w:pStyle w:val="ParaTab1"/>
        <w:tabs>
          <w:tab w:val="left" w:pos="2070"/>
        </w:tabs>
        <w:spacing w:line="360" w:lineRule="auto"/>
        <w:ind w:left="90" w:firstLine="630"/>
        <w:rPr>
          <w:rFonts w:ascii="Times New Roman" w:hAnsi="Times New Roman" w:cs="Times New Roman"/>
        </w:rPr>
      </w:pPr>
    </w:p>
    <w:p w:rsidR="004F7858" w:rsidRPr="00666AFB" w:rsidRDefault="001731B6" w:rsidP="004906BE">
      <w:pPr>
        <w:tabs>
          <w:tab w:val="left" w:pos="0"/>
        </w:tabs>
        <w:spacing w:line="360" w:lineRule="auto"/>
        <w:rPr>
          <w:szCs w:val="24"/>
        </w:rPr>
      </w:pPr>
      <w:r w:rsidRPr="00666AFB">
        <w:rPr>
          <w:szCs w:val="24"/>
        </w:rPr>
        <w:tab/>
      </w:r>
      <w:r w:rsidRPr="00666AFB">
        <w:rPr>
          <w:szCs w:val="24"/>
        </w:rPr>
        <w:tab/>
      </w:r>
      <w:r w:rsidR="00E85C79">
        <w:rPr>
          <w:szCs w:val="24"/>
        </w:rPr>
        <w:t xml:space="preserve">Having addressed PIOGA’s motion to strike, I will now address Snyder’s motion for summary judgment.  </w:t>
      </w:r>
      <w:r w:rsidR="004F7858" w:rsidRPr="00666AFB">
        <w:rPr>
          <w:szCs w:val="24"/>
        </w:rPr>
        <w:t xml:space="preserve">The Commission’s </w:t>
      </w:r>
      <w:r w:rsidR="00BA7C62" w:rsidRPr="00666AFB">
        <w:rPr>
          <w:szCs w:val="24"/>
        </w:rPr>
        <w:t>regulation</w:t>
      </w:r>
      <w:r w:rsidR="004F7858" w:rsidRPr="00666AFB">
        <w:rPr>
          <w:szCs w:val="24"/>
        </w:rPr>
        <w:t xml:space="preserve"> </w:t>
      </w:r>
      <w:r w:rsidR="00BA7C62" w:rsidRPr="00666AFB">
        <w:rPr>
          <w:szCs w:val="24"/>
        </w:rPr>
        <w:t xml:space="preserve">at 52 </w:t>
      </w:r>
      <w:proofErr w:type="spellStart"/>
      <w:r w:rsidR="00BA7C62" w:rsidRPr="00666AFB">
        <w:rPr>
          <w:szCs w:val="24"/>
        </w:rPr>
        <w:t>Pa.Code</w:t>
      </w:r>
      <w:proofErr w:type="spellEnd"/>
      <w:r w:rsidR="00BA7C62" w:rsidRPr="00666AFB">
        <w:rPr>
          <w:szCs w:val="24"/>
        </w:rPr>
        <w:t xml:space="preserve"> §</w:t>
      </w:r>
      <w:r w:rsidR="00F52DD5" w:rsidRPr="00666AFB">
        <w:rPr>
          <w:szCs w:val="24"/>
        </w:rPr>
        <w:t xml:space="preserve"> </w:t>
      </w:r>
      <w:r w:rsidR="00BA7C62" w:rsidRPr="00666AFB">
        <w:rPr>
          <w:szCs w:val="24"/>
        </w:rPr>
        <w:t xml:space="preserve">5.102 </w:t>
      </w:r>
      <w:r w:rsidR="00EF5DB8" w:rsidRPr="00666AFB">
        <w:rPr>
          <w:szCs w:val="24"/>
        </w:rPr>
        <w:t>governs</w:t>
      </w:r>
      <w:r w:rsidR="00CF67B6" w:rsidRPr="00666AFB">
        <w:rPr>
          <w:szCs w:val="24"/>
        </w:rPr>
        <w:t xml:space="preserve"> motion</w:t>
      </w:r>
      <w:r w:rsidR="00EF5DB8" w:rsidRPr="00666AFB">
        <w:rPr>
          <w:szCs w:val="24"/>
        </w:rPr>
        <w:t>s</w:t>
      </w:r>
      <w:r w:rsidR="00CF67B6" w:rsidRPr="00666AFB">
        <w:rPr>
          <w:szCs w:val="24"/>
        </w:rPr>
        <w:t xml:space="preserve"> for summary judgment</w:t>
      </w:r>
      <w:r w:rsidR="004F7858" w:rsidRPr="00666AFB">
        <w:rPr>
          <w:szCs w:val="24"/>
        </w:rPr>
        <w:t xml:space="preserve">.  </w:t>
      </w:r>
      <w:r w:rsidR="00EF5DB8" w:rsidRPr="00666AFB">
        <w:rPr>
          <w:szCs w:val="24"/>
        </w:rPr>
        <w:t>T</w:t>
      </w:r>
      <w:r w:rsidR="004F7858" w:rsidRPr="00666AFB">
        <w:rPr>
          <w:szCs w:val="24"/>
        </w:rPr>
        <w:t xml:space="preserve">he Commission’s regulation at 52 </w:t>
      </w:r>
      <w:proofErr w:type="spellStart"/>
      <w:r w:rsidR="004F7858" w:rsidRPr="00666AFB">
        <w:rPr>
          <w:szCs w:val="24"/>
        </w:rPr>
        <w:t>Pa.Code</w:t>
      </w:r>
      <w:proofErr w:type="spellEnd"/>
      <w:r w:rsidR="004F7858" w:rsidRPr="00666AFB">
        <w:rPr>
          <w:szCs w:val="24"/>
        </w:rPr>
        <w:t xml:space="preserve"> §</w:t>
      </w:r>
      <w:r w:rsidR="00F52DD5" w:rsidRPr="00666AFB">
        <w:rPr>
          <w:szCs w:val="24"/>
        </w:rPr>
        <w:t xml:space="preserve"> </w:t>
      </w:r>
      <w:r w:rsidR="004F7858" w:rsidRPr="00666AFB">
        <w:rPr>
          <w:szCs w:val="24"/>
        </w:rPr>
        <w:t xml:space="preserve">5.102(a) permits any party to move for summary judgment after the pleadings are closed, but within such time </w:t>
      </w:r>
      <w:r w:rsidR="005B7E6B">
        <w:rPr>
          <w:szCs w:val="24"/>
        </w:rPr>
        <w:t xml:space="preserve">so </w:t>
      </w:r>
      <w:r w:rsidR="004F7858" w:rsidRPr="00666AFB">
        <w:rPr>
          <w:szCs w:val="24"/>
        </w:rPr>
        <w:t>as not to delay a hearing.  A motion for summary judgment must be based on the pleadings, depositions, answers to interrogatories, admission</w:t>
      </w:r>
      <w:r w:rsidR="007B0DFE" w:rsidRPr="00666AFB">
        <w:rPr>
          <w:szCs w:val="24"/>
        </w:rPr>
        <w:t>s</w:t>
      </w:r>
      <w:r w:rsidR="004F7858" w:rsidRPr="00666AFB">
        <w:rPr>
          <w:szCs w:val="24"/>
        </w:rPr>
        <w:t xml:space="preserve"> and supporting affidavits.  </w:t>
      </w:r>
      <w:proofErr w:type="gramStart"/>
      <w:r w:rsidR="004F7858" w:rsidRPr="00666AFB">
        <w:rPr>
          <w:szCs w:val="24"/>
        </w:rPr>
        <w:t xml:space="preserve">52 </w:t>
      </w:r>
      <w:proofErr w:type="spellStart"/>
      <w:r w:rsidR="004F7858" w:rsidRPr="00666AFB">
        <w:rPr>
          <w:szCs w:val="24"/>
        </w:rPr>
        <w:t>Pa.Code</w:t>
      </w:r>
      <w:proofErr w:type="spellEnd"/>
      <w:r w:rsidR="004F7858" w:rsidRPr="00666AFB">
        <w:rPr>
          <w:szCs w:val="24"/>
        </w:rPr>
        <w:t xml:space="preserve"> §</w:t>
      </w:r>
      <w:r w:rsidR="003E1531" w:rsidRPr="00666AFB">
        <w:rPr>
          <w:szCs w:val="24"/>
        </w:rPr>
        <w:t> </w:t>
      </w:r>
      <w:r w:rsidR="004F7858" w:rsidRPr="00666AFB">
        <w:rPr>
          <w:szCs w:val="24"/>
        </w:rPr>
        <w:t>5.102(c)</w:t>
      </w:r>
      <w:r w:rsidR="009B64D3" w:rsidRPr="00666AFB">
        <w:rPr>
          <w:szCs w:val="24"/>
        </w:rPr>
        <w:t>.</w:t>
      </w:r>
      <w:proofErr w:type="gramEnd"/>
      <w:r w:rsidR="004F7858" w:rsidRPr="00666AFB">
        <w:rPr>
          <w:szCs w:val="24"/>
        </w:rPr>
        <w:t xml:space="preserve">  The presiding officer will grant a motion for summary judgment if the pleadings, depositions, answers to interrogatories, admissions and affidavits show that there is no genuine </w:t>
      </w:r>
      <w:r w:rsidR="004F7858" w:rsidRPr="00666AFB">
        <w:rPr>
          <w:szCs w:val="24"/>
        </w:rPr>
        <w:lastRenderedPageBreak/>
        <w:t>issue as to a material fact and that the moving party is entitled to judgment as a matter of law.  52</w:t>
      </w:r>
      <w:r w:rsidR="00174FEF" w:rsidRPr="00666AFB">
        <w:rPr>
          <w:szCs w:val="24"/>
        </w:rPr>
        <w:t xml:space="preserve"> </w:t>
      </w:r>
      <w:proofErr w:type="spellStart"/>
      <w:r w:rsidR="004F7858" w:rsidRPr="00666AFB">
        <w:rPr>
          <w:szCs w:val="24"/>
        </w:rPr>
        <w:t>Pa.Code</w:t>
      </w:r>
      <w:proofErr w:type="spellEnd"/>
      <w:r w:rsidR="004F7858" w:rsidRPr="00666AFB">
        <w:rPr>
          <w:szCs w:val="24"/>
        </w:rPr>
        <w:t xml:space="preserve"> §</w:t>
      </w:r>
      <w:r w:rsidR="00F52DD5" w:rsidRPr="00666AFB">
        <w:rPr>
          <w:szCs w:val="24"/>
        </w:rPr>
        <w:t xml:space="preserve"> </w:t>
      </w:r>
      <w:r w:rsidR="009F0D66" w:rsidRPr="00666AFB">
        <w:rPr>
          <w:szCs w:val="24"/>
        </w:rPr>
        <w:t>5.102(d</w:t>
      </w:r>
      <w:proofErr w:type="gramStart"/>
      <w:r w:rsidR="009F0D66" w:rsidRPr="00666AFB">
        <w:rPr>
          <w:szCs w:val="24"/>
        </w:rPr>
        <w:t>)(</w:t>
      </w:r>
      <w:proofErr w:type="gramEnd"/>
      <w:r w:rsidR="009F0D66" w:rsidRPr="00666AFB">
        <w:rPr>
          <w:szCs w:val="24"/>
        </w:rPr>
        <w:t>1).</w:t>
      </w:r>
    </w:p>
    <w:p w:rsidR="004F7858" w:rsidRPr="00666AFB" w:rsidRDefault="004F7858" w:rsidP="004906BE">
      <w:pPr>
        <w:tabs>
          <w:tab w:val="left" w:pos="0"/>
        </w:tabs>
        <w:spacing w:line="360" w:lineRule="auto"/>
        <w:rPr>
          <w:szCs w:val="24"/>
        </w:rPr>
      </w:pPr>
    </w:p>
    <w:p w:rsidR="004F7858" w:rsidRPr="00666AFB" w:rsidRDefault="004F7858" w:rsidP="004906BE">
      <w:pPr>
        <w:tabs>
          <w:tab w:val="left" w:pos="0"/>
        </w:tabs>
        <w:spacing w:line="360" w:lineRule="auto"/>
        <w:rPr>
          <w:szCs w:val="24"/>
        </w:rPr>
      </w:pPr>
      <w:r w:rsidRPr="00666AFB">
        <w:rPr>
          <w:szCs w:val="24"/>
        </w:rPr>
        <w:tab/>
      </w:r>
      <w:r w:rsidRPr="00666AFB">
        <w:rPr>
          <w:szCs w:val="24"/>
        </w:rPr>
        <w:tab/>
        <w:t xml:space="preserve">The moving party bears the burden of showing that no genuine issue of material fact exists and that it is entitled to a judgment as a matter of law.  The Commission must view the record in the light most favorable to the non-moving party, giving that party the benefit of all reasonable inferences.  </w:t>
      </w:r>
      <w:proofErr w:type="gramStart"/>
      <w:r w:rsidRPr="00666AFB">
        <w:rPr>
          <w:szCs w:val="24"/>
          <w:u w:val="single"/>
        </w:rPr>
        <w:t xml:space="preserve">First Mortgage Co. </w:t>
      </w:r>
      <w:r w:rsidR="00C300E7" w:rsidRPr="00666AFB">
        <w:rPr>
          <w:szCs w:val="24"/>
          <w:u w:val="single"/>
        </w:rPr>
        <w:t>of Pa</w:t>
      </w:r>
      <w:r w:rsidR="00F52DD5" w:rsidRPr="00666AFB">
        <w:rPr>
          <w:szCs w:val="24"/>
          <w:u w:val="single"/>
        </w:rPr>
        <w:t>.</w:t>
      </w:r>
      <w:r w:rsidR="00572071" w:rsidRPr="00666AFB">
        <w:rPr>
          <w:szCs w:val="24"/>
          <w:u w:val="single"/>
        </w:rPr>
        <w:t xml:space="preserve"> v. </w:t>
      </w:r>
      <w:r w:rsidRPr="00666AFB">
        <w:rPr>
          <w:szCs w:val="24"/>
          <w:u w:val="single"/>
        </w:rPr>
        <w:t>McCall</w:t>
      </w:r>
      <w:r w:rsidRPr="00666AFB">
        <w:rPr>
          <w:szCs w:val="24"/>
        </w:rPr>
        <w:t>, 459</w:t>
      </w:r>
      <w:r w:rsidR="00174FEF" w:rsidRPr="00666AFB">
        <w:rPr>
          <w:szCs w:val="24"/>
        </w:rPr>
        <w:t xml:space="preserve"> </w:t>
      </w:r>
      <w:r w:rsidRPr="00666AFB">
        <w:rPr>
          <w:szCs w:val="24"/>
        </w:rPr>
        <w:t>A.2d</w:t>
      </w:r>
      <w:r w:rsidR="00174FEF" w:rsidRPr="00666AFB">
        <w:rPr>
          <w:szCs w:val="24"/>
        </w:rPr>
        <w:t xml:space="preserve"> </w:t>
      </w:r>
      <w:r w:rsidRPr="00666AFB">
        <w:rPr>
          <w:szCs w:val="24"/>
        </w:rPr>
        <w:t>406 (Pa. Super.</w:t>
      </w:r>
      <w:r w:rsidR="00F52DD5" w:rsidRPr="00666AFB">
        <w:rPr>
          <w:szCs w:val="24"/>
        </w:rPr>
        <w:t xml:space="preserve"> </w:t>
      </w:r>
      <w:r w:rsidRPr="00666AFB">
        <w:rPr>
          <w:szCs w:val="24"/>
        </w:rPr>
        <w:t xml:space="preserve">1983); </w:t>
      </w:r>
      <w:r w:rsidRPr="00666AFB">
        <w:rPr>
          <w:szCs w:val="24"/>
          <w:u w:val="single"/>
        </w:rPr>
        <w:t xml:space="preserve">Mertz v. </w:t>
      </w:r>
      <w:proofErr w:type="spellStart"/>
      <w:r w:rsidRPr="00666AFB">
        <w:rPr>
          <w:szCs w:val="24"/>
          <w:u w:val="single"/>
        </w:rPr>
        <w:t>Lakatos</w:t>
      </w:r>
      <w:proofErr w:type="spellEnd"/>
      <w:r w:rsidR="00174FEF" w:rsidRPr="00666AFB">
        <w:rPr>
          <w:szCs w:val="24"/>
        </w:rPr>
        <w:t xml:space="preserve">, 381 A.2d </w:t>
      </w:r>
      <w:r w:rsidRPr="00666AFB">
        <w:rPr>
          <w:szCs w:val="24"/>
        </w:rPr>
        <w:t xml:space="preserve">497 (Pa. </w:t>
      </w:r>
      <w:proofErr w:type="spellStart"/>
      <w:r w:rsidRPr="00666AFB">
        <w:rPr>
          <w:szCs w:val="24"/>
        </w:rPr>
        <w:t>Cmwlth</w:t>
      </w:r>
      <w:proofErr w:type="spellEnd"/>
      <w:r w:rsidRPr="00666AFB">
        <w:rPr>
          <w:szCs w:val="24"/>
        </w:rPr>
        <w:t>. 1976).</w:t>
      </w:r>
      <w:proofErr w:type="gramEnd"/>
      <w:r w:rsidRPr="00666AFB">
        <w:rPr>
          <w:szCs w:val="24"/>
        </w:rPr>
        <w:t xml:space="preserve">  All doubts as to the existence of a genuine issue of material fact must be resolved against the moving party.  </w:t>
      </w:r>
      <w:proofErr w:type="gramStart"/>
      <w:r w:rsidRPr="00666AFB">
        <w:rPr>
          <w:szCs w:val="24"/>
          <w:u w:val="single"/>
        </w:rPr>
        <w:t>Thomson Coal Co</w:t>
      </w:r>
      <w:r w:rsidR="00F52DD5" w:rsidRPr="00666AFB">
        <w:rPr>
          <w:szCs w:val="24"/>
          <w:u w:val="single"/>
        </w:rPr>
        <w:t>.</w:t>
      </w:r>
      <w:r w:rsidRPr="00666AFB">
        <w:rPr>
          <w:szCs w:val="24"/>
          <w:u w:val="single"/>
        </w:rPr>
        <w:t xml:space="preserve"> v. Pike Coal Co</w:t>
      </w:r>
      <w:r w:rsidR="00F52DD5" w:rsidRPr="00666AFB">
        <w:rPr>
          <w:szCs w:val="24"/>
          <w:u w:val="single"/>
        </w:rPr>
        <w:t>.</w:t>
      </w:r>
      <w:r w:rsidRPr="00666AFB">
        <w:rPr>
          <w:szCs w:val="24"/>
        </w:rPr>
        <w:t>, 412</w:t>
      </w:r>
      <w:r w:rsidR="00174FEF" w:rsidRPr="00666AFB">
        <w:rPr>
          <w:szCs w:val="24"/>
        </w:rPr>
        <w:t xml:space="preserve"> </w:t>
      </w:r>
      <w:r w:rsidRPr="00666AFB">
        <w:rPr>
          <w:szCs w:val="24"/>
        </w:rPr>
        <w:t>A.2d</w:t>
      </w:r>
      <w:r w:rsidR="00174FEF" w:rsidRPr="00666AFB">
        <w:rPr>
          <w:szCs w:val="24"/>
        </w:rPr>
        <w:t xml:space="preserve"> </w:t>
      </w:r>
      <w:r w:rsidRPr="00666AFB">
        <w:rPr>
          <w:szCs w:val="24"/>
        </w:rPr>
        <w:t>466 (Pa. 1979).</w:t>
      </w:r>
      <w:proofErr w:type="gramEnd"/>
      <w:r w:rsidRPr="00666AFB">
        <w:rPr>
          <w:szCs w:val="24"/>
        </w:rPr>
        <w:t xml:space="preserve">  Summary judgment will be granted only where the right is clear and free from doubt.</w:t>
      </w:r>
    </w:p>
    <w:p w:rsidR="004F7858" w:rsidRPr="00666AFB" w:rsidRDefault="004F7858" w:rsidP="004906BE">
      <w:pPr>
        <w:tabs>
          <w:tab w:val="left" w:pos="0"/>
        </w:tabs>
        <w:spacing w:line="360" w:lineRule="auto"/>
        <w:rPr>
          <w:szCs w:val="24"/>
        </w:rPr>
      </w:pPr>
    </w:p>
    <w:p w:rsidR="004F7858" w:rsidRPr="00666AFB" w:rsidRDefault="004F7858" w:rsidP="004906BE">
      <w:pPr>
        <w:tabs>
          <w:tab w:val="left" w:pos="0"/>
        </w:tabs>
        <w:spacing w:line="360" w:lineRule="auto"/>
        <w:rPr>
          <w:szCs w:val="24"/>
        </w:rPr>
      </w:pPr>
      <w:r w:rsidRPr="00666AFB">
        <w:rPr>
          <w:szCs w:val="24"/>
        </w:rPr>
        <w:tab/>
      </w:r>
      <w:r w:rsidRPr="00666AFB">
        <w:rPr>
          <w:szCs w:val="24"/>
        </w:rPr>
        <w:tab/>
        <w:t>The non-moving party in a motion for summary judgment must allege facts showing that an issue for trial exists.</w:t>
      </w:r>
      <w:r w:rsidR="00174FEF" w:rsidRPr="00666AFB">
        <w:rPr>
          <w:szCs w:val="24"/>
        </w:rPr>
        <w:t xml:space="preserve"> </w:t>
      </w:r>
      <w:r w:rsidRPr="00666AFB">
        <w:rPr>
          <w:szCs w:val="24"/>
        </w:rPr>
        <w:t xml:space="preserve"> </w:t>
      </w:r>
      <w:proofErr w:type="gramStart"/>
      <w:r w:rsidRPr="00666AFB">
        <w:rPr>
          <w:szCs w:val="24"/>
          <w:u w:val="single"/>
        </w:rPr>
        <w:t xml:space="preserve">First Mortgage Co. </w:t>
      </w:r>
      <w:r w:rsidR="00C300E7" w:rsidRPr="00666AFB">
        <w:rPr>
          <w:szCs w:val="24"/>
          <w:u w:val="single"/>
        </w:rPr>
        <w:t>of P</w:t>
      </w:r>
      <w:r w:rsidR="00F52DD5" w:rsidRPr="00666AFB">
        <w:rPr>
          <w:szCs w:val="24"/>
          <w:u w:val="single"/>
        </w:rPr>
        <w:t>a.</w:t>
      </w:r>
      <w:r w:rsidRPr="00666AFB">
        <w:rPr>
          <w:szCs w:val="24"/>
          <w:u w:val="single"/>
        </w:rPr>
        <w:t xml:space="preserve"> v. McCall</w:t>
      </w:r>
      <w:r w:rsidRPr="00666AFB">
        <w:rPr>
          <w:szCs w:val="24"/>
        </w:rPr>
        <w:t>, 459</w:t>
      </w:r>
      <w:r w:rsidR="00174FEF" w:rsidRPr="00666AFB">
        <w:rPr>
          <w:szCs w:val="24"/>
        </w:rPr>
        <w:t xml:space="preserve"> </w:t>
      </w:r>
      <w:r w:rsidRPr="00666AFB">
        <w:rPr>
          <w:szCs w:val="24"/>
        </w:rPr>
        <w:t>A.2d</w:t>
      </w:r>
      <w:r w:rsidR="00174FEF" w:rsidRPr="00666AFB">
        <w:rPr>
          <w:szCs w:val="24"/>
        </w:rPr>
        <w:t xml:space="preserve"> </w:t>
      </w:r>
      <w:r w:rsidRPr="00666AFB">
        <w:rPr>
          <w:szCs w:val="24"/>
        </w:rPr>
        <w:t xml:space="preserve">406 (Pa. Super. 1983); </w:t>
      </w:r>
      <w:r w:rsidRPr="00666AFB">
        <w:rPr>
          <w:szCs w:val="24"/>
          <w:u w:val="single"/>
        </w:rPr>
        <w:t>Commonwealth v. Diamond Shamrock Chemical Co.</w:t>
      </w:r>
      <w:r w:rsidRPr="00666AFB">
        <w:rPr>
          <w:szCs w:val="24"/>
        </w:rPr>
        <w:t>, 391</w:t>
      </w:r>
      <w:r w:rsidR="00174FEF" w:rsidRPr="00666AFB">
        <w:rPr>
          <w:szCs w:val="24"/>
        </w:rPr>
        <w:t xml:space="preserve"> </w:t>
      </w:r>
      <w:r w:rsidRPr="00666AFB">
        <w:rPr>
          <w:szCs w:val="24"/>
        </w:rPr>
        <w:t>A.2d</w:t>
      </w:r>
      <w:r w:rsidR="00174FEF" w:rsidRPr="00666AFB">
        <w:rPr>
          <w:szCs w:val="24"/>
        </w:rPr>
        <w:t xml:space="preserve"> </w:t>
      </w:r>
      <w:r w:rsidRPr="00666AFB">
        <w:rPr>
          <w:szCs w:val="24"/>
        </w:rPr>
        <w:t xml:space="preserve">1333 (Pa. </w:t>
      </w:r>
      <w:proofErr w:type="spellStart"/>
      <w:r w:rsidRPr="00666AFB">
        <w:rPr>
          <w:szCs w:val="24"/>
        </w:rPr>
        <w:t>Cmwlth</w:t>
      </w:r>
      <w:proofErr w:type="spellEnd"/>
      <w:r w:rsidRPr="00666AFB">
        <w:rPr>
          <w:szCs w:val="24"/>
        </w:rPr>
        <w:t xml:space="preserve">. 1978); </w:t>
      </w:r>
      <w:r w:rsidRPr="00666AFB">
        <w:rPr>
          <w:szCs w:val="24"/>
          <w:u w:val="single"/>
        </w:rPr>
        <w:t>Stover v.</w:t>
      </w:r>
      <w:proofErr w:type="gramEnd"/>
      <w:r w:rsidRPr="00666AFB">
        <w:rPr>
          <w:szCs w:val="24"/>
          <w:u w:val="single"/>
        </w:rPr>
        <w:t xml:space="preserve"> The United Telephone Co. of</w:t>
      </w:r>
      <w:r w:rsidR="006B1D51" w:rsidRPr="00666AFB">
        <w:rPr>
          <w:szCs w:val="24"/>
          <w:u w:val="single"/>
        </w:rPr>
        <w:t xml:space="preserve"> </w:t>
      </w:r>
      <w:r w:rsidRPr="00666AFB">
        <w:rPr>
          <w:szCs w:val="24"/>
          <w:u w:val="single"/>
        </w:rPr>
        <w:t>Pa</w:t>
      </w:r>
      <w:r w:rsidR="00F52DD5" w:rsidRPr="00666AFB">
        <w:rPr>
          <w:szCs w:val="24"/>
          <w:u w:val="single"/>
        </w:rPr>
        <w:t>.</w:t>
      </w:r>
      <w:r w:rsidRPr="00666AFB">
        <w:rPr>
          <w:szCs w:val="24"/>
        </w:rPr>
        <w:t>, Docket No.</w:t>
      </w:r>
      <w:r w:rsidR="00656D0C" w:rsidRPr="00666AFB">
        <w:rPr>
          <w:szCs w:val="24"/>
        </w:rPr>
        <w:t xml:space="preserve"> </w:t>
      </w:r>
      <w:proofErr w:type="gramStart"/>
      <w:r w:rsidRPr="00666AFB">
        <w:rPr>
          <w:szCs w:val="24"/>
        </w:rPr>
        <w:t>C-00923833 (Order entered July 21, 1992</w:t>
      </w:r>
      <w:r w:rsidR="00C300E7" w:rsidRPr="00666AFB">
        <w:rPr>
          <w:szCs w:val="24"/>
        </w:rPr>
        <w:t>)</w:t>
      </w:r>
      <w:r w:rsidR="00422891" w:rsidRPr="00666AFB">
        <w:rPr>
          <w:szCs w:val="24"/>
        </w:rPr>
        <w:t>.</w:t>
      </w:r>
      <w:proofErr w:type="gramEnd"/>
      <w:r w:rsidR="00422891" w:rsidRPr="00666AFB">
        <w:rPr>
          <w:szCs w:val="24"/>
        </w:rPr>
        <w:t xml:space="preserve"> </w:t>
      </w:r>
      <w:r w:rsidR="00C300E7" w:rsidRPr="00666AFB">
        <w:rPr>
          <w:szCs w:val="24"/>
        </w:rPr>
        <w:t xml:space="preserve"> The</w:t>
      </w:r>
      <w:r w:rsidRPr="00666AFB">
        <w:rPr>
          <w:szCs w:val="24"/>
        </w:rPr>
        <w:t xml:space="preserve"> Commission has interpreted </w:t>
      </w:r>
      <w:r w:rsidR="00250FBB" w:rsidRPr="00666AFB">
        <w:rPr>
          <w:szCs w:val="24"/>
        </w:rPr>
        <w:t xml:space="preserve">52 </w:t>
      </w:r>
      <w:proofErr w:type="spellStart"/>
      <w:r w:rsidR="00250FBB" w:rsidRPr="00666AFB">
        <w:rPr>
          <w:szCs w:val="24"/>
        </w:rPr>
        <w:t>Pa.Code</w:t>
      </w:r>
      <w:proofErr w:type="spellEnd"/>
      <w:r w:rsidR="00250FBB" w:rsidRPr="00666AFB">
        <w:rPr>
          <w:szCs w:val="24"/>
        </w:rPr>
        <w:t xml:space="preserve"> § 5.102(c)</w:t>
      </w:r>
      <w:r w:rsidRPr="00666AFB">
        <w:rPr>
          <w:szCs w:val="24"/>
        </w:rPr>
        <w:t xml:space="preserve"> in conformity with Rule 1035 (now Rule 1035.1) of the Pennsylvania Rules of Civil Procedure.  </w:t>
      </w:r>
      <w:r w:rsidRPr="00666AFB">
        <w:rPr>
          <w:szCs w:val="24"/>
          <w:u w:val="single"/>
        </w:rPr>
        <w:t>South River Power Partners, L.P. v. West Penn Power Co</w:t>
      </w:r>
      <w:r w:rsidR="000F43FB" w:rsidRPr="00666AFB">
        <w:rPr>
          <w:szCs w:val="24"/>
          <w:u w:val="single"/>
        </w:rPr>
        <w:t>.</w:t>
      </w:r>
      <w:r w:rsidRPr="00666AFB">
        <w:rPr>
          <w:szCs w:val="24"/>
        </w:rPr>
        <w:t xml:space="preserve">, Docket No. </w:t>
      </w:r>
      <w:proofErr w:type="gramStart"/>
      <w:r w:rsidRPr="00666AFB">
        <w:rPr>
          <w:szCs w:val="24"/>
        </w:rPr>
        <w:t>C-00935287 (Order entered November 6, 1996)</w:t>
      </w:r>
      <w:r w:rsidR="00422891" w:rsidRPr="00666AFB">
        <w:rPr>
          <w:szCs w:val="24"/>
        </w:rPr>
        <w:t>.</w:t>
      </w:r>
      <w:proofErr w:type="gramEnd"/>
      <w:r w:rsidRPr="00666AFB">
        <w:rPr>
          <w:szCs w:val="24"/>
        </w:rPr>
        <w:t xml:space="preserve"> </w:t>
      </w:r>
      <w:r w:rsidR="00EF5DB8" w:rsidRPr="00666AFB">
        <w:rPr>
          <w:szCs w:val="24"/>
        </w:rPr>
        <w:t xml:space="preserve"> </w:t>
      </w:r>
      <w:r w:rsidRPr="00666AFB">
        <w:rPr>
          <w:szCs w:val="24"/>
        </w:rPr>
        <w:t xml:space="preserve">In civil practice, a non-moving party may not rely solely upon denials in its pleadings, but must submit some materials to establish that a genuine issue of material fact exists.  </w:t>
      </w:r>
      <w:proofErr w:type="spellStart"/>
      <w:proofErr w:type="gramStart"/>
      <w:r w:rsidRPr="00666AFB">
        <w:rPr>
          <w:szCs w:val="24"/>
          <w:u w:val="single"/>
        </w:rPr>
        <w:t>Nicastro</w:t>
      </w:r>
      <w:proofErr w:type="spellEnd"/>
      <w:r w:rsidRPr="00666AFB">
        <w:rPr>
          <w:szCs w:val="24"/>
          <w:u w:val="single"/>
        </w:rPr>
        <w:t xml:space="preserve"> v. </w:t>
      </w:r>
      <w:proofErr w:type="spellStart"/>
      <w:r w:rsidRPr="00666AFB">
        <w:rPr>
          <w:szCs w:val="24"/>
          <w:u w:val="single"/>
        </w:rPr>
        <w:t>Cuyler</w:t>
      </w:r>
      <w:proofErr w:type="spellEnd"/>
      <w:r w:rsidRPr="00666AFB">
        <w:rPr>
          <w:szCs w:val="24"/>
        </w:rPr>
        <w:t>, 467</w:t>
      </w:r>
      <w:r w:rsidR="00422891" w:rsidRPr="00666AFB">
        <w:rPr>
          <w:szCs w:val="24"/>
        </w:rPr>
        <w:t xml:space="preserve"> </w:t>
      </w:r>
      <w:r w:rsidRPr="00666AFB">
        <w:rPr>
          <w:szCs w:val="24"/>
        </w:rPr>
        <w:t>A.2d</w:t>
      </w:r>
      <w:r w:rsidR="00422891" w:rsidRPr="00666AFB">
        <w:rPr>
          <w:szCs w:val="24"/>
        </w:rPr>
        <w:t xml:space="preserve"> </w:t>
      </w:r>
      <w:r w:rsidRPr="00666AFB">
        <w:rPr>
          <w:szCs w:val="24"/>
        </w:rPr>
        <w:t xml:space="preserve">1218 (Pa. </w:t>
      </w:r>
      <w:proofErr w:type="spellStart"/>
      <w:r w:rsidRPr="00666AFB">
        <w:rPr>
          <w:szCs w:val="24"/>
        </w:rPr>
        <w:t>Cmwlth</w:t>
      </w:r>
      <w:proofErr w:type="spellEnd"/>
      <w:r w:rsidRPr="00666AFB">
        <w:rPr>
          <w:szCs w:val="24"/>
        </w:rPr>
        <w:t xml:space="preserve">. 1983); </w:t>
      </w:r>
      <w:r w:rsidRPr="00666AFB">
        <w:rPr>
          <w:szCs w:val="24"/>
          <w:u w:val="single"/>
        </w:rPr>
        <w:t xml:space="preserve">Pennsylvania Gas &amp; Water Co. v. </w:t>
      </w:r>
      <w:proofErr w:type="spellStart"/>
      <w:r w:rsidRPr="00666AFB">
        <w:rPr>
          <w:szCs w:val="24"/>
          <w:u w:val="single"/>
        </w:rPr>
        <w:t>Nenna</w:t>
      </w:r>
      <w:proofErr w:type="spellEnd"/>
      <w:r w:rsidRPr="00666AFB">
        <w:rPr>
          <w:szCs w:val="24"/>
          <w:u w:val="single"/>
        </w:rPr>
        <w:t xml:space="preserve"> &amp; Frain, Inc.</w:t>
      </w:r>
      <w:r w:rsidRPr="00666AFB">
        <w:rPr>
          <w:szCs w:val="24"/>
        </w:rPr>
        <w:t>, 467</w:t>
      </w:r>
      <w:r w:rsidR="00422891" w:rsidRPr="00666AFB">
        <w:rPr>
          <w:szCs w:val="24"/>
        </w:rPr>
        <w:t xml:space="preserve"> </w:t>
      </w:r>
      <w:r w:rsidRPr="00666AFB">
        <w:rPr>
          <w:szCs w:val="24"/>
        </w:rPr>
        <w:t>A.2d</w:t>
      </w:r>
      <w:r w:rsidR="00422891" w:rsidRPr="00666AFB">
        <w:rPr>
          <w:szCs w:val="24"/>
        </w:rPr>
        <w:t xml:space="preserve"> </w:t>
      </w:r>
      <w:r w:rsidRPr="00666AFB">
        <w:rPr>
          <w:szCs w:val="24"/>
        </w:rPr>
        <w:t xml:space="preserve">330 (Pa. Super. 1983); </w:t>
      </w:r>
      <w:proofErr w:type="spellStart"/>
      <w:r w:rsidRPr="00666AFB">
        <w:rPr>
          <w:szCs w:val="24"/>
          <w:u w:val="single"/>
        </w:rPr>
        <w:t>Geriot</w:t>
      </w:r>
      <w:proofErr w:type="spellEnd"/>
      <w:r w:rsidRPr="00666AFB">
        <w:rPr>
          <w:szCs w:val="24"/>
          <w:u w:val="single"/>
        </w:rPr>
        <w:t xml:space="preserve"> v. Council of Borough of Darby</w:t>
      </w:r>
      <w:r w:rsidR="00572071" w:rsidRPr="00666AFB">
        <w:rPr>
          <w:szCs w:val="24"/>
        </w:rPr>
        <w:t>, </w:t>
      </w:r>
      <w:r w:rsidRPr="00666AFB">
        <w:rPr>
          <w:szCs w:val="24"/>
        </w:rPr>
        <w:t>457</w:t>
      </w:r>
      <w:r w:rsidR="00422891" w:rsidRPr="00666AFB">
        <w:rPr>
          <w:szCs w:val="24"/>
        </w:rPr>
        <w:t xml:space="preserve"> </w:t>
      </w:r>
      <w:r w:rsidRPr="00666AFB">
        <w:rPr>
          <w:szCs w:val="24"/>
        </w:rPr>
        <w:t>A.2d</w:t>
      </w:r>
      <w:r w:rsidR="00422891" w:rsidRPr="00666AFB">
        <w:rPr>
          <w:szCs w:val="24"/>
        </w:rPr>
        <w:t xml:space="preserve"> </w:t>
      </w:r>
      <w:r w:rsidRPr="00666AFB">
        <w:rPr>
          <w:szCs w:val="24"/>
        </w:rPr>
        <w:t xml:space="preserve">202 (Pa. </w:t>
      </w:r>
      <w:proofErr w:type="spellStart"/>
      <w:r w:rsidRPr="00666AFB">
        <w:rPr>
          <w:szCs w:val="24"/>
        </w:rPr>
        <w:t>Cmwlth</w:t>
      </w:r>
      <w:proofErr w:type="spellEnd"/>
      <w:r w:rsidRPr="00666AFB">
        <w:rPr>
          <w:szCs w:val="24"/>
        </w:rPr>
        <w:t>. 1983).</w:t>
      </w:r>
      <w:proofErr w:type="gramEnd"/>
    </w:p>
    <w:p w:rsidR="004F7858" w:rsidRPr="00666AFB" w:rsidRDefault="004F7858" w:rsidP="004906BE">
      <w:pPr>
        <w:tabs>
          <w:tab w:val="left" w:pos="0"/>
        </w:tabs>
        <w:spacing w:line="360" w:lineRule="auto"/>
        <w:rPr>
          <w:szCs w:val="24"/>
        </w:rPr>
      </w:pPr>
    </w:p>
    <w:p w:rsidR="00F72FA2" w:rsidRPr="00666AFB" w:rsidRDefault="004F7858" w:rsidP="004906BE">
      <w:pPr>
        <w:pStyle w:val="ParaTab1"/>
        <w:spacing w:line="360" w:lineRule="auto"/>
        <w:ind w:left="90" w:firstLine="1350"/>
        <w:rPr>
          <w:rFonts w:ascii="Times New Roman" w:hAnsi="Times New Roman" w:cs="Times New Roman"/>
        </w:rPr>
      </w:pPr>
      <w:r w:rsidRPr="00666AFB">
        <w:rPr>
          <w:rFonts w:ascii="Times New Roman" w:hAnsi="Times New Roman" w:cs="Times New Roman"/>
        </w:rPr>
        <w:t xml:space="preserve">The provision at 52 </w:t>
      </w:r>
      <w:proofErr w:type="spellStart"/>
      <w:r w:rsidRPr="00666AFB">
        <w:rPr>
          <w:rFonts w:ascii="Times New Roman" w:hAnsi="Times New Roman" w:cs="Times New Roman"/>
        </w:rPr>
        <w:t>Pa.Code</w:t>
      </w:r>
      <w:proofErr w:type="spellEnd"/>
      <w:r w:rsidRPr="00666AFB">
        <w:rPr>
          <w:rFonts w:ascii="Times New Roman" w:hAnsi="Times New Roman" w:cs="Times New Roman"/>
        </w:rPr>
        <w:t xml:space="preserve"> §</w:t>
      </w:r>
      <w:r w:rsidR="00F52DD5" w:rsidRPr="00666AFB">
        <w:rPr>
          <w:rFonts w:ascii="Times New Roman" w:hAnsi="Times New Roman" w:cs="Times New Roman"/>
        </w:rPr>
        <w:t xml:space="preserve"> </w:t>
      </w:r>
      <w:r w:rsidRPr="00666AFB">
        <w:rPr>
          <w:rFonts w:ascii="Times New Roman" w:hAnsi="Times New Roman" w:cs="Times New Roman"/>
        </w:rPr>
        <w:t xml:space="preserve">5.102(c) serves judicial economy by avoiding a hearing where no factual dispute exists.  If no factual issue pertinent to the resolution of a case exists, a hearing is unnecessary.  </w:t>
      </w:r>
      <w:proofErr w:type="gramStart"/>
      <w:r w:rsidRPr="00666AFB">
        <w:rPr>
          <w:rFonts w:ascii="Times New Roman" w:hAnsi="Times New Roman" w:cs="Times New Roman"/>
        </w:rPr>
        <w:t>66</w:t>
      </w:r>
      <w:r w:rsidR="00422891" w:rsidRPr="00666AFB">
        <w:rPr>
          <w:rFonts w:ascii="Times New Roman" w:hAnsi="Times New Roman" w:cs="Times New Roman"/>
        </w:rPr>
        <w:t xml:space="preserve"> </w:t>
      </w:r>
      <w:proofErr w:type="spellStart"/>
      <w:r w:rsidRPr="00666AFB">
        <w:rPr>
          <w:rFonts w:ascii="Times New Roman" w:hAnsi="Times New Roman" w:cs="Times New Roman"/>
        </w:rPr>
        <w:t>Pa.C.S</w:t>
      </w:r>
      <w:proofErr w:type="spellEnd"/>
      <w:r w:rsidRPr="00666AFB">
        <w:rPr>
          <w:rFonts w:ascii="Times New Roman" w:hAnsi="Times New Roman" w:cs="Times New Roman"/>
        </w:rPr>
        <w:t>.</w:t>
      </w:r>
      <w:proofErr w:type="gramEnd"/>
      <w:r w:rsidRPr="00666AFB">
        <w:rPr>
          <w:rFonts w:ascii="Times New Roman" w:hAnsi="Times New Roman" w:cs="Times New Roman"/>
        </w:rPr>
        <w:t xml:space="preserve"> §</w:t>
      </w:r>
      <w:r w:rsidR="00F52DD5" w:rsidRPr="00666AFB">
        <w:rPr>
          <w:rFonts w:ascii="Times New Roman" w:hAnsi="Times New Roman" w:cs="Times New Roman"/>
        </w:rPr>
        <w:t xml:space="preserve"> </w:t>
      </w:r>
      <w:r w:rsidRPr="00666AFB">
        <w:rPr>
          <w:rFonts w:ascii="Times New Roman" w:hAnsi="Times New Roman" w:cs="Times New Roman"/>
        </w:rPr>
        <w:t xml:space="preserve">703(a); </w:t>
      </w:r>
      <w:r w:rsidRPr="00666AFB">
        <w:rPr>
          <w:rFonts w:ascii="Times New Roman" w:hAnsi="Times New Roman" w:cs="Times New Roman"/>
          <w:u w:val="single"/>
        </w:rPr>
        <w:t>Lehigh Valley Power Committee v. Pa</w:t>
      </w:r>
      <w:r w:rsidR="00F52DD5" w:rsidRPr="00666AFB">
        <w:rPr>
          <w:rFonts w:ascii="Times New Roman" w:hAnsi="Times New Roman" w:cs="Times New Roman"/>
          <w:u w:val="single"/>
        </w:rPr>
        <w:t>.</w:t>
      </w:r>
      <w:r w:rsidRPr="00666AFB">
        <w:rPr>
          <w:rFonts w:ascii="Times New Roman" w:hAnsi="Times New Roman" w:cs="Times New Roman"/>
          <w:u w:val="single"/>
        </w:rPr>
        <w:t xml:space="preserve"> Pub. </w:t>
      </w:r>
      <w:proofErr w:type="gramStart"/>
      <w:r w:rsidRPr="00666AFB">
        <w:rPr>
          <w:rFonts w:ascii="Times New Roman" w:hAnsi="Times New Roman" w:cs="Times New Roman"/>
          <w:u w:val="single"/>
        </w:rPr>
        <w:t xml:space="preserve">Util. </w:t>
      </w:r>
      <w:proofErr w:type="spellStart"/>
      <w:r w:rsidRPr="00666AFB">
        <w:rPr>
          <w:rFonts w:ascii="Times New Roman" w:hAnsi="Times New Roman" w:cs="Times New Roman"/>
          <w:u w:val="single"/>
        </w:rPr>
        <w:t>Comm’n</w:t>
      </w:r>
      <w:proofErr w:type="spellEnd"/>
      <w:r w:rsidRPr="00666AFB">
        <w:rPr>
          <w:rFonts w:ascii="Times New Roman" w:hAnsi="Times New Roman" w:cs="Times New Roman"/>
        </w:rPr>
        <w:t>, 563</w:t>
      </w:r>
      <w:r w:rsidR="00422891" w:rsidRPr="00666AFB">
        <w:rPr>
          <w:rFonts w:ascii="Times New Roman" w:hAnsi="Times New Roman" w:cs="Times New Roman"/>
        </w:rPr>
        <w:t xml:space="preserve"> </w:t>
      </w:r>
      <w:r w:rsidRPr="00666AFB">
        <w:rPr>
          <w:rFonts w:ascii="Times New Roman" w:hAnsi="Times New Roman" w:cs="Times New Roman"/>
        </w:rPr>
        <w:t>A.2d</w:t>
      </w:r>
      <w:r w:rsidR="00422891" w:rsidRPr="00666AFB">
        <w:rPr>
          <w:rFonts w:ascii="Times New Roman" w:hAnsi="Times New Roman" w:cs="Times New Roman"/>
        </w:rPr>
        <w:t xml:space="preserve"> </w:t>
      </w:r>
      <w:r w:rsidRPr="00666AFB">
        <w:rPr>
          <w:rFonts w:ascii="Times New Roman" w:hAnsi="Times New Roman" w:cs="Times New Roman"/>
        </w:rPr>
        <w:t xml:space="preserve">557 (Pa. </w:t>
      </w:r>
      <w:proofErr w:type="spellStart"/>
      <w:r w:rsidRPr="00666AFB">
        <w:rPr>
          <w:rFonts w:ascii="Times New Roman" w:hAnsi="Times New Roman" w:cs="Times New Roman"/>
        </w:rPr>
        <w:t>Cmwlth</w:t>
      </w:r>
      <w:proofErr w:type="spellEnd"/>
      <w:r w:rsidRPr="00666AFB">
        <w:rPr>
          <w:rFonts w:ascii="Times New Roman" w:hAnsi="Times New Roman" w:cs="Times New Roman"/>
        </w:rPr>
        <w:t xml:space="preserve">. 1989); </w:t>
      </w:r>
      <w:r w:rsidRPr="00666AFB">
        <w:rPr>
          <w:rFonts w:ascii="Times New Roman" w:hAnsi="Times New Roman" w:cs="Times New Roman"/>
          <w:u w:val="single"/>
        </w:rPr>
        <w:t>Lehigh Valley Power Committee v. Pa</w:t>
      </w:r>
      <w:r w:rsidR="00F52DD5" w:rsidRPr="00666AFB">
        <w:rPr>
          <w:rFonts w:ascii="Times New Roman" w:hAnsi="Times New Roman" w:cs="Times New Roman"/>
          <w:u w:val="single"/>
        </w:rPr>
        <w:t>.</w:t>
      </w:r>
      <w:r w:rsidRPr="00666AFB">
        <w:rPr>
          <w:rFonts w:ascii="Times New Roman" w:hAnsi="Times New Roman" w:cs="Times New Roman"/>
          <w:u w:val="single"/>
        </w:rPr>
        <w:t xml:space="preserve"> Pub.</w:t>
      </w:r>
      <w:proofErr w:type="gramEnd"/>
      <w:r w:rsidRPr="00666AFB">
        <w:rPr>
          <w:rFonts w:ascii="Times New Roman" w:hAnsi="Times New Roman" w:cs="Times New Roman"/>
          <w:u w:val="single"/>
        </w:rPr>
        <w:t xml:space="preserve"> </w:t>
      </w:r>
      <w:proofErr w:type="gramStart"/>
      <w:r w:rsidRPr="00666AFB">
        <w:rPr>
          <w:rFonts w:ascii="Times New Roman" w:hAnsi="Times New Roman" w:cs="Times New Roman"/>
          <w:u w:val="single"/>
        </w:rPr>
        <w:t xml:space="preserve">Util. </w:t>
      </w:r>
      <w:proofErr w:type="spellStart"/>
      <w:r w:rsidRPr="00666AFB">
        <w:rPr>
          <w:rFonts w:ascii="Times New Roman" w:hAnsi="Times New Roman" w:cs="Times New Roman"/>
          <w:u w:val="single"/>
        </w:rPr>
        <w:t>Comm’n</w:t>
      </w:r>
      <w:proofErr w:type="spellEnd"/>
      <w:r w:rsidRPr="00666AFB">
        <w:rPr>
          <w:rFonts w:ascii="Times New Roman" w:hAnsi="Times New Roman" w:cs="Times New Roman"/>
        </w:rPr>
        <w:t>, 563</w:t>
      </w:r>
      <w:r w:rsidR="00422891" w:rsidRPr="00666AFB">
        <w:rPr>
          <w:rFonts w:ascii="Times New Roman" w:hAnsi="Times New Roman" w:cs="Times New Roman"/>
        </w:rPr>
        <w:t xml:space="preserve"> </w:t>
      </w:r>
      <w:r w:rsidRPr="00666AFB">
        <w:rPr>
          <w:rFonts w:ascii="Times New Roman" w:hAnsi="Times New Roman" w:cs="Times New Roman"/>
        </w:rPr>
        <w:t>A.2d</w:t>
      </w:r>
      <w:r w:rsidR="00422891" w:rsidRPr="00666AFB">
        <w:rPr>
          <w:rFonts w:ascii="Times New Roman" w:hAnsi="Times New Roman" w:cs="Times New Roman"/>
        </w:rPr>
        <w:t xml:space="preserve"> </w:t>
      </w:r>
      <w:r w:rsidRPr="00666AFB">
        <w:rPr>
          <w:rFonts w:ascii="Times New Roman" w:hAnsi="Times New Roman" w:cs="Times New Roman"/>
        </w:rPr>
        <w:t xml:space="preserve">548 (Pa. </w:t>
      </w:r>
      <w:proofErr w:type="spellStart"/>
      <w:r w:rsidRPr="00666AFB">
        <w:rPr>
          <w:rFonts w:ascii="Times New Roman" w:hAnsi="Times New Roman" w:cs="Times New Roman"/>
        </w:rPr>
        <w:t>Cmwlth</w:t>
      </w:r>
      <w:proofErr w:type="spellEnd"/>
      <w:r w:rsidRPr="00666AFB">
        <w:rPr>
          <w:rFonts w:ascii="Times New Roman" w:hAnsi="Times New Roman" w:cs="Times New Roman"/>
        </w:rPr>
        <w:t xml:space="preserve">. 1989); </w:t>
      </w:r>
      <w:r w:rsidRPr="00666AFB">
        <w:rPr>
          <w:rFonts w:ascii="Times New Roman" w:hAnsi="Times New Roman" w:cs="Times New Roman"/>
          <w:u w:val="single"/>
        </w:rPr>
        <w:t>S.M.E. Bessemer Cement, Inc. v. Pa</w:t>
      </w:r>
      <w:r w:rsidR="00F52DD5" w:rsidRPr="00666AFB">
        <w:rPr>
          <w:rFonts w:ascii="Times New Roman" w:hAnsi="Times New Roman" w:cs="Times New Roman"/>
          <w:u w:val="single"/>
        </w:rPr>
        <w:t>.</w:t>
      </w:r>
      <w:r w:rsidRPr="00666AFB">
        <w:rPr>
          <w:rFonts w:ascii="Times New Roman" w:hAnsi="Times New Roman" w:cs="Times New Roman"/>
          <w:u w:val="single"/>
        </w:rPr>
        <w:t xml:space="preserve"> </w:t>
      </w:r>
      <w:r w:rsidRPr="00666AFB">
        <w:rPr>
          <w:rFonts w:ascii="Times New Roman" w:hAnsi="Times New Roman" w:cs="Times New Roman"/>
          <w:u w:val="single"/>
        </w:rPr>
        <w:lastRenderedPageBreak/>
        <w:t>Pub.</w:t>
      </w:r>
      <w:proofErr w:type="gramEnd"/>
      <w:r w:rsidRPr="00666AFB">
        <w:rPr>
          <w:rFonts w:ascii="Times New Roman" w:hAnsi="Times New Roman" w:cs="Times New Roman"/>
          <w:u w:val="single"/>
        </w:rPr>
        <w:t xml:space="preserve"> </w:t>
      </w:r>
      <w:proofErr w:type="gramStart"/>
      <w:r w:rsidRPr="00666AFB">
        <w:rPr>
          <w:rFonts w:ascii="Times New Roman" w:hAnsi="Times New Roman" w:cs="Times New Roman"/>
          <w:u w:val="single"/>
        </w:rPr>
        <w:t xml:space="preserve">Util. </w:t>
      </w:r>
      <w:proofErr w:type="spellStart"/>
      <w:r w:rsidRPr="00666AFB">
        <w:rPr>
          <w:rFonts w:ascii="Times New Roman" w:hAnsi="Times New Roman" w:cs="Times New Roman"/>
          <w:u w:val="single"/>
        </w:rPr>
        <w:t>Comm’n</w:t>
      </w:r>
      <w:proofErr w:type="spellEnd"/>
      <w:r w:rsidRPr="00666AFB">
        <w:rPr>
          <w:rFonts w:ascii="Times New Roman" w:hAnsi="Times New Roman" w:cs="Times New Roman"/>
        </w:rPr>
        <w:t>, 540</w:t>
      </w:r>
      <w:r w:rsidR="00422891" w:rsidRPr="00666AFB">
        <w:rPr>
          <w:rFonts w:ascii="Times New Roman" w:hAnsi="Times New Roman" w:cs="Times New Roman"/>
        </w:rPr>
        <w:t xml:space="preserve"> </w:t>
      </w:r>
      <w:r w:rsidRPr="00666AFB">
        <w:rPr>
          <w:rFonts w:ascii="Times New Roman" w:hAnsi="Times New Roman" w:cs="Times New Roman"/>
        </w:rPr>
        <w:t>A.2d</w:t>
      </w:r>
      <w:r w:rsidR="00422891" w:rsidRPr="00666AFB">
        <w:rPr>
          <w:rFonts w:ascii="Times New Roman" w:hAnsi="Times New Roman" w:cs="Times New Roman"/>
        </w:rPr>
        <w:t xml:space="preserve"> </w:t>
      </w:r>
      <w:r w:rsidRPr="00666AFB">
        <w:rPr>
          <w:rFonts w:ascii="Times New Roman" w:hAnsi="Times New Roman" w:cs="Times New Roman"/>
        </w:rPr>
        <w:t xml:space="preserve">1006 (Pa. </w:t>
      </w:r>
      <w:proofErr w:type="spellStart"/>
      <w:r w:rsidRPr="00666AFB">
        <w:rPr>
          <w:rFonts w:ascii="Times New Roman" w:hAnsi="Times New Roman" w:cs="Times New Roman"/>
        </w:rPr>
        <w:t>Cmwlth</w:t>
      </w:r>
      <w:proofErr w:type="spellEnd"/>
      <w:r w:rsidRPr="00666AFB">
        <w:rPr>
          <w:rFonts w:ascii="Times New Roman" w:hAnsi="Times New Roman" w:cs="Times New Roman"/>
        </w:rPr>
        <w:t xml:space="preserve">. 1988); </w:t>
      </w:r>
      <w:r w:rsidRPr="00666AFB">
        <w:rPr>
          <w:rFonts w:ascii="Times New Roman" w:hAnsi="Times New Roman" w:cs="Times New Roman"/>
          <w:u w:val="single"/>
        </w:rPr>
        <w:t>White Oak Borough Authority v. Pa</w:t>
      </w:r>
      <w:r w:rsidR="00F52DD5" w:rsidRPr="00666AFB">
        <w:rPr>
          <w:rFonts w:ascii="Times New Roman" w:hAnsi="Times New Roman" w:cs="Times New Roman"/>
          <w:u w:val="single"/>
        </w:rPr>
        <w:t>.</w:t>
      </w:r>
      <w:r w:rsidRPr="00666AFB">
        <w:rPr>
          <w:rFonts w:ascii="Times New Roman" w:hAnsi="Times New Roman" w:cs="Times New Roman"/>
          <w:u w:val="single"/>
        </w:rPr>
        <w:t xml:space="preserve"> Pub.</w:t>
      </w:r>
      <w:proofErr w:type="gramEnd"/>
      <w:r w:rsidRPr="00666AFB">
        <w:rPr>
          <w:rFonts w:ascii="Times New Roman" w:hAnsi="Times New Roman" w:cs="Times New Roman"/>
          <w:u w:val="single"/>
        </w:rPr>
        <w:t xml:space="preserve"> </w:t>
      </w:r>
      <w:proofErr w:type="gramStart"/>
      <w:r w:rsidRPr="00666AFB">
        <w:rPr>
          <w:rFonts w:ascii="Times New Roman" w:hAnsi="Times New Roman" w:cs="Times New Roman"/>
          <w:u w:val="single"/>
        </w:rPr>
        <w:t xml:space="preserve">Util. </w:t>
      </w:r>
      <w:proofErr w:type="spellStart"/>
      <w:r w:rsidRPr="00666AFB">
        <w:rPr>
          <w:rFonts w:ascii="Times New Roman" w:hAnsi="Times New Roman" w:cs="Times New Roman"/>
          <w:u w:val="single"/>
        </w:rPr>
        <w:t>Comm’n</w:t>
      </w:r>
      <w:proofErr w:type="spellEnd"/>
      <w:r w:rsidRPr="00666AFB">
        <w:rPr>
          <w:rFonts w:ascii="Times New Roman" w:hAnsi="Times New Roman" w:cs="Times New Roman"/>
        </w:rPr>
        <w:t>, 103</w:t>
      </w:r>
      <w:r w:rsidR="00422891" w:rsidRPr="00666AFB">
        <w:rPr>
          <w:rFonts w:ascii="Times New Roman" w:hAnsi="Times New Roman" w:cs="Times New Roman"/>
        </w:rPr>
        <w:t xml:space="preserve"> </w:t>
      </w:r>
      <w:r w:rsidRPr="00666AFB">
        <w:rPr>
          <w:rFonts w:ascii="Times New Roman" w:hAnsi="Times New Roman" w:cs="Times New Roman"/>
        </w:rPr>
        <w:t>A.2d</w:t>
      </w:r>
      <w:r w:rsidR="00422891" w:rsidRPr="00666AFB">
        <w:rPr>
          <w:rFonts w:ascii="Times New Roman" w:hAnsi="Times New Roman" w:cs="Times New Roman"/>
        </w:rPr>
        <w:t xml:space="preserve"> </w:t>
      </w:r>
      <w:r w:rsidRPr="00666AFB">
        <w:rPr>
          <w:rFonts w:ascii="Times New Roman" w:hAnsi="Times New Roman" w:cs="Times New Roman"/>
        </w:rPr>
        <w:t>502 (Pa. Super.1954).</w:t>
      </w:r>
      <w:proofErr w:type="gramEnd"/>
    </w:p>
    <w:p w:rsidR="000F43FB" w:rsidRPr="00666AFB" w:rsidRDefault="000F43FB" w:rsidP="004906BE">
      <w:pPr>
        <w:pStyle w:val="ParaTab1"/>
        <w:spacing w:line="360" w:lineRule="auto"/>
        <w:ind w:left="90" w:firstLine="1350"/>
        <w:rPr>
          <w:rFonts w:ascii="Times New Roman" w:hAnsi="Times New Roman" w:cs="Times New Roman"/>
        </w:rPr>
      </w:pPr>
    </w:p>
    <w:p w:rsidR="000F43FB" w:rsidRPr="00666AFB" w:rsidRDefault="000F43FB" w:rsidP="000F43FB">
      <w:pPr>
        <w:spacing w:line="360" w:lineRule="auto"/>
        <w:ind w:firstLine="1440"/>
      </w:pPr>
      <w:r w:rsidRPr="00666AFB">
        <w:t xml:space="preserve">Before addressing the merits of Snyder’s motion for summary judgment, I will provide a brief summary of the relevant provisions of Act 13 and the Commission’s orders implementing Act 13.  </w:t>
      </w:r>
      <w:r w:rsidRPr="00666AFB">
        <w:rPr>
          <w:rFonts w:cs="Courier New"/>
          <w:bCs/>
        </w:rPr>
        <w:t xml:space="preserve">Act 13 is found at </w:t>
      </w:r>
      <w:r w:rsidRPr="00666AFB">
        <w:t xml:space="preserve">58 </w:t>
      </w:r>
      <w:proofErr w:type="spellStart"/>
      <w:r w:rsidRPr="00666AFB">
        <w:t>Pa.C.S</w:t>
      </w:r>
      <w:proofErr w:type="spellEnd"/>
      <w:r w:rsidRPr="00666AFB">
        <w:t xml:space="preserve">. §§ 2301-2318.  </w:t>
      </w:r>
      <w:proofErr w:type="gramStart"/>
      <w:r w:rsidRPr="00666AFB">
        <w:t xml:space="preserve">The provision at 58 </w:t>
      </w:r>
      <w:proofErr w:type="spellStart"/>
      <w:r w:rsidRPr="00666AFB">
        <w:t>Pa.C.S</w:t>
      </w:r>
      <w:proofErr w:type="spellEnd"/>
      <w:r w:rsidRPr="00666AFB">
        <w:t>.</w:t>
      </w:r>
      <w:proofErr w:type="gramEnd"/>
      <w:r w:rsidRPr="00666AFB">
        <w:t xml:space="preserve"> § 2307 authorizes the Commission to calculate and collect the unconventional gas well fee imposed pursuant to 58 </w:t>
      </w:r>
      <w:proofErr w:type="spellStart"/>
      <w:r w:rsidRPr="00666AFB">
        <w:t>Pa.C.S</w:t>
      </w:r>
      <w:proofErr w:type="spellEnd"/>
      <w:r w:rsidRPr="00666AFB">
        <w:t xml:space="preserve">. §2302 and administrative charges pursuant to 58 </w:t>
      </w:r>
      <w:proofErr w:type="spellStart"/>
      <w:r w:rsidRPr="00666AFB">
        <w:t>Pa.C.S</w:t>
      </w:r>
      <w:proofErr w:type="spellEnd"/>
      <w:r w:rsidRPr="00666AFB">
        <w:t>. § 2303.  The Commission distributes the unconventional gas well fees collected pursuant to 58 Pa. C.S. 2314.</w:t>
      </w:r>
    </w:p>
    <w:p w:rsidR="000F43FB" w:rsidRPr="00666AFB" w:rsidRDefault="000F43FB" w:rsidP="000F43FB">
      <w:pPr>
        <w:spacing w:line="360" w:lineRule="auto"/>
        <w:ind w:firstLine="1440"/>
      </w:pPr>
    </w:p>
    <w:p w:rsidR="005B7E6B" w:rsidRDefault="000F43FB" w:rsidP="000F43FB">
      <w:pPr>
        <w:spacing w:line="360" w:lineRule="auto"/>
        <w:ind w:firstLine="1440"/>
      </w:pPr>
      <w:r w:rsidRPr="00666AFB">
        <w:t xml:space="preserve">If the Commission determines that a producer has not paid the unconventional gas well fee in full, the Commission may initiate an enforcement action, pursuant to 58 </w:t>
      </w:r>
      <w:proofErr w:type="spellStart"/>
      <w:r w:rsidRPr="00666AFB">
        <w:t>Pa.C.S</w:t>
      </w:r>
      <w:proofErr w:type="spellEnd"/>
      <w:r w:rsidRPr="00666AFB">
        <w:t xml:space="preserve">. § 2308.  The Commission may assess interest on any delinquent fee, pursuant to 58 </w:t>
      </w:r>
      <w:proofErr w:type="spellStart"/>
      <w:r w:rsidRPr="00666AFB">
        <w:t>Pa.C.S</w:t>
      </w:r>
      <w:proofErr w:type="spellEnd"/>
      <w:r w:rsidRPr="00666AFB">
        <w:t xml:space="preserve">. § 2308(a) and a penalty of 5% per month not to exceed 25%, pursuant to 58 </w:t>
      </w:r>
      <w:proofErr w:type="spellStart"/>
      <w:r w:rsidRPr="00666AFB">
        <w:t>Pa.C.S</w:t>
      </w:r>
      <w:proofErr w:type="spellEnd"/>
      <w:r w:rsidRPr="00666AFB">
        <w:t xml:space="preserve">. § 2308(b). </w:t>
      </w:r>
    </w:p>
    <w:p w:rsidR="000F43FB" w:rsidRPr="00666AFB" w:rsidRDefault="000F43FB" w:rsidP="000F43FB">
      <w:pPr>
        <w:spacing w:line="360" w:lineRule="auto"/>
        <w:ind w:firstLine="1440"/>
        <w:rPr>
          <w:rFonts w:cs="Courier New"/>
          <w:bCs/>
        </w:rPr>
      </w:pPr>
      <w:r w:rsidRPr="00666AFB">
        <w:rPr>
          <w:rFonts w:cs="Courier New"/>
          <w:bCs/>
        </w:rPr>
        <w:t xml:space="preserve"> </w:t>
      </w:r>
    </w:p>
    <w:p w:rsidR="000F43FB" w:rsidRPr="00666AFB" w:rsidRDefault="000F43FB" w:rsidP="000F43FB">
      <w:pPr>
        <w:pStyle w:val="ParaTab1"/>
        <w:spacing w:line="360" w:lineRule="auto"/>
        <w:ind w:left="90" w:firstLine="1350"/>
        <w:rPr>
          <w:rFonts w:ascii="Times New Roman" w:hAnsi="Times New Roman" w:cs="Times New Roman"/>
        </w:rPr>
      </w:pPr>
      <w:r w:rsidRPr="00666AFB">
        <w:rPr>
          <w:rFonts w:ascii="Times New Roman" w:hAnsi="Times New Roman"/>
        </w:rPr>
        <w:t xml:space="preserve">The Commission has issued several orders setting forth Commission procedures for </w:t>
      </w:r>
      <w:r w:rsidR="005B7E6B">
        <w:rPr>
          <w:rFonts w:ascii="Times New Roman" w:hAnsi="Times New Roman"/>
        </w:rPr>
        <w:t xml:space="preserve">implementing Act 13, including </w:t>
      </w:r>
      <w:r w:rsidRPr="00666AFB">
        <w:rPr>
          <w:rFonts w:ascii="Times New Roman" w:hAnsi="Times New Roman"/>
        </w:rPr>
        <w:t xml:space="preserve">collecting the unconventional gas well fee and administrative fee and enforcing the provisions of Act 13 where it determines that the unconventional gas well fee has not been paid in full.  </w:t>
      </w:r>
      <w:r w:rsidRPr="00666AFB">
        <w:rPr>
          <w:rFonts w:ascii="Times New Roman" w:hAnsi="Times New Roman"/>
          <w:u w:val="single"/>
        </w:rPr>
        <w:t>Act 13 of 2012-Implementation of Unconventional Gas Well Impact Fee Act</w:t>
      </w:r>
      <w:r w:rsidRPr="00666AFB">
        <w:rPr>
          <w:rFonts w:ascii="Times New Roman" w:hAnsi="Times New Roman"/>
        </w:rPr>
        <w:t>, Docket No. M-2012-2288561, (Tentative Implementation Order entered March 16, 2012) (</w:t>
      </w:r>
      <w:r w:rsidRPr="00666AFB">
        <w:rPr>
          <w:rFonts w:ascii="Times New Roman" w:hAnsi="Times New Roman"/>
          <w:u w:val="single"/>
        </w:rPr>
        <w:t>Tentative Order</w:t>
      </w:r>
      <w:r w:rsidRPr="00666AFB">
        <w:rPr>
          <w:rFonts w:ascii="Times New Roman" w:hAnsi="Times New Roman"/>
        </w:rPr>
        <w:t xml:space="preserve">); </w:t>
      </w:r>
      <w:r w:rsidRPr="00666AFB">
        <w:rPr>
          <w:rFonts w:ascii="Times New Roman" w:hAnsi="Times New Roman"/>
          <w:u w:val="single"/>
        </w:rPr>
        <w:t>Act 13 of 2012-Implementation of Unconventional Gas Well Impact Fee Act</w:t>
      </w:r>
      <w:r w:rsidRPr="00666AFB">
        <w:rPr>
          <w:rFonts w:ascii="Times New Roman" w:hAnsi="Times New Roman"/>
        </w:rPr>
        <w:t>, Docket No. M-2012-2288561, (Implementation Order entered May 10, 2012) (</w:t>
      </w:r>
      <w:r w:rsidRPr="00666AFB">
        <w:rPr>
          <w:rFonts w:ascii="Times New Roman" w:hAnsi="Times New Roman"/>
          <w:u w:val="single"/>
        </w:rPr>
        <w:t>Implementation Order</w:t>
      </w:r>
      <w:r w:rsidRPr="00666AFB">
        <w:rPr>
          <w:rFonts w:ascii="Times New Roman" w:hAnsi="Times New Roman"/>
        </w:rPr>
        <w:t xml:space="preserve">); </w:t>
      </w:r>
      <w:r w:rsidRPr="00666AFB">
        <w:rPr>
          <w:rFonts w:ascii="Times New Roman" w:hAnsi="Times New Roman"/>
          <w:u w:val="single"/>
        </w:rPr>
        <w:t>Act 13 of 2012-Implementation of Unconventional Gas Well Impact Fee Act</w:t>
      </w:r>
      <w:r w:rsidRPr="00666AFB">
        <w:rPr>
          <w:rFonts w:ascii="Times New Roman" w:hAnsi="Times New Roman"/>
        </w:rPr>
        <w:t>, Docket No. M-2012-2288561, (Reconsideration Order entered July 19, 2012) (</w:t>
      </w:r>
      <w:r w:rsidRPr="00666AFB">
        <w:rPr>
          <w:rFonts w:ascii="Times New Roman" w:hAnsi="Times New Roman"/>
          <w:u w:val="single"/>
        </w:rPr>
        <w:t>Reconsideration Order</w:t>
      </w:r>
      <w:r w:rsidRPr="00666AFB">
        <w:rPr>
          <w:rFonts w:ascii="Times New Roman" w:hAnsi="Times New Roman"/>
        </w:rPr>
        <w:t xml:space="preserve">).  </w:t>
      </w:r>
      <w:r w:rsidRPr="00666AFB">
        <w:rPr>
          <w:rFonts w:ascii="Times New Roman" w:hAnsi="Times New Roman"/>
          <w:u w:val="single"/>
        </w:rPr>
        <w:t>Act 13 of 2012-Implementation of Unconventional Gas Well Impact Fee Act</w:t>
      </w:r>
      <w:r w:rsidRPr="00666AFB">
        <w:rPr>
          <w:rFonts w:ascii="Times New Roman" w:hAnsi="Times New Roman"/>
        </w:rPr>
        <w:t>, Docket No. M-2012-2288561, (Clarification Order entered December 20, 2012) (</w:t>
      </w:r>
      <w:r w:rsidRPr="00666AFB">
        <w:rPr>
          <w:rFonts w:ascii="Times New Roman" w:hAnsi="Times New Roman"/>
          <w:u w:val="single"/>
        </w:rPr>
        <w:t>Clarification Order</w:t>
      </w:r>
      <w:r w:rsidRPr="00666AFB">
        <w:rPr>
          <w:rFonts w:ascii="Times New Roman" w:hAnsi="Times New Roman"/>
        </w:rPr>
        <w:t xml:space="preserve">).  In addition, the Commission, has issued a proposed rulemaking order at </w:t>
      </w:r>
      <w:r w:rsidRPr="00666AFB">
        <w:rPr>
          <w:rFonts w:ascii="Times New Roman" w:hAnsi="Times New Roman"/>
          <w:u w:val="single"/>
        </w:rPr>
        <w:t>Act 13 of 2012-Implementation of Unconventional Gas Well Impact Fee Act; Chapter 23</w:t>
      </w:r>
      <w:r w:rsidRPr="00666AFB">
        <w:rPr>
          <w:rFonts w:ascii="Times New Roman" w:hAnsi="Times New Roman"/>
        </w:rPr>
        <w:t>, Docket No. L-2013-2375551 (Order entered October 17, 2013) (</w:t>
      </w:r>
      <w:r w:rsidRPr="00666AFB">
        <w:rPr>
          <w:rFonts w:ascii="Times New Roman" w:hAnsi="Times New Roman"/>
          <w:u w:val="single"/>
        </w:rPr>
        <w:t>Rulemaking Order</w:t>
      </w:r>
      <w:r w:rsidRPr="00666AFB">
        <w:rPr>
          <w:rFonts w:ascii="Times New Roman" w:hAnsi="Times New Roman"/>
        </w:rPr>
        <w:t>).</w:t>
      </w:r>
    </w:p>
    <w:p w:rsidR="00F72FA2" w:rsidRPr="00666AFB" w:rsidRDefault="00F72FA2" w:rsidP="00A64779">
      <w:pPr>
        <w:pStyle w:val="ParaTab1"/>
        <w:spacing w:line="360" w:lineRule="auto"/>
        <w:ind w:left="86" w:firstLine="1354"/>
        <w:rPr>
          <w:rFonts w:ascii="Times New Roman" w:hAnsi="Times New Roman" w:cs="Times New Roman"/>
        </w:rPr>
      </w:pPr>
    </w:p>
    <w:p w:rsidR="00367525" w:rsidRPr="00666AFB" w:rsidRDefault="006D120E" w:rsidP="00367525">
      <w:pPr>
        <w:autoSpaceDE w:val="0"/>
        <w:autoSpaceDN w:val="0"/>
        <w:adjustRightInd w:val="0"/>
        <w:spacing w:line="360" w:lineRule="auto"/>
        <w:ind w:firstLine="1440"/>
        <w:rPr>
          <w:rFonts w:cs="Courier"/>
          <w:szCs w:val="24"/>
        </w:rPr>
      </w:pPr>
      <w:r w:rsidRPr="00666AFB">
        <w:t>Having provided a brief summary of the relevant provisions of Act 13 and the Commission’s orders implementing Act 13, I will now</w:t>
      </w:r>
      <w:r w:rsidR="00527AA4" w:rsidRPr="00666AFB">
        <w:t xml:space="preserve"> address the merits of Snyder’s motion for summary judgment</w:t>
      </w:r>
      <w:r w:rsidRPr="00666AFB">
        <w:t xml:space="preserve">. </w:t>
      </w:r>
      <w:r w:rsidR="00527AA4" w:rsidRPr="00666AFB">
        <w:t xml:space="preserve"> </w:t>
      </w:r>
      <w:r w:rsidR="00367525" w:rsidRPr="00666AFB">
        <w:rPr>
          <w:rFonts w:cs="Courier"/>
          <w:szCs w:val="24"/>
        </w:rPr>
        <w:t xml:space="preserve">The issue in this case is whether the gas wells that Snyder failed to identify in its annual reports to the Commission are “vertical gas wells” subject to Act 13’s impact and administrative fee or are “stripper wells” not subject to Act 13’s impact and administrative fees.  Act 13 of 2012 authorizes the Commission to impose and collect an impact fee and administrative fee on a "vertical gas well," which Act 13 defines at 58 </w:t>
      </w:r>
      <w:proofErr w:type="spellStart"/>
      <w:r w:rsidR="00367525" w:rsidRPr="00666AFB">
        <w:rPr>
          <w:rFonts w:cs="Courier"/>
          <w:szCs w:val="24"/>
        </w:rPr>
        <w:t>Pa.C.S</w:t>
      </w:r>
      <w:proofErr w:type="spellEnd"/>
      <w:r w:rsidR="00367525" w:rsidRPr="00666AFB">
        <w:rPr>
          <w:rFonts w:cs="Courier"/>
          <w:szCs w:val="24"/>
        </w:rPr>
        <w:t>. § 2301 as:</w:t>
      </w:r>
    </w:p>
    <w:p w:rsidR="00367525" w:rsidRPr="00666AFB" w:rsidRDefault="00367525" w:rsidP="00367525">
      <w:pPr>
        <w:autoSpaceDE w:val="0"/>
        <w:autoSpaceDN w:val="0"/>
        <w:adjustRightInd w:val="0"/>
        <w:spacing w:line="360" w:lineRule="auto"/>
        <w:ind w:firstLine="1440"/>
        <w:rPr>
          <w:rFonts w:cs="Courier"/>
          <w:szCs w:val="24"/>
        </w:rPr>
      </w:pPr>
    </w:p>
    <w:p w:rsidR="00367525" w:rsidRPr="00666AFB" w:rsidRDefault="00367525" w:rsidP="00367525">
      <w:pPr>
        <w:autoSpaceDE w:val="0"/>
        <w:autoSpaceDN w:val="0"/>
        <w:adjustRightInd w:val="0"/>
        <w:ind w:left="1440"/>
      </w:pPr>
      <w:r w:rsidRPr="00666AFB">
        <w:rPr>
          <w:rFonts w:cs="Courier New"/>
          <w:bCs/>
        </w:rPr>
        <w:t>"Vertical gas well." An unconventional gas well which utilizes hydraulic fracture treatment through a single vertical well bore and produces natural gas in quantities greater than that of a stripper well.</w:t>
      </w:r>
    </w:p>
    <w:p w:rsidR="00367525" w:rsidRPr="00666AFB" w:rsidRDefault="00367525" w:rsidP="00367525">
      <w:pPr>
        <w:spacing w:line="360" w:lineRule="auto"/>
        <w:ind w:firstLine="1440"/>
      </w:pPr>
    </w:p>
    <w:p w:rsidR="00367525" w:rsidRPr="00666AFB" w:rsidRDefault="00367525" w:rsidP="00367525">
      <w:pPr>
        <w:spacing w:line="360" w:lineRule="auto"/>
        <w:ind w:firstLine="1440"/>
      </w:pPr>
      <w:proofErr w:type="gramStart"/>
      <w:r w:rsidRPr="00666AFB">
        <w:rPr>
          <w:rFonts w:cs="Courier"/>
          <w:szCs w:val="24"/>
        </w:rPr>
        <w:t xml:space="preserve">58 </w:t>
      </w:r>
      <w:proofErr w:type="spellStart"/>
      <w:r w:rsidRPr="00666AFB">
        <w:rPr>
          <w:rFonts w:cs="Courier"/>
          <w:szCs w:val="24"/>
        </w:rPr>
        <w:t>Pa.C.S</w:t>
      </w:r>
      <w:proofErr w:type="spellEnd"/>
      <w:r w:rsidRPr="00666AFB">
        <w:rPr>
          <w:rFonts w:cs="Courier"/>
          <w:szCs w:val="24"/>
        </w:rPr>
        <w:t>.</w:t>
      </w:r>
      <w:proofErr w:type="gramEnd"/>
      <w:r w:rsidRPr="00666AFB">
        <w:rPr>
          <w:rFonts w:cs="Courier"/>
          <w:szCs w:val="24"/>
        </w:rPr>
        <w:t xml:space="preserve"> § 2301</w:t>
      </w:r>
      <w:r w:rsidRPr="00666AFB">
        <w:t xml:space="preserve"> defines a “Stripper well” as:</w:t>
      </w:r>
    </w:p>
    <w:p w:rsidR="00367525" w:rsidRPr="00666AFB" w:rsidRDefault="00367525" w:rsidP="00367525">
      <w:pPr>
        <w:ind w:left="1440"/>
        <w:rPr>
          <w:rFonts w:cs="Courier New"/>
          <w:bCs/>
        </w:rPr>
      </w:pPr>
      <w:r w:rsidRPr="00666AFB">
        <w:rPr>
          <w:rFonts w:cs="Courier New"/>
          <w:bCs/>
        </w:rPr>
        <w:t>"Stripper well." An unconventional gas well incapable of producing more than 90,000 cubic feet of gas per day during any calendar month, including production from all zones and multilateral well bores at a single well, without regard to whether the production is separately metered.</w:t>
      </w:r>
    </w:p>
    <w:p w:rsidR="00367525" w:rsidRPr="00666AFB" w:rsidRDefault="00367525" w:rsidP="00A64779">
      <w:pPr>
        <w:pStyle w:val="ParaTab1"/>
        <w:spacing w:line="360" w:lineRule="auto"/>
        <w:ind w:left="86" w:firstLine="1354"/>
        <w:rPr>
          <w:rFonts w:ascii="Times New Roman" w:hAnsi="Times New Roman" w:cs="Times New Roman"/>
        </w:rPr>
      </w:pPr>
    </w:p>
    <w:p w:rsidR="00367525" w:rsidRPr="00666AFB" w:rsidRDefault="00367525" w:rsidP="00367525">
      <w:pPr>
        <w:spacing w:line="360" w:lineRule="auto"/>
        <w:ind w:firstLine="1440"/>
      </w:pPr>
      <w:proofErr w:type="gramStart"/>
      <w:r w:rsidRPr="00666AFB">
        <w:rPr>
          <w:rFonts w:cs="Courier"/>
          <w:szCs w:val="24"/>
        </w:rPr>
        <w:t xml:space="preserve">58 </w:t>
      </w:r>
      <w:proofErr w:type="spellStart"/>
      <w:r w:rsidRPr="00666AFB">
        <w:rPr>
          <w:rFonts w:cs="Courier"/>
          <w:szCs w:val="24"/>
        </w:rPr>
        <w:t>Pa.C.S</w:t>
      </w:r>
      <w:proofErr w:type="spellEnd"/>
      <w:r w:rsidRPr="00666AFB">
        <w:rPr>
          <w:rFonts w:cs="Courier"/>
          <w:szCs w:val="24"/>
        </w:rPr>
        <w:t>.</w:t>
      </w:r>
      <w:proofErr w:type="gramEnd"/>
      <w:r w:rsidRPr="00666AFB">
        <w:rPr>
          <w:rFonts w:cs="Courier"/>
          <w:szCs w:val="24"/>
        </w:rPr>
        <w:t xml:space="preserve"> § 2301</w:t>
      </w:r>
      <w:r w:rsidRPr="00666AFB">
        <w:t xml:space="preserve"> defines an “unconventional gas well” as:</w:t>
      </w:r>
    </w:p>
    <w:p w:rsidR="00367525" w:rsidRPr="00666AFB" w:rsidRDefault="00367525" w:rsidP="00367525">
      <w:pPr>
        <w:pStyle w:val="NormalWeb"/>
        <w:spacing w:line="232" w:lineRule="atLeast"/>
        <w:ind w:left="1440"/>
        <w:rPr>
          <w:rFonts w:cs="Courier New"/>
          <w:bCs/>
        </w:rPr>
      </w:pPr>
      <w:r w:rsidRPr="00666AFB">
        <w:rPr>
          <w:rFonts w:cs="Courier New"/>
          <w:bCs/>
        </w:rPr>
        <w:t>"Unconventional gas well." A bore hole drilled or being drilled for the purpose of or to be used for the production of natural gas from an unconventional formation.</w:t>
      </w:r>
    </w:p>
    <w:p w:rsidR="00527AA4" w:rsidRPr="00666AFB" w:rsidRDefault="00527AA4" w:rsidP="00A64779">
      <w:pPr>
        <w:pStyle w:val="ParaTab1"/>
        <w:spacing w:line="360" w:lineRule="auto"/>
        <w:ind w:left="86" w:firstLine="1354"/>
        <w:rPr>
          <w:rFonts w:ascii="Times New Roman" w:hAnsi="Times New Roman" w:cs="Times New Roman"/>
        </w:rPr>
      </w:pPr>
    </w:p>
    <w:p w:rsidR="002A3FB8" w:rsidRPr="00666AFB" w:rsidRDefault="00367525" w:rsidP="00A64779">
      <w:pPr>
        <w:pStyle w:val="ParaTab1"/>
        <w:spacing w:line="360" w:lineRule="auto"/>
        <w:ind w:left="86" w:firstLine="1354"/>
        <w:rPr>
          <w:rFonts w:ascii="Times New Roman" w:hAnsi="Times New Roman"/>
          <w:color w:val="000000" w:themeColor="text1"/>
          <w:szCs w:val="20"/>
        </w:rPr>
      </w:pPr>
      <w:r w:rsidRPr="00666AFB">
        <w:rPr>
          <w:rFonts w:ascii="Times New Roman" w:hAnsi="Times New Roman" w:cs="Times New Roman"/>
        </w:rPr>
        <w:t xml:space="preserve">In its brief, Snyder argues that the definition of what constitutes a “stripper well” is sufficiently clear </w:t>
      </w:r>
      <w:r w:rsidR="00D86042" w:rsidRPr="00666AFB">
        <w:rPr>
          <w:rFonts w:ascii="Times New Roman" w:hAnsi="Times New Roman" w:cs="Times New Roman"/>
        </w:rPr>
        <w:t xml:space="preserve">and unambiguous that resort to other methods of statutory interpretation is not required, pursuant to 1 </w:t>
      </w:r>
      <w:proofErr w:type="spellStart"/>
      <w:r w:rsidR="00D86042" w:rsidRPr="00666AFB">
        <w:rPr>
          <w:rFonts w:ascii="Times New Roman" w:hAnsi="Times New Roman" w:cs="Times New Roman"/>
        </w:rPr>
        <w:t>Pa.C.S</w:t>
      </w:r>
      <w:proofErr w:type="spellEnd"/>
      <w:r w:rsidR="00D86042" w:rsidRPr="00666AFB">
        <w:rPr>
          <w:rFonts w:ascii="Times New Roman" w:hAnsi="Times New Roman" w:cs="Times New Roman"/>
        </w:rPr>
        <w:t>. § 1921(b).</w:t>
      </w:r>
      <w:r w:rsidR="00956CC7" w:rsidRPr="00666AFB">
        <w:rPr>
          <w:rFonts w:ascii="Times New Roman" w:hAnsi="Times New Roman" w:cs="Times New Roman"/>
        </w:rPr>
        <w:t xml:space="preserve">  </w:t>
      </w:r>
      <w:r w:rsidR="003B6DB7" w:rsidRPr="00666AFB">
        <w:rPr>
          <w:rFonts w:ascii="Times New Roman" w:hAnsi="Times New Roman" w:cs="Times New Roman"/>
        </w:rPr>
        <w:t xml:space="preserve">Snyder M.B. 7-10.  </w:t>
      </w:r>
      <w:r w:rsidR="00956CC7" w:rsidRPr="00666AFB">
        <w:rPr>
          <w:rFonts w:ascii="Times New Roman" w:hAnsi="Times New Roman" w:cs="Times New Roman"/>
        </w:rPr>
        <w:t xml:space="preserve">When the words of a statute are clear and free from all ambiguity, the letter of the statute may not be disregarded in the name of pursuing its spirit.  </w:t>
      </w:r>
      <w:proofErr w:type="gramStart"/>
      <w:r w:rsidR="00477C81" w:rsidRPr="00666AFB">
        <w:rPr>
          <w:rFonts w:ascii="Times New Roman" w:hAnsi="Times New Roman" w:cs="Times New Roman"/>
          <w:u w:val="single"/>
        </w:rPr>
        <w:t>School District of Philadelphia v. Dept. of Educa</w:t>
      </w:r>
      <w:r w:rsidR="00477C81" w:rsidRPr="00666AFB">
        <w:rPr>
          <w:rFonts w:ascii="Times New Roman" w:hAnsi="Times New Roman" w:cs="Times New Roman"/>
          <w:color w:val="000000" w:themeColor="text1"/>
          <w:u w:val="single"/>
        </w:rPr>
        <w:t>tion</w:t>
      </w:r>
      <w:r w:rsidR="00477C81" w:rsidRPr="00666AFB">
        <w:rPr>
          <w:rFonts w:ascii="Times New Roman" w:hAnsi="Times New Roman" w:cs="Times New Roman"/>
          <w:color w:val="000000" w:themeColor="text1"/>
        </w:rPr>
        <w:t xml:space="preserve">, </w:t>
      </w:r>
      <w:r w:rsidR="00477C81" w:rsidRPr="00666AFB">
        <w:rPr>
          <w:rFonts w:ascii="Times New Roman" w:hAnsi="Times New Roman"/>
          <w:color w:val="000000" w:themeColor="text1"/>
          <w:szCs w:val="20"/>
        </w:rPr>
        <w:t>92 A.3d 746 (Pa. 2014)</w:t>
      </w:r>
      <w:r w:rsidR="00DD7AE0" w:rsidRPr="00666AFB">
        <w:rPr>
          <w:rFonts w:ascii="Times New Roman" w:hAnsi="Times New Roman"/>
          <w:color w:val="000000" w:themeColor="text1"/>
          <w:szCs w:val="20"/>
        </w:rPr>
        <w:t>.</w:t>
      </w:r>
      <w:proofErr w:type="gramEnd"/>
      <w:r w:rsidR="00DD7AE0" w:rsidRPr="00666AFB">
        <w:rPr>
          <w:rFonts w:ascii="Times New Roman" w:hAnsi="Times New Roman"/>
          <w:color w:val="000000" w:themeColor="text1"/>
          <w:szCs w:val="20"/>
        </w:rPr>
        <w:t xml:space="preserve">  Only when the language of a statute is ambiguous, should a tribunal seek to ascertain the intent of the General Assembly through consideration of the factors set forth in 1 </w:t>
      </w:r>
      <w:proofErr w:type="spellStart"/>
      <w:r w:rsidR="00DD7AE0" w:rsidRPr="00666AFB">
        <w:rPr>
          <w:rFonts w:ascii="Times New Roman" w:hAnsi="Times New Roman"/>
          <w:color w:val="000000" w:themeColor="text1"/>
          <w:szCs w:val="20"/>
        </w:rPr>
        <w:t>Pa.C.S</w:t>
      </w:r>
      <w:proofErr w:type="spellEnd"/>
      <w:r w:rsidR="00DD7AE0" w:rsidRPr="00666AFB">
        <w:rPr>
          <w:rFonts w:ascii="Times New Roman" w:hAnsi="Times New Roman"/>
          <w:color w:val="000000" w:themeColor="text1"/>
          <w:szCs w:val="20"/>
        </w:rPr>
        <w:t>. § 1921(c).</w:t>
      </w:r>
      <w:r w:rsidR="00B874C5" w:rsidRPr="00666AFB">
        <w:rPr>
          <w:rFonts w:ascii="Times New Roman" w:hAnsi="Times New Roman"/>
          <w:color w:val="000000" w:themeColor="text1"/>
          <w:szCs w:val="20"/>
        </w:rPr>
        <w:t xml:space="preserve">  </w:t>
      </w:r>
      <w:proofErr w:type="spellStart"/>
      <w:proofErr w:type="gramStart"/>
      <w:r w:rsidR="00B874C5" w:rsidRPr="00666AFB">
        <w:rPr>
          <w:rFonts w:ascii="Times New Roman" w:hAnsi="Times New Roman"/>
          <w:color w:val="000000" w:themeColor="text1"/>
          <w:szCs w:val="20"/>
          <w:u w:val="single"/>
        </w:rPr>
        <w:t>Ario</w:t>
      </w:r>
      <w:proofErr w:type="spellEnd"/>
      <w:r w:rsidR="00B874C5" w:rsidRPr="00666AFB">
        <w:rPr>
          <w:rFonts w:ascii="Times New Roman" w:hAnsi="Times New Roman"/>
          <w:color w:val="000000" w:themeColor="text1"/>
          <w:szCs w:val="20"/>
          <w:u w:val="single"/>
        </w:rPr>
        <w:t xml:space="preserve"> v. Ingram Micro, Inc.</w:t>
      </w:r>
      <w:r w:rsidR="00B874C5" w:rsidRPr="00666AFB">
        <w:rPr>
          <w:rFonts w:ascii="Times New Roman" w:hAnsi="Times New Roman"/>
          <w:color w:val="000000" w:themeColor="text1"/>
          <w:szCs w:val="20"/>
        </w:rPr>
        <w:t>, 965 A.2d 1194 (Pa. 2009).</w:t>
      </w:r>
      <w:proofErr w:type="gramEnd"/>
      <w:r w:rsidR="002A3FB8" w:rsidRPr="00666AFB">
        <w:rPr>
          <w:rFonts w:ascii="Times New Roman" w:hAnsi="Times New Roman"/>
          <w:color w:val="000000" w:themeColor="text1"/>
          <w:szCs w:val="20"/>
        </w:rPr>
        <w:t xml:space="preserve">  A statute is ambiguous or unclear if its language is subject to two or more reasonable interpretations.  </w:t>
      </w:r>
      <w:proofErr w:type="gramStart"/>
      <w:r w:rsidR="002A3FB8" w:rsidRPr="00666AFB">
        <w:rPr>
          <w:rFonts w:ascii="Times New Roman" w:hAnsi="Times New Roman"/>
          <w:color w:val="000000" w:themeColor="text1"/>
          <w:szCs w:val="20"/>
          <w:u w:val="single"/>
        </w:rPr>
        <w:t>Commonwealth of Pa., Office of the Governor v. Donahue</w:t>
      </w:r>
      <w:r w:rsidR="002A3FB8" w:rsidRPr="00666AFB">
        <w:rPr>
          <w:rFonts w:ascii="Times New Roman" w:hAnsi="Times New Roman"/>
          <w:color w:val="000000" w:themeColor="text1"/>
          <w:szCs w:val="20"/>
        </w:rPr>
        <w:t xml:space="preserve">, 59 A.3d 1165 (Pa. </w:t>
      </w:r>
      <w:proofErr w:type="spellStart"/>
      <w:r w:rsidR="002A3FB8" w:rsidRPr="00666AFB">
        <w:rPr>
          <w:rFonts w:ascii="Times New Roman" w:hAnsi="Times New Roman"/>
          <w:color w:val="000000" w:themeColor="text1"/>
          <w:szCs w:val="20"/>
        </w:rPr>
        <w:t>Cmwlth</w:t>
      </w:r>
      <w:proofErr w:type="spellEnd"/>
      <w:r w:rsidR="002A3FB8" w:rsidRPr="00666AFB">
        <w:rPr>
          <w:rFonts w:ascii="Times New Roman" w:hAnsi="Times New Roman"/>
          <w:color w:val="000000" w:themeColor="text1"/>
          <w:szCs w:val="20"/>
        </w:rPr>
        <w:t>. 2013).</w:t>
      </w:r>
      <w:proofErr w:type="gramEnd"/>
    </w:p>
    <w:p w:rsidR="002A3FB8" w:rsidRPr="00666AFB" w:rsidRDefault="002A3FB8" w:rsidP="00A64779">
      <w:pPr>
        <w:pStyle w:val="ParaTab1"/>
        <w:spacing w:line="360" w:lineRule="auto"/>
        <w:ind w:left="86" w:firstLine="1354"/>
        <w:rPr>
          <w:rFonts w:ascii="Times New Roman" w:hAnsi="Times New Roman"/>
          <w:color w:val="000000" w:themeColor="text1"/>
          <w:szCs w:val="20"/>
        </w:rPr>
      </w:pPr>
    </w:p>
    <w:p w:rsidR="00527AA4" w:rsidRPr="00666AFB" w:rsidRDefault="002A3FB8" w:rsidP="00A64779">
      <w:pPr>
        <w:pStyle w:val="ParaTab1"/>
        <w:spacing w:line="360" w:lineRule="auto"/>
        <w:ind w:left="86" w:firstLine="1354"/>
        <w:rPr>
          <w:rFonts w:ascii="Times New Roman" w:hAnsi="Times New Roman"/>
          <w:color w:val="000000" w:themeColor="text1"/>
          <w:szCs w:val="20"/>
        </w:rPr>
      </w:pPr>
      <w:r w:rsidRPr="00666AFB">
        <w:rPr>
          <w:rFonts w:ascii="Times New Roman" w:hAnsi="Times New Roman"/>
          <w:color w:val="000000" w:themeColor="text1"/>
          <w:szCs w:val="20"/>
        </w:rPr>
        <w:lastRenderedPageBreak/>
        <w:t xml:space="preserve">Snyder argues that the language in 58 </w:t>
      </w:r>
      <w:proofErr w:type="spellStart"/>
      <w:r w:rsidRPr="00666AFB">
        <w:rPr>
          <w:rFonts w:ascii="Times New Roman" w:hAnsi="Times New Roman"/>
          <w:color w:val="000000" w:themeColor="text1"/>
          <w:szCs w:val="20"/>
        </w:rPr>
        <w:t>Pa.C.S</w:t>
      </w:r>
      <w:proofErr w:type="spellEnd"/>
      <w:r w:rsidRPr="00666AFB">
        <w:rPr>
          <w:rFonts w:ascii="Times New Roman" w:hAnsi="Times New Roman"/>
          <w:color w:val="000000" w:themeColor="text1"/>
          <w:szCs w:val="20"/>
        </w:rPr>
        <w:t xml:space="preserve">. § 2301 defining what constitutes a </w:t>
      </w:r>
      <w:r w:rsidR="005B7E6B">
        <w:rPr>
          <w:rFonts w:ascii="Times New Roman" w:hAnsi="Times New Roman"/>
          <w:color w:val="000000" w:themeColor="text1"/>
          <w:szCs w:val="20"/>
        </w:rPr>
        <w:t>“</w:t>
      </w:r>
      <w:r w:rsidRPr="00666AFB">
        <w:rPr>
          <w:rFonts w:ascii="Times New Roman" w:hAnsi="Times New Roman"/>
          <w:color w:val="000000" w:themeColor="text1"/>
          <w:szCs w:val="20"/>
        </w:rPr>
        <w:t>stripper well</w:t>
      </w:r>
      <w:r w:rsidR="005B7E6B">
        <w:rPr>
          <w:rFonts w:ascii="Times New Roman" w:hAnsi="Times New Roman"/>
          <w:color w:val="000000" w:themeColor="text1"/>
          <w:szCs w:val="20"/>
        </w:rPr>
        <w:t>”</w:t>
      </w:r>
      <w:r w:rsidRPr="00666AFB">
        <w:rPr>
          <w:rFonts w:ascii="Times New Roman" w:hAnsi="Times New Roman"/>
          <w:color w:val="000000" w:themeColor="text1"/>
          <w:szCs w:val="20"/>
        </w:rPr>
        <w:t xml:space="preserve"> is clear and ambiguous.  </w:t>
      </w:r>
      <w:r w:rsidR="005B7E6B">
        <w:rPr>
          <w:rFonts w:ascii="Times New Roman" w:hAnsi="Times New Roman"/>
          <w:color w:val="000000" w:themeColor="text1"/>
          <w:szCs w:val="20"/>
        </w:rPr>
        <w:t>According to Snyder, t</w:t>
      </w:r>
      <w:r w:rsidRPr="00666AFB">
        <w:rPr>
          <w:rFonts w:ascii="Times New Roman" w:hAnsi="Times New Roman"/>
          <w:color w:val="000000" w:themeColor="text1"/>
          <w:szCs w:val="20"/>
        </w:rPr>
        <w:t xml:space="preserve">he statute plainly states that a </w:t>
      </w:r>
      <w:r w:rsidR="005B7E6B">
        <w:rPr>
          <w:rFonts w:ascii="Times New Roman" w:hAnsi="Times New Roman"/>
          <w:color w:val="000000" w:themeColor="text1"/>
          <w:szCs w:val="20"/>
        </w:rPr>
        <w:t>“</w:t>
      </w:r>
      <w:r w:rsidRPr="00666AFB">
        <w:rPr>
          <w:rFonts w:ascii="Times New Roman" w:hAnsi="Times New Roman"/>
          <w:color w:val="000000" w:themeColor="text1"/>
          <w:szCs w:val="20"/>
        </w:rPr>
        <w:t>stripper well</w:t>
      </w:r>
      <w:r w:rsidR="005B7E6B">
        <w:rPr>
          <w:rFonts w:ascii="Times New Roman" w:hAnsi="Times New Roman"/>
          <w:color w:val="000000" w:themeColor="text1"/>
          <w:szCs w:val="20"/>
        </w:rPr>
        <w:t>”</w:t>
      </w:r>
      <w:r w:rsidRPr="00666AFB">
        <w:rPr>
          <w:rFonts w:ascii="Times New Roman" w:hAnsi="Times New Roman"/>
          <w:color w:val="000000" w:themeColor="text1"/>
          <w:szCs w:val="20"/>
        </w:rPr>
        <w:t xml:space="preserve"> is one that cannot produce 90,000 cubic feet </w:t>
      </w:r>
      <w:r w:rsidR="00050542" w:rsidRPr="00666AFB">
        <w:rPr>
          <w:rFonts w:ascii="Times New Roman" w:hAnsi="Times New Roman"/>
          <w:color w:val="000000" w:themeColor="text1"/>
          <w:szCs w:val="20"/>
        </w:rPr>
        <w:t xml:space="preserve">of gas </w:t>
      </w:r>
      <w:r w:rsidR="003B18EB" w:rsidRPr="00666AFB">
        <w:rPr>
          <w:rFonts w:ascii="Times New Roman" w:hAnsi="Times New Roman"/>
          <w:color w:val="000000" w:themeColor="text1"/>
          <w:szCs w:val="20"/>
        </w:rPr>
        <w:t xml:space="preserve">per day </w:t>
      </w:r>
      <w:r w:rsidRPr="00666AFB">
        <w:rPr>
          <w:rFonts w:ascii="Times New Roman" w:hAnsi="Times New Roman"/>
          <w:color w:val="000000" w:themeColor="text1"/>
          <w:szCs w:val="20"/>
        </w:rPr>
        <w:t xml:space="preserve">in any month </w:t>
      </w:r>
      <w:r w:rsidR="00050542" w:rsidRPr="00666AFB">
        <w:rPr>
          <w:rFonts w:ascii="Times New Roman" w:hAnsi="Times New Roman"/>
          <w:color w:val="000000" w:themeColor="text1"/>
          <w:szCs w:val="20"/>
        </w:rPr>
        <w:t>during the reporting period.  Therefore, Snyder argues that if a well produces less than 90,000 cubic feet</w:t>
      </w:r>
      <w:r w:rsidR="003B18EB" w:rsidRPr="00666AFB">
        <w:rPr>
          <w:rFonts w:ascii="Times New Roman" w:hAnsi="Times New Roman"/>
          <w:color w:val="000000" w:themeColor="text1"/>
          <w:szCs w:val="20"/>
        </w:rPr>
        <w:t xml:space="preserve"> per day</w:t>
      </w:r>
      <w:r w:rsidR="00050542" w:rsidRPr="00666AFB">
        <w:rPr>
          <w:rFonts w:ascii="Times New Roman" w:hAnsi="Times New Roman"/>
          <w:color w:val="000000" w:themeColor="text1"/>
          <w:szCs w:val="20"/>
        </w:rPr>
        <w:t xml:space="preserve"> in a single month during the reporting period, it is a “stripper well” even if that well produces more than 90,000 cubic feet of gas </w:t>
      </w:r>
      <w:r w:rsidR="003B18EB" w:rsidRPr="00666AFB">
        <w:rPr>
          <w:rFonts w:ascii="Times New Roman" w:hAnsi="Times New Roman"/>
          <w:color w:val="000000" w:themeColor="text1"/>
          <w:szCs w:val="20"/>
        </w:rPr>
        <w:t xml:space="preserve">per day </w:t>
      </w:r>
      <w:r w:rsidR="00050542" w:rsidRPr="00666AFB">
        <w:rPr>
          <w:rFonts w:ascii="Times New Roman" w:hAnsi="Times New Roman"/>
          <w:color w:val="000000" w:themeColor="text1"/>
          <w:szCs w:val="20"/>
        </w:rPr>
        <w:t>for all of the remaining months of the reporting period.</w:t>
      </w:r>
      <w:r w:rsidR="003B6DB7" w:rsidRPr="00666AFB">
        <w:rPr>
          <w:rFonts w:ascii="Times New Roman" w:hAnsi="Times New Roman"/>
          <w:color w:val="000000" w:themeColor="text1"/>
          <w:szCs w:val="20"/>
        </w:rPr>
        <w:t xml:space="preserve">  Conversely, Snyder contends that in order to be a “vertical gas well” a well must produce more than 90,000 cubic feet of gas</w:t>
      </w:r>
      <w:r w:rsidR="003B18EB" w:rsidRPr="00666AFB">
        <w:rPr>
          <w:rFonts w:ascii="Times New Roman" w:hAnsi="Times New Roman"/>
          <w:color w:val="000000" w:themeColor="text1"/>
          <w:szCs w:val="20"/>
        </w:rPr>
        <w:t xml:space="preserve"> per day</w:t>
      </w:r>
      <w:r w:rsidR="003B6DB7" w:rsidRPr="00666AFB">
        <w:rPr>
          <w:rFonts w:ascii="Times New Roman" w:hAnsi="Times New Roman"/>
          <w:color w:val="000000" w:themeColor="text1"/>
          <w:szCs w:val="20"/>
        </w:rPr>
        <w:t xml:space="preserve"> in every month of the reporting period.</w:t>
      </w:r>
      <w:r w:rsidR="00F560E6" w:rsidRPr="00666AFB">
        <w:rPr>
          <w:rFonts w:ascii="Times New Roman" w:hAnsi="Times New Roman"/>
          <w:color w:val="000000" w:themeColor="text1"/>
          <w:szCs w:val="20"/>
        </w:rPr>
        <w:t xml:space="preserve">  </w:t>
      </w:r>
    </w:p>
    <w:p w:rsidR="00527AA4" w:rsidRPr="00666AFB" w:rsidRDefault="00527AA4" w:rsidP="00A64779">
      <w:pPr>
        <w:pStyle w:val="ParaTab1"/>
        <w:spacing w:line="360" w:lineRule="auto"/>
        <w:ind w:left="86" w:firstLine="1354"/>
        <w:rPr>
          <w:rFonts w:ascii="Times New Roman" w:hAnsi="Times New Roman"/>
          <w:color w:val="000000" w:themeColor="text1"/>
          <w:szCs w:val="20"/>
        </w:rPr>
      </w:pPr>
    </w:p>
    <w:p w:rsidR="003B6DB7" w:rsidRPr="00666AFB" w:rsidRDefault="00527AA4" w:rsidP="00A64779">
      <w:pPr>
        <w:pStyle w:val="ParaTab1"/>
        <w:spacing w:line="360" w:lineRule="auto"/>
        <w:ind w:left="86" w:firstLine="1354"/>
        <w:rPr>
          <w:rFonts w:ascii="Times New Roman" w:hAnsi="Times New Roman"/>
          <w:color w:val="000000" w:themeColor="text1"/>
          <w:szCs w:val="20"/>
        </w:rPr>
      </w:pPr>
      <w:r w:rsidRPr="00666AFB">
        <w:rPr>
          <w:rFonts w:ascii="Times New Roman" w:hAnsi="Times New Roman"/>
          <w:color w:val="000000" w:themeColor="text1"/>
          <w:szCs w:val="20"/>
        </w:rPr>
        <w:t xml:space="preserve">Since there is no factual dispute as to the amounts of gas produced by Snyder’s wells, Snyder contends that there is no dispute as to the material facts of this case and it is entitled to judgment as a matter of law.  </w:t>
      </w:r>
      <w:r w:rsidR="00F560E6" w:rsidRPr="00666AFB">
        <w:rPr>
          <w:rFonts w:ascii="Times New Roman" w:hAnsi="Times New Roman"/>
          <w:color w:val="000000" w:themeColor="text1"/>
          <w:szCs w:val="20"/>
        </w:rPr>
        <w:t xml:space="preserve">Snyder’s brief requests that the Commission dismiss </w:t>
      </w:r>
      <w:proofErr w:type="gramStart"/>
      <w:r w:rsidR="00F560E6" w:rsidRPr="00666AFB">
        <w:rPr>
          <w:rFonts w:ascii="Times New Roman" w:hAnsi="Times New Roman"/>
          <w:color w:val="000000" w:themeColor="text1"/>
          <w:szCs w:val="20"/>
        </w:rPr>
        <w:t>I&amp;E’s</w:t>
      </w:r>
      <w:proofErr w:type="gramEnd"/>
      <w:r w:rsidR="00F560E6" w:rsidRPr="00666AFB">
        <w:rPr>
          <w:rFonts w:ascii="Times New Roman" w:hAnsi="Times New Roman"/>
          <w:color w:val="000000" w:themeColor="text1"/>
          <w:szCs w:val="20"/>
        </w:rPr>
        <w:t xml:space="preserve"> complaint.</w:t>
      </w:r>
    </w:p>
    <w:p w:rsidR="003B6DB7" w:rsidRPr="00666AFB" w:rsidRDefault="003B6DB7" w:rsidP="00A64779">
      <w:pPr>
        <w:pStyle w:val="ParaTab1"/>
        <w:spacing w:line="360" w:lineRule="auto"/>
        <w:ind w:left="86" w:firstLine="1354"/>
        <w:rPr>
          <w:rFonts w:ascii="Times New Roman" w:hAnsi="Times New Roman"/>
          <w:color w:val="000000" w:themeColor="text1"/>
          <w:szCs w:val="20"/>
        </w:rPr>
      </w:pPr>
    </w:p>
    <w:p w:rsidR="003B18EB" w:rsidRPr="00666AFB" w:rsidRDefault="003B18EB" w:rsidP="00A64779">
      <w:pPr>
        <w:pStyle w:val="ParaTab1"/>
        <w:spacing w:line="360" w:lineRule="auto"/>
        <w:ind w:left="86" w:firstLine="1354"/>
        <w:rPr>
          <w:rFonts w:ascii="Times New Roman" w:hAnsi="Times New Roman"/>
          <w:color w:val="000000" w:themeColor="text1"/>
          <w:szCs w:val="20"/>
        </w:rPr>
      </w:pPr>
      <w:r w:rsidRPr="00666AFB">
        <w:rPr>
          <w:rFonts w:ascii="Times New Roman" w:hAnsi="Times New Roman"/>
          <w:color w:val="000000" w:themeColor="text1"/>
          <w:szCs w:val="20"/>
        </w:rPr>
        <w:t xml:space="preserve">In its brief, I&amp;E contends that Act 13 is ambiguous and therefore requires an examination of the factors set forth in 1 </w:t>
      </w:r>
      <w:proofErr w:type="spellStart"/>
      <w:r w:rsidRPr="00666AFB">
        <w:rPr>
          <w:rFonts w:ascii="Times New Roman" w:hAnsi="Times New Roman"/>
          <w:color w:val="000000" w:themeColor="text1"/>
          <w:szCs w:val="20"/>
        </w:rPr>
        <w:t>Pa.C.S</w:t>
      </w:r>
      <w:proofErr w:type="spellEnd"/>
      <w:r w:rsidRPr="00666AFB">
        <w:rPr>
          <w:rFonts w:ascii="Times New Roman" w:hAnsi="Times New Roman"/>
          <w:color w:val="000000" w:themeColor="text1"/>
          <w:szCs w:val="20"/>
        </w:rPr>
        <w:t>. § 1921(c).</w:t>
      </w:r>
      <w:r w:rsidR="00532444">
        <w:rPr>
          <w:rFonts w:ascii="Times New Roman" w:hAnsi="Times New Roman"/>
          <w:color w:val="000000" w:themeColor="text1"/>
          <w:szCs w:val="20"/>
        </w:rPr>
        <w:t xml:space="preserve">  I&amp;E M.B. 8-12.</w:t>
      </w:r>
      <w:r w:rsidRPr="00666AFB">
        <w:rPr>
          <w:rFonts w:ascii="Times New Roman" w:hAnsi="Times New Roman"/>
          <w:color w:val="000000" w:themeColor="text1"/>
          <w:szCs w:val="20"/>
        </w:rPr>
        <w:t xml:space="preserve">  I&amp;E </w:t>
      </w:r>
      <w:proofErr w:type="gramStart"/>
      <w:r w:rsidRPr="00666AFB">
        <w:rPr>
          <w:rFonts w:ascii="Times New Roman" w:hAnsi="Times New Roman"/>
          <w:color w:val="000000" w:themeColor="text1"/>
          <w:szCs w:val="20"/>
        </w:rPr>
        <w:t>argues</w:t>
      </w:r>
      <w:proofErr w:type="gramEnd"/>
      <w:r w:rsidRPr="00666AFB">
        <w:rPr>
          <w:rFonts w:ascii="Times New Roman" w:hAnsi="Times New Roman"/>
          <w:color w:val="000000" w:themeColor="text1"/>
          <w:szCs w:val="20"/>
        </w:rPr>
        <w:t xml:space="preserve"> that the use of the word “any” in the definition of “stripper well” renders that definition ambiguous because “any” can mean either “one or another taken at random” or “every”.  I&amp;E points out that this is particularly true when the definition of “stripper well” is applied </w:t>
      </w:r>
      <w:r w:rsidR="006A2BF3" w:rsidRPr="00666AFB">
        <w:rPr>
          <w:rFonts w:ascii="Times New Roman" w:hAnsi="Times New Roman"/>
          <w:color w:val="000000" w:themeColor="text1"/>
          <w:szCs w:val="20"/>
        </w:rPr>
        <w:t xml:space="preserve">to </w:t>
      </w:r>
      <w:r w:rsidRPr="00666AFB">
        <w:rPr>
          <w:rFonts w:ascii="Times New Roman" w:hAnsi="Times New Roman"/>
          <w:color w:val="000000" w:themeColor="text1"/>
          <w:szCs w:val="20"/>
        </w:rPr>
        <w:t>Snyder’s wells where those wells are producing 90,000 per day per month in some months.</w:t>
      </w:r>
    </w:p>
    <w:p w:rsidR="003B18EB" w:rsidRPr="00666AFB" w:rsidRDefault="003B18EB" w:rsidP="00A64779">
      <w:pPr>
        <w:pStyle w:val="ParaTab1"/>
        <w:spacing w:line="360" w:lineRule="auto"/>
        <w:ind w:left="86" w:firstLine="1354"/>
        <w:rPr>
          <w:rFonts w:ascii="Times New Roman" w:hAnsi="Times New Roman"/>
          <w:color w:val="000000" w:themeColor="text1"/>
          <w:szCs w:val="20"/>
        </w:rPr>
      </w:pPr>
    </w:p>
    <w:p w:rsidR="002E580B" w:rsidRDefault="003B18EB" w:rsidP="00A64779">
      <w:pPr>
        <w:pStyle w:val="ParaTab1"/>
        <w:spacing w:line="360" w:lineRule="auto"/>
        <w:ind w:left="86" w:firstLine="1354"/>
        <w:rPr>
          <w:rFonts w:ascii="Times New Roman" w:hAnsi="Times New Roman"/>
          <w:color w:val="000000" w:themeColor="text1"/>
          <w:szCs w:val="20"/>
        </w:rPr>
      </w:pPr>
      <w:r w:rsidRPr="00666AFB">
        <w:rPr>
          <w:rFonts w:ascii="Times New Roman" w:hAnsi="Times New Roman"/>
          <w:color w:val="000000" w:themeColor="text1"/>
          <w:szCs w:val="20"/>
        </w:rPr>
        <w:t>In support of its position</w:t>
      </w:r>
      <w:r w:rsidR="006A2BF3" w:rsidRPr="00666AFB">
        <w:rPr>
          <w:rFonts w:ascii="Times New Roman" w:hAnsi="Times New Roman"/>
          <w:color w:val="000000" w:themeColor="text1"/>
          <w:szCs w:val="20"/>
        </w:rPr>
        <w:t xml:space="preserve"> that the definition of ‘stripper well” is ambiguous,</w:t>
      </w:r>
      <w:r w:rsidRPr="00666AFB">
        <w:rPr>
          <w:rFonts w:ascii="Times New Roman" w:hAnsi="Times New Roman"/>
          <w:color w:val="000000" w:themeColor="text1"/>
          <w:szCs w:val="20"/>
        </w:rPr>
        <w:t xml:space="preserve"> </w:t>
      </w:r>
      <w:r w:rsidR="006A2BF3" w:rsidRPr="00666AFB">
        <w:rPr>
          <w:rFonts w:ascii="Times New Roman" w:hAnsi="Times New Roman"/>
          <w:color w:val="000000" w:themeColor="text1"/>
          <w:szCs w:val="20"/>
        </w:rPr>
        <w:t xml:space="preserve">I&amp;E points to the number of requests for </w:t>
      </w:r>
      <w:r w:rsidR="005B7E6B">
        <w:rPr>
          <w:rFonts w:ascii="Times New Roman" w:hAnsi="Times New Roman"/>
          <w:color w:val="000000" w:themeColor="text1"/>
          <w:szCs w:val="20"/>
        </w:rPr>
        <w:t xml:space="preserve">reconsideration and clarification </w:t>
      </w:r>
      <w:r w:rsidR="006A2BF3" w:rsidRPr="00666AFB">
        <w:rPr>
          <w:rFonts w:ascii="Times New Roman" w:hAnsi="Times New Roman"/>
          <w:color w:val="000000" w:themeColor="text1"/>
          <w:szCs w:val="20"/>
        </w:rPr>
        <w:t xml:space="preserve">the Commission received after it issued its </w:t>
      </w:r>
      <w:r w:rsidR="006A2BF3" w:rsidRPr="00666AFB">
        <w:rPr>
          <w:rFonts w:ascii="Times New Roman" w:hAnsi="Times New Roman"/>
          <w:u w:val="single"/>
        </w:rPr>
        <w:t>Implementation Order</w:t>
      </w:r>
      <w:r w:rsidR="006A2BF3" w:rsidRPr="00666AFB">
        <w:rPr>
          <w:rFonts w:ascii="Times New Roman" w:hAnsi="Times New Roman"/>
        </w:rPr>
        <w:t>.</w:t>
      </w:r>
      <w:r w:rsidR="006A2BF3" w:rsidRPr="00666AFB">
        <w:rPr>
          <w:rFonts w:ascii="Times New Roman" w:hAnsi="Times New Roman"/>
          <w:color w:val="000000" w:themeColor="text1"/>
          <w:szCs w:val="20"/>
        </w:rPr>
        <w:t xml:space="preserve">  The Commission received inquiries from natural gas producers asking how to determine which vertical wells qualified as “stripper wells”.  The Commission addressed this issue in its </w:t>
      </w:r>
      <w:r w:rsidR="006A2BF3" w:rsidRPr="00666AFB">
        <w:rPr>
          <w:rFonts w:ascii="Times New Roman" w:hAnsi="Times New Roman"/>
          <w:u w:val="single"/>
        </w:rPr>
        <w:t>Reconsideration Order</w:t>
      </w:r>
      <w:r w:rsidR="006A2BF3" w:rsidRPr="00666AFB">
        <w:rPr>
          <w:rFonts w:ascii="Times New Roman" w:hAnsi="Times New Roman"/>
        </w:rPr>
        <w:t xml:space="preserve"> and </w:t>
      </w:r>
      <w:r w:rsidR="006A2BF3" w:rsidRPr="00666AFB">
        <w:rPr>
          <w:rFonts w:ascii="Times New Roman" w:hAnsi="Times New Roman"/>
          <w:u w:val="single"/>
        </w:rPr>
        <w:t>Implementation Order</w:t>
      </w:r>
      <w:r w:rsidR="006A2BF3" w:rsidRPr="00666AFB">
        <w:rPr>
          <w:rFonts w:ascii="Times New Roman" w:hAnsi="Times New Roman"/>
        </w:rPr>
        <w:t>.</w:t>
      </w:r>
      <w:r w:rsidR="006A2BF3" w:rsidRPr="00666AFB">
        <w:rPr>
          <w:rFonts w:ascii="Times New Roman" w:hAnsi="Times New Roman"/>
          <w:color w:val="000000" w:themeColor="text1"/>
          <w:szCs w:val="20"/>
        </w:rPr>
        <w:t xml:space="preserve">  I&amp;E </w:t>
      </w:r>
      <w:proofErr w:type="gramStart"/>
      <w:r w:rsidR="006A2BF3" w:rsidRPr="00666AFB">
        <w:rPr>
          <w:rFonts w:ascii="Times New Roman" w:hAnsi="Times New Roman"/>
          <w:color w:val="000000" w:themeColor="text1"/>
          <w:szCs w:val="20"/>
        </w:rPr>
        <w:t>argues</w:t>
      </w:r>
      <w:proofErr w:type="gramEnd"/>
      <w:r w:rsidR="006A2BF3" w:rsidRPr="00666AFB">
        <w:rPr>
          <w:rFonts w:ascii="Times New Roman" w:hAnsi="Times New Roman"/>
          <w:color w:val="000000" w:themeColor="text1"/>
          <w:szCs w:val="20"/>
        </w:rPr>
        <w:t xml:space="preserve"> that if the statute was free from ambiguity, the</w:t>
      </w:r>
      <w:r w:rsidR="005B7E6B">
        <w:rPr>
          <w:rFonts w:ascii="Times New Roman" w:hAnsi="Times New Roman"/>
          <w:color w:val="000000" w:themeColor="text1"/>
          <w:szCs w:val="20"/>
        </w:rPr>
        <w:t xml:space="preserve"> natural gas producers would not have filed petitions for consideration and clarification.  </w:t>
      </w:r>
      <w:r w:rsidR="0073535A" w:rsidRPr="00666AFB">
        <w:rPr>
          <w:rFonts w:ascii="Times New Roman" w:hAnsi="Times New Roman"/>
          <w:color w:val="000000" w:themeColor="text1"/>
          <w:szCs w:val="20"/>
        </w:rPr>
        <w:t xml:space="preserve">  Since the definition of “stripper well” is ambiguous, the Commission must</w:t>
      </w:r>
      <w:r w:rsidR="00F560E6" w:rsidRPr="00666AFB">
        <w:rPr>
          <w:rFonts w:ascii="Times New Roman" w:hAnsi="Times New Roman"/>
          <w:color w:val="000000" w:themeColor="text1"/>
          <w:szCs w:val="20"/>
        </w:rPr>
        <w:t xml:space="preserve"> examine the factors in 1 </w:t>
      </w:r>
      <w:proofErr w:type="spellStart"/>
      <w:r w:rsidR="00F560E6" w:rsidRPr="00666AFB">
        <w:rPr>
          <w:rFonts w:ascii="Times New Roman" w:hAnsi="Times New Roman"/>
          <w:color w:val="000000" w:themeColor="text1"/>
          <w:szCs w:val="20"/>
        </w:rPr>
        <w:t>Pa.C.S</w:t>
      </w:r>
      <w:proofErr w:type="spellEnd"/>
      <w:r w:rsidR="00F560E6" w:rsidRPr="00666AFB">
        <w:rPr>
          <w:rFonts w:ascii="Times New Roman" w:hAnsi="Times New Roman"/>
          <w:color w:val="000000" w:themeColor="text1"/>
          <w:szCs w:val="20"/>
        </w:rPr>
        <w:t>. § 1921(c)</w:t>
      </w:r>
      <w:r w:rsidR="005B7E6B">
        <w:rPr>
          <w:rFonts w:ascii="Times New Roman" w:hAnsi="Times New Roman"/>
          <w:color w:val="000000" w:themeColor="text1"/>
          <w:szCs w:val="20"/>
        </w:rPr>
        <w:t xml:space="preserve"> set forth below:</w:t>
      </w:r>
    </w:p>
    <w:p w:rsidR="002E580B" w:rsidRDefault="002E580B" w:rsidP="00A64779">
      <w:pPr>
        <w:pStyle w:val="ParaTab1"/>
        <w:spacing w:line="360" w:lineRule="auto"/>
        <w:ind w:left="86" w:firstLine="1354"/>
        <w:rPr>
          <w:rFonts w:ascii="Times New Roman" w:hAnsi="Times New Roman"/>
          <w:color w:val="000000" w:themeColor="text1"/>
          <w:szCs w:val="20"/>
        </w:rPr>
      </w:pPr>
    </w:p>
    <w:p w:rsidR="002E580B" w:rsidRDefault="002E580B" w:rsidP="00767097">
      <w:pPr>
        <w:spacing w:line="231" w:lineRule="auto"/>
        <w:ind w:left="1093"/>
      </w:pPr>
      <w:r>
        <w:rPr>
          <w:b/>
        </w:rPr>
        <w:lastRenderedPageBreak/>
        <w:t>(c)  Matters considered in ascertaining intent.--</w:t>
      </w:r>
      <w:r>
        <w:t>When the words of a statute are not explicit, the intention of the General Assembly may be ascertained by considering, among other matters:</w:t>
      </w:r>
    </w:p>
    <w:p w:rsidR="002E580B" w:rsidRDefault="002E580B" w:rsidP="002E580B">
      <w:pPr>
        <w:spacing w:line="231" w:lineRule="auto"/>
        <w:ind w:left="947" w:firstLine="493"/>
      </w:pPr>
      <w:r>
        <w:t>(1)  The occasion and necessity for the statute.</w:t>
      </w:r>
    </w:p>
    <w:p w:rsidR="002E580B" w:rsidRDefault="002E580B" w:rsidP="002E580B">
      <w:pPr>
        <w:spacing w:line="231" w:lineRule="auto"/>
        <w:ind w:left="947" w:firstLine="493"/>
      </w:pPr>
      <w:r>
        <w:t>(2)  The circumstances under which it was enacted.</w:t>
      </w:r>
    </w:p>
    <w:p w:rsidR="002E580B" w:rsidRDefault="002E580B" w:rsidP="002E580B">
      <w:pPr>
        <w:spacing w:line="231" w:lineRule="auto"/>
        <w:ind w:left="947" w:firstLine="493"/>
      </w:pPr>
      <w:r>
        <w:t>(3)  The mischief to be remedied.</w:t>
      </w:r>
    </w:p>
    <w:p w:rsidR="002E580B" w:rsidRDefault="002E580B" w:rsidP="002E580B">
      <w:pPr>
        <w:spacing w:line="231" w:lineRule="auto"/>
        <w:ind w:left="947" w:firstLine="493"/>
      </w:pPr>
      <w:r>
        <w:t>(4)  The object to be attained.</w:t>
      </w:r>
    </w:p>
    <w:p w:rsidR="002E580B" w:rsidRDefault="002E580B" w:rsidP="002E580B">
      <w:pPr>
        <w:spacing w:line="231" w:lineRule="auto"/>
        <w:ind w:left="1440"/>
      </w:pPr>
      <w:r>
        <w:t>(5)  The former law, if any, including other statutes upon the same or similar subjects.</w:t>
      </w:r>
    </w:p>
    <w:p w:rsidR="002E580B" w:rsidRDefault="002E580B" w:rsidP="002E580B">
      <w:pPr>
        <w:spacing w:line="231" w:lineRule="auto"/>
        <w:ind w:left="947" w:firstLine="493"/>
      </w:pPr>
      <w:r>
        <w:t>(6)  The consequences of a particular interpretation.</w:t>
      </w:r>
    </w:p>
    <w:p w:rsidR="002E580B" w:rsidRDefault="002E580B" w:rsidP="002E580B">
      <w:pPr>
        <w:spacing w:line="231" w:lineRule="auto"/>
        <w:ind w:left="947" w:firstLine="493"/>
      </w:pPr>
      <w:r>
        <w:t>(7)  The contemporaneous legislative history.</w:t>
      </w:r>
    </w:p>
    <w:p w:rsidR="002E580B" w:rsidRDefault="002E580B" w:rsidP="002E580B">
      <w:pPr>
        <w:spacing w:line="231" w:lineRule="auto"/>
        <w:ind w:left="947" w:firstLine="493"/>
      </w:pPr>
      <w:r>
        <w:t>(8)  Legislative and administrative interpretations of such statute.</w:t>
      </w:r>
    </w:p>
    <w:p w:rsidR="004B2D28" w:rsidRPr="00666AFB" w:rsidRDefault="00F560E6" w:rsidP="00A64779">
      <w:pPr>
        <w:pStyle w:val="ParaTab1"/>
        <w:spacing w:line="360" w:lineRule="auto"/>
        <w:ind w:left="86" w:firstLine="1354"/>
        <w:rPr>
          <w:rFonts w:ascii="Times New Roman" w:hAnsi="Times New Roman"/>
          <w:color w:val="000000" w:themeColor="text1"/>
          <w:szCs w:val="20"/>
        </w:rPr>
      </w:pPr>
      <w:r w:rsidRPr="00666AFB">
        <w:rPr>
          <w:rFonts w:ascii="Times New Roman" w:hAnsi="Times New Roman"/>
          <w:color w:val="000000" w:themeColor="text1"/>
          <w:szCs w:val="20"/>
        </w:rPr>
        <w:t xml:space="preserve">  </w:t>
      </w:r>
      <w:r w:rsidR="0073535A" w:rsidRPr="00666AFB">
        <w:rPr>
          <w:rFonts w:ascii="Times New Roman" w:hAnsi="Times New Roman"/>
          <w:color w:val="000000" w:themeColor="text1"/>
          <w:szCs w:val="20"/>
        </w:rPr>
        <w:t xml:space="preserve">  </w:t>
      </w:r>
      <w:r w:rsidR="004B2D28" w:rsidRPr="00666AFB">
        <w:rPr>
          <w:rFonts w:ascii="Times New Roman" w:hAnsi="Times New Roman"/>
          <w:color w:val="000000" w:themeColor="text1"/>
          <w:szCs w:val="20"/>
        </w:rPr>
        <w:t xml:space="preserve">   </w:t>
      </w:r>
    </w:p>
    <w:p w:rsidR="00FF73D8" w:rsidRPr="00666AFB" w:rsidRDefault="00F560E6" w:rsidP="00A64779">
      <w:pPr>
        <w:pStyle w:val="ParaTab1"/>
        <w:spacing w:line="360" w:lineRule="auto"/>
        <w:ind w:left="86" w:firstLine="1354"/>
        <w:rPr>
          <w:rFonts w:ascii="Times New Roman" w:hAnsi="Times New Roman"/>
          <w:color w:val="000000" w:themeColor="text1"/>
          <w:szCs w:val="20"/>
        </w:rPr>
      </w:pPr>
      <w:r w:rsidRPr="00666AFB">
        <w:rPr>
          <w:rFonts w:ascii="Times New Roman" w:hAnsi="Times New Roman"/>
          <w:color w:val="000000" w:themeColor="text1"/>
          <w:szCs w:val="20"/>
        </w:rPr>
        <w:t>Viewing the factors set forth</w:t>
      </w:r>
      <w:r w:rsidR="002E580B">
        <w:rPr>
          <w:rFonts w:ascii="Times New Roman" w:hAnsi="Times New Roman"/>
          <w:color w:val="000000" w:themeColor="text1"/>
          <w:szCs w:val="20"/>
        </w:rPr>
        <w:t xml:space="preserve"> above,</w:t>
      </w:r>
      <w:r w:rsidRPr="00666AFB">
        <w:rPr>
          <w:rFonts w:ascii="Times New Roman" w:hAnsi="Times New Roman"/>
          <w:color w:val="000000" w:themeColor="text1"/>
          <w:szCs w:val="20"/>
        </w:rPr>
        <w:t xml:space="preserve"> </w:t>
      </w:r>
      <w:r w:rsidR="004B2D28" w:rsidRPr="00666AFB">
        <w:rPr>
          <w:rFonts w:ascii="Times New Roman" w:hAnsi="Times New Roman"/>
          <w:color w:val="000000" w:themeColor="text1"/>
          <w:szCs w:val="20"/>
        </w:rPr>
        <w:t>I&amp;E contends that the objective of Act 13 is to provide relief to municipalities affected by unconventional gas wells.</w:t>
      </w:r>
      <w:r w:rsidR="004E0F73" w:rsidRPr="00666AFB">
        <w:rPr>
          <w:rFonts w:ascii="Times New Roman" w:hAnsi="Times New Roman"/>
          <w:color w:val="000000" w:themeColor="text1"/>
          <w:szCs w:val="20"/>
        </w:rPr>
        <w:t xml:space="preserve">  According to </w:t>
      </w:r>
      <w:proofErr w:type="gramStart"/>
      <w:r w:rsidR="004E0F73" w:rsidRPr="00666AFB">
        <w:rPr>
          <w:rFonts w:ascii="Times New Roman" w:hAnsi="Times New Roman"/>
          <w:color w:val="000000" w:themeColor="text1"/>
          <w:szCs w:val="20"/>
        </w:rPr>
        <w:t>I&amp;E</w:t>
      </w:r>
      <w:proofErr w:type="gramEnd"/>
      <w:r w:rsidR="004E0F73" w:rsidRPr="00666AFB">
        <w:rPr>
          <w:rFonts w:ascii="Times New Roman" w:hAnsi="Times New Roman"/>
          <w:color w:val="000000" w:themeColor="text1"/>
          <w:szCs w:val="20"/>
        </w:rPr>
        <w:t>, this objective would be frustrated</w:t>
      </w:r>
      <w:r w:rsidR="00FF73D8" w:rsidRPr="00666AFB">
        <w:rPr>
          <w:rFonts w:ascii="Times New Roman" w:hAnsi="Times New Roman"/>
          <w:color w:val="000000" w:themeColor="text1"/>
          <w:szCs w:val="20"/>
        </w:rPr>
        <w:t xml:space="preserve"> by exempting active producing wells from paying fees under Act 13 because their production falls below 90,000 cubic feet of gas per day for one month out of twelve.</w:t>
      </w:r>
    </w:p>
    <w:p w:rsidR="00FF73D8" w:rsidRPr="00666AFB" w:rsidRDefault="00FF73D8" w:rsidP="00A64779">
      <w:pPr>
        <w:pStyle w:val="ParaTab1"/>
        <w:spacing w:line="360" w:lineRule="auto"/>
        <w:ind w:left="86" w:firstLine="1354"/>
        <w:rPr>
          <w:rFonts w:ascii="Times New Roman" w:hAnsi="Times New Roman"/>
          <w:color w:val="000000" w:themeColor="text1"/>
          <w:szCs w:val="20"/>
        </w:rPr>
      </w:pPr>
    </w:p>
    <w:p w:rsidR="00FF73D8" w:rsidRPr="00666AFB" w:rsidRDefault="00FF73D8" w:rsidP="00A64779">
      <w:pPr>
        <w:pStyle w:val="ParaTab1"/>
        <w:spacing w:line="360" w:lineRule="auto"/>
        <w:ind w:left="86" w:firstLine="1354"/>
        <w:rPr>
          <w:rFonts w:ascii="Times New Roman" w:hAnsi="Times New Roman"/>
          <w:color w:val="000000" w:themeColor="text1"/>
          <w:szCs w:val="20"/>
        </w:rPr>
      </w:pPr>
      <w:r w:rsidRPr="00666AFB">
        <w:rPr>
          <w:rFonts w:ascii="Times New Roman" w:hAnsi="Times New Roman"/>
          <w:color w:val="000000" w:themeColor="text1"/>
          <w:szCs w:val="20"/>
        </w:rPr>
        <w:t xml:space="preserve">In addition, Snyder’s interpretation of the term “stripper well” would lead to a result that would favor private interests over public interests.  Snyder’s interpretation would favor the private interest of increased revenue to Snyder over the public interest of providing relief to </w:t>
      </w:r>
      <w:r w:rsidR="002E580B">
        <w:rPr>
          <w:rFonts w:ascii="Times New Roman" w:hAnsi="Times New Roman"/>
          <w:color w:val="000000" w:themeColor="text1"/>
          <w:szCs w:val="20"/>
        </w:rPr>
        <w:t xml:space="preserve">the </w:t>
      </w:r>
      <w:r w:rsidRPr="00666AFB">
        <w:rPr>
          <w:rFonts w:ascii="Times New Roman" w:hAnsi="Times New Roman"/>
          <w:color w:val="000000" w:themeColor="text1"/>
          <w:szCs w:val="20"/>
        </w:rPr>
        <w:t>municipalities affected by drilling.</w:t>
      </w:r>
    </w:p>
    <w:p w:rsidR="00FF73D8" w:rsidRPr="00666AFB" w:rsidRDefault="00FF73D8" w:rsidP="00A64779">
      <w:pPr>
        <w:pStyle w:val="ParaTab1"/>
        <w:spacing w:line="360" w:lineRule="auto"/>
        <w:ind w:left="86" w:firstLine="1354"/>
        <w:rPr>
          <w:rFonts w:ascii="Times New Roman" w:hAnsi="Times New Roman"/>
          <w:color w:val="000000" w:themeColor="text1"/>
          <w:szCs w:val="20"/>
        </w:rPr>
      </w:pPr>
    </w:p>
    <w:p w:rsidR="0073535A" w:rsidRDefault="00FF73D8" w:rsidP="00A64779">
      <w:pPr>
        <w:pStyle w:val="ParaTab1"/>
        <w:spacing w:line="360" w:lineRule="auto"/>
        <w:ind w:left="86" w:firstLine="1354"/>
        <w:rPr>
          <w:rFonts w:ascii="Times New Roman" w:hAnsi="Times New Roman"/>
          <w:color w:val="000000" w:themeColor="text1"/>
          <w:szCs w:val="20"/>
        </w:rPr>
      </w:pPr>
      <w:r w:rsidRPr="00666AFB">
        <w:rPr>
          <w:rFonts w:ascii="Times New Roman" w:hAnsi="Times New Roman"/>
          <w:color w:val="000000" w:themeColor="text1"/>
          <w:szCs w:val="20"/>
        </w:rPr>
        <w:t xml:space="preserve">I&amp;E further </w:t>
      </w:r>
      <w:proofErr w:type="gramStart"/>
      <w:r w:rsidRPr="00666AFB">
        <w:rPr>
          <w:rFonts w:ascii="Times New Roman" w:hAnsi="Times New Roman"/>
          <w:color w:val="000000" w:themeColor="text1"/>
          <w:szCs w:val="20"/>
        </w:rPr>
        <w:t>asserts</w:t>
      </w:r>
      <w:proofErr w:type="gramEnd"/>
      <w:r w:rsidRPr="00666AFB">
        <w:rPr>
          <w:rFonts w:ascii="Times New Roman" w:hAnsi="Times New Roman"/>
          <w:color w:val="000000" w:themeColor="text1"/>
          <w:szCs w:val="20"/>
        </w:rPr>
        <w:t xml:space="preserve"> that the legislative history of Act 13 supports its interpretation of the term “stripper well”.  I&amp;E states that </w:t>
      </w:r>
      <w:r w:rsidR="002E580B" w:rsidRPr="00666AFB">
        <w:rPr>
          <w:rFonts w:ascii="Times New Roman" w:hAnsi="Times New Roman"/>
          <w:color w:val="000000" w:themeColor="text1"/>
          <w:szCs w:val="20"/>
        </w:rPr>
        <w:t>in House Bill 1950, Session of 2011, Printer’s No. 2837</w:t>
      </w:r>
      <w:r w:rsidR="002E580B">
        <w:rPr>
          <w:rFonts w:ascii="Times New Roman" w:hAnsi="Times New Roman"/>
          <w:color w:val="000000" w:themeColor="text1"/>
          <w:szCs w:val="20"/>
        </w:rPr>
        <w:t xml:space="preserve">, </w:t>
      </w:r>
      <w:r w:rsidRPr="00666AFB">
        <w:rPr>
          <w:rFonts w:ascii="Times New Roman" w:hAnsi="Times New Roman"/>
          <w:color w:val="000000" w:themeColor="text1"/>
          <w:szCs w:val="20"/>
        </w:rPr>
        <w:t xml:space="preserve">the General Assembly originally defined a “stripper well” as </w:t>
      </w:r>
      <w:r w:rsidR="0073535A" w:rsidRPr="00666AFB">
        <w:rPr>
          <w:rFonts w:ascii="Times New Roman" w:hAnsi="Times New Roman"/>
          <w:color w:val="000000" w:themeColor="text1"/>
          <w:szCs w:val="20"/>
        </w:rPr>
        <w:t xml:space="preserve">a gas well incapable of producing more than 90,000 cubic feet of gas during </w:t>
      </w:r>
      <w:r w:rsidR="0073535A" w:rsidRPr="00666AFB">
        <w:rPr>
          <w:rFonts w:ascii="Times New Roman" w:hAnsi="Times New Roman"/>
          <w:color w:val="000000" w:themeColor="text1"/>
          <w:szCs w:val="20"/>
          <w:u w:val="single"/>
        </w:rPr>
        <w:t>a</w:t>
      </w:r>
      <w:r w:rsidR="0073535A" w:rsidRPr="00666AFB">
        <w:rPr>
          <w:rFonts w:ascii="Times New Roman" w:hAnsi="Times New Roman"/>
          <w:color w:val="000000" w:themeColor="text1"/>
          <w:szCs w:val="20"/>
        </w:rPr>
        <w:t xml:space="preserve"> calendar month.  </w:t>
      </w:r>
      <w:r w:rsidR="002E580B">
        <w:rPr>
          <w:rFonts w:ascii="Times New Roman" w:hAnsi="Times New Roman"/>
          <w:color w:val="000000" w:themeColor="text1"/>
          <w:szCs w:val="20"/>
        </w:rPr>
        <w:t xml:space="preserve">In later versions of the bill, the General Assembly substituted “any” for “a” in the definition of “stripper well”.  </w:t>
      </w:r>
      <w:r w:rsidR="0073535A" w:rsidRPr="00666AFB">
        <w:rPr>
          <w:rFonts w:ascii="Times New Roman" w:hAnsi="Times New Roman"/>
          <w:color w:val="000000" w:themeColor="text1"/>
          <w:szCs w:val="20"/>
        </w:rPr>
        <w:t>If the General Assembly had intended the definition of “stripper well” put forth by Snyder, it would have left the word “a” in the definition.  By changing the word “a” to “any”, the General Assembly intended that a well is not a “stripper well” by producing 90,000 cubic feet per day or less in a calendar month but only when its production falls below 90,000 per day per month in each calendar month</w:t>
      </w:r>
      <w:r w:rsidR="002E580B">
        <w:rPr>
          <w:rFonts w:ascii="Times New Roman" w:hAnsi="Times New Roman"/>
          <w:color w:val="000000" w:themeColor="text1"/>
          <w:szCs w:val="20"/>
        </w:rPr>
        <w:t xml:space="preserve"> in the reporting period</w:t>
      </w:r>
      <w:r w:rsidR="0073535A" w:rsidRPr="00666AFB">
        <w:rPr>
          <w:rFonts w:ascii="Times New Roman" w:hAnsi="Times New Roman"/>
          <w:color w:val="000000" w:themeColor="text1"/>
          <w:szCs w:val="20"/>
        </w:rPr>
        <w:t>.</w:t>
      </w:r>
    </w:p>
    <w:p w:rsidR="00767097" w:rsidRPr="00666AFB" w:rsidRDefault="00767097" w:rsidP="00A64779">
      <w:pPr>
        <w:pStyle w:val="ParaTab1"/>
        <w:spacing w:line="360" w:lineRule="auto"/>
        <w:ind w:left="86" w:firstLine="1354"/>
        <w:rPr>
          <w:rFonts w:ascii="Times New Roman" w:hAnsi="Times New Roman"/>
          <w:color w:val="000000" w:themeColor="text1"/>
          <w:szCs w:val="20"/>
        </w:rPr>
      </w:pPr>
    </w:p>
    <w:p w:rsidR="00527AA4" w:rsidRPr="00666AFB" w:rsidRDefault="0073535A" w:rsidP="00A64779">
      <w:pPr>
        <w:pStyle w:val="ParaTab1"/>
        <w:spacing w:line="360" w:lineRule="auto"/>
        <w:ind w:left="86" w:firstLine="1354"/>
        <w:rPr>
          <w:rFonts w:ascii="Times New Roman" w:hAnsi="Times New Roman"/>
          <w:color w:val="000000" w:themeColor="text1"/>
          <w:szCs w:val="20"/>
        </w:rPr>
      </w:pPr>
      <w:r w:rsidRPr="00666AFB">
        <w:rPr>
          <w:rFonts w:ascii="Times New Roman" w:hAnsi="Times New Roman"/>
          <w:color w:val="000000" w:themeColor="text1"/>
          <w:szCs w:val="20"/>
        </w:rPr>
        <w:lastRenderedPageBreak/>
        <w:t xml:space="preserve">Finally, I&amp;E states that the Commission’s interpretation of </w:t>
      </w:r>
      <w:r w:rsidR="00F560E6" w:rsidRPr="00666AFB">
        <w:rPr>
          <w:rFonts w:ascii="Times New Roman" w:hAnsi="Times New Roman"/>
          <w:color w:val="000000" w:themeColor="text1"/>
          <w:szCs w:val="20"/>
        </w:rPr>
        <w:t xml:space="preserve">“stripper well” supports I&amp;E’s position.  According to </w:t>
      </w:r>
      <w:proofErr w:type="gramStart"/>
      <w:r w:rsidR="00F560E6" w:rsidRPr="00666AFB">
        <w:rPr>
          <w:rFonts w:ascii="Times New Roman" w:hAnsi="Times New Roman"/>
          <w:color w:val="000000" w:themeColor="text1"/>
          <w:szCs w:val="20"/>
        </w:rPr>
        <w:t>I&amp;E</w:t>
      </w:r>
      <w:proofErr w:type="gramEnd"/>
      <w:r w:rsidR="00F560E6" w:rsidRPr="00666AFB">
        <w:rPr>
          <w:rFonts w:ascii="Times New Roman" w:hAnsi="Times New Roman"/>
          <w:color w:val="000000" w:themeColor="text1"/>
          <w:szCs w:val="20"/>
        </w:rPr>
        <w:t xml:space="preserve">, the Commission in its </w:t>
      </w:r>
      <w:r w:rsidR="00F560E6" w:rsidRPr="00666AFB">
        <w:rPr>
          <w:rFonts w:ascii="Times New Roman" w:hAnsi="Times New Roman"/>
          <w:u w:val="single"/>
        </w:rPr>
        <w:t>Reconsideration Order</w:t>
      </w:r>
      <w:r w:rsidR="00F560E6" w:rsidRPr="00666AFB">
        <w:rPr>
          <w:rFonts w:ascii="Times New Roman" w:hAnsi="Times New Roman"/>
          <w:color w:val="000000" w:themeColor="text1"/>
          <w:szCs w:val="20"/>
        </w:rPr>
        <w:t xml:space="preserve"> and </w:t>
      </w:r>
      <w:r w:rsidR="00F560E6" w:rsidRPr="00666AFB">
        <w:rPr>
          <w:rFonts w:ascii="Times New Roman" w:hAnsi="Times New Roman"/>
          <w:u w:val="single"/>
        </w:rPr>
        <w:t>Rulemaking Order</w:t>
      </w:r>
      <w:r w:rsidR="00F560E6" w:rsidRPr="00666AFB">
        <w:rPr>
          <w:rFonts w:ascii="Times New Roman" w:hAnsi="Times New Roman"/>
          <w:color w:val="000000" w:themeColor="text1"/>
          <w:szCs w:val="20"/>
        </w:rPr>
        <w:t xml:space="preserve"> has stated that if production exceeds 90,000 per day in any month during a calendar year, that well is subject to Act 13’s fees.</w:t>
      </w:r>
      <w:r w:rsidR="00DD0B15" w:rsidRPr="00666AFB">
        <w:rPr>
          <w:rFonts w:ascii="Times New Roman" w:hAnsi="Times New Roman"/>
          <w:color w:val="000000" w:themeColor="text1"/>
          <w:szCs w:val="20"/>
        </w:rPr>
        <w:t xml:space="preserve">  </w:t>
      </w:r>
      <w:proofErr w:type="gramStart"/>
      <w:r w:rsidR="00DD0B15" w:rsidRPr="00666AFB">
        <w:rPr>
          <w:rFonts w:ascii="Times New Roman" w:hAnsi="Times New Roman"/>
          <w:color w:val="000000" w:themeColor="text1"/>
          <w:szCs w:val="20"/>
        </w:rPr>
        <w:t>I&amp;E’s brief requests that the Commission deny Snyder’s motion for summary judgment.</w:t>
      </w:r>
      <w:proofErr w:type="gramEnd"/>
      <w:r w:rsidR="00DD0B15" w:rsidRPr="00666AFB">
        <w:rPr>
          <w:rFonts w:ascii="Times New Roman" w:hAnsi="Times New Roman"/>
          <w:color w:val="000000" w:themeColor="text1"/>
          <w:szCs w:val="20"/>
        </w:rPr>
        <w:t xml:space="preserve"> </w:t>
      </w:r>
    </w:p>
    <w:p w:rsidR="00527AA4" w:rsidRPr="00666AFB" w:rsidRDefault="00527AA4" w:rsidP="00A64779">
      <w:pPr>
        <w:pStyle w:val="ParaTab1"/>
        <w:spacing w:line="360" w:lineRule="auto"/>
        <w:ind w:left="86" w:firstLine="1354"/>
        <w:rPr>
          <w:rFonts w:ascii="Times New Roman" w:hAnsi="Times New Roman"/>
          <w:color w:val="000000" w:themeColor="text1"/>
          <w:szCs w:val="20"/>
        </w:rPr>
      </w:pPr>
    </w:p>
    <w:p w:rsidR="00527AA4" w:rsidRPr="00666AFB" w:rsidRDefault="00527AA4" w:rsidP="00A64779">
      <w:pPr>
        <w:pStyle w:val="ParaTab1"/>
        <w:spacing w:line="360" w:lineRule="auto"/>
        <w:ind w:left="86" w:firstLine="1354"/>
        <w:rPr>
          <w:rFonts w:ascii="Times New Roman" w:hAnsi="Times New Roman"/>
          <w:color w:val="000000" w:themeColor="text1"/>
          <w:szCs w:val="20"/>
        </w:rPr>
      </w:pPr>
      <w:r w:rsidRPr="00666AFB">
        <w:rPr>
          <w:rFonts w:ascii="Times New Roman" w:hAnsi="Times New Roman"/>
          <w:color w:val="000000" w:themeColor="text1"/>
          <w:szCs w:val="20"/>
        </w:rPr>
        <w:t>I agree with Snyder that there is no factual dispute as to the amounts of gas produced by Snyder’s wells and therefore no dispute as to the material facts of this case.  However I disagree that it is entitled to judgment as a matter of law.</w:t>
      </w:r>
    </w:p>
    <w:p w:rsidR="00527AA4" w:rsidRPr="00666AFB" w:rsidRDefault="00527AA4" w:rsidP="00A64779">
      <w:pPr>
        <w:pStyle w:val="ParaTab1"/>
        <w:spacing w:line="360" w:lineRule="auto"/>
        <w:ind w:left="86" w:firstLine="1354"/>
        <w:rPr>
          <w:rFonts w:ascii="Times New Roman" w:hAnsi="Times New Roman"/>
          <w:color w:val="000000" w:themeColor="text1"/>
          <w:szCs w:val="20"/>
        </w:rPr>
      </w:pPr>
    </w:p>
    <w:p w:rsidR="00B76663" w:rsidRPr="00666AFB" w:rsidRDefault="00527AA4" w:rsidP="00A64779">
      <w:pPr>
        <w:pStyle w:val="ParaTab1"/>
        <w:spacing w:line="360" w:lineRule="auto"/>
        <w:ind w:left="86" w:firstLine="1354"/>
        <w:rPr>
          <w:rFonts w:ascii="Times New Roman" w:hAnsi="Times New Roman"/>
        </w:rPr>
      </w:pPr>
      <w:r w:rsidRPr="00666AFB">
        <w:rPr>
          <w:rFonts w:ascii="Times New Roman" w:hAnsi="Times New Roman"/>
          <w:color w:val="000000" w:themeColor="text1"/>
          <w:szCs w:val="20"/>
        </w:rPr>
        <w:t xml:space="preserve">I disagree with Snyder that the definition of “stripper well” is unambiguous.  Act 13 is not a model of clarity.  </w:t>
      </w:r>
      <w:r w:rsidR="002D5769" w:rsidRPr="00666AFB">
        <w:rPr>
          <w:rFonts w:ascii="Times New Roman" w:hAnsi="Times New Roman"/>
          <w:color w:val="000000" w:themeColor="text1"/>
          <w:szCs w:val="20"/>
        </w:rPr>
        <w:t xml:space="preserve">The fact that the Commission needed to issue an </w:t>
      </w:r>
      <w:r w:rsidR="002D5769" w:rsidRPr="00666AFB">
        <w:rPr>
          <w:rFonts w:ascii="Times New Roman" w:hAnsi="Times New Roman"/>
          <w:u w:val="single"/>
        </w:rPr>
        <w:t>Implementation Order</w:t>
      </w:r>
      <w:r w:rsidR="002D5769" w:rsidRPr="00666AFB">
        <w:rPr>
          <w:rFonts w:ascii="Times New Roman" w:hAnsi="Times New Roman"/>
        </w:rPr>
        <w:t xml:space="preserve">; a </w:t>
      </w:r>
      <w:r w:rsidR="002D5769" w:rsidRPr="00666AFB">
        <w:rPr>
          <w:rFonts w:ascii="Times New Roman" w:hAnsi="Times New Roman"/>
          <w:u w:val="single"/>
        </w:rPr>
        <w:t>Reconsideration Order</w:t>
      </w:r>
      <w:r w:rsidR="002D5769" w:rsidRPr="00666AFB">
        <w:rPr>
          <w:rFonts w:ascii="Times New Roman" w:hAnsi="Times New Roman"/>
        </w:rPr>
        <w:t xml:space="preserve">; and a </w:t>
      </w:r>
      <w:r w:rsidR="002D5769" w:rsidRPr="00666AFB">
        <w:rPr>
          <w:rFonts w:ascii="Times New Roman" w:hAnsi="Times New Roman"/>
          <w:u w:val="single"/>
        </w:rPr>
        <w:t>Clarification Order</w:t>
      </w:r>
      <w:r w:rsidR="002D5769" w:rsidRPr="00666AFB">
        <w:rPr>
          <w:rFonts w:ascii="Times New Roman" w:hAnsi="Times New Roman"/>
        </w:rPr>
        <w:t xml:space="preserve"> in order to implement the provisions of Act 13 indicates that there was substantial disagreement </w:t>
      </w:r>
      <w:r w:rsidR="00B76663" w:rsidRPr="00666AFB">
        <w:rPr>
          <w:rFonts w:ascii="Times New Roman" w:hAnsi="Times New Roman"/>
        </w:rPr>
        <w:t>regarding</w:t>
      </w:r>
      <w:r w:rsidR="00403472">
        <w:rPr>
          <w:rFonts w:ascii="Times New Roman" w:hAnsi="Times New Roman"/>
        </w:rPr>
        <w:t xml:space="preserve"> the interpretation and </w:t>
      </w:r>
      <w:r w:rsidR="00B76663" w:rsidRPr="00666AFB">
        <w:rPr>
          <w:rFonts w:ascii="Times New Roman" w:hAnsi="Times New Roman"/>
        </w:rPr>
        <w:t>implementation of Act 13.</w:t>
      </w:r>
      <w:r w:rsidR="00403472">
        <w:rPr>
          <w:rFonts w:ascii="Times New Roman" w:hAnsi="Times New Roman"/>
        </w:rPr>
        <w:t xml:space="preserve">  Relevant to this case, the Commission had to int</w:t>
      </w:r>
      <w:r w:rsidR="006B2435">
        <w:rPr>
          <w:rFonts w:ascii="Times New Roman" w:hAnsi="Times New Roman"/>
        </w:rPr>
        <w:t>erpret the terms “stripper well” and “vertical gas well”.</w:t>
      </w:r>
      <w:r w:rsidR="00403472">
        <w:rPr>
          <w:rFonts w:ascii="Times New Roman" w:hAnsi="Times New Roman"/>
        </w:rPr>
        <w:t xml:space="preserve">  </w:t>
      </w:r>
      <w:r w:rsidR="00B76663" w:rsidRPr="00666AFB">
        <w:rPr>
          <w:rFonts w:ascii="Times New Roman" w:hAnsi="Times New Roman"/>
        </w:rPr>
        <w:t xml:space="preserve">  </w:t>
      </w:r>
    </w:p>
    <w:p w:rsidR="00B76663" w:rsidRPr="00666AFB" w:rsidRDefault="00B76663" w:rsidP="00A64779">
      <w:pPr>
        <w:pStyle w:val="ParaTab1"/>
        <w:spacing w:line="360" w:lineRule="auto"/>
        <w:ind w:left="86" w:firstLine="1354"/>
        <w:rPr>
          <w:rFonts w:ascii="Times New Roman" w:hAnsi="Times New Roman"/>
        </w:rPr>
      </w:pPr>
    </w:p>
    <w:p w:rsidR="00D729A0" w:rsidRPr="00666AFB" w:rsidRDefault="00B76663" w:rsidP="00A64779">
      <w:pPr>
        <w:pStyle w:val="ParaTab1"/>
        <w:spacing w:line="360" w:lineRule="auto"/>
        <w:ind w:left="86" w:firstLine="1354"/>
        <w:rPr>
          <w:rFonts w:ascii="Times New Roman" w:hAnsi="Times New Roman"/>
        </w:rPr>
      </w:pPr>
      <w:r w:rsidRPr="00666AFB">
        <w:rPr>
          <w:rFonts w:ascii="Times New Roman" w:hAnsi="Times New Roman"/>
        </w:rPr>
        <w:t xml:space="preserve">The Commission discussed the definition of “stripper well” </w:t>
      </w:r>
      <w:r w:rsidR="00D729A0" w:rsidRPr="00666AFB">
        <w:rPr>
          <w:rFonts w:ascii="Times New Roman" w:hAnsi="Times New Roman"/>
        </w:rPr>
        <w:t xml:space="preserve">and “vertical gas well” </w:t>
      </w:r>
      <w:r w:rsidRPr="00666AFB">
        <w:rPr>
          <w:rFonts w:ascii="Times New Roman" w:hAnsi="Times New Roman"/>
        </w:rPr>
        <w:t xml:space="preserve">in its </w:t>
      </w:r>
      <w:r w:rsidRPr="00666AFB">
        <w:rPr>
          <w:rFonts w:ascii="Times New Roman" w:hAnsi="Times New Roman"/>
          <w:u w:val="single"/>
        </w:rPr>
        <w:t>Reconsideration Order</w:t>
      </w:r>
      <w:r w:rsidRPr="00666AFB">
        <w:rPr>
          <w:rFonts w:ascii="Times New Roman" w:hAnsi="Times New Roman"/>
        </w:rPr>
        <w:t xml:space="preserve"> after various entities, including PIOGA, filed petitions for reconsideration of its </w:t>
      </w:r>
      <w:r w:rsidRPr="00666AFB">
        <w:rPr>
          <w:rFonts w:ascii="Times New Roman" w:hAnsi="Times New Roman"/>
          <w:u w:val="single"/>
        </w:rPr>
        <w:t>Implementation Order</w:t>
      </w:r>
      <w:r w:rsidRPr="00666AFB">
        <w:rPr>
          <w:rFonts w:ascii="Times New Roman" w:hAnsi="Times New Roman"/>
        </w:rPr>
        <w:t xml:space="preserve">.  </w:t>
      </w:r>
      <w:r w:rsidR="00262758" w:rsidRPr="00666AFB">
        <w:rPr>
          <w:rFonts w:ascii="Times New Roman" w:hAnsi="Times New Roman"/>
        </w:rPr>
        <w:t xml:space="preserve">The Commission indicated that a </w:t>
      </w:r>
      <w:r w:rsidR="00D729A0" w:rsidRPr="00666AFB">
        <w:rPr>
          <w:rFonts w:ascii="Times New Roman" w:hAnsi="Times New Roman"/>
        </w:rPr>
        <w:t xml:space="preserve">“vertical gas </w:t>
      </w:r>
      <w:r w:rsidR="00262758" w:rsidRPr="00666AFB">
        <w:rPr>
          <w:rFonts w:ascii="Times New Roman" w:hAnsi="Times New Roman"/>
        </w:rPr>
        <w:t>well</w:t>
      </w:r>
      <w:r w:rsidR="00D729A0" w:rsidRPr="00666AFB">
        <w:rPr>
          <w:rFonts w:ascii="Times New Roman" w:hAnsi="Times New Roman"/>
        </w:rPr>
        <w:t>”</w:t>
      </w:r>
      <w:r w:rsidR="00262758" w:rsidRPr="00666AFB">
        <w:rPr>
          <w:rFonts w:ascii="Times New Roman" w:hAnsi="Times New Roman"/>
        </w:rPr>
        <w:t xml:space="preserve"> would be subject to the impact fee unless that well did not produce natural gas in quantities greater than that of a “stripper well” during any calendar month.  Therefore, if a </w:t>
      </w:r>
      <w:r w:rsidR="00D729A0" w:rsidRPr="00666AFB">
        <w:rPr>
          <w:rFonts w:ascii="Times New Roman" w:hAnsi="Times New Roman"/>
        </w:rPr>
        <w:t>“</w:t>
      </w:r>
      <w:r w:rsidR="00262758" w:rsidRPr="00666AFB">
        <w:rPr>
          <w:rFonts w:ascii="Times New Roman" w:hAnsi="Times New Roman"/>
        </w:rPr>
        <w:t>vertical gas well</w:t>
      </w:r>
      <w:r w:rsidR="00D729A0" w:rsidRPr="00666AFB">
        <w:rPr>
          <w:rFonts w:ascii="Times New Roman" w:hAnsi="Times New Roman"/>
        </w:rPr>
        <w:t>”</w:t>
      </w:r>
      <w:r w:rsidR="00262758" w:rsidRPr="00666AFB">
        <w:rPr>
          <w:rFonts w:ascii="Times New Roman" w:hAnsi="Times New Roman"/>
        </w:rPr>
        <w:t xml:space="preserve"> produces more than 90,000 cubic feet per day in any calendar month in a calendar year, that well is subject to the impact fee.  </w:t>
      </w:r>
      <w:proofErr w:type="gramStart"/>
      <w:r w:rsidR="00262758" w:rsidRPr="00666AFB">
        <w:rPr>
          <w:rFonts w:ascii="Times New Roman" w:hAnsi="Times New Roman"/>
          <w:u w:val="single"/>
        </w:rPr>
        <w:t>Reconsideration Order</w:t>
      </w:r>
      <w:r w:rsidR="00262758" w:rsidRPr="00666AFB">
        <w:rPr>
          <w:rFonts w:ascii="Times New Roman" w:hAnsi="Times New Roman"/>
        </w:rPr>
        <w:t xml:space="preserve"> p. 5.</w:t>
      </w:r>
      <w:proofErr w:type="gramEnd"/>
      <w:r w:rsidR="00D729A0" w:rsidRPr="00666AFB">
        <w:rPr>
          <w:rFonts w:ascii="Times New Roman" w:hAnsi="Times New Roman"/>
        </w:rPr>
        <w:t xml:space="preserve">  In its </w:t>
      </w:r>
      <w:r w:rsidR="00D729A0" w:rsidRPr="00666AFB">
        <w:rPr>
          <w:rFonts w:ascii="Times New Roman" w:hAnsi="Times New Roman"/>
          <w:u w:val="single"/>
        </w:rPr>
        <w:t>Rulemaking Order</w:t>
      </w:r>
      <w:r w:rsidR="00D729A0" w:rsidRPr="00666AFB">
        <w:rPr>
          <w:rFonts w:ascii="Times New Roman" w:hAnsi="Times New Roman"/>
        </w:rPr>
        <w:t xml:space="preserve">, the Commission stated that even if a “vertical gas well” produces gas in quantities greater than that of a “stripper well” in only one month of a calendar year, that well will be subject to the impact fee for that year.  </w:t>
      </w:r>
      <w:proofErr w:type="gramStart"/>
      <w:r w:rsidR="00D729A0" w:rsidRPr="00666AFB">
        <w:rPr>
          <w:rFonts w:ascii="Times New Roman" w:hAnsi="Times New Roman"/>
          <w:u w:val="single"/>
        </w:rPr>
        <w:t>Rulemaking Order</w:t>
      </w:r>
      <w:r w:rsidR="00D729A0" w:rsidRPr="00666AFB">
        <w:rPr>
          <w:rFonts w:ascii="Times New Roman" w:hAnsi="Times New Roman"/>
        </w:rPr>
        <w:t xml:space="preserve"> p.8.</w:t>
      </w:r>
      <w:proofErr w:type="gramEnd"/>
    </w:p>
    <w:p w:rsidR="004C52DB" w:rsidRPr="00666AFB" w:rsidRDefault="00D729A0" w:rsidP="004C52DB">
      <w:pPr>
        <w:pStyle w:val="ParaTab1"/>
        <w:spacing w:before="240" w:line="360" w:lineRule="auto"/>
        <w:ind w:left="86" w:firstLine="1354"/>
        <w:rPr>
          <w:rFonts w:ascii="Times New Roman" w:hAnsi="Times New Roman"/>
        </w:rPr>
      </w:pPr>
      <w:r w:rsidRPr="00666AFB">
        <w:rPr>
          <w:rFonts w:ascii="Times New Roman" w:hAnsi="Times New Roman"/>
        </w:rPr>
        <w:t xml:space="preserve">As the entity charged with implementing </w:t>
      </w:r>
      <w:r w:rsidR="004778FB" w:rsidRPr="00666AFB">
        <w:rPr>
          <w:rFonts w:ascii="Times New Roman" w:hAnsi="Times New Roman"/>
        </w:rPr>
        <w:t xml:space="preserve">and enforcing </w:t>
      </w:r>
      <w:r w:rsidRPr="00666AFB">
        <w:rPr>
          <w:rFonts w:ascii="Times New Roman" w:hAnsi="Times New Roman"/>
        </w:rPr>
        <w:t>the provisions of Act 13, the Commission’s interpretation of the provisions</w:t>
      </w:r>
      <w:r w:rsidR="004778FB" w:rsidRPr="00666AFB">
        <w:rPr>
          <w:rFonts w:ascii="Times New Roman" w:hAnsi="Times New Roman"/>
        </w:rPr>
        <w:t xml:space="preserve"> of Act 13 is entitled to </w:t>
      </w:r>
      <w:r w:rsidR="006B2435">
        <w:rPr>
          <w:rFonts w:ascii="Times New Roman" w:hAnsi="Times New Roman"/>
        </w:rPr>
        <w:t xml:space="preserve">great </w:t>
      </w:r>
      <w:r w:rsidR="004778FB" w:rsidRPr="00666AFB">
        <w:rPr>
          <w:rFonts w:ascii="Times New Roman" w:hAnsi="Times New Roman"/>
        </w:rPr>
        <w:t xml:space="preserve">deference.  The Commonwealth Court </w:t>
      </w:r>
      <w:r w:rsidR="00DF534E">
        <w:rPr>
          <w:rFonts w:ascii="Times New Roman" w:hAnsi="Times New Roman"/>
        </w:rPr>
        <w:t xml:space="preserve">of Pennsylvania </w:t>
      </w:r>
      <w:r w:rsidR="004778FB" w:rsidRPr="00666AFB">
        <w:rPr>
          <w:rFonts w:ascii="Times New Roman" w:hAnsi="Times New Roman"/>
        </w:rPr>
        <w:t xml:space="preserve">has held that the Commission’s interpretation of the Public Utility Code, for which it has enforcement responsibility </w:t>
      </w:r>
      <w:r w:rsidR="006B2435">
        <w:rPr>
          <w:rFonts w:ascii="Times New Roman" w:hAnsi="Times New Roman"/>
        </w:rPr>
        <w:t>is</w:t>
      </w:r>
      <w:r w:rsidR="004778FB" w:rsidRPr="00666AFB">
        <w:rPr>
          <w:rFonts w:ascii="Times New Roman" w:hAnsi="Times New Roman"/>
        </w:rPr>
        <w:t xml:space="preserve"> entitled to great deference </w:t>
      </w:r>
      <w:r w:rsidR="004778FB" w:rsidRPr="00666AFB">
        <w:rPr>
          <w:rFonts w:ascii="Times New Roman" w:hAnsi="Times New Roman"/>
        </w:rPr>
        <w:lastRenderedPageBreak/>
        <w:t xml:space="preserve">and should not be reversed unless clearly erroneous.  </w:t>
      </w:r>
      <w:proofErr w:type="gramStart"/>
      <w:r w:rsidR="004778FB" w:rsidRPr="00666AFB">
        <w:rPr>
          <w:rFonts w:ascii="Times New Roman" w:hAnsi="Times New Roman"/>
          <w:u w:val="single"/>
        </w:rPr>
        <w:t>Energy Conservation Council of Pa. v. Pa. Pub.</w:t>
      </w:r>
      <w:proofErr w:type="gramEnd"/>
      <w:r w:rsidR="004778FB" w:rsidRPr="00666AFB">
        <w:rPr>
          <w:rFonts w:ascii="Times New Roman" w:hAnsi="Times New Roman"/>
          <w:u w:val="single"/>
        </w:rPr>
        <w:t xml:space="preserve"> </w:t>
      </w:r>
      <w:proofErr w:type="gramStart"/>
      <w:r w:rsidR="004778FB" w:rsidRPr="00666AFB">
        <w:rPr>
          <w:rFonts w:ascii="Times New Roman" w:hAnsi="Times New Roman"/>
          <w:u w:val="single"/>
        </w:rPr>
        <w:t xml:space="preserve">Util. </w:t>
      </w:r>
      <w:proofErr w:type="spellStart"/>
      <w:r w:rsidR="004778FB" w:rsidRPr="00666AFB">
        <w:rPr>
          <w:rFonts w:ascii="Times New Roman" w:hAnsi="Times New Roman"/>
          <w:u w:val="single"/>
        </w:rPr>
        <w:t>Comm’n</w:t>
      </w:r>
      <w:proofErr w:type="spellEnd"/>
      <w:r w:rsidR="004778FB" w:rsidRPr="00666AFB">
        <w:rPr>
          <w:rFonts w:ascii="Times New Roman" w:hAnsi="Times New Roman"/>
        </w:rPr>
        <w:t xml:space="preserve">, 995 A.2d 465 (Pa. </w:t>
      </w:r>
      <w:proofErr w:type="spellStart"/>
      <w:r w:rsidR="004778FB" w:rsidRPr="00666AFB">
        <w:rPr>
          <w:rFonts w:ascii="Times New Roman" w:hAnsi="Times New Roman"/>
        </w:rPr>
        <w:t>Cmwlth</w:t>
      </w:r>
      <w:proofErr w:type="spellEnd"/>
      <w:r w:rsidR="004778FB" w:rsidRPr="00666AFB">
        <w:rPr>
          <w:rFonts w:ascii="Times New Roman" w:hAnsi="Times New Roman"/>
        </w:rPr>
        <w:t xml:space="preserve">. 2010); </w:t>
      </w:r>
      <w:r w:rsidR="004778FB" w:rsidRPr="00666AFB">
        <w:rPr>
          <w:rFonts w:ascii="Times New Roman" w:hAnsi="Times New Roman"/>
          <w:u w:val="single"/>
        </w:rPr>
        <w:t>1-A Realty v. Pa. Pub.</w:t>
      </w:r>
      <w:proofErr w:type="gramEnd"/>
      <w:r w:rsidR="004778FB" w:rsidRPr="00666AFB">
        <w:rPr>
          <w:rFonts w:ascii="Times New Roman" w:hAnsi="Times New Roman"/>
          <w:u w:val="single"/>
        </w:rPr>
        <w:t xml:space="preserve"> </w:t>
      </w:r>
      <w:proofErr w:type="gramStart"/>
      <w:r w:rsidR="004778FB" w:rsidRPr="00666AFB">
        <w:rPr>
          <w:rFonts w:ascii="Times New Roman" w:hAnsi="Times New Roman"/>
          <w:u w:val="single"/>
        </w:rPr>
        <w:t xml:space="preserve">Util. </w:t>
      </w:r>
      <w:proofErr w:type="spellStart"/>
      <w:r w:rsidR="004778FB" w:rsidRPr="00666AFB">
        <w:rPr>
          <w:rFonts w:ascii="Times New Roman" w:hAnsi="Times New Roman"/>
          <w:u w:val="single"/>
        </w:rPr>
        <w:t>Comm’n</w:t>
      </w:r>
      <w:proofErr w:type="spellEnd"/>
      <w:r w:rsidR="004C52DB" w:rsidRPr="00666AFB">
        <w:rPr>
          <w:rFonts w:ascii="Times New Roman" w:hAnsi="Times New Roman"/>
        </w:rPr>
        <w:t xml:space="preserve">, 63 A.3d 480 (Pa. </w:t>
      </w:r>
      <w:proofErr w:type="spellStart"/>
      <w:r w:rsidR="004C52DB" w:rsidRPr="00666AFB">
        <w:rPr>
          <w:rFonts w:ascii="Times New Roman" w:hAnsi="Times New Roman"/>
        </w:rPr>
        <w:t>Cmwlth</w:t>
      </w:r>
      <w:proofErr w:type="spellEnd"/>
      <w:r w:rsidR="004C52DB" w:rsidRPr="00666AFB">
        <w:rPr>
          <w:rFonts w:ascii="Times New Roman" w:hAnsi="Times New Roman"/>
        </w:rPr>
        <w:t>. 2013).</w:t>
      </w:r>
      <w:proofErr w:type="gramEnd"/>
      <w:r w:rsidR="004C52DB" w:rsidRPr="00666AFB">
        <w:rPr>
          <w:rFonts w:ascii="Times New Roman" w:hAnsi="Times New Roman"/>
        </w:rPr>
        <w:t xml:space="preserve">  Since the Commission</w:t>
      </w:r>
      <w:r w:rsidR="006B2435">
        <w:rPr>
          <w:rFonts w:ascii="Times New Roman" w:hAnsi="Times New Roman"/>
        </w:rPr>
        <w:t xml:space="preserve"> is charged with implementing and enforcing the provisions of Act 13 and its</w:t>
      </w:r>
      <w:r w:rsidR="004C52DB" w:rsidRPr="00666AFB">
        <w:rPr>
          <w:rFonts w:ascii="Times New Roman" w:hAnsi="Times New Roman"/>
        </w:rPr>
        <w:t xml:space="preserve"> interpretation</w:t>
      </w:r>
      <w:r w:rsidR="00DF534E">
        <w:rPr>
          <w:rFonts w:ascii="Times New Roman" w:hAnsi="Times New Roman"/>
        </w:rPr>
        <w:t xml:space="preserve">s of the terms </w:t>
      </w:r>
      <w:r w:rsidR="004C52DB" w:rsidRPr="00666AFB">
        <w:rPr>
          <w:rFonts w:ascii="Times New Roman" w:hAnsi="Times New Roman"/>
        </w:rPr>
        <w:t xml:space="preserve">“stripper well” and “vertical gas well” </w:t>
      </w:r>
      <w:r w:rsidR="00DF534E">
        <w:rPr>
          <w:rFonts w:ascii="Times New Roman" w:hAnsi="Times New Roman"/>
        </w:rPr>
        <w:t>are</w:t>
      </w:r>
      <w:r w:rsidR="004C52DB" w:rsidRPr="00666AFB">
        <w:rPr>
          <w:rFonts w:ascii="Times New Roman" w:hAnsi="Times New Roman"/>
        </w:rPr>
        <w:t xml:space="preserve"> not clearly erroneous, it</w:t>
      </w:r>
      <w:r w:rsidR="00DF534E">
        <w:rPr>
          <w:rFonts w:ascii="Times New Roman" w:hAnsi="Times New Roman"/>
        </w:rPr>
        <w:t>s interpretations of these terms are</w:t>
      </w:r>
      <w:r w:rsidR="004C52DB" w:rsidRPr="00666AFB">
        <w:rPr>
          <w:rFonts w:ascii="Times New Roman" w:hAnsi="Times New Roman"/>
        </w:rPr>
        <w:t xml:space="preserve"> entitled to similar deference.</w:t>
      </w:r>
    </w:p>
    <w:p w:rsidR="004C52DB" w:rsidRPr="00666AFB" w:rsidRDefault="00267CA5" w:rsidP="004C52DB">
      <w:pPr>
        <w:pStyle w:val="ParaTab1"/>
        <w:spacing w:before="240" w:line="360" w:lineRule="auto"/>
        <w:ind w:left="86" w:firstLine="1354"/>
        <w:rPr>
          <w:rFonts w:ascii="Times New Roman" w:hAnsi="Times New Roman"/>
        </w:rPr>
      </w:pPr>
      <w:r w:rsidRPr="00666AFB">
        <w:rPr>
          <w:rFonts w:ascii="Times New Roman" w:hAnsi="Times New Roman"/>
        </w:rPr>
        <w:t>Alternatively, Snyder argues that</w:t>
      </w:r>
      <w:r w:rsidR="003F77D1" w:rsidRPr="00666AFB">
        <w:rPr>
          <w:rFonts w:ascii="Times New Roman" w:hAnsi="Times New Roman"/>
        </w:rPr>
        <w:t xml:space="preserve"> because it generates revenue,</w:t>
      </w:r>
      <w:r w:rsidRPr="00666AFB">
        <w:rPr>
          <w:rFonts w:ascii="Times New Roman" w:hAnsi="Times New Roman"/>
        </w:rPr>
        <w:t xml:space="preserve"> the impact fee imposed by Act 13 is a tax and the term “stripper well” is part of the definition of what is taxable.</w:t>
      </w:r>
      <w:r w:rsidR="00532444">
        <w:rPr>
          <w:rFonts w:ascii="Times New Roman" w:hAnsi="Times New Roman"/>
        </w:rPr>
        <w:t xml:space="preserve">  Snyder M.B. 10-11.</w:t>
      </w:r>
      <w:r w:rsidRPr="00666AFB">
        <w:rPr>
          <w:rFonts w:ascii="Times New Roman" w:hAnsi="Times New Roman"/>
        </w:rPr>
        <w:t xml:space="preserve">  If any ambiguity exists with regard to the definition of “stripper well”, </w:t>
      </w:r>
      <w:r w:rsidR="006B2435">
        <w:rPr>
          <w:rFonts w:ascii="Times New Roman" w:hAnsi="Times New Roman"/>
        </w:rPr>
        <w:t xml:space="preserve">Snyder contends that </w:t>
      </w:r>
      <w:r w:rsidRPr="00666AFB">
        <w:rPr>
          <w:rFonts w:ascii="Times New Roman" w:hAnsi="Times New Roman"/>
        </w:rPr>
        <w:t>the ambiguity should be strictly construed in favor of the taxpayer, Snyder.</w:t>
      </w:r>
    </w:p>
    <w:p w:rsidR="00953F8D" w:rsidRPr="00666AFB" w:rsidRDefault="00AC3ECB" w:rsidP="004C52DB">
      <w:pPr>
        <w:pStyle w:val="ParaTab1"/>
        <w:spacing w:before="240" w:line="360" w:lineRule="auto"/>
        <w:ind w:left="86" w:firstLine="1354"/>
        <w:rPr>
          <w:rFonts w:ascii="Times New Roman" w:hAnsi="Times New Roman"/>
        </w:rPr>
      </w:pPr>
      <w:r w:rsidRPr="00666AFB">
        <w:rPr>
          <w:rFonts w:ascii="Times New Roman" w:hAnsi="Times New Roman"/>
        </w:rPr>
        <w:t>In response, I&amp;E argues that the impact fee imposed under Act 13 is not a tax and therefore not entitled to be construed in favor of Snyder.</w:t>
      </w:r>
      <w:r w:rsidR="00532444">
        <w:rPr>
          <w:rFonts w:ascii="Times New Roman" w:hAnsi="Times New Roman"/>
        </w:rPr>
        <w:t xml:space="preserve">  I&amp;E M.B. 12-13.</w:t>
      </w:r>
      <w:r w:rsidRPr="00666AFB">
        <w:rPr>
          <w:rFonts w:ascii="Times New Roman" w:hAnsi="Times New Roman"/>
        </w:rPr>
        <w:t xml:space="preserve">  In support of its position, I&amp;E points to 58 </w:t>
      </w:r>
      <w:proofErr w:type="spellStart"/>
      <w:r w:rsidRPr="00666AFB">
        <w:rPr>
          <w:rFonts w:ascii="Times New Roman" w:hAnsi="Times New Roman"/>
        </w:rPr>
        <w:t>Pa.C.S</w:t>
      </w:r>
      <w:proofErr w:type="spellEnd"/>
      <w:r w:rsidRPr="00666AFB">
        <w:rPr>
          <w:rFonts w:ascii="Times New Roman" w:hAnsi="Times New Roman"/>
        </w:rPr>
        <w:t xml:space="preserve">. § </w:t>
      </w:r>
      <w:r w:rsidR="00953F8D" w:rsidRPr="00666AFB">
        <w:rPr>
          <w:rFonts w:ascii="Times New Roman" w:hAnsi="Times New Roman"/>
        </w:rPr>
        <w:t xml:space="preserve">2318 which requires the Secretary of the Commonwealth, upon the imposition of a severance tax on unconventional gas wells in Pennsylvania, </w:t>
      </w:r>
      <w:r w:rsidR="00074FF5">
        <w:rPr>
          <w:rFonts w:ascii="Times New Roman" w:hAnsi="Times New Roman"/>
        </w:rPr>
        <w:t xml:space="preserve">to </w:t>
      </w:r>
      <w:r w:rsidR="00953F8D" w:rsidRPr="00666AFB">
        <w:rPr>
          <w:rFonts w:ascii="Times New Roman" w:hAnsi="Times New Roman"/>
        </w:rPr>
        <w:t xml:space="preserve">publish notice of </w:t>
      </w:r>
      <w:r w:rsidR="00074FF5">
        <w:rPr>
          <w:rFonts w:ascii="Times New Roman" w:hAnsi="Times New Roman"/>
        </w:rPr>
        <w:t xml:space="preserve">the </w:t>
      </w:r>
      <w:r w:rsidR="00953F8D" w:rsidRPr="00666AFB">
        <w:rPr>
          <w:rFonts w:ascii="Times New Roman" w:hAnsi="Times New Roman"/>
        </w:rPr>
        <w:t xml:space="preserve">imposition in the Pennsylvania Bulletin.  I&amp;E </w:t>
      </w:r>
      <w:proofErr w:type="gramStart"/>
      <w:r w:rsidR="00953F8D" w:rsidRPr="00666AFB">
        <w:rPr>
          <w:rFonts w:ascii="Times New Roman" w:hAnsi="Times New Roman"/>
        </w:rPr>
        <w:t>argues</w:t>
      </w:r>
      <w:proofErr w:type="gramEnd"/>
      <w:r w:rsidR="00953F8D" w:rsidRPr="00666AFB">
        <w:rPr>
          <w:rFonts w:ascii="Times New Roman" w:hAnsi="Times New Roman"/>
        </w:rPr>
        <w:t xml:space="preserve"> that the General Assembly therefore differentiated between the impact fee imposed by Act 13 and a tax.</w:t>
      </w:r>
    </w:p>
    <w:p w:rsidR="00953F8D" w:rsidRPr="00666AFB" w:rsidRDefault="00953F8D" w:rsidP="004C52DB">
      <w:pPr>
        <w:pStyle w:val="ParaTab1"/>
        <w:spacing w:before="240" w:line="360" w:lineRule="auto"/>
        <w:ind w:left="86" w:firstLine="1354"/>
        <w:rPr>
          <w:rFonts w:ascii="Times New Roman" w:hAnsi="Times New Roman"/>
        </w:rPr>
      </w:pPr>
      <w:r w:rsidRPr="00666AFB">
        <w:rPr>
          <w:rFonts w:ascii="Times New Roman" w:hAnsi="Times New Roman"/>
        </w:rPr>
        <w:t>I&amp;E further contends that the purpose of Act 13’s impact fees are to offset impacts on municipalities where drilling is taking place</w:t>
      </w:r>
      <w:r w:rsidR="003F77D1" w:rsidRPr="00666AFB">
        <w:rPr>
          <w:rFonts w:ascii="Times New Roman" w:hAnsi="Times New Roman"/>
        </w:rPr>
        <w:t>,</w:t>
      </w:r>
      <w:r w:rsidRPr="00666AFB">
        <w:rPr>
          <w:rFonts w:ascii="Times New Roman" w:hAnsi="Times New Roman"/>
        </w:rPr>
        <w:t xml:space="preserve"> not to generate revenue.  Therefore the impact fees imposed by Act 13 are not taxes.</w:t>
      </w:r>
    </w:p>
    <w:p w:rsidR="00074FF5" w:rsidRDefault="003F77D1" w:rsidP="00344945">
      <w:pPr>
        <w:pStyle w:val="ParaTab1"/>
        <w:spacing w:before="240" w:line="360" w:lineRule="auto"/>
        <w:ind w:left="86" w:firstLine="1354"/>
        <w:rPr>
          <w:rFonts w:ascii="Times New Roman" w:hAnsi="Times New Roman"/>
        </w:rPr>
      </w:pPr>
      <w:r w:rsidRPr="00666AFB">
        <w:rPr>
          <w:rFonts w:ascii="Times New Roman" w:hAnsi="Times New Roman"/>
        </w:rPr>
        <w:t xml:space="preserve">I agree with I&amp;E that the impact fees imposed by Act 13 are not taxes.  The mere fact that the impact fee generates revenue does not render it a tax.  </w:t>
      </w:r>
      <w:r w:rsidR="00074FF5">
        <w:rPr>
          <w:rFonts w:ascii="Times New Roman" w:hAnsi="Times New Roman"/>
        </w:rPr>
        <w:t xml:space="preserve">Not every fee levied by a Commonwealth agency </w:t>
      </w:r>
      <w:r w:rsidR="00873F04">
        <w:rPr>
          <w:rFonts w:ascii="Times New Roman" w:hAnsi="Times New Roman"/>
        </w:rPr>
        <w:t>is</w:t>
      </w:r>
      <w:r w:rsidR="00074FF5">
        <w:rPr>
          <w:rFonts w:ascii="Times New Roman" w:hAnsi="Times New Roman"/>
        </w:rPr>
        <w:t xml:space="preserve"> a tax.  </w:t>
      </w:r>
      <w:r w:rsidRPr="00666AFB">
        <w:rPr>
          <w:rFonts w:ascii="Times New Roman" w:hAnsi="Times New Roman"/>
        </w:rPr>
        <w:t xml:space="preserve">The Commission may </w:t>
      </w:r>
      <w:r w:rsidR="007611CD" w:rsidRPr="00666AFB">
        <w:rPr>
          <w:rFonts w:ascii="Times New Roman" w:hAnsi="Times New Roman"/>
        </w:rPr>
        <w:t>impose</w:t>
      </w:r>
      <w:r w:rsidRPr="00666AFB">
        <w:rPr>
          <w:rFonts w:ascii="Times New Roman" w:hAnsi="Times New Roman"/>
        </w:rPr>
        <w:t xml:space="preserve"> </w:t>
      </w:r>
      <w:r w:rsidR="007611CD" w:rsidRPr="00666AFB">
        <w:rPr>
          <w:rFonts w:ascii="Times New Roman" w:hAnsi="Times New Roman"/>
        </w:rPr>
        <w:t xml:space="preserve">a </w:t>
      </w:r>
      <w:r w:rsidRPr="00666AFB">
        <w:rPr>
          <w:rFonts w:ascii="Times New Roman" w:hAnsi="Times New Roman"/>
        </w:rPr>
        <w:t>civil penalt</w:t>
      </w:r>
      <w:r w:rsidR="007611CD" w:rsidRPr="00666AFB">
        <w:rPr>
          <w:rFonts w:ascii="Times New Roman" w:hAnsi="Times New Roman"/>
        </w:rPr>
        <w:t xml:space="preserve">y for violation of </w:t>
      </w:r>
      <w:r w:rsidRPr="00666AFB">
        <w:rPr>
          <w:rFonts w:ascii="Times New Roman" w:hAnsi="Times New Roman"/>
        </w:rPr>
        <w:t xml:space="preserve">the Public Utility Code, </w:t>
      </w:r>
      <w:r w:rsidR="007611CD" w:rsidRPr="00666AFB">
        <w:rPr>
          <w:rFonts w:ascii="Times New Roman" w:hAnsi="Times New Roman"/>
        </w:rPr>
        <w:t xml:space="preserve">pursuant to </w:t>
      </w:r>
      <w:r w:rsidRPr="00666AFB">
        <w:rPr>
          <w:rFonts w:ascii="Times New Roman" w:hAnsi="Times New Roman"/>
        </w:rPr>
        <w:t>66 Pa. C.S. § 3301</w:t>
      </w:r>
      <w:r w:rsidR="007611CD" w:rsidRPr="00666AFB">
        <w:rPr>
          <w:rFonts w:ascii="Times New Roman" w:hAnsi="Times New Roman"/>
        </w:rPr>
        <w:t>.  The civil penalty generates revenue</w:t>
      </w:r>
      <w:r w:rsidR="00074FF5">
        <w:rPr>
          <w:rFonts w:ascii="Times New Roman" w:hAnsi="Times New Roman"/>
        </w:rPr>
        <w:t xml:space="preserve"> for the Commonwealth</w:t>
      </w:r>
      <w:r w:rsidR="007611CD" w:rsidRPr="00666AFB">
        <w:rPr>
          <w:rFonts w:ascii="Times New Roman" w:hAnsi="Times New Roman"/>
        </w:rPr>
        <w:t xml:space="preserve">, yet one would not characterize the civil penalty as a tax </w:t>
      </w:r>
      <w:r w:rsidR="00074FF5">
        <w:rPr>
          <w:rFonts w:ascii="Times New Roman" w:hAnsi="Times New Roman"/>
        </w:rPr>
        <w:t xml:space="preserve">solely </w:t>
      </w:r>
      <w:r w:rsidR="007611CD" w:rsidRPr="00666AFB">
        <w:rPr>
          <w:rFonts w:ascii="Times New Roman" w:hAnsi="Times New Roman"/>
        </w:rPr>
        <w:t xml:space="preserve">on the basis that it raises revenue.  </w:t>
      </w:r>
    </w:p>
    <w:p w:rsidR="00344945" w:rsidRPr="00666AFB" w:rsidRDefault="007611CD" w:rsidP="00344945">
      <w:pPr>
        <w:pStyle w:val="ParaTab1"/>
        <w:spacing w:before="240" w:line="360" w:lineRule="auto"/>
        <w:ind w:left="86" w:firstLine="1354"/>
        <w:rPr>
          <w:rFonts w:ascii="Times New Roman" w:hAnsi="Times New Roman"/>
        </w:rPr>
      </w:pPr>
      <w:r w:rsidRPr="00666AFB">
        <w:rPr>
          <w:rFonts w:ascii="Times New Roman" w:hAnsi="Times New Roman"/>
        </w:rPr>
        <w:t xml:space="preserve">The </w:t>
      </w:r>
      <w:r w:rsidR="00074FF5">
        <w:rPr>
          <w:rFonts w:ascii="Times New Roman" w:hAnsi="Times New Roman"/>
        </w:rPr>
        <w:t xml:space="preserve">Act 13 </w:t>
      </w:r>
      <w:r w:rsidRPr="00666AFB">
        <w:rPr>
          <w:rFonts w:ascii="Times New Roman" w:hAnsi="Times New Roman"/>
        </w:rPr>
        <w:t xml:space="preserve">impact fees do not raise revenue for the general fund of the Commonwealth or its municipalities.  Rather, the money raised by the impact fees is distributed </w:t>
      </w:r>
      <w:r w:rsidRPr="00666AFB">
        <w:rPr>
          <w:rFonts w:ascii="Times New Roman" w:hAnsi="Times New Roman"/>
        </w:rPr>
        <w:lastRenderedPageBreak/>
        <w:t>to the municipalities to offset the impacts of drilling in the municipalities.  Since the impact fee does not raise money for the general welfare or contribute to the general fund of either the Commonwealth or the municipalities</w:t>
      </w:r>
      <w:r w:rsidR="00767097">
        <w:rPr>
          <w:rFonts w:ascii="Times New Roman" w:hAnsi="Times New Roman"/>
        </w:rPr>
        <w:t>,</w:t>
      </w:r>
      <w:r w:rsidRPr="00666AFB">
        <w:rPr>
          <w:rFonts w:ascii="Times New Roman" w:hAnsi="Times New Roman"/>
        </w:rPr>
        <w:t xml:space="preserve"> </w:t>
      </w:r>
      <w:r w:rsidR="00344945" w:rsidRPr="00666AFB">
        <w:rPr>
          <w:rFonts w:ascii="Times New Roman" w:hAnsi="Times New Roman"/>
        </w:rPr>
        <w:t xml:space="preserve">the impact fee is not a tax.  </w:t>
      </w:r>
      <w:proofErr w:type="gramStart"/>
      <w:r w:rsidR="00344945" w:rsidRPr="00666AFB">
        <w:rPr>
          <w:rFonts w:ascii="Times New Roman" w:hAnsi="Times New Roman"/>
          <w:u w:val="single"/>
        </w:rPr>
        <w:t>Wheeling and Lake Erie Railway Co. v. Pa. Pub.</w:t>
      </w:r>
      <w:proofErr w:type="gramEnd"/>
      <w:r w:rsidR="00344945" w:rsidRPr="00666AFB">
        <w:rPr>
          <w:rFonts w:ascii="Times New Roman" w:hAnsi="Times New Roman"/>
          <w:u w:val="single"/>
        </w:rPr>
        <w:t xml:space="preserve"> </w:t>
      </w:r>
      <w:proofErr w:type="gramStart"/>
      <w:r w:rsidR="00344945" w:rsidRPr="00666AFB">
        <w:rPr>
          <w:rFonts w:ascii="Times New Roman" w:hAnsi="Times New Roman"/>
          <w:u w:val="single"/>
        </w:rPr>
        <w:t xml:space="preserve">Util. </w:t>
      </w:r>
      <w:proofErr w:type="spellStart"/>
      <w:r w:rsidR="00344945" w:rsidRPr="00666AFB">
        <w:rPr>
          <w:rFonts w:ascii="Times New Roman" w:hAnsi="Times New Roman"/>
          <w:u w:val="single"/>
        </w:rPr>
        <w:t>Comm’n</w:t>
      </w:r>
      <w:proofErr w:type="spellEnd"/>
      <w:r w:rsidR="00344945" w:rsidRPr="00666AFB">
        <w:rPr>
          <w:rFonts w:ascii="Times New Roman" w:hAnsi="Times New Roman"/>
        </w:rPr>
        <w:t>, 141 F.3d 88 (3d.</w:t>
      </w:r>
      <w:proofErr w:type="gramEnd"/>
      <w:r w:rsidR="00344945" w:rsidRPr="00666AFB">
        <w:rPr>
          <w:rFonts w:ascii="Times New Roman" w:hAnsi="Times New Roman"/>
        </w:rPr>
        <w:t xml:space="preserve"> </w:t>
      </w:r>
      <w:proofErr w:type="gramStart"/>
      <w:r w:rsidR="00344945" w:rsidRPr="00666AFB">
        <w:rPr>
          <w:rFonts w:ascii="Times New Roman" w:hAnsi="Times New Roman"/>
        </w:rPr>
        <w:t>Cir. 1998).</w:t>
      </w:r>
      <w:proofErr w:type="gramEnd"/>
      <w:r w:rsidR="00344945" w:rsidRPr="00666AFB">
        <w:rPr>
          <w:rFonts w:ascii="Times New Roman" w:hAnsi="Times New Roman"/>
        </w:rPr>
        <w:t xml:space="preserve">  Since the impact fee is not a tax, any ambiguity in the term “stripper well” should not be strictly construed in favor of Snyder.</w:t>
      </w:r>
    </w:p>
    <w:p w:rsidR="0033019C" w:rsidRPr="00666AFB" w:rsidRDefault="00344945" w:rsidP="004C52DB">
      <w:pPr>
        <w:pStyle w:val="ParaTab1"/>
        <w:spacing w:before="240" w:line="360" w:lineRule="auto"/>
        <w:ind w:left="86" w:firstLine="1354"/>
        <w:rPr>
          <w:rFonts w:ascii="Times New Roman" w:hAnsi="Times New Roman"/>
        </w:rPr>
      </w:pPr>
      <w:r w:rsidRPr="00666AFB">
        <w:rPr>
          <w:rFonts w:ascii="Times New Roman" w:hAnsi="Times New Roman"/>
        </w:rPr>
        <w:t xml:space="preserve"> </w:t>
      </w:r>
      <w:r w:rsidR="0033019C" w:rsidRPr="00666AFB">
        <w:rPr>
          <w:rFonts w:ascii="Times New Roman" w:hAnsi="Times New Roman"/>
        </w:rPr>
        <w:t xml:space="preserve">Since I </w:t>
      </w:r>
      <w:r w:rsidR="0033019C" w:rsidRPr="00666AFB">
        <w:rPr>
          <w:rFonts w:ascii="Times New Roman" w:hAnsi="Times New Roman"/>
          <w:color w:val="000000" w:themeColor="text1"/>
          <w:szCs w:val="20"/>
        </w:rPr>
        <w:t xml:space="preserve">agree with Snyder that there is no factual dispute as to the amounts of gas produced by Snyder’s wells and therefore no dispute as to the material facts of this case but disagree with its interpretation of Act 13, </w:t>
      </w:r>
      <w:r w:rsidR="0033019C" w:rsidRPr="00666AFB">
        <w:rPr>
          <w:rFonts w:ascii="Times New Roman" w:hAnsi="Times New Roman"/>
        </w:rPr>
        <w:t xml:space="preserve">I will deny its motion for summary judgment.  However, I cannot enter judgment in favor of </w:t>
      </w:r>
      <w:proofErr w:type="gramStart"/>
      <w:r w:rsidR="0033019C" w:rsidRPr="00666AFB">
        <w:rPr>
          <w:rFonts w:ascii="Times New Roman" w:hAnsi="Times New Roman"/>
        </w:rPr>
        <w:t>I&amp;E</w:t>
      </w:r>
      <w:proofErr w:type="gramEnd"/>
      <w:r w:rsidR="0033019C" w:rsidRPr="00666AFB">
        <w:rPr>
          <w:rFonts w:ascii="Times New Roman" w:hAnsi="Times New Roman"/>
        </w:rPr>
        <w:t xml:space="preserve"> because it did not file a motion for summary judgment.</w:t>
      </w:r>
    </w:p>
    <w:p w:rsidR="0033019C" w:rsidRPr="00666AFB" w:rsidRDefault="0033019C" w:rsidP="004C52DB">
      <w:pPr>
        <w:pStyle w:val="ParaTab1"/>
        <w:spacing w:before="240" w:line="360" w:lineRule="auto"/>
        <w:ind w:left="86" w:firstLine="1354"/>
        <w:rPr>
          <w:rFonts w:ascii="Times New Roman" w:hAnsi="Times New Roman"/>
        </w:rPr>
      </w:pPr>
      <w:r w:rsidRPr="00666AFB">
        <w:rPr>
          <w:rFonts w:ascii="Times New Roman" w:hAnsi="Times New Roman"/>
        </w:rPr>
        <w:t xml:space="preserve">The Commission’s Rule of Practice and Procedure at 52 </w:t>
      </w:r>
      <w:proofErr w:type="spellStart"/>
      <w:r w:rsidRPr="00666AFB">
        <w:rPr>
          <w:rFonts w:ascii="Times New Roman" w:hAnsi="Times New Roman"/>
        </w:rPr>
        <w:t>Pa.Code</w:t>
      </w:r>
      <w:proofErr w:type="spellEnd"/>
      <w:r w:rsidRPr="00666AFB">
        <w:rPr>
          <w:rFonts w:ascii="Times New Roman" w:hAnsi="Times New Roman"/>
        </w:rPr>
        <w:t xml:space="preserve"> </w:t>
      </w:r>
      <w:r w:rsidR="00031AAC" w:rsidRPr="00666AFB">
        <w:rPr>
          <w:rFonts w:ascii="Times New Roman" w:hAnsi="Times New Roman"/>
        </w:rPr>
        <w:t>§ 5.102 (d</w:t>
      </w:r>
      <w:proofErr w:type="gramStart"/>
      <w:r w:rsidR="00031AAC" w:rsidRPr="00666AFB">
        <w:rPr>
          <w:rFonts w:ascii="Times New Roman" w:hAnsi="Times New Roman"/>
        </w:rPr>
        <w:t>)(</w:t>
      </w:r>
      <w:proofErr w:type="gramEnd"/>
      <w:r w:rsidR="00031AAC" w:rsidRPr="00666AFB">
        <w:rPr>
          <w:rFonts w:ascii="Times New Roman" w:hAnsi="Times New Roman"/>
        </w:rPr>
        <w:t xml:space="preserve">2)  </w:t>
      </w:r>
      <w:r w:rsidRPr="00666AFB">
        <w:rPr>
          <w:rFonts w:ascii="Times New Roman" w:hAnsi="Times New Roman"/>
        </w:rPr>
        <w:t>state</w:t>
      </w:r>
      <w:r w:rsidR="00767097">
        <w:rPr>
          <w:rFonts w:ascii="Times New Roman" w:hAnsi="Times New Roman"/>
        </w:rPr>
        <w:t>s</w:t>
      </w:r>
      <w:r w:rsidRPr="00666AFB">
        <w:rPr>
          <w:rFonts w:ascii="Times New Roman" w:hAnsi="Times New Roman"/>
        </w:rPr>
        <w:t xml:space="preserve"> as follows:</w:t>
      </w:r>
    </w:p>
    <w:p w:rsidR="0033019C" w:rsidRPr="0033019C" w:rsidRDefault="0033019C" w:rsidP="00031AAC">
      <w:pPr>
        <w:spacing w:beforeAutospacing="1" w:after="100" w:afterAutospacing="1"/>
        <w:ind w:left="720" w:firstLine="720"/>
        <w:rPr>
          <w:szCs w:val="24"/>
        </w:rPr>
      </w:pPr>
      <w:bookmarkStart w:id="0" w:name="5.102."/>
      <w:r w:rsidRPr="0033019C">
        <w:rPr>
          <w:szCs w:val="24"/>
        </w:rPr>
        <w:t xml:space="preserve">(d) </w:t>
      </w:r>
      <w:r w:rsidRPr="0033019C">
        <w:rPr>
          <w:i/>
          <w:iCs/>
          <w:szCs w:val="24"/>
        </w:rPr>
        <w:t>Decisions on motions</w:t>
      </w:r>
      <w:r w:rsidRPr="0033019C">
        <w:rPr>
          <w:szCs w:val="24"/>
        </w:rPr>
        <w:t xml:space="preserve">. </w:t>
      </w:r>
    </w:p>
    <w:p w:rsidR="0033019C" w:rsidRPr="0033019C" w:rsidRDefault="0033019C" w:rsidP="00031AAC">
      <w:pPr>
        <w:spacing w:before="100" w:beforeAutospacing="1" w:after="100" w:afterAutospacing="1"/>
        <w:ind w:left="2160"/>
        <w:rPr>
          <w:szCs w:val="24"/>
        </w:rPr>
      </w:pPr>
      <w:r w:rsidRPr="0033019C">
        <w:rPr>
          <w:szCs w:val="24"/>
        </w:rPr>
        <w:t xml:space="preserve">(2) </w:t>
      </w:r>
      <w:r w:rsidRPr="0033019C">
        <w:rPr>
          <w:i/>
          <w:iCs/>
          <w:szCs w:val="24"/>
        </w:rPr>
        <w:t>Standard for grant or denial in part</w:t>
      </w:r>
      <w:r w:rsidRPr="0033019C">
        <w:rPr>
          <w:szCs w:val="24"/>
        </w:rPr>
        <w:t xml:space="preserve">. The presiding officer may grant a partial summary judgment if the pleadings, depositions, answers to interrogatories and admissions, together with affidavits, if any, show that there is no genuine issue as to a material fact and that the </w:t>
      </w:r>
      <w:r w:rsidRPr="00873F04">
        <w:rPr>
          <w:szCs w:val="24"/>
          <w:u w:val="single"/>
        </w:rPr>
        <w:t>moving party</w:t>
      </w:r>
      <w:r w:rsidRPr="0033019C">
        <w:rPr>
          <w:szCs w:val="24"/>
        </w:rPr>
        <w:t xml:space="preserve"> is entitled to a judgment as a matter of law on one or more but not all outstanding issues. </w:t>
      </w:r>
      <w:r w:rsidR="00873F04">
        <w:rPr>
          <w:szCs w:val="24"/>
        </w:rPr>
        <w:t>(</w:t>
      </w:r>
      <w:proofErr w:type="gramStart"/>
      <w:r w:rsidR="00873F04">
        <w:rPr>
          <w:szCs w:val="24"/>
        </w:rPr>
        <w:t>emphasis</w:t>
      </w:r>
      <w:proofErr w:type="gramEnd"/>
      <w:r w:rsidR="00873F04">
        <w:rPr>
          <w:szCs w:val="24"/>
        </w:rPr>
        <w:t xml:space="preserve"> added)</w:t>
      </w:r>
    </w:p>
    <w:bookmarkEnd w:id="0"/>
    <w:p w:rsidR="00031AAC" w:rsidRPr="00666AFB" w:rsidRDefault="00031AAC" w:rsidP="000A63EF">
      <w:pPr>
        <w:pStyle w:val="ParaTab1"/>
        <w:spacing w:before="240" w:line="360" w:lineRule="auto"/>
        <w:ind w:left="86" w:firstLine="1354"/>
        <w:rPr>
          <w:rFonts w:ascii="Times New Roman" w:hAnsi="Times New Roman"/>
        </w:rPr>
      </w:pPr>
      <w:r w:rsidRPr="00666AFB">
        <w:rPr>
          <w:rFonts w:ascii="Times New Roman" w:hAnsi="Times New Roman"/>
        </w:rPr>
        <w:t xml:space="preserve">From the language above, partial summary judgment may be granted to the moving party.  Therefore if a party has not filed a motion for summary judgment, it cannot be a moving party.  Since I&amp;E </w:t>
      </w:r>
      <w:r w:rsidR="00873F04">
        <w:rPr>
          <w:rFonts w:ascii="Times New Roman" w:hAnsi="Times New Roman"/>
        </w:rPr>
        <w:t>did</w:t>
      </w:r>
      <w:r w:rsidRPr="00666AFB">
        <w:rPr>
          <w:rFonts w:ascii="Times New Roman" w:hAnsi="Times New Roman"/>
        </w:rPr>
        <w:t xml:space="preserve"> not file a motion for summary judgment, it is not a moving party and I cannot enter judgment in its favor.  </w:t>
      </w:r>
    </w:p>
    <w:p w:rsidR="000A63EF" w:rsidRPr="00666AFB" w:rsidRDefault="00031AAC" w:rsidP="00031AAC">
      <w:pPr>
        <w:pStyle w:val="ParaTab1"/>
        <w:spacing w:before="240" w:line="360" w:lineRule="auto"/>
        <w:ind w:firstLine="0"/>
        <w:rPr>
          <w:rFonts w:ascii="Times New Roman" w:hAnsi="Times New Roman"/>
        </w:rPr>
      </w:pPr>
      <w:r w:rsidRPr="00666AFB">
        <w:rPr>
          <w:rFonts w:ascii="Times New Roman" w:hAnsi="Times New Roman"/>
        </w:rPr>
        <w:tab/>
      </w:r>
      <w:r w:rsidRPr="00666AFB">
        <w:rPr>
          <w:rFonts w:ascii="Times New Roman" w:hAnsi="Times New Roman"/>
        </w:rPr>
        <w:tab/>
        <w:t xml:space="preserve">My interpretation is consistent with decisions interpreting </w:t>
      </w:r>
      <w:r w:rsidR="0033019C" w:rsidRPr="00666AFB">
        <w:rPr>
          <w:rFonts w:ascii="Times New Roman" w:hAnsi="Times New Roman"/>
        </w:rPr>
        <w:t>Rule 1035 (now Rule 1035.1) of the Pennsylvania Rules of Civil Procedure</w:t>
      </w:r>
      <w:r w:rsidRPr="00666AFB">
        <w:rPr>
          <w:rFonts w:ascii="Times New Roman" w:hAnsi="Times New Roman"/>
        </w:rPr>
        <w:t xml:space="preserve">.  In </w:t>
      </w:r>
      <w:r w:rsidRPr="00666AFB">
        <w:rPr>
          <w:rFonts w:ascii="Times New Roman" w:hAnsi="Times New Roman"/>
          <w:u w:val="single"/>
        </w:rPr>
        <w:t>Bensalem School District v. Commonwealth of Pa.</w:t>
      </w:r>
      <w:r w:rsidRPr="00666AFB">
        <w:rPr>
          <w:rFonts w:ascii="Times New Roman" w:hAnsi="Times New Roman"/>
        </w:rPr>
        <w:t xml:space="preserve">, 544 A.2d 1318 (Pa. 1988), the Supreme Court of Pennsylvania stated </w:t>
      </w:r>
      <w:r w:rsidR="00767097">
        <w:rPr>
          <w:rFonts w:ascii="Times New Roman" w:hAnsi="Times New Roman"/>
        </w:rPr>
        <w:t xml:space="preserve">that </w:t>
      </w:r>
      <w:r w:rsidRPr="00666AFB">
        <w:rPr>
          <w:rFonts w:ascii="Times New Roman" w:hAnsi="Times New Roman"/>
        </w:rPr>
        <w:t>Rule 1035</w:t>
      </w:r>
      <w:r w:rsidR="000A63EF" w:rsidRPr="00666AFB">
        <w:rPr>
          <w:rFonts w:ascii="Times New Roman" w:hAnsi="Times New Roman"/>
        </w:rPr>
        <w:t xml:space="preserve"> </w:t>
      </w:r>
      <w:r w:rsidRPr="00666AFB">
        <w:rPr>
          <w:rFonts w:ascii="Times New Roman" w:hAnsi="Times New Roman"/>
        </w:rPr>
        <w:t>of the Pennsylvania Rules of Civil Procedure</w:t>
      </w:r>
      <w:r w:rsidR="000A63EF" w:rsidRPr="00666AFB">
        <w:rPr>
          <w:rFonts w:ascii="Times New Roman" w:hAnsi="Times New Roman"/>
        </w:rPr>
        <w:t xml:space="preserve"> prohibited granting summary judgment to a non-moving party because the rule expressly limited the court’s power to grant summary judgment to situations where the moving party is entitled to judgment as a matter of law.</w:t>
      </w:r>
    </w:p>
    <w:p w:rsidR="00CB5CBB" w:rsidRPr="00666AFB" w:rsidRDefault="000A63EF" w:rsidP="00031AAC">
      <w:pPr>
        <w:pStyle w:val="ParaTab1"/>
        <w:spacing w:before="240" w:line="360" w:lineRule="auto"/>
        <w:ind w:firstLine="0"/>
        <w:rPr>
          <w:rFonts w:ascii="Times New Roman" w:hAnsi="Times New Roman"/>
        </w:rPr>
      </w:pPr>
      <w:r w:rsidRPr="00666AFB">
        <w:rPr>
          <w:rFonts w:ascii="Times New Roman" w:hAnsi="Times New Roman"/>
        </w:rPr>
        <w:lastRenderedPageBreak/>
        <w:tab/>
      </w:r>
      <w:r w:rsidRPr="00666AFB">
        <w:rPr>
          <w:rFonts w:ascii="Times New Roman" w:hAnsi="Times New Roman"/>
        </w:rPr>
        <w:tab/>
        <w:t xml:space="preserve">Here, 52 </w:t>
      </w:r>
      <w:proofErr w:type="spellStart"/>
      <w:r w:rsidRPr="00666AFB">
        <w:rPr>
          <w:rFonts w:ascii="Times New Roman" w:hAnsi="Times New Roman"/>
        </w:rPr>
        <w:t>Pa.Code</w:t>
      </w:r>
      <w:proofErr w:type="spellEnd"/>
      <w:r w:rsidRPr="00666AFB">
        <w:rPr>
          <w:rFonts w:ascii="Times New Roman" w:hAnsi="Times New Roman"/>
        </w:rPr>
        <w:t xml:space="preserve"> § 5.102 similarly limits the Commission’s authority to grant summary judgment to a moving party.  Therefore the rule prohibits granting summary judgment to </w:t>
      </w:r>
      <w:proofErr w:type="gramStart"/>
      <w:r w:rsidRPr="00666AFB">
        <w:rPr>
          <w:rFonts w:ascii="Times New Roman" w:hAnsi="Times New Roman"/>
        </w:rPr>
        <w:t>I&amp;E</w:t>
      </w:r>
      <w:proofErr w:type="gramEnd"/>
      <w:r w:rsidR="00767097">
        <w:rPr>
          <w:rFonts w:ascii="Times New Roman" w:hAnsi="Times New Roman"/>
        </w:rPr>
        <w:t xml:space="preserve">, the non-moving party </w:t>
      </w:r>
      <w:r w:rsidRPr="00666AFB">
        <w:rPr>
          <w:rFonts w:ascii="Times New Roman" w:hAnsi="Times New Roman"/>
        </w:rPr>
        <w:t xml:space="preserve">in this proceeding. </w:t>
      </w:r>
    </w:p>
    <w:p w:rsidR="00D86042" w:rsidRPr="00666AFB" w:rsidRDefault="00CB5CBB" w:rsidP="004A5B34">
      <w:pPr>
        <w:pStyle w:val="ParaTab1"/>
        <w:spacing w:before="240" w:line="360" w:lineRule="auto"/>
        <w:ind w:firstLine="0"/>
        <w:rPr>
          <w:rFonts w:ascii="Times New Roman" w:hAnsi="Times New Roman" w:cs="Times New Roman"/>
        </w:rPr>
      </w:pPr>
      <w:r w:rsidRPr="00666AFB">
        <w:rPr>
          <w:rFonts w:ascii="Times New Roman" w:hAnsi="Times New Roman"/>
        </w:rPr>
        <w:tab/>
      </w:r>
      <w:r w:rsidRPr="00666AFB">
        <w:rPr>
          <w:rFonts w:ascii="Times New Roman" w:hAnsi="Times New Roman"/>
        </w:rPr>
        <w:tab/>
        <w:t xml:space="preserve">However, since the parties have stipulated to the material facts of the case and there is no dispute </w:t>
      </w:r>
      <w:r w:rsidRPr="00666AFB">
        <w:rPr>
          <w:rFonts w:ascii="Times New Roman" w:hAnsi="Times New Roman"/>
          <w:color w:val="000000" w:themeColor="text1"/>
          <w:szCs w:val="20"/>
        </w:rPr>
        <w:t xml:space="preserve">as to the amounts of gas produced by Snyder’s wells, there is no reason to provide evidence on the amount of gas produced by Snyder’s wells.  Rather, </w:t>
      </w:r>
      <w:r w:rsidR="00767097">
        <w:rPr>
          <w:rFonts w:ascii="Times New Roman" w:hAnsi="Times New Roman"/>
          <w:color w:val="000000" w:themeColor="text1"/>
          <w:szCs w:val="20"/>
        </w:rPr>
        <w:t>I will</w:t>
      </w:r>
      <w:r w:rsidRPr="00666AFB">
        <w:rPr>
          <w:rFonts w:ascii="Times New Roman" w:hAnsi="Times New Roman"/>
          <w:color w:val="000000" w:themeColor="text1"/>
          <w:szCs w:val="20"/>
        </w:rPr>
        <w:t xml:space="preserve"> conduct a hearing to produce evidence </w:t>
      </w:r>
      <w:r w:rsidR="00767097">
        <w:rPr>
          <w:rFonts w:ascii="Times New Roman" w:hAnsi="Times New Roman"/>
          <w:color w:val="000000" w:themeColor="text1"/>
          <w:szCs w:val="20"/>
        </w:rPr>
        <w:t xml:space="preserve">limited to </w:t>
      </w:r>
      <w:r w:rsidRPr="00666AFB">
        <w:rPr>
          <w:rFonts w:ascii="Times New Roman" w:hAnsi="Times New Roman"/>
          <w:color w:val="000000" w:themeColor="text1"/>
          <w:szCs w:val="20"/>
        </w:rPr>
        <w:t>whether the amount</w:t>
      </w:r>
      <w:r w:rsidR="00873F04">
        <w:rPr>
          <w:rFonts w:ascii="Times New Roman" w:hAnsi="Times New Roman"/>
          <w:color w:val="000000" w:themeColor="text1"/>
          <w:szCs w:val="20"/>
        </w:rPr>
        <w:t>s</w:t>
      </w:r>
      <w:r w:rsidRPr="00666AFB">
        <w:rPr>
          <w:rFonts w:ascii="Times New Roman" w:hAnsi="Times New Roman"/>
          <w:color w:val="000000" w:themeColor="text1"/>
          <w:szCs w:val="20"/>
        </w:rPr>
        <w:t xml:space="preserve"> I&amp;E is seeking for </w:t>
      </w:r>
      <w:r w:rsidRPr="00666AFB">
        <w:rPr>
          <w:rFonts w:ascii="Times New Roman" w:hAnsi="Times New Roman"/>
        </w:rPr>
        <w:t xml:space="preserve">past due impact fees, interest, penalties and administrative charges totaling $507,586.00 has been correctly calculated and whether the </w:t>
      </w:r>
      <w:r w:rsidR="004A5B34" w:rsidRPr="00666AFB">
        <w:rPr>
          <w:rFonts w:ascii="Times New Roman" w:hAnsi="Times New Roman"/>
        </w:rPr>
        <w:t xml:space="preserve">civil penalty I&amp;E is seeking in the amount of $50,000.00 is appropriate, considering the factors set forth in 52 </w:t>
      </w:r>
      <w:proofErr w:type="spellStart"/>
      <w:r w:rsidR="004A5B34" w:rsidRPr="00666AFB">
        <w:rPr>
          <w:rFonts w:ascii="Times New Roman" w:hAnsi="Times New Roman"/>
        </w:rPr>
        <w:t>Pa.Code</w:t>
      </w:r>
      <w:proofErr w:type="spellEnd"/>
      <w:r w:rsidR="004A5B34" w:rsidRPr="00666AFB">
        <w:rPr>
          <w:rFonts w:ascii="Times New Roman" w:hAnsi="Times New Roman"/>
        </w:rPr>
        <w:t xml:space="preserve"> § 69.1201</w:t>
      </w:r>
      <w:r w:rsidR="00666AFB" w:rsidRPr="00666AFB">
        <w:rPr>
          <w:rFonts w:ascii="Times New Roman" w:hAnsi="Times New Roman"/>
        </w:rPr>
        <w:t xml:space="preserve"> or other relevant criteria</w:t>
      </w:r>
      <w:r w:rsidR="004A5B34" w:rsidRPr="00666AFB">
        <w:rPr>
          <w:rFonts w:ascii="Times New Roman" w:hAnsi="Times New Roman"/>
        </w:rPr>
        <w:t>.  I will issue the following order.</w:t>
      </w:r>
      <w:r w:rsidR="00477C81" w:rsidRPr="00666AFB">
        <w:rPr>
          <w:rFonts w:ascii="Times New Roman" w:hAnsi="Times New Roman" w:cs="Times New Roman"/>
          <w:color w:val="000000" w:themeColor="text1"/>
        </w:rPr>
        <w:t xml:space="preserve"> </w:t>
      </w:r>
    </w:p>
    <w:p w:rsidR="00367525" w:rsidRPr="00666AFB" w:rsidRDefault="00367525" w:rsidP="00A64779">
      <w:pPr>
        <w:pStyle w:val="ParaTab1"/>
        <w:spacing w:line="360" w:lineRule="auto"/>
        <w:ind w:left="86" w:firstLine="1354"/>
        <w:rPr>
          <w:rFonts w:ascii="Times New Roman" w:hAnsi="Times New Roman" w:cs="Times New Roman"/>
        </w:rPr>
      </w:pPr>
      <w:r w:rsidRPr="00666AFB">
        <w:rPr>
          <w:rFonts w:ascii="Times New Roman" w:hAnsi="Times New Roman" w:cs="Times New Roman"/>
        </w:rPr>
        <w:t xml:space="preserve">  </w:t>
      </w:r>
    </w:p>
    <w:p w:rsidR="000B4598" w:rsidRPr="00666AFB" w:rsidRDefault="000B4598" w:rsidP="00211604">
      <w:pPr>
        <w:spacing w:line="360" w:lineRule="auto"/>
        <w:jc w:val="center"/>
        <w:outlineLvl w:val="0"/>
        <w:rPr>
          <w:szCs w:val="24"/>
          <w:u w:val="single"/>
        </w:rPr>
      </w:pPr>
      <w:r w:rsidRPr="00666AFB">
        <w:rPr>
          <w:szCs w:val="24"/>
          <w:u w:val="single"/>
        </w:rPr>
        <w:t>ORDER</w:t>
      </w:r>
    </w:p>
    <w:p w:rsidR="000B4598" w:rsidRPr="00666AFB" w:rsidRDefault="000B4598" w:rsidP="004906BE">
      <w:pPr>
        <w:spacing w:line="360" w:lineRule="auto"/>
        <w:rPr>
          <w:szCs w:val="24"/>
        </w:rPr>
      </w:pPr>
    </w:p>
    <w:p w:rsidR="00893F27" w:rsidRPr="00666AFB" w:rsidRDefault="00B42ED8" w:rsidP="004906BE">
      <w:pPr>
        <w:spacing w:line="360" w:lineRule="auto"/>
        <w:rPr>
          <w:szCs w:val="24"/>
        </w:rPr>
      </w:pPr>
      <w:r w:rsidRPr="00666AFB">
        <w:rPr>
          <w:szCs w:val="24"/>
        </w:rPr>
        <w:tab/>
      </w:r>
      <w:r w:rsidRPr="00666AFB">
        <w:rPr>
          <w:szCs w:val="24"/>
        </w:rPr>
        <w:tab/>
        <w:t>THEREFORE,</w:t>
      </w:r>
    </w:p>
    <w:p w:rsidR="00893F27" w:rsidRPr="00666AFB" w:rsidRDefault="00893F27" w:rsidP="004906BE">
      <w:pPr>
        <w:spacing w:line="360" w:lineRule="auto"/>
        <w:rPr>
          <w:szCs w:val="24"/>
        </w:rPr>
      </w:pPr>
    </w:p>
    <w:p w:rsidR="000B4598" w:rsidRPr="00666AFB" w:rsidRDefault="00893F27" w:rsidP="00211604">
      <w:pPr>
        <w:spacing w:line="360" w:lineRule="auto"/>
        <w:outlineLvl w:val="0"/>
        <w:rPr>
          <w:szCs w:val="24"/>
        </w:rPr>
      </w:pPr>
      <w:r w:rsidRPr="00666AFB">
        <w:rPr>
          <w:szCs w:val="24"/>
        </w:rPr>
        <w:tab/>
      </w:r>
      <w:r w:rsidRPr="00666AFB">
        <w:rPr>
          <w:szCs w:val="24"/>
        </w:rPr>
        <w:tab/>
      </w:r>
      <w:r w:rsidR="000B4598" w:rsidRPr="00666AFB">
        <w:rPr>
          <w:szCs w:val="24"/>
        </w:rPr>
        <w:t>IT IS ORDERED:</w:t>
      </w:r>
    </w:p>
    <w:p w:rsidR="000B4598" w:rsidRPr="00666AFB" w:rsidRDefault="000B4598" w:rsidP="004906BE">
      <w:pPr>
        <w:spacing w:line="360" w:lineRule="auto"/>
        <w:rPr>
          <w:szCs w:val="24"/>
        </w:rPr>
      </w:pPr>
    </w:p>
    <w:p w:rsidR="000B4598" w:rsidRPr="00666AFB" w:rsidRDefault="000B4598" w:rsidP="004906BE">
      <w:pPr>
        <w:spacing w:line="360" w:lineRule="auto"/>
        <w:rPr>
          <w:szCs w:val="24"/>
        </w:rPr>
      </w:pPr>
      <w:r w:rsidRPr="00666AFB">
        <w:rPr>
          <w:szCs w:val="24"/>
        </w:rPr>
        <w:tab/>
      </w:r>
      <w:r w:rsidRPr="00666AFB">
        <w:rPr>
          <w:szCs w:val="24"/>
        </w:rPr>
        <w:tab/>
      </w:r>
      <w:r w:rsidR="000F02F1" w:rsidRPr="00666AFB">
        <w:rPr>
          <w:szCs w:val="24"/>
        </w:rPr>
        <w:t>1</w:t>
      </w:r>
      <w:r w:rsidRPr="00666AFB">
        <w:rPr>
          <w:szCs w:val="24"/>
        </w:rPr>
        <w:t>.</w:t>
      </w:r>
      <w:r w:rsidRPr="00666AFB">
        <w:rPr>
          <w:szCs w:val="24"/>
        </w:rPr>
        <w:tab/>
        <w:t xml:space="preserve">That the motion of </w:t>
      </w:r>
      <w:r w:rsidR="00666AFB" w:rsidRPr="00666AFB">
        <w:rPr>
          <w:spacing w:val="-3"/>
        </w:rPr>
        <w:t xml:space="preserve">Snyder Brothers, Inc. </w:t>
      </w:r>
      <w:r w:rsidR="00A04706" w:rsidRPr="00666AFB">
        <w:rPr>
          <w:szCs w:val="24"/>
        </w:rPr>
        <w:t xml:space="preserve">for summary judgment </w:t>
      </w:r>
      <w:r w:rsidRPr="00666AFB">
        <w:rPr>
          <w:szCs w:val="24"/>
        </w:rPr>
        <w:t xml:space="preserve">at </w:t>
      </w:r>
      <w:r w:rsidR="006D21BA" w:rsidRPr="00666AFB">
        <w:rPr>
          <w:szCs w:val="24"/>
        </w:rPr>
        <w:t xml:space="preserve">Docket No. </w:t>
      </w:r>
      <w:r w:rsidR="004E3444" w:rsidRPr="00666AFB">
        <w:rPr>
          <w:szCs w:val="24"/>
        </w:rPr>
        <w:t>C-20</w:t>
      </w:r>
      <w:r w:rsidR="00666AFB" w:rsidRPr="00666AFB">
        <w:rPr>
          <w:szCs w:val="24"/>
        </w:rPr>
        <w:t>14-2402746</w:t>
      </w:r>
      <w:r w:rsidR="006D21BA" w:rsidRPr="00666AFB">
        <w:rPr>
          <w:szCs w:val="24"/>
        </w:rPr>
        <w:t xml:space="preserve"> </w:t>
      </w:r>
      <w:r w:rsidRPr="00666AFB">
        <w:rPr>
          <w:szCs w:val="24"/>
        </w:rPr>
        <w:t xml:space="preserve">is hereby </w:t>
      </w:r>
      <w:r w:rsidR="00666AFB" w:rsidRPr="00666AFB">
        <w:rPr>
          <w:szCs w:val="24"/>
        </w:rPr>
        <w:t>denied</w:t>
      </w:r>
      <w:r w:rsidRPr="00666AFB">
        <w:rPr>
          <w:szCs w:val="24"/>
        </w:rPr>
        <w:t>.</w:t>
      </w:r>
    </w:p>
    <w:p w:rsidR="000B4598" w:rsidRPr="00666AFB" w:rsidRDefault="000B4598" w:rsidP="004906BE">
      <w:pPr>
        <w:spacing w:line="360" w:lineRule="auto"/>
        <w:rPr>
          <w:szCs w:val="24"/>
        </w:rPr>
      </w:pPr>
    </w:p>
    <w:p w:rsidR="00666AFB" w:rsidRPr="00666AFB" w:rsidRDefault="000B4598" w:rsidP="00666AFB">
      <w:pPr>
        <w:spacing w:line="360" w:lineRule="auto"/>
      </w:pPr>
      <w:r w:rsidRPr="00666AFB">
        <w:rPr>
          <w:szCs w:val="24"/>
        </w:rPr>
        <w:tab/>
      </w:r>
      <w:r w:rsidRPr="00666AFB">
        <w:rPr>
          <w:szCs w:val="24"/>
        </w:rPr>
        <w:tab/>
      </w:r>
      <w:r w:rsidR="00666AFB" w:rsidRPr="00666AFB">
        <w:rPr>
          <w:szCs w:val="24"/>
        </w:rPr>
        <w:t>2.</w:t>
      </w:r>
      <w:r w:rsidR="00666AFB" w:rsidRPr="00666AFB">
        <w:rPr>
          <w:szCs w:val="24"/>
        </w:rPr>
        <w:tab/>
      </w:r>
      <w:r w:rsidR="00666AFB" w:rsidRPr="00666AFB">
        <w:t xml:space="preserve">That the case at Docket No. </w:t>
      </w:r>
      <w:r w:rsidR="00666AFB" w:rsidRPr="00666AFB">
        <w:rPr>
          <w:szCs w:val="24"/>
        </w:rPr>
        <w:t xml:space="preserve">C-2014-2402746 </w:t>
      </w:r>
      <w:proofErr w:type="gramStart"/>
      <w:r w:rsidR="00767097">
        <w:rPr>
          <w:szCs w:val="24"/>
        </w:rPr>
        <w:t>be</w:t>
      </w:r>
      <w:proofErr w:type="gramEnd"/>
      <w:r w:rsidR="00767097">
        <w:rPr>
          <w:szCs w:val="24"/>
        </w:rPr>
        <w:t xml:space="preserve"> scheduled for hearings </w:t>
      </w:r>
      <w:r w:rsidR="00666AFB" w:rsidRPr="00666AFB">
        <w:rPr>
          <w:szCs w:val="24"/>
        </w:rPr>
        <w:t>limited to the issues set forth above.</w:t>
      </w:r>
    </w:p>
    <w:p w:rsidR="002B6168" w:rsidRPr="00666AFB" w:rsidRDefault="002B6168" w:rsidP="00666AFB">
      <w:pPr>
        <w:spacing w:line="360" w:lineRule="auto"/>
        <w:rPr>
          <w:szCs w:val="24"/>
        </w:rPr>
      </w:pPr>
    </w:p>
    <w:p w:rsidR="0028383D" w:rsidRPr="00666AFB" w:rsidRDefault="0028383D" w:rsidP="004906BE">
      <w:pPr>
        <w:spacing w:line="360" w:lineRule="auto"/>
        <w:rPr>
          <w:szCs w:val="24"/>
        </w:rPr>
      </w:pPr>
    </w:p>
    <w:p w:rsidR="000B4598" w:rsidRPr="00666AFB" w:rsidRDefault="004E3444" w:rsidP="009A2D29">
      <w:pPr>
        <w:spacing w:line="360" w:lineRule="auto"/>
        <w:rPr>
          <w:szCs w:val="24"/>
        </w:rPr>
      </w:pPr>
      <w:r w:rsidRPr="00666AFB">
        <w:rPr>
          <w:szCs w:val="24"/>
        </w:rPr>
        <w:tab/>
      </w:r>
      <w:r w:rsidRPr="00666AFB">
        <w:rPr>
          <w:szCs w:val="24"/>
        </w:rPr>
        <w:tab/>
      </w:r>
    </w:p>
    <w:p w:rsidR="000B4598" w:rsidRPr="00666AFB" w:rsidRDefault="00093BE1" w:rsidP="00211604">
      <w:pPr>
        <w:outlineLvl w:val="0"/>
        <w:rPr>
          <w:szCs w:val="24"/>
          <w:u w:val="single"/>
        </w:rPr>
      </w:pPr>
      <w:r w:rsidRPr="00666AFB">
        <w:rPr>
          <w:szCs w:val="24"/>
        </w:rPr>
        <w:t>Dated:</w:t>
      </w:r>
      <w:r w:rsidRPr="00666AFB">
        <w:rPr>
          <w:szCs w:val="24"/>
        </w:rPr>
        <w:tab/>
      </w:r>
      <w:r w:rsidR="00666AFB" w:rsidRPr="00666AFB">
        <w:rPr>
          <w:szCs w:val="24"/>
          <w:u w:val="single"/>
        </w:rPr>
        <w:t xml:space="preserve">August </w:t>
      </w:r>
      <w:r w:rsidR="00873F04">
        <w:rPr>
          <w:szCs w:val="24"/>
          <w:u w:val="single"/>
        </w:rPr>
        <w:t>2</w:t>
      </w:r>
      <w:r w:rsidR="00532444">
        <w:rPr>
          <w:szCs w:val="24"/>
          <w:u w:val="single"/>
        </w:rPr>
        <w:t>7</w:t>
      </w:r>
      <w:r w:rsidR="000F02F1" w:rsidRPr="00666AFB">
        <w:rPr>
          <w:szCs w:val="24"/>
          <w:u w:val="single"/>
        </w:rPr>
        <w:t>, 2014</w:t>
      </w:r>
      <w:r w:rsidR="000B4598" w:rsidRPr="00666AFB">
        <w:rPr>
          <w:szCs w:val="24"/>
        </w:rPr>
        <w:tab/>
      </w:r>
      <w:r w:rsidR="002272C9" w:rsidRPr="00666AFB">
        <w:rPr>
          <w:szCs w:val="24"/>
        </w:rPr>
        <w:tab/>
      </w:r>
      <w:r w:rsidR="000F02F1" w:rsidRPr="00666AFB">
        <w:rPr>
          <w:szCs w:val="24"/>
        </w:rPr>
        <w:tab/>
      </w:r>
      <w:r w:rsidR="000F02F1" w:rsidRPr="00666AFB">
        <w:rPr>
          <w:szCs w:val="24"/>
        </w:rPr>
        <w:tab/>
      </w:r>
      <w:r w:rsidR="000F02F1" w:rsidRPr="00666AFB">
        <w:rPr>
          <w:szCs w:val="24"/>
          <w:u w:val="single"/>
        </w:rPr>
        <w:tab/>
      </w:r>
      <w:r w:rsidR="000F02F1" w:rsidRPr="00666AFB">
        <w:rPr>
          <w:szCs w:val="24"/>
          <w:u w:val="single"/>
        </w:rPr>
        <w:tab/>
      </w:r>
      <w:r w:rsidR="000F02F1" w:rsidRPr="00666AFB">
        <w:rPr>
          <w:szCs w:val="24"/>
          <w:u w:val="single"/>
        </w:rPr>
        <w:tab/>
      </w:r>
      <w:r w:rsidR="000F02F1" w:rsidRPr="00666AFB">
        <w:rPr>
          <w:szCs w:val="24"/>
          <w:u w:val="single"/>
        </w:rPr>
        <w:tab/>
      </w:r>
      <w:r w:rsidR="000F02F1" w:rsidRPr="00666AFB">
        <w:rPr>
          <w:szCs w:val="24"/>
          <w:u w:val="single"/>
        </w:rPr>
        <w:tab/>
      </w:r>
      <w:r w:rsidR="000F02F1" w:rsidRPr="00666AFB">
        <w:rPr>
          <w:szCs w:val="24"/>
          <w:u w:val="single"/>
        </w:rPr>
        <w:tab/>
      </w:r>
    </w:p>
    <w:p w:rsidR="000B4598" w:rsidRPr="00666AFB" w:rsidRDefault="000B4598" w:rsidP="000B4598">
      <w:pPr>
        <w:rPr>
          <w:szCs w:val="24"/>
        </w:rPr>
      </w:pPr>
      <w:r w:rsidRPr="00666AFB">
        <w:rPr>
          <w:szCs w:val="24"/>
        </w:rPr>
        <w:tab/>
      </w:r>
      <w:r w:rsidRPr="00666AFB">
        <w:rPr>
          <w:szCs w:val="24"/>
        </w:rPr>
        <w:tab/>
      </w:r>
      <w:r w:rsidRPr="00666AFB">
        <w:rPr>
          <w:szCs w:val="24"/>
        </w:rPr>
        <w:tab/>
      </w:r>
      <w:r w:rsidRPr="00666AFB">
        <w:rPr>
          <w:szCs w:val="24"/>
        </w:rPr>
        <w:tab/>
      </w:r>
      <w:r w:rsidRPr="00666AFB">
        <w:rPr>
          <w:szCs w:val="24"/>
        </w:rPr>
        <w:tab/>
      </w:r>
      <w:r w:rsidR="00093BE1" w:rsidRPr="00666AFB">
        <w:rPr>
          <w:szCs w:val="24"/>
        </w:rPr>
        <w:tab/>
      </w:r>
      <w:r w:rsidRPr="00666AFB">
        <w:rPr>
          <w:szCs w:val="24"/>
        </w:rPr>
        <w:tab/>
      </w:r>
      <w:r w:rsidR="006D21BA" w:rsidRPr="00666AFB">
        <w:rPr>
          <w:szCs w:val="24"/>
        </w:rPr>
        <w:t>David A. Salapa</w:t>
      </w:r>
    </w:p>
    <w:p w:rsidR="009F105D" w:rsidRPr="00666AFB" w:rsidRDefault="000B4598" w:rsidP="00093BE1">
      <w:pPr>
        <w:rPr>
          <w:szCs w:val="24"/>
        </w:rPr>
      </w:pPr>
      <w:r w:rsidRPr="00666AFB">
        <w:rPr>
          <w:szCs w:val="24"/>
        </w:rPr>
        <w:tab/>
      </w:r>
      <w:r w:rsidRPr="00666AFB">
        <w:rPr>
          <w:szCs w:val="24"/>
        </w:rPr>
        <w:tab/>
      </w:r>
      <w:r w:rsidRPr="00666AFB">
        <w:rPr>
          <w:szCs w:val="24"/>
        </w:rPr>
        <w:tab/>
      </w:r>
      <w:r w:rsidRPr="00666AFB">
        <w:rPr>
          <w:szCs w:val="24"/>
        </w:rPr>
        <w:tab/>
      </w:r>
      <w:r w:rsidRPr="00666AFB">
        <w:rPr>
          <w:szCs w:val="24"/>
        </w:rPr>
        <w:tab/>
      </w:r>
      <w:r w:rsidR="00093BE1" w:rsidRPr="00666AFB">
        <w:rPr>
          <w:szCs w:val="24"/>
        </w:rPr>
        <w:tab/>
      </w:r>
      <w:r w:rsidRPr="00666AFB">
        <w:rPr>
          <w:szCs w:val="24"/>
        </w:rPr>
        <w:tab/>
        <w:t>Administrative Law Judge</w:t>
      </w:r>
    </w:p>
    <w:p w:rsidR="00520B2E" w:rsidRDefault="00520B2E">
      <w:pPr>
        <w:rPr>
          <w:szCs w:val="24"/>
        </w:rPr>
        <w:sectPr w:rsidR="00520B2E" w:rsidSect="009A2D29">
          <w:footerReference w:type="even" r:id="rId8"/>
          <w:footerReference w:type="default" r:id="rId9"/>
          <w:pgSz w:w="12240" w:h="15840"/>
          <w:pgMar w:top="1440" w:right="1440" w:bottom="1440" w:left="1440" w:header="720" w:footer="720" w:gutter="0"/>
          <w:cols w:space="720"/>
          <w:titlePg/>
          <w:docGrid w:linePitch="360"/>
        </w:sectPr>
      </w:pPr>
    </w:p>
    <w:p w:rsidR="00520B2E" w:rsidRPr="00520B2E" w:rsidRDefault="00520B2E" w:rsidP="00520B2E">
      <w:pPr>
        <w:contextualSpacing/>
        <w:rPr>
          <w:rFonts w:ascii="Microsoft Sans Serif" w:eastAsiaTheme="minorEastAsia" w:hAnsiTheme="minorHAnsi" w:cstheme="minorBidi"/>
          <w:szCs w:val="22"/>
        </w:rPr>
      </w:pPr>
      <w:r w:rsidRPr="00520B2E">
        <w:rPr>
          <w:rFonts w:ascii="Microsoft Sans Serif" w:eastAsiaTheme="minorEastAsia" w:hAnsiTheme="minorHAnsi" w:cstheme="minorBidi"/>
          <w:b/>
          <w:szCs w:val="22"/>
          <w:u w:val="single"/>
        </w:rPr>
        <w:lastRenderedPageBreak/>
        <w:t xml:space="preserve">C-2014-2402746 - PUC </w:t>
      </w:r>
      <w:r w:rsidRPr="00520B2E">
        <w:rPr>
          <w:rFonts w:ascii="Microsoft Sans Serif" w:eastAsiaTheme="minorEastAsia" w:hAnsiTheme="minorHAnsi" w:cstheme="minorBidi"/>
          <w:b/>
          <w:szCs w:val="22"/>
          <w:u w:val="single"/>
        </w:rPr>
        <w:t>–</w:t>
      </w:r>
      <w:r w:rsidRPr="00520B2E">
        <w:rPr>
          <w:rFonts w:ascii="Microsoft Sans Serif" w:eastAsiaTheme="minorEastAsia" w:hAnsiTheme="minorHAnsi" w:cstheme="minorBidi"/>
          <w:b/>
          <w:szCs w:val="22"/>
          <w:u w:val="single"/>
        </w:rPr>
        <w:t xml:space="preserve"> BUREAU OF INVESTIGATION AND ENFORCEMENT v. SNYDER BROTHERS INC</w:t>
      </w:r>
      <w:r w:rsidRPr="00520B2E">
        <w:rPr>
          <w:rFonts w:ascii="Microsoft Sans Serif" w:eastAsiaTheme="minorEastAsia" w:hAnsiTheme="minorHAnsi" w:cstheme="minorBidi"/>
          <w:b/>
          <w:szCs w:val="22"/>
          <w:u w:val="single"/>
        </w:rPr>
        <w:cr/>
      </w:r>
      <w:r w:rsidRPr="00520B2E">
        <w:rPr>
          <w:rFonts w:ascii="Microsoft Sans Serif" w:eastAsiaTheme="minorEastAsia" w:hAnsiTheme="minorHAnsi" w:cstheme="minorBidi"/>
          <w:b/>
          <w:szCs w:val="22"/>
          <w:u w:val="single"/>
        </w:rPr>
        <w:cr/>
      </w:r>
      <w:bookmarkStart w:id="1" w:name="_GoBack"/>
      <w:r w:rsidRPr="00520B2E">
        <w:rPr>
          <w:rFonts w:ascii="Microsoft Sans Serif" w:eastAsiaTheme="minorEastAsia" w:hAnsiTheme="minorHAnsi" w:cstheme="minorBidi"/>
          <w:szCs w:val="22"/>
        </w:rPr>
        <w:t>WAYNE T SCOTT ESQUIRE</w:t>
      </w:r>
    </w:p>
    <w:p w:rsidR="00520B2E" w:rsidRPr="00520B2E" w:rsidRDefault="00520B2E" w:rsidP="00520B2E">
      <w:pPr>
        <w:contextualSpacing/>
        <w:rPr>
          <w:rFonts w:ascii="Microsoft Sans Serif" w:eastAsiaTheme="minorEastAsia" w:hAnsiTheme="minorHAnsi" w:cstheme="minorBidi"/>
          <w:szCs w:val="22"/>
        </w:rPr>
      </w:pPr>
      <w:r w:rsidRPr="00520B2E">
        <w:rPr>
          <w:rFonts w:ascii="Microsoft Sans Serif" w:eastAsiaTheme="minorEastAsia" w:hAnsiTheme="minorHAnsi" w:cstheme="minorBidi"/>
          <w:szCs w:val="22"/>
        </w:rPr>
        <w:t>HEIDI WUSHINSKE ESQUIRE</w:t>
      </w:r>
      <w:r w:rsidRPr="00520B2E">
        <w:rPr>
          <w:rFonts w:ascii="Microsoft Sans Serif" w:eastAsiaTheme="minorEastAsia" w:hAnsiTheme="minorHAnsi" w:cstheme="minorBidi"/>
          <w:szCs w:val="22"/>
        </w:rPr>
        <w:cr/>
        <w:t>PA PUC BI&amp;E</w:t>
      </w:r>
      <w:r w:rsidRPr="00520B2E">
        <w:rPr>
          <w:rFonts w:ascii="Microsoft Sans Serif" w:eastAsiaTheme="minorEastAsia" w:hAnsiTheme="minorHAnsi" w:cstheme="minorBidi"/>
          <w:szCs w:val="22"/>
        </w:rPr>
        <w:cr/>
        <w:t>400 NORTH STREET</w:t>
      </w:r>
      <w:r w:rsidRPr="00520B2E">
        <w:rPr>
          <w:rFonts w:ascii="Microsoft Sans Serif" w:eastAsiaTheme="minorEastAsia" w:hAnsiTheme="minorHAnsi" w:cstheme="minorBidi"/>
          <w:szCs w:val="22"/>
        </w:rPr>
        <w:cr/>
        <w:t>PO BOX 3265</w:t>
      </w:r>
      <w:r w:rsidRPr="00520B2E">
        <w:rPr>
          <w:rFonts w:ascii="Microsoft Sans Serif" w:eastAsiaTheme="minorEastAsia" w:hAnsiTheme="minorHAnsi" w:cstheme="minorBidi"/>
          <w:szCs w:val="22"/>
        </w:rPr>
        <w:cr/>
        <w:t>HARRISBURG PA 17105-3265</w:t>
      </w:r>
      <w:bookmarkEnd w:id="1"/>
      <w:r w:rsidRPr="00520B2E">
        <w:rPr>
          <w:rFonts w:ascii="Microsoft Sans Serif" w:eastAsiaTheme="minorEastAsia" w:hAnsiTheme="minorHAnsi" w:cstheme="minorBidi"/>
          <w:szCs w:val="22"/>
        </w:rPr>
        <w:cr/>
        <w:t>717.783.6150</w:t>
      </w:r>
    </w:p>
    <w:p w:rsidR="00520B2E" w:rsidRPr="00520B2E" w:rsidRDefault="00520B2E" w:rsidP="00520B2E">
      <w:pPr>
        <w:contextualSpacing/>
        <w:rPr>
          <w:rFonts w:ascii="Microsoft Sans Serif" w:eastAsiaTheme="minorEastAsia" w:hAnsiTheme="minorHAnsi" w:cstheme="minorBidi"/>
          <w:szCs w:val="22"/>
        </w:rPr>
      </w:pPr>
      <w:r w:rsidRPr="00520B2E">
        <w:rPr>
          <w:rFonts w:ascii="Microsoft Sans Serif" w:eastAsiaTheme="minorEastAsia" w:hAnsiTheme="minorHAnsi" w:cstheme="minorBidi"/>
          <w:szCs w:val="22"/>
        </w:rPr>
        <w:t>717.214.9594</w:t>
      </w:r>
    </w:p>
    <w:p w:rsidR="00520B2E" w:rsidRPr="00520B2E" w:rsidRDefault="00520B2E" w:rsidP="00520B2E">
      <w:pPr>
        <w:contextualSpacing/>
        <w:rPr>
          <w:rFonts w:ascii="Microsoft Sans Serif" w:eastAsiaTheme="minorEastAsia" w:hAnsiTheme="minorHAnsi" w:cstheme="minorBidi"/>
          <w:szCs w:val="22"/>
        </w:rPr>
      </w:pPr>
      <w:r w:rsidRPr="00520B2E">
        <w:rPr>
          <w:rFonts w:ascii="Microsoft Sans Serif" w:eastAsiaTheme="minorEastAsia" w:hAnsiTheme="minorHAnsi" w:cstheme="minorBidi"/>
          <w:i/>
          <w:szCs w:val="22"/>
        </w:rPr>
        <w:t>E-Served</w:t>
      </w:r>
      <w:r w:rsidRPr="00520B2E">
        <w:rPr>
          <w:rFonts w:ascii="Microsoft Sans Serif" w:eastAsiaTheme="minorEastAsia" w:hAnsiTheme="minorHAnsi" w:cstheme="minorBidi"/>
          <w:szCs w:val="22"/>
        </w:rPr>
        <w:cr/>
      </w:r>
    </w:p>
    <w:p w:rsidR="00520B2E" w:rsidRPr="00520B2E" w:rsidRDefault="00520B2E" w:rsidP="00520B2E">
      <w:pPr>
        <w:contextualSpacing/>
        <w:rPr>
          <w:rFonts w:ascii="Microsoft Sans Serif" w:eastAsiaTheme="minorEastAsia" w:hAnsiTheme="minorHAnsi" w:cstheme="minorBidi"/>
          <w:szCs w:val="22"/>
        </w:rPr>
      </w:pPr>
      <w:r w:rsidRPr="00520B2E">
        <w:rPr>
          <w:rFonts w:ascii="Microsoft Sans Serif" w:eastAsiaTheme="minorEastAsia" w:hAnsiTheme="minorHAnsi" w:cstheme="minorBidi"/>
          <w:szCs w:val="22"/>
        </w:rPr>
        <w:t>THOMAS C REED ESQUIRE</w:t>
      </w:r>
      <w:r w:rsidRPr="00520B2E">
        <w:rPr>
          <w:rFonts w:ascii="Microsoft Sans Serif" w:eastAsiaTheme="minorEastAsia" w:hAnsiTheme="minorHAnsi" w:cstheme="minorBidi"/>
          <w:szCs w:val="22"/>
        </w:rPr>
        <w:cr/>
        <w:t>DINSMORE &amp; SHOHL LLP</w:t>
      </w:r>
      <w:r w:rsidRPr="00520B2E">
        <w:rPr>
          <w:rFonts w:ascii="Microsoft Sans Serif" w:eastAsiaTheme="minorEastAsia" w:hAnsiTheme="minorHAnsi" w:cstheme="minorBidi"/>
          <w:szCs w:val="22"/>
        </w:rPr>
        <w:cr/>
        <w:t>301 GRANT STREET SUITE 2800</w:t>
      </w:r>
      <w:r w:rsidRPr="00520B2E">
        <w:rPr>
          <w:rFonts w:ascii="Microsoft Sans Serif" w:eastAsiaTheme="minorEastAsia" w:hAnsiTheme="minorHAnsi" w:cstheme="minorBidi"/>
          <w:szCs w:val="22"/>
        </w:rPr>
        <w:cr/>
        <w:t>PITTSBURGH PA 15219</w:t>
      </w:r>
      <w:r w:rsidRPr="00520B2E">
        <w:rPr>
          <w:rFonts w:ascii="Microsoft Sans Serif" w:eastAsiaTheme="minorEastAsia" w:hAnsiTheme="minorHAnsi" w:cstheme="minorBidi"/>
          <w:szCs w:val="22"/>
        </w:rPr>
        <w:cr/>
        <w:t>412.281.5096</w:t>
      </w:r>
    </w:p>
    <w:p w:rsidR="00520B2E" w:rsidRPr="00520B2E" w:rsidRDefault="00520B2E" w:rsidP="00520B2E">
      <w:pPr>
        <w:contextualSpacing/>
        <w:rPr>
          <w:rFonts w:ascii="Microsoft Sans Serif" w:eastAsiaTheme="minorEastAsia" w:hAnsiTheme="minorHAnsi" w:cstheme="minorBidi"/>
          <w:i/>
          <w:szCs w:val="22"/>
        </w:rPr>
      </w:pPr>
      <w:r w:rsidRPr="00520B2E">
        <w:rPr>
          <w:rFonts w:ascii="Microsoft Sans Serif" w:eastAsiaTheme="minorEastAsia" w:hAnsiTheme="minorHAnsi" w:cstheme="minorBidi"/>
          <w:i/>
          <w:szCs w:val="22"/>
        </w:rPr>
        <w:t>E-Served</w:t>
      </w:r>
    </w:p>
    <w:p w:rsidR="00520B2E" w:rsidRPr="00520B2E" w:rsidRDefault="00520B2E" w:rsidP="00520B2E">
      <w:pPr>
        <w:contextualSpacing/>
        <w:rPr>
          <w:rFonts w:ascii="Microsoft Sans Serif" w:eastAsiaTheme="minorEastAsia" w:hAnsiTheme="minorHAnsi" w:cstheme="minorBidi"/>
          <w:szCs w:val="22"/>
        </w:rPr>
      </w:pPr>
      <w:proofErr w:type="gramStart"/>
      <w:r w:rsidRPr="00520B2E">
        <w:rPr>
          <w:rFonts w:ascii="Microsoft Sans Serif" w:eastAsiaTheme="minorEastAsia" w:hAnsiTheme="minorHAnsi" w:cstheme="minorBidi"/>
          <w:i/>
          <w:szCs w:val="22"/>
        </w:rPr>
        <w:t>Representing Snyder Brothers Inc.</w:t>
      </w:r>
      <w:proofErr w:type="gramEnd"/>
      <w:r w:rsidRPr="00520B2E">
        <w:rPr>
          <w:rFonts w:ascii="Microsoft Sans Serif" w:eastAsiaTheme="minorEastAsia" w:hAnsiTheme="minorHAnsi" w:cstheme="minorBidi"/>
          <w:szCs w:val="22"/>
        </w:rPr>
        <w:cr/>
      </w:r>
    </w:p>
    <w:p w:rsidR="00520B2E" w:rsidRPr="00520B2E" w:rsidRDefault="00520B2E" w:rsidP="00520B2E">
      <w:pPr>
        <w:contextualSpacing/>
        <w:rPr>
          <w:rFonts w:ascii="Microsoft Sans Serif" w:eastAsiaTheme="minorEastAsia" w:hAnsiTheme="minorHAnsi" w:cstheme="minorBidi"/>
          <w:szCs w:val="22"/>
        </w:rPr>
      </w:pPr>
      <w:r w:rsidRPr="00520B2E">
        <w:rPr>
          <w:rFonts w:ascii="Microsoft Sans Serif" w:eastAsiaTheme="minorEastAsia" w:hAnsiTheme="minorHAnsi" w:cstheme="minorBidi"/>
          <w:szCs w:val="22"/>
        </w:rPr>
        <w:t>KEVIN J MOODY ESQUIRE</w:t>
      </w:r>
      <w:r w:rsidRPr="00520B2E">
        <w:rPr>
          <w:rFonts w:ascii="Microsoft Sans Serif" w:eastAsiaTheme="minorEastAsia" w:hAnsiTheme="minorHAnsi" w:cstheme="minorBidi"/>
          <w:szCs w:val="22"/>
        </w:rPr>
        <w:cr/>
        <w:t>PENNSYLVANIA INDEPENDENT OIL AND GAS ASSOCIATION (PIOGA)</w:t>
      </w:r>
      <w:r w:rsidRPr="00520B2E">
        <w:rPr>
          <w:rFonts w:ascii="Microsoft Sans Serif" w:eastAsiaTheme="minorEastAsia" w:hAnsiTheme="minorHAnsi" w:cstheme="minorBidi"/>
          <w:szCs w:val="22"/>
        </w:rPr>
        <w:cr/>
        <w:t>212 LOCUST STREET</w:t>
      </w:r>
      <w:r w:rsidRPr="00520B2E">
        <w:rPr>
          <w:rFonts w:ascii="Microsoft Sans Serif" w:eastAsiaTheme="minorEastAsia" w:hAnsiTheme="minorHAnsi" w:cstheme="minorBidi"/>
          <w:szCs w:val="22"/>
        </w:rPr>
        <w:cr/>
        <w:t>SUITE 300</w:t>
      </w:r>
      <w:r w:rsidRPr="00520B2E">
        <w:rPr>
          <w:rFonts w:ascii="Microsoft Sans Serif" w:eastAsiaTheme="minorEastAsia" w:hAnsiTheme="minorHAnsi" w:cstheme="minorBidi"/>
          <w:szCs w:val="22"/>
        </w:rPr>
        <w:cr/>
        <w:t>HARRISBURG PA 17101-1510</w:t>
      </w:r>
      <w:r w:rsidRPr="00520B2E">
        <w:rPr>
          <w:rFonts w:ascii="Microsoft Sans Serif" w:eastAsiaTheme="minorEastAsia" w:hAnsiTheme="minorHAnsi" w:cstheme="minorBidi"/>
          <w:szCs w:val="22"/>
        </w:rPr>
        <w:cr/>
        <w:t>717.234.8525</w:t>
      </w:r>
    </w:p>
    <w:p w:rsidR="00520B2E" w:rsidRPr="00520B2E" w:rsidRDefault="00520B2E" w:rsidP="00520B2E">
      <w:pPr>
        <w:contextualSpacing/>
        <w:rPr>
          <w:rFonts w:asciiTheme="minorHAnsi" w:eastAsiaTheme="minorEastAsia" w:hAnsiTheme="minorHAnsi" w:cstheme="minorBidi"/>
          <w:sz w:val="22"/>
          <w:szCs w:val="22"/>
        </w:rPr>
      </w:pPr>
      <w:r w:rsidRPr="00520B2E">
        <w:rPr>
          <w:rFonts w:ascii="Microsoft Sans Serif" w:eastAsiaTheme="minorEastAsia" w:hAnsiTheme="minorHAnsi" w:cstheme="minorBidi"/>
          <w:i/>
          <w:szCs w:val="22"/>
        </w:rPr>
        <w:t>E-Served</w:t>
      </w:r>
      <w:r w:rsidRPr="00520B2E">
        <w:rPr>
          <w:rFonts w:ascii="Microsoft Sans Serif" w:eastAsiaTheme="minorEastAsia" w:hAnsiTheme="minorHAnsi" w:cstheme="minorBidi"/>
          <w:szCs w:val="22"/>
        </w:rPr>
        <w:cr/>
      </w:r>
    </w:p>
    <w:p w:rsidR="00666AFB" w:rsidRPr="00666AFB" w:rsidRDefault="00666AFB">
      <w:pPr>
        <w:rPr>
          <w:szCs w:val="24"/>
        </w:rPr>
      </w:pPr>
    </w:p>
    <w:sectPr w:rsidR="00666AFB" w:rsidRPr="00666AF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98B" w:rsidRDefault="001F298B">
      <w:r>
        <w:separator/>
      </w:r>
    </w:p>
  </w:endnote>
  <w:endnote w:type="continuationSeparator" w:id="0">
    <w:p w:rsidR="001F298B" w:rsidRDefault="001F2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C0E" w:rsidRDefault="00524C0E" w:rsidP="009A2D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4C0E" w:rsidRDefault="00524C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C0E" w:rsidRPr="009A2D29" w:rsidRDefault="00524C0E" w:rsidP="009A2D29">
    <w:pPr>
      <w:pStyle w:val="Footer"/>
      <w:framePr w:wrap="around" w:vAnchor="text" w:hAnchor="margin" w:xAlign="center" w:y="1"/>
      <w:rPr>
        <w:rStyle w:val="PageNumber"/>
        <w:sz w:val="20"/>
      </w:rPr>
    </w:pPr>
    <w:r w:rsidRPr="009A2D29">
      <w:rPr>
        <w:rStyle w:val="PageNumber"/>
        <w:sz w:val="20"/>
      </w:rPr>
      <w:fldChar w:fldCharType="begin"/>
    </w:r>
    <w:r w:rsidRPr="009A2D29">
      <w:rPr>
        <w:rStyle w:val="PageNumber"/>
        <w:sz w:val="20"/>
      </w:rPr>
      <w:instrText xml:space="preserve">PAGE  </w:instrText>
    </w:r>
    <w:r w:rsidRPr="009A2D29">
      <w:rPr>
        <w:rStyle w:val="PageNumber"/>
        <w:sz w:val="20"/>
      </w:rPr>
      <w:fldChar w:fldCharType="separate"/>
    </w:r>
    <w:r w:rsidR="00520B2E">
      <w:rPr>
        <w:rStyle w:val="PageNumber"/>
        <w:noProof/>
        <w:sz w:val="20"/>
      </w:rPr>
      <w:t>19</w:t>
    </w:r>
    <w:r w:rsidRPr="009A2D29">
      <w:rPr>
        <w:rStyle w:val="PageNumber"/>
        <w:sz w:val="20"/>
      </w:rPr>
      <w:fldChar w:fldCharType="end"/>
    </w:r>
  </w:p>
  <w:p w:rsidR="00524C0E" w:rsidRDefault="00524C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B2E" w:rsidRDefault="00520B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98B" w:rsidRDefault="001F298B">
      <w:r>
        <w:separator/>
      </w:r>
    </w:p>
  </w:footnote>
  <w:footnote w:type="continuationSeparator" w:id="0">
    <w:p w:rsidR="001F298B" w:rsidRDefault="001F29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E27"/>
    <w:rsid w:val="00001DD7"/>
    <w:rsid w:val="00002732"/>
    <w:rsid w:val="00003FAA"/>
    <w:rsid w:val="00005A43"/>
    <w:rsid w:val="000100BE"/>
    <w:rsid w:val="00022332"/>
    <w:rsid w:val="00031AAC"/>
    <w:rsid w:val="00031CBE"/>
    <w:rsid w:val="00032130"/>
    <w:rsid w:val="000354A2"/>
    <w:rsid w:val="00036A4A"/>
    <w:rsid w:val="00036B77"/>
    <w:rsid w:val="0003700C"/>
    <w:rsid w:val="00040298"/>
    <w:rsid w:val="000407B2"/>
    <w:rsid w:val="00044DF8"/>
    <w:rsid w:val="00045CB8"/>
    <w:rsid w:val="00050542"/>
    <w:rsid w:val="00052F8D"/>
    <w:rsid w:val="000617BB"/>
    <w:rsid w:val="0006545C"/>
    <w:rsid w:val="00067728"/>
    <w:rsid w:val="00072089"/>
    <w:rsid w:val="0007267C"/>
    <w:rsid w:val="00073060"/>
    <w:rsid w:val="00074FF5"/>
    <w:rsid w:val="00080729"/>
    <w:rsid w:val="00084939"/>
    <w:rsid w:val="000909DD"/>
    <w:rsid w:val="0009209C"/>
    <w:rsid w:val="00092CF9"/>
    <w:rsid w:val="00093BE1"/>
    <w:rsid w:val="000A03FE"/>
    <w:rsid w:val="000A1AB3"/>
    <w:rsid w:val="000A63EF"/>
    <w:rsid w:val="000A7BD3"/>
    <w:rsid w:val="000B1BB7"/>
    <w:rsid w:val="000B4598"/>
    <w:rsid w:val="000B56A1"/>
    <w:rsid w:val="000B6538"/>
    <w:rsid w:val="000C6E43"/>
    <w:rsid w:val="000D3B8C"/>
    <w:rsid w:val="000E4BE8"/>
    <w:rsid w:val="000F02F1"/>
    <w:rsid w:val="000F3252"/>
    <w:rsid w:val="000F439F"/>
    <w:rsid w:val="000F43FB"/>
    <w:rsid w:val="000F47B0"/>
    <w:rsid w:val="000F7CE2"/>
    <w:rsid w:val="0010024A"/>
    <w:rsid w:val="00100E62"/>
    <w:rsid w:val="00100F98"/>
    <w:rsid w:val="00104264"/>
    <w:rsid w:val="00107570"/>
    <w:rsid w:val="0011393C"/>
    <w:rsid w:val="0011511C"/>
    <w:rsid w:val="0011535D"/>
    <w:rsid w:val="00120CF3"/>
    <w:rsid w:val="00121237"/>
    <w:rsid w:val="00122BB8"/>
    <w:rsid w:val="0012440F"/>
    <w:rsid w:val="00124BDC"/>
    <w:rsid w:val="00126107"/>
    <w:rsid w:val="001265B0"/>
    <w:rsid w:val="0013157C"/>
    <w:rsid w:val="001350DA"/>
    <w:rsid w:val="001443FB"/>
    <w:rsid w:val="0014449B"/>
    <w:rsid w:val="001457B1"/>
    <w:rsid w:val="00146FEC"/>
    <w:rsid w:val="001505A0"/>
    <w:rsid w:val="00151028"/>
    <w:rsid w:val="00153B6B"/>
    <w:rsid w:val="00154162"/>
    <w:rsid w:val="0016117C"/>
    <w:rsid w:val="0016294A"/>
    <w:rsid w:val="001641D7"/>
    <w:rsid w:val="00165F94"/>
    <w:rsid w:val="001731B6"/>
    <w:rsid w:val="00174683"/>
    <w:rsid w:val="00174FEF"/>
    <w:rsid w:val="00176521"/>
    <w:rsid w:val="00180A21"/>
    <w:rsid w:val="00180CCF"/>
    <w:rsid w:val="00184400"/>
    <w:rsid w:val="0019288E"/>
    <w:rsid w:val="00195482"/>
    <w:rsid w:val="00196BB0"/>
    <w:rsid w:val="001A2A86"/>
    <w:rsid w:val="001A2B42"/>
    <w:rsid w:val="001A5B4C"/>
    <w:rsid w:val="001B076F"/>
    <w:rsid w:val="001B32E4"/>
    <w:rsid w:val="001B5F7E"/>
    <w:rsid w:val="001B6195"/>
    <w:rsid w:val="001B6AF4"/>
    <w:rsid w:val="001B7381"/>
    <w:rsid w:val="001C1139"/>
    <w:rsid w:val="001C1487"/>
    <w:rsid w:val="001C5D63"/>
    <w:rsid w:val="001C6F0C"/>
    <w:rsid w:val="001C7107"/>
    <w:rsid w:val="001D66AD"/>
    <w:rsid w:val="001D7AC3"/>
    <w:rsid w:val="001D7E06"/>
    <w:rsid w:val="001E17EF"/>
    <w:rsid w:val="001E7319"/>
    <w:rsid w:val="001F1478"/>
    <w:rsid w:val="001F1904"/>
    <w:rsid w:val="001F23E6"/>
    <w:rsid w:val="001F298B"/>
    <w:rsid w:val="001F2AC5"/>
    <w:rsid w:val="001F2C99"/>
    <w:rsid w:val="001F5C7E"/>
    <w:rsid w:val="001F7010"/>
    <w:rsid w:val="00202F76"/>
    <w:rsid w:val="00203118"/>
    <w:rsid w:val="0020777A"/>
    <w:rsid w:val="00210C72"/>
    <w:rsid w:val="0021140D"/>
    <w:rsid w:val="00211604"/>
    <w:rsid w:val="002161A3"/>
    <w:rsid w:val="002227D4"/>
    <w:rsid w:val="00224511"/>
    <w:rsid w:val="00224AAE"/>
    <w:rsid w:val="00225C79"/>
    <w:rsid w:val="002272C9"/>
    <w:rsid w:val="00227F0F"/>
    <w:rsid w:val="002317E7"/>
    <w:rsid w:val="00232F3B"/>
    <w:rsid w:val="00233FCC"/>
    <w:rsid w:val="00234438"/>
    <w:rsid w:val="00235C66"/>
    <w:rsid w:val="0023633E"/>
    <w:rsid w:val="002369FD"/>
    <w:rsid w:val="002379D0"/>
    <w:rsid w:val="00242EA0"/>
    <w:rsid w:val="00242ED7"/>
    <w:rsid w:val="00250FBB"/>
    <w:rsid w:val="0025244C"/>
    <w:rsid w:val="002526F9"/>
    <w:rsid w:val="0026225E"/>
    <w:rsid w:val="00262467"/>
    <w:rsid w:val="0026256A"/>
    <w:rsid w:val="00262758"/>
    <w:rsid w:val="00262821"/>
    <w:rsid w:val="00262B26"/>
    <w:rsid w:val="00266CD8"/>
    <w:rsid w:val="00267CA5"/>
    <w:rsid w:val="00272141"/>
    <w:rsid w:val="0027273E"/>
    <w:rsid w:val="00273ADF"/>
    <w:rsid w:val="0027596C"/>
    <w:rsid w:val="00277664"/>
    <w:rsid w:val="002822B6"/>
    <w:rsid w:val="0028383D"/>
    <w:rsid w:val="0028412D"/>
    <w:rsid w:val="002913A6"/>
    <w:rsid w:val="00291EC9"/>
    <w:rsid w:val="002943B7"/>
    <w:rsid w:val="002A10E8"/>
    <w:rsid w:val="002A2BDB"/>
    <w:rsid w:val="002A3FB8"/>
    <w:rsid w:val="002B2800"/>
    <w:rsid w:val="002B28ED"/>
    <w:rsid w:val="002B6168"/>
    <w:rsid w:val="002C601B"/>
    <w:rsid w:val="002C7690"/>
    <w:rsid w:val="002D323A"/>
    <w:rsid w:val="002D4D76"/>
    <w:rsid w:val="002D5769"/>
    <w:rsid w:val="002D7E49"/>
    <w:rsid w:val="002E2A44"/>
    <w:rsid w:val="002E580B"/>
    <w:rsid w:val="002E5C8F"/>
    <w:rsid w:val="002E689E"/>
    <w:rsid w:val="002F1642"/>
    <w:rsid w:val="002F3CA1"/>
    <w:rsid w:val="002F49F8"/>
    <w:rsid w:val="002F5F85"/>
    <w:rsid w:val="002F73CE"/>
    <w:rsid w:val="002F7E1F"/>
    <w:rsid w:val="00301595"/>
    <w:rsid w:val="00301B1C"/>
    <w:rsid w:val="003037F1"/>
    <w:rsid w:val="003038FC"/>
    <w:rsid w:val="003120E6"/>
    <w:rsid w:val="00312206"/>
    <w:rsid w:val="003127EF"/>
    <w:rsid w:val="003211AC"/>
    <w:rsid w:val="00322899"/>
    <w:rsid w:val="00323CDE"/>
    <w:rsid w:val="00326117"/>
    <w:rsid w:val="00327021"/>
    <w:rsid w:val="0033019C"/>
    <w:rsid w:val="00334C45"/>
    <w:rsid w:val="00335B7A"/>
    <w:rsid w:val="00337952"/>
    <w:rsid w:val="00344945"/>
    <w:rsid w:val="00350AC0"/>
    <w:rsid w:val="00352173"/>
    <w:rsid w:val="00353C70"/>
    <w:rsid w:val="003553D4"/>
    <w:rsid w:val="003566CB"/>
    <w:rsid w:val="00362145"/>
    <w:rsid w:val="00367251"/>
    <w:rsid w:val="00367525"/>
    <w:rsid w:val="00374194"/>
    <w:rsid w:val="003807BB"/>
    <w:rsid w:val="00381964"/>
    <w:rsid w:val="00381C4C"/>
    <w:rsid w:val="00382B8B"/>
    <w:rsid w:val="003900F1"/>
    <w:rsid w:val="00390828"/>
    <w:rsid w:val="0039693B"/>
    <w:rsid w:val="00397002"/>
    <w:rsid w:val="003A4772"/>
    <w:rsid w:val="003B18EB"/>
    <w:rsid w:val="003B226D"/>
    <w:rsid w:val="003B2A46"/>
    <w:rsid w:val="003B31EC"/>
    <w:rsid w:val="003B465A"/>
    <w:rsid w:val="003B6DB7"/>
    <w:rsid w:val="003B7A96"/>
    <w:rsid w:val="003D5B40"/>
    <w:rsid w:val="003E1531"/>
    <w:rsid w:val="003E1E51"/>
    <w:rsid w:val="003E3C6C"/>
    <w:rsid w:val="003F0C03"/>
    <w:rsid w:val="003F5AA1"/>
    <w:rsid w:val="003F5AA5"/>
    <w:rsid w:val="003F728B"/>
    <w:rsid w:val="003F77D1"/>
    <w:rsid w:val="00400D1B"/>
    <w:rsid w:val="00402311"/>
    <w:rsid w:val="00403472"/>
    <w:rsid w:val="00403FFB"/>
    <w:rsid w:val="00404232"/>
    <w:rsid w:val="00406199"/>
    <w:rsid w:val="00406D27"/>
    <w:rsid w:val="00407103"/>
    <w:rsid w:val="004104DB"/>
    <w:rsid w:val="0041327B"/>
    <w:rsid w:val="004147DD"/>
    <w:rsid w:val="004179F9"/>
    <w:rsid w:val="00417F73"/>
    <w:rsid w:val="00421AAA"/>
    <w:rsid w:val="00421DDF"/>
    <w:rsid w:val="00422891"/>
    <w:rsid w:val="0042582D"/>
    <w:rsid w:val="00430B60"/>
    <w:rsid w:val="00431487"/>
    <w:rsid w:val="004423EA"/>
    <w:rsid w:val="0044292A"/>
    <w:rsid w:val="0044492E"/>
    <w:rsid w:val="00445129"/>
    <w:rsid w:val="0044655D"/>
    <w:rsid w:val="0044739B"/>
    <w:rsid w:val="00470871"/>
    <w:rsid w:val="00474483"/>
    <w:rsid w:val="00475C5A"/>
    <w:rsid w:val="004764BB"/>
    <w:rsid w:val="004778FB"/>
    <w:rsid w:val="00477C81"/>
    <w:rsid w:val="00477D26"/>
    <w:rsid w:val="00480746"/>
    <w:rsid w:val="00481174"/>
    <w:rsid w:val="00482CC8"/>
    <w:rsid w:val="00483D10"/>
    <w:rsid w:val="004842A3"/>
    <w:rsid w:val="0048727B"/>
    <w:rsid w:val="004906BE"/>
    <w:rsid w:val="0049162E"/>
    <w:rsid w:val="00492FD4"/>
    <w:rsid w:val="00493C8B"/>
    <w:rsid w:val="00494216"/>
    <w:rsid w:val="0049452F"/>
    <w:rsid w:val="00494D85"/>
    <w:rsid w:val="00495FFF"/>
    <w:rsid w:val="00497876"/>
    <w:rsid w:val="004A0026"/>
    <w:rsid w:val="004A45E4"/>
    <w:rsid w:val="004A5B34"/>
    <w:rsid w:val="004B2D28"/>
    <w:rsid w:val="004B39F4"/>
    <w:rsid w:val="004B594A"/>
    <w:rsid w:val="004C357C"/>
    <w:rsid w:val="004C36DD"/>
    <w:rsid w:val="004C4D77"/>
    <w:rsid w:val="004C52DB"/>
    <w:rsid w:val="004C7767"/>
    <w:rsid w:val="004D19EC"/>
    <w:rsid w:val="004D5868"/>
    <w:rsid w:val="004D5A37"/>
    <w:rsid w:val="004E05AE"/>
    <w:rsid w:val="004E0F73"/>
    <w:rsid w:val="004E15BA"/>
    <w:rsid w:val="004E1818"/>
    <w:rsid w:val="004E245B"/>
    <w:rsid w:val="004E3444"/>
    <w:rsid w:val="004E7976"/>
    <w:rsid w:val="004E79F3"/>
    <w:rsid w:val="004F16A1"/>
    <w:rsid w:val="004F23F0"/>
    <w:rsid w:val="004F57A5"/>
    <w:rsid w:val="004F59D9"/>
    <w:rsid w:val="004F5AA6"/>
    <w:rsid w:val="004F7858"/>
    <w:rsid w:val="00506F09"/>
    <w:rsid w:val="00506FE4"/>
    <w:rsid w:val="00516335"/>
    <w:rsid w:val="00520B2E"/>
    <w:rsid w:val="005213F3"/>
    <w:rsid w:val="00524120"/>
    <w:rsid w:val="00524C0E"/>
    <w:rsid w:val="00527AA4"/>
    <w:rsid w:val="00532444"/>
    <w:rsid w:val="00533BF3"/>
    <w:rsid w:val="00537FA1"/>
    <w:rsid w:val="00540A0D"/>
    <w:rsid w:val="005468C3"/>
    <w:rsid w:val="0055051B"/>
    <w:rsid w:val="00550FF9"/>
    <w:rsid w:val="005545BD"/>
    <w:rsid w:val="00555E89"/>
    <w:rsid w:val="00560597"/>
    <w:rsid w:val="00561AFE"/>
    <w:rsid w:val="00561C70"/>
    <w:rsid w:val="005622F7"/>
    <w:rsid w:val="00562302"/>
    <w:rsid w:val="00564D2B"/>
    <w:rsid w:val="00565B80"/>
    <w:rsid w:val="005668D5"/>
    <w:rsid w:val="00572071"/>
    <w:rsid w:val="005722BC"/>
    <w:rsid w:val="00575400"/>
    <w:rsid w:val="0057543B"/>
    <w:rsid w:val="00577670"/>
    <w:rsid w:val="00581FC7"/>
    <w:rsid w:val="00585C47"/>
    <w:rsid w:val="00587F9D"/>
    <w:rsid w:val="00590886"/>
    <w:rsid w:val="00595462"/>
    <w:rsid w:val="00596071"/>
    <w:rsid w:val="00596253"/>
    <w:rsid w:val="005A21BA"/>
    <w:rsid w:val="005B3A88"/>
    <w:rsid w:val="005B3EB7"/>
    <w:rsid w:val="005B7E6B"/>
    <w:rsid w:val="005C008B"/>
    <w:rsid w:val="005C18C8"/>
    <w:rsid w:val="005C3CF8"/>
    <w:rsid w:val="005C4985"/>
    <w:rsid w:val="005C6036"/>
    <w:rsid w:val="005D1A72"/>
    <w:rsid w:val="005D72A4"/>
    <w:rsid w:val="005E21B3"/>
    <w:rsid w:val="005E3B5E"/>
    <w:rsid w:val="005E3F4C"/>
    <w:rsid w:val="005E4125"/>
    <w:rsid w:val="005E75D8"/>
    <w:rsid w:val="005F16D7"/>
    <w:rsid w:val="005F178B"/>
    <w:rsid w:val="005F2E71"/>
    <w:rsid w:val="005F6443"/>
    <w:rsid w:val="005F6724"/>
    <w:rsid w:val="005F7601"/>
    <w:rsid w:val="0060157E"/>
    <w:rsid w:val="0060308D"/>
    <w:rsid w:val="00604DE7"/>
    <w:rsid w:val="006100BE"/>
    <w:rsid w:val="00610774"/>
    <w:rsid w:val="0061086E"/>
    <w:rsid w:val="00610A13"/>
    <w:rsid w:val="00613A78"/>
    <w:rsid w:val="00615F59"/>
    <w:rsid w:val="006178BC"/>
    <w:rsid w:val="0062221F"/>
    <w:rsid w:val="00624307"/>
    <w:rsid w:val="006248C5"/>
    <w:rsid w:val="00624FD8"/>
    <w:rsid w:val="0062686D"/>
    <w:rsid w:val="00630429"/>
    <w:rsid w:val="00632D2A"/>
    <w:rsid w:val="0063399F"/>
    <w:rsid w:val="00636F66"/>
    <w:rsid w:val="00637760"/>
    <w:rsid w:val="00642AF2"/>
    <w:rsid w:val="00642C3D"/>
    <w:rsid w:val="0064430C"/>
    <w:rsid w:val="0065202B"/>
    <w:rsid w:val="00652235"/>
    <w:rsid w:val="0065223C"/>
    <w:rsid w:val="00656B9B"/>
    <w:rsid w:val="00656D0C"/>
    <w:rsid w:val="00666AFB"/>
    <w:rsid w:val="00670CCE"/>
    <w:rsid w:val="0067463E"/>
    <w:rsid w:val="00674B0A"/>
    <w:rsid w:val="00677361"/>
    <w:rsid w:val="006777B7"/>
    <w:rsid w:val="00686223"/>
    <w:rsid w:val="00690090"/>
    <w:rsid w:val="00691909"/>
    <w:rsid w:val="0069219E"/>
    <w:rsid w:val="00695FDE"/>
    <w:rsid w:val="00697E3F"/>
    <w:rsid w:val="006A0429"/>
    <w:rsid w:val="006A2BF3"/>
    <w:rsid w:val="006A7215"/>
    <w:rsid w:val="006B1926"/>
    <w:rsid w:val="006B1D51"/>
    <w:rsid w:val="006B2212"/>
    <w:rsid w:val="006B2285"/>
    <w:rsid w:val="006B2435"/>
    <w:rsid w:val="006B6801"/>
    <w:rsid w:val="006C0B9E"/>
    <w:rsid w:val="006C23A3"/>
    <w:rsid w:val="006C2FC3"/>
    <w:rsid w:val="006D10A6"/>
    <w:rsid w:val="006D120E"/>
    <w:rsid w:val="006D21BA"/>
    <w:rsid w:val="006D2F85"/>
    <w:rsid w:val="006D4000"/>
    <w:rsid w:val="006D684E"/>
    <w:rsid w:val="006D7DA7"/>
    <w:rsid w:val="006D7E12"/>
    <w:rsid w:val="006E6E2B"/>
    <w:rsid w:val="006F76C9"/>
    <w:rsid w:val="00700AD7"/>
    <w:rsid w:val="0070145B"/>
    <w:rsid w:val="00703C91"/>
    <w:rsid w:val="00705F64"/>
    <w:rsid w:val="007075C1"/>
    <w:rsid w:val="00713160"/>
    <w:rsid w:val="0071756E"/>
    <w:rsid w:val="00725C57"/>
    <w:rsid w:val="00726386"/>
    <w:rsid w:val="00726B30"/>
    <w:rsid w:val="007275D5"/>
    <w:rsid w:val="007279DE"/>
    <w:rsid w:val="00730E25"/>
    <w:rsid w:val="00734A6C"/>
    <w:rsid w:val="00734ED7"/>
    <w:rsid w:val="0073535A"/>
    <w:rsid w:val="00736281"/>
    <w:rsid w:val="0074192A"/>
    <w:rsid w:val="00741E27"/>
    <w:rsid w:val="00742147"/>
    <w:rsid w:val="007529A3"/>
    <w:rsid w:val="00757008"/>
    <w:rsid w:val="007611CD"/>
    <w:rsid w:val="00764324"/>
    <w:rsid w:val="00767097"/>
    <w:rsid w:val="00770BAF"/>
    <w:rsid w:val="00773062"/>
    <w:rsid w:val="00774467"/>
    <w:rsid w:val="0077681F"/>
    <w:rsid w:val="00780146"/>
    <w:rsid w:val="00781693"/>
    <w:rsid w:val="007876FD"/>
    <w:rsid w:val="00787EC3"/>
    <w:rsid w:val="007A070E"/>
    <w:rsid w:val="007A1054"/>
    <w:rsid w:val="007A244A"/>
    <w:rsid w:val="007A52CE"/>
    <w:rsid w:val="007A7303"/>
    <w:rsid w:val="007B0B8E"/>
    <w:rsid w:val="007B0DFE"/>
    <w:rsid w:val="007B0F50"/>
    <w:rsid w:val="007B6CFC"/>
    <w:rsid w:val="007C0472"/>
    <w:rsid w:val="007C1041"/>
    <w:rsid w:val="007C4F0E"/>
    <w:rsid w:val="007C6590"/>
    <w:rsid w:val="007C7B01"/>
    <w:rsid w:val="007D2DB2"/>
    <w:rsid w:val="007D3EDA"/>
    <w:rsid w:val="007D6002"/>
    <w:rsid w:val="007E6E78"/>
    <w:rsid w:val="007F0782"/>
    <w:rsid w:val="007F1FC9"/>
    <w:rsid w:val="007F46C5"/>
    <w:rsid w:val="007F71BF"/>
    <w:rsid w:val="00804F23"/>
    <w:rsid w:val="0081034A"/>
    <w:rsid w:val="008108B3"/>
    <w:rsid w:val="00815519"/>
    <w:rsid w:val="008159ED"/>
    <w:rsid w:val="00816768"/>
    <w:rsid w:val="008168F3"/>
    <w:rsid w:val="008203D9"/>
    <w:rsid w:val="00820A18"/>
    <w:rsid w:val="00821E06"/>
    <w:rsid w:val="008230F8"/>
    <w:rsid w:val="00823389"/>
    <w:rsid w:val="0082694C"/>
    <w:rsid w:val="008317BD"/>
    <w:rsid w:val="00832AD3"/>
    <w:rsid w:val="008338B5"/>
    <w:rsid w:val="00840EF8"/>
    <w:rsid w:val="0084374D"/>
    <w:rsid w:val="00843FCC"/>
    <w:rsid w:val="00851260"/>
    <w:rsid w:val="00852379"/>
    <w:rsid w:val="00853BE9"/>
    <w:rsid w:val="00856356"/>
    <w:rsid w:val="00856DA1"/>
    <w:rsid w:val="00873F04"/>
    <w:rsid w:val="0087598C"/>
    <w:rsid w:val="00875E58"/>
    <w:rsid w:val="00875F1A"/>
    <w:rsid w:val="0088173F"/>
    <w:rsid w:val="008817F7"/>
    <w:rsid w:val="00881A58"/>
    <w:rsid w:val="008836A1"/>
    <w:rsid w:val="00884F1F"/>
    <w:rsid w:val="00893F27"/>
    <w:rsid w:val="008940BA"/>
    <w:rsid w:val="008A05DD"/>
    <w:rsid w:val="008A1A39"/>
    <w:rsid w:val="008A628A"/>
    <w:rsid w:val="008B2DBC"/>
    <w:rsid w:val="008B68CA"/>
    <w:rsid w:val="008B6E36"/>
    <w:rsid w:val="008C1B85"/>
    <w:rsid w:val="008C1F48"/>
    <w:rsid w:val="008C32FC"/>
    <w:rsid w:val="008C3E04"/>
    <w:rsid w:val="008C5247"/>
    <w:rsid w:val="008C5B39"/>
    <w:rsid w:val="008C695A"/>
    <w:rsid w:val="008C780B"/>
    <w:rsid w:val="008D052D"/>
    <w:rsid w:val="008D2E63"/>
    <w:rsid w:val="008D2EE0"/>
    <w:rsid w:val="008E3104"/>
    <w:rsid w:val="008E42CD"/>
    <w:rsid w:val="008E42E5"/>
    <w:rsid w:val="008E5140"/>
    <w:rsid w:val="008E53B2"/>
    <w:rsid w:val="008F0E1A"/>
    <w:rsid w:val="008F2A18"/>
    <w:rsid w:val="008F39C1"/>
    <w:rsid w:val="008F3FB3"/>
    <w:rsid w:val="008F4BAE"/>
    <w:rsid w:val="008F4F0C"/>
    <w:rsid w:val="00900E6B"/>
    <w:rsid w:val="0090488F"/>
    <w:rsid w:val="00904B5A"/>
    <w:rsid w:val="00904CC1"/>
    <w:rsid w:val="00910338"/>
    <w:rsid w:val="00915AE3"/>
    <w:rsid w:val="00921817"/>
    <w:rsid w:val="00922DD8"/>
    <w:rsid w:val="00924683"/>
    <w:rsid w:val="0092732E"/>
    <w:rsid w:val="00932CC6"/>
    <w:rsid w:val="009333EA"/>
    <w:rsid w:val="00934FF7"/>
    <w:rsid w:val="00941A37"/>
    <w:rsid w:val="00942AB2"/>
    <w:rsid w:val="00944E84"/>
    <w:rsid w:val="00945AC9"/>
    <w:rsid w:val="00946EC4"/>
    <w:rsid w:val="009508AA"/>
    <w:rsid w:val="00953F8D"/>
    <w:rsid w:val="00954C1F"/>
    <w:rsid w:val="009550B6"/>
    <w:rsid w:val="00955373"/>
    <w:rsid w:val="009561F8"/>
    <w:rsid w:val="00956CC7"/>
    <w:rsid w:val="00957A24"/>
    <w:rsid w:val="00964055"/>
    <w:rsid w:val="00966F3F"/>
    <w:rsid w:val="00967FBA"/>
    <w:rsid w:val="00972B11"/>
    <w:rsid w:val="00972F21"/>
    <w:rsid w:val="0097680A"/>
    <w:rsid w:val="00976AD3"/>
    <w:rsid w:val="009777B9"/>
    <w:rsid w:val="009842BA"/>
    <w:rsid w:val="0098526F"/>
    <w:rsid w:val="00987307"/>
    <w:rsid w:val="009875D0"/>
    <w:rsid w:val="00991868"/>
    <w:rsid w:val="00996FE4"/>
    <w:rsid w:val="009974BF"/>
    <w:rsid w:val="009A1F26"/>
    <w:rsid w:val="009A1F79"/>
    <w:rsid w:val="009A2D29"/>
    <w:rsid w:val="009A317E"/>
    <w:rsid w:val="009A4AED"/>
    <w:rsid w:val="009B15BC"/>
    <w:rsid w:val="009B64D3"/>
    <w:rsid w:val="009B7253"/>
    <w:rsid w:val="009B7979"/>
    <w:rsid w:val="009C124E"/>
    <w:rsid w:val="009C1663"/>
    <w:rsid w:val="009C349F"/>
    <w:rsid w:val="009C4620"/>
    <w:rsid w:val="009C5E5A"/>
    <w:rsid w:val="009C6D64"/>
    <w:rsid w:val="009D1693"/>
    <w:rsid w:val="009D557E"/>
    <w:rsid w:val="009D5C08"/>
    <w:rsid w:val="009D6890"/>
    <w:rsid w:val="009E038A"/>
    <w:rsid w:val="009E0474"/>
    <w:rsid w:val="009E1DC8"/>
    <w:rsid w:val="009F0D66"/>
    <w:rsid w:val="009F105D"/>
    <w:rsid w:val="009F153B"/>
    <w:rsid w:val="009F3416"/>
    <w:rsid w:val="009F3B61"/>
    <w:rsid w:val="009F4F5E"/>
    <w:rsid w:val="009F5626"/>
    <w:rsid w:val="009F7969"/>
    <w:rsid w:val="00A016C1"/>
    <w:rsid w:val="00A019F5"/>
    <w:rsid w:val="00A04706"/>
    <w:rsid w:val="00A0470C"/>
    <w:rsid w:val="00A04A19"/>
    <w:rsid w:val="00A04B30"/>
    <w:rsid w:val="00A078D5"/>
    <w:rsid w:val="00A1195D"/>
    <w:rsid w:val="00A1212A"/>
    <w:rsid w:val="00A228A1"/>
    <w:rsid w:val="00A24DDF"/>
    <w:rsid w:val="00A24E24"/>
    <w:rsid w:val="00A273DE"/>
    <w:rsid w:val="00A31C88"/>
    <w:rsid w:val="00A37D11"/>
    <w:rsid w:val="00A42652"/>
    <w:rsid w:val="00A42CFE"/>
    <w:rsid w:val="00A47AF8"/>
    <w:rsid w:val="00A47CF0"/>
    <w:rsid w:val="00A47F10"/>
    <w:rsid w:val="00A57526"/>
    <w:rsid w:val="00A6135E"/>
    <w:rsid w:val="00A627AF"/>
    <w:rsid w:val="00A62AD5"/>
    <w:rsid w:val="00A633D2"/>
    <w:rsid w:val="00A63A63"/>
    <w:rsid w:val="00A64779"/>
    <w:rsid w:val="00A65A5E"/>
    <w:rsid w:val="00A66949"/>
    <w:rsid w:val="00A67484"/>
    <w:rsid w:val="00A73F77"/>
    <w:rsid w:val="00A74415"/>
    <w:rsid w:val="00A7552F"/>
    <w:rsid w:val="00A80675"/>
    <w:rsid w:val="00A839FC"/>
    <w:rsid w:val="00A85165"/>
    <w:rsid w:val="00A86617"/>
    <w:rsid w:val="00A9170A"/>
    <w:rsid w:val="00A92D40"/>
    <w:rsid w:val="00A96CA5"/>
    <w:rsid w:val="00A97293"/>
    <w:rsid w:val="00AA37A8"/>
    <w:rsid w:val="00AA3F5E"/>
    <w:rsid w:val="00AA5E91"/>
    <w:rsid w:val="00AB017D"/>
    <w:rsid w:val="00AB1911"/>
    <w:rsid w:val="00AB75FF"/>
    <w:rsid w:val="00AC3ECB"/>
    <w:rsid w:val="00AC513C"/>
    <w:rsid w:val="00AC519D"/>
    <w:rsid w:val="00AC5A83"/>
    <w:rsid w:val="00AC7AE4"/>
    <w:rsid w:val="00AD0C79"/>
    <w:rsid w:val="00AD1D1C"/>
    <w:rsid w:val="00AD2DDB"/>
    <w:rsid w:val="00AD755D"/>
    <w:rsid w:val="00AD7CFA"/>
    <w:rsid w:val="00AE4AA9"/>
    <w:rsid w:val="00AE52A5"/>
    <w:rsid w:val="00AE6697"/>
    <w:rsid w:val="00AF11C0"/>
    <w:rsid w:val="00AF2E74"/>
    <w:rsid w:val="00AF64BA"/>
    <w:rsid w:val="00AF7C3D"/>
    <w:rsid w:val="00B0291C"/>
    <w:rsid w:val="00B02B72"/>
    <w:rsid w:val="00B043F1"/>
    <w:rsid w:val="00B0451D"/>
    <w:rsid w:val="00B04C7E"/>
    <w:rsid w:val="00B05411"/>
    <w:rsid w:val="00B118D1"/>
    <w:rsid w:val="00B11E3E"/>
    <w:rsid w:val="00B1738F"/>
    <w:rsid w:val="00B23C5B"/>
    <w:rsid w:val="00B254E2"/>
    <w:rsid w:val="00B3226C"/>
    <w:rsid w:val="00B33045"/>
    <w:rsid w:val="00B343C6"/>
    <w:rsid w:val="00B42DE6"/>
    <w:rsid w:val="00B42ED8"/>
    <w:rsid w:val="00B46364"/>
    <w:rsid w:val="00B50A08"/>
    <w:rsid w:val="00B51A81"/>
    <w:rsid w:val="00B53DAC"/>
    <w:rsid w:val="00B57483"/>
    <w:rsid w:val="00B65130"/>
    <w:rsid w:val="00B67A2A"/>
    <w:rsid w:val="00B72EEA"/>
    <w:rsid w:val="00B737C6"/>
    <w:rsid w:val="00B74401"/>
    <w:rsid w:val="00B76663"/>
    <w:rsid w:val="00B76701"/>
    <w:rsid w:val="00B769E9"/>
    <w:rsid w:val="00B76AEA"/>
    <w:rsid w:val="00B81319"/>
    <w:rsid w:val="00B81A7B"/>
    <w:rsid w:val="00B81B2C"/>
    <w:rsid w:val="00B843AD"/>
    <w:rsid w:val="00B8624E"/>
    <w:rsid w:val="00B874C5"/>
    <w:rsid w:val="00B9220C"/>
    <w:rsid w:val="00B9338D"/>
    <w:rsid w:val="00B95A11"/>
    <w:rsid w:val="00BA0EFC"/>
    <w:rsid w:val="00BA2A5C"/>
    <w:rsid w:val="00BA5AAB"/>
    <w:rsid w:val="00BA63B4"/>
    <w:rsid w:val="00BA6761"/>
    <w:rsid w:val="00BA6A96"/>
    <w:rsid w:val="00BA6BC3"/>
    <w:rsid w:val="00BA7633"/>
    <w:rsid w:val="00BA7C62"/>
    <w:rsid w:val="00BB2478"/>
    <w:rsid w:val="00BB251A"/>
    <w:rsid w:val="00BB3BAA"/>
    <w:rsid w:val="00BC0E3D"/>
    <w:rsid w:val="00BC0F07"/>
    <w:rsid w:val="00BD247C"/>
    <w:rsid w:val="00BD37BE"/>
    <w:rsid w:val="00BD7AD5"/>
    <w:rsid w:val="00BE332B"/>
    <w:rsid w:val="00BE5874"/>
    <w:rsid w:val="00BE5EB4"/>
    <w:rsid w:val="00BE6D40"/>
    <w:rsid w:val="00BF238B"/>
    <w:rsid w:val="00BF4B60"/>
    <w:rsid w:val="00C03F45"/>
    <w:rsid w:val="00C06322"/>
    <w:rsid w:val="00C07684"/>
    <w:rsid w:val="00C12ACC"/>
    <w:rsid w:val="00C14B26"/>
    <w:rsid w:val="00C14CAE"/>
    <w:rsid w:val="00C17EAB"/>
    <w:rsid w:val="00C2322F"/>
    <w:rsid w:val="00C25F1B"/>
    <w:rsid w:val="00C263C3"/>
    <w:rsid w:val="00C26DD1"/>
    <w:rsid w:val="00C27ED3"/>
    <w:rsid w:val="00C300E7"/>
    <w:rsid w:val="00C33D6D"/>
    <w:rsid w:val="00C340FC"/>
    <w:rsid w:val="00C369BF"/>
    <w:rsid w:val="00C41DA4"/>
    <w:rsid w:val="00C428B7"/>
    <w:rsid w:val="00C45DC8"/>
    <w:rsid w:val="00C46A28"/>
    <w:rsid w:val="00C554A0"/>
    <w:rsid w:val="00C56DF3"/>
    <w:rsid w:val="00C613FE"/>
    <w:rsid w:val="00C6269D"/>
    <w:rsid w:val="00C62992"/>
    <w:rsid w:val="00C65BF3"/>
    <w:rsid w:val="00C706AF"/>
    <w:rsid w:val="00C72F4A"/>
    <w:rsid w:val="00C76123"/>
    <w:rsid w:val="00C76381"/>
    <w:rsid w:val="00C7763D"/>
    <w:rsid w:val="00C81309"/>
    <w:rsid w:val="00C851A8"/>
    <w:rsid w:val="00C85BC5"/>
    <w:rsid w:val="00C86DC8"/>
    <w:rsid w:val="00C978DC"/>
    <w:rsid w:val="00C97A94"/>
    <w:rsid w:val="00CA33C0"/>
    <w:rsid w:val="00CA751E"/>
    <w:rsid w:val="00CB2571"/>
    <w:rsid w:val="00CB2B6E"/>
    <w:rsid w:val="00CB2E34"/>
    <w:rsid w:val="00CB5CBB"/>
    <w:rsid w:val="00CB6DE6"/>
    <w:rsid w:val="00CB733E"/>
    <w:rsid w:val="00CC0C22"/>
    <w:rsid w:val="00CC6890"/>
    <w:rsid w:val="00CD3675"/>
    <w:rsid w:val="00CD3F4F"/>
    <w:rsid w:val="00CD5FB9"/>
    <w:rsid w:val="00CD7151"/>
    <w:rsid w:val="00CD7670"/>
    <w:rsid w:val="00CE3F8B"/>
    <w:rsid w:val="00CE4225"/>
    <w:rsid w:val="00CF0200"/>
    <w:rsid w:val="00CF25E3"/>
    <w:rsid w:val="00CF4DB4"/>
    <w:rsid w:val="00CF5B5E"/>
    <w:rsid w:val="00CF67B6"/>
    <w:rsid w:val="00CF7171"/>
    <w:rsid w:val="00CF7A1C"/>
    <w:rsid w:val="00D00A48"/>
    <w:rsid w:val="00D02F51"/>
    <w:rsid w:val="00D066B3"/>
    <w:rsid w:val="00D06C7E"/>
    <w:rsid w:val="00D078D9"/>
    <w:rsid w:val="00D1047A"/>
    <w:rsid w:val="00D11A8F"/>
    <w:rsid w:val="00D11F55"/>
    <w:rsid w:val="00D13032"/>
    <w:rsid w:val="00D148D7"/>
    <w:rsid w:val="00D155C2"/>
    <w:rsid w:val="00D22E41"/>
    <w:rsid w:val="00D31796"/>
    <w:rsid w:val="00D339D2"/>
    <w:rsid w:val="00D3648C"/>
    <w:rsid w:val="00D3782C"/>
    <w:rsid w:val="00D40169"/>
    <w:rsid w:val="00D44CF2"/>
    <w:rsid w:val="00D46674"/>
    <w:rsid w:val="00D467F2"/>
    <w:rsid w:val="00D544C7"/>
    <w:rsid w:val="00D54898"/>
    <w:rsid w:val="00D5489C"/>
    <w:rsid w:val="00D5743C"/>
    <w:rsid w:val="00D57A98"/>
    <w:rsid w:val="00D6240B"/>
    <w:rsid w:val="00D63E5B"/>
    <w:rsid w:val="00D652A5"/>
    <w:rsid w:val="00D729A0"/>
    <w:rsid w:val="00D739DA"/>
    <w:rsid w:val="00D73B79"/>
    <w:rsid w:val="00D75179"/>
    <w:rsid w:val="00D84C35"/>
    <w:rsid w:val="00D86042"/>
    <w:rsid w:val="00D905BD"/>
    <w:rsid w:val="00D9383A"/>
    <w:rsid w:val="00D976F2"/>
    <w:rsid w:val="00DA0912"/>
    <w:rsid w:val="00DA418E"/>
    <w:rsid w:val="00DA46EE"/>
    <w:rsid w:val="00DA4C14"/>
    <w:rsid w:val="00DA5F7E"/>
    <w:rsid w:val="00DB4208"/>
    <w:rsid w:val="00DB4DDB"/>
    <w:rsid w:val="00DC00C1"/>
    <w:rsid w:val="00DC316C"/>
    <w:rsid w:val="00DC49D0"/>
    <w:rsid w:val="00DC70C7"/>
    <w:rsid w:val="00DC7ECF"/>
    <w:rsid w:val="00DD0123"/>
    <w:rsid w:val="00DD0AD8"/>
    <w:rsid w:val="00DD0B15"/>
    <w:rsid w:val="00DD7AE0"/>
    <w:rsid w:val="00DE14DB"/>
    <w:rsid w:val="00DE2778"/>
    <w:rsid w:val="00DE5968"/>
    <w:rsid w:val="00DF406A"/>
    <w:rsid w:val="00DF4B8C"/>
    <w:rsid w:val="00DF534E"/>
    <w:rsid w:val="00DF5A62"/>
    <w:rsid w:val="00DF7A7F"/>
    <w:rsid w:val="00E068D4"/>
    <w:rsid w:val="00E131CE"/>
    <w:rsid w:val="00E15D17"/>
    <w:rsid w:val="00E20CFE"/>
    <w:rsid w:val="00E20E7F"/>
    <w:rsid w:val="00E2214A"/>
    <w:rsid w:val="00E30C47"/>
    <w:rsid w:val="00E31AE6"/>
    <w:rsid w:val="00E324B7"/>
    <w:rsid w:val="00E40962"/>
    <w:rsid w:val="00E44854"/>
    <w:rsid w:val="00E45817"/>
    <w:rsid w:val="00E47F23"/>
    <w:rsid w:val="00E5088C"/>
    <w:rsid w:val="00E5360A"/>
    <w:rsid w:val="00E53EDC"/>
    <w:rsid w:val="00E6028C"/>
    <w:rsid w:val="00E60720"/>
    <w:rsid w:val="00E62183"/>
    <w:rsid w:val="00E704F1"/>
    <w:rsid w:val="00E738C3"/>
    <w:rsid w:val="00E73B71"/>
    <w:rsid w:val="00E7471A"/>
    <w:rsid w:val="00E76B84"/>
    <w:rsid w:val="00E80015"/>
    <w:rsid w:val="00E822BA"/>
    <w:rsid w:val="00E82581"/>
    <w:rsid w:val="00E84674"/>
    <w:rsid w:val="00E85C79"/>
    <w:rsid w:val="00E9013A"/>
    <w:rsid w:val="00E90ECE"/>
    <w:rsid w:val="00E912F2"/>
    <w:rsid w:val="00E95D9E"/>
    <w:rsid w:val="00EA0970"/>
    <w:rsid w:val="00EA216F"/>
    <w:rsid w:val="00EA226A"/>
    <w:rsid w:val="00EA4248"/>
    <w:rsid w:val="00EA57CA"/>
    <w:rsid w:val="00EA63E6"/>
    <w:rsid w:val="00EB1356"/>
    <w:rsid w:val="00EB20BC"/>
    <w:rsid w:val="00EB3950"/>
    <w:rsid w:val="00EB3BC5"/>
    <w:rsid w:val="00EB4B08"/>
    <w:rsid w:val="00EC48D6"/>
    <w:rsid w:val="00EC7BDB"/>
    <w:rsid w:val="00ED0A86"/>
    <w:rsid w:val="00ED31B5"/>
    <w:rsid w:val="00ED57F8"/>
    <w:rsid w:val="00ED5944"/>
    <w:rsid w:val="00EE0537"/>
    <w:rsid w:val="00EE13F0"/>
    <w:rsid w:val="00EE6C0C"/>
    <w:rsid w:val="00EE727C"/>
    <w:rsid w:val="00EE7594"/>
    <w:rsid w:val="00EF119F"/>
    <w:rsid w:val="00EF3A8C"/>
    <w:rsid w:val="00EF4D83"/>
    <w:rsid w:val="00EF5DB8"/>
    <w:rsid w:val="00EF7AFB"/>
    <w:rsid w:val="00EF7CE3"/>
    <w:rsid w:val="00F048B8"/>
    <w:rsid w:val="00F049DB"/>
    <w:rsid w:val="00F13822"/>
    <w:rsid w:val="00F15974"/>
    <w:rsid w:val="00F223D7"/>
    <w:rsid w:val="00F25650"/>
    <w:rsid w:val="00F25D0D"/>
    <w:rsid w:val="00F25D32"/>
    <w:rsid w:val="00F2720A"/>
    <w:rsid w:val="00F305E3"/>
    <w:rsid w:val="00F317DD"/>
    <w:rsid w:val="00F33295"/>
    <w:rsid w:val="00F41886"/>
    <w:rsid w:val="00F47428"/>
    <w:rsid w:val="00F51C94"/>
    <w:rsid w:val="00F52DD5"/>
    <w:rsid w:val="00F53227"/>
    <w:rsid w:val="00F560E6"/>
    <w:rsid w:val="00F5652C"/>
    <w:rsid w:val="00F61A6B"/>
    <w:rsid w:val="00F61ACE"/>
    <w:rsid w:val="00F624D2"/>
    <w:rsid w:val="00F637E3"/>
    <w:rsid w:val="00F646F1"/>
    <w:rsid w:val="00F67D6C"/>
    <w:rsid w:val="00F72FA2"/>
    <w:rsid w:val="00F73662"/>
    <w:rsid w:val="00F73DC9"/>
    <w:rsid w:val="00F76B24"/>
    <w:rsid w:val="00F7792A"/>
    <w:rsid w:val="00F815A4"/>
    <w:rsid w:val="00F84226"/>
    <w:rsid w:val="00F86A5B"/>
    <w:rsid w:val="00F87EE0"/>
    <w:rsid w:val="00F93CC3"/>
    <w:rsid w:val="00F956BC"/>
    <w:rsid w:val="00F959EB"/>
    <w:rsid w:val="00F9750F"/>
    <w:rsid w:val="00FA1356"/>
    <w:rsid w:val="00FA2C31"/>
    <w:rsid w:val="00FA46CF"/>
    <w:rsid w:val="00FA54EA"/>
    <w:rsid w:val="00FB3118"/>
    <w:rsid w:val="00FC2506"/>
    <w:rsid w:val="00FD4301"/>
    <w:rsid w:val="00FD4E84"/>
    <w:rsid w:val="00FD524C"/>
    <w:rsid w:val="00FD79D1"/>
    <w:rsid w:val="00FE13E3"/>
    <w:rsid w:val="00FE1F52"/>
    <w:rsid w:val="00FE4BA8"/>
    <w:rsid w:val="00FE5D86"/>
    <w:rsid w:val="00FF056F"/>
    <w:rsid w:val="00FF310C"/>
    <w:rsid w:val="00FF437D"/>
    <w:rsid w:val="00FF6F90"/>
    <w:rsid w:val="00FF7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DB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D2DB2"/>
    <w:pPr>
      <w:widowControl w:val="0"/>
      <w:autoSpaceDE w:val="0"/>
      <w:autoSpaceDN w:val="0"/>
      <w:jc w:val="center"/>
    </w:pPr>
    <w:rPr>
      <w:b/>
      <w:bCs/>
      <w:sz w:val="26"/>
      <w:szCs w:val="26"/>
    </w:rPr>
  </w:style>
  <w:style w:type="paragraph" w:customStyle="1" w:styleId="TxBrp7">
    <w:name w:val="TxBr_p7"/>
    <w:basedOn w:val="Normal"/>
    <w:rsid w:val="00A24DDF"/>
    <w:pPr>
      <w:widowControl w:val="0"/>
      <w:tabs>
        <w:tab w:val="left" w:pos="600"/>
        <w:tab w:val="left" w:pos="1031"/>
      </w:tabs>
      <w:autoSpaceDE w:val="0"/>
      <w:autoSpaceDN w:val="0"/>
      <w:adjustRightInd w:val="0"/>
      <w:spacing w:line="249" w:lineRule="atLeast"/>
      <w:ind w:left="1031" w:hanging="430"/>
    </w:pPr>
    <w:rPr>
      <w:szCs w:val="24"/>
    </w:rPr>
  </w:style>
  <w:style w:type="paragraph" w:customStyle="1" w:styleId="TxBrp8">
    <w:name w:val="TxBr_p8"/>
    <w:basedOn w:val="Normal"/>
    <w:rsid w:val="00A24DDF"/>
    <w:pPr>
      <w:widowControl w:val="0"/>
      <w:tabs>
        <w:tab w:val="left" w:pos="844"/>
      </w:tabs>
      <w:autoSpaceDE w:val="0"/>
      <w:autoSpaceDN w:val="0"/>
      <w:adjustRightInd w:val="0"/>
      <w:spacing w:line="249" w:lineRule="atLeast"/>
      <w:ind w:left="5"/>
    </w:pPr>
    <w:rPr>
      <w:szCs w:val="24"/>
    </w:rPr>
  </w:style>
  <w:style w:type="paragraph" w:customStyle="1" w:styleId="TxBrp10">
    <w:name w:val="TxBr_p10"/>
    <w:basedOn w:val="Normal"/>
    <w:rsid w:val="00A24DDF"/>
    <w:pPr>
      <w:widowControl w:val="0"/>
      <w:tabs>
        <w:tab w:val="left" w:pos="600"/>
      </w:tabs>
      <w:autoSpaceDE w:val="0"/>
      <w:autoSpaceDN w:val="0"/>
      <w:adjustRightInd w:val="0"/>
      <w:spacing w:line="249" w:lineRule="atLeast"/>
      <w:ind w:left="238"/>
    </w:pPr>
    <w:rPr>
      <w:szCs w:val="24"/>
    </w:rPr>
  </w:style>
  <w:style w:type="paragraph" w:customStyle="1" w:styleId="TxBrp11">
    <w:name w:val="TxBr_p11"/>
    <w:basedOn w:val="Normal"/>
    <w:rsid w:val="00A24DDF"/>
    <w:pPr>
      <w:widowControl w:val="0"/>
      <w:tabs>
        <w:tab w:val="left" w:pos="1031"/>
      </w:tabs>
      <w:autoSpaceDE w:val="0"/>
      <w:autoSpaceDN w:val="0"/>
      <w:adjustRightInd w:val="0"/>
      <w:spacing w:line="249" w:lineRule="atLeast"/>
      <w:ind w:left="192"/>
    </w:pPr>
    <w:rPr>
      <w:szCs w:val="24"/>
    </w:rPr>
  </w:style>
  <w:style w:type="paragraph" w:customStyle="1" w:styleId="TxBrp12">
    <w:name w:val="TxBr_p12"/>
    <w:basedOn w:val="Normal"/>
    <w:rsid w:val="00A24DDF"/>
    <w:pPr>
      <w:widowControl w:val="0"/>
      <w:tabs>
        <w:tab w:val="left" w:pos="600"/>
        <w:tab w:val="left" w:pos="844"/>
      </w:tabs>
      <w:autoSpaceDE w:val="0"/>
      <w:autoSpaceDN w:val="0"/>
      <w:adjustRightInd w:val="0"/>
      <w:spacing w:line="249" w:lineRule="atLeast"/>
      <w:ind w:left="844" w:hanging="243"/>
    </w:pPr>
    <w:rPr>
      <w:szCs w:val="24"/>
    </w:rPr>
  </w:style>
  <w:style w:type="paragraph" w:customStyle="1" w:styleId="TxBrc13">
    <w:name w:val="TxBr_c13"/>
    <w:basedOn w:val="Normal"/>
    <w:rsid w:val="00A24DDF"/>
    <w:pPr>
      <w:widowControl w:val="0"/>
      <w:autoSpaceDE w:val="0"/>
      <w:autoSpaceDN w:val="0"/>
      <w:adjustRightInd w:val="0"/>
      <w:spacing w:line="240" w:lineRule="atLeast"/>
      <w:jc w:val="center"/>
    </w:pPr>
    <w:rPr>
      <w:szCs w:val="24"/>
    </w:rPr>
  </w:style>
  <w:style w:type="paragraph" w:customStyle="1" w:styleId="TxBrp14">
    <w:name w:val="TxBr_p14"/>
    <w:basedOn w:val="Normal"/>
    <w:rsid w:val="00A24DDF"/>
    <w:pPr>
      <w:widowControl w:val="0"/>
      <w:tabs>
        <w:tab w:val="left" w:pos="1269"/>
      </w:tabs>
      <w:autoSpaceDE w:val="0"/>
      <w:autoSpaceDN w:val="0"/>
      <w:adjustRightInd w:val="0"/>
      <w:spacing w:line="240" w:lineRule="atLeast"/>
      <w:ind w:left="430"/>
    </w:pPr>
    <w:rPr>
      <w:szCs w:val="24"/>
    </w:rPr>
  </w:style>
  <w:style w:type="paragraph" w:styleId="BalloonText">
    <w:name w:val="Balloon Text"/>
    <w:basedOn w:val="Normal"/>
    <w:semiHidden/>
    <w:rsid w:val="002F7E1F"/>
    <w:rPr>
      <w:rFonts w:ascii="Tahoma" w:hAnsi="Tahoma" w:cs="Tahoma"/>
      <w:sz w:val="16"/>
      <w:szCs w:val="16"/>
    </w:rPr>
  </w:style>
  <w:style w:type="paragraph" w:customStyle="1" w:styleId="ParaTab1">
    <w:name w:val="ParaTab 1"/>
    <w:rsid w:val="00AD7CFA"/>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9A2D29"/>
    <w:pPr>
      <w:tabs>
        <w:tab w:val="center" w:pos="4320"/>
        <w:tab w:val="right" w:pos="8640"/>
      </w:tabs>
    </w:pPr>
  </w:style>
  <w:style w:type="character" w:styleId="PageNumber">
    <w:name w:val="page number"/>
    <w:basedOn w:val="DefaultParagraphFont"/>
    <w:rsid w:val="009A2D29"/>
  </w:style>
  <w:style w:type="paragraph" w:styleId="Header">
    <w:name w:val="header"/>
    <w:basedOn w:val="Normal"/>
    <w:rsid w:val="009A2D29"/>
    <w:pPr>
      <w:tabs>
        <w:tab w:val="center" w:pos="4320"/>
        <w:tab w:val="right" w:pos="8640"/>
      </w:tabs>
    </w:pPr>
  </w:style>
  <w:style w:type="paragraph" w:styleId="DocumentMap">
    <w:name w:val="Document Map"/>
    <w:basedOn w:val="Normal"/>
    <w:semiHidden/>
    <w:rsid w:val="00211604"/>
    <w:pPr>
      <w:shd w:val="clear" w:color="auto" w:fill="000080"/>
    </w:pPr>
    <w:rPr>
      <w:rFonts w:ascii="Tahoma" w:hAnsi="Tahoma" w:cs="Tahoma"/>
      <w:sz w:val="20"/>
    </w:rPr>
  </w:style>
  <w:style w:type="paragraph" w:styleId="NormalWeb">
    <w:name w:val="Normal (Web)"/>
    <w:basedOn w:val="Normal"/>
    <w:uiPriority w:val="99"/>
    <w:unhideWhenUsed/>
    <w:rsid w:val="00367525"/>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DB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D2DB2"/>
    <w:pPr>
      <w:widowControl w:val="0"/>
      <w:autoSpaceDE w:val="0"/>
      <w:autoSpaceDN w:val="0"/>
      <w:jc w:val="center"/>
    </w:pPr>
    <w:rPr>
      <w:b/>
      <w:bCs/>
      <w:sz w:val="26"/>
      <w:szCs w:val="26"/>
    </w:rPr>
  </w:style>
  <w:style w:type="paragraph" w:customStyle="1" w:styleId="TxBrp7">
    <w:name w:val="TxBr_p7"/>
    <w:basedOn w:val="Normal"/>
    <w:rsid w:val="00A24DDF"/>
    <w:pPr>
      <w:widowControl w:val="0"/>
      <w:tabs>
        <w:tab w:val="left" w:pos="600"/>
        <w:tab w:val="left" w:pos="1031"/>
      </w:tabs>
      <w:autoSpaceDE w:val="0"/>
      <w:autoSpaceDN w:val="0"/>
      <w:adjustRightInd w:val="0"/>
      <w:spacing w:line="249" w:lineRule="atLeast"/>
      <w:ind w:left="1031" w:hanging="430"/>
    </w:pPr>
    <w:rPr>
      <w:szCs w:val="24"/>
    </w:rPr>
  </w:style>
  <w:style w:type="paragraph" w:customStyle="1" w:styleId="TxBrp8">
    <w:name w:val="TxBr_p8"/>
    <w:basedOn w:val="Normal"/>
    <w:rsid w:val="00A24DDF"/>
    <w:pPr>
      <w:widowControl w:val="0"/>
      <w:tabs>
        <w:tab w:val="left" w:pos="844"/>
      </w:tabs>
      <w:autoSpaceDE w:val="0"/>
      <w:autoSpaceDN w:val="0"/>
      <w:adjustRightInd w:val="0"/>
      <w:spacing w:line="249" w:lineRule="atLeast"/>
      <w:ind w:left="5"/>
    </w:pPr>
    <w:rPr>
      <w:szCs w:val="24"/>
    </w:rPr>
  </w:style>
  <w:style w:type="paragraph" w:customStyle="1" w:styleId="TxBrp10">
    <w:name w:val="TxBr_p10"/>
    <w:basedOn w:val="Normal"/>
    <w:rsid w:val="00A24DDF"/>
    <w:pPr>
      <w:widowControl w:val="0"/>
      <w:tabs>
        <w:tab w:val="left" w:pos="600"/>
      </w:tabs>
      <w:autoSpaceDE w:val="0"/>
      <w:autoSpaceDN w:val="0"/>
      <w:adjustRightInd w:val="0"/>
      <w:spacing w:line="249" w:lineRule="atLeast"/>
      <w:ind w:left="238"/>
    </w:pPr>
    <w:rPr>
      <w:szCs w:val="24"/>
    </w:rPr>
  </w:style>
  <w:style w:type="paragraph" w:customStyle="1" w:styleId="TxBrp11">
    <w:name w:val="TxBr_p11"/>
    <w:basedOn w:val="Normal"/>
    <w:rsid w:val="00A24DDF"/>
    <w:pPr>
      <w:widowControl w:val="0"/>
      <w:tabs>
        <w:tab w:val="left" w:pos="1031"/>
      </w:tabs>
      <w:autoSpaceDE w:val="0"/>
      <w:autoSpaceDN w:val="0"/>
      <w:adjustRightInd w:val="0"/>
      <w:spacing w:line="249" w:lineRule="atLeast"/>
      <w:ind w:left="192"/>
    </w:pPr>
    <w:rPr>
      <w:szCs w:val="24"/>
    </w:rPr>
  </w:style>
  <w:style w:type="paragraph" w:customStyle="1" w:styleId="TxBrp12">
    <w:name w:val="TxBr_p12"/>
    <w:basedOn w:val="Normal"/>
    <w:rsid w:val="00A24DDF"/>
    <w:pPr>
      <w:widowControl w:val="0"/>
      <w:tabs>
        <w:tab w:val="left" w:pos="600"/>
        <w:tab w:val="left" w:pos="844"/>
      </w:tabs>
      <w:autoSpaceDE w:val="0"/>
      <w:autoSpaceDN w:val="0"/>
      <w:adjustRightInd w:val="0"/>
      <w:spacing w:line="249" w:lineRule="atLeast"/>
      <w:ind w:left="844" w:hanging="243"/>
    </w:pPr>
    <w:rPr>
      <w:szCs w:val="24"/>
    </w:rPr>
  </w:style>
  <w:style w:type="paragraph" w:customStyle="1" w:styleId="TxBrc13">
    <w:name w:val="TxBr_c13"/>
    <w:basedOn w:val="Normal"/>
    <w:rsid w:val="00A24DDF"/>
    <w:pPr>
      <w:widowControl w:val="0"/>
      <w:autoSpaceDE w:val="0"/>
      <w:autoSpaceDN w:val="0"/>
      <w:adjustRightInd w:val="0"/>
      <w:spacing w:line="240" w:lineRule="atLeast"/>
      <w:jc w:val="center"/>
    </w:pPr>
    <w:rPr>
      <w:szCs w:val="24"/>
    </w:rPr>
  </w:style>
  <w:style w:type="paragraph" w:customStyle="1" w:styleId="TxBrp14">
    <w:name w:val="TxBr_p14"/>
    <w:basedOn w:val="Normal"/>
    <w:rsid w:val="00A24DDF"/>
    <w:pPr>
      <w:widowControl w:val="0"/>
      <w:tabs>
        <w:tab w:val="left" w:pos="1269"/>
      </w:tabs>
      <w:autoSpaceDE w:val="0"/>
      <w:autoSpaceDN w:val="0"/>
      <w:adjustRightInd w:val="0"/>
      <w:spacing w:line="240" w:lineRule="atLeast"/>
      <w:ind w:left="430"/>
    </w:pPr>
    <w:rPr>
      <w:szCs w:val="24"/>
    </w:rPr>
  </w:style>
  <w:style w:type="paragraph" w:styleId="BalloonText">
    <w:name w:val="Balloon Text"/>
    <w:basedOn w:val="Normal"/>
    <w:semiHidden/>
    <w:rsid w:val="002F7E1F"/>
    <w:rPr>
      <w:rFonts w:ascii="Tahoma" w:hAnsi="Tahoma" w:cs="Tahoma"/>
      <w:sz w:val="16"/>
      <w:szCs w:val="16"/>
    </w:rPr>
  </w:style>
  <w:style w:type="paragraph" w:customStyle="1" w:styleId="ParaTab1">
    <w:name w:val="ParaTab 1"/>
    <w:rsid w:val="00AD7CFA"/>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9A2D29"/>
    <w:pPr>
      <w:tabs>
        <w:tab w:val="center" w:pos="4320"/>
        <w:tab w:val="right" w:pos="8640"/>
      </w:tabs>
    </w:pPr>
  </w:style>
  <w:style w:type="character" w:styleId="PageNumber">
    <w:name w:val="page number"/>
    <w:basedOn w:val="DefaultParagraphFont"/>
    <w:rsid w:val="009A2D29"/>
  </w:style>
  <w:style w:type="paragraph" w:styleId="Header">
    <w:name w:val="header"/>
    <w:basedOn w:val="Normal"/>
    <w:rsid w:val="009A2D29"/>
    <w:pPr>
      <w:tabs>
        <w:tab w:val="center" w:pos="4320"/>
        <w:tab w:val="right" w:pos="8640"/>
      </w:tabs>
    </w:pPr>
  </w:style>
  <w:style w:type="paragraph" w:styleId="DocumentMap">
    <w:name w:val="Document Map"/>
    <w:basedOn w:val="Normal"/>
    <w:semiHidden/>
    <w:rsid w:val="00211604"/>
    <w:pPr>
      <w:shd w:val="clear" w:color="auto" w:fill="000080"/>
    </w:pPr>
    <w:rPr>
      <w:rFonts w:ascii="Tahoma" w:hAnsi="Tahoma" w:cs="Tahoma"/>
      <w:sz w:val="20"/>
    </w:rPr>
  </w:style>
  <w:style w:type="paragraph" w:styleId="NormalWeb">
    <w:name w:val="Normal (Web)"/>
    <w:basedOn w:val="Normal"/>
    <w:uiPriority w:val="99"/>
    <w:unhideWhenUsed/>
    <w:rsid w:val="00367525"/>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515331">
      <w:bodyDiv w:val="1"/>
      <w:marLeft w:val="0"/>
      <w:marRight w:val="0"/>
      <w:marTop w:val="0"/>
      <w:marBottom w:val="0"/>
      <w:divBdr>
        <w:top w:val="none" w:sz="0" w:space="0" w:color="auto"/>
        <w:left w:val="none" w:sz="0" w:space="0" w:color="auto"/>
        <w:bottom w:val="none" w:sz="0" w:space="0" w:color="auto"/>
        <w:right w:val="none" w:sz="0" w:space="0" w:color="auto"/>
      </w:divBdr>
      <w:divsChild>
        <w:div w:id="923874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65030-99E0-4099-96B5-7637B458D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6052</Words>
  <Characters>34501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40473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2014-08-27T17:44:00Z</cp:lastPrinted>
  <dcterms:created xsi:type="dcterms:W3CDTF">2014-08-27T15:49:00Z</dcterms:created>
  <dcterms:modified xsi:type="dcterms:W3CDTF">2014-08-27T17:53:00Z</dcterms:modified>
</cp:coreProperties>
</file>