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BF0" w:rsidRDefault="00BA1BF0" w:rsidP="00BA1BF0">
      <w:pPr>
        <w:spacing w:line="240" w:lineRule="auto"/>
        <w:rPr>
          <w:b/>
        </w:rPr>
      </w:pPr>
      <w:r>
        <w:rPr>
          <w:b/>
        </w:rPr>
        <w:t>BEFORE THE</w:t>
      </w:r>
    </w:p>
    <w:p w:rsidR="00BA1BF0" w:rsidRDefault="00BA1BF0" w:rsidP="00BA1BF0">
      <w:pPr>
        <w:spacing w:line="240" w:lineRule="auto"/>
        <w:rPr>
          <w:b/>
        </w:rPr>
      </w:pPr>
      <w:r>
        <w:rPr>
          <w:b/>
        </w:rPr>
        <w:t>PENNSYLVANIA PUBLIC UTILITY COMMISSION</w:t>
      </w:r>
    </w:p>
    <w:p w:rsidR="00BA1BF0" w:rsidRDefault="00BA1BF0" w:rsidP="00BA1BF0">
      <w:pPr>
        <w:spacing w:line="240" w:lineRule="auto"/>
        <w:rPr>
          <w:b/>
        </w:rPr>
      </w:pPr>
    </w:p>
    <w:p w:rsidR="00BA1BF0" w:rsidRDefault="00BA1BF0" w:rsidP="00BA1BF0">
      <w:pPr>
        <w:spacing w:line="240" w:lineRule="auto"/>
        <w:rPr>
          <w:b/>
        </w:rPr>
      </w:pPr>
    </w:p>
    <w:p w:rsidR="00BA1BF0" w:rsidRDefault="00BA1BF0" w:rsidP="00BA1BF0">
      <w:pPr>
        <w:spacing w:line="240" w:lineRule="auto"/>
        <w:jc w:val="left"/>
      </w:pPr>
      <w:r>
        <w:t xml:space="preserve">Ann </w:t>
      </w:r>
      <w:proofErr w:type="spellStart"/>
      <w:r>
        <w:t>Castaneira</w:t>
      </w:r>
      <w:proofErr w:type="spellEnd"/>
      <w:r>
        <w:tab/>
      </w:r>
      <w:r>
        <w:tab/>
      </w:r>
      <w:r>
        <w:tab/>
      </w:r>
      <w:r>
        <w:tab/>
        <w:t>:</w:t>
      </w:r>
    </w:p>
    <w:p w:rsidR="00BA1BF0" w:rsidRDefault="00BA1BF0" w:rsidP="00BA1BF0">
      <w:pPr>
        <w:spacing w:line="240" w:lineRule="auto"/>
        <w:jc w:val="left"/>
      </w:pPr>
      <w:r>
        <w:tab/>
      </w:r>
      <w:r>
        <w:tab/>
      </w:r>
      <w:r>
        <w:tab/>
      </w:r>
      <w:r>
        <w:tab/>
      </w:r>
      <w:r>
        <w:tab/>
      </w:r>
      <w:r>
        <w:tab/>
        <w:t>:</w:t>
      </w:r>
    </w:p>
    <w:p w:rsidR="00BA1BF0" w:rsidRDefault="00BA1BF0" w:rsidP="00BA1BF0">
      <w:pPr>
        <w:spacing w:line="240" w:lineRule="auto"/>
        <w:jc w:val="left"/>
      </w:pPr>
      <w:r>
        <w:tab/>
        <w:t>v.</w:t>
      </w:r>
      <w:r>
        <w:tab/>
      </w:r>
      <w:r>
        <w:tab/>
      </w:r>
      <w:r>
        <w:tab/>
      </w:r>
      <w:r>
        <w:tab/>
      </w:r>
      <w:r>
        <w:tab/>
        <w:t>:</w:t>
      </w:r>
      <w:r>
        <w:tab/>
      </w:r>
      <w:r>
        <w:tab/>
      </w:r>
      <w:r>
        <w:tab/>
      </w:r>
      <w:r>
        <w:tab/>
        <w:t>F-2014-2404158</w:t>
      </w:r>
    </w:p>
    <w:p w:rsidR="00BA1BF0" w:rsidRDefault="00BA1BF0" w:rsidP="00BA1BF0">
      <w:pPr>
        <w:spacing w:line="240" w:lineRule="auto"/>
        <w:jc w:val="left"/>
      </w:pPr>
      <w:r>
        <w:tab/>
      </w:r>
      <w:r>
        <w:tab/>
      </w:r>
      <w:r>
        <w:tab/>
      </w:r>
      <w:r>
        <w:tab/>
      </w:r>
      <w:r>
        <w:tab/>
      </w:r>
      <w:r>
        <w:tab/>
        <w:t>:</w:t>
      </w:r>
    </w:p>
    <w:p w:rsidR="00BA1BF0" w:rsidRDefault="00BA1BF0" w:rsidP="00BA1BF0">
      <w:pPr>
        <w:spacing w:line="240" w:lineRule="auto"/>
        <w:jc w:val="left"/>
      </w:pPr>
      <w:r>
        <w:t>PPL Electric Utilities Corporation</w:t>
      </w:r>
      <w:r>
        <w:tab/>
      </w:r>
      <w:r>
        <w:tab/>
        <w:t>:</w:t>
      </w:r>
    </w:p>
    <w:p w:rsidR="00BA1BF0" w:rsidRDefault="00BA1BF0" w:rsidP="00BA1BF0">
      <w:pPr>
        <w:spacing w:line="240" w:lineRule="auto"/>
        <w:jc w:val="left"/>
      </w:pPr>
    </w:p>
    <w:p w:rsidR="00BA1BF0" w:rsidRDefault="00BA1BF0" w:rsidP="00BA1BF0">
      <w:pPr>
        <w:spacing w:line="240" w:lineRule="auto"/>
        <w:jc w:val="left"/>
      </w:pPr>
    </w:p>
    <w:p w:rsidR="00BA1BF0" w:rsidRDefault="00BA1BF0" w:rsidP="00BA1BF0">
      <w:pPr>
        <w:spacing w:line="240" w:lineRule="auto"/>
        <w:rPr>
          <w:b/>
        </w:rPr>
      </w:pPr>
      <w:r>
        <w:rPr>
          <w:b/>
        </w:rPr>
        <w:t>ORDER HOLDING THE RECORD OPEN FOR SIXTY DAYS</w:t>
      </w:r>
    </w:p>
    <w:p w:rsidR="00BA1BF0" w:rsidRDefault="00BA1BF0" w:rsidP="00BA1BF0">
      <w:pPr>
        <w:spacing w:line="240" w:lineRule="auto"/>
      </w:pPr>
    </w:p>
    <w:p w:rsidR="00BA1BF0" w:rsidRDefault="00BA1BF0" w:rsidP="00BA1BF0">
      <w:pPr>
        <w:spacing w:line="240" w:lineRule="auto"/>
        <w:jc w:val="left"/>
      </w:pPr>
    </w:p>
    <w:p w:rsidR="00BA1BF0" w:rsidRDefault="00BA1BF0" w:rsidP="00BA1BF0">
      <w:pPr>
        <w:jc w:val="left"/>
      </w:pPr>
      <w:r>
        <w:tab/>
      </w:r>
      <w:r>
        <w:tab/>
        <w:t xml:space="preserve">On January 28, 2014, Ann </w:t>
      </w:r>
      <w:proofErr w:type="spellStart"/>
      <w:r>
        <w:t>Castaneira</w:t>
      </w:r>
      <w:proofErr w:type="spellEnd"/>
      <w:r>
        <w:t xml:space="preserve"> (Complainant) filed a formal Complaint which stated that she had a file with over 1 ½ inches of documentation against PPL Electric Utilities Corporation (PPL or Respondent or utility), although none of it was attached to the Complaint.  The Complaint requests accurate billing, refund of billing overcharges, and investigation of process.</w:t>
      </w:r>
    </w:p>
    <w:p w:rsidR="00BA1BF0" w:rsidRDefault="00BA1BF0" w:rsidP="00BA1BF0">
      <w:pPr>
        <w:jc w:val="left"/>
      </w:pPr>
    </w:p>
    <w:p w:rsidR="00BA1BF0" w:rsidRDefault="00BA1BF0" w:rsidP="00BA1BF0">
      <w:pPr>
        <w:jc w:val="left"/>
      </w:pPr>
      <w:r>
        <w:tab/>
      </w:r>
      <w:r>
        <w:tab/>
        <w:t xml:space="preserve">On February 25, 2014, PPL filed its Answer denying incorrect billing and stated that a Company investigation revealed that the residence is 3,066 square feet and includes a swimming pool, an outdoor hot tub with a 9,000 watt heater, two working air conditioners, a dehumidifier and two water heaters.  </w:t>
      </w:r>
      <w:proofErr w:type="gramStart"/>
      <w:r>
        <w:t>The meter test resulting in a finding of 100.0% accuracy.</w:t>
      </w:r>
      <w:proofErr w:type="gramEnd"/>
      <w:r>
        <w:t xml:space="preserve">  On August 30, 2013, a PPL support engineer spoke with Complainant and advised that the hot tub should be serviced or turned off.</w:t>
      </w:r>
    </w:p>
    <w:p w:rsidR="00BA1BF0" w:rsidRDefault="00BA1BF0" w:rsidP="00BA1BF0">
      <w:pPr>
        <w:jc w:val="left"/>
      </w:pPr>
    </w:p>
    <w:p w:rsidR="00BA1BF0" w:rsidRDefault="00BA1BF0" w:rsidP="00BA1BF0">
      <w:pPr>
        <w:jc w:val="left"/>
      </w:pPr>
      <w:r>
        <w:tab/>
      </w:r>
      <w:r>
        <w:tab/>
        <w:t xml:space="preserve">On March 4, 2014, by Corrected Hearing Notice, an initial in-person hearing was set for Monday, April 14, 2014, and the matter was assigned to Administrative Law Judge Kandace F. Melillo.  ALJ Melillo issued a prehearing order on March 4, 2014, which set forth some of the requirements for a formal proceeding before the Commission.  </w:t>
      </w:r>
    </w:p>
    <w:p w:rsidR="00BA1BF0" w:rsidRDefault="00BA1BF0" w:rsidP="00BA1BF0">
      <w:pPr>
        <w:jc w:val="left"/>
      </w:pPr>
    </w:p>
    <w:p w:rsidR="00BA1BF0" w:rsidRDefault="00BA1BF0" w:rsidP="00BA1BF0">
      <w:pPr>
        <w:jc w:val="left"/>
      </w:pPr>
      <w:r>
        <w:tab/>
      </w:r>
      <w:r>
        <w:tab/>
        <w:t>Pursuant to a request from Complainant dated April 9, 2014, the matter was continued by Order issued April 10, 2014, to facilitate settlement negotiations.   By Order issued May 13, 2014, ALJ Melillo granted an additional 30-day continuance providing that the matter would be rescheduled for hearing if no certificate of satisfaction were filed within that time.</w:t>
      </w:r>
    </w:p>
    <w:p w:rsidR="00BA1BF0" w:rsidRDefault="00BA1BF0" w:rsidP="00BA1BF0">
      <w:pPr>
        <w:jc w:val="left"/>
      </w:pPr>
    </w:p>
    <w:p w:rsidR="00BA1BF0" w:rsidRDefault="00BA1BF0" w:rsidP="00BA1BF0">
      <w:pPr>
        <w:jc w:val="left"/>
      </w:pPr>
      <w:r>
        <w:tab/>
      </w:r>
      <w:r>
        <w:tab/>
        <w:t>The 30-day deadline, June 13, 2014, has passed and no further communication was received by either party.</w:t>
      </w:r>
    </w:p>
    <w:p w:rsidR="00BA1BF0" w:rsidRDefault="00BA1BF0" w:rsidP="00BA1BF0">
      <w:pPr>
        <w:jc w:val="left"/>
      </w:pPr>
    </w:p>
    <w:p w:rsidR="00BA1BF0" w:rsidRDefault="00BA1BF0" w:rsidP="00BA1BF0">
      <w:pPr>
        <w:jc w:val="left"/>
      </w:pPr>
      <w:r>
        <w:tab/>
      </w:r>
      <w:r>
        <w:tab/>
        <w:t>On June 26, 2014, by Judge Change Notice, the matter was reassigned to me.</w:t>
      </w:r>
    </w:p>
    <w:p w:rsidR="00BA1BF0" w:rsidRDefault="00BA1BF0" w:rsidP="00BA1BF0">
      <w:pPr>
        <w:jc w:val="left"/>
      </w:pPr>
    </w:p>
    <w:p w:rsidR="00BA1BF0" w:rsidRDefault="00BA1BF0" w:rsidP="00BA1BF0">
      <w:pPr>
        <w:jc w:val="left"/>
      </w:pPr>
      <w:r>
        <w:tab/>
      </w:r>
      <w:r>
        <w:tab/>
        <w:t>By Order issued June 26, 2014, the parties were directed to discuss and agree upon THREE dates for the rescheduled hearing, and by notice issued</w:t>
      </w:r>
      <w:r w:rsidR="00DB5270">
        <w:t xml:space="preserve"> </w:t>
      </w:r>
      <w:r>
        <w:t>July 15, 2014, the evidentiary hearing was rescheduled for Thursday, September 4, 2014.</w:t>
      </w:r>
    </w:p>
    <w:p w:rsidR="00BA1BF0" w:rsidRDefault="00BA1BF0" w:rsidP="00BA1BF0">
      <w:pPr>
        <w:jc w:val="left"/>
      </w:pPr>
    </w:p>
    <w:p w:rsidR="00DB5270" w:rsidRDefault="00BA1BF0" w:rsidP="00BA1BF0">
      <w:pPr>
        <w:jc w:val="left"/>
      </w:pPr>
      <w:r>
        <w:tab/>
      </w:r>
      <w:r>
        <w:tab/>
        <w:t>The hearing was held as scheduled</w:t>
      </w:r>
      <w:r w:rsidR="00CF082B">
        <w:t xml:space="preserve">.  Complainant and her husband, Ian </w:t>
      </w:r>
      <w:proofErr w:type="spellStart"/>
      <w:r w:rsidR="00CF082B">
        <w:t>Castaneira</w:t>
      </w:r>
      <w:proofErr w:type="spellEnd"/>
      <w:r w:rsidR="00CF082B">
        <w:t xml:space="preserve"> (collectively "Complainants") represented themselves, and Kimberly G. Krupka, Esq., represented Respondent.  Complainants sponsored eleven exhibits.  PPL presented three witnesses who sponsored seven exhibits, including several with multiple parts.  At the end of the hearing, Complainants expressed their frustration with their inability to engage counsel to aid in their case preparation and presentation</w:t>
      </w:r>
      <w:r w:rsidR="00DB5270">
        <w:t>, specifically the limitations of the Widener Law School Clinic because of the school semesters</w:t>
      </w:r>
      <w:r w:rsidR="00CF082B">
        <w:t xml:space="preserve">. </w:t>
      </w:r>
    </w:p>
    <w:p w:rsidR="00DB5270" w:rsidRDefault="00DB5270" w:rsidP="00BA1BF0">
      <w:pPr>
        <w:jc w:val="left"/>
      </w:pPr>
    </w:p>
    <w:p w:rsidR="0086776F" w:rsidRDefault="00DB5270" w:rsidP="00BA1BF0">
      <w:pPr>
        <w:jc w:val="left"/>
      </w:pPr>
      <w:r>
        <w:tab/>
      </w:r>
      <w:r>
        <w:tab/>
      </w:r>
      <w:r w:rsidR="00CF082B">
        <w:t xml:space="preserve">In the interest of due process, the record in this matter will be held open for an additional period of approximately 60 days.  </w:t>
      </w:r>
      <w:r w:rsidR="0086776F">
        <w:t>This period is intended to give</w:t>
      </w:r>
      <w:r w:rsidR="00CF082B">
        <w:t xml:space="preserve"> Complainants ample opportunity to </w:t>
      </w:r>
      <w:r w:rsidR="0086776F">
        <w:t xml:space="preserve">decide whether to </w:t>
      </w:r>
      <w:r w:rsidR="00CF082B">
        <w:t xml:space="preserve">engage counsel, to evaluate whether their case would benefit from the presentation of expert testimony or additional evidence </w:t>
      </w:r>
      <w:r w:rsidR="00CF082B" w:rsidRPr="00DB5270">
        <w:t>which shows that the Respondent is responsible for the situation which exists at the Complainants' residence</w:t>
      </w:r>
      <w:r w:rsidR="00CF082B" w:rsidRPr="0086776F">
        <w:rPr>
          <w:i/>
        </w:rPr>
        <w:t>,</w:t>
      </w:r>
      <w:r w:rsidR="00CF082B">
        <w:t xml:space="preserve"> and to engage in discovery which would aid them in reaching the determination of whether another hearing would be useful.</w:t>
      </w:r>
      <w:r w:rsidR="0086776F">
        <w:t xml:space="preserve">  Regulations regarding these possibilities appear in the Pennsylvania Code, 52 Pa.Code Chapter 5, </w:t>
      </w:r>
      <w:hyperlink r:id="rId7" w:history="1">
        <w:r w:rsidR="0086776F" w:rsidRPr="00E9639F">
          <w:rPr>
            <w:rStyle w:val="Hyperlink"/>
          </w:rPr>
          <w:t>www.pacode.com</w:t>
        </w:r>
      </w:hyperlink>
      <w:r w:rsidR="0086776F">
        <w:t xml:space="preserve">.  If, by November 7, 2014, Complainants have not requested an additional hearing, in written form served upon both the presiding officer and opposing counsel, the record will be closed, and this case will be evaluated on the record which presently exists.  </w:t>
      </w:r>
    </w:p>
    <w:p w:rsidR="00DB5270" w:rsidRDefault="00DB5270" w:rsidP="00BA1BF0">
      <w:pPr>
        <w:jc w:val="left"/>
      </w:pPr>
    </w:p>
    <w:p w:rsidR="00E56599" w:rsidRDefault="00E56599" w:rsidP="00BA1BF0">
      <w:pPr>
        <w:jc w:val="left"/>
      </w:pPr>
    </w:p>
    <w:p w:rsidR="00E56599" w:rsidRDefault="00E56599" w:rsidP="00BA1BF0">
      <w:pPr>
        <w:jc w:val="left"/>
      </w:pPr>
    </w:p>
    <w:p w:rsidR="00BA1BF0" w:rsidRDefault="00DB5270" w:rsidP="00BA1BF0">
      <w:pPr>
        <w:jc w:val="left"/>
      </w:pPr>
      <w:r>
        <w:tab/>
      </w:r>
      <w:r w:rsidR="00BA1BF0">
        <w:tab/>
        <w:t>THEREFORE,</w:t>
      </w:r>
    </w:p>
    <w:p w:rsidR="00BA1BF0" w:rsidRDefault="00BA1BF0" w:rsidP="00BA1BF0">
      <w:pPr>
        <w:jc w:val="left"/>
      </w:pPr>
    </w:p>
    <w:p w:rsidR="00BA1BF0" w:rsidRDefault="00BA1BF0" w:rsidP="00BA1BF0">
      <w:pPr>
        <w:jc w:val="left"/>
      </w:pPr>
      <w:r>
        <w:tab/>
      </w:r>
      <w:r>
        <w:tab/>
        <w:t>IT IS ORDERED:</w:t>
      </w:r>
    </w:p>
    <w:p w:rsidR="00BA1BF0" w:rsidRDefault="00BA1BF0" w:rsidP="00BA1BF0">
      <w:pPr>
        <w:jc w:val="left"/>
      </w:pPr>
    </w:p>
    <w:p w:rsidR="00BA1BF0" w:rsidRDefault="00BA1BF0" w:rsidP="00DB5270">
      <w:pPr>
        <w:jc w:val="left"/>
      </w:pPr>
      <w:r>
        <w:tab/>
      </w:r>
      <w:r>
        <w:tab/>
        <w:t>1.</w:t>
      </w:r>
      <w:r>
        <w:tab/>
        <w:t xml:space="preserve">That the </w:t>
      </w:r>
      <w:r w:rsidR="00DB5270">
        <w:t>record in this matter is held open until November 7, 2014.</w:t>
      </w:r>
    </w:p>
    <w:p w:rsidR="00DB5270" w:rsidRDefault="00DB5270" w:rsidP="00DB5270">
      <w:pPr>
        <w:jc w:val="left"/>
      </w:pPr>
    </w:p>
    <w:p w:rsidR="00DB5270" w:rsidRDefault="00DB5270" w:rsidP="00DB5270">
      <w:pPr>
        <w:jc w:val="left"/>
      </w:pPr>
      <w:r>
        <w:tab/>
      </w:r>
      <w:r>
        <w:tab/>
        <w:t>2.</w:t>
      </w:r>
      <w:r>
        <w:tab/>
        <w:t>That either party may request an additional hearing until November 7, 2014 for the introduction of new evidence.</w:t>
      </w:r>
    </w:p>
    <w:p w:rsidR="00DB5270" w:rsidRDefault="00DB5270" w:rsidP="00DB5270">
      <w:pPr>
        <w:jc w:val="left"/>
      </w:pPr>
    </w:p>
    <w:p w:rsidR="00BA1BF0" w:rsidRDefault="00DB5270" w:rsidP="00BA1BF0">
      <w:pPr>
        <w:jc w:val="left"/>
      </w:pPr>
      <w:r>
        <w:tab/>
      </w:r>
      <w:r>
        <w:tab/>
        <w:t>3.</w:t>
      </w:r>
      <w:r>
        <w:tab/>
        <w:t>That the record in this case will close on November 7, 2014 unless one or both parties either request an additional hearing or file a certificate of satisfaction.</w:t>
      </w:r>
    </w:p>
    <w:p w:rsidR="00DB5270" w:rsidRDefault="00DB5270" w:rsidP="00BA1BF0">
      <w:pPr>
        <w:jc w:val="left"/>
      </w:pPr>
    </w:p>
    <w:p w:rsidR="00DB5270" w:rsidRDefault="00DB5270" w:rsidP="00BA1BF0">
      <w:pPr>
        <w:jc w:val="left"/>
      </w:pPr>
    </w:p>
    <w:p w:rsidR="00BA1BF0" w:rsidRDefault="00BA1BF0" w:rsidP="00BA1BF0">
      <w:pPr>
        <w:spacing w:line="240" w:lineRule="auto"/>
        <w:jc w:val="left"/>
      </w:pPr>
      <w:r>
        <w:t xml:space="preserve">Dated: </w:t>
      </w:r>
      <w:r w:rsidR="00DB5270">
        <w:rPr>
          <w:u w:val="single"/>
        </w:rPr>
        <w:t xml:space="preserve">September 5, </w:t>
      </w:r>
      <w:r>
        <w:rPr>
          <w:u w:val="single"/>
        </w:rPr>
        <w:t>2014</w:t>
      </w:r>
      <w:r>
        <w:tab/>
      </w:r>
      <w:r>
        <w:tab/>
      </w:r>
      <w:r>
        <w:tab/>
      </w:r>
      <w:r>
        <w:tab/>
        <w:t xml:space="preserve">_______________________________ </w:t>
      </w:r>
    </w:p>
    <w:p w:rsidR="00BA1BF0" w:rsidRDefault="00BA1BF0" w:rsidP="00BA1BF0">
      <w:pPr>
        <w:spacing w:line="240" w:lineRule="auto"/>
        <w:jc w:val="left"/>
      </w:pPr>
      <w:r>
        <w:tab/>
      </w:r>
      <w:r>
        <w:tab/>
      </w:r>
      <w:r>
        <w:tab/>
      </w:r>
      <w:r>
        <w:tab/>
      </w:r>
      <w:r>
        <w:tab/>
      </w:r>
      <w:r>
        <w:tab/>
      </w:r>
      <w:r>
        <w:tab/>
        <w:t>Susan D. Colwell</w:t>
      </w:r>
    </w:p>
    <w:p w:rsidR="00410CDC" w:rsidRDefault="00BA1BF0" w:rsidP="00BA1BF0">
      <w:pPr>
        <w:jc w:val="left"/>
        <w:sectPr w:rsidR="00410CDC" w:rsidSect="00E56599">
          <w:footerReference w:type="default" r:id="rId8"/>
          <w:pgSz w:w="12240" w:h="15840"/>
          <w:pgMar w:top="1440" w:right="1440" w:bottom="1440" w:left="1440" w:header="720" w:footer="720" w:gutter="0"/>
          <w:cols w:space="720"/>
          <w:titlePg/>
          <w:docGrid w:linePitch="360"/>
        </w:sectPr>
      </w:pPr>
      <w:r>
        <w:tab/>
      </w:r>
      <w:r>
        <w:tab/>
      </w:r>
      <w:r>
        <w:tab/>
      </w:r>
      <w:r>
        <w:tab/>
      </w:r>
      <w:r>
        <w:tab/>
      </w:r>
      <w:r>
        <w:tab/>
      </w:r>
      <w:r>
        <w:tab/>
        <w:t>Administrative Law Jud</w:t>
      </w:r>
      <w:r w:rsidR="00E56599">
        <w:t>ge</w:t>
      </w:r>
    </w:p>
    <w:p w:rsidR="00410CDC" w:rsidRDefault="00410CDC" w:rsidP="00410CDC">
      <w:pPr>
        <w:spacing w:line="240" w:lineRule="auto"/>
        <w:contextualSpacing/>
        <w:jc w:val="left"/>
      </w:pPr>
      <w:r>
        <w:rPr>
          <w:rFonts w:ascii="Microsoft Sans Serif"/>
          <w:b/>
          <w:u w:val="single"/>
        </w:rPr>
        <w:lastRenderedPageBreak/>
        <w:t>F-2014-2404158 - ANN CASTANEIRA v. PPL ELECTRIC UTILITIES CORPORATION (</w:t>
      </w:r>
      <w:r w:rsidRPr="00E728C2">
        <w:rPr>
          <w:rFonts w:ascii="Microsoft Sans Serif"/>
          <w:b/>
          <w:i/>
          <w:u w:val="single"/>
        </w:rPr>
        <w:t>Revised 6/26/14</w:t>
      </w:r>
      <w:r>
        <w:rPr>
          <w:rFonts w:ascii="Microsoft Sans Serif"/>
          <w:b/>
          <w:u w:val="single"/>
        </w:rPr>
        <w:t>)</w:t>
      </w:r>
      <w:r>
        <w:rPr>
          <w:rFonts w:ascii="Microsoft Sans Serif"/>
          <w:b/>
          <w:u w:val="single"/>
        </w:rPr>
        <w:cr/>
      </w:r>
      <w:r>
        <w:rPr>
          <w:rFonts w:ascii="Microsoft Sans Serif"/>
          <w:b/>
          <w:u w:val="single"/>
        </w:rPr>
        <w:cr/>
      </w:r>
      <w:r>
        <w:rPr>
          <w:rFonts w:ascii="Microsoft Sans Serif"/>
        </w:rPr>
        <w:t>ANN CASTANEIRA</w:t>
      </w:r>
      <w:r>
        <w:rPr>
          <w:rFonts w:ascii="Microsoft Sans Serif"/>
        </w:rPr>
        <w:cr/>
        <w:t>320 ROSEDALE AVENUE</w:t>
      </w:r>
      <w:r>
        <w:rPr>
          <w:rFonts w:ascii="Microsoft Sans Serif"/>
        </w:rPr>
        <w:cr/>
        <w:t>HIGHSPIRE PA 17034</w:t>
      </w:r>
      <w:r>
        <w:rPr>
          <w:rFonts w:ascii="Microsoft Sans Serif"/>
        </w:rPr>
        <w:cr/>
        <w:t>717.307.1400</w:t>
      </w:r>
      <w:r>
        <w:rPr>
          <w:rFonts w:ascii="Microsoft Sans Serif"/>
        </w:rPr>
        <w:cr/>
      </w:r>
      <w:r>
        <w:rPr>
          <w:rFonts w:ascii="Microsoft Sans Serif"/>
        </w:rPr>
        <w:cr/>
      </w:r>
      <w:bookmarkStart w:id="0" w:name="_GoBack"/>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bookmarkEnd w:id="0"/>
      <w:r>
        <w:rPr>
          <w:rFonts w:ascii="Microsoft Sans Serif"/>
        </w:rPr>
        <w:cr/>
        <w:t>610.820.5450</w:t>
      </w:r>
      <w:r>
        <w:rPr>
          <w:rFonts w:ascii="Microsoft Sans Serif"/>
        </w:rPr>
        <w:cr/>
      </w:r>
    </w:p>
    <w:p w:rsidR="00410CDC" w:rsidRDefault="00410CDC" w:rsidP="00410CDC">
      <w:pPr>
        <w:spacing w:line="240" w:lineRule="auto"/>
        <w:contextualSpacing/>
        <w:jc w:val="left"/>
      </w:pPr>
    </w:p>
    <w:p w:rsidR="00C04960" w:rsidRDefault="00C04960" w:rsidP="00410CDC">
      <w:pPr>
        <w:jc w:val="left"/>
      </w:pPr>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C73" w:rsidRDefault="008B1C73" w:rsidP="00E56599">
      <w:pPr>
        <w:spacing w:line="240" w:lineRule="auto"/>
      </w:pPr>
      <w:r>
        <w:separator/>
      </w:r>
    </w:p>
  </w:endnote>
  <w:endnote w:type="continuationSeparator" w:id="0">
    <w:p w:rsidR="008B1C73" w:rsidRDefault="008B1C73" w:rsidP="00E565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63006"/>
      <w:docPartObj>
        <w:docPartGallery w:val="Page Numbers (Bottom of Page)"/>
        <w:docPartUnique/>
      </w:docPartObj>
    </w:sdtPr>
    <w:sdtEndPr>
      <w:rPr>
        <w:noProof/>
      </w:rPr>
    </w:sdtEndPr>
    <w:sdtContent>
      <w:p w:rsidR="00E56599" w:rsidRDefault="00E56599">
        <w:pPr>
          <w:pStyle w:val="Footer"/>
        </w:pPr>
        <w:r>
          <w:fldChar w:fldCharType="begin"/>
        </w:r>
        <w:r>
          <w:instrText xml:space="preserve"> PAGE   \* MERGEFORMAT </w:instrText>
        </w:r>
        <w:r>
          <w:fldChar w:fldCharType="separate"/>
        </w:r>
        <w:r w:rsidR="00410CDC">
          <w:rPr>
            <w:noProof/>
          </w:rPr>
          <w:t>3</w:t>
        </w:r>
        <w:r>
          <w:rPr>
            <w:noProof/>
          </w:rPr>
          <w:fldChar w:fldCharType="end"/>
        </w:r>
      </w:p>
    </w:sdtContent>
  </w:sdt>
  <w:p w:rsidR="00E56599" w:rsidRDefault="00E56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CDC" w:rsidRDefault="00410CDC">
    <w:pPr>
      <w:pStyle w:val="Footer"/>
    </w:pPr>
  </w:p>
  <w:p w:rsidR="00410CDC" w:rsidRDefault="00410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C73" w:rsidRDefault="008B1C73" w:rsidP="00E56599">
      <w:pPr>
        <w:spacing w:line="240" w:lineRule="auto"/>
      </w:pPr>
      <w:r>
        <w:separator/>
      </w:r>
    </w:p>
  </w:footnote>
  <w:footnote w:type="continuationSeparator" w:id="0">
    <w:p w:rsidR="008B1C73" w:rsidRDefault="008B1C73" w:rsidP="00E5659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F0"/>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0CD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1E8"/>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8CE"/>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6776F"/>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1C73"/>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1BF0"/>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4C06"/>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82B"/>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5270"/>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599"/>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76F"/>
    <w:rPr>
      <w:color w:val="0000FF" w:themeColor="hyperlink"/>
      <w:u w:val="single"/>
    </w:rPr>
  </w:style>
  <w:style w:type="paragraph" w:styleId="Header">
    <w:name w:val="header"/>
    <w:basedOn w:val="Normal"/>
    <w:link w:val="HeaderChar"/>
    <w:uiPriority w:val="99"/>
    <w:unhideWhenUsed/>
    <w:rsid w:val="00E56599"/>
    <w:pPr>
      <w:tabs>
        <w:tab w:val="center" w:pos="4680"/>
        <w:tab w:val="right" w:pos="9360"/>
      </w:tabs>
      <w:spacing w:line="240" w:lineRule="auto"/>
    </w:pPr>
  </w:style>
  <w:style w:type="character" w:customStyle="1" w:styleId="HeaderChar">
    <w:name w:val="Header Char"/>
    <w:basedOn w:val="DefaultParagraphFont"/>
    <w:link w:val="Header"/>
    <w:uiPriority w:val="99"/>
    <w:rsid w:val="00E56599"/>
  </w:style>
  <w:style w:type="paragraph" w:styleId="Footer">
    <w:name w:val="footer"/>
    <w:basedOn w:val="Normal"/>
    <w:link w:val="FooterChar"/>
    <w:uiPriority w:val="99"/>
    <w:unhideWhenUsed/>
    <w:rsid w:val="00E56599"/>
    <w:pPr>
      <w:tabs>
        <w:tab w:val="center" w:pos="4680"/>
        <w:tab w:val="right" w:pos="9360"/>
      </w:tabs>
      <w:spacing w:line="240" w:lineRule="auto"/>
    </w:pPr>
  </w:style>
  <w:style w:type="character" w:customStyle="1" w:styleId="FooterChar">
    <w:name w:val="Footer Char"/>
    <w:basedOn w:val="DefaultParagraphFont"/>
    <w:link w:val="Footer"/>
    <w:uiPriority w:val="99"/>
    <w:rsid w:val="00E56599"/>
  </w:style>
  <w:style w:type="paragraph" w:styleId="BalloonText">
    <w:name w:val="Balloon Text"/>
    <w:basedOn w:val="Normal"/>
    <w:link w:val="BalloonTextChar"/>
    <w:uiPriority w:val="99"/>
    <w:semiHidden/>
    <w:unhideWhenUsed/>
    <w:rsid w:val="00E56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5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76F"/>
    <w:rPr>
      <w:color w:val="0000FF" w:themeColor="hyperlink"/>
      <w:u w:val="single"/>
    </w:rPr>
  </w:style>
  <w:style w:type="paragraph" w:styleId="Header">
    <w:name w:val="header"/>
    <w:basedOn w:val="Normal"/>
    <w:link w:val="HeaderChar"/>
    <w:uiPriority w:val="99"/>
    <w:unhideWhenUsed/>
    <w:rsid w:val="00E56599"/>
    <w:pPr>
      <w:tabs>
        <w:tab w:val="center" w:pos="4680"/>
        <w:tab w:val="right" w:pos="9360"/>
      </w:tabs>
      <w:spacing w:line="240" w:lineRule="auto"/>
    </w:pPr>
  </w:style>
  <w:style w:type="character" w:customStyle="1" w:styleId="HeaderChar">
    <w:name w:val="Header Char"/>
    <w:basedOn w:val="DefaultParagraphFont"/>
    <w:link w:val="Header"/>
    <w:uiPriority w:val="99"/>
    <w:rsid w:val="00E56599"/>
  </w:style>
  <w:style w:type="paragraph" w:styleId="Footer">
    <w:name w:val="footer"/>
    <w:basedOn w:val="Normal"/>
    <w:link w:val="FooterChar"/>
    <w:uiPriority w:val="99"/>
    <w:unhideWhenUsed/>
    <w:rsid w:val="00E56599"/>
    <w:pPr>
      <w:tabs>
        <w:tab w:val="center" w:pos="4680"/>
        <w:tab w:val="right" w:pos="9360"/>
      </w:tabs>
      <w:spacing w:line="240" w:lineRule="auto"/>
    </w:pPr>
  </w:style>
  <w:style w:type="character" w:customStyle="1" w:styleId="FooterChar">
    <w:name w:val="Footer Char"/>
    <w:basedOn w:val="DefaultParagraphFont"/>
    <w:link w:val="Footer"/>
    <w:uiPriority w:val="99"/>
    <w:rsid w:val="00E56599"/>
  </w:style>
  <w:style w:type="paragraph" w:styleId="BalloonText">
    <w:name w:val="Balloon Text"/>
    <w:basedOn w:val="Normal"/>
    <w:link w:val="BalloonTextChar"/>
    <w:uiPriority w:val="99"/>
    <w:semiHidden/>
    <w:unhideWhenUsed/>
    <w:rsid w:val="00E56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5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od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2014-09-08T12:28:00Z</cp:lastPrinted>
  <dcterms:created xsi:type="dcterms:W3CDTF">2014-09-08T12:24:00Z</dcterms:created>
  <dcterms:modified xsi:type="dcterms:W3CDTF">2014-09-08T12:33:00Z</dcterms:modified>
</cp:coreProperties>
</file>