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bookmarkStart w:id="0" w:name="_GoBack"/>
      <w:bookmarkEnd w:id="0"/>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1A582D">
        <w:rPr>
          <w:bCs/>
          <w:color w:val="000000"/>
        </w:rPr>
        <w:t>2427657</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1A582D" w:rsidP="00D65D31">
      <w:pPr>
        <w:widowControl w:val="0"/>
        <w:adjustRightInd w:val="0"/>
        <w:rPr>
          <w:bCs/>
          <w:color w:val="000000"/>
        </w:rPr>
      </w:pPr>
      <w:r>
        <w:rPr>
          <w:bCs/>
          <w:color w:val="000000"/>
        </w:rPr>
        <w:t>IDT Energy, Inc.</w:t>
      </w:r>
      <w:r w:rsidR="00897507">
        <w:rPr>
          <w:bCs/>
          <w:color w:val="000000"/>
        </w:rPr>
        <w:tab/>
      </w:r>
      <w:r w:rsidR="00897507">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D44F60" w:rsidRDefault="00D44F60" w:rsidP="0062545F">
      <w:pPr>
        <w:tabs>
          <w:tab w:val="center" w:pos="4680"/>
        </w:tabs>
        <w:suppressAutoHyphens/>
        <w:jc w:val="center"/>
        <w:rPr>
          <w:b/>
          <w:bCs/>
          <w:spacing w:val="-3"/>
          <w:u w:val="single"/>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DD04D4" w:rsidRDefault="008C2B8B" w:rsidP="00411A28">
      <w:pPr>
        <w:tabs>
          <w:tab w:val="center" w:pos="4680"/>
        </w:tabs>
        <w:suppressAutoHyphens/>
        <w:jc w:val="center"/>
        <w:rPr>
          <w:b/>
          <w:bCs/>
          <w:spacing w:val="-3"/>
          <w:u w:val="single"/>
        </w:rPr>
      </w:pPr>
      <w:proofErr w:type="gramStart"/>
      <w:r>
        <w:rPr>
          <w:b/>
          <w:bCs/>
          <w:spacing w:val="-3"/>
          <w:u w:val="single"/>
        </w:rPr>
        <w:t xml:space="preserve">DENYING </w:t>
      </w:r>
      <w:r w:rsidR="00411A28">
        <w:rPr>
          <w:b/>
          <w:bCs/>
          <w:spacing w:val="-3"/>
          <w:u w:val="single"/>
        </w:rPr>
        <w:t>IDT ENERGY, INC.</w:t>
      </w:r>
      <w:proofErr w:type="gramEnd"/>
    </w:p>
    <w:p w:rsidR="00411A28" w:rsidRPr="00550B34" w:rsidRDefault="00411A28" w:rsidP="00411A28">
      <w:pPr>
        <w:tabs>
          <w:tab w:val="center" w:pos="4680"/>
        </w:tabs>
        <w:suppressAutoHyphens/>
        <w:jc w:val="center"/>
        <w:rPr>
          <w:b/>
          <w:bCs/>
          <w:spacing w:val="-3"/>
          <w:u w:val="single"/>
        </w:rPr>
      </w:pPr>
      <w:r>
        <w:rPr>
          <w:b/>
          <w:bCs/>
          <w:spacing w:val="-3"/>
          <w:u w:val="single"/>
        </w:rPr>
        <w:t>MOTION TO COMPEL</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411A28" w:rsidRDefault="00411A28" w:rsidP="00C773A3">
      <w:pPr>
        <w:widowControl w:val="0"/>
        <w:adjustRightInd w:val="0"/>
        <w:spacing w:line="360" w:lineRule="auto"/>
        <w:rPr>
          <w:bCs/>
          <w:color w:val="000000"/>
        </w:rPr>
      </w:pPr>
      <w:r>
        <w:rPr>
          <w:bCs/>
          <w:color w:val="000000"/>
        </w:rPr>
        <w:tab/>
      </w:r>
      <w:r>
        <w:rPr>
          <w:bCs/>
          <w:color w:val="000000"/>
        </w:rPr>
        <w:tab/>
        <w:t xml:space="preserve">This Order denies a Motion to Compel of IDT Energy, Inc. (IDT or “the Company”) and sustains </w:t>
      </w:r>
      <w:r w:rsidR="00B61387">
        <w:rPr>
          <w:bCs/>
          <w:color w:val="000000"/>
        </w:rPr>
        <w:t xml:space="preserve">the objections to IDT interrogatory Set II-1 and II-4 filed by the Office of Consumer Advocate (OCA) and the Office of Attorney General (OAG) </w:t>
      </w:r>
      <w:r w:rsidR="00DD0E1C">
        <w:rPr>
          <w:bCs/>
          <w:color w:val="000000"/>
        </w:rPr>
        <w:t>(</w:t>
      </w:r>
      <w:r w:rsidR="00B61387">
        <w:rPr>
          <w:bCs/>
          <w:color w:val="000000"/>
        </w:rPr>
        <w:t xml:space="preserve">collectively referred to as </w:t>
      </w:r>
      <w:r w:rsidR="00DD0E1C">
        <w:rPr>
          <w:bCs/>
          <w:color w:val="000000"/>
        </w:rPr>
        <w:t>“</w:t>
      </w:r>
      <w:r w:rsidR="00B61387">
        <w:rPr>
          <w:bCs/>
          <w:color w:val="000000"/>
        </w:rPr>
        <w:t>the Joint Complainants</w:t>
      </w:r>
      <w:r w:rsidR="00DD0E1C">
        <w:rPr>
          <w:bCs/>
          <w:color w:val="000000"/>
        </w:rPr>
        <w:t>”)</w:t>
      </w:r>
      <w:r w:rsidR="00B61387">
        <w:rPr>
          <w:bCs/>
          <w:color w:val="000000"/>
        </w:rPr>
        <w:t xml:space="preserve">.  The interrogatories are not relevant to the </w:t>
      </w:r>
      <w:r w:rsidR="00457116">
        <w:rPr>
          <w:bCs/>
          <w:color w:val="000000"/>
        </w:rPr>
        <w:t xml:space="preserve">allegations brought by the Joint Complainants in their Complaint against IDT </w:t>
      </w:r>
      <w:r w:rsidR="00B61387">
        <w:rPr>
          <w:bCs/>
          <w:color w:val="000000"/>
        </w:rPr>
        <w:t>because the interrogatories will not lead to relevant info</w:t>
      </w:r>
      <w:r w:rsidR="00457116">
        <w:rPr>
          <w:bCs/>
          <w:color w:val="000000"/>
        </w:rPr>
        <w:t>rmation or admissible evidence regarding those allegations.</w:t>
      </w:r>
    </w:p>
    <w:p w:rsidR="00B61387" w:rsidRDefault="00B61387" w:rsidP="00C773A3">
      <w:pPr>
        <w:widowControl w:val="0"/>
        <w:adjustRightInd w:val="0"/>
        <w:spacing w:line="360" w:lineRule="auto"/>
        <w:rPr>
          <w:bCs/>
          <w:color w:val="000000"/>
        </w:rPr>
      </w:pPr>
    </w:p>
    <w:p w:rsidR="00DD0E1C" w:rsidRDefault="00DD0E1C" w:rsidP="00C773A3">
      <w:pPr>
        <w:widowControl w:val="0"/>
        <w:adjustRightInd w:val="0"/>
        <w:spacing w:line="360" w:lineRule="auto"/>
        <w:rPr>
          <w:bCs/>
          <w:color w:val="000000"/>
        </w:rPr>
      </w:pPr>
      <w:r>
        <w:rPr>
          <w:bCs/>
          <w:color w:val="000000"/>
        </w:rPr>
        <w:tab/>
      </w:r>
      <w:r>
        <w:rPr>
          <w:bCs/>
          <w:color w:val="000000"/>
        </w:rPr>
        <w:tab/>
        <w:t>On August 4, 2014, IDT served Interrogatories and Requests for Production of Documents, Se</w:t>
      </w:r>
      <w:r w:rsidR="004C2CF0">
        <w:rPr>
          <w:bCs/>
          <w:color w:val="000000"/>
        </w:rPr>
        <w:t xml:space="preserve">t II, on the Joint Complainants consisting of ten interrogatories and one request for production of documents.  The Joint Complainants communicated their objections to IDT on August 7, 2014.  Joint Complainants and counsel for IDT further discussed the objections on August 12, 2014 but no resolution was reached.  </w:t>
      </w:r>
      <w:r w:rsidR="006D2199">
        <w:rPr>
          <w:bCs/>
          <w:color w:val="000000"/>
        </w:rPr>
        <w:t>On August 14, 2014, t</w:t>
      </w:r>
      <w:r w:rsidR="004C2CF0">
        <w:rPr>
          <w:bCs/>
          <w:color w:val="000000"/>
        </w:rPr>
        <w:t xml:space="preserve">he OCA, therefore, submitted an objection to IDT interrogatory II-1 and the Attorney General submitted an objection to IDT interrogatory </w:t>
      </w:r>
      <w:r w:rsidR="006D2199">
        <w:rPr>
          <w:bCs/>
          <w:color w:val="000000"/>
        </w:rPr>
        <w:t>II-4.  On August 25, 2014, IDT filed a Motion to Compel Joint Complainants</w:t>
      </w:r>
      <w:r w:rsidR="007663F1">
        <w:rPr>
          <w:bCs/>
          <w:color w:val="000000"/>
        </w:rPr>
        <w:t xml:space="preserve"> to respond </w:t>
      </w:r>
      <w:r w:rsidR="006D2199">
        <w:rPr>
          <w:bCs/>
          <w:color w:val="000000"/>
        </w:rPr>
        <w:t>to IDT interrogatories II-1 and II-4 and the Joint Complainants filed an Answer to IDT’s Motion to Compel on September 2, 2014.  The Motion to Compel is ready for disposition.  For the reasons discussed below, it will be denied.</w:t>
      </w:r>
    </w:p>
    <w:p w:rsidR="006D2199" w:rsidRDefault="006D2199" w:rsidP="00C773A3">
      <w:pPr>
        <w:widowControl w:val="0"/>
        <w:adjustRightInd w:val="0"/>
        <w:spacing w:line="360" w:lineRule="auto"/>
        <w:rPr>
          <w:bCs/>
          <w:color w:val="000000"/>
        </w:rPr>
      </w:pPr>
    </w:p>
    <w:p w:rsidR="00AE033E" w:rsidRPr="00AE033E" w:rsidRDefault="006D2199" w:rsidP="00AE033E">
      <w:pPr>
        <w:spacing w:line="360" w:lineRule="auto"/>
        <w:rPr>
          <w:rFonts w:eastAsiaTheme="minorEastAsia"/>
        </w:rPr>
      </w:pPr>
      <w:r>
        <w:rPr>
          <w:bCs/>
          <w:color w:val="000000"/>
        </w:rPr>
        <w:tab/>
      </w:r>
      <w:r>
        <w:rPr>
          <w:bCs/>
          <w:color w:val="000000"/>
        </w:rPr>
        <w:tab/>
      </w:r>
      <w:r w:rsidR="00AE033E" w:rsidRPr="00AE033E">
        <w:rPr>
          <w:rFonts w:eastAsiaTheme="minorEastAsia"/>
        </w:rPr>
        <w:t>The standard for permissible discovery is set forth in Section 5.321 of the Commission’s regulations:</w:t>
      </w:r>
    </w:p>
    <w:p w:rsidR="00AE033E" w:rsidRPr="00AE033E" w:rsidRDefault="00AE033E" w:rsidP="00AE033E">
      <w:pPr>
        <w:autoSpaceDE/>
        <w:autoSpaceDN/>
        <w:spacing w:before="100" w:beforeAutospacing="1" w:after="100" w:afterAutospacing="1" w:line="276" w:lineRule="auto"/>
        <w:ind w:left="1440" w:right="1440"/>
        <w:outlineLvl w:val="3"/>
        <w:rPr>
          <w:rFonts w:eastAsiaTheme="minorEastAsia"/>
          <w:b/>
          <w:bCs/>
        </w:rPr>
      </w:pPr>
      <w:bookmarkStart w:id="1" w:name="5.321."/>
      <w:r w:rsidRPr="00AE033E">
        <w:rPr>
          <w:rFonts w:eastAsiaTheme="minorEastAsia"/>
          <w:b/>
          <w:bCs/>
        </w:rPr>
        <w:t>§ 5.321. </w:t>
      </w:r>
      <w:proofErr w:type="gramStart"/>
      <w:r w:rsidRPr="00AE033E">
        <w:rPr>
          <w:rFonts w:eastAsiaTheme="minorEastAsia"/>
          <w:b/>
          <w:bCs/>
        </w:rPr>
        <w:t>Scope.</w:t>
      </w:r>
      <w:proofErr w:type="gramEnd"/>
    </w:p>
    <w:p w:rsidR="00AE033E" w:rsidRPr="00AE033E" w:rsidRDefault="00AE033E" w:rsidP="00AE033E">
      <w:pPr>
        <w:autoSpaceDE/>
        <w:autoSpaceDN/>
        <w:spacing w:before="100" w:beforeAutospacing="1" w:after="100" w:afterAutospacing="1"/>
        <w:ind w:left="1440" w:right="1440"/>
        <w:rPr>
          <w:rFonts w:eastAsiaTheme="minorEastAsia"/>
        </w:rPr>
      </w:pPr>
      <w:r w:rsidRPr="00AE033E">
        <w:rPr>
          <w:rFonts w:eastAsiaTheme="minorEastAsia"/>
        </w:rPr>
        <w:t>(c)  </w:t>
      </w:r>
      <w:r w:rsidRPr="00AE033E">
        <w:rPr>
          <w:rFonts w:eastAsiaTheme="minorEastAsia"/>
          <w:i/>
          <w:iCs/>
        </w:rPr>
        <w:t>Scope</w:t>
      </w:r>
      <w:r w:rsidRPr="00AE033E">
        <w:rPr>
          <w:rFonts w:eastAsiaTheme="minorEastAsia"/>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bookmarkEnd w:id="1"/>
    <w:p w:rsidR="00AE033E" w:rsidRPr="00AE033E" w:rsidRDefault="00AE033E" w:rsidP="00AE033E">
      <w:pPr>
        <w:autoSpaceDE/>
        <w:autoSpaceDN/>
        <w:spacing w:before="100" w:beforeAutospacing="1" w:after="100" w:afterAutospacing="1" w:line="360" w:lineRule="auto"/>
        <w:rPr>
          <w:rFonts w:eastAsiaTheme="minorEastAsia"/>
        </w:rPr>
      </w:pPr>
      <w:proofErr w:type="gramStart"/>
      <w:r w:rsidRPr="00AE033E">
        <w:rPr>
          <w:rFonts w:eastAsiaTheme="minorEastAsia"/>
        </w:rPr>
        <w:t>52 Pa. Code §5.321(c).</w:t>
      </w:r>
      <w:proofErr w:type="gramEnd"/>
      <w:r w:rsidRPr="00AE033E">
        <w:rPr>
          <w:rFonts w:eastAsiaTheme="minorEastAsia"/>
        </w:rPr>
        <w:t xml:space="preserve">  Section 5.361 of the Commission’s regulations, however, provides various limitations on the scope of discovery:</w:t>
      </w:r>
    </w:p>
    <w:p w:rsidR="00AE033E" w:rsidRPr="00AE033E" w:rsidRDefault="00AE033E" w:rsidP="00AE033E">
      <w:pPr>
        <w:autoSpaceDE/>
        <w:autoSpaceDN/>
        <w:spacing w:before="100" w:beforeAutospacing="1" w:after="100" w:afterAutospacing="1"/>
        <w:ind w:left="1440" w:right="1440"/>
        <w:outlineLvl w:val="3"/>
        <w:rPr>
          <w:rFonts w:eastAsiaTheme="minorEastAsia"/>
          <w:b/>
          <w:bCs/>
        </w:rPr>
      </w:pPr>
      <w:r w:rsidRPr="00AE033E">
        <w:rPr>
          <w:rFonts w:eastAsiaTheme="minorEastAsia"/>
          <w:b/>
          <w:bCs/>
        </w:rPr>
        <w:t>§ 5.361. </w:t>
      </w:r>
      <w:proofErr w:type="gramStart"/>
      <w:r w:rsidRPr="00AE033E">
        <w:rPr>
          <w:rFonts w:eastAsiaTheme="minorEastAsia"/>
          <w:b/>
          <w:bCs/>
        </w:rPr>
        <w:t>Limitation of scope of discovery and deposition.</w:t>
      </w:r>
      <w:proofErr w:type="gramEnd"/>
    </w:p>
    <w:p w:rsidR="00AE033E" w:rsidRPr="00AE033E" w:rsidRDefault="00AE033E" w:rsidP="00AE033E">
      <w:pPr>
        <w:autoSpaceDE/>
        <w:autoSpaceDN/>
        <w:spacing w:before="100" w:beforeAutospacing="1" w:after="100" w:afterAutospacing="1" w:line="276" w:lineRule="auto"/>
        <w:ind w:left="1440" w:right="1440"/>
        <w:rPr>
          <w:rFonts w:eastAsiaTheme="minorEastAsia"/>
        </w:rPr>
      </w:pPr>
      <w:r w:rsidRPr="00AE033E">
        <w:rPr>
          <w:rFonts w:eastAsiaTheme="minorEastAsia"/>
        </w:rPr>
        <w:t xml:space="preserve"> (a)  Discovery or deposition is not permitted which: </w:t>
      </w:r>
    </w:p>
    <w:p w:rsidR="00AE033E" w:rsidRPr="00AE033E" w:rsidRDefault="00AE033E" w:rsidP="00AE033E">
      <w:pPr>
        <w:autoSpaceDE/>
        <w:autoSpaceDN/>
        <w:spacing w:before="100" w:beforeAutospacing="1" w:after="100" w:afterAutospacing="1" w:line="276" w:lineRule="auto"/>
        <w:ind w:left="1440" w:right="1440"/>
        <w:rPr>
          <w:rFonts w:eastAsiaTheme="minorEastAsia"/>
        </w:rPr>
      </w:pPr>
      <w:r w:rsidRPr="00AE033E">
        <w:rPr>
          <w:rFonts w:eastAsiaTheme="minorEastAsia"/>
        </w:rPr>
        <w:t xml:space="preserve">   (1)  Is sought in bad faith. </w:t>
      </w:r>
    </w:p>
    <w:p w:rsidR="00AE033E" w:rsidRPr="00AE033E" w:rsidRDefault="00AE033E" w:rsidP="00AE033E">
      <w:pPr>
        <w:autoSpaceDE/>
        <w:autoSpaceDN/>
        <w:spacing w:before="100" w:beforeAutospacing="1" w:after="100" w:afterAutospacing="1"/>
        <w:ind w:left="1440" w:right="1440"/>
        <w:rPr>
          <w:rFonts w:eastAsiaTheme="minorEastAsia"/>
        </w:rPr>
      </w:pPr>
      <w:r w:rsidRPr="00AE033E">
        <w:rPr>
          <w:rFonts w:eastAsiaTheme="minorEastAsia"/>
        </w:rPr>
        <w:t>   (2)  </w:t>
      </w:r>
      <w:bookmarkStart w:id="2" w:name="OLE_LINK1"/>
      <w:bookmarkStart w:id="3" w:name="OLE_LINK2"/>
      <w:r w:rsidRPr="00AE033E">
        <w:rPr>
          <w:rFonts w:eastAsiaTheme="minorEastAsia"/>
        </w:rPr>
        <w:t xml:space="preserve">Would cause unreasonable annoyance, embarrassment, oppression, burden or expense to the deponent, a person or party. </w:t>
      </w:r>
    </w:p>
    <w:bookmarkEnd w:id="2"/>
    <w:bookmarkEnd w:id="3"/>
    <w:p w:rsidR="00AE033E" w:rsidRPr="00AE033E" w:rsidRDefault="00AE033E" w:rsidP="00AE033E">
      <w:pPr>
        <w:autoSpaceDE/>
        <w:autoSpaceDN/>
        <w:spacing w:before="100" w:beforeAutospacing="1" w:after="100" w:afterAutospacing="1" w:line="276" w:lineRule="auto"/>
        <w:ind w:left="1440" w:right="1440"/>
        <w:rPr>
          <w:rFonts w:eastAsiaTheme="minorEastAsia"/>
        </w:rPr>
      </w:pPr>
      <w:r w:rsidRPr="00AE033E">
        <w:rPr>
          <w:rFonts w:eastAsiaTheme="minorEastAsia"/>
        </w:rPr>
        <w:t xml:space="preserve">   (3)  Relates to matter which is privileged. </w:t>
      </w:r>
    </w:p>
    <w:p w:rsidR="00AE033E" w:rsidRPr="00AE033E" w:rsidRDefault="00AE033E" w:rsidP="00AE033E">
      <w:pPr>
        <w:autoSpaceDE/>
        <w:autoSpaceDN/>
        <w:spacing w:before="100" w:beforeAutospacing="1" w:after="100" w:afterAutospacing="1"/>
        <w:ind w:left="1440" w:right="1440"/>
        <w:rPr>
          <w:rFonts w:eastAsiaTheme="minorEastAsia"/>
        </w:rPr>
      </w:pPr>
      <w:r w:rsidRPr="00AE033E">
        <w:rPr>
          <w:rFonts w:eastAsiaTheme="minorEastAsia"/>
        </w:rPr>
        <w:t xml:space="preserve">   (4)  Would require the making of an unreasonable investigation by the deponent, a party or witness. </w:t>
      </w:r>
    </w:p>
    <w:p w:rsidR="00AE033E" w:rsidRPr="00AE033E" w:rsidRDefault="00AE033E" w:rsidP="00AE033E">
      <w:pPr>
        <w:autoSpaceDE/>
        <w:autoSpaceDN/>
        <w:spacing w:line="360" w:lineRule="auto"/>
        <w:rPr>
          <w:rFonts w:eastAsiaTheme="minorEastAsia"/>
        </w:rPr>
      </w:pPr>
      <w:proofErr w:type="gramStart"/>
      <w:r w:rsidRPr="00AE033E">
        <w:rPr>
          <w:rFonts w:eastAsiaTheme="minorEastAsia"/>
        </w:rPr>
        <w:t>52 Pa. Code § 5.361(a).</w:t>
      </w:r>
      <w:proofErr w:type="gramEnd"/>
    </w:p>
    <w:p w:rsidR="00AE033E" w:rsidRPr="00AE033E" w:rsidRDefault="00AE033E" w:rsidP="00AE033E">
      <w:pPr>
        <w:autoSpaceDE/>
        <w:autoSpaceDN/>
        <w:spacing w:line="360" w:lineRule="auto"/>
        <w:rPr>
          <w:rFonts w:eastAsiaTheme="minorEastAsia"/>
        </w:rPr>
      </w:pPr>
    </w:p>
    <w:p w:rsidR="00AE033E" w:rsidRDefault="00AE033E" w:rsidP="00AE033E">
      <w:pPr>
        <w:autoSpaceDE/>
        <w:autoSpaceDN/>
        <w:spacing w:line="360" w:lineRule="auto"/>
        <w:rPr>
          <w:rFonts w:eastAsiaTheme="minorEastAsia"/>
        </w:rPr>
      </w:pPr>
      <w:r w:rsidRPr="00AE033E">
        <w:rPr>
          <w:rFonts w:eastAsiaTheme="minorEastAsia"/>
        </w:rPr>
        <w:tab/>
      </w:r>
      <w:r w:rsidRPr="00AE033E">
        <w:rPr>
          <w:rFonts w:eastAsiaTheme="minorEastAsia"/>
        </w:rPr>
        <w:tab/>
        <w:t xml:space="preserve">In this case, </w:t>
      </w:r>
      <w:r w:rsidR="00C14452">
        <w:rPr>
          <w:rFonts w:eastAsiaTheme="minorEastAsia"/>
        </w:rPr>
        <w:t>IDT</w:t>
      </w:r>
      <w:r w:rsidRPr="00AE033E">
        <w:rPr>
          <w:rFonts w:eastAsiaTheme="minorEastAsia"/>
        </w:rPr>
        <w:t xml:space="preserve"> filed a Motion seeking an Order compelling </w:t>
      </w:r>
      <w:r w:rsidR="00C14452">
        <w:rPr>
          <w:rFonts w:eastAsiaTheme="minorEastAsia"/>
        </w:rPr>
        <w:t xml:space="preserve">the Joint Complainants </w:t>
      </w:r>
      <w:r w:rsidRPr="00AE033E">
        <w:rPr>
          <w:rFonts w:eastAsiaTheme="minorEastAsia"/>
        </w:rPr>
        <w:t xml:space="preserve">to respond to </w:t>
      </w:r>
      <w:r w:rsidR="00C14452">
        <w:rPr>
          <w:rFonts w:eastAsiaTheme="minorEastAsia"/>
        </w:rPr>
        <w:t>two interrogatories</w:t>
      </w:r>
      <w:r w:rsidR="004A7D95">
        <w:rPr>
          <w:rFonts w:eastAsiaTheme="minorEastAsia"/>
        </w:rPr>
        <w:t>:</w:t>
      </w:r>
    </w:p>
    <w:p w:rsidR="00C14452" w:rsidRDefault="00C14452" w:rsidP="00AE033E">
      <w:pPr>
        <w:autoSpaceDE/>
        <w:autoSpaceDN/>
        <w:spacing w:line="360" w:lineRule="auto"/>
        <w:rPr>
          <w:rFonts w:eastAsiaTheme="minorEastAsia"/>
        </w:rPr>
      </w:pPr>
    </w:p>
    <w:p w:rsidR="00C14452" w:rsidRDefault="00C14452" w:rsidP="004A7D95">
      <w:pPr>
        <w:autoSpaceDE/>
        <w:autoSpaceDN/>
        <w:ind w:left="1440" w:right="1440"/>
        <w:rPr>
          <w:rFonts w:eastAsiaTheme="minorEastAsia"/>
        </w:rPr>
      </w:pPr>
      <w:r>
        <w:rPr>
          <w:rFonts w:eastAsiaTheme="minorEastAsia"/>
        </w:rPr>
        <w:t xml:space="preserve">IDT II-1 – Referencing paragraph 15 of the Complaint, please provide a breakout of the approximately 3000 contacts from customers regarding variable rates, listing the names of all EGSs that were identified by customers by </w:t>
      </w:r>
      <w:r w:rsidR="00DF1FD5">
        <w:rPr>
          <w:rFonts w:eastAsiaTheme="minorEastAsia"/>
        </w:rPr>
        <w:t>name, and the number of customers that referenced each EGS.</w:t>
      </w:r>
    </w:p>
    <w:p w:rsidR="00DF1FD5" w:rsidRDefault="00DF1FD5" w:rsidP="004A7D95">
      <w:pPr>
        <w:autoSpaceDE/>
        <w:autoSpaceDN/>
        <w:ind w:left="1440" w:right="1440"/>
        <w:rPr>
          <w:rFonts w:eastAsiaTheme="minorEastAsia"/>
        </w:rPr>
      </w:pPr>
    </w:p>
    <w:p w:rsidR="00DF1FD5" w:rsidRDefault="00DF1FD5" w:rsidP="004A7D95">
      <w:pPr>
        <w:autoSpaceDE/>
        <w:autoSpaceDN/>
        <w:ind w:left="1440" w:right="1440"/>
        <w:rPr>
          <w:rFonts w:eastAsiaTheme="minorEastAsia"/>
        </w:rPr>
      </w:pPr>
      <w:r>
        <w:rPr>
          <w:rFonts w:eastAsiaTheme="minorEastAsia"/>
        </w:rPr>
        <w:t>IDT II-4 – Referencing paragraph 18 of the Complaint, please provide a breakout of the approximately 7,503 consumer complaints related to variable rates charged by EGSs, listing the names of all EGSs that were identified by customers by name, and the number of complaints against each EGS.</w:t>
      </w:r>
    </w:p>
    <w:p w:rsidR="00DF1FD5" w:rsidRDefault="00DF1FD5" w:rsidP="00AE033E">
      <w:pPr>
        <w:autoSpaceDE/>
        <w:autoSpaceDN/>
        <w:spacing w:line="360" w:lineRule="auto"/>
        <w:rPr>
          <w:rFonts w:eastAsiaTheme="minorEastAsia"/>
        </w:rPr>
      </w:pPr>
    </w:p>
    <w:p w:rsidR="00A154DB" w:rsidRDefault="00457116" w:rsidP="00AE033E">
      <w:pPr>
        <w:autoSpaceDE/>
        <w:autoSpaceDN/>
        <w:spacing w:line="360" w:lineRule="auto"/>
        <w:rPr>
          <w:rFonts w:eastAsiaTheme="minorEastAsia"/>
        </w:rPr>
      </w:pPr>
      <w:r>
        <w:rPr>
          <w:rFonts w:eastAsiaTheme="minorEastAsia"/>
        </w:rPr>
        <w:t>T</w:t>
      </w:r>
      <w:r w:rsidR="00A154DB">
        <w:rPr>
          <w:rFonts w:eastAsiaTheme="minorEastAsia"/>
        </w:rPr>
        <w:t xml:space="preserve">he paragraphs </w:t>
      </w:r>
      <w:r>
        <w:rPr>
          <w:rFonts w:eastAsiaTheme="minorEastAsia"/>
        </w:rPr>
        <w:t xml:space="preserve">of the Complaint that are referenced by IDT in the interrogatories </w:t>
      </w:r>
      <w:r w:rsidR="00A154DB">
        <w:rPr>
          <w:rFonts w:eastAsiaTheme="minorEastAsia"/>
        </w:rPr>
        <w:t>state:</w:t>
      </w:r>
    </w:p>
    <w:p w:rsidR="00A154DB" w:rsidRDefault="00A154DB" w:rsidP="00AE033E">
      <w:pPr>
        <w:autoSpaceDE/>
        <w:autoSpaceDN/>
        <w:spacing w:line="360" w:lineRule="auto"/>
        <w:rPr>
          <w:rFonts w:eastAsiaTheme="minorEastAsia"/>
        </w:rPr>
      </w:pPr>
    </w:p>
    <w:p w:rsidR="00A154DB" w:rsidRDefault="00A154DB" w:rsidP="00A154DB">
      <w:pPr>
        <w:autoSpaceDE/>
        <w:autoSpaceDN/>
        <w:ind w:left="1440" w:right="1440"/>
        <w:rPr>
          <w:rFonts w:eastAsiaTheme="minorEastAsia"/>
        </w:rPr>
      </w:pPr>
      <w:r>
        <w:rPr>
          <w:rFonts w:eastAsiaTheme="minorEastAsia"/>
        </w:rPr>
        <w:t>15.</w:t>
      </w:r>
      <w:r>
        <w:rPr>
          <w:rFonts w:eastAsiaTheme="minorEastAsia"/>
        </w:rPr>
        <w:tab/>
        <w:t>On or about February 10, 2014, the OCA began receiving a high volume of calls and written correspondence from residential consumers on variable rate plans with EGSs regarding the level of electric generation charges on the consumers’ electric bills.  The OCA has received approximately 3,000 contacts from consumers regarding variable rates.</w:t>
      </w:r>
    </w:p>
    <w:p w:rsidR="00A154DB" w:rsidRDefault="00A154DB" w:rsidP="00A154DB">
      <w:pPr>
        <w:autoSpaceDE/>
        <w:autoSpaceDN/>
        <w:ind w:left="1440" w:right="1440"/>
        <w:rPr>
          <w:rFonts w:eastAsiaTheme="minorEastAsia"/>
        </w:rPr>
      </w:pPr>
    </w:p>
    <w:p w:rsidR="00A154DB" w:rsidRDefault="00A154DB" w:rsidP="00A154DB">
      <w:pPr>
        <w:autoSpaceDE/>
        <w:autoSpaceDN/>
        <w:ind w:left="1440" w:right="1440"/>
        <w:jc w:val="center"/>
        <w:rPr>
          <w:rFonts w:eastAsiaTheme="minorEastAsia"/>
        </w:rPr>
      </w:pPr>
      <w:r w:rsidRPr="00A154DB">
        <w:rPr>
          <w:rFonts w:eastAsiaTheme="minorEastAsia"/>
        </w:rPr>
        <w:t>*</w:t>
      </w:r>
      <w:r>
        <w:rPr>
          <w:rFonts w:eastAsiaTheme="minorEastAsia"/>
        </w:rPr>
        <w:t xml:space="preserve"> * * * *</w:t>
      </w:r>
    </w:p>
    <w:p w:rsidR="00A154DB" w:rsidRDefault="00A154DB" w:rsidP="00A154DB">
      <w:pPr>
        <w:autoSpaceDE/>
        <w:autoSpaceDN/>
        <w:ind w:left="1440" w:right="1440"/>
        <w:rPr>
          <w:rFonts w:eastAsiaTheme="minorEastAsia"/>
        </w:rPr>
      </w:pPr>
    </w:p>
    <w:p w:rsidR="00A154DB" w:rsidRPr="00A154DB" w:rsidRDefault="00A154DB" w:rsidP="00A154DB">
      <w:pPr>
        <w:autoSpaceDE/>
        <w:autoSpaceDN/>
        <w:ind w:left="1440" w:right="1440"/>
        <w:rPr>
          <w:rFonts w:eastAsiaTheme="minorEastAsia"/>
        </w:rPr>
      </w:pPr>
      <w:r>
        <w:rPr>
          <w:rFonts w:eastAsiaTheme="minorEastAsia"/>
        </w:rPr>
        <w:t>18.</w:t>
      </w:r>
      <w:r>
        <w:rPr>
          <w:rFonts w:eastAsiaTheme="minorEastAsia"/>
        </w:rPr>
        <w:tab/>
        <w:t xml:space="preserve">From February 27, 2014 to June 4, 2014, the Attorney General received approximately 39,607 telephone calls and 7,503 consumer complaints related to variable rates charged by EGSs.  Of the 7,503 consumer complaints, 1,917 or nearly 26% were against </w:t>
      </w:r>
      <w:r w:rsidR="007663F1">
        <w:rPr>
          <w:rFonts w:eastAsiaTheme="minorEastAsia"/>
        </w:rPr>
        <w:t>R</w:t>
      </w:r>
      <w:r>
        <w:rPr>
          <w:rFonts w:eastAsiaTheme="minorEastAsia"/>
        </w:rPr>
        <w:t>espondent.</w:t>
      </w:r>
    </w:p>
    <w:p w:rsidR="00A154DB" w:rsidRDefault="00A154DB" w:rsidP="00AE033E">
      <w:pPr>
        <w:autoSpaceDE/>
        <w:autoSpaceDN/>
        <w:spacing w:line="360" w:lineRule="auto"/>
        <w:rPr>
          <w:rFonts w:eastAsiaTheme="minorEastAsia"/>
        </w:rPr>
      </w:pPr>
    </w:p>
    <w:p w:rsidR="003E68ED" w:rsidRDefault="00DF1FD5" w:rsidP="00AE033E">
      <w:pPr>
        <w:autoSpaceDE/>
        <w:autoSpaceDN/>
        <w:spacing w:line="360" w:lineRule="auto"/>
        <w:rPr>
          <w:rFonts w:eastAsiaTheme="minorEastAsia"/>
        </w:rPr>
      </w:pPr>
      <w:r>
        <w:rPr>
          <w:rFonts w:eastAsiaTheme="minorEastAsia"/>
        </w:rPr>
        <w:t>In essence, both interrogatories seek</w:t>
      </w:r>
      <w:r w:rsidR="004A7D95">
        <w:rPr>
          <w:rFonts w:eastAsiaTheme="minorEastAsia"/>
        </w:rPr>
        <w:t xml:space="preserve"> </w:t>
      </w:r>
      <w:r w:rsidR="007663F1">
        <w:rPr>
          <w:rFonts w:eastAsiaTheme="minorEastAsia"/>
        </w:rPr>
        <w:t xml:space="preserve">additional details regarding </w:t>
      </w:r>
      <w:r w:rsidR="003E68ED">
        <w:rPr>
          <w:rFonts w:eastAsiaTheme="minorEastAsia"/>
        </w:rPr>
        <w:t xml:space="preserve">the contacts </w:t>
      </w:r>
      <w:r w:rsidR="007663F1">
        <w:rPr>
          <w:rFonts w:eastAsiaTheme="minorEastAsia"/>
        </w:rPr>
        <w:t xml:space="preserve">and complaints </w:t>
      </w:r>
      <w:r w:rsidR="003E68ED">
        <w:rPr>
          <w:rFonts w:eastAsiaTheme="minorEastAsia"/>
        </w:rPr>
        <w:t xml:space="preserve">received by the OCA and OAG, respectively, about variable rates from </w:t>
      </w:r>
      <w:r w:rsidR="00F0379A">
        <w:rPr>
          <w:rFonts w:eastAsiaTheme="minorEastAsia"/>
        </w:rPr>
        <w:t xml:space="preserve">other </w:t>
      </w:r>
      <w:r w:rsidR="003E68ED">
        <w:rPr>
          <w:rFonts w:eastAsiaTheme="minorEastAsia"/>
        </w:rPr>
        <w:t xml:space="preserve">electric generation suppliers (EGSs).  </w:t>
      </w:r>
    </w:p>
    <w:p w:rsidR="003E68ED" w:rsidRDefault="003E68ED" w:rsidP="00F4055F">
      <w:pPr>
        <w:autoSpaceDE/>
        <w:autoSpaceDN/>
        <w:spacing w:line="360" w:lineRule="auto"/>
        <w:ind w:firstLine="1440"/>
        <w:rPr>
          <w:rFonts w:eastAsiaTheme="minorEastAsia"/>
        </w:rPr>
      </w:pPr>
    </w:p>
    <w:p w:rsidR="00DF1FD5" w:rsidRPr="00AE033E" w:rsidRDefault="003E68ED" w:rsidP="00F4055F">
      <w:pPr>
        <w:autoSpaceDE/>
        <w:autoSpaceDN/>
        <w:spacing w:line="360" w:lineRule="auto"/>
        <w:ind w:firstLine="1440"/>
        <w:rPr>
          <w:rFonts w:eastAsiaTheme="minorEastAsia"/>
        </w:rPr>
      </w:pPr>
      <w:r>
        <w:rPr>
          <w:rFonts w:eastAsiaTheme="minorEastAsia"/>
        </w:rPr>
        <w:t xml:space="preserve">IDT argued in its Motion that this information is discoverable because </w:t>
      </w:r>
      <w:r w:rsidR="00F4055F">
        <w:rPr>
          <w:rFonts w:eastAsiaTheme="minorEastAsia"/>
        </w:rPr>
        <w:t xml:space="preserve">the information is calculated to lead to the discovery of admissible evidence.  IDT added, among other things, that the information is necessary to allow IDT to defend the </w:t>
      </w:r>
      <w:r w:rsidR="00F4055F">
        <w:rPr>
          <w:rFonts w:eastAsiaTheme="minorEastAsia"/>
        </w:rPr>
        <w:lastRenderedPageBreak/>
        <w:t>allegations in the Complaint.  IDT also argued that “a major part of this case will involve determining what constitutes an acceptable EGS disclosure statement and acceptable EGS marketing materials, and whether those materials are deceptive or create a likelihood of confusion.”  IDT added that “IDT’s disclosure statement and marketing materials cannot be examined in a vacuum.  It will be important to examine other marketing materials and disclosure statements that were available in the Pennsylvania marketplace.”  IDT also argued that the Joint Complainants</w:t>
      </w:r>
      <w:r w:rsidR="007663F1">
        <w:rPr>
          <w:rFonts w:eastAsiaTheme="minorEastAsia"/>
        </w:rPr>
        <w:t>’</w:t>
      </w:r>
      <w:r w:rsidR="00F4055F">
        <w:rPr>
          <w:rFonts w:eastAsiaTheme="minorEastAsia"/>
        </w:rPr>
        <w:t xml:space="preserve"> objections regarding “attorney work product” and “investigative privilege” are also without merit.</w:t>
      </w:r>
    </w:p>
    <w:p w:rsidR="00AE033E" w:rsidRPr="00AE033E" w:rsidRDefault="00AE033E" w:rsidP="00F4055F">
      <w:pPr>
        <w:autoSpaceDE/>
        <w:autoSpaceDN/>
        <w:spacing w:line="360" w:lineRule="auto"/>
        <w:ind w:firstLine="1440"/>
        <w:rPr>
          <w:rFonts w:eastAsiaTheme="minorEastAsia"/>
        </w:rPr>
      </w:pPr>
    </w:p>
    <w:p w:rsidR="006D2199" w:rsidRDefault="003E68ED" w:rsidP="00C773A3">
      <w:pPr>
        <w:widowControl w:val="0"/>
        <w:adjustRightInd w:val="0"/>
        <w:spacing w:line="360" w:lineRule="auto"/>
        <w:rPr>
          <w:bCs/>
          <w:color w:val="000000"/>
        </w:rPr>
      </w:pPr>
      <w:r>
        <w:rPr>
          <w:bCs/>
          <w:color w:val="000000"/>
        </w:rPr>
        <w:tab/>
      </w:r>
      <w:r>
        <w:rPr>
          <w:bCs/>
          <w:color w:val="000000"/>
        </w:rPr>
        <w:tab/>
        <w:t>In response</w:t>
      </w:r>
      <w:r w:rsidR="007663F1">
        <w:rPr>
          <w:bCs/>
          <w:color w:val="000000"/>
        </w:rPr>
        <w:t xml:space="preserve"> to IDT’s Motion to Compel</w:t>
      </w:r>
      <w:r>
        <w:rPr>
          <w:bCs/>
          <w:color w:val="000000"/>
        </w:rPr>
        <w:t xml:space="preserve">, the Joint Complainants </w:t>
      </w:r>
      <w:r w:rsidR="00F4055F">
        <w:rPr>
          <w:bCs/>
          <w:color w:val="000000"/>
        </w:rPr>
        <w:t>argued that IDT’s Motion should be denied b</w:t>
      </w:r>
      <w:r>
        <w:rPr>
          <w:bCs/>
          <w:color w:val="000000"/>
        </w:rPr>
        <w:t xml:space="preserve">ecause </w:t>
      </w:r>
      <w:r w:rsidR="00086119">
        <w:rPr>
          <w:bCs/>
          <w:color w:val="000000"/>
        </w:rPr>
        <w:t>IDT is responsible for any fraudulent, deceptive or other unlawful marketing acts of its employees, agent and representatives and, as such, the disclosure of the names of other EGSs and the number of contacts and complaints filed against EGS</w:t>
      </w:r>
      <w:r w:rsidR="007663F1">
        <w:rPr>
          <w:bCs/>
          <w:color w:val="000000"/>
        </w:rPr>
        <w:t>s</w:t>
      </w:r>
      <w:r w:rsidR="00086119">
        <w:rPr>
          <w:bCs/>
          <w:color w:val="000000"/>
        </w:rPr>
        <w:t xml:space="preserve"> other than IDT cannot lead to relevant information or admissible evidence regarding the allegations in the Complaint against IDT.  </w:t>
      </w:r>
      <w:r w:rsidR="008A2D2D">
        <w:rPr>
          <w:bCs/>
          <w:color w:val="000000"/>
        </w:rPr>
        <w:t>The Joint Complainants also argued that the requested information is privileged because it is attorney work product and could, among other things, allow IDT to gain insight into strategy and tactics.  Additionally, the Joint Complainants based their objection on the investigative privilege because of the interest in protecting information from being discovered during an ongoing government investigation.</w:t>
      </w:r>
    </w:p>
    <w:p w:rsidR="00B61387" w:rsidRDefault="00B61387" w:rsidP="00C773A3">
      <w:pPr>
        <w:widowControl w:val="0"/>
        <w:adjustRightInd w:val="0"/>
        <w:spacing w:line="360" w:lineRule="auto"/>
        <w:rPr>
          <w:bCs/>
          <w:color w:val="000000"/>
        </w:rPr>
      </w:pPr>
    </w:p>
    <w:p w:rsidR="008A2D2D" w:rsidRDefault="00DD0E1C" w:rsidP="00C773A3">
      <w:pPr>
        <w:widowControl w:val="0"/>
        <w:adjustRightInd w:val="0"/>
        <w:spacing w:line="360" w:lineRule="auto"/>
        <w:rPr>
          <w:bCs/>
          <w:color w:val="000000"/>
        </w:rPr>
      </w:pPr>
      <w:r>
        <w:rPr>
          <w:bCs/>
          <w:color w:val="000000"/>
        </w:rPr>
        <w:tab/>
      </w:r>
      <w:r>
        <w:rPr>
          <w:bCs/>
          <w:color w:val="000000"/>
        </w:rPr>
        <w:tab/>
      </w:r>
      <w:r w:rsidR="008A2D2D">
        <w:rPr>
          <w:bCs/>
          <w:color w:val="000000"/>
        </w:rPr>
        <w:t>IDT’s Motion to Compel will be denied because the information sought by IDT about other EGSs will not lead to relevant information or admissible evidence regarding the allegations against IDT in the Complaint.</w:t>
      </w:r>
    </w:p>
    <w:p w:rsidR="008A2D2D" w:rsidRDefault="008A2D2D" w:rsidP="00165BBB">
      <w:pPr>
        <w:widowControl w:val="0"/>
        <w:adjustRightInd w:val="0"/>
        <w:spacing w:line="360" w:lineRule="auto"/>
        <w:ind w:firstLine="1440"/>
        <w:rPr>
          <w:bCs/>
          <w:color w:val="000000"/>
        </w:rPr>
      </w:pPr>
    </w:p>
    <w:p w:rsidR="000619B7" w:rsidRPr="00ED14CF" w:rsidRDefault="000619B7" w:rsidP="000619B7">
      <w:pPr>
        <w:widowControl w:val="0"/>
        <w:adjustRightInd w:val="0"/>
        <w:spacing w:line="360" w:lineRule="auto"/>
        <w:ind w:firstLine="1440"/>
        <w:rPr>
          <w:bCs/>
          <w:color w:val="000000"/>
        </w:rPr>
      </w:pPr>
      <w:r>
        <w:rPr>
          <w:bCs/>
          <w:color w:val="000000"/>
        </w:rPr>
        <w:t xml:space="preserve">Relevant evidence is evidence tending to prove or disprove an alleged fact or evidence having any tendency to make the existence of any fact that is of consequence to the determination of the action more probable or less probable than it would be without the evidence.  </w:t>
      </w:r>
      <w:r>
        <w:rPr>
          <w:bCs/>
          <w:color w:val="000000"/>
          <w:u w:val="single"/>
        </w:rPr>
        <w:t>Black’s Law Dictionary</w:t>
      </w:r>
      <w:r>
        <w:rPr>
          <w:bCs/>
          <w:color w:val="000000"/>
        </w:rPr>
        <w:t>, 6</w:t>
      </w:r>
      <w:r w:rsidRPr="00943A38">
        <w:rPr>
          <w:bCs/>
          <w:color w:val="000000"/>
          <w:vertAlign w:val="superscript"/>
        </w:rPr>
        <w:t>th</w:t>
      </w:r>
      <w:r>
        <w:rPr>
          <w:bCs/>
          <w:color w:val="000000"/>
        </w:rPr>
        <w:t xml:space="preserve"> Ed. at 1291</w:t>
      </w:r>
      <w:r w:rsidR="007663F1">
        <w:rPr>
          <w:bCs/>
          <w:color w:val="000000"/>
        </w:rPr>
        <w:t xml:space="preserve">; </w:t>
      </w:r>
      <w:r w:rsidR="007663F1">
        <w:rPr>
          <w:bCs/>
          <w:i/>
          <w:color w:val="000000"/>
        </w:rPr>
        <w:t>see also</w:t>
      </w:r>
      <w:r w:rsidR="007663F1">
        <w:rPr>
          <w:bCs/>
          <w:color w:val="000000"/>
        </w:rPr>
        <w:t xml:space="preserve">, </w:t>
      </w:r>
      <w:r w:rsidRPr="00ED14CF">
        <w:rPr>
          <w:bCs/>
          <w:color w:val="000000"/>
          <w:u w:val="single"/>
        </w:rPr>
        <w:t>Smith v. Morrison</w:t>
      </w:r>
      <w:r w:rsidRPr="00ED14CF">
        <w:rPr>
          <w:bCs/>
          <w:color w:val="000000"/>
        </w:rPr>
        <w:t xml:space="preserve">, 47 A.3d 131,137 (Pa. Super 2012), </w:t>
      </w:r>
      <w:proofErr w:type="spellStart"/>
      <w:r w:rsidRPr="00ED14CF">
        <w:rPr>
          <w:bCs/>
          <w:i/>
          <w:color w:val="000000"/>
        </w:rPr>
        <w:t>alloc</w:t>
      </w:r>
      <w:proofErr w:type="spellEnd"/>
      <w:r w:rsidRPr="00ED14CF">
        <w:rPr>
          <w:bCs/>
          <w:i/>
          <w:color w:val="000000"/>
        </w:rPr>
        <w:t>. denied</w:t>
      </w:r>
      <w:r w:rsidRPr="00ED14CF">
        <w:rPr>
          <w:bCs/>
          <w:color w:val="000000"/>
        </w:rPr>
        <w:t>, 57 A.3d 71 (Pa. 2012)</w:t>
      </w:r>
      <w:r w:rsidR="007663F1">
        <w:rPr>
          <w:bCs/>
          <w:color w:val="000000"/>
        </w:rPr>
        <w:t xml:space="preserve"> (</w:t>
      </w:r>
      <w:r w:rsidR="007663F1" w:rsidRPr="00ED14CF">
        <w:rPr>
          <w:bCs/>
          <w:color w:val="000000"/>
        </w:rPr>
        <w:t xml:space="preserve">Information is relevant “if it logically tends to establish a material fact in the case, tends to make a fact </w:t>
      </w:r>
      <w:r w:rsidR="007663F1" w:rsidRPr="00ED14CF">
        <w:rPr>
          <w:bCs/>
          <w:color w:val="000000"/>
        </w:rPr>
        <w:lastRenderedPageBreak/>
        <w:t>at issue more or less probable or supports a reasonable inference or presumption regarding</w:t>
      </w:r>
      <w:r w:rsidR="007663F1">
        <w:rPr>
          <w:bCs/>
          <w:color w:val="000000"/>
        </w:rPr>
        <w:t xml:space="preserve"> a material fact.”)</w:t>
      </w:r>
      <w:r w:rsidRPr="00ED14CF">
        <w:rPr>
          <w:bCs/>
          <w:color w:val="000000"/>
        </w:rPr>
        <w:t xml:space="preserve">.  </w:t>
      </w:r>
    </w:p>
    <w:p w:rsidR="000619B7" w:rsidRDefault="000619B7" w:rsidP="00165BBB">
      <w:pPr>
        <w:widowControl w:val="0"/>
        <w:adjustRightInd w:val="0"/>
        <w:spacing w:line="360" w:lineRule="auto"/>
        <w:ind w:firstLine="1440"/>
        <w:rPr>
          <w:bCs/>
          <w:color w:val="000000"/>
        </w:rPr>
      </w:pPr>
    </w:p>
    <w:p w:rsidR="0028706B" w:rsidRDefault="00445419" w:rsidP="00165BBB">
      <w:pPr>
        <w:widowControl w:val="0"/>
        <w:adjustRightInd w:val="0"/>
        <w:spacing w:line="360" w:lineRule="auto"/>
        <w:ind w:firstLine="1440"/>
        <w:rPr>
          <w:bCs/>
          <w:color w:val="000000"/>
        </w:rPr>
      </w:pPr>
      <w:r>
        <w:rPr>
          <w:bCs/>
          <w:color w:val="000000"/>
        </w:rPr>
        <w:t xml:space="preserve">The names of other EGSs and the number of contacts and complaints filed against EGSs other than IDT is not relevant to whether IDT’s Disclosure Statement is misleading or deceptive in anyway and, therefore, in violation of a Commission Order or regulation prohibiting such activities.  </w:t>
      </w:r>
      <w:r w:rsidR="00FF5AF4">
        <w:rPr>
          <w:bCs/>
          <w:color w:val="000000"/>
        </w:rPr>
        <w:t>As the Joint Complainants averred in the Complaint, Section 54.43(f) of the Commission’s regulations</w:t>
      </w:r>
      <w:r w:rsidR="007663F1">
        <w:rPr>
          <w:bCs/>
          <w:color w:val="000000"/>
        </w:rPr>
        <w:t>, for example,</w:t>
      </w:r>
      <w:r w:rsidR="00FF5AF4">
        <w:rPr>
          <w:bCs/>
          <w:color w:val="000000"/>
        </w:rPr>
        <w:t xml:space="preserve"> state</w:t>
      </w:r>
      <w:r w:rsidR="007663F1">
        <w:rPr>
          <w:bCs/>
          <w:color w:val="000000"/>
        </w:rPr>
        <w:t>s</w:t>
      </w:r>
      <w:r w:rsidR="00FF5AF4">
        <w:rPr>
          <w:bCs/>
          <w:color w:val="000000"/>
        </w:rPr>
        <w:t xml:space="preserve"> that a licensed EGS is responsible for any fraudulent, deceptive or other unlawful marketing acts by </w:t>
      </w:r>
      <w:r w:rsidR="00FF5AF4" w:rsidRPr="0028706B">
        <w:rPr>
          <w:b/>
          <w:bCs/>
          <w:i/>
          <w:color w:val="000000"/>
        </w:rPr>
        <w:t>its employees, agents and representatives</w:t>
      </w:r>
      <w:r w:rsidR="00FF5AF4">
        <w:rPr>
          <w:bCs/>
          <w:color w:val="000000"/>
        </w:rPr>
        <w:t xml:space="preserve">.  52 </w:t>
      </w:r>
      <w:proofErr w:type="spellStart"/>
      <w:r w:rsidR="00FF5AF4">
        <w:rPr>
          <w:bCs/>
          <w:color w:val="000000"/>
        </w:rPr>
        <w:t>Pa.Code</w:t>
      </w:r>
      <w:proofErr w:type="spellEnd"/>
      <w:r w:rsidR="00FF5AF4">
        <w:rPr>
          <w:bCs/>
          <w:color w:val="000000"/>
        </w:rPr>
        <w:t xml:space="preserve"> § 54.43(f)</w:t>
      </w:r>
      <w:r w:rsidR="0028706B">
        <w:rPr>
          <w:bCs/>
          <w:color w:val="000000"/>
        </w:rPr>
        <w:t xml:space="preserve"> (emphasis added)</w:t>
      </w:r>
      <w:r w:rsidR="00FF5AF4">
        <w:rPr>
          <w:bCs/>
          <w:color w:val="000000"/>
        </w:rPr>
        <w:t xml:space="preserve">.  </w:t>
      </w:r>
      <w:r w:rsidR="0028706B">
        <w:rPr>
          <w:bCs/>
          <w:color w:val="000000"/>
        </w:rPr>
        <w:t>Similarly</w:t>
      </w:r>
      <w:r w:rsidR="00FF5AF4">
        <w:rPr>
          <w:bCs/>
          <w:color w:val="000000"/>
        </w:rPr>
        <w:t xml:space="preserve">, the Joint Complainants also </w:t>
      </w:r>
      <w:r w:rsidR="00FE11F7">
        <w:rPr>
          <w:bCs/>
          <w:color w:val="000000"/>
        </w:rPr>
        <w:t xml:space="preserve">cite to Section 111.10 which </w:t>
      </w:r>
      <w:r w:rsidR="0028706B">
        <w:rPr>
          <w:bCs/>
          <w:color w:val="000000"/>
        </w:rPr>
        <w:t xml:space="preserve">requires </w:t>
      </w:r>
      <w:r w:rsidR="0028706B" w:rsidRPr="0028706B">
        <w:rPr>
          <w:b/>
          <w:bCs/>
          <w:i/>
          <w:color w:val="000000"/>
        </w:rPr>
        <w:t>a supplier and its agents</w:t>
      </w:r>
      <w:r w:rsidR="0028706B">
        <w:rPr>
          <w:bCs/>
          <w:color w:val="000000"/>
        </w:rPr>
        <w:t xml:space="preserve"> to comply with regulations that govern marketing, consumer protection and telemarketing sales.  52 </w:t>
      </w:r>
      <w:proofErr w:type="spellStart"/>
      <w:r w:rsidR="0028706B">
        <w:rPr>
          <w:bCs/>
          <w:color w:val="000000"/>
        </w:rPr>
        <w:t>Pa.Code</w:t>
      </w:r>
      <w:proofErr w:type="spellEnd"/>
      <w:r w:rsidR="0028706B">
        <w:rPr>
          <w:bCs/>
          <w:color w:val="000000"/>
        </w:rPr>
        <w:t xml:space="preserve"> § 111.10(a) (emphasis added).  None of the violations averred in the Complaint pertain to activities of other EGSs or IDT’s activities in relation to other EGSs.</w:t>
      </w:r>
      <w:r w:rsidR="000F7478">
        <w:rPr>
          <w:bCs/>
          <w:color w:val="000000"/>
        </w:rPr>
        <w:t xml:space="preserve">  </w:t>
      </w:r>
      <w:r w:rsidR="007663F1">
        <w:rPr>
          <w:bCs/>
          <w:color w:val="000000"/>
        </w:rPr>
        <w:t>I</w:t>
      </w:r>
      <w:r w:rsidR="000F7478">
        <w:rPr>
          <w:bCs/>
          <w:color w:val="000000"/>
        </w:rPr>
        <w:t xml:space="preserve">nformation about the operation of other suppliers </w:t>
      </w:r>
      <w:r w:rsidR="00457116">
        <w:rPr>
          <w:bCs/>
          <w:color w:val="000000"/>
        </w:rPr>
        <w:t>will not prov</w:t>
      </w:r>
      <w:r w:rsidR="007663F1">
        <w:rPr>
          <w:bCs/>
          <w:color w:val="000000"/>
        </w:rPr>
        <w:t>e or disprove whether IDT has violated Section 54.43 or 111.10 of the Commission’s regulations, or any other Commission regulation</w:t>
      </w:r>
      <w:r w:rsidR="000F7478">
        <w:rPr>
          <w:bCs/>
          <w:color w:val="000000"/>
        </w:rPr>
        <w:t>.</w:t>
      </w:r>
      <w:r w:rsidR="007663F1">
        <w:rPr>
          <w:bCs/>
          <w:color w:val="000000"/>
        </w:rPr>
        <w:t xml:space="preserve">  IDT interrogatories II-1 and II-4 are, therefore, irrelevant and beyond the scope of discovery.</w:t>
      </w:r>
    </w:p>
    <w:p w:rsidR="007663F1" w:rsidRDefault="007663F1" w:rsidP="00165BBB">
      <w:pPr>
        <w:widowControl w:val="0"/>
        <w:adjustRightInd w:val="0"/>
        <w:spacing w:line="360" w:lineRule="auto"/>
        <w:ind w:firstLine="1440"/>
        <w:rPr>
          <w:bCs/>
          <w:color w:val="000000"/>
        </w:rPr>
      </w:pPr>
    </w:p>
    <w:p w:rsidR="007663F1" w:rsidRDefault="007663F1" w:rsidP="00165BBB">
      <w:pPr>
        <w:widowControl w:val="0"/>
        <w:adjustRightInd w:val="0"/>
        <w:spacing w:line="360" w:lineRule="auto"/>
        <w:ind w:firstLine="1440"/>
        <w:rPr>
          <w:bCs/>
          <w:color w:val="000000"/>
        </w:rPr>
      </w:pPr>
      <w:r>
        <w:rPr>
          <w:bCs/>
          <w:color w:val="000000"/>
        </w:rPr>
        <w:t>IDT’s arguments to the contrary are without merit and will be rejected.</w:t>
      </w:r>
    </w:p>
    <w:p w:rsidR="007663F1" w:rsidRDefault="007663F1" w:rsidP="00165BBB">
      <w:pPr>
        <w:widowControl w:val="0"/>
        <w:adjustRightInd w:val="0"/>
        <w:spacing w:line="360" w:lineRule="auto"/>
        <w:ind w:firstLine="1440"/>
        <w:rPr>
          <w:bCs/>
          <w:color w:val="000000"/>
        </w:rPr>
      </w:pPr>
    </w:p>
    <w:p w:rsidR="00E33A31" w:rsidRDefault="007663F1" w:rsidP="00E33A31">
      <w:pPr>
        <w:widowControl w:val="0"/>
        <w:adjustRightInd w:val="0"/>
        <w:spacing w:line="360" w:lineRule="auto"/>
        <w:ind w:firstLine="1440"/>
        <w:rPr>
          <w:bCs/>
          <w:color w:val="000000"/>
        </w:rPr>
      </w:pPr>
      <w:r>
        <w:rPr>
          <w:bCs/>
          <w:color w:val="000000"/>
        </w:rPr>
        <w:t xml:space="preserve">First, IDT argued </w:t>
      </w:r>
      <w:r w:rsidR="00E33A31">
        <w:rPr>
          <w:bCs/>
          <w:color w:val="000000"/>
        </w:rPr>
        <w:t xml:space="preserve">that it only “seeks a minimal amount of additional information about the numbers of complaints and contacts received by the OCA and OAG – data which is specifically referenced in the Complaint.”  </w:t>
      </w:r>
      <w:r w:rsidR="00D35DE5">
        <w:rPr>
          <w:bCs/>
          <w:color w:val="000000"/>
        </w:rPr>
        <w:t xml:space="preserve">Similarly, IDT also argued that it is not asking for copies of the complaints or other related materials but only the “raw number of complaints and/or contacts related to each licensed supplier.”  These </w:t>
      </w:r>
      <w:r w:rsidR="00E33A31">
        <w:rPr>
          <w:bCs/>
          <w:color w:val="000000"/>
        </w:rPr>
        <w:t>argument</w:t>
      </w:r>
      <w:r w:rsidR="00D35DE5">
        <w:rPr>
          <w:bCs/>
          <w:color w:val="000000"/>
        </w:rPr>
        <w:t>s</w:t>
      </w:r>
      <w:r w:rsidR="00E33A31">
        <w:rPr>
          <w:bCs/>
          <w:color w:val="000000"/>
        </w:rPr>
        <w:t xml:space="preserve">, however, will also be rejected because the Joint Complainants have not objected to answering the interrogatories because of the amount of information requested – i.e., that it would be burdensome or expensive to provide an answer. </w:t>
      </w:r>
      <w:r w:rsidR="00457116">
        <w:rPr>
          <w:bCs/>
          <w:color w:val="000000"/>
        </w:rPr>
        <w:t xml:space="preserve"> </w:t>
      </w:r>
      <w:r w:rsidR="00457116">
        <w:rPr>
          <w:bCs/>
          <w:i/>
          <w:color w:val="000000"/>
        </w:rPr>
        <w:t>See</w:t>
      </w:r>
      <w:r w:rsidR="00457116">
        <w:rPr>
          <w:bCs/>
          <w:color w:val="000000"/>
        </w:rPr>
        <w:t xml:space="preserve">, 52 </w:t>
      </w:r>
      <w:proofErr w:type="spellStart"/>
      <w:r w:rsidR="00457116">
        <w:rPr>
          <w:bCs/>
          <w:color w:val="000000"/>
        </w:rPr>
        <w:t>Pa.Code</w:t>
      </w:r>
      <w:proofErr w:type="spellEnd"/>
      <w:r w:rsidR="00457116">
        <w:rPr>
          <w:bCs/>
          <w:color w:val="000000"/>
        </w:rPr>
        <w:t xml:space="preserve"> § 5.361(a</w:t>
      </w:r>
      <w:proofErr w:type="gramStart"/>
      <w:r w:rsidR="00457116">
        <w:rPr>
          <w:bCs/>
          <w:color w:val="000000"/>
        </w:rPr>
        <w:t>)(</w:t>
      </w:r>
      <w:proofErr w:type="gramEnd"/>
      <w:r w:rsidR="00457116">
        <w:rPr>
          <w:bCs/>
          <w:color w:val="000000"/>
        </w:rPr>
        <w:t xml:space="preserve">2). </w:t>
      </w:r>
      <w:r w:rsidR="00E33A31">
        <w:rPr>
          <w:bCs/>
          <w:color w:val="000000"/>
        </w:rPr>
        <w:t xml:space="preserve"> The Joint Complainants</w:t>
      </w:r>
      <w:r w:rsidR="00D35DE5">
        <w:rPr>
          <w:bCs/>
          <w:color w:val="000000"/>
        </w:rPr>
        <w:t>’</w:t>
      </w:r>
      <w:r w:rsidR="00E33A31">
        <w:rPr>
          <w:bCs/>
          <w:color w:val="000000"/>
        </w:rPr>
        <w:t xml:space="preserve"> objection is based on relevance and information sought in an interrogatory</w:t>
      </w:r>
      <w:r w:rsidR="00D35DE5">
        <w:rPr>
          <w:bCs/>
          <w:color w:val="000000"/>
        </w:rPr>
        <w:t>, including only raw numbers,</w:t>
      </w:r>
      <w:r w:rsidR="00E33A31">
        <w:rPr>
          <w:bCs/>
          <w:color w:val="000000"/>
        </w:rPr>
        <w:t xml:space="preserve"> can be irrelevant regardless of </w:t>
      </w:r>
      <w:r w:rsidR="00E33A31">
        <w:rPr>
          <w:bCs/>
          <w:color w:val="000000"/>
        </w:rPr>
        <w:lastRenderedPageBreak/>
        <w:t xml:space="preserve">whether it is a minimal amount of additional information </w:t>
      </w:r>
      <w:r w:rsidR="00D35DE5">
        <w:rPr>
          <w:bCs/>
          <w:color w:val="000000"/>
        </w:rPr>
        <w:t xml:space="preserve">or </w:t>
      </w:r>
      <w:r w:rsidR="00CA6C1F">
        <w:rPr>
          <w:bCs/>
          <w:color w:val="000000"/>
        </w:rPr>
        <w:t>more than a minimal amount of information.</w:t>
      </w:r>
      <w:r w:rsidR="00457116">
        <w:rPr>
          <w:bCs/>
          <w:color w:val="000000"/>
        </w:rPr>
        <w:t xml:space="preserve">  IDT’s argument will be rejected.</w:t>
      </w:r>
    </w:p>
    <w:p w:rsidR="007663F1" w:rsidRDefault="007663F1" w:rsidP="00165BBB">
      <w:pPr>
        <w:widowControl w:val="0"/>
        <w:adjustRightInd w:val="0"/>
        <w:spacing w:line="360" w:lineRule="auto"/>
        <w:ind w:firstLine="1440"/>
        <w:rPr>
          <w:bCs/>
          <w:color w:val="000000"/>
        </w:rPr>
      </w:pPr>
    </w:p>
    <w:p w:rsidR="00D44F60" w:rsidRDefault="00E33A31" w:rsidP="00D44F60">
      <w:pPr>
        <w:widowControl w:val="0"/>
        <w:adjustRightInd w:val="0"/>
        <w:spacing w:line="360" w:lineRule="auto"/>
        <w:ind w:firstLine="1440"/>
        <w:rPr>
          <w:bCs/>
          <w:color w:val="000000"/>
        </w:rPr>
      </w:pPr>
      <w:r>
        <w:rPr>
          <w:bCs/>
          <w:color w:val="000000"/>
        </w:rPr>
        <w:t xml:space="preserve">Second, IDT argued </w:t>
      </w:r>
      <w:r w:rsidR="003C46E4">
        <w:rPr>
          <w:bCs/>
          <w:color w:val="000000"/>
        </w:rPr>
        <w:t xml:space="preserve">that the “foundation for the filing of this Complaint was a number of customer complaints received by the OCA and OAG over the course of several months against IDT and against other similarly regulated suppliers.”  IDT added that the complaints filed by the Joint Complainants against it and four other EGSs provide “a partial breakdown of the universe of complaints and contacts received by the OCA and OAG regarding EGS variable pricing in early 2014” and that IDT “is simply seeking the remainder of the breakdown of complaints and contacts received by the OCA and OAG, by supplier.”   </w:t>
      </w:r>
      <w:r w:rsidR="00D44F60">
        <w:rPr>
          <w:bCs/>
          <w:color w:val="000000"/>
        </w:rPr>
        <w:t>IDT’s argument again is without merit and will be rejected.</w:t>
      </w:r>
    </w:p>
    <w:p w:rsidR="00D44F60" w:rsidRDefault="00D44F60" w:rsidP="00D44F60">
      <w:pPr>
        <w:widowControl w:val="0"/>
        <w:adjustRightInd w:val="0"/>
        <w:spacing w:line="360" w:lineRule="auto"/>
        <w:ind w:firstLine="1440"/>
        <w:rPr>
          <w:bCs/>
          <w:color w:val="000000"/>
        </w:rPr>
      </w:pPr>
    </w:p>
    <w:p w:rsidR="00D44F60" w:rsidRDefault="00457116" w:rsidP="00D44F60">
      <w:pPr>
        <w:widowControl w:val="0"/>
        <w:adjustRightInd w:val="0"/>
        <w:spacing w:line="360" w:lineRule="auto"/>
        <w:ind w:firstLine="1440"/>
        <w:rPr>
          <w:bCs/>
          <w:color w:val="000000"/>
        </w:rPr>
      </w:pPr>
      <w:r>
        <w:rPr>
          <w:bCs/>
          <w:color w:val="000000"/>
        </w:rPr>
        <w:t>P</w:t>
      </w:r>
      <w:r w:rsidR="00D44F60">
        <w:rPr>
          <w:bCs/>
          <w:color w:val="000000"/>
        </w:rPr>
        <w:t xml:space="preserve">aragraphs </w:t>
      </w:r>
      <w:r>
        <w:rPr>
          <w:bCs/>
          <w:color w:val="000000"/>
        </w:rPr>
        <w:t xml:space="preserve">15 and 18 </w:t>
      </w:r>
      <w:r w:rsidR="00D44F60">
        <w:rPr>
          <w:bCs/>
          <w:color w:val="000000"/>
        </w:rPr>
        <w:t xml:space="preserve">of the Complaint that are the focus of the interrogatories that are subject to the Motion to Compel are not included in specific Counts of the Complaint but, rather, are used to provide general introductory or background information to frame the issues that will be raised in the Complaint.  The Joint Complainants are not providing the information </w:t>
      </w:r>
      <w:r>
        <w:rPr>
          <w:bCs/>
          <w:color w:val="000000"/>
        </w:rPr>
        <w:t xml:space="preserve">in paragraphs 15 and 18 </w:t>
      </w:r>
      <w:r w:rsidR="00D44F60">
        <w:rPr>
          <w:bCs/>
          <w:color w:val="000000"/>
        </w:rPr>
        <w:t>to form a comparison of IDT to other EGSs.  That is, the Joint Complainants are not arguing that IDT has violated the Public Utility Code or a Commission Order or regulation because more contacts from consumers about variable rates have been received regarding IDT than other EGSs.  The Joint Complainants provide this data as background information to lay the foundation of the allegations raised in the remainder of the Complaint.  The fact that the Joint Complainants stated the total number of contacts and complaints received does not make the information regarding the total numbers relevant to the averments contained in Counts I-VII in the remainder of the Complaint.</w:t>
      </w:r>
      <w:r>
        <w:rPr>
          <w:bCs/>
          <w:color w:val="000000"/>
        </w:rPr>
        <w:t xml:space="preserve">  The foundation of the Complaint is not, as IDT argues, the number of customer complaints received against IDT and several other similarly regulated supplier</w:t>
      </w:r>
      <w:r w:rsidR="00451B1F">
        <w:rPr>
          <w:bCs/>
          <w:color w:val="000000"/>
        </w:rPr>
        <w:t>s</w:t>
      </w:r>
      <w:r>
        <w:rPr>
          <w:bCs/>
          <w:color w:val="000000"/>
        </w:rPr>
        <w:t>.  The foundation of the Complaint is the customer complaints received against IDT.</w:t>
      </w:r>
    </w:p>
    <w:p w:rsidR="0028706B" w:rsidRDefault="0028706B" w:rsidP="00165BBB">
      <w:pPr>
        <w:widowControl w:val="0"/>
        <w:adjustRightInd w:val="0"/>
        <w:spacing w:line="360" w:lineRule="auto"/>
        <w:ind w:firstLine="1440"/>
        <w:rPr>
          <w:bCs/>
          <w:color w:val="000000"/>
        </w:rPr>
      </w:pPr>
    </w:p>
    <w:p w:rsidR="001D75A1" w:rsidRDefault="00C54E24" w:rsidP="00165BBB">
      <w:pPr>
        <w:widowControl w:val="0"/>
        <w:adjustRightInd w:val="0"/>
        <w:spacing w:line="360" w:lineRule="auto"/>
        <w:ind w:firstLine="1440"/>
        <w:rPr>
          <w:bCs/>
          <w:color w:val="000000"/>
        </w:rPr>
      </w:pPr>
      <w:r>
        <w:rPr>
          <w:bCs/>
          <w:color w:val="000000"/>
        </w:rPr>
        <w:t xml:space="preserve">Third, IDT </w:t>
      </w:r>
      <w:r w:rsidR="00445419">
        <w:rPr>
          <w:bCs/>
          <w:color w:val="000000"/>
        </w:rPr>
        <w:t xml:space="preserve">argued that it is important to examine </w:t>
      </w:r>
      <w:r w:rsidR="000468CD">
        <w:rPr>
          <w:bCs/>
          <w:color w:val="000000"/>
        </w:rPr>
        <w:t xml:space="preserve">other marketing materials and disclosure statements that were available in the Pennsylvania marketplace </w:t>
      </w:r>
      <w:r w:rsidR="000468CD">
        <w:rPr>
          <w:bCs/>
          <w:color w:val="000000"/>
        </w:rPr>
        <w:lastRenderedPageBreak/>
        <w:t>for purposes of comparison and to d</w:t>
      </w:r>
      <w:r>
        <w:rPr>
          <w:bCs/>
          <w:color w:val="000000"/>
        </w:rPr>
        <w:t xml:space="preserve">etermine whether customers may </w:t>
      </w:r>
      <w:r w:rsidR="000468CD">
        <w:rPr>
          <w:bCs/>
          <w:color w:val="000000"/>
        </w:rPr>
        <w:t xml:space="preserve">have been confused by such other materials rather than IDT’s materials.  </w:t>
      </w:r>
      <w:r>
        <w:rPr>
          <w:bCs/>
          <w:color w:val="000000"/>
        </w:rPr>
        <w:t>IDT noted that the Joint Complainants apparently intend to prosecute this case under a “pattern and practice” theory and</w:t>
      </w:r>
      <w:r w:rsidR="000468CD">
        <w:rPr>
          <w:bCs/>
          <w:color w:val="000000"/>
        </w:rPr>
        <w:t xml:space="preserve">, therefore, seeks “wide latitude” to receive the information requested in interrogatories II-1 and II-4 about </w:t>
      </w:r>
      <w:r w:rsidR="00457116">
        <w:rPr>
          <w:bCs/>
          <w:color w:val="000000"/>
        </w:rPr>
        <w:t xml:space="preserve">other </w:t>
      </w:r>
      <w:r w:rsidR="000468CD">
        <w:rPr>
          <w:bCs/>
          <w:color w:val="000000"/>
        </w:rPr>
        <w:t xml:space="preserve">EGSs’ practices and customer responses to those practices.  </w:t>
      </w:r>
      <w:r>
        <w:rPr>
          <w:bCs/>
          <w:color w:val="000000"/>
        </w:rPr>
        <w:t xml:space="preserve">IDT argued that it will be relevant to examine the standard practices in the industry.  </w:t>
      </w:r>
      <w:r w:rsidR="000468CD">
        <w:rPr>
          <w:bCs/>
          <w:color w:val="000000"/>
        </w:rPr>
        <w:t xml:space="preserve">This argument will be rejected.  </w:t>
      </w:r>
    </w:p>
    <w:p w:rsidR="001D75A1" w:rsidRDefault="001D75A1" w:rsidP="00165BBB">
      <w:pPr>
        <w:widowControl w:val="0"/>
        <w:adjustRightInd w:val="0"/>
        <w:spacing w:line="360" w:lineRule="auto"/>
        <w:ind w:firstLine="1440"/>
        <w:rPr>
          <w:bCs/>
          <w:color w:val="000000"/>
        </w:rPr>
      </w:pPr>
    </w:p>
    <w:p w:rsidR="000468CD" w:rsidRPr="00FF5AF4" w:rsidRDefault="004A3C0F" w:rsidP="00165BBB">
      <w:pPr>
        <w:widowControl w:val="0"/>
        <w:adjustRightInd w:val="0"/>
        <w:spacing w:line="360" w:lineRule="auto"/>
        <w:ind w:firstLine="1440"/>
        <w:rPr>
          <w:bCs/>
          <w:color w:val="000000"/>
        </w:rPr>
      </w:pPr>
      <w:r>
        <w:rPr>
          <w:bCs/>
          <w:color w:val="000000"/>
        </w:rPr>
        <w:t>M</w:t>
      </w:r>
      <w:r w:rsidR="000468CD">
        <w:rPr>
          <w:bCs/>
          <w:color w:val="000000"/>
        </w:rPr>
        <w:t xml:space="preserve">aterials and practices </w:t>
      </w:r>
      <w:r>
        <w:rPr>
          <w:bCs/>
          <w:color w:val="000000"/>
        </w:rPr>
        <w:t xml:space="preserve">of other EGSs </w:t>
      </w:r>
      <w:r w:rsidR="000468CD">
        <w:rPr>
          <w:bCs/>
          <w:color w:val="000000"/>
        </w:rPr>
        <w:t>ha</w:t>
      </w:r>
      <w:r w:rsidR="00F0379A">
        <w:rPr>
          <w:bCs/>
          <w:color w:val="000000"/>
        </w:rPr>
        <w:t>ve</w:t>
      </w:r>
      <w:r w:rsidR="000468CD">
        <w:rPr>
          <w:bCs/>
          <w:color w:val="000000"/>
        </w:rPr>
        <w:t xml:space="preserve"> no relevance to whether IDT’s materials and practices violate the Public Utility Code.  </w:t>
      </w:r>
      <w:r w:rsidR="001D75A1">
        <w:rPr>
          <w:bCs/>
          <w:color w:val="000000"/>
        </w:rPr>
        <w:t xml:space="preserve">Even if it was determined that IDT’s materials and practices are similar to those of other </w:t>
      </w:r>
      <w:proofErr w:type="gramStart"/>
      <w:r w:rsidR="001D75A1">
        <w:rPr>
          <w:bCs/>
          <w:color w:val="000000"/>
        </w:rPr>
        <w:t>EGSs, that</w:t>
      </w:r>
      <w:proofErr w:type="gramEnd"/>
      <w:r w:rsidR="001D75A1">
        <w:rPr>
          <w:bCs/>
          <w:color w:val="000000"/>
        </w:rPr>
        <w:t xml:space="preserve"> would not be </w:t>
      </w:r>
      <w:r w:rsidR="00457116">
        <w:rPr>
          <w:bCs/>
          <w:color w:val="000000"/>
        </w:rPr>
        <w:t xml:space="preserve">a </w:t>
      </w:r>
      <w:r w:rsidR="001D75A1">
        <w:rPr>
          <w:bCs/>
          <w:color w:val="000000"/>
        </w:rPr>
        <w:t xml:space="preserve">reasonable defense of the averments in the Complaint.  </w:t>
      </w:r>
      <w:r w:rsidR="00457116">
        <w:rPr>
          <w:bCs/>
          <w:color w:val="000000"/>
        </w:rPr>
        <w:t xml:space="preserve">As the Joint Complainants noted in their Answer to IDT’s Motion, IDT’s argument regarding “pattern and practice” should be rejected because the “pattern and practice” at issue in this proceeding is IDT’s pattern and practice, </w:t>
      </w:r>
      <w:r w:rsidR="00F0379A">
        <w:rPr>
          <w:bCs/>
          <w:color w:val="000000"/>
        </w:rPr>
        <w:t xml:space="preserve">as opposed to </w:t>
      </w:r>
      <w:r w:rsidR="00457116">
        <w:rPr>
          <w:bCs/>
          <w:color w:val="000000"/>
        </w:rPr>
        <w:t>other EGSs’ pattern and practice.  T</w:t>
      </w:r>
      <w:r w:rsidR="000468CD">
        <w:rPr>
          <w:bCs/>
          <w:color w:val="000000"/>
        </w:rPr>
        <w:t xml:space="preserve">he “wide latitude” that IDT requests in its Motion to Compel is </w:t>
      </w:r>
      <w:r w:rsidR="00F0379A">
        <w:rPr>
          <w:bCs/>
          <w:color w:val="000000"/>
        </w:rPr>
        <w:t xml:space="preserve">a </w:t>
      </w:r>
      <w:r w:rsidR="000468CD">
        <w:rPr>
          <w:bCs/>
          <w:color w:val="000000"/>
        </w:rPr>
        <w:t xml:space="preserve">“fishing expedition” that </w:t>
      </w:r>
      <w:r w:rsidR="00FF5AF4">
        <w:rPr>
          <w:bCs/>
          <w:color w:val="000000"/>
        </w:rPr>
        <w:t xml:space="preserve">is prohibited in discovery.  </w:t>
      </w:r>
      <w:r w:rsidR="00FF5AF4">
        <w:rPr>
          <w:bCs/>
          <w:color w:val="000000"/>
          <w:u w:val="single"/>
        </w:rPr>
        <w:t xml:space="preserve">Land v. State Farm </w:t>
      </w:r>
      <w:proofErr w:type="spellStart"/>
      <w:r w:rsidR="00FF5AF4">
        <w:rPr>
          <w:bCs/>
          <w:color w:val="000000"/>
          <w:u w:val="single"/>
        </w:rPr>
        <w:t>Mut</w:t>
      </w:r>
      <w:proofErr w:type="spellEnd"/>
      <w:r w:rsidR="00FF5AF4">
        <w:rPr>
          <w:bCs/>
          <w:color w:val="000000"/>
          <w:u w:val="single"/>
        </w:rPr>
        <w:t>. Ins. Co.</w:t>
      </w:r>
      <w:r w:rsidR="00FF5AF4">
        <w:rPr>
          <w:bCs/>
          <w:color w:val="000000"/>
        </w:rPr>
        <w:t xml:space="preserve">, 410 Pa. Super. </w:t>
      </w:r>
      <w:proofErr w:type="gramStart"/>
      <w:r w:rsidR="00FF5AF4">
        <w:rPr>
          <w:bCs/>
          <w:color w:val="000000"/>
        </w:rPr>
        <w:t>579, 585, 600 A.2d 605, 608 (1991).</w:t>
      </w:r>
      <w:proofErr w:type="gramEnd"/>
    </w:p>
    <w:p w:rsidR="00165BBB" w:rsidRDefault="00165BBB" w:rsidP="00165BBB">
      <w:pPr>
        <w:widowControl w:val="0"/>
        <w:adjustRightInd w:val="0"/>
        <w:spacing w:line="360" w:lineRule="auto"/>
        <w:ind w:firstLine="1440"/>
        <w:rPr>
          <w:bCs/>
          <w:color w:val="000000"/>
        </w:rPr>
      </w:pPr>
    </w:p>
    <w:p w:rsidR="00B61387" w:rsidRPr="00411A28" w:rsidRDefault="00B61387" w:rsidP="00165BBB">
      <w:pPr>
        <w:widowControl w:val="0"/>
        <w:adjustRightInd w:val="0"/>
        <w:spacing w:line="360" w:lineRule="auto"/>
        <w:ind w:firstLine="1440"/>
        <w:rPr>
          <w:bCs/>
          <w:color w:val="000000"/>
        </w:rPr>
      </w:pPr>
      <w:r>
        <w:rPr>
          <w:bCs/>
          <w:color w:val="000000"/>
        </w:rPr>
        <w:t>Because we find that the interrogatories are not relevant to the issues raised in this matter because the interrogatories will not lead to relevant information or admissible evidence regarding the allegations against IDT, the issues regarding whether the interrogatories are beyond the scope of permissible discovery because they seek attorney work produ</w:t>
      </w:r>
      <w:r w:rsidR="00451B1F">
        <w:rPr>
          <w:bCs/>
          <w:color w:val="000000"/>
        </w:rPr>
        <w:t>ct</w:t>
      </w:r>
      <w:r>
        <w:rPr>
          <w:bCs/>
          <w:color w:val="000000"/>
        </w:rPr>
        <w:t xml:space="preserve"> or the information requested in the interrogatories is protected by the “investigative privilege” will not be addressed because they are moot.  It is sufficient to deny IDT’</w:t>
      </w:r>
      <w:r w:rsidR="00DD0E1C">
        <w:rPr>
          <w:bCs/>
          <w:color w:val="000000"/>
        </w:rPr>
        <w:t>s Motion to Compel because th</w:t>
      </w:r>
      <w:r>
        <w:rPr>
          <w:bCs/>
          <w:color w:val="000000"/>
        </w:rPr>
        <w:t>e</w:t>
      </w:r>
      <w:r w:rsidR="00DD0E1C">
        <w:rPr>
          <w:bCs/>
          <w:color w:val="000000"/>
        </w:rPr>
        <w:t xml:space="preserve"> </w:t>
      </w:r>
      <w:r>
        <w:rPr>
          <w:bCs/>
          <w:color w:val="000000"/>
        </w:rPr>
        <w:t xml:space="preserve">interrogatories will not lead to relevant information </w:t>
      </w:r>
      <w:r w:rsidR="00DD0E1C">
        <w:rPr>
          <w:bCs/>
          <w:color w:val="000000"/>
        </w:rPr>
        <w:t>or admissible evidence regarding the allegations against IDT.</w:t>
      </w:r>
    </w:p>
    <w:p w:rsidR="00411A28" w:rsidRPr="00411A28" w:rsidRDefault="00411A28" w:rsidP="00C773A3">
      <w:pPr>
        <w:widowControl w:val="0"/>
        <w:adjustRightInd w:val="0"/>
        <w:spacing w:line="360" w:lineRule="auto"/>
        <w:rPr>
          <w:bCs/>
          <w:color w:val="000000"/>
        </w:rPr>
      </w:pPr>
    </w:p>
    <w:p w:rsidR="00C94926" w:rsidRDefault="006A2A7B" w:rsidP="00C94926">
      <w:pPr>
        <w:widowControl w:val="0"/>
        <w:adjustRightInd w:val="0"/>
        <w:spacing w:line="360" w:lineRule="auto"/>
        <w:rPr>
          <w:bCs/>
          <w:color w:val="000000"/>
        </w:rPr>
      </w:pPr>
      <w:r>
        <w:rPr>
          <w:bCs/>
          <w:color w:val="000000"/>
        </w:rPr>
        <w:tab/>
      </w:r>
      <w:r>
        <w:rPr>
          <w:bCs/>
          <w:color w:val="000000"/>
        </w:rPr>
        <w:tab/>
      </w:r>
      <w:r w:rsidR="00C94926">
        <w:rPr>
          <w:bCs/>
          <w:color w:val="000000"/>
        </w:rPr>
        <w:t xml:space="preserve">As such, the Motion to Compel filed by IDT will be denied and the objections to IDT interrogatory Set II-1 and II-4 filed by the OCA and OAG will be sustained.  The interrogatories are not relevant to the issues raised in this matter because </w:t>
      </w:r>
      <w:r w:rsidR="00C94926">
        <w:rPr>
          <w:bCs/>
          <w:color w:val="000000"/>
        </w:rPr>
        <w:lastRenderedPageBreak/>
        <w:t>the interrogatories will not lead to relevant information or admissible evidence regarding the allegations against IDT.</w:t>
      </w:r>
    </w:p>
    <w:p w:rsidR="00411A28" w:rsidRDefault="00411A28" w:rsidP="00C773A3">
      <w:pPr>
        <w:widowControl w:val="0"/>
        <w:adjustRightInd w:val="0"/>
        <w:spacing w:line="360" w:lineRule="auto"/>
        <w:rPr>
          <w:bCs/>
          <w:color w:val="000000"/>
        </w:rPr>
      </w:pPr>
    </w:p>
    <w:p w:rsidR="00AA5A3B" w:rsidRPr="00C94926" w:rsidRDefault="00FA0DC0" w:rsidP="00FA0DC0">
      <w:pPr>
        <w:spacing w:line="360" w:lineRule="auto"/>
        <w:jc w:val="center"/>
      </w:pPr>
      <w:r w:rsidRPr="00C94926">
        <w:rPr>
          <w:u w:val="single"/>
        </w:rPr>
        <w:t>ORDER</w:t>
      </w:r>
    </w:p>
    <w:p w:rsidR="00FA0DC0" w:rsidRPr="00C94926" w:rsidRDefault="00FA0DC0" w:rsidP="00E93D93">
      <w:pPr>
        <w:spacing w:line="360" w:lineRule="auto"/>
      </w:pPr>
    </w:p>
    <w:p w:rsidR="006D33B5" w:rsidRPr="00C94926" w:rsidRDefault="006D33B5">
      <w:pPr>
        <w:spacing w:line="360" w:lineRule="auto"/>
        <w:ind w:firstLine="1440"/>
        <w:rPr>
          <w:bCs/>
        </w:rPr>
      </w:pPr>
      <w:r w:rsidRPr="00C94926">
        <w:rPr>
          <w:bCs/>
        </w:rPr>
        <w:t>THEREFORE,</w:t>
      </w:r>
    </w:p>
    <w:p w:rsidR="006D33B5" w:rsidRPr="00C94926" w:rsidRDefault="006D33B5">
      <w:pPr>
        <w:spacing w:line="360" w:lineRule="auto"/>
        <w:ind w:firstLine="1440"/>
      </w:pPr>
    </w:p>
    <w:p w:rsidR="0013770C" w:rsidRPr="00C94926" w:rsidRDefault="006D33B5" w:rsidP="0013770C">
      <w:pPr>
        <w:spacing w:line="360" w:lineRule="auto"/>
        <w:ind w:firstLine="1440"/>
        <w:rPr>
          <w:bCs/>
        </w:rPr>
      </w:pPr>
      <w:r w:rsidRPr="00C94926">
        <w:rPr>
          <w:bCs/>
        </w:rPr>
        <w:t>IT IS ORDERED:</w:t>
      </w:r>
    </w:p>
    <w:p w:rsidR="0013770C" w:rsidRPr="00C94926" w:rsidRDefault="0013770C" w:rsidP="0013770C">
      <w:pPr>
        <w:spacing w:line="360" w:lineRule="auto"/>
        <w:ind w:firstLine="1440"/>
        <w:rPr>
          <w:bCs/>
        </w:rPr>
      </w:pPr>
    </w:p>
    <w:p w:rsidR="009E1D3F" w:rsidRDefault="00143290" w:rsidP="00C94926">
      <w:pPr>
        <w:pStyle w:val="ListParagraph"/>
        <w:numPr>
          <w:ilvl w:val="0"/>
          <w:numId w:val="11"/>
        </w:numPr>
        <w:spacing w:line="360" w:lineRule="auto"/>
        <w:ind w:left="0" w:firstLine="1440"/>
      </w:pPr>
      <w:r w:rsidRPr="00C94926">
        <w:t>That</w:t>
      </w:r>
      <w:r w:rsidR="00144EB5" w:rsidRPr="00C94926">
        <w:t xml:space="preserve"> </w:t>
      </w:r>
      <w:r w:rsidR="009118CE">
        <w:t xml:space="preserve">the </w:t>
      </w:r>
      <w:r w:rsidR="009E1D3F">
        <w:t xml:space="preserve">Motion to Compel of IDT Energy, Inc. against </w:t>
      </w:r>
      <w:r w:rsidR="00700B9E" w:rsidRPr="00C94926">
        <w:t xml:space="preserve">Commonwealth of Pennsylvania, by Attorney General Kathleen G. Kane, through the Bureau of Consumer Protection, and Tanya J. McCloskey, Acting Consumer Advocate, </w:t>
      </w:r>
      <w:r w:rsidR="005C1B4B" w:rsidRPr="00C94926">
        <w:t>at Docket Number C-</w:t>
      </w:r>
      <w:r w:rsidR="00700B9E" w:rsidRPr="00C94926">
        <w:t>2014-242765</w:t>
      </w:r>
      <w:r w:rsidR="00457116">
        <w:t>7</w:t>
      </w:r>
      <w:r w:rsidR="00700B9E" w:rsidRPr="00C94926">
        <w:t xml:space="preserve"> </w:t>
      </w:r>
      <w:r w:rsidR="009E1D3F">
        <w:t xml:space="preserve">dated August 25, </w:t>
      </w:r>
      <w:r w:rsidR="00033858" w:rsidRPr="00C94926">
        <w:t xml:space="preserve">2014 </w:t>
      </w:r>
      <w:r w:rsidR="009118CE">
        <w:t xml:space="preserve">seeking Answers to IDT Interrogatories II-1 and II-4 </w:t>
      </w:r>
      <w:r w:rsidR="009E1D3F">
        <w:t xml:space="preserve">is hereby denied.  </w:t>
      </w:r>
    </w:p>
    <w:p w:rsidR="009E1D3F" w:rsidRDefault="009E1D3F" w:rsidP="009E1D3F">
      <w:pPr>
        <w:pStyle w:val="ListParagraph"/>
        <w:spacing w:line="360" w:lineRule="auto"/>
        <w:ind w:left="1440"/>
      </w:pPr>
    </w:p>
    <w:p w:rsidR="00C773A3" w:rsidRPr="00700B9E" w:rsidRDefault="009118CE" w:rsidP="00C94926">
      <w:pPr>
        <w:pStyle w:val="ListParagraph"/>
        <w:numPr>
          <w:ilvl w:val="0"/>
          <w:numId w:val="11"/>
        </w:numPr>
        <w:spacing w:line="360" w:lineRule="auto"/>
        <w:ind w:left="0" w:firstLine="1440"/>
      </w:pPr>
      <w:r>
        <w:t xml:space="preserve">That the objections of the </w:t>
      </w:r>
      <w:r w:rsidRPr="00C94926">
        <w:t>Commonwealth of Pennsylvania, by Attorney General Kathleen G. Kane, through the Bureau of Consumer Protection, and Tanya J. McCloskey, Acting Consumer Advocate</w:t>
      </w:r>
      <w:r>
        <w:t xml:space="preserve"> are sustained</w:t>
      </w:r>
      <w:r w:rsidR="00033858" w:rsidRPr="00C94926">
        <w:t>.</w:t>
      </w:r>
      <w:r w:rsidR="00C94926" w:rsidRPr="00700B9E">
        <w:t xml:space="preserve"> </w:t>
      </w:r>
    </w:p>
    <w:p w:rsidR="00444E27" w:rsidRDefault="00444E27" w:rsidP="00444E27"/>
    <w:p w:rsidR="00457116" w:rsidRDefault="00457116" w:rsidP="00444E27"/>
    <w:p w:rsidR="009118CE" w:rsidRPr="00550B34" w:rsidRDefault="009118CE" w:rsidP="00444E27"/>
    <w:p w:rsidR="00897507" w:rsidRPr="00550B34" w:rsidRDefault="00444E27" w:rsidP="00897507">
      <w:pPr>
        <w:rPr>
          <w:u w:val="single"/>
        </w:rPr>
      </w:pPr>
      <w:r w:rsidRPr="00550B34">
        <w:t xml:space="preserve">Date: </w:t>
      </w:r>
      <w:r w:rsidR="00411A28">
        <w:rPr>
          <w:u w:val="single"/>
        </w:rPr>
        <w:t xml:space="preserve">September </w:t>
      </w:r>
      <w:r w:rsidR="004A3C0F">
        <w:rPr>
          <w:u w:val="single"/>
        </w:rPr>
        <w:t>8</w:t>
      </w:r>
      <w:r w:rsidRPr="00550B34">
        <w:rPr>
          <w:u w:val="single"/>
        </w:rPr>
        <w:t>, 201</w:t>
      </w:r>
      <w:r w:rsidR="004417F1">
        <w:rPr>
          <w:u w:val="single"/>
        </w:rPr>
        <w:t>4</w:t>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t>Elizabeth Barnes</w:t>
      </w:r>
    </w:p>
    <w:p w:rsidR="00897507" w:rsidRPr="00550B34" w:rsidRDefault="00897507" w:rsidP="00897507">
      <w:r w:rsidRPr="00550B34">
        <w:tab/>
      </w:r>
      <w:r w:rsidRPr="00550B34">
        <w:tab/>
      </w:r>
      <w:r w:rsidRPr="00550B34">
        <w:tab/>
      </w:r>
      <w:r w:rsidRPr="00550B34">
        <w:tab/>
      </w:r>
      <w:r w:rsidRPr="00550B34">
        <w:tab/>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444E27" w:rsidRPr="00550B34" w:rsidRDefault="00444E27" w:rsidP="00444E27">
      <w:r w:rsidRPr="00550B34">
        <w:tab/>
      </w:r>
      <w:r w:rsidRPr="00550B34">
        <w:tab/>
      </w:r>
      <w:r w:rsidRPr="00550B34">
        <w:tab/>
      </w:r>
      <w:r w:rsidRPr="00550B34">
        <w:tab/>
      </w:r>
      <w:r w:rsidRPr="00550B34">
        <w:tab/>
        <w:t>Administrative Law Judge</w:t>
      </w:r>
    </w:p>
    <w:sectPr w:rsidR="00444E27" w:rsidRPr="00550B34" w:rsidSect="00713D64">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970" w:rsidRDefault="00CA3970">
      <w:r>
        <w:separator/>
      </w:r>
    </w:p>
  </w:endnote>
  <w:endnote w:type="continuationSeparator" w:id="0">
    <w:p w:rsidR="00CA3970" w:rsidRDefault="00CA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347E0A">
      <w:rPr>
        <w:rStyle w:val="PageNumber"/>
        <w:noProof/>
        <w:sz w:val="23"/>
        <w:szCs w:val="23"/>
      </w:rPr>
      <w:t>2</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970" w:rsidRDefault="00CA3970">
      <w:r>
        <w:separator/>
      </w:r>
    </w:p>
  </w:footnote>
  <w:footnote w:type="continuationSeparator" w:id="0">
    <w:p w:rsidR="00CA3970" w:rsidRDefault="00CA3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9E91048"/>
    <w:multiLevelType w:val="hybridMultilevel"/>
    <w:tmpl w:val="407AD322"/>
    <w:lvl w:ilvl="0" w:tplc="75BAEC06">
      <w:start w:val="1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6E49FD"/>
    <w:multiLevelType w:val="hybridMultilevel"/>
    <w:tmpl w:val="6D802698"/>
    <w:lvl w:ilvl="0" w:tplc="5E5C73AE">
      <w:start w:val="1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2"/>
  </w:num>
  <w:num w:numId="4">
    <w:abstractNumId w:val="19"/>
  </w:num>
  <w:num w:numId="5">
    <w:abstractNumId w:val="4"/>
  </w:num>
  <w:num w:numId="6">
    <w:abstractNumId w:val="23"/>
  </w:num>
  <w:num w:numId="7">
    <w:abstractNumId w:val="1"/>
  </w:num>
  <w:num w:numId="8">
    <w:abstractNumId w:val="14"/>
  </w:num>
  <w:num w:numId="9">
    <w:abstractNumId w:val="8"/>
  </w:num>
  <w:num w:numId="10">
    <w:abstractNumId w:val="22"/>
  </w:num>
  <w:num w:numId="11">
    <w:abstractNumId w:val="17"/>
  </w:num>
  <w:num w:numId="12">
    <w:abstractNumId w:val="7"/>
  </w:num>
  <w:num w:numId="13">
    <w:abstractNumId w:val="16"/>
  </w:num>
  <w:num w:numId="14">
    <w:abstractNumId w:val="0"/>
  </w:num>
  <w:num w:numId="15">
    <w:abstractNumId w:val="18"/>
  </w:num>
  <w:num w:numId="16">
    <w:abstractNumId w:val="11"/>
  </w:num>
  <w:num w:numId="17">
    <w:abstractNumId w:val="13"/>
  </w:num>
  <w:num w:numId="18">
    <w:abstractNumId w:val="5"/>
  </w:num>
  <w:num w:numId="19">
    <w:abstractNumId w:val="15"/>
  </w:num>
  <w:num w:numId="20">
    <w:abstractNumId w:val="3"/>
  </w:num>
  <w:num w:numId="21">
    <w:abstractNumId w:val="21"/>
  </w:num>
  <w:num w:numId="22">
    <w:abstractNumId w:val="20"/>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0AC9"/>
    <w:rsid w:val="00031CED"/>
    <w:rsid w:val="00033858"/>
    <w:rsid w:val="00037E8B"/>
    <w:rsid w:val="00040542"/>
    <w:rsid w:val="000447F9"/>
    <w:rsid w:val="000468BB"/>
    <w:rsid w:val="000468CD"/>
    <w:rsid w:val="00046A20"/>
    <w:rsid w:val="00050489"/>
    <w:rsid w:val="00050AF1"/>
    <w:rsid w:val="00054540"/>
    <w:rsid w:val="00054A10"/>
    <w:rsid w:val="00055FCB"/>
    <w:rsid w:val="00060BB1"/>
    <w:rsid w:val="000619B7"/>
    <w:rsid w:val="00063F87"/>
    <w:rsid w:val="00073240"/>
    <w:rsid w:val="00080E54"/>
    <w:rsid w:val="00081A6A"/>
    <w:rsid w:val="000851FC"/>
    <w:rsid w:val="00086119"/>
    <w:rsid w:val="000878EC"/>
    <w:rsid w:val="000A1610"/>
    <w:rsid w:val="000A248E"/>
    <w:rsid w:val="000B2BD1"/>
    <w:rsid w:val="000B3915"/>
    <w:rsid w:val="000B6D6C"/>
    <w:rsid w:val="000C3A73"/>
    <w:rsid w:val="000C5271"/>
    <w:rsid w:val="000C541F"/>
    <w:rsid w:val="000C5888"/>
    <w:rsid w:val="000D2CCA"/>
    <w:rsid w:val="000D4032"/>
    <w:rsid w:val="000D5C6A"/>
    <w:rsid w:val="000D67B4"/>
    <w:rsid w:val="000D6D75"/>
    <w:rsid w:val="000E6B3B"/>
    <w:rsid w:val="000F0A49"/>
    <w:rsid w:val="000F53C0"/>
    <w:rsid w:val="000F7478"/>
    <w:rsid w:val="000F7691"/>
    <w:rsid w:val="00100249"/>
    <w:rsid w:val="001011A4"/>
    <w:rsid w:val="001019BE"/>
    <w:rsid w:val="00104073"/>
    <w:rsid w:val="00104D08"/>
    <w:rsid w:val="001066C1"/>
    <w:rsid w:val="00107108"/>
    <w:rsid w:val="00111D05"/>
    <w:rsid w:val="00113C98"/>
    <w:rsid w:val="001143EE"/>
    <w:rsid w:val="00116479"/>
    <w:rsid w:val="00116C62"/>
    <w:rsid w:val="00122A9C"/>
    <w:rsid w:val="001270B6"/>
    <w:rsid w:val="0012726E"/>
    <w:rsid w:val="00127B48"/>
    <w:rsid w:val="00130568"/>
    <w:rsid w:val="00132928"/>
    <w:rsid w:val="0013576E"/>
    <w:rsid w:val="0013770C"/>
    <w:rsid w:val="00140883"/>
    <w:rsid w:val="00141DCE"/>
    <w:rsid w:val="00142EE0"/>
    <w:rsid w:val="00143290"/>
    <w:rsid w:val="00143E03"/>
    <w:rsid w:val="001441F9"/>
    <w:rsid w:val="00144EB5"/>
    <w:rsid w:val="001506A4"/>
    <w:rsid w:val="00150EA2"/>
    <w:rsid w:val="00153529"/>
    <w:rsid w:val="001547B2"/>
    <w:rsid w:val="001611E5"/>
    <w:rsid w:val="00161B02"/>
    <w:rsid w:val="00165BBB"/>
    <w:rsid w:val="001714A2"/>
    <w:rsid w:val="001767DF"/>
    <w:rsid w:val="00181BAB"/>
    <w:rsid w:val="00182ECA"/>
    <w:rsid w:val="00187495"/>
    <w:rsid w:val="00187940"/>
    <w:rsid w:val="0019006F"/>
    <w:rsid w:val="001900E6"/>
    <w:rsid w:val="00190843"/>
    <w:rsid w:val="00193F4C"/>
    <w:rsid w:val="0019509B"/>
    <w:rsid w:val="00197B84"/>
    <w:rsid w:val="001A1495"/>
    <w:rsid w:val="001A397D"/>
    <w:rsid w:val="001A582D"/>
    <w:rsid w:val="001A62B0"/>
    <w:rsid w:val="001B2B1F"/>
    <w:rsid w:val="001B6119"/>
    <w:rsid w:val="001B7656"/>
    <w:rsid w:val="001C23B6"/>
    <w:rsid w:val="001C4B7B"/>
    <w:rsid w:val="001C7376"/>
    <w:rsid w:val="001C7DC7"/>
    <w:rsid w:val="001C7E2F"/>
    <w:rsid w:val="001D0606"/>
    <w:rsid w:val="001D1D69"/>
    <w:rsid w:val="001D36BC"/>
    <w:rsid w:val="001D48D9"/>
    <w:rsid w:val="001D5FA3"/>
    <w:rsid w:val="001D75A1"/>
    <w:rsid w:val="001E0583"/>
    <w:rsid w:val="001E1EC3"/>
    <w:rsid w:val="001E1EE6"/>
    <w:rsid w:val="001E41F1"/>
    <w:rsid w:val="001E755C"/>
    <w:rsid w:val="001F24B7"/>
    <w:rsid w:val="001F3A9F"/>
    <w:rsid w:val="001F3D60"/>
    <w:rsid w:val="001F59C0"/>
    <w:rsid w:val="0020025C"/>
    <w:rsid w:val="00201F77"/>
    <w:rsid w:val="002026C5"/>
    <w:rsid w:val="0020309A"/>
    <w:rsid w:val="002060AC"/>
    <w:rsid w:val="002069A1"/>
    <w:rsid w:val="00212459"/>
    <w:rsid w:val="0021277F"/>
    <w:rsid w:val="0021292A"/>
    <w:rsid w:val="002164E5"/>
    <w:rsid w:val="00217594"/>
    <w:rsid w:val="0022121D"/>
    <w:rsid w:val="00223B03"/>
    <w:rsid w:val="00224765"/>
    <w:rsid w:val="002251CE"/>
    <w:rsid w:val="0023008A"/>
    <w:rsid w:val="002370A8"/>
    <w:rsid w:val="0024311B"/>
    <w:rsid w:val="002508B3"/>
    <w:rsid w:val="00252F51"/>
    <w:rsid w:val="0025436A"/>
    <w:rsid w:val="0025764E"/>
    <w:rsid w:val="0026329B"/>
    <w:rsid w:val="002636A2"/>
    <w:rsid w:val="00266583"/>
    <w:rsid w:val="0027269F"/>
    <w:rsid w:val="00276158"/>
    <w:rsid w:val="002825EF"/>
    <w:rsid w:val="002860B7"/>
    <w:rsid w:val="0028706B"/>
    <w:rsid w:val="002872AD"/>
    <w:rsid w:val="00291D9A"/>
    <w:rsid w:val="002967E5"/>
    <w:rsid w:val="002A57A0"/>
    <w:rsid w:val="002A5F90"/>
    <w:rsid w:val="002A6146"/>
    <w:rsid w:val="002A6540"/>
    <w:rsid w:val="002B04F4"/>
    <w:rsid w:val="002B1DB7"/>
    <w:rsid w:val="002B5A65"/>
    <w:rsid w:val="002C06C1"/>
    <w:rsid w:val="002C13F5"/>
    <w:rsid w:val="002C2C4E"/>
    <w:rsid w:val="002C32C8"/>
    <w:rsid w:val="002C370F"/>
    <w:rsid w:val="002C40FB"/>
    <w:rsid w:val="002C6347"/>
    <w:rsid w:val="002C66E9"/>
    <w:rsid w:val="002D275A"/>
    <w:rsid w:val="002D3F43"/>
    <w:rsid w:val="002E2B8A"/>
    <w:rsid w:val="002E4F5F"/>
    <w:rsid w:val="002E5F7E"/>
    <w:rsid w:val="002E64EF"/>
    <w:rsid w:val="002E76DB"/>
    <w:rsid w:val="002F05AF"/>
    <w:rsid w:val="002F61D3"/>
    <w:rsid w:val="003038D5"/>
    <w:rsid w:val="00304A73"/>
    <w:rsid w:val="00312F22"/>
    <w:rsid w:val="00316851"/>
    <w:rsid w:val="00317051"/>
    <w:rsid w:val="00321207"/>
    <w:rsid w:val="003234C9"/>
    <w:rsid w:val="00325C82"/>
    <w:rsid w:val="00326FA4"/>
    <w:rsid w:val="00327B53"/>
    <w:rsid w:val="00330C99"/>
    <w:rsid w:val="00331314"/>
    <w:rsid w:val="00331B71"/>
    <w:rsid w:val="00333A41"/>
    <w:rsid w:val="00334E63"/>
    <w:rsid w:val="00337DC7"/>
    <w:rsid w:val="0034101E"/>
    <w:rsid w:val="00342A79"/>
    <w:rsid w:val="00345906"/>
    <w:rsid w:val="00345AF2"/>
    <w:rsid w:val="00347167"/>
    <w:rsid w:val="00347E0A"/>
    <w:rsid w:val="00353CE7"/>
    <w:rsid w:val="00360A2F"/>
    <w:rsid w:val="0036322E"/>
    <w:rsid w:val="00363613"/>
    <w:rsid w:val="00364A6D"/>
    <w:rsid w:val="00366708"/>
    <w:rsid w:val="00366F51"/>
    <w:rsid w:val="00367E2E"/>
    <w:rsid w:val="00371B8B"/>
    <w:rsid w:val="00371F6E"/>
    <w:rsid w:val="00374FE0"/>
    <w:rsid w:val="0037679C"/>
    <w:rsid w:val="0037752B"/>
    <w:rsid w:val="00380135"/>
    <w:rsid w:val="003828F7"/>
    <w:rsid w:val="00386B3E"/>
    <w:rsid w:val="0039072F"/>
    <w:rsid w:val="0039566B"/>
    <w:rsid w:val="003A5D44"/>
    <w:rsid w:val="003A5D4E"/>
    <w:rsid w:val="003A64CC"/>
    <w:rsid w:val="003B2470"/>
    <w:rsid w:val="003B2B0E"/>
    <w:rsid w:val="003B2D14"/>
    <w:rsid w:val="003B4C91"/>
    <w:rsid w:val="003B4D8F"/>
    <w:rsid w:val="003C02CC"/>
    <w:rsid w:val="003C0CC4"/>
    <w:rsid w:val="003C424C"/>
    <w:rsid w:val="003C46E4"/>
    <w:rsid w:val="003C50EB"/>
    <w:rsid w:val="003C5E8A"/>
    <w:rsid w:val="003C66F8"/>
    <w:rsid w:val="003D419D"/>
    <w:rsid w:val="003E04E8"/>
    <w:rsid w:val="003E3839"/>
    <w:rsid w:val="003E44F8"/>
    <w:rsid w:val="003E68ED"/>
    <w:rsid w:val="003F0F78"/>
    <w:rsid w:val="003F21D9"/>
    <w:rsid w:val="003F49DD"/>
    <w:rsid w:val="003F68D9"/>
    <w:rsid w:val="003F6945"/>
    <w:rsid w:val="00402EB0"/>
    <w:rsid w:val="00407622"/>
    <w:rsid w:val="004105C9"/>
    <w:rsid w:val="00411A28"/>
    <w:rsid w:val="00413065"/>
    <w:rsid w:val="00415EAE"/>
    <w:rsid w:val="00420AC1"/>
    <w:rsid w:val="00421C2E"/>
    <w:rsid w:val="00423069"/>
    <w:rsid w:val="00427BB1"/>
    <w:rsid w:val="004327EC"/>
    <w:rsid w:val="00436D29"/>
    <w:rsid w:val="0044078D"/>
    <w:rsid w:val="004417F1"/>
    <w:rsid w:val="00444026"/>
    <w:rsid w:val="004441EB"/>
    <w:rsid w:val="00444E27"/>
    <w:rsid w:val="00445419"/>
    <w:rsid w:val="004464B4"/>
    <w:rsid w:val="00446AEA"/>
    <w:rsid w:val="004509B5"/>
    <w:rsid w:val="00451B1F"/>
    <w:rsid w:val="00451DD1"/>
    <w:rsid w:val="00457116"/>
    <w:rsid w:val="0046363A"/>
    <w:rsid w:val="004677A9"/>
    <w:rsid w:val="0046782D"/>
    <w:rsid w:val="00476814"/>
    <w:rsid w:val="0048022D"/>
    <w:rsid w:val="00484CA9"/>
    <w:rsid w:val="00485942"/>
    <w:rsid w:val="00487C67"/>
    <w:rsid w:val="0049010E"/>
    <w:rsid w:val="004907E0"/>
    <w:rsid w:val="00491200"/>
    <w:rsid w:val="004A3C0F"/>
    <w:rsid w:val="004A44C7"/>
    <w:rsid w:val="004A6217"/>
    <w:rsid w:val="004A744B"/>
    <w:rsid w:val="004A7D95"/>
    <w:rsid w:val="004B12AD"/>
    <w:rsid w:val="004B3128"/>
    <w:rsid w:val="004B66DA"/>
    <w:rsid w:val="004B73DA"/>
    <w:rsid w:val="004C0C8D"/>
    <w:rsid w:val="004C19EA"/>
    <w:rsid w:val="004C2CF0"/>
    <w:rsid w:val="004C54A1"/>
    <w:rsid w:val="004C5959"/>
    <w:rsid w:val="004D1B9A"/>
    <w:rsid w:val="004D5EDA"/>
    <w:rsid w:val="004D6775"/>
    <w:rsid w:val="004E3BB5"/>
    <w:rsid w:val="004E5B21"/>
    <w:rsid w:val="004E665A"/>
    <w:rsid w:val="004E6F0A"/>
    <w:rsid w:val="004F0FF9"/>
    <w:rsid w:val="004F664A"/>
    <w:rsid w:val="005040DC"/>
    <w:rsid w:val="0050525A"/>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40A9D"/>
    <w:rsid w:val="00541FA5"/>
    <w:rsid w:val="00543310"/>
    <w:rsid w:val="00546BA5"/>
    <w:rsid w:val="00550B34"/>
    <w:rsid w:val="005534AB"/>
    <w:rsid w:val="00555A82"/>
    <w:rsid w:val="00555AB2"/>
    <w:rsid w:val="0056090B"/>
    <w:rsid w:val="00562740"/>
    <w:rsid w:val="0056328E"/>
    <w:rsid w:val="00564A1C"/>
    <w:rsid w:val="0056671B"/>
    <w:rsid w:val="00566D50"/>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1546"/>
    <w:rsid w:val="005B3BF1"/>
    <w:rsid w:val="005B49D8"/>
    <w:rsid w:val="005B5069"/>
    <w:rsid w:val="005B6C33"/>
    <w:rsid w:val="005C038C"/>
    <w:rsid w:val="005C1B4B"/>
    <w:rsid w:val="005C4171"/>
    <w:rsid w:val="005C7120"/>
    <w:rsid w:val="005D0602"/>
    <w:rsid w:val="005D092D"/>
    <w:rsid w:val="005D470C"/>
    <w:rsid w:val="005E5B28"/>
    <w:rsid w:val="005F0B7A"/>
    <w:rsid w:val="005F179B"/>
    <w:rsid w:val="005F1C09"/>
    <w:rsid w:val="005F1FD3"/>
    <w:rsid w:val="005F2817"/>
    <w:rsid w:val="005F3E44"/>
    <w:rsid w:val="005F5D43"/>
    <w:rsid w:val="005F7C7E"/>
    <w:rsid w:val="006031D8"/>
    <w:rsid w:val="006044E1"/>
    <w:rsid w:val="0060777D"/>
    <w:rsid w:val="006151E8"/>
    <w:rsid w:val="00617F66"/>
    <w:rsid w:val="006235A7"/>
    <w:rsid w:val="0062545F"/>
    <w:rsid w:val="00626332"/>
    <w:rsid w:val="006273A0"/>
    <w:rsid w:val="00634D85"/>
    <w:rsid w:val="00634E59"/>
    <w:rsid w:val="006373C8"/>
    <w:rsid w:val="006416F6"/>
    <w:rsid w:val="006427BE"/>
    <w:rsid w:val="00643063"/>
    <w:rsid w:val="00645312"/>
    <w:rsid w:val="00646D7E"/>
    <w:rsid w:val="0064719F"/>
    <w:rsid w:val="00651DC9"/>
    <w:rsid w:val="00657239"/>
    <w:rsid w:val="00661ABA"/>
    <w:rsid w:val="00661F7B"/>
    <w:rsid w:val="00664B91"/>
    <w:rsid w:val="00665616"/>
    <w:rsid w:val="00666CE7"/>
    <w:rsid w:val="00670EBA"/>
    <w:rsid w:val="006722A0"/>
    <w:rsid w:val="0067293C"/>
    <w:rsid w:val="00672EC0"/>
    <w:rsid w:val="006747F7"/>
    <w:rsid w:val="006763F3"/>
    <w:rsid w:val="00677021"/>
    <w:rsid w:val="006803CC"/>
    <w:rsid w:val="006816B8"/>
    <w:rsid w:val="00682F21"/>
    <w:rsid w:val="00684075"/>
    <w:rsid w:val="006849B4"/>
    <w:rsid w:val="006871DC"/>
    <w:rsid w:val="00694651"/>
    <w:rsid w:val="0069608E"/>
    <w:rsid w:val="0069608F"/>
    <w:rsid w:val="006A2304"/>
    <w:rsid w:val="006A2A7B"/>
    <w:rsid w:val="006A3278"/>
    <w:rsid w:val="006A5824"/>
    <w:rsid w:val="006A7A0E"/>
    <w:rsid w:val="006B0982"/>
    <w:rsid w:val="006C2C4C"/>
    <w:rsid w:val="006C393A"/>
    <w:rsid w:val="006C5A4D"/>
    <w:rsid w:val="006D0F1E"/>
    <w:rsid w:val="006D1934"/>
    <w:rsid w:val="006D2199"/>
    <w:rsid w:val="006D33B5"/>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05C2B"/>
    <w:rsid w:val="007138CC"/>
    <w:rsid w:val="00713D64"/>
    <w:rsid w:val="00714476"/>
    <w:rsid w:val="00716BBA"/>
    <w:rsid w:val="007203E5"/>
    <w:rsid w:val="00723CC9"/>
    <w:rsid w:val="00724ABE"/>
    <w:rsid w:val="00725BFC"/>
    <w:rsid w:val="00726EC8"/>
    <w:rsid w:val="00735291"/>
    <w:rsid w:val="0074212A"/>
    <w:rsid w:val="00746EC7"/>
    <w:rsid w:val="00752614"/>
    <w:rsid w:val="0075751F"/>
    <w:rsid w:val="0076088E"/>
    <w:rsid w:val="00761AAA"/>
    <w:rsid w:val="00763DA0"/>
    <w:rsid w:val="007653FA"/>
    <w:rsid w:val="007663F1"/>
    <w:rsid w:val="00771201"/>
    <w:rsid w:val="00771A87"/>
    <w:rsid w:val="00774975"/>
    <w:rsid w:val="0077624A"/>
    <w:rsid w:val="00780958"/>
    <w:rsid w:val="00783F05"/>
    <w:rsid w:val="00784AE9"/>
    <w:rsid w:val="00784CC6"/>
    <w:rsid w:val="007876C7"/>
    <w:rsid w:val="00787F5D"/>
    <w:rsid w:val="007945B3"/>
    <w:rsid w:val="0079614E"/>
    <w:rsid w:val="007B135C"/>
    <w:rsid w:val="007B19DA"/>
    <w:rsid w:val="007B2C93"/>
    <w:rsid w:val="007B76C4"/>
    <w:rsid w:val="007C4FD4"/>
    <w:rsid w:val="007C6559"/>
    <w:rsid w:val="007D0AF7"/>
    <w:rsid w:val="007F19A5"/>
    <w:rsid w:val="007F24B0"/>
    <w:rsid w:val="007F2A67"/>
    <w:rsid w:val="007F2D04"/>
    <w:rsid w:val="007F6BDD"/>
    <w:rsid w:val="007F6F2B"/>
    <w:rsid w:val="007F7EA4"/>
    <w:rsid w:val="00801014"/>
    <w:rsid w:val="008027C4"/>
    <w:rsid w:val="00802923"/>
    <w:rsid w:val="008116AF"/>
    <w:rsid w:val="00817C41"/>
    <w:rsid w:val="0082084D"/>
    <w:rsid w:val="00820EA8"/>
    <w:rsid w:val="008253A9"/>
    <w:rsid w:val="00830CF6"/>
    <w:rsid w:val="008413F8"/>
    <w:rsid w:val="008438CF"/>
    <w:rsid w:val="00843D58"/>
    <w:rsid w:val="00845486"/>
    <w:rsid w:val="008454B9"/>
    <w:rsid w:val="00845A5B"/>
    <w:rsid w:val="0084613F"/>
    <w:rsid w:val="008540FD"/>
    <w:rsid w:val="00854EC8"/>
    <w:rsid w:val="00861C19"/>
    <w:rsid w:val="0086399C"/>
    <w:rsid w:val="008733C7"/>
    <w:rsid w:val="00874F41"/>
    <w:rsid w:val="008773BF"/>
    <w:rsid w:val="0088262B"/>
    <w:rsid w:val="00883E39"/>
    <w:rsid w:val="00884C0B"/>
    <w:rsid w:val="00886427"/>
    <w:rsid w:val="008921ED"/>
    <w:rsid w:val="00894A7C"/>
    <w:rsid w:val="00897507"/>
    <w:rsid w:val="008A048B"/>
    <w:rsid w:val="008A28B8"/>
    <w:rsid w:val="008A2D2D"/>
    <w:rsid w:val="008A6027"/>
    <w:rsid w:val="008A7776"/>
    <w:rsid w:val="008C0504"/>
    <w:rsid w:val="008C17E3"/>
    <w:rsid w:val="008C2266"/>
    <w:rsid w:val="008C2B8B"/>
    <w:rsid w:val="008C53F0"/>
    <w:rsid w:val="008C6629"/>
    <w:rsid w:val="008C6C08"/>
    <w:rsid w:val="008C7929"/>
    <w:rsid w:val="008D2A90"/>
    <w:rsid w:val="008D34B8"/>
    <w:rsid w:val="008D59A2"/>
    <w:rsid w:val="008E6D84"/>
    <w:rsid w:val="008E74FB"/>
    <w:rsid w:val="008E79BF"/>
    <w:rsid w:val="008F0756"/>
    <w:rsid w:val="008F755E"/>
    <w:rsid w:val="009059EE"/>
    <w:rsid w:val="009065DB"/>
    <w:rsid w:val="00907551"/>
    <w:rsid w:val="00907E93"/>
    <w:rsid w:val="0091132C"/>
    <w:rsid w:val="009118CE"/>
    <w:rsid w:val="00914D2A"/>
    <w:rsid w:val="00922597"/>
    <w:rsid w:val="009242C7"/>
    <w:rsid w:val="00926832"/>
    <w:rsid w:val="00933A0A"/>
    <w:rsid w:val="00935A17"/>
    <w:rsid w:val="009422A8"/>
    <w:rsid w:val="009435E2"/>
    <w:rsid w:val="00943A38"/>
    <w:rsid w:val="0094648D"/>
    <w:rsid w:val="009479D5"/>
    <w:rsid w:val="00951B5E"/>
    <w:rsid w:val="00951BBB"/>
    <w:rsid w:val="00952807"/>
    <w:rsid w:val="00957662"/>
    <w:rsid w:val="00960F5B"/>
    <w:rsid w:val="00961913"/>
    <w:rsid w:val="009651D5"/>
    <w:rsid w:val="00967192"/>
    <w:rsid w:val="009701FB"/>
    <w:rsid w:val="00970AF3"/>
    <w:rsid w:val="009712E6"/>
    <w:rsid w:val="00973C43"/>
    <w:rsid w:val="00973E46"/>
    <w:rsid w:val="0098199E"/>
    <w:rsid w:val="00985B9C"/>
    <w:rsid w:val="00986603"/>
    <w:rsid w:val="0099051F"/>
    <w:rsid w:val="00991840"/>
    <w:rsid w:val="00994060"/>
    <w:rsid w:val="009971D9"/>
    <w:rsid w:val="009A241C"/>
    <w:rsid w:val="009A2760"/>
    <w:rsid w:val="009B0651"/>
    <w:rsid w:val="009B3671"/>
    <w:rsid w:val="009C228F"/>
    <w:rsid w:val="009C25F1"/>
    <w:rsid w:val="009C2A10"/>
    <w:rsid w:val="009C416F"/>
    <w:rsid w:val="009C44F8"/>
    <w:rsid w:val="009C5580"/>
    <w:rsid w:val="009D16D6"/>
    <w:rsid w:val="009D17D2"/>
    <w:rsid w:val="009D2069"/>
    <w:rsid w:val="009D37EA"/>
    <w:rsid w:val="009D7DAC"/>
    <w:rsid w:val="009E1824"/>
    <w:rsid w:val="009E1D3F"/>
    <w:rsid w:val="009E2517"/>
    <w:rsid w:val="009E69D3"/>
    <w:rsid w:val="009F01F6"/>
    <w:rsid w:val="009F3DEF"/>
    <w:rsid w:val="009F421F"/>
    <w:rsid w:val="009F57DD"/>
    <w:rsid w:val="009F6BF1"/>
    <w:rsid w:val="00A004FE"/>
    <w:rsid w:val="00A02870"/>
    <w:rsid w:val="00A050EC"/>
    <w:rsid w:val="00A06973"/>
    <w:rsid w:val="00A07A16"/>
    <w:rsid w:val="00A154DB"/>
    <w:rsid w:val="00A17814"/>
    <w:rsid w:val="00A21C65"/>
    <w:rsid w:val="00A24EEC"/>
    <w:rsid w:val="00A30723"/>
    <w:rsid w:val="00A319FB"/>
    <w:rsid w:val="00A33DC1"/>
    <w:rsid w:val="00A4123B"/>
    <w:rsid w:val="00A43247"/>
    <w:rsid w:val="00A442D1"/>
    <w:rsid w:val="00A452AA"/>
    <w:rsid w:val="00A45F35"/>
    <w:rsid w:val="00A543D6"/>
    <w:rsid w:val="00A545FB"/>
    <w:rsid w:val="00A54F8A"/>
    <w:rsid w:val="00A62BBE"/>
    <w:rsid w:val="00A7346E"/>
    <w:rsid w:val="00A74AF3"/>
    <w:rsid w:val="00A76336"/>
    <w:rsid w:val="00A76480"/>
    <w:rsid w:val="00A77426"/>
    <w:rsid w:val="00A77999"/>
    <w:rsid w:val="00A80EB1"/>
    <w:rsid w:val="00A8749E"/>
    <w:rsid w:val="00A92373"/>
    <w:rsid w:val="00A93FB7"/>
    <w:rsid w:val="00AA23BA"/>
    <w:rsid w:val="00AA3B44"/>
    <w:rsid w:val="00AA5A3B"/>
    <w:rsid w:val="00AB2FF3"/>
    <w:rsid w:val="00AB35A6"/>
    <w:rsid w:val="00AB56B8"/>
    <w:rsid w:val="00AC425C"/>
    <w:rsid w:val="00AC54DB"/>
    <w:rsid w:val="00AC56B3"/>
    <w:rsid w:val="00AC6D5D"/>
    <w:rsid w:val="00AD2E4C"/>
    <w:rsid w:val="00AD6AC6"/>
    <w:rsid w:val="00AE033E"/>
    <w:rsid w:val="00AE7C1B"/>
    <w:rsid w:val="00AF43A3"/>
    <w:rsid w:val="00AF4DD8"/>
    <w:rsid w:val="00AF5EBD"/>
    <w:rsid w:val="00AF6655"/>
    <w:rsid w:val="00AF754F"/>
    <w:rsid w:val="00B01228"/>
    <w:rsid w:val="00B01460"/>
    <w:rsid w:val="00B02D2A"/>
    <w:rsid w:val="00B04A94"/>
    <w:rsid w:val="00B067D4"/>
    <w:rsid w:val="00B105BD"/>
    <w:rsid w:val="00B10BE1"/>
    <w:rsid w:val="00B12632"/>
    <w:rsid w:val="00B13E2F"/>
    <w:rsid w:val="00B150EE"/>
    <w:rsid w:val="00B16B10"/>
    <w:rsid w:val="00B17D2D"/>
    <w:rsid w:val="00B17E29"/>
    <w:rsid w:val="00B22385"/>
    <w:rsid w:val="00B2251B"/>
    <w:rsid w:val="00B22579"/>
    <w:rsid w:val="00B22843"/>
    <w:rsid w:val="00B25A1A"/>
    <w:rsid w:val="00B34D51"/>
    <w:rsid w:val="00B356D9"/>
    <w:rsid w:val="00B42052"/>
    <w:rsid w:val="00B42143"/>
    <w:rsid w:val="00B4231E"/>
    <w:rsid w:val="00B4241D"/>
    <w:rsid w:val="00B428B5"/>
    <w:rsid w:val="00B44A3E"/>
    <w:rsid w:val="00B4774F"/>
    <w:rsid w:val="00B507E3"/>
    <w:rsid w:val="00B50F61"/>
    <w:rsid w:val="00B5327E"/>
    <w:rsid w:val="00B606E5"/>
    <w:rsid w:val="00B61387"/>
    <w:rsid w:val="00B62154"/>
    <w:rsid w:val="00B6233B"/>
    <w:rsid w:val="00B6233D"/>
    <w:rsid w:val="00B65A70"/>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656"/>
    <w:rsid w:val="00BB0A31"/>
    <w:rsid w:val="00BB229F"/>
    <w:rsid w:val="00BB28CB"/>
    <w:rsid w:val="00BB45A8"/>
    <w:rsid w:val="00BB5DF1"/>
    <w:rsid w:val="00BB6570"/>
    <w:rsid w:val="00BC0BD0"/>
    <w:rsid w:val="00BC1B7C"/>
    <w:rsid w:val="00BC484E"/>
    <w:rsid w:val="00BC5CA3"/>
    <w:rsid w:val="00BC689D"/>
    <w:rsid w:val="00BD2783"/>
    <w:rsid w:val="00BD4038"/>
    <w:rsid w:val="00BE0854"/>
    <w:rsid w:val="00BE1ED2"/>
    <w:rsid w:val="00BE726C"/>
    <w:rsid w:val="00BF25F0"/>
    <w:rsid w:val="00BF3079"/>
    <w:rsid w:val="00BF341D"/>
    <w:rsid w:val="00BF3473"/>
    <w:rsid w:val="00BF5D32"/>
    <w:rsid w:val="00BF6876"/>
    <w:rsid w:val="00BF718F"/>
    <w:rsid w:val="00C0065E"/>
    <w:rsid w:val="00C12AD7"/>
    <w:rsid w:val="00C13C5A"/>
    <w:rsid w:val="00C14452"/>
    <w:rsid w:val="00C16397"/>
    <w:rsid w:val="00C201CA"/>
    <w:rsid w:val="00C23D73"/>
    <w:rsid w:val="00C241A1"/>
    <w:rsid w:val="00C27500"/>
    <w:rsid w:val="00C27ADF"/>
    <w:rsid w:val="00C306E8"/>
    <w:rsid w:val="00C313ED"/>
    <w:rsid w:val="00C33F0C"/>
    <w:rsid w:val="00C3576E"/>
    <w:rsid w:val="00C35956"/>
    <w:rsid w:val="00C407D6"/>
    <w:rsid w:val="00C477A6"/>
    <w:rsid w:val="00C54E24"/>
    <w:rsid w:val="00C5657B"/>
    <w:rsid w:val="00C56AEC"/>
    <w:rsid w:val="00C60A73"/>
    <w:rsid w:val="00C610DB"/>
    <w:rsid w:val="00C6203D"/>
    <w:rsid w:val="00C67551"/>
    <w:rsid w:val="00C72120"/>
    <w:rsid w:val="00C75DCE"/>
    <w:rsid w:val="00C773A3"/>
    <w:rsid w:val="00C77DA0"/>
    <w:rsid w:val="00C843D7"/>
    <w:rsid w:val="00C90325"/>
    <w:rsid w:val="00C90EDA"/>
    <w:rsid w:val="00C92C0C"/>
    <w:rsid w:val="00C94926"/>
    <w:rsid w:val="00CA199A"/>
    <w:rsid w:val="00CA22A8"/>
    <w:rsid w:val="00CA3396"/>
    <w:rsid w:val="00CA3970"/>
    <w:rsid w:val="00CA3B90"/>
    <w:rsid w:val="00CA4020"/>
    <w:rsid w:val="00CA6C1F"/>
    <w:rsid w:val="00CA73E2"/>
    <w:rsid w:val="00CB1772"/>
    <w:rsid w:val="00CB18E0"/>
    <w:rsid w:val="00CB4220"/>
    <w:rsid w:val="00CB4DB1"/>
    <w:rsid w:val="00CB748F"/>
    <w:rsid w:val="00CC3542"/>
    <w:rsid w:val="00CC3879"/>
    <w:rsid w:val="00CD3D18"/>
    <w:rsid w:val="00CD68CE"/>
    <w:rsid w:val="00CE08CE"/>
    <w:rsid w:val="00CE20E9"/>
    <w:rsid w:val="00CE3773"/>
    <w:rsid w:val="00CE6FC5"/>
    <w:rsid w:val="00CE701C"/>
    <w:rsid w:val="00CF09BD"/>
    <w:rsid w:val="00CF0E33"/>
    <w:rsid w:val="00CF4490"/>
    <w:rsid w:val="00CF5705"/>
    <w:rsid w:val="00CF5A8F"/>
    <w:rsid w:val="00D00379"/>
    <w:rsid w:val="00D007B0"/>
    <w:rsid w:val="00D02279"/>
    <w:rsid w:val="00D061AD"/>
    <w:rsid w:val="00D10467"/>
    <w:rsid w:val="00D10652"/>
    <w:rsid w:val="00D13DB2"/>
    <w:rsid w:val="00D20868"/>
    <w:rsid w:val="00D209B6"/>
    <w:rsid w:val="00D22294"/>
    <w:rsid w:val="00D22442"/>
    <w:rsid w:val="00D2255F"/>
    <w:rsid w:val="00D22EBC"/>
    <w:rsid w:val="00D24374"/>
    <w:rsid w:val="00D24620"/>
    <w:rsid w:val="00D3123C"/>
    <w:rsid w:val="00D3584A"/>
    <w:rsid w:val="00D35DE5"/>
    <w:rsid w:val="00D44B05"/>
    <w:rsid w:val="00D44F60"/>
    <w:rsid w:val="00D51B5E"/>
    <w:rsid w:val="00D5252A"/>
    <w:rsid w:val="00D55377"/>
    <w:rsid w:val="00D557D5"/>
    <w:rsid w:val="00D57E4B"/>
    <w:rsid w:val="00D601F0"/>
    <w:rsid w:val="00D626EC"/>
    <w:rsid w:val="00D64F50"/>
    <w:rsid w:val="00D65D31"/>
    <w:rsid w:val="00D7167B"/>
    <w:rsid w:val="00D73519"/>
    <w:rsid w:val="00D73AE8"/>
    <w:rsid w:val="00D73E83"/>
    <w:rsid w:val="00D80A3E"/>
    <w:rsid w:val="00D84B3D"/>
    <w:rsid w:val="00D92151"/>
    <w:rsid w:val="00D94D3A"/>
    <w:rsid w:val="00D95385"/>
    <w:rsid w:val="00DA0323"/>
    <w:rsid w:val="00DA0C66"/>
    <w:rsid w:val="00DA3FF9"/>
    <w:rsid w:val="00DB112D"/>
    <w:rsid w:val="00DB13BD"/>
    <w:rsid w:val="00DB1971"/>
    <w:rsid w:val="00DC451E"/>
    <w:rsid w:val="00DC5FA1"/>
    <w:rsid w:val="00DC7C98"/>
    <w:rsid w:val="00DD04D4"/>
    <w:rsid w:val="00DD0CE4"/>
    <w:rsid w:val="00DD0E1C"/>
    <w:rsid w:val="00DE3721"/>
    <w:rsid w:val="00DE488C"/>
    <w:rsid w:val="00DF1668"/>
    <w:rsid w:val="00DF1FD5"/>
    <w:rsid w:val="00DF2742"/>
    <w:rsid w:val="00DF3A9C"/>
    <w:rsid w:val="00DF448C"/>
    <w:rsid w:val="00DF71A5"/>
    <w:rsid w:val="00E061D8"/>
    <w:rsid w:val="00E07EE4"/>
    <w:rsid w:val="00E14245"/>
    <w:rsid w:val="00E14396"/>
    <w:rsid w:val="00E170E3"/>
    <w:rsid w:val="00E20D55"/>
    <w:rsid w:val="00E21F02"/>
    <w:rsid w:val="00E22703"/>
    <w:rsid w:val="00E2272C"/>
    <w:rsid w:val="00E24228"/>
    <w:rsid w:val="00E25125"/>
    <w:rsid w:val="00E27B5F"/>
    <w:rsid w:val="00E33A31"/>
    <w:rsid w:val="00E3545E"/>
    <w:rsid w:val="00E445D8"/>
    <w:rsid w:val="00E46ACA"/>
    <w:rsid w:val="00E47B07"/>
    <w:rsid w:val="00E50FFA"/>
    <w:rsid w:val="00E526F5"/>
    <w:rsid w:val="00E53FAB"/>
    <w:rsid w:val="00E5528B"/>
    <w:rsid w:val="00E5593B"/>
    <w:rsid w:val="00E63F24"/>
    <w:rsid w:val="00E640E7"/>
    <w:rsid w:val="00E70A61"/>
    <w:rsid w:val="00E77251"/>
    <w:rsid w:val="00E817EE"/>
    <w:rsid w:val="00E818B6"/>
    <w:rsid w:val="00E82102"/>
    <w:rsid w:val="00E83487"/>
    <w:rsid w:val="00E87CF0"/>
    <w:rsid w:val="00E9187B"/>
    <w:rsid w:val="00E91EAA"/>
    <w:rsid w:val="00E92FD0"/>
    <w:rsid w:val="00E93B0A"/>
    <w:rsid w:val="00E93D93"/>
    <w:rsid w:val="00EA5C78"/>
    <w:rsid w:val="00EB045D"/>
    <w:rsid w:val="00EB41C4"/>
    <w:rsid w:val="00EC1909"/>
    <w:rsid w:val="00EC1DDA"/>
    <w:rsid w:val="00EC2835"/>
    <w:rsid w:val="00EC4455"/>
    <w:rsid w:val="00EC77BB"/>
    <w:rsid w:val="00EC7E13"/>
    <w:rsid w:val="00ED14CF"/>
    <w:rsid w:val="00ED1828"/>
    <w:rsid w:val="00ED4EEA"/>
    <w:rsid w:val="00EE02E9"/>
    <w:rsid w:val="00EE1389"/>
    <w:rsid w:val="00EF1723"/>
    <w:rsid w:val="00EF26AE"/>
    <w:rsid w:val="00F00D62"/>
    <w:rsid w:val="00F0305C"/>
    <w:rsid w:val="00F0379A"/>
    <w:rsid w:val="00F03989"/>
    <w:rsid w:val="00F12B16"/>
    <w:rsid w:val="00F139D5"/>
    <w:rsid w:val="00F1692D"/>
    <w:rsid w:val="00F23018"/>
    <w:rsid w:val="00F25BF4"/>
    <w:rsid w:val="00F27B16"/>
    <w:rsid w:val="00F30CD0"/>
    <w:rsid w:val="00F32383"/>
    <w:rsid w:val="00F33096"/>
    <w:rsid w:val="00F336A1"/>
    <w:rsid w:val="00F4055F"/>
    <w:rsid w:val="00F40D25"/>
    <w:rsid w:val="00F41BB8"/>
    <w:rsid w:val="00F441B2"/>
    <w:rsid w:val="00F45DEB"/>
    <w:rsid w:val="00F46A84"/>
    <w:rsid w:val="00F476E8"/>
    <w:rsid w:val="00F5660C"/>
    <w:rsid w:val="00F63836"/>
    <w:rsid w:val="00F67B29"/>
    <w:rsid w:val="00F75AE8"/>
    <w:rsid w:val="00F76819"/>
    <w:rsid w:val="00F808F8"/>
    <w:rsid w:val="00F9081A"/>
    <w:rsid w:val="00F90A9D"/>
    <w:rsid w:val="00FA00FB"/>
    <w:rsid w:val="00FA0DC0"/>
    <w:rsid w:val="00FA0E84"/>
    <w:rsid w:val="00FA5B52"/>
    <w:rsid w:val="00FA66AD"/>
    <w:rsid w:val="00FA73C3"/>
    <w:rsid w:val="00FA7A69"/>
    <w:rsid w:val="00FA7F14"/>
    <w:rsid w:val="00FB4D87"/>
    <w:rsid w:val="00FC4FC1"/>
    <w:rsid w:val="00FD25D2"/>
    <w:rsid w:val="00FD342D"/>
    <w:rsid w:val="00FD4C02"/>
    <w:rsid w:val="00FD4ED2"/>
    <w:rsid w:val="00FD636E"/>
    <w:rsid w:val="00FD795C"/>
    <w:rsid w:val="00FE11F7"/>
    <w:rsid w:val="00FE1C67"/>
    <w:rsid w:val="00FE1CDD"/>
    <w:rsid w:val="00FF4F5F"/>
    <w:rsid w:val="00FF5AF4"/>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0288E-3895-458A-834F-DA28CD988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2</cp:revision>
  <cp:lastPrinted>2014-08-20T15:58:00Z</cp:lastPrinted>
  <dcterms:created xsi:type="dcterms:W3CDTF">2014-09-08T18:46:00Z</dcterms:created>
  <dcterms:modified xsi:type="dcterms:W3CDTF">2014-09-08T18:46:00Z</dcterms:modified>
</cp:coreProperties>
</file>