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bookmarkStart w:id="0" w:name="_GoBack"/>
      <w:bookmarkEnd w:id="0"/>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F54A66" w:rsidP="00E126F9">
      <w:pPr>
        <w:spacing w:line="240" w:lineRule="auto"/>
        <w:rPr>
          <w:sz w:val="24"/>
          <w:szCs w:val="24"/>
        </w:rPr>
      </w:pPr>
      <w:r>
        <w:rPr>
          <w:sz w:val="24"/>
          <w:szCs w:val="24"/>
        </w:rPr>
        <w:t xml:space="preserve">Ernestine </w:t>
      </w:r>
      <w:proofErr w:type="spellStart"/>
      <w:r>
        <w:rPr>
          <w:sz w:val="24"/>
          <w:szCs w:val="24"/>
        </w:rPr>
        <w:t>Crankfield</w:t>
      </w:r>
      <w:proofErr w:type="spellEnd"/>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7D3509">
        <w:rPr>
          <w:sz w:val="24"/>
          <w:szCs w:val="24"/>
        </w:rPr>
        <w:t>C-</w:t>
      </w:r>
      <w:r w:rsidR="00F54A66">
        <w:rPr>
          <w:sz w:val="24"/>
          <w:szCs w:val="24"/>
        </w:rPr>
        <w:t>2014-2402184</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F54A66" w:rsidP="00E126F9">
      <w:pPr>
        <w:spacing w:line="240" w:lineRule="auto"/>
        <w:rPr>
          <w:sz w:val="24"/>
          <w:szCs w:val="24"/>
        </w:rPr>
      </w:pPr>
      <w:r>
        <w:rPr>
          <w:sz w:val="24"/>
          <w:szCs w:val="24"/>
        </w:rPr>
        <w:t xml:space="preserve">UGI Utilities, Inc. </w:t>
      </w:r>
      <w:r>
        <w:rPr>
          <w:sz w:val="24"/>
          <w:szCs w:val="24"/>
        </w:rPr>
        <w:tab/>
      </w:r>
      <w:r>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Default="00DE2949" w:rsidP="00E126F9">
      <w:pPr>
        <w:spacing w:line="240" w:lineRule="auto"/>
        <w:jc w:val="center"/>
        <w:rPr>
          <w:sz w:val="24"/>
          <w:szCs w:val="24"/>
        </w:rPr>
      </w:pPr>
    </w:p>
    <w:p w:rsidR="000B0551" w:rsidRDefault="000B0551" w:rsidP="00E126F9">
      <w:pPr>
        <w:spacing w:line="240" w:lineRule="auto"/>
        <w:jc w:val="center"/>
        <w:rPr>
          <w:sz w:val="24"/>
          <w:szCs w:val="24"/>
        </w:rPr>
      </w:pPr>
    </w:p>
    <w:p w:rsidR="000B0551" w:rsidRPr="000B0551" w:rsidRDefault="000B0551" w:rsidP="00E126F9">
      <w:pPr>
        <w:spacing w:line="240" w:lineRule="auto"/>
        <w:jc w:val="center"/>
        <w:rPr>
          <w:sz w:val="24"/>
          <w:szCs w:val="24"/>
          <w:u w:val="single"/>
        </w:rPr>
      </w:pPr>
      <w:r w:rsidRPr="000B0551">
        <w:rPr>
          <w:sz w:val="24"/>
          <w:szCs w:val="24"/>
          <w:u w:val="single"/>
        </w:rPr>
        <w:t>INTRODUCTION</w:t>
      </w:r>
    </w:p>
    <w:p w:rsidR="00DE2949" w:rsidRDefault="00DE2949" w:rsidP="000B0551">
      <w:pPr>
        <w:spacing w:line="240" w:lineRule="auto"/>
        <w:rPr>
          <w:sz w:val="24"/>
          <w:szCs w:val="24"/>
        </w:rPr>
      </w:pPr>
    </w:p>
    <w:p w:rsidR="000B0551" w:rsidRDefault="000B0551" w:rsidP="009B6694">
      <w:pPr>
        <w:spacing w:line="240" w:lineRule="auto"/>
        <w:rPr>
          <w:sz w:val="24"/>
          <w:szCs w:val="24"/>
        </w:rPr>
      </w:pPr>
    </w:p>
    <w:p w:rsidR="000B0551" w:rsidRDefault="000B0551" w:rsidP="000B0551">
      <w:pPr>
        <w:rPr>
          <w:sz w:val="24"/>
          <w:szCs w:val="24"/>
        </w:rPr>
      </w:pPr>
      <w:r>
        <w:rPr>
          <w:sz w:val="24"/>
          <w:szCs w:val="24"/>
        </w:rPr>
        <w:tab/>
      </w:r>
      <w:r>
        <w:rPr>
          <w:sz w:val="24"/>
          <w:szCs w:val="24"/>
        </w:rPr>
        <w:tab/>
        <w:t xml:space="preserve">This decision denies </w:t>
      </w:r>
      <w:r w:rsidR="00604E82">
        <w:rPr>
          <w:sz w:val="24"/>
          <w:szCs w:val="24"/>
        </w:rPr>
        <w:t xml:space="preserve">Ernestine </w:t>
      </w:r>
      <w:proofErr w:type="spellStart"/>
      <w:r w:rsidR="00604E82">
        <w:rPr>
          <w:sz w:val="24"/>
          <w:szCs w:val="24"/>
        </w:rPr>
        <w:t>Crankfield’s</w:t>
      </w:r>
      <w:proofErr w:type="spellEnd"/>
      <w:r w:rsidR="00604E82">
        <w:rPr>
          <w:sz w:val="24"/>
          <w:szCs w:val="24"/>
        </w:rPr>
        <w:t xml:space="preserve"> </w:t>
      </w:r>
      <w:r w:rsidR="00492425">
        <w:rPr>
          <w:sz w:val="24"/>
          <w:szCs w:val="24"/>
        </w:rPr>
        <w:t xml:space="preserve">complaint that UGI Utilities, Inc. failed to </w:t>
      </w:r>
      <w:r w:rsidR="008C60EC" w:rsidRPr="0013025F">
        <w:rPr>
          <w:sz w:val="24"/>
          <w:szCs w:val="24"/>
        </w:rPr>
        <w:t>provide clear billing statements</w:t>
      </w:r>
      <w:r w:rsidR="00492425">
        <w:rPr>
          <w:sz w:val="24"/>
          <w:szCs w:val="24"/>
        </w:rPr>
        <w:t xml:space="preserve"> and</w:t>
      </w:r>
      <w:r w:rsidR="008C60EC" w:rsidRPr="0013025F">
        <w:rPr>
          <w:sz w:val="24"/>
          <w:szCs w:val="24"/>
        </w:rPr>
        <w:t xml:space="preserve"> </w:t>
      </w:r>
      <w:r w:rsidR="00492425">
        <w:rPr>
          <w:sz w:val="24"/>
          <w:szCs w:val="24"/>
        </w:rPr>
        <w:t xml:space="preserve">to </w:t>
      </w:r>
      <w:r w:rsidR="008C60EC">
        <w:rPr>
          <w:sz w:val="24"/>
          <w:szCs w:val="24"/>
        </w:rPr>
        <w:t xml:space="preserve">apply </w:t>
      </w:r>
      <w:r w:rsidR="008C60EC" w:rsidRPr="0013025F">
        <w:rPr>
          <w:sz w:val="24"/>
          <w:szCs w:val="24"/>
        </w:rPr>
        <w:t xml:space="preserve">various </w:t>
      </w:r>
      <w:r w:rsidR="002724C0">
        <w:rPr>
          <w:sz w:val="24"/>
          <w:szCs w:val="24"/>
        </w:rPr>
        <w:t>payments</w:t>
      </w:r>
      <w:r w:rsidR="008C60EC" w:rsidRPr="0013025F">
        <w:rPr>
          <w:sz w:val="24"/>
          <w:szCs w:val="24"/>
        </w:rPr>
        <w:t xml:space="preserve"> as </w:t>
      </w:r>
      <w:r w:rsidR="00604E82">
        <w:rPr>
          <w:sz w:val="24"/>
          <w:szCs w:val="24"/>
        </w:rPr>
        <w:t xml:space="preserve">Ernestine </w:t>
      </w:r>
      <w:proofErr w:type="spellStart"/>
      <w:r w:rsidR="00604E82">
        <w:rPr>
          <w:sz w:val="24"/>
          <w:szCs w:val="24"/>
        </w:rPr>
        <w:t>Crankfield</w:t>
      </w:r>
      <w:proofErr w:type="spellEnd"/>
      <w:r w:rsidR="00604E82">
        <w:rPr>
          <w:sz w:val="24"/>
          <w:szCs w:val="24"/>
        </w:rPr>
        <w:t xml:space="preserve"> </w:t>
      </w:r>
      <w:r w:rsidR="008C60EC" w:rsidRPr="0013025F">
        <w:rPr>
          <w:sz w:val="24"/>
          <w:szCs w:val="24"/>
        </w:rPr>
        <w:t>requested</w:t>
      </w:r>
      <w:r w:rsidR="00492425">
        <w:rPr>
          <w:sz w:val="24"/>
          <w:szCs w:val="24"/>
        </w:rPr>
        <w:t xml:space="preserve">.  This decision further denies </w:t>
      </w:r>
      <w:r w:rsidR="00604E82">
        <w:rPr>
          <w:sz w:val="24"/>
          <w:szCs w:val="24"/>
        </w:rPr>
        <w:t xml:space="preserve">Ernestine </w:t>
      </w:r>
      <w:proofErr w:type="spellStart"/>
      <w:r w:rsidR="00604E82">
        <w:rPr>
          <w:sz w:val="24"/>
          <w:szCs w:val="24"/>
        </w:rPr>
        <w:t>Crankfield</w:t>
      </w:r>
      <w:r w:rsidR="00492425">
        <w:rPr>
          <w:sz w:val="24"/>
          <w:szCs w:val="24"/>
        </w:rPr>
        <w:t>’s</w:t>
      </w:r>
      <w:proofErr w:type="spellEnd"/>
      <w:r w:rsidR="00492425">
        <w:rPr>
          <w:sz w:val="24"/>
          <w:szCs w:val="24"/>
        </w:rPr>
        <w:t xml:space="preserve"> request the Pennsylvania Public Utility Commission assist her</w:t>
      </w:r>
      <w:r w:rsidR="00604E82">
        <w:rPr>
          <w:sz w:val="24"/>
          <w:szCs w:val="24"/>
        </w:rPr>
        <w:t xml:space="preserve"> </w:t>
      </w:r>
      <w:r w:rsidR="008C60EC" w:rsidRPr="0013025F">
        <w:rPr>
          <w:sz w:val="24"/>
          <w:szCs w:val="24"/>
        </w:rPr>
        <w:t xml:space="preserve">in </w:t>
      </w:r>
      <w:r w:rsidR="008C60EC">
        <w:rPr>
          <w:sz w:val="24"/>
          <w:szCs w:val="24"/>
        </w:rPr>
        <w:t>getting service restored</w:t>
      </w:r>
      <w:r>
        <w:rPr>
          <w:sz w:val="24"/>
          <w:szCs w:val="24"/>
        </w:rPr>
        <w:t>.</w:t>
      </w:r>
      <w:r w:rsidR="00604E82">
        <w:rPr>
          <w:sz w:val="24"/>
          <w:szCs w:val="24"/>
        </w:rPr>
        <w:t xml:space="preserve">  </w:t>
      </w:r>
    </w:p>
    <w:p w:rsidR="00492425" w:rsidRPr="0013025F" w:rsidRDefault="00492425" w:rsidP="000B0551">
      <w:pPr>
        <w:rPr>
          <w:sz w:val="24"/>
          <w:szCs w:val="24"/>
        </w:rPr>
      </w:pPr>
    </w:p>
    <w:p w:rsidR="00DE2949" w:rsidRPr="0013025F" w:rsidRDefault="00DE2949" w:rsidP="00E126F9">
      <w:pPr>
        <w:pStyle w:val="Heading1"/>
        <w:rPr>
          <w:sz w:val="24"/>
          <w:szCs w:val="24"/>
          <w:u w:val="none"/>
        </w:rPr>
      </w:pPr>
      <w:r w:rsidRPr="0013025F">
        <w:rPr>
          <w:sz w:val="24"/>
          <w:szCs w:val="24"/>
        </w:rPr>
        <w:t>HISTORY OF THE PROCEEDING</w:t>
      </w:r>
    </w:p>
    <w:p w:rsidR="00DE2949" w:rsidRPr="0013025F" w:rsidRDefault="00DE2949" w:rsidP="00E126F9">
      <w:pPr>
        <w:spacing w:line="240" w:lineRule="auto"/>
        <w:ind w:firstLine="1440"/>
        <w:rPr>
          <w:sz w:val="24"/>
          <w:szCs w:val="24"/>
        </w:rPr>
      </w:pPr>
    </w:p>
    <w:p w:rsidR="00C44296" w:rsidRPr="0013025F" w:rsidRDefault="00C44296" w:rsidP="00C44296">
      <w:pPr>
        <w:spacing w:line="240" w:lineRule="auto"/>
        <w:ind w:firstLine="1440"/>
        <w:rPr>
          <w:sz w:val="24"/>
          <w:szCs w:val="24"/>
        </w:rPr>
      </w:pPr>
    </w:p>
    <w:p w:rsidR="0013025F" w:rsidRPr="0013025F" w:rsidRDefault="0013025F" w:rsidP="0013025F">
      <w:pPr>
        <w:ind w:firstLine="1440"/>
        <w:rPr>
          <w:sz w:val="24"/>
          <w:szCs w:val="24"/>
        </w:rPr>
      </w:pPr>
      <w:r w:rsidRPr="0013025F">
        <w:rPr>
          <w:sz w:val="24"/>
          <w:szCs w:val="24"/>
        </w:rPr>
        <w:t xml:space="preserve">On January 22, 2014, Ernestine </w:t>
      </w:r>
      <w:proofErr w:type="spellStart"/>
      <w:r w:rsidRPr="0013025F">
        <w:rPr>
          <w:sz w:val="24"/>
          <w:szCs w:val="24"/>
        </w:rPr>
        <w:t>Crankfield</w:t>
      </w:r>
      <w:proofErr w:type="spellEnd"/>
      <w:r w:rsidRPr="0013025F">
        <w:rPr>
          <w:sz w:val="24"/>
          <w:szCs w:val="24"/>
        </w:rPr>
        <w:t xml:space="preserve"> (Complainant) filed a formal complaint against UGI Utilities, Inc. (Respondent or UGI) alleging UGI included incorrect charges on her billing statements and improperly terminated </w:t>
      </w:r>
      <w:r w:rsidR="006B1F6C">
        <w:rPr>
          <w:sz w:val="24"/>
          <w:szCs w:val="24"/>
        </w:rPr>
        <w:t>utility</w:t>
      </w:r>
      <w:r w:rsidRPr="0013025F">
        <w:rPr>
          <w:sz w:val="24"/>
          <w:szCs w:val="24"/>
        </w:rPr>
        <w:t xml:space="preserve"> service to her residence.  Complainant requested the Commission </w:t>
      </w:r>
      <w:r w:rsidR="008C60EC" w:rsidRPr="0013025F">
        <w:rPr>
          <w:sz w:val="24"/>
          <w:szCs w:val="24"/>
        </w:rPr>
        <w:t xml:space="preserve">require UGI to provide clear billing statements, direct </w:t>
      </w:r>
      <w:r w:rsidR="008C60EC">
        <w:rPr>
          <w:sz w:val="24"/>
          <w:szCs w:val="24"/>
        </w:rPr>
        <w:t xml:space="preserve">UGI </w:t>
      </w:r>
      <w:r w:rsidR="006B1F6C">
        <w:rPr>
          <w:sz w:val="24"/>
          <w:szCs w:val="24"/>
        </w:rPr>
        <w:t xml:space="preserve">to </w:t>
      </w:r>
      <w:r w:rsidR="008C60EC">
        <w:rPr>
          <w:sz w:val="24"/>
          <w:szCs w:val="24"/>
        </w:rPr>
        <w:t xml:space="preserve">apply </w:t>
      </w:r>
      <w:r w:rsidR="008C60EC" w:rsidRPr="0013025F">
        <w:rPr>
          <w:sz w:val="24"/>
          <w:szCs w:val="24"/>
        </w:rPr>
        <w:t>various deposits as Complainant requested</w:t>
      </w:r>
      <w:r w:rsidR="008C60EC">
        <w:rPr>
          <w:sz w:val="24"/>
          <w:szCs w:val="24"/>
        </w:rPr>
        <w:t>,</w:t>
      </w:r>
      <w:r w:rsidR="008C60EC" w:rsidRPr="0013025F">
        <w:rPr>
          <w:sz w:val="24"/>
          <w:szCs w:val="24"/>
        </w:rPr>
        <w:t xml:space="preserve"> and assist Complainant in </w:t>
      </w:r>
      <w:r w:rsidR="008C60EC">
        <w:rPr>
          <w:sz w:val="24"/>
          <w:szCs w:val="24"/>
        </w:rPr>
        <w:t xml:space="preserve">getting service restored in her </w:t>
      </w:r>
      <w:r w:rsidR="008C60EC" w:rsidRPr="0013025F">
        <w:rPr>
          <w:sz w:val="24"/>
          <w:szCs w:val="24"/>
        </w:rPr>
        <w:t>dispute with UGI</w:t>
      </w:r>
      <w:r w:rsidRPr="0013025F">
        <w:rPr>
          <w:sz w:val="24"/>
          <w:szCs w:val="24"/>
        </w:rPr>
        <w:t xml:space="preserve">.  On February 12, 2014, Respondent filed an Answer in response to Complainant’s formal complaint, in which Respondent averred there were no errors in its billing statements to Complainant or in how it terminated electric service to Complainant.  </w:t>
      </w:r>
    </w:p>
    <w:p w:rsidR="00FB2F18" w:rsidRPr="0013025F" w:rsidRDefault="00C44296" w:rsidP="00FB2F18">
      <w:pPr>
        <w:rPr>
          <w:sz w:val="24"/>
          <w:szCs w:val="24"/>
        </w:rPr>
      </w:pPr>
      <w:r w:rsidRPr="0013025F">
        <w:rPr>
          <w:sz w:val="24"/>
          <w:szCs w:val="24"/>
        </w:rPr>
        <w:lastRenderedPageBreak/>
        <w:tab/>
      </w:r>
      <w:r w:rsidRPr="0013025F">
        <w:rPr>
          <w:sz w:val="24"/>
          <w:szCs w:val="24"/>
        </w:rPr>
        <w:tab/>
        <w:t xml:space="preserve">On </w:t>
      </w:r>
      <w:r w:rsidR="00F54A66" w:rsidRPr="0013025F">
        <w:rPr>
          <w:sz w:val="24"/>
          <w:szCs w:val="24"/>
        </w:rPr>
        <w:t>February 21, 2014</w:t>
      </w:r>
      <w:r w:rsidRPr="0013025F">
        <w:rPr>
          <w:sz w:val="24"/>
          <w:szCs w:val="24"/>
        </w:rPr>
        <w:t xml:space="preserve">, the Office of Administrative Law Judge issued a Telephone Hearing Notice, which scheduled </w:t>
      </w:r>
      <w:r w:rsidR="00E363C3" w:rsidRPr="0013025F">
        <w:rPr>
          <w:sz w:val="24"/>
          <w:szCs w:val="24"/>
        </w:rPr>
        <w:t>a telephonic</w:t>
      </w:r>
      <w:r w:rsidR="008325DF" w:rsidRPr="0013025F">
        <w:rPr>
          <w:sz w:val="24"/>
          <w:szCs w:val="24"/>
        </w:rPr>
        <w:t xml:space="preserve"> </w:t>
      </w:r>
      <w:r w:rsidRPr="0013025F">
        <w:rPr>
          <w:sz w:val="24"/>
          <w:szCs w:val="24"/>
        </w:rPr>
        <w:t xml:space="preserve">initial hearing to be conducted on </w:t>
      </w:r>
      <w:r w:rsidR="00F54A66" w:rsidRPr="0013025F">
        <w:rPr>
          <w:sz w:val="24"/>
          <w:szCs w:val="24"/>
        </w:rPr>
        <w:t>April</w:t>
      </w:r>
      <w:r w:rsidR="009104E1">
        <w:rPr>
          <w:sz w:val="24"/>
          <w:szCs w:val="24"/>
        </w:rPr>
        <w:t> </w:t>
      </w:r>
      <w:r w:rsidR="00F54A66" w:rsidRPr="0013025F">
        <w:rPr>
          <w:sz w:val="24"/>
          <w:szCs w:val="24"/>
        </w:rPr>
        <w:t xml:space="preserve">7, 2014.  </w:t>
      </w:r>
      <w:r w:rsidR="00D75CC2" w:rsidRPr="0013025F">
        <w:rPr>
          <w:sz w:val="24"/>
          <w:szCs w:val="24"/>
        </w:rPr>
        <w:t>O</w:t>
      </w:r>
      <w:r w:rsidR="007D3509" w:rsidRPr="0013025F">
        <w:rPr>
          <w:sz w:val="24"/>
          <w:szCs w:val="24"/>
        </w:rPr>
        <w:t xml:space="preserve">n </w:t>
      </w:r>
      <w:r w:rsidR="00F54A66" w:rsidRPr="0013025F">
        <w:rPr>
          <w:sz w:val="24"/>
          <w:szCs w:val="24"/>
        </w:rPr>
        <w:t>February 26, 2014</w:t>
      </w:r>
      <w:r w:rsidR="007D3509" w:rsidRPr="0013025F">
        <w:rPr>
          <w:sz w:val="24"/>
          <w:szCs w:val="24"/>
        </w:rPr>
        <w:t xml:space="preserve">, the presiding officer </w:t>
      </w:r>
      <w:r w:rsidR="008325DF" w:rsidRPr="0013025F">
        <w:rPr>
          <w:sz w:val="24"/>
          <w:szCs w:val="24"/>
        </w:rPr>
        <w:t>issued</w:t>
      </w:r>
      <w:r w:rsidRPr="0013025F">
        <w:rPr>
          <w:sz w:val="24"/>
          <w:szCs w:val="24"/>
        </w:rPr>
        <w:t xml:space="preserve"> a Prehearing Order.  </w:t>
      </w:r>
    </w:p>
    <w:p w:rsidR="007D3509" w:rsidRPr="0013025F" w:rsidRDefault="007D3509" w:rsidP="00FB2F18">
      <w:pPr>
        <w:rPr>
          <w:sz w:val="24"/>
          <w:szCs w:val="24"/>
        </w:rPr>
      </w:pPr>
    </w:p>
    <w:p w:rsidR="00FD0A29" w:rsidRDefault="007D3509" w:rsidP="00FD0A29">
      <w:pPr>
        <w:rPr>
          <w:sz w:val="24"/>
          <w:szCs w:val="24"/>
        </w:rPr>
      </w:pPr>
      <w:r w:rsidRPr="0013025F">
        <w:rPr>
          <w:sz w:val="24"/>
          <w:szCs w:val="24"/>
        </w:rPr>
        <w:tab/>
      </w:r>
      <w:r w:rsidRPr="0013025F">
        <w:rPr>
          <w:sz w:val="24"/>
          <w:szCs w:val="24"/>
        </w:rPr>
        <w:tab/>
        <w:t xml:space="preserve">The presiding officer convened the initial hearing as scheduled on </w:t>
      </w:r>
      <w:r w:rsidR="00F54A66" w:rsidRPr="0013025F">
        <w:rPr>
          <w:sz w:val="24"/>
          <w:szCs w:val="24"/>
        </w:rPr>
        <w:t>April 7, 2014</w:t>
      </w:r>
      <w:r w:rsidR="00537E8A" w:rsidRPr="0013025F">
        <w:rPr>
          <w:sz w:val="24"/>
          <w:szCs w:val="24"/>
        </w:rPr>
        <w:t>.  Complainant</w:t>
      </w:r>
      <w:r w:rsidR="00F54A66" w:rsidRPr="0013025F">
        <w:rPr>
          <w:sz w:val="24"/>
          <w:szCs w:val="24"/>
        </w:rPr>
        <w:t xml:space="preserve"> </w:t>
      </w:r>
      <w:r w:rsidR="00537E8A" w:rsidRPr="0013025F">
        <w:rPr>
          <w:sz w:val="24"/>
          <w:szCs w:val="24"/>
        </w:rPr>
        <w:t>appeared</w:t>
      </w:r>
      <w:r w:rsidR="00F54A66" w:rsidRPr="0013025F">
        <w:rPr>
          <w:sz w:val="24"/>
          <w:szCs w:val="24"/>
        </w:rPr>
        <w:t xml:space="preserve"> </w:t>
      </w:r>
      <w:r w:rsidR="00B41D8F" w:rsidRPr="0013025F">
        <w:rPr>
          <w:i/>
          <w:sz w:val="24"/>
          <w:szCs w:val="24"/>
        </w:rPr>
        <w:t>pro se</w:t>
      </w:r>
      <w:r w:rsidR="00B41D8F" w:rsidRPr="0013025F">
        <w:rPr>
          <w:sz w:val="24"/>
          <w:szCs w:val="24"/>
        </w:rPr>
        <w:t xml:space="preserve"> and Larry </w:t>
      </w:r>
      <w:proofErr w:type="spellStart"/>
      <w:r w:rsidR="00B41D8F" w:rsidRPr="0013025F">
        <w:rPr>
          <w:sz w:val="24"/>
          <w:szCs w:val="24"/>
        </w:rPr>
        <w:t>Crayne</w:t>
      </w:r>
      <w:proofErr w:type="spellEnd"/>
      <w:r w:rsidR="00B41D8F" w:rsidRPr="0013025F">
        <w:rPr>
          <w:sz w:val="24"/>
          <w:szCs w:val="24"/>
        </w:rPr>
        <w:t>, Esquire, appeared on behalf of Respondent</w:t>
      </w:r>
      <w:r w:rsidR="00E363C3" w:rsidRPr="0013025F">
        <w:rPr>
          <w:sz w:val="24"/>
          <w:szCs w:val="24"/>
        </w:rPr>
        <w:t xml:space="preserve">.  </w:t>
      </w:r>
      <w:r w:rsidR="00FD0A29" w:rsidRPr="0013025F">
        <w:rPr>
          <w:sz w:val="24"/>
          <w:szCs w:val="24"/>
        </w:rPr>
        <w:t xml:space="preserve">Complainant </w:t>
      </w:r>
      <w:r w:rsidR="00B41D8F" w:rsidRPr="0013025F">
        <w:rPr>
          <w:sz w:val="24"/>
          <w:szCs w:val="24"/>
        </w:rPr>
        <w:t xml:space="preserve">testified on her own behalf and </w:t>
      </w:r>
      <w:r w:rsidR="004943DD" w:rsidRPr="0013025F">
        <w:rPr>
          <w:sz w:val="24"/>
          <w:szCs w:val="24"/>
        </w:rPr>
        <w:t>presented</w:t>
      </w:r>
      <w:r w:rsidR="00FD0A29" w:rsidRPr="0013025F">
        <w:rPr>
          <w:sz w:val="24"/>
          <w:szCs w:val="24"/>
        </w:rPr>
        <w:t xml:space="preserve"> twenty (20) exhibits, which were marked</w:t>
      </w:r>
      <w:r w:rsidR="00FD0A29" w:rsidRPr="00FD0A29">
        <w:rPr>
          <w:sz w:val="24"/>
          <w:szCs w:val="24"/>
        </w:rPr>
        <w:t xml:space="preserve"> </w:t>
      </w:r>
      <w:r w:rsidR="00FD0A29">
        <w:rPr>
          <w:sz w:val="24"/>
          <w:szCs w:val="24"/>
        </w:rPr>
        <w:t>and admitted into the hearing record</w:t>
      </w:r>
      <w:r w:rsidR="004943DD">
        <w:rPr>
          <w:sz w:val="24"/>
          <w:szCs w:val="24"/>
        </w:rPr>
        <w:t xml:space="preserve">.  </w:t>
      </w:r>
      <w:r w:rsidR="00FD0A29" w:rsidRPr="00FD0A29">
        <w:rPr>
          <w:sz w:val="24"/>
          <w:szCs w:val="24"/>
        </w:rPr>
        <w:t xml:space="preserve">Attorney </w:t>
      </w:r>
      <w:proofErr w:type="spellStart"/>
      <w:r w:rsidR="00FD0A29">
        <w:rPr>
          <w:sz w:val="24"/>
          <w:szCs w:val="24"/>
        </w:rPr>
        <w:t>Crayne</w:t>
      </w:r>
      <w:proofErr w:type="spellEnd"/>
      <w:r w:rsidR="00FD0A29" w:rsidRPr="00FD0A29">
        <w:rPr>
          <w:sz w:val="24"/>
          <w:szCs w:val="24"/>
        </w:rPr>
        <w:t xml:space="preserve"> presented the testimony of </w:t>
      </w:r>
      <w:r w:rsidR="00FD0A29">
        <w:rPr>
          <w:sz w:val="24"/>
          <w:szCs w:val="24"/>
        </w:rPr>
        <w:t>one</w:t>
      </w:r>
      <w:r w:rsidR="00FD0A29" w:rsidRPr="00FD0A29">
        <w:rPr>
          <w:sz w:val="24"/>
          <w:szCs w:val="24"/>
        </w:rPr>
        <w:t xml:space="preserve"> witness, and </w:t>
      </w:r>
      <w:r w:rsidR="004943DD">
        <w:rPr>
          <w:sz w:val="24"/>
          <w:szCs w:val="24"/>
        </w:rPr>
        <w:t>presented</w:t>
      </w:r>
      <w:r w:rsidR="00FD0A29" w:rsidRPr="00FD0A29">
        <w:rPr>
          <w:sz w:val="24"/>
          <w:szCs w:val="24"/>
        </w:rPr>
        <w:t xml:space="preserve"> </w:t>
      </w:r>
      <w:r w:rsidR="00FD0A29">
        <w:rPr>
          <w:sz w:val="24"/>
          <w:szCs w:val="24"/>
        </w:rPr>
        <w:t>nineteen</w:t>
      </w:r>
      <w:r w:rsidR="00FD0A29" w:rsidRPr="00FD0A29">
        <w:rPr>
          <w:sz w:val="24"/>
          <w:szCs w:val="24"/>
        </w:rPr>
        <w:t xml:space="preserve"> (</w:t>
      </w:r>
      <w:r w:rsidR="00FD0A29">
        <w:rPr>
          <w:sz w:val="24"/>
          <w:szCs w:val="24"/>
        </w:rPr>
        <w:t>19</w:t>
      </w:r>
      <w:r w:rsidR="00FD0A29" w:rsidRPr="00FD0A29">
        <w:rPr>
          <w:sz w:val="24"/>
          <w:szCs w:val="24"/>
        </w:rPr>
        <w:t xml:space="preserve">) exhibits, which were marked </w:t>
      </w:r>
      <w:r w:rsidR="00FD0A29">
        <w:rPr>
          <w:sz w:val="24"/>
          <w:szCs w:val="24"/>
        </w:rPr>
        <w:t>and disc</w:t>
      </w:r>
      <w:r w:rsidR="00A2364A">
        <w:rPr>
          <w:sz w:val="24"/>
          <w:szCs w:val="24"/>
        </w:rPr>
        <w:t>ussed at length by both parties</w:t>
      </w:r>
      <w:r w:rsidR="00FD0A29" w:rsidRPr="00FD0A29">
        <w:rPr>
          <w:sz w:val="24"/>
          <w:szCs w:val="24"/>
        </w:rPr>
        <w:t xml:space="preserve">.  </w:t>
      </w:r>
    </w:p>
    <w:p w:rsidR="00FD0A29" w:rsidRDefault="00FD0A29" w:rsidP="00FD0A29">
      <w:pPr>
        <w:rPr>
          <w:sz w:val="24"/>
          <w:szCs w:val="24"/>
        </w:rPr>
      </w:pPr>
    </w:p>
    <w:p w:rsidR="00FD0A29" w:rsidRDefault="00FD0A29" w:rsidP="00FD0A29">
      <w:pPr>
        <w:ind w:firstLine="1440"/>
        <w:rPr>
          <w:sz w:val="24"/>
          <w:szCs w:val="24"/>
        </w:rPr>
      </w:pPr>
      <w:r w:rsidRPr="00FD0A29">
        <w:rPr>
          <w:sz w:val="24"/>
          <w:szCs w:val="24"/>
        </w:rPr>
        <w:t xml:space="preserve">The transcript of the hearing, containing </w:t>
      </w:r>
      <w:r>
        <w:rPr>
          <w:sz w:val="24"/>
          <w:szCs w:val="24"/>
        </w:rPr>
        <w:t>92</w:t>
      </w:r>
      <w:r w:rsidRPr="00FD0A29">
        <w:rPr>
          <w:sz w:val="24"/>
          <w:szCs w:val="24"/>
        </w:rPr>
        <w:t xml:space="preserve"> pages, was received in the Commission’s offices on </w:t>
      </w:r>
      <w:r>
        <w:rPr>
          <w:sz w:val="24"/>
          <w:szCs w:val="24"/>
        </w:rPr>
        <w:t>April 17</w:t>
      </w:r>
      <w:r w:rsidRPr="00FD0A29">
        <w:rPr>
          <w:sz w:val="24"/>
          <w:szCs w:val="24"/>
        </w:rPr>
        <w:t xml:space="preserve">, 2014 and was received in the presiding officer’s office on </w:t>
      </w:r>
      <w:r>
        <w:rPr>
          <w:sz w:val="24"/>
          <w:szCs w:val="24"/>
        </w:rPr>
        <w:t>April 21</w:t>
      </w:r>
      <w:r w:rsidRPr="00FD0A29">
        <w:rPr>
          <w:sz w:val="24"/>
          <w:szCs w:val="24"/>
        </w:rPr>
        <w:t>, 2014.  Complainant and Respondent issued final statements on the hearing record in lieu of filing briefs.</w:t>
      </w:r>
    </w:p>
    <w:p w:rsidR="004943DD" w:rsidRDefault="004943DD" w:rsidP="00FD0A29">
      <w:pPr>
        <w:ind w:firstLine="1440"/>
        <w:rPr>
          <w:sz w:val="24"/>
          <w:szCs w:val="24"/>
        </w:rPr>
      </w:pPr>
    </w:p>
    <w:p w:rsidR="004943DD" w:rsidRDefault="004943DD" w:rsidP="00FD0A29">
      <w:pPr>
        <w:ind w:firstLine="1440"/>
        <w:rPr>
          <w:sz w:val="24"/>
          <w:szCs w:val="24"/>
        </w:rPr>
      </w:pPr>
      <w:r>
        <w:rPr>
          <w:sz w:val="24"/>
          <w:szCs w:val="24"/>
        </w:rPr>
        <w:t>On April 22, 2014, the presiding officer sent correspondence to the parties an</w:t>
      </w:r>
      <w:r w:rsidR="00A2364A">
        <w:rPr>
          <w:sz w:val="24"/>
          <w:szCs w:val="24"/>
        </w:rPr>
        <w:t>d informed them the transcript</w:t>
      </w:r>
      <w:r>
        <w:rPr>
          <w:sz w:val="24"/>
          <w:szCs w:val="24"/>
        </w:rPr>
        <w:t xml:space="preserve"> </w:t>
      </w:r>
      <w:r w:rsidR="00A2364A">
        <w:rPr>
          <w:sz w:val="24"/>
          <w:szCs w:val="24"/>
        </w:rPr>
        <w:t>showed</w:t>
      </w:r>
      <w:r>
        <w:rPr>
          <w:sz w:val="24"/>
          <w:szCs w:val="24"/>
        </w:rPr>
        <w:t xml:space="preserve"> Respondent’s nineteen (19) exhibits, which were marked, discussed and subject to cross-examination, had not been moved into the hearing record at the conclusion of Respondent’s case.  The presiding officer gave Respondent until May 2, 2014 in which to file an appropriate Motion </w:t>
      </w:r>
      <w:proofErr w:type="spellStart"/>
      <w:r w:rsidRPr="00944E17">
        <w:rPr>
          <w:i/>
          <w:sz w:val="24"/>
          <w:szCs w:val="24"/>
        </w:rPr>
        <w:t>Nunc</w:t>
      </w:r>
      <w:proofErr w:type="spellEnd"/>
      <w:r w:rsidRPr="00944E17">
        <w:rPr>
          <w:i/>
          <w:sz w:val="24"/>
          <w:szCs w:val="24"/>
        </w:rPr>
        <w:t xml:space="preserve"> Pro </w:t>
      </w:r>
      <w:proofErr w:type="spellStart"/>
      <w:r w:rsidRPr="00944E17">
        <w:rPr>
          <w:i/>
          <w:sz w:val="24"/>
          <w:szCs w:val="24"/>
        </w:rPr>
        <w:t>Tunc</w:t>
      </w:r>
      <w:proofErr w:type="spellEnd"/>
      <w:r>
        <w:rPr>
          <w:sz w:val="24"/>
          <w:szCs w:val="24"/>
        </w:rPr>
        <w:t xml:space="preserve"> if Respondent wanted the exhibits admitted into the hearing record.  The correspondence specified Complainant would be given two weeks in which to object or comment if Respondent filed such a motion.  </w:t>
      </w:r>
    </w:p>
    <w:p w:rsidR="004943DD" w:rsidRDefault="004943DD" w:rsidP="00FD0A29">
      <w:pPr>
        <w:ind w:firstLine="1440"/>
        <w:rPr>
          <w:sz w:val="24"/>
          <w:szCs w:val="24"/>
        </w:rPr>
      </w:pPr>
    </w:p>
    <w:p w:rsidR="004943DD" w:rsidRDefault="004943DD" w:rsidP="00FD0A29">
      <w:pPr>
        <w:ind w:firstLine="1440"/>
        <w:rPr>
          <w:sz w:val="24"/>
          <w:szCs w:val="24"/>
        </w:rPr>
      </w:pPr>
      <w:r>
        <w:rPr>
          <w:sz w:val="24"/>
          <w:szCs w:val="24"/>
        </w:rPr>
        <w:t xml:space="preserve">On May 1, 2014, Respondent filed a Certificate of Satisfaction with the Secretary’s Bureau in which UGI indicated the parties agreed to a new payment plan consisting of the average monthly bill plus a monthly payment of $113 until the arrearage was paid off.  In the agreement, UGI agreed to waive the restoration service fee ($73) and to restore electric service to Complainant if Complainant </w:t>
      </w:r>
      <w:r w:rsidR="00B256B7">
        <w:rPr>
          <w:sz w:val="24"/>
          <w:szCs w:val="24"/>
        </w:rPr>
        <w:t>made</w:t>
      </w:r>
      <w:r>
        <w:rPr>
          <w:sz w:val="24"/>
          <w:szCs w:val="24"/>
        </w:rPr>
        <w:t xml:space="preserve"> the $128 deposit payment.  </w:t>
      </w:r>
    </w:p>
    <w:p w:rsidR="004943DD" w:rsidRDefault="004943DD" w:rsidP="00FD0A29">
      <w:pPr>
        <w:ind w:firstLine="1440"/>
        <w:rPr>
          <w:sz w:val="24"/>
          <w:szCs w:val="24"/>
        </w:rPr>
      </w:pPr>
    </w:p>
    <w:p w:rsidR="004943DD" w:rsidRDefault="004943DD" w:rsidP="00FD0A29">
      <w:pPr>
        <w:ind w:firstLine="1440"/>
        <w:rPr>
          <w:sz w:val="24"/>
          <w:szCs w:val="24"/>
        </w:rPr>
      </w:pPr>
      <w:r>
        <w:rPr>
          <w:sz w:val="24"/>
          <w:szCs w:val="24"/>
        </w:rPr>
        <w:t xml:space="preserve">On May 5, 2014, </w:t>
      </w:r>
      <w:r w:rsidR="00944E17">
        <w:rPr>
          <w:sz w:val="24"/>
          <w:szCs w:val="24"/>
        </w:rPr>
        <w:t xml:space="preserve">Complainant filed a letter with the Secretary’s Bureau, which letter was received by the presiding officer on May 8, 2014, in which Complainant objected to </w:t>
      </w:r>
      <w:r w:rsidR="00944E17">
        <w:rPr>
          <w:sz w:val="24"/>
          <w:szCs w:val="24"/>
        </w:rPr>
        <w:lastRenderedPageBreak/>
        <w:t xml:space="preserve">the Certificate of Satisfaction.  Complainant acknowledged </w:t>
      </w:r>
      <w:r w:rsidR="00604E82">
        <w:rPr>
          <w:sz w:val="24"/>
          <w:szCs w:val="24"/>
        </w:rPr>
        <w:t xml:space="preserve">making a </w:t>
      </w:r>
      <w:r w:rsidR="00944E17">
        <w:rPr>
          <w:sz w:val="24"/>
          <w:szCs w:val="24"/>
        </w:rPr>
        <w:t xml:space="preserve">deposit payment to UGI </w:t>
      </w:r>
      <w:r w:rsidR="00604E82">
        <w:rPr>
          <w:sz w:val="24"/>
          <w:szCs w:val="24"/>
        </w:rPr>
        <w:t xml:space="preserve">pursuant to the agreement referenced by Respondent on May 1, 2014 </w:t>
      </w:r>
      <w:r w:rsidR="00944E17">
        <w:rPr>
          <w:sz w:val="24"/>
          <w:szCs w:val="24"/>
        </w:rPr>
        <w:t>but denied withdrawing her formal complaint against UGI.  Complainant demanded the presiding officer issue a decision on her formal complaint.</w:t>
      </w:r>
    </w:p>
    <w:p w:rsidR="00944E17" w:rsidRDefault="00944E17" w:rsidP="00FD0A29">
      <w:pPr>
        <w:ind w:firstLine="1440"/>
        <w:rPr>
          <w:sz w:val="24"/>
          <w:szCs w:val="24"/>
        </w:rPr>
      </w:pPr>
    </w:p>
    <w:p w:rsidR="00944E17" w:rsidRDefault="00944E17" w:rsidP="00944E17">
      <w:pPr>
        <w:ind w:firstLine="1440"/>
        <w:rPr>
          <w:sz w:val="24"/>
          <w:szCs w:val="24"/>
        </w:rPr>
      </w:pPr>
      <w:r>
        <w:rPr>
          <w:sz w:val="24"/>
          <w:szCs w:val="24"/>
        </w:rPr>
        <w:t xml:space="preserve">On May 12, 2014, Respondent filed a letter with the Secretary’s Bureau, which letter was received by the presiding officer on May 14, 2014, in which UGI acknowledges the parties agreed to terms in order to restore service and to set up a new payment agreement.  UGI acknowledges utility service was restored on May 7, 2014, after access to the meter was granted to UGI.  By the same correspondence, UGI stated it assumed Complainant’s May 5, 2014 letter was intended to repudiate the settlement agreement.  </w:t>
      </w:r>
    </w:p>
    <w:p w:rsidR="00944E17" w:rsidRDefault="00944E17" w:rsidP="00944E17">
      <w:pPr>
        <w:ind w:firstLine="1440"/>
        <w:rPr>
          <w:sz w:val="24"/>
          <w:szCs w:val="24"/>
        </w:rPr>
      </w:pPr>
    </w:p>
    <w:p w:rsidR="00944E17" w:rsidRDefault="00944E17" w:rsidP="00944E17">
      <w:pPr>
        <w:ind w:firstLine="1440"/>
        <w:rPr>
          <w:sz w:val="24"/>
          <w:szCs w:val="24"/>
        </w:rPr>
      </w:pPr>
      <w:r>
        <w:rPr>
          <w:sz w:val="24"/>
          <w:szCs w:val="24"/>
        </w:rPr>
        <w:t xml:space="preserve">Accordingly, on the same date, UGI filed a Motion </w:t>
      </w:r>
      <w:proofErr w:type="spellStart"/>
      <w:r w:rsidRPr="00944E17">
        <w:rPr>
          <w:i/>
          <w:sz w:val="24"/>
          <w:szCs w:val="24"/>
        </w:rPr>
        <w:t>Nunc</w:t>
      </w:r>
      <w:proofErr w:type="spellEnd"/>
      <w:r w:rsidRPr="00944E17">
        <w:rPr>
          <w:i/>
          <w:sz w:val="24"/>
          <w:szCs w:val="24"/>
        </w:rPr>
        <w:t xml:space="preserve"> Pro </w:t>
      </w:r>
      <w:proofErr w:type="spellStart"/>
      <w:r w:rsidRPr="00944E17">
        <w:rPr>
          <w:i/>
          <w:sz w:val="24"/>
          <w:szCs w:val="24"/>
        </w:rPr>
        <w:t>Tunc</w:t>
      </w:r>
      <w:proofErr w:type="spellEnd"/>
      <w:r>
        <w:rPr>
          <w:sz w:val="24"/>
          <w:szCs w:val="24"/>
        </w:rPr>
        <w:t xml:space="preserve"> for Admission of Exhibits and </w:t>
      </w:r>
      <w:r w:rsidR="00FD0A29" w:rsidRPr="00FD0A29">
        <w:rPr>
          <w:sz w:val="24"/>
          <w:szCs w:val="24"/>
        </w:rPr>
        <w:t xml:space="preserve">requested the presiding officer admit </w:t>
      </w:r>
      <w:r w:rsidR="00FD0A29">
        <w:rPr>
          <w:sz w:val="24"/>
          <w:szCs w:val="24"/>
        </w:rPr>
        <w:t>UGI Exhibits 1 through 19, which UGI inadvertently did not move for admission into the hearing record</w:t>
      </w:r>
      <w:r w:rsidR="00FD0A29" w:rsidRPr="00FD0A29">
        <w:rPr>
          <w:sz w:val="24"/>
          <w:szCs w:val="24"/>
        </w:rPr>
        <w:t xml:space="preserve">.  </w:t>
      </w:r>
    </w:p>
    <w:p w:rsidR="00944E17" w:rsidRDefault="00944E17" w:rsidP="00944E17">
      <w:pPr>
        <w:ind w:firstLine="1440"/>
        <w:rPr>
          <w:sz w:val="24"/>
          <w:szCs w:val="24"/>
        </w:rPr>
      </w:pPr>
    </w:p>
    <w:p w:rsidR="00FD0A29" w:rsidRDefault="00FD0A29" w:rsidP="00944E17">
      <w:pPr>
        <w:ind w:firstLine="1440"/>
        <w:rPr>
          <w:sz w:val="24"/>
          <w:szCs w:val="24"/>
        </w:rPr>
      </w:pPr>
      <w:r>
        <w:rPr>
          <w:sz w:val="24"/>
          <w:szCs w:val="24"/>
        </w:rPr>
        <w:t xml:space="preserve">On May </w:t>
      </w:r>
      <w:r w:rsidR="00944E17">
        <w:rPr>
          <w:sz w:val="24"/>
          <w:szCs w:val="24"/>
        </w:rPr>
        <w:t>15</w:t>
      </w:r>
      <w:r>
        <w:rPr>
          <w:sz w:val="24"/>
          <w:szCs w:val="24"/>
        </w:rPr>
        <w:t xml:space="preserve">, 2014, </w:t>
      </w:r>
      <w:r w:rsidRPr="00FD0A29">
        <w:rPr>
          <w:sz w:val="24"/>
          <w:szCs w:val="24"/>
        </w:rPr>
        <w:t>Complainant respond</w:t>
      </w:r>
      <w:r>
        <w:rPr>
          <w:sz w:val="24"/>
          <w:szCs w:val="24"/>
        </w:rPr>
        <w:t>ed</w:t>
      </w:r>
      <w:r w:rsidRPr="00FD0A29">
        <w:rPr>
          <w:sz w:val="24"/>
          <w:szCs w:val="24"/>
        </w:rPr>
        <w:t xml:space="preserve"> to the Motion</w:t>
      </w:r>
      <w:r>
        <w:rPr>
          <w:sz w:val="24"/>
          <w:szCs w:val="24"/>
        </w:rPr>
        <w:t xml:space="preserve"> </w:t>
      </w:r>
      <w:proofErr w:type="spellStart"/>
      <w:r w:rsidR="00944E17" w:rsidRPr="009C594F">
        <w:rPr>
          <w:i/>
          <w:sz w:val="24"/>
          <w:szCs w:val="24"/>
        </w:rPr>
        <w:t>Nunc</w:t>
      </w:r>
      <w:proofErr w:type="spellEnd"/>
      <w:r w:rsidR="00944E17" w:rsidRPr="009C594F">
        <w:rPr>
          <w:i/>
          <w:sz w:val="24"/>
          <w:szCs w:val="24"/>
        </w:rPr>
        <w:t xml:space="preserve"> Pro </w:t>
      </w:r>
      <w:proofErr w:type="spellStart"/>
      <w:r w:rsidR="00944E17" w:rsidRPr="009C594F">
        <w:rPr>
          <w:i/>
          <w:sz w:val="24"/>
          <w:szCs w:val="24"/>
        </w:rPr>
        <w:t>Tunc</w:t>
      </w:r>
      <w:proofErr w:type="spellEnd"/>
      <w:r w:rsidR="00944E17">
        <w:rPr>
          <w:sz w:val="24"/>
          <w:szCs w:val="24"/>
        </w:rPr>
        <w:t xml:space="preserve"> </w:t>
      </w:r>
      <w:r>
        <w:rPr>
          <w:sz w:val="24"/>
          <w:szCs w:val="24"/>
        </w:rPr>
        <w:t>by letter</w:t>
      </w:r>
      <w:r w:rsidR="00944E17">
        <w:rPr>
          <w:sz w:val="24"/>
          <w:szCs w:val="24"/>
        </w:rPr>
        <w:t>, which letter was received by the presiding officer on May 23, 2014</w:t>
      </w:r>
      <w:r w:rsidRPr="00FD0A29">
        <w:rPr>
          <w:sz w:val="24"/>
          <w:szCs w:val="24"/>
        </w:rPr>
        <w:t>.</w:t>
      </w:r>
      <w:r>
        <w:rPr>
          <w:sz w:val="24"/>
          <w:szCs w:val="24"/>
        </w:rPr>
        <w:t xml:space="preserve">  In </w:t>
      </w:r>
      <w:r w:rsidR="009C594F">
        <w:rPr>
          <w:sz w:val="24"/>
          <w:szCs w:val="24"/>
        </w:rPr>
        <w:t>her response, Complainant object</w:t>
      </w:r>
      <w:r w:rsidR="00836DE4">
        <w:rPr>
          <w:sz w:val="24"/>
          <w:szCs w:val="24"/>
        </w:rPr>
        <w:t>ed</w:t>
      </w:r>
      <w:r w:rsidR="009C594F">
        <w:rPr>
          <w:sz w:val="24"/>
          <w:szCs w:val="24"/>
        </w:rPr>
        <w:t xml:space="preserve"> to the Motion </w:t>
      </w:r>
      <w:proofErr w:type="spellStart"/>
      <w:r w:rsidR="009C594F" w:rsidRPr="009C594F">
        <w:rPr>
          <w:i/>
          <w:sz w:val="24"/>
          <w:szCs w:val="24"/>
        </w:rPr>
        <w:t>Nunc</w:t>
      </w:r>
      <w:proofErr w:type="spellEnd"/>
      <w:r w:rsidR="009C594F" w:rsidRPr="009C594F">
        <w:rPr>
          <w:i/>
          <w:sz w:val="24"/>
          <w:szCs w:val="24"/>
        </w:rPr>
        <w:t xml:space="preserve"> Pro </w:t>
      </w:r>
      <w:proofErr w:type="spellStart"/>
      <w:r w:rsidR="009C594F" w:rsidRPr="009C594F">
        <w:rPr>
          <w:i/>
          <w:sz w:val="24"/>
          <w:szCs w:val="24"/>
        </w:rPr>
        <w:t>Tunc</w:t>
      </w:r>
      <w:proofErr w:type="spellEnd"/>
      <w:r w:rsidR="009C594F">
        <w:rPr>
          <w:sz w:val="24"/>
          <w:szCs w:val="24"/>
        </w:rPr>
        <w:t xml:space="preserve"> as untimely requested because it was not filed by May 2, 2014</w:t>
      </w:r>
      <w:r>
        <w:rPr>
          <w:sz w:val="24"/>
          <w:szCs w:val="24"/>
        </w:rPr>
        <w:t>.</w:t>
      </w:r>
      <w:r w:rsidR="009C594F">
        <w:rPr>
          <w:sz w:val="24"/>
          <w:szCs w:val="24"/>
        </w:rPr>
        <w:t xml:space="preserve">  Complainant objected to any future attempts to delay the case, acknowledge</w:t>
      </w:r>
      <w:r w:rsidR="00836DE4">
        <w:rPr>
          <w:sz w:val="24"/>
          <w:szCs w:val="24"/>
        </w:rPr>
        <w:t>d</w:t>
      </w:r>
      <w:r w:rsidR="009C594F">
        <w:rPr>
          <w:sz w:val="24"/>
          <w:szCs w:val="24"/>
        </w:rPr>
        <w:t xml:space="preserve"> she enter</w:t>
      </w:r>
      <w:r w:rsidR="00836DE4">
        <w:rPr>
          <w:sz w:val="24"/>
          <w:szCs w:val="24"/>
        </w:rPr>
        <w:t>ed</w:t>
      </w:r>
      <w:r w:rsidR="009C594F">
        <w:rPr>
          <w:sz w:val="24"/>
          <w:szCs w:val="24"/>
        </w:rPr>
        <w:t xml:space="preserve"> into an agreement with UGI, as detailed in her May 5, 2014 letter, and insist</w:t>
      </w:r>
      <w:r w:rsidR="00836DE4">
        <w:rPr>
          <w:sz w:val="24"/>
          <w:szCs w:val="24"/>
        </w:rPr>
        <w:t>ed</w:t>
      </w:r>
      <w:r w:rsidR="009C594F">
        <w:rPr>
          <w:sz w:val="24"/>
          <w:szCs w:val="24"/>
        </w:rPr>
        <w:t xml:space="preserve"> she will not use her restored service until a decision is rendered on her complaint.  </w:t>
      </w:r>
    </w:p>
    <w:p w:rsidR="009C594F" w:rsidRDefault="009C594F" w:rsidP="00944E17">
      <w:pPr>
        <w:ind w:firstLine="1440"/>
        <w:rPr>
          <w:sz w:val="24"/>
          <w:szCs w:val="24"/>
        </w:rPr>
      </w:pPr>
    </w:p>
    <w:p w:rsidR="009C594F" w:rsidRPr="00FD0A29" w:rsidRDefault="009C594F" w:rsidP="00944E17">
      <w:pPr>
        <w:ind w:firstLine="1440"/>
        <w:rPr>
          <w:sz w:val="24"/>
          <w:szCs w:val="24"/>
        </w:rPr>
      </w:pPr>
      <w:r>
        <w:rPr>
          <w:sz w:val="24"/>
          <w:szCs w:val="24"/>
        </w:rPr>
        <w:t xml:space="preserve">On May 27, 2014, the presiding officer issued </w:t>
      </w:r>
      <w:r w:rsidR="001A4858">
        <w:rPr>
          <w:sz w:val="24"/>
          <w:szCs w:val="24"/>
        </w:rPr>
        <w:t>the First Interim Order which admitted into the hearing record Respondent’s exhibits marked as UGI Exhibits 1 through 19.</w:t>
      </w:r>
    </w:p>
    <w:p w:rsidR="00FD0A29" w:rsidRPr="00FD0A29" w:rsidRDefault="00FD0A29" w:rsidP="00FD0A29">
      <w:pPr>
        <w:rPr>
          <w:sz w:val="24"/>
          <w:szCs w:val="24"/>
        </w:rPr>
      </w:pPr>
    </w:p>
    <w:p w:rsidR="007D3509" w:rsidRPr="00FD0A29" w:rsidRDefault="00FD0A29" w:rsidP="00FD0A29">
      <w:pPr>
        <w:ind w:firstLine="1440"/>
        <w:rPr>
          <w:sz w:val="24"/>
          <w:szCs w:val="24"/>
        </w:rPr>
      </w:pPr>
      <w:r w:rsidRPr="00FD0A29">
        <w:rPr>
          <w:sz w:val="24"/>
          <w:szCs w:val="24"/>
        </w:rPr>
        <w:t xml:space="preserve">On </w:t>
      </w:r>
      <w:r w:rsidR="001A4858">
        <w:rPr>
          <w:sz w:val="24"/>
          <w:szCs w:val="24"/>
        </w:rPr>
        <w:t>May 29</w:t>
      </w:r>
      <w:r>
        <w:rPr>
          <w:sz w:val="24"/>
          <w:szCs w:val="24"/>
        </w:rPr>
        <w:t>,</w:t>
      </w:r>
      <w:r w:rsidRPr="00FD0A29">
        <w:rPr>
          <w:sz w:val="24"/>
          <w:szCs w:val="24"/>
        </w:rPr>
        <w:t xml:space="preserve"> 2014, the presiding officer closed the hearing by Interim Order Closing the Hearing Record.</w:t>
      </w:r>
    </w:p>
    <w:p w:rsidR="00C44296" w:rsidRDefault="00C44296" w:rsidP="00C44296">
      <w:pPr>
        <w:tabs>
          <w:tab w:val="left" w:pos="2160"/>
        </w:tabs>
        <w:ind w:firstLine="1440"/>
        <w:rPr>
          <w:sz w:val="24"/>
          <w:szCs w:val="24"/>
        </w:rPr>
      </w:pPr>
    </w:p>
    <w:p w:rsidR="00E95A42" w:rsidRDefault="00F64636" w:rsidP="00C44296">
      <w:pPr>
        <w:tabs>
          <w:tab w:val="left" w:pos="2160"/>
        </w:tabs>
        <w:ind w:firstLine="1440"/>
        <w:rPr>
          <w:sz w:val="24"/>
          <w:szCs w:val="24"/>
        </w:rPr>
      </w:pPr>
      <w:r>
        <w:rPr>
          <w:sz w:val="24"/>
          <w:szCs w:val="24"/>
        </w:rPr>
        <w:t>Since the hearing record closed on May 29, 2014, Complainant filed two correspondences with the Secretary’s Bureau, the presiding officer and counsel for UGI:</w:t>
      </w:r>
      <w:r w:rsidR="005512F9">
        <w:rPr>
          <w:sz w:val="24"/>
          <w:szCs w:val="24"/>
        </w:rPr>
        <w:t xml:space="preserve"> </w:t>
      </w:r>
      <w:r>
        <w:rPr>
          <w:sz w:val="24"/>
          <w:szCs w:val="24"/>
        </w:rPr>
        <w:t xml:space="preserve"> </w:t>
      </w:r>
    </w:p>
    <w:p w:rsidR="00F64636" w:rsidRDefault="00F64636" w:rsidP="00E95A42">
      <w:pPr>
        <w:tabs>
          <w:tab w:val="left" w:pos="2160"/>
        </w:tabs>
        <w:rPr>
          <w:sz w:val="24"/>
          <w:szCs w:val="24"/>
        </w:rPr>
      </w:pPr>
      <w:r>
        <w:rPr>
          <w:sz w:val="24"/>
          <w:szCs w:val="24"/>
        </w:rPr>
        <w:lastRenderedPageBreak/>
        <w:t xml:space="preserve">(1) unsigned, undated Response to Interim Order Requesting Motion </w:t>
      </w:r>
      <w:proofErr w:type="spellStart"/>
      <w:r w:rsidRPr="00F64636">
        <w:rPr>
          <w:i/>
          <w:sz w:val="24"/>
          <w:szCs w:val="24"/>
        </w:rPr>
        <w:t>Nunc</w:t>
      </w:r>
      <w:proofErr w:type="spellEnd"/>
      <w:r w:rsidRPr="00F64636">
        <w:rPr>
          <w:i/>
          <w:sz w:val="24"/>
          <w:szCs w:val="24"/>
        </w:rPr>
        <w:t xml:space="preserve"> Pro </w:t>
      </w:r>
      <w:proofErr w:type="spellStart"/>
      <w:r w:rsidRPr="00F64636">
        <w:rPr>
          <w:i/>
          <w:sz w:val="24"/>
          <w:szCs w:val="24"/>
        </w:rPr>
        <w:t>Tunc</w:t>
      </w:r>
      <w:proofErr w:type="spellEnd"/>
      <w:r>
        <w:rPr>
          <w:sz w:val="24"/>
          <w:szCs w:val="24"/>
        </w:rPr>
        <w:t xml:space="preserve"> for Admission of Exhibits 21-27, received June 12, 2014 (6 pages); and (2) Letter dated July 14, 2014 with copy of Response to Interim Order Requesting Motion </w:t>
      </w:r>
      <w:proofErr w:type="spellStart"/>
      <w:r w:rsidRPr="00F64636">
        <w:rPr>
          <w:i/>
          <w:sz w:val="24"/>
          <w:szCs w:val="24"/>
        </w:rPr>
        <w:t>Nunc</w:t>
      </w:r>
      <w:proofErr w:type="spellEnd"/>
      <w:r w:rsidRPr="00F64636">
        <w:rPr>
          <w:i/>
          <w:sz w:val="24"/>
          <w:szCs w:val="24"/>
        </w:rPr>
        <w:t xml:space="preserve"> Pro </w:t>
      </w:r>
      <w:proofErr w:type="spellStart"/>
      <w:r w:rsidRPr="00F64636">
        <w:rPr>
          <w:i/>
          <w:sz w:val="24"/>
          <w:szCs w:val="24"/>
        </w:rPr>
        <w:t>Tunc</w:t>
      </w:r>
      <w:proofErr w:type="spellEnd"/>
      <w:r>
        <w:rPr>
          <w:sz w:val="24"/>
          <w:szCs w:val="24"/>
        </w:rPr>
        <w:t xml:space="preserve"> for Admission of Exhibits 21-27 (6 pages total).  Neither document was considered in the final disposition of this proceeding because the documents were sent and received after the hearing record closed.</w:t>
      </w:r>
    </w:p>
    <w:p w:rsidR="00F64636" w:rsidRPr="00FD0A29" w:rsidRDefault="00F64636" w:rsidP="00C44296">
      <w:pPr>
        <w:tabs>
          <w:tab w:val="left" w:pos="2160"/>
        </w:tabs>
        <w:ind w:firstLine="1440"/>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Default="00C44296" w:rsidP="00C44296">
      <w:pPr>
        <w:tabs>
          <w:tab w:val="left" w:pos="2160"/>
        </w:tabs>
        <w:ind w:firstLine="1440"/>
        <w:rPr>
          <w:sz w:val="24"/>
          <w:szCs w:val="24"/>
        </w:rPr>
      </w:pPr>
      <w:r w:rsidRPr="00B73D10">
        <w:rPr>
          <w:sz w:val="24"/>
          <w:szCs w:val="24"/>
        </w:rPr>
        <w:t>1.</w:t>
      </w:r>
      <w:r w:rsidRPr="00B73D10">
        <w:rPr>
          <w:sz w:val="24"/>
          <w:szCs w:val="24"/>
        </w:rPr>
        <w:tab/>
        <w:t xml:space="preserve">Complainant, </w:t>
      </w:r>
      <w:r w:rsidR="00A2364A">
        <w:rPr>
          <w:sz w:val="24"/>
          <w:szCs w:val="24"/>
        </w:rPr>
        <w:t xml:space="preserve">Ernestine </w:t>
      </w:r>
      <w:proofErr w:type="spellStart"/>
      <w:r w:rsidR="00A2364A">
        <w:rPr>
          <w:sz w:val="24"/>
          <w:szCs w:val="24"/>
        </w:rPr>
        <w:t>Crankfield</w:t>
      </w:r>
      <w:proofErr w:type="spellEnd"/>
      <w:r w:rsidR="00A01BF0">
        <w:rPr>
          <w:sz w:val="24"/>
          <w:szCs w:val="24"/>
        </w:rPr>
        <w:t xml:space="preserve">, </w:t>
      </w:r>
      <w:r w:rsidR="00A2364A">
        <w:rPr>
          <w:sz w:val="24"/>
          <w:szCs w:val="24"/>
        </w:rPr>
        <w:t>has resided</w:t>
      </w:r>
      <w:r w:rsidR="00FB2F18">
        <w:rPr>
          <w:sz w:val="24"/>
          <w:szCs w:val="24"/>
        </w:rPr>
        <w:t xml:space="preserve"> </w:t>
      </w:r>
      <w:r w:rsidR="00A2364A">
        <w:rPr>
          <w:sz w:val="24"/>
          <w:szCs w:val="24"/>
        </w:rPr>
        <w:t>at 608 South 24</w:t>
      </w:r>
      <w:r w:rsidR="00A2364A" w:rsidRPr="00A2364A">
        <w:rPr>
          <w:sz w:val="24"/>
          <w:szCs w:val="24"/>
          <w:vertAlign w:val="superscript"/>
        </w:rPr>
        <w:t>th</w:t>
      </w:r>
      <w:r w:rsidR="00A2364A">
        <w:rPr>
          <w:sz w:val="24"/>
          <w:szCs w:val="24"/>
        </w:rPr>
        <w:t xml:space="preserve"> Street, Second Floor, Harrisburg, Pennsylvania (service address) since December 1, 2012.  </w:t>
      </w:r>
      <w:proofErr w:type="gramStart"/>
      <w:r w:rsidR="00A2364A">
        <w:rPr>
          <w:sz w:val="24"/>
          <w:szCs w:val="24"/>
        </w:rPr>
        <w:t>(Tr. 10).</w:t>
      </w:r>
      <w:proofErr w:type="gramEnd"/>
      <w:r w:rsidRPr="00B73D10">
        <w:rPr>
          <w:sz w:val="24"/>
          <w:szCs w:val="24"/>
        </w:rPr>
        <w:t xml:space="preserve"> </w:t>
      </w:r>
    </w:p>
    <w:p w:rsidR="00044B8E" w:rsidRDefault="00044B8E" w:rsidP="00C44296">
      <w:pPr>
        <w:tabs>
          <w:tab w:val="left" w:pos="2160"/>
        </w:tabs>
        <w:ind w:firstLine="1440"/>
        <w:rPr>
          <w:sz w:val="24"/>
          <w:szCs w:val="24"/>
        </w:rPr>
      </w:pPr>
    </w:p>
    <w:p w:rsidR="00044B8E" w:rsidRDefault="008C756D" w:rsidP="00C44296">
      <w:pPr>
        <w:tabs>
          <w:tab w:val="left" w:pos="2160"/>
        </w:tabs>
        <w:ind w:firstLine="1440"/>
        <w:rPr>
          <w:sz w:val="24"/>
          <w:szCs w:val="24"/>
        </w:rPr>
      </w:pPr>
      <w:r>
        <w:rPr>
          <w:sz w:val="24"/>
          <w:szCs w:val="24"/>
        </w:rPr>
        <w:t>2</w:t>
      </w:r>
      <w:r w:rsidR="00044B8E">
        <w:rPr>
          <w:sz w:val="24"/>
          <w:szCs w:val="24"/>
        </w:rPr>
        <w:t>.</w:t>
      </w:r>
      <w:r w:rsidR="00044B8E">
        <w:rPr>
          <w:sz w:val="24"/>
          <w:szCs w:val="24"/>
        </w:rPr>
        <w:tab/>
        <w:t xml:space="preserve"> </w:t>
      </w:r>
      <w:r w:rsidR="00A2364A">
        <w:rPr>
          <w:sz w:val="24"/>
          <w:szCs w:val="24"/>
        </w:rPr>
        <w:t>Respondent provided</w:t>
      </w:r>
      <w:r w:rsidR="00D135A4">
        <w:rPr>
          <w:sz w:val="24"/>
          <w:szCs w:val="24"/>
        </w:rPr>
        <w:t xml:space="preserve"> </w:t>
      </w:r>
      <w:r w:rsidR="00A2364A">
        <w:rPr>
          <w:sz w:val="24"/>
          <w:szCs w:val="24"/>
        </w:rPr>
        <w:t>natural gas</w:t>
      </w:r>
      <w:r w:rsidR="00D135A4">
        <w:rPr>
          <w:sz w:val="24"/>
          <w:szCs w:val="24"/>
        </w:rPr>
        <w:t xml:space="preserve"> service to Complainant at the service address</w:t>
      </w:r>
      <w:r w:rsidR="00A2364A">
        <w:rPr>
          <w:sz w:val="24"/>
          <w:szCs w:val="24"/>
        </w:rPr>
        <w:t xml:space="preserve"> from December 1, 2012 to June 25, 2013</w:t>
      </w:r>
      <w:r w:rsidR="0034210C">
        <w:rPr>
          <w:sz w:val="24"/>
          <w:szCs w:val="24"/>
        </w:rPr>
        <w:t xml:space="preserve">.  </w:t>
      </w:r>
      <w:proofErr w:type="gramStart"/>
      <w:r w:rsidR="00D135A4">
        <w:rPr>
          <w:sz w:val="24"/>
          <w:szCs w:val="24"/>
        </w:rPr>
        <w:t>(Tr. 10).</w:t>
      </w:r>
      <w:proofErr w:type="gramEnd"/>
    </w:p>
    <w:p w:rsidR="005C24B1" w:rsidRDefault="005C24B1" w:rsidP="00C44296">
      <w:pPr>
        <w:tabs>
          <w:tab w:val="left" w:pos="2160"/>
        </w:tabs>
        <w:ind w:firstLine="1440"/>
        <w:rPr>
          <w:sz w:val="24"/>
          <w:szCs w:val="24"/>
        </w:rPr>
      </w:pPr>
    </w:p>
    <w:p w:rsidR="005C24B1" w:rsidRDefault="005C24B1" w:rsidP="00C44296">
      <w:pPr>
        <w:tabs>
          <w:tab w:val="left" w:pos="2160"/>
        </w:tabs>
        <w:ind w:firstLine="1440"/>
        <w:rPr>
          <w:sz w:val="24"/>
          <w:szCs w:val="24"/>
        </w:rPr>
      </w:pPr>
      <w:r>
        <w:rPr>
          <w:sz w:val="24"/>
          <w:szCs w:val="24"/>
        </w:rPr>
        <w:t xml:space="preserve">3. </w:t>
      </w:r>
      <w:r>
        <w:rPr>
          <w:sz w:val="24"/>
          <w:szCs w:val="24"/>
        </w:rPr>
        <w:tab/>
      </w:r>
      <w:r w:rsidR="00604E82">
        <w:rPr>
          <w:sz w:val="24"/>
          <w:szCs w:val="24"/>
        </w:rPr>
        <w:t xml:space="preserve">In February 2010, </w:t>
      </w:r>
      <w:r>
        <w:rPr>
          <w:sz w:val="24"/>
          <w:szCs w:val="24"/>
        </w:rPr>
        <w:t xml:space="preserve">Complainant </w:t>
      </w:r>
      <w:r w:rsidR="005F0598">
        <w:rPr>
          <w:sz w:val="24"/>
          <w:szCs w:val="24"/>
        </w:rPr>
        <w:t>paid $112 to Respondent</w:t>
      </w:r>
      <w:r>
        <w:rPr>
          <w:sz w:val="24"/>
          <w:szCs w:val="24"/>
        </w:rPr>
        <w:t xml:space="preserve"> in order to begin service at 1829 North Third Street, Harrisburg, Pennsylvania (1829 North Third) in March 2010.  </w:t>
      </w:r>
      <w:r w:rsidR="005F0598">
        <w:rPr>
          <w:sz w:val="24"/>
          <w:szCs w:val="24"/>
        </w:rPr>
        <w:t xml:space="preserve">Complainant wanted the money applied to </w:t>
      </w:r>
      <w:r w:rsidR="00F45988">
        <w:rPr>
          <w:sz w:val="24"/>
          <w:szCs w:val="24"/>
        </w:rPr>
        <w:t>her</w:t>
      </w:r>
      <w:r w:rsidR="005F0598">
        <w:rPr>
          <w:sz w:val="24"/>
          <w:szCs w:val="24"/>
        </w:rPr>
        <w:t xml:space="preserve"> security deposit but Respondent applied the $112 payments towards the unpaid account balance for service provided at two different locations.</w:t>
      </w:r>
      <w:r w:rsidR="00604E82">
        <w:rPr>
          <w:rStyle w:val="FootnoteReference"/>
          <w:sz w:val="24"/>
          <w:szCs w:val="24"/>
        </w:rPr>
        <w:footnoteReference w:id="1"/>
      </w:r>
      <w:r w:rsidR="005F0598">
        <w:rPr>
          <w:sz w:val="24"/>
          <w:szCs w:val="24"/>
        </w:rPr>
        <w:t xml:space="preserve">  </w:t>
      </w:r>
      <w:proofErr w:type="gramStart"/>
      <w:r>
        <w:rPr>
          <w:sz w:val="24"/>
          <w:szCs w:val="24"/>
        </w:rPr>
        <w:t>(Tr. 12-14, 31, 32</w:t>
      </w:r>
      <w:r w:rsidR="005F0598">
        <w:rPr>
          <w:sz w:val="24"/>
          <w:szCs w:val="24"/>
        </w:rPr>
        <w:t>, 54</w:t>
      </w:r>
      <w:r>
        <w:rPr>
          <w:sz w:val="24"/>
          <w:szCs w:val="24"/>
        </w:rPr>
        <w:t>; Complainant Exhibit C-4</w:t>
      </w:r>
      <w:r w:rsidR="005F0598">
        <w:rPr>
          <w:sz w:val="24"/>
          <w:szCs w:val="24"/>
        </w:rPr>
        <w:t xml:space="preserve"> and UGI Exhibit R-3</w:t>
      </w:r>
      <w:r>
        <w:rPr>
          <w:sz w:val="24"/>
          <w:szCs w:val="24"/>
        </w:rPr>
        <w:t>).</w:t>
      </w:r>
      <w:proofErr w:type="gramEnd"/>
    </w:p>
    <w:p w:rsidR="00413763" w:rsidRDefault="00413763" w:rsidP="00C44296">
      <w:pPr>
        <w:tabs>
          <w:tab w:val="left" w:pos="2160"/>
        </w:tabs>
        <w:ind w:firstLine="1440"/>
        <w:rPr>
          <w:sz w:val="24"/>
          <w:szCs w:val="24"/>
        </w:rPr>
      </w:pPr>
    </w:p>
    <w:p w:rsidR="00413763" w:rsidRDefault="00C953A6" w:rsidP="00C44296">
      <w:pPr>
        <w:tabs>
          <w:tab w:val="left" w:pos="2160"/>
        </w:tabs>
        <w:ind w:firstLine="1440"/>
        <w:rPr>
          <w:sz w:val="24"/>
          <w:szCs w:val="24"/>
        </w:rPr>
      </w:pPr>
      <w:r>
        <w:rPr>
          <w:sz w:val="24"/>
          <w:szCs w:val="24"/>
        </w:rPr>
        <w:t>4</w:t>
      </w:r>
      <w:r w:rsidR="00413763">
        <w:rPr>
          <w:sz w:val="24"/>
          <w:szCs w:val="24"/>
        </w:rPr>
        <w:t xml:space="preserve">. </w:t>
      </w:r>
      <w:r w:rsidR="00413763">
        <w:rPr>
          <w:sz w:val="24"/>
          <w:szCs w:val="24"/>
        </w:rPr>
        <w:tab/>
      </w:r>
      <w:r w:rsidR="005A4D6E">
        <w:rPr>
          <w:sz w:val="24"/>
          <w:szCs w:val="24"/>
        </w:rPr>
        <w:t>From March 27, 2010</w:t>
      </w:r>
      <w:r w:rsidR="00A2364A">
        <w:rPr>
          <w:sz w:val="24"/>
          <w:szCs w:val="24"/>
        </w:rPr>
        <w:t xml:space="preserve"> to December 14, 2011, Complainant resided at 1829</w:t>
      </w:r>
      <w:r w:rsidR="00D26DBD">
        <w:rPr>
          <w:sz w:val="24"/>
          <w:szCs w:val="24"/>
        </w:rPr>
        <w:t> </w:t>
      </w:r>
      <w:r w:rsidR="00A2364A">
        <w:rPr>
          <w:sz w:val="24"/>
          <w:szCs w:val="24"/>
        </w:rPr>
        <w:t>North Third</w:t>
      </w:r>
      <w:r w:rsidR="00327855">
        <w:rPr>
          <w:sz w:val="24"/>
          <w:szCs w:val="24"/>
        </w:rPr>
        <w:t xml:space="preserve">, where she was a customer of Respondent.  </w:t>
      </w:r>
      <w:proofErr w:type="gramStart"/>
      <w:r w:rsidR="00327855">
        <w:rPr>
          <w:sz w:val="24"/>
          <w:szCs w:val="24"/>
        </w:rPr>
        <w:t>(Tr. 12, 14</w:t>
      </w:r>
      <w:r w:rsidR="005A4D6E">
        <w:rPr>
          <w:sz w:val="24"/>
          <w:szCs w:val="24"/>
        </w:rPr>
        <w:t>, 31, 32</w:t>
      </w:r>
      <w:r w:rsidR="00327855">
        <w:rPr>
          <w:sz w:val="24"/>
          <w:szCs w:val="24"/>
        </w:rPr>
        <w:t>).</w:t>
      </w:r>
      <w:proofErr w:type="gramEnd"/>
    </w:p>
    <w:p w:rsidR="00327855" w:rsidRDefault="00327855" w:rsidP="00C44296">
      <w:pPr>
        <w:tabs>
          <w:tab w:val="left" w:pos="2160"/>
        </w:tabs>
        <w:ind w:firstLine="1440"/>
        <w:rPr>
          <w:sz w:val="24"/>
          <w:szCs w:val="24"/>
        </w:rPr>
      </w:pPr>
    </w:p>
    <w:p w:rsidR="00327855" w:rsidRDefault="0026154E" w:rsidP="00C44296">
      <w:pPr>
        <w:tabs>
          <w:tab w:val="left" w:pos="2160"/>
        </w:tabs>
        <w:ind w:firstLine="1440"/>
        <w:rPr>
          <w:sz w:val="24"/>
          <w:szCs w:val="24"/>
        </w:rPr>
      </w:pPr>
      <w:r>
        <w:rPr>
          <w:sz w:val="24"/>
          <w:szCs w:val="24"/>
        </w:rPr>
        <w:t>5</w:t>
      </w:r>
      <w:r w:rsidR="00327855">
        <w:rPr>
          <w:sz w:val="24"/>
          <w:szCs w:val="24"/>
        </w:rPr>
        <w:t>.</w:t>
      </w:r>
      <w:r w:rsidR="00327855">
        <w:rPr>
          <w:sz w:val="24"/>
          <w:szCs w:val="24"/>
        </w:rPr>
        <w:tab/>
        <w:t xml:space="preserve">Respondent obtained a final meter reading on December 14, 2011 and issued a final bill to Complainant on </w:t>
      </w:r>
      <w:r>
        <w:rPr>
          <w:sz w:val="24"/>
          <w:szCs w:val="24"/>
        </w:rPr>
        <w:t>December 16, 2011</w:t>
      </w:r>
      <w:r w:rsidR="00327855">
        <w:rPr>
          <w:sz w:val="24"/>
          <w:szCs w:val="24"/>
        </w:rPr>
        <w:t xml:space="preserve"> for $</w:t>
      </w:r>
      <w:r>
        <w:rPr>
          <w:sz w:val="24"/>
          <w:szCs w:val="24"/>
        </w:rPr>
        <w:t>29.01, which covered the cost of natural gas service from December 2, 2011 through December 14, 2011</w:t>
      </w:r>
      <w:r w:rsidR="00327855">
        <w:rPr>
          <w:sz w:val="24"/>
          <w:szCs w:val="24"/>
        </w:rPr>
        <w:t xml:space="preserve">.  </w:t>
      </w:r>
      <w:proofErr w:type="gramStart"/>
      <w:r w:rsidR="00327855">
        <w:rPr>
          <w:sz w:val="24"/>
          <w:szCs w:val="24"/>
        </w:rPr>
        <w:t>(</w:t>
      </w:r>
      <w:r w:rsidR="005F0598">
        <w:rPr>
          <w:sz w:val="24"/>
          <w:szCs w:val="24"/>
        </w:rPr>
        <w:t xml:space="preserve">Tr. 53; </w:t>
      </w:r>
      <w:r w:rsidR="005C24B1">
        <w:rPr>
          <w:sz w:val="24"/>
          <w:szCs w:val="24"/>
        </w:rPr>
        <w:t>Complainant Exhibit A-3</w:t>
      </w:r>
      <w:r w:rsidR="00327855">
        <w:rPr>
          <w:sz w:val="24"/>
          <w:szCs w:val="24"/>
        </w:rPr>
        <w:t>).</w:t>
      </w:r>
      <w:proofErr w:type="gramEnd"/>
    </w:p>
    <w:p w:rsidR="0026154E" w:rsidRDefault="0026154E" w:rsidP="0026154E">
      <w:pPr>
        <w:tabs>
          <w:tab w:val="left" w:pos="2160"/>
        </w:tabs>
        <w:ind w:firstLine="1440"/>
        <w:rPr>
          <w:sz w:val="24"/>
          <w:szCs w:val="24"/>
        </w:rPr>
      </w:pPr>
    </w:p>
    <w:p w:rsidR="0026154E" w:rsidRDefault="0026154E" w:rsidP="0026154E">
      <w:pPr>
        <w:tabs>
          <w:tab w:val="left" w:pos="2160"/>
        </w:tabs>
        <w:ind w:firstLine="1440"/>
        <w:rPr>
          <w:sz w:val="24"/>
          <w:szCs w:val="24"/>
        </w:rPr>
      </w:pPr>
      <w:r>
        <w:rPr>
          <w:sz w:val="24"/>
          <w:szCs w:val="24"/>
        </w:rPr>
        <w:lastRenderedPageBreak/>
        <w:t xml:space="preserve">6. </w:t>
      </w:r>
      <w:r>
        <w:rPr>
          <w:sz w:val="24"/>
          <w:szCs w:val="24"/>
        </w:rPr>
        <w:tab/>
        <w:t xml:space="preserve">As of January 6, 2012, Complainant’s account balance with Respondent totaled $1,220.96, which was the sum of the account balance on the date of the final meter reading </w:t>
      </w:r>
      <w:r w:rsidR="00604E82">
        <w:rPr>
          <w:sz w:val="24"/>
          <w:szCs w:val="24"/>
        </w:rPr>
        <w:t xml:space="preserve">(December 14, 2011) </w:t>
      </w:r>
      <w:r>
        <w:rPr>
          <w:sz w:val="24"/>
          <w:szCs w:val="24"/>
        </w:rPr>
        <w:t xml:space="preserve">plus the charges incurred from December 2, 2011 through December 14, 2011.  </w:t>
      </w:r>
      <w:proofErr w:type="gramStart"/>
      <w:r>
        <w:rPr>
          <w:sz w:val="24"/>
          <w:szCs w:val="24"/>
        </w:rPr>
        <w:t>(</w:t>
      </w:r>
      <w:r w:rsidR="005F0598">
        <w:rPr>
          <w:sz w:val="24"/>
          <w:szCs w:val="24"/>
        </w:rPr>
        <w:t xml:space="preserve">Tr. 53; </w:t>
      </w:r>
      <w:r>
        <w:rPr>
          <w:sz w:val="24"/>
          <w:szCs w:val="24"/>
        </w:rPr>
        <w:t xml:space="preserve">Complainant Exhibits A-2 and A-3, and UGI Exhibit </w:t>
      </w:r>
      <w:r w:rsidR="005F0598">
        <w:rPr>
          <w:sz w:val="24"/>
          <w:szCs w:val="24"/>
        </w:rPr>
        <w:t>R-2</w:t>
      </w:r>
      <w:r>
        <w:rPr>
          <w:sz w:val="24"/>
          <w:szCs w:val="24"/>
        </w:rPr>
        <w:t>).</w:t>
      </w:r>
      <w:proofErr w:type="gramEnd"/>
    </w:p>
    <w:p w:rsidR="00992D2A" w:rsidRDefault="00992D2A" w:rsidP="00C44296">
      <w:pPr>
        <w:tabs>
          <w:tab w:val="left" w:pos="2160"/>
        </w:tabs>
        <w:ind w:firstLine="1440"/>
        <w:rPr>
          <w:sz w:val="24"/>
          <w:szCs w:val="24"/>
        </w:rPr>
      </w:pPr>
    </w:p>
    <w:p w:rsidR="005957E1" w:rsidRDefault="00C953A6" w:rsidP="005957E1">
      <w:pPr>
        <w:tabs>
          <w:tab w:val="left" w:pos="2160"/>
        </w:tabs>
        <w:ind w:firstLine="1440"/>
        <w:rPr>
          <w:sz w:val="24"/>
          <w:szCs w:val="24"/>
        </w:rPr>
      </w:pPr>
      <w:r>
        <w:rPr>
          <w:sz w:val="24"/>
          <w:szCs w:val="24"/>
        </w:rPr>
        <w:t>7</w:t>
      </w:r>
      <w:r w:rsidR="005957E1">
        <w:rPr>
          <w:sz w:val="24"/>
          <w:szCs w:val="24"/>
        </w:rPr>
        <w:t xml:space="preserve">. </w:t>
      </w:r>
      <w:r w:rsidR="005957E1">
        <w:rPr>
          <w:sz w:val="24"/>
          <w:szCs w:val="24"/>
        </w:rPr>
        <w:tab/>
      </w:r>
      <w:r w:rsidR="00327855">
        <w:rPr>
          <w:sz w:val="24"/>
          <w:szCs w:val="24"/>
        </w:rPr>
        <w:t xml:space="preserve">From December 14, 2011 to December 1, 2012, Complainant was not a customer of Respondent and did not </w:t>
      </w:r>
      <w:r w:rsidR="00604E82">
        <w:rPr>
          <w:sz w:val="24"/>
          <w:szCs w:val="24"/>
        </w:rPr>
        <w:t>use</w:t>
      </w:r>
      <w:r w:rsidR="00327855">
        <w:rPr>
          <w:sz w:val="24"/>
          <w:szCs w:val="24"/>
        </w:rPr>
        <w:t xml:space="preserve"> natural gas service.  </w:t>
      </w:r>
      <w:proofErr w:type="gramStart"/>
      <w:r w:rsidR="00327855">
        <w:rPr>
          <w:sz w:val="24"/>
          <w:szCs w:val="24"/>
        </w:rPr>
        <w:t>(Tr. 12, 13).</w:t>
      </w:r>
      <w:proofErr w:type="gramEnd"/>
    </w:p>
    <w:p w:rsidR="005957E1" w:rsidRDefault="005957E1" w:rsidP="005957E1">
      <w:pPr>
        <w:tabs>
          <w:tab w:val="left" w:pos="2160"/>
        </w:tabs>
        <w:ind w:firstLine="1440"/>
        <w:rPr>
          <w:sz w:val="24"/>
          <w:szCs w:val="24"/>
        </w:rPr>
      </w:pPr>
    </w:p>
    <w:p w:rsidR="005957E1" w:rsidRDefault="00C953A6" w:rsidP="005957E1">
      <w:pPr>
        <w:tabs>
          <w:tab w:val="left" w:pos="2160"/>
        </w:tabs>
        <w:ind w:firstLine="1440"/>
        <w:rPr>
          <w:sz w:val="24"/>
          <w:szCs w:val="24"/>
        </w:rPr>
      </w:pPr>
      <w:r>
        <w:rPr>
          <w:sz w:val="24"/>
          <w:szCs w:val="24"/>
        </w:rPr>
        <w:t>8</w:t>
      </w:r>
      <w:r w:rsidR="005957E1">
        <w:rPr>
          <w:sz w:val="24"/>
          <w:szCs w:val="24"/>
        </w:rPr>
        <w:t>.</w:t>
      </w:r>
      <w:r w:rsidR="005957E1">
        <w:rPr>
          <w:sz w:val="24"/>
          <w:szCs w:val="24"/>
        </w:rPr>
        <w:tab/>
      </w:r>
      <w:r w:rsidR="007261AF">
        <w:rPr>
          <w:sz w:val="24"/>
          <w:szCs w:val="24"/>
        </w:rPr>
        <w:t xml:space="preserve">Complainant requested natural gas service to start on December 1, 2012 at the service address but Respondent turned on natural gas service in Complainant’s name </w:t>
      </w:r>
      <w:r w:rsidR="00861986">
        <w:rPr>
          <w:sz w:val="24"/>
          <w:szCs w:val="24"/>
        </w:rPr>
        <w:t>effective</w:t>
      </w:r>
      <w:r w:rsidR="007261AF">
        <w:rPr>
          <w:sz w:val="24"/>
          <w:szCs w:val="24"/>
        </w:rPr>
        <w:t xml:space="preserve"> November 12, 2012.  </w:t>
      </w:r>
      <w:proofErr w:type="gramStart"/>
      <w:r w:rsidR="007261AF">
        <w:rPr>
          <w:sz w:val="24"/>
          <w:szCs w:val="24"/>
        </w:rPr>
        <w:t>(Tr. 15-17; Complainant Exhibit C-1).</w:t>
      </w:r>
      <w:proofErr w:type="gramEnd"/>
      <w:r w:rsidR="007261AF">
        <w:rPr>
          <w:sz w:val="24"/>
          <w:szCs w:val="24"/>
        </w:rPr>
        <w:t xml:space="preserve"> </w:t>
      </w:r>
    </w:p>
    <w:p w:rsidR="00861986" w:rsidRDefault="00861986" w:rsidP="005957E1">
      <w:pPr>
        <w:tabs>
          <w:tab w:val="left" w:pos="2160"/>
        </w:tabs>
        <w:ind w:firstLine="1440"/>
        <w:rPr>
          <w:sz w:val="24"/>
          <w:szCs w:val="24"/>
        </w:rPr>
      </w:pPr>
    </w:p>
    <w:p w:rsidR="00861986" w:rsidRDefault="00861986" w:rsidP="005957E1">
      <w:pPr>
        <w:tabs>
          <w:tab w:val="left" w:pos="2160"/>
        </w:tabs>
        <w:ind w:firstLine="1440"/>
        <w:rPr>
          <w:sz w:val="24"/>
          <w:szCs w:val="24"/>
        </w:rPr>
      </w:pPr>
      <w:r>
        <w:rPr>
          <w:sz w:val="24"/>
          <w:szCs w:val="24"/>
        </w:rPr>
        <w:t xml:space="preserve">9. </w:t>
      </w:r>
      <w:r>
        <w:rPr>
          <w:sz w:val="24"/>
          <w:szCs w:val="24"/>
        </w:rPr>
        <w:tab/>
      </w:r>
      <w:r w:rsidR="00604E82">
        <w:rPr>
          <w:sz w:val="24"/>
          <w:szCs w:val="24"/>
        </w:rPr>
        <w:t xml:space="preserve">On November 2, 2012, </w:t>
      </w:r>
      <w:r>
        <w:rPr>
          <w:sz w:val="24"/>
          <w:szCs w:val="24"/>
        </w:rPr>
        <w:t xml:space="preserve">Respondent </w:t>
      </w:r>
      <w:r w:rsidR="00604E82">
        <w:rPr>
          <w:sz w:val="24"/>
          <w:szCs w:val="24"/>
        </w:rPr>
        <w:t>sent</w:t>
      </w:r>
      <w:r>
        <w:rPr>
          <w:sz w:val="24"/>
          <w:szCs w:val="24"/>
        </w:rPr>
        <w:t xml:space="preserve"> Complainant </w:t>
      </w:r>
      <w:r w:rsidR="00604E82">
        <w:rPr>
          <w:sz w:val="24"/>
          <w:szCs w:val="24"/>
        </w:rPr>
        <w:t>a letter verifying her request that the natural gas service sh</w:t>
      </w:r>
      <w:r>
        <w:rPr>
          <w:sz w:val="24"/>
          <w:szCs w:val="24"/>
        </w:rPr>
        <w:t xml:space="preserve">ould begin </w:t>
      </w:r>
      <w:r w:rsidR="00604E82">
        <w:rPr>
          <w:sz w:val="24"/>
          <w:szCs w:val="24"/>
        </w:rPr>
        <w:t xml:space="preserve">on </w:t>
      </w:r>
      <w:r>
        <w:rPr>
          <w:sz w:val="24"/>
          <w:szCs w:val="24"/>
        </w:rPr>
        <w:t xml:space="preserve">November </w:t>
      </w:r>
      <w:r w:rsidR="00604E82">
        <w:rPr>
          <w:sz w:val="24"/>
          <w:szCs w:val="24"/>
        </w:rPr>
        <w:t>1</w:t>
      </w:r>
      <w:r>
        <w:rPr>
          <w:sz w:val="24"/>
          <w:szCs w:val="24"/>
        </w:rPr>
        <w:t>2, 2012</w:t>
      </w:r>
      <w:r w:rsidR="00604E82">
        <w:rPr>
          <w:sz w:val="24"/>
          <w:szCs w:val="24"/>
        </w:rPr>
        <w:t xml:space="preserve"> at the service address</w:t>
      </w:r>
      <w:r>
        <w:rPr>
          <w:sz w:val="24"/>
          <w:szCs w:val="24"/>
        </w:rPr>
        <w:t xml:space="preserve">.  By the same letter, Respondent notified Complainant she </w:t>
      </w:r>
      <w:r w:rsidR="00604E82">
        <w:rPr>
          <w:sz w:val="24"/>
          <w:szCs w:val="24"/>
        </w:rPr>
        <w:t>must</w:t>
      </w:r>
      <w:r>
        <w:rPr>
          <w:sz w:val="24"/>
          <w:szCs w:val="24"/>
        </w:rPr>
        <w:t xml:space="preserve"> pay $1,220.96 for an unpaid balance for </w:t>
      </w:r>
      <w:r w:rsidR="00604E82">
        <w:rPr>
          <w:sz w:val="24"/>
          <w:szCs w:val="24"/>
        </w:rPr>
        <w:t xml:space="preserve">natural gas </w:t>
      </w:r>
      <w:r>
        <w:rPr>
          <w:sz w:val="24"/>
          <w:szCs w:val="24"/>
        </w:rPr>
        <w:t xml:space="preserve">service through December 14, 2011 plus pay $56.00 </w:t>
      </w:r>
      <w:r w:rsidR="00604E82">
        <w:rPr>
          <w:sz w:val="24"/>
          <w:szCs w:val="24"/>
        </w:rPr>
        <w:t>towards the</w:t>
      </w:r>
      <w:r>
        <w:rPr>
          <w:sz w:val="24"/>
          <w:szCs w:val="24"/>
        </w:rPr>
        <w:t xml:space="preserve"> security deposit.  </w:t>
      </w:r>
      <w:proofErr w:type="gramStart"/>
      <w:r>
        <w:rPr>
          <w:sz w:val="24"/>
          <w:szCs w:val="24"/>
        </w:rPr>
        <w:t>(Complainant Exhibit C-1).</w:t>
      </w:r>
      <w:proofErr w:type="gramEnd"/>
    </w:p>
    <w:p w:rsidR="000B0551" w:rsidRDefault="000B0551" w:rsidP="000B0551">
      <w:pPr>
        <w:tabs>
          <w:tab w:val="left" w:pos="2160"/>
        </w:tabs>
        <w:ind w:firstLine="1440"/>
        <w:rPr>
          <w:sz w:val="24"/>
          <w:szCs w:val="24"/>
        </w:rPr>
      </w:pPr>
    </w:p>
    <w:p w:rsidR="000B0551" w:rsidRDefault="001D7F06" w:rsidP="000B0551">
      <w:pPr>
        <w:tabs>
          <w:tab w:val="left" w:pos="2160"/>
        </w:tabs>
        <w:ind w:firstLine="1440"/>
        <w:rPr>
          <w:sz w:val="24"/>
          <w:szCs w:val="24"/>
        </w:rPr>
      </w:pPr>
      <w:r>
        <w:rPr>
          <w:sz w:val="24"/>
          <w:szCs w:val="24"/>
        </w:rPr>
        <w:t>10</w:t>
      </w:r>
      <w:r w:rsidR="000B0551">
        <w:rPr>
          <w:sz w:val="24"/>
          <w:szCs w:val="24"/>
        </w:rPr>
        <w:t xml:space="preserve">. </w:t>
      </w:r>
      <w:r w:rsidR="00861986">
        <w:rPr>
          <w:sz w:val="24"/>
          <w:szCs w:val="24"/>
        </w:rPr>
        <w:tab/>
      </w:r>
      <w:r w:rsidR="00604E82">
        <w:rPr>
          <w:sz w:val="24"/>
          <w:szCs w:val="24"/>
        </w:rPr>
        <w:t xml:space="preserve">On December 13, 2012, </w:t>
      </w:r>
      <w:r w:rsidR="007261AF">
        <w:rPr>
          <w:sz w:val="24"/>
          <w:szCs w:val="24"/>
        </w:rPr>
        <w:t xml:space="preserve">Complainant contacted Respondent and </w:t>
      </w:r>
      <w:r w:rsidR="00861986">
        <w:rPr>
          <w:sz w:val="24"/>
          <w:szCs w:val="24"/>
        </w:rPr>
        <w:t>c</w:t>
      </w:r>
      <w:r w:rsidR="007261AF">
        <w:rPr>
          <w:sz w:val="24"/>
          <w:szCs w:val="24"/>
        </w:rPr>
        <w:t>omplain</w:t>
      </w:r>
      <w:r w:rsidR="00861986">
        <w:rPr>
          <w:sz w:val="24"/>
          <w:szCs w:val="24"/>
        </w:rPr>
        <w:t>ed</w:t>
      </w:r>
      <w:r w:rsidR="007261AF">
        <w:rPr>
          <w:sz w:val="24"/>
          <w:szCs w:val="24"/>
        </w:rPr>
        <w:t xml:space="preserve"> she had not resided at the service address </w:t>
      </w:r>
      <w:r w:rsidR="00604E82">
        <w:rPr>
          <w:sz w:val="24"/>
          <w:szCs w:val="24"/>
        </w:rPr>
        <w:t xml:space="preserve">from </w:t>
      </w:r>
      <w:r w:rsidR="007261AF">
        <w:rPr>
          <w:sz w:val="24"/>
          <w:szCs w:val="24"/>
        </w:rPr>
        <w:t>November 12, 2012</w:t>
      </w:r>
      <w:r w:rsidR="00604E82">
        <w:rPr>
          <w:sz w:val="24"/>
          <w:szCs w:val="24"/>
        </w:rPr>
        <w:t xml:space="preserve"> to December 1, 2012</w:t>
      </w:r>
      <w:r w:rsidR="00860CC6">
        <w:rPr>
          <w:sz w:val="24"/>
          <w:szCs w:val="24"/>
        </w:rPr>
        <w:t xml:space="preserve">.  </w:t>
      </w:r>
      <w:r w:rsidR="007261AF">
        <w:rPr>
          <w:sz w:val="24"/>
          <w:szCs w:val="24"/>
        </w:rPr>
        <w:t>(Tr. 16-18).</w:t>
      </w:r>
    </w:p>
    <w:p w:rsidR="00FD47C4" w:rsidRDefault="00FD47C4" w:rsidP="00FD47C4">
      <w:pPr>
        <w:tabs>
          <w:tab w:val="left" w:pos="2160"/>
        </w:tabs>
        <w:ind w:firstLine="1440"/>
        <w:rPr>
          <w:sz w:val="24"/>
          <w:szCs w:val="24"/>
        </w:rPr>
      </w:pPr>
    </w:p>
    <w:p w:rsidR="00FD47C4" w:rsidRDefault="001D7F06" w:rsidP="00FD47C4">
      <w:pPr>
        <w:tabs>
          <w:tab w:val="left" w:pos="2160"/>
        </w:tabs>
        <w:ind w:firstLine="1440"/>
        <w:rPr>
          <w:sz w:val="24"/>
          <w:szCs w:val="24"/>
        </w:rPr>
      </w:pPr>
      <w:r>
        <w:rPr>
          <w:sz w:val="24"/>
          <w:szCs w:val="24"/>
        </w:rPr>
        <w:t>11</w:t>
      </w:r>
      <w:r w:rsidR="007261AF">
        <w:rPr>
          <w:sz w:val="24"/>
          <w:szCs w:val="24"/>
        </w:rPr>
        <w:t>.</w:t>
      </w:r>
      <w:r w:rsidR="007261AF">
        <w:rPr>
          <w:sz w:val="24"/>
          <w:szCs w:val="24"/>
        </w:rPr>
        <w:tab/>
      </w:r>
      <w:r w:rsidR="00860CC6">
        <w:rPr>
          <w:sz w:val="24"/>
          <w:szCs w:val="24"/>
        </w:rPr>
        <w:t xml:space="preserve">In February 2013, Respondent transferred the unpaid balance </w:t>
      </w:r>
      <w:r w:rsidR="00604E82">
        <w:rPr>
          <w:sz w:val="24"/>
          <w:szCs w:val="24"/>
        </w:rPr>
        <w:t xml:space="preserve">($1,220.96) </w:t>
      </w:r>
      <w:r w:rsidR="00860CC6">
        <w:rPr>
          <w:sz w:val="24"/>
          <w:szCs w:val="24"/>
        </w:rPr>
        <w:t xml:space="preserve">from 1829 </w:t>
      </w:r>
      <w:r w:rsidR="00861986">
        <w:rPr>
          <w:sz w:val="24"/>
          <w:szCs w:val="24"/>
        </w:rPr>
        <w:t xml:space="preserve">North </w:t>
      </w:r>
      <w:r w:rsidR="00860CC6">
        <w:rPr>
          <w:sz w:val="24"/>
          <w:szCs w:val="24"/>
        </w:rPr>
        <w:t xml:space="preserve">Third to her service account.  </w:t>
      </w:r>
      <w:proofErr w:type="gramStart"/>
      <w:r w:rsidR="00860CC6">
        <w:rPr>
          <w:sz w:val="24"/>
          <w:szCs w:val="24"/>
        </w:rPr>
        <w:t xml:space="preserve">(Tr. 20, </w:t>
      </w:r>
      <w:r w:rsidR="005C24B1">
        <w:rPr>
          <w:sz w:val="24"/>
          <w:szCs w:val="24"/>
        </w:rPr>
        <w:t>32; Complainant Exhibit A-2</w:t>
      </w:r>
      <w:r w:rsidR="00860CC6">
        <w:rPr>
          <w:sz w:val="24"/>
          <w:szCs w:val="24"/>
        </w:rPr>
        <w:t>).</w:t>
      </w:r>
      <w:proofErr w:type="gramEnd"/>
      <w:r w:rsidR="00860CC6">
        <w:rPr>
          <w:sz w:val="24"/>
          <w:szCs w:val="24"/>
        </w:rPr>
        <w:t xml:space="preserve">  </w:t>
      </w:r>
    </w:p>
    <w:p w:rsidR="005957E1" w:rsidRDefault="005957E1" w:rsidP="005957E1">
      <w:pPr>
        <w:tabs>
          <w:tab w:val="left" w:pos="2160"/>
        </w:tabs>
        <w:ind w:firstLine="1440"/>
        <w:rPr>
          <w:sz w:val="24"/>
          <w:szCs w:val="24"/>
        </w:rPr>
      </w:pPr>
    </w:p>
    <w:p w:rsidR="00C870D6" w:rsidRDefault="001D7F06" w:rsidP="00C44296">
      <w:pPr>
        <w:tabs>
          <w:tab w:val="left" w:pos="2160"/>
        </w:tabs>
        <w:ind w:firstLine="1440"/>
        <w:rPr>
          <w:sz w:val="24"/>
          <w:szCs w:val="24"/>
        </w:rPr>
      </w:pPr>
      <w:r>
        <w:rPr>
          <w:sz w:val="24"/>
          <w:szCs w:val="24"/>
        </w:rPr>
        <w:t>12</w:t>
      </w:r>
      <w:r w:rsidR="00C870D6">
        <w:rPr>
          <w:sz w:val="24"/>
          <w:szCs w:val="24"/>
        </w:rPr>
        <w:t xml:space="preserve">. </w:t>
      </w:r>
      <w:r w:rsidR="00C870D6">
        <w:rPr>
          <w:sz w:val="24"/>
          <w:szCs w:val="24"/>
        </w:rPr>
        <w:tab/>
      </w:r>
      <w:r w:rsidR="00604E82">
        <w:rPr>
          <w:sz w:val="24"/>
          <w:szCs w:val="24"/>
        </w:rPr>
        <w:t xml:space="preserve">On February 15, 2013, </w:t>
      </w:r>
      <w:r w:rsidR="002E6BFE">
        <w:rPr>
          <w:sz w:val="24"/>
          <w:szCs w:val="24"/>
        </w:rPr>
        <w:t xml:space="preserve">Respondent issued a shut-off notice </w:t>
      </w:r>
      <w:r w:rsidR="00842C89">
        <w:rPr>
          <w:sz w:val="24"/>
          <w:szCs w:val="24"/>
        </w:rPr>
        <w:t xml:space="preserve">which demanded Complainant pay </w:t>
      </w:r>
      <w:r w:rsidR="00152124">
        <w:rPr>
          <w:sz w:val="24"/>
          <w:szCs w:val="24"/>
        </w:rPr>
        <w:t xml:space="preserve">the sums of </w:t>
      </w:r>
      <w:r w:rsidR="00842C89">
        <w:rPr>
          <w:sz w:val="24"/>
          <w:szCs w:val="24"/>
        </w:rPr>
        <w:t xml:space="preserve">$1,515.91 </w:t>
      </w:r>
      <w:r w:rsidR="00152124">
        <w:rPr>
          <w:sz w:val="24"/>
          <w:szCs w:val="24"/>
        </w:rPr>
        <w:t xml:space="preserve">plus $84.00 security deposit plus $73.00 turn-on charge </w:t>
      </w:r>
      <w:r w:rsidR="00842C89">
        <w:rPr>
          <w:sz w:val="24"/>
          <w:szCs w:val="24"/>
        </w:rPr>
        <w:t xml:space="preserve">before February 26, 2013 or service would be terminated.  </w:t>
      </w:r>
      <w:proofErr w:type="gramStart"/>
      <w:r w:rsidR="00842C89">
        <w:rPr>
          <w:sz w:val="24"/>
          <w:szCs w:val="24"/>
        </w:rPr>
        <w:t>(Tr. 20; Complainant Exhibit D-1).</w:t>
      </w:r>
      <w:proofErr w:type="gramEnd"/>
    </w:p>
    <w:p w:rsidR="00C539BB" w:rsidRDefault="00C539BB" w:rsidP="00C44296">
      <w:pPr>
        <w:tabs>
          <w:tab w:val="left" w:pos="2160"/>
        </w:tabs>
        <w:ind w:firstLine="1440"/>
        <w:rPr>
          <w:sz w:val="24"/>
          <w:szCs w:val="24"/>
        </w:rPr>
      </w:pPr>
    </w:p>
    <w:p w:rsidR="00C539BB" w:rsidRDefault="001D7F06" w:rsidP="00C44296">
      <w:pPr>
        <w:tabs>
          <w:tab w:val="left" w:pos="2160"/>
        </w:tabs>
        <w:ind w:firstLine="1440"/>
        <w:rPr>
          <w:sz w:val="24"/>
          <w:szCs w:val="24"/>
        </w:rPr>
      </w:pPr>
      <w:r>
        <w:rPr>
          <w:sz w:val="24"/>
          <w:szCs w:val="24"/>
        </w:rPr>
        <w:lastRenderedPageBreak/>
        <w:t>13</w:t>
      </w:r>
      <w:r w:rsidR="00C539BB">
        <w:rPr>
          <w:sz w:val="24"/>
          <w:szCs w:val="24"/>
        </w:rPr>
        <w:t xml:space="preserve">. </w:t>
      </w:r>
      <w:r w:rsidR="00C539BB">
        <w:rPr>
          <w:sz w:val="24"/>
          <w:szCs w:val="24"/>
        </w:rPr>
        <w:tab/>
        <w:t>On Febru</w:t>
      </w:r>
      <w:r w:rsidR="00861986">
        <w:rPr>
          <w:sz w:val="24"/>
          <w:szCs w:val="24"/>
        </w:rPr>
        <w:t xml:space="preserve">ary 21, 2013, Complainant sent </w:t>
      </w:r>
      <w:r w:rsidR="00C539BB">
        <w:rPr>
          <w:sz w:val="24"/>
          <w:szCs w:val="24"/>
        </w:rPr>
        <w:t xml:space="preserve">a payment of $30 to Respondent for the connection fee in response to Respondent’s letter.  </w:t>
      </w:r>
      <w:proofErr w:type="gramStart"/>
      <w:r w:rsidR="00C539BB">
        <w:rPr>
          <w:sz w:val="24"/>
          <w:szCs w:val="24"/>
        </w:rPr>
        <w:t>(Tr. 36; Complainant Exhibits D-2, D</w:t>
      </w:r>
      <w:r w:rsidR="00904696">
        <w:rPr>
          <w:sz w:val="24"/>
          <w:szCs w:val="24"/>
        </w:rPr>
        <w:noBreakHyphen/>
      </w:r>
      <w:r w:rsidR="00C539BB">
        <w:rPr>
          <w:sz w:val="24"/>
          <w:szCs w:val="24"/>
        </w:rPr>
        <w:t>3 and D-4).</w:t>
      </w:r>
      <w:proofErr w:type="gramEnd"/>
    </w:p>
    <w:p w:rsidR="005957E1" w:rsidRDefault="005957E1" w:rsidP="005957E1">
      <w:pPr>
        <w:tabs>
          <w:tab w:val="left" w:pos="2160"/>
        </w:tabs>
        <w:ind w:firstLine="1440"/>
        <w:rPr>
          <w:sz w:val="24"/>
          <w:szCs w:val="24"/>
        </w:rPr>
      </w:pPr>
    </w:p>
    <w:p w:rsidR="005957E1" w:rsidRDefault="001D7F06" w:rsidP="005957E1">
      <w:pPr>
        <w:tabs>
          <w:tab w:val="left" w:pos="2160"/>
        </w:tabs>
        <w:ind w:firstLine="1440"/>
        <w:rPr>
          <w:sz w:val="24"/>
          <w:szCs w:val="24"/>
        </w:rPr>
      </w:pPr>
      <w:r>
        <w:rPr>
          <w:sz w:val="24"/>
          <w:szCs w:val="24"/>
        </w:rPr>
        <w:t>14</w:t>
      </w:r>
      <w:r w:rsidR="00842C89">
        <w:rPr>
          <w:sz w:val="24"/>
          <w:szCs w:val="24"/>
        </w:rPr>
        <w:t>.</w:t>
      </w:r>
      <w:r w:rsidR="00842C89">
        <w:rPr>
          <w:sz w:val="24"/>
          <w:szCs w:val="24"/>
        </w:rPr>
        <w:tab/>
      </w:r>
      <w:r w:rsidR="00EF5B66">
        <w:rPr>
          <w:sz w:val="24"/>
          <w:szCs w:val="24"/>
        </w:rPr>
        <w:t>On February 26</w:t>
      </w:r>
      <w:r w:rsidR="00842C89">
        <w:rPr>
          <w:sz w:val="24"/>
          <w:szCs w:val="24"/>
        </w:rPr>
        <w:t xml:space="preserve">, 2013, Complainant received a payment arrangement from the </w:t>
      </w:r>
      <w:r w:rsidR="00373FEC">
        <w:rPr>
          <w:sz w:val="24"/>
          <w:szCs w:val="24"/>
        </w:rPr>
        <w:t>Bureau of Consumer Services</w:t>
      </w:r>
      <w:r w:rsidR="00604E82">
        <w:rPr>
          <w:sz w:val="24"/>
          <w:szCs w:val="24"/>
        </w:rPr>
        <w:t xml:space="preserve"> (BCS)</w:t>
      </w:r>
      <w:r w:rsidR="00373FEC">
        <w:rPr>
          <w:sz w:val="24"/>
          <w:szCs w:val="24"/>
        </w:rPr>
        <w:t>, which found a total account balance equal to $1,664.05 plus $56.00 in unpaid security deposit</w:t>
      </w:r>
      <w:r w:rsidR="00842C89">
        <w:rPr>
          <w:sz w:val="24"/>
          <w:szCs w:val="24"/>
        </w:rPr>
        <w:t>.  The payment arrangement</w:t>
      </w:r>
      <w:r w:rsidR="00373FEC">
        <w:rPr>
          <w:sz w:val="24"/>
          <w:szCs w:val="24"/>
        </w:rPr>
        <w:t xml:space="preserve"> required Complainant to pay</w:t>
      </w:r>
      <w:r w:rsidR="00842C89">
        <w:rPr>
          <w:sz w:val="24"/>
          <w:szCs w:val="24"/>
        </w:rPr>
        <w:t xml:space="preserve"> </w:t>
      </w:r>
      <w:r w:rsidR="00373FEC">
        <w:rPr>
          <w:sz w:val="24"/>
          <w:szCs w:val="24"/>
        </w:rPr>
        <w:t>first</w:t>
      </w:r>
      <w:r w:rsidR="00842C89">
        <w:rPr>
          <w:sz w:val="24"/>
          <w:szCs w:val="24"/>
        </w:rPr>
        <w:t xml:space="preserve"> the </w:t>
      </w:r>
      <w:r w:rsidR="00373FEC">
        <w:rPr>
          <w:sz w:val="24"/>
          <w:szCs w:val="24"/>
        </w:rPr>
        <w:t xml:space="preserve">security deposit of $56 and </w:t>
      </w:r>
      <w:r w:rsidR="00904696">
        <w:rPr>
          <w:sz w:val="24"/>
          <w:szCs w:val="24"/>
        </w:rPr>
        <w:t xml:space="preserve">then </w:t>
      </w:r>
      <w:r w:rsidR="00373FEC">
        <w:rPr>
          <w:sz w:val="24"/>
          <w:szCs w:val="24"/>
        </w:rPr>
        <w:t>pay $190.00 per month which would include the regular budge</w:t>
      </w:r>
      <w:r w:rsidR="00604E82">
        <w:rPr>
          <w:sz w:val="24"/>
          <w:szCs w:val="24"/>
        </w:rPr>
        <w:t>t</w:t>
      </w:r>
      <w:r w:rsidR="00373FEC">
        <w:rPr>
          <w:sz w:val="24"/>
          <w:szCs w:val="24"/>
        </w:rPr>
        <w:t xml:space="preserve"> amount (then $51.00 per month) plus $139.00 to be credited towards the unpaid account balance</w:t>
      </w:r>
      <w:r w:rsidR="00842C89">
        <w:rPr>
          <w:sz w:val="24"/>
          <w:szCs w:val="24"/>
        </w:rPr>
        <w:t xml:space="preserve">.  </w:t>
      </w:r>
      <w:proofErr w:type="gramStart"/>
      <w:r w:rsidR="00842C89">
        <w:rPr>
          <w:sz w:val="24"/>
          <w:szCs w:val="24"/>
        </w:rPr>
        <w:t>(Tr. 20-23</w:t>
      </w:r>
      <w:r w:rsidR="005F0598">
        <w:rPr>
          <w:sz w:val="24"/>
          <w:szCs w:val="24"/>
        </w:rPr>
        <w:t>, 56</w:t>
      </w:r>
      <w:r w:rsidR="00842C89">
        <w:rPr>
          <w:sz w:val="24"/>
          <w:szCs w:val="24"/>
        </w:rPr>
        <w:t>; Complainant Exhibit D-4).</w:t>
      </w:r>
      <w:proofErr w:type="gramEnd"/>
    </w:p>
    <w:p w:rsidR="00FD47C4" w:rsidRDefault="00FD47C4" w:rsidP="00FD47C4">
      <w:pPr>
        <w:tabs>
          <w:tab w:val="left" w:pos="2160"/>
        </w:tabs>
        <w:ind w:firstLine="1440"/>
        <w:rPr>
          <w:sz w:val="24"/>
          <w:szCs w:val="24"/>
        </w:rPr>
      </w:pPr>
    </w:p>
    <w:p w:rsidR="009B039D" w:rsidRDefault="001D7F06" w:rsidP="00FD47C4">
      <w:pPr>
        <w:tabs>
          <w:tab w:val="left" w:pos="2160"/>
        </w:tabs>
        <w:ind w:firstLine="1440"/>
        <w:rPr>
          <w:sz w:val="24"/>
          <w:szCs w:val="24"/>
        </w:rPr>
      </w:pPr>
      <w:r>
        <w:rPr>
          <w:sz w:val="24"/>
          <w:szCs w:val="24"/>
        </w:rPr>
        <w:t>15</w:t>
      </w:r>
      <w:r w:rsidR="00373FEC">
        <w:rPr>
          <w:sz w:val="24"/>
          <w:szCs w:val="24"/>
        </w:rPr>
        <w:t xml:space="preserve">. </w:t>
      </w:r>
      <w:r w:rsidR="00373FEC">
        <w:rPr>
          <w:sz w:val="24"/>
          <w:szCs w:val="24"/>
        </w:rPr>
        <w:tab/>
        <w:t>On March 1, 2013, Complainant paid $3</w:t>
      </w:r>
      <w:r w:rsidR="009B039D">
        <w:rPr>
          <w:sz w:val="24"/>
          <w:szCs w:val="24"/>
        </w:rPr>
        <w:t>0</w:t>
      </w:r>
      <w:r w:rsidR="00373FEC">
        <w:rPr>
          <w:sz w:val="24"/>
          <w:szCs w:val="24"/>
        </w:rPr>
        <w:t>.00</w:t>
      </w:r>
      <w:r w:rsidR="009B039D">
        <w:rPr>
          <w:sz w:val="24"/>
          <w:szCs w:val="24"/>
        </w:rPr>
        <w:t xml:space="preserve"> to Respondent and indicated the check should go towards the security deposit.  </w:t>
      </w:r>
      <w:proofErr w:type="gramStart"/>
      <w:r w:rsidR="009B039D">
        <w:rPr>
          <w:sz w:val="24"/>
          <w:szCs w:val="24"/>
        </w:rPr>
        <w:t>(Tr. 38; Complainant Exhibit D-5).</w:t>
      </w:r>
      <w:proofErr w:type="gramEnd"/>
    </w:p>
    <w:p w:rsidR="009B039D" w:rsidRDefault="009B039D" w:rsidP="00FD47C4">
      <w:pPr>
        <w:tabs>
          <w:tab w:val="left" w:pos="2160"/>
        </w:tabs>
        <w:ind w:firstLine="1440"/>
        <w:rPr>
          <w:sz w:val="24"/>
          <w:szCs w:val="24"/>
        </w:rPr>
      </w:pPr>
    </w:p>
    <w:p w:rsidR="00FD47C4" w:rsidRDefault="00FD47C4" w:rsidP="00FD47C4">
      <w:pPr>
        <w:tabs>
          <w:tab w:val="left" w:pos="2160"/>
        </w:tabs>
        <w:ind w:firstLine="1440"/>
        <w:rPr>
          <w:sz w:val="24"/>
          <w:szCs w:val="24"/>
        </w:rPr>
      </w:pPr>
      <w:r>
        <w:rPr>
          <w:sz w:val="24"/>
          <w:szCs w:val="24"/>
        </w:rPr>
        <w:t>1</w:t>
      </w:r>
      <w:r w:rsidR="001D7F06">
        <w:rPr>
          <w:sz w:val="24"/>
          <w:szCs w:val="24"/>
        </w:rPr>
        <w:t>6</w:t>
      </w:r>
      <w:r>
        <w:rPr>
          <w:sz w:val="24"/>
          <w:szCs w:val="24"/>
        </w:rPr>
        <w:t xml:space="preserve">. </w:t>
      </w:r>
      <w:r>
        <w:rPr>
          <w:sz w:val="24"/>
          <w:szCs w:val="24"/>
        </w:rPr>
        <w:tab/>
      </w:r>
      <w:r w:rsidR="00373FEC">
        <w:rPr>
          <w:sz w:val="24"/>
          <w:szCs w:val="24"/>
        </w:rPr>
        <w:t>On March 12</w:t>
      </w:r>
      <w:r w:rsidR="00842C89">
        <w:rPr>
          <w:sz w:val="24"/>
          <w:szCs w:val="24"/>
        </w:rPr>
        <w:t xml:space="preserve">, 2013, Complainant paid </w:t>
      </w:r>
      <w:r w:rsidR="00373FEC">
        <w:rPr>
          <w:sz w:val="24"/>
          <w:szCs w:val="24"/>
        </w:rPr>
        <w:t xml:space="preserve">$184.00 </w:t>
      </w:r>
      <w:r w:rsidR="00842C89">
        <w:rPr>
          <w:sz w:val="24"/>
          <w:szCs w:val="24"/>
        </w:rPr>
        <w:t xml:space="preserve">before she received her </w:t>
      </w:r>
      <w:r w:rsidR="00604E82">
        <w:rPr>
          <w:sz w:val="24"/>
          <w:szCs w:val="24"/>
        </w:rPr>
        <w:t xml:space="preserve">March 2013 </w:t>
      </w:r>
      <w:r w:rsidR="00842C89">
        <w:rPr>
          <w:sz w:val="24"/>
          <w:szCs w:val="24"/>
        </w:rPr>
        <w:t>billing statement</w:t>
      </w:r>
      <w:r w:rsidR="00373FEC">
        <w:rPr>
          <w:sz w:val="24"/>
          <w:szCs w:val="24"/>
        </w:rPr>
        <w:t xml:space="preserve"> </w:t>
      </w:r>
      <w:r w:rsidR="00604E82">
        <w:rPr>
          <w:sz w:val="24"/>
          <w:szCs w:val="24"/>
        </w:rPr>
        <w:t>after</w:t>
      </w:r>
      <w:r w:rsidR="00373FEC">
        <w:rPr>
          <w:sz w:val="24"/>
          <w:szCs w:val="24"/>
        </w:rPr>
        <w:t xml:space="preserve"> Re</w:t>
      </w:r>
      <w:r w:rsidR="00842C89">
        <w:rPr>
          <w:sz w:val="24"/>
          <w:szCs w:val="24"/>
        </w:rPr>
        <w:t>spondent</w:t>
      </w:r>
      <w:r w:rsidR="00373FEC">
        <w:rPr>
          <w:sz w:val="24"/>
          <w:szCs w:val="24"/>
        </w:rPr>
        <w:t xml:space="preserve">’s representative told her </w:t>
      </w:r>
      <w:r w:rsidR="00604E82">
        <w:rPr>
          <w:sz w:val="24"/>
          <w:szCs w:val="24"/>
        </w:rPr>
        <w:t xml:space="preserve">that amount ($184.00) </w:t>
      </w:r>
      <w:r w:rsidR="00373FEC">
        <w:rPr>
          <w:sz w:val="24"/>
          <w:szCs w:val="24"/>
        </w:rPr>
        <w:t xml:space="preserve">would </w:t>
      </w:r>
      <w:r w:rsidR="00604E82">
        <w:rPr>
          <w:sz w:val="24"/>
          <w:szCs w:val="24"/>
        </w:rPr>
        <w:t>cover</w:t>
      </w:r>
      <w:r w:rsidR="00373FEC">
        <w:rPr>
          <w:sz w:val="24"/>
          <w:szCs w:val="24"/>
        </w:rPr>
        <w:t xml:space="preserve"> the March payment plus the security deposit</w:t>
      </w:r>
      <w:r w:rsidR="00842C89">
        <w:rPr>
          <w:sz w:val="24"/>
          <w:szCs w:val="24"/>
        </w:rPr>
        <w:t>.  (Tr. 22, 23; Complainant Exhibit D</w:t>
      </w:r>
      <w:r w:rsidR="002A0A90">
        <w:rPr>
          <w:sz w:val="24"/>
          <w:szCs w:val="24"/>
        </w:rPr>
        <w:noBreakHyphen/>
      </w:r>
      <w:r w:rsidR="00842C89">
        <w:rPr>
          <w:sz w:val="24"/>
          <w:szCs w:val="24"/>
        </w:rPr>
        <w:t>4).</w:t>
      </w:r>
    </w:p>
    <w:p w:rsidR="005957E1" w:rsidRDefault="005957E1" w:rsidP="005957E1">
      <w:pPr>
        <w:tabs>
          <w:tab w:val="left" w:pos="2160"/>
        </w:tabs>
        <w:ind w:firstLine="1440"/>
        <w:rPr>
          <w:sz w:val="24"/>
          <w:szCs w:val="24"/>
        </w:rPr>
      </w:pPr>
    </w:p>
    <w:p w:rsidR="00842C89" w:rsidRDefault="001D7F06" w:rsidP="00842C89">
      <w:pPr>
        <w:tabs>
          <w:tab w:val="left" w:pos="2160"/>
        </w:tabs>
        <w:ind w:firstLine="1440"/>
        <w:rPr>
          <w:sz w:val="24"/>
          <w:szCs w:val="24"/>
        </w:rPr>
      </w:pPr>
      <w:r>
        <w:rPr>
          <w:sz w:val="24"/>
          <w:szCs w:val="24"/>
        </w:rPr>
        <w:t>17</w:t>
      </w:r>
      <w:r w:rsidR="005957E1">
        <w:rPr>
          <w:sz w:val="24"/>
          <w:szCs w:val="24"/>
        </w:rPr>
        <w:t xml:space="preserve">. </w:t>
      </w:r>
      <w:r w:rsidR="005957E1">
        <w:rPr>
          <w:sz w:val="24"/>
          <w:szCs w:val="24"/>
        </w:rPr>
        <w:tab/>
      </w:r>
      <w:r w:rsidR="00842C89">
        <w:rPr>
          <w:sz w:val="24"/>
          <w:szCs w:val="24"/>
        </w:rPr>
        <w:t xml:space="preserve">Respondent credited </w:t>
      </w:r>
      <w:r w:rsidR="00492425">
        <w:rPr>
          <w:sz w:val="24"/>
          <w:szCs w:val="24"/>
        </w:rPr>
        <w:t xml:space="preserve">the entire </w:t>
      </w:r>
      <w:r w:rsidR="00842C89">
        <w:rPr>
          <w:sz w:val="24"/>
          <w:szCs w:val="24"/>
        </w:rPr>
        <w:t>$184</w:t>
      </w:r>
      <w:r w:rsidR="00492425">
        <w:rPr>
          <w:sz w:val="24"/>
          <w:szCs w:val="24"/>
        </w:rPr>
        <w:t xml:space="preserve"> payment</w:t>
      </w:r>
      <w:r w:rsidR="00842C89">
        <w:rPr>
          <w:sz w:val="24"/>
          <w:szCs w:val="24"/>
        </w:rPr>
        <w:t xml:space="preserve"> to Complainant’s service account on March 12, 2013 and did not apply $56 to pay the required security deposit.  </w:t>
      </w:r>
      <w:proofErr w:type="gramStart"/>
      <w:r w:rsidR="00842C89">
        <w:rPr>
          <w:sz w:val="24"/>
          <w:szCs w:val="24"/>
        </w:rPr>
        <w:t>(Tr. 24; Complainant Exhibit C-3).</w:t>
      </w:r>
      <w:proofErr w:type="gramEnd"/>
    </w:p>
    <w:p w:rsidR="00EF5B66" w:rsidRDefault="00EF5B66" w:rsidP="00842C89">
      <w:pPr>
        <w:tabs>
          <w:tab w:val="left" w:pos="2160"/>
        </w:tabs>
        <w:ind w:firstLine="1440"/>
        <w:rPr>
          <w:sz w:val="24"/>
          <w:szCs w:val="24"/>
        </w:rPr>
      </w:pPr>
    </w:p>
    <w:p w:rsidR="00EF5B66" w:rsidRDefault="001D7F06" w:rsidP="00842C89">
      <w:pPr>
        <w:tabs>
          <w:tab w:val="left" w:pos="2160"/>
        </w:tabs>
        <w:ind w:firstLine="1440"/>
        <w:rPr>
          <w:sz w:val="24"/>
          <w:szCs w:val="24"/>
        </w:rPr>
      </w:pPr>
      <w:r>
        <w:rPr>
          <w:sz w:val="24"/>
          <w:szCs w:val="24"/>
        </w:rPr>
        <w:t>18</w:t>
      </w:r>
      <w:r w:rsidR="00EF5B66">
        <w:rPr>
          <w:sz w:val="24"/>
          <w:szCs w:val="24"/>
        </w:rPr>
        <w:t xml:space="preserve">. </w:t>
      </w:r>
      <w:r w:rsidR="00EF5B66">
        <w:rPr>
          <w:sz w:val="24"/>
          <w:szCs w:val="24"/>
        </w:rPr>
        <w:tab/>
        <w:t xml:space="preserve">On March 24, 2013, Complainant </w:t>
      </w:r>
      <w:r w:rsidR="004B1C1C">
        <w:rPr>
          <w:sz w:val="24"/>
          <w:szCs w:val="24"/>
        </w:rPr>
        <w:t>sent</w:t>
      </w:r>
      <w:r w:rsidR="00EF5B66">
        <w:rPr>
          <w:sz w:val="24"/>
          <w:szCs w:val="24"/>
        </w:rPr>
        <w:t xml:space="preserve"> $46 to Respondent</w:t>
      </w:r>
      <w:r w:rsidR="009B039D">
        <w:rPr>
          <w:sz w:val="24"/>
          <w:szCs w:val="24"/>
        </w:rPr>
        <w:t xml:space="preserve"> </w:t>
      </w:r>
      <w:r w:rsidR="004B1C1C">
        <w:rPr>
          <w:sz w:val="24"/>
          <w:szCs w:val="24"/>
        </w:rPr>
        <w:t xml:space="preserve">in a money order </w:t>
      </w:r>
      <w:r w:rsidR="009B039D">
        <w:rPr>
          <w:sz w:val="24"/>
          <w:szCs w:val="24"/>
        </w:rPr>
        <w:t>and indicated it was to pay the required security deposit</w:t>
      </w:r>
      <w:r w:rsidR="00EF5B66">
        <w:rPr>
          <w:sz w:val="24"/>
          <w:szCs w:val="24"/>
        </w:rPr>
        <w:t xml:space="preserve">.  </w:t>
      </w:r>
      <w:proofErr w:type="gramStart"/>
      <w:r w:rsidR="00EF5B66">
        <w:rPr>
          <w:sz w:val="24"/>
          <w:szCs w:val="24"/>
        </w:rPr>
        <w:t>(Tr. 37</w:t>
      </w:r>
      <w:r w:rsidR="009B039D">
        <w:rPr>
          <w:sz w:val="24"/>
          <w:szCs w:val="24"/>
        </w:rPr>
        <w:t>, 38</w:t>
      </w:r>
      <w:r w:rsidR="00EF5B66">
        <w:rPr>
          <w:sz w:val="24"/>
          <w:szCs w:val="24"/>
        </w:rPr>
        <w:t>; Complainant Exhibit D-5).</w:t>
      </w:r>
      <w:proofErr w:type="gramEnd"/>
    </w:p>
    <w:p w:rsidR="005F0598" w:rsidRDefault="005F0598" w:rsidP="00842C89">
      <w:pPr>
        <w:tabs>
          <w:tab w:val="left" w:pos="2160"/>
        </w:tabs>
        <w:ind w:firstLine="1440"/>
        <w:rPr>
          <w:sz w:val="24"/>
          <w:szCs w:val="24"/>
        </w:rPr>
      </w:pPr>
    </w:p>
    <w:p w:rsidR="005F0598" w:rsidRDefault="001D7F06" w:rsidP="00842C89">
      <w:pPr>
        <w:tabs>
          <w:tab w:val="left" w:pos="2160"/>
        </w:tabs>
        <w:ind w:firstLine="1440"/>
        <w:rPr>
          <w:sz w:val="24"/>
          <w:szCs w:val="24"/>
        </w:rPr>
      </w:pPr>
      <w:r>
        <w:rPr>
          <w:sz w:val="24"/>
          <w:szCs w:val="24"/>
        </w:rPr>
        <w:t>19</w:t>
      </w:r>
      <w:r w:rsidR="005F0598">
        <w:rPr>
          <w:sz w:val="24"/>
          <w:szCs w:val="24"/>
        </w:rPr>
        <w:t xml:space="preserve">. </w:t>
      </w:r>
      <w:r w:rsidR="005F0598">
        <w:rPr>
          <w:sz w:val="24"/>
          <w:szCs w:val="24"/>
        </w:rPr>
        <w:tab/>
      </w:r>
      <w:r w:rsidR="00492425">
        <w:rPr>
          <w:sz w:val="24"/>
          <w:szCs w:val="24"/>
        </w:rPr>
        <w:t xml:space="preserve">Under the BCS payment agreement, </w:t>
      </w:r>
      <w:r w:rsidR="005F0598">
        <w:rPr>
          <w:sz w:val="24"/>
          <w:szCs w:val="24"/>
        </w:rPr>
        <w:t xml:space="preserve">Complainant </w:t>
      </w:r>
      <w:r w:rsidR="00492425">
        <w:rPr>
          <w:sz w:val="24"/>
          <w:szCs w:val="24"/>
        </w:rPr>
        <w:t xml:space="preserve">was </w:t>
      </w:r>
      <w:r w:rsidR="005F0598">
        <w:rPr>
          <w:sz w:val="24"/>
          <w:szCs w:val="24"/>
        </w:rPr>
        <w:t>to pay $190.00 on or before April 7, 2013 under the payment agreement</w:t>
      </w:r>
      <w:r>
        <w:rPr>
          <w:sz w:val="24"/>
          <w:szCs w:val="24"/>
        </w:rPr>
        <w:t xml:space="preserve">. </w:t>
      </w:r>
      <w:r w:rsidR="00492425">
        <w:rPr>
          <w:sz w:val="24"/>
          <w:szCs w:val="24"/>
        </w:rPr>
        <w:t xml:space="preserve"> Complainant sent a total of $2</w:t>
      </w:r>
      <w:r w:rsidR="00904696">
        <w:rPr>
          <w:sz w:val="24"/>
          <w:szCs w:val="24"/>
        </w:rPr>
        <w:t>6</w:t>
      </w:r>
      <w:r>
        <w:rPr>
          <w:sz w:val="24"/>
          <w:szCs w:val="24"/>
        </w:rPr>
        <w:t xml:space="preserve">0.00 to Respondent from March 1, 2013 through April 7, 2013.  </w:t>
      </w:r>
      <w:proofErr w:type="gramStart"/>
      <w:r>
        <w:rPr>
          <w:sz w:val="24"/>
          <w:szCs w:val="24"/>
        </w:rPr>
        <w:t>(Tr. 22-24, 38, 56; Complainant Exhibits C-3, D-4 and D-5).</w:t>
      </w:r>
      <w:proofErr w:type="gramEnd"/>
    </w:p>
    <w:p w:rsidR="00FC6C5D" w:rsidRDefault="009F7D9B" w:rsidP="00FC6C5D">
      <w:pPr>
        <w:tabs>
          <w:tab w:val="left" w:pos="2160"/>
        </w:tabs>
        <w:ind w:firstLine="1440"/>
        <w:rPr>
          <w:sz w:val="24"/>
          <w:szCs w:val="24"/>
        </w:rPr>
      </w:pPr>
      <w:r>
        <w:rPr>
          <w:sz w:val="24"/>
          <w:szCs w:val="24"/>
        </w:rPr>
        <w:lastRenderedPageBreak/>
        <w:t>20</w:t>
      </w:r>
      <w:r w:rsidR="00FC6C5D">
        <w:rPr>
          <w:sz w:val="24"/>
          <w:szCs w:val="24"/>
        </w:rPr>
        <w:t>.</w:t>
      </w:r>
      <w:r w:rsidR="00FC6C5D">
        <w:rPr>
          <w:sz w:val="24"/>
          <w:szCs w:val="24"/>
        </w:rPr>
        <w:tab/>
        <w:t xml:space="preserve"> On May </w:t>
      </w:r>
      <w:r w:rsidR="00C953A6">
        <w:rPr>
          <w:sz w:val="24"/>
          <w:szCs w:val="24"/>
        </w:rPr>
        <w:t>14</w:t>
      </w:r>
      <w:r w:rsidR="00FC6C5D">
        <w:rPr>
          <w:sz w:val="24"/>
          <w:szCs w:val="24"/>
        </w:rPr>
        <w:t xml:space="preserve">, 2013, Respondent </w:t>
      </w:r>
      <w:r w:rsidR="004B1C1C">
        <w:rPr>
          <w:sz w:val="24"/>
          <w:szCs w:val="24"/>
        </w:rPr>
        <w:t>issued a shut-off notice which demanded Complainant pay the sums of $1,703.62 plus $128.00 security deposit plus $73.00 turn-on charge before May 28, 2013 or service would be terminated</w:t>
      </w:r>
      <w:r w:rsidR="00FC6C5D">
        <w:rPr>
          <w:sz w:val="24"/>
          <w:szCs w:val="24"/>
        </w:rPr>
        <w:t xml:space="preserve">.  </w:t>
      </w:r>
      <w:proofErr w:type="gramStart"/>
      <w:r w:rsidR="00FC6C5D">
        <w:rPr>
          <w:sz w:val="24"/>
          <w:szCs w:val="24"/>
        </w:rPr>
        <w:t xml:space="preserve">(Tr. 25; Complainant Exhibit </w:t>
      </w:r>
      <w:r w:rsidR="00C953A6">
        <w:rPr>
          <w:sz w:val="24"/>
          <w:szCs w:val="24"/>
        </w:rPr>
        <w:t>E-1</w:t>
      </w:r>
      <w:r w:rsidR="00FC6C5D">
        <w:rPr>
          <w:sz w:val="24"/>
          <w:szCs w:val="24"/>
        </w:rPr>
        <w:t>).</w:t>
      </w:r>
      <w:proofErr w:type="gramEnd"/>
    </w:p>
    <w:p w:rsidR="00FC6C5D" w:rsidRDefault="00FC6C5D" w:rsidP="00A01BF0">
      <w:pPr>
        <w:tabs>
          <w:tab w:val="left" w:pos="2160"/>
        </w:tabs>
        <w:ind w:firstLine="1440"/>
        <w:rPr>
          <w:sz w:val="24"/>
          <w:szCs w:val="24"/>
        </w:rPr>
      </w:pPr>
    </w:p>
    <w:p w:rsidR="00FC6C5D" w:rsidRDefault="009F7D9B" w:rsidP="00A01BF0">
      <w:pPr>
        <w:tabs>
          <w:tab w:val="left" w:pos="2160"/>
        </w:tabs>
        <w:ind w:firstLine="1440"/>
        <w:rPr>
          <w:sz w:val="24"/>
          <w:szCs w:val="24"/>
        </w:rPr>
      </w:pPr>
      <w:r>
        <w:rPr>
          <w:sz w:val="24"/>
          <w:szCs w:val="24"/>
        </w:rPr>
        <w:t>21</w:t>
      </w:r>
      <w:r w:rsidR="00FC6C5D">
        <w:rPr>
          <w:sz w:val="24"/>
          <w:szCs w:val="24"/>
        </w:rPr>
        <w:t xml:space="preserve">. </w:t>
      </w:r>
      <w:r w:rsidR="00FC6C5D">
        <w:rPr>
          <w:sz w:val="24"/>
          <w:szCs w:val="24"/>
        </w:rPr>
        <w:tab/>
        <w:t xml:space="preserve">In May 2013, Respondent gave Complainant a catch-up agreement which required Complainant to pay three equal payments of $190 starting on June 7, 2013.  </w:t>
      </w:r>
      <w:proofErr w:type="gramStart"/>
      <w:r w:rsidR="00FC6C5D">
        <w:rPr>
          <w:sz w:val="24"/>
          <w:szCs w:val="24"/>
        </w:rPr>
        <w:t>(Tr. 26).</w:t>
      </w:r>
      <w:proofErr w:type="gramEnd"/>
    </w:p>
    <w:p w:rsidR="00FC6C5D" w:rsidRDefault="00FC6C5D" w:rsidP="00A01BF0">
      <w:pPr>
        <w:tabs>
          <w:tab w:val="left" w:pos="2160"/>
        </w:tabs>
        <w:ind w:firstLine="1440"/>
        <w:rPr>
          <w:sz w:val="24"/>
          <w:szCs w:val="24"/>
        </w:rPr>
      </w:pPr>
    </w:p>
    <w:p w:rsidR="00FC6C5D" w:rsidRDefault="009F7D9B" w:rsidP="00A01BF0">
      <w:pPr>
        <w:tabs>
          <w:tab w:val="left" w:pos="2160"/>
        </w:tabs>
        <w:ind w:firstLine="1440"/>
        <w:rPr>
          <w:sz w:val="24"/>
          <w:szCs w:val="24"/>
        </w:rPr>
      </w:pPr>
      <w:r>
        <w:rPr>
          <w:sz w:val="24"/>
          <w:szCs w:val="24"/>
        </w:rPr>
        <w:t>22</w:t>
      </w:r>
      <w:r w:rsidR="00FC6C5D">
        <w:rPr>
          <w:sz w:val="24"/>
          <w:szCs w:val="24"/>
        </w:rPr>
        <w:t xml:space="preserve">. </w:t>
      </w:r>
      <w:r w:rsidR="00FC6C5D">
        <w:rPr>
          <w:sz w:val="24"/>
          <w:szCs w:val="24"/>
        </w:rPr>
        <w:tab/>
        <w:t xml:space="preserve">In June 2013, Complainant </w:t>
      </w:r>
      <w:r w:rsidR="006F5EA2">
        <w:rPr>
          <w:sz w:val="24"/>
          <w:szCs w:val="24"/>
        </w:rPr>
        <w:t xml:space="preserve">made three payments in June which totaled $190.00.  She paid $10.00 on May 28, 2013, $30.00 on May 28, 2013 and $150.00 on June 5, 2013.  </w:t>
      </w:r>
      <w:r w:rsidR="00FC6C5D">
        <w:rPr>
          <w:sz w:val="24"/>
          <w:szCs w:val="24"/>
        </w:rPr>
        <w:t xml:space="preserve">Respondent </w:t>
      </w:r>
      <w:r w:rsidR="00492425">
        <w:rPr>
          <w:sz w:val="24"/>
          <w:szCs w:val="24"/>
        </w:rPr>
        <w:t>applied</w:t>
      </w:r>
      <w:r w:rsidR="00FC6C5D">
        <w:rPr>
          <w:sz w:val="24"/>
          <w:szCs w:val="24"/>
        </w:rPr>
        <w:t xml:space="preserve"> the </w:t>
      </w:r>
      <w:r w:rsidR="006F5EA2">
        <w:rPr>
          <w:sz w:val="24"/>
          <w:szCs w:val="24"/>
        </w:rPr>
        <w:t>$10.00 payment made on May 28, 2013</w:t>
      </w:r>
      <w:r w:rsidR="00FC6C5D">
        <w:rPr>
          <w:sz w:val="24"/>
          <w:szCs w:val="24"/>
        </w:rPr>
        <w:t xml:space="preserve"> towards Complainant’s </w:t>
      </w:r>
      <w:r w:rsidR="006F5EA2">
        <w:rPr>
          <w:sz w:val="24"/>
          <w:szCs w:val="24"/>
        </w:rPr>
        <w:t>security deposit</w:t>
      </w:r>
      <w:r w:rsidR="00FC6C5D">
        <w:rPr>
          <w:sz w:val="24"/>
          <w:szCs w:val="24"/>
        </w:rPr>
        <w:t xml:space="preserve">.  </w:t>
      </w:r>
      <w:proofErr w:type="gramStart"/>
      <w:r w:rsidR="00FC6C5D">
        <w:rPr>
          <w:sz w:val="24"/>
          <w:szCs w:val="24"/>
        </w:rPr>
        <w:t xml:space="preserve">(Tr. 26; Complainant Exhibit </w:t>
      </w:r>
      <w:r w:rsidR="005A4D6E">
        <w:rPr>
          <w:sz w:val="24"/>
          <w:szCs w:val="24"/>
        </w:rPr>
        <w:t>C-3).</w:t>
      </w:r>
      <w:proofErr w:type="gramEnd"/>
    </w:p>
    <w:p w:rsidR="00016819" w:rsidRDefault="00016819" w:rsidP="00016819">
      <w:pPr>
        <w:tabs>
          <w:tab w:val="left" w:pos="2160"/>
        </w:tabs>
        <w:ind w:firstLine="1440"/>
        <w:rPr>
          <w:sz w:val="24"/>
          <w:szCs w:val="24"/>
        </w:rPr>
      </w:pPr>
    </w:p>
    <w:p w:rsidR="00016819" w:rsidRDefault="009F7D9B" w:rsidP="00016819">
      <w:pPr>
        <w:tabs>
          <w:tab w:val="left" w:pos="2160"/>
        </w:tabs>
        <w:ind w:firstLine="1440"/>
        <w:rPr>
          <w:sz w:val="24"/>
          <w:szCs w:val="24"/>
        </w:rPr>
      </w:pPr>
      <w:r>
        <w:rPr>
          <w:sz w:val="24"/>
          <w:szCs w:val="24"/>
        </w:rPr>
        <w:t>23</w:t>
      </w:r>
      <w:r w:rsidR="00016819">
        <w:rPr>
          <w:sz w:val="24"/>
          <w:szCs w:val="24"/>
        </w:rPr>
        <w:t xml:space="preserve">. </w:t>
      </w:r>
      <w:r w:rsidR="00016819">
        <w:rPr>
          <w:sz w:val="24"/>
          <w:szCs w:val="24"/>
        </w:rPr>
        <w:tab/>
      </w:r>
      <w:r w:rsidR="005A4D6E">
        <w:rPr>
          <w:sz w:val="24"/>
          <w:szCs w:val="24"/>
        </w:rPr>
        <w:t xml:space="preserve">On or about June 20, 2013, Respondent’s </w:t>
      </w:r>
      <w:r w:rsidR="00492425">
        <w:rPr>
          <w:sz w:val="24"/>
          <w:szCs w:val="24"/>
        </w:rPr>
        <w:t>representative</w:t>
      </w:r>
      <w:r w:rsidR="005A4D6E">
        <w:rPr>
          <w:sz w:val="24"/>
          <w:szCs w:val="24"/>
        </w:rPr>
        <w:t xml:space="preserve"> contacted Complainant and told Complainant</w:t>
      </w:r>
      <w:r w:rsidR="00492425">
        <w:rPr>
          <w:sz w:val="24"/>
          <w:szCs w:val="24"/>
        </w:rPr>
        <w:t xml:space="preserve"> that she</w:t>
      </w:r>
      <w:r w:rsidR="005A4D6E">
        <w:rPr>
          <w:sz w:val="24"/>
          <w:szCs w:val="24"/>
        </w:rPr>
        <w:t xml:space="preserve"> would have to pay $172 immediately or the natural gas service would be terminated.  </w:t>
      </w:r>
      <w:proofErr w:type="gramStart"/>
      <w:r w:rsidR="005A4D6E">
        <w:rPr>
          <w:sz w:val="24"/>
          <w:szCs w:val="24"/>
        </w:rPr>
        <w:t>(Tr. 27).</w:t>
      </w:r>
      <w:proofErr w:type="gramEnd"/>
    </w:p>
    <w:p w:rsidR="00492425" w:rsidRDefault="00492425" w:rsidP="00492425">
      <w:pPr>
        <w:tabs>
          <w:tab w:val="left" w:pos="2160"/>
        </w:tabs>
        <w:ind w:firstLine="1440"/>
        <w:rPr>
          <w:sz w:val="24"/>
          <w:szCs w:val="24"/>
        </w:rPr>
      </w:pPr>
    </w:p>
    <w:p w:rsidR="00492425" w:rsidRDefault="009F7D9B" w:rsidP="00492425">
      <w:pPr>
        <w:tabs>
          <w:tab w:val="left" w:pos="2160"/>
        </w:tabs>
        <w:ind w:firstLine="1440"/>
        <w:rPr>
          <w:sz w:val="24"/>
          <w:szCs w:val="24"/>
        </w:rPr>
      </w:pPr>
      <w:r>
        <w:rPr>
          <w:sz w:val="24"/>
          <w:szCs w:val="24"/>
        </w:rPr>
        <w:t>24</w:t>
      </w:r>
      <w:r w:rsidR="00492425">
        <w:rPr>
          <w:sz w:val="24"/>
          <w:szCs w:val="24"/>
        </w:rPr>
        <w:t>.</w:t>
      </w:r>
      <w:r w:rsidR="00492425">
        <w:rPr>
          <w:sz w:val="24"/>
          <w:szCs w:val="24"/>
        </w:rPr>
        <w:tab/>
        <w:t xml:space="preserve">  On June 25, 2013, Respondent terminated natural gas service to the service address with an account due balance equal to $1,357.64.  </w:t>
      </w:r>
      <w:proofErr w:type="gramStart"/>
      <w:r w:rsidR="00492425">
        <w:rPr>
          <w:sz w:val="24"/>
          <w:szCs w:val="24"/>
        </w:rPr>
        <w:t>(Tr. 10, 28, 52).</w:t>
      </w:r>
      <w:proofErr w:type="gramEnd"/>
    </w:p>
    <w:p w:rsidR="00492425" w:rsidRDefault="00492425" w:rsidP="00492425">
      <w:pPr>
        <w:tabs>
          <w:tab w:val="left" w:pos="2160"/>
        </w:tabs>
        <w:ind w:firstLine="1440"/>
        <w:rPr>
          <w:sz w:val="24"/>
          <w:szCs w:val="24"/>
        </w:rPr>
      </w:pPr>
    </w:p>
    <w:p w:rsidR="00492425" w:rsidRDefault="009F7D9B" w:rsidP="00492425">
      <w:pPr>
        <w:tabs>
          <w:tab w:val="left" w:pos="2160"/>
        </w:tabs>
        <w:ind w:firstLine="1440"/>
        <w:rPr>
          <w:sz w:val="24"/>
          <w:szCs w:val="24"/>
        </w:rPr>
      </w:pPr>
      <w:r>
        <w:rPr>
          <w:sz w:val="24"/>
          <w:szCs w:val="24"/>
        </w:rPr>
        <w:t>25</w:t>
      </w:r>
      <w:r w:rsidR="00492425">
        <w:rPr>
          <w:sz w:val="24"/>
          <w:szCs w:val="24"/>
        </w:rPr>
        <w:t xml:space="preserve">. </w:t>
      </w:r>
      <w:r w:rsidR="00492425">
        <w:rPr>
          <w:sz w:val="24"/>
          <w:szCs w:val="24"/>
        </w:rPr>
        <w:tab/>
        <w:t xml:space="preserve">On August 30, 2013, Respondent notified Complainant in writing that it refused to provide service to Complainant because there was an unpaid balance in the amount of $1,521.64 for natural gas service through June 25, 2013 at the service address.  </w:t>
      </w:r>
      <w:proofErr w:type="gramStart"/>
      <w:r w:rsidR="00492425">
        <w:rPr>
          <w:sz w:val="24"/>
          <w:szCs w:val="24"/>
        </w:rPr>
        <w:t>(Complainant Exhibit F-1).</w:t>
      </w:r>
      <w:proofErr w:type="gramEnd"/>
    </w:p>
    <w:p w:rsidR="005957E1" w:rsidRDefault="005957E1" w:rsidP="005957E1">
      <w:pPr>
        <w:tabs>
          <w:tab w:val="left" w:pos="2160"/>
        </w:tabs>
        <w:ind w:firstLine="1440"/>
        <w:rPr>
          <w:sz w:val="24"/>
          <w:szCs w:val="24"/>
        </w:rPr>
      </w:pPr>
    </w:p>
    <w:p w:rsidR="00D3510C" w:rsidRDefault="009F7D9B" w:rsidP="00B51F32">
      <w:pPr>
        <w:tabs>
          <w:tab w:val="left" w:pos="2160"/>
        </w:tabs>
        <w:ind w:firstLine="1440"/>
        <w:rPr>
          <w:sz w:val="24"/>
          <w:szCs w:val="24"/>
        </w:rPr>
      </w:pPr>
      <w:r>
        <w:rPr>
          <w:sz w:val="24"/>
          <w:szCs w:val="24"/>
        </w:rPr>
        <w:t>26</w:t>
      </w:r>
      <w:r w:rsidR="005957E1">
        <w:rPr>
          <w:sz w:val="24"/>
          <w:szCs w:val="24"/>
        </w:rPr>
        <w:t>.</w:t>
      </w:r>
      <w:r w:rsidR="005957E1">
        <w:rPr>
          <w:sz w:val="24"/>
          <w:szCs w:val="24"/>
        </w:rPr>
        <w:tab/>
      </w:r>
      <w:r w:rsidR="00861986">
        <w:rPr>
          <w:sz w:val="24"/>
          <w:szCs w:val="24"/>
        </w:rPr>
        <w:t>From December 14, 2012 to October 25, 2013, Respondent received credits or payments on Complainant</w:t>
      </w:r>
      <w:r w:rsidR="00D0271E">
        <w:rPr>
          <w:sz w:val="24"/>
          <w:szCs w:val="24"/>
        </w:rPr>
        <w:t>’s</w:t>
      </w:r>
      <w:r w:rsidR="00861986">
        <w:rPr>
          <w:sz w:val="24"/>
          <w:szCs w:val="24"/>
        </w:rPr>
        <w:t xml:space="preserve"> service account on eleven (11) occasions, totaling </w:t>
      </w:r>
      <w:r w:rsidR="00152124">
        <w:rPr>
          <w:sz w:val="24"/>
          <w:szCs w:val="24"/>
        </w:rPr>
        <w:t>$480.00</w:t>
      </w:r>
      <w:r w:rsidR="00861986">
        <w:rPr>
          <w:sz w:val="24"/>
          <w:szCs w:val="24"/>
        </w:rPr>
        <w:t xml:space="preserve"> in payments.  From December 14, 2012 to October 25, 2013, Re</w:t>
      </w:r>
      <w:r w:rsidR="00152124">
        <w:rPr>
          <w:sz w:val="24"/>
          <w:szCs w:val="24"/>
        </w:rPr>
        <w:t xml:space="preserve">spondent billed Complainant $765.88 </w:t>
      </w:r>
      <w:r w:rsidR="00861986">
        <w:rPr>
          <w:sz w:val="24"/>
          <w:szCs w:val="24"/>
        </w:rPr>
        <w:t xml:space="preserve">for natural gas service provided to Complainant at the service address.  </w:t>
      </w:r>
      <w:proofErr w:type="gramStart"/>
      <w:r w:rsidR="00861986">
        <w:rPr>
          <w:sz w:val="24"/>
          <w:szCs w:val="24"/>
        </w:rPr>
        <w:t>(Complainant Exhibit C-3).</w:t>
      </w:r>
      <w:proofErr w:type="gramEnd"/>
      <w:r w:rsidR="00861986">
        <w:rPr>
          <w:sz w:val="24"/>
          <w:szCs w:val="24"/>
        </w:rPr>
        <w:t xml:space="preserve">  </w:t>
      </w:r>
    </w:p>
    <w:p w:rsidR="00492425" w:rsidRDefault="00492425" w:rsidP="00B51F32">
      <w:pPr>
        <w:tabs>
          <w:tab w:val="left" w:pos="2160"/>
        </w:tabs>
        <w:ind w:firstLine="1440"/>
        <w:rPr>
          <w:sz w:val="24"/>
          <w:szCs w:val="24"/>
        </w:rPr>
      </w:pPr>
    </w:p>
    <w:p w:rsidR="00492425" w:rsidRDefault="00492425" w:rsidP="00B51F32">
      <w:pPr>
        <w:tabs>
          <w:tab w:val="left" w:pos="2160"/>
        </w:tabs>
        <w:ind w:firstLine="1440"/>
        <w:rPr>
          <w:sz w:val="24"/>
          <w:szCs w:val="24"/>
        </w:rPr>
      </w:pPr>
      <w:r>
        <w:rPr>
          <w:sz w:val="24"/>
          <w:szCs w:val="24"/>
        </w:rPr>
        <w:lastRenderedPageBreak/>
        <w:t xml:space="preserve">27. </w:t>
      </w:r>
      <w:r>
        <w:rPr>
          <w:sz w:val="24"/>
          <w:szCs w:val="24"/>
        </w:rPr>
        <w:tab/>
        <w:t>Respondent added a late charge fee to Complainant</w:t>
      </w:r>
      <w:r w:rsidR="00BF7747">
        <w:rPr>
          <w:sz w:val="24"/>
          <w:szCs w:val="24"/>
        </w:rPr>
        <w:t>’s</w:t>
      </w:r>
      <w:r>
        <w:rPr>
          <w:sz w:val="24"/>
          <w:szCs w:val="24"/>
        </w:rPr>
        <w:t xml:space="preserve"> service account every month Complainant did not make a payment on her account balance.  </w:t>
      </w:r>
      <w:proofErr w:type="gramStart"/>
      <w:r>
        <w:rPr>
          <w:sz w:val="24"/>
          <w:szCs w:val="24"/>
        </w:rPr>
        <w:t>(Complainant Exhibit C-3).</w:t>
      </w:r>
      <w:proofErr w:type="gramEnd"/>
    </w:p>
    <w:p w:rsidR="004B1C1C" w:rsidRDefault="004B1C1C" w:rsidP="004B1C1C">
      <w:pPr>
        <w:tabs>
          <w:tab w:val="left" w:pos="2160"/>
        </w:tabs>
        <w:ind w:firstLine="1440"/>
        <w:rPr>
          <w:sz w:val="24"/>
          <w:szCs w:val="24"/>
        </w:rPr>
      </w:pPr>
    </w:p>
    <w:p w:rsidR="004B1C1C" w:rsidRDefault="009F7D9B" w:rsidP="004B1C1C">
      <w:pPr>
        <w:tabs>
          <w:tab w:val="left" w:pos="2160"/>
        </w:tabs>
        <w:ind w:firstLine="1440"/>
        <w:rPr>
          <w:sz w:val="24"/>
          <w:szCs w:val="24"/>
        </w:rPr>
      </w:pPr>
      <w:r>
        <w:rPr>
          <w:sz w:val="24"/>
          <w:szCs w:val="24"/>
        </w:rPr>
        <w:t>28</w:t>
      </w:r>
      <w:r w:rsidR="004B1C1C">
        <w:rPr>
          <w:sz w:val="24"/>
          <w:szCs w:val="24"/>
        </w:rPr>
        <w:t xml:space="preserve">. </w:t>
      </w:r>
      <w:r w:rsidR="004B1C1C">
        <w:rPr>
          <w:sz w:val="24"/>
          <w:szCs w:val="24"/>
        </w:rPr>
        <w:tab/>
        <w:t xml:space="preserve">On November 14, 2013, Respondent notified Complainant in writing that it </w:t>
      </w:r>
      <w:r w:rsidR="00492425">
        <w:rPr>
          <w:sz w:val="24"/>
          <w:szCs w:val="24"/>
        </w:rPr>
        <w:t xml:space="preserve">again </w:t>
      </w:r>
      <w:r w:rsidR="004B1C1C">
        <w:rPr>
          <w:sz w:val="24"/>
          <w:szCs w:val="24"/>
        </w:rPr>
        <w:t xml:space="preserve">refused to </w:t>
      </w:r>
      <w:r w:rsidR="00492425">
        <w:rPr>
          <w:sz w:val="24"/>
          <w:szCs w:val="24"/>
        </w:rPr>
        <w:t>re-establish</w:t>
      </w:r>
      <w:r w:rsidR="004B1C1C">
        <w:rPr>
          <w:sz w:val="24"/>
          <w:szCs w:val="24"/>
        </w:rPr>
        <w:t xml:space="preserve"> service to Complainant because there was an unpaid balance in the amount of $1,398.64 for natural gas service through June 25, 2013 at the service address.  </w:t>
      </w:r>
      <w:proofErr w:type="gramStart"/>
      <w:r w:rsidR="004B1C1C">
        <w:rPr>
          <w:sz w:val="24"/>
          <w:szCs w:val="24"/>
        </w:rPr>
        <w:t>(Complainant Exhibit F-2).</w:t>
      </w:r>
      <w:proofErr w:type="gramEnd"/>
    </w:p>
    <w:p w:rsidR="008D0113" w:rsidRDefault="008D0113" w:rsidP="00C44296">
      <w:pPr>
        <w:pStyle w:val="BodyText"/>
        <w:jc w:val="left"/>
        <w:rPr>
          <w:sz w:val="24"/>
          <w:szCs w:val="24"/>
        </w:rPr>
      </w:pPr>
    </w:p>
    <w:p w:rsidR="008D0113" w:rsidRDefault="008D0113" w:rsidP="00C44296">
      <w:pPr>
        <w:pStyle w:val="BodyText"/>
        <w:jc w:val="left"/>
        <w:rPr>
          <w:sz w:val="24"/>
          <w:szCs w:val="24"/>
        </w:rPr>
      </w:pPr>
      <w:r>
        <w:rPr>
          <w:sz w:val="24"/>
          <w:szCs w:val="24"/>
        </w:rPr>
        <w:tab/>
      </w:r>
      <w:r>
        <w:rPr>
          <w:sz w:val="24"/>
          <w:szCs w:val="24"/>
        </w:rPr>
        <w:tab/>
      </w:r>
      <w:r w:rsidR="009F7D9B">
        <w:rPr>
          <w:sz w:val="24"/>
          <w:szCs w:val="24"/>
        </w:rPr>
        <w:t>29</w:t>
      </w:r>
      <w:r>
        <w:rPr>
          <w:sz w:val="24"/>
          <w:szCs w:val="24"/>
        </w:rPr>
        <w:t xml:space="preserve">. </w:t>
      </w:r>
      <w:r>
        <w:rPr>
          <w:sz w:val="24"/>
          <w:szCs w:val="24"/>
        </w:rPr>
        <w:tab/>
      </w:r>
      <w:r w:rsidR="00C953A6">
        <w:rPr>
          <w:sz w:val="24"/>
          <w:szCs w:val="24"/>
        </w:rPr>
        <w:t xml:space="preserve">Complainant filed a formal complaint against Respondent on </w:t>
      </w:r>
      <w:r w:rsidR="00032D30">
        <w:rPr>
          <w:sz w:val="24"/>
          <w:szCs w:val="24"/>
        </w:rPr>
        <w:t>January 22, 2014.</w:t>
      </w:r>
    </w:p>
    <w:p w:rsidR="00492425" w:rsidRDefault="00492425" w:rsidP="00C44296">
      <w:pPr>
        <w:pStyle w:val="BodyText"/>
        <w:jc w:val="left"/>
        <w:rPr>
          <w:sz w:val="24"/>
          <w:szCs w:val="24"/>
        </w:rPr>
      </w:pPr>
    </w:p>
    <w:p w:rsidR="00492425" w:rsidRDefault="00492425" w:rsidP="00C44296">
      <w:pPr>
        <w:pStyle w:val="BodyText"/>
        <w:jc w:val="left"/>
        <w:rPr>
          <w:sz w:val="24"/>
          <w:szCs w:val="24"/>
        </w:rPr>
      </w:pPr>
      <w:r>
        <w:rPr>
          <w:sz w:val="24"/>
          <w:szCs w:val="24"/>
        </w:rPr>
        <w:tab/>
      </w:r>
      <w:r>
        <w:rPr>
          <w:sz w:val="24"/>
          <w:szCs w:val="24"/>
        </w:rPr>
        <w:tab/>
      </w:r>
      <w:r w:rsidR="009F7D9B">
        <w:rPr>
          <w:sz w:val="24"/>
          <w:szCs w:val="24"/>
        </w:rPr>
        <w:t>30</w:t>
      </w:r>
      <w:r>
        <w:rPr>
          <w:sz w:val="24"/>
          <w:szCs w:val="24"/>
        </w:rPr>
        <w:t xml:space="preserve">. </w:t>
      </w:r>
      <w:r>
        <w:rPr>
          <w:sz w:val="24"/>
          <w:szCs w:val="24"/>
        </w:rPr>
        <w:tab/>
        <w:t>On May 1, 2014, Complainant and Respondent entered into an</w:t>
      </w:r>
      <w:r w:rsidR="009F7D9B">
        <w:rPr>
          <w:sz w:val="24"/>
          <w:szCs w:val="24"/>
        </w:rPr>
        <w:t xml:space="preserve"> informal </w:t>
      </w:r>
      <w:r>
        <w:rPr>
          <w:sz w:val="24"/>
          <w:szCs w:val="24"/>
        </w:rPr>
        <w:t xml:space="preserve">agreement to re-establish service at the service address, and Respondent filed a Certificate of Satisfaction.  </w:t>
      </w:r>
    </w:p>
    <w:p w:rsidR="00492425" w:rsidRDefault="00492425" w:rsidP="00C44296">
      <w:pPr>
        <w:pStyle w:val="BodyText"/>
        <w:jc w:val="left"/>
        <w:rPr>
          <w:sz w:val="24"/>
          <w:szCs w:val="24"/>
        </w:rPr>
      </w:pPr>
    </w:p>
    <w:p w:rsidR="00492425" w:rsidRDefault="00492425" w:rsidP="00C44296">
      <w:pPr>
        <w:pStyle w:val="BodyText"/>
        <w:jc w:val="left"/>
        <w:rPr>
          <w:sz w:val="24"/>
          <w:szCs w:val="24"/>
        </w:rPr>
      </w:pPr>
      <w:r>
        <w:rPr>
          <w:sz w:val="24"/>
          <w:szCs w:val="24"/>
        </w:rPr>
        <w:tab/>
      </w:r>
      <w:r>
        <w:rPr>
          <w:sz w:val="24"/>
          <w:szCs w:val="24"/>
        </w:rPr>
        <w:tab/>
      </w:r>
      <w:r w:rsidR="009F7D9B">
        <w:rPr>
          <w:sz w:val="24"/>
          <w:szCs w:val="24"/>
        </w:rPr>
        <w:t>31</w:t>
      </w:r>
      <w:r>
        <w:rPr>
          <w:sz w:val="24"/>
          <w:szCs w:val="24"/>
        </w:rPr>
        <w:t xml:space="preserve">. </w:t>
      </w:r>
      <w:r>
        <w:rPr>
          <w:sz w:val="24"/>
          <w:szCs w:val="24"/>
        </w:rPr>
        <w:tab/>
        <w:t>On May 5, 2014, Complainant</w:t>
      </w:r>
      <w:r w:rsidR="009F7D9B">
        <w:rPr>
          <w:sz w:val="24"/>
          <w:szCs w:val="24"/>
        </w:rPr>
        <w:t xml:space="preserve"> objected to the Certificate of Satisfaction filed by Respondent on May 1, 2014, which objection was not received until May 8, 2014.</w:t>
      </w:r>
    </w:p>
    <w:p w:rsidR="009F7D9B" w:rsidRDefault="009F7D9B" w:rsidP="00C44296">
      <w:pPr>
        <w:pStyle w:val="BodyText"/>
        <w:jc w:val="left"/>
        <w:rPr>
          <w:sz w:val="24"/>
          <w:szCs w:val="24"/>
        </w:rPr>
      </w:pPr>
    </w:p>
    <w:p w:rsidR="009F7D9B" w:rsidRPr="00B73D10" w:rsidRDefault="009F7D9B" w:rsidP="00C44296">
      <w:pPr>
        <w:pStyle w:val="BodyText"/>
        <w:jc w:val="left"/>
        <w:rPr>
          <w:sz w:val="24"/>
          <w:szCs w:val="24"/>
        </w:rPr>
      </w:pPr>
      <w:r>
        <w:rPr>
          <w:sz w:val="24"/>
          <w:szCs w:val="24"/>
        </w:rPr>
        <w:tab/>
      </w:r>
      <w:r>
        <w:rPr>
          <w:sz w:val="24"/>
          <w:szCs w:val="24"/>
        </w:rPr>
        <w:tab/>
        <w:t xml:space="preserve">32. </w:t>
      </w:r>
      <w:r>
        <w:rPr>
          <w:sz w:val="24"/>
          <w:szCs w:val="24"/>
        </w:rPr>
        <w:tab/>
        <w:t xml:space="preserve">On May 7, 2014, Respondent restored natural gas service to Complainant at the service address in reliance on the informal agreement of the parties on May 1, 2014.  </w:t>
      </w:r>
    </w:p>
    <w:p w:rsidR="00492425" w:rsidRDefault="00492425">
      <w:pPr>
        <w:spacing w:line="240" w:lineRule="auto"/>
        <w:rPr>
          <w:sz w:val="24"/>
          <w:szCs w:val="24"/>
          <w:u w:val="single"/>
        </w:rPr>
      </w:pPr>
    </w:p>
    <w:p w:rsidR="00C953A6" w:rsidRDefault="00C953A6">
      <w:pPr>
        <w:spacing w:line="240" w:lineRule="auto"/>
        <w:rPr>
          <w:sz w:val="24"/>
          <w:szCs w:val="24"/>
          <w:u w:val="single"/>
        </w:rPr>
      </w:pPr>
    </w:p>
    <w:p w:rsidR="00DE2949" w:rsidRPr="00FB448C" w:rsidRDefault="00DE2949">
      <w:pPr>
        <w:jc w:val="center"/>
        <w:rPr>
          <w:sz w:val="24"/>
          <w:szCs w:val="24"/>
        </w:rPr>
      </w:pPr>
      <w:r w:rsidRPr="00FB448C">
        <w:rPr>
          <w:sz w:val="24"/>
          <w:szCs w:val="24"/>
          <w:u w:val="single"/>
        </w:rPr>
        <w:t>DISCUSSION</w:t>
      </w:r>
    </w:p>
    <w:p w:rsidR="009F7D9B" w:rsidRDefault="009F7D9B" w:rsidP="009F7D9B">
      <w:pPr>
        <w:tabs>
          <w:tab w:val="left" w:pos="-1440"/>
          <w:tab w:val="left" w:pos="-720"/>
        </w:tabs>
        <w:suppressAutoHyphens/>
        <w:rPr>
          <w:spacing w:val="-3"/>
          <w:sz w:val="24"/>
          <w:szCs w:val="24"/>
        </w:rPr>
      </w:pPr>
    </w:p>
    <w:p w:rsidR="009F7D9B" w:rsidRPr="005A4D6E" w:rsidRDefault="009F7D9B" w:rsidP="009F7D9B">
      <w:pPr>
        <w:tabs>
          <w:tab w:val="left" w:pos="-1440"/>
          <w:tab w:val="left" w:pos="-720"/>
        </w:tabs>
        <w:suppressAutoHyphens/>
        <w:rPr>
          <w:spacing w:val="-3"/>
          <w:sz w:val="24"/>
          <w:szCs w:val="24"/>
          <w:u w:val="single"/>
        </w:rPr>
      </w:pPr>
      <w:r w:rsidRPr="005A4D6E">
        <w:rPr>
          <w:spacing w:val="-3"/>
          <w:sz w:val="24"/>
          <w:szCs w:val="24"/>
          <w:u w:val="single"/>
        </w:rPr>
        <w:t>Complainant’s Position</w:t>
      </w:r>
    </w:p>
    <w:p w:rsidR="00DE2949" w:rsidRDefault="00DE2949" w:rsidP="00D3510C">
      <w:pPr>
        <w:rPr>
          <w:sz w:val="24"/>
          <w:szCs w:val="24"/>
        </w:rPr>
      </w:pPr>
    </w:p>
    <w:p w:rsidR="005A4D6E" w:rsidRDefault="00A01BF0" w:rsidP="00A01BF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Complainant</w:t>
      </w:r>
      <w:r w:rsidR="005A4D6E">
        <w:rPr>
          <w:spacing w:val="-3"/>
          <w:sz w:val="24"/>
          <w:szCs w:val="24"/>
        </w:rPr>
        <w:t xml:space="preserve"> filed a formal complaint alleging </w:t>
      </w:r>
      <w:r w:rsidR="005C24B1">
        <w:rPr>
          <w:spacing w:val="-3"/>
          <w:sz w:val="24"/>
          <w:szCs w:val="24"/>
        </w:rPr>
        <w:t xml:space="preserve">various customer service failures by Respondent.  She contends Respondent </w:t>
      </w:r>
      <w:r w:rsidR="00C953A6">
        <w:rPr>
          <w:spacing w:val="-3"/>
          <w:sz w:val="24"/>
          <w:szCs w:val="24"/>
        </w:rPr>
        <w:t xml:space="preserve">misapplied </w:t>
      </w:r>
      <w:r w:rsidR="009F7D9B">
        <w:rPr>
          <w:spacing w:val="-3"/>
          <w:sz w:val="24"/>
          <w:szCs w:val="24"/>
        </w:rPr>
        <w:t xml:space="preserve">or </w:t>
      </w:r>
      <w:r w:rsidR="005A4D6E">
        <w:rPr>
          <w:spacing w:val="-3"/>
          <w:sz w:val="24"/>
          <w:szCs w:val="24"/>
        </w:rPr>
        <w:t xml:space="preserve">failed to apply payments on her account balance appropriately, </w:t>
      </w:r>
      <w:r w:rsidR="00C953A6">
        <w:rPr>
          <w:spacing w:val="-3"/>
          <w:sz w:val="24"/>
          <w:szCs w:val="24"/>
        </w:rPr>
        <w:t xml:space="preserve">and then Respondent claimed she </w:t>
      </w:r>
      <w:r w:rsidR="00D345CF">
        <w:rPr>
          <w:spacing w:val="-3"/>
          <w:sz w:val="24"/>
          <w:szCs w:val="24"/>
        </w:rPr>
        <w:t>defaulted</w:t>
      </w:r>
      <w:r w:rsidR="00C953A6">
        <w:rPr>
          <w:spacing w:val="-3"/>
          <w:sz w:val="24"/>
          <w:szCs w:val="24"/>
        </w:rPr>
        <w:t xml:space="preserve"> on two payment arrangements and eventually terminated </w:t>
      </w:r>
      <w:r w:rsidR="005A4D6E">
        <w:rPr>
          <w:spacing w:val="-3"/>
          <w:sz w:val="24"/>
          <w:szCs w:val="24"/>
        </w:rPr>
        <w:t>her natural gas service</w:t>
      </w:r>
      <w:r w:rsidR="005C24B1">
        <w:rPr>
          <w:spacing w:val="-3"/>
          <w:sz w:val="24"/>
          <w:szCs w:val="24"/>
        </w:rPr>
        <w:t xml:space="preserve">.  She claims Respondent charged her for service at 1829 North Third for two weeks after the final meter reading.  She says Respondent failed to </w:t>
      </w:r>
      <w:r w:rsidR="005C24B1">
        <w:rPr>
          <w:spacing w:val="-3"/>
          <w:sz w:val="24"/>
          <w:szCs w:val="24"/>
        </w:rPr>
        <w:lastRenderedPageBreak/>
        <w:t xml:space="preserve">appropriately credit the security deposit to her account at 1829 North Third, and again at the service address.  </w:t>
      </w:r>
      <w:r w:rsidR="009F7D9B">
        <w:rPr>
          <w:spacing w:val="-3"/>
          <w:sz w:val="24"/>
          <w:szCs w:val="24"/>
        </w:rPr>
        <w:t>C</w:t>
      </w:r>
      <w:r w:rsidR="005A4D6E">
        <w:rPr>
          <w:spacing w:val="-3"/>
          <w:sz w:val="24"/>
          <w:szCs w:val="24"/>
        </w:rPr>
        <w:t xml:space="preserve">omplainant testified Respondent mishandled payments she made while residing in two different addresses and failed to credit her account balance appropriately.  In addition, Complainant contends she made a security deposit in March 2011 which Respondent failed to handle properly and refuses to show that she made the payment.  </w:t>
      </w:r>
      <w:r w:rsidR="009F7D9B">
        <w:rPr>
          <w:spacing w:val="-3"/>
          <w:sz w:val="24"/>
          <w:szCs w:val="24"/>
        </w:rPr>
        <w:t xml:space="preserve">Ultimately, Complainant alleges Respondent failed to handle her service account appropriately and provided poor customer service.  </w:t>
      </w:r>
    </w:p>
    <w:p w:rsidR="005A4D6E" w:rsidRDefault="005A4D6E" w:rsidP="00A01BF0">
      <w:pPr>
        <w:tabs>
          <w:tab w:val="left" w:pos="-1440"/>
          <w:tab w:val="left" w:pos="-720"/>
        </w:tabs>
        <w:suppressAutoHyphens/>
        <w:rPr>
          <w:spacing w:val="-3"/>
          <w:sz w:val="24"/>
          <w:szCs w:val="24"/>
        </w:rPr>
      </w:pPr>
    </w:p>
    <w:p w:rsidR="005A4D6E" w:rsidRPr="005A4D6E" w:rsidRDefault="005A4D6E" w:rsidP="00A01BF0">
      <w:pPr>
        <w:tabs>
          <w:tab w:val="left" w:pos="-1440"/>
          <w:tab w:val="left" w:pos="-720"/>
        </w:tabs>
        <w:suppressAutoHyphens/>
        <w:rPr>
          <w:spacing w:val="-3"/>
          <w:sz w:val="24"/>
          <w:szCs w:val="24"/>
          <w:u w:val="single"/>
        </w:rPr>
      </w:pPr>
      <w:r w:rsidRPr="005A4D6E">
        <w:rPr>
          <w:spacing w:val="-3"/>
          <w:sz w:val="24"/>
          <w:szCs w:val="24"/>
          <w:u w:val="single"/>
        </w:rPr>
        <w:t>Respondent’s Position</w:t>
      </w:r>
    </w:p>
    <w:p w:rsidR="00A01BF0" w:rsidRDefault="00A01BF0" w:rsidP="00D3510C">
      <w:pPr>
        <w:rPr>
          <w:sz w:val="24"/>
          <w:szCs w:val="24"/>
        </w:rPr>
      </w:pPr>
    </w:p>
    <w:p w:rsidR="009F7D9B" w:rsidRDefault="009F7D9B" w:rsidP="00D3510C">
      <w:pPr>
        <w:rPr>
          <w:sz w:val="24"/>
          <w:szCs w:val="24"/>
        </w:rPr>
      </w:pPr>
      <w:r>
        <w:rPr>
          <w:sz w:val="24"/>
          <w:szCs w:val="24"/>
        </w:rPr>
        <w:tab/>
      </w:r>
      <w:r>
        <w:rPr>
          <w:sz w:val="24"/>
          <w:szCs w:val="24"/>
        </w:rPr>
        <w:tab/>
        <w:t>Respondent contends Complainant is trying to rewrite the rules on how security deposits are paid.  Respondent points out that Complainant already received one payment agreement from the Commission and she defaulted on that agreement.  Respondent alleges it terminated service in June 2013 because of how Complainant made or did not make payments on the account.  Finally, Respondent argues it correctly bill</w:t>
      </w:r>
      <w:r w:rsidR="0082726E">
        <w:rPr>
          <w:sz w:val="24"/>
          <w:szCs w:val="24"/>
        </w:rPr>
        <w:t>ed</w:t>
      </w:r>
      <w:r>
        <w:rPr>
          <w:sz w:val="24"/>
          <w:szCs w:val="24"/>
        </w:rPr>
        <w:t xml:space="preserve"> Complainant for natural gas she actually consumed and the formal complaint should be dismissed.</w:t>
      </w:r>
    </w:p>
    <w:p w:rsidR="005A4D6E" w:rsidRDefault="005A4D6E" w:rsidP="00D3510C">
      <w:pPr>
        <w:rPr>
          <w:sz w:val="24"/>
          <w:szCs w:val="24"/>
        </w:rPr>
      </w:pPr>
    </w:p>
    <w:p w:rsidR="00D3510C" w:rsidRPr="00A41132" w:rsidRDefault="00D3510C" w:rsidP="00D3510C">
      <w:pPr>
        <w:rPr>
          <w:sz w:val="24"/>
          <w:szCs w:val="24"/>
          <w:u w:val="single"/>
        </w:rPr>
      </w:pPr>
      <w:r w:rsidRPr="00A41132">
        <w:rPr>
          <w:sz w:val="24"/>
          <w:szCs w:val="24"/>
          <w:u w:val="single"/>
        </w:rPr>
        <w:t>Burden of Proof</w:t>
      </w:r>
    </w:p>
    <w:p w:rsidR="00A41132" w:rsidRPr="00A41132" w:rsidRDefault="00A41132" w:rsidP="00A41132">
      <w:pPr>
        <w:rPr>
          <w:sz w:val="24"/>
          <w:szCs w:val="24"/>
        </w:rPr>
      </w:pPr>
    </w:p>
    <w:p w:rsidR="00A41132" w:rsidRPr="00A41132" w:rsidRDefault="00A41132" w:rsidP="00A41132">
      <w:pPr>
        <w:ind w:firstLine="1440"/>
        <w:rPr>
          <w:sz w:val="24"/>
          <w:szCs w:val="24"/>
        </w:rPr>
      </w:pPr>
      <w:r w:rsidRPr="00A41132">
        <w:rPr>
          <w:sz w:val="24"/>
          <w:szCs w:val="24"/>
        </w:rPr>
        <w:t>As the party seeking affirmative relief from the Commission, Complainant bears the burden of provin</w:t>
      </w:r>
      <w:r>
        <w:rPr>
          <w:sz w:val="24"/>
          <w:szCs w:val="24"/>
        </w:rPr>
        <w:t xml:space="preserve">g by substantial evidence </w:t>
      </w:r>
      <w:r w:rsidR="0082726E">
        <w:rPr>
          <w:sz w:val="24"/>
          <w:szCs w:val="24"/>
        </w:rPr>
        <w:t>s</w:t>
      </w:r>
      <w:r w:rsidRPr="00A41132">
        <w:rPr>
          <w:sz w:val="24"/>
          <w:szCs w:val="24"/>
        </w:rPr>
        <w:t xml:space="preserve">he is entitled to the requested relief.  66 </w:t>
      </w:r>
      <w:proofErr w:type="spellStart"/>
      <w:r w:rsidRPr="00A41132">
        <w:rPr>
          <w:sz w:val="24"/>
          <w:szCs w:val="24"/>
        </w:rPr>
        <w:t>Pa.C.S.</w:t>
      </w:r>
      <w:r>
        <w:rPr>
          <w:sz w:val="24"/>
          <w:szCs w:val="24"/>
        </w:rPr>
        <w:t>A</w:t>
      </w:r>
      <w:proofErr w:type="spellEnd"/>
      <w:r>
        <w:rPr>
          <w:sz w:val="24"/>
          <w:szCs w:val="24"/>
        </w:rPr>
        <w:t>.</w:t>
      </w:r>
      <w:r w:rsidRPr="00A41132">
        <w:rPr>
          <w:sz w:val="24"/>
          <w:szCs w:val="24"/>
        </w:rPr>
        <w:t xml:space="preserve"> § 332(a).  To satisfy this burden, Complainant must show </w:t>
      </w:r>
      <w:r>
        <w:rPr>
          <w:sz w:val="24"/>
          <w:szCs w:val="24"/>
        </w:rPr>
        <w:t>Respondent utility</w:t>
      </w:r>
      <w:r w:rsidRPr="00A41132">
        <w:rPr>
          <w:sz w:val="24"/>
          <w:szCs w:val="24"/>
        </w:rPr>
        <w:t xml:space="preserve"> is responsible or accountable for the problem described.</w:t>
      </w:r>
      <w:r>
        <w:rPr>
          <w:rStyle w:val="FootnoteReference"/>
          <w:sz w:val="24"/>
          <w:szCs w:val="24"/>
        </w:rPr>
        <w:footnoteReference w:id="2"/>
      </w:r>
      <w:r w:rsidRPr="00A41132">
        <w:rPr>
          <w:sz w:val="24"/>
          <w:szCs w:val="24"/>
        </w:rPr>
        <w:t xml:space="preserve">  </w:t>
      </w:r>
      <w:r>
        <w:rPr>
          <w:sz w:val="24"/>
          <w:szCs w:val="24"/>
        </w:rPr>
        <w:t xml:space="preserve">Complainant must show this fact to be true </w:t>
      </w:r>
      <w:r w:rsidRPr="00A41132">
        <w:rPr>
          <w:sz w:val="24"/>
          <w:szCs w:val="24"/>
        </w:rPr>
        <w:t xml:space="preserve">by a preponderance of the evidence, that is, by presenting evidence more convincing, by even the smallest amount, than that </w:t>
      </w:r>
      <w:r>
        <w:rPr>
          <w:sz w:val="24"/>
          <w:szCs w:val="24"/>
        </w:rPr>
        <w:t xml:space="preserve">evidence </w:t>
      </w:r>
      <w:r w:rsidRPr="00A41132">
        <w:rPr>
          <w:sz w:val="24"/>
          <w:szCs w:val="24"/>
        </w:rPr>
        <w:t>presented by the other party.</w:t>
      </w:r>
      <w:r>
        <w:rPr>
          <w:rStyle w:val="FootnoteReference"/>
          <w:sz w:val="24"/>
          <w:szCs w:val="24"/>
        </w:rPr>
        <w:footnoteReference w:id="3"/>
      </w:r>
      <w:r w:rsidRPr="00A41132">
        <w:rPr>
          <w:sz w:val="24"/>
          <w:szCs w:val="24"/>
        </w:rPr>
        <w:t xml:space="preserve">  Additionally, any finding of fact necessary to support the Commission’s adjudication must be based upon substantial </w:t>
      </w:r>
      <w:r w:rsidRPr="00A41132">
        <w:rPr>
          <w:sz w:val="24"/>
          <w:szCs w:val="24"/>
        </w:rPr>
        <w:lastRenderedPageBreak/>
        <w:t>evidence.</w:t>
      </w:r>
      <w:r>
        <w:rPr>
          <w:rStyle w:val="FootnoteReference"/>
          <w:sz w:val="24"/>
          <w:szCs w:val="24"/>
        </w:rPr>
        <w:footnoteReference w:id="4"/>
      </w:r>
      <w:r w:rsidRPr="00A41132">
        <w:rPr>
          <w:sz w:val="24"/>
          <w:szCs w:val="24"/>
        </w:rPr>
        <w:t xml:space="preserve">  </w:t>
      </w:r>
      <w:r>
        <w:rPr>
          <w:sz w:val="24"/>
          <w:szCs w:val="24"/>
        </w:rPr>
        <w:t xml:space="preserve">Furthermore, more evidence </w:t>
      </w:r>
      <w:r w:rsidRPr="00A41132">
        <w:rPr>
          <w:sz w:val="24"/>
          <w:szCs w:val="24"/>
        </w:rPr>
        <w:t>is required than a mere trace of evidence or a suspicion of the existence of a fact sought to be established.</w:t>
      </w:r>
      <w:r>
        <w:rPr>
          <w:rStyle w:val="FootnoteReference"/>
          <w:sz w:val="24"/>
          <w:szCs w:val="24"/>
        </w:rPr>
        <w:footnoteReference w:id="5"/>
      </w:r>
      <w:r w:rsidRPr="00A41132">
        <w:rPr>
          <w:sz w:val="24"/>
          <w:szCs w:val="24"/>
        </w:rPr>
        <w:t xml:space="preserve">  </w:t>
      </w:r>
    </w:p>
    <w:p w:rsidR="00F54A66" w:rsidRPr="009F7D9B" w:rsidRDefault="00F54A66" w:rsidP="00F54A66">
      <w:pPr>
        <w:ind w:firstLine="1440"/>
        <w:rPr>
          <w:sz w:val="24"/>
          <w:szCs w:val="24"/>
        </w:rPr>
      </w:pPr>
    </w:p>
    <w:p w:rsidR="00F54A66" w:rsidRPr="009F7D9B" w:rsidRDefault="00F54A66" w:rsidP="00F54A66">
      <w:pPr>
        <w:rPr>
          <w:sz w:val="24"/>
          <w:szCs w:val="24"/>
          <w:u w:val="single"/>
        </w:rPr>
      </w:pPr>
      <w:r w:rsidRPr="009F7D9B">
        <w:rPr>
          <w:sz w:val="24"/>
          <w:szCs w:val="24"/>
          <w:u w:val="single"/>
        </w:rPr>
        <w:t>Applicable Statutes</w:t>
      </w:r>
    </w:p>
    <w:p w:rsidR="00F54A66" w:rsidRPr="009F7D9B" w:rsidRDefault="00F54A66" w:rsidP="00F54A66">
      <w:pPr>
        <w:rPr>
          <w:sz w:val="24"/>
          <w:szCs w:val="24"/>
          <w:u w:val="single"/>
        </w:rPr>
      </w:pPr>
    </w:p>
    <w:p w:rsidR="00F54A66" w:rsidRPr="009F7D9B" w:rsidRDefault="00F54A66" w:rsidP="00F54A66">
      <w:pPr>
        <w:rPr>
          <w:sz w:val="24"/>
          <w:szCs w:val="24"/>
        </w:rPr>
      </w:pPr>
      <w:r w:rsidRPr="009F7D9B">
        <w:rPr>
          <w:sz w:val="24"/>
          <w:szCs w:val="24"/>
        </w:rPr>
        <w:tab/>
      </w:r>
      <w:r w:rsidRPr="009F7D9B">
        <w:rPr>
          <w:sz w:val="24"/>
          <w:szCs w:val="24"/>
        </w:rPr>
        <w:tab/>
        <w:t xml:space="preserve">A violation of the Code may occur when a utility company fails to provide reasonable service, such as failure to correctly bill a customer.  </w:t>
      </w:r>
      <w:proofErr w:type="gramStart"/>
      <w:r w:rsidRPr="009F7D9B">
        <w:rPr>
          <w:sz w:val="24"/>
          <w:szCs w:val="24"/>
        </w:rPr>
        <w:t>The reasonable service requirement found in S</w:t>
      </w:r>
      <w:r w:rsidR="001B26D7">
        <w:rPr>
          <w:sz w:val="24"/>
          <w:szCs w:val="24"/>
        </w:rPr>
        <w:t xml:space="preserve">ection 1501 of the Code, 66 </w:t>
      </w:r>
      <w:proofErr w:type="spellStart"/>
      <w:r w:rsidR="001B26D7">
        <w:rPr>
          <w:sz w:val="24"/>
          <w:szCs w:val="24"/>
        </w:rPr>
        <w:t>Pa.</w:t>
      </w:r>
      <w:r w:rsidRPr="009F7D9B">
        <w:rPr>
          <w:sz w:val="24"/>
          <w:szCs w:val="24"/>
        </w:rPr>
        <w:t>C.S.</w:t>
      </w:r>
      <w:r w:rsidR="001B26D7">
        <w:rPr>
          <w:sz w:val="24"/>
          <w:szCs w:val="24"/>
        </w:rPr>
        <w:t>A</w:t>
      </w:r>
      <w:proofErr w:type="spellEnd"/>
      <w:r w:rsidR="001B26D7">
        <w:rPr>
          <w:sz w:val="24"/>
          <w:szCs w:val="24"/>
        </w:rPr>
        <w:t>.</w:t>
      </w:r>
      <w:proofErr w:type="gramEnd"/>
      <w:r w:rsidRPr="009F7D9B">
        <w:rPr>
          <w:sz w:val="24"/>
          <w:szCs w:val="24"/>
        </w:rPr>
        <w:t xml:space="preserve"> §</w:t>
      </w:r>
      <w:r w:rsidR="001B26D7">
        <w:rPr>
          <w:sz w:val="24"/>
          <w:szCs w:val="24"/>
        </w:rPr>
        <w:t xml:space="preserve"> </w:t>
      </w:r>
      <w:r w:rsidRPr="009F7D9B">
        <w:rPr>
          <w:sz w:val="24"/>
          <w:szCs w:val="24"/>
        </w:rPr>
        <w:t>1501, reads in pertinent part:</w:t>
      </w:r>
    </w:p>
    <w:p w:rsidR="00F54A66" w:rsidRPr="009F7D9B" w:rsidRDefault="00F54A66" w:rsidP="00F54A66">
      <w:pPr>
        <w:ind w:left="1440" w:right="1440"/>
        <w:rPr>
          <w:sz w:val="24"/>
          <w:szCs w:val="24"/>
        </w:rPr>
      </w:pPr>
    </w:p>
    <w:p w:rsidR="0082726E" w:rsidRDefault="00F54A66" w:rsidP="0082726E">
      <w:pPr>
        <w:spacing w:line="240" w:lineRule="auto"/>
        <w:ind w:left="1440" w:right="1440"/>
        <w:rPr>
          <w:sz w:val="24"/>
          <w:szCs w:val="24"/>
        </w:rPr>
      </w:pPr>
      <w:r w:rsidRPr="009F7D9B">
        <w:rPr>
          <w:sz w:val="24"/>
          <w:szCs w:val="24"/>
        </w:rPr>
        <w:t xml:space="preserve">Every public utility shall furnish and maintain adequate, efficient, safe, and reasonable service and facilities, and </w:t>
      </w:r>
      <w:r w:rsidRPr="009F7D9B">
        <w:rPr>
          <w:sz w:val="24"/>
          <w:szCs w:val="24"/>
          <w:u w:val="single"/>
        </w:rPr>
        <w:t>shall make all such</w:t>
      </w:r>
      <w:r w:rsidRPr="009F7D9B">
        <w:rPr>
          <w:sz w:val="24"/>
          <w:szCs w:val="24"/>
        </w:rPr>
        <w:t xml:space="preserve"> repairs, </w:t>
      </w:r>
      <w:r w:rsidRPr="009F7D9B">
        <w:rPr>
          <w:sz w:val="24"/>
          <w:szCs w:val="24"/>
          <w:u w:val="single"/>
        </w:rPr>
        <w:t>changes, alterations</w:t>
      </w:r>
      <w:r w:rsidRPr="009F7D9B">
        <w:rPr>
          <w:sz w:val="24"/>
          <w:szCs w:val="24"/>
        </w:rPr>
        <w:t xml:space="preserve">, substitutions, extensions, </w:t>
      </w:r>
      <w:r w:rsidRPr="009F7D9B">
        <w:rPr>
          <w:sz w:val="24"/>
          <w:szCs w:val="24"/>
          <w:u w:val="single"/>
        </w:rPr>
        <w:t>and improvements in or to such service and facilities as shall be necessary or proper for the accommodation, convenience, and safety of its patrons</w:t>
      </w:r>
      <w:r w:rsidRPr="009F7D9B">
        <w:rPr>
          <w:sz w:val="24"/>
          <w:szCs w:val="24"/>
        </w:rPr>
        <w:t xml:space="preserve">, employees, and the public.  Such service also shall be reasonably continuous and without unreasonable interruptions or delay.  Such service and facilities shall be in conformity with the regulations and orders of the commission.  </w:t>
      </w:r>
    </w:p>
    <w:p w:rsidR="00A06EBD" w:rsidRDefault="00A06EBD" w:rsidP="0082726E">
      <w:pPr>
        <w:spacing w:line="240" w:lineRule="auto"/>
        <w:ind w:left="1440" w:right="1440"/>
        <w:rPr>
          <w:sz w:val="24"/>
          <w:szCs w:val="24"/>
        </w:rPr>
      </w:pPr>
    </w:p>
    <w:p w:rsidR="00F54A66" w:rsidRPr="009F7D9B" w:rsidRDefault="00F54A66" w:rsidP="0082726E">
      <w:pPr>
        <w:spacing w:line="240" w:lineRule="auto"/>
        <w:ind w:left="1440" w:right="1440"/>
        <w:rPr>
          <w:sz w:val="24"/>
          <w:szCs w:val="24"/>
        </w:rPr>
      </w:pPr>
      <w:r w:rsidRPr="009F7D9B">
        <w:rPr>
          <w:sz w:val="24"/>
          <w:szCs w:val="24"/>
        </w:rPr>
        <w:t>(Emphasis added).</w:t>
      </w:r>
    </w:p>
    <w:p w:rsidR="00F54A66" w:rsidRDefault="00F54A66" w:rsidP="0082726E">
      <w:pPr>
        <w:spacing w:line="240" w:lineRule="auto"/>
        <w:rPr>
          <w:sz w:val="24"/>
          <w:szCs w:val="24"/>
        </w:rPr>
      </w:pPr>
    </w:p>
    <w:p w:rsidR="0082726E" w:rsidRPr="009F7D9B" w:rsidRDefault="0082726E" w:rsidP="0082726E">
      <w:pPr>
        <w:spacing w:line="240" w:lineRule="auto"/>
        <w:rPr>
          <w:sz w:val="24"/>
          <w:szCs w:val="24"/>
        </w:rPr>
      </w:pPr>
    </w:p>
    <w:p w:rsidR="00F54A66" w:rsidRPr="009F7D9B" w:rsidRDefault="00F54A66" w:rsidP="00F54A66">
      <w:pPr>
        <w:rPr>
          <w:sz w:val="24"/>
          <w:szCs w:val="24"/>
        </w:rPr>
      </w:pPr>
      <w:r w:rsidRPr="009F7D9B">
        <w:rPr>
          <w:sz w:val="24"/>
          <w:szCs w:val="24"/>
        </w:rPr>
        <w:tab/>
      </w:r>
      <w:r w:rsidRPr="009F7D9B">
        <w:rPr>
          <w:sz w:val="24"/>
          <w:szCs w:val="24"/>
        </w:rPr>
        <w:tab/>
        <w:t xml:space="preserve">Additionally, the Commission has exclusive jurisdiction to determine the reasonableness, adequacy and sufficiency of a public utility’s services and facilities.  </w:t>
      </w:r>
      <w:proofErr w:type="gramStart"/>
      <w:r w:rsidRPr="001B26D7">
        <w:rPr>
          <w:sz w:val="24"/>
          <w:szCs w:val="24"/>
          <w:u w:val="single"/>
        </w:rPr>
        <w:t>Elkin v. Bell of Pa.</w:t>
      </w:r>
      <w:r w:rsidRPr="009F7D9B">
        <w:rPr>
          <w:sz w:val="24"/>
          <w:szCs w:val="24"/>
        </w:rPr>
        <w:t>, 491 Pa. 123, 420 A.2d 371 (1980).</w:t>
      </w:r>
      <w:proofErr w:type="gramEnd"/>
      <w:r w:rsidRPr="009F7D9B">
        <w:rPr>
          <w:sz w:val="24"/>
          <w:szCs w:val="24"/>
        </w:rPr>
        <w:t xml:space="preserve">  The term “service” is “used in its broadest and most inclusive sense, </w:t>
      </w:r>
      <w:proofErr w:type="spellStart"/>
      <w:r w:rsidRPr="009F7D9B">
        <w:rPr>
          <w:sz w:val="24"/>
          <w:szCs w:val="24"/>
        </w:rPr>
        <w:t>includ</w:t>
      </w:r>
      <w:proofErr w:type="spellEnd"/>
      <w:r w:rsidRPr="009F7D9B">
        <w:rPr>
          <w:sz w:val="24"/>
          <w:szCs w:val="24"/>
        </w:rPr>
        <w:t>[</w:t>
      </w:r>
      <w:proofErr w:type="spellStart"/>
      <w:r w:rsidRPr="009F7D9B">
        <w:rPr>
          <w:sz w:val="24"/>
          <w:szCs w:val="24"/>
        </w:rPr>
        <w:t>ing</w:t>
      </w:r>
      <w:proofErr w:type="spellEnd"/>
      <w:r w:rsidRPr="009F7D9B">
        <w:rPr>
          <w:sz w:val="24"/>
          <w:szCs w:val="24"/>
        </w:rPr>
        <w:t>] any and all acts done, rendered, or performed, and any and all things furnished or supplied...by public utilities...in the performance of their duties under [the Pu</w:t>
      </w:r>
      <w:r w:rsidR="001B26D7">
        <w:rPr>
          <w:sz w:val="24"/>
          <w:szCs w:val="24"/>
        </w:rPr>
        <w:t xml:space="preserve">blic Utility Code]....”  66 </w:t>
      </w:r>
      <w:proofErr w:type="spellStart"/>
      <w:r w:rsidR="001B26D7">
        <w:rPr>
          <w:sz w:val="24"/>
          <w:szCs w:val="24"/>
        </w:rPr>
        <w:t>Pa.</w:t>
      </w:r>
      <w:r w:rsidRPr="009F7D9B">
        <w:rPr>
          <w:sz w:val="24"/>
          <w:szCs w:val="24"/>
        </w:rPr>
        <w:t>C.S.</w:t>
      </w:r>
      <w:r w:rsidR="001B26D7">
        <w:rPr>
          <w:sz w:val="24"/>
          <w:szCs w:val="24"/>
        </w:rPr>
        <w:t>A</w:t>
      </w:r>
      <w:proofErr w:type="spellEnd"/>
      <w:r w:rsidR="001B26D7">
        <w:rPr>
          <w:sz w:val="24"/>
          <w:szCs w:val="24"/>
        </w:rPr>
        <w:t>.</w:t>
      </w:r>
      <w:r w:rsidRPr="009F7D9B">
        <w:rPr>
          <w:sz w:val="24"/>
          <w:szCs w:val="24"/>
        </w:rPr>
        <w:t xml:space="preserve"> §</w:t>
      </w:r>
      <w:r w:rsidR="001B26D7">
        <w:rPr>
          <w:sz w:val="24"/>
          <w:szCs w:val="24"/>
        </w:rPr>
        <w:t xml:space="preserve"> </w:t>
      </w:r>
      <w:r w:rsidRPr="009F7D9B">
        <w:rPr>
          <w:sz w:val="24"/>
          <w:szCs w:val="24"/>
        </w:rPr>
        <w:t>102.  Thus a utility company’s practice of billing its customers must be reasonable, adequate and sufficient.</w:t>
      </w:r>
    </w:p>
    <w:p w:rsidR="00F54A66" w:rsidRPr="009F7D9B" w:rsidRDefault="00F54A66" w:rsidP="00F54A66">
      <w:pPr>
        <w:rPr>
          <w:sz w:val="24"/>
          <w:szCs w:val="24"/>
        </w:rPr>
      </w:pPr>
      <w:r w:rsidRPr="009F7D9B">
        <w:rPr>
          <w:sz w:val="24"/>
          <w:szCs w:val="24"/>
        </w:rPr>
        <w:t xml:space="preserve"> </w:t>
      </w:r>
    </w:p>
    <w:p w:rsidR="00F54A66" w:rsidRPr="009F7D9B" w:rsidRDefault="00F54A66" w:rsidP="00F54A66">
      <w:pPr>
        <w:rPr>
          <w:sz w:val="24"/>
          <w:szCs w:val="24"/>
        </w:rPr>
      </w:pPr>
      <w:r w:rsidRPr="009F7D9B">
        <w:rPr>
          <w:sz w:val="24"/>
          <w:szCs w:val="24"/>
        </w:rPr>
        <w:lastRenderedPageBreak/>
        <w:tab/>
      </w:r>
      <w:r w:rsidRPr="009F7D9B">
        <w:rPr>
          <w:sz w:val="24"/>
          <w:szCs w:val="24"/>
        </w:rPr>
        <w:tab/>
        <w:t>Billing procedures for public utilities are governed by Se</w:t>
      </w:r>
      <w:r w:rsidR="001B26D7">
        <w:rPr>
          <w:sz w:val="24"/>
          <w:szCs w:val="24"/>
        </w:rPr>
        <w:t xml:space="preserve">ction 1509 of the Code.  </w:t>
      </w:r>
      <w:proofErr w:type="gramStart"/>
      <w:r w:rsidR="001B26D7">
        <w:rPr>
          <w:sz w:val="24"/>
          <w:szCs w:val="24"/>
        </w:rPr>
        <w:t xml:space="preserve">66 </w:t>
      </w:r>
      <w:proofErr w:type="spellStart"/>
      <w:r w:rsidR="001B26D7">
        <w:rPr>
          <w:sz w:val="24"/>
          <w:szCs w:val="24"/>
        </w:rPr>
        <w:t>Pa.</w:t>
      </w:r>
      <w:r w:rsidRPr="009F7D9B">
        <w:rPr>
          <w:sz w:val="24"/>
          <w:szCs w:val="24"/>
        </w:rPr>
        <w:t>C.S.</w:t>
      </w:r>
      <w:r w:rsidR="001B26D7">
        <w:rPr>
          <w:sz w:val="24"/>
          <w:szCs w:val="24"/>
        </w:rPr>
        <w:t>A</w:t>
      </w:r>
      <w:proofErr w:type="spellEnd"/>
      <w:r w:rsidR="001B26D7">
        <w:rPr>
          <w:sz w:val="24"/>
          <w:szCs w:val="24"/>
        </w:rPr>
        <w:t>.</w:t>
      </w:r>
      <w:proofErr w:type="gramEnd"/>
      <w:r w:rsidRPr="009F7D9B">
        <w:rPr>
          <w:sz w:val="24"/>
          <w:szCs w:val="24"/>
        </w:rPr>
        <w:t xml:space="preserve"> §</w:t>
      </w:r>
      <w:r w:rsidR="001B26D7">
        <w:rPr>
          <w:sz w:val="24"/>
          <w:szCs w:val="24"/>
        </w:rPr>
        <w:t xml:space="preserve"> </w:t>
      </w:r>
      <w:r w:rsidRPr="009F7D9B">
        <w:rPr>
          <w:sz w:val="24"/>
          <w:szCs w:val="24"/>
        </w:rPr>
        <w:t>1509.  This section, in relevant part, states:</w:t>
      </w:r>
    </w:p>
    <w:p w:rsidR="00F54A66" w:rsidRPr="009F7D9B" w:rsidRDefault="00F54A66" w:rsidP="00A16CBC">
      <w:pPr>
        <w:spacing w:line="240" w:lineRule="auto"/>
        <w:rPr>
          <w:sz w:val="24"/>
          <w:szCs w:val="24"/>
        </w:rPr>
      </w:pPr>
    </w:p>
    <w:p w:rsidR="00F54A66" w:rsidRPr="009F7D9B" w:rsidRDefault="00F54A66" w:rsidP="00A16CBC">
      <w:pPr>
        <w:spacing w:line="240" w:lineRule="auto"/>
        <w:ind w:left="1440" w:right="1080"/>
        <w:contextualSpacing/>
        <w:rPr>
          <w:sz w:val="24"/>
          <w:szCs w:val="24"/>
        </w:rPr>
      </w:pPr>
      <w:r w:rsidRPr="009F7D9B">
        <w:rPr>
          <w:sz w:val="24"/>
          <w:szCs w:val="24"/>
        </w:rPr>
        <w:t>All customers shall be permitted to receive bills monthly and shall be notified of their right thereto.  All bills shall be itemized to separately show amounts for basic service, Federal excise taxes, applicable State sales and gross receipts taxes, to the extent practicable, fuel adjustment charge, if any, State tax adjustment charge or such other similar components of the total bill as the commission may order.</w:t>
      </w:r>
    </w:p>
    <w:p w:rsidR="00F54A66" w:rsidRDefault="00F54A66" w:rsidP="00A16CBC">
      <w:pPr>
        <w:spacing w:line="240" w:lineRule="auto"/>
        <w:rPr>
          <w:sz w:val="24"/>
          <w:szCs w:val="24"/>
          <w:u w:val="single"/>
        </w:rPr>
      </w:pPr>
    </w:p>
    <w:p w:rsidR="00A16CBC" w:rsidRPr="009F7D9B" w:rsidRDefault="00A16CBC" w:rsidP="00A16CBC">
      <w:pPr>
        <w:spacing w:line="240" w:lineRule="auto"/>
        <w:rPr>
          <w:sz w:val="24"/>
          <w:szCs w:val="24"/>
          <w:u w:val="single"/>
        </w:rPr>
      </w:pPr>
    </w:p>
    <w:p w:rsidR="00F54A66" w:rsidRPr="009F7D9B" w:rsidRDefault="00F54A66" w:rsidP="00F54A66">
      <w:pPr>
        <w:rPr>
          <w:sz w:val="24"/>
          <w:szCs w:val="24"/>
        </w:rPr>
      </w:pPr>
      <w:r w:rsidRPr="009F7D9B">
        <w:rPr>
          <w:sz w:val="24"/>
          <w:szCs w:val="24"/>
        </w:rPr>
        <w:tab/>
      </w:r>
      <w:r w:rsidRPr="009F7D9B">
        <w:rPr>
          <w:sz w:val="24"/>
          <w:szCs w:val="24"/>
        </w:rPr>
        <w:tab/>
        <w:t>Chapter 56 of the Commission’s regulations, Standards and Billing Practices for Residential Utility Service, requires public utilities to include certain informat</w:t>
      </w:r>
      <w:r w:rsidR="001B26D7">
        <w:rPr>
          <w:sz w:val="24"/>
          <w:szCs w:val="24"/>
        </w:rPr>
        <w:t xml:space="preserve">ion in customers’ bills. </w:t>
      </w:r>
      <w:proofErr w:type="gramStart"/>
      <w:r w:rsidR="001B26D7">
        <w:rPr>
          <w:sz w:val="24"/>
          <w:szCs w:val="24"/>
        </w:rPr>
        <w:t xml:space="preserve">52 </w:t>
      </w:r>
      <w:proofErr w:type="spellStart"/>
      <w:r w:rsidR="001B26D7">
        <w:rPr>
          <w:sz w:val="24"/>
          <w:szCs w:val="24"/>
        </w:rPr>
        <w:t>Pa.</w:t>
      </w:r>
      <w:r w:rsidRPr="009F7D9B">
        <w:rPr>
          <w:sz w:val="24"/>
          <w:szCs w:val="24"/>
        </w:rPr>
        <w:t>Code</w:t>
      </w:r>
      <w:proofErr w:type="spellEnd"/>
      <w:r w:rsidRPr="009F7D9B">
        <w:rPr>
          <w:sz w:val="24"/>
          <w:szCs w:val="24"/>
        </w:rPr>
        <w:t xml:space="preserve"> §</w:t>
      </w:r>
      <w:r w:rsidR="001B26D7">
        <w:rPr>
          <w:sz w:val="24"/>
          <w:szCs w:val="24"/>
        </w:rPr>
        <w:t xml:space="preserve"> </w:t>
      </w:r>
      <w:r w:rsidRPr="009F7D9B">
        <w:rPr>
          <w:sz w:val="24"/>
          <w:szCs w:val="24"/>
        </w:rPr>
        <w:t xml:space="preserve">56.1, </w:t>
      </w:r>
      <w:r w:rsidRPr="009F7D9B">
        <w:rPr>
          <w:i/>
          <w:sz w:val="24"/>
          <w:szCs w:val="24"/>
        </w:rPr>
        <w:t>et seq</w:t>
      </w:r>
      <w:r w:rsidRPr="009F7D9B">
        <w:rPr>
          <w:sz w:val="24"/>
          <w:szCs w:val="24"/>
        </w:rPr>
        <w:t>.</w:t>
      </w:r>
      <w:proofErr w:type="gramEnd"/>
      <w:r w:rsidRPr="009F7D9B">
        <w:rPr>
          <w:sz w:val="24"/>
          <w:szCs w:val="24"/>
        </w:rPr>
        <w:t xml:space="preserve">  Section 56.15 of the regulations provides in relevant part:</w:t>
      </w:r>
    </w:p>
    <w:p w:rsidR="00F54A66" w:rsidRPr="009F7D9B" w:rsidRDefault="00F54A66" w:rsidP="00F54A66">
      <w:pPr>
        <w:rPr>
          <w:sz w:val="24"/>
          <w:szCs w:val="24"/>
        </w:rPr>
      </w:pPr>
    </w:p>
    <w:p w:rsidR="00F54A66" w:rsidRPr="009F7D9B" w:rsidRDefault="00F54A66" w:rsidP="00F54A66">
      <w:pPr>
        <w:ind w:left="1440" w:right="634"/>
        <w:contextualSpacing/>
        <w:rPr>
          <w:sz w:val="24"/>
          <w:szCs w:val="24"/>
        </w:rPr>
      </w:pPr>
      <w:r w:rsidRPr="009F7D9B">
        <w:rPr>
          <w:sz w:val="24"/>
          <w:szCs w:val="24"/>
        </w:rPr>
        <w:tab/>
        <w:t>A bill rendered by a utility for metered residential utility service shall state clearly the following information:</w:t>
      </w:r>
    </w:p>
    <w:p w:rsidR="00F54A66" w:rsidRPr="009F7D9B" w:rsidRDefault="00F54A66" w:rsidP="009D6599">
      <w:pPr>
        <w:spacing w:line="240" w:lineRule="auto"/>
        <w:ind w:left="1440" w:right="634"/>
        <w:contextualSpacing/>
        <w:rPr>
          <w:sz w:val="24"/>
          <w:szCs w:val="24"/>
        </w:rPr>
      </w:pPr>
    </w:p>
    <w:p w:rsidR="00F54A66" w:rsidRPr="009F7D9B" w:rsidRDefault="00F54A66" w:rsidP="00884531">
      <w:pPr>
        <w:spacing w:line="276" w:lineRule="auto"/>
        <w:ind w:left="1440" w:right="634"/>
        <w:contextualSpacing/>
        <w:rPr>
          <w:sz w:val="24"/>
          <w:szCs w:val="24"/>
        </w:rPr>
      </w:pPr>
      <w:r w:rsidRPr="009F7D9B">
        <w:rPr>
          <w:sz w:val="24"/>
          <w:szCs w:val="24"/>
        </w:rPr>
        <w:tab/>
      </w:r>
      <w:r w:rsidRPr="009F7D9B">
        <w:rPr>
          <w:sz w:val="24"/>
          <w:szCs w:val="24"/>
        </w:rPr>
        <w:tab/>
        <w:t>(4)</w:t>
      </w:r>
      <w:r w:rsidRPr="009F7D9B">
        <w:rPr>
          <w:sz w:val="24"/>
          <w:szCs w:val="24"/>
        </w:rPr>
        <w:tab/>
        <w:t>The amount due for service rendered during the current billing period, specifying the charge for basic service, the energy or fuel adjustment charge, State tax adjustment surcharge if other than zero, State sales tax if applicable and other similar charges. The bill should also indicate that a State gross receipts tax is being charged and a reasonable estimate of the charge.  ….</w:t>
      </w:r>
    </w:p>
    <w:p w:rsidR="00F54A66" w:rsidRPr="009F7D9B" w:rsidRDefault="00F54A66" w:rsidP="00F54A66">
      <w:pPr>
        <w:ind w:left="1440" w:right="634"/>
        <w:contextualSpacing/>
        <w:rPr>
          <w:sz w:val="24"/>
          <w:szCs w:val="24"/>
        </w:rPr>
      </w:pPr>
    </w:p>
    <w:p w:rsidR="00F54A66" w:rsidRPr="009F7D9B" w:rsidRDefault="00F54A66" w:rsidP="00F54A66">
      <w:pPr>
        <w:ind w:left="1440" w:right="634"/>
        <w:contextualSpacing/>
        <w:rPr>
          <w:sz w:val="24"/>
          <w:szCs w:val="24"/>
        </w:rPr>
      </w:pPr>
      <w:r w:rsidRPr="009F7D9B">
        <w:rPr>
          <w:sz w:val="24"/>
          <w:szCs w:val="24"/>
        </w:rPr>
        <w:tab/>
      </w:r>
      <w:r w:rsidRPr="009F7D9B">
        <w:rPr>
          <w:sz w:val="24"/>
          <w:szCs w:val="24"/>
        </w:rPr>
        <w:tab/>
        <w:t>….</w:t>
      </w:r>
    </w:p>
    <w:p w:rsidR="00F54A66" w:rsidRPr="009F7D9B" w:rsidRDefault="00F54A66" w:rsidP="00F54A66">
      <w:pPr>
        <w:ind w:left="1440" w:right="634"/>
        <w:contextualSpacing/>
        <w:rPr>
          <w:sz w:val="24"/>
          <w:szCs w:val="24"/>
        </w:rPr>
      </w:pPr>
    </w:p>
    <w:p w:rsidR="00F54A66" w:rsidRDefault="00F54A66" w:rsidP="00A36F77">
      <w:pPr>
        <w:spacing w:line="240" w:lineRule="auto"/>
        <w:ind w:left="1440" w:right="634"/>
        <w:contextualSpacing/>
        <w:rPr>
          <w:sz w:val="24"/>
          <w:szCs w:val="24"/>
        </w:rPr>
      </w:pPr>
      <w:r w:rsidRPr="009F7D9B">
        <w:rPr>
          <w:sz w:val="24"/>
          <w:szCs w:val="24"/>
        </w:rPr>
        <w:tab/>
      </w:r>
      <w:r w:rsidRPr="009F7D9B">
        <w:rPr>
          <w:sz w:val="24"/>
          <w:szCs w:val="24"/>
        </w:rPr>
        <w:tab/>
        <w:t>(7)</w:t>
      </w:r>
      <w:r w:rsidRPr="009F7D9B">
        <w:rPr>
          <w:sz w:val="24"/>
          <w:szCs w:val="24"/>
        </w:rPr>
        <w:tab/>
        <w:t>The total amount of payments and other credits made to the account during the current billing period.</w:t>
      </w:r>
    </w:p>
    <w:p w:rsidR="00A36F77" w:rsidRPr="009F7D9B" w:rsidRDefault="00A36F77" w:rsidP="00A36F77">
      <w:pPr>
        <w:spacing w:line="240" w:lineRule="auto"/>
        <w:ind w:left="1440" w:right="634"/>
        <w:contextualSpacing/>
        <w:rPr>
          <w:sz w:val="24"/>
          <w:szCs w:val="24"/>
        </w:rPr>
      </w:pPr>
    </w:p>
    <w:p w:rsidR="00F54A66" w:rsidRPr="009F7D9B" w:rsidRDefault="00F54A66" w:rsidP="00F54A66">
      <w:pPr>
        <w:ind w:left="1440" w:right="634"/>
        <w:contextualSpacing/>
        <w:rPr>
          <w:sz w:val="24"/>
          <w:szCs w:val="24"/>
        </w:rPr>
      </w:pPr>
      <w:r w:rsidRPr="009F7D9B">
        <w:rPr>
          <w:sz w:val="24"/>
          <w:szCs w:val="24"/>
        </w:rPr>
        <w:tab/>
      </w:r>
      <w:r w:rsidRPr="009F7D9B">
        <w:rPr>
          <w:sz w:val="24"/>
          <w:szCs w:val="24"/>
        </w:rPr>
        <w:tab/>
        <w:t>….</w:t>
      </w:r>
    </w:p>
    <w:p w:rsidR="00F54A66" w:rsidRPr="009F7D9B" w:rsidRDefault="00F54A66" w:rsidP="00F54A66">
      <w:pPr>
        <w:ind w:left="1440" w:right="634"/>
        <w:contextualSpacing/>
        <w:rPr>
          <w:sz w:val="24"/>
          <w:szCs w:val="24"/>
        </w:rPr>
      </w:pPr>
    </w:p>
    <w:p w:rsidR="00F54A66" w:rsidRPr="009F7D9B" w:rsidRDefault="00F54A66" w:rsidP="00F54A66">
      <w:pPr>
        <w:ind w:left="1440" w:right="634"/>
        <w:contextualSpacing/>
        <w:rPr>
          <w:sz w:val="24"/>
          <w:szCs w:val="24"/>
        </w:rPr>
      </w:pPr>
      <w:r w:rsidRPr="009F7D9B">
        <w:rPr>
          <w:sz w:val="24"/>
          <w:szCs w:val="24"/>
        </w:rPr>
        <w:tab/>
      </w:r>
      <w:r w:rsidRPr="009F7D9B">
        <w:rPr>
          <w:sz w:val="24"/>
          <w:szCs w:val="24"/>
        </w:rPr>
        <w:tab/>
        <w:t>(9)</w:t>
      </w:r>
      <w:r w:rsidRPr="009F7D9B">
        <w:rPr>
          <w:sz w:val="24"/>
          <w:szCs w:val="24"/>
        </w:rPr>
        <w:tab/>
        <w:t>The total amount due.</w:t>
      </w:r>
    </w:p>
    <w:p w:rsidR="00F54A66" w:rsidRDefault="00F54A66" w:rsidP="00F54A66">
      <w:pPr>
        <w:pStyle w:val="Style0"/>
        <w:tabs>
          <w:tab w:val="left" w:pos="-1080"/>
          <w:tab w:val="left" w:pos="-720"/>
        </w:tabs>
        <w:spacing w:line="360" w:lineRule="auto"/>
        <w:rPr>
          <w:rFonts w:ascii="Times New Roman" w:eastAsia="Batang" w:hAnsi="Times New Roman"/>
          <w:szCs w:val="24"/>
        </w:rPr>
      </w:pPr>
    </w:p>
    <w:p w:rsidR="00A36F77" w:rsidRDefault="00A36F77" w:rsidP="00F54A66">
      <w:pPr>
        <w:pStyle w:val="Style0"/>
        <w:tabs>
          <w:tab w:val="left" w:pos="-1080"/>
          <w:tab w:val="left" w:pos="-720"/>
        </w:tabs>
        <w:spacing w:line="360" w:lineRule="auto"/>
        <w:rPr>
          <w:rFonts w:ascii="Times New Roman" w:eastAsia="Batang" w:hAnsi="Times New Roman"/>
          <w:szCs w:val="24"/>
        </w:rPr>
      </w:pPr>
    </w:p>
    <w:p w:rsidR="00A36F77" w:rsidRDefault="00A36F77" w:rsidP="00F54A66">
      <w:pPr>
        <w:pStyle w:val="Style0"/>
        <w:tabs>
          <w:tab w:val="left" w:pos="-1080"/>
          <w:tab w:val="left" w:pos="-720"/>
        </w:tabs>
        <w:spacing w:line="360" w:lineRule="auto"/>
        <w:rPr>
          <w:rFonts w:ascii="Times New Roman" w:eastAsia="Batang" w:hAnsi="Times New Roman"/>
          <w:szCs w:val="24"/>
        </w:rPr>
      </w:pPr>
    </w:p>
    <w:p w:rsidR="00A36F77" w:rsidRDefault="00A36F77" w:rsidP="00F54A66">
      <w:pPr>
        <w:pStyle w:val="Style0"/>
        <w:tabs>
          <w:tab w:val="left" w:pos="-1080"/>
          <w:tab w:val="left" w:pos="-720"/>
        </w:tabs>
        <w:spacing w:line="360" w:lineRule="auto"/>
        <w:rPr>
          <w:rFonts w:ascii="Times New Roman" w:eastAsia="Batang" w:hAnsi="Times New Roman"/>
          <w:szCs w:val="24"/>
        </w:rPr>
      </w:pPr>
    </w:p>
    <w:p w:rsidR="009F7D9B" w:rsidRPr="009F7D9B" w:rsidRDefault="009F7D9B" w:rsidP="00F54A66">
      <w:pPr>
        <w:pStyle w:val="Style0"/>
        <w:tabs>
          <w:tab w:val="left" w:pos="-1080"/>
          <w:tab w:val="left" w:pos="-720"/>
        </w:tabs>
        <w:spacing w:line="360" w:lineRule="auto"/>
        <w:rPr>
          <w:rFonts w:ascii="Times New Roman" w:eastAsia="Batang" w:hAnsi="Times New Roman"/>
          <w:szCs w:val="24"/>
          <w:u w:val="single"/>
        </w:rPr>
      </w:pPr>
      <w:r w:rsidRPr="009F7D9B">
        <w:rPr>
          <w:rFonts w:ascii="Times New Roman" w:eastAsia="Batang" w:hAnsi="Times New Roman"/>
          <w:szCs w:val="24"/>
          <w:u w:val="single"/>
        </w:rPr>
        <w:lastRenderedPageBreak/>
        <w:t>Analysis</w:t>
      </w:r>
    </w:p>
    <w:p w:rsidR="009F7D9B" w:rsidRDefault="009F7D9B" w:rsidP="00F54A66">
      <w:pPr>
        <w:pStyle w:val="Style0"/>
        <w:tabs>
          <w:tab w:val="left" w:pos="-1080"/>
          <w:tab w:val="left" w:pos="-720"/>
        </w:tabs>
        <w:spacing w:line="360" w:lineRule="auto"/>
        <w:rPr>
          <w:rFonts w:ascii="Times New Roman" w:eastAsia="Batang" w:hAnsi="Times New Roman"/>
          <w:szCs w:val="24"/>
        </w:rPr>
      </w:pPr>
    </w:p>
    <w:p w:rsidR="009F7D9B" w:rsidRDefault="001B26D7" w:rsidP="00F54A66">
      <w:pPr>
        <w:pStyle w:val="Style0"/>
        <w:tabs>
          <w:tab w:val="left" w:pos="-1080"/>
          <w:tab w:val="left" w:pos="-720"/>
        </w:tabs>
        <w:spacing w:line="360" w:lineRule="auto"/>
        <w:rPr>
          <w:rFonts w:ascii="Times New Roman" w:eastAsia="Batang" w:hAnsi="Times New Roman"/>
          <w:szCs w:val="24"/>
        </w:rPr>
      </w:pPr>
      <w:r>
        <w:rPr>
          <w:rFonts w:ascii="Times New Roman" w:eastAsia="Batang" w:hAnsi="Times New Roman"/>
          <w:szCs w:val="24"/>
        </w:rPr>
        <w:tab/>
      </w:r>
      <w:r>
        <w:rPr>
          <w:rFonts w:ascii="Times New Roman" w:eastAsia="Batang" w:hAnsi="Times New Roman"/>
          <w:szCs w:val="24"/>
        </w:rPr>
        <w:tab/>
        <w:t>The formal complaint alleges the public utility made various errors in how payments were credited and in the public utility’s decision to terminate service in June 2013.</w:t>
      </w:r>
      <w:r>
        <w:rPr>
          <w:rStyle w:val="FootnoteReference"/>
          <w:rFonts w:ascii="Times New Roman" w:eastAsia="Batang" w:hAnsi="Times New Roman"/>
          <w:szCs w:val="24"/>
        </w:rPr>
        <w:footnoteReference w:id="6"/>
      </w:r>
      <w:r>
        <w:rPr>
          <w:rFonts w:ascii="Times New Roman" w:eastAsia="Batang" w:hAnsi="Times New Roman"/>
          <w:szCs w:val="24"/>
        </w:rPr>
        <w:t xml:space="preserve">  After reviewing the evidence presented by Complainant and considering the testimony of Respondent’s witness, Complainant failed to meet her burden of proving </w:t>
      </w:r>
      <w:r w:rsidR="006902C1">
        <w:rPr>
          <w:rFonts w:ascii="Times New Roman" w:eastAsia="Batang" w:hAnsi="Times New Roman"/>
          <w:szCs w:val="24"/>
        </w:rPr>
        <w:t xml:space="preserve">Respondent handled her account inappropriately or incorrectly.  </w:t>
      </w:r>
    </w:p>
    <w:p w:rsidR="006902C1" w:rsidRDefault="006902C1" w:rsidP="00F54A66">
      <w:pPr>
        <w:pStyle w:val="Style0"/>
        <w:tabs>
          <w:tab w:val="left" w:pos="-1080"/>
          <w:tab w:val="left" w:pos="-720"/>
        </w:tabs>
        <w:spacing w:line="360" w:lineRule="auto"/>
        <w:rPr>
          <w:rFonts w:ascii="Times New Roman" w:eastAsia="Batang" w:hAnsi="Times New Roman"/>
          <w:szCs w:val="24"/>
        </w:rPr>
      </w:pPr>
    </w:p>
    <w:p w:rsidR="006902C1" w:rsidRDefault="006902C1" w:rsidP="00F54A66">
      <w:pPr>
        <w:pStyle w:val="Style0"/>
        <w:tabs>
          <w:tab w:val="left" w:pos="-1080"/>
          <w:tab w:val="left" w:pos="-720"/>
        </w:tabs>
        <w:spacing w:line="360" w:lineRule="auto"/>
        <w:rPr>
          <w:rFonts w:ascii="Times New Roman" w:eastAsia="Batang" w:hAnsi="Times New Roman"/>
          <w:szCs w:val="24"/>
        </w:rPr>
      </w:pPr>
      <w:r>
        <w:rPr>
          <w:rFonts w:ascii="Times New Roman" w:eastAsia="Batang" w:hAnsi="Times New Roman"/>
          <w:szCs w:val="24"/>
        </w:rPr>
        <w:tab/>
      </w:r>
      <w:r>
        <w:rPr>
          <w:rFonts w:ascii="Times New Roman" w:eastAsia="Batang" w:hAnsi="Times New Roman"/>
          <w:szCs w:val="24"/>
        </w:rPr>
        <w:tab/>
        <w:t xml:space="preserve">Complainant made numerous partial payments to Respondent after moving into the service address in December 2012.  The money orders Complainant used to pay Respondent did not clearly ear-mark the payments were intended to pay for the security deposit versus to pay down the account balance.  The exhibits Complainant provided at the hearing show money order payments </w:t>
      </w:r>
      <w:r w:rsidR="00DF7474">
        <w:rPr>
          <w:rFonts w:ascii="Times New Roman" w:eastAsia="Batang" w:hAnsi="Times New Roman"/>
          <w:szCs w:val="24"/>
        </w:rPr>
        <w:t>with</w:t>
      </w:r>
      <w:r>
        <w:rPr>
          <w:rFonts w:ascii="Times New Roman" w:eastAsia="Batang" w:hAnsi="Times New Roman"/>
          <w:szCs w:val="24"/>
        </w:rPr>
        <w:t xml:space="preserve"> handwritten notations but there was no evidence provided that the notations were made before the money orders were sent.  Therefore, there is no proof Complainant told Respondent how to credit the monies received.  Respondent was not in error to credit the monies received to either the security deposit or to pay down the unpaid balance, as both those sums were due and owing by Complainant.  </w:t>
      </w:r>
    </w:p>
    <w:p w:rsidR="006902C1" w:rsidRDefault="006902C1" w:rsidP="00F54A66">
      <w:pPr>
        <w:pStyle w:val="Style0"/>
        <w:tabs>
          <w:tab w:val="left" w:pos="-1080"/>
          <w:tab w:val="left" w:pos="-720"/>
        </w:tabs>
        <w:spacing w:line="360" w:lineRule="auto"/>
        <w:rPr>
          <w:rFonts w:ascii="Times New Roman" w:eastAsia="Batang" w:hAnsi="Times New Roman"/>
          <w:szCs w:val="24"/>
        </w:rPr>
      </w:pPr>
    </w:p>
    <w:p w:rsidR="006902C1" w:rsidRDefault="006902C1" w:rsidP="00F54A66">
      <w:pPr>
        <w:pStyle w:val="Style0"/>
        <w:tabs>
          <w:tab w:val="left" w:pos="-1080"/>
          <w:tab w:val="left" w:pos="-720"/>
        </w:tabs>
        <w:spacing w:line="360" w:lineRule="auto"/>
        <w:rPr>
          <w:rFonts w:ascii="Times New Roman" w:eastAsia="Batang" w:hAnsi="Times New Roman"/>
          <w:szCs w:val="24"/>
        </w:rPr>
      </w:pPr>
      <w:r>
        <w:rPr>
          <w:rFonts w:ascii="Times New Roman" w:eastAsia="Batang" w:hAnsi="Times New Roman"/>
          <w:szCs w:val="24"/>
        </w:rPr>
        <w:tab/>
      </w:r>
      <w:r>
        <w:rPr>
          <w:rFonts w:ascii="Times New Roman" w:eastAsia="Batang" w:hAnsi="Times New Roman"/>
          <w:szCs w:val="24"/>
        </w:rPr>
        <w:tab/>
        <w:t>When Complainant received the payment agreement from BCS, she had the opportunity to bring her account current</w:t>
      </w:r>
      <w:r w:rsidR="00A62585">
        <w:rPr>
          <w:rFonts w:ascii="Times New Roman" w:eastAsia="Batang" w:hAnsi="Times New Roman"/>
          <w:szCs w:val="24"/>
        </w:rPr>
        <w:t>.  After making multiple payments in June 2013, she failed to make another payment and did not keep the payment agreement.  Respondent was not in error to consider her account in default, and terminate service.</w:t>
      </w:r>
    </w:p>
    <w:p w:rsidR="001B26D7" w:rsidRPr="009F7D9B" w:rsidRDefault="001B26D7" w:rsidP="00F54A66">
      <w:pPr>
        <w:pStyle w:val="Style0"/>
        <w:tabs>
          <w:tab w:val="left" w:pos="-1080"/>
          <w:tab w:val="left" w:pos="-720"/>
        </w:tabs>
        <w:spacing w:line="360" w:lineRule="auto"/>
        <w:rPr>
          <w:rFonts w:ascii="Times New Roman" w:eastAsia="Batang" w:hAnsi="Times New Roman"/>
          <w:szCs w:val="24"/>
        </w:rPr>
      </w:pPr>
    </w:p>
    <w:p w:rsidR="009941CB" w:rsidRDefault="009941CB">
      <w:pPr>
        <w:spacing w:line="240" w:lineRule="auto"/>
        <w:rPr>
          <w:sz w:val="24"/>
          <w:szCs w:val="24"/>
          <w:u w:val="single"/>
        </w:rPr>
      </w:pPr>
      <w:r>
        <w:rPr>
          <w:sz w:val="24"/>
          <w:szCs w:val="24"/>
          <w:u w:val="single"/>
        </w:rPr>
        <w:br w:type="page"/>
      </w:r>
    </w:p>
    <w:p w:rsidR="00F54A66" w:rsidRPr="009F7D9B" w:rsidRDefault="00F54A66" w:rsidP="00F54A66">
      <w:pPr>
        <w:jc w:val="center"/>
        <w:rPr>
          <w:sz w:val="24"/>
          <w:szCs w:val="24"/>
          <w:u w:val="single"/>
        </w:rPr>
      </w:pPr>
      <w:r w:rsidRPr="009F7D9B">
        <w:rPr>
          <w:sz w:val="24"/>
          <w:szCs w:val="24"/>
          <w:u w:val="single"/>
        </w:rPr>
        <w:lastRenderedPageBreak/>
        <w:t>CONCLUSIONS OF LAW</w:t>
      </w:r>
    </w:p>
    <w:p w:rsidR="00F54A66" w:rsidRPr="009F7D9B" w:rsidRDefault="00F54A66" w:rsidP="00F54A66">
      <w:pPr>
        <w:rPr>
          <w:sz w:val="24"/>
          <w:szCs w:val="24"/>
        </w:rPr>
      </w:pPr>
    </w:p>
    <w:p w:rsidR="00F54A66" w:rsidRPr="009F7D9B" w:rsidRDefault="00F54A66" w:rsidP="00F54A66">
      <w:pPr>
        <w:rPr>
          <w:sz w:val="24"/>
          <w:szCs w:val="24"/>
        </w:rPr>
      </w:pPr>
      <w:r w:rsidRPr="009F7D9B">
        <w:rPr>
          <w:sz w:val="24"/>
          <w:szCs w:val="24"/>
        </w:rPr>
        <w:tab/>
      </w:r>
      <w:r w:rsidRPr="009F7D9B">
        <w:rPr>
          <w:sz w:val="24"/>
          <w:szCs w:val="24"/>
        </w:rPr>
        <w:tab/>
        <w:t>1.</w:t>
      </w:r>
      <w:r w:rsidRPr="009F7D9B">
        <w:rPr>
          <w:sz w:val="24"/>
          <w:szCs w:val="24"/>
        </w:rPr>
        <w:tab/>
      </w:r>
      <w:r w:rsidR="009F7D9B">
        <w:rPr>
          <w:sz w:val="24"/>
          <w:szCs w:val="24"/>
        </w:rPr>
        <w:t>Complainant, as t</w:t>
      </w:r>
      <w:r w:rsidRPr="009F7D9B">
        <w:rPr>
          <w:sz w:val="24"/>
          <w:szCs w:val="24"/>
        </w:rPr>
        <w:t>he party filing the complaint</w:t>
      </w:r>
      <w:r w:rsidR="009F7D9B">
        <w:rPr>
          <w:sz w:val="24"/>
          <w:szCs w:val="24"/>
        </w:rPr>
        <w:t>,</w:t>
      </w:r>
      <w:r w:rsidRPr="009F7D9B">
        <w:rPr>
          <w:sz w:val="24"/>
          <w:szCs w:val="24"/>
        </w:rPr>
        <w:t xml:space="preserve"> bears the burden of proving that he or she is entitled to relief from the Commission.  </w:t>
      </w:r>
      <w:proofErr w:type="gramStart"/>
      <w:r w:rsidRPr="009F7D9B">
        <w:rPr>
          <w:sz w:val="24"/>
          <w:szCs w:val="24"/>
        </w:rPr>
        <w:t xml:space="preserve">66 </w:t>
      </w:r>
      <w:proofErr w:type="spellStart"/>
      <w:smartTag w:uri="urn:schemas-microsoft-com:office:smarttags" w:element="time">
        <w:r w:rsidRPr="009F7D9B">
          <w:rPr>
            <w:sz w:val="24"/>
            <w:szCs w:val="24"/>
          </w:rPr>
          <w:t>Pa.</w:t>
        </w:r>
      </w:smartTag>
      <w:r w:rsidRPr="009F7D9B">
        <w:rPr>
          <w:sz w:val="24"/>
          <w:szCs w:val="24"/>
        </w:rPr>
        <w:t>C.S.</w:t>
      </w:r>
      <w:r w:rsidR="001B26D7">
        <w:rPr>
          <w:sz w:val="24"/>
          <w:szCs w:val="24"/>
        </w:rPr>
        <w:t>A</w:t>
      </w:r>
      <w:proofErr w:type="spellEnd"/>
      <w:r w:rsidR="001B26D7">
        <w:rPr>
          <w:sz w:val="24"/>
          <w:szCs w:val="24"/>
        </w:rPr>
        <w:t>.</w:t>
      </w:r>
      <w:proofErr w:type="gramEnd"/>
      <w:r w:rsidRPr="009F7D9B">
        <w:rPr>
          <w:sz w:val="24"/>
          <w:szCs w:val="24"/>
        </w:rPr>
        <w:t xml:space="preserve"> §</w:t>
      </w:r>
      <w:r w:rsidR="001B26D7">
        <w:rPr>
          <w:sz w:val="24"/>
          <w:szCs w:val="24"/>
        </w:rPr>
        <w:t xml:space="preserve"> </w:t>
      </w:r>
      <w:r w:rsidRPr="009F7D9B">
        <w:rPr>
          <w:sz w:val="24"/>
          <w:szCs w:val="24"/>
        </w:rPr>
        <w:t xml:space="preserve">332(a).  </w:t>
      </w:r>
    </w:p>
    <w:p w:rsidR="00F54A66" w:rsidRPr="009F7D9B" w:rsidRDefault="00F54A66" w:rsidP="00F54A66">
      <w:pPr>
        <w:rPr>
          <w:sz w:val="24"/>
          <w:szCs w:val="24"/>
        </w:rPr>
      </w:pPr>
    </w:p>
    <w:p w:rsidR="00F54A66" w:rsidRPr="009F7D9B" w:rsidRDefault="00F54A66" w:rsidP="00F54A66">
      <w:pPr>
        <w:rPr>
          <w:sz w:val="24"/>
          <w:szCs w:val="24"/>
        </w:rPr>
      </w:pPr>
      <w:r w:rsidRPr="009F7D9B">
        <w:rPr>
          <w:sz w:val="24"/>
          <w:szCs w:val="24"/>
        </w:rPr>
        <w:tab/>
      </w:r>
      <w:r w:rsidRPr="009F7D9B">
        <w:rPr>
          <w:sz w:val="24"/>
          <w:szCs w:val="24"/>
        </w:rPr>
        <w:tab/>
        <w:t>2.</w:t>
      </w:r>
      <w:r w:rsidRPr="009F7D9B">
        <w:rPr>
          <w:sz w:val="24"/>
          <w:szCs w:val="24"/>
        </w:rPr>
        <w:tab/>
        <w:t xml:space="preserve">“Burden of proof” means a duty to establish one’s case by a preponderance of the evidence, which requires that the evidence be more convincing by even the smallest degree, than the evidence presented by the other side.  </w:t>
      </w:r>
      <w:proofErr w:type="gramStart"/>
      <w:r w:rsidRPr="001B26D7">
        <w:rPr>
          <w:sz w:val="24"/>
          <w:szCs w:val="24"/>
          <w:u w:val="single"/>
        </w:rPr>
        <w:t>Se-Ling Hosiery, Inc. v. Margulie</w:t>
      </w:r>
      <w:r w:rsidRPr="009F7D9B">
        <w:rPr>
          <w:i/>
          <w:sz w:val="24"/>
          <w:szCs w:val="24"/>
        </w:rPr>
        <w:t>s</w:t>
      </w:r>
      <w:r w:rsidRPr="009F7D9B">
        <w:rPr>
          <w:sz w:val="24"/>
          <w:szCs w:val="24"/>
        </w:rPr>
        <w:t xml:space="preserve">, 364 </w:t>
      </w:r>
      <w:smartTag w:uri="urn:schemas-microsoft-com:office:smarttags" w:element="time">
        <w:r w:rsidRPr="009F7D9B">
          <w:rPr>
            <w:sz w:val="24"/>
            <w:szCs w:val="24"/>
          </w:rPr>
          <w:t>Pa.</w:t>
        </w:r>
      </w:smartTag>
      <w:r w:rsidRPr="009F7D9B">
        <w:rPr>
          <w:sz w:val="24"/>
          <w:szCs w:val="24"/>
        </w:rPr>
        <w:t xml:space="preserve"> 45, 70 A.2d 854 (1950).</w:t>
      </w:r>
      <w:proofErr w:type="gramEnd"/>
      <w:r w:rsidRPr="009F7D9B">
        <w:rPr>
          <w:sz w:val="24"/>
          <w:szCs w:val="24"/>
        </w:rPr>
        <w:t xml:space="preserve">  </w:t>
      </w:r>
    </w:p>
    <w:p w:rsidR="00F54A66" w:rsidRPr="009F7D9B" w:rsidRDefault="00F54A66" w:rsidP="00F54A66">
      <w:pPr>
        <w:rPr>
          <w:sz w:val="24"/>
          <w:szCs w:val="24"/>
        </w:rPr>
      </w:pPr>
    </w:p>
    <w:p w:rsidR="00F54A66" w:rsidRPr="009F7D9B" w:rsidRDefault="00F54A66" w:rsidP="00F54A66">
      <w:pPr>
        <w:tabs>
          <w:tab w:val="left" w:pos="-1440"/>
          <w:tab w:val="left" w:pos="-720"/>
        </w:tabs>
        <w:suppressAutoHyphens/>
        <w:ind w:firstLine="1440"/>
        <w:rPr>
          <w:spacing w:val="-3"/>
          <w:sz w:val="24"/>
          <w:szCs w:val="24"/>
        </w:rPr>
      </w:pPr>
      <w:r w:rsidRPr="009F7D9B">
        <w:rPr>
          <w:sz w:val="24"/>
          <w:szCs w:val="24"/>
        </w:rPr>
        <w:t>3.</w:t>
      </w:r>
      <w:r w:rsidRPr="009F7D9B">
        <w:rPr>
          <w:sz w:val="24"/>
          <w:szCs w:val="24"/>
        </w:rPr>
        <w:tab/>
      </w:r>
      <w:r w:rsidRPr="009F7D9B">
        <w:rPr>
          <w:spacing w:val="-3"/>
          <w:sz w:val="24"/>
          <w:szCs w:val="24"/>
        </w:rPr>
        <w:t xml:space="preserve">Complainant must show that the Respondent is responsible or accountable for the problem described in the Complaint.  </w:t>
      </w:r>
      <w:proofErr w:type="gramStart"/>
      <w:r w:rsidRPr="001B26D7">
        <w:rPr>
          <w:spacing w:val="-3"/>
          <w:sz w:val="24"/>
          <w:szCs w:val="24"/>
          <w:u w:val="single"/>
        </w:rPr>
        <w:t>Patterson v. Bell Telephone Company of Pennsylvania</w:t>
      </w:r>
      <w:r w:rsidRPr="009F7D9B">
        <w:rPr>
          <w:i/>
          <w:spacing w:val="-3"/>
          <w:sz w:val="24"/>
          <w:szCs w:val="24"/>
        </w:rPr>
        <w:t xml:space="preserve">, </w:t>
      </w:r>
      <w:r w:rsidRPr="009F7D9B">
        <w:rPr>
          <w:spacing w:val="-3"/>
          <w:sz w:val="24"/>
          <w:szCs w:val="24"/>
        </w:rPr>
        <w:t>72 Pa. PUC 196 (1990).</w:t>
      </w:r>
      <w:proofErr w:type="gramEnd"/>
      <w:r w:rsidRPr="009F7D9B">
        <w:rPr>
          <w:spacing w:val="-3"/>
          <w:sz w:val="24"/>
          <w:szCs w:val="24"/>
        </w:rPr>
        <w:t xml:space="preserve">  Such a showing must be by a preponderance of the evidence.  </w:t>
      </w:r>
      <w:proofErr w:type="gramStart"/>
      <w:r w:rsidRPr="001B26D7">
        <w:rPr>
          <w:sz w:val="24"/>
          <w:szCs w:val="24"/>
          <w:u w:val="single"/>
        </w:rPr>
        <w:t xml:space="preserve">Samuel J. </w:t>
      </w:r>
      <w:proofErr w:type="spellStart"/>
      <w:r w:rsidRPr="001B26D7">
        <w:rPr>
          <w:sz w:val="24"/>
          <w:szCs w:val="24"/>
          <w:u w:val="single"/>
        </w:rPr>
        <w:t>Lansberry</w:t>
      </w:r>
      <w:proofErr w:type="spellEnd"/>
      <w:r w:rsidRPr="001B26D7">
        <w:rPr>
          <w:sz w:val="24"/>
          <w:szCs w:val="24"/>
          <w:u w:val="single"/>
        </w:rPr>
        <w:t xml:space="preserve">, Inc. v. </w:t>
      </w:r>
      <w:r w:rsidR="001B26D7" w:rsidRPr="001B26D7">
        <w:rPr>
          <w:spacing w:val="-3"/>
          <w:sz w:val="24"/>
          <w:szCs w:val="24"/>
          <w:u w:val="single"/>
        </w:rPr>
        <w:t>Pa. Pub.</w:t>
      </w:r>
      <w:proofErr w:type="gramEnd"/>
      <w:r w:rsidR="001B26D7" w:rsidRPr="001B26D7">
        <w:rPr>
          <w:spacing w:val="-3"/>
          <w:sz w:val="24"/>
          <w:szCs w:val="24"/>
          <w:u w:val="single"/>
        </w:rPr>
        <w:t xml:space="preserve"> Util. </w:t>
      </w:r>
      <w:proofErr w:type="spellStart"/>
      <w:r w:rsidR="001B26D7" w:rsidRPr="001B26D7">
        <w:rPr>
          <w:spacing w:val="-3"/>
          <w:sz w:val="24"/>
          <w:szCs w:val="24"/>
          <w:u w:val="single"/>
        </w:rPr>
        <w:t>Comm’n</w:t>
      </w:r>
      <w:proofErr w:type="spellEnd"/>
      <w:r w:rsidRPr="009F7D9B">
        <w:rPr>
          <w:sz w:val="24"/>
          <w:szCs w:val="24"/>
        </w:rPr>
        <w:t>,</w:t>
      </w:r>
      <w:r w:rsidRPr="009F7D9B">
        <w:rPr>
          <w:i/>
          <w:sz w:val="24"/>
          <w:szCs w:val="24"/>
        </w:rPr>
        <w:t xml:space="preserve"> </w:t>
      </w:r>
      <w:r w:rsidRPr="009F7D9B">
        <w:rPr>
          <w:sz w:val="24"/>
          <w:szCs w:val="24"/>
        </w:rPr>
        <w:t xml:space="preserve">578 A.2d 600, 602, </w:t>
      </w:r>
      <w:proofErr w:type="spellStart"/>
      <w:r w:rsidRPr="009F7D9B">
        <w:rPr>
          <w:i/>
          <w:sz w:val="24"/>
          <w:szCs w:val="24"/>
        </w:rPr>
        <w:t>alloc</w:t>
      </w:r>
      <w:proofErr w:type="spellEnd"/>
      <w:r w:rsidRPr="009F7D9B">
        <w:rPr>
          <w:i/>
          <w:sz w:val="24"/>
          <w:szCs w:val="24"/>
        </w:rPr>
        <w:t xml:space="preserve">. </w:t>
      </w:r>
      <w:proofErr w:type="gramStart"/>
      <w:r w:rsidRPr="009F7D9B">
        <w:rPr>
          <w:i/>
          <w:sz w:val="24"/>
          <w:szCs w:val="24"/>
        </w:rPr>
        <w:t>den</w:t>
      </w:r>
      <w:r w:rsidRPr="009F7D9B">
        <w:rPr>
          <w:sz w:val="24"/>
          <w:szCs w:val="24"/>
        </w:rPr>
        <w:t>., 602 A.2d 863 (1992).</w:t>
      </w:r>
      <w:proofErr w:type="gramEnd"/>
      <w:r w:rsidRPr="009F7D9B">
        <w:rPr>
          <w:sz w:val="24"/>
          <w:szCs w:val="24"/>
        </w:rPr>
        <w:t xml:space="preserve">  </w:t>
      </w:r>
    </w:p>
    <w:p w:rsidR="00F54A66" w:rsidRPr="009F7D9B" w:rsidRDefault="00F54A66" w:rsidP="00F54A66">
      <w:pPr>
        <w:tabs>
          <w:tab w:val="left" w:pos="-1440"/>
          <w:tab w:val="left" w:pos="-720"/>
        </w:tabs>
        <w:suppressAutoHyphens/>
        <w:ind w:firstLine="1440"/>
        <w:rPr>
          <w:spacing w:val="-3"/>
          <w:sz w:val="24"/>
          <w:szCs w:val="24"/>
        </w:rPr>
      </w:pPr>
    </w:p>
    <w:p w:rsidR="00F54A66" w:rsidRPr="009F7D9B" w:rsidRDefault="00F54A66" w:rsidP="00F54A66">
      <w:pPr>
        <w:tabs>
          <w:tab w:val="left" w:pos="-1440"/>
          <w:tab w:val="left" w:pos="-720"/>
        </w:tabs>
        <w:suppressAutoHyphens/>
        <w:ind w:firstLine="1440"/>
        <w:rPr>
          <w:spacing w:val="-3"/>
          <w:sz w:val="24"/>
          <w:szCs w:val="24"/>
        </w:rPr>
      </w:pPr>
      <w:r w:rsidRPr="009F7D9B">
        <w:rPr>
          <w:spacing w:val="-3"/>
          <w:sz w:val="24"/>
          <w:szCs w:val="24"/>
        </w:rPr>
        <w:t>4.</w:t>
      </w:r>
      <w:r w:rsidRPr="009F7D9B">
        <w:rPr>
          <w:spacing w:val="-3"/>
          <w:sz w:val="24"/>
          <w:szCs w:val="24"/>
        </w:rPr>
        <w:tab/>
        <w:t xml:space="preserve">Any finding of fact necessary to support the Commission’s adjudication must be based upon substantial evidence.  </w:t>
      </w:r>
      <w:proofErr w:type="gramStart"/>
      <w:r w:rsidRPr="001B26D7">
        <w:rPr>
          <w:spacing w:val="-3"/>
          <w:sz w:val="24"/>
          <w:szCs w:val="24"/>
          <w:u w:val="single"/>
        </w:rPr>
        <w:t xml:space="preserve">Mill v. </w:t>
      </w:r>
      <w:r w:rsidR="001B26D7" w:rsidRPr="001B26D7">
        <w:rPr>
          <w:spacing w:val="-3"/>
          <w:sz w:val="24"/>
          <w:szCs w:val="24"/>
          <w:u w:val="single"/>
        </w:rPr>
        <w:t>Pa. Pub.</w:t>
      </w:r>
      <w:proofErr w:type="gramEnd"/>
      <w:r w:rsidR="001B26D7" w:rsidRPr="001B26D7">
        <w:rPr>
          <w:spacing w:val="-3"/>
          <w:sz w:val="24"/>
          <w:szCs w:val="24"/>
          <w:u w:val="single"/>
        </w:rPr>
        <w:t xml:space="preserve"> </w:t>
      </w:r>
      <w:proofErr w:type="gramStart"/>
      <w:r w:rsidR="001B26D7" w:rsidRPr="001B26D7">
        <w:rPr>
          <w:spacing w:val="-3"/>
          <w:sz w:val="24"/>
          <w:szCs w:val="24"/>
          <w:u w:val="single"/>
        </w:rPr>
        <w:t>Util.</w:t>
      </w:r>
      <w:r w:rsidRPr="001B26D7">
        <w:rPr>
          <w:spacing w:val="-3"/>
          <w:sz w:val="24"/>
          <w:szCs w:val="24"/>
          <w:u w:val="single"/>
        </w:rPr>
        <w:t xml:space="preserve"> </w:t>
      </w:r>
      <w:proofErr w:type="spellStart"/>
      <w:r w:rsidRPr="001B26D7">
        <w:rPr>
          <w:spacing w:val="-3"/>
          <w:sz w:val="24"/>
          <w:szCs w:val="24"/>
          <w:u w:val="single"/>
        </w:rPr>
        <w:t>Comm’n</w:t>
      </w:r>
      <w:proofErr w:type="spellEnd"/>
      <w:r w:rsidRPr="009F7D9B">
        <w:rPr>
          <w:spacing w:val="-3"/>
          <w:sz w:val="24"/>
          <w:szCs w:val="24"/>
        </w:rPr>
        <w:t>, 447 A.2d 1100 (1982).</w:t>
      </w:r>
      <w:proofErr w:type="gramEnd"/>
    </w:p>
    <w:p w:rsidR="00F54A66" w:rsidRPr="009F7D9B" w:rsidRDefault="00F54A66" w:rsidP="00F54A66">
      <w:pPr>
        <w:tabs>
          <w:tab w:val="left" w:pos="-1440"/>
          <w:tab w:val="left" w:pos="-720"/>
        </w:tabs>
        <w:suppressAutoHyphens/>
        <w:ind w:firstLine="1440"/>
        <w:rPr>
          <w:spacing w:val="-3"/>
          <w:sz w:val="24"/>
          <w:szCs w:val="24"/>
        </w:rPr>
      </w:pPr>
    </w:p>
    <w:p w:rsidR="00F54A66" w:rsidRPr="009F7D9B" w:rsidRDefault="00F54A66" w:rsidP="00F54A66">
      <w:pPr>
        <w:tabs>
          <w:tab w:val="left" w:pos="-1440"/>
          <w:tab w:val="left" w:pos="-720"/>
        </w:tabs>
        <w:suppressAutoHyphens/>
        <w:ind w:firstLine="1440"/>
        <w:rPr>
          <w:sz w:val="24"/>
          <w:szCs w:val="24"/>
        </w:rPr>
      </w:pPr>
      <w:r w:rsidRPr="009F7D9B">
        <w:rPr>
          <w:spacing w:val="-3"/>
          <w:sz w:val="24"/>
          <w:szCs w:val="24"/>
        </w:rPr>
        <w:t>5.</w:t>
      </w:r>
      <w:r w:rsidRPr="009F7D9B">
        <w:rPr>
          <w:spacing w:val="-3"/>
          <w:sz w:val="24"/>
          <w:szCs w:val="24"/>
        </w:rPr>
        <w:tab/>
      </w:r>
      <w:r w:rsidRPr="009F7D9B">
        <w:rPr>
          <w:sz w:val="24"/>
          <w:szCs w:val="24"/>
        </w:rPr>
        <w:t xml:space="preserve">Complainant failed to carry </w:t>
      </w:r>
      <w:r w:rsidR="009F7D9B">
        <w:rPr>
          <w:sz w:val="24"/>
          <w:szCs w:val="24"/>
        </w:rPr>
        <w:t>the</w:t>
      </w:r>
      <w:r w:rsidRPr="009F7D9B">
        <w:rPr>
          <w:sz w:val="24"/>
          <w:szCs w:val="24"/>
        </w:rPr>
        <w:t xml:space="preserve"> burden of </w:t>
      </w:r>
      <w:r w:rsidR="009F7D9B">
        <w:rPr>
          <w:sz w:val="24"/>
          <w:szCs w:val="24"/>
        </w:rPr>
        <w:t>proving Respondent incorrectly billed her for consumption and incorrectly applied payments to her account balance</w:t>
      </w:r>
      <w:r w:rsidR="001B26D7">
        <w:rPr>
          <w:sz w:val="24"/>
          <w:szCs w:val="24"/>
        </w:rPr>
        <w:t xml:space="preserve">.  </w:t>
      </w:r>
      <w:proofErr w:type="gramStart"/>
      <w:r w:rsidR="001B26D7">
        <w:rPr>
          <w:sz w:val="24"/>
          <w:szCs w:val="24"/>
        </w:rPr>
        <w:t xml:space="preserve">66 </w:t>
      </w:r>
      <w:proofErr w:type="spellStart"/>
      <w:r w:rsidR="001B26D7">
        <w:rPr>
          <w:sz w:val="24"/>
          <w:szCs w:val="24"/>
        </w:rPr>
        <w:t>Pa.</w:t>
      </w:r>
      <w:r w:rsidRPr="009F7D9B">
        <w:rPr>
          <w:sz w:val="24"/>
          <w:szCs w:val="24"/>
        </w:rPr>
        <w:t>C.S</w:t>
      </w:r>
      <w:proofErr w:type="spellEnd"/>
      <w:r w:rsidRPr="009F7D9B">
        <w:rPr>
          <w:sz w:val="24"/>
          <w:szCs w:val="24"/>
        </w:rPr>
        <w:t>.</w:t>
      </w:r>
      <w:proofErr w:type="gramEnd"/>
      <w:r w:rsidRPr="009F7D9B">
        <w:rPr>
          <w:sz w:val="24"/>
          <w:szCs w:val="24"/>
        </w:rPr>
        <w:t xml:space="preserve"> §332(a)</w:t>
      </w:r>
      <w:r w:rsidR="001B26D7">
        <w:rPr>
          <w:sz w:val="24"/>
          <w:szCs w:val="24"/>
        </w:rPr>
        <w:t xml:space="preserve"> and 52 </w:t>
      </w:r>
      <w:proofErr w:type="spellStart"/>
      <w:r w:rsidR="001B26D7">
        <w:rPr>
          <w:sz w:val="24"/>
          <w:szCs w:val="24"/>
        </w:rPr>
        <w:t>Pa.</w:t>
      </w:r>
      <w:r w:rsidR="001B26D7" w:rsidRPr="009F7D9B">
        <w:rPr>
          <w:sz w:val="24"/>
          <w:szCs w:val="24"/>
        </w:rPr>
        <w:t>Code</w:t>
      </w:r>
      <w:proofErr w:type="spellEnd"/>
      <w:r w:rsidR="001B26D7" w:rsidRPr="009F7D9B">
        <w:rPr>
          <w:sz w:val="24"/>
          <w:szCs w:val="24"/>
        </w:rPr>
        <w:t xml:space="preserve"> §56.1, </w:t>
      </w:r>
      <w:r w:rsidR="001B26D7" w:rsidRPr="009F7D9B">
        <w:rPr>
          <w:i/>
          <w:sz w:val="24"/>
          <w:szCs w:val="24"/>
        </w:rPr>
        <w:t>et seq</w:t>
      </w:r>
      <w:r w:rsidRPr="009F7D9B">
        <w:rPr>
          <w:sz w:val="24"/>
          <w:szCs w:val="24"/>
        </w:rPr>
        <w:t xml:space="preserve">. </w:t>
      </w:r>
    </w:p>
    <w:p w:rsidR="00F54A66" w:rsidRPr="009F7D9B" w:rsidRDefault="00F54A66" w:rsidP="00F54A66">
      <w:pPr>
        <w:pStyle w:val="Style0"/>
        <w:tabs>
          <w:tab w:val="left" w:pos="-1080"/>
          <w:tab w:val="left" w:pos="-720"/>
        </w:tabs>
        <w:spacing w:line="360" w:lineRule="auto"/>
        <w:rPr>
          <w:rFonts w:ascii="Times New Roman" w:eastAsia="Batang" w:hAnsi="Times New Roman"/>
          <w:szCs w:val="24"/>
        </w:rPr>
      </w:pPr>
    </w:p>
    <w:p w:rsidR="00F54A66" w:rsidRPr="009F7D9B" w:rsidRDefault="00F54A66" w:rsidP="00F54A66">
      <w:pPr>
        <w:pStyle w:val="NormalWeb"/>
        <w:spacing w:before="0" w:beforeAutospacing="0" w:after="0" w:afterAutospacing="0" w:line="360" w:lineRule="auto"/>
        <w:ind w:firstLine="1440"/>
      </w:pPr>
      <w:r w:rsidRPr="009F7D9B">
        <w:rPr>
          <w:spacing w:val="-3"/>
        </w:rPr>
        <w:t>6.</w:t>
      </w:r>
      <w:r w:rsidRPr="009F7D9B">
        <w:rPr>
          <w:spacing w:val="-3"/>
        </w:rPr>
        <w:tab/>
      </w:r>
      <w:r w:rsidR="009F7D9B" w:rsidRPr="009F7D9B">
        <w:t xml:space="preserve">Complainant failed to carry </w:t>
      </w:r>
      <w:r w:rsidR="009F7D9B">
        <w:t>the</w:t>
      </w:r>
      <w:r w:rsidR="009F7D9B" w:rsidRPr="009F7D9B">
        <w:t xml:space="preserve"> burden of </w:t>
      </w:r>
      <w:r w:rsidR="009F7D9B">
        <w:t xml:space="preserve">proving Respondent incorrectly </w:t>
      </w:r>
      <w:r w:rsidR="001B26D7">
        <w:t xml:space="preserve">terminated her natural gas service account in June 2013 for failure to pay timely on her natural gas service account.  </w:t>
      </w:r>
      <w:proofErr w:type="gramStart"/>
      <w:r w:rsidR="001B26D7">
        <w:t xml:space="preserve">66 </w:t>
      </w:r>
      <w:proofErr w:type="spellStart"/>
      <w:r w:rsidR="001B26D7">
        <w:t>Pa.</w:t>
      </w:r>
      <w:r w:rsidR="009F7D9B" w:rsidRPr="009F7D9B">
        <w:t>C.S.</w:t>
      </w:r>
      <w:r w:rsidR="001B26D7">
        <w:t>A</w:t>
      </w:r>
      <w:proofErr w:type="spellEnd"/>
      <w:r w:rsidR="001B26D7">
        <w:t>.</w:t>
      </w:r>
      <w:proofErr w:type="gramEnd"/>
      <w:r w:rsidR="009F7D9B" w:rsidRPr="009F7D9B">
        <w:t xml:space="preserve"> §</w:t>
      </w:r>
      <w:r w:rsidR="001B26D7">
        <w:t xml:space="preserve"> </w:t>
      </w:r>
      <w:r w:rsidR="009F7D9B" w:rsidRPr="009F7D9B">
        <w:t>332(a)</w:t>
      </w:r>
      <w:r w:rsidR="001B26D7">
        <w:t xml:space="preserve"> and 52 </w:t>
      </w:r>
      <w:proofErr w:type="spellStart"/>
      <w:r w:rsidR="001B26D7">
        <w:t>Pa.Code</w:t>
      </w:r>
      <w:proofErr w:type="spellEnd"/>
      <w:r w:rsidR="001B26D7">
        <w:t xml:space="preserve"> § 1501</w:t>
      </w:r>
      <w:r w:rsidR="009F7D9B" w:rsidRPr="009F7D9B">
        <w:t>.</w:t>
      </w:r>
    </w:p>
    <w:p w:rsidR="00F54A66" w:rsidRPr="009F7D9B" w:rsidRDefault="00F54A66" w:rsidP="00F54A66">
      <w:pPr>
        <w:pStyle w:val="Style0"/>
        <w:tabs>
          <w:tab w:val="left" w:pos="-1080"/>
          <w:tab w:val="left" w:pos="-720"/>
        </w:tabs>
        <w:spacing w:line="360" w:lineRule="auto"/>
        <w:rPr>
          <w:rFonts w:ascii="Times New Roman" w:eastAsia="Batang" w:hAnsi="Times New Roman"/>
          <w:szCs w:val="24"/>
        </w:rPr>
      </w:pPr>
    </w:p>
    <w:p w:rsidR="00F54A66" w:rsidRPr="009F7D9B" w:rsidRDefault="00F54A66" w:rsidP="00F54A66">
      <w:pPr>
        <w:rPr>
          <w:sz w:val="24"/>
          <w:szCs w:val="24"/>
          <w:u w:val="single"/>
        </w:rPr>
      </w:pPr>
    </w:p>
    <w:p w:rsidR="00594952" w:rsidRDefault="00594952">
      <w:pPr>
        <w:spacing w:line="240" w:lineRule="auto"/>
        <w:rPr>
          <w:sz w:val="24"/>
          <w:szCs w:val="24"/>
          <w:u w:val="single"/>
        </w:rPr>
      </w:pPr>
      <w:r>
        <w:rPr>
          <w:sz w:val="24"/>
          <w:szCs w:val="24"/>
          <w:u w:val="single"/>
        </w:rPr>
        <w:br w:type="page"/>
      </w:r>
    </w:p>
    <w:p w:rsidR="00F54A66" w:rsidRPr="009F7D9B" w:rsidRDefault="00F54A66" w:rsidP="00F54A66">
      <w:pPr>
        <w:spacing w:before="240"/>
        <w:jc w:val="center"/>
        <w:rPr>
          <w:sz w:val="24"/>
          <w:szCs w:val="24"/>
        </w:rPr>
      </w:pPr>
      <w:r w:rsidRPr="009F7D9B">
        <w:rPr>
          <w:sz w:val="24"/>
          <w:szCs w:val="24"/>
          <w:u w:val="single"/>
        </w:rPr>
        <w:lastRenderedPageBreak/>
        <w:t>ORDER</w:t>
      </w:r>
    </w:p>
    <w:p w:rsidR="00F54A66" w:rsidRDefault="00F54A66" w:rsidP="00F54A66">
      <w:pPr>
        <w:spacing w:before="240"/>
        <w:rPr>
          <w:sz w:val="24"/>
          <w:szCs w:val="24"/>
        </w:rPr>
      </w:pPr>
    </w:p>
    <w:p w:rsidR="00F54A66" w:rsidRPr="009F7D9B" w:rsidRDefault="00F54A66" w:rsidP="00F54A66">
      <w:pPr>
        <w:ind w:firstLine="1440"/>
        <w:rPr>
          <w:sz w:val="24"/>
          <w:szCs w:val="24"/>
        </w:rPr>
      </w:pPr>
      <w:r w:rsidRPr="009F7D9B">
        <w:rPr>
          <w:sz w:val="24"/>
          <w:szCs w:val="24"/>
        </w:rPr>
        <w:t>THEREFORE,</w:t>
      </w:r>
    </w:p>
    <w:p w:rsidR="00F54A66" w:rsidRPr="009F7D9B" w:rsidRDefault="00F54A66" w:rsidP="00F54A66">
      <w:pPr>
        <w:ind w:firstLine="1440"/>
        <w:rPr>
          <w:sz w:val="24"/>
          <w:szCs w:val="24"/>
        </w:rPr>
      </w:pPr>
    </w:p>
    <w:p w:rsidR="00F54A66" w:rsidRPr="009F7D9B" w:rsidRDefault="00F54A66" w:rsidP="00F54A66">
      <w:pPr>
        <w:ind w:firstLine="1440"/>
        <w:rPr>
          <w:sz w:val="24"/>
          <w:szCs w:val="24"/>
        </w:rPr>
      </w:pPr>
      <w:r w:rsidRPr="009F7D9B">
        <w:rPr>
          <w:sz w:val="24"/>
          <w:szCs w:val="24"/>
        </w:rPr>
        <w:t xml:space="preserve">IT IS ORDERED:  </w:t>
      </w:r>
    </w:p>
    <w:p w:rsidR="00F54A66" w:rsidRPr="009F7D9B" w:rsidRDefault="00F54A66" w:rsidP="00F54A66">
      <w:pPr>
        <w:ind w:firstLine="1440"/>
        <w:rPr>
          <w:sz w:val="24"/>
          <w:szCs w:val="24"/>
        </w:rPr>
      </w:pPr>
    </w:p>
    <w:p w:rsidR="00F54A66" w:rsidRPr="009F7D9B" w:rsidRDefault="00F54A66" w:rsidP="00F54A66">
      <w:pPr>
        <w:ind w:firstLine="1440"/>
        <w:rPr>
          <w:sz w:val="24"/>
          <w:szCs w:val="24"/>
        </w:rPr>
      </w:pPr>
      <w:r w:rsidRPr="009F7D9B">
        <w:rPr>
          <w:sz w:val="24"/>
          <w:szCs w:val="24"/>
        </w:rPr>
        <w:t>1.</w:t>
      </w:r>
      <w:r w:rsidRPr="009F7D9B">
        <w:rPr>
          <w:sz w:val="24"/>
          <w:szCs w:val="24"/>
        </w:rPr>
        <w:tab/>
        <w:t xml:space="preserve">That the Complaint of </w:t>
      </w:r>
      <w:r w:rsidR="001B26D7">
        <w:rPr>
          <w:sz w:val="24"/>
          <w:szCs w:val="24"/>
        </w:rPr>
        <w:t xml:space="preserve">Ernestine </w:t>
      </w:r>
      <w:proofErr w:type="spellStart"/>
      <w:r w:rsidR="001B26D7">
        <w:rPr>
          <w:sz w:val="24"/>
          <w:szCs w:val="24"/>
        </w:rPr>
        <w:t>Crankfield</w:t>
      </w:r>
      <w:proofErr w:type="spellEnd"/>
      <w:r w:rsidR="001B26D7">
        <w:rPr>
          <w:sz w:val="24"/>
          <w:szCs w:val="24"/>
        </w:rPr>
        <w:t xml:space="preserve"> versus UGI Utilities, Inc.</w:t>
      </w:r>
      <w:r w:rsidRPr="009F7D9B">
        <w:rPr>
          <w:sz w:val="24"/>
          <w:szCs w:val="24"/>
        </w:rPr>
        <w:t xml:space="preserve"> at Docket No. </w:t>
      </w:r>
      <w:r w:rsidR="001B26D7">
        <w:rPr>
          <w:sz w:val="24"/>
          <w:szCs w:val="24"/>
        </w:rPr>
        <w:t>C-2014-2402184</w:t>
      </w:r>
      <w:r w:rsidRPr="009F7D9B">
        <w:rPr>
          <w:sz w:val="24"/>
          <w:szCs w:val="24"/>
        </w:rPr>
        <w:t xml:space="preserve"> is dismissed for failure to carry the burden of proof.</w:t>
      </w:r>
    </w:p>
    <w:p w:rsidR="00F54A66" w:rsidRPr="009F7D9B" w:rsidRDefault="00F54A66" w:rsidP="00F54A66">
      <w:pPr>
        <w:ind w:firstLine="1440"/>
        <w:rPr>
          <w:sz w:val="24"/>
          <w:szCs w:val="24"/>
        </w:rPr>
      </w:pPr>
    </w:p>
    <w:p w:rsidR="00F54A66" w:rsidRPr="009F7D9B" w:rsidRDefault="00F54A66" w:rsidP="00F54A66">
      <w:pPr>
        <w:ind w:firstLine="1440"/>
        <w:rPr>
          <w:sz w:val="24"/>
          <w:szCs w:val="24"/>
        </w:rPr>
      </w:pPr>
      <w:r w:rsidRPr="009F7D9B">
        <w:rPr>
          <w:sz w:val="24"/>
          <w:szCs w:val="24"/>
        </w:rPr>
        <w:t>2.</w:t>
      </w:r>
      <w:r w:rsidRPr="009F7D9B">
        <w:rPr>
          <w:sz w:val="24"/>
          <w:szCs w:val="24"/>
        </w:rPr>
        <w:tab/>
        <w:t xml:space="preserve">That the Secretary’s Bureau mark Docket No. </w:t>
      </w:r>
      <w:r w:rsidR="001B26D7">
        <w:rPr>
          <w:sz w:val="24"/>
          <w:szCs w:val="24"/>
        </w:rPr>
        <w:t>C-2014-2402184</w:t>
      </w:r>
      <w:r w:rsidRPr="009F7D9B">
        <w:rPr>
          <w:sz w:val="24"/>
          <w:szCs w:val="24"/>
        </w:rPr>
        <w:t xml:space="preserve"> closed.</w:t>
      </w:r>
    </w:p>
    <w:p w:rsidR="00F54A66" w:rsidRPr="009F7D9B" w:rsidRDefault="00F54A66">
      <w:pPr>
        <w:spacing w:line="240" w:lineRule="auto"/>
        <w:rPr>
          <w:sz w:val="24"/>
          <w:szCs w:val="24"/>
        </w:rPr>
      </w:pPr>
    </w:p>
    <w:p w:rsidR="00BD0AF8" w:rsidRDefault="00BD0AF8" w:rsidP="006C2C49">
      <w:pPr>
        <w:spacing w:line="240" w:lineRule="auto"/>
        <w:rPr>
          <w:sz w:val="24"/>
          <w:szCs w:val="24"/>
        </w:rPr>
      </w:pPr>
    </w:p>
    <w:p w:rsidR="009409EB" w:rsidRPr="009F7D9B" w:rsidRDefault="009409EB" w:rsidP="006C2C49">
      <w:pPr>
        <w:spacing w:line="240" w:lineRule="auto"/>
        <w:rPr>
          <w:sz w:val="24"/>
          <w:szCs w:val="24"/>
        </w:rPr>
      </w:pPr>
    </w:p>
    <w:p w:rsidR="006C2C49" w:rsidRPr="009F7D9B" w:rsidRDefault="006C2C49" w:rsidP="006C2C49">
      <w:pPr>
        <w:spacing w:line="240" w:lineRule="auto"/>
        <w:rPr>
          <w:sz w:val="24"/>
          <w:szCs w:val="24"/>
        </w:rPr>
      </w:pPr>
    </w:p>
    <w:p w:rsidR="00935C58" w:rsidRPr="009F7D9B" w:rsidRDefault="006C2C49" w:rsidP="00935C58">
      <w:pPr>
        <w:spacing w:line="240" w:lineRule="auto"/>
        <w:rPr>
          <w:sz w:val="24"/>
          <w:szCs w:val="24"/>
        </w:rPr>
      </w:pPr>
      <w:r w:rsidRPr="009F7D9B">
        <w:rPr>
          <w:sz w:val="24"/>
          <w:szCs w:val="24"/>
        </w:rPr>
        <w:t xml:space="preserve">Date:  </w:t>
      </w:r>
      <w:r w:rsidR="001B26D7">
        <w:rPr>
          <w:sz w:val="24"/>
          <w:szCs w:val="24"/>
          <w:u w:val="single"/>
        </w:rPr>
        <w:t>August 21</w:t>
      </w:r>
      <w:r w:rsidR="000623B4" w:rsidRPr="009F7D9B">
        <w:rPr>
          <w:sz w:val="24"/>
          <w:szCs w:val="24"/>
          <w:u w:val="single"/>
        </w:rPr>
        <w:t>, 2014</w:t>
      </w:r>
      <w:r w:rsidRPr="009F7D9B">
        <w:rPr>
          <w:sz w:val="24"/>
          <w:szCs w:val="24"/>
        </w:rPr>
        <w:tab/>
      </w:r>
      <w:r w:rsidRPr="009F7D9B">
        <w:rPr>
          <w:sz w:val="24"/>
          <w:szCs w:val="24"/>
        </w:rPr>
        <w:tab/>
      </w:r>
      <w:r w:rsidRPr="009F7D9B">
        <w:rPr>
          <w:sz w:val="24"/>
          <w:szCs w:val="24"/>
        </w:rPr>
        <w:tab/>
      </w:r>
      <w:r w:rsidR="00935C58" w:rsidRPr="009F7D9B">
        <w:rPr>
          <w:sz w:val="24"/>
          <w:szCs w:val="24"/>
        </w:rPr>
        <w:tab/>
      </w:r>
      <w:r w:rsidR="00F54A66" w:rsidRPr="009F7D9B">
        <w:rPr>
          <w:sz w:val="24"/>
          <w:szCs w:val="24"/>
        </w:rPr>
        <w:tab/>
      </w:r>
      <w:r w:rsidR="00935C58" w:rsidRPr="009F7D9B">
        <w:rPr>
          <w:sz w:val="24"/>
          <w:szCs w:val="24"/>
          <w:u w:val="single"/>
        </w:rPr>
        <w:tab/>
      </w:r>
      <w:r w:rsidR="00935C58" w:rsidRPr="009F7D9B">
        <w:rPr>
          <w:sz w:val="24"/>
          <w:szCs w:val="24"/>
          <w:u w:val="single"/>
        </w:rPr>
        <w:tab/>
        <w:t>/s/</w:t>
      </w:r>
      <w:r w:rsidR="00935C58" w:rsidRPr="009F7D9B">
        <w:rPr>
          <w:sz w:val="24"/>
          <w:szCs w:val="24"/>
          <w:u w:val="single"/>
        </w:rPr>
        <w:tab/>
      </w:r>
      <w:r w:rsidR="00935C58" w:rsidRPr="009F7D9B">
        <w:rPr>
          <w:sz w:val="24"/>
          <w:szCs w:val="24"/>
          <w:u w:val="single"/>
        </w:rPr>
        <w:tab/>
      </w:r>
      <w:r w:rsidR="00935C58" w:rsidRPr="009F7D9B">
        <w:rPr>
          <w:sz w:val="24"/>
          <w:szCs w:val="24"/>
          <w:u w:val="single"/>
        </w:rPr>
        <w:tab/>
      </w:r>
    </w:p>
    <w:p w:rsidR="006C2C49" w:rsidRPr="009F7D9B" w:rsidRDefault="006C2C49" w:rsidP="00935C58">
      <w:pPr>
        <w:spacing w:line="240" w:lineRule="auto"/>
        <w:rPr>
          <w:sz w:val="24"/>
          <w:szCs w:val="24"/>
          <w:u w:val="single"/>
        </w:rPr>
      </w:pPr>
      <w:r w:rsidRPr="009F7D9B">
        <w:rPr>
          <w:sz w:val="24"/>
          <w:szCs w:val="24"/>
        </w:rPr>
        <w:tab/>
      </w:r>
      <w:r w:rsidRPr="009F7D9B">
        <w:rPr>
          <w:sz w:val="24"/>
          <w:szCs w:val="24"/>
        </w:rPr>
        <w:tab/>
      </w:r>
      <w:r w:rsidRPr="009F7D9B">
        <w:rPr>
          <w:sz w:val="24"/>
          <w:szCs w:val="24"/>
        </w:rPr>
        <w:tab/>
      </w:r>
      <w:r w:rsidRPr="009F7D9B">
        <w:rPr>
          <w:sz w:val="24"/>
          <w:szCs w:val="24"/>
        </w:rPr>
        <w:tab/>
      </w:r>
      <w:r w:rsidRPr="009F7D9B">
        <w:rPr>
          <w:sz w:val="24"/>
          <w:szCs w:val="24"/>
        </w:rPr>
        <w:tab/>
      </w:r>
      <w:r w:rsidRPr="009F7D9B">
        <w:rPr>
          <w:sz w:val="24"/>
          <w:szCs w:val="24"/>
        </w:rPr>
        <w:tab/>
      </w:r>
      <w:r w:rsidRPr="009F7D9B">
        <w:rPr>
          <w:sz w:val="24"/>
          <w:szCs w:val="24"/>
        </w:rPr>
        <w:tab/>
      </w:r>
      <w:r w:rsidRPr="009F7D9B">
        <w:rPr>
          <w:sz w:val="24"/>
          <w:szCs w:val="24"/>
        </w:rPr>
        <w:tab/>
        <w:t>Katrina L. Dunderdale</w:t>
      </w:r>
    </w:p>
    <w:p w:rsidR="006C2C49" w:rsidRDefault="006C2C49" w:rsidP="00935C58">
      <w:pPr>
        <w:spacing w:line="240" w:lineRule="auto"/>
        <w:rPr>
          <w:sz w:val="24"/>
          <w:szCs w:val="24"/>
        </w:rPr>
      </w:pPr>
      <w:r w:rsidRPr="009F7D9B">
        <w:rPr>
          <w:sz w:val="24"/>
          <w:szCs w:val="24"/>
        </w:rPr>
        <w:tab/>
      </w:r>
      <w:r w:rsidRPr="00ED1D67">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5848B9">
        <w:rPr>
          <w:sz w:val="24"/>
          <w:szCs w:val="24"/>
        </w:rPr>
        <w:tab/>
      </w:r>
      <w:r w:rsidRPr="00B73D10">
        <w:rPr>
          <w:sz w:val="24"/>
          <w:szCs w:val="24"/>
        </w:rPr>
        <w:t>Administrative Law Judge</w:t>
      </w:r>
    </w:p>
    <w:sectPr w:rsidR="006C2C49"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308" w:rsidRDefault="00330308">
      <w:r>
        <w:separator/>
      </w:r>
    </w:p>
  </w:endnote>
  <w:endnote w:type="continuationSeparator" w:id="0">
    <w:p w:rsidR="00330308" w:rsidRDefault="0033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06143D" w:rsidRDefault="00BF7A4B">
    <w:pPr>
      <w:pStyle w:val="Footer"/>
      <w:framePr w:wrap="around" w:vAnchor="text" w:hAnchor="margin" w:xAlign="center" w:y="1"/>
      <w:rPr>
        <w:rStyle w:val="PageNumber"/>
        <w:sz w:val="20"/>
      </w:rPr>
    </w:pPr>
    <w:r w:rsidRPr="0006143D">
      <w:rPr>
        <w:rStyle w:val="PageNumber"/>
        <w:sz w:val="20"/>
      </w:rPr>
      <w:fldChar w:fldCharType="begin"/>
    </w:r>
    <w:r w:rsidRPr="0006143D">
      <w:rPr>
        <w:rStyle w:val="PageNumber"/>
        <w:sz w:val="20"/>
      </w:rPr>
      <w:instrText xml:space="preserve">PAGE  </w:instrText>
    </w:r>
    <w:r w:rsidRPr="0006143D">
      <w:rPr>
        <w:rStyle w:val="PageNumber"/>
        <w:sz w:val="20"/>
      </w:rPr>
      <w:fldChar w:fldCharType="separate"/>
    </w:r>
    <w:r w:rsidR="000B012E">
      <w:rPr>
        <w:rStyle w:val="PageNumber"/>
        <w:noProof/>
        <w:sz w:val="20"/>
      </w:rPr>
      <w:t>14</w:t>
    </w:r>
    <w:r w:rsidRPr="0006143D">
      <w:rPr>
        <w:rStyle w:val="PageNumber"/>
        <w:sz w:val="20"/>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308" w:rsidRDefault="00330308">
      <w:r>
        <w:separator/>
      </w:r>
    </w:p>
  </w:footnote>
  <w:footnote w:type="continuationSeparator" w:id="0">
    <w:p w:rsidR="00330308" w:rsidRDefault="00330308">
      <w:r>
        <w:continuationSeparator/>
      </w:r>
    </w:p>
  </w:footnote>
  <w:footnote w:id="1">
    <w:p w:rsidR="00604E82" w:rsidRDefault="00604E82" w:rsidP="00604E82">
      <w:pPr>
        <w:pStyle w:val="FootnoteText"/>
        <w:ind w:firstLine="720"/>
      </w:pPr>
      <w:r>
        <w:rPr>
          <w:rStyle w:val="FootnoteReference"/>
        </w:rPr>
        <w:footnoteRef/>
      </w:r>
      <w:r>
        <w:t xml:space="preserve"> </w:t>
      </w:r>
      <w:r>
        <w:tab/>
        <w:t xml:space="preserve">Complainant did not allege any error by Respondent with regard to the existence or amount of the unpaid balance from the two previous addresses.  No information was provided by the parties concerning the addresses for those previous service addresses.  </w:t>
      </w:r>
    </w:p>
  </w:footnote>
  <w:footnote w:id="2">
    <w:p w:rsidR="00A41132" w:rsidRPr="00A41132" w:rsidRDefault="00A41132" w:rsidP="00A41132">
      <w:pPr>
        <w:pStyle w:val="FootnoteText"/>
        <w:ind w:firstLine="720"/>
      </w:pPr>
      <w:r w:rsidRPr="00A41132">
        <w:rPr>
          <w:rStyle w:val="FootnoteReference"/>
        </w:rPr>
        <w:footnoteRef/>
      </w:r>
      <w:r w:rsidRPr="00A41132">
        <w:t xml:space="preserve"> </w:t>
      </w:r>
      <w:r w:rsidRPr="00A41132">
        <w:tab/>
      </w:r>
      <w:proofErr w:type="gramStart"/>
      <w:r w:rsidRPr="00A41132">
        <w:rPr>
          <w:u w:val="single"/>
        </w:rPr>
        <w:t>Patterson v. Bell Telephone Co. of Pa.</w:t>
      </w:r>
      <w:r w:rsidR="00A01BF0">
        <w:t>, 72 Pa. P</w:t>
      </w:r>
      <w:r w:rsidRPr="00A41132">
        <w:t xml:space="preserve">UC 196 (1990); </w:t>
      </w:r>
      <w:r w:rsidRPr="00A41132">
        <w:rPr>
          <w:u w:val="single"/>
        </w:rPr>
        <w:t>Feinstein v. Philadelphia Suburban Water Co.</w:t>
      </w:r>
      <w:r w:rsidRPr="00A41132">
        <w:t>, 50 Pa. PUC 300 (1976).</w:t>
      </w:r>
      <w:proofErr w:type="gramEnd"/>
      <w:r w:rsidRPr="00A41132">
        <w:t xml:space="preserve">  </w:t>
      </w:r>
    </w:p>
  </w:footnote>
  <w:footnote w:id="3">
    <w:p w:rsidR="00A41132" w:rsidRPr="00A41132" w:rsidRDefault="00A41132" w:rsidP="00A41132">
      <w:pPr>
        <w:pStyle w:val="FootnoteText"/>
      </w:pPr>
    </w:p>
    <w:p w:rsidR="00A41132" w:rsidRPr="00A41132" w:rsidRDefault="00A41132" w:rsidP="00A41132">
      <w:pPr>
        <w:pStyle w:val="FootnoteText"/>
        <w:ind w:firstLine="720"/>
      </w:pPr>
      <w:r w:rsidRPr="00A41132">
        <w:rPr>
          <w:rStyle w:val="FootnoteReference"/>
        </w:rPr>
        <w:footnoteRef/>
      </w:r>
      <w:r w:rsidRPr="00A41132">
        <w:t xml:space="preserve"> </w:t>
      </w:r>
      <w:r w:rsidRPr="00A41132">
        <w:tab/>
      </w:r>
      <w:proofErr w:type="gramStart"/>
      <w:r w:rsidRPr="00A41132">
        <w:rPr>
          <w:u w:val="single"/>
        </w:rPr>
        <w:t xml:space="preserve">Samuel J. </w:t>
      </w:r>
      <w:proofErr w:type="spellStart"/>
      <w:r w:rsidRPr="00A41132">
        <w:rPr>
          <w:u w:val="single"/>
        </w:rPr>
        <w:t>Lansberry</w:t>
      </w:r>
      <w:proofErr w:type="spellEnd"/>
      <w:r w:rsidRPr="00A41132">
        <w:rPr>
          <w:u w:val="single"/>
        </w:rPr>
        <w:t>, Inc. v. Pa. Pub</w:t>
      </w:r>
      <w:r>
        <w:rPr>
          <w:u w:val="single"/>
        </w:rPr>
        <w:t>.</w:t>
      </w:r>
      <w:proofErr w:type="gramEnd"/>
      <w:r w:rsidR="000079BF">
        <w:rPr>
          <w:u w:val="single"/>
        </w:rPr>
        <w:t xml:space="preserve"> </w:t>
      </w:r>
      <w:proofErr w:type="gramStart"/>
      <w:r w:rsidRPr="00A41132">
        <w:rPr>
          <w:u w:val="single"/>
        </w:rPr>
        <w:t>Util</w:t>
      </w:r>
      <w:r>
        <w:rPr>
          <w:u w:val="single"/>
        </w:rPr>
        <w:t xml:space="preserve">. </w:t>
      </w:r>
      <w:proofErr w:type="spellStart"/>
      <w:r w:rsidRPr="00A41132">
        <w:rPr>
          <w:u w:val="single"/>
        </w:rPr>
        <w:t>Comm</w:t>
      </w:r>
      <w:r w:rsidR="000079BF">
        <w:rPr>
          <w:u w:val="single"/>
        </w:rPr>
        <w:t>’n</w:t>
      </w:r>
      <w:proofErr w:type="spellEnd"/>
      <w:r w:rsidRPr="00A41132">
        <w:t xml:space="preserve">, 578 A.2d 600 (Pa. </w:t>
      </w:r>
      <w:proofErr w:type="spellStart"/>
      <w:r w:rsidRPr="00A41132">
        <w:t>Cmwlth</w:t>
      </w:r>
      <w:proofErr w:type="spellEnd"/>
      <w:r w:rsidRPr="00A41132">
        <w:t xml:space="preserve">. 1990), </w:t>
      </w:r>
      <w:proofErr w:type="spellStart"/>
      <w:r w:rsidRPr="00A41132">
        <w:rPr>
          <w:u w:val="single"/>
        </w:rPr>
        <w:t>alloc</w:t>
      </w:r>
      <w:proofErr w:type="spellEnd"/>
      <w:r w:rsidRPr="00A41132">
        <w:rPr>
          <w:u w:val="single"/>
        </w:rPr>
        <w:t>.</w:t>
      </w:r>
      <w:proofErr w:type="gramEnd"/>
      <w:r w:rsidRPr="00A41132">
        <w:rPr>
          <w:u w:val="single"/>
        </w:rPr>
        <w:t xml:space="preserve"> </w:t>
      </w:r>
      <w:proofErr w:type="gramStart"/>
      <w:r w:rsidRPr="00A41132">
        <w:rPr>
          <w:u w:val="single"/>
        </w:rPr>
        <w:t>den.</w:t>
      </w:r>
      <w:r w:rsidRPr="00A41132">
        <w:t xml:space="preserve">, 602 A.2d 863 (Pa. 1992); </w:t>
      </w:r>
      <w:r w:rsidRPr="00A41132">
        <w:rPr>
          <w:u w:val="single"/>
        </w:rPr>
        <w:t xml:space="preserve">Se-Ling Hosiery v. </w:t>
      </w:r>
      <w:r w:rsidRPr="00A41132">
        <w:rPr>
          <w:spacing w:val="-3"/>
          <w:u w:val="single"/>
        </w:rPr>
        <w:t>Margulies</w:t>
      </w:r>
      <w:r w:rsidRPr="00A41132">
        <w:t>, 70 A.2d 854 (Pa. 1950).</w:t>
      </w:r>
      <w:proofErr w:type="gramEnd"/>
      <w:r w:rsidRPr="00A41132">
        <w:t xml:space="preserve">  </w:t>
      </w:r>
    </w:p>
  </w:footnote>
  <w:footnote w:id="4">
    <w:p w:rsidR="00A41132" w:rsidRPr="00A41132" w:rsidRDefault="00A41132" w:rsidP="00A41132">
      <w:pPr>
        <w:pStyle w:val="FootnoteText"/>
        <w:ind w:firstLine="720"/>
      </w:pPr>
      <w:r w:rsidRPr="00A41132">
        <w:rPr>
          <w:rStyle w:val="FootnoteReference"/>
        </w:rPr>
        <w:footnoteRef/>
      </w:r>
      <w:r w:rsidRPr="00A41132">
        <w:t xml:space="preserve"> </w:t>
      </w:r>
      <w:r w:rsidRPr="00A41132">
        <w:tab/>
      </w:r>
      <w:proofErr w:type="gramStart"/>
      <w:r w:rsidRPr="00A41132">
        <w:rPr>
          <w:u w:val="single"/>
        </w:rPr>
        <w:t>Mill v. Pa. Pub</w:t>
      </w:r>
      <w:r>
        <w:rPr>
          <w:u w:val="single"/>
        </w:rPr>
        <w:t>.</w:t>
      </w:r>
      <w:proofErr w:type="gramEnd"/>
      <w:r w:rsidRPr="00A41132">
        <w:rPr>
          <w:u w:val="single"/>
        </w:rPr>
        <w:t xml:space="preserve"> </w:t>
      </w:r>
      <w:proofErr w:type="gramStart"/>
      <w:r w:rsidRPr="00A41132">
        <w:rPr>
          <w:u w:val="single"/>
        </w:rPr>
        <w:t>Util</w:t>
      </w:r>
      <w:r>
        <w:rPr>
          <w:u w:val="single"/>
        </w:rPr>
        <w:t xml:space="preserve">. </w:t>
      </w:r>
      <w:proofErr w:type="spellStart"/>
      <w:r w:rsidRPr="00A41132">
        <w:rPr>
          <w:u w:val="single"/>
        </w:rPr>
        <w:t>Comm</w:t>
      </w:r>
      <w:r w:rsidR="000079BF">
        <w:rPr>
          <w:u w:val="single"/>
        </w:rPr>
        <w:t>’n</w:t>
      </w:r>
      <w:proofErr w:type="spellEnd"/>
      <w:r w:rsidRPr="00A41132">
        <w:t xml:space="preserve">, 447 A.2d 1100 (Pa. </w:t>
      </w:r>
      <w:proofErr w:type="spellStart"/>
      <w:r w:rsidRPr="00A41132">
        <w:t>Cmwlth</w:t>
      </w:r>
      <w:proofErr w:type="spellEnd"/>
      <w:r w:rsidRPr="00A41132">
        <w:t xml:space="preserve">. 1982); </w:t>
      </w:r>
      <w:proofErr w:type="spellStart"/>
      <w:r w:rsidRPr="00A41132">
        <w:rPr>
          <w:u w:val="single"/>
        </w:rPr>
        <w:t>Edan</w:t>
      </w:r>
      <w:proofErr w:type="spellEnd"/>
      <w:r w:rsidRPr="00A41132">
        <w:rPr>
          <w:u w:val="single"/>
        </w:rPr>
        <w:t xml:space="preserve"> Transportation Corp. v. Pa. Pub</w:t>
      </w:r>
      <w:r>
        <w:rPr>
          <w:u w:val="single"/>
        </w:rPr>
        <w:t>.</w:t>
      </w:r>
      <w:proofErr w:type="gramEnd"/>
      <w:r w:rsidRPr="00A41132">
        <w:rPr>
          <w:u w:val="single"/>
        </w:rPr>
        <w:t xml:space="preserve"> </w:t>
      </w:r>
      <w:proofErr w:type="gramStart"/>
      <w:r w:rsidRPr="00A41132">
        <w:rPr>
          <w:u w:val="single"/>
        </w:rPr>
        <w:t>Util</w:t>
      </w:r>
      <w:r>
        <w:rPr>
          <w:u w:val="single"/>
        </w:rPr>
        <w:t>.</w:t>
      </w:r>
      <w:r w:rsidRPr="00A41132">
        <w:rPr>
          <w:u w:val="single"/>
        </w:rPr>
        <w:t xml:space="preserve"> </w:t>
      </w:r>
      <w:proofErr w:type="spellStart"/>
      <w:r w:rsidRPr="00A41132">
        <w:rPr>
          <w:u w:val="single"/>
        </w:rPr>
        <w:t>Comm</w:t>
      </w:r>
      <w:r w:rsidR="000079BF">
        <w:rPr>
          <w:u w:val="single"/>
        </w:rPr>
        <w:t>’n</w:t>
      </w:r>
      <w:proofErr w:type="spellEnd"/>
      <w:r w:rsidRPr="00A41132">
        <w:t>, 623 A</w:t>
      </w:r>
      <w:r>
        <w:t xml:space="preserve">.2d 6 (Pa. </w:t>
      </w:r>
      <w:proofErr w:type="spellStart"/>
      <w:r>
        <w:t>Cmwlth</w:t>
      </w:r>
      <w:proofErr w:type="spellEnd"/>
      <w:r>
        <w:t xml:space="preserve">. 1993); 2 </w:t>
      </w:r>
      <w:proofErr w:type="spellStart"/>
      <w:r>
        <w:t>Pa.</w:t>
      </w:r>
      <w:r w:rsidRPr="00A41132">
        <w:t>C.S.A</w:t>
      </w:r>
      <w:proofErr w:type="spellEnd"/>
      <w:r w:rsidRPr="00A41132">
        <w:t>.</w:t>
      </w:r>
      <w:proofErr w:type="gramEnd"/>
      <w:r w:rsidRPr="00A41132">
        <w:t xml:space="preserve"> § 704.  </w:t>
      </w:r>
    </w:p>
  </w:footnote>
  <w:footnote w:id="5">
    <w:p w:rsidR="00A41132" w:rsidRPr="00A41132" w:rsidRDefault="00A41132" w:rsidP="00A41132">
      <w:pPr>
        <w:pStyle w:val="FootnoteText"/>
      </w:pPr>
    </w:p>
    <w:p w:rsidR="00A41132" w:rsidRPr="00A41132" w:rsidRDefault="00A41132" w:rsidP="00A41132">
      <w:pPr>
        <w:spacing w:line="240" w:lineRule="auto"/>
        <w:ind w:firstLine="720"/>
        <w:rPr>
          <w:sz w:val="20"/>
        </w:rPr>
      </w:pPr>
      <w:r w:rsidRPr="00A41132">
        <w:rPr>
          <w:rStyle w:val="FootnoteReference"/>
          <w:sz w:val="20"/>
        </w:rPr>
        <w:footnoteRef/>
      </w:r>
      <w:r w:rsidRPr="00A41132">
        <w:rPr>
          <w:sz w:val="20"/>
        </w:rPr>
        <w:t xml:space="preserve"> </w:t>
      </w:r>
      <w:r w:rsidRPr="00A41132">
        <w:rPr>
          <w:sz w:val="20"/>
        </w:rPr>
        <w:tab/>
      </w:r>
      <w:proofErr w:type="gramStart"/>
      <w:r w:rsidRPr="00A41132">
        <w:rPr>
          <w:sz w:val="20"/>
          <w:u w:val="single"/>
        </w:rPr>
        <w:t>Norfolk and Western Ry. v. Pa. Pub</w:t>
      </w:r>
      <w:r>
        <w:rPr>
          <w:sz w:val="20"/>
          <w:u w:val="single"/>
        </w:rPr>
        <w:t>.</w:t>
      </w:r>
      <w:proofErr w:type="gramEnd"/>
      <w:r w:rsidR="00A06EBD">
        <w:rPr>
          <w:sz w:val="20"/>
          <w:u w:val="single"/>
        </w:rPr>
        <w:t xml:space="preserve"> </w:t>
      </w:r>
      <w:proofErr w:type="gramStart"/>
      <w:r w:rsidRPr="00A41132">
        <w:rPr>
          <w:sz w:val="20"/>
          <w:u w:val="single"/>
        </w:rPr>
        <w:t>Util</w:t>
      </w:r>
      <w:r>
        <w:rPr>
          <w:sz w:val="20"/>
          <w:u w:val="single"/>
        </w:rPr>
        <w:t xml:space="preserve">. </w:t>
      </w:r>
      <w:proofErr w:type="spellStart"/>
      <w:r w:rsidRPr="00A41132">
        <w:rPr>
          <w:sz w:val="20"/>
          <w:u w:val="single"/>
        </w:rPr>
        <w:t>Comm</w:t>
      </w:r>
      <w:r w:rsidR="000079BF">
        <w:rPr>
          <w:sz w:val="20"/>
          <w:u w:val="single"/>
        </w:rPr>
        <w:t>’n</w:t>
      </w:r>
      <w:proofErr w:type="spellEnd"/>
      <w:r w:rsidRPr="00A41132">
        <w:rPr>
          <w:sz w:val="20"/>
        </w:rPr>
        <w:t xml:space="preserve">, 413 A.2d 1037 (Pa. 1980); </w:t>
      </w:r>
      <w:r w:rsidRPr="00A41132">
        <w:rPr>
          <w:sz w:val="20"/>
          <w:u w:val="single"/>
        </w:rPr>
        <w:t>Erie Resistor Corp.</w:t>
      </w:r>
      <w:r w:rsidR="000079BF">
        <w:rPr>
          <w:sz w:val="20"/>
          <w:u w:val="single"/>
        </w:rPr>
        <w:t> </w:t>
      </w:r>
      <w:r w:rsidRPr="00A41132">
        <w:rPr>
          <w:sz w:val="20"/>
          <w:u w:val="single"/>
        </w:rPr>
        <w:t>v. Unemployment Compensation Bd. of Review</w:t>
      </w:r>
      <w:r w:rsidRPr="00A41132">
        <w:rPr>
          <w:sz w:val="20"/>
        </w:rPr>
        <w:t xml:space="preserve">, 166 A.2d 96 (Pa. Super. 1960); </w:t>
      </w:r>
      <w:r w:rsidRPr="00A41132">
        <w:rPr>
          <w:sz w:val="20"/>
          <w:u w:val="single"/>
        </w:rPr>
        <w:t>Murphy v. Dep’t.</w:t>
      </w:r>
      <w:proofErr w:type="gramEnd"/>
      <w:r w:rsidRPr="00A41132">
        <w:rPr>
          <w:sz w:val="20"/>
          <w:u w:val="single"/>
        </w:rPr>
        <w:t xml:space="preserve"> </w:t>
      </w:r>
      <w:proofErr w:type="gramStart"/>
      <w:r w:rsidRPr="00A41132">
        <w:rPr>
          <w:sz w:val="20"/>
          <w:u w:val="single"/>
        </w:rPr>
        <w:t>of</w:t>
      </w:r>
      <w:proofErr w:type="gramEnd"/>
      <w:r w:rsidRPr="00A41132">
        <w:rPr>
          <w:sz w:val="20"/>
          <w:u w:val="single"/>
        </w:rPr>
        <w:t xml:space="preserve"> Public Welfare, White Haven Center</w:t>
      </w:r>
      <w:r w:rsidRPr="00A41132">
        <w:rPr>
          <w:sz w:val="20"/>
        </w:rPr>
        <w:t xml:space="preserve">, 480 A.2d 382 (Pa. </w:t>
      </w:r>
      <w:proofErr w:type="spellStart"/>
      <w:r w:rsidRPr="00A41132">
        <w:rPr>
          <w:sz w:val="20"/>
        </w:rPr>
        <w:t>Cmwlth</w:t>
      </w:r>
      <w:proofErr w:type="spellEnd"/>
      <w:r w:rsidRPr="00A41132">
        <w:rPr>
          <w:sz w:val="20"/>
        </w:rPr>
        <w:t>. 1984).</w:t>
      </w:r>
    </w:p>
    <w:p w:rsidR="00A41132" w:rsidRPr="00A41132" w:rsidRDefault="00A41132" w:rsidP="00A41132">
      <w:pPr>
        <w:pStyle w:val="FootnoteText"/>
        <w:ind w:firstLine="720"/>
      </w:pPr>
    </w:p>
  </w:footnote>
  <w:footnote w:id="6">
    <w:p w:rsidR="001B26D7" w:rsidRDefault="001B26D7" w:rsidP="001B26D7">
      <w:pPr>
        <w:pStyle w:val="FootnoteText"/>
        <w:ind w:firstLine="720"/>
      </w:pPr>
      <w:r>
        <w:rPr>
          <w:rStyle w:val="FootnoteReference"/>
        </w:rPr>
        <w:footnoteRef/>
      </w:r>
      <w:r>
        <w:t xml:space="preserve"> </w:t>
      </w:r>
      <w:r>
        <w:tab/>
        <w:t xml:space="preserve">Complainant’s natural gas service was restored in May 2014 when the parties reached an informal agreement to which Complainant later objected.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234"/>
    <w:multiLevelType w:val="hybridMultilevel"/>
    <w:tmpl w:val="3D36AC82"/>
    <w:lvl w:ilvl="0" w:tplc="E6169CB4">
      <w:start w:val="1"/>
      <w:numFmt w:val="decimal"/>
      <w:lvlText w:val="(%1)"/>
      <w:lvlJc w:val="left"/>
      <w:pPr>
        <w:ind w:left="2310" w:hanging="405"/>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3581A"/>
    <w:multiLevelType w:val="singleLevel"/>
    <w:tmpl w:val="0409000F"/>
    <w:lvl w:ilvl="0">
      <w:start w:val="1"/>
      <w:numFmt w:val="decimal"/>
      <w:lvlText w:val="%1."/>
      <w:lvlJc w:val="left"/>
      <w:pPr>
        <w:tabs>
          <w:tab w:val="num" w:pos="1980"/>
        </w:tabs>
        <w:ind w:left="1980" w:hanging="360"/>
      </w:pPr>
    </w:lvl>
  </w:abstractNum>
  <w:abstractNum w:abstractNumId="4">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5">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6">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9">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10">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2">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9"/>
  </w:num>
  <w:num w:numId="3">
    <w:abstractNumId w:val="4"/>
  </w:num>
  <w:num w:numId="4">
    <w:abstractNumId w:val="5"/>
  </w:num>
  <w:num w:numId="5">
    <w:abstractNumId w:val="11"/>
  </w:num>
  <w:num w:numId="6">
    <w:abstractNumId w:val="9"/>
    <w:lvlOverride w:ilvl="0">
      <w:startOverride w:val="1"/>
    </w:lvlOverride>
  </w:num>
  <w:num w:numId="7">
    <w:abstractNumId w:val="4"/>
    <w:lvlOverride w:ilvl="0">
      <w:startOverride w:val="1"/>
    </w:lvlOverride>
  </w:num>
  <w:num w:numId="8">
    <w:abstractNumId w:val="11"/>
    <w:lvlOverride w:ilvl="0">
      <w:startOverride w:val="2"/>
    </w:lvlOverride>
  </w:num>
  <w:num w:numId="9">
    <w:abstractNumId w:val="3"/>
  </w:num>
  <w:num w:numId="10">
    <w:abstractNumId w:val="12"/>
  </w:num>
  <w:num w:numId="11">
    <w:abstractNumId w:val="10"/>
  </w:num>
  <w:num w:numId="12">
    <w:abstractNumId w:val="2"/>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04709"/>
    <w:rsid w:val="00005552"/>
    <w:rsid w:val="000079BF"/>
    <w:rsid w:val="000106DB"/>
    <w:rsid w:val="00016819"/>
    <w:rsid w:val="000256AC"/>
    <w:rsid w:val="00025EB9"/>
    <w:rsid w:val="000268F4"/>
    <w:rsid w:val="0003169F"/>
    <w:rsid w:val="00032D30"/>
    <w:rsid w:val="00044200"/>
    <w:rsid w:val="00044B8E"/>
    <w:rsid w:val="00052FB6"/>
    <w:rsid w:val="0006143D"/>
    <w:rsid w:val="000623B4"/>
    <w:rsid w:val="00065149"/>
    <w:rsid w:val="00066D5D"/>
    <w:rsid w:val="000755DB"/>
    <w:rsid w:val="00083078"/>
    <w:rsid w:val="00083E16"/>
    <w:rsid w:val="000961CD"/>
    <w:rsid w:val="000A1439"/>
    <w:rsid w:val="000A34DF"/>
    <w:rsid w:val="000A492A"/>
    <w:rsid w:val="000A68FD"/>
    <w:rsid w:val="000B012E"/>
    <w:rsid w:val="000B0551"/>
    <w:rsid w:val="000B5D58"/>
    <w:rsid w:val="000C10B9"/>
    <w:rsid w:val="000C50A8"/>
    <w:rsid w:val="000C55C5"/>
    <w:rsid w:val="000D6D9C"/>
    <w:rsid w:val="001056A1"/>
    <w:rsid w:val="001125A4"/>
    <w:rsid w:val="00113941"/>
    <w:rsid w:val="0011768F"/>
    <w:rsid w:val="00120F44"/>
    <w:rsid w:val="0013025F"/>
    <w:rsid w:val="001339A3"/>
    <w:rsid w:val="00134104"/>
    <w:rsid w:val="0014638B"/>
    <w:rsid w:val="00152124"/>
    <w:rsid w:val="001623AF"/>
    <w:rsid w:val="001635F9"/>
    <w:rsid w:val="00166694"/>
    <w:rsid w:val="00174631"/>
    <w:rsid w:val="001760E3"/>
    <w:rsid w:val="00187E50"/>
    <w:rsid w:val="001908AF"/>
    <w:rsid w:val="00192CF9"/>
    <w:rsid w:val="00195CBA"/>
    <w:rsid w:val="00195D67"/>
    <w:rsid w:val="001A4858"/>
    <w:rsid w:val="001B26D7"/>
    <w:rsid w:val="001B2A30"/>
    <w:rsid w:val="001B2A4F"/>
    <w:rsid w:val="001B55FD"/>
    <w:rsid w:val="001C0002"/>
    <w:rsid w:val="001D439B"/>
    <w:rsid w:val="001D457F"/>
    <w:rsid w:val="001D7F06"/>
    <w:rsid w:val="001E2C0B"/>
    <w:rsid w:val="001E6855"/>
    <w:rsid w:val="001F16E2"/>
    <w:rsid w:val="001F6C83"/>
    <w:rsid w:val="0021278D"/>
    <w:rsid w:val="002135C1"/>
    <w:rsid w:val="00213C20"/>
    <w:rsid w:val="00227BCE"/>
    <w:rsid w:val="0024448A"/>
    <w:rsid w:val="0025358F"/>
    <w:rsid w:val="00256203"/>
    <w:rsid w:val="00256517"/>
    <w:rsid w:val="0025693E"/>
    <w:rsid w:val="002570A9"/>
    <w:rsid w:val="0026056B"/>
    <w:rsid w:val="0026154E"/>
    <w:rsid w:val="002724C0"/>
    <w:rsid w:val="00273706"/>
    <w:rsid w:val="00295FD6"/>
    <w:rsid w:val="002A0A90"/>
    <w:rsid w:val="002A1305"/>
    <w:rsid w:val="002A59BF"/>
    <w:rsid w:val="002A71D6"/>
    <w:rsid w:val="002C1528"/>
    <w:rsid w:val="002D48BD"/>
    <w:rsid w:val="002D58B4"/>
    <w:rsid w:val="002E25F3"/>
    <w:rsid w:val="002E2700"/>
    <w:rsid w:val="002E6BFE"/>
    <w:rsid w:val="00305F0D"/>
    <w:rsid w:val="00307CB3"/>
    <w:rsid w:val="00321B6F"/>
    <w:rsid w:val="00327855"/>
    <w:rsid w:val="00330308"/>
    <w:rsid w:val="00341B79"/>
    <w:rsid w:val="003420E6"/>
    <w:rsid w:val="0034210C"/>
    <w:rsid w:val="003460CC"/>
    <w:rsid w:val="00355E33"/>
    <w:rsid w:val="003611E4"/>
    <w:rsid w:val="00373E41"/>
    <w:rsid w:val="00373FEC"/>
    <w:rsid w:val="003759A4"/>
    <w:rsid w:val="00376E90"/>
    <w:rsid w:val="00382023"/>
    <w:rsid w:val="00383A25"/>
    <w:rsid w:val="00386F30"/>
    <w:rsid w:val="003948AF"/>
    <w:rsid w:val="003962EA"/>
    <w:rsid w:val="003A1270"/>
    <w:rsid w:val="003A2086"/>
    <w:rsid w:val="003A2251"/>
    <w:rsid w:val="003A2C39"/>
    <w:rsid w:val="003A31A9"/>
    <w:rsid w:val="003A33F5"/>
    <w:rsid w:val="003C7183"/>
    <w:rsid w:val="003D3AA4"/>
    <w:rsid w:val="003D4BB3"/>
    <w:rsid w:val="003F0927"/>
    <w:rsid w:val="003F34AA"/>
    <w:rsid w:val="003F68A9"/>
    <w:rsid w:val="004012A8"/>
    <w:rsid w:val="0041141D"/>
    <w:rsid w:val="00412886"/>
    <w:rsid w:val="00413763"/>
    <w:rsid w:val="0042086F"/>
    <w:rsid w:val="004222C6"/>
    <w:rsid w:val="004232E8"/>
    <w:rsid w:val="0043056E"/>
    <w:rsid w:val="00433CEC"/>
    <w:rsid w:val="0043514B"/>
    <w:rsid w:val="00437CE0"/>
    <w:rsid w:val="004415A2"/>
    <w:rsid w:val="00451160"/>
    <w:rsid w:val="00452A48"/>
    <w:rsid w:val="004768C7"/>
    <w:rsid w:val="00492425"/>
    <w:rsid w:val="004943DD"/>
    <w:rsid w:val="004A287A"/>
    <w:rsid w:val="004A4AC4"/>
    <w:rsid w:val="004A5400"/>
    <w:rsid w:val="004B1C1C"/>
    <w:rsid w:val="004B418C"/>
    <w:rsid w:val="004C0960"/>
    <w:rsid w:val="004C7417"/>
    <w:rsid w:val="004C7775"/>
    <w:rsid w:val="004D0D4F"/>
    <w:rsid w:val="004D3A10"/>
    <w:rsid w:val="004D6317"/>
    <w:rsid w:val="004D63DC"/>
    <w:rsid w:val="004E3DB9"/>
    <w:rsid w:val="004F032D"/>
    <w:rsid w:val="004F4E74"/>
    <w:rsid w:val="004F511D"/>
    <w:rsid w:val="004F6DF0"/>
    <w:rsid w:val="00507A2B"/>
    <w:rsid w:val="00530A02"/>
    <w:rsid w:val="0053722A"/>
    <w:rsid w:val="00537E8A"/>
    <w:rsid w:val="00540947"/>
    <w:rsid w:val="0054305A"/>
    <w:rsid w:val="00544BF3"/>
    <w:rsid w:val="005512F9"/>
    <w:rsid w:val="00552BB9"/>
    <w:rsid w:val="00556E9A"/>
    <w:rsid w:val="00557023"/>
    <w:rsid w:val="005609B8"/>
    <w:rsid w:val="00560FDD"/>
    <w:rsid w:val="0056630C"/>
    <w:rsid w:val="00567C6F"/>
    <w:rsid w:val="005745EB"/>
    <w:rsid w:val="00574E22"/>
    <w:rsid w:val="00576E65"/>
    <w:rsid w:val="00582A90"/>
    <w:rsid w:val="005848B9"/>
    <w:rsid w:val="00586497"/>
    <w:rsid w:val="0058651A"/>
    <w:rsid w:val="005910D5"/>
    <w:rsid w:val="00593D95"/>
    <w:rsid w:val="00594952"/>
    <w:rsid w:val="005957E1"/>
    <w:rsid w:val="005A4D6E"/>
    <w:rsid w:val="005B4757"/>
    <w:rsid w:val="005B5748"/>
    <w:rsid w:val="005B605C"/>
    <w:rsid w:val="005C24B1"/>
    <w:rsid w:val="005D3D7F"/>
    <w:rsid w:val="005E12B1"/>
    <w:rsid w:val="005E33F7"/>
    <w:rsid w:val="005E6F71"/>
    <w:rsid w:val="005F0598"/>
    <w:rsid w:val="005F38C3"/>
    <w:rsid w:val="005F5C9E"/>
    <w:rsid w:val="0060097E"/>
    <w:rsid w:val="00601B51"/>
    <w:rsid w:val="00604E82"/>
    <w:rsid w:val="00606BD0"/>
    <w:rsid w:val="00620C7B"/>
    <w:rsid w:val="006229A9"/>
    <w:rsid w:val="006339B4"/>
    <w:rsid w:val="006408EF"/>
    <w:rsid w:val="00644115"/>
    <w:rsid w:val="00655AE4"/>
    <w:rsid w:val="006647CC"/>
    <w:rsid w:val="00674464"/>
    <w:rsid w:val="0067602A"/>
    <w:rsid w:val="00676D32"/>
    <w:rsid w:val="0068349B"/>
    <w:rsid w:val="006837EE"/>
    <w:rsid w:val="00684B52"/>
    <w:rsid w:val="00685743"/>
    <w:rsid w:val="006902C1"/>
    <w:rsid w:val="006930B8"/>
    <w:rsid w:val="006A09A3"/>
    <w:rsid w:val="006B1F6C"/>
    <w:rsid w:val="006B3FEA"/>
    <w:rsid w:val="006C2C49"/>
    <w:rsid w:val="006D0E2D"/>
    <w:rsid w:val="006D252C"/>
    <w:rsid w:val="006D7DE2"/>
    <w:rsid w:val="006E1F15"/>
    <w:rsid w:val="006F0985"/>
    <w:rsid w:val="006F4A53"/>
    <w:rsid w:val="006F5CB0"/>
    <w:rsid w:val="006F5EA2"/>
    <w:rsid w:val="006F6BB8"/>
    <w:rsid w:val="00704938"/>
    <w:rsid w:val="007111ED"/>
    <w:rsid w:val="00712853"/>
    <w:rsid w:val="00720264"/>
    <w:rsid w:val="00723D2E"/>
    <w:rsid w:val="0072437C"/>
    <w:rsid w:val="007261AF"/>
    <w:rsid w:val="00735E13"/>
    <w:rsid w:val="00747019"/>
    <w:rsid w:val="00757BEB"/>
    <w:rsid w:val="007618E6"/>
    <w:rsid w:val="007654D9"/>
    <w:rsid w:val="00777AD8"/>
    <w:rsid w:val="00791F9B"/>
    <w:rsid w:val="007A01A8"/>
    <w:rsid w:val="007C4CD8"/>
    <w:rsid w:val="007D3509"/>
    <w:rsid w:val="007D5F4A"/>
    <w:rsid w:val="007E3448"/>
    <w:rsid w:val="007E4657"/>
    <w:rsid w:val="007F46D2"/>
    <w:rsid w:val="00803E31"/>
    <w:rsid w:val="00804DAB"/>
    <w:rsid w:val="00805247"/>
    <w:rsid w:val="00806C9B"/>
    <w:rsid w:val="00822088"/>
    <w:rsid w:val="00826177"/>
    <w:rsid w:val="0082726E"/>
    <w:rsid w:val="008325DF"/>
    <w:rsid w:val="0083274D"/>
    <w:rsid w:val="0083441D"/>
    <w:rsid w:val="00836DE4"/>
    <w:rsid w:val="00842C89"/>
    <w:rsid w:val="00850505"/>
    <w:rsid w:val="00850A24"/>
    <w:rsid w:val="00856305"/>
    <w:rsid w:val="008574F8"/>
    <w:rsid w:val="00860CC6"/>
    <w:rsid w:val="00861986"/>
    <w:rsid w:val="00862A3E"/>
    <w:rsid w:val="008648D6"/>
    <w:rsid w:val="00867FD3"/>
    <w:rsid w:val="00877C75"/>
    <w:rsid w:val="00881239"/>
    <w:rsid w:val="00881CA9"/>
    <w:rsid w:val="00884531"/>
    <w:rsid w:val="0088541A"/>
    <w:rsid w:val="008A7257"/>
    <w:rsid w:val="008B5083"/>
    <w:rsid w:val="008C21DB"/>
    <w:rsid w:val="008C2C84"/>
    <w:rsid w:val="008C60EC"/>
    <w:rsid w:val="008C756D"/>
    <w:rsid w:val="008D0113"/>
    <w:rsid w:val="008D478C"/>
    <w:rsid w:val="008E19AB"/>
    <w:rsid w:val="008E759A"/>
    <w:rsid w:val="008F030B"/>
    <w:rsid w:val="008F558D"/>
    <w:rsid w:val="00904696"/>
    <w:rsid w:val="009104E1"/>
    <w:rsid w:val="0091247C"/>
    <w:rsid w:val="00933177"/>
    <w:rsid w:val="00935C58"/>
    <w:rsid w:val="00937647"/>
    <w:rsid w:val="00937BC8"/>
    <w:rsid w:val="009409EB"/>
    <w:rsid w:val="00940C02"/>
    <w:rsid w:val="00944E17"/>
    <w:rsid w:val="00946C11"/>
    <w:rsid w:val="00946CB2"/>
    <w:rsid w:val="009504A6"/>
    <w:rsid w:val="009504F2"/>
    <w:rsid w:val="00951CFC"/>
    <w:rsid w:val="009578D1"/>
    <w:rsid w:val="0096189E"/>
    <w:rsid w:val="009753B7"/>
    <w:rsid w:val="00976B8E"/>
    <w:rsid w:val="00977B94"/>
    <w:rsid w:val="00977BB6"/>
    <w:rsid w:val="00980EFC"/>
    <w:rsid w:val="009828D3"/>
    <w:rsid w:val="00992A72"/>
    <w:rsid w:val="00992D2A"/>
    <w:rsid w:val="009941CB"/>
    <w:rsid w:val="00994613"/>
    <w:rsid w:val="00995398"/>
    <w:rsid w:val="00996FB5"/>
    <w:rsid w:val="00997FD4"/>
    <w:rsid w:val="009A3D9F"/>
    <w:rsid w:val="009B039D"/>
    <w:rsid w:val="009B6694"/>
    <w:rsid w:val="009B7489"/>
    <w:rsid w:val="009C594F"/>
    <w:rsid w:val="009D0D17"/>
    <w:rsid w:val="009D26C1"/>
    <w:rsid w:val="009D6599"/>
    <w:rsid w:val="009D6921"/>
    <w:rsid w:val="009D7777"/>
    <w:rsid w:val="009E1902"/>
    <w:rsid w:val="009F5506"/>
    <w:rsid w:val="009F7174"/>
    <w:rsid w:val="009F7D9B"/>
    <w:rsid w:val="00A01BF0"/>
    <w:rsid w:val="00A0630D"/>
    <w:rsid w:val="00A06EBD"/>
    <w:rsid w:val="00A10174"/>
    <w:rsid w:val="00A16CBC"/>
    <w:rsid w:val="00A22F11"/>
    <w:rsid w:val="00A2364A"/>
    <w:rsid w:val="00A23A1A"/>
    <w:rsid w:val="00A31FF8"/>
    <w:rsid w:val="00A36F77"/>
    <w:rsid w:val="00A40F64"/>
    <w:rsid w:val="00A41132"/>
    <w:rsid w:val="00A450CB"/>
    <w:rsid w:val="00A5362D"/>
    <w:rsid w:val="00A54C14"/>
    <w:rsid w:val="00A60625"/>
    <w:rsid w:val="00A62585"/>
    <w:rsid w:val="00A648CB"/>
    <w:rsid w:val="00A66258"/>
    <w:rsid w:val="00A7392E"/>
    <w:rsid w:val="00A75695"/>
    <w:rsid w:val="00A75B63"/>
    <w:rsid w:val="00A75EB0"/>
    <w:rsid w:val="00A8667C"/>
    <w:rsid w:val="00A964A8"/>
    <w:rsid w:val="00AA22B4"/>
    <w:rsid w:val="00AA3795"/>
    <w:rsid w:val="00AA3A21"/>
    <w:rsid w:val="00AB0456"/>
    <w:rsid w:val="00AB2D65"/>
    <w:rsid w:val="00AB68B6"/>
    <w:rsid w:val="00AB73D1"/>
    <w:rsid w:val="00AC1F69"/>
    <w:rsid w:val="00AC5192"/>
    <w:rsid w:val="00AD16D1"/>
    <w:rsid w:val="00AD671E"/>
    <w:rsid w:val="00AE0EA3"/>
    <w:rsid w:val="00AF4043"/>
    <w:rsid w:val="00AF7930"/>
    <w:rsid w:val="00B07ED7"/>
    <w:rsid w:val="00B20BB1"/>
    <w:rsid w:val="00B21A12"/>
    <w:rsid w:val="00B24E5C"/>
    <w:rsid w:val="00B256B7"/>
    <w:rsid w:val="00B33004"/>
    <w:rsid w:val="00B41D8F"/>
    <w:rsid w:val="00B45783"/>
    <w:rsid w:val="00B51F32"/>
    <w:rsid w:val="00B55CE7"/>
    <w:rsid w:val="00B67D11"/>
    <w:rsid w:val="00B839E8"/>
    <w:rsid w:val="00B93AED"/>
    <w:rsid w:val="00B93B14"/>
    <w:rsid w:val="00B96704"/>
    <w:rsid w:val="00B977D4"/>
    <w:rsid w:val="00BB279F"/>
    <w:rsid w:val="00BC6609"/>
    <w:rsid w:val="00BD0AF8"/>
    <w:rsid w:val="00BD1626"/>
    <w:rsid w:val="00BD656E"/>
    <w:rsid w:val="00BE0C66"/>
    <w:rsid w:val="00BE5A5C"/>
    <w:rsid w:val="00BF2437"/>
    <w:rsid w:val="00BF7747"/>
    <w:rsid w:val="00BF7A4B"/>
    <w:rsid w:val="00C1408A"/>
    <w:rsid w:val="00C146D5"/>
    <w:rsid w:val="00C1597F"/>
    <w:rsid w:val="00C354E5"/>
    <w:rsid w:val="00C43D25"/>
    <w:rsid w:val="00C44296"/>
    <w:rsid w:val="00C44A80"/>
    <w:rsid w:val="00C50F60"/>
    <w:rsid w:val="00C539BB"/>
    <w:rsid w:val="00C67E18"/>
    <w:rsid w:val="00C72198"/>
    <w:rsid w:val="00C7317C"/>
    <w:rsid w:val="00C870D6"/>
    <w:rsid w:val="00C9018A"/>
    <w:rsid w:val="00C90991"/>
    <w:rsid w:val="00C9371A"/>
    <w:rsid w:val="00C953A6"/>
    <w:rsid w:val="00C97273"/>
    <w:rsid w:val="00CA1541"/>
    <w:rsid w:val="00CA2DA8"/>
    <w:rsid w:val="00CA3270"/>
    <w:rsid w:val="00CA4DF4"/>
    <w:rsid w:val="00CA5FBB"/>
    <w:rsid w:val="00CC11CD"/>
    <w:rsid w:val="00CC3635"/>
    <w:rsid w:val="00CC7273"/>
    <w:rsid w:val="00CC7EAF"/>
    <w:rsid w:val="00CD48D9"/>
    <w:rsid w:val="00CE7869"/>
    <w:rsid w:val="00CE7E68"/>
    <w:rsid w:val="00CF32B0"/>
    <w:rsid w:val="00CF340C"/>
    <w:rsid w:val="00CF6039"/>
    <w:rsid w:val="00D0052C"/>
    <w:rsid w:val="00D02672"/>
    <w:rsid w:val="00D0271E"/>
    <w:rsid w:val="00D04E2C"/>
    <w:rsid w:val="00D07366"/>
    <w:rsid w:val="00D135A4"/>
    <w:rsid w:val="00D160E6"/>
    <w:rsid w:val="00D236A3"/>
    <w:rsid w:val="00D26DBD"/>
    <w:rsid w:val="00D30C6D"/>
    <w:rsid w:val="00D31D1F"/>
    <w:rsid w:val="00D345CF"/>
    <w:rsid w:val="00D3510C"/>
    <w:rsid w:val="00D44704"/>
    <w:rsid w:val="00D64DCB"/>
    <w:rsid w:val="00D66FE4"/>
    <w:rsid w:val="00D7007A"/>
    <w:rsid w:val="00D75CC2"/>
    <w:rsid w:val="00D82C44"/>
    <w:rsid w:val="00D86982"/>
    <w:rsid w:val="00D91CCB"/>
    <w:rsid w:val="00D947AA"/>
    <w:rsid w:val="00D95D32"/>
    <w:rsid w:val="00D95DB1"/>
    <w:rsid w:val="00DA026E"/>
    <w:rsid w:val="00DA16D1"/>
    <w:rsid w:val="00DA46A7"/>
    <w:rsid w:val="00DA6365"/>
    <w:rsid w:val="00DB1863"/>
    <w:rsid w:val="00DC1BB4"/>
    <w:rsid w:val="00DE2170"/>
    <w:rsid w:val="00DE2266"/>
    <w:rsid w:val="00DE2949"/>
    <w:rsid w:val="00DE7F93"/>
    <w:rsid w:val="00DF04BF"/>
    <w:rsid w:val="00DF171A"/>
    <w:rsid w:val="00DF7474"/>
    <w:rsid w:val="00E02815"/>
    <w:rsid w:val="00E03BB5"/>
    <w:rsid w:val="00E04BE4"/>
    <w:rsid w:val="00E0580F"/>
    <w:rsid w:val="00E1062D"/>
    <w:rsid w:val="00E126F9"/>
    <w:rsid w:val="00E1590C"/>
    <w:rsid w:val="00E176E7"/>
    <w:rsid w:val="00E17887"/>
    <w:rsid w:val="00E275BF"/>
    <w:rsid w:val="00E323D7"/>
    <w:rsid w:val="00E329DC"/>
    <w:rsid w:val="00E33BA9"/>
    <w:rsid w:val="00E363C3"/>
    <w:rsid w:val="00E40CA1"/>
    <w:rsid w:val="00E41E4A"/>
    <w:rsid w:val="00E45AE4"/>
    <w:rsid w:val="00E465DA"/>
    <w:rsid w:val="00E500AF"/>
    <w:rsid w:val="00E5034B"/>
    <w:rsid w:val="00E552CF"/>
    <w:rsid w:val="00E64EF2"/>
    <w:rsid w:val="00E73E5E"/>
    <w:rsid w:val="00E74CDD"/>
    <w:rsid w:val="00E77421"/>
    <w:rsid w:val="00E80B68"/>
    <w:rsid w:val="00E85864"/>
    <w:rsid w:val="00E91CE3"/>
    <w:rsid w:val="00E941D2"/>
    <w:rsid w:val="00E94B16"/>
    <w:rsid w:val="00E95A42"/>
    <w:rsid w:val="00E974E7"/>
    <w:rsid w:val="00EA7153"/>
    <w:rsid w:val="00EC0D25"/>
    <w:rsid w:val="00EC46E0"/>
    <w:rsid w:val="00EC4BF1"/>
    <w:rsid w:val="00EC6BFE"/>
    <w:rsid w:val="00EC725F"/>
    <w:rsid w:val="00ED1D67"/>
    <w:rsid w:val="00ED652F"/>
    <w:rsid w:val="00ED6B35"/>
    <w:rsid w:val="00EE0FF3"/>
    <w:rsid w:val="00EE480E"/>
    <w:rsid w:val="00EF3B1E"/>
    <w:rsid w:val="00EF5B66"/>
    <w:rsid w:val="00F01C8E"/>
    <w:rsid w:val="00F20008"/>
    <w:rsid w:val="00F220CF"/>
    <w:rsid w:val="00F2387A"/>
    <w:rsid w:val="00F30168"/>
    <w:rsid w:val="00F33940"/>
    <w:rsid w:val="00F43B77"/>
    <w:rsid w:val="00F45988"/>
    <w:rsid w:val="00F47C79"/>
    <w:rsid w:val="00F54A66"/>
    <w:rsid w:val="00F64594"/>
    <w:rsid w:val="00F64636"/>
    <w:rsid w:val="00F72B2B"/>
    <w:rsid w:val="00F73C62"/>
    <w:rsid w:val="00F772E0"/>
    <w:rsid w:val="00F825B0"/>
    <w:rsid w:val="00F961C4"/>
    <w:rsid w:val="00F97481"/>
    <w:rsid w:val="00FA2CDB"/>
    <w:rsid w:val="00FA367A"/>
    <w:rsid w:val="00FA47B6"/>
    <w:rsid w:val="00FA60CF"/>
    <w:rsid w:val="00FB2F18"/>
    <w:rsid w:val="00FB3BB1"/>
    <w:rsid w:val="00FB448C"/>
    <w:rsid w:val="00FB7AFF"/>
    <w:rsid w:val="00FC1FF8"/>
    <w:rsid w:val="00FC42F5"/>
    <w:rsid w:val="00FC5156"/>
    <w:rsid w:val="00FC524D"/>
    <w:rsid w:val="00FC6C5D"/>
    <w:rsid w:val="00FD00D0"/>
    <w:rsid w:val="00FD0A29"/>
    <w:rsid w:val="00FD47C4"/>
    <w:rsid w:val="00FF0BD9"/>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paragraph" w:styleId="Heading4">
    <w:name w:val="heading 4"/>
    <w:basedOn w:val="Normal"/>
    <w:next w:val="Normal"/>
    <w:link w:val="Heading4Char"/>
    <w:semiHidden/>
    <w:unhideWhenUsed/>
    <w:qFormat/>
    <w:rsid w:val="008E19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link w:val="FootnoteTextChar"/>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 w:type="character" w:customStyle="1" w:styleId="BodyTextChar">
    <w:name w:val="Body Text Char"/>
    <w:basedOn w:val="DefaultParagraphFont"/>
    <w:link w:val="BodyText"/>
    <w:rsid w:val="00980EFC"/>
    <w:rPr>
      <w:rFonts w:eastAsia="SimSun"/>
      <w:sz w:val="26"/>
    </w:rPr>
  </w:style>
  <w:style w:type="character" w:customStyle="1" w:styleId="FootnoteTextChar">
    <w:name w:val="Footnote Text Char"/>
    <w:basedOn w:val="DefaultParagraphFont"/>
    <w:link w:val="FootnoteText"/>
    <w:semiHidden/>
    <w:rsid w:val="00980EFC"/>
  </w:style>
  <w:style w:type="character" w:customStyle="1" w:styleId="Heading4Char">
    <w:name w:val="Heading 4 Char"/>
    <w:basedOn w:val="DefaultParagraphFont"/>
    <w:link w:val="Heading4"/>
    <w:semiHidden/>
    <w:rsid w:val="008E19AB"/>
    <w:rPr>
      <w:rFonts w:asciiTheme="majorHAnsi" w:eastAsiaTheme="majorEastAsia" w:hAnsiTheme="majorHAnsi" w:cstheme="majorBidi"/>
      <w:b/>
      <w:bCs/>
      <w:i/>
      <w:iCs/>
      <w:color w:val="4F81BD" w:themeColor="accent1"/>
      <w:sz w:val="26"/>
    </w:rPr>
  </w:style>
  <w:style w:type="paragraph" w:styleId="NormalWeb">
    <w:name w:val="Normal (Web)"/>
    <w:basedOn w:val="Normal"/>
    <w:unhideWhenUsed/>
    <w:rsid w:val="008E19AB"/>
    <w:pPr>
      <w:spacing w:before="100" w:beforeAutospacing="1" w:after="100" w:afterAutospacing="1" w:line="240" w:lineRule="auto"/>
    </w:pPr>
    <w:rPr>
      <w:sz w:val="24"/>
      <w:szCs w:val="24"/>
    </w:rPr>
  </w:style>
  <w:style w:type="paragraph" w:customStyle="1" w:styleId="Style0">
    <w:name w:val="Style0"/>
    <w:rsid w:val="00F54A66"/>
    <w:rPr>
      <w:rFonts w:ascii="Arial" w:hAnsi="Arial"/>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paragraph" w:styleId="Heading4">
    <w:name w:val="heading 4"/>
    <w:basedOn w:val="Normal"/>
    <w:next w:val="Normal"/>
    <w:link w:val="Heading4Char"/>
    <w:semiHidden/>
    <w:unhideWhenUsed/>
    <w:qFormat/>
    <w:rsid w:val="008E19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link w:val="FootnoteTextChar"/>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 w:type="character" w:customStyle="1" w:styleId="BodyTextChar">
    <w:name w:val="Body Text Char"/>
    <w:basedOn w:val="DefaultParagraphFont"/>
    <w:link w:val="BodyText"/>
    <w:rsid w:val="00980EFC"/>
    <w:rPr>
      <w:rFonts w:eastAsia="SimSun"/>
      <w:sz w:val="26"/>
    </w:rPr>
  </w:style>
  <w:style w:type="character" w:customStyle="1" w:styleId="FootnoteTextChar">
    <w:name w:val="Footnote Text Char"/>
    <w:basedOn w:val="DefaultParagraphFont"/>
    <w:link w:val="FootnoteText"/>
    <w:semiHidden/>
    <w:rsid w:val="00980EFC"/>
  </w:style>
  <w:style w:type="character" w:customStyle="1" w:styleId="Heading4Char">
    <w:name w:val="Heading 4 Char"/>
    <w:basedOn w:val="DefaultParagraphFont"/>
    <w:link w:val="Heading4"/>
    <w:semiHidden/>
    <w:rsid w:val="008E19AB"/>
    <w:rPr>
      <w:rFonts w:asciiTheme="majorHAnsi" w:eastAsiaTheme="majorEastAsia" w:hAnsiTheme="majorHAnsi" w:cstheme="majorBidi"/>
      <w:b/>
      <w:bCs/>
      <w:i/>
      <w:iCs/>
      <w:color w:val="4F81BD" w:themeColor="accent1"/>
      <w:sz w:val="26"/>
    </w:rPr>
  </w:style>
  <w:style w:type="paragraph" w:styleId="NormalWeb">
    <w:name w:val="Normal (Web)"/>
    <w:basedOn w:val="Normal"/>
    <w:unhideWhenUsed/>
    <w:rsid w:val="008E19AB"/>
    <w:pPr>
      <w:spacing w:before="100" w:beforeAutospacing="1" w:after="100" w:afterAutospacing="1" w:line="240" w:lineRule="auto"/>
    </w:pPr>
    <w:rPr>
      <w:sz w:val="24"/>
      <w:szCs w:val="24"/>
    </w:rPr>
  </w:style>
  <w:style w:type="paragraph" w:customStyle="1" w:styleId="Style0">
    <w:name w:val="Style0"/>
    <w:rsid w:val="00F54A66"/>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56A2C-8D28-4245-9A5D-13866E66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14</Pages>
  <Words>3320</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24</cp:revision>
  <cp:lastPrinted>2014-08-21T14:55:00Z</cp:lastPrinted>
  <dcterms:created xsi:type="dcterms:W3CDTF">2014-08-21T14:15:00Z</dcterms:created>
  <dcterms:modified xsi:type="dcterms:W3CDTF">2014-09-08T13:47:00Z</dcterms:modified>
</cp:coreProperties>
</file>