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BF3F9D" w:rsidRDefault="006010B7" w:rsidP="006010B7">
      <w:pPr>
        <w:spacing w:line="240" w:lineRule="auto"/>
        <w:rPr>
          <w:b/>
        </w:rPr>
      </w:pPr>
      <w:bookmarkStart w:id="0" w:name="_GoBack"/>
      <w:bookmarkEnd w:id="0"/>
      <w:r w:rsidRPr="00BF3F9D">
        <w:rPr>
          <w:b/>
        </w:rPr>
        <w:t xml:space="preserve">BEFORE THE </w:t>
      </w:r>
    </w:p>
    <w:p w:rsidR="006010B7" w:rsidRPr="00BF3F9D" w:rsidRDefault="006010B7" w:rsidP="006010B7">
      <w:pPr>
        <w:spacing w:line="240" w:lineRule="auto"/>
        <w:rPr>
          <w:b/>
        </w:rPr>
      </w:pPr>
      <w:r w:rsidRPr="00BF3F9D">
        <w:rPr>
          <w:b/>
        </w:rPr>
        <w:t>PENNSYLVANIA PUBLIC UTILITY COMMISSION</w:t>
      </w:r>
    </w:p>
    <w:p w:rsidR="006010B7" w:rsidRDefault="006010B7" w:rsidP="006010B7">
      <w:pPr>
        <w:spacing w:line="240" w:lineRule="auto"/>
        <w:rPr>
          <w:b/>
        </w:rPr>
      </w:pPr>
    </w:p>
    <w:p w:rsidR="00BF3F9D" w:rsidRPr="00BF3F9D" w:rsidRDefault="00BF3F9D" w:rsidP="006010B7">
      <w:pPr>
        <w:spacing w:line="240" w:lineRule="auto"/>
        <w:rPr>
          <w:b/>
        </w:rPr>
      </w:pPr>
    </w:p>
    <w:p w:rsidR="006010B7" w:rsidRPr="00BF3F9D" w:rsidRDefault="006010B7" w:rsidP="006010B7">
      <w:pPr>
        <w:spacing w:line="240" w:lineRule="auto"/>
        <w:rPr>
          <w:b/>
        </w:rPr>
      </w:pPr>
    </w:p>
    <w:p w:rsidR="006010B7" w:rsidRPr="00BF3F9D" w:rsidRDefault="006010B7" w:rsidP="006010B7">
      <w:pPr>
        <w:spacing w:line="240" w:lineRule="auto"/>
        <w:jc w:val="left"/>
      </w:pPr>
      <w:r w:rsidRPr="00BF3F9D">
        <w:t>Omar Ali</w:t>
      </w:r>
      <w:r w:rsidRPr="00BF3F9D">
        <w:tab/>
      </w:r>
      <w:r w:rsidRPr="00BF3F9D">
        <w:tab/>
      </w:r>
      <w:r w:rsidRPr="00BF3F9D">
        <w:tab/>
      </w:r>
      <w:r w:rsidRPr="00BF3F9D">
        <w:tab/>
      </w:r>
      <w:r w:rsidRPr="00BF3F9D">
        <w:tab/>
      </w:r>
      <w:r w:rsidRPr="00BF3F9D">
        <w:tab/>
        <w:t>:</w:t>
      </w:r>
    </w:p>
    <w:p w:rsidR="006010B7" w:rsidRPr="00BF3F9D" w:rsidRDefault="006010B7" w:rsidP="006010B7">
      <w:pPr>
        <w:spacing w:line="240" w:lineRule="auto"/>
        <w:jc w:val="left"/>
      </w:pPr>
      <w:r w:rsidRPr="00BF3F9D">
        <w:tab/>
      </w:r>
      <w:r w:rsidRPr="00BF3F9D">
        <w:tab/>
      </w:r>
      <w:r w:rsidRPr="00BF3F9D">
        <w:tab/>
      </w:r>
      <w:r w:rsidRPr="00BF3F9D">
        <w:tab/>
      </w:r>
      <w:r w:rsidRPr="00BF3F9D">
        <w:tab/>
      </w:r>
      <w:r w:rsidRPr="00BF3F9D">
        <w:tab/>
      </w:r>
      <w:r w:rsidRPr="00BF3F9D">
        <w:tab/>
        <w:t>:</w:t>
      </w:r>
    </w:p>
    <w:p w:rsidR="006010B7" w:rsidRPr="00BF3F9D" w:rsidRDefault="006010B7" w:rsidP="006010B7">
      <w:pPr>
        <w:spacing w:line="240" w:lineRule="auto"/>
        <w:jc w:val="left"/>
      </w:pPr>
      <w:r w:rsidRPr="00BF3F9D">
        <w:tab/>
        <w:t>v.</w:t>
      </w:r>
      <w:r w:rsidRPr="00BF3F9D">
        <w:tab/>
      </w:r>
      <w:r w:rsidRPr="00BF3F9D">
        <w:tab/>
      </w:r>
      <w:r w:rsidRPr="00BF3F9D">
        <w:tab/>
      </w:r>
      <w:r w:rsidRPr="00BF3F9D">
        <w:tab/>
      </w:r>
      <w:r w:rsidRPr="00BF3F9D">
        <w:tab/>
      </w:r>
      <w:r w:rsidRPr="00BF3F9D">
        <w:tab/>
      </w:r>
      <w:r w:rsidR="00BF3F9D">
        <w:t>:</w:t>
      </w:r>
      <w:r w:rsidR="00BF3F9D">
        <w:tab/>
      </w:r>
      <w:r w:rsidR="00BF3F9D">
        <w:tab/>
      </w:r>
      <w:r w:rsidRPr="00BF3F9D">
        <w:t>F-2014-2417840</w:t>
      </w:r>
    </w:p>
    <w:p w:rsidR="006010B7" w:rsidRPr="00BF3F9D" w:rsidRDefault="006010B7" w:rsidP="006010B7">
      <w:pPr>
        <w:spacing w:line="240" w:lineRule="auto"/>
        <w:jc w:val="left"/>
      </w:pPr>
      <w:r w:rsidRPr="00BF3F9D">
        <w:tab/>
      </w:r>
      <w:r w:rsidRPr="00BF3F9D">
        <w:tab/>
      </w:r>
      <w:r w:rsidRPr="00BF3F9D">
        <w:tab/>
      </w:r>
      <w:r w:rsidRPr="00BF3F9D">
        <w:tab/>
      </w:r>
      <w:r w:rsidRPr="00BF3F9D">
        <w:tab/>
      </w:r>
      <w:r w:rsidRPr="00BF3F9D">
        <w:tab/>
      </w:r>
      <w:r w:rsidRPr="00BF3F9D">
        <w:tab/>
        <w:t>:</w:t>
      </w:r>
    </w:p>
    <w:p w:rsidR="006010B7" w:rsidRPr="00BF3F9D" w:rsidRDefault="006010B7" w:rsidP="006010B7">
      <w:pPr>
        <w:spacing w:line="240" w:lineRule="auto"/>
        <w:jc w:val="left"/>
      </w:pPr>
      <w:r w:rsidRPr="00BF3F9D">
        <w:t>PECO Energy Company</w:t>
      </w:r>
      <w:r w:rsidRPr="00BF3F9D">
        <w:tab/>
      </w:r>
      <w:r w:rsidRPr="00BF3F9D">
        <w:tab/>
      </w:r>
      <w:r w:rsidRPr="00BF3F9D">
        <w:tab/>
      </w:r>
      <w:r w:rsidRPr="00BF3F9D">
        <w:tab/>
        <w:t>:</w:t>
      </w:r>
    </w:p>
    <w:p w:rsidR="006010B7" w:rsidRDefault="006010B7" w:rsidP="006010B7">
      <w:pPr>
        <w:spacing w:line="240" w:lineRule="auto"/>
        <w:jc w:val="left"/>
      </w:pPr>
    </w:p>
    <w:p w:rsidR="00BF3F9D" w:rsidRPr="00BF3F9D" w:rsidRDefault="00BF3F9D" w:rsidP="006010B7">
      <w:pPr>
        <w:spacing w:line="240" w:lineRule="auto"/>
        <w:jc w:val="left"/>
      </w:pPr>
    </w:p>
    <w:p w:rsidR="006010B7" w:rsidRPr="00BF3F9D" w:rsidRDefault="006010B7" w:rsidP="006010B7">
      <w:pPr>
        <w:spacing w:line="240" w:lineRule="auto"/>
        <w:jc w:val="left"/>
      </w:pPr>
    </w:p>
    <w:p w:rsidR="006010B7" w:rsidRPr="00BF3F9D" w:rsidRDefault="006010B7" w:rsidP="006010B7">
      <w:pPr>
        <w:spacing w:line="240" w:lineRule="auto"/>
        <w:rPr>
          <w:b/>
          <w:u w:val="single"/>
        </w:rPr>
      </w:pPr>
      <w:r w:rsidRPr="00BF3F9D">
        <w:rPr>
          <w:b/>
          <w:u w:val="single"/>
        </w:rPr>
        <w:t>INITIAL DECISION</w:t>
      </w:r>
    </w:p>
    <w:p w:rsidR="006010B7" w:rsidRPr="00BF3F9D" w:rsidRDefault="006010B7" w:rsidP="006010B7">
      <w:pPr>
        <w:spacing w:line="240" w:lineRule="auto"/>
        <w:rPr>
          <w:b/>
          <w:u w:val="single"/>
        </w:rPr>
      </w:pPr>
    </w:p>
    <w:p w:rsidR="006010B7" w:rsidRPr="00BF3F9D" w:rsidRDefault="006010B7" w:rsidP="006010B7">
      <w:pPr>
        <w:spacing w:line="240" w:lineRule="auto"/>
        <w:rPr>
          <w:b/>
          <w:u w:val="single"/>
        </w:rPr>
      </w:pPr>
    </w:p>
    <w:p w:rsidR="006010B7" w:rsidRPr="00BF3F9D" w:rsidRDefault="006010B7" w:rsidP="006010B7">
      <w:pPr>
        <w:spacing w:line="240" w:lineRule="auto"/>
      </w:pPr>
      <w:r w:rsidRPr="00BF3F9D">
        <w:t>Before</w:t>
      </w:r>
    </w:p>
    <w:p w:rsidR="006010B7" w:rsidRPr="00BF3F9D" w:rsidRDefault="006010B7" w:rsidP="006010B7">
      <w:pPr>
        <w:spacing w:line="240" w:lineRule="auto"/>
      </w:pPr>
      <w:r w:rsidRPr="00BF3F9D">
        <w:t>Susan D. Colwell</w:t>
      </w:r>
    </w:p>
    <w:p w:rsidR="006010B7" w:rsidRPr="00BF3F9D" w:rsidRDefault="006010B7" w:rsidP="006010B7">
      <w:pPr>
        <w:spacing w:line="240" w:lineRule="auto"/>
      </w:pPr>
      <w:r w:rsidRPr="00BF3F9D">
        <w:t>Administrative Law Judge</w:t>
      </w:r>
    </w:p>
    <w:p w:rsidR="006010B7" w:rsidRPr="00BF3F9D" w:rsidRDefault="006010B7" w:rsidP="006010B7">
      <w:pPr>
        <w:spacing w:line="240" w:lineRule="auto"/>
      </w:pPr>
    </w:p>
    <w:p w:rsidR="006010B7" w:rsidRPr="00BF3F9D" w:rsidRDefault="006010B7" w:rsidP="006010B7">
      <w:pPr>
        <w:spacing w:line="240" w:lineRule="auto"/>
      </w:pPr>
    </w:p>
    <w:p w:rsidR="006010B7" w:rsidRPr="00BF3F9D" w:rsidRDefault="006010B7" w:rsidP="006010B7">
      <w:pPr>
        <w:spacing w:line="240" w:lineRule="auto"/>
        <w:rPr>
          <w:u w:val="single"/>
        </w:rPr>
      </w:pPr>
      <w:r w:rsidRPr="00BF3F9D">
        <w:rPr>
          <w:u w:val="single"/>
        </w:rPr>
        <w:t>HISTORY OF THE PROCEEDING</w:t>
      </w:r>
    </w:p>
    <w:p w:rsidR="006010B7" w:rsidRPr="00BF3F9D" w:rsidRDefault="006010B7" w:rsidP="006010B7">
      <w:pPr>
        <w:spacing w:line="240" w:lineRule="auto"/>
        <w:rPr>
          <w:u w:val="single"/>
        </w:rPr>
      </w:pPr>
    </w:p>
    <w:p w:rsidR="006010B7" w:rsidRPr="00BF3F9D" w:rsidRDefault="006010B7" w:rsidP="009E548D">
      <w:pPr>
        <w:rPr>
          <w:u w:val="single"/>
        </w:rPr>
      </w:pPr>
    </w:p>
    <w:p w:rsidR="006010B7" w:rsidRPr="00BF3F9D" w:rsidRDefault="006010B7" w:rsidP="009E548D">
      <w:pPr>
        <w:jc w:val="left"/>
      </w:pPr>
      <w:r w:rsidRPr="00BF3F9D">
        <w:tab/>
      </w:r>
      <w:r w:rsidRPr="00BF3F9D">
        <w:tab/>
        <w:t>The purpose of this decision is to</w:t>
      </w:r>
      <w:r w:rsidR="009E548D" w:rsidRPr="00BF3F9D">
        <w:t xml:space="preserve"> dismiss a formal complaint for failure to establish that the utility violated an order, regulation or statute administered by the Commission.</w:t>
      </w:r>
    </w:p>
    <w:p w:rsidR="006010B7" w:rsidRPr="00BF3F9D" w:rsidRDefault="006010B7" w:rsidP="009E548D">
      <w:pPr>
        <w:jc w:val="left"/>
      </w:pPr>
    </w:p>
    <w:p w:rsidR="006010B7" w:rsidRPr="00BF3F9D" w:rsidRDefault="006010B7" w:rsidP="006010B7">
      <w:pPr>
        <w:jc w:val="left"/>
      </w:pPr>
      <w:r w:rsidRPr="00BF3F9D">
        <w:tab/>
      </w:r>
      <w:r w:rsidRPr="00BF3F9D">
        <w:tab/>
        <w:t>On April 13, 2014, Omar Ali (Complainant) filed a formal Complaint against PECO Energy Company (PECO or utility or Respondent) alleging that there are unauthorized charges on his bill and that he did not authorize a transfer.  He asks that the account be reviewed and checked for payments for the past two years and questions late fees and transfer charges of $288.73, $857.17 and $450.00 which he believes were added to his account improperly.</w:t>
      </w:r>
    </w:p>
    <w:p w:rsidR="006010B7" w:rsidRPr="00BF3F9D" w:rsidRDefault="006010B7" w:rsidP="006010B7">
      <w:pPr>
        <w:jc w:val="left"/>
      </w:pPr>
    </w:p>
    <w:p w:rsidR="003E3590" w:rsidRPr="00BF3F9D" w:rsidRDefault="006010B7" w:rsidP="006010B7">
      <w:pPr>
        <w:jc w:val="left"/>
      </w:pPr>
      <w:r w:rsidRPr="00BF3F9D">
        <w:tab/>
      </w:r>
      <w:r w:rsidRPr="00BF3F9D">
        <w:tab/>
        <w:t xml:space="preserve">The Commission's Secretary served the Complaint on PECO on April 24, 2014, and on May 12, 2014, PECO filed its Answer.  </w:t>
      </w:r>
      <w:r w:rsidR="003E3590" w:rsidRPr="00BF3F9D">
        <w:t>PECO states that the balance on Complainant's bill is correct and includes an amount transferred from another account in Complainant's name.  The case is a timely appeal of a Bureau of Consumer Services (BCS) informal decision at #003176631 dated February 27, 2014.</w:t>
      </w:r>
    </w:p>
    <w:p w:rsidR="003E3590" w:rsidRPr="00BF3F9D" w:rsidRDefault="003E3590" w:rsidP="006010B7">
      <w:pPr>
        <w:jc w:val="left"/>
      </w:pPr>
    </w:p>
    <w:p w:rsidR="003E3590" w:rsidRPr="00BF3F9D" w:rsidRDefault="003E3590" w:rsidP="006010B7">
      <w:pPr>
        <w:jc w:val="left"/>
      </w:pPr>
      <w:r w:rsidRPr="00BF3F9D">
        <w:lastRenderedPageBreak/>
        <w:tab/>
      </w:r>
      <w:r w:rsidRPr="00BF3F9D">
        <w:tab/>
        <w:t>On May 15, 2014, a telephone hearing notice was issued which set the evidentiary telephonic hearing for Tuesday, July 15, 2014, and assigned the matter to me.  On May 15, 2014, I issued a prehearing order which set forth some of the requirements for participation in a formal hearing.  In accordance with the directions in the prehearing order, PECO submitted proposed exhibits on July 8, 2014.</w:t>
      </w:r>
    </w:p>
    <w:p w:rsidR="003E3590" w:rsidRPr="00BF3F9D" w:rsidRDefault="003E3590" w:rsidP="006010B7">
      <w:pPr>
        <w:jc w:val="left"/>
      </w:pPr>
    </w:p>
    <w:p w:rsidR="003E3590" w:rsidRPr="00BF3F9D" w:rsidRDefault="003E3590" w:rsidP="006010B7">
      <w:pPr>
        <w:jc w:val="left"/>
      </w:pPr>
      <w:r w:rsidRPr="00BF3F9D">
        <w:tab/>
      </w:r>
      <w:r w:rsidRPr="00BF3F9D">
        <w:tab/>
        <w:t>On July 15, 2014, the hearing was convened as scheduled.  Complainant appeared on his own behalf, and PECO was represented by Shawane Lee, Esq.  PECO presented the testimony of one witness and sponsored 9 exhibits.  A transcript of 69 pages was generated, and the record closed upon its receipt on July 23, 2014.</w:t>
      </w:r>
    </w:p>
    <w:p w:rsidR="003E3590" w:rsidRPr="00BF3F9D" w:rsidRDefault="003E3590" w:rsidP="006010B7">
      <w:pPr>
        <w:jc w:val="left"/>
      </w:pPr>
    </w:p>
    <w:p w:rsidR="003E3590" w:rsidRPr="00BF3F9D" w:rsidRDefault="003E3590" w:rsidP="006010B7">
      <w:pPr>
        <w:jc w:val="left"/>
      </w:pPr>
      <w:r w:rsidRPr="00BF3F9D">
        <w:tab/>
      </w:r>
      <w:r w:rsidRPr="00BF3F9D">
        <w:tab/>
        <w:t>The matter is ripe for decision.</w:t>
      </w:r>
    </w:p>
    <w:p w:rsidR="003E3590" w:rsidRDefault="003E3590" w:rsidP="007F43D5">
      <w:pPr>
        <w:spacing w:line="240" w:lineRule="auto"/>
        <w:jc w:val="left"/>
      </w:pPr>
    </w:p>
    <w:p w:rsidR="007F43D5" w:rsidRPr="00BF3F9D" w:rsidRDefault="007F43D5" w:rsidP="007F43D5">
      <w:pPr>
        <w:spacing w:line="240" w:lineRule="auto"/>
        <w:jc w:val="left"/>
      </w:pPr>
    </w:p>
    <w:p w:rsidR="003E3590" w:rsidRPr="00BF3F9D" w:rsidRDefault="0009419B" w:rsidP="0009419B">
      <w:r w:rsidRPr="00BF3F9D">
        <w:rPr>
          <w:u w:val="single"/>
        </w:rPr>
        <w:t>FINDINGS OF FACT</w:t>
      </w:r>
    </w:p>
    <w:p w:rsidR="0009419B" w:rsidRPr="00BF3F9D" w:rsidRDefault="0009419B" w:rsidP="0009419B"/>
    <w:p w:rsidR="0009419B" w:rsidRPr="00BF3F9D" w:rsidRDefault="0009419B" w:rsidP="0009419B">
      <w:pPr>
        <w:jc w:val="left"/>
      </w:pPr>
      <w:r w:rsidRPr="00BF3F9D">
        <w:tab/>
      </w:r>
      <w:r w:rsidRPr="00BF3F9D">
        <w:tab/>
        <w:t>1.</w:t>
      </w:r>
      <w:r w:rsidRPr="00BF3F9D">
        <w:tab/>
        <w:t>Complainant is Omar Ali, 1222 Angora Drive, Yeadon PA 19050.  Tr. 10.</w:t>
      </w:r>
    </w:p>
    <w:p w:rsidR="0009419B" w:rsidRPr="00BF3F9D" w:rsidRDefault="0009419B" w:rsidP="0009419B">
      <w:pPr>
        <w:jc w:val="left"/>
      </w:pPr>
    </w:p>
    <w:p w:rsidR="0009419B" w:rsidRPr="00BF3F9D" w:rsidRDefault="0009419B" w:rsidP="0009419B">
      <w:pPr>
        <w:jc w:val="left"/>
      </w:pPr>
      <w:r w:rsidRPr="00BF3F9D">
        <w:tab/>
      </w:r>
      <w:r w:rsidRPr="00BF3F9D">
        <w:tab/>
        <w:t>2.</w:t>
      </w:r>
      <w:r w:rsidRPr="00BF3F9D">
        <w:tab/>
        <w:t xml:space="preserve">Respondent is PECO Energy Company, a jurisdictional public utility providing residential </w:t>
      </w:r>
      <w:r w:rsidR="000A6D0B" w:rsidRPr="00BF3F9D">
        <w:t>gas</w:t>
      </w:r>
      <w:r w:rsidR="005E4FBB" w:rsidRPr="00BF3F9D">
        <w:t xml:space="preserve"> and electric</w:t>
      </w:r>
      <w:r w:rsidRPr="00BF3F9D">
        <w:t xml:space="preserve"> service in the Commonwealth of Pennsylvania.</w:t>
      </w:r>
    </w:p>
    <w:p w:rsidR="0009419B" w:rsidRPr="00BF3F9D" w:rsidRDefault="0009419B" w:rsidP="0009419B">
      <w:pPr>
        <w:jc w:val="left"/>
      </w:pPr>
    </w:p>
    <w:p w:rsidR="0009419B" w:rsidRPr="00BF3F9D" w:rsidRDefault="0009419B" w:rsidP="0009419B">
      <w:pPr>
        <w:jc w:val="left"/>
      </w:pPr>
      <w:r w:rsidRPr="00BF3F9D">
        <w:tab/>
      </w:r>
      <w:r w:rsidRPr="00BF3F9D">
        <w:tab/>
        <w:t>3.</w:t>
      </w:r>
      <w:r w:rsidRPr="00BF3F9D">
        <w:tab/>
      </w:r>
      <w:r w:rsidR="00311F06" w:rsidRPr="00BF3F9D">
        <w:t xml:space="preserve">Complainant has an account at 1222 Angora </w:t>
      </w:r>
      <w:r w:rsidR="001D417E" w:rsidRPr="00BF3F9D">
        <w:t xml:space="preserve">Street </w:t>
      </w:r>
      <w:r w:rsidR="00311F06" w:rsidRPr="00BF3F9D">
        <w:t>and a separate account at 17 Woodbine Avenue.  Tr. 12.</w:t>
      </w:r>
    </w:p>
    <w:p w:rsidR="00311F06" w:rsidRPr="00BF3F9D" w:rsidRDefault="00311F06" w:rsidP="0009419B">
      <w:pPr>
        <w:jc w:val="left"/>
      </w:pPr>
    </w:p>
    <w:p w:rsidR="00311F06" w:rsidRPr="00BF3F9D" w:rsidRDefault="00311F06" w:rsidP="0009419B">
      <w:pPr>
        <w:jc w:val="left"/>
      </w:pPr>
      <w:r w:rsidRPr="00BF3F9D">
        <w:tab/>
      </w:r>
      <w:r w:rsidRPr="00BF3F9D">
        <w:tab/>
        <w:t>4.</w:t>
      </w:r>
      <w:r w:rsidRPr="00BF3F9D">
        <w:tab/>
        <w:t>Complainant has a family of ten.  Tr. 12.</w:t>
      </w:r>
    </w:p>
    <w:p w:rsidR="00311F06" w:rsidRPr="00BF3F9D" w:rsidRDefault="00311F06" w:rsidP="0009419B">
      <w:pPr>
        <w:jc w:val="left"/>
      </w:pPr>
    </w:p>
    <w:p w:rsidR="00311F06" w:rsidRPr="00BF3F9D" w:rsidRDefault="00311F06" w:rsidP="0009419B">
      <w:pPr>
        <w:jc w:val="left"/>
      </w:pPr>
      <w:r w:rsidRPr="00BF3F9D">
        <w:tab/>
      </w:r>
      <w:r w:rsidRPr="00BF3F9D">
        <w:tab/>
        <w:t>5.</w:t>
      </w:r>
      <w:r w:rsidRPr="00BF3F9D">
        <w:tab/>
        <w:t>PECO's addition of a late payment charge resulted in his making payments which would not reduce the amount due.  Tr. 14.</w:t>
      </w:r>
    </w:p>
    <w:p w:rsidR="00311F06" w:rsidRPr="00BF3F9D" w:rsidRDefault="00311F06" w:rsidP="0009419B">
      <w:pPr>
        <w:jc w:val="left"/>
      </w:pPr>
    </w:p>
    <w:p w:rsidR="00311F06" w:rsidRPr="00BF3F9D" w:rsidRDefault="00311F06" w:rsidP="0009419B">
      <w:pPr>
        <w:jc w:val="left"/>
      </w:pPr>
      <w:r w:rsidRPr="00BF3F9D">
        <w:tab/>
      </w:r>
      <w:r w:rsidRPr="00BF3F9D">
        <w:tab/>
        <w:t>6.</w:t>
      </w:r>
      <w:r w:rsidRPr="00BF3F9D">
        <w:tab/>
        <w:t>PECO lists his accounts as one account at Angora Street and two accounts at Woodbine Avenue.  Tr. 15.</w:t>
      </w:r>
    </w:p>
    <w:p w:rsidR="00311F06" w:rsidRPr="00BF3F9D" w:rsidRDefault="00311F06" w:rsidP="0009419B">
      <w:pPr>
        <w:jc w:val="left"/>
      </w:pPr>
    </w:p>
    <w:p w:rsidR="00311F06" w:rsidRPr="00BF3F9D" w:rsidRDefault="00311F06" w:rsidP="0009419B">
      <w:pPr>
        <w:jc w:val="left"/>
      </w:pPr>
      <w:r w:rsidRPr="00BF3F9D">
        <w:lastRenderedPageBreak/>
        <w:tab/>
      </w:r>
      <w:r w:rsidRPr="00BF3F9D">
        <w:tab/>
        <w:t>7.</w:t>
      </w:r>
      <w:r w:rsidRPr="00BF3F9D">
        <w:tab/>
      </w:r>
      <w:r w:rsidR="002430A9" w:rsidRPr="00BF3F9D">
        <w:t>PECO closed one of the Woodbine Avenue accounts and added the balance to the other Woodbine Avenue account.  Tr. 15.</w:t>
      </w:r>
    </w:p>
    <w:p w:rsidR="002430A9" w:rsidRPr="00BF3F9D" w:rsidRDefault="002430A9" w:rsidP="0009419B">
      <w:pPr>
        <w:jc w:val="left"/>
      </w:pPr>
    </w:p>
    <w:p w:rsidR="002430A9" w:rsidRPr="00BF3F9D" w:rsidRDefault="002430A9" w:rsidP="0009419B">
      <w:pPr>
        <w:jc w:val="left"/>
      </w:pPr>
      <w:r w:rsidRPr="00BF3F9D">
        <w:tab/>
      </w:r>
      <w:r w:rsidRPr="00BF3F9D">
        <w:tab/>
        <w:t>8.</w:t>
      </w:r>
      <w:r w:rsidRPr="00BF3F9D">
        <w:tab/>
        <w:t xml:space="preserve">Complainant paid extra on his budget billing but </w:t>
      </w:r>
      <w:r w:rsidR="00322F8D" w:rsidRPr="00BF3F9D">
        <w:t>the balance did not go down</w:t>
      </w:r>
      <w:r w:rsidRPr="00BF3F9D">
        <w:t>.  Tr. 16.</w:t>
      </w:r>
    </w:p>
    <w:p w:rsidR="002430A9" w:rsidRPr="00BF3F9D" w:rsidRDefault="002430A9" w:rsidP="0009419B">
      <w:pPr>
        <w:jc w:val="left"/>
      </w:pPr>
    </w:p>
    <w:p w:rsidR="002430A9" w:rsidRPr="00BF3F9D" w:rsidRDefault="002430A9" w:rsidP="0009419B">
      <w:pPr>
        <w:jc w:val="left"/>
      </w:pPr>
      <w:r w:rsidRPr="00BF3F9D">
        <w:tab/>
      </w:r>
      <w:r w:rsidRPr="00BF3F9D">
        <w:tab/>
        <w:t>9.</w:t>
      </w:r>
      <w:r w:rsidRPr="00BF3F9D">
        <w:tab/>
        <w:t>Late charges increase the balance of the accounts.  Tr. 17.</w:t>
      </w:r>
    </w:p>
    <w:p w:rsidR="002430A9" w:rsidRPr="00BF3F9D" w:rsidRDefault="002430A9" w:rsidP="0009419B">
      <w:pPr>
        <w:jc w:val="left"/>
      </w:pPr>
    </w:p>
    <w:p w:rsidR="002430A9" w:rsidRPr="00BF3F9D" w:rsidRDefault="002430A9" w:rsidP="0009419B">
      <w:pPr>
        <w:jc w:val="left"/>
      </w:pPr>
      <w:r w:rsidRPr="00BF3F9D">
        <w:tab/>
      </w:r>
      <w:r w:rsidRPr="00BF3F9D">
        <w:tab/>
        <w:t>10.</w:t>
      </w:r>
      <w:r w:rsidRPr="00BF3F9D">
        <w:tab/>
        <w:t>The Woodbine Avenue address is comprised of two units, front and back.  Tr. 19-21.</w:t>
      </w:r>
    </w:p>
    <w:p w:rsidR="002430A9" w:rsidRPr="00BF3F9D" w:rsidRDefault="002430A9" w:rsidP="0009419B">
      <w:pPr>
        <w:jc w:val="left"/>
      </w:pPr>
    </w:p>
    <w:p w:rsidR="002430A9" w:rsidRPr="00BF3F9D" w:rsidRDefault="002430A9" w:rsidP="0009419B">
      <w:pPr>
        <w:jc w:val="left"/>
      </w:pPr>
      <w:r w:rsidRPr="00BF3F9D">
        <w:tab/>
      </w:r>
      <w:r w:rsidRPr="00BF3F9D">
        <w:tab/>
        <w:t>11.</w:t>
      </w:r>
      <w:r w:rsidRPr="00BF3F9D">
        <w:tab/>
      </w:r>
      <w:r w:rsidR="009B33D5" w:rsidRPr="00BF3F9D">
        <w:t>When Complainant's family vacated the Woodbine address, the balance was transferred to the Angora Street account.  Tr. 22.</w:t>
      </w:r>
    </w:p>
    <w:p w:rsidR="009B33D5" w:rsidRPr="00BF3F9D" w:rsidRDefault="009B33D5" w:rsidP="0009419B">
      <w:pPr>
        <w:jc w:val="left"/>
      </w:pPr>
    </w:p>
    <w:p w:rsidR="009B33D5" w:rsidRPr="00BF3F9D" w:rsidRDefault="009B33D5" w:rsidP="0009419B">
      <w:pPr>
        <w:jc w:val="left"/>
      </w:pPr>
      <w:r w:rsidRPr="00BF3F9D">
        <w:tab/>
      </w:r>
      <w:r w:rsidRPr="00BF3F9D">
        <w:tab/>
        <w:t>12.</w:t>
      </w:r>
      <w:r w:rsidRPr="00BF3F9D">
        <w:tab/>
        <w:t>The transferred balance is the subject of the dispute.  Tr. 22.</w:t>
      </w:r>
    </w:p>
    <w:p w:rsidR="009B33D5" w:rsidRPr="00BF3F9D" w:rsidRDefault="009B33D5" w:rsidP="0009419B">
      <w:pPr>
        <w:jc w:val="left"/>
      </w:pPr>
    </w:p>
    <w:p w:rsidR="009B33D5" w:rsidRPr="00BF3F9D" w:rsidRDefault="009B33D5" w:rsidP="0009419B">
      <w:pPr>
        <w:jc w:val="left"/>
      </w:pPr>
      <w:r w:rsidRPr="00BF3F9D">
        <w:tab/>
      </w:r>
      <w:r w:rsidRPr="00BF3F9D">
        <w:tab/>
        <w:t>13.</w:t>
      </w:r>
      <w:r w:rsidRPr="00BF3F9D">
        <w:tab/>
      </w:r>
      <w:r w:rsidR="000A6D0B" w:rsidRPr="00BF3F9D">
        <w:t>Teresa Ferrier</w:t>
      </w:r>
      <w:r w:rsidR="000A6D0B" w:rsidRPr="00BF3F9D">
        <w:rPr>
          <w:rStyle w:val="FootnoteReference"/>
        </w:rPr>
        <w:footnoteReference w:id="1"/>
      </w:r>
      <w:r w:rsidR="005E4FBB" w:rsidRPr="00BF3F9D">
        <w:t>,</w:t>
      </w:r>
      <w:r w:rsidR="000A6D0B" w:rsidRPr="00BF3F9D">
        <w:t xml:space="preserve"> senior regulatory assessor for PECO, appeared and testified on behalf of Respondent.  Tr. 35.</w:t>
      </w:r>
    </w:p>
    <w:p w:rsidR="000A6D0B" w:rsidRPr="00BF3F9D" w:rsidRDefault="000A6D0B" w:rsidP="0009419B">
      <w:pPr>
        <w:jc w:val="left"/>
      </w:pPr>
    </w:p>
    <w:p w:rsidR="000A6D0B" w:rsidRPr="00BF3F9D" w:rsidRDefault="000A6D0B" w:rsidP="0009419B">
      <w:pPr>
        <w:jc w:val="left"/>
      </w:pPr>
      <w:r w:rsidRPr="00BF3F9D">
        <w:tab/>
      </w:r>
      <w:r w:rsidRPr="00BF3F9D">
        <w:tab/>
        <w:t>14.</w:t>
      </w:r>
      <w:r w:rsidRPr="00BF3F9D">
        <w:tab/>
        <w:t xml:space="preserve">PECO Exhibit 1 is </w:t>
      </w:r>
      <w:r w:rsidR="005E4FBB" w:rsidRPr="00BF3F9D">
        <w:t>the gas account statement for 17 Woodbine Avenue from December 7, 2011 through September 13, 2013.  Tr. 36, 38; PECO Ex. 1.</w:t>
      </w:r>
    </w:p>
    <w:p w:rsidR="005E4FBB" w:rsidRPr="00BF3F9D" w:rsidRDefault="005E4FBB" w:rsidP="0009419B">
      <w:pPr>
        <w:jc w:val="left"/>
      </w:pPr>
    </w:p>
    <w:p w:rsidR="005E4FBB" w:rsidRPr="00BF3F9D" w:rsidRDefault="005E4FBB" w:rsidP="0009419B">
      <w:pPr>
        <w:jc w:val="left"/>
      </w:pPr>
      <w:r w:rsidRPr="00BF3F9D">
        <w:tab/>
      </w:r>
      <w:r w:rsidRPr="00BF3F9D">
        <w:tab/>
        <w:t>15.</w:t>
      </w:r>
      <w:r w:rsidRPr="00BF3F9D">
        <w:tab/>
        <w:t>Complainant had one gas service account at the Woodbine Avenue address.  Tr. 37.</w:t>
      </w:r>
    </w:p>
    <w:p w:rsidR="005E4FBB" w:rsidRPr="00BF3F9D" w:rsidRDefault="005E4FBB" w:rsidP="0009419B">
      <w:pPr>
        <w:jc w:val="left"/>
      </w:pPr>
    </w:p>
    <w:p w:rsidR="005E4FBB" w:rsidRPr="00BF3F9D" w:rsidRDefault="005E4FBB" w:rsidP="0009419B">
      <w:pPr>
        <w:jc w:val="left"/>
      </w:pPr>
      <w:r w:rsidRPr="00BF3F9D">
        <w:tab/>
      </w:r>
      <w:r w:rsidRPr="00BF3F9D">
        <w:tab/>
        <w:t>16.</w:t>
      </w:r>
      <w:r w:rsidRPr="00BF3F9D">
        <w:tab/>
        <w:t>PECO did not receive full payment each month by the due date for the gas account at Woodbine Avenue.  Tr. 38; PECO Ex. 1.</w:t>
      </w:r>
    </w:p>
    <w:p w:rsidR="005E4FBB" w:rsidRPr="00BF3F9D" w:rsidRDefault="005E4FBB" w:rsidP="0009419B">
      <w:pPr>
        <w:jc w:val="left"/>
      </w:pPr>
    </w:p>
    <w:p w:rsidR="005E4FBB" w:rsidRPr="00BF3F9D" w:rsidRDefault="005E4FBB" w:rsidP="0009419B">
      <w:pPr>
        <w:jc w:val="left"/>
      </w:pPr>
      <w:r w:rsidRPr="00BF3F9D">
        <w:tab/>
      </w:r>
      <w:r w:rsidRPr="00BF3F9D">
        <w:tab/>
        <w:t>17.</w:t>
      </w:r>
      <w:r w:rsidRPr="00BF3F9D">
        <w:tab/>
        <w:t>When the final gas bill was rendered for the Woodbine Avenue account, there was $1,745.28 due.  Tr. 39.</w:t>
      </w:r>
    </w:p>
    <w:p w:rsidR="005E4FBB" w:rsidRPr="00BF3F9D" w:rsidRDefault="005E4FBB" w:rsidP="0009419B">
      <w:pPr>
        <w:jc w:val="left"/>
      </w:pPr>
    </w:p>
    <w:p w:rsidR="005E4FBB" w:rsidRPr="00BF3F9D" w:rsidRDefault="005E4FBB" w:rsidP="0009419B">
      <w:pPr>
        <w:jc w:val="left"/>
      </w:pPr>
      <w:r w:rsidRPr="00BF3F9D">
        <w:tab/>
      </w:r>
      <w:r w:rsidRPr="00BF3F9D">
        <w:tab/>
        <w:t>18.</w:t>
      </w:r>
      <w:r w:rsidRPr="00BF3F9D">
        <w:tab/>
        <w:t>Complainant was not enrolled in budget billing for gas service at the Woodbine Avenue address during the time reflected in PECO Exhibit 1.  Tr. 39.</w:t>
      </w:r>
    </w:p>
    <w:p w:rsidR="005E4FBB" w:rsidRPr="00BF3F9D" w:rsidRDefault="005E4FBB" w:rsidP="0009419B">
      <w:pPr>
        <w:jc w:val="left"/>
      </w:pPr>
    </w:p>
    <w:p w:rsidR="005E4FBB" w:rsidRPr="00BF3F9D" w:rsidRDefault="005E4FBB" w:rsidP="0009419B">
      <w:pPr>
        <w:jc w:val="left"/>
      </w:pPr>
      <w:r w:rsidRPr="00BF3F9D">
        <w:tab/>
      </w:r>
      <w:r w:rsidRPr="00BF3F9D">
        <w:tab/>
        <w:t>19.</w:t>
      </w:r>
      <w:r w:rsidRPr="00BF3F9D">
        <w:tab/>
        <w:t>PECO Exhibit 1 reflects monthly late charges because Complainant failed to make timely payments in full each month.  Tr. 40.</w:t>
      </w:r>
    </w:p>
    <w:p w:rsidR="005E4FBB" w:rsidRPr="00BF3F9D" w:rsidRDefault="005E4FBB" w:rsidP="0009419B">
      <w:pPr>
        <w:jc w:val="left"/>
      </w:pPr>
    </w:p>
    <w:p w:rsidR="005E4FBB" w:rsidRPr="00BF3F9D" w:rsidRDefault="005E4FBB" w:rsidP="0009419B">
      <w:pPr>
        <w:jc w:val="left"/>
      </w:pPr>
      <w:r w:rsidRPr="00BF3F9D">
        <w:tab/>
      </w:r>
      <w:r w:rsidRPr="00BF3F9D">
        <w:tab/>
        <w:t>20.</w:t>
      </w:r>
      <w:r w:rsidRPr="00BF3F9D">
        <w:tab/>
        <w:t>PECO Exhibit 9 is a portion of the PECO tariff which provides for the assessment of late fees for residential accounts.  PECO Ex. 9; Tr. 41.</w:t>
      </w:r>
    </w:p>
    <w:p w:rsidR="005E4FBB" w:rsidRPr="00BF3F9D" w:rsidRDefault="005E4FBB" w:rsidP="0009419B">
      <w:pPr>
        <w:jc w:val="left"/>
      </w:pPr>
    </w:p>
    <w:p w:rsidR="005E4FBB" w:rsidRPr="00BF3F9D" w:rsidRDefault="005E4FBB" w:rsidP="0009419B">
      <w:pPr>
        <w:jc w:val="left"/>
      </w:pPr>
      <w:r w:rsidRPr="00BF3F9D">
        <w:tab/>
      </w:r>
      <w:r w:rsidRPr="00BF3F9D">
        <w:tab/>
        <w:t>21.</w:t>
      </w:r>
      <w:r w:rsidRPr="00BF3F9D">
        <w:tab/>
      </w:r>
      <w:r w:rsidR="00AF61A3" w:rsidRPr="00BF3F9D">
        <w:t>The final balance from the Woodbine Avenue address was transferred to the account for the front apartment at that same address on September 17, 2013.  Tr. 42-43.</w:t>
      </w:r>
    </w:p>
    <w:p w:rsidR="00AF61A3" w:rsidRPr="00BF3F9D" w:rsidRDefault="00AF61A3" w:rsidP="0009419B">
      <w:pPr>
        <w:jc w:val="left"/>
      </w:pPr>
    </w:p>
    <w:p w:rsidR="00AF61A3" w:rsidRPr="00BF3F9D" w:rsidRDefault="00AF61A3" w:rsidP="0009419B">
      <w:pPr>
        <w:jc w:val="left"/>
      </w:pPr>
      <w:r w:rsidRPr="00BF3F9D">
        <w:tab/>
      </w:r>
      <w:r w:rsidRPr="00BF3F9D">
        <w:tab/>
        <w:t>22.</w:t>
      </w:r>
      <w:r w:rsidRPr="00BF3F9D">
        <w:tab/>
        <w:t>PECO Exhibit 2 is an account statement for Woodbine Avenue Front apartment, gas and electric service.  Tr. 43; PECO Exhibit 2.</w:t>
      </w:r>
    </w:p>
    <w:p w:rsidR="0009419B" w:rsidRPr="00BF3F9D" w:rsidRDefault="0009419B" w:rsidP="0009419B"/>
    <w:p w:rsidR="0009419B" w:rsidRPr="00BF3F9D" w:rsidRDefault="00BE0EC4" w:rsidP="00BE0EC4">
      <w:pPr>
        <w:jc w:val="left"/>
      </w:pPr>
      <w:r w:rsidRPr="00BF3F9D">
        <w:tab/>
      </w:r>
      <w:r w:rsidRPr="00BF3F9D">
        <w:tab/>
        <w:t>23.</w:t>
      </w:r>
      <w:r w:rsidRPr="00BF3F9D">
        <w:tab/>
        <w:t>PECO Exhibit 2 shows that Complainant carried a credit balance on the Woodbine Avenue Front apartment until the balance from the back apartment was transferred on September 17, 2013.  Tr. 44-45; PECO Exhibit 2.</w:t>
      </w:r>
    </w:p>
    <w:p w:rsidR="00BE0EC4" w:rsidRPr="00BF3F9D" w:rsidRDefault="00BE0EC4" w:rsidP="00BE0EC4">
      <w:pPr>
        <w:jc w:val="left"/>
      </w:pPr>
    </w:p>
    <w:p w:rsidR="00BE0EC4" w:rsidRPr="00BF3F9D" w:rsidRDefault="00BE0EC4" w:rsidP="00BE0EC4">
      <w:pPr>
        <w:jc w:val="left"/>
      </w:pPr>
      <w:r w:rsidRPr="00BF3F9D">
        <w:tab/>
      </w:r>
      <w:r w:rsidRPr="00BF3F9D">
        <w:tab/>
        <w:t>24.</w:t>
      </w:r>
      <w:r w:rsidRPr="00BF3F9D">
        <w:tab/>
        <w:t>After September 17, 2013, late payment charges were assessed to the account.  Tr. 45.</w:t>
      </w:r>
    </w:p>
    <w:p w:rsidR="00BE0EC4" w:rsidRPr="00BF3F9D" w:rsidRDefault="00BE0EC4" w:rsidP="00BE0EC4">
      <w:pPr>
        <w:jc w:val="left"/>
      </w:pPr>
    </w:p>
    <w:p w:rsidR="00BE0EC4" w:rsidRPr="00BF3F9D" w:rsidRDefault="00BE0EC4" w:rsidP="00BE0EC4">
      <w:pPr>
        <w:jc w:val="left"/>
      </w:pPr>
      <w:r w:rsidRPr="00BF3F9D">
        <w:tab/>
      </w:r>
      <w:r w:rsidRPr="00BF3F9D">
        <w:tab/>
        <w:t>25.</w:t>
      </w:r>
      <w:r w:rsidRPr="00BF3F9D">
        <w:tab/>
        <w:t>Complainant's bill as of June 11, 2014, was $1,564.94.  Tr. 46.</w:t>
      </w:r>
    </w:p>
    <w:p w:rsidR="00BE0EC4" w:rsidRPr="00BF3F9D" w:rsidRDefault="00BE0EC4" w:rsidP="00BE0EC4">
      <w:pPr>
        <w:jc w:val="left"/>
      </w:pPr>
    </w:p>
    <w:p w:rsidR="00BE0EC4" w:rsidRPr="00BF3F9D" w:rsidRDefault="00BE0EC4" w:rsidP="00BE0EC4">
      <w:pPr>
        <w:jc w:val="left"/>
      </w:pPr>
      <w:r w:rsidRPr="00BF3F9D">
        <w:tab/>
      </w:r>
      <w:r w:rsidRPr="00BF3F9D">
        <w:tab/>
        <w:t>26.</w:t>
      </w:r>
      <w:r w:rsidRPr="00BF3F9D">
        <w:tab/>
        <w:t>Complainant does not have a payment agreement with PECO.  Tr. 46.</w:t>
      </w:r>
    </w:p>
    <w:p w:rsidR="00BE0EC4" w:rsidRPr="00BF3F9D" w:rsidRDefault="00BE0EC4" w:rsidP="00BE0EC4">
      <w:pPr>
        <w:jc w:val="left"/>
      </w:pPr>
    </w:p>
    <w:p w:rsidR="00BE0EC4" w:rsidRPr="00BF3F9D" w:rsidRDefault="00BE0EC4" w:rsidP="00BE0EC4">
      <w:pPr>
        <w:jc w:val="left"/>
      </w:pPr>
      <w:r w:rsidRPr="00BF3F9D">
        <w:tab/>
      </w:r>
      <w:r w:rsidRPr="00BF3F9D">
        <w:tab/>
        <w:t>27.</w:t>
      </w:r>
      <w:r w:rsidRPr="00BF3F9D">
        <w:tab/>
        <w:t xml:space="preserve">PECO Exhibit 3 is </w:t>
      </w:r>
      <w:r w:rsidR="00BD65BC" w:rsidRPr="00BF3F9D">
        <w:t>2-page document labeled Payment Agreement History for the Woodbine Apartment Front account.  Tr. 46; PECO Exhibit 3.</w:t>
      </w:r>
    </w:p>
    <w:p w:rsidR="00BD65BC" w:rsidRPr="00BF3F9D" w:rsidRDefault="00BD65BC" w:rsidP="00BE0EC4">
      <w:pPr>
        <w:jc w:val="left"/>
      </w:pPr>
    </w:p>
    <w:p w:rsidR="00BD65BC" w:rsidRPr="00BF3F9D" w:rsidRDefault="00BD65BC" w:rsidP="00BE0EC4">
      <w:pPr>
        <w:jc w:val="left"/>
      </w:pPr>
      <w:r w:rsidRPr="00BF3F9D">
        <w:lastRenderedPageBreak/>
        <w:tab/>
      </w:r>
      <w:r w:rsidRPr="00BF3F9D">
        <w:tab/>
        <w:t>28.</w:t>
      </w:r>
      <w:r w:rsidRPr="00BF3F9D">
        <w:tab/>
        <w:t>PECO Exhibit 4 is a BCS decision report on BCS case no. 002729077, issued November 2, 2010, which establishes a payment agreement of the special budget amount plus $49 on the arrears of $1,174.57.  PECO Exhibit 4; Tr. 47.</w:t>
      </w:r>
    </w:p>
    <w:p w:rsidR="00BD65BC" w:rsidRPr="00BF3F9D" w:rsidRDefault="00BD65BC" w:rsidP="00BE0EC4">
      <w:pPr>
        <w:jc w:val="left"/>
      </w:pPr>
    </w:p>
    <w:p w:rsidR="00BD65BC" w:rsidRPr="00BF3F9D" w:rsidRDefault="00BD65BC" w:rsidP="00BE0EC4">
      <w:pPr>
        <w:jc w:val="left"/>
      </w:pPr>
      <w:r w:rsidRPr="00BF3F9D">
        <w:tab/>
      </w:r>
      <w:r w:rsidRPr="00BF3F9D">
        <w:tab/>
        <w:t>29.</w:t>
      </w:r>
      <w:r w:rsidRPr="00BF3F9D">
        <w:tab/>
      </w:r>
      <w:r w:rsidR="00865635" w:rsidRPr="00BF3F9D">
        <w:t>PECO Exhibit 5 is a BCS decision report dated November 9, 2011, indicating that the Complainant's balance at the Woodbine Avenue address was $1,567.84 but was not eligible for a payment agreement because the Complainant had defaulted on the prior payment agreement before paying it off.  Tr. 47</w:t>
      </w:r>
      <w:r w:rsidR="00C027E8" w:rsidRPr="00BF3F9D">
        <w:t>-48</w:t>
      </w:r>
      <w:r w:rsidR="00865635" w:rsidRPr="00BF3F9D">
        <w:t>; PECO Exhibit 5.</w:t>
      </w:r>
    </w:p>
    <w:p w:rsidR="00865635" w:rsidRPr="00BF3F9D" w:rsidRDefault="00865635" w:rsidP="00BE0EC4">
      <w:pPr>
        <w:jc w:val="left"/>
      </w:pPr>
    </w:p>
    <w:p w:rsidR="00C027E8" w:rsidRPr="00BF3F9D" w:rsidRDefault="00C027E8" w:rsidP="00BE0EC4">
      <w:pPr>
        <w:jc w:val="left"/>
      </w:pPr>
      <w:r w:rsidRPr="00BF3F9D">
        <w:tab/>
      </w:r>
      <w:r w:rsidRPr="00BF3F9D">
        <w:tab/>
        <w:t>30.</w:t>
      </w:r>
      <w:r w:rsidRPr="00BF3F9D">
        <w:tab/>
        <w:t>PECO Exhibit 6 is the opening of BCS case number 3176631 on November 27, 2013, indicating that Complainant alleged that PECO was overbilling for service.  Tr. 49; PECO Exhibit 6.</w:t>
      </w:r>
    </w:p>
    <w:p w:rsidR="00C027E8" w:rsidRPr="00BF3F9D" w:rsidRDefault="00C027E8" w:rsidP="00BE0EC4">
      <w:pPr>
        <w:jc w:val="left"/>
      </w:pPr>
    </w:p>
    <w:p w:rsidR="00C027E8" w:rsidRPr="00BF3F9D" w:rsidRDefault="00C027E8" w:rsidP="00BE0EC4">
      <w:pPr>
        <w:jc w:val="left"/>
      </w:pPr>
      <w:r w:rsidRPr="00BF3F9D">
        <w:tab/>
      </w:r>
      <w:r w:rsidRPr="00BF3F9D">
        <w:tab/>
        <w:t>31.</w:t>
      </w:r>
      <w:r w:rsidRPr="00BF3F9D">
        <w:tab/>
        <w:t xml:space="preserve">PECO Exhibit 7 is a copy of a letter written by PECO to Complainant dated December 17, 2013, which lists the relevant actions in the </w:t>
      </w:r>
      <w:r w:rsidR="005C5580" w:rsidRPr="00BF3F9D">
        <w:t>case from the date of establishment of service at Angora Drive.  Tr. 50; PECO Exhibit 7.</w:t>
      </w:r>
    </w:p>
    <w:p w:rsidR="005C5580" w:rsidRPr="00BF3F9D" w:rsidRDefault="005C5580" w:rsidP="00BE0EC4">
      <w:pPr>
        <w:jc w:val="left"/>
      </w:pPr>
    </w:p>
    <w:p w:rsidR="005C5580" w:rsidRPr="00BF3F9D" w:rsidRDefault="005C5580" w:rsidP="00BE0EC4">
      <w:pPr>
        <w:jc w:val="left"/>
      </w:pPr>
      <w:r w:rsidRPr="00BF3F9D">
        <w:tab/>
      </w:r>
      <w:r w:rsidRPr="00BF3F9D">
        <w:tab/>
        <w:t>32.</w:t>
      </w:r>
      <w:r w:rsidRPr="00BF3F9D">
        <w:tab/>
        <w:t>PECO Exhibit 8 is a one-page copy of a BCS Decision Report dated February 27, 2014, which dismisses the informal complaint wi</w:t>
      </w:r>
      <w:r w:rsidR="00CF1A45">
        <w:t>thout a payment agreement.  Tr. </w:t>
      </w:r>
      <w:r w:rsidRPr="00BF3F9D">
        <w:t>50; PECO Exhibit 8.</w:t>
      </w:r>
    </w:p>
    <w:p w:rsidR="005C5580" w:rsidRPr="00BF3F9D" w:rsidRDefault="005C5580" w:rsidP="00BE0EC4">
      <w:pPr>
        <w:jc w:val="left"/>
      </w:pPr>
    </w:p>
    <w:p w:rsidR="005C5580" w:rsidRPr="00BF3F9D" w:rsidRDefault="005C5580" w:rsidP="00BE0EC4">
      <w:pPr>
        <w:jc w:val="left"/>
      </w:pPr>
      <w:r w:rsidRPr="00BF3F9D">
        <w:tab/>
      </w:r>
      <w:r w:rsidRPr="00BF3F9D">
        <w:tab/>
        <w:t>33.</w:t>
      </w:r>
      <w:r w:rsidRPr="00BF3F9D">
        <w:tab/>
      </w:r>
      <w:r w:rsidR="00A2304C" w:rsidRPr="00BF3F9D">
        <w:t>Complainant's balance was never fully paid off after he defaulted on his payment agreement.  Tr. 60.</w:t>
      </w:r>
    </w:p>
    <w:p w:rsidR="00A2304C" w:rsidRPr="00BF3F9D" w:rsidRDefault="00A2304C" w:rsidP="00BE0EC4">
      <w:pPr>
        <w:jc w:val="left"/>
      </w:pPr>
    </w:p>
    <w:p w:rsidR="00A2304C" w:rsidRPr="00BF3F9D" w:rsidRDefault="00322F8D" w:rsidP="00322F8D">
      <w:pPr>
        <w:rPr>
          <w:u w:val="single"/>
        </w:rPr>
      </w:pPr>
      <w:r w:rsidRPr="00BF3F9D">
        <w:rPr>
          <w:u w:val="single"/>
        </w:rPr>
        <w:t>DISCUSSION</w:t>
      </w:r>
    </w:p>
    <w:p w:rsidR="00322F8D" w:rsidRPr="00BF3F9D" w:rsidRDefault="00322F8D" w:rsidP="00322F8D">
      <w:pPr>
        <w:rPr>
          <w:u w:val="single"/>
        </w:rPr>
      </w:pPr>
    </w:p>
    <w:p w:rsidR="00322F8D" w:rsidRPr="00BF3F9D" w:rsidRDefault="00322F8D" w:rsidP="00322F8D">
      <w:pPr>
        <w:jc w:val="left"/>
      </w:pPr>
      <w:r w:rsidRPr="00BF3F9D">
        <w:tab/>
      </w:r>
      <w:r w:rsidRPr="00BF3F9D">
        <w:tab/>
        <w:t>Complainant believes that PECO has overcharged him and seeks to have the late charges that have been placed on his account removed.</w:t>
      </w:r>
    </w:p>
    <w:p w:rsidR="00322F8D" w:rsidRPr="00BF3F9D" w:rsidRDefault="00322F8D" w:rsidP="00322F8D">
      <w:pPr>
        <w:jc w:val="left"/>
      </w:pPr>
    </w:p>
    <w:p w:rsidR="00280008" w:rsidRPr="00BF3F9D" w:rsidRDefault="00280008" w:rsidP="00280008">
      <w:pPr>
        <w:ind w:firstLine="1440"/>
        <w:jc w:val="left"/>
      </w:pPr>
      <w:r w:rsidRPr="00BF3F9D">
        <w:t>As the proponent of a Commission order, complainant has the burden of proof in this case.  66 Pa.C.S.A. § 332(a).</w:t>
      </w:r>
    </w:p>
    <w:p w:rsidR="00280008" w:rsidRPr="00BF3F9D" w:rsidRDefault="00280008" w:rsidP="00280008">
      <w:pPr>
        <w:ind w:firstLine="1440"/>
      </w:pPr>
    </w:p>
    <w:p w:rsidR="00280008" w:rsidRPr="00BF3F9D" w:rsidRDefault="00280008" w:rsidP="00280008">
      <w:pPr>
        <w:tabs>
          <w:tab w:val="left" w:pos="-1440"/>
          <w:tab w:val="left" w:pos="-720"/>
        </w:tabs>
        <w:suppressAutoHyphens/>
        <w:ind w:firstLine="1440"/>
        <w:jc w:val="left"/>
        <w:rPr>
          <w:spacing w:val="-3"/>
        </w:rPr>
      </w:pPr>
      <w:r w:rsidRPr="00BF3F9D">
        <w:rPr>
          <w:spacing w:val="-3"/>
        </w:rPr>
        <w:t xml:space="preserve">The “burden of proof” is composed of two distinct burdens: the burden of production and the burden of persuasion.  </w:t>
      </w:r>
      <w:r w:rsidRPr="00BF3F9D">
        <w:rPr>
          <w:i/>
          <w:spacing w:val="-3"/>
        </w:rPr>
        <w:t>Hurley v. Hurley</w:t>
      </w:r>
      <w:r w:rsidRPr="00BF3F9D">
        <w:rPr>
          <w:spacing w:val="-3"/>
        </w:rPr>
        <w:t>, 2000 Pa.Super. 178, 754 A.2d 1283 (2000).</w:t>
      </w:r>
    </w:p>
    <w:p w:rsidR="00280008" w:rsidRPr="00BF3F9D" w:rsidRDefault="00280008" w:rsidP="00322F8D">
      <w:pPr>
        <w:jc w:val="left"/>
      </w:pPr>
    </w:p>
    <w:p w:rsidR="00280008" w:rsidRPr="00BF3F9D" w:rsidRDefault="00322F8D" w:rsidP="00322F8D">
      <w:pPr>
        <w:tabs>
          <w:tab w:val="left" w:pos="-1440"/>
          <w:tab w:val="left" w:pos="-720"/>
        </w:tabs>
        <w:suppressAutoHyphens/>
        <w:ind w:firstLine="1440"/>
        <w:jc w:val="left"/>
        <w:rPr>
          <w:spacing w:val="-3"/>
        </w:rPr>
      </w:pPr>
      <w:r w:rsidRPr="00BF3F9D">
        <w:rPr>
          <w:spacing w:val="-3"/>
        </w:rPr>
        <w:t xml:space="preserve">To establish a sufficient case and satisfy the burden of proof, complainant must show that respondent is responsible or accountable for the problem described in the Complaint.  </w:t>
      </w:r>
      <w:r w:rsidRPr="00BF3F9D">
        <w:rPr>
          <w:i/>
          <w:spacing w:val="-3"/>
        </w:rPr>
        <w:t>Patterson v. Bell Telephone Company of Pennsylvania</w:t>
      </w:r>
      <w:r w:rsidRPr="00BF3F9D">
        <w:rPr>
          <w:spacing w:val="-3"/>
        </w:rPr>
        <w:t xml:space="preserve">, 72 Pa. PUC 196 (1990), </w:t>
      </w:r>
      <w:r w:rsidRPr="00BF3F9D">
        <w:rPr>
          <w:i/>
          <w:spacing w:val="-3"/>
        </w:rPr>
        <w:t>Feinstein v. Philadelphia Suburban Water Company</w:t>
      </w:r>
      <w:r w:rsidRPr="00BF3F9D">
        <w:rPr>
          <w:spacing w:val="-3"/>
        </w:rPr>
        <w:t xml:space="preserve">, 50 Pa. PUC 300 (1976).  Such a showing must be by a preponderance of the evidence.  </w:t>
      </w:r>
      <w:r w:rsidRPr="00BF3F9D">
        <w:rPr>
          <w:i/>
          <w:spacing w:val="-3"/>
        </w:rPr>
        <w:t>Samuel J. Lansberry, Inc. v. Pa. Pub. Util. Comm’n</w:t>
      </w:r>
      <w:r w:rsidRPr="00BF3F9D">
        <w:rPr>
          <w:spacing w:val="-3"/>
        </w:rPr>
        <w:t xml:space="preserve">, 134 Pa.Cmwlth. 218; 221-222, 578 A.2d 600; 602 (1990), </w:t>
      </w:r>
      <w:r w:rsidRPr="00BF3F9D">
        <w:rPr>
          <w:iCs/>
          <w:spacing w:val="-3"/>
        </w:rPr>
        <w:t>app. denied,</w:t>
      </w:r>
      <w:r w:rsidRPr="00BF3F9D">
        <w:rPr>
          <w:spacing w:val="-3"/>
        </w:rPr>
        <w:t xml:space="preserve"> 529 Pa. 654, 602 A.2d 863 (1992).  That is, by presenting evidence more convincing, by even the smallest amount, than that presented by the other party.  </w:t>
      </w:r>
      <w:r w:rsidRPr="00BF3F9D">
        <w:rPr>
          <w:i/>
          <w:spacing w:val="-3"/>
        </w:rPr>
        <w:t>Se-Ling Hosiery v. Margulies</w:t>
      </w:r>
      <w:r w:rsidRPr="00BF3F9D">
        <w:rPr>
          <w:spacing w:val="-3"/>
        </w:rPr>
        <w:t xml:space="preserve">, 364 Pa. 45, 70 A.2d 854 (1950).  Complainant must initially produce sufficient credible evidence to establish a prima facie case in order that complainant not lose summarily.  </w:t>
      </w:r>
      <w:r w:rsidRPr="00BF3F9D">
        <w:rPr>
          <w:i/>
          <w:spacing w:val="-3"/>
        </w:rPr>
        <w:t>Morrissey v. Dep’t of Highways</w:t>
      </w:r>
      <w:r w:rsidR="00FE15A7">
        <w:rPr>
          <w:spacing w:val="-3"/>
        </w:rPr>
        <w:t>, 424 Pa. 87, 225 A.2d </w:t>
      </w:r>
      <w:r w:rsidRPr="00BF3F9D">
        <w:rPr>
          <w:spacing w:val="-3"/>
        </w:rPr>
        <w:t>895 (1967).</w:t>
      </w:r>
    </w:p>
    <w:p w:rsidR="00280008" w:rsidRPr="00BF3F9D" w:rsidRDefault="00280008" w:rsidP="00322F8D">
      <w:pPr>
        <w:tabs>
          <w:tab w:val="left" w:pos="-1440"/>
          <w:tab w:val="left" w:pos="-720"/>
        </w:tabs>
        <w:suppressAutoHyphens/>
        <w:ind w:firstLine="1440"/>
        <w:jc w:val="left"/>
        <w:rPr>
          <w:spacing w:val="-3"/>
        </w:rPr>
      </w:pPr>
    </w:p>
    <w:p w:rsidR="00322F8D" w:rsidRPr="00BF3F9D" w:rsidRDefault="00322F8D" w:rsidP="00322F8D">
      <w:pPr>
        <w:tabs>
          <w:tab w:val="left" w:pos="-1440"/>
          <w:tab w:val="left" w:pos="-720"/>
        </w:tabs>
        <w:suppressAutoHyphens/>
        <w:ind w:firstLine="1440"/>
        <w:jc w:val="left"/>
        <w:rPr>
          <w:spacing w:val="-3"/>
        </w:rPr>
      </w:pPr>
      <w:r w:rsidRPr="00BF3F9D">
        <w:rPr>
          <w:spacing w:val="-3"/>
        </w:rPr>
        <w:t xml:space="preserve">If complainant does so, the burden of going forward with evidence shifts to respondent to produce credible evidence of at least co-equal weight.  This burden of going forward with evidence may shift back and forth between the parties, but the ultimate burden of persuasion remains with complainant.  </w:t>
      </w:r>
      <w:r w:rsidRPr="00BF3F9D">
        <w:rPr>
          <w:i/>
          <w:spacing w:val="-3"/>
        </w:rPr>
        <w:t>Milkie v. Pa. Pub. Util. Comm’n</w:t>
      </w:r>
      <w:r w:rsidRPr="00BF3F9D">
        <w:rPr>
          <w:spacing w:val="-3"/>
        </w:rPr>
        <w:t xml:space="preserve">, 768 A.2d 1217 (Pa.Cmwlth. 2001).  Additionally, any finding of fact necessary to support the Commission’s adjudication must be based upon substantial evidence.  </w:t>
      </w:r>
      <w:r w:rsidRPr="00BF3F9D">
        <w:rPr>
          <w:i/>
          <w:spacing w:val="-3"/>
        </w:rPr>
        <w:t>Mill v. Pa. Pub</w:t>
      </w:r>
      <w:r w:rsidR="00A83B74">
        <w:rPr>
          <w:i/>
          <w:spacing w:val="-3"/>
        </w:rPr>
        <w:t>.</w:t>
      </w:r>
      <w:r w:rsidRPr="00BF3F9D">
        <w:rPr>
          <w:i/>
          <w:spacing w:val="-3"/>
        </w:rPr>
        <w:t xml:space="preserve"> Uti</w:t>
      </w:r>
      <w:r w:rsidR="00A83B74">
        <w:rPr>
          <w:i/>
          <w:spacing w:val="-3"/>
        </w:rPr>
        <w:t>l.</w:t>
      </w:r>
      <w:r w:rsidRPr="00BF3F9D">
        <w:rPr>
          <w:i/>
          <w:spacing w:val="-3"/>
        </w:rPr>
        <w:t xml:space="preserve"> Comm’n</w:t>
      </w:r>
      <w:r w:rsidRPr="00BF3F9D">
        <w:rPr>
          <w:spacing w:val="-3"/>
        </w:rPr>
        <w:t xml:space="preserve">, 67 Pa.Cmwlth. 597, 447 A.2d 1100 (1982), </w:t>
      </w:r>
      <w:r w:rsidRPr="00BF3F9D">
        <w:rPr>
          <w:i/>
          <w:spacing w:val="-3"/>
        </w:rPr>
        <w:t>Edan Transportation Corp. v. Pa. Pub. Util. Comm’n</w:t>
      </w:r>
      <w:r w:rsidRPr="00BF3F9D">
        <w:rPr>
          <w:spacing w:val="-3"/>
        </w:rPr>
        <w:t xml:space="preserve">, 154 Pa.Cmwlth. 21, 623 A.2d 6 (1993), 2 Pa.C.S. § 704.  Substantial evidence has been defined as such relevant evidence as a reasonable mind might accept as adequate to support a conclusion.  </w:t>
      </w:r>
      <w:r w:rsidRPr="00BF3F9D">
        <w:rPr>
          <w:i/>
          <w:spacing w:val="-3"/>
        </w:rPr>
        <w:t>Bethenergy Mines, Inc. v. Workmen’s Compensation Appeal Bd. (Skirpan)</w:t>
      </w:r>
      <w:r w:rsidRPr="00BF3F9D">
        <w:rPr>
          <w:spacing w:val="-3"/>
        </w:rPr>
        <w:t xml:space="preserve">, 531 Pa. 287, 612 A.2d 434 (1992).  More is required than a mere trace of evidence or a suspicion of the existence of a fact sought to be established.  </w:t>
      </w:r>
      <w:r w:rsidRPr="00BF3F9D">
        <w:rPr>
          <w:i/>
          <w:spacing w:val="-3"/>
        </w:rPr>
        <w:t>Norfolk and Western Ry. v. Pa. Pub. Util. Comm’n</w:t>
      </w:r>
      <w:r w:rsidRPr="00BF3F9D">
        <w:rPr>
          <w:spacing w:val="-3"/>
        </w:rPr>
        <w:t xml:space="preserve">, 489 Pa. 109, 413 A.2d 1037 (1980); </w:t>
      </w:r>
      <w:r w:rsidRPr="00BF3F9D">
        <w:rPr>
          <w:i/>
          <w:spacing w:val="-3"/>
        </w:rPr>
        <w:t>Erie Resistor Corp. v. Unemployment Compensation Bd. of Review</w:t>
      </w:r>
      <w:r w:rsidRPr="00BF3F9D">
        <w:rPr>
          <w:spacing w:val="-3"/>
        </w:rPr>
        <w:t xml:space="preserve">, 194 Pa.Super. 278, 166 A.2d 96 (1960); </w:t>
      </w:r>
      <w:r w:rsidRPr="00BF3F9D">
        <w:rPr>
          <w:i/>
          <w:spacing w:val="-3"/>
        </w:rPr>
        <w:t>Murphy v. Dep’t of Public Welfare</w:t>
      </w:r>
      <w:r w:rsidRPr="00BF3F9D">
        <w:rPr>
          <w:spacing w:val="-3"/>
        </w:rPr>
        <w:t>, 85 Pa.Cmwlth. 23, 480 A.2d 382 (1984).</w:t>
      </w:r>
    </w:p>
    <w:p w:rsidR="00280008" w:rsidRPr="00BF3F9D" w:rsidRDefault="00280008" w:rsidP="00322F8D">
      <w:pPr>
        <w:tabs>
          <w:tab w:val="left" w:pos="-1440"/>
          <w:tab w:val="left" w:pos="-720"/>
        </w:tabs>
        <w:suppressAutoHyphens/>
        <w:ind w:firstLine="1440"/>
        <w:jc w:val="left"/>
        <w:rPr>
          <w:spacing w:val="-3"/>
        </w:rPr>
      </w:pPr>
    </w:p>
    <w:p w:rsidR="007E05C7" w:rsidRPr="00BF3F9D" w:rsidRDefault="00280008" w:rsidP="00322F8D">
      <w:pPr>
        <w:tabs>
          <w:tab w:val="left" w:pos="-1440"/>
          <w:tab w:val="left" w:pos="-720"/>
        </w:tabs>
        <w:suppressAutoHyphens/>
        <w:ind w:firstLine="1440"/>
        <w:jc w:val="left"/>
        <w:rPr>
          <w:spacing w:val="-3"/>
        </w:rPr>
      </w:pPr>
      <w:r w:rsidRPr="00BF3F9D">
        <w:rPr>
          <w:spacing w:val="-3"/>
        </w:rPr>
        <w:t xml:space="preserve">Complainant has a large family that lived at two addresses, Angora Drive and Woodbine Avenue, which was divided into two apartments.  PECO </w:t>
      </w:r>
      <w:r w:rsidR="007E05C7" w:rsidRPr="00BF3F9D">
        <w:rPr>
          <w:spacing w:val="-3"/>
        </w:rPr>
        <w:t>offered its Exhibit 1, which is a residential gas bill for Woodbine Avenue from January 4, 2012 through September 17, 2013, when the balance was transferred to the account listed on Exhibit</w:t>
      </w:r>
      <w:r w:rsidRPr="00BF3F9D">
        <w:rPr>
          <w:spacing w:val="-3"/>
        </w:rPr>
        <w:t xml:space="preserve"> </w:t>
      </w:r>
      <w:r w:rsidR="007E05C7" w:rsidRPr="00BF3F9D">
        <w:rPr>
          <w:spacing w:val="-3"/>
        </w:rPr>
        <w:t>2, which is combined gas and elec</w:t>
      </w:r>
      <w:r w:rsidR="006B053C">
        <w:rPr>
          <w:spacing w:val="-3"/>
        </w:rPr>
        <w:t>tric for Woodbine Avenue Front.</w:t>
      </w:r>
    </w:p>
    <w:p w:rsidR="007E05C7" w:rsidRPr="00BF3F9D" w:rsidRDefault="007E05C7" w:rsidP="00322F8D">
      <w:pPr>
        <w:tabs>
          <w:tab w:val="left" w:pos="-1440"/>
          <w:tab w:val="left" w:pos="-720"/>
        </w:tabs>
        <w:suppressAutoHyphens/>
        <w:ind w:firstLine="1440"/>
        <w:jc w:val="left"/>
        <w:rPr>
          <w:spacing w:val="-3"/>
        </w:rPr>
      </w:pPr>
    </w:p>
    <w:p w:rsidR="001A4BEF" w:rsidRPr="00BF3F9D" w:rsidRDefault="007E05C7" w:rsidP="00322F8D">
      <w:pPr>
        <w:tabs>
          <w:tab w:val="left" w:pos="-1440"/>
          <w:tab w:val="left" w:pos="-720"/>
        </w:tabs>
        <w:suppressAutoHyphens/>
        <w:ind w:firstLine="1440"/>
        <w:jc w:val="left"/>
        <w:rPr>
          <w:spacing w:val="-3"/>
        </w:rPr>
      </w:pPr>
      <w:r w:rsidRPr="00BF3F9D">
        <w:rPr>
          <w:spacing w:val="-3"/>
        </w:rPr>
        <w:t xml:space="preserve">What the Company records show is that </w:t>
      </w:r>
      <w:r w:rsidR="00FD7B81" w:rsidRPr="00BF3F9D">
        <w:rPr>
          <w:spacing w:val="-3"/>
        </w:rPr>
        <w:t>Complainant paid his Woodbine Avenue Front combined gas and electric</w:t>
      </w:r>
      <w:r w:rsidRPr="00BF3F9D">
        <w:rPr>
          <w:spacing w:val="-3"/>
        </w:rPr>
        <w:t xml:space="preserve"> </w:t>
      </w:r>
      <w:r w:rsidR="00FD7B81" w:rsidRPr="00BF3F9D">
        <w:rPr>
          <w:spacing w:val="-3"/>
        </w:rPr>
        <w:t xml:space="preserve">bill fully and even in advance.  His payments </w:t>
      </w:r>
      <w:r w:rsidR="00585593" w:rsidRPr="00BF3F9D">
        <w:rPr>
          <w:spacing w:val="-3"/>
        </w:rPr>
        <w:t xml:space="preserve">were not quite monthly, but there was enough money in the account to cover the missed payments.  The credit to his account ranged from $25.00 to $483.62.  </w:t>
      </w:r>
      <w:r w:rsidR="00B17E4F" w:rsidRPr="00BF3F9D">
        <w:rPr>
          <w:spacing w:val="-3"/>
        </w:rPr>
        <w:t>PECO Exhibit 2.</w:t>
      </w:r>
    </w:p>
    <w:p w:rsidR="001A4BEF" w:rsidRPr="00BF3F9D" w:rsidRDefault="001A4BEF" w:rsidP="00322F8D">
      <w:pPr>
        <w:tabs>
          <w:tab w:val="left" w:pos="-1440"/>
          <w:tab w:val="left" w:pos="-720"/>
        </w:tabs>
        <w:suppressAutoHyphens/>
        <w:ind w:firstLine="1440"/>
        <w:jc w:val="left"/>
        <w:rPr>
          <w:spacing w:val="-3"/>
        </w:rPr>
      </w:pPr>
    </w:p>
    <w:p w:rsidR="00280008" w:rsidRPr="00BF3F9D" w:rsidRDefault="00B17E4F" w:rsidP="00322F8D">
      <w:pPr>
        <w:tabs>
          <w:tab w:val="left" w:pos="-1440"/>
          <w:tab w:val="left" w:pos="-720"/>
        </w:tabs>
        <w:suppressAutoHyphens/>
        <w:ind w:firstLine="1440"/>
        <w:jc w:val="left"/>
        <w:rPr>
          <w:spacing w:val="-3"/>
        </w:rPr>
      </w:pPr>
      <w:r w:rsidRPr="00BF3F9D">
        <w:rPr>
          <w:spacing w:val="-3"/>
        </w:rPr>
        <w:t xml:space="preserve">The second Woodbine Avenue account </w:t>
      </w:r>
      <w:r w:rsidR="0045460F" w:rsidRPr="00BF3F9D">
        <w:rPr>
          <w:spacing w:val="-3"/>
        </w:rPr>
        <w:t xml:space="preserve">is for gas only and </w:t>
      </w:r>
      <w:r w:rsidRPr="00BF3F9D">
        <w:rPr>
          <w:spacing w:val="-3"/>
        </w:rPr>
        <w:t>starts with a balance of $1</w:t>
      </w:r>
      <w:r w:rsidR="00767002">
        <w:rPr>
          <w:spacing w:val="-3"/>
        </w:rPr>
        <w:t>,</w:t>
      </w:r>
      <w:r w:rsidRPr="00BF3F9D">
        <w:rPr>
          <w:spacing w:val="-3"/>
        </w:rPr>
        <w:t xml:space="preserve">691.82 on January 4, 2012, but with no explanation of why there was a balance when the second account was consistently overpaid.  </w:t>
      </w:r>
      <w:r w:rsidR="0045460F" w:rsidRPr="00BF3F9D">
        <w:rPr>
          <w:spacing w:val="-3"/>
        </w:rPr>
        <w:t>The late charges to the account are significant, ranging from $16.53 on January 7, 2013, to $23.79 on June 5, 2013 and adding up to $383.57</w:t>
      </w:r>
      <w:r w:rsidR="001A4BEF" w:rsidRPr="00BF3F9D">
        <w:rPr>
          <w:spacing w:val="-3"/>
        </w:rPr>
        <w:t>, or roughly $20 per billing cycle</w:t>
      </w:r>
      <w:r w:rsidR="0045460F" w:rsidRPr="00BF3F9D">
        <w:rPr>
          <w:spacing w:val="-3"/>
        </w:rPr>
        <w:t>.</w:t>
      </w:r>
    </w:p>
    <w:p w:rsidR="001A4BEF" w:rsidRPr="00BF3F9D" w:rsidRDefault="001A4BEF" w:rsidP="00322F8D">
      <w:pPr>
        <w:tabs>
          <w:tab w:val="left" w:pos="-1440"/>
          <w:tab w:val="left" w:pos="-720"/>
        </w:tabs>
        <w:suppressAutoHyphens/>
        <w:ind w:firstLine="1440"/>
        <w:jc w:val="left"/>
        <w:rPr>
          <w:spacing w:val="-3"/>
        </w:rPr>
      </w:pPr>
    </w:p>
    <w:p w:rsidR="00A26B64" w:rsidRPr="00BF3F9D" w:rsidRDefault="001A4BEF" w:rsidP="00322F8D">
      <w:pPr>
        <w:tabs>
          <w:tab w:val="left" w:pos="-1440"/>
          <w:tab w:val="left" w:pos="-720"/>
        </w:tabs>
        <w:suppressAutoHyphens/>
        <w:ind w:firstLine="1440"/>
        <w:jc w:val="left"/>
        <w:rPr>
          <w:spacing w:val="-3"/>
        </w:rPr>
      </w:pPr>
      <w:r w:rsidRPr="00BF3F9D">
        <w:rPr>
          <w:spacing w:val="-3"/>
        </w:rPr>
        <w:t xml:space="preserve">The Complaint questions three </w:t>
      </w:r>
      <w:r w:rsidR="000C558C" w:rsidRPr="00BF3F9D">
        <w:rPr>
          <w:spacing w:val="-3"/>
        </w:rPr>
        <w:t xml:space="preserve">specific </w:t>
      </w:r>
      <w:r w:rsidRPr="00BF3F9D">
        <w:rPr>
          <w:spacing w:val="-3"/>
        </w:rPr>
        <w:t xml:space="preserve">dollar amounts </w:t>
      </w:r>
      <w:r w:rsidR="00A26B64" w:rsidRPr="00BF3F9D">
        <w:rPr>
          <w:spacing w:val="-3"/>
        </w:rPr>
        <w:t xml:space="preserve">but Complainant </w:t>
      </w:r>
      <w:r w:rsidRPr="00BF3F9D">
        <w:rPr>
          <w:spacing w:val="-3"/>
        </w:rPr>
        <w:t xml:space="preserve">does not explain </w:t>
      </w:r>
      <w:r w:rsidR="000C558C" w:rsidRPr="00BF3F9D">
        <w:rPr>
          <w:spacing w:val="-3"/>
        </w:rPr>
        <w:t xml:space="preserve">from </w:t>
      </w:r>
      <w:r w:rsidRPr="00BF3F9D">
        <w:rPr>
          <w:spacing w:val="-3"/>
        </w:rPr>
        <w:t xml:space="preserve">where the numbers that he questions in his Complaint are derived, nor does he explain why the bills that he attached to his Complaint are at issue. </w:t>
      </w:r>
      <w:r w:rsidR="00A26B64" w:rsidRPr="00BF3F9D">
        <w:rPr>
          <w:spacing w:val="-3"/>
        </w:rPr>
        <w:t xml:space="preserve"> He argues that PECO has made mistakes but does not indicate where these mistakes occurred on any bill nor does he point to an instance in the PECO exhibits which would show these errors. </w:t>
      </w:r>
      <w:r w:rsidR="00D03565" w:rsidRPr="00BF3F9D">
        <w:rPr>
          <w:spacing w:val="-3"/>
        </w:rPr>
        <w:t xml:space="preserve"> He could not articulate what the disputed amount was.  Tr. 22.</w:t>
      </w:r>
    </w:p>
    <w:p w:rsidR="00A26B64" w:rsidRPr="00BF3F9D" w:rsidRDefault="00A26B64" w:rsidP="00322F8D">
      <w:pPr>
        <w:tabs>
          <w:tab w:val="left" w:pos="-1440"/>
          <w:tab w:val="left" w:pos="-720"/>
        </w:tabs>
        <w:suppressAutoHyphens/>
        <w:ind w:firstLine="1440"/>
        <w:jc w:val="left"/>
        <w:rPr>
          <w:spacing w:val="-3"/>
        </w:rPr>
      </w:pPr>
    </w:p>
    <w:p w:rsidR="00A26B64" w:rsidRPr="00BF3F9D" w:rsidRDefault="00A26B64" w:rsidP="00322F8D">
      <w:pPr>
        <w:tabs>
          <w:tab w:val="left" w:pos="-1440"/>
          <w:tab w:val="left" w:pos="-720"/>
        </w:tabs>
        <w:suppressAutoHyphens/>
        <w:ind w:firstLine="1440"/>
        <w:jc w:val="left"/>
        <w:rPr>
          <w:spacing w:val="-3"/>
        </w:rPr>
      </w:pPr>
      <w:r w:rsidRPr="00BF3F9D">
        <w:rPr>
          <w:spacing w:val="-3"/>
        </w:rPr>
        <w:t>He states that the cumulative late payment charges result in his being unable to reduce his bill.  Tr. 14.  He states that if the math is done, there is a discrepancy in the way that the billing was handled, Tr. 15, but he does not point out where that error occurs.</w:t>
      </w:r>
    </w:p>
    <w:p w:rsidR="00A26B64" w:rsidRPr="00BF3F9D" w:rsidRDefault="00A26B64" w:rsidP="00322F8D">
      <w:pPr>
        <w:tabs>
          <w:tab w:val="left" w:pos="-1440"/>
          <w:tab w:val="left" w:pos="-720"/>
        </w:tabs>
        <w:suppressAutoHyphens/>
        <w:ind w:firstLine="1440"/>
        <w:jc w:val="left"/>
        <w:rPr>
          <w:spacing w:val="-3"/>
        </w:rPr>
      </w:pPr>
    </w:p>
    <w:p w:rsidR="00A26B64" w:rsidRPr="00BF3F9D" w:rsidRDefault="00A26B64" w:rsidP="00C34FF7">
      <w:pPr>
        <w:tabs>
          <w:tab w:val="left" w:pos="-1440"/>
          <w:tab w:val="left" w:pos="-720"/>
          <w:tab w:val="left" w:pos="1350"/>
        </w:tabs>
        <w:suppressAutoHyphens/>
        <w:ind w:firstLine="1440"/>
        <w:jc w:val="left"/>
        <w:rPr>
          <w:spacing w:val="-3"/>
        </w:rPr>
      </w:pPr>
      <w:r w:rsidRPr="00BF3F9D">
        <w:rPr>
          <w:spacing w:val="-3"/>
        </w:rPr>
        <w:t xml:space="preserve">He indicated that when one of the Woodbine accounts was closed, </w:t>
      </w:r>
      <w:r w:rsidR="000C558C" w:rsidRPr="00BF3F9D">
        <w:rPr>
          <w:spacing w:val="-3"/>
        </w:rPr>
        <w:t xml:space="preserve">a bill for </w:t>
      </w:r>
      <w:r w:rsidRPr="00BF3F9D">
        <w:rPr>
          <w:spacing w:val="-3"/>
        </w:rPr>
        <w:t>$350 was sent.  Tr. 15.  He states that he disputes this charge but does not indicate why.</w:t>
      </w:r>
    </w:p>
    <w:p w:rsidR="00A26B64" w:rsidRPr="00BF3F9D" w:rsidRDefault="00A26B64" w:rsidP="00322F8D">
      <w:pPr>
        <w:tabs>
          <w:tab w:val="left" w:pos="-1440"/>
          <w:tab w:val="left" w:pos="-720"/>
        </w:tabs>
        <w:suppressAutoHyphens/>
        <w:ind w:firstLine="1440"/>
        <w:jc w:val="left"/>
        <w:rPr>
          <w:spacing w:val="-3"/>
        </w:rPr>
      </w:pPr>
    </w:p>
    <w:p w:rsidR="000C558C" w:rsidRPr="00BF3F9D" w:rsidRDefault="00A26B64" w:rsidP="00322F8D">
      <w:pPr>
        <w:tabs>
          <w:tab w:val="left" w:pos="-1440"/>
          <w:tab w:val="left" w:pos="-720"/>
        </w:tabs>
        <w:suppressAutoHyphens/>
        <w:ind w:firstLine="1440"/>
        <w:jc w:val="left"/>
        <w:rPr>
          <w:spacing w:val="-3"/>
        </w:rPr>
      </w:pPr>
      <w:r w:rsidRPr="00BF3F9D">
        <w:rPr>
          <w:spacing w:val="-3"/>
        </w:rPr>
        <w:t>Complainant states that he was on budget billing, Tr. 16, but there is no indication in the Company records that he was ever on budget billing.</w:t>
      </w:r>
    </w:p>
    <w:p w:rsidR="000C558C" w:rsidRPr="00BF3F9D" w:rsidRDefault="000C558C" w:rsidP="00322F8D">
      <w:pPr>
        <w:tabs>
          <w:tab w:val="left" w:pos="-1440"/>
          <w:tab w:val="left" w:pos="-720"/>
        </w:tabs>
        <w:suppressAutoHyphens/>
        <w:ind w:firstLine="1440"/>
        <w:jc w:val="left"/>
        <w:rPr>
          <w:spacing w:val="-3"/>
        </w:rPr>
      </w:pPr>
    </w:p>
    <w:p w:rsidR="000C558C" w:rsidRPr="00BF3F9D" w:rsidRDefault="000C558C" w:rsidP="00322F8D">
      <w:pPr>
        <w:tabs>
          <w:tab w:val="left" w:pos="-1440"/>
          <w:tab w:val="left" w:pos="-720"/>
        </w:tabs>
        <w:suppressAutoHyphens/>
        <w:ind w:firstLine="1440"/>
        <w:jc w:val="left"/>
        <w:rPr>
          <w:spacing w:val="-3"/>
        </w:rPr>
      </w:pPr>
      <w:r w:rsidRPr="00BF3F9D">
        <w:rPr>
          <w:spacing w:val="-3"/>
        </w:rPr>
        <w:t xml:space="preserve">Complainant has not established a </w:t>
      </w:r>
      <w:r w:rsidRPr="00A52FBC">
        <w:rPr>
          <w:i/>
          <w:spacing w:val="-3"/>
        </w:rPr>
        <w:t>prima facie</w:t>
      </w:r>
      <w:r w:rsidRPr="00BF3F9D">
        <w:rPr>
          <w:spacing w:val="-3"/>
        </w:rPr>
        <w:t xml:space="preserve"> case that PECO did anything wrong.  PECO Exhibit 7 is a chronological listing of events from the establishment of service at Angora Avenue on December 21, 2001 through December 17, 2013, the date of the letter, and explains the events thoroughly.  Complainant has not provided any evidence to establish that any PECO action was a violation of the utility's duty to provide reasonable and adequate service under 66 Pa.C.S.</w:t>
      </w:r>
    </w:p>
    <w:p w:rsidR="000C558C" w:rsidRPr="00BF3F9D" w:rsidRDefault="000C558C" w:rsidP="000C558C">
      <w:pPr>
        <w:tabs>
          <w:tab w:val="left" w:pos="-1440"/>
          <w:tab w:val="left" w:pos="-720"/>
        </w:tabs>
        <w:suppressAutoHyphens/>
        <w:jc w:val="left"/>
        <w:rPr>
          <w:spacing w:val="-3"/>
        </w:rPr>
      </w:pPr>
      <w:r w:rsidRPr="00BF3F9D">
        <w:rPr>
          <w:spacing w:val="-3"/>
        </w:rPr>
        <w:t>§ 1501 nor of any order, regulation or statute administered by the Commission.</w:t>
      </w:r>
    </w:p>
    <w:p w:rsidR="000C558C" w:rsidRPr="00BF3F9D" w:rsidRDefault="000C558C" w:rsidP="000C558C">
      <w:pPr>
        <w:tabs>
          <w:tab w:val="left" w:pos="-1440"/>
          <w:tab w:val="left" w:pos="-720"/>
        </w:tabs>
        <w:suppressAutoHyphens/>
        <w:jc w:val="left"/>
        <w:rPr>
          <w:spacing w:val="-3"/>
        </w:rPr>
      </w:pPr>
    </w:p>
    <w:p w:rsidR="000C558C" w:rsidRPr="00BF3F9D" w:rsidRDefault="000C558C" w:rsidP="000C558C">
      <w:pPr>
        <w:tabs>
          <w:tab w:val="left" w:pos="-1440"/>
          <w:tab w:val="left" w:pos="-720"/>
        </w:tabs>
        <w:suppressAutoHyphens/>
        <w:jc w:val="left"/>
        <w:rPr>
          <w:spacing w:val="-3"/>
        </w:rPr>
      </w:pPr>
      <w:r w:rsidRPr="00BF3F9D">
        <w:rPr>
          <w:spacing w:val="-3"/>
        </w:rPr>
        <w:tab/>
      </w:r>
      <w:r w:rsidRPr="00BF3F9D">
        <w:rPr>
          <w:spacing w:val="-3"/>
        </w:rPr>
        <w:tab/>
        <w:t>Accordingly, the Complaint is dismissed.</w:t>
      </w:r>
    </w:p>
    <w:p w:rsidR="000C558C" w:rsidRPr="00BF3F9D" w:rsidRDefault="000C558C" w:rsidP="000C558C">
      <w:pPr>
        <w:tabs>
          <w:tab w:val="left" w:pos="-1440"/>
          <w:tab w:val="left" w:pos="-720"/>
        </w:tabs>
        <w:suppressAutoHyphens/>
        <w:jc w:val="left"/>
        <w:rPr>
          <w:spacing w:val="-3"/>
        </w:rPr>
      </w:pPr>
    </w:p>
    <w:p w:rsidR="000C558C" w:rsidRPr="00BF3F9D" w:rsidRDefault="00B64A86" w:rsidP="000C558C">
      <w:pPr>
        <w:tabs>
          <w:tab w:val="left" w:pos="-1440"/>
          <w:tab w:val="left" w:pos="-720"/>
        </w:tabs>
        <w:suppressAutoHyphens/>
        <w:rPr>
          <w:spacing w:val="-3"/>
          <w:u w:val="single"/>
        </w:rPr>
      </w:pPr>
      <w:r>
        <w:rPr>
          <w:spacing w:val="-3"/>
          <w:u w:val="single"/>
        </w:rPr>
        <w:t>CONCLUSIONS OF LAW</w:t>
      </w:r>
    </w:p>
    <w:p w:rsidR="000C558C" w:rsidRPr="00BF3F9D" w:rsidRDefault="000C558C" w:rsidP="00B64A86">
      <w:pPr>
        <w:tabs>
          <w:tab w:val="left" w:pos="-1440"/>
          <w:tab w:val="left" w:pos="-720"/>
        </w:tabs>
        <w:suppressAutoHyphens/>
        <w:jc w:val="both"/>
        <w:rPr>
          <w:spacing w:val="-3"/>
          <w:u w:val="single"/>
        </w:rPr>
      </w:pPr>
    </w:p>
    <w:p w:rsidR="000C558C" w:rsidRPr="00BF3F9D" w:rsidRDefault="000C558C" w:rsidP="000C558C">
      <w:pPr>
        <w:tabs>
          <w:tab w:val="left" w:pos="-1440"/>
          <w:tab w:val="left" w:pos="-720"/>
        </w:tabs>
        <w:suppressAutoHyphens/>
        <w:jc w:val="left"/>
        <w:rPr>
          <w:spacing w:val="-3"/>
        </w:rPr>
      </w:pPr>
      <w:r w:rsidRPr="00BF3F9D">
        <w:rPr>
          <w:spacing w:val="-3"/>
        </w:rPr>
        <w:tab/>
      </w:r>
      <w:r w:rsidRPr="00BF3F9D">
        <w:rPr>
          <w:spacing w:val="-3"/>
        </w:rPr>
        <w:tab/>
        <w:t>1.</w:t>
      </w:r>
      <w:r w:rsidRPr="00BF3F9D">
        <w:rPr>
          <w:spacing w:val="-3"/>
        </w:rPr>
        <w:tab/>
        <w:t>The Commission has jurisdiction over the parties and the subject matter involved in this matter.</w:t>
      </w:r>
    </w:p>
    <w:p w:rsidR="000C558C" w:rsidRPr="00BF3F9D" w:rsidRDefault="000C558C" w:rsidP="000C558C">
      <w:pPr>
        <w:tabs>
          <w:tab w:val="left" w:pos="-1440"/>
          <w:tab w:val="left" w:pos="-720"/>
        </w:tabs>
        <w:suppressAutoHyphens/>
        <w:jc w:val="left"/>
        <w:rPr>
          <w:spacing w:val="-3"/>
        </w:rPr>
      </w:pPr>
    </w:p>
    <w:p w:rsidR="000C558C" w:rsidRPr="00BF3F9D" w:rsidRDefault="000C558C" w:rsidP="000C558C">
      <w:pPr>
        <w:ind w:firstLine="1440"/>
        <w:jc w:val="left"/>
      </w:pPr>
      <w:r w:rsidRPr="00BF3F9D">
        <w:rPr>
          <w:spacing w:val="-3"/>
        </w:rPr>
        <w:t>2.</w:t>
      </w:r>
      <w:r w:rsidRPr="00BF3F9D">
        <w:rPr>
          <w:spacing w:val="-3"/>
        </w:rPr>
        <w:tab/>
      </w:r>
      <w:r w:rsidRPr="00BF3F9D">
        <w:t>As the proponent of a Commission order, complainant has the burden of proof in this case.  66 Pa.C.S.A. § 332(a).</w:t>
      </w:r>
    </w:p>
    <w:p w:rsidR="000C558C" w:rsidRPr="00BF3F9D" w:rsidRDefault="000C558C" w:rsidP="000C558C">
      <w:pPr>
        <w:ind w:firstLine="1440"/>
      </w:pPr>
    </w:p>
    <w:p w:rsidR="000C558C" w:rsidRPr="00BF3F9D" w:rsidRDefault="009E548D" w:rsidP="000C558C">
      <w:pPr>
        <w:tabs>
          <w:tab w:val="left" w:pos="-1440"/>
          <w:tab w:val="left" w:pos="-720"/>
        </w:tabs>
        <w:suppressAutoHyphens/>
        <w:ind w:firstLine="1440"/>
        <w:jc w:val="left"/>
        <w:rPr>
          <w:spacing w:val="-3"/>
        </w:rPr>
      </w:pPr>
      <w:r w:rsidRPr="00BF3F9D">
        <w:rPr>
          <w:spacing w:val="-3"/>
        </w:rPr>
        <w:t>3.</w:t>
      </w:r>
      <w:r w:rsidRPr="00BF3F9D">
        <w:rPr>
          <w:spacing w:val="-3"/>
        </w:rPr>
        <w:tab/>
      </w:r>
      <w:r w:rsidR="000C558C" w:rsidRPr="00BF3F9D">
        <w:rPr>
          <w:spacing w:val="-3"/>
        </w:rPr>
        <w:t xml:space="preserve">The “burden of proof” is composed of two distinct burdens: the burden of production and the burden of persuasion.  </w:t>
      </w:r>
      <w:r w:rsidR="000C558C" w:rsidRPr="00BF3F9D">
        <w:rPr>
          <w:i/>
          <w:spacing w:val="-3"/>
        </w:rPr>
        <w:t>Hurley v. Hurley</w:t>
      </w:r>
      <w:r w:rsidR="000C558C" w:rsidRPr="00BF3F9D">
        <w:rPr>
          <w:spacing w:val="-3"/>
        </w:rPr>
        <w:t>, 2000 Pa.Super. 178, 754 A.2d 1283 (2000).</w:t>
      </w:r>
    </w:p>
    <w:p w:rsidR="000C558C" w:rsidRPr="00BF3F9D" w:rsidRDefault="000C558C" w:rsidP="000C558C">
      <w:pPr>
        <w:jc w:val="left"/>
      </w:pPr>
    </w:p>
    <w:p w:rsidR="009E548D" w:rsidRPr="00BF3F9D" w:rsidRDefault="009E548D" w:rsidP="000C558C">
      <w:pPr>
        <w:tabs>
          <w:tab w:val="left" w:pos="-1440"/>
          <w:tab w:val="left" w:pos="-720"/>
        </w:tabs>
        <w:suppressAutoHyphens/>
        <w:ind w:firstLine="1440"/>
        <w:jc w:val="left"/>
        <w:rPr>
          <w:spacing w:val="-3"/>
        </w:rPr>
      </w:pPr>
      <w:r w:rsidRPr="00BF3F9D">
        <w:rPr>
          <w:spacing w:val="-3"/>
        </w:rPr>
        <w:t>4.</w:t>
      </w:r>
      <w:r w:rsidRPr="00BF3F9D">
        <w:rPr>
          <w:spacing w:val="-3"/>
        </w:rPr>
        <w:tab/>
      </w:r>
      <w:r w:rsidR="000C558C" w:rsidRPr="00BF3F9D">
        <w:rPr>
          <w:spacing w:val="-3"/>
        </w:rPr>
        <w:t xml:space="preserve">To establish a sufficient case and satisfy the burden of proof, complainant must show that respondent is responsible or accountable for the problem described in the Complaint.  </w:t>
      </w:r>
      <w:r w:rsidR="000C558C" w:rsidRPr="00BF3F9D">
        <w:rPr>
          <w:i/>
          <w:spacing w:val="-3"/>
        </w:rPr>
        <w:t>Patterson v. Bell Telephone Company of Pennsylvania</w:t>
      </w:r>
      <w:r w:rsidR="000C558C" w:rsidRPr="00BF3F9D">
        <w:rPr>
          <w:spacing w:val="-3"/>
        </w:rPr>
        <w:t xml:space="preserve">, 72 Pa. PUC 196 (1990), </w:t>
      </w:r>
      <w:r w:rsidR="000C558C" w:rsidRPr="00BF3F9D">
        <w:rPr>
          <w:i/>
          <w:spacing w:val="-3"/>
        </w:rPr>
        <w:t>Feinstein v. Philadelphia Suburban Water Company</w:t>
      </w:r>
      <w:r w:rsidR="00CD43B4">
        <w:rPr>
          <w:spacing w:val="-3"/>
        </w:rPr>
        <w:t>, 50 Pa. PUC 300 (1976).</w:t>
      </w:r>
    </w:p>
    <w:p w:rsidR="009E548D" w:rsidRPr="00BF3F9D" w:rsidRDefault="009E548D" w:rsidP="000C558C">
      <w:pPr>
        <w:tabs>
          <w:tab w:val="left" w:pos="-1440"/>
          <w:tab w:val="left" w:pos="-720"/>
        </w:tabs>
        <w:suppressAutoHyphens/>
        <w:ind w:firstLine="1440"/>
        <w:jc w:val="left"/>
        <w:rPr>
          <w:spacing w:val="-3"/>
        </w:rPr>
      </w:pPr>
    </w:p>
    <w:p w:rsidR="009E548D" w:rsidRPr="00BF3F9D" w:rsidRDefault="009E548D" w:rsidP="000C558C">
      <w:pPr>
        <w:tabs>
          <w:tab w:val="left" w:pos="-1440"/>
          <w:tab w:val="left" w:pos="-720"/>
        </w:tabs>
        <w:suppressAutoHyphens/>
        <w:ind w:firstLine="1440"/>
        <w:jc w:val="left"/>
        <w:rPr>
          <w:spacing w:val="-3"/>
        </w:rPr>
      </w:pPr>
      <w:r w:rsidRPr="00BF3F9D">
        <w:rPr>
          <w:spacing w:val="-3"/>
        </w:rPr>
        <w:lastRenderedPageBreak/>
        <w:t>5.</w:t>
      </w:r>
      <w:r w:rsidRPr="00BF3F9D">
        <w:rPr>
          <w:spacing w:val="-3"/>
        </w:rPr>
        <w:tab/>
      </w:r>
      <w:r w:rsidR="000C558C" w:rsidRPr="00BF3F9D">
        <w:rPr>
          <w:spacing w:val="-3"/>
        </w:rPr>
        <w:t xml:space="preserve">Such a showing must be by a preponderance of the evidence.  </w:t>
      </w:r>
      <w:r w:rsidR="000C558C" w:rsidRPr="00BF3F9D">
        <w:rPr>
          <w:i/>
          <w:spacing w:val="-3"/>
        </w:rPr>
        <w:t>Samuel J. Lansberry, Inc. v. Pa. Pub. Util. Comm’n</w:t>
      </w:r>
      <w:r w:rsidR="000C558C" w:rsidRPr="00BF3F9D">
        <w:rPr>
          <w:spacing w:val="-3"/>
        </w:rPr>
        <w:t xml:space="preserve">, 134 Pa.Cmwlth. 218; 221-222, 578 A.2d 600; 602 (1990), </w:t>
      </w:r>
      <w:r w:rsidR="000C558C" w:rsidRPr="00BF3F9D">
        <w:rPr>
          <w:iCs/>
          <w:spacing w:val="-3"/>
        </w:rPr>
        <w:t>app. denied,</w:t>
      </w:r>
      <w:r w:rsidR="000C558C" w:rsidRPr="00BF3F9D">
        <w:rPr>
          <w:spacing w:val="-3"/>
        </w:rPr>
        <w:t xml:space="preserve"> 529 Pa. 654, 602 A.2d 863 (1992).  That is, by presenting evidence more convincing, by even the smallest amount, than that presented by the other party.  </w:t>
      </w:r>
      <w:r w:rsidR="000C558C" w:rsidRPr="00BF3F9D">
        <w:rPr>
          <w:i/>
          <w:spacing w:val="-3"/>
        </w:rPr>
        <w:t>Se-Ling Hosiery v. Margulies</w:t>
      </w:r>
      <w:r w:rsidR="000C558C" w:rsidRPr="00BF3F9D">
        <w:rPr>
          <w:spacing w:val="-3"/>
        </w:rPr>
        <w:t>, 364 Pa. 45, 70 A.2d 854 (1950).</w:t>
      </w:r>
    </w:p>
    <w:p w:rsidR="009E548D" w:rsidRPr="00BF3F9D" w:rsidRDefault="009E548D" w:rsidP="000C558C">
      <w:pPr>
        <w:tabs>
          <w:tab w:val="left" w:pos="-1440"/>
          <w:tab w:val="left" w:pos="-720"/>
        </w:tabs>
        <w:suppressAutoHyphens/>
        <w:ind w:firstLine="1440"/>
        <w:jc w:val="left"/>
        <w:rPr>
          <w:spacing w:val="-3"/>
        </w:rPr>
      </w:pPr>
    </w:p>
    <w:p w:rsidR="000C558C" w:rsidRPr="00BF3F9D" w:rsidRDefault="009E548D" w:rsidP="000C558C">
      <w:pPr>
        <w:tabs>
          <w:tab w:val="left" w:pos="-1440"/>
          <w:tab w:val="left" w:pos="-720"/>
        </w:tabs>
        <w:suppressAutoHyphens/>
        <w:ind w:firstLine="1440"/>
        <w:jc w:val="left"/>
        <w:rPr>
          <w:spacing w:val="-3"/>
        </w:rPr>
      </w:pPr>
      <w:r w:rsidRPr="00BF3F9D">
        <w:rPr>
          <w:spacing w:val="-3"/>
        </w:rPr>
        <w:t>6.</w:t>
      </w:r>
      <w:r w:rsidRPr="00BF3F9D">
        <w:rPr>
          <w:spacing w:val="-3"/>
        </w:rPr>
        <w:tab/>
      </w:r>
      <w:r w:rsidR="000C558C" w:rsidRPr="00BF3F9D">
        <w:rPr>
          <w:spacing w:val="-3"/>
        </w:rPr>
        <w:t xml:space="preserve">Complainant must initially produce sufficient credible evidence to establish a prima facie case in order that complainant not lose summarily.  </w:t>
      </w:r>
      <w:r w:rsidR="000C558C" w:rsidRPr="00BF3F9D">
        <w:rPr>
          <w:i/>
          <w:spacing w:val="-3"/>
        </w:rPr>
        <w:t>Morrissey v. Dep’t of Highways</w:t>
      </w:r>
      <w:r w:rsidR="00705160">
        <w:rPr>
          <w:spacing w:val="-3"/>
        </w:rPr>
        <w:t>, </w:t>
      </w:r>
      <w:r w:rsidR="000C558C" w:rsidRPr="00BF3F9D">
        <w:rPr>
          <w:spacing w:val="-3"/>
        </w:rPr>
        <w:t>4</w:t>
      </w:r>
      <w:r w:rsidR="003E4C3C">
        <w:rPr>
          <w:spacing w:val="-3"/>
        </w:rPr>
        <w:t>24 Pa. 87, 225 A.2d 895 (1967).</w:t>
      </w:r>
    </w:p>
    <w:p w:rsidR="000C558C" w:rsidRPr="00BF3F9D" w:rsidRDefault="000C558C" w:rsidP="000C558C">
      <w:pPr>
        <w:tabs>
          <w:tab w:val="left" w:pos="-1440"/>
          <w:tab w:val="left" w:pos="-720"/>
        </w:tabs>
        <w:suppressAutoHyphens/>
        <w:ind w:firstLine="1440"/>
        <w:jc w:val="left"/>
        <w:rPr>
          <w:spacing w:val="-3"/>
        </w:rPr>
      </w:pPr>
    </w:p>
    <w:p w:rsidR="000C558C" w:rsidRPr="00BF3F9D" w:rsidRDefault="009E548D" w:rsidP="000C558C">
      <w:pPr>
        <w:tabs>
          <w:tab w:val="left" w:pos="-1440"/>
          <w:tab w:val="left" w:pos="-720"/>
        </w:tabs>
        <w:suppressAutoHyphens/>
        <w:ind w:firstLine="1440"/>
        <w:jc w:val="left"/>
        <w:rPr>
          <w:spacing w:val="-3"/>
        </w:rPr>
      </w:pPr>
      <w:r w:rsidRPr="00BF3F9D">
        <w:rPr>
          <w:spacing w:val="-3"/>
        </w:rPr>
        <w:t>7.</w:t>
      </w:r>
      <w:r w:rsidRPr="00BF3F9D">
        <w:rPr>
          <w:spacing w:val="-3"/>
        </w:rPr>
        <w:tab/>
      </w:r>
      <w:r w:rsidR="000C558C" w:rsidRPr="00BF3F9D">
        <w:rPr>
          <w:spacing w:val="-3"/>
        </w:rPr>
        <w:t xml:space="preserve">Additionally, any finding of fact necessary to support the Commission’s adjudication must be based upon substantial evidence.  </w:t>
      </w:r>
      <w:r w:rsidR="000C558C" w:rsidRPr="00BF3F9D">
        <w:rPr>
          <w:i/>
          <w:spacing w:val="-3"/>
        </w:rPr>
        <w:t>Mill v. Pa. Pub</w:t>
      </w:r>
      <w:r w:rsidR="00A83B74">
        <w:rPr>
          <w:i/>
          <w:spacing w:val="-3"/>
        </w:rPr>
        <w:t>.</w:t>
      </w:r>
      <w:r w:rsidR="000C558C" w:rsidRPr="00BF3F9D">
        <w:rPr>
          <w:i/>
          <w:spacing w:val="-3"/>
        </w:rPr>
        <w:t xml:space="preserve"> Util</w:t>
      </w:r>
      <w:r w:rsidR="00A83B74">
        <w:rPr>
          <w:i/>
          <w:spacing w:val="-3"/>
        </w:rPr>
        <w:t>.</w:t>
      </w:r>
      <w:r w:rsidR="000C558C" w:rsidRPr="00BF3F9D">
        <w:rPr>
          <w:i/>
          <w:spacing w:val="-3"/>
        </w:rPr>
        <w:t xml:space="preserve"> Comm’n</w:t>
      </w:r>
      <w:r w:rsidR="000C558C" w:rsidRPr="00BF3F9D">
        <w:rPr>
          <w:spacing w:val="-3"/>
        </w:rPr>
        <w:t xml:space="preserve">, 67 Pa.Cmwlth. 597, 447 A.2d 1100 (1982), </w:t>
      </w:r>
      <w:r w:rsidR="000C558C" w:rsidRPr="00BF3F9D">
        <w:rPr>
          <w:i/>
          <w:spacing w:val="-3"/>
        </w:rPr>
        <w:t>Edan Transportation Corp. v. Pa. Pub. Util. Comm’n</w:t>
      </w:r>
      <w:r w:rsidR="000C558C" w:rsidRPr="00BF3F9D">
        <w:rPr>
          <w:spacing w:val="-3"/>
        </w:rPr>
        <w:t xml:space="preserve">, 154 Pa.Cmwlth. 21, 623 A.2d 6 (1993), 2 Pa.C.S. § 704.  Substantial evidence has been defined as such relevant evidence as a reasonable mind might accept as adequate to support a conclusion.  </w:t>
      </w:r>
      <w:r w:rsidR="000C558C" w:rsidRPr="00BF3F9D">
        <w:rPr>
          <w:i/>
          <w:spacing w:val="-3"/>
        </w:rPr>
        <w:t>Bethenergy Mines, Inc. v. Workmen’s Compensation Appeal Bd. (Skirpan)</w:t>
      </w:r>
      <w:r w:rsidR="00C91B7B">
        <w:rPr>
          <w:spacing w:val="-3"/>
        </w:rPr>
        <w:t>, 531 Pa. 287, 612 A.2d </w:t>
      </w:r>
      <w:r w:rsidR="000C558C" w:rsidRPr="00BF3F9D">
        <w:rPr>
          <w:spacing w:val="-3"/>
        </w:rPr>
        <w:t xml:space="preserve">434 (1992).  More is required than a mere trace of evidence or a suspicion of the existence of a fact sought to be established.  </w:t>
      </w:r>
      <w:r w:rsidR="000C558C" w:rsidRPr="00BF3F9D">
        <w:rPr>
          <w:i/>
          <w:spacing w:val="-3"/>
        </w:rPr>
        <w:t>Norfolk and Western Ry. v. Pa. Pub. Util. Comm’n</w:t>
      </w:r>
      <w:r w:rsidR="000C558C" w:rsidRPr="00BF3F9D">
        <w:rPr>
          <w:spacing w:val="-3"/>
        </w:rPr>
        <w:t xml:space="preserve">, 489 Pa. 109, 413 A.2d 1037 (1980); </w:t>
      </w:r>
      <w:r w:rsidR="000C558C" w:rsidRPr="00BF3F9D">
        <w:rPr>
          <w:i/>
          <w:spacing w:val="-3"/>
        </w:rPr>
        <w:t>Erie Resistor Corp. v. Unemployment Compensation Bd. of Review</w:t>
      </w:r>
      <w:r w:rsidR="000C558C" w:rsidRPr="00BF3F9D">
        <w:rPr>
          <w:spacing w:val="-3"/>
        </w:rPr>
        <w:t xml:space="preserve">, 194 Pa.Super. 278, 166 A.2d 96 (1960); </w:t>
      </w:r>
      <w:r w:rsidR="000C558C" w:rsidRPr="00BF3F9D">
        <w:rPr>
          <w:i/>
          <w:spacing w:val="-3"/>
        </w:rPr>
        <w:t>Murphy v. Dep’t of Public Welfare</w:t>
      </w:r>
      <w:r w:rsidR="000C558C" w:rsidRPr="00BF3F9D">
        <w:rPr>
          <w:spacing w:val="-3"/>
        </w:rPr>
        <w:t>, 85 Pa.Cmwlth. 23, 480 A.2d 382 (1984).</w:t>
      </w:r>
    </w:p>
    <w:p w:rsidR="009E548D" w:rsidRPr="00BF3F9D" w:rsidRDefault="009E548D" w:rsidP="000C558C">
      <w:pPr>
        <w:tabs>
          <w:tab w:val="left" w:pos="-1440"/>
          <w:tab w:val="left" w:pos="-720"/>
        </w:tabs>
        <w:suppressAutoHyphens/>
        <w:ind w:firstLine="1440"/>
        <w:jc w:val="left"/>
        <w:rPr>
          <w:spacing w:val="-3"/>
        </w:rPr>
      </w:pPr>
    </w:p>
    <w:p w:rsidR="000C558C" w:rsidRPr="00BF3F9D" w:rsidRDefault="009E548D" w:rsidP="000C558C">
      <w:pPr>
        <w:tabs>
          <w:tab w:val="left" w:pos="-1440"/>
          <w:tab w:val="left" w:pos="-720"/>
        </w:tabs>
        <w:suppressAutoHyphens/>
        <w:ind w:firstLine="1440"/>
        <w:jc w:val="left"/>
        <w:rPr>
          <w:spacing w:val="-3"/>
        </w:rPr>
      </w:pPr>
      <w:r w:rsidRPr="00BF3F9D">
        <w:rPr>
          <w:spacing w:val="-3"/>
        </w:rPr>
        <w:t>8.</w:t>
      </w:r>
      <w:r w:rsidRPr="00BF3F9D">
        <w:rPr>
          <w:spacing w:val="-3"/>
        </w:rPr>
        <w:tab/>
        <w:t xml:space="preserve">Complainant has not produced sufficient evidence to establish a </w:t>
      </w:r>
      <w:r w:rsidRPr="00F56B0A">
        <w:rPr>
          <w:i/>
          <w:spacing w:val="-3"/>
        </w:rPr>
        <w:t>prima facie</w:t>
      </w:r>
      <w:r w:rsidRPr="00BF3F9D">
        <w:rPr>
          <w:spacing w:val="-3"/>
        </w:rPr>
        <w:t xml:space="preserve"> case.</w:t>
      </w:r>
    </w:p>
    <w:p w:rsidR="009E548D" w:rsidRPr="00BF3F9D" w:rsidRDefault="009E548D" w:rsidP="000C558C">
      <w:pPr>
        <w:tabs>
          <w:tab w:val="left" w:pos="-1440"/>
          <w:tab w:val="left" w:pos="-720"/>
        </w:tabs>
        <w:suppressAutoHyphens/>
        <w:ind w:firstLine="1440"/>
        <w:jc w:val="left"/>
        <w:rPr>
          <w:spacing w:val="-3"/>
        </w:rPr>
      </w:pPr>
    </w:p>
    <w:p w:rsidR="00F56B0A" w:rsidRDefault="00F56B0A" w:rsidP="00F56B0A">
      <w:pPr>
        <w:tabs>
          <w:tab w:val="left" w:pos="-1440"/>
          <w:tab w:val="left" w:pos="-720"/>
        </w:tabs>
        <w:suppressAutoHyphens/>
        <w:rPr>
          <w:spacing w:val="-3"/>
          <w:u w:val="single"/>
        </w:rPr>
      </w:pPr>
      <w:r>
        <w:rPr>
          <w:spacing w:val="-3"/>
          <w:u w:val="single"/>
        </w:rPr>
        <w:br w:type="page"/>
      </w:r>
    </w:p>
    <w:p w:rsidR="009E548D" w:rsidRPr="00BF3F9D" w:rsidRDefault="009E548D" w:rsidP="00F56B0A">
      <w:pPr>
        <w:tabs>
          <w:tab w:val="left" w:pos="-1440"/>
          <w:tab w:val="left" w:pos="-720"/>
        </w:tabs>
        <w:suppressAutoHyphens/>
        <w:rPr>
          <w:spacing w:val="-3"/>
          <w:u w:val="single"/>
        </w:rPr>
      </w:pPr>
      <w:r w:rsidRPr="00BF3F9D">
        <w:rPr>
          <w:spacing w:val="-3"/>
          <w:u w:val="single"/>
        </w:rPr>
        <w:lastRenderedPageBreak/>
        <w:t>ORDER</w:t>
      </w:r>
    </w:p>
    <w:p w:rsidR="009E548D" w:rsidRDefault="009E548D" w:rsidP="009E548D">
      <w:pPr>
        <w:tabs>
          <w:tab w:val="left" w:pos="-1440"/>
          <w:tab w:val="left" w:pos="-720"/>
        </w:tabs>
        <w:suppressAutoHyphens/>
        <w:ind w:firstLine="1440"/>
        <w:rPr>
          <w:spacing w:val="-3"/>
          <w:u w:val="single"/>
        </w:rPr>
      </w:pPr>
    </w:p>
    <w:p w:rsidR="00F56B0A" w:rsidRPr="00BF3F9D" w:rsidRDefault="00F56B0A" w:rsidP="009E548D">
      <w:pPr>
        <w:tabs>
          <w:tab w:val="left" w:pos="-1440"/>
          <w:tab w:val="left" w:pos="-720"/>
        </w:tabs>
        <w:suppressAutoHyphens/>
        <w:ind w:firstLine="1440"/>
        <w:rPr>
          <w:spacing w:val="-3"/>
          <w:u w:val="single"/>
        </w:rPr>
      </w:pPr>
    </w:p>
    <w:p w:rsidR="009E548D" w:rsidRPr="00BF3F9D" w:rsidRDefault="009E548D" w:rsidP="009E548D">
      <w:pPr>
        <w:tabs>
          <w:tab w:val="left" w:pos="-1440"/>
          <w:tab w:val="left" w:pos="-720"/>
        </w:tabs>
        <w:suppressAutoHyphens/>
        <w:ind w:firstLine="1440"/>
        <w:jc w:val="left"/>
        <w:rPr>
          <w:spacing w:val="-3"/>
        </w:rPr>
      </w:pPr>
      <w:r w:rsidRPr="00BF3F9D">
        <w:rPr>
          <w:spacing w:val="-3"/>
        </w:rPr>
        <w:t>THEREFORE,</w:t>
      </w:r>
    </w:p>
    <w:p w:rsidR="009E548D" w:rsidRPr="00BF3F9D" w:rsidRDefault="009E548D" w:rsidP="009E548D">
      <w:pPr>
        <w:tabs>
          <w:tab w:val="left" w:pos="-1440"/>
          <w:tab w:val="left" w:pos="-720"/>
        </w:tabs>
        <w:suppressAutoHyphens/>
        <w:ind w:firstLine="1440"/>
        <w:jc w:val="left"/>
        <w:rPr>
          <w:spacing w:val="-3"/>
        </w:rPr>
      </w:pPr>
    </w:p>
    <w:p w:rsidR="009E548D" w:rsidRPr="00BF3F9D" w:rsidRDefault="009E548D" w:rsidP="009E548D">
      <w:pPr>
        <w:tabs>
          <w:tab w:val="left" w:pos="-1440"/>
          <w:tab w:val="left" w:pos="-720"/>
        </w:tabs>
        <w:suppressAutoHyphens/>
        <w:ind w:firstLine="1440"/>
        <w:jc w:val="left"/>
        <w:rPr>
          <w:spacing w:val="-3"/>
        </w:rPr>
      </w:pPr>
      <w:r w:rsidRPr="00BF3F9D">
        <w:rPr>
          <w:spacing w:val="-3"/>
        </w:rPr>
        <w:t>IT IS ORDERED:</w:t>
      </w:r>
    </w:p>
    <w:p w:rsidR="009E548D" w:rsidRPr="00BF3F9D" w:rsidRDefault="009E548D" w:rsidP="009E548D">
      <w:pPr>
        <w:tabs>
          <w:tab w:val="left" w:pos="-1440"/>
          <w:tab w:val="left" w:pos="-720"/>
        </w:tabs>
        <w:suppressAutoHyphens/>
        <w:ind w:firstLine="1440"/>
        <w:jc w:val="left"/>
        <w:rPr>
          <w:spacing w:val="-3"/>
        </w:rPr>
      </w:pPr>
    </w:p>
    <w:p w:rsidR="009E548D" w:rsidRPr="00BF3F9D" w:rsidRDefault="009E548D" w:rsidP="009E548D">
      <w:pPr>
        <w:tabs>
          <w:tab w:val="left" w:pos="-1440"/>
          <w:tab w:val="left" w:pos="-720"/>
        </w:tabs>
        <w:suppressAutoHyphens/>
        <w:ind w:firstLine="1440"/>
        <w:jc w:val="left"/>
        <w:rPr>
          <w:spacing w:val="-3"/>
        </w:rPr>
      </w:pPr>
      <w:r w:rsidRPr="00BF3F9D">
        <w:rPr>
          <w:spacing w:val="-3"/>
        </w:rPr>
        <w:t>1.</w:t>
      </w:r>
      <w:r w:rsidRPr="00BF3F9D">
        <w:rPr>
          <w:spacing w:val="-3"/>
        </w:rPr>
        <w:tab/>
        <w:t>That the Complaint filed by Omar Ali against PECO Energy Company at docket no. F-2014-2417840 is dismissed.</w:t>
      </w:r>
    </w:p>
    <w:p w:rsidR="009E548D" w:rsidRPr="00BF3F9D" w:rsidRDefault="009E548D" w:rsidP="009E548D">
      <w:pPr>
        <w:tabs>
          <w:tab w:val="left" w:pos="-1440"/>
          <w:tab w:val="left" w:pos="-720"/>
        </w:tabs>
        <w:suppressAutoHyphens/>
        <w:ind w:firstLine="1440"/>
        <w:jc w:val="left"/>
        <w:rPr>
          <w:spacing w:val="-3"/>
        </w:rPr>
      </w:pPr>
    </w:p>
    <w:p w:rsidR="009E548D" w:rsidRPr="00BF3F9D" w:rsidRDefault="009E548D" w:rsidP="009E548D">
      <w:pPr>
        <w:tabs>
          <w:tab w:val="left" w:pos="-1440"/>
          <w:tab w:val="left" w:pos="-720"/>
        </w:tabs>
        <w:suppressAutoHyphens/>
        <w:ind w:firstLine="1440"/>
        <w:jc w:val="left"/>
        <w:rPr>
          <w:spacing w:val="-3"/>
        </w:rPr>
      </w:pPr>
      <w:r w:rsidRPr="00BF3F9D">
        <w:rPr>
          <w:spacing w:val="-3"/>
        </w:rPr>
        <w:t>2.</w:t>
      </w:r>
      <w:r w:rsidRPr="00BF3F9D">
        <w:rPr>
          <w:spacing w:val="-3"/>
        </w:rPr>
        <w:tab/>
        <w:t>That the Secretary mark this docket closed.</w:t>
      </w:r>
    </w:p>
    <w:p w:rsidR="009E548D" w:rsidRPr="00BF3F9D" w:rsidRDefault="009E548D" w:rsidP="009E548D">
      <w:pPr>
        <w:tabs>
          <w:tab w:val="left" w:pos="-1440"/>
          <w:tab w:val="left" w:pos="-720"/>
        </w:tabs>
        <w:suppressAutoHyphens/>
        <w:jc w:val="left"/>
        <w:rPr>
          <w:spacing w:val="-3"/>
        </w:rPr>
      </w:pPr>
    </w:p>
    <w:p w:rsidR="009E548D" w:rsidRPr="00BF3F9D" w:rsidRDefault="009E548D" w:rsidP="009E548D">
      <w:pPr>
        <w:tabs>
          <w:tab w:val="left" w:pos="-1440"/>
          <w:tab w:val="left" w:pos="-720"/>
        </w:tabs>
        <w:suppressAutoHyphens/>
        <w:spacing w:line="240" w:lineRule="auto"/>
        <w:jc w:val="left"/>
        <w:rPr>
          <w:spacing w:val="-3"/>
        </w:rPr>
      </w:pPr>
      <w:r w:rsidRPr="00BF3F9D">
        <w:rPr>
          <w:spacing w:val="-3"/>
        </w:rPr>
        <w:t>Dated:</w:t>
      </w:r>
      <w:r w:rsidRPr="00BF3F9D">
        <w:rPr>
          <w:spacing w:val="-3"/>
        </w:rPr>
        <w:tab/>
      </w:r>
      <w:r w:rsidRPr="00BF3F9D">
        <w:rPr>
          <w:spacing w:val="-3"/>
          <w:u w:val="single"/>
        </w:rPr>
        <w:t>August 25, 2014</w:t>
      </w:r>
      <w:r w:rsidRPr="00BF3F9D">
        <w:rPr>
          <w:spacing w:val="-3"/>
        </w:rPr>
        <w:tab/>
      </w:r>
      <w:r w:rsidRPr="00BF3F9D">
        <w:rPr>
          <w:spacing w:val="-3"/>
        </w:rPr>
        <w:tab/>
      </w:r>
      <w:r w:rsidRPr="00BF3F9D">
        <w:rPr>
          <w:spacing w:val="-3"/>
        </w:rPr>
        <w:tab/>
      </w:r>
      <w:r w:rsidRPr="00BF3F9D">
        <w:rPr>
          <w:spacing w:val="-3"/>
        </w:rPr>
        <w:tab/>
        <w:t>___</w:t>
      </w:r>
      <w:r w:rsidRPr="00BF3F9D">
        <w:rPr>
          <w:spacing w:val="-3"/>
          <w:u w:val="single"/>
        </w:rPr>
        <w:t>/s/________________________</w:t>
      </w:r>
    </w:p>
    <w:p w:rsidR="009E548D" w:rsidRPr="00BF3F9D" w:rsidRDefault="009E548D" w:rsidP="009E548D">
      <w:pPr>
        <w:tabs>
          <w:tab w:val="left" w:pos="-1440"/>
          <w:tab w:val="left" w:pos="-720"/>
        </w:tabs>
        <w:suppressAutoHyphens/>
        <w:spacing w:line="240" w:lineRule="auto"/>
        <w:jc w:val="left"/>
        <w:rPr>
          <w:spacing w:val="-3"/>
        </w:rPr>
      </w:pPr>
      <w:r w:rsidRPr="00BF3F9D">
        <w:rPr>
          <w:spacing w:val="-3"/>
        </w:rPr>
        <w:tab/>
      </w:r>
      <w:r w:rsidRPr="00BF3F9D">
        <w:rPr>
          <w:spacing w:val="-3"/>
        </w:rPr>
        <w:tab/>
      </w:r>
      <w:r w:rsidRPr="00BF3F9D">
        <w:rPr>
          <w:spacing w:val="-3"/>
        </w:rPr>
        <w:tab/>
      </w:r>
      <w:r w:rsidRPr="00BF3F9D">
        <w:rPr>
          <w:spacing w:val="-3"/>
        </w:rPr>
        <w:tab/>
      </w:r>
      <w:r w:rsidRPr="00BF3F9D">
        <w:rPr>
          <w:spacing w:val="-3"/>
        </w:rPr>
        <w:tab/>
      </w:r>
      <w:r w:rsidRPr="00BF3F9D">
        <w:rPr>
          <w:spacing w:val="-3"/>
        </w:rPr>
        <w:tab/>
      </w:r>
      <w:r w:rsidRPr="00BF3F9D">
        <w:rPr>
          <w:spacing w:val="-3"/>
        </w:rPr>
        <w:tab/>
        <w:t>Susan D. Colwell</w:t>
      </w:r>
    </w:p>
    <w:p w:rsidR="009E548D" w:rsidRPr="00BF3F9D" w:rsidRDefault="009E548D" w:rsidP="009E548D">
      <w:pPr>
        <w:tabs>
          <w:tab w:val="left" w:pos="-1440"/>
          <w:tab w:val="left" w:pos="-720"/>
        </w:tabs>
        <w:suppressAutoHyphens/>
        <w:spacing w:line="240" w:lineRule="auto"/>
        <w:jc w:val="left"/>
        <w:rPr>
          <w:spacing w:val="-3"/>
        </w:rPr>
      </w:pPr>
      <w:r w:rsidRPr="00BF3F9D">
        <w:rPr>
          <w:spacing w:val="-3"/>
        </w:rPr>
        <w:tab/>
      </w:r>
      <w:r w:rsidRPr="00BF3F9D">
        <w:rPr>
          <w:spacing w:val="-3"/>
        </w:rPr>
        <w:tab/>
      </w:r>
      <w:r w:rsidRPr="00BF3F9D">
        <w:rPr>
          <w:spacing w:val="-3"/>
        </w:rPr>
        <w:tab/>
      </w:r>
      <w:r w:rsidRPr="00BF3F9D">
        <w:rPr>
          <w:spacing w:val="-3"/>
        </w:rPr>
        <w:tab/>
      </w:r>
      <w:r w:rsidRPr="00BF3F9D">
        <w:rPr>
          <w:spacing w:val="-3"/>
        </w:rPr>
        <w:tab/>
      </w:r>
      <w:r w:rsidRPr="00BF3F9D">
        <w:rPr>
          <w:spacing w:val="-3"/>
        </w:rPr>
        <w:tab/>
      </w:r>
      <w:r w:rsidRPr="00BF3F9D">
        <w:rPr>
          <w:spacing w:val="-3"/>
        </w:rPr>
        <w:tab/>
        <w:t>Administrative Law Judge</w:t>
      </w:r>
      <w:r w:rsidRPr="00BF3F9D">
        <w:rPr>
          <w:spacing w:val="-3"/>
        </w:rPr>
        <w:tab/>
      </w:r>
    </w:p>
    <w:p w:rsidR="000C558C" w:rsidRPr="00BF3F9D" w:rsidRDefault="000C558C" w:rsidP="000C558C">
      <w:pPr>
        <w:tabs>
          <w:tab w:val="left" w:pos="-1440"/>
          <w:tab w:val="left" w:pos="-720"/>
        </w:tabs>
        <w:suppressAutoHyphens/>
        <w:jc w:val="left"/>
        <w:rPr>
          <w:spacing w:val="-3"/>
        </w:rPr>
      </w:pPr>
    </w:p>
    <w:p w:rsidR="001A4BEF" w:rsidRPr="00BF3F9D" w:rsidRDefault="000C558C" w:rsidP="000C558C">
      <w:pPr>
        <w:tabs>
          <w:tab w:val="left" w:pos="-1440"/>
          <w:tab w:val="left" w:pos="-720"/>
        </w:tabs>
        <w:suppressAutoHyphens/>
        <w:jc w:val="left"/>
        <w:rPr>
          <w:spacing w:val="-3"/>
        </w:rPr>
      </w:pPr>
      <w:r w:rsidRPr="00BF3F9D">
        <w:rPr>
          <w:spacing w:val="-3"/>
        </w:rPr>
        <w:tab/>
      </w:r>
      <w:r w:rsidRPr="00BF3F9D">
        <w:rPr>
          <w:spacing w:val="-3"/>
        </w:rPr>
        <w:tab/>
      </w:r>
      <w:r w:rsidR="00A26B64" w:rsidRPr="00BF3F9D">
        <w:rPr>
          <w:spacing w:val="-3"/>
        </w:rPr>
        <w:tab/>
      </w:r>
      <w:r w:rsidR="00A26B64" w:rsidRPr="00BF3F9D">
        <w:rPr>
          <w:spacing w:val="-3"/>
        </w:rPr>
        <w:tab/>
      </w:r>
      <w:r w:rsidR="00A26B64" w:rsidRPr="00BF3F9D">
        <w:rPr>
          <w:spacing w:val="-3"/>
        </w:rPr>
        <w:tab/>
      </w:r>
      <w:r w:rsidR="001A4BEF" w:rsidRPr="00BF3F9D">
        <w:rPr>
          <w:spacing w:val="-3"/>
        </w:rPr>
        <w:tab/>
      </w:r>
    </w:p>
    <w:p w:rsidR="00004FD5" w:rsidRPr="00BF3F9D" w:rsidRDefault="00004FD5" w:rsidP="00322F8D">
      <w:pPr>
        <w:tabs>
          <w:tab w:val="left" w:pos="-1440"/>
          <w:tab w:val="left" w:pos="-720"/>
        </w:tabs>
        <w:suppressAutoHyphens/>
        <w:ind w:firstLine="1440"/>
        <w:jc w:val="left"/>
        <w:rPr>
          <w:spacing w:val="-3"/>
        </w:rPr>
      </w:pPr>
    </w:p>
    <w:p w:rsidR="00004FD5" w:rsidRPr="00BF3F9D" w:rsidRDefault="00004FD5" w:rsidP="00322F8D">
      <w:pPr>
        <w:tabs>
          <w:tab w:val="left" w:pos="-1440"/>
          <w:tab w:val="left" w:pos="-720"/>
        </w:tabs>
        <w:suppressAutoHyphens/>
        <w:ind w:firstLine="1440"/>
        <w:jc w:val="left"/>
        <w:rPr>
          <w:spacing w:val="-3"/>
        </w:rPr>
      </w:pPr>
    </w:p>
    <w:p w:rsidR="00004FD5" w:rsidRPr="00BF3F9D" w:rsidRDefault="00004FD5" w:rsidP="00004FD5">
      <w:pPr>
        <w:tabs>
          <w:tab w:val="left" w:pos="-1440"/>
          <w:tab w:val="left" w:pos="-720"/>
        </w:tabs>
        <w:suppressAutoHyphens/>
        <w:jc w:val="left"/>
        <w:rPr>
          <w:spacing w:val="-3"/>
        </w:rPr>
      </w:pPr>
      <w:r w:rsidRPr="00BF3F9D">
        <w:rPr>
          <w:spacing w:val="-3"/>
        </w:rPr>
        <w:tab/>
      </w:r>
      <w:r w:rsidRPr="00BF3F9D">
        <w:rPr>
          <w:spacing w:val="-3"/>
        </w:rPr>
        <w:tab/>
      </w:r>
    </w:p>
    <w:p w:rsidR="00322F8D" w:rsidRPr="00BF3F9D" w:rsidRDefault="00322F8D" w:rsidP="00322F8D">
      <w:pPr>
        <w:tabs>
          <w:tab w:val="left" w:pos="-1440"/>
          <w:tab w:val="left" w:pos="-720"/>
        </w:tabs>
        <w:suppressAutoHyphens/>
        <w:ind w:firstLine="1440"/>
        <w:jc w:val="left"/>
        <w:rPr>
          <w:spacing w:val="-3"/>
        </w:rPr>
      </w:pPr>
    </w:p>
    <w:p w:rsidR="00322F8D" w:rsidRPr="00BF3F9D" w:rsidRDefault="00322F8D" w:rsidP="00322F8D">
      <w:pPr>
        <w:jc w:val="left"/>
      </w:pPr>
    </w:p>
    <w:p w:rsidR="00322F8D" w:rsidRPr="00BF3F9D" w:rsidRDefault="00322F8D" w:rsidP="00322F8D">
      <w:pPr>
        <w:jc w:val="left"/>
      </w:pPr>
    </w:p>
    <w:p w:rsidR="00322F8D" w:rsidRPr="00BF3F9D" w:rsidRDefault="00322F8D" w:rsidP="00322F8D">
      <w:pPr>
        <w:jc w:val="left"/>
      </w:pPr>
    </w:p>
    <w:p w:rsidR="00865635" w:rsidRPr="00BF3F9D" w:rsidRDefault="00865635" w:rsidP="00BE0EC4">
      <w:pPr>
        <w:jc w:val="left"/>
      </w:pPr>
    </w:p>
    <w:p w:rsidR="003E3590" w:rsidRPr="00BF3F9D" w:rsidRDefault="003E3590" w:rsidP="006010B7">
      <w:pPr>
        <w:jc w:val="left"/>
      </w:pPr>
    </w:p>
    <w:p w:rsidR="006010B7" w:rsidRPr="00BF3F9D" w:rsidRDefault="003E3590" w:rsidP="006010B7">
      <w:pPr>
        <w:jc w:val="left"/>
      </w:pPr>
      <w:r w:rsidRPr="00BF3F9D">
        <w:tab/>
      </w:r>
      <w:r w:rsidRPr="00BF3F9D">
        <w:tab/>
      </w:r>
    </w:p>
    <w:p w:rsidR="006010B7" w:rsidRPr="00BF3F9D" w:rsidRDefault="006010B7" w:rsidP="006010B7">
      <w:pPr>
        <w:jc w:val="left"/>
      </w:pPr>
      <w:r w:rsidRPr="00BF3F9D">
        <w:tab/>
      </w:r>
      <w:r w:rsidRPr="00BF3F9D">
        <w:tab/>
      </w:r>
    </w:p>
    <w:sectPr w:rsidR="006010B7" w:rsidRPr="00BF3F9D" w:rsidSect="009E548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774" w:rsidRDefault="00B71774" w:rsidP="000A6D0B">
      <w:pPr>
        <w:spacing w:line="240" w:lineRule="auto"/>
      </w:pPr>
      <w:r>
        <w:separator/>
      </w:r>
    </w:p>
  </w:endnote>
  <w:endnote w:type="continuationSeparator" w:id="0">
    <w:p w:rsidR="00B71774" w:rsidRDefault="00B71774" w:rsidP="000A6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20427485"/>
      <w:docPartObj>
        <w:docPartGallery w:val="Page Numbers (Bottom of Page)"/>
        <w:docPartUnique/>
      </w:docPartObj>
    </w:sdtPr>
    <w:sdtEndPr>
      <w:rPr>
        <w:noProof/>
      </w:rPr>
    </w:sdtEndPr>
    <w:sdtContent>
      <w:p w:rsidR="009E548D" w:rsidRPr="007F43D5" w:rsidRDefault="009E548D" w:rsidP="007F43D5">
        <w:pPr>
          <w:pStyle w:val="Footer"/>
          <w:rPr>
            <w:sz w:val="20"/>
            <w:szCs w:val="20"/>
          </w:rPr>
        </w:pPr>
        <w:r w:rsidRPr="007F43D5">
          <w:rPr>
            <w:sz w:val="20"/>
            <w:szCs w:val="20"/>
          </w:rPr>
          <w:fldChar w:fldCharType="begin"/>
        </w:r>
        <w:r w:rsidRPr="007F43D5">
          <w:rPr>
            <w:sz w:val="20"/>
            <w:szCs w:val="20"/>
          </w:rPr>
          <w:instrText xml:space="preserve"> PAGE   \* MERGEFORMAT </w:instrText>
        </w:r>
        <w:r w:rsidRPr="007F43D5">
          <w:rPr>
            <w:sz w:val="20"/>
            <w:szCs w:val="20"/>
          </w:rPr>
          <w:fldChar w:fldCharType="separate"/>
        </w:r>
        <w:r w:rsidR="00E761CC">
          <w:rPr>
            <w:noProof/>
            <w:sz w:val="20"/>
            <w:szCs w:val="20"/>
          </w:rPr>
          <w:t>10</w:t>
        </w:r>
        <w:r w:rsidRPr="007F43D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774" w:rsidRDefault="00B71774" w:rsidP="009167F1">
      <w:pPr>
        <w:spacing w:line="240" w:lineRule="auto"/>
        <w:jc w:val="left"/>
      </w:pPr>
      <w:r>
        <w:separator/>
      </w:r>
    </w:p>
  </w:footnote>
  <w:footnote w:type="continuationSeparator" w:id="0">
    <w:p w:rsidR="00B71774" w:rsidRDefault="00B71774" w:rsidP="009167F1">
      <w:pPr>
        <w:spacing w:line="240" w:lineRule="auto"/>
        <w:jc w:val="left"/>
      </w:pPr>
      <w:r>
        <w:continuationSeparator/>
      </w:r>
    </w:p>
  </w:footnote>
  <w:footnote w:id="1">
    <w:p w:rsidR="000A6D0B" w:rsidRDefault="000A6D0B" w:rsidP="000A6D0B">
      <w:pPr>
        <w:pStyle w:val="FootnoteText"/>
        <w:jc w:val="left"/>
      </w:pPr>
      <w:r>
        <w:rPr>
          <w:rStyle w:val="FootnoteReference"/>
        </w:rPr>
        <w:footnoteRef/>
      </w:r>
      <w:r>
        <w:t xml:space="preserve"> The PECO witness' name is Ferrier, but the transcript erroneously refers to her as Serrier throughout.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0B7"/>
    <w:rsid w:val="00001E3A"/>
    <w:rsid w:val="00001EF6"/>
    <w:rsid w:val="000028EA"/>
    <w:rsid w:val="00003D11"/>
    <w:rsid w:val="00004AA3"/>
    <w:rsid w:val="00004FD5"/>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19B"/>
    <w:rsid w:val="00094E20"/>
    <w:rsid w:val="00096B3F"/>
    <w:rsid w:val="00097D77"/>
    <w:rsid w:val="000A2192"/>
    <w:rsid w:val="000A4551"/>
    <w:rsid w:val="000A4E7A"/>
    <w:rsid w:val="000A5DEA"/>
    <w:rsid w:val="000A652E"/>
    <w:rsid w:val="000A6D0B"/>
    <w:rsid w:val="000A7533"/>
    <w:rsid w:val="000A770B"/>
    <w:rsid w:val="000B1BFC"/>
    <w:rsid w:val="000B2D0C"/>
    <w:rsid w:val="000B339A"/>
    <w:rsid w:val="000B7111"/>
    <w:rsid w:val="000C0311"/>
    <w:rsid w:val="000C2696"/>
    <w:rsid w:val="000C2A2B"/>
    <w:rsid w:val="000C34F3"/>
    <w:rsid w:val="000C4163"/>
    <w:rsid w:val="000C558C"/>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52D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0CBA"/>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4BEF"/>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17E"/>
    <w:rsid w:val="001D4223"/>
    <w:rsid w:val="001D556B"/>
    <w:rsid w:val="001E2642"/>
    <w:rsid w:val="001E3C9A"/>
    <w:rsid w:val="001E4B89"/>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30A9"/>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201"/>
    <w:rsid w:val="00262A17"/>
    <w:rsid w:val="00262AF8"/>
    <w:rsid w:val="00263AD5"/>
    <w:rsid w:val="0026705F"/>
    <w:rsid w:val="002704DD"/>
    <w:rsid w:val="00270AF3"/>
    <w:rsid w:val="0027207B"/>
    <w:rsid w:val="0027210A"/>
    <w:rsid w:val="002748C2"/>
    <w:rsid w:val="00274ECF"/>
    <w:rsid w:val="002752C3"/>
    <w:rsid w:val="00275659"/>
    <w:rsid w:val="002761E2"/>
    <w:rsid w:val="00277591"/>
    <w:rsid w:val="00280008"/>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1F06"/>
    <w:rsid w:val="00312F06"/>
    <w:rsid w:val="00313595"/>
    <w:rsid w:val="0031425A"/>
    <w:rsid w:val="00314713"/>
    <w:rsid w:val="003149F5"/>
    <w:rsid w:val="003151E4"/>
    <w:rsid w:val="003156D7"/>
    <w:rsid w:val="00317261"/>
    <w:rsid w:val="0032130D"/>
    <w:rsid w:val="00321DB1"/>
    <w:rsid w:val="00322F8D"/>
    <w:rsid w:val="003242E0"/>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3590"/>
    <w:rsid w:val="003E447A"/>
    <w:rsid w:val="003E4C3C"/>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27FB0"/>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60F"/>
    <w:rsid w:val="00454723"/>
    <w:rsid w:val="00455691"/>
    <w:rsid w:val="004565C0"/>
    <w:rsid w:val="00460024"/>
    <w:rsid w:val="00460031"/>
    <w:rsid w:val="00460140"/>
    <w:rsid w:val="0046238B"/>
    <w:rsid w:val="004625E8"/>
    <w:rsid w:val="00464B18"/>
    <w:rsid w:val="00465D71"/>
    <w:rsid w:val="00466D15"/>
    <w:rsid w:val="0047070D"/>
    <w:rsid w:val="004762B8"/>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593"/>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5580"/>
    <w:rsid w:val="005C610A"/>
    <w:rsid w:val="005D1442"/>
    <w:rsid w:val="005D1922"/>
    <w:rsid w:val="005D2788"/>
    <w:rsid w:val="005D4281"/>
    <w:rsid w:val="005D6E32"/>
    <w:rsid w:val="005E06D4"/>
    <w:rsid w:val="005E1521"/>
    <w:rsid w:val="005E3768"/>
    <w:rsid w:val="005E448D"/>
    <w:rsid w:val="005E4FBB"/>
    <w:rsid w:val="005F064D"/>
    <w:rsid w:val="005F512E"/>
    <w:rsid w:val="005F5A21"/>
    <w:rsid w:val="005F6A04"/>
    <w:rsid w:val="00600458"/>
    <w:rsid w:val="006010B7"/>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053C"/>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215"/>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160"/>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002"/>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5C7"/>
    <w:rsid w:val="007E0ADA"/>
    <w:rsid w:val="007E15CF"/>
    <w:rsid w:val="007E1DB4"/>
    <w:rsid w:val="007E5866"/>
    <w:rsid w:val="007F07AF"/>
    <w:rsid w:val="007F2A44"/>
    <w:rsid w:val="007F43D5"/>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635"/>
    <w:rsid w:val="00865C18"/>
    <w:rsid w:val="0086621E"/>
    <w:rsid w:val="0086717D"/>
    <w:rsid w:val="00867C0A"/>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3BA"/>
    <w:rsid w:val="00915C3E"/>
    <w:rsid w:val="00915D45"/>
    <w:rsid w:val="009167F1"/>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4964"/>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33D5"/>
    <w:rsid w:val="009B4A92"/>
    <w:rsid w:val="009B4B7B"/>
    <w:rsid w:val="009B4CB6"/>
    <w:rsid w:val="009B66C0"/>
    <w:rsid w:val="009B6863"/>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48D"/>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4588"/>
    <w:rsid w:val="00A15615"/>
    <w:rsid w:val="00A1707A"/>
    <w:rsid w:val="00A215E2"/>
    <w:rsid w:val="00A2164F"/>
    <w:rsid w:val="00A2304C"/>
    <w:rsid w:val="00A23803"/>
    <w:rsid w:val="00A249F6"/>
    <w:rsid w:val="00A2509D"/>
    <w:rsid w:val="00A250AD"/>
    <w:rsid w:val="00A26704"/>
    <w:rsid w:val="00A26B6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2FBC"/>
    <w:rsid w:val="00A5343C"/>
    <w:rsid w:val="00A55081"/>
    <w:rsid w:val="00A5538B"/>
    <w:rsid w:val="00A57796"/>
    <w:rsid w:val="00A57AB1"/>
    <w:rsid w:val="00A635D9"/>
    <w:rsid w:val="00A64C8D"/>
    <w:rsid w:val="00A6721B"/>
    <w:rsid w:val="00A70355"/>
    <w:rsid w:val="00A7046F"/>
    <w:rsid w:val="00A71E4D"/>
    <w:rsid w:val="00A73547"/>
    <w:rsid w:val="00A73C3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3B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3F26"/>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61A3"/>
    <w:rsid w:val="00AF70FF"/>
    <w:rsid w:val="00AF777E"/>
    <w:rsid w:val="00B01BE5"/>
    <w:rsid w:val="00B02385"/>
    <w:rsid w:val="00B03878"/>
    <w:rsid w:val="00B06DDF"/>
    <w:rsid w:val="00B07809"/>
    <w:rsid w:val="00B079A5"/>
    <w:rsid w:val="00B11C89"/>
    <w:rsid w:val="00B134C7"/>
    <w:rsid w:val="00B136CC"/>
    <w:rsid w:val="00B143BA"/>
    <w:rsid w:val="00B17521"/>
    <w:rsid w:val="00B17683"/>
    <w:rsid w:val="00B17E4F"/>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A86"/>
    <w:rsid w:val="00B64CAA"/>
    <w:rsid w:val="00B66D36"/>
    <w:rsid w:val="00B71774"/>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D65BC"/>
    <w:rsid w:val="00BE0437"/>
    <w:rsid w:val="00BE04F6"/>
    <w:rsid w:val="00BE0EC4"/>
    <w:rsid w:val="00BE107D"/>
    <w:rsid w:val="00BE2D6C"/>
    <w:rsid w:val="00BE4C2B"/>
    <w:rsid w:val="00BE52CA"/>
    <w:rsid w:val="00BE5D1C"/>
    <w:rsid w:val="00BE701E"/>
    <w:rsid w:val="00BE7640"/>
    <w:rsid w:val="00BF0242"/>
    <w:rsid w:val="00BF0AE5"/>
    <w:rsid w:val="00BF144D"/>
    <w:rsid w:val="00BF214A"/>
    <w:rsid w:val="00BF377B"/>
    <w:rsid w:val="00BF3E1B"/>
    <w:rsid w:val="00BF3F9D"/>
    <w:rsid w:val="00BF635B"/>
    <w:rsid w:val="00BF7D51"/>
    <w:rsid w:val="00C00699"/>
    <w:rsid w:val="00C01975"/>
    <w:rsid w:val="00C02723"/>
    <w:rsid w:val="00C027E8"/>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4FF7"/>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1B7B"/>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218D"/>
    <w:rsid w:val="00CC3092"/>
    <w:rsid w:val="00CC30C3"/>
    <w:rsid w:val="00CC363A"/>
    <w:rsid w:val="00CC3D4E"/>
    <w:rsid w:val="00CC4003"/>
    <w:rsid w:val="00CC74BD"/>
    <w:rsid w:val="00CD0768"/>
    <w:rsid w:val="00CD3CC4"/>
    <w:rsid w:val="00CD43B4"/>
    <w:rsid w:val="00CD788F"/>
    <w:rsid w:val="00CE047D"/>
    <w:rsid w:val="00CE1017"/>
    <w:rsid w:val="00CE358A"/>
    <w:rsid w:val="00CE373E"/>
    <w:rsid w:val="00CE43AF"/>
    <w:rsid w:val="00CE577D"/>
    <w:rsid w:val="00CE665D"/>
    <w:rsid w:val="00CE6758"/>
    <w:rsid w:val="00CE7731"/>
    <w:rsid w:val="00CF096F"/>
    <w:rsid w:val="00CF1226"/>
    <w:rsid w:val="00CF1A45"/>
    <w:rsid w:val="00CF329F"/>
    <w:rsid w:val="00CF6106"/>
    <w:rsid w:val="00CF6A79"/>
    <w:rsid w:val="00CF73D7"/>
    <w:rsid w:val="00D00AAE"/>
    <w:rsid w:val="00D02D5A"/>
    <w:rsid w:val="00D03565"/>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6AC"/>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4915"/>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61CC"/>
    <w:rsid w:val="00E771D2"/>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0E5C"/>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246"/>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B0A"/>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D7B81"/>
    <w:rsid w:val="00FE15A7"/>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D0B"/>
    <w:pPr>
      <w:spacing w:line="240" w:lineRule="auto"/>
    </w:pPr>
    <w:rPr>
      <w:sz w:val="20"/>
      <w:szCs w:val="20"/>
    </w:rPr>
  </w:style>
  <w:style w:type="character" w:customStyle="1" w:styleId="FootnoteTextChar">
    <w:name w:val="Footnote Text Char"/>
    <w:basedOn w:val="DefaultParagraphFont"/>
    <w:link w:val="FootnoteText"/>
    <w:uiPriority w:val="99"/>
    <w:semiHidden/>
    <w:rsid w:val="000A6D0B"/>
    <w:rPr>
      <w:sz w:val="20"/>
      <w:szCs w:val="20"/>
    </w:rPr>
  </w:style>
  <w:style w:type="character" w:styleId="FootnoteReference">
    <w:name w:val="footnote reference"/>
    <w:basedOn w:val="DefaultParagraphFont"/>
    <w:uiPriority w:val="99"/>
    <w:semiHidden/>
    <w:unhideWhenUsed/>
    <w:rsid w:val="000A6D0B"/>
    <w:rPr>
      <w:vertAlign w:val="superscript"/>
    </w:rPr>
  </w:style>
  <w:style w:type="paragraph" w:styleId="Header">
    <w:name w:val="header"/>
    <w:basedOn w:val="Normal"/>
    <w:link w:val="HeaderChar"/>
    <w:uiPriority w:val="99"/>
    <w:unhideWhenUsed/>
    <w:rsid w:val="009E548D"/>
    <w:pPr>
      <w:tabs>
        <w:tab w:val="center" w:pos="4680"/>
        <w:tab w:val="right" w:pos="9360"/>
      </w:tabs>
      <w:spacing w:line="240" w:lineRule="auto"/>
    </w:pPr>
  </w:style>
  <w:style w:type="character" w:customStyle="1" w:styleId="HeaderChar">
    <w:name w:val="Header Char"/>
    <w:basedOn w:val="DefaultParagraphFont"/>
    <w:link w:val="Header"/>
    <w:uiPriority w:val="99"/>
    <w:rsid w:val="009E548D"/>
  </w:style>
  <w:style w:type="paragraph" w:styleId="Footer">
    <w:name w:val="footer"/>
    <w:basedOn w:val="Normal"/>
    <w:link w:val="FooterChar"/>
    <w:uiPriority w:val="99"/>
    <w:unhideWhenUsed/>
    <w:rsid w:val="009E548D"/>
    <w:pPr>
      <w:tabs>
        <w:tab w:val="center" w:pos="4680"/>
        <w:tab w:val="right" w:pos="9360"/>
      </w:tabs>
      <w:spacing w:line="240" w:lineRule="auto"/>
    </w:pPr>
  </w:style>
  <w:style w:type="character" w:customStyle="1" w:styleId="FooterChar">
    <w:name w:val="Footer Char"/>
    <w:basedOn w:val="DefaultParagraphFont"/>
    <w:link w:val="Footer"/>
    <w:uiPriority w:val="99"/>
    <w:rsid w:val="009E548D"/>
  </w:style>
  <w:style w:type="paragraph" w:styleId="BalloonText">
    <w:name w:val="Balloon Text"/>
    <w:basedOn w:val="Normal"/>
    <w:link w:val="BalloonTextChar"/>
    <w:uiPriority w:val="99"/>
    <w:semiHidden/>
    <w:unhideWhenUsed/>
    <w:rsid w:val="00E549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D0B"/>
    <w:pPr>
      <w:spacing w:line="240" w:lineRule="auto"/>
    </w:pPr>
    <w:rPr>
      <w:sz w:val="20"/>
      <w:szCs w:val="20"/>
    </w:rPr>
  </w:style>
  <w:style w:type="character" w:customStyle="1" w:styleId="FootnoteTextChar">
    <w:name w:val="Footnote Text Char"/>
    <w:basedOn w:val="DefaultParagraphFont"/>
    <w:link w:val="FootnoteText"/>
    <w:uiPriority w:val="99"/>
    <w:semiHidden/>
    <w:rsid w:val="000A6D0B"/>
    <w:rPr>
      <w:sz w:val="20"/>
      <w:szCs w:val="20"/>
    </w:rPr>
  </w:style>
  <w:style w:type="character" w:styleId="FootnoteReference">
    <w:name w:val="footnote reference"/>
    <w:basedOn w:val="DefaultParagraphFont"/>
    <w:uiPriority w:val="99"/>
    <w:semiHidden/>
    <w:unhideWhenUsed/>
    <w:rsid w:val="000A6D0B"/>
    <w:rPr>
      <w:vertAlign w:val="superscript"/>
    </w:rPr>
  </w:style>
  <w:style w:type="paragraph" w:styleId="Header">
    <w:name w:val="header"/>
    <w:basedOn w:val="Normal"/>
    <w:link w:val="HeaderChar"/>
    <w:uiPriority w:val="99"/>
    <w:unhideWhenUsed/>
    <w:rsid w:val="009E548D"/>
    <w:pPr>
      <w:tabs>
        <w:tab w:val="center" w:pos="4680"/>
        <w:tab w:val="right" w:pos="9360"/>
      </w:tabs>
      <w:spacing w:line="240" w:lineRule="auto"/>
    </w:pPr>
  </w:style>
  <w:style w:type="character" w:customStyle="1" w:styleId="HeaderChar">
    <w:name w:val="Header Char"/>
    <w:basedOn w:val="DefaultParagraphFont"/>
    <w:link w:val="Header"/>
    <w:uiPriority w:val="99"/>
    <w:rsid w:val="009E548D"/>
  </w:style>
  <w:style w:type="paragraph" w:styleId="Footer">
    <w:name w:val="footer"/>
    <w:basedOn w:val="Normal"/>
    <w:link w:val="FooterChar"/>
    <w:uiPriority w:val="99"/>
    <w:unhideWhenUsed/>
    <w:rsid w:val="009E548D"/>
    <w:pPr>
      <w:tabs>
        <w:tab w:val="center" w:pos="4680"/>
        <w:tab w:val="right" w:pos="9360"/>
      </w:tabs>
      <w:spacing w:line="240" w:lineRule="auto"/>
    </w:pPr>
  </w:style>
  <w:style w:type="character" w:customStyle="1" w:styleId="FooterChar">
    <w:name w:val="Footer Char"/>
    <w:basedOn w:val="DefaultParagraphFont"/>
    <w:link w:val="Footer"/>
    <w:uiPriority w:val="99"/>
    <w:rsid w:val="009E548D"/>
  </w:style>
  <w:style w:type="paragraph" w:styleId="BalloonText">
    <w:name w:val="Balloon Text"/>
    <w:basedOn w:val="Normal"/>
    <w:link w:val="BalloonTextChar"/>
    <w:uiPriority w:val="99"/>
    <w:semiHidden/>
    <w:unhideWhenUsed/>
    <w:rsid w:val="00E549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A845D-4BC5-4B3F-ADF6-15AD91F1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2014-08-29T13:05:00Z</cp:lastPrinted>
  <dcterms:created xsi:type="dcterms:W3CDTF">2014-09-04T15:29:00Z</dcterms:created>
  <dcterms:modified xsi:type="dcterms:W3CDTF">2014-09-04T15:29:00Z</dcterms:modified>
</cp:coreProperties>
</file>