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A31" w:rsidRPr="00077CA4" w:rsidRDefault="004A0A31" w:rsidP="004A0A31">
      <w:pPr>
        <w:rPr>
          <w:b/>
        </w:rPr>
      </w:pPr>
      <w:r w:rsidRPr="00077CA4">
        <w:rPr>
          <w:b/>
        </w:rPr>
        <w:t>BEFORE THE</w:t>
      </w:r>
    </w:p>
    <w:p w:rsidR="004A0A31" w:rsidRPr="00077CA4" w:rsidRDefault="004A0A31" w:rsidP="00794977">
      <w:pPr>
        <w:spacing w:line="240" w:lineRule="auto"/>
        <w:rPr>
          <w:b/>
        </w:rPr>
      </w:pPr>
      <w:r w:rsidRPr="00077CA4">
        <w:rPr>
          <w:b/>
        </w:rPr>
        <w:t>PENNSYLVANIA PUBLIC UTILITY COMMISSION</w:t>
      </w:r>
    </w:p>
    <w:p w:rsidR="004A0A31" w:rsidRPr="00077CA4" w:rsidRDefault="004A0A31" w:rsidP="00794977">
      <w:pPr>
        <w:spacing w:line="240" w:lineRule="auto"/>
        <w:rPr>
          <w:b/>
        </w:rPr>
      </w:pPr>
    </w:p>
    <w:p w:rsidR="00794977" w:rsidRPr="00077CA4" w:rsidRDefault="00794977" w:rsidP="00794977">
      <w:pPr>
        <w:spacing w:line="240" w:lineRule="auto"/>
        <w:rPr>
          <w:b/>
        </w:rPr>
      </w:pPr>
    </w:p>
    <w:p w:rsidR="00794977" w:rsidRPr="00077CA4" w:rsidRDefault="00794977" w:rsidP="00794977">
      <w:pPr>
        <w:spacing w:line="240" w:lineRule="auto"/>
        <w:rPr>
          <w:b/>
        </w:rPr>
      </w:pPr>
    </w:p>
    <w:p w:rsidR="004A0A31" w:rsidRPr="00077CA4" w:rsidRDefault="00274F86" w:rsidP="004A0A31">
      <w:pPr>
        <w:spacing w:line="240" w:lineRule="auto"/>
        <w:jc w:val="left"/>
      </w:pPr>
      <w:r w:rsidRPr="00077CA4">
        <w:t>Nicole Pittman</w:t>
      </w:r>
      <w:r w:rsidR="004A0A31" w:rsidRPr="00077CA4">
        <w:tab/>
      </w:r>
      <w:r w:rsidR="004A0A31" w:rsidRPr="00077CA4">
        <w:tab/>
      </w:r>
      <w:r w:rsidR="004A0A31" w:rsidRPr="00077CA4">
        <w:tab/>
      </w:r>
      <w:r w:rsidR="004A0A31" w:rsidRPr="00077CA4">
        <w:tab/>
      </w:r>
      <w:r w:rsidR="004A0A31" w:rsidRPr="00077CA4">
        <w:tab/>
        <w:t>:</w:t>
      </w:r>
    </w:p>
    <w:p w:rsidR="004A0A31" w:rsidRPr="00077CA4" w:rsidRDefault="004A0A31" w:rsidP="004A0A31">
      <w:pPr>
        <w:spacing w:line="240" w:lineRule="auto"/>
        <w:jc w:val="left"/>
      </w:pPr>
      <w:r w:rsidRPr="00077CA4">
        <w:tab/>
      </w:r>
      <w:r w:rsidRPr="00077CA4">
        <w:tab/>
      </w:r>
      <w:r w:rsidRPr="00077CA4">
        <w:tab/>
      </w:r>
      <w:r w:rsidRPr="00077CA4">
        <w:tab/>
      </w:r>
      <w:r w:rsidRPr="00077CA4">
        <w:tab/>
      </w:r>
      <w:r w:rsidRPr="00077CA4">
        <w:tab/>
      </w:r>
      <w:r w:rsidRPr="00077CA4">
        <w:tab/>
        <w:t>:</w:t>
      </w:r>
    </w:p>
    <w:p w:rsidR="004A0A31" w:rsidRPr="00077CA4" w:rsidRDefault="004A0A31" w:rsidP="004A0A31">
      <w:pPr>
        <w:spacing w:line="240" w:lineRule="auto"/>
        <w:jc w:val="left"/>
      </w:pPr>
      <w:r w:rsidRPr="00077CA4">
        <w:tab/>
        <w:t>v.</w:t>
      </w:r>
      <w:r w:rsidRPr="00077CA4">
        <w:tab/>
      </w:r>
      <w:r w:rsidRPr="00077CA4">
        <w:tab/>
      </w:r>
      <w:r w:rsidRPr="00077CA4">
        <w:tab/>
      </w:r>
      <w:r w:rsidRPr="00077CA4">
        <w:tab/>
      </w:r>
      <w:r w:rsidRPr="00077CA4">
        <w:tab/>
      </w:r>
      <w:r w:rsidRPr="00077CA4">
        <w:tab/>
        <w:t>:</w:t>
      </w:r>
      <w:r w:rsidRPr="00077CA4">
        <w:tab/>
      </w:r>
      <w:r w:rsidRPr="00077CA4">
        <w:tab/>
        <w:t>F-2013-23</w:t>
      </w:r>
      <w:r w:rsidR="00274F86" w:rsidRPr="00077CA4">
        <w:t>95041</w:t>
      </w:r>
    </w:p>
    <w:p w:rsidR="004A0A31" w:rsidRPr="00077CA4" w:rsidRDefault="004A0A31" w:rsidP="004A0A31">
      <w:pPr>
        <w:spacing w:line="240" w:lineRule="auto"/>
        <w:jc w:val="left"/>
      </w:pPr>
      <w:r w:rsidRPr="00077CA4">
        <w:tab/>
      </w:r>
      <w:r w:rsidRPr="00077CA4">
        <w:tab/>
      </w:r>
      <w:r w:rsidRPr="00077CA4">
        <w:tab/>
      </w:r>
      <w:r w:rsidRPr="00077CA4">
        <w:tab/>
      </w:r>
      <w:r w:rsidRPr="00077CA4">
        <w:tab/>
      </w:r>
      <w:r w:rsidRPr="00077CA4">
        <w:tab/>
      </w:r>
      <w:r w:rsidRPr="00077CA4">
        <w:tab/>
        <w:t>:</w:t>
      </w:r>
    </w:p>
    <w:p w:rsidR="004A0A31" w:rsidRPr="00077CA4" w:rsidRDefault="004A0A31" w:rsidP="004A0A31">
      <w:pPr>
        <w:spacing w:line="240" w:lineRule="auto"/>
        <w:jc w:val="left"/>
      </w:pPr>
      <w:r w:rsidRPr="00077CA4">
        <w:t>Philadelphia Gas Works</w:t>
      </w:r>
      <w:r w:rsidRPr="00077CA4">
        <w:tab/>
      </w:r>
      <w:r w:rsidRPr="00077CA4">
        <w:tab/>
      </w:r>
      <w:r w:rsidRPr="00077CA4">
        <w:tab/>
      </w:r>
      <w:r w:rsidRPr="00077CA4">
        <w:tab/>
        <w:t>:</w:t>
      </w:r>
    </w:p>
    <w:p w:rsidR="004A0A31" w:rsidRPr="00077CA4" w:rsidRDefault="004A0A31" w:rsidP="00794977">
      <w:pPr>
        <w:spacing w:line="240" w:lineRule="auto"/>
        <w:jc w:val="left"/>
      </w:pPr>
    </w:p>
    <w:p w:rsidR="004A0A31" w:rsidRPr="00077CA4" w:rsidRDefault="004A0A31" w:rsidP="00794977">
      <w:pPr>
        <w:spacing w:line="240" w:lineRule="auto"/>
      </w:pPr>
    </w:p>
    <w:p w:rsidR="00794977" w:rsidRPr="00077CA4" w:rsidRDefault="00794977" w:rsidP="00794977">
      <w:pPr>
        <w:spacing w:line="240" w:lineRule="auto"/>
      </w:pPr>
    </w:p>
    <w:p w:rsidR="00C04960" w:rsidRPr="00077CA4" w:rsidRDefault="004A0A31" w:rsidP="00794977">
      <w:pPr>
        <w:spacing w:line="240" w:lineRule="auto"/>
        <w:rPr>
          <w:b/>
          <w:u w:val="single"/>
        </w:rPr>
      </w:pPr>
      <w:r w:rsidRPr="00077CA4">
        <w:rPr>
          <w:b/>
          <w:u w:val="single"/>
        </w:rPr>
        <w:t>INITIAL DECISION</w:t>
      </w:r>
    </w:p>
    <w:p w:rsidR="00794977" w:rsidRPr="00077CA4" w:rsidRDefault="00794977" w:rsidP="00794977">
      <w:pPr>
        <w:spacing w:line="240" w:lineRule="auto"/>
        <w:rPr>
          <w:b/>
          <w:u w:val="single"/>
        </w:rPr>
      </w:pPr>
    </w:p>
    <w:p w:rsidR="004A0A31" w:rsidRPr="00077CA4" w:rsidRDefault="004A0A31" w:rsidP="004A0A31">
      <w:pPr>
        <w:spacing w:line="240" w:lineRule="auto"/>
        <w:rPr>
          <w:b/>
          <w:u w:val="single"/>
        </w:rPr>
      </w:pPr>
    </w:p>
    <w:p w:rsidR="004A0A31" w:rsidRPr="00077CA4" w:rsidRDefault="004A0A31" w:rsidP="004A0A31">
      <w:pPr>
        <w:spacing w:line="240" w:lineRule="auto"/>
      </w:pPr>
      <w:r w:rsidRPr="00077CA4">
        <w:t>Before</w:t>
      </w:r>
    </w:p>
    <w:p w:rsidR="004A0A31" w:rsidRPr="00077CA4" w:rsidRDefault="00274F86" w:rsidP="004A0A31">
      <w:pPr>
        <w:spacing w:line="240" w:lineRule="auto"/>
      </w:pPr>
      <w:r w:rsidRPr="00077CA4">
        <w:t>Dennis J. Buckley</w:t>
      </w:r>
    </w:p>
    <w:p w:rsidR="004A0A31" w:rsidRPr="00077CA4" w:rsidRDefault="004A0A31" w:rsidP="004A0A31">
      <w:pPr>
        <w:spacing w:line="240" w:lineRule="auto"/>
      </w:pPr>
      <w:r w:rsidRPr="00077CA4">
        <w:t>Administrative Law Judge</w:t>
      </w:r>
    </w:p>
    <w:p w:rsidR="004A0A31" w:rsidRPr="00077CA4" w:rsidRDefault="004A0A31" w:rsidP="004A0A31">
      <w:pPr>
        <w:spacing w:line="240" w:lineRule="auto"/>
        <w:jc w:val="left"/>
      </w:pPr>
    </w:p>
    <w:p w:rsidR="004A0A31" w:rsidRPr="00077CA4" w:rsidRDefault="004A0A31" w:rsidP="00794977">
      <w:pPr>
        <w:spacing w:line="240" w:lineRule="auto"/>
        <w:jc w:val="left"/>
      </w:pPr>
    </w:p>
    <w:p w:rsidR="00B00FFF" w:rsidRPr="00077CA4" w:rsidRDefault="00B00FFF" w:rsidP="00B00FFF">
      <w:pPr>
        <w:jc w:val="left"/>
      </w:pPr>
      <w:r w:rsidRPr="00077CA4">
        <w:tab/>
      </w:r>
      <w:r w:rsidRPr="00077CA4">
        <w:tab/>
        <w:t>Th</w:t>
      </w:r>
      <w:r w:rsidR="00274F86" w:rsidRPr="00077CA4">
        <w:t>is</w:t>
      </w:r>
      <w:r w:rsidRPr="00077CA4">
        <w:t xml:space="preserve"> Initial Decision </w:t>
      </w:r>
      <w:r w:rsidR="00D252A0" w:rsidRPr="00077CA4">
        <w:t>sustain</w:t>
      </w:r>
      <w:r w:rsidR="00274F86" w:rsidRPr="00077CA4">
        <w:t>s</w:t>
      </w:r>
      <w:r w:rsidR="00355C53" w:rsidRPr="00077CA4">
        <w:t xml:space="preserve"> </w:t>
      </w:r>
      <w:r w:rsidR="000504B9" w:rsidRPr="00077CA4">
        <w:t xml:space="preserve">in part and denies in part </w:t>
      </w:r>
      <w:r w:rsidR="00355C53" w:rsidRPr="00077CA4">
        <w:t>a</w:t>
      </w:r>
      <w:r w:rsidRPr="00077CA4">
        <w:t xml:space="preserve"> </w:t>
      </w:r>
      <w:r w:rsidR="00FA63EB" w:rsidRPr="00077CA4">
        <w:t>formal C</w:t>
      </w:r>
      <w:r w:rsidRPr="00077CA4">
        <w:t xml:space="preserve">omplaint </w:t>
      </w:r>
      <w:r w:rsidR="00156188" w:rsidRPr="00077CA4">
        <w:t xml:space="preserve">that alleges that the Complainant has been improperly charged </w:t>
      </w:r>
      <w:r w:rsidR="00BD610C" w:rsidRPr="00077CA4">
        <w:t xml:space="preserve">for estimated </w:t>
      </w:r>
      <w:r w:rsidR="00156188" w:rsidRPr="00077CA4">
        <w:t xml:space="preserve">natural gas </w:t>
      </w:r>
      <w:r w:rsidR="002875D5" w:rsidRPr="00077CA4">
        <w:t xml:space="preserve">usage </w:t>
      </w:r>
      <w:r w:rsidR="00156188" w:rsidRPr="00077CA4">
        <w:t xml:space="preserve">and impermissibly </w:t>
      </w:r>
      <w:r w:rsidR="008509FF" w:rsidRPr="00077CA4">
        <w:t>assessed a reconnection fee and deposit</w:t>
      </w:r>
      <w:r w:rsidRPr="00077CA4">
        <w:t>.</w:t>
      </w:r>
      <w:r w:rsidR="00A51D58" w:rsidRPr="00077CA4">
        <w:rPr>
          <w:rStyle w:val="FootnoteReference"/>
        </w:rPr>
        <w:footnoteReference w:id="1"/>
      </w:r>
    </w:p>
    <w:p w:rsidR="00FA63EB" w:rsidRDefault="00FA63EB" w:rsidP="00077CA4">
      <w:pPr>
        <w:spacing w:line="240" w:lineRule="auto"/>
        <w:jc w:val="left"/>
      </w:pPr>
    </w:p>
    <w:p w:rsidR="00077CA4" w:rsidRPr="00077CA4" w:rsidRDefault="00077CA4" w:rsidP="00077CA4">
      <w:pPr>
        <w:spacing w:line="240" w:lineRule="auto"/>
        <w:jc w:val="left"/>
      </w:pPr>
    </w:p>
    <w:p w:rsidR="00FA63EB" w:rsidRPr="00077CA4" w:rsidRDefault="00FA63EB" w:rsidP="00077CA4">
      <w:pPr>
        <w:spacing w:line="240" w:lineRule="auto"/>
      </w:pPr>
      <w:r w:rsidRPr="00077CA4">
        <w:rPr>
          <w:u w:val="single"/>
        </w:rPr>
        <w:t>HISTORY OF THE PROCEEDING</w:t>
      </w:r>
    </w:p>
    <w:p w:rsidR="00B00FFF" w:rsidRDefault="00B00FFF" w:rsidP="00077CA4">
      <w:pPr>
        <w:spacing w:line="240" w:lineRule="auto"/>
        <w:jc w:val="left"/>
      </w:pPr>
    </w:p>
    <w:p w:rsidR="00077CA4" w:rsidRPr="00077CA4" w:rsidRDefault="00077CA4" w:rsidP="00077CA4">
      <w:pPr>
        <w:spacing w:line="240" w:lineRule="auto"/>
        <w:jc w:val="left"/>
      </w:pPr>
    </w:p>
    <w:p w:rsidR="00A51D58" w:rsidRPr="00077CA4" w:rsidRDefault="00B00FFF" w:rsidP="00B00FFF">
      <w:pPr>
        <w:jc w:val="left"/>
      </w:pPr>
      <w:r w:rsidRPr="00077CA4">
        <w:tab/>
      </w:r>
      <w:r w:rsidRPr="00077CA4">
        <w:tab/>
        <w:t xml:space="preserve">On </w:t>
      </w:r>
      <w:r w:rsidR="00A51D58" w:rsidRPr="00077CA4">
        <w:t>November 18, 2013, Nicole M. Pittman</w:t>
      </w:r>
      <w:r w:rsidRPr="00077CA4">
        <w:t xml:space="preserve"> (Complainant) filed a formal Complaint against Philadelphia Gas Works (PGW) alleging that </w:t>
      </w:r>
      <w:r w:rsidR="00A51D58" w:rsidRPr="00077CA4">
        <w:t>although s</w:t>
      </w:r>
      <w:r w:rsidRPr="00077CA4">
        <w:t xml:space="preserve">he </w:t>
      </w:r>
      <w:r w:rsidR="00A51D58" w:rsidRPr="00077CA4">
        <w:t xml:space="preserve">lived </w:t>
      </w:r>
      <w:r w:rsidR="009E4A44" w:rsidRPr="00077CA4">
        <w:t xml:space="preserve">at 1733 North Taney Street, Philadelphia, Pennsylvania </w:t>
      </w:r>
      <w:r w:rsidR="00A51D58" w:rsidRPr="00077CA4">
        <w:t xml:space="preserve">for a period of time, </w:t>
      </w:r>
      <w:r w:rsidR="009E4A44" w:rsidRPr="00077CA4">
        <w:t xml:space="preserve">that </w:t>
      </w:r>
      <w:r w:rsidR="00A51D58" w:rsidRPr="00077CA4">
        <w:t xml:space="preserve">she </w:t>
      </w:r>
      <w:r w:rsidR="009E4A44" w:rsidRPr="00077CA4">
        <w:t xml:space="preserve">had no knowledge </w:t>
      </w:r>
      <w:proofErr w:type="gramStart"/>
      <w:r w:rsidR="009E4A44" w:rsidRPr="00077CA4">
        <w:t>that</w:t>
      </w:r>
      <w:proofErr w:type="gramEnd"/>
      <w:r w:rsidR="009E4A44" w:rsidRPr="00077CA4">
        <w:t xml:space="preserve"> natural gas service was being provided and that she </w:t>
      </w:r>
      <w:r w:rsidR="00A51D58" w:rsidRPr="00077CA4">
        <w:t>was not responsible for the utility bills</w:t>
      </w:r>
      <w:r w:rsidR="009E4A44" w:rsidRPr="00077CA4">
        <w:t xml:space="preserve"> at the address</w:t>
      </w:r>
      <w:r w:rsidR="00A51D58" w:rsidRPr="00077CA4">
        <w:t>.</w:t>
      </w:r>
      <w:r w:rsidR="000504B9" w:rsidRPr="00077CA4">
        <w:t xml:space="preserve">  This contention is directly related to the Complainant’s argument that she should not be assessed a reconnection fee and deposit.</w:t>
      </w:r>
    </w:p>
    <w:p w:rsidR="00A51D58" w:rsidRPr="00077CA4" w:rsidRDefault="00A51D58" w:rsidP="00B00FFF">
      <w:pPr>
        <w:jc w:val="left"/>
      </w:pPr>
    </w:p>
    <w:p w:rsidR="00A51D58" w:rsidRPr="00077CA4" w:rsidRDefault="00B00FFF" w:rsidP="00B00FFF">
      <w:pPr>
        <w:jc w:val="left"/>
      </w:pPr>
      <w:r w:rsidRPr="00077CA4">
        <w:lastRenderedPageBreak/>
        <w:tab/>
      </w:r>
      <w:r w:rsidRPr="00077CA4">
        <w:tab/>
        <w:t xml:space="preserve">The Complaint was served by the Commission's Secretary on </w:t>
      </w:r>
      <w:r w:rsidR="00A51D58" w:rsidRPr="00077CA4">
        <w:t>December 2, 2013.</w:t>
      </w:r>
      <w:r w:rsidRPr="00077CA4">
        <w:t xml:space="preserve"> </w:t>
      </w:r>
      <w:r w:rsidR="00077CA4">
        <w:t xml:space="preserve"> </w:t>
      </w:r>
      <w:r w:rsidRPr="00077CA4">
        <w:t xml:space="preserve">PGW filed its Answer on </w:t>
      </w:r>
      <w:r w:rsidR="00A51D58" w:rsidRPr="00077CA4">
        <w:t>December 18</w:t>
      </w:r>
      <w:r w:rsidRPr="00077CA4">
        <w:t>, 2013,</w:t>
      </w:r>
      <w:r w:rsidR="00BF1C00" w:rsidRPr="00077CA4">
        <w:t xml:space="preserve"> denying that the</w:t>
      </w:r>
      <w:r w:rsidR="009E4A44" w:rsidRPr="00077CA4">
        <w:t xml:space="preserve"> Complainant was improperly billed</w:t>
      </w:r>
      <w:r w:rsidR="00BF1C00" w:rsidRPr="00077CA4">
        <w:t xml:space="preserve"> and </w:t>
      </w:r>
      <w:r w:rsidRPr="00077CA4">
        <w:t>stating that</w:t>
      </w:r>
      <w:r w:rsidR="00BF1C00" w:rsidRPr="00077CA4">
        <w:t xml:space="preserve"> </w:t>
      </w:r>
      <w:r w:rsidR="009A6DF2" w:rsidRPr="00077CA4">
        <w:t>Complainant</w:t>
      </w:r>
      <w:r w:rsidR="00780370" w:rsidRPr="00077CA4">
        <w:t xml:space="preserve"> </w:t>
      </w:r>
      <w:r w:rsidR="00A51D58" w:rsidRPr="00077CA4">
        <w:t xml:space="preserve">is </w:t>
      </w:r>
      <w:r w:rsidR="00780370" w:rsidRPr="00077CA4">
        <w:t xml:space="preserve">responsible for usage </w:t>
      </w:r>
      <w:r w:rsidR="009E4A44" w:rsidRPr="00077CA4">
        <w:t xml:space="preserve">from 2009 to </w:t>
      </w:r>
      <w:r w:rsidR="00A51D58" w:rsidRPr="00077CA4">
        <w:t>2013.</w:t>
      </w:r>
    </w:p>
    <w:p w:rsidR="00780370" w:rsidRPr="00077CA4" w:rsidRDefault="00780370" w:rsidP="00B00FFF">
      <w:pPr>
        <w:jc w:val="left"/>
      </w:pPr>
    </w:p>
    <w:p w:rsidR="00780370" w:rsidRPr="00077CA4" w:rsidRDefault="00780370" w:rsidP="00B00FFF">
      <w:pPr>
        <w:jc w:val="left"/>
      </w:pPr>
      <w:r w:rsidRPr="00077CA4">
        <w:tab/>
      </w:r>
      <w:r w:rsidRPr="00077CA4">
        <w:tab/>
        <w:t xml:space="preserve">A hearing notice was issued on </w:t>
      </w:r>
      <w:r w:rsidR="00A51D58" w:rsidRPr="00077CA4">
        <w:t>February 12, 2014</w:t>
      </w:r>
      <w:r w:rsidRPr="00077CA4">
        <w:t xml:space="preserve">, which set </w:t>
      </w:r>
      <w:r w:rsidR="00A51D58" w:rsidRPr="00077CA4">
        <w:t>a</w:t>
      </w:r>
      <w:r w:rsidRPr="00077CA4">
        <w:t xml:space="preserve"> telephonic hearing for </w:t>
      </w:r>
      <w:r w:rsidR="00A51D58" w:rsidRPr="00077CA4">
        <w:t>Friday, March 28, 2014</w:t>
      </w:r>
      <w:r w:rsidRPr="00077CA4">
        <w:t xml:space="preserve">.  I issued a prehearing order on </w:t>
      </w:r>
      <w:r w:rsidR="00A51D58" w:rsidRPr="00077CA4">
        <w:t>March 4, 2014</w:t>
      </w:r>
      <w:r w:rsidRPr="00077CA4">
        <w:t>, which set forth the requirements for a formal hearing before the Commission.</w:t>
      </w:r>
    </w:p>
    <w:p w:rsidR="00997E98" w:rsidRPr="00077CA4" w:rsidRDefault="00997E98" w:rsidP="00B00FFF">
      <w:pPr>
        <w:jc w:val="left"/>
      </w:pPr>
    </w:p>
    <w:p w:rsidR="00997E98" w:rsidRPr="00077CA4" w:rsidRDefault="00997E98" w:rsidP="00997E98">
      <w:pPr>
        <w:jc w:val="left"/>
      </w:pPr>
      <w:r w:rsidRPr="00077CA4">
        <w:tab/>
      </w:r>
      <w:r w:rsidRPr="00077CA4">
        <w:tab/>
        <w:t>A telephonic hearing in this matter convened pursuant to Notice</w:t>
      </w:r>
      <w:r w:rsidR="003A2B63">
        <w:t xml:space="preserve"> on Friday, March 28, </w:t>
      </w:r>
      <w:r w:rsidRPr="00077CA4">
        <w:t xml:space="preserve">2014, at 10:00 a.m., originating from the Commission’s Hearing Room No. 2 in Harrisburg, Pennsylvania.  Present (telephonically) was Graciela </w:t>
      </w:r>
      <w:proofErr w:type="spellStart"/>
      <w:r w:rsidRPr="00077CA4">
        <w:t>Chris</w:t>
      </w:r>
      <w:r w:rsidR="00EA2D0F">
        <w:t>tlieb</w:t>
      </w:r>
      <w:proofErr w:type="spellEnd"/>
      <w:r w:rsidR="00EA2D0F">
        <w:t xml:space="preserve">, Esquire, counsel for </w:t>
      </w:r>
      <w:r w:rsidRPr="00077CA4">
        <w:t>PGW along with a witness.  Counsel had previously served proposed exhibits in conformity with the original Prehearing Order of March 4, 2014, but counsel stated that mail to the Complainant’s address of record had been returned to PGW.  My attempts to reach the Complainant at the time set for hearing were not successful, and the hearing took place without Complainant’s participation.</w:t>
      </w:r>
      <w:r w:rsidRPr="00077CA4">
        <w:rPr>
          <w:vertAlign w:val="superscript"/>
        </w:rPr>
        <w:footnoteReference w:id="2"/>
      </w:r>
      <w:r w:rsidRPr="00077CA4">
        <w:t xml:space="preserve">  The record, however, was not closed, as the procedure of the Office of Administrative Law Judge </w:t>
      </w:r>
      <w:r w:rsidR="00ED5186" w:rsidRPr="00077CA4">
        <w:t xml:space="preserve">(OALJ) </w:t>
      </w:r>
      <w:r w:rsidRPr="00077CA4">
        <w:t>is to await the receipt of the hearing transcript before closing the record.</w:t>
      </w:r>
    </w:p>
    <w:p w:rsidR="00997E98" w:rsidRPr="00077CA4" w:rsidRDefault="00997E98" w:rsidP="00997E98">
      <w:pPr>
        <w:jc w:val="left"/>
      </w:pPr>
    </w:p>
    <w:p w:rsidR="00997E98" w:rsidRPr="00077CA4" w:rsidRDefault="00997E98" w:rsidP="00997E98">
      <w:pPr>
        <w:jc w:val="left"/>
      </w:pPr>
      <w:r w:rsidRPr="00077CA4">
        <w:tab/>
      </w:r>
      <w:r w:rsidRPr="00077CA4">
        <w:tab/>
        <w:t xml:space="preserve">Later in the day on March 28, 2014, </w:t>
      </w:r>
      <w:r w:rsidR="00E07780" w:rsidRPr="00077CA4">
        <w:t xml:space="preserve">the </w:t>
      </w:r>
      <w:r w:rsidRPr="00077CA4">
        <w:t xml:space="preserve">Complainant contacted </w:t>
      </w:r>
      <w:r w:rsidR="00ED5186" w:rsidRPr="00077CA4">
        <w:t xml:space="preserve">the </w:t>
      </w:r>
      <w:r w:rsidRPr="00077CA4">
        <w:t>OALJ asking why she had not been called to participate in the hearing.  Complainant also provided the undersigned with a teleph</w:t>
      </w:r>
      <w:r w:rsidR="00EA2D0F">
        <w:t>one number different than that o</w:t>
      </w:r>
      <w:r w:rsidRPr="00077CA4">
        <w:t>n file and stated that she had a letter from the Commission which reflect</w:t>
      </w:r>
      <w:r w:rsidR="00ED5186" w:rsidRPr="00077CA4">
        <w:t>ed</w:t>
      </w:r>
      <w:r w:rsidRPr="00077CA4">
        <w:t xml:space="preserve"> that different telephone number.  That number did not exist in my case file.</w:t>
      </w:r>
      <w:r w:rsidRPr="00077CA4">
        <w:rPr>
          <w:vertAlign w:val="superscript"/>
        </w:rPr>
        <w:footnoteReference w:id="3"/>
      </w:r>
    </w:p>
    <w:p w:rsidR="00997E98" w:rsidRPr="00077CA4" w:rsidRDefault="00997E98" w:rsidP="00997E98">
      <w:pPr>
        <w:jc w:val="left"/>
      </w:pPr>
    </w:p>
    <w:p w:rsidR="00997E98" w:rsidRPr="00077CA4" w:rsidRDefault="00997E98" w:rsidP="00997E98">
      <w:pPr>
        <w:jc w:val="left"/>
      </w:pPr>
      <w:r w:rsidRPr="00077CA4">
        <w:tab/>
      </w:r>
      <w:r w:rsidRPr="00077CA4">
        <w:tab/>
        <w:t>In order to resolve this procedural matter, I directed Complainant through a Second Prehearing Order issued March 28, 2014, to provide me with a copy of the letter from the Commission that she said contained her new telephone number.  Complainant did this, and</w:t>
      </w:r>
      <w:r w:rsidR="008A062E" w:rsidRPr="00077CA4">
        <w:t xml:space="preserve"> in a </w:t>
      </w:r>
      <w:r w:rsidR="008A062E" w:rsidRPr="00077CA4">
        <w:lastRenderedPageBreak/>
        <w:t>Third Prehearing Order I directed that the case be re-listed for hearing cautioning the Complainant to keep both the OALJ and PGW apprised of any further change in her service address or telephone number.  T</w:t>
      </w:r>
      <w:r w:rsidRPr="00077CA4">
        <w:t xml:space="preserve">he case was re-scheduled for a further telephonic hearing </w:t>
      </w:r>
      <w:r w:rsidR="008A062E" w:rsidRPr="00077CA4">
        <w:t xml:space="preserve">to take place </w:t>
      </w:r>
      <w:r w:rsidRPr="00077CA4">
        <w:t>on May 28, 2014</w:t>
      </w:r>
      <w:r w:rsidR="00ED5186" w:rsidRPr="00077CA4">
        <w:t>,</w:t>
      </w:r>
      <w:r w:rsidRPr="00077CA4">
        <w:t xml:space="preserve"> by hearing notice issued April 7, 2014.</w:t>
      </w:r>
    </w:p>
    <w:p w:rsidR="00ED5186" w:rsidRPr="00077CA4" w:rsidRDefault="00ED5186" w:rsidP="00997E98">
      <w:pPr>
        <w:jc w:val="left"/>
      </w:pPr>
    </w:p>
    <w:p w:rsidR="009E0BB3" w:rsidRPr="00077CA4" w:rsidRDefault="00780370" w:rsidP="00B00FFF">
      <w:pPr>
        <w:jc w:val="left"/>
      </w:pPr>
      <w:r w:rsidRPr="00077CA4">
        <w:tab/>
      </w:r>
      <w:r w:rsidRPr="00077CA4">
        <w:tab/>
        <w:t xml:space="preserve">The hearing convened as scheduled.  Complainant </w:t>
      </w:r>
      <w:r w:rsidR="00997E98" w:rsidRPr="00077CA4">
        <w:t>was present</w:t>
      </w:r>
      <w:r w:rsidR="009E0BB3" w:rsidRPr="00077CA4">
        <w:t xml:space="preserve"> and offered testimony on her own behalf</w:t>
      </w:r>
      <w:r w:rsidR="00997E98" w:rsidRPr="00077CA4">
        <w:t xml:space="preserve">.  </w:t>
      </w:r>
      <w:r w:rsidRPr="00077CA4">
        <w:t xml:space="preserve">PGW was represented by </w:t>
      </w:r>
      <w:r w:rsidR="00997E98" w:rsidRPr="00077CA4">
        <w:t xml:space="preserve">Graciela </w:t>
      </w:r>
      <w:proofErr w:type="spellStart"/>
      <w:r w:rsidR="00997E98" w:rsidRPr="00077CA4">
        <w:t>Christlieb</w:t>
      </w:r>
      <w:proofErr w:type="spellEnd"/>
      <w:r w:rsidR="00997E98" w:rsidRPr="00077CA4">
        <w:t>, Esq.</w:t>
      </w:r>
      <w:r w:rsidR="009E0BB3" w:rsidRPr="00077CA4">
        <w:t>, who presented the testimony of Jack Irizarry, a Customer Review Officer employed by PGW.  PGW had pre-served and subsequently offered into evidence five exhibits: PGW Exhibit 1, property records derived from a City of Philadelphia website; PGW Exhibit 2, PGW contact records; PGW Exhibit 3, a Lexis/</w:t>
      </w:r>
      <w:proofErr w:type="spellStart"/>
      <w:r w:rsidR="009E0BB3" w:rsidRPr="00077CA4">
        <w:t>Nexis</w:t>
      </w:r>
      <w:proofErr w:type="spellEnd"/>
      <w:r w:rsidR="009E0BB3" w:rsidRPr="00077CA4">
        <w:t xml:space="preserve"> </w:t>
      </w:r>
      <w:proofErr w:type="spellStart"/>
      <w:r w:rsidR="009E0BB3" w:rsidRPr="00077CA4">
        <w:t>Accurint</w:t>
      </w:r>
      <w:proofErr w:type="spellEnd"/>
      <w:r w:rsidR="009E0BB3" w:rsidRPr="00077CA4">
        <w:t xml:space="preserve"> printout; PGW Exhibit 4, PGW Calculations for unbilled usage; and PGW Exhibit 5, a summary printout of the BC</w:t>
      </w:r>
      <w:r w:rsidR="00B458E0">
        <w:t>S determination in BCS Case No. </w:t>
      </w:r>
      <w:r w:rsidR="009E0BB3" w:rsidRPr="00077CA4">
        <w:t>3153783</w:t>
      </w:r>
      <w:r w:rsidR="00B54A67" w:rsidRPr="00077CA4">
        <w:t xml:space="preserve">.  These exhibits were all admitted into the record.  An Exhibit marked </w:t>
      </w:r>
      <w:r w:rsidR="00242D11" w:rsidRPr="00077CA4">
        <w:t>PGW Exhibit 6</w:t>
      </w:r>
      <w:r w:rsidR="00B54A67" w:rsidRPr="00077CA4">
        <w:t xml:space="preserve"> was received into the record </w:t>
      </w:r>
      <w:r w:rsidR="00242D11" w:rsidRPr="00077CA4">
        <w:t xml:space="preserve">on August 27, 2014 </w:t>
      </w:r>
      <w:r w:rsidR="00B54A67" w:rsidRPr="00077CA4">
        <w:t xml:space="preserve">without objection from the Complainant.  </w:t>
      </w:r>
      <w:r w:rsidR="00242D11" w:rsidRPr="00077CA4">
        <w:t xml:space="preserve">PGW </w:t>
      </w:r>
      <w:r w:rsidR="00B54A67" w:rsidRPr="00077CA4">
        <w:t xml:space="preserve">Exhibit </w:t>
      </w:r>
      <w:r w:rsidR="00242D11" w:rsidRPr="00077CA4">
        <w:t>6</w:t>
      </w:r>
      <w:r w:rsidR="00B54A67" w:rsidRPr="00077CA4">
        <w:t xml:space="preserve"> is a usage calculation compiled by PGW at my request for the period of May 1, 2012 to December 31, 2013.</w:t>
      </w:r>
    </w:p>
    <w:p w:rsidR="009E0BB3" w:rsidRPr="00077CA4" w:rsidRDefault="009E0BB3" w:rsidP="00B00FFF">
      <w:pPr>
        <w:jc w:val="left"/>
      </w:pPr>
    </w:p>
    <w:p w:rsidR="00C62298" w:rsidRPr="00077CA4" w:rsidRDefault="008509FF" w:rsidP="00E07780">
      <w:pPr>
        <w:jc w:val="left"/>
      </w:pPr>
      <w:r w:rsidRPr="00077CA4">
        <w:tab/>
      </w:r>
      <w:r w:rsidRPr="00077CA4">
        <w:tab/>
      </w:r>
      <w:r w:rsidR="00E07780" w:rsidRPr="00077CA4">
        <w:t>The record in this case consists of the March 28, 2014 and May 28, 2014 hearing transcripts, a tot</w:t>
      </w:r>
      <w:r w:rsidR="00242D11" w:rsidRPr="00077CA4">
        <w:t xml:space="preserve">al of 82 pages, </w:t>
      </w:r>
      <w:r w:rsidR="00D25440">
        <w:t xml:space="preserve">and </w:t>
      </w:r>
      <w:r w:rsidR="00242D11" w:rsidRPr="00077CA4">
        <w:t>PGW Exhibits 1-6</w:t>
      </w:r>
      <w:r w:rsidR="00E07780" w:rsidRPr="00077CA4">
        <w:t xml:space="preserve">.  The record closed on </w:t>
      </w:r>
      <w:r w:rsidR="00D25440">
        <w:t xml:space="preserve">August 27, 2014 by Order issued that date admitting PGW Exhibit 6 </w:t>
      </w:r>
      <w:r w:rsidR="009171B6">
        <w:t>in</w:t>
      </w:r>
      <w:r w:rsidR="00D25440">
        <w:t>to the record and closing the record in this case.</w:t>
      </w:r>
    </w:p>
    <w:p w:rsidR="00C62298" w:rsidRPr="00077CA4" w:rsidRDefault="00C62298" w:rsidP="00B00FFF">
      <w:pPr>
        <w:jc w:val="left"/>
      </w:pPr>
    </w:p>
    <w:p w:rsidR="004A0A31" w:rsidRPr="00077CA4" w:rsidRDefault="00C62298" w:rsidP="00C62298">
      <w:pPr>
        <w:jc w:val="left"/>
        <w:rPr>
          <w:u w:val="single"/>
        </w:rPr>
      </w:pPr>
      <w:r w:rsidRPr="00077CA4">
        <w:tab/>
      </w:r>
      <w:r w:rsidRPr="00077CA4">
        <w:tab/>
        <w:t xml:space="preserve">The </w:t>
      </w:r>
      <w:r w:rsidR="00E07780" w:rsidRPr="00077CA4">
        <w:t>case is ready for decision</w:t>
      </w:r>
      <w:r w:rsidRPr="00077CA4">
        <w:t>.</w:t>
      </w:r>
    </w:p>
    <w:p w:rsidR="004A0A31" w:rsidRPr="00077CA4" w:rsidRDefault="004A0A31" w:rsidP="009A1545">
      <w:pPr>
        <w:spacing w:line="240" w:lineRule="auto"/>
        <w:jc w:val="left"/>
      </w:pPr>
    </w:p>
    <w:p w:rsidR="009A1545" w:rsidRPr="00077CA4" w:rsidRDefault="009A1545" w:rsidP="009A1545">
      <w:pPr>
        <w:spacing w:line="240" w:lineRule="auto"/>
        <w:jc w:val="left"/>
      </w:pPr>
    </w:p>
    <w:p w:rsidR="00655E07" w:rsidRPr="00077CA4" w:rsidRDefault="00655E07" w:rsidP="00655E07">
      <w:pPr>
        <w:rPr>
          <w:u w:val="single"/>
        </w:rPr>
      </w:pPr>
      <w:r w:rsidRPr="00077CA4">
        <w:rPr>
          <w:u w:val="single"/>
        </w:rPr>
        <w:t>FINDINGS OF FACT</w:t>
      </w:r>
    </w:p>
    <w:p w:rsidR="00655E07" w:rsidRPr="00077CA4" w:rsidRDefault="00655E07" w:rsidP="00655E07">
      <w:pPr>
        <w:rPr>
          <w:u w:val="single"/>
        </w:rPr>
      </w:pPr>
    </w:p>
    <w:p w:rsidR="00655E07" w:rsidRPr="00077CA4" w:rsidRDefault="00655E07" w:rsidP="00655E07">
      <w:pPr>
        <w:jc w:val="left"/>
      </w:pPr>
      <w:r w:rsidRPr="00077CA4">
        <w:tab/>
      </w:r>
      <w:r w:rsidRPr="00077CA4">
        <w:tab/>
        <w:t>1.</w:t>
      </w:r>
      <w:r w:rsidRPr="00077CA4">
        <w:tab/>
        <w:t xml:space="preserve">Complainant is </w:t>
      </w:r>
      <w:r w:rsidR="00C035A0" w:rsidRPr="00077CA4">
        <w:t>Nicole Pittman</w:t>
      </w:r>
      <w:r w:rsidRPr="00077CA4">
        <w:t xml:space="preserve">, </w:t>
      </w:r>
      <w:r w:rsidR="002C2FE5" w:rsidRPr="00077CA4">
        <w:t xml:space="preserve">who currently resides at </w:t>
      </w:r>
      <w:r w:rsidRPr="00077CA4">
        <w:t>2</w:t>
      </w:r>
      <w:r w:rsidR="00C035A0" w:rsidRPr="00077CA4">
        <w:t xml:space="preserve">908 North </w:t>
      </w:r>
      <w:proofErr w:type="spellStart"/>
      <w:r w:rsidR="00C035A0" w:rsidRPr="00077CA4">
        <w:t>Bambrey</w:t>
      </w:r>
      <w:proofErr w:type="spellEnd"/>
      <w:r w:rsidR="00C035A0" w:rsidRPr="00077CA4">
        <w:t xml:space="preserve"> Street</w:t>
      </w:r>
      <w:r w:rsidRPr="00077CA4">
        <w:t>, Philadelphia P</w:t>
      </w:r>
      <w:r w:rsidR="00C035A0" w:rsidRPr="00077CA4">
        <w:t>ennsylvania</w:t>
      </w:r>
      <w:r w:rsidRPr="00077CA4">
        <w:t>.</w:t>
      </w:r>
    </w:p>
    <w:p w:rsidR="00655E07" w:rsidRPr="00077CA4" w:rsidRDefault="00655E07" w:rsidP="00655E07">
      <w:pPr>
        <w:jc w:val="left"/>
      </w:pPr>
    </w:p>
    <w:p w:rsidR="00655E07" w:rsidRPr="00077CA4" w:rsidRDefault="00655E07" w:rsidP="00655E07">
      <w:pPr>
        <w:jc w:val="left"/>
      </w:pPr>
      <w:r w:rsidRPr="00077CA4">
        <w:tab/>
      </w:r>
      <w:r w:rsidRPr="00077CA4">
        <w:tab/>
        <w:t>2.</w:t>
      </w:r>
      <w:r w:rsidRPr="00077CA4">
        <w:tab/>
        <w:t>Respondent is Philadelphia Gas Works, a jurisdictional public utility providing residential gas service in the Commonwealth of Pennsylvania.</w:t>
      </w:r>
    </w:p>
    <w:p w:rsidR="00655E07" w:rsidRPr="00077CA4" w:rsidRDefault="00655E07" w:rsidP="00655E07">
      <w:pPr>
        <w:jc w:val="left"/>
      </w:pPr>
    </w:p>
    <w:p w:rsidR="00BD610C" w:rsidRPr="00077CA4" w:rsidRDefault="00655E07" w:rsidP="00252DD3">
      <w:pPr>
        <w:jc w:val="left"/>
      </w:pPr>
      <w:r w:rsidRPr="00077CA4">
        <w:tab/>
      </w:r>
      <w:r w:rsidRPr="00077CA4">
        <w:tab/>
        <w:t>3.</w:t>
      </w:r>
      <w:r w:rsidRPr="00077CA4">
        <w:tab/>
      </w:r>
      <w:r w:rsidR="00F045C1" w:rsidRPr="00077CA4">
        <w:t>Respondent provided natural gas service to a residence at 1733 North Taney Street, Philadelphia, Pennsylvania, during the period covered by the Complaint.</w:t>
      </w:r>
    </w:p>
    <w:p w:rsidR="00F045C1" w:rsidRPr="00077CA4" w:rsidRDefault="00F045C1" w:rsidP="00252DD3">
      <w:pPr>
        <w:jc w:val="left"/>
      </w:pPr>
    </w:p>
    <w:p w:rsidR="00F045C1" w:rsidRPr="00077CA4" w:rsidRDefault="00F045C1" w:rsidP="00252DD3">
      <w:pPr>
        <w:jc w:val="left"/>
      </w:pPr>
      <w:r w:rsidRPr="00077CA4">
        <w:tab/>
      </w:r>
      <w:r w:rsidRPr="00077CA4">
        <w:tab/>
        <w:t>4.</w:t>
      </w:r>
      <w:r w:rsidRPr="00077CA4">
        <w:tab/>
        <w:t xml:space="preserve">During </w:t>
      </w:r>
      <w:r w:rsidR="00EA2D0F">
        <w:t>the</w:t>
      </w:r>
      <w:r w:rsidR="000504B9" w:rsidRPr="00077CA4">
        <w:t xml:space="preserve"> </w:t>
      </w:r>
      <w:r w:rsidRPr="00077CA4">
        <w:t xml:space="preserve">period between July, 2004 and May, 2012, the Complainant resided at 1511 South Newkirk Street, Philadelphia, Pennsylvania.  </w:t>
      </w:r>
      <w:proofErr w:type="gramStart"/>
      <w:r w:rsidRPr="00077CA4">
        <w:t>Tr. at 16.</w:t>
      </w:r>
      <w:proofErr w:type="gramEnd"/>
    </w:p>
    <w:p w:rsidR="008509FF" w:rsidRPr="00077CA4" w:rsidRDefault="008509FF" w:rsidP="00252DD3">
      <w:pPr>
        <w:jc w:val="left"/>
      </w:pPr>
    </w:p>
    <w:p w:rsidR="00F045C1" w:rsidRPr="00077CA4" w:rsidRDefault="00F045C1" w:rsidP="00252DD3">
      <w:pPr>
        <w:jc w:val="left"/>
      </w:pPr>
      <w:r w:rsidRPr="00077CA4">
        <w:tab/>
      </w:r>
      <w:r w:rsidRPr="00077CA4">
        <w:tab/>
        <w:t>5.</w:t>
      </w:r>
      <w:r w:rsidRPr="00077CA4">
        <w:tab/>
        <w:t xml:space="preserve">The Complainant resided at 1733 North Taney Street, Philadelphia, Pennsylvania </w:t>
      </w:r>
      <w:r w:rsidR="000504B9" w:rsidRPr="00077CA4">
        <w:t xml:space="preserve">for approximately 19 months </w:t>
      </w:r>
      <w:r w:rsidRPr="00077CA4">
        <w:t xml:space="preserve">from May, 2012 until December, 2013.  </w:t>
      </w:r>
      <w:proofErr w:type="gramStart"/>
      <w:r w:rsidRPr="00077CA4">
        <w:t>Tr. at 17.</w:t>
      </w:r>
      <w:proofErr w:type="gramEnd"/>
    </w:p>
    <w:p w:rsidR="00F045C1" w:rsidRPr="00077CA4" w:rsidRDefault="00F045C1" w:rsidP="00252DD3">
      <w:pPr>
        <w:jc w:val="left"/>
      </w:pPr>
    </w:p>
    <w:p w:rsidR="00F045C1" w:rsidRPr="00077CA4" w:rsidRDefault="00F045C1" w:rsidP="00252DD3">
      <w:pPr>
        <w:jc w:val="left"/>
      </w:pPr>
      <w:r w:rsidRPr="00077CA4">
        <w:tab/>
      </w:r>
      <w:r w:rsidRPr="00077CA4">
        <w:tab/>
        <w:t>6.</w:t>
      </w:r>
      <w:r w:rsidRPr="00077CA4">
        <w:tab/>
        <w:t>During the period of time when the Complainant resided at 1733 North Taney Street, Philadelphia, Pennsylvania, her father Marvin Pitt</w:t>
      </w:r>
      <w:r w:rsidR="001F36F0">
        <w:t xml:space="preserve">man also resided there.  Tr. </w:t>
      </w:r>
      <w:r w:rsidR="00040705">
        <w:t>a</w:t>
      </w:r>
      <w:r w:rsidR="001F36F0">
        <w:t>t </w:t>
      </w:r>
      <w:r w:rsidRPr="00077CA4">
        <w:t>20</w:t>
      </w:r>
      <w:r w:rsidR="00D556D1" w:rsidRPr="00077CA4">
        <w:t>-22</w:t>
      </w:r>
      <w:r w:rsidRPr="00077CA4">
        <w:t>.</w:t>
      </w:r>
    </w:p>
    <w:p w:rsidR="00A51D7D" w:rsidRPr="00077CA4" w:rsidRDefault="00A51D7D" w:rsidP="00252DD3">
      <w:pPr>
        <w:jc w:val="left"/>
      </w:pPr>
    </w:p>
    <w:p w:rsidR="00A51D7D" w:rsidRPr="00077CA4" w:rsidRDefault="00A51D7D" w:rsidP="00252DD3">
      <w:pPr>
        <w:jc w:val="left"/>
      </w:pPr>
      <w:r w:rsidRPr="00077CA4">
        <w:tab/>
      </w:r>
      <w:r w:rsidRPr="00077CA4">
        <w:tab/>
        <w:t>7.</w:t>
      </w:r>
      <w:r w:rsidRPr="00077CA4">
        <w:tab/>
        <w:t>The Complainant has never been a custo</w:t>
      </w:r>
      <w:r w:rsidR="00040705">
        <w:t xml:space="preserve">mer of record with PGW.  </w:t>
      </w:r>
      <w:proofErr w:type="gramStart"/>
      <w:r w:rsidR="00040705">
        <w:t>Tr. at </w:t>
      </w:r>
      <w:r w:rsidRPr="00077CA4">
        <w:t>57</w:t>
      </w:r>
      <w:r w:rsidR="00E92610" w:rsidRPr="00077CA4">
        <w:t>, 60</w:t>
      </w:r>
      <w:r w:rsidRPr="00077CA4">
        <w:t>.</w:t>
      </w:r>
      <w:proofErr w:type="gramEnd"/>
    </w:p>
    <w:p w:rsidR="00A51D7D" w:rsidRPr="00077CA4" w:rsidRDefault="00A51D7D" w:rsidP="00252DD3">
      <w:pPr>
        <w:jc w:val="left"/>
      </w:pPr>
    </w:p>
    <w:p w:rsidR="00A51D7D" w:rsidRPr="00077CA4" w:rsidRDefault="00A51D7D" w:rsidP="00252DD3">
      <w:pPr>
        <w:jc w:val="left"/>
      </w:pPr>
      <w:r w:rsidRPr="00077CA4">
        <w:tab/>
      </w:r>
      <w:r w:rsidRPr="00077CA4">
        <w:tab/>
        <w:t>8.</w:t>
      </w:r>
      <w:r w:rsidRPr="00077CA4">
        <w:tab/>
        <w:t>Marvin Pittman was never a PGW customer of record at 1733 North Taney Street, Philadelphia, Pennsylvania</w:t>
      </w:r>
      <w:r w:rsidR="00E92610" w:rsidRPr="00077CA4">
        <w:t xml:space="preserve">.  </w:t>
      </w:r>
      <w:proofErr w:type="gramStart"/>
      <w:r w:rsidR="00E92610" w:rsidRPr="00077CA4">
        <w:t>Tr. at 60.</w:t>
      </w:r>
      <w:proofErr w:type="gramEnd"/>
    </w:p>
    <w:p w:rsidR="00865242" w:rsidRPr="00077CA4" w:rsidRDefault="00865242" w:rsidP="00252DD3">
      <w:pPr>
        <w:jc w:val="left"/>
      </w:pPr>
    </w:p>
    <w:p w:rsidR="00865242" w:rsidRPr="00077CA4" w:rsidRDefault="00865242" w:rsidP="00252DD3">
      <w:pPr>
        <w:jc w:val="left"/>
      </w:pPr>
      <w:r w:rsidRPr="00077CA4">
        <w:tab/>
      </w:r>
      <w:r w:rsidRPr="00077CA4">
        <w:tab/>
      </w:r>
      <w:r w:rsidR="00E92610" w:rsidRPr="00077CA4">
        <w:t>9</w:t>
      </w:r>
      <w:r w:rsidRPr="00077CA4">
        <w:t>.</w:t>
      </w:r>
      <w:r w:rsidRPr="00077CA4">
        <w:tab/>
        <w:t xml:space="preserve">During the period of time when the Complainant resided at 1733 North Taney Street, Philadelphia, Pennsylvania, a kerosene heater was in use to supply heat to the residence.  </w:t>
      </w:r>
      <w:proofErr w:type="gramStart"/>
      <w:r w:rsidRPr="00077CA4">
        <w:t>Tr. at 21.</w:t>
      </w:r>
      <w:proofErr w:type="gramEnd"/>
    </w:p>
    <w:p w:rsidR="00D556D1" w:rsidRPr="00077CA4" w:rsidRDefault="00D556D1" w:rsidP="00252DD3">
      <w:pPr>
        <w:jc w:val="left"/>
      </w:pPr>
    </w:p>
    <w:p w:rsidR="00D556D1" w:rsidRPr="00077CA4" w:rsidRDefault="00D556D1" w:rsidP="00252DD3">
      <w:pPr>
        <w:jc w:val="left"/>
      </w:pPr>
      <w:r w:rsidRPr="00077CA4">
        <w:tab/>
      </w:r>
      <w:r w:rsidRPr="00077CA4">
        <w:tab/>
      </w:r>
      <w:r w:rsidR="00E92610" w:rsidRPr="00077CA4">
        <w:t>10</w:t>
      </w:r>
      <w:r w:rsidRPr="00077CA4">
        <w:t>.</w:t>
      </w:r>
      <w:r w:rsidRPr="00077CA4">
        <w:tab/>
        <w:t xml:space="preserve">The Complainant would like to move back into the residence at 1733 North Taney Street, Philadelphia, Pennsylvania, but she cannot do so until the present dispute with PGW is resolved and natural gas service is restored to the residence.  </w:t>
      </w:r>
      <w:proofErr w:type="gramStart"/>
      <w:r w:rsidRPr="00077CA4">
        <w:t>Tr. at 26.</w:t>
      </w:r>
      <w:proofErr w:type="gramEnd"/>
    </w:p>
    <w:p w:rsidR="00D556D1" w:rsidRPr="00077CA4" w:rsidRDefault="00D556D1" w:rsidP="00252DD3">
      <w:pPr>
        <w:jc w:val="left"/>
      </w:pPr>
    </w:p>
    <w:p w:rsidR="00D556D1" w:rsidRPr="00077CA4" w:rsidRDefault="00D556D1" w:rsidP="00252DD3">
      <w:pPr>
        <w:jc w:val="left"/>
      </w:pPr>
      <w:r w:rsidRPr="00077CA4">
        <w:tab/>
      </w:r>
      <w:r w:rsidRPr="00077CA4">
        <w:tab/>
      </w:r>
      <w:r w:rsidR="00E92610" w:rsidRPr="00077CA4">
        <w:t>11</w:t>
      </w:r>
      <w:r w:rsidRPr="00077CA4">
        <w:t>.</w:t>
      </w:r>
      <w:r w:rsidRPr="00077CA4">
        <w:tab/>
      </w:r>
      <w:r w:rsidR="00865242" w:rsidRPr="00077CA4">
        <w:t xml:space="preserve">The PGW account at 2908 North </w:t>
      </w:r>
      <w:proofErr w:type="spellStart"/>
      <w:r w:rsidR="00865242" w:rsidRPr="00077CA4">
        <w:t>Bambrey</w:t>
      </w:r>
      <w:proofErr w:type="spellEnd"/>
      <w:r w:rsidR="00865242" w:rsidRPr="00077CA4">
        <w:t xml:space="preserve"> Street, Philadelphia Pennsylvania, is in Marvin Pittman’s name, but the Complainant has been paying the gas bill.  </w:t>
      </w:r>
      <w:proofErr w:type="gramStart"/>
      <w:r w:rsidR="00865242" w:rsidRPr="00077CA4">
        <w:t>Tr. at 24-25</w:t>
      </w:r>
      <w:r w:rsidR="00D053FE" w:rsidRPr="00077CA4">
        <w:t>; 32</w:t>
      </w:r>
      <w:r w:rsidR="00865242" w:rsidRPr="00077CA4">
        <w:t>.</w:t>
      </w:r>
      <w:proofErr w:type="gramEnd"/>
    </w:p>
    <w:p w:rsidR="00865242" w:rsidRPr="00077CA4" w:rsidRDefault="00865242" w:rsidP="00252DD3">
      <w:pPr>
        <w:jc w:val="left"/>
      </w:pPr>
    </w:p>
    <w:p w:rsidR="00865242" w:rsidRPr="00077CA4" w:rsidRDefault="00865242" w:rsidP="00252DD3">
      <w:pPr>
        <w:jc w:val="left"/>
      </w:pPr>
      <w:r w:rsidRPr="00077CA4">
        <w:tab/>
      </w:r>
      <w:r w:rsidRPr="00077CA4">
        <w:tab/>
        <w:t>1</w:t>
      </w:r>
      <w:r w:rsidR="00E92610" w:rsidRPr="00077CA4">
        <w:t>2</w:t>
      </w:r>
      <w:r w:rsidRPr="00077CA4">
        <w:t>.</w:t>
      </w:r>
      <w:r w:rsidRPr="00077CA4">
        <w:tab/>
        <w:t>On January 3, 2013, PGW investigated a gas leak at the Taney Street property and found a steel bypass used to provide natural gas to appliances without sending the gas through the PGW meter had there been a meter installed; however, no gas meter was at the property as PGW had previously removed it.  Tr. at 29-30.</w:t>
      </w:r>
    </w:p>
    <w:p w:rsidR="00865242" w:rsidRPr="00077CA4" w:rsidRDefault="00865242" w:rsidP="00252DD3">
      <w:pPr>
        <w:jc w:val="left"/>
      </w:pPr>
    </w:p>
    <w:p w:rsidR="00865242" w:rsidRPr="00077CA4" w:rsidRDefault="00865242" w:rsidP="00252DD3">
      <w:pPr>
        <w:jc w:val="left"/>
      </w:pPr>
      <w:r w:rsidRPr="00077CA4">
        <w:tab/>
      </w:r>
      <w:r w:rsidRPr="00077CA4">
        <w:tab/>
        <w:t>1</w:t>
      </w:r>
      <w:r w:rsidR="00E92610" w:rsidRPr="00077CA4">
        <w:t>3</w:t>
      </w:r>
      <w:r w:rsidRPr="00077CA4">
        <w:t>.</w:t>
      </w:r>
      <w:r w:rsidRPr="00077CA4">
        <w:tab/>
        <w:t xml:space="preserve">On January 3, 2013, PGW found two appliances at the </w:t>
      </w:r>
      <w:r w:rsidR="002C2FE5" w:rsidRPr="00077CA4">
        <w:t xml:space="preserve">1733 North </w:t>
      </w:r>
      <w:r w:rsidRPr="00077CA4">
        <w:t>Taney Street address that could use natural gas: a house heater and a hot water heater.  Tr. at 30-31.</w:t>
      </w:r>
    </w:p>
    <w:p w:rsidR="00865242" w:rsidRPr="00077CA4" w:rsidRDefault="00865242" w:rsidP="00252DD3">
      <w:pPr>
        <w:jc w:val="left"/>
      </w:pPr>
    </w:p>
    <w:p w:rsidR="00865242" w:rsidRPr="00077CA4" w:rsidRDefault="00865242" w:rsidP="00252DD3">
      <w:pPr>
        <w:jc w:val="left"/>
      </w:pPr>
      <w:r w:rsidRPr="00077CA4">
        <w:tab/>
      </w:r>
      <w:r w:rsidRPr="00077CA4">
        <w:tab/>
        <w:t>1</w:t>
      </w:r>
      <w:r w:rsidR="00E92610" w:rsidRPr="00077CA4">
        <w:t>4</w:t>
      </w:r>
      <w:r w:rsidRPr="00077CA4">
        <w:t>.</w:t>
      </w:r>
      <w:r w:rsidRPr="00077CA4">
        <w:tab/>
        <w:t xml:space="preserve">Since January 3, 2013, there has been no natural gas </w:t>
      </w:r>
      <w:r w:rsidR="008509FF" w:rsidRPr="00077CA4">
        <w:t>service</w:t>
      </w:r>
      <w:r w:rsidR="00ED5186" w:rsidRPr="00077CA4">
        <w:t xml:space="preserve"> at</w:t>
      </w:r>
      <w:r w:rsidR="008509FF" w:rsidRPr="00077CA4">
        <w:t xml:space="preserve"> </w:t>
      </w:r>
      <w:r w:rsidR="002C2FE5" w:rsidRPr="00077CA4">
        <w:t xml:space="preserve">1733 North </w:t>
      </w:r>
      <w:r w:rsidR="00B5347C" w:rsidRPr="00077CA4">
        <w:t xml:space="preserve">Taney Street.  </w:t>
      </w:r>
      <w:proofErr w:type="gramStart"/>
      <w:r w:rsidR="00B5347C" w:rsidRPr="00077CA4">
        <w:t>Tr. at 31.</w:t>
      </w:r>
      <w:proofErr w:type="gramEnd"/>
    </w:p>
    <w:p w:rsidR="00D053FE" w:rsidRPr="00077CA4" w:rsidRDefault="00D053FE" w:rsidP="00252DD3">
      <w:pPr>
        <w:jc w:val="left"/>
      </w:pPr>
    </w:p>
    <w:p w:rsidR="00D053FE" w:rsidRPr="00077CA4" w:rsidRDefault="00D053FE" w:rsidP="00252DD3">
      <w:pPr>
        <w:jc w:val="left"/>
      </w:pPr>
      <w:r w:rsidRPr="00077CA4">
        <w:tab/>
      </w:r>
      <w:r w:rsidRPr="00077CA4">
        <w:tab/>
        <w:t>1</w:t>
      </w:r>
      <w:r w:rsidR="00E92610" w:rsidRPr="00077CA4">
        <w:t>5</w:t>
      </w:r>
      <w:r w:rsidRPr="00077CA4">
        <w:t>.</w:t>
      </w:r>
      <w:r w:rsidRPr="00077CA4">
        <w:tab/>
        <w:t xml:space="preserve">On August 1, 2013, the Complainant contacted PGW to establish natural gas service at the </w:t>
      </w:r>
      <w:r w:rsidR="002C2FE5" w:rsidRPr="00077CA4">
        <w:t xml:space="preserve">1733 North </w:t>
      </w:r>
      <w:r w:rsidRPr="00077CA4">
        <w:t xml:space="preserve">Taney Street address.  </w:t>
      </w:r>
      <w:proofErr w:type="gramStart"/>
      <w:r w:rsidRPr="00077CA4">
        <w:t>Tr. at 32.</w:t>
      </w:r>
      <w:proofErr w:type="gramEnd"/>
    </w:p>
    <w:p w:rsidR="00D053FE" w:rsidRPr="00077CA4" w:rsidRDefault="00D053FE" w:rsidP="00252DD3">
      <w:pPr>
        <w:jc w:val="left"/>
      </w:pPr>
    </w:p>
    <w:p w:rsidR="00D053FE" w:rsidRPr="00077CA4" w:rsidRDefault="00D053FE" w:rsidP="00252DD3">
      <w:pPr>
        <w:jc w:val="left"/>
      </w:pPr>
      <w:r w:rsidRPr="00077CA4">
        <w:tab/>
      </w:r>
      <w:r w:rsidRPr="00077CA4">
        <w:tab/>
        <w:t>1</w:t>
      </w:r>
      <w:r w:rsidR="00E92610" w:rsidRPr="00077CA4">
        <w:t>6</w:t>
      </w:r>
      <w:r w:rsidRPr="00077CA4">
        <w:t>.</w:t>
      </w:r>
      <w:r w:rsidRPr="00077CA4">
        <w:tab/>
        <w:t>PGW Exhibit 3 is a Lexis/</w:t>
      </w:r>
      <w:proofErr w:type="spellStart"/>
      <w:r w:rsidRPr="00077CA4">
        <w:t>Nexis</w:t>
      </w:r>
      <w:proofErr w:type="spellEnd"/>
      <w:r w:rsidRPr="00077CA4">
        <w:t xml:space="preserve"> </w:t>
      </w:r>
      <w:proofErr w:type="spellStart"/>
      <w:r w:rsidRPr="00077CA4">
        <w:t>Accurint</w:t>
      </w:r>
      <w:proofErr w:type="spellEnd"/>
      <w:r w:rsidRPr="00077CA4">
        <w:t xml:space="preserve"> printout.</w:t>
      </w:r>
    </w:p>
    <w:p w:rsidR="00D053FE" w:rsidRPr="00077CA4" w:rsidRDefault="00D053FE" w:rsidP="00252DD3">
      <w:pPr>
        <w:jc w:val="left"/>
      </w:pPr>
    </w:p>
    <w:p w:rsidR="00D053FE" w:rsidRPr="00077CA4" w:rsidRDefault="00D053FE" w:rsidP="00252DD3">
      <w:pPr>
        <w:jc w:val="left"/>
      </w:pPr>
      <w:r w:rsidRPr="00077CA4">
        <w:tab/>
      </w:r>
      <w:r w:rsidRPr="00077CA4">
        <w:tab/>
        <w:t>1</w:t>
      </w:r>
      <w:r w:rsidR="00E92610" w:rsidRPr="00077CA4">
        <w:t>7</w:t>
      </w:r>
      <w:r w:rsidRPr="00077CA4">
        <w:t>.</w:t>
      </w:r>
      <w:r w:rsidRPr="00077CA4">
        <w:tab/>
      </w:r>
      <w:proofErr w:type="spellStart"/>
      <w:r w:rsidRPr="00077CA4">
        <w:t>Accurint</w:t>
      </w:r>
      <w:proofErr w:type="spellEnd"/>
      <w:r w:rsidRPr="00077CA4">
        <w:t xml:space="preserve"> is an internet based records search engine.</w:t>
      </w:r>
    </w:p>
    <w:p w:rsidR="00D053FE" w:rsidRPr="00077CA4" w:rsidRDefault="00D053FE" w:rsidP="00252DD3">
      <w:pPr>
        <w:jc w:val="left"/>
      </w:pPr>
    </w:p>
    <w:p w:rsidR="00D053FE" w:rsidRPr="00077CA4" w:rsidRDefault="00D053FE" w:rsidP="00252DD3">
      <w:pPr>
        <w:jc w:val="left"/>
      </w:pPr>
      <w:r w:rsidRPr="00077CA4">
        <w:tab/>
      </w:r>
      <w:r w:rsidRPr="00077CA4">
        <w:tab/>
        <w:t>1</w:t>
      </w:r>
      <w:r w:rsidR="00E92610" w:rsidRPr="00077CA4">
        <w:t>8</w:t>
      </w:r>
      <w:r w:rsidRPr="00077CA4">
        <w:t>.</w:t>
      </w:r>
      <w:r w:rsidRPr="00077CA4">
        <w:tab/>
        <w:t xml:space="preserve">The Complainant was charged by PGW for </w:t>
      </w:r>
      <w:r w:rsidR="00DA0B89" w:rsidRPr="00077CA4">
        <w:t xml:space="preserve">estimated </w:t>
      </w:r>
      <w:r w:rsidRPr="00077CA4">
        <w:t xml:space="preserve">natural gas </w:t>
      </w:r>
      <w:r w:rsidR="00DA0B89" w:rsidRPr="00077CA4">
        <w:t>use</w:t>
      </w:r>
      <w:r w:rsidRPr="00077CA4">
        <w:t xml:space="preserve"> at the </w:t>
      </w:r>
      <w:r w:rsidR="002C2FE5" w:rsidRPr="00077CA4">
        <w:t xml:space="preserve">1733 North Taney </w:t>
      </w:r>
      <w:r w:rsidRPr="00077CA4">
        <w:t>Street address from January 9, 2009 through January 3, 2013, for a total of $5,169.95.  Tr. at 33-34.</w:t>
      </w:r>
    </w:p>
    <w:p w:rsidR="00D053FE" w:rsidRPr="00077CA4" w:rsidRDefault="00D053FE" w:rsidP="00252DD3">
      <w:pPr>
        <w:jc w:val="left"/>
      </w:pPr>
    </w:p>
    <w:p w:rsidR="00D053FE" w:rsidRPr="00077CA4" w:rsidRDefault="00D053FE" w:rsidP="00252DD3">
      <w:pPr>
        <w:jc w:val="left"/>
      </w:pPr>
      <w:r w:rsidRPr="00077CA4">
        <w:tab/>
      </w:r>
      <w:r w:rsidRPr="00077CA4">
        <w:tab/>
        <w:t>1</w:t>
      </w:r>
      <w:r w:rsidR="00E92610" w:rsidRPr="00077CA4">
        <w:t>9</w:t>
      </w:r>
      <w:r w:rsidRPr="00077CA4">
        <w:t>.</w:t>
      </w:r>
      <w:r w:rsidRPr="00077CA4">
        <w:tab/>
      </w:r>
      <w:r w:rsidR="00DA0B89" w:rsidRPr="00077CA4">
        <w:t xml:space="preserve">Before PGW will establish service </w:t>
      </w:r>
      <w:r w:rsidR="002C2FE5" w:rsidRPr="00077CA4">
        <w:t xml:space="preserve">for the Complainant </w:t>
      </w:r>
      <w:r w:rsidR="00DA0B89" w:rsidRPr="00077CA4">
        <w:t xml:space="preserve">at the </w:t>
      </w:r>
      <w:r w:rsidR="002C2FE5" w:rsidRPr="00077CA4">
        <w:t xml:space="preserve">1733 North </w:t>
      </w:r>
      <w:r w:rsidR="00DA0B89" w:rsidRPr="00077CA4">
        <w:t>Taney Street address</w:t>
      </w:r>
      <w:r w:rsidR="002C2FE5" w:rsidRPr="00077CA4">
        <w:t>,</w:t>
      </w:r>
      <w:r w:rsidR="00DA0B89" w:rsidRPr="00077CA4">
        <w:t xml:space="preserve"> the Complainant would have to pay the estimated use bill of $5,169.95, a security deposit of $180.00 and a $123.23 reconnection fee, a total of $5,473.18.  </w:t>
      </w:r>
      <w:r w:rsidR="00FC74F0">
        <w:t>PGW Exhibit </w:t>
      </w:r>
      <w:r w:rsidR="00A51D7D" w:rsidRPr="00077CA4">
        <w:t xml:space="preserve">4; </w:t>
      </w:r>
      <w:r w:rsidR="00DA0B89" w:rsidRPr="00077CA4">
        <w:t>Tr. at 34-35</w:t>
      </w:r>
      <w:r w:rsidR="00486735" w:rsidRPr="00077CA4">
        <w:t>, 45</w:t>
      </w:r>
      <w:r w:rsidR="00A51D7D" w:rsidRPr="00077CA4">
        <w:t>-47</w:t>
      </w:r>
      <w:r w:rsidR="00DA0B89" w:rsidRPr="00077CA4">
        <w:t>.</w:t>
      </w:r>
    </w:p>
    <w:p w:rsidR="00DA0B89" w:rsidRPr="00077CA4" w:rsidRDefault="00DA0B89" w:rsidP="00252DD3">
      <w:pPr>
        <w:jc w:val="left"/>
      </w:pPr>
    </w:p>
    <w:p w:rsidR="00DA0B89" w:rsidRPr="00077CA4" w:rsidRDefault="00DA0B89" w:rsidP="00252DD3">
      <w:pPr>
        <w:jc w:val="left"/>
      </w:pPr>
      <w:r w:rsidRPr="00077CA4">
        <w:tab/>
      </w:r>
      <w:r w:rsidRPr="00077CA4">
        <w:tab/>
      </w:r>
      <w:r w:rsidR="00E92610" w:rsidRPr="00077CA4">
        <w:t>20</w:t>
      </w:r>
      <w:r w:rsidRPr="00077CA4">
        <w:t>.</w:t>
      </w:r>
      <w:r w:rsidRPr="00077CA4">
        <w:tab/>
        <w:t xml:space="preserve">PGW Exhibit 1 is a record from the City (of Philadelphia) Board of Revision of Taxes.  That document shows the Complainant as the owner of the </w:t>
      </w:r>
      <w:r w:rsidR="002C2FE5" w:rsidRPr="00077CA4">
        <w:t xml:space="preserve">1733 North </w:t>
      </w:r>
      <w:r w:rsidRPr="00077CA4">
        <w:t>Taney Street property</w:t>
      </w:r>
      <w:r w:rsidR="002C2FE5" w:rsidRPr="00077CA4">
        <w:t xml:space="preserve"> from January 17, 2013</w:t>
      </w:r>
      <w:r w:rsidRPr="00077CA4">
        <w:t xml:space="preserve">.  </w:t>
      </w:r>
      <w:proofErr w:type="gramStart"/>
      <w:r w:rsidRPr="00077CA4">
        <w:t>PGW Exhibit 1; Tr. at 40.</w:t>
      </w:r>
      <w:proofErr w:type="gramEnd"/>
    </w:p>
    <w:p w:rsidR="00DA0B89" w:rsidRPr="00077CA4" w:rsidRDefault="00DA0B89" w:rsidP="00252DD3">
      <w:pPr>
        <w:jc w:val="left"/>
      </w:pPr>
    </w:p>
    <w:p w:rsidR="00DA0B89" w:rsidRPr="00077CA4" w:rsidRDefault="00DA0B89" w:rsidP="00252DD3">
      <w:pPr>
        <w:jc w:val="left"/>
      </w:pPr>
      <w:r w:rsidRPr="00077CA4">
        <w:tab/>
      </w:r>
      <w:r w:rsidRPr="00077CA4">
        <w:tab/>
      </w:r>
      <w:r w:rsidR="00E92610" w:rsidRPr="00077CA4">
        <w:t>21</w:t>
      </w:r>
      <w:r w:rsidR="00A51D7D" w:rsidRPr="00077CA4">
        <w:t>.</w:t>
      </w:r>
      <w:r w:rsidR="00A51D7D" w:rsidRPr="00077CA4">
        <w:tab/>
        <w:t xml:space="preserve">PGW Exhibit 2 </w:t>
      </w:r>
      <w:r w:rsidR="009D1653" w:rsidRPr="00077CA4">
        <w:t xml:space="preserve">is comprised of </w:t>
      </w:r>
      <w:r w:rsidR="00A51D7D" w:rsidRPr="00077CA4">
        <w:t xml:space="preserve">PGW contact records.  </w:t>
      </w:r>
      <w:proofErr w:type="gramStart"/>
      <w:r w:rsidR="00A51D7D" w:rsidRPr="00077CA4">
        <w:t>PGW Exhibit 2; Tr. at 42.</w:t>
      </w:r>
      <w:proofErr w:type="gramEnd"/>
    </w:p>
    <w:p w:rsidR="002C2FE5" w:rsidRPr="00077CA4" w:rsidRDefault="002C2FE5" w:rsidP="00252DD3">
      <w:pPr>
        <w:jc w:val="left"/>
      </w:pPr>
    </w:p>
    <w:p w:rsidR="002C2FE5" w:rsidRPr="00077CA4" w:rsidRDefault="002C2FE5" w:rsidP="00252DD3">
      <w:pPr>
        <w:jc w:val="left"/>
      </w:pPr>
      <w:r w:rsidRPr="00077CA4">
        <w:tab/>
      </w:r>
      <w:r w:rsidRPr="00077CA4">
        <w:tab/>
        <w:t>2</w:t>
      </w:r>
      <w:r w:rsidR="00183A62">
        <w:t>2</w:t>
      </w:r>
      <w:r w:rsidRPr="00077CA4">
        <w:t>.</w:t>
      </w:r>
      <w:r w:rsidRPr="00077CA4">
        <w:tab/>
      </w:r>
      <w:r w:rsidR="00486735" w:rsidRPr="00077CA4">
        <w:t xml:space="preserve">PGW Exhibit 4 is titled “Research Calculations” and is a calculation of </w:t>
      </w:r>
      <w:r w:rsidR="008509FF" w:rsidRPr="00077CA4">
        <w:t>British Thermal Units (</w:t>
      </w:r>
      <w:proofErr w:type="spellStart"/>
      <w:r w:rsidR="00486735" w:rsidRPr="00077CA4">
        <w:t>Btus</w:t>
      </w:r>
      <w:proofErr w:type="spellEnd"/>
      <w:r w:rsidR="008509FF" w:rsidRPr="00077CA4">
        <w:t>)</w:t>
      </w:r>
      <w:r w:rsidR="00486735" w:rsidRPr="00077CA4">
        <w:t xml:space="preserve"> estimated to have been consumed by the two appliances in the house at 1733 North Taney Street, a “Theft Reporting Sheet,” naming Marvin Pittman as owner, a “Debit to Estimated Gas,” used to calculate the amount due, a Degree Day calculator summary for the period January 3, 2009 to January 3, 2013, calculations of estimated gas use by appliance, a PGW Bill Calculation revised March 15, 2014, and a Statement of Account from July 31, 2013 to March 21, 2014.  Tr. 46-52.</w:t>
      </w:r>
    </w:p>
    <w:p w:rsidR="00DA0B89" w:rsidRPr="00077CA4" w:rsidRDefault="00DA0B89" w:rsidP="00252DD3">
      <w:pPr>
        <w:jc w:val="left"/>
      </w:pPr>
    </w:p>
    <w:p w:rsidR="00242D11" w:rsidRPr="00077CA4" w:rsidRDefault="00DA0B89" w:rsidP="00252DD3">
      <w:pPr>
        <w:jc w:val="left"/>
      </w:pPr>
      <w:r w:rsidRPr="00077CA4">
        <w:tab/>
      </w:r>
      <w:r w:rsidR="00802C2E" w:rsidRPr="00077CA4">
        <w:tab/>
      </w:r>
      <w:r w:rsidR="00DC2C22">
        <w:t>2</w:t>
      </w:r>
      <w:r w:rsidR="00183A62">
        <w:t>3</w:t>
      </w:r>
      <w:r w:rsidR="00DC2C22">
        <w:t>.</w:t>
      </w:r>
      <w:r w:rsidR="00127910" w:rsidRPr="00077CA4">
        <w:tab/>
      </w:r>
      <w:r w:rsidR="00802C2E" w:rsidRPr="00077CA4">
        <w:t>PGW Exhibit 5 is a printout of the outcome of Bureau of Consumer Services Case No. 3153783.</w:t>
      </w:r>
    </w:p>
    <w:p w:rsidR="00242D11" w:rsidRPr="00077CA4" w:rsidRDefault="00242D11" w:rsidP="00252DD3">
      <w:pPr>
        <w:jc w:val="left"/>
      </w:pPr>
    </w:p>
    <w:p w:rsidR="00DA0B89" w:rsidRPr="00077CA4" w:rsidRDefault="00242D11" w:rsidP="00252DD3">
      <w:pPr>
        <w:jc w:val="left"/>
      </w:pPr>
      <w:r w:rsidRPr="00077CA4">
        <w:tab/>
      </w:r>
      <w:r w:rsidRPr="00077CA4">
        <w:tab/>
        <w:t>2</w:t>
      </w:r>
      <w:r w:rsidR="00183A62">
        <w:t>4</w:t>
      </w:r>
      <w:r w:rsidRPr="00077CA4">
        <w:t>.</w:t>
      </w:r>
      <w:r w:rsidRPr="00077CA4">
        <w:tab/>
        <w:t xml:space="preserve">PGW Exhibit 6 is a calculation of natural gas use and </w:t>
      </w:r>
      <w:r w:rsidR="00127910" w:rsidRPr="00077CA4">
        <w:t>a bill calculation for natural gas service at 1733 North Taney Street, Philadelphia, Pennsylvania from May 1, 2012 to December 31, 2013.</w:t>
      </w:r>
    </w:p>
    <w:p w:rsidR="00127910" w:rsidRPr="00077CA4" w:rsidRDefault="00655E07" w:rsidP="004909A4">
      <w:pPr>
        <w:jc w:val="left"/>
      </w:pPr>
      <w:r w:rsidRPr="00077CA4">
        <w:tab/>
      </w:r>
      <w:r w:rsidR="00A23185" w:rsidRPr="00077CA4">
        <w:tab/>
      </w:r>
    </w:p>
    <w:p w:rsidR="00A07535" w:rsidRPr="00077CA4" w:rsidRDefault="00A07535" w:rsidP="00A07535">
      <w:pPr>
        <w:rPr>
          <w:u w:val="single"/>
        </w:rPr>
      </w:pPr>
      <w:r w:rsidRPr="00077CA4">
        <w:rPr>
          <w:u w:val="single"/>
        </w:rPr>
        <w:t>DISCUSSION</w:t>
      </w:r>
    </w:p>
    <w:p w:rsidR="006E1E2D" w:rsidRPr="00077CA4" w:rsidRDefault="006E1E2D" w:rsidP="00A07535">
      <w:pPr>
        <w:rPr>
          <w:u w:val="single"/>
        </w:rPr>
      </w:pPr>
    </w:p>
    <w:p w:rsidR="006E1E2D" w:rsidRPr="00077CA4" w:rsidRDefault="004909A4" w:rsidP="006E1E2D">
      <w:pPr>
        <w:jc w:val="left"/>
      </w:pPr>
      <w:r w:rsidRPr="00077CA4">
        <w:tab/>
      </w:r>
      <w:r w:rsidRPr="00077CA4">
        <w:tab/>
      </w:r>
      <w:r w:rsidR="006E1E2D" w:rsidRPr="00077CA4">
        <w:t xml:space="preserve">The party seeking affirmative relief from the Commission bears the burden of proof.  </w:t>
      </w:r>
      <w:proofErr w:type="gramStart"/>
      <w:r w:rsidR="006E1E2D" w:rsidRPr="00077CA4">
        <w:t xml:space="preserve">66 </w:t>
      </w:r>
      <w:proofErr w:type="spellStart"/>
      <w:r w:rsidR="006E1E2D" w:rsidRPr="00077CA4">
        <w:t>Pa.C.S</w:t>
      </w:r>
      <w:proofErr w:type="spellEnd"/>
      <w:r w:rsidR="006E1E2D" w:rsidRPr="00077CA4">
        <w:t>.</w:t>
      </w:r>
      <w:proofErr w:type="gramEnd"/>
      <w:r w:rsidR="006E1E2D" w:rsidRPr="00077CA4">
        <w:t xml:space="preserve"> § 332(a).  As a matter of law, a complainant must show that the named utility is responsible or accountable for the problem described in the Complaint in order to prevail.  </w:t>
      </w:r>
      <w:proofErr w:type="gramStart"/>
      <w:r w:rsidR="006E1E2D" w:rsidRPr="00077CA4">
        <w:rPr>
          <w:i/>
        </w:rPr>
        <w:t xml:space="preserve">Patterson v. Bell Tel. Co. of PA, </w:t>
      </w:r>
      <w:r w:rsidR="009A021D" w:rsidRPr="00077CA4">
        <w:t>72 Pa. PUC</w:t>
      </w:r>
      <w:r w:rsidR="006E1E2D" w:rsidRPr="00077CA4">
        <w:t xml:space="preserve"> 196 (1990); </w:t>
      </w:r>
      <w:r w:rsidR="006E1E2D" w:rsidRPr="00077CA4">
        <w:rPr>
          <w:i/>
        </w:rPr>
        <w:t xml:space="preserve">Feinstein v. </w:t>
      </w:r>
      <w:proofErr w:type="spellStart"/>
      <w:r w:rsidR="006E1E2D" w:rsidRPr="00077CA4">
        <w:rPr>
          <w:i/>
        </w:rPr>
        <w:t>Phila</w:t>
      </w:r>
      <w:proofErr w:type="spellEnd"/>
      <w:r w:rsidR="006E1E2D" w:rsidRPr="00077CA4">
        <w:rPr>
          <w:i/>
        </w:rPr>
        <w:t>.</w:t>
      </w:r>
      <w:proofErr w:type="gramEnd"/>
      <w:r w:rsidR="006E1E2D" w:rsidRPr="00077CA4">
        <w:rPr>
          <w:i/>
        </w:rPr>
        <w:t xml:space="preserve"> </w:t>
      </w:r>
      <w:proofErr w:type="gramStart"/>
      <w:r w:rsidR="006E1E2D" w:rsidRPr="00077CA4">
        <w:rPr>
          <w:i/>
        </w:rPr>
        <w:t xml:space="preserve">Suburban Water Co., </w:t>
      </w:r>
      <w:r w:rsidR="009A021D" w:rsidRPr="00077CA4">
        <w:t>50 Pa. PUC</w:t>
      </w:r>
      <w:r w:rsidR="006E1E2D" w:rsidRPr="00077CA4">
        <w:t xml:space="preserve"> 300 (1976).</w:t>
      </w:r>
      <w:proofErr w:type="gramEnd"/>
      <w:r w:rsidR="006E1E2D" w:rsidRPr="00077CA4">
        <w:t xml:space="preserve">  This must be shown by a preponderance of th</w:t>
      </w:r>
      <w:r w:rsidR="009A021D" w:rsidRPr="00077CA4">
        <w:t xml:space="preserve">e evidence.  </w:t>
      </w:r>
      <w:proofErr w:type="gramStart"/>
      <w:r w:rsidR="006E1E2D" w:rsidRPr="00077CA4">
        <w:rPr>
          <w:i/>
        </w:rPr>
        <w:t xml:space="preserve">Samuel J. </w:t>
      </w:r>
      <w:proofErr w:type="spellStart"/>
      <w:r w:rsidR="006E1E2D" w:rsidRPr="00077CA4">
        <w:rPr>
          <w:i/>
        </w:rPr>
        <w:t>Lansberry</w:t>
      </w:r>
      <w:proofErr w:type="spellEnd"/>
      <w:r w:rsidR="006E1E2D" w:rsidRPr="00077CA4">
        <w:rPr>
          <w:i/>
        </w:rPr>
        <w:t>, Inc. v. Pa. Pub.</w:t>
      </w:r>
      <w:proofErr w:type="gramEnd"/>
      <w:r w:rsidR="006E1E2D" w:rsidRPr="00077CA4">
        <w:rPr>
          <w:i/>
        </w:rPr>
        <w:t xml:space="preserve"> Util. </w:t>
      </w:r>
      <w:proofErr w:type="spellStart"/>
      <w:r w:rsidR="006E1E2D" w:rsidRPr="00077CA4">
        <w:rPr>
          <w:i/>
        </w:rPr>
        <w:t>Comm'n</w:t>
      </w:r>
      <w:proofErr w:type="spellEnd"/>
      <w:r w:rsidR="006E1E2D" w:rsidRPr="00077CA4">
        <w:rPr>
          <w:i/>
        </w:rPr>
        <w:t xml:space="preserve">, </w:t>
      </w:r>
      <w:r w:rsidR="006E1E2D" w:rsidRPr="00077CA4">
        <w:t xml:space="preserve">578 A.2d 600 (1990), </w:t>
      </w:r>
      <w:proofErr w:type="spellStart"/>
      <w:r w:rsidR="006E1E2D" w:rsidRPr="00077CA4">
        <w:rPr>
          <w:i/>
        </w:rPr>
        <w:t>alloc</w:t>
      </w:r>
      <w:proofErr w:type="spellEnd"/>
      <w:r w:rsidR="006E1E2D" w:rsidRPr="00077CA4">
        <w:rPr>
          <w:i/>
        </w:rPr>
        <w:t>, denied</w:t>
      </w:r>
      <w:r w:rsidR="006E1E2D" w:rsidRPr="00077CA4">
        <w:t xml:space="preserve">, 602 A.2d 863 (1992).  A preponderance of evidence is that which is more convincing, by even the smallest amount, than that presented by the other party.  </w:t>
      </w:r>
      <w:proofErr w:type="gramStart"/>
      <w:r w:rsidR="006E1E2D" w:rsidRPr="00077CA4">
        <w:rPr>
          <w:i/>
        </w:rPr>
        <w:t>Se-Ling Hosiery v. Margulies,</w:t>
      </w:r>
      <w:r w:rsidR="006E1E2D" w:rsidRPr="00077CA4">
        <w:t xml:space="preserve"> </w:t>
      </w:r>
      <w:r w:rsidR="006E1E2D" w:rsidRPr="00077CA4">
        <w:rPr>
          <w:color w:val="333333"/>
        </w:rPr>
        <w:t>364 Pa. 45, 70 A.2d 854, 1950 Pa. LEXIS 316 (1950)</w:t>
      </w:r>
      <w:r w:rsidR="006E1E2D" w:rsidRPr="00077CA4">
        <w:t>.</w:t>
      </w:r>
      <w:proofErr w:type="gramEnd"/>
    </w:p>
    <w:p w:rsidR="006E1E2D" w:rsidRPr="00077CA4" w:rsidRDefault="006E1E2D" w:rsidP="006E1E2D">
      <w:pPr>
        <w:jc w:val="left"/>
      </w:pPr>
    </w:p>
    <w:p w:rsidR="006E1E2D" w:rsidRPr="00077CA4" w:rsidRDefault="006E1E2D" w:rsidP="006E1E2D">
      <w:pPr>
        <w:jc w:val="left"/>
      </w:pPr>
      <w:r w:rsidRPr="00077CA4">
        <w:lastRenderedPageBreak/>
        <w:tab/>
      </w:r>
      <w:r w:rsidRPr="00077CA4">
        <w:tab/>
        <w:t xml:space="preserve">Additionally, any finding of fact necessary to support the Commission's adjudication must be based upon substantial evidence.  </w:t>
      </w:r>
      <w:proofErr w:type="gramStart"/>
      <w:r w:rsidRPr="00077CA4">
        <w:rPr>
          <w:i/>
        </w:rPr>
        <w:t>Mill v. Pa. Pub.</w:t>
      </w:r>
      <w:proofErr w:type="gramEnd"/>
      <w:r w:rsidRPr="00077CA4">
        <w:rPr>
          <w:i/>
        </w:rPr>
        <w:t xml:space="preserve"> </w:t>
      </w:r>
      <w:proofErr w:type="gramStart"/>
      <w:r w:rsidRPr="00077CA4">
        <w:rPr>
          <w:i/>
        </w:rPr>
        <w:t xml:space="preserve">Util. </w:t>
      </w:r>
      <w:proofErr w:type="spellStart"/>
      <w:r w:rsidRPr="00077CA4">
        <w:rPr>
          <w:i/>
        </w:rPr>
        <w:t>Comm'n</w:t>
      </w:r>
      <w:proofErr w:type="spellEnd"/>
      <w:r w:rsidR="001F550B" w:rsidRPr="00077CA4">
        <w:t>, 447 A.2d </w:t>
      </w:r>
      <w:r w:rsidRPr="00077CA4">
        <w:t>1100 (</w:t>
      </w:r>
      <w:proofErr w:type="spellStart"/>
      <w:r w:rsidRPr="00077CA4">
        <w:t>Pa.Cmwlth</w:t>
      </w:r>
      <w:proofErr w:type="spellEnd"/>
      <w:r w:rsidRPr="00077CA4">
        <w:t xml:space="preserve">. 1982); </w:t>
      </w:r>
      <w:proofErr w:type="spellStart"/>
      <w:r w:rsidRPr="00077CA4">
        <w:rPr>
          <w:i/>
        </w:rPr>
        <w:t>Edan</w:t>
      </w:r>
      <w:proofErr w:type="spellEnd"/>
      <w:r w:rsidRPr="00077CA4">
        <w:rPr>
          <w:i/>
        </w:rPr>
        <w:t xml:space="preserve"> Transportation Corp. v. Pa. Pub.</w:t>
      </w:r>
      <w:proofErr w:type="gramEnd"/>
      <w:r w:rsidRPr="00077CA4">
        <w:rPr>
          <w:i/>
        </w:rPr>
        <w:t xml:space="preserve"> </w:t>
      </w:r>
      <w:proofErr w:type="gramStart"/>
      <w:r w:rsidRPr="00077CA4">
        <w:rPr>
          <w:i/>
        </w:rPr>
        <w:t xml:space="preserve">Util. </w:t>
      </w:r>
      <w:proofErr w:type="spellStart"/>
      <w:r w:rsidRPr="00077CA4">
        <w:rPr>
          <w:i/>
        </w:rPr>
        <w:t>Comm'n</w:t>
      </w:r>
      <w:proofErr w:type="spellEnd"/>
      <w:r w:rsidRPr="00077CA4">
        <w:rPr>
          <w:i/>
        </w:rPr>
        <w:t xml:space="preserve">, </w:t>
      </w:r>
      <w:r w:rsidRPr="00077CA4">
        <w:t xml:space="preserve">623 A.2d 6 (Pa. </w:t>
      </w:r>
      <w:proofErr w:type="spellStart"/>
      <w:r w:rsidRPr="00077CA4">
        <w:t>Cmwlth</w:t>
      </w:r>
      <w:proofErr w:type="spellEnd"/>
      <w:r w:rsidRPr="00077CA4">
        <w:t xml:space="preserve">. 1993); 2 </w:t>
      </w:r>
      <w:proofErr w:type="spellStart"/>
      <w:r w:rsidRPr="00077CA4">
        <w:t>Pa.C.S</w:t>
      </w:r>
      <w:proofErr w:type="spellEnd"/>
      <w:r w:rsidRPr="00077CA4">
        <w:t>.</w:t>
      </w:r>
      <w:proofErr w:type="gramEnd"/>
      <w:r w:rsidRPr="00077CA4">
        <w:t xml:space="preserve"> § 704.  More is required than a mere trace of evidence or a suspicion of the existence of a fact sought to be established.  </w:t>
      </w:r>
      <w:proofErr w:type="gramStart"/>
      <w:r w:rsidRPr="00077CA4">
        <w:rPr>
          <w:i/>
        </w:rPr>
        <w:t>Norfolk and Western Ry. v. Pa. Pub.</w:t>
      </w:r>
      <w:proofErr w:type="gramEnd"/>
      <w:r w:rsidRPr="00077CA4">
        <w:rPr>
          <w:i/>
        </w:rPr>
        <w:t xml:space="preserve"> </w:t>
      </w:r>
      <w:proofErr w:type="gramStart"/>
      <w:r w:rsidRPr="00077CA4">
        <w:rPr>
          <w:i/>
        </w:rPr>
        <w:t xml:space="preserve">Util. </w:t>
      </w:r>
      <w:proofErr w:type="spellStart"/>
      <w:r w:rsidRPr="00077CA4">
        <w:rPr>
          <w:i/>
        </w:rPr>
        <w:t>Comm'n</w:t>
      </w:r>
      <w:proofErr w:type="spellEnd"/>
      <w:r w:rsidRPr="00077CA4">
        <w:rPr>
          <w:i/>
        </w:rPr>
        <w:t xml:space="preserve">, </w:t>
      </w:r>
      <w:r w:rsidRPr="00077CA4">
        <w:t xml:space="preserve">489 Pa. 109, 413 A.2d 1037 (1980); </w:t>
      </w:r>
      <w:r w:rsidRPr="00077CA4">
        <w:rPr>
          <w:i/>
        </w:rPr>
        <w:t>Erie Resistor Corp. v. Unemployment Compensation Bd.</w:t>
      </w:r>
      <w:proofErr w:type="gramEnd"/>
      <w:r w:rsidRPr="00077CA4">
        <w:rPr>
          <w:i/>
        </w:rPr>
        <w:t xml:space="preserve"> </w:t>
      </w:r>
      <w:proofErr w:type="gramStart"/>
      <w:r w:rsidRPr="00077CA4">
        <w:rPr>
          <w:i/>
        </w:rPr>
        <w:t xml:space="preserve">Of Review, </w:t>
      </w:r>
      <w:r w:rsidRPr="00077CA4">
        <w:t>166 A.2d 96 (</w:t>
      </w:r>
      <w:proofErr w:type="spellStart"/>
      <w:r w:rsidRPr="00077CA4">
        <w:t>Pa.Super</w:t>
      </w:r>
      <w:proofErr w:type="spellEnd"/>
      <w:r w:rsidRPr="00077CA4">
        <w:t xml:space="preserve">. 1960); </w:t>
      </w:r>
      <w:r w:rsidRPr="00077CA4">
        <w:rPr>
          <w:i/>
        </w:rPr>
        <w:t>Murphy v. Dep't.</w:t>
      </w:r>
      <w:proofErr w:type="gramEnd"/>
      <w:r w:rsidRPr="00077CA4">
        <w:rPr>
          <w:i/>
        </w:rPr>
        <w:t xml:space="preserve"> </w:t>
      </w:r>
      <w:proofErr w:type="gramStart"/>
      <w:r w:rsidRPr="00077CA4">
        <w:rPr>
          <w:i/>
        </w:rPr>
        <w:t>of</w:t>
      </w:r>
      <w:proofErr w:type="gramEnd"/>
      <w:r w:rsidRPr="00077CA4">
        <w:rPr>
          <w:i/>
        </w:rPr>
        <w:t xml:space="preserve"> Public Welfare, White Haven Center, </w:t>
      </w:r>
      <w:r w:rsidRPr="00077CA4">
        <w:t xml:space="preserve">480 A.2d 382 (Pa. </w:t>
      </w:r>
      <w:proofErr w:type="spellStart"/>
      <w:r w:rsidRPr="00077CA4">
        <w:t>Cmwlth</w:t>
      </w:r>
      <w:proofErr w:type="spellEnd"/>
      <w:r w:rsidRPr="00077CA4">
        <w:t>. 1984).</w:t>
      </w:r>
    </w:p>
    <w:p w:rsidR="000504B9" w:rsidRPr="00077CA4" w:rsidRDefault="000504B9" w:rsidP="006E1E2D">
      <w:pPr>
        <w:jc w:val="left"/>
      </w:pPr>
    </w:p>
    <w:p w:rsidR="000504B9" w:rsidRPr="00077CA4" w:rsidRDefault="000504B9" w:rsidP="000504B9">
      <w:pPr>
        <w:tabs>
          <w:tab w:val="left" w:pos="-1440"/>
          <w:tab w:val="left" w:pos="-720"/>
        </w:tabs>
        <w:suppressAutoHyphens/>
        <w:ind w:firstLine="1440"/>
        <w:jc w:val="left"/>
        <w:rPr>
          <w:rFonts w:eastAsia="Times New Roman"/>
          <w:spacing w:val="-3"/>
        </w:rPr>
      </w:pPr>
      <w:r w:rsidRPr="00077CA4">
        <w:rPr>
          <w:rFonts w:eastAsia="Times New Roman"/>
          <w:spacing w:val="-3"/>
        </w:rPr>
        <w:t xml:space="preserve">Complainant must initially produce sufficient credible evidence to establish a </w:t>
      </w:r>
      <w:r w:rsidRPr="00077CA4">
        <w:rPr>
          <w:rFonts w:eastAsia="Times New Roman"/>
          <w:i/>
          <w:spacing w:val="-3"/>
        </w:rPr>
        <w:t>prima facie</w:t>
      </w:r>
      <w:r w:rsidRPr="00077CA4">
        <w:rPr>
          <w:rFonts w:eastAsia="Times New Roman"/>
          <w:spacing w:val="-3"/>
        </w:rPr>
        <w:t xml:space="preserve"> case.  </w:t>
      </w:r>
      <w:proofErr w:type="gramStart"/>
      <w:r w:rsidRPr="00077CA4">
        <w:rPr>
          <w:rFonts w:eastAsia="Times New Roman"/>
          <w:i/>
          <w:spacing w:val="-3"/>
        </w:rPr>
        <w:t>Morrissey v. Dep’t of Highways</w:t>
      </w:r>
      <w:r w:rsidRPr="00077CA4">
        <w:rPr>
          <w:rFonts w:eastAsia="Times New Roman"/>
          <w:spacing w:val="-3"/>
        </w:rPr>
        <w:t>, 424 Pa. 87, 225 A.2d 895 (1967).</w:t>
      </w:r>
      <w:proofErr w:type="gramEnd"/>
      <w:r w:rsidRPr="00077CA4">
        <w:rPr>
          <w:rFonts w:eastAsia="Times New Roman"/>
          <w:spacing w:val="-3"/>
        </w:rPr>
        <w:t xml:space="preserve">  If Complainant does so, the burden of going forward with evidence shifts to Respondent to produce credible evidence of at least co-equal weight.  This burden of going forward with evidence may shift back and forth between the parties, but the ultimate burden of persuasion remains with Complainant.  </w:t>
      </w:r>
      <w:proofErr w:type="spellStart"/>
      <w:proofErr w:type="gramStart"/>
      <w:r w:rsidRPr="00077CA4">
        <w:rPr>
          <w:rFonts w:eastAsia="Times New Roman"/>
          <w:i/>
          <w:spacing w:val="-3"/>
        </w:rPr>
        <w:t>Milkie</w:t>
      </w:r>
      <w:proofErr w:type="spellEnd"/>
      <w:r w:rsidRPr="00077CA4">
        <w:rPr>
          <w:rFonts w:eastAsia="Times New Roman"/>
          <w:i/>
          <w:spacing w:val="-3"/>
        </w:rPr>
        <w:t xml:space="preserve"> v. Pa. Pub.</w:t>
      </w:r>
      <w:proofErr w:type="gramEnd"/>
      <w:r w:rsidRPr="00077CA4">
        <w:rPr>
          <w:rFonts w:eastAsia="Times New Roman"/>
          <w:i/>
          <w:spacing w:val="-3"/>
        </w:rPr>
        <w:t xml:space="preserve"> </w:t>
      </w:r>
      <w:proofErr w:type="gramStart"/>
      <w:r w:rsidRPr="00077CA4">
        <w:rPr>
          <w:rFonts w:eastAsia="Times New Roman"/>
          <w:i/>
          <w:spacing w:val="-3"/>
        </w:rPr>
        <w:t xml:space="preserve">Util. </w:t>
      </w:r>
      <w:proofErr w:type="spellStart"/>
      <w:r w:rsidRPr="00077CA4">
        <w:rPr>
          <w:rFonts w:eastAsia="Times New Roman"/>
          <w:i/>
          <w:spacing w:val="-3"/>
        </w:rPr>
        <w:t>Comm’n</w:t>
      </w:r>
      <w:proofErr w:type="spellEnd"/>
      <w:r w:rsidRPr="00077CA4">
        <w:rPr>
          <w:rFonts w:eastAsia="Times New Roman"/>
          <w:spacing w:val="-3"/>
        </w:rPr>
        <w:t>, 768 A.2d 1217 (</w:t>
      </w:r>
      <w:proofErr w:type="spellStart"/>
      <w:r w:rsidRPr="00077CA4">
        <w:rPr>
          <w:rFonts w:eastAsia="Times New Roman"/>
          <w:spacing w:val="-3"/>
        </w:rPr>
        <w:t>Pa.Cmwlth</w:t>
      </w:r>
      <w:proofErr w:type="spellEnd"/>
      <w:r w:rsidRPr="00077CA4">
        <w:rPr>
          <w:rFonts w:eastAsia="Times New Roman"/>
          <w:spacing w:val="-3"/>
        </w:rPr>
        <w:t>. 2001) (</w:t>
      </w:r>
      <w:proofErr w:type="spellStart"/>
      <w:r w:rsidRPr="004A31A0">
        <w:rPr>
          <w:rFonts w:eastAsia="Times New Roman"/>
          <w:i/>
          <w:spacing w:val="-3"/>
        </w:rPr>
        <w:t>Milkie</w:t>
      </w:r>
      <w:proofErr w:type="spellEnd"/>
      <w:r w:rsidRPr="00077CA4">
        <w:rPr>
          <w:rFonts w:eastAsia="Times New Roman"/>
          <w:spacing w:val="-3"/>
        </w:rPr>
        <w:t>).</w:t>
      </w:r>
      <w:proofErr w:type="gramEnd"/>
    </w:p>
    <w:p w:rsidR="000504B9" w:rsidRPr="00077CA4" w:rsidRDefault="000504B9" w:rsidP="006E1E2D">
      <w:pPr>
        <w:jc w:val="left"/>
      </w:pPr>
    </w:p>
    <w:p w:rsidR="006E1E2D" w:rsidRPr="00077CA4" w:rsidRDefault="006E1E2D" w:rsidP="006E1E2D">
      <w:pPr>
        <w:jc w:val="left"/>
      </w:pPr>
      <w:r w:rsidRPr="00077CA4">
        <w:tab/>
      </w:r>
      <w:r w:rsidRPr="00077CA4">
        <w:tab/>
        <w:t xml:space="preserve">The offense must be a violation of the Public Utility Code, the Commission's regulations, or an outstanding order of the Commission.  </w:t>
      </w:r>
      <w:proofErr w:type="gramStart"/>
      <w:r w:rsidRPr="00077CA4">
        <w:t xml:space="preserve">66 </w:t>
      </w:r>
      <w:proofErr w:type="spellStart"/>
      <w:r w:rsidRPr="00077CA4">
        <w:t>Pa.C.S</w:t>
      </w:r>
      <w:proofErr w:type="spellEnd"/>
      <w:r w:rsidRPr="00077CA4">
        <w:t>.</w:t>
      </w:r>
      <w:proofErr w:type="gramEnd"/>
      <w:r w:rsidRPr="00077CA4">
        <w:t xml:space="preserve"> § 701.</w:t>
      </w:r>
    </w:p>
    <w:p w:rsidR="006E1E2D" w:rsidRPr="00077CA4" w:rsidRDefault="006E1E2D" w:rsidP="006E1E2D">
      <w:pPr>
        <w:jc w:val="left"/>
      </w:pPr>
    </w:p>
    <w:p w:rsidR="006E1E2D" w:rsidRPr="00077CA4" w:rsidRDefault="006E1E2D" w:rsidP="006E1E2D">
      <w:pPr>
        <w:ind w:firstLine="1440"/>
        <w:jc w:val="left"/>
      </w:pPr>
      <w:r w:rsidRPr="00077CA4">
        <w:t xml:space="preserve">As the proponent of a Commission order, Complainant has the burden of proof in this case.  </w:t>
      </w:r>
      <w:proofErr w:type="gramStart"/>
      <w:r w:rsidRPr="00077CA4">
        <w:t xml:space="preserve">66 </w:t>
      </w:r>
      <w:proofErr w:type="spellStart"/>
      <w:r w:rsidRPr="00077CA4">
        <w:t>Pa.C.S.A</w:t>
      </w:r>
      <w:proofErr w:type="spellEnd"/>
      <w:r w:rsidRPr="00077CA4">
        <w:t>.</w:t>
      </w:r>
      <w:proofErr w:type="gramEnd"/>
      <w:r w:rsidRPr="00077CA4">
        <w:t xml:space="preserve"> § 332(a).</w:t>
      </w:r>
    </w:p>
    <w:p w:rsidR="006E1E2D" w:rsidRPr="00077CA4" w:rsidRDefault="006E1E2D" w:rsidP="006E1E2D">
      <w:pPr>
        <w:ind w:firstLine="1440"/>
      </w:pPr>
    </w:p>
    <w:p w:rsidR="006E1E2D" w:rsidRPr="00077CA4" w:rsidRDefault="006E1E2D" w:rsidP="006E1E2D">
      <w:pPr>
        <w:tabs>
          <w:tab w:val="left" w:pos="-1440"/>
          <w:tab w:val="left" w:pos="-720"/>
        </w:tabs>
        <w:suppressAutoHyphens/>
        <w:ind w:firstLine="1440"/>
        <w:jc w:val="left"/>
        <w:rPr>
          <w:spacing w:val="-3"/>
        </w:rPr>
      </w:pPr>
      <w:r w:rsidRPr="00077CA4">
        <w:rPr>
          <w:spacing w:val="-3"/>
        </w:rPr>
        <w:t xml:space="preserve">The “burden of proof” is composed of two distinct burdens: the burden of production and the burden of persuasion.  </w:t>
      </w:r>
      <w:r w:rsidRPr="00077CA4">
        <w:rPr>
          <w:i/>
          <w:spacing w:val="-3"/>
        </w:rPr>
        <w:t>Hurley v. Hurley</w:t>
      </w:r>
      <w:r w:rsidRPr="00077CA4">
        <w:rPr>
          <w:spacing w:val="-3"/>
        </w:rPr>
        <w:t xml:space="preserve">, 2000 </w:t>
      </w:r>
      <w:proofErr w:type="spellStart"/>
      <w:r w:rsidRPr="00077CA4">
        <w:rPr>
          <w:spacing w:val="-3"/>
        </w:rPr>
        <w:t>Pa.Super</w:t>
      </w:r>
      <w:proofErr w:type="spellEnd"/>
      <w:r w:rsidRPr="00077CA4">
        <w:rPr>
          <w:spacing w:val="-3"/>
        </w:rPr>
        <w:t xml:space="preserve">. </w:t>
      </w:r>
      <w:proofErr w:type="gramStart"/>
      <w:r w:rsidRPr="00077CA4">
        <w:rPr>
          <w:spacing w:val="-3"/>
        </w:rPr>
        <w:t>178, 754 A.2d 1283 (2000).</w:t>
      </w:r>
      <w:proofErr w:type="gramEnd"/>
    </w:p>
    <w:p w:rsidR="00A07535" w:rsidRPr="00077CA4" w:rsidRDefault="00A07535" w:rsidP="00A07535">
      <w:pPr>
        <w:jc w:val="left"/>
      </w:pPr>
    </w:p>
    <w:p w:rsidR="00C10ED0" w:rsidRPr="00077CA4" w:rsidRDefault="006E1E2D" w:rsidP="00802C2E">
      <w:pPr>
        <w:jc w:val="left"/>
      </w:pPr>
      <w:r w:rsidRPr="00077CA4">
        <w:tab/>
      </w:r>
      <w:r w:rsidRPr="00077CA4">
        <w:tab/>
      </w:r>
      <w:r w:rsidR="00802C2E" w:rsidRPr="00077CA4">
        <w:t xml:space="preserve">The Complainant testified that during the period </w:t>
      </w:r>
      <w:r w:rsidR="00C10ED0" w:rsidRPr="00077CA4">
        <w:t>from</w:t>
      </w:r>
      <w:r w:rsidR="00802C2E" w:rsidRPr="00077CA4">
        <w:t xml:space="preserve"> July, 2004 </w:t>
      </w:r>
      <w:r w:rsidR="00C10ED0" w:rsidRPr="00077CA4">
        <w:t>to</w:t>
      </w:r>
      <w:r w:rsidR="00802C2E" w:rsidRPr="00077CA4">
        <w:t xml:space="preserve"> May, 2012, she resided at 1511 South Newkirk Street, Philadelphia, Pennsylvania.  </w:t>
      </w:r>
      <w:proofErr w:type="gramStart"/>
      <w:r w:rsidR="00802C2E" w:rsidRPr="00077CA4">
        <w:t>Tr. at 16.</w:t>
      </w:r>
      <w:proofErr w:type="gramEnd"/>
      <w:r w:rsidR="00802C2E" w:rsidRPr="00077CA4">
        <w:t xml:space="preserve">  The Complainant testified that she resided at 1733 North Taney Street, Philadelphia, Pennsylvania from May, 2012 until December, 2013.  </w:t>
      </w:r>
      <w:proofErr w:type="gramStart"/>
      <w:r w:rsidR="00802C2E" w:rsidRPr="00077CA4">
        <w:t>Tr. at 17.</w:t>
      </w:r>
      <w:proofErr w:type="gramEnd"/>
      <w:r w:rsidR="00802C2E" w:rsidRPr="00077CA4">
        <w:t xml:space="preserve">  The Complainant testified that during the period of time when she resided at 1733 North Taney Street, Philadelphia, Pennsylvania, her </w:t>
      </w:r>
      <w:r w:rsidR="00802C2E" w:rsidRPr="00077CA4">
        <w:lastRenderedPageBreak/>
        <w:t>father Marvin Pittman also resided there and the PGW account was in his name.  Tr. at 20-22.  The Complainant is mistaken in this as Marvin Pittman was ne</w:t>
      </w:r>
      <w:r w:rsidR="002D1A13">
        <w:t>ver a PGW customer of record at </w:t>
      </w:r>
      <w:r w:rsidR="00802C2E" w:rsidRPr="00077CA4">
        <w:t xml:space="preserve">1733 North Taney Street, Philadelphia, Pennsylvania.  </w:t>
      </w:r>
      <w:proofErr w:type="gramStart"/>
      <w:r w:rsidR="00802C2E" w:rsidRPr="00077CA4">
        <w:t>Tr. at 60.</w:t>
      </w:r>
      <w:proofErr w:type="gramEnd"/>
      <w:r w:rsidR="00802C2E" w:rsidRPr="00077CA4">
        <w:t xml:space="preserve">  However, it is uncontested that the Complainant has never been a customer of rec</w:t>
      </w:r>
      <w:r w:rsidR="00056279">
        <w:t xml:space="preserve">ord with PGW.  </w:t>
      </w:r>
      <w:proofErr w:type="gramStart"/>
      <w:r w:rsidR="00056279">
        <w:t>Tr. at 57, 60.</w:t>
      </w:r>
      <w:proofErr w:type="gramEnd"/>
      <w:r w:rsidR="00056279">
        <w:t xml:space="preserve">  </w:t>
      </w:r>
      <w:r w:rsidR="00802C2E" w:rsidRPr="00077CA4">
        <w:t xml:space="preserve">The PGW account at 2908 North </w:t>
      </w:r>
      <w:proofErr w:type="spellStart"/>
      <w:r w:rsidR="00802C2E" w:rsidRPr="00077CA4">
        <w:t>Bambrey</w:t>
      </w:r>
      <w:proofErr w:type="spellEnd"/>
      <w:r w:rsidR="00802C2E" w:rsidRPr="00077CA4">
        <w:t xml:space="preserve"> Street, Philadelphia Pennsylvania, is in Marvin Pittman’s name, but the Complainant has been paying the gas bill while she has been residing at that address.  </w:t>
      </w:r>
      <w:proofErr w:type="gramStart"/>
      <w:r w:rsidR="00802C2E" w:rsidRPr="00077CA4">
        <w:t>Tr. at 24-25; 32.</w:t>
      </w:r>
      <w:proofErr w:type="gramEnd"/>
      <w:r w:rsidR="00C10ED0" w:rsidRPr="00077CA4">
        <w:t xml:space="preserve"> </w:t>
      </w:r>
      <w:r w:rsidR="00E36696">
        <w:t xml:space="preserve"> </w:t>
      </w:r>
      <w:r w:rsidR="00C10ED0" w:rsidRPr="00077CA4">
        <w:t>Complainant became the owner of the 1733 North Taney Street property on January 17, 2013</w:t>
      </w:r>
      <w:r w:rsidR="00156188" w:rsidRPr="00077CA4">
        <w:t>, but has not lived there since that time</w:t>
      </w:r>
      <w:r w:rsidR="00C10ED0" w:rsidRPr="00077CA4">
        <w:t xml:space="preserve">.  </w:t>
      </w:r>
      <w:proofErr w:type="gramStart"/>
      <w:r w:rsidR="00C10ED0" w:rsidRPr="00077CA4">
        <w:t>PGW Exhibit 1; Tr. at 40.</w:t>
      </w:r>
      <w:proofErr w:type="gramEnd"/>
    </w:p>
    <w:p w:rsidR="00C10ED0" w:rsidRPr="00077CA4" w:rsidRDefault="00C10ED0" w:rsidP="00802C2E">
      <w:pPr>
        <w:jc w:val="left"/>
      </w:pPr>
    </w:p>
    <w:p w:rsidR="00802C2E" w:rsidRPr="00077CA4" w:rsidRDefault="00C10ED0" w:rsidP="00C10ED0">
      <w:pPr>
        <w:jc w:val="left"/>
      </w:pPr>
      <w:r w:rsidRPr="00077CA4">
        <w:tab/>
      </w:r>
      <w:r w:rsidRPr="00077CA4">
        <w:tab/>
        <w:t>The Complainant has been charged by PGW for e</w:t>
      </w:r>
      <w:r w:rsidR="00800E95">
        <w:t>stimated natural gas use at the </w:t>
      </w:r>
      <w:r w:rsidRPr="00077CA4">
        <w:t>1733 North Taney Street address from January 9, 2009 through January 3, 2013, for a total of $5,169.95.  Tr. at 33-34.  Before PGW will establish service for the Complainant at 1733 North Taney Street, the Complainant would have to pay the estimated use bill of $5,169.95, a security deposit of $180.00 and a $123.23 reconnection fee, a t</w:t>
      </w:r>
      <w:r w:rsidR="00BE0FB9">
        <w:t>otal of $5,473.18.  PGW Exhibit </w:t>
      </w:r>
      <w:r w:rsidRPr="00077CA4">
        <w:t>4; Tr. at 34-35, 45-47.</w:t>
      </w:r>
      <w:r w:rsidR="000F0770">
        <w:t xml:space="preserve"> </w:t>
      </w:r>
      <w:r w:rsidR="00156188" w:rsidRPr="00077CA4">
        <w:t xml:space="preserve"> PGW also alleges that the Complainant had knowledge of a gas bypass at the residence and that the Complainant used natural gas that was being stolen via that bypass.  Tr. at 59-61.  PGW also contends that Marvin Pittman is using his daughter as a ploy to have natural gas service established at 1733 North Taney Street.  Tr. at 62-63.</w:t>
      </w:r>
    </w:p>
    <w:p w:rsidR="003513F1" w:rsidRPr="00077CA4" w:rsidRDefault="00802C2E" w:rsidP="00802C2E">
      <w:pPr>
        <w:jc w:val="left"/>
      </w:pPr>
      <w:r w:rsidRPr="00077CA4">
        <w:tab/>
      </w:r>
      <w:r w:rsidRPr="00077CA4">
        <w:tab/>
      </w:r>
    </w:p>
    <w:p w:rsidR="003513F1" w:rsidRPr="00077CA4" w:rsidRDefault="003513F1" w:rsidP="000F18D1">
      <w:pPr>
        <w:jc w:val="left"/>
      </w:pPr>
      <w:r w:rsidRPr="00077CA4">
        <w:tab/>
      </w:r>
      <w:r w:rsidR="000F18D1" w:rsidRPr="00077CA4">
        <w:tab/>
      </w:r>
      <w:r w:rsidR="00C10ED0" w:rsidRPr="00077CA4">
        <w:t xml:space="preserve">I accept as credible the Complainant’s testimony that </w:t>
      </w:r>
      <w:r w:rsidR="000F18D1" w:rsidRPr="00077CA4">
        <w:t xml:space="preserve">she resided at 1733 North Taney Street, Philadelphia, Pennsylvania from May, 2012 until December, 2013.  I also accept as credible the Complainant’s testimony that during that period she </w:t>
      </w:r>
      <w:r w:rsidR="000F18D1" w:rsidRPr="00077CA4">
        <w:rPr>
          <w:i/>
        </w:rPr>
        <w:t xml:space="preserve">believed </w:t>
      </w:r>
      <w:r w:rsidR="000F18D1" w:rsidRPr="00077CA4">
        <w:t xml:space="preserve">that her father, Marvin Pittman, was responsible for utility service at the house, but that the Complainant also believed that heat was being supplied at the residence by kerosene heat.  </w:t>
      </w:r>
      <w:proofErr w:type="gramStart"/>
      <w:r w:rsidR="000F18D1" w:rsidRPr="00077CA4">
        <w:t>Tr. at 17.</w:t>
      </w:r>
      <w:proofErr w:type="gramEnd"/>
      <w:r w:rsidR="000F18D1" w:rsidRPr="00077CA4">
        <w:t xml:space="preserve">  The Complainant’s testimony is internally consistent.  It is clear that the Complainant does move from address to address, but it is plausible that she thought that her father was responsible for utility service at the 1733 North Taney Street address before that property was transferred or sold to her on January 17, 2013.  The fact that she came to PGW to establish natural gas service at the residence after that date persuades me that the Complainant understood that her ownership of the property required that she establish service in her own name with PGW.</w:t>
      </w:r>
      <w:r w:rsidR="00302FCA" w:rsidRPr="00077CA4">
        <w:t xml:space="preserve">  This is not the action of someone trying to evade responsibility for a bill.</w:t>
      </w:r>
    </w:p>
    <w:p w:rsidR="004B3BD9" w:rsidRPr="00077CA4" w:rsidRDefault="004B3BD9" w:rsidP="000F18D1">
      <w:pPr>
        <w:jc w:val="left"/>
      </w:pPr>
    </w:p>
    <w:p w:rsidR="004B3BD9" w:rsidRPr="00077CA4" w:rsidRDefault="004B3BD9" w:rsidP="000F18D1">
      <w:pPr>
        <w:jc w:val="left"/>
      </w:pPr>
      <w:r w:rsidRPr="00077CA4">
        <w:tab/>
      </w:r>
      <w:r w:rsidRPr="00077CA4">
        <w:tab/>
        <w:t xml:space="preserve">Following Complainant's showing in a </w:t>
      </w:r>
      <w:r w:rsidRPr="00077CA4">
        <w:rPr>
          <w:i/>
        </w:rPr>
        <w:t>prima facie</w:t>
      </w:r>
      <w:r w:rsidRPr="00077CA4">
        <w:t xml:space="preserve"> case that she resided elsewhere until May, 2012, PGW must prove that the Complainant did, in fact, reside at the subject premises and did, in fact, use gas from September 20, 2004.</w:t>
      </w:r>
      <w:r w:rsidR="009D1653" w:rsidRPr="00077CA4">
        <w:t xml:space="preserve">  PGW’s theory of the case is that because the Complainant is supposedly “linked” to the property from September</w:t>
      </w:r>
      <w:r w:rsidR="0019120E">
        <w:t>,</w:t>
      </w:r>
      <w:r w:rsidR="009D1653" w:rsidRPr="00077CA4">
        <w:t xml:space="preserve"> 2004 to </w:t>
      </w:r>
      <w:r w:rsidR="008509FF" w:rsidRPr="00077CA4">
        <w:t>January, 2013</w:t>
      </w:r>
      <w:r w:rsidR="009D1653" w:rsidRPr="00077CA4">
        <w:t xml:space="preserve"> through the </w:t>
      </w:r>
      <w:proofErr w:type="spellStart"/>
      <w:r w:rsidR="009D1653" w:rsidRPr="00077CA4">
        <w:t>Accurint</w:t>
      </w:r>
      <w:proofErr w:type="spellEnd"/>
      <w:r w:rsidR="009D1653" w:rsidRPr="00077CA4">
        <w:t xml:space="preserve"> credit check, PGW</w:t>
      </w:r>
      <w:r w:rsidR="008509FF" w:rsidRPr="00077CA4">
        <w:t xml:space="preserve"> may</w:t>
      </w:r>
      <w:r w:rsidR="009D1653" w:rsidRPr="00077CA4">
        <w:t xml:space="preserve"> hold the Complainant responsible for all charges during that time.  </w:t>
      </w:r>
      <w:proofErr w:type="gramStart"/>
      <w:r w:rsidR="009D1653" w:rsidRPr="00077CA4">
        <w:t>Tr. at 46.</w:t>
      </w:r>
      <w:proofErr w:type="gramEnd"/>
      <w:r w:rsidR="009D1653" w:rsidRPr="00077CA4">
        <w:t xml:space="preserve">  PGW also argues that PGW Exhibit </w:t>
      </w:r>
      <w:proofErr w:type="gramStart"/>
      <w:r w:rsidR="009D1653" w:rsidRPr="00077CA4">
        <w:t>2,</w:t>
      </w:r>
      <w:proofErr w:type="gramEnd"/>
      <w:r w:rsidR="009D1653" w:rsidRPr="00077CA4">
        <w:t xml:space="preserve"> establishes that because the Complainant listed 1733 North Taney Street on her driver’s license in July, 2012, she is responsible for meter tampering at the residence and theft of gas.  There was no </w:t>
      </w:r>
      <w:r w:rsidR="008509FF" w:rsidRPr="00077CA4">
        <w:t xml:space="preserve">evidence presented </w:t>
      </w:r>
      <w:r w:rsidR="009D1653" w:rsidRPr="00077CA4">
        <w:t xml:space="preserve">at </w:t>
      </w:r>
      <w:r w:rsidR="008509FF" w:rsidRPr="00077CA4">
        <w:t xml:space="preserve">the hearing </w:t>
      </w:r>
      <w:r w:rsidR="00D2557B" w:rsidRPr="00077CA4">
        <w:t>that would demonstrate that this is a valid assertion</w:t>
      </w:r>
      <w:r w:rsidR="009D1653" w:rsidRPr="00077CA4">
        <w:t xml:space="preserve">.  PGW produced no evidence demonstrating that the Complainant was aware of meter tampering, that the Complainant knew of any gas being stolen at any time, or that the Complainant has any responsibility for </w:t>
      </w:r>
      <w:r w:rsidR="0022319A" w:rsidRPr="00077CA4">
        <w:t xml:space="preserve">those events.  The only fact that PGW Exhibit 2 proves is that the Complainant provided the 1733 North Taney Street address </w:t>
      </w:r>
      <w:r w:rsidR="00D2557B" w:rsidRPr="00077CA4">
        <w:t xml:space="preserve">when she applied </w:t>
      </w:r>
      <w:r w:rsidR="0022319A" w:rsidRPr="00077CA4">
        <w:t>for her driver’s license in 2012</w:t>
      </w:r>
      <w:r w:rsidR="000504B9" w:rsidRPr="00077CA4">
        <w:t>, a period of time that the Complainant agrees she lived at that address</w:t>
      </w:r>
      <w:r w:rsidR="0022319A" w:rsidRPr="00077CA4">
        <w:t>.</w:t>
      </w:r>
    </w:p>
    <w:p w:rsidR="00C10ED0" w:rsidRPr="00077CA4" w:rsidRDefault="00C10ED0" w:rsidP="00DD247D">
      <w:pPr>
        <w:ind w:left="720"/>
        <w:jc w:val="left"/>
      </w:pPr>
    </w:p>
    <w:p w:rsidR="00302FCA" w:rsidRPr="00077CA4" w:rsidRDefault="000F18D1" w:rsidP="00302FCA">
      <w:pPr>
        <w:jc w:val="left"/>
      </w:pPr>
      <w:r w:rsidRPr="00077CA4">
        <w:tab/>
      </w:r>
      <w:r w:rsidR="00302FCA" w:rsidRPr="00077CA4">
        <w:tab/>
      </w:r>
      <w:r w:rsidR="00E50933" w:rsidRPr="00077CA4">
        <w:t xml:space="preserve">PGW </w:t>
      </w:r>
      <w:r w:rsidR="00302FCA" w:rsidRPr="00077CA4">
        <w:t xml:space="preserve">has not </w:t>
      </w:r>
      <w:r w:rsidR="00E50933" w:rsidRPr="00077CA4">
        <w:t>rebut</w:t>
      </w:r>
      <w:r w:rsidR="00302FCA" w:rsidRPr="00077CA4">
        <w:t>ted</w:t>
      </w:r>
      <w:r w:rsidR="00E50933" w:rsidRPr="00077CA4">
        <w:t xml:space="preserve"> the evidence presented by </w:t>
      </w:r>
      <w:r w:rsidR="00302FCA" w:rsidRPr="00077CA4">
        <w:t xml:space="preserve">the </w:t>
      </w:r>
      <w:r w:rsidR="00E50933" w:rsidRPr="00077CA4">
        <w:t>Complainant.</w:t>
      </w:r>
      <w:r w:rsidR="00302FCA" w:rsidRPr="00077CA4">
        <w:t xml:space="preserve">  PGW did not establish that the Complainant has a reputation for untruthfulness or that she was lying at the hearing on May 28, 2014.  PGW’s case attempting to link the Complainant with 1733 North Taney Street, Philadelphia, Pennsylvania, is based on </w:t>
      </w:r>
      <w:r w:rsidR="00156188" w:rsidRPr="00077CA4">
        <w:t xml:space="preserve">conjecture in the form of an </w:t>
      </w:r>
      <w:proofErr w:type="spellStart"/>
      <w:r w:rsidR="00302FCA" w:rsidRPr="00077CA4">
        <w:t>Accurint</w:t>
      </w:r>
      <w:proofErr w:type="spellEnd"/>
      <w:r w:rsidR="00302FCA" w:rsidRPr="00077CA4">
        <w:t xml:space="preserve"> document, PGW Exhibit 3, which purports to “link” the Complainant to the property at 1733 North Taney Street from September 20, 2004 through February, 2014, but no competent sponsoring witness explained how PGW Exhibit 3 was compiled, by whom, or how that exhibit constituted proof of the assertion</w:t>
      </w:r>
      <w:r w:rsidR="00D2557B" w:rsidRPr="00077CA4">
        <w:t>s</w:t>
      </w:r>
      <w:r w:rsidR="00302FCA" w:rsidRPr="00077CA4">
        <w:t xml:space="preserve"> contained therein.  </w:t>
      </w:r>
      <w:r w:rsidR="004B3BD9" w:rsidRPr="00077CA4">
        <w:t xml:space="preserve">The </w:t>
      </w:r>
      <w:proofErr w:type="spellStart"/>
      <w:r w:rsidR="004B3BD9" w:rsidRPr="00077CA4">
        <w:t>Accurint</w:t>
      </w:r>
      <w:proofErr w:type="spellEnd"/>
      <w:r w:rsidR="004B3BD9" w:rsidRPr="00077CA4">
        <w:t xml:space="preserve"> </w:t>
      </w:r>
      <w:r w:rsidR="00D2557B" w:rsidRPr="00077CA4">
        <w:t>document</w:t>
      </w:r>
      <w:r w:rsidR="004B3BD9" w:rsidRPr="00077CA4">
        <w:t xml:space="preserve"> does not identify the source of its information.  While it may provide a starting point for a utility to begin to search for someone to bill for unbilled usage, it does not provide any admissible evidence to support a finding that anyone listed should be conclusively held to be responsible.  </w:t>
      </w:r>
      <w:r w:rsidR="00302FCA" w:rsidRPr="00077CA4">
        <w:t xml:space="preserve">While the document “is what it is,” </w:t>
      </w:r>
      <w:r w:rsidR="00302FCA" w:rsidRPr="00077CA4">
        <w:rPr>
          <w:i/>
        </w:rPr>
        <w:t>i.e.</w:t>
      </w:r>
      <w:r w:rsidR="00302FCA" w:rsidRPr="00077CA4">
        <w:t xml:space="preserve"> an internet search document, it is of no probative value whatsoever.  </w:t>
      </w:r>
      <w:r w:rsidR="004B3BD9" w:rsidRPr="00077CA4">
        <w:t xml:space="preserve">Because </w:t>
      </w:r>
      <w:r w:rsidR="00302FCA" w:rsidRPr="00077CA4">
        <w:t xml:space="preserve">PGW’s calculations of money owed by the Complainant are based on the unsupported assertion that the Complainant lived at 1733 North Taney Street from September 20, 2004 through February, 2014, </w:t>
      </w:r>
      <w:r w:rsidR="004B3BD9" w:rsidRPr="00077CA4">
        <w:t>th</w:t>
      </w:r>
      <w:r w:rsidR="00156188" w:rsidRPr="00077CA4">
        <w:t>os</w:t>
      </w:r>
      <w:r w:rsidR="004B3BD9" w:rsidRPr="00077CA4">
        <w:t>e</w:t>
      </w:r>
      <w:r w:rsidR="00156188" w:rsidRPr="00077CA4">
        <w:t xml:space="preserve"> calculations </w:t>
      </w:r>
      <w:r w:rsidR="00302FCA" w:rsidRPr="00077CA4">
        <w:t xml:space="preserve">are </w:t>
      </w:r>
      <w:r w:rsidR="004B3BD9" w:rsidRPr="00077CA4">
        <w:t>also</w:t>
      </w:r>
      <w:r w:rsidR="00302FCA" w:rsidRPr="00077CA4">
        <w:t xml:space="preserve"> </w:t>
      </w:r>
      <w:r w:rsidR="00156188" w:rsidRPr="00077CA4">
        <w:t>baseless</w:t>
      </w:r>
      <w:r w:rsidR="00302FCA" w:rsidRPr="00077CA4">
        <w:t>.</w:t>
      </w:r>
    </w:p>
    <w:p w:rsidR="00302FCA" w:rsidRPr="00077CA4" w:rsidRDefault="00302FCA" w:rsidP="00302FCA">
      <w:pPr>
        <w:jc w:val="left"/>
      </w:pPr>
    </w:p>
    <w:p w:rsidR="00086E72" w:rsidRPr="00077CA4" w:rsidRDefault="00302FCA" w:rsidP="00302FCA">
      <w:pPr>
        <w:jc w:val="left"/>
      </w:pPr>
      <w:r w:rsidRPr="00077CA4">
        <w:tab/>
      </w:r>
      <w:r w:rsidRPr="00077CA4">
        <w:tab/>
        <w:t xml:space="preserve">PGW did not establish that the Complainant has </w:t>
      </w:r>
      <w:r w:rsidR="00156188" w:rsidRPr="00077CA4">
        <w:t xml:space="preserve">stolen services of has </w:t>
      </w:r>
      <w:r w:rsidRPr="00077CA4">
        <w:t>defaulted on a bill or on a prior payment arrangement</w:t>
      </w:r>
      <w:r w:rsidR="004B3BD9" w:rsidRPr="00077CA4">
        <w:t>, so PGW’s claim that the Complainant owes an estimated use bill of $5,169.95, a security deposit of $180.00 and a $123.23 reconnection fee is without merit.</w:t>
      </w:r>
    </w:p>
    <w:p w:rsidR="00E50933" w:rsidRPr="00077CA4" w:rsidRDefault="00E50933" w:rsidP="00A07535">
      <w:pPr>
        <w:jc w:val="left"/>
      </w:pPr>
    </w:p>
    <w:p w:rsidR="008065C0" w:rsidRPr="00077CA4" w:rsidRDefault="00E50933" w:rsidP="00724A38">
      <w:pPr>
        <w:jc w:val="left"/>
      </w:pPr>
      <w:r w:rsidRPr="00077CA4">
        <w:tab/>
      </w:r>
      <w:r w:rsidRPr="00077CA4">
        <w:tab/>
      </w:r>
      <w:r w:rsidR="004B3BD9" w:rsidRPr="00077CA4">
        <w:t>With regard to PGW’s</w:t>
      </w:r>
      <w:r w:rsidR="00E92122" w:rsidRPr="00077CA4">
        <w:t xml:space="preserve"> ability to hold an applicant responsible for gas usage prior to the time of application, </w:t>
      </w:r>
      <w:r w:rsidR="008065C0" w:rsidRPr="00077CA4">
        <w:t>the PGW Tariff states</w:t>
      </w:r>
      <w:r w:rsidR="00E92122" w:rsidRPr="00077CA4">
        <w:t>:</w:t>
      </w:r>
    </w:p>
    <w:p w:rsidR="008065C0" w:rsidRPr="00077CA4" w:rsidRDefault="008065C0" w:rsidP="00724A38">
      <w:pPr>
        <w:jc w:val="left"/>
      </w:pPr>
    </w:p>
    <w:p w:rsidR="008065C0" w:rsidRPr="00077CA4" w:rsidRDefault="008065C0" w:rsidP="00C47442">
      <w:pPr>
        <w:spacing w:line="240" w:lineRule="auto"/>
        <w:ind w:left="1440" w:right="1440"/>
        <w:jc w:val="left"/>
      </w:pPr>
      <w:r w:rsidRPr="00077CA4">
        <w:t>. . . .   When the Applicant is a person who resided at the same premises for which application for service is requested, the Company may require payment of the portion of the outstanding balances which accrued during the time that the Applicant resided at those premises.  The Company may establish that an Applicant previously resided at those premises through the use of any of the following:</w:t>
      </w:r>
    </w:p>
    <w:p w:rsidR="0022319A" w:rsidRPr="00077CA4" w:rsidRDefault="0022319A" w:rsidP="00C47442">
      <w:pPr>
        <w:spacing w:line="240" w:lineRule="auto"/>
        <w:ind w:left="1440" w:right="1440"/>
        <w:jc w:val="left"/>
      </w:pPr>
    </w:p>
    <w:p w:rsidR="008065C0" w:rsidRPr="00077CA4" w:rsidRDefault="008065C0" w:rsidP="00C47442">
      <w:pPr>
        <w:spacing w:line="240" w:lineRule="auto"/>
        <w:ind w:left="1440" w:right="1440"/>
        <w:jc w:val="left"/>
      </w:pPr>
      <w:r w:rsidRPr="00077CA4">
        <w:tab/>
        <w:t>(</w:t>
      </w:r>
      <w:proofErr w:type="spellStart"/>
      <w:r w:rsidRPr="00077CA4">
        <w:t>i</w:t>
      </w:r>
      <w:proofErr w:type="spellEnd"/>
      <w:r w:rsidRPr="00077CA4">
        <w:t>)</w:t>
      </w:r>
      <w:r w:rsidRPr="00077CA4">
        <w:tab/>
      </w:r>
      <w:proofErr w:type="gramStart"/>
      <w:r w:rsidRPr="00077CA4">
        <w:t>mortgage</w:t>
      </w:r>
      <w:proofErr w:type="gramEnd"/>
      <w:r w:rsidRPr="00077CA4">
        <w:t>, deed or lease information</w:t>
      </w:r>
    </w:p>
    <w:p w:rsidR="00242D11" w:rsidRPr="00077CA4" w:rsidRDefault="00242D11" w:rsidP="00C47442">
      <w:pPr>
        <w:spacing w:line="240" w:lineRule="auto"/>
        <w:ind w:left="1440" w:right="1440"/>
        <w:jc w:val="left"/>
      </w:pPr>
    </w:p>
    <w:p w:rsidR="008065C0" w:rsidRPr="00077CA4" w:rsidRDefault="008065C0" w:rsidP="00C47442">
      <w:pPr>
        <w:spacing w:line="240" w:lineRule="auto"/>
        <w:ind w:left="1440" w:right="1440"/>
        <w:jc w:val="left"/>
      </w:pPr>
      <w:r w:rsidRPr="00077CA4">
        <w:tab/>
        <w:t>(ii)</w:t>
      </w:r>
      <w:r w:rsidRPr="00077CA4">
        <w:tab/>
      </w:r>
      <w:proofErr w:type="gramStart"/>
      <w:r w:rsidRPr="00077CA4">
        <w:t>a</w:t>
      </w:r>
      <w:proofErr w:type="gramEnd"/>
      <w:r w:rsidRPr="00077CA4">
        <w:t xml:space="preserve"> commercially available consumer credit reporting service</w:t>
      </w:r>
    </w:p>
    <w:p w:rsidR="00C47442" w:rsidRPr="00077CA4" w:rsidRDefault="008065C0" w:rsidP="00C47442">
      <w:pPr>
        <w:spacing w:line="240" w:lineRule="auto"/>
        <w:ind w:left="1440" w:right="1440"/>
        <w:jc w:val="left"/>
      </w:pPr>
      <w:r w:rsidRPr="00077CA4">
        <w:tab/>
        <w:t xml:space="preserve">(iii) </w:t>
      </w:r>
      <w:r w:rsidR="00C47442" w:rsidRPr="00077CA4">
        <w:tab/>
      </w:r>
      <w:proofErr w:type="gramStart"/>
      <w:r w:rsidRPr="00077CA4">
        <w:t>a</w:t>
      </w:r>
      <w:proofErr w:type="gramEnd"/>
      <w:r w:rsidRPr="00077CA4">
        <w:t xml:space="preserve"> driver's l</w:t>
      </w:r>
      <w:r w:rsidR="00C47442" w:rsidRPr="00077CA4">
        <w:t>icense or Pennsylvania Department of Transportation issued identification Card. . . .</w:t>
      </w:r>
    </w:p>
    <w:p w:rsidR="004B3BD9" w:rsidRPr="00077CA4" w:rsidRDefault="004B3BD9" w:rsidP="00C47442">
      <w:pPr>
        <w:spacing w:line="240" w:lineRule="auto"/>
        <w:ind w:left="1440" w:right="1440"/>
        <w:jc w:val="left"/>
      </w:pPr>
    </w:p>
    <w:p w:rsidR="00C47442" w:rsidRPr="00077CA4" w:rsidRDefault="00C47442" w:rsidP="00724A38">
      <w:pPr>
        <w:jc w:val="left"/>
      </w:pPr>
      <w:proofErr w:type="gramStart"/>
      <w:r w:rsidRPr="00077CA4">
        <w:t>Supplement No. 57, Gas Service Tariff Sixth Revised Page No. 17.</w:t>
      </w:r>
      <w:proofErr w:type="gramEnd"/>
      <w:r w:rsidRPr="00077CA4">
        <w:t xml:space="preserve">  </w:t>
      </w:r>
      <w:proofErr w:type="gramStart"/>
      <w:r w:rsidRPr="00077CA4">
        <w:t>Section 2.1A.</w:t>
      </w:r>
      <w:proofErr w:type="gramEnd"/>
      <w:r w:rsidRPr="00077CA4">
        <w:t xml:space="preserve">  </w:t>
      </w:r>
      <w:proofErr w:type="gramStart"/>
      <w:r w:rsidRPr="00077CA4">
        <w:t>How to Apply.</w:t>
      </w:r>
      <w:proofErr w:type="gramEnd"/>
    </w:p>
    <w:p w:rsidR="004B3BD9" w:rsidRPr="00077CA4" w:rsidRDefault="00C47442" w:rsidP="00C47442">
      <w:pPr>
        <w:jc w:val="left"/>
      </w:pPr>
      <w:r w:rsidRPr="00077CA4">
        <w:tab/>
      </w:r>
    </w:p>
    <w:p w:rsidR="00C47442" w:rsidRPr="00077CA4" w:rsidRDefault="00C47442" w:rsidP="00C47442">
      <w:pPr>
        <w:jc w:val="left"/>
      </w:pPr>
      <w:r w:rsidRPr="00077CA4">
        <w:tab/>
      </w:r>
      <w:r w:rsidRPr="00077CA4">
        <w:tab/>
      </w:r>
      <w:proofErr w:type="spellStart"/>
      <w:r w:rsidRPr="00077CA4">
        <w:t>Accurint</w:t>
      </w:r>
      <w:proofErr w:type="spellEnd"/>
      <w:r w:rsidRPr="00077CA4">
        <w:t xml:space="preserve"> is not listed as an acceptable means to determine whether an applicant previously </w:t>
      </w:r>
      <w:proofErr w:type="gramStart"/>
      <w:r w:rsidRPr="00077CA4">
        <w:t>resided</w:t>
      </w:r>
      <w:proofErr w:type="gramEnd"/>
      <w:r w:rsidRPr="00077CA4">
        <w:t xml:space="preserve"> at the subject premises</w:t>
      </w:r>
      <w:r w:rsidR="00E92122" w:rsidRPr="00077CA4">
        <w:t>, nor should it be</w:t>
      </w:r>
      <w:r w:rsidR="00336857">
        <w:t xml:space="preserve">.  The </w:t>
      </w:r>
      <w:proofErr w:type="spellStart"/>
      <w:r w:rsidR="00336857">
        <w:t>Accurint</w:t>
      </w:r>
      <w:proofErr w:type="spellEnd"/>
      <w:r w:rsidR="00336857">
        <w:t xml:space="preserve"> </w:t>
      </w:r>
      <w:r w:rsidRPr="00077CA4">
        <w:t xml:space="preserve">report is hearsay and does not </w:t>
      </w:r>
      <w:r w:rsidR="00D2557B" w:rsidRPr="00077CA4">
        <w:t xml:space="preserve">even </w:t>
      </w:r>
      <w:r w:rsidRPr="00077CA4">
        <w:t>fall into any exception to the hearsay rule.</w:t>
      </w:r>
    </w:p>
    <w:p w:rsidR="00C47442" w:rsidRPr="00077CA4" w:rsidRDefault="00C47442" w:rsidP="00724A38">
      <w:pPr>
        <w:jc w:val="left"/>
      </w:pPr>
    </w:p>
    <w:p w:rsidR="00271BEA" w:rsidRPr="00077CA4" w:rsidRDefault="00724A38" w:rsidP="00A07535">
      <w:pPr>
        <w:jc w:val="left"/>
      </w:pPr>
      <w:r w:rsidRPr="00077CA4">
        <w:tab/>
      </w:r>
      <w:r w:rsidRPr="00077CA4">
        <w:tab/>
        <w:t xml:space="preserve">PGW </w:t>
      </w:r>
      <w:r w:rsidR="00A07535" w:rsidRPr="00077CA4">
        <w:t xml:space="preserve">provided its </w:t>
      </w:r>
      <w:r w:rsidR="00243795" w:rsidRPr="00077CA4">
        <w:t>customer contact record</w:t>
      </w:r>
      <w:r w:rsidR="002C3B3F" w:rsidRPr="00077CA4">
        <w:t>, PGW Exhibit 2,</w:t>
      </w:r>
      <w:r w:rsidR="00243795" w:rsidRPr="00077CA4">
        <w:t xml:space="preserve"> for the time period </w:t>
      </w:r>
      <w:r w:rsidR="002C3B3F" w:rsidRPr="00077CA4">
        <w:t xml:space="preserve">from March 29, 2006 to March 28, 2014.  However, the first reference to a contact with the Complainant does not occur until August 1, 2013.  </w:t>
      </w:r>
      <w:r w:rsidR="00243795" w:rsidRPr="00077CA4">
        <w:t xml:space="preserve">PGW Exhibit </w:t>
      </w:r>
      <w:r w:rsidR="002C3B3F" w:rsidRPr="00077CA4">
        <w:t>2</w:t>
      </w:r>
      <w:r w:rsidR="00243795" w:rsidRPr="00077CA4">
        <w:t xml:space="preserve"> </w:t>
      </w:r>
      <w:r w:rsidR="002C3B3F" w:rsidRPr="00077CA4">
        <w:t>i</w:t>
      </w:r>
      <w:r w:rsidR="00243795" w:rsidRPr="00077CA4">
        <w:t>s a business record</w:t>
      </w:r>
      <w:r w:rsidR="00DD2429" w:rsidRPr="00077CA4">
        <w:t xml:space="preserve">, which is </w:t>
      </w:r>
      <w:r w:rsidR="00204E47" w:rsidRPr="00077CA4">
        <w:t xml:space="preserve">normally </w:t>
      </w:r>
      <w:r w:rsidR="00DD2429" w:rsidRPr="00077CA4">
        <w:t>an accepted exception to the hearsay rule.</w:t>
      </w:r>
    </w:p>
    <w:p w:rsidR="000504B9" w:rsidRPr="00077CA4" w:rsidRDefault="000504B9" w:rsidP="00A07535">
      <w:pPr>
        <w:jc w:val="left"/>
      </w:pPr>
    </w:p>
    <w:p w:rsidR="00271BEA" w:rsidRPr="00077CA4" w:rsidRDefault="00271BEA" w:rsidP="00E268BB">
      <w:pPr>
        <w:spacing w:line="240" w:lineRule="auto"/>
        <w:ind w:left="1440" w:right="1440"/>
        <w:jc w:val="left"/>
        <w:rPr>
          <w:b/>
        </w:rPr>
      </w:pPr>
      <w:proofErr w:type="gramStart"/>
      <w:r w:rsidRPr="00077CA4">
        <w:rPr>
          <w:b/>
        </w:rPr>
        <w:lastRenderedPageBreak/>
        <w:t>Rule 902.</w:t>
      </w:r>
      <w:proofErr w:type="gramEnd"/>
      <w:r w:rsidRPr="00077CA4">
        <w:rPr>
          <w:b/>
        </w:rPr>
        <w:t xml:space="preserve">  Self-authentication</w:t>
      </w:r>
    </w:p>
    <w:p w:rsidR="0022319A" w:rsidRPr="00077CA4" w:rsidRDefault="0022319A" w:rsidP="00E268BB">
      <w:pPr>
        <w:spacing w:line="240" w:lineRule="auto"/>
        <w:ind w:left="1440" w:right="1440"/>
        <w:jc w:val="left"/>
        <w:rPr>
          <w:b/>
        </w:rPr>
      </w:pPr>
    </w:p>
    <w:p w:rsidR="00271BEA" w:rsidRPr="00077CA4" w:rsidRDefault="00271BEA" w:rsidP="00E268BB">
      <w:pPr>
        <w:spacing w:line="240" w:lineRule="auto"/>
        <w:ind w:left="1440" w:right="1440"/>
        <w:jc w:val="left"/>
      </w:pPr>
      <w:r w:rsidRPr="00077CA4">
        <w:tab/>
        <w:t>Extrinsic evidence of authenticity as a condition precedent to admissibility is not required with respect to the following:</w:t>
      </w:r>
    </w:p>
    <w:p w:rsidR="002C3B3F" w:rsidRPr="00077CA4" w:rsidRDefault="002C3B3F" w:rsidP="00E268BB">
      <w:pPr>
        <w:spacing w:line="240" w:lineRule="auto"/>
        <w:ind w:left="1440" w:right="1440"/>
        <w:jc w:val="left"/>
      </w:pPr>
    </w:p>
    <w:p w:rsidR="00271BEA" w:rsidRPr="00077CA4" w:rsidRDefault="00271BEA" w:rsidP="00E268BB">
      <w:pPr>
        <w:spacing w:line="240" w:lineRule="auto"/>
        <w:ind w:left="1440" w:right="1440"/>
      </w:pPr>
      <w:r w:rsidRPr="00077CA4">
        <w:t>* * *</w:t>
      </w:r>
    </w:p>
    <w:p w:rsidR="002C3B3F" w:rsidRPr="00077CA4" w:rsidRDefault="002C3B3F" w:rsidP="00E268BB">
      <w:pPr>
        <w:spacing w:line="240" w:lineRule="auto"/>
        <w:ind w:left="1440" w:right="1440"/>
      </w:pPr>
    </w:p>
    <w:p w:rsidR="00271BEA" w:rsidRPr="00077CA4" w:rsidRDefault="00271BEA" w:rsidP="00E268BB">
      <w:pPr>
        <w:spacing w:line="240" w:lineRule="auto"/>
        <w:ind w:left="1440" w:right="1440"/>
        <w:jc w:val="left"/>
      </w:pPr>
      <w:r w:rsidRPr="00077CA4">
        <w:tab/>
      </w:r>
      <w:r w:rsidR="0095232F">
        <w:rPr>
          <w:b/>
        </w:rPr>
        <w:t xml:space="preserve">(11) </w:t>
      </w:r>
      <w:r w:rsidRPr="00077CA4">
        <w:rPr>
          <w:b/>
        </w:rPr>
        <w:t xml:space="preserve">Certified domestic records of regularly conducted activity.  </w:t>
      </w:r>
      <w:r w:rsidRPr="00077CA4">
        <w:t>The original or a duplicate of a domestic record of regularly conducted activity that</w:t>
      </w:r>
      <w:r w:rsidR="001D087E" w:rsidRPr="00077CA4">
        <w:t xml:space="preserve"> would be admissible under Rule </w:t>
      </w:r>
      <w:r w:rsidRPr="00077CA4">
        <w:t xml:space="preserve">803(6) if accompanied by a written declaration of its custodian or other qualified person, verified as provided in </w:t>
      </w:r>
      <w:proofErr w:type="spellStart"/>
      <w:r w:rsidRPr="00077CA4">
        <w:t>Pa.R.C.P</w:t>
      </w:r>
      <w:proofErr w:type="spellEnd"/>
      <w:r w:rsidRPr="00077CA4">
        <w:t xml:space="preserve">. 76, certifying that the records – </w:t>
      </w:r>
    </w:p>
    <w:p w:rsidR="0022319A" w:rsidRPr="00077CA4" w:rsidRDefault="0022319A" w:rsidP="00E268BB">
      <w:pPr>
        <w:spacing w:line="240" w:lineRule="auto"/>
        <w:ind w:left="1440" w:right="1440"/>
        <w:jc w:val="left"/>
      </w:pPr>
    </w:p>
    <w:p w:rsidR="00271BEA" w:rsidRPr="00077CA4" w:rsidRDefault="00271BEA" w:rsidP="00E268BB">
      <w:pPr>
        <w:spacing w:line="240" w:lineRule="auto"/>
        <w:ind w:left="1440" w:right="1440"/>
        <w:jc w:val="left"/>
      </w:pPr>
      <w:r w:rsidRPr="00077CA4">
        <w:tab/>
        <w:t>(A)</w:t>
      </w:r>
      <w:r w:rsidRPr="00077CA4">
        <w:tab/>
      </w:r>
      <w:proofErr w:type="gramStart"/>
      <w:r w:rsidRPr="00077CA4">
        <w:t>was</w:t>
      </w:r>
      <w:proofErr w:type="gramEnd"/>
      <w:r w:rsidRPr="00077CA4">
        <w:t xml:space="preserve"> made at or near the time of the occurrence of the matters set forth by, or from information transmitted by, a person with knowledge of those matters:</w:t>
      </w:r>
    </w:p>
    <w:p w:rsidR="00271BEA" w:rsidRPr="00077CA4" w:rsidRDefault="00271BEA" w:rsidP="00E268BB">
      <w:pPr>
        <w:spacing w:line="240" w:lineRule="auto"/>
        <w:ind w:left="1440" w:right="1440"/>
        <w:jc w:val="left"/>
      </w:pPr>
      <w:r w:rsidRPr="00077CA4">
        <w:tab/>
        <w:t>(B)</w:t>
      </w:r>
      <w:r w:rsidRPr="00077CA4">
        <w:tab/>
      </w:r>
      <w:proofErr w:type="gramStart"/>
      <w:r w:rsidRPr="00077CA4">
        <w:t>was</w:t>
      </w:r>
      <w:proofErr w:type="gramEnd"/>
      <w:r w:rsidRPr="00077CA4">
        <w:t xml:space="preserve"> kept in the course of the regularly conducted activity; and</w:t>
      </w:r>
    </w:p>
    <w:p w:rsidR="00271BEA" w:rsidRPr="00077CA4" w:rsidRDefault="00271BEA" w:rsidP="00E268BB">
      <w:pPr>
        <w:spacing w:line="240" w:lineRule="auto"/>
        <w:ind w:left="1440" w:right="1440"/>
        <w:jc w:val="left"/>
      </w:pPr>
      <w:r w:rsidRPr="00077CA4">
        <w:tab/>
        <w:t>(C)</w:t>
      </w:r>
      <w:r w:rsidRPr="00077CA4">
        <w:tab/>
      </w:r>
      <w:proofErr w:type="gramStart"/>
      <w:r w:rsidRPr="00077CA4">
        <w:t>was</w:t>
      </w:r>
      <w:proofErr w:type="gramEnd"/>
      <w:r w:rsidRPr="00077CA4">
        <w:t xml:space="preserve"> made by the regularly conducted activity as a regular practice.</w:t>
      </w:r>
    </w:p>
    <w:p w:rsidR="002C3B3F" w:rsidRPr="00077CA4" w:rsidRDefault="002C3B3F" w:rsidP="00E268BB">
      <w:pPr>
        <w:spacing w:line="240" w:lineRule="auto"/>
        <w:ind w:left="1440" w:right="1440"/>
        <w:jc w:val="left"/>
      </w:pPr>
    </w:p>
    <w:p w:rsidR="00435EA8" w:rsidRPr="00077CA4" w:rsidRDefault="00435EA8" w:rsidP="00E268BB">
      <w:pPr>
        <w:spacing w:line="240" w:lineRule="auto"/>
        <w:ind w:left="1440" w:right="1440"/>
      </w:pPr>
      <w:r w:rsidRPr="00077CA4">
        <w:t>* * *</w:t>
      </w:r>
    </w:p>
    <w:p w:rsidR="002C3B3F" w:rsidRPr="00077CA4" w:rsidRDefault="002C3B3F" w:rsidP="00E268BB">
      <w:pPr>
        <w:spacing w:line="240" w:lineRule="auto"/>
        <w:ind w:left="1440" w:right="1440"/>
      </w:pPr>
    </w:p>
    <w:p w:rsidR="00435EA8" w:rsidRPr="00077CA4" w:rsidRDefault="00435EA8" w:rsidP="00E268BB">
      <w:pPr>
        <w:spacing w:line="240" w:lineRule="auto"/>
        <w:ind w:left="1440" w:right="1440"/>
        <w:jc w:val="left"/>
      </w:pPr>
      <w:proofErr w:type="spellStart"/>
      <w:r w:rsidRPr="00077CA4">
        <w:t>Pa.R.C.P</w:t>
      </w:r>
      <w:proofErr w:type="spellEnd"/>
      <w:r w:rsidRPr="00077CA4">
        <w:t>. 902(11</w:t>
      </w:r>
      <w:proofErr w:type="gramStart"/>
      <w:r w:rsidRPr="00077CA4">
        <w:t>)(</w:t>
      </w:r>
      <w:proofErr w:type="gramEnd"/>
      <w:r w:rsidRPr="00077CA4">
        <w:t>in pertinent part)</w:t>
      </w:r>
    </w:p>
    <w:p w:rsidR="00435EA8" w:rsidRPr="00077CA4" w:rsidRDefault="00435EA8" w:rsidP="00425C68">
      <w:pPr>
        <w:spacing w:line="240" w:lineRule="auto"/>
        <w:ind w:right="1440"/>
        <w:jc w:val="left"/>
      </w:pPr>
    </w:p>
    <w:p w:rsidR="00435EA8" w:rsidRPr="00077CA4" w:rsidRDefault="00885C22" w:rsidP="00E268BB">
      <w:pPr>
        <w:spacing w:line="240" w:lineRule="auto"/>
        <w:ind w:left="1440" w:right="1440"/>
        <w:jc w:val="left"/>
        <w:rPr>
          <w:b/>
        </w:rPr>
      </w:pPr>
      <w:proofErr w:type="gramStart"/>
      <w:r>
        <w:rPr>
          <w:b/>
        </w:rPr>
        <w:t>R</w:t>
      </w:r>
      <w:r w:rsidR="00435EA8" w:rsidRPr="00077CA4">
        <w:rPr>
          <w:b/>
        </w:rPr>
        <w:t>ule 803.</w:t>
      </w:r>
      <w:proofErr w:type="gramEnd"/>
      <w:r w:rsidR="00435EA8" w:rsidRPr="00077CA4">
        <w:rPr>
          <w:b/>
        </w:rPr>
        <w:t xml:space="preserve">  Hearsay exceptions; availability of declarant immaterial</w:t>
      </w:r>
    </w:p>
    <w:p w:rsidR="0022319A" w:rsidRPr="00077CA4" w:rsidRDefault="0022319A" w:rsidP="00E268BB">
      <w:pPr>
        <w:spacing w:line="240" w:lineRule="auto"/>
        <w:ind w:left="1440" w:right="1440"/>
        <w:jc w:val="left"/>
        <w:rPr>
          <w:b/>
        </w:rPr>
      </w:pPr>
    </w:p>
    <w:p w:rsidR="00435EA8" w:rsidRPr="00077CA4" w:rsidRDefault="00435EA8" w:rsidP="00E268BB">
      <w:pPr>
        <w:spacing w:line="240" w:lineRule="auto"/>
        <w:ind w:left="1440" w:right="1440"/>
        <w:jc w:val="left"/>
      </w:pPr>
      <w:r w:rsidRPr="00077CA4">
        <w:rPr>
          <w:b/>
        </w:rPr>
        <w:tab/>
      </w:r>
      <w:r w:rsidRPr="00077CA4">
        <w:t>The following statements, as hereinafter defined, are not excluded by the hearsay rule, even though the declarant is available as a witness:</w:t>
      </w:r>
    </w:p>
    <w:p w:rsidR="002C3B3F" w:rsidRPr="00077CA4" w:rsidRDefault="002C3B3F" w:rsidP="00E268BB">
      <w:pPr>
        <w:spacing w:line="240" w:lineRule="auto"/>
        <w:ind w:left="1440" w:right="1440"/>
        <w:jc w:val="left"/>
      </w:pPr>
    </w:p>
    <w:p w:rsidR="00435EA8" w:rsidRPr="00077CA4" w:rsidRDefault="00435EA8" w:rsidP="00E268BB">
      <w:pPr>
        <w:spacing w:line="240" w:lineRule="auto"/>
        <w:ind w:left="1440" w:right="1440"/>
      </w:pPr>
      <w:r w:rsidRPr="00077CA4">
        <w:t>* * *</w:t>
      </w:r>
    </w:p>
    <w:p w:rsidR="002C3B3F" w:rsidRPr="00077CA4" w:rsidRDefault="002C3B3F" w:rsidP="00E268BB">
      <w:pPr>
        <w:spacing w:line="240" w:lineRule="auto"/>
        <w:ind w:left="1440" w:right="1440"/>
      </w:pPr>
    </w:p>
    <w:p w:rsidR="00435EA8" w:rsidRPr="00077CA4" w:rsidRDefault="00435EA8" w:rsidP="00E268BB">
      <w:pPr>
        <w:spacing w:line="240" w:lineRule="auto"/>
        <w:ind w:left="1440" w:right="1440"/>
        <w:jc w:val="left"/>
      </w:pPr>
      <w:r w:rsidRPr="00077CA4">
        <w:tab/>
      </w:r>
      <w:r w:rsidRPr="00077CA4">
        <w:rPr>
          <w:b/>
        </w:rPr>
        <w:t>(6)</w:t>
      </w:r>
      <w:r w:rsidRPr="00077CA4">
        <w:rPr>
          <w:b/>
        </w:rPr>
        <w:tab/>
        <w:t>Records of regularly conducted activity.</w:t>
      </w:r>
      <w:r w:rsidRPr="00077CA4">
        <w:t xml:space="preserve">  A memorandum, report, record, or data compilation, in any form, of acts, events, or conditions, made at or near the time by, or from information transmitted by, a person with knowledge, if kept in the course of a regularly conducted business activity, and if it was the regular practice of that business activity to make the memorandum, report, record, or data compilation, all as shown by the testimony of the custodian or other qualified witness, or by certification that complies with Rule 902(11), Rule 902(12), or a statute permitting certification, </w:t>
      </w:r>
      <w:r w:rsidRPr="00077CA4">
        <w:rPr>
          <w:i/>
        </w:rPr>
        <w:t>unless the sources of information or other circumstances indicate lack of trustworthiness</w:t>
      </w:r>
      <w:r w:rsidRPr="00077CA4">
        <w:t xml:space="preserve">.  The term </w:t>
      </w:r>
      <w:r w:rsidRPr="00077CA4">
        <w:lastRenderedPageBreak/>
        <w:t>"business" as used in this paragraph includes business, institution, association, profession, occupation, and calling of every kind, whether or not conducted for profit.</w:t>
      </w:r>
    </w:p>
    <w:p w:rsidR="002C3B3F" w:rsidRPr="00077CA4" w:rsidRDefault="002C3B3F" w:rsidP="00E268BB">
      <w:pPr>
        <w:spacing w:line="240" w:lineRule="auto"/>
        <w:ind w:left="1440" w:right="1440"/>
        <w:jc w:val="left"/>
      </w:pPr>
    </w:p>
    <w:p w:rsidR="00435EA8" w:rsidRPr="00077CA4" w:rsidRDefault="00435EA8" w:rsidP="00E268BB">
      <w:pPr>
        <w:spacing w:line="240" w:lineRule="auto"/>
        <w:ind w:left="1440" w:right="1440"/>
      </w:pPr>
      <w:r w:rsidRPr="00077CA4">
        <w:t>* * *</w:t>
      </w:r>
    </w:p>
    <w:p w:rsidR="002C3B3F" w:rsidRPr="00077CA4" w:rsidRDefault="002C3B3F" w:rsidP="00E268BB">
      <w:pPr>
        <w:spacing w:line="240" w:lineRule="auto"/>
        <w:ind w:left="1440" w:right="1440"/>
      </w:pPr>
    </w:p>
    <w:p w:rsidR="00435EA8" w:rsidRPr="00077CA4" w:rsidRDefault="00435EA8" w:rsidP="00435EA8">
      <w:pPr>
        <w:jc w:val="left"/>
      </w:pPr>
      <w:proofErr w:type="spellStart"/>
      <w:r w:rsidRPr="00077CA4">
        <w:t>Pa.R.C.P</w:t>
      </w:r>
      <w:proofErr w:type="spellEnd"/>
      <w:r w:rsidRPr="00077CA4">
        <w:t>. 803(6</w:t>
      </w:r>
      <w:proofErr w:type="gramStart"/>
      <w:r w:rsidRPr="00077CA4">
        <w:t>)</w:t>
      </w:r>
      <w:r w:rsidR="00E268BB" w:rsidRPr="00077CA4">
        <w:t>(</w:t>
      </w:r>
      <w:proofErr w:type="gramEnd"/>
      <w:r w:rsidR="00E268BB" w:rsidRPr="00077CA4">
        <w:t>emphasis added)</w:t>
      </w:r>
      <w:r w:rsidRPr="00077CA4">
        <w:t>.</w:t>
      </w:r>
    </w:p>
    <w:p w:rsidR="00435EA8" w:rsidRPr="00077CA4" w:rsidRDefault="00435EA8" w:rsidP="00435EA8">
      <w:pPr>
        <w:jc w:val="left"/>
      </w:pPr>
    </w:p>
    <w:p w:rsidR="00A07535" w:rsidRPr="00077CA4" w:rsidRDefault="00435EA8" w:rsidP="00A07535">
      <w:pPr>
        <w:jc w:val="left"/>
      </w:pPr>
      <w:r w:rsidRPr="00077CA4">
        <w:tab/>
      </w:r>
      <w:r w:rsidRPr="00077CA4">
        <w:tab/>
      </w:r>
      <w:r w:rsidR="00E268BB" w:rsidRPr="00077CA4">
        <w:t>T</w:t>
      </w:r>
      <w:r w:rsidR="00243795" w:rsidRPr="00077CA4">
        <w:t>h</w:t>
      </w:r>
      <w:r w:rsidRPr="00077CA4">
        <w:t>e customer contact report</w:t>
      </w:r>
      <w:r w:rsidR="00243795" w:rsidRPr="00077CA4">
        <w:t xml:space="preserve"> is a standard submission in customer complaint cases and is regularly admitted as a business record.  Usually, this standard exhibit is a listing of the </w:t>
      </w:r>
      <w:r w:rsidR="00204E47" w:rsidRPr="00077CA4">
        <w:t>date of the contact</w:t>
      </w:r>
      <w:r w:rsidR="00243795" w:rsidRPr="00077CA4">
        <w:t xml:space="preserve"> and a summary of the ensuing discussion between the utility and the customer.  Both the customer and the utility are present at the evidentiary hearing and can acknowledge or contest</w:t>
      </w:r>
      <w:r w:rsidR="00DD2429" w:rsidRPr="00077CA4">
        <w:t xml:space="preserve"> or explain</w:t>
      </w:r>
      <w:r w:rsidR="00243795" w:rsidRPr="00077CA4">
        <w:t xml:space="preserve"> the content of the record.  </w:t>
      </w:r>
      <w:r w:rsidRPr="00077CA4">
        <w:t>The actions and findings of utility personnel, such as meter test results or visits to premises, may also be logged into this system, providing a complete record of interactions between the utility and the customer or applicant.  This document was properly authenticated by the PGW witness.</w:t>
      </w:r>
    </w:p>
    <w:p w:rsidR="00243795" w:rsidRPr="00077CA4" w:rsidRDefault="00243795" w:rsidP="00A07535">
      <w:pPr>
        <w:jc w:val="left"/>
      </w:pPr>
    </w:p>
    <w:p w:rsidR="0022319A" w:rsidRPr="00077CA4" w:rsidRDefault="00243795" w:rsidP="00724A38">
      <w:pPr>
        <w:jc w:val="left"/>
      </w:pPr>
      <w:r w:rsidRPr="00077CA4">
        <w:tab/>
      </w:r>
      <w:r w:rsidRPr="00077CA4">
        <w:tab/>
      </w:r>
      <w:r w:rsidR="00DD2429" w:rsidRPr="00077CA4">
        <w:t xml:space="preserve">However, </w:t>
      </w:r>
      <w:r w:rsidRPr="00077CA4">
        <w:t xml:space="preserve">PGW Exhibit </w:t>
      </w:r>
      <w:r w:rsidR="002C3B3F" w:rsidRPr="00077CA4">
        <w:t>2</w:t>
      </w:r>
      <w:r w:rsidRPr="00077CA4">
        <w:t xml:space="preserve"> </w:t>
      </w:r>
      <w:r w:rsidR="002C3B3F" w:rsidRPr="00077CA4">
        <w:t xml:space="preserve">not only does </w:t>
      </w:r>
      <w:r w:rsidR="002C3B3F" w:rsidRPr="00077CA4">
        <w:rPr>
          <w:u w:val="single"/>
        </w:rPr>
        <w:t>not</w:t>
      </w:r>
      <w:r w:rsidR="002C3B3F" w:rsidRPr="00077CA4">
        <w:t xml:space="preserve"> refer to a contact with the Complainant earlier than August 1, 2013, it lists Marvin Pittman as the party with whom PGW was dealing prior to that date.  </w:t>
      </w:r>
      <w:r w:rsidR="0022319A" w:rsidRPr="00077CA4">
        <w:t xml:space="preserve">As discussed, above, the mere fact that PGW Exhibit 2 states that the Complainant used the 1733 North Taney Street address in obtaining a driver’s license does not prove that she had knowledge of a meter bypass or the theft of gas at that address.  PGW failed to provide any evidence that the Complainant had any involvement with or even knowledge of a meter bypass at the residence or that gas was illegally consumed by the Complainant.  </w:t>
      </w:r>
      <w:r w:rsidR="00724A38" w:rsidRPr="00077CA4">
        <w:t xml:space="preserve">Therefore, PGW </w:t>
      </w:r>
      <w:r w:rsidR="00204E47" w:rsidRPr="00077CA4">
        <w:t xml:space="preserve">failed to </w:t>
      </w:r>
      <w:r w:rsidR="00724A38" w:rsidRPr="00077CA4">
        <w:t>present</w:t>
      </w:r>
      <w:r w:rsidR="00204E47" w:rsidRPr="00077CA4">
        <w:t xml:space="preserve"> sufficient </w:t>
      </w:r>
      <w:r w:rsidR="00724A38" w:rsidRPr="00077CA4">
        <w:t>evidence to support a finding that the Com</w:t>
      </w:r>
      <w:r w:rsidR="000504B9" w:rsidRPr="00077CA4">
        <w:t xml:space="preserve">plainant is responsible for illegal </w:t>
      </w:r>
      <w:r w:rsidR="00724A38" w:rsidRPr="00077CA4">
        <w:t xml:space="preserve">usage at the </w:t>
      </w:r>
      <w:r w:rsidR="002C3B3F" w:rsidRPr="00077CA4">
        <w:t xml:space="preserve">residence </w:t>
      </w:r>
      <w:r w:rsidR="00EB351D" w:rsidRPr="00077CA4">
        <w:t>before</w:t>
      </w:r>
      <w:r w:rsidR="002C3B3F" w:rsidRPr="00077CA4">
        <w:t xml:space="preserve"> January 17, 2013</w:t>
      </w:r>
      <w:r w:rsidR="00724A38" w:rsidRPr="00077CA4">
        <w:t>.</w:t>
      </w:r>
    </w:p>
    <w:p w:rsidR="0002374C" w:rsidRPr="00077CA4" w:rsidRDefault="0002374C" w:rsidP="00724A38">
      <w:pPr>
        <w:jc w:val="left"/>
      </w:pPr>
    </w:p>
    <w:p w:rsidR="000A3FA5" w:rsidRPr="00077CA4" w:rsidRDefault="00204E47" w:rsidP="00724A38">
      <w:pPr>
        <w:jc w:val="left"/>
      </w:pPr>
      <w:r w:rsidRPr="00077CA4">
        <w:tab/>
      </w:r>
      <w:r w:rsidRPr="00077CA4">
        <w:tab/>
        <w:t>Accordingly, the Complaint will be sustained</w:t>
      </w:r>
      <w:r w:rsidR="000504B9" w:rsidRPr="00077CA4">
        <w:t>, in part</w:t>
      </w:r>
      <w:r w:rsidR="005216C0" w:rsidRPr="00077CA4">
        <w:t xml:space="preserve">.  </w:t>
      </w:r>
      <w:r w:rsidR="00D2557B" w:rsidRPr="00077CA4">
        <w:t xml:space="preserve">The </w:t>
      </w:r>
      <w:r w:rsidR="005216C0" w:rsidRPr="00077CA4">
        <w:t xml:space="preserve">Complainant </w:t>
      </w:r>
      <w:r w:rsidR="00D2557B" w:rsidRPr="00077CA4">
        <w:t>may</w:t>
      </w:r>
      <w:r w:rsidR="0002374C" w:rsidRPr="00077CA4">
        <w:t xml:space="preserve"> not</w:t>
      </w:r>
      <w:r w:rsidR="005216C0" w:rsidRPr="00077CA4">
        <w:t xml:space="preserve"> be required to pay </w:t>
      </w:r>
      <w:r w:rsidR="0002374C" w:rsidRPr="00077CA4">
        <w:t xml:space="preserve">any amount for the estimated usage prior to </w:t>
      </w:r>
      <w:r w:rsidR="000504B9" w:rsidRPr="00077CA4">
        <w:t xml:space="preserve">May, 2012 up to </w:t>
      </w:r>
      <w:r w:rsidR="00D2557B" w:rsidRPr="00077CA4">
        <w:t>the transfer of the residence into her name on January 17, 2013</w:t>
      </w:r>
      <w:r w:rsidR="0022319A" w:rsidRPr="00077CA4">
        <w:t>, and while the Complainant may be charged a connection charge, PGW may not use the alleged meter bypass and unproven allegation of theft of natural gas to require a deposit</w:t>
      </w:r>
      <w:r w:rsidR="00D2557B" w:rsidRPr="00077CA4">
        <w:t xml:space="preserve"> from the Complainant</w:t>
      </w:r>
      <w:r w:rsidR="005216C0" w:rsidRPr="00077CA4">
        <w:t>.</w:t>
      </w:r>
    </w:p>
    <w:p w:rsidR="00242D11" w:rsidRPr="00077CA4" w:rsidRDefault="00242D11" w:rsidP="00724A38">
      <w:pPr>
        <w:jc w:val="left"/>
      </w:pPr>
    </w:p>
    <w:p w:rsidR="00242D11" w:rsidRPr="00077CA4" w:rsidRDefault="00242D11" w:rsidP="00724A38">
      <w:pPr>
        <w:jc w:val="left"/>
      </w:pPr>
      <w:r w:rsidRPr="00077CA4">
        <w:lastRenderedPageBreak/>
        <w:tab/>
      </w:r>
      <w:r w:rsidRPr="00077CA4">
        <w:tab/>
        <w:t>With respect to the natural gas service at the 1733 North Taney Street residence from May, 2012 to January, 2013, it is uncontested that the Complainant resided at the address during that time.  Despite her belief that the house was being heated by the use of a kerosene heater, only, the Complainant derived the benefit of natural gas service to the residence during that period.</w:t>
      </w:r>
    </w:p>
    <w:p w:rsidR="00242D11" w:rsidRPr="00077CA4" w:rsidRDefault="00242D11" w:rsidP="00724A38">
      <w:pPr>
        <w:jc w:val="left"/>
      </w:pPr>
    </w:p>
    <w:p w:rsidR="00242D11" w:rsidRPr="00077CA4" w:rsidRDefault="00242D11" w:rsidP="00242D11">
      <w:pPr>
        <w:tabs>
          <w:tab w:val="left" w:pos="-1440"/>
          <w:tab w:val="left" w:pos="-720"/>
        </w:tabs>
        <w:suppressAutoHyphens/>
        <w:jc w:val="left"/>
        <w:rPr>
          <w:rFonts w:eastAsia="Times New Roman"/>
          <w:spacing w:val="-3"/>
        </w:rPr>
      </w:pPr>
      <w:r w:rsidRPr="00077CA4">
        <w:rPr>
          <w:rFonts w:eastAsia="Times New Roman"/>
          <w:spacing w:val="-3"/>
        </w:rPr>
        <w:tab/>
      </w:r>
      <w:r w:rsidRPr="00077CA4">
        <w:rPr>
          <w:rFonts w:eastAsia="Times New Roman"/>
          <w:spacing w:val="-3"/>
        </w:rPr>
        <w:tab/>
      </w:r>
      <w:proofErr w:type="gramStart"/>
      <w:r w:rsidRPr="00077CA4">
        <w:rPr>
          <w:rFonts w:eastAsia="Times New Roman"/>
          <w:spacing w:val="-3"/>
        </w:rPr>
        <w:t xml:space="preserve">Sections 1407(d) and (e) of the Code, 66 </w:t>
      </w:r>
      <w:proofErr w:type="spellStart"/>
      <w:r w:rsidRPr="00077CA4">
        <w:rPr>
          <w:rFonts w:eastAsia="Times New Roman"/>
          <w:spacing w:val="-3"/>
        </w:rPr>
        <w:t>Pa.C.S</w:t>
      </w:r>
      <w:proofErr w:type="spellEnd"/>
      <w:r w:rsidRPr="00077CA4">
        <w:rPr>
          <w:rFonts w:eastAsia="Times New Roman"/>
          <w:spacing w:val="-3"/>
        </w:rPr>
        <w:t>.</w:t>
      </w:r>
      <w:proofErr w:type="gramEnd"/>
      <w:r w:rsidRPr="00077CA4">
        <w:rPr>
          <w:rFonts w:eastAsia="Times New Roman"/>
          <w:spacing w:val="-3"/>
        </w:rPr>
        <w:t xml:space="preserve"> §§ 1407(d) and (e), provide as follows:</w:t>
      </w:r>
    </w:p>
    <w:p w:rsidR="00242D11" w:rsidRPr="00077CA4" w:rsidRDefault="00242D11" w:rsidP="00242D11">
      <w:pPr>
        <w:tabs>
          <w:tab w:val="left" w:pos="-1440"/>
          <w:tab w:val="left" w:pos="-720"/>
        </w:tabs>
        <w:suppressAutoHyphens/>
        <w:jc w:val="left"/>
        <w:rPr>
          <w:rFonts w:eastAsia="Times New Roman"/>
          <w:spacing w:val="-3"/>
        </w:rPr>
      </w:pPr>
    </w:p>
    <w:p w:rsidR="00242D11" w:rsidRPr="00077CA4" w:rsidRDefault="00242D11" w:rsidP="00242D11">
      <w:pPr>
        <w:tabs>
          <w:tab w:val="left" w:pos="-1440"/>
          <w:tab w:val="left" w:pos="-720"/>
        </w:tabs>
        <w:suppressAutoHyphens/>
        <w:spacing w:line="240" w:lineRule="auto"/>
        <w:ind w:left="1440" w:right="1440"/>
        <w:jc w:val="left"/>
        <w:rPr>
          <w:rFonts w:eastAsia="Times New Roman"/>
          <w:spacing w:val="-3"/>
        </w:rPr>
      </w:pPr>
      <w:r w:rsidRPr="00077CA4">
        <w:rPr>
          <w:rFonts w:eastAsia="Times New Roman"/>
          <w:b/>
          <w:spacing w:val="-3"/>
        </w:rPr>
        <w:t>(d)</w:t>
      </w:r>
      <w:r w:rsidRPr="00077CA4">
        <w:rPr>
          <w:rFonts w:eastAsia="Times New Roman"/>
          <w:spacing w:val="-3"/>
        </w:rPr>
        <w:tab/>
      </w:r>
      <w:r w:rsidRPr="00077CA4">
        <w:rPr>
          <w:rFonts w:eastAsia="Times New Roman"/>
          <w:b/>
          <w:spacing w:val="-3"/>
        </w:rPr>
        <w:t>Payment of outstanding balance at premises –</w:t>
      </w:r>
      <w:r w:rsidRPr="00077CA4">
        <w:rPr>
          <w:rFonts w:eastAsia="Times New Roman"/>
          <w:spacing w:val="-3"/>
        </w:rPr>
        <w:t xml:space="preserve"> A public utility may also require the payment of any outstanding balance or portion of an outstanding balance if the applicant resided at the property for which service is requested during the time the outstanding balance accrued and for the time the applicant resided there.</w:t>
      </w:r>
    </w:p>
    <w:p w:rsidR="00242D11" w:rsidRPr="00077CA4" w:rsidRDefault="00242D11" w:rsidP="00242D11">
      <w:pPr>
        <w:tabs>
          <w:tab w:val="left" w:pos="-1440"/>
          <w:tab w:val="left" w:pos="-720"/>
        </w:tabs>
        <w:suppressAutoHyphens/>
        <w:spacing w:line="240" w:lineRule="auto"/>
        <w:jc w:val="left"/>
        <w:rPr>
          <w:rFonts w:eastAsia="Times New Roman"/>
          <w:spacing w:val="-3"/>
        </w:rPr>
      </w:pPr>
    </w:p>
    <w:p w:rsidR="00242D11" w:rsidRPr="00077CA4" w:rsidRDefault="00242D11" w:rsidP="00242D11">
      <w:pPr>
        <w:tabs>
          <w:tab w:val="left" w:pos="-1440"/>
          <w:tab w:val="left" w:pos="-720"/>
        </w:tabs>
        <w:suppressAutoHyphens/>
        <w:spacing w:line="240" w:lineRule="auto"/>
        <w:ind w:left="1440" w:right="1440"/>
        <w:jc w:val="left"/>
        <w:rPr>
          <w:rFonts w:eastAsia="Times New Roman"/>
          <w:spacing w:val="-3"/>
        </w:rPr>
      </w:pPr>
      <w:r w:rsidRPr="00077CA4">
        <w:rPr>
          <w:rFonts w:eastAsia="Times New Roman"/>
          <w:b/>
          <w:spacing w:val="-3"/>
        </w:rPr>
        <w:t>(e)</w:t>
      </w:r>
      <w:r w:rsidRPr="00077CA4">
        <w:rPr>
          <w:rFonts w:eastAsia="Times New Roman"/>
          <w:b/>
          <w:spacing w:val="-3"/>
        </w:rPr>
        <w:tab/>
        <w:t xml:space="preserve">Approval – </w:t>
      </w:r>
      <w:r w:rsidRPr="00077CA4">
        <w:rPr>
          <w:rFonts w:eastAsia="Times New Roman"/>
          <w:spacing w:val="-3"/>
        </w:rPr>
        <w:t>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w:t>
      </w:r>
      <w:proofErr w:type="spellStart"/>
      <w:r w:rsidRPr="00077CA4">
        <w:rPr>
          <w:rFonts w:eastAsia="Times New Roman"/>
          <w:spacing w:val="-3"/>
        </w:rPr>
        <w:t>ommission</w:t>
      </w:r>
      <w:proofErr w:type="spellEnd"/>
      <w:r w:rsidRPr="00077CA4">
        <w:rPr>
          <w:rFonts w:eastAsia="Times New Roman"/>
          <w:spacing w:val="-3"/>
        </w:rPr>
        <w:t>.</w:t>
      </w:r>
    </w:p>
    <w:p w:rsidR="00242D11" w:rsidRPr="00077CA4" w:rsidRDefault="00242D11" w:rsidP="00242D11">
      <w:pPr>
        <w:tabs>
          <w:tab w:val="left" w:pos="-1440"/>
          <w:tab w:val="left" w:pos="-720"/>
        </w:tabs>
        <w:suppressAutoHyphens/>
        <w:ind w:left="1440" w:right="1440"/>
        <w:jc w:val="left"/>
        <w:rPr>
          <w:rFonts w:eastAsia="Times New Roman"/>
          <w:spacing w:val="-3"/>
        </w:rPr>
      </w:pPr>
    </w:p>
    <w:p w:rsidR="00242D11" w:rsidRPr="00077CA4" w:rsidRDefault="00242D11" w:rsidP="00242D11">
      <w:pPr>
        <w:jc w:val="left"/>
        <w:rPr>
          <w:rFonts w:eastAsia="Times New Roman"/>
          <w:spacing w:val="-3"/>
        </w:rPr>
      </w:pPr>
      <w:r w:rsidRPr="00077CA4">
        <w:rPr>
          <w:rFonts w:eastAsia="Times New Roman"/>
          <w:spacing w:val="-3"/>
        </w:rPr>
        <w:tab/>
      </w:r>
      <w:r w:rsidRPr="00077CA4">
        <w:rPr>
          <w:rFonts w:eastAsia="Times New Roman"/>
          <w:spacing w:val="-3"/>
        </w:rPr>
        <w:tab/>
        <w:t xml:space="preserve">The above-cited provisions are included in Commission regulations at 52 </w:t>
      </w:r>
      <w:proofErr w:type="spellStart"/>
      <w:r w:rsidRPr="00077CA4">
        <w:rPr>
          <w:rFonts w:eastAsia="Times New Roman"/>
          <w:spacing w:val="-3"/>
        </w:rPr>
        <w:t>Pa.Code</w:t>
      </w:r>
      <w:proofErr w:type="spellEnd"/>
      <w:r w:rsidRPr="00077CA4">
        <w:rPr>
          <w:rFonts w:eastAsia="Times New Roman"/>
          <w:spacing w:val="-3"/>
        </w:rPr>
        <w:t xml:space="preserve"> §§ 56.35(b</w:t>
      </w:r>
      <w:proofErr w:type="gramStart"/>
      <w:r w:rsidRPr="00077CA4">
        <w:rPr>
          <w:rFonts w:eastAsia="Times New Roman"/>
          <w:spacing w:val="-3"/>
        </w:rPr>
        <w:t>)(</w:t>
      </w:r>
      <w:proofErr w:type="gramEnd"/>
      <w:r w:rsidRPr="00077CA4">
        <w:rPr>
          <w:rFonts w:eastAsia="Times New Roman"/>
          <w:spacing w:val="-3"/>
        </w:rPr>
        <w:t>1) and (2).</w:t>
      </w:r>
    </w:p>
    <w:p w:rsidR="00242D11" w:rsidRPr="00077CA4" w:rsidRDefault="00242D11" w:rsidP="00242D11">
      <w:pPr>
        <w:jc w:val="left"/>
        <w:rPr>
          <w:rFonts w:eastAsia="Times New Roman"/>
          <w:spacing w:val="-3"/>
        </w:rPr>
      </w:pPr>
    </w:p>
    <w:p w:rsidR="00242D11" w:rsidRPr="00077CA4" w:rsidRDefault="00242D11" w:rsidP="00242D11">
      <w:pPr>
        <w:jc w:val="left"/>
      </w:pPr>
      <w:r w:rsidRPr="00077CA4">
        <w:rPr>
          <w:rFonts w:eastAsia="Times New Roman"/>
          <w:spacing w:val="-3"/>
        </w:rPr>
        <w:tab/>
      </w:r>
      <w:r w:rsidRPr="00077CA4">
        <w:rPr>
          <w:rFonts w:eastAsia="Times New Roman"/>
          <w:spacing w:val="-3"/>
        </w:rPr>
        <w:tab/>
        <w:t xml:space="preserve">At the conclusion of the evidentiary hearing in this case, I asked PGW to supply a usage calculation for the period from May 1, 2012 to December 31, </w:t>
      </w:r>
      <w:r w:rsidR="00127910" w:rsidRPr="00077CA4">
        <w:rPr>
          <w:rFonts w:eastAsia="Times New Roman"/>
          <w:spacing w:val="-3"/>
        </w:rPr>
        <w:t>2013.  PGW filed that document o</w:t>
      </w:r>
      <w:r w:rsidRPr="00077CA4">
        <w:rPr>
          <w:rFonts w:eastAsia="Times New Roman"/>
          <w:spacing w:val="-3"/>
        </w:rPr>
        <w:t>n June 12, 2014</w:t>
      </w:r>
      <w:r w:rsidR="00127910" w:rsidRPr="00077CA4">
        <w:rPr>
          <w:rFonts w:eastAsia="Times New Roman"/>
          <w:spacing w:val="-3"/>
        </w:rPr>
        <w:t xml:space="preserve">, and </w:t>
      </w:r>
      <w:r w:rsidR="0020134C" w:rsidRPr="00077CA4">
        <w:rPr>
          <w:rFonts w:eastAsia="Times New Roman"/>
          <w:spacing w:val="-3"/>
        </w:rPr>
        <w:t>it was marked as PGW Exhibit 6.  T</w:t>
      </w:r>
      <w:r w:rsidR="00127910" w:rsidRPr="00077CA4">
        <w:rPr>
          <w:rFonts w:eastAsia="Times New Roman"/>
          <w:spacing w:val="-3"/>
        </w:rPr>
        <w:t xml:space="preserve">he Complainant has not objected to the receipt of that document into evidence.  PGW Exhibit 6 establishes the </w:t>
      </w:r>
      <w:r w:rsidR="005D322A" w:rsidRPr="00077CA4">
        <w:rPr>
          <w:rFonts w:eastAsia="Times New Roman"/>
          <w:spacing w:val="-3"/>
        </w:rPr>
        <w:t>amount owed by the Complainant for that service is $1,795.47.  This</w:t>
      </w:r>
      <w:r w:rsidR="0020134C" w:rsidRPr="00077CA4">
        <w:rPr>
          <w:rFonts w:eastAsia="Times New Roman"/>
          <w:spacing w:val="-3"/>
        </w:rPr>
        <w:t xml:space="preserve"> amount</w:t>
      </w:r>
      <w:r w:rsidR="005D322A" w:rsidRPr="00077CA4">
        <w:rPr>
          <w:rFonts w:eastAsia="Times New Roman"/>
          <w:spacing w:val="-3"/>
        </w:rPr>
        <w:t xml:space="preserve"> is what may be lawfully charged to the Complainant as an arrearage, but as that arrearage accrued without the Complainant’s knowledge, PGW may not treat the Complainant as a defaulting customer seeking reconnection.  If any connection fee or deposit is required from the Complainant, then that must be done in accord with PGW’s tariff as for a new customer.</w:t>
      </w:r>
    </w:p>
    <w:p w:rsidR="004E5569" w:rsidRPr="00077CA4" w:rsidRDefault="004E5569" w:rsidP="00A07535">
      <w:pPr>
        <w:jc w:val="left"/>
      </w:pPr>
    </w:p>
    <w:p w:rsidR="005216C0" w:rsidRPr="00077CA4" w:rsidRDefault="005216C0" w:rsidP="005216C0">
      <w:pPr>
        <w:rPr>
          <w:u w:val="single"/>
        </w:rPr>
      </w:pPr>
      <w:r w:rsidRPr="00077CA4">
        <w:rPr>
          <w:u w:val="single"/>
        </w:rPr>
        <w:lastRenderedPageBreak/>
        <w:t>CONCLUSIONS OF LAW</w:t>
      </w:r>
    </w:p>
    <w:p w:rsidR="005216C0" w:rsidRPr="00077CA4" w:rsidRDefault="005216C0" w:rsidP="005216C0">
      <w:pPr>
        <w:rPr>
          <w:u w:val="single"/>
        </w:rPr>
      </w:pPr>
    </w:p>
    <w:p w:rsidR="005216C0" w:rsidRPr="00077CA4" w:rsidRDefault="005216C0" w:rsidP="005216C0">
      <w:pPr>
        <w:jc w:val="left"/>
      </w:pPr>
      <w:r w:rsidRPr="00077CA4">
        <w:tab/>
      </w:r>
      <w:r w:rsidRPr="00077CA4">
        <w:tab/>
        <w:t>1.</w:t>
      </w:r>
      <w:r w:rsidRPr="00077CA4">
        <w:tab/>
        <w:t xml:space="preserve">The Commission has jurisdiction over the proceeding.  </w:t>
      </w:r>
      <w:proofErr w:type="gramStart"/>
      <w:r w:rsidRPr="00077CA4">
        <w:t xml:space="preserve">66 </w:t>
      </w:r>
      <w:proofErr w:type="spellStart"/>
      <w:r w:rsidRPr="00077CA4">
        <w:t>Pa.C.S</w:t>
      </w:r>
      <w:proofErr w:type="spellEnd"/>
      <w:r w:rsidRPr="00077CA4">
        <w:t>.</w:t>
      </w:r>
      <w:proofErr w:type="gramEnd"/>
      <w:r w:rsidRPr="00077CA4">
        <w:t xml:space="preserve"> § </w:t>
      </w:r>
      <w:r w:rsidR="0053717B" w:rsidRPr="00077CA4">
        <w:t>703.</w:t>
      </w:r>
    </w:p>
    <w:p w:rsidR="0053717B" w:rsidRPr="00077CA4" w:rsidRDefault="0053717B" w:rsidP="005216C0">
      <w:pPr>
        <w:jc w:val="left"/>
      </w:pPr>
    </w:p>
    <w:p w:rsidR="00157F53" w:rsidRPr="00077CA4" w:rsidRDefault="0053717B" w:rsidP="0053717B">
      <w:pPr>
        <w:jc w:val="left"/>
      </w:pPr>
      <w:r w:rsidRPr="00077CA4">
        <w:tab/>
      </w:r>
      <w:r w:rsidRPr="00077CA4">
        <w:tab/>
        <w:t>2.</w:t>
      </w:r>
      <w:r w:rsidRPr="00077CA4">
        <w:tab/>
        <w:t xml:space="preserve">The party seeking affirmative relief from the Commission bears the burden of proof.  </w:t>
      </w:r>
      <w:proofErr w:type="gramStart"/>
      <w:r w:rsidRPr="00077CA4">
        <w:t xml:space="preserve">66 </w:t>
      </w:r>
      <w:proofErr w:type="spellStart"/>
      <w:r w:rsidRPr="00077CA4">
        <w:t>Pa.C.S</w:t>
      </w:r>
      <w:proofErr w:type="spellEnd"/>
      <w:r w:rsidRPr="00077CA4">
        <w:t>.</w:t>
      </w:r>
      <w:proofErr w:type="gramEnd"/>
      <w:r w:rsidRPr="00077CA4">
        <w:t xml:space="preserve"> § 332(a).  As a matter of law, a complainant must show that the named utility is responsible or accountable for the problem described in the Complaint in order to prevail.  </w:t>
      </w:r>
      <w:proofErr w:type="gramStart"/>
      <w:r w:rsidRPr="00077CA4">
        <w:rPr>
          <w:i/>
        </w:rPr>
        <w:t xml:space="preserve">Patterson v. Bell Tel. Co. of PA, </w:t>
      </w:r>
      <w:r w:rsidR="0080743E" w:rsidRPr="00077CA4">
        <w:t>72 Pa. PUC</w:t>
      </w:r>
      <w:r w:rsidRPr="00077CA4">
        <w:t xml:space="preserve"> 196 (1990); </w:t>
      </w:r>
      <w:r w:rsidRPr="00077CA4">
        <w:rPr>
          <w:i/>
        </w:rPr>
        <w:t xml:space="preserve">Feinstein v. </w:t>
      </w:r>
      <w:proofErr w:type="spellStart"/>
      <w:r w:rsidRPr="00077CA4">
        <w:rPr>
          <w:i/>
        </w:rPr>
        <w:t>Phila</w:t>
      </w:r>
      <w:proofErr w:type="spellEnd"/>
      <w:r w:rsidRPr="00077CA4">
        <w:rPr>
          <w:i/>
        </w:rPr>
        <w:t>.</w:t>
      </w:r>
      <w:proofErr w:type="gramEnd"/>
      <w:r w:rsidRPr="00077CA4">
        <w:rPr>
          <w:i/>
        </w:rPr>
        <w:t xml:space="preserve"> </w:t>
      </w:r>
      <w:proofErr w:type="gramStart"/>
      <w:r w:rsidRPr="00077CA4">
        <w:rPr>
          <w:i/>
        </w:rPr>
        <w:t xml:space="preserve">Suburban Water Co., </w:t>
      </w:r>
      <w:r w:rsidR="0080743E" w:rsidRPr="00077CA4">
        <w:t>50 Pa. PUC</w:t>
      </w:r>
      <w:r w:rsidRPr="00077CA4">
        <w:t xml:space="preserve"> 300 (1976).</w:t>
      </w:r>
      <w:proofErr w:type="gramEnd"/>
    </w:p>
    <w:p w:rsidR="00157F53" w:rsidRPr="00077CA4" w:rsidRDefault="00157F53" w:rsidP="0053717B">
      <w:pPr>
        <w:jc w:val="left"/>
      </w:pPr>
    </w:p>
    <w:p w:rsidR="0053717B" w:rsidRPr="00077CA4" w:rsidRDefault="00157F53" w:rsidP="0053717B">
      <w:pPr>
        <w:jc w:val="left"/>
      </w:pPr>
      <w:r w:rsidRPr="00077CA4">
        <w:tab/>
      </w:r>
      <w:r w:rsidRPr="00077CA4">
        <w:tab/>
        <w:t>3.</w:t>
      </w:r>
      <w:r w:rsidRPr="00077CA4">
        <w:tab/>
      </w:r>
      <w:r w:rsidR="0053717B" w:rsidRPr="00077CA4">
        <w:t>This must be shown by a prepond</w:t>
      </w:r>
      <w:r w:rsidR="00F43A3C" w:rsidRPr="00077CA4">
        <w:t xml:space="preserve">erance of the evidence.  </w:t>
      </w:r>
      <w:proofErr w:type="gramStart"/>
      <w:r w:rsidR="0053717B" w:rsidRPr="00077CA4">
        <w:rPr>
          <w:i/>
        </w:rPr>
        <w:t xml:space="preserve">Samuel J. </w:t>
      </w:r>
      <w:proofErr w:type="spellStart"/>
      <w:r w:rsidR="0053717B" w:rsidRPr="00077CA4">
        <w:rPr>
          <w:i/>
        </w:rPr>
        <w:t>Lansberry</w:t>
      </w:r>
      <w:proofErr w:type="spellEnd"/>
      <w:r w:rsidR="0053717B" w:rsidRPr="00077CA4">
        <w:rPr>
          <w:i/>
        </w:rPr>
        <w:t>, Inc. v. Pa. Pub.</w:t>
      </w:r>
      <w:proofErr w:type="gramEnd"/>
      <w:r w:rsidR="0053717B" w:rsidRPr="00077CA4">
        <w:rPr>
          <w:i/>
        </w:rPr>
        <w:t xml:space="preserve"> Util. </w:t>
      </w:r>
      <w:proofErr w:type="spellStart"/>
      <w:r w:rsidR="0053717B" w:rsidRPr="00077CA4">
        <w:rPr>
          <w:i/>
        </w:rPr>
        <w:t>Comm'n</w:t>
      </w:r>
      <w:proofErr w:type="spellEnd"/>
      <w:r w:rsidR="0053717B" w:rsidRPr="00077CA4">
        <w:rPr>
          <w:i/>
        </w:rPr>
        <w:t xml:space="preserve">, </w:t>
      </w:r>
      <w:r w:rsidR="0053717B" w:rsidRPr="00077CA4">
        <w:t xml:space="preserve">578 A.2d 600 (1990), </w:t>
      </w:r>
      <w:proofErr w:type="spellStart"/>
      <w:r w:rsidR="0053717B" w:rsidRPr="00077CA4">
        <w:rPr>
          <w:i/>
        </w:rPr>
        <w:t>alloc</w:t>
      </w:r>
      <w:proofErr w:type="spellEnd"/>
      <w:r w:rsidR="0053717B" w:rsidRPr="00077CA4">
        <w:rPr>
          <w:i/>
        </w:rPr>
        <w:t>, denied</w:t>
      </w:r>
      <w:r w:rsidR="0053717B" w:rsidRPr="00077CA4">
        <w:t xml:space="preserve">, 602 A.2d 863 (1992).  A preponderance of evidence is that which is more convincing, by even the smallest amount, than that presented by the other party.  </w:t>
      </w:r>
      <w:proofErr w:type="gramStart"/>
      <w:r w:rsidR="0053717B" w:rsidRPr="00077CA4">
        <w:rPr>
          <w:i/>
        </w:rPr>
        <w:t>Se-Ling Hosiery v. Margulies,</w:t>
      </w:r>
      <w:r w:rsidR="0053717B" w:rsidRPr="00077CA4">
        <w:t xml:space="preserve"> </w:t>
      </w:r>
      <w:r w:rsidR="0053717B" w:rsidRPr="00077CA4">
        <w:rPr>
          <w:color w:val="333333"/>
        </w:rPr>
        <w:t>364 Pa. 45, 70 A.2d 854, 1950 Pa. LEXIS 316 (1950)</w:t>
      </w:r>
      <w:r w:rsidR="0053717B" w:rsidRPr="00077CA4">
        <w:t>.</w:t>
      </w:r>
      <w:proofErr w:type="gramEnd"/>
    </w:p>
    <w:p w:rsidR="0053717B" w:rsidRPr="00077CA4" w:rsidRDefault="0053717B" w:rsidP="0053717B">
      <w:pPr>
        <w:jc w:val="left"/>
      </w:pPr>
    </w:p>
    <w:p w:rsidR="0053717B" w:rsidRPr="00077CA4" w:rsidRDefault="0053717B" w:rsidP="0053717B">
      <w:pPr>
        <w:jc w:val="left"/>
      </w:pPr>
      <w:r w:rsidRPr="00077CA4">
        <w:tab/>
      </w:r>
      <w:r w:rsidRPr="00077CA4">
        <w:tab/>
      </w:r>
      <w:r w:rsidR="00157F53" w:rsidRPr="00077CA4">
        <w:t>4.</w:t>
      </w:r>
      <w:r w:rsidR="00157F53" w:rsidRPr="00077CA4">
        <w:tab/>
      </w:r>
      <w:r w:rsidRPr="00077CA4">
        <w:t xml:space="preserve">Any finding of fact necessary to support the Commission's adjudication must be based upon substantial evidence.  </w:t>
      </w:r>
      <w:proofErr w:type="gramStart"/>
      <w:r w:rsidRPr="00077CA4">
        <w:rPr>
          <w:i/>
        </w:rPr>
        <w:t>Mill v. Pa. Pub.</w:t>
      </w:r>
      <w:proofErr w:type="gramEnd"/>
      <w:r w:rsidRPr="00077CA4">
        <w:rPr>
          <w:i/>
        </w:rPr>
        <w:t xml:space="preserve"> </w:t>
      </w:r>
      <w:proofErr w:type="gramStart"/>
      <w:r w:rsidRPr="00077CA4">
        <w:rPr>
          <w:i/>
        </w:rPr>
        <w:t xml:space="preserve">Util. </w:t>
      </w:r>
      <w:proofErr w:type="spellStart"/>
      <w:r w:rsidRPr="00077CA4">
        <w:rPr>
          <w:i/>
        </w:rPr>
        <w:t>Comm'n</w:t>
      </w:r>
      <w:proofErr w:type="spellEnd"/>
      <w:r w:rsidRPr="00077CA4">
        <w:t>, 447 A.2d 1100 (</w:t>
      </w:r>
      <w:proofErr w:type="spellStart"/>
      <w:r w:rsidRPr="00077CA4">
        <w:t>Pa.Cmwlth</w:t>
      </w:r>
      <w:proofErr w:type="spellEnd"/>
      <w:r w:rsidRPr="00077CA4">
        <w:t xml:space="preserve">. 1982); </w:t>
      </w:r>
      <w:proofErr w:type="spellStart"/>
      <w:r w:rsidRPr="00077CA4">
        <w:rPr>
          <w:i/>
        </w:rPr>
        <w:t>Edan</w:t>
      </w:r>
      <w:proofErr w:type="spellEnd"/>
      <w:r w:rsidRPr="00077CA4">
        <w:rPr>
          <w:i/>
        </w:rPr>
        <w:t xml:space="preserve"> Transportation Corp. v. Pa. Pub.</w:t>
      </w:r>
      <w:proofErr w:type="gramEnd"/>
      <w:r w:rsidRPr="00077CA4">
        <w:rPr>
          <w:i/>
        </w:rPr>
        <w:t xml:space="preserve"> </w:t>
      </w:r>
      <w:proofErr w:type="gramStart"/>
      <w:r w:rsidRPr="00077CA4">
        <w:rPr>
          <w:i/>
        </w:rPr>
        <w:t xml:space="preserve">Util. </w:t>
      </w:r>
      <w:proofErr w:type="spellStart"/>
      <w:r w:rsidRPr="00077CA4">
        <w:rPr>
          <w:i/>
        </w:rPr>
        <w:t>Comm'n</w:t>
      </w:r>
      <w:proofErr w:type="spellEnd"/>
      <w:r w:rsidRPr="00077CA4">
        <w:rPr>
          <w:i/>
        </w:rPr>
        <w:t xml:space="preserve">, </w:t>
      </w:r>
      <w:r w:rsidRPr="00077CA4">
        <w:t xml:space="preserve">623 A.2d 6 (Pa. </w:t>
      </w:r>
      <w:proofErr w:type="spellStart"/>
      <w:r w:rsidRPr="00077CA4">
        <w:t>Cmwlth</w:t>
      </w:r>
      <w:proofErr w:type="spellEnd"/>
      <w:r w:rsidRPr="00077CA4">
        <w:t xml:space="preserve">. 1993); 2 </w:t>
      </w:r>
      <w:proofErr w:type="spellStart"/>
      <w:r w:rsidRPr="00077CA4">
        <w:t>Pa.C.S</w:t>
      </w:r>
      <w:proofErr w:type="spellEnd"/>
      <w:r w:rsidRPr="00077CA4">
        <w:t>.</w:t>
      </w:r>
      <w:proofErr w:type="gramEnd"/>
      <w:r w:rsidRPr="00077CA4">
        <w:t xml:space="preserve"> § 704.  More is required than a mere trace of evidence or a suspicion of the existence of a fact sought to be established.  </w:t>
      </w:r>
      <w:proofErr w:type="gramStart"/>
      <w:r w:rsidRPr="00077CA4">
        <w:rPr>
          <w:i/>
        </w:rPr>
        <w:t>Norfolk and Western Ry. v. Pa. Pub.</w:t>
      </w:r>
      <w:proofErr w:type="gramEnd"/>
      <w:r w:rsidRPr="00077CA4">
        <w:rPr>
          <w:i/>
        </w:rPr>
        <w:t xml:space="preserve"> </w:t>
      </w:r>
      <w:proofErr w:type="gramStart"/>
      <w:r w:rsidRPr="00077CA4">
        <w:rPr>
          <w:i/>
        </w:rPr>
        <w:t xml:space="preserve">Util. </w:t>
      </w:r>
      <w:proofErr w:type="spellStart"/>
      <w:r w:rsidRPr="00077CA4">
        <w:rPr>
          <w:i/>
        </w:rPr>
        <w:t>Comm'n</w:t>
      </w:r>
      <w:proofErr w:type="spellEnd"/>
      <w:r w:rsidRPr="00077CA4">
        <w:rPr>
          <w:i/>
        </w:rPr>
        <w:t xml:space="preserve">, </w:t>
      </w:r>
      <w:r w:rsidRPr="00077CA4">
        <w:t xml:space="preserve">489 Pa. 109, 413 A.2d 1037 (1980); </w:t>
      </w:r>
      <w:r w:rsidRPr="00077CA4">
        <w:rPr>
          <w:i/>
        </w:rPr>
        <w:t>Erie Resistor Corp. v. Unemployment Compensation Bd.</w:t>
      </w:r>
      <w:proofErr w:type="gramEnd"/>
      <w:r w:rsidRPr="00077CA4">
        <w:rPr>
          <w:i/>
        </w:rPr>
        <w:t xml:space="preserve"> </w:t>
      </w:r>
      <w:proofErr w:type="gramStart"/>
      <w:r w:rsidRPr="00077CA4">
        <w:rPr>
          <w:i/>
        </w:rPr>
        <w:t xml:space="preserve">Of Review, </w:t>
      </w:r>
      <w:r w:rsidRPr="00077CA4">
        <w:t>166 A.2d 96 (</w:t>
      </w:r>
      <w:proofErr w:type="spellStart"/>
      <w:r w:rsidRPr="00077CA4">
        <w:t>Pa.Super</w:t>
      </w:r>
      <w:proofErr w:type="spellEnd"/>
      <w:r w:rsidRPr="00077CA4">
        <w:t xml:space="preserve">. 1960); </w:t>
      </w:r>
      <w:r w:rsidRPr="00077CA4">
        <w:rPr>
          <w:i/>
        </w:rPr>
        <w:t>Murphy v. Dep't.</w:t>
      </w:r>
      <w:proofErr w:type="gramEnd"/>
      <w:r w:rsidRPr="00077CA4">
        <w:rPr>
          <w:i/>
        </w:rPr>
        <w:t xml:space="preserve"> </w:t>
      </w:r>
      <w:proofErr w:type="gramStart"/>
      <w:r w:rsidRPr="00077CA4">
        <w:rPr>
          <w:i/>
        </w:rPr>
        <w:t>of</w:t>
      </w:r>
      <w:proofErr w:type="gramEnd"/>
      <w:r w:rsidRPr="00077CA4">
        <w:rPr>
          <w:i/>
        </w:rPr>
        <w:t xml:space="preserve"> Public Welfare, White Haven Center, </w:t>
      </w:r>
      <w:r w:rsidRPr="00077CA4">
        <w:t xml:space="preserve">480 A.2d 382 (Pa. </w:t>
      </w:r>
      <w:proofErr w:type="spellStart"/>
      <w:r w:rsidRPr="00077CA4">
        <w:t>Cmwlth</w:t>
      </w:r>
      <w:proofErr w:type="spellEnd"/>
      <w:r w:rsidRPr="00077CA4">
        <w:t>. 1984).</w:t>
      </w:r>
    </w:p>
    <w:p w:rsidR="0053717B" w:rsidRPr="00077CA4" w:rsidRDefault="0053717B" w:rsidP="0053717B">
      <w:pPr>
        <w:jc w:val="left"/>
      </w:pPr>
    </w:p>
    <w:p w:rsidR="0053717B" w:rsidRPr="00077CA4" w:rsidRDefault="0053717B" w:rsidP="0053717B">
      <w:pPr>
        <w:jc w:val="left"/>
      </w:pPr>
      <w:r w:rsidRPr="00077CA4">
        <w:tab/>
      </w:r>
      <w:r w:rsidRPr="00077CA4">
        <w:tab/>
      </w:r>
      <w:r w:rsidR="00157F53" w:rsidRPr="00077CA4">
        <w:t>5.</w:t>
      </w:r>
      <w:r w:rsidR="00157F53" w:rsidRPr="00077CA4">
        <w:tab/>
      </w:r>
      <w:r w:rsidRPr="00077CA4">
        <w:t xml:space="preserve">The offense must be a violation of the Public Utility Code, the Commission's regulations, or an outstanding order of the Commission.  </w:t>
      </w:r>
      <w:proofErr w:type="gramStart"/>
      <w:r w:rsidRPr="00077CA4">
        <w:t xml:space="preserve">66 </w:t>
      </w:r>
      <w:proofErr w:type="spellStart"/>
      <w:r w:rsidRPr="00077CA4">
        <w:t>Pa.C.S</w:t>
      </w:r>
      <w:proofErr w:type="spellEnd"/>
      <w:r w:rsidRPr="00077CA4">
        <w:t>.</w:t>
      </w:r>
      <w:proofErr w:type="gramEnd"/>
      <w:r w:rsidRPr="00077CA4">
        <w:t xml:space="preserve"> § 701.</w:t>
      </w:r>
    </w:p>
    <w:p w:rsidR="0053717B" w:rsidRPr="00077CA4" w:rsidRDefault="0053717B" w:rsidP="0053717B">
      <w:pPr>
        <w:jc w:val="left"/>
      </w:pPr>
    </w:p>
    <w:p w:rsidR="0053717B" w:rsidRPr="00077CA4" w:rsidRDefault="00157F53" w:rsidP="0053717B">
      <w:pPr>
        <w:ind w:firstLine="1440"/>
        <w:jc w:val="left"/>
      </w:pPr>
      <w:r w:rsidRPr="00077CA4">
        <w:t>6.</w:t>
      </w:r>
      <w:r w:rsidRPr="00077CA4">
        <w:tab/>
      </w:r>
      <w:r w:rsidR="0053717B" w:rsidRPr="00077CA4">
        <w:t xml:space="preserve">As the proponent of a Commission order, Complainant has the burden of proof in this case.  </w:t>
      </w:r>
      <w:proofErr w:type="gramStart"/>
      <w:r w:rsidR="0053717B" w:rsidRPr="00077CA4">
        <w:t xml:space="preserve">66 </w:t>
      </w:r>
      <w:proofErr w:type="spellStart"/>
      <w:r w:rsidR="0053717B" w:rsidRPr="00077CA4">
        <w:t>Pa.C.S.A</w:t>
      </w:r>
      <w:proofErr w:type="spellEnd"/>
      <w:r w:rsidR="0053717B" w:rsidRPr="00077CA4">
        <w:t>.</w:t>
      </w:r>
      <w:proofErr w:type="gramEnd"/>
      <w:r w:rsidR="0053717B" w:rsidRPr="00077CA4">
        <w:t xml:space="preserve"> § 332(a).</w:t>
      </w:r>
    </w:p>
    <w:p w:rsidR="0053717B" w:rsidRPr="00077CA4" w:rsidRDefault="0053717B" w:rsidP="0053717B">
      <w:pPr>
        <w:ind w:firstLine="1440"/>
      </w:pPr>
    </w:p>
    <w:p w:rsidR="0053717B" w:rsidRPr="00077CA4" w:rsidRDefault="00157F53" w:rsidP="0053717B">
      <w:pPr>
        <w:tabs>
          <w:tab w:val="left" w:pos="-1440"/>
          <w:tab w:val="left" w:pos="-720"/>
        </w:tabs>
        <w:suppressAutoHyphens/>
        <w:ind w:firstLine="1440"/>
        <w:jc w:val="left"/>
        <w:rPr>
          <w:spacing w:val="-3"/>
        </w:rPr>
      </w:pPr>
      <w:r w:rsidRPr="00077CA4">
        <w:rPr>
          <w:spacing w:val="-3"/>
        </w:rPr>
        <w:lastRenderedPageBreak/>
        <w:t>7.</w:t>
      </w:r>
      <w:r w:rsidRPr="00077CA4">
        <w:rPr>
          <w:spacing w:val="-3"/>
        </w:rPr>
        <w:tab/>
      </w:r>
      <w:r w:rsidR="0053717B" w:rsidRPr="00077CA4">
        <w:rPr>
          <w:spacing w:val="-3"/>
        </w:rPr>
        <w:t xml:space="preserve">The “burden of proof” is composed of two distinct burdens: the burden of production and the burden of persuasion.  </w:t>
      </w:r>
      <w:r w:rsidR="0053717B" w:rsidRPr="00077CA4">
        <w:rPr>
          <w:i/>
          <w:spacing w:val="-3"/>
        </w:rPr>
        <w:t>Hurley v. Hurley</w:t>
      </w:r>
      <w:r w:rsidR="0053717B" w:rsidRPr="00077CA4">
        <w:rPr>
          <w:spacing w:val="-3"/>
        </w:rPr>
        <w:t xml:space="preserve">, 2000 </w:t>
      </w:r>
      <w:proofErr w:type="spellStart"/>
      <w:r w:rsidR="0053717B" w:rsidRPr="00077CA4">
        <w:rPr>
          <w:spacing w:val="-3"/>
        </w:rPr>
        <w:t>Pa.Super</w:t>
      </w:r>
      <w:proofErr w:type="spellEnd"/>
      <w:r w:rsidR="0053717B" w:rsidRPr="00077CA4">
        <w:rPr>
          <w:spacing w:val="-3"/>
        </w:rPr>
        <w:t xml:space="preserve">. </w:t>
      </w:r>
      <w:proofErr w:type="gramStart"/>
      <w:r w:rsidR="0053717B" w:rsidRPr="00077CA4">
        <w:rPr>
          <w:spacing w:val="-3"/>
        </w:rPr>
        <w:t>178, 754 A.2d 1283 (2000).</w:t>
      </w:r>
      <w:proofErr w:type="gramEnd"/>
    </w:p>
    <w:p w:rsidR="00157F53" w:rsidRPr="00077CA4" w:rsidRDefault="00157F53" w:rsidP="0053717B">
      <w:pPr>
        <w:tabs>
          <w:tab w:val="left" w:pos="-1440"/>
          <w:tab w:val="left" w:pos="-720"/>
        </w:tabs>
        <w:suppressAutoHyphens/>
        <w:ind w:firstLine="1440"/>
        <w:jc w:val="left"/>
        <w:rPr>
          <w:spacing w:val="-3"/>
        </w:rPr>
      </w:pPr>
    </w:p>
    <w:p w:rsidR="00157F53" w:rsidRPr="00077CA4" w:rsidRDefault="00157F53" w:rsidP="00157F53">
      <w:pPr>
        <w:tabs>
          <w:tab w:val="left" w:pos="-1440"/>
          <w:tab w:val="left" w:pos="-720"/>
        </w:tabs>
        <w:suppressAutoHyphens/>
        <w:ind w:firstLine="1440"/>
        <w:jc w:val="left"/>
      </w:pPr>
      <w:r w:rsidRPr="00077CA4">
        <w:rPr>
          <w:spacing w:val="-3"/>
        </w:rPr>
        <w:t>8.</w:t>
      </w:r>
      <w:r w:rsidRPr="00077CA4">
        <w:rPr>
          <w:spacing w:val="-3"/>
        </w:rPr>
        <w:tab/>
      </w:r>
      <w:r w:rsidRPr="00077CA4">
        <w:t xml:space="preserve">A utility may establish that an applicant previously resided at a property for which residential service is requested through the use of a mortgage, deed or lease, a commercially available consumer credit reporting service or other methods approved as valid by the Commission.  52 </w:t>
      </w:r>
      <w:proofErr w:type="spellStart"/>
      <w:r w:rsidRPr="00077CA4">
        <w:t>Pa.Code</w:t>
      </w:r>
      <w:proofErr w:type="spellEnd"/>
      <w:r w:rsidRPr="00077CA4">
        <w:t xml:space="preserve"> § 56.35(b</w:t>
      </w:r>
      <w:proofErr w:type="gramStart"/>
      <w:r w:rsidRPr="00077CA4">
        <w:t>)(</w:t>
      </w:r>
      <w:proofErr w:type="gramEnd"/>
      <w:r w:rsidRPr="00077CA4">
        <w:t>2).</w:t>
      </w:r>
    </w:p>
    <w:p w:rsidR="00157F53" w:rsidRPr="00077CA4" w:rsidRDefault="00157F53" w:rsidP="00157F53">
      <w:pPr>
        <w:tabs>
          <w:tab w:val="left" w:pos="-1440"/>
          <w:tab w:val="left" w:pos="-720"/>
        </w:tabs>
        <w:suppressAutoHyphens/>
        <w:ind w:firstLine="1440"/>
        <w:jc w:val="left"/>
      </w:pPr>
    </w:p>
    <w:p w:rsidR="00157F53" w:rsidRPr="00077CA4" w:rsidRDefault="008B0642" w:rsidP="00157F53">
      <w:pPr>
        <w:tabs>
          <w:tab w:val="left" w:pos="-1440"/>
          <w:tab w:val="left" w:pos="-720"/>
        </w:tabs>
        <w:suppressAutoHyphens/>
        <w:ind w:firstLine="1440"/>
        <w:jc w:val="left"/>
      </w:pPr>
      <w:r w:rsidRPr="00077CA4">
        <w:t>9</w:t>
      </w:r>
      <w:r w:rsidR="00157F53" w:rsidRPr="00077CA4">
        <w:t>.</w:t>
      </w:r>
      <w:r w:rsidR="00157F53" w:rsidRPr="00077CA4">
        <w:tab/>
        <w:t xml:space="preserve">Business records may be accepted into the record as an exception to the hearsay rule if properly authenticated and if consistent with the Pennsylvania Rules of Evidence.  </w:t>
      </w:r>
      <w:proofErr w:type="spellStart"/>
      <w:proofErr w:type="gramStart"/>
      <w:r w:rsidR="00157F53" w:rsidRPr="00077CA4">
        <w:t>Pa.R.E.P</w:t>
      </w:r>
      <w:proofErr w:type="spellEnd"/>
      <w:r w:rsidR="00157F53" w:rsidRPr="00077CA4">
        <w:t>. 803(6), 902.</w:t>
      </w:r>
      <w:proofErr w:type="gramEnd"/>
    </w:p>
    <w:p w:rsidR="003E5CDD" w:rsidRPr="00077CA4" w:rsidRDefault="003E5CDD" w:rsidP="00157F53">
      <w:pPr>
        <w:tabs>
          <w:tab w:val="left" w:pos="-1440"/>
          <w:tab w:val="left" w:pos="-720"/>
        </w:tabs>
        <w:suppressAutoHyphens/>
        <w:ind w:firstLine="1440"/>
        <w:jc w:val="left"/>
      </w:pPr>
    </w:p>
    <w:p w:rsidR="003E5CDD" w:rsidRPr="00077CA4" w:rsidRDefault="003E5CDD" w:rsidP="003E5CDD">
      <w:pPr>
        <w:tabs>
          <w:tab w:val="left" w:pos="-1440"/>
          <w:tab w:val="left" w:pos="-720"/>
        </w:tabs>
        <w:suppressAutoHyphens/>
        <w:ind w:firstLine="1440"/>
        <w:jc w:val="left"/>
      </w:pPr>
      <w:r w:rsidRPr="00077CA4">
        <w:t>10.</w:t>
      </w:r>
      <w:r w:rsidRPr="00077CA4">
        <w:tab/>
        <w:t xml:space="preserve">Informal BCS decisions are "determinations" whereas the result of a formal Complaint is termed a "decision." </w:t>
      </w:r>
      <w:r w:rsidR="00E11A36">
        <w:t xml:space="preserve"> </w:t>
      </w:r>
      <w:r w:rsidRPr="00077CA4">
        <w:t xml:space="preserve">In addition, informal BCS determinations are governed primarily by Sections 3.111 to 3.113, 52 </w:t>
      </w:r>
      <w:proofErr w:type="spellStart"/>
      <w:r w:rsidRPr="00077CA4">
        <w:t>Pa.Code</w:t>
      </w:r>
      <w:proofErr w:type="spellEnd"/>
      <w:r w:rsidRPr="00077CA4">
        <w:t xml:space="preserve"> §§ 3.111, </w:t>
      </w:r>
      <w:r w:rsidRPr="00077CA4">
        <w:rPr>
          <w:i/>
        </w:rPr>
        <w:t>et seq</w:t>
      </w:r>
      <w:r w:rsidRPr="00077CA4">
        <w:t>., whereas formal Complaints ar</w:t>
      </w:r>
      <w:r w:rsidR="00203B45">
        <w:t xml:space="preserve">e governed by Chapter 5, 52 </w:t>
      </w:r>
      <w:proofErr w:type="spellStart"/>
      <w:r w:rsidR="00203B45">
        <w:t>Pa.Code</w:t>
      </w:r>
      <w:proofErr w:type="spellEnd"/>
      <w:r w:rsidR="00203B45">
        <w:t xml:space="preserve">, 5.1 et seq.  </w:t>
      </w:r>
      <w:r w:rsidRPr="00077CA4">
        <w:t xml:space="preserve">The Commission has never agreed to be bound by informal determinations.  </w:t>
      </w:r>
      <w:proofErr w:type="gramStart"/>
      <w:r w:rsidRPr="00077CA4">
        <w:t xml:space="preserve">See </w:t>
      </w:r>
      <w:r w:rsidRPr="00077CA4">
        <w:rPr>
          <w:i/>
        </w:rPr>
        <w:t xml:space="preserve">Derek Suggs &amp; Beverly </w:t>
      </w:r>
      <w:proofErr w:type="spellStart"/>
      <w:r w:rsidRPr="00077CA4">
        <w:rPr>
          <w:i/>
        </w:rPr>
        <w:t>Marell</w:t>
      </w:r>
      <w:proofErr w:type="spellEnd"/>
      <w:r w:rsidRPr="00077CA4">
        <w:rPr>
          <w:i/>
        </w:rPr>
        <w:t xml:space="preserve"> v.</w:t>
      </w:r>
      <w:proofErr w:type="gramEnd"/>
      <w:r w:rsidRPr="00077CA4">
        <w:rPr>
          <w:i/>
        </w:rPr>
        <w:t xml:space="preserve"> The Bell Telephone Company of Pennsylvania, </w:t>
      </w:r>
      <w:r w:rsidRPr="00077CA4">
        <w:t xml:space="preserve">Docket No. </w:t>
      </w:r>
      <w:proofErr w:type="gramStart"/>
      <w:r w:rsidRPr="00077CA4">
        <w:t>F-00162258 (Order entered July 15, 1993).</w:t>
      </w:r>
      <w:proofErr w:type="gramEnd"/>
    </w:p>
    <w:p w:rsidR="007E21BB" w:rsidRPr="00077CA4" w:rsidRDefault="007E21BB" w:rsidP="003E5CDD">
      <w:pPr>
        <w:tabs>
          <w:tab w:val="left" w:pos="-1440"/>
          <w:tab w:val="left" w:pos="-720"/>
        </w:tabs>
        <w:suppressAutoHyphens/>
        <w:ind w:firstLine="1440"/>
        <w:jc w:val="left"/>
      </w:pPr>
    </w:p>
    <w:p w:rsidR="007E21BB" w:rsidRPr="00077CA4" w:rsidRDefault="007E21BB" w:rsidP="003E5CDD">
      <w:pPr>
        <w:tabs>
          <w:tab w:val="left" w:pos="-1440"/>
          <w:tab w:val="left" w:pos="-720"/>
        </w:tabs>
        <w:suppressAutoHyphens/>
        <w:ind w:firstLine="1440"/>
        <w:jc w:val="left"/>
      </w:pPr>
      <w:r w:rsidRPr="00077CA4">
        <w:t>11.</w:t>
      </w:r>
      <w:r w:rsidRPr="00077CA4">
        <w:tab/>
        <w:t>The Complainant has met her burden of proof in this proceeding</w:t>
      </w:r>
      <w:r w:rsidR="007562C9" w:rsidRPr="00077CA4">
        <w:t>,</w:t>
      </w:r>
      <w:r w:rsidR="005D322A" w:rsidRPr="00077CA4">
        <w:t xml:space="preserve"> in part</w:t>
      </w:r>
      <w:r w:rsidRPr="00077CA4">
        <w:t>.</w:t>
      </w:r>
    </w:p>
    <w:p w:rsidR="00157F53" w:rsidRPr="00077CA4" w:rsidRDefault="00157F53" w:rsidP="00157F53">
      <w:pPr>
        <w:tabs>
          <w:tab w:val="left" w:pos="-1440"/>
          <w:tab w:val="left" w:pos="-720"/>
        </w:tabs>
        <w:suppressAutoHyphens/>
        <w:ind w:firstLine="1440"/>
        <w:jc w:val="left"/>
      </w:pPr>
    </w:p>
    <w:p w:rsidR="00157F53" w:rsidRPr="00077CA4" w:rsidRDefault="00157F53" w:rsidP="00157F53">
      <w:pPr>
        <w:tabs>
          <w:tab w:val="left" w:pos="-1440"/>
          <w:tab w:val="left" w:pos="-720"/>
        </w:tabs>
        <w:suppressAutoHyphens/>
        <w:ind w:firstLine="1440"/>
        <w:jc w:val="left"/>
      </w:pPr>
      <w:r w:rsidRPr="00077CA4">
        <w:t>1</w:t>
      </w:r>
      <w:r w:rsidR="007E21BB" w:rsidRPr="00077CA4">
        <w:t>2</w:t>
      </w:r>
      <w:r w:rsidRPr="00077CA4">
        <w:t>.</w:t>
      </w:r>
      <w:r w:rsidRPr="00077CA4">
        <w:tab/>
        <w:t xml:space="preserve">PGW failed to present sufficient evidence to </w:t>
      </w:r>
      <w:r w:rsidR="007E21BB" w:rsidRPr="00077CA4">
        <w:t xml:space="preserve">rebut the Complainant’s testimony or to </w:t>
      </w:r>
      <w:r w:rsidRPr="00077CA4">
        <w:t xml:space="preserve">support a finding that the Complainant is responsible for </w:t>
      </w:r>
      <w:r w:rsidR="0002374C" w:rsidRPr="00077CA4">
        <w:t xml:space="preserve">a bill for </w:t>
      </w:r>
      <w:r w:rsidRPr="00077CA4">
        <w:t>the</w:t>
      </w:r>
      <w:r w:rsidR="0002374C" w:rsidRPr="00077CA4">
        <w:t xml:space="preserve"> estimated</w:t>
      </w:r>
      <w:r w:rsidRPr="00077CA4">
        <w:t xml:space="preserve"> usage at the </w:t>
      </w:r>
      <w:r w:rsidR="00D2557B" w:rsidRPr="00077CA4">
        <w:t>1733 North Taney Street</w:t>
      </w:r>
      <w:r w:rsidR="007E21BB" w:rsidRPr="00077CA4">
        <w:t>, Philadelphia, Pennsylvania</w:t>
      </w:r>
      <w:r w:rsidR="008B0642" w:rsidRPr="00077CA4">
        <w:t xml:space="preserve"> </w:t>
      </w:r>
      <w:r w:rsidRPr="00077CA4">
        <w:t>address</w:t>
      </w:r>
      <w:r w:rsidR="005D322A" w:rsidRPr="00077CA4">
        <w:t xml:space="preserve"> from 2004 to 2013</w:t>
      </w:r>
      <w:r w:rsidRPr="00077CA4">
        <w:t>.</w:t>
      </w:r>
    </w:p>
    <w:p w:rsidR="005D322A" w:rsidRPr="00077CA4" w:rsidRDefault="005D322A" w:rsidP="00157F53">
      <w:pPr>
        <w:tabs>
          <w:tab w:val="left" w:pos="-1440"/>
          <w:tab w:val="left" w:pos="-720"/>
        </w:tabs>
        <w:suppressAutoHyphens/>
        <w:ind w:firstLine="1440"/>
        <w:jc w:val="left"/>
      </w:pPr>
    </w:p>
    <w:p w:rsidR="005D322A" w:rsidRDefault="00323808" w:rsidP="00157F53">
      <w:pPr>
        <w:tabs>
          <w:tab w:val="left" w:pos="-1440"/>
          <w:tab w:val="left" w:pos="-720"/>
        </w:tabs>
        <w:suppressAutoHyphens/>
        <w:ind w:firstLine="1440"/>
        <w:jc w:val="left"/>
      </w:pPr>
      <w:r>
        <w:t>13.</w:t>
      </w:r>
      <w:r w:rsidR="005D322A" w:rsidRPr="00077CA4">
        <w:tab/>
        <w:t xml:space="preserve">The Complainant may be held </w:t>
      </w:r>
      <w:r w:rsidR="00EB65B2" w:rsidRPr="00077CA4">
        <w:t xml:space="preserve">financially </w:t>
      </w:r>
      <w:r w:rsidR="005D322A" w:rsidRPr="00077CA4">
        <w:t xml:space="preserve">responsible for natural gas usage at the 1733 North Taney Street, Philadelphia, Pennsylvania address </w:t>
      </w:r>
      <w:r w:rsidR="007562C9" w:rsidRPr="00077CA4">
        <w:t xml:space="preserve">for the period </w:t>
      </w:r>
      <w:r w:rsidR="005D322A" w:rsidRPr="00077CA4">
        <w:t>from</w:t>
      </w:r>
      <w:r w:rsidR="00C2574A">
        <w:t xml:space="preserve"> May 1, </w:t>
      </w:r>
      <w:r w:rsidR="005D322A" w:rsidRPr="00077CA4">
        <w:t xml:space="preserve">2012 to December 31, 2013.  </w:t>
      </w:r>
      <w:proofErr w:type="gramStart"/>
      <w:r w:rsidR="005D322A" w:rsidRPr="00077CA4">
        <w:t xml:space="preserve">66 </w:t>
      </w:r>
      <w:proofErr w:type="spellStart"/>
      <w:r w:rsidR="005D322A" w:rsidRPr="00077CA4">
        <w:t>Pa.C.S</w:t>
      </w:r>
      <w:proofErr w:type="spellEnd"/>
      <w:r w:rsidR="005D322A" w:rsidRPr="00077CA4">
        <w:t>.</w:t>
      </w:r>
      <w:proofErr w:type="gramEnd"/>
      <w:r w:rsidR="005D322A" w:rsidRPr="00077CA4">
        <w:t xml:space="preserve"> </w:t>
      </w:r>
      <w:proofErr w:type="gramStart"/>
      <w:r w:rsidR="005D322A" w:rsidRPr="00077CA4">
        <w:t>§§ 1407(d) and (e).</w:t>
      </w:r>
      <w:proofErr w:type="gramEnd"/>
    </w:p>
    <w:p w:rsidR="00885C22" w:rsidRPr="00077CA4" w:rsidRDefault="00885C22" w:rsidP="00157F53">
      <w:pPr>
        <w:tabs>
          <w:tab w:val="left" w:pos="-1440"/>
          <w:tab w:val="left" w:pos="-720"/>
        </w:tabs>
        <w:suppressAutoHyphens/>
        <w:ind w:firstLine="1440"/>
        <w:jc w:val="left"/>
      </w:pPr>
    </w:p>
    <w:p w:rsidR="00157F53" w:rsidRPr="00077CA4" w:rsidRDefault="00157F53" w:rsidP="00D405A9">
      <w:pPr>
        <w:tabs>
          <w:tab w:val="left" w:pos="-1440"/>
          <w:tab w:val="left" w:pos="-720"/>
        </w:tabs>
        <w:suppressAutoHyphens/>
        <w:jc w:val="left"/>
      </w:pPr>
    </w:p>
    <w:p w:rsidR="00157F53" w:rsidRPr="00077CA4" w:rsidRDefault="00157F53" w:rsidP="0002374C">
      <w:pPr>
        <w:tabs>
          <w:tab w:val="left" w:pos="-1440"/>
          <w:tab w:val="left" w:pos="-720"/>
        </w:tabs>
        <w:suppressAutoHyphens/>
        <w:rPr>
          <w:b/>
          <w:u w:val="single"/>
        </w:rPr>
      </w:pPr>
      <w:r w:rsidRPr="00077CA4">
        <w:rPr>
          <w:b/>
          <w:u w:val="single"/>
        </w:rPr>
        <w:lastRenderedPageBreak/>
        <w:t>ORDER</w:t>
      </w:r>
    </w:p>
    <w:p w:rsidR="00157F53" w:rsidRPr="00077CA4" w:rsidRDefault="00157F53" w:rsidP="00157F53">
      <w:pPr>
        <w:tabs>
          <w:tab w:val="left" w:pos="-1440"/>
          <w:tab w:val="left" w:pos="-720"/>
        </w:tabs>
        <w:suppressAutoHyphens/>
        <w:ind w:firstLine="1440"/>
        <w:rPr>
          <w:b/>
          <w:u w:val="single"/>
        </w:rPr>
      </w:pPr>
    </w:p>
    <w:p w:rsidR="00D405A9" w:rsidRPr="00077CA4" w:rsidRDefault="00D405A9" w:rsidP="00157F53">
      <w:pPr>
        <w:tabs>
          <w:tab w:val="left" w:pos="-1440"/>
          <w:tab w:val="left" w:pos="-720"/>
        </w:tabs>
        <w:suppressAutoHyphens/>
        <w:ind w:firstLine="1440"/>
        <w:rPr>
          <w:b/>
          <w:u w:val="single"/>
        </w:rPr>
      </w:pPr>
    </w:p>
    <w:p w:rsidR="00157F53" w:rsidRPr="00077CA4" w:rsidRDefault="00157F53" w:rsidP="00157F53">
      <w:pPr>
        <w:tabs>
          <w:tab w:val="left" w:pos="-1440"/>
          <w:tab w:val="left" w:pos="-720"/>
        </w:tabs>
        <w:suppressAutoHyphens/>
        <w:ind w:firstLine="1440"/>
        <w:jc w:val="left"/>
      </w:pPr>
      <w:r w:rsidRPr="00077CA4">
        <w:t>THEREFORE,</w:t>
      </w:r>
    </w:p>
    <w:p w:rsidR="00157F53" w:rsidRPr="00077CA4" w:rsidRDefault="00157F53" w:rsidP="00157F53">
      <w:pPr>
        <w:tabs>
          <w:tab w:val="left" w:pos="-1440"/>
          <w:tab w:val="left" w:pos="-720"/>
        </w:tabs>
        <w:suppressAutoHyphens/>
        <w:ind w:firstLine="1440"/>
        <w:jc w:val="left"/>
      </w:pPr>
    </w:p>
    <w:p w:rsidR="00157F53" w:rsidRPr="00077CA4" w:rsidRDefault="00157F53" w:rsidP="00157F53">
      <w:pPr>
        <w:tabs>
          <w:tab w:val="left" w:pos="-1440"/>
          <w:tab w:val="left" w:pos="-720"/>
        </w:tabs>
        <w:suppressAutoHyphens/>
        <w:ind w:firstLine="1440"/>
        <w:jc w:val="left"/>
      </w:pPr>
      <w:r w:rsidRPr="00077CA4">
        <w:t>IT IS ORDERED:</w:t>
      </w:r>
    </w:p>
    <w:p w:rsidR="00157F53" w:rsidRPr="00077CA4" w:rsidRDefault="00157F53" w:rsidP="00157F53">
      <w:pPr>
        <w:tabs>
          <w:tab w:val="left" w:pos="-1440"/>
          <w:tab w:val="left" w:pos="-720"/>
        </w:tabs>
        <w:suppressAutoHyphens/>
        <w:ind w:firstLine="1440"/>
        <w:jc w:val="left"/>
      </w:pPr>
    </w:p>
    <w:p w:rsidR="001A2A2B" w:rsidRPr="00077CA4" w:rsidRDefault="00157F53" w:rsidP="00157F53">
      <w:pPr>
        <w:tabs>
          <w:tab w:val="left" w:pos="-1440"/>
          <w:tab w:val="left" w:pos="-720"/>
        </w:tabs>
        <w:suppressAutoHyphens/>
        <w:ind w:firstLine="1440"/>
        <w:jc w:val="left"/>
      </w:pPr>
      <w:r w:rsidRPr="00077CA4">
        <w:t>1.</w:t>
      </w:r>
      <w:r w:rsidRPr="00077CA4">
        <w:tab/>
      </w:r>
      <w:r w:rsidR="001A2A2B" w:rsidRPr="00077CA4">
        <w:t xml:space="preserve">That the Complaint filed by </w:t>
      </w:r>
      <w:r w:rsidR="00D2557B" w:rsidRPr="00077CA4">
        <w:t>Nicole Pittman</w:t>
      </w:r>
      <w:r w:rsidR="001A2A2B" w:rsidRPr="00077CA4">
        <w:t xml:space="preserve"> against Philadelphia Gas Works at Docket No. F-2013-</w:t>
      </w:r>
      <w:r w:rsidR="00D2557B" w:rsidRPr="00077CA4">
        <w:t>2395041</w:t>
      </w:r>
      <w:r w:rsidR="001A2A2B" w:rsidRPr="00077CA4">
        <w:t xml:space="preserve"> is </w:t>
      </w:r>
      <w:r w:rsidR="0002374C" w:rsidRPr="00077CA4">
        <w:t>sustained</w:t>
      </w:r>
      <w:r w:rsidR="005D322A" w:rsidRPr="00077CA4">
        <w:t xml:space="preserve"> in part and denied in part</w:t>
      </w:r>
      <w:r w:rsidR="001A2A2B" w:rsidRPr="00077CA4">
        <w:t>.</w:t>
      </w:r>
    </w:p>
    <w:p w:rsidR="001A2A2B" w:rsidRPr="00077CA4" w:rsidRDefault="001A2A2B" w:rsidP="00157F53">
      <w:pPr>
        <w:tabs>
          <w:tab w:val="left" w:pos="-1440"/>
          <w:tab w:val="left" w:pos="-720"/>
        </w:tabs>
        <w:suppressAutoHyphens/>
        <w:ind w:firstLine="1440"/>
        <w:jc w:val="left"/>
      </w:pPr>
    </w:p>
    <w:p w:rsidR="001A2A2B" w:rsidRPr="00077CA4" w:rsidRDefault="001A2A2B" w:rsidP="001A2A2B">
      <w:pPr>
        <w:jc w:val="left"/>
      </w:pPr>
      <w:r w:rsidRPr="00077CA4">
        <w:tab/>
      </w:r>
      <w:r w:rsidRPr="00077CA4">
        <w:tab/>
        <w:t>2.</w:t>
      </w:r>
      <w:r w:rsidRPr="00077CA4">
        <w:tab/>
        <w:t xml:space="preserve">That Philadelphia Gas Works shall </w:t>
      </w:r>
      <w:r w:rsidR="00D02221" w:rsidRPr="00077CA4">
        <w:t xml:space="preserve">not charge </w:t>
      </w:r>
      <w:r w:rsidR="00D2557B" w:rsidRPr="00077CA4">
        <w:t>Nicole Pittman</w:t>
      </w:r>
      <w:r w:rsidR="00D02221" w:rsidRPr="00077CA4">
        <w:t xml:space="preserve"> for estimated usage or any fee arising from suspected illegal usage of gas for </w:t>
      </w:r>
      <w:r w:rsidR="00D2557B" w:rsidRPr="00077CA4">
        <w:t>1733 North Taney Street</w:t>
      </w:r>
      <w:r w:rsidR="00D02221" w:rsidRPr="00077CA4">
        <w:t>, Philadelphia</w:t>
      </w:r>
      <w:r w:rsidR="00D2557B" w:rsidRPr="00077CA4">
        <w:t>, Pennsylvania</w:t>
      </w:r>
      <w:r w:rsidR="00D02221" w:rsidRPr="00077CA4">
        <w:t xml:space="preserve"> prior to </w:t>
      </w:r>
      <w:r w:rsidR="005D322A" w:rsidRPr="00077CA4">
        <w:t>May 1, 2012</w:t>
      </w:r>
      <w:r w:rsidRPr="00077CA4">
        <w:t>.</w:t>
      </w:r>
    </w:p>
    <w:p w:rsidR="005D322A" w:rsidRPr="00077CA4" w:rsidRDefault="005D322A" w:rsidP="001A2A2B">
      <w:pPr>
        <w:jc w:val="left"/>
      </w:pPr>
    </w:p>
    <w:p w:rsidR="005D322A" w:rsidRPr="00077CA4" w:rsidRDefault="005D322A" w:rsidP="001A2A2B">
      <w:pPr>
        <w:jc w:val="left"/>
      </w:pPr>
      <w:r w:rsidRPr="00077CA4">
        <w:tab/>
      </w:r>
      <w:r w:rsidRPr="00077CA4">
        <w:tab/>
        <w:t>3.</w:t>
      </w:r>
      <w:r w:rsidRPr="00077CA4">
        <w:tab/>
        <w:t>That Philadelphia Gas Works may charge Nicole Pittman for estimated natural gas usage in the amount of $1,795.47 for service at 1733 North Taney Street, Philadelphia, Pennsylvania, from May 1, 2012 to December 31, 2013.</w:t>
      </w:r>
    </w:p>
    <w:p w:rsidR="005D322A" w:rsidRPr="00077CA4" w:rsidRDefault="005D322A" w:rsidP="001A2A2B">
      <w:pPr>
        <w:jc w:val="left"/>
      </w:pPr>
    </w:p>
    <w:p w:rsidR="005D322A" w:rsidRPr="00077CA4" w:rsidRDefault="005D322A" w:rsidP="001A2A2B">
      <w:pPr>
        <w:jc w:val="left"/>
      </w:pPr>
      <w:r w:rsidRPr="00077CA4">
        <w:tab/>
      </w:r>
      <w:r w:rsidRPr="00077CA4">
        <w:tab/>
        <w:t>4.</w:t>
      </w:r>
      <w:r w:rsidRPr="00077CA4">
        <w:tab/>
        <w:t>That Philadelphia Gas Works may not charge Nicole Pittman a reconnection fee or deposit based o</w:t>
      </w:r>
      <w:r w:rsidR="00494B84">
        <w:t>n</w:t>
      </w:r>
      <w:r w:rsidRPr="00077CA4">
        <w:t xml:space="preserve"> </w:t>
      </w:r>
      <w:r w:rsidR="00EB65B2" w:rsidRPr="00077CA4">
        <w:t xml:space="preserve">the alleged illegal diversion of and use of natural gas.  If any connection fee or deposit is required from Nicole Pittman, then that must be done in accord with PGW’s tariff </w:t>
      </w:r>
      <w:bookmarkStart w:id="0" w:name="_GoBack"/>
      <w:bookmarkEnd w:id="0"/>
      <w:r w:rsidR="00EB65B2" w:rsidRPr="00077CA4">
        <w:t>for a new customer.</w:t>
      </w:r>
    </w:p>
    <w:p w:rsidR="001A2A2B" w:rsidRPr="00077CA4" w:rsidRDefault="001A2A2B" w:rsidP="001A2A2B">
      <w:pPr>
        <w:jc w:val="left"/>
      </w:pPr>
    </w:p>
    <w:p w:rsidR="00D02221" w:rsidRPr="00077CA4" w:rsidRDefault="00E11BA8" w:rsidP="00D02221">
      <w:pPr>
        <w:jc w:val="left"/>
      </w:pPr>
      <w:r w:rsidRPr="00077CA4">
        <w:tab/>
      </w:r>
      <w:r w:rsidRPr="00077CA4">
        <w:tab/>
      </w:r>
      <w:r w:rsidR="00EB65B2" w:rsidRPr="00077CA4">
        <w:t>5</w:t>
      </w:r>
      <w:r w:rsidR="001A2A2B" w:rsidRPr="00077CA4">
        <w:t>.</w:t>
      </w:r>
      <w:r w:rsidR="001A2A2B" w:rsidRPr="00077CA4">
        <w:tab/>
      </w:r>
      <w:r w:rsidR="00D02221" w:rsidRPr="00077CA4">
        <w:t xml:space="preserve">That the Secretary </w:t>
      </w:r>
      <w:proofErr w:type="gramStart"/>
      <w:r w:rsidR="00D02221" w:rsidRPr="00077CA4">
        <w:t>mark</w:t>
      </w:r>
      <w:proofErr w:type="gramEnd"/>
      <w:r w:rsidR="00D02221" w:rsidRPr="00077CA4">
        <w:t xml:space="preserve"> this docket closed.</w:t>
      </w:r>
    </w:p>
    <w:p w:rsidR="001A2A2B" w:rsidRPr="00077CA4" w:rsidRDefault="001A2A2B" w:rsidP="001A2A2B">
      <w:pPr>
        <w:jc w:val="left"/>
      </w:pPr>
    </w:p>
    <w:p w:rsidR="00B538BE" w:rsidRPr="00077CA4" w:rsidRDefault="00B538BE" w:rsidP="001A2A2B">
      <w:pPr>
        <w:jc w:val="left"/>
      </w:pPr>
    </w:p>
    <w:p w:rsidR="00B538BE" w:rsidRPr="00077CA4" w:rsidRDefault="00B538BE" w:rsidP="00B538BE">
      <w:pPr>
        <w:spacing w:line="240" w:lineRule="auto"/>
        <w:jc w:val="left"/>
      </w:pPr>
      <w:r w:rsidRPr="00077CA4">
        <w:t>Dated:</w:t>
      </w:r>
      <w:r w:rsidRPr="00077CA4">
        <w:tab/>
      </w:r>
      <w:r w:rsidR="00D2557B" w:rsidRPr="00077CA4">
        <w:t xml:space="preserve">   </w:t>
      </w:r>
      <w:r w:rsidR="00D2557B" w:rsidRPr="00077CA4">
        <w:rPr>
          <w:u w:val="single"/>
        </w:rPr>
        <w:t>August</w:t>
      </w:r>
      <w:r w:rsidR="00D02221" w:rsidRPr="00077CA4">
        <w:rPr>
          <w:u w:val="single"/>
        </w:rPr>
        <w:t xml:space="preserve"> </w:t>
      </w:r>
      <w:r w:rsidR="00EB65B2" w:rsidRPr="00077CA4">
        <w:rPr>
          <w:u w:val="single"/>
        </w:rPr>
        <w:t>2</w:t>
      </w:r>
      <w:r w:rsidR="00D25440">
        <w:rPr>
          <w:u w:val="single"/>
        </w:rPr>
        <w:t>8</w:t>
      </w:r>
      <w:r w:rsidRPr="00077CA4">
        <w:rPr>
          <w:u w:val="single"/>
        </w:rPr>
        <w:t>, 2014</w:t>
      </w:r>
      <w:r w:rsidRPr="00077CA4">
        <w:tab/>
      </w:r>
      <w:r w:rsidRPr="00077CA4">
        <w:tab/>
      </w:r>
      <w:r w:rsidRPr="00077CA4">
        <w:tab/>
      </w:r>
      <w:r w:rsidRPr="00077CA4">
        <w:tab/>
        <w:t>___</w:t>
      </w:r>
      <w:r w:rsidR="00CC0095" w:rsidRPr="00077CA4">
        <w:rPr>
          <w:u w:val="single"/>
        </w:rPr>
        <w:t>/s/</w:t>
      </w:r>
      <w:r w:rsidRPr="00077CA4">
        <w:t>_______________________________</w:t>
      </w:r>
    </w:p>
    <w:p w:rsidR="00B538BE" w:rsidRPr="00077CA4" w:rsidRDefault="00B538BE" w:rsidP="00B538BE">
      <w:pPr>
        <w:spacing w:line="240" w:lineRule="auto"/>
        <w:jc w:val="left"/>
      </w:pPr>
      <w:r w:rsidRPr="00077CA4">
        <w:tab/>
      </w:r>
      <w:r w:rsidRPr="00077CA4">
        <w:tab/>
      </w:r>
      <w:r w:rsidRPr="00077CA4">
        <w:tab/>
      </w:r>
      <w:r w:rsidRPr="00077CA4">
        <w:tab/>
      </w:r>
      <w:r w:rsidRPr="00077CA4">
        <w:tab/>
      </w:r>
      <w:r w:rsidRPr="00077CA4">
        <w:tab/>
      </w:r>
      <w:r w:rsidRPr="00077CA4">
        <w:tab/>
      </w:r>
      <w:r w:rsidR="00D2557B" w:rsidRPr="00077CA4">
        <w:t>Dennis J. Buckley</w:t>
      </w:r>
    </w:p>
    <w:p w:rsidR="00B538BE" w:rsidRPr="00077CA4" w:rsidRDefault="00B538BE" w:rsidP="00B538BE">
      <w:pPr>
        <w:spacing w:line="240" w:lineRule="auto"/>
        <w:jc w:val="left"/>
      </w:pPr>
      <w:r w:rsidRPr="00077CA4">
        <w:tab/>
      </w:r>
      <w:r w:rsidRPr="00077CA4">
        <w:tab/>
      </w:r>
      <w:r w:rsidRPr="00077CA4">
        <w:tab/>
      </w:r>
      <w:r w:rsidRPr="00077CA4">
        <w:tab/>
      </w:r>
      <w:r w:rsidRPr="00077CA4">
        <w:tab/>
      </w:r>
      <w:r w:rsidRPr="00077CA4">
        <w:tab/>
      </w:r>
      <w:r w:rsidRPr="00077CA4">
        <w:tab/>
        <w:t>Administrative Law Judge</w:t>
      </w:r>
    </w:p>
    <w:p w:rsidR="000C32E3" w:rsidRPr="00077CA4" w:rsidRDefault="00BB4785" w:rsidP="009F7F6F">
      <w:pPr>
        <w:jc w:val="left"/>
      </w:pPr>
      <w:r w:rsidRPr="00077CA4">
        <w:tab/>
      </w:r>
      <w:r w:rsidRPr="00077CA4">
        <w:tab/>
      </w:r>
    </w:p>
    <w:p w:rsidR="00A07535" w:rsidRPr="00077CA4" w:rsidRDefault="00A07535" w:rsidP="00A07535"/>
    <w:p w:rsidR="00186F26" w:rsidRPr="00077CA4" w:rsidRDefault="00186F26" w:rsidP="00A07535"/>
    <w:sectPr w:rsidR="00186F26" w:rsidRPr="00077CA4" w:rsidSect="0013308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7BD" w:rsidRDefault="00D907BD" w:rsidP="00133087">
      <w:pPr>
        <w:spacing w:line="240" w:lineRule="auto"/>
      </w:pPr>
      <w:r>
        <w:separator/>
      </w:r>
    </w:p>
  </w:endnote>
  <w:endnote w:type="continuationSeparator" w:id="0">
    <w:p w:rsidR="00D907BD" w:rsidRDefault="00D907BD" w:rsidP="00133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619079"/>
      <w:docPartObj>
        <w:docPartGallery w:val="Page Numbers (Bottom of Page)"/>
        <w:docPartUnique/>
      </w:docPartObj>
    </w:sdtPr>
    <w:sdtEndPr>
      <w:rPr>
        <w:noProof/>
        <w:sz w:val="20"/>
        <w:szCs w:val="20"/>
      </w:rPr>
    </w:sdtEndPr>
    <w:sdtContent>
      <w:p w:rsidR="00133087" w:rsidRPr="009A1545" w:rsidRDefault="00133087" w:rsidP="009A1545">
        <w:pPr>
          <w:pStyle w:val="Footer"/>
          <w:rPr>
            <w:sz w:val="20"/>
            <w:szCs w:val="20"/>
          </w:rPr>
        </w:pPr>
        <w:r w:rsidRPr="009A1545">
          <w:rPr>
            <w:sz w:val="20"/>
            <w:szCs w:val="20"/>
          </w:rPr>
          <w:fldChar w:fldCharType="begin"/>
        </w:r>
        <w:r w:rsidRPr="009A1545">
          <w:rPr>
            <w:sz w:val="20"/>
            <w:szCs w:val="20"/>
          </w:rPr>
          <w:instrText xml:space="preserve"> PAGE   \* MERGEFORMAT </w:instrText>
        </w:r>
        <w:r w:rsidRPr="009A1545">
          <w:rPr>
            <w:sz w:val="20"/>
            <w:szCs w:val="20"/>
          </w:rPr>
          <w:fldChar w:fldCharType="separate"/>
        </w:r>
        <w:r w:rsidR="00494B84">
          <w:rPr>
            <w:noProof/>
            <w:sz w:val="20"/>
            <w:szCs w:val="20"/>
          </w:rPr>
          <w:t>16</w:t>
        </w:r>
        <w:r w:rsidRPr="009A154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7BD" w:rsidRDefault="00D907BD" w:rsidP="00BE743C">
      <w:pPr>
        <w:spacing w:line="240" w:lineRule="auto"/>
        <w:jc w:val="left"/>
      </w:pPr>
      <w:r>
        <w:separator/>
      </w:r>
    </w:p>
  </w:footnote>
  <w:footnote w:type="continuationSeparator" w:id="0">
    <w:p w:rsidR="00D907BD" w:rsidRDefault="00D907BD" w:rsidP="00133087">
      <w:pPr>
        <w:spacing w:line="240" w:lineRule="auto"/>
      </w:pPr>
      <w:r>
        <w:continuationSeparator/>
      </w:r>
    </w:p>
  </w:footnote>
  <w:footnote w:id="1">
    <w:p w:rsidR="00A51D58" w:rsidRDefault="00A51D58" w:rsidP="00A51D58">
      <w:pPr>
        <w:pStyle w:val="FootnoteText"/>
        <w:jc w:val="left"/>
      </w:pPr>
      <w:r>
        <w:rPr>
          <w:rStyle w:val="FootnoteReference"/>
        </w:rPr>
        <w:footnoteRef/>
      </w:r>
      <w:r w:rsidR="008509FF">
        <w:tab/>
      </w:r>
      <w:r>
        <w:t xml:space="preserve">The Complaint is a timely appeal of a determination by the Commission’s Bureau of Consumer Services </w:t>
      </w:r>
      <w:r w:rsidR="009E0BB3">
        <w:t xml:space="preserve">(BCS) </w:t>
      </w:r>
      <w:r>
        <w:t>at Case No. 3153783.</w:t>
      </w:r>
      <w:r w:rsidR="000504B9">
        <w:t xml:space="preserve">  </w:t>
      </w:r>
      <w:r w:rsidR="000504B9" w:rsidRPr="000504B9">
        <w:t xml:space="preserve">Review of BCS informal complaint decisions are heard </w:t>
      </w:r>
      <w:r w:rsidR="000504B9" w:rsidRPr="00587DCF">
        <w:rPr>
          <w:i/>
        </w:rPr>
        <w:t>de novo</w:t>
      </w:r>
      <w:r w:rsidR="000504B9" w:rsidRPr="000504B9">
        <w:t xml:space="preserve"> by an administrative law judge (ALJ); therefore, ALJs are not bound by prior BCS findings and conclusions.  </w:t>
      </w:r>
      <w:proofErr w:type="gramStart"/>
      <w:r w:rsidR="000504B9" w:rsidRPr="000504B9">
        <w:t xml:space="preserve">52 </w:t>
      </w:r>
      <w:proofErr w:type="spellStart"/>
      <w:r w:rsidR="000504B9" w:rsidRPr="000504B9">
        <w:t>Pa.Code</w:t>
      </w:r>
      <w:proofErr w:type="spellEnd"/>
      <w:r w:rsidR="000504B9" w:rsidRPr="000504B9">
        <w:t xml:space="preserve"> § 56.403(a).</w:t>
      </w:r>
      <w:proofErr w:type="gramEnd"/>
      <w:r w:rsidR="000504B9" w:rsidRPr="000504B9">
        <w:t xml:space="preserve">   </w:t>
      </w:r>
    </w:p>
  </w:footnote>
  <w:footnote w:id="2">
    <w:p w:rsidR="00997E98" w:rsidRDefault="00997E98" w:rsidP="00997E98">
      <w:pPr>
        <w:pStyle w:val="FootnoteText"/>
        <w:jc w:val="left"/>
      </w:pPr>
      <w:r w:rsidRPr="006753E2">
        <w:rPr>
          <w:rStyle w:val="FootnoteReference"/>
        </w:rPr>
        <w:footnoteRef/>
      </w:r>
      <w:r w:rsidR="008509FF">
        <w:tab/>
      </w:r>
      <w:r w:rsidRPr="006753E2">
        <w:t>The number I had for Ms. Pittman was answered by an unidentified male who stated that the telephone number was his, not Ms. Pittman’s, and he asked that he not be contacted again.</w:t>
      </w:r>
    </w:p>
    <w:p w:rsidR="00997E98" w:rsidRPr="006753E2" w:rsidRDefault="00997E98" w:rsidP="00997E98">
      <w:pPr>
        <w:pStyle w:val="FootnoteText"/>
        <w:jc w:val="left"/>
      </w:pPr>
    </w:p>
  </w:footnote>
  <w:footnote w:id="3">
    <w:p w:rsidR="00997E98" w:rsidRPr="006753E2" w:rsidRDefault="00997E98" w:rsidP="00997E98">
      <w:pPr>
        <w:pStyle w:val="FootnoteText"/>
        <w:jc w:val="left"/>
      </w:pPr>
      <w:r w:rsidRPr="006753E2">
        <w:rPr>
          <w:rStyle w:val="FootnoteReference"/>
        </w:rPr>
        <w:footnoteRef/>
      </w:r>
      <w:r w:rsidR="008509FF">
        <w:tab/>
      </w:r>
      <w:r w:rsidRPr="006753E2">
        <w:t>I</w:t>
      </w:r>
      <w:r>
        <w:t xml:space="preserve"> later</w:t>
      </w:r>
      <w:r w:rsidRPr="006753E2">
        <w:t xml:space="preserve"> contacted Ms. </w:t>
      </w:r>
      <w:proofErr w:type="spellStart"/>
      <w:r w:rsidRPr="006753E2">
        <w:t>Christlieb</w:t>
      </w:r>
      <w:proofErr w:type="spellEnd"/>
      <w:r w:rsidRPr="006753E2">
        <w:t xml:space="preserve"> and advised her of my conversation with Complainant.  That conversation was solely procedural in nature.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0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1666"/>
    <w:rsid w:val="00022B3F"/>
    <w:rsid w:val="0002374C"/>
    <w:rsid w:val="00024D13"/>
    <w:rsid w:val="00025D7A"/>
    <w:rsid w:val="000304BF"/>
    <w:rsid w:val="00032379"/>
    <w:rsid w:val="0003306B"/>
    <w:rsid w:val="00033303"/>
    <w:rsid w:val="000338CD"/>
    <w:rsid w:val="00035BB8"/>
    <w:rsid w:val="000372C5"/>
    <w:rsid w:val="00037484"/>
    <w:rsid w:val="000377F5"/>
    <w:rsid w:val="00037E0F"/>
    <w:rsid w:val="00040705"/>
    <w:rsid w:val="00040EB6"/>
    <w:rsid w:val="00044B8B"/>
    <w:rsid w:val="00044FC0"/>
    <w:rsid w:val="0004643F"/>
    <w:rsid w:val="000466BF"/>
    <w:rsid w:val="00046714"/>
    <w:rsid w:val="00046940"/>
    <w:rsid w:val="000478E2"/>
    <w:rsid w:val="000504B9"/>
    <w:rsid w:val="000541C0"/>
    <w:rsid w:val="0005423F"/>
    <w:rsid w:val="00055078"/>
    <w:rsid w:val="00055CC5"/>
    <w:rsid w:val="00056279"/>
    <w:rsid w:val="00057020"/>
    <w:rsid w:val="000576ED"/>
    <w:rsid w:val="000605B6"/>
    <w:rsid w:val="00061278"/>
    <w:rsid w:val="000634EB"/>
    <w:rsid w:val="00063801"/>
    <w:rsid w:val="00065B71"/>
    <w:rsid w:val="0006752D"/>
    <w:rsid w:val="000676B2"/>
    <w:rsid w:val="00067CBC"/>
    <w:rsid w:val="00070AA1"/>
    <w:rsid w:val="00071A36"/>
    <w:rsid w:val="00072595"/>
    <w:rsid w:val="00072D46"/>
    <w:rsid w:val="00073BE1"/>
    <w:rsid w:val="00074065"/>
    <w:rsid w:val="00076092"/>
    <w:rsid w:val="000779CB"/>
    <w:rsid w:val="00077CA4"/>
    <w:rsid w:val="00082363"/>
    <w:rsid w:val="000852E5"/>
    <w:rsid w:val="00085A52"/>
    <w:rsid w:val="00086449"/>
    <w:rsid w:val="00086E72"/>
    <w:rsid w:val="000902E3"/>
    <w:rsid w:val="0009043B"/>
    <w:rsid w:val="00091F08"/>
    <w:rsid w:val="0009220F"/>
    <w:rsid w:val="00092B4E"/>
    <w:rsid w:val="00092E44"/>
    <w:rsid w:val="0009318F"/>
    <w:rsid w:val="000931F7"/>
    <w:rsid w:val="00093413"/>
    <w:rsid w:val="00093562"/>
    <w:rsid w:val="00093E43"/>
    <w:rsid w:val="00094E20"/>
    <w:rsid w:val="00096B3F"/>
    <w:rsid w:val="00097D77"/>
    <w:rsid w:val="000A2192"/>
    <w:rsid w:val="000A3FA5"/>
    <w:rsid w:val="000A4551"/>
    <w:rsid w:val="000A4E7A"/>
    <w:rsid w:val="000A5DEA"/>
    <w:rsid w:val="000A652E"/>
    <w:rsid w:val="000A770B"/>
    <w:rsid w:val="000B1BFC"/>
    <w:rsid w:val="000B2D0C"/>
    <w:rsid w:val="000B339A"/>
    <w:rsid w:val="000B7111"/>
    <w:rsid w:val="000C0311"/>
    <w:rsid w:val="000C2696"/>
    <w:rsid w:val="000C2A2B"/>
    <w:rsid w:val="000C32E3"/>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0770"/>
    <w:rsid w:val="000F1890"/>
    <w:rsid w:val="000F18D1"/>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0827"/>
    <w:rsid w:val="00113B1B"/>
    <w:rsid w:val="001146C8"/>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27910"/>
    <w:rsid w:val="0013068D"/>
    <w:rsid w:val="00130A2C"/>
    <w:rsid w:val="00133087"/>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6188"/>
    <w:rsid w:val="0015737B"/>
    <w:rsid w:val="00157490"/>
    <w:rsid w:val="00157E46"/>
    <w:rsid w:val="00157F53"/>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1E7B"/>
    <w:rsid w:val="00183A62"/>
    <w:rsid w:val="001857EA"/>
    <w:rsid w:val="00186328"/>
    <w:rsid w:val="001868F5"/>
    <w:rsid w:val="00186F26"/>
    <w:rsid w:val="00190B2C"/>
    <w:rsid w:val="0019120E"/>
    <w:rsid w:val="00191522"/>
    <w:rsid w:val="00192EB5"/>
    <w:rsid w:val="00195C2B"/>
    <w:rsid w:val="001966CB"/>
    <w:rsid w:val="001969A7"/>
    <w:rsid w:val="00196C5A"/>
    <w:rsid w:val="0019791B"/>
    <w:rsid w:val="00197E5D"/>
    <w:rsid w:val="001A0F84"/>
    <w:rsid w:val="001A103D"/>
    <w:rsid w:val="001A1644"/>
    <w:rsid w:val="001A216A"/>
    <w:rsid w:val="001A2A2B"/>
    <w:rsid w:val="001A33F5"/>
    <w:rsid w:val="001A3A31"/>
    <w:rsid w:val="001A3D48"/>
    <w:rsid w:val="001A4A01"/>
    <w:rsid w:val="001A5421"/>
    <w:rsid w:val="001A6541"/>
    <w:rsid w:val="001A7F95"/>
    <w:rsid w:val="001B02D4"/>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87E"/>
    <w:rsid w:val="001D0DCD"/>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290D"/>
    <w:rsid w:val="001F33A3"/>
    <w:rsid w:val="001F36F0"/>
    <w:rsid w:val="001F4882"/>
    <w:rsid w:val="001F49C0"/>
    <w:rsid w:val="001F4DA0"/>
    <w:rsid w:val="001F550B"/>
    <w:rsid w:val="001F6E43"/>
    <w:rsid w:val="001F6F77"/>
    <w:rsid w:val="001F74FC"/>
    <w:rsid w:val="001F77B2"/>
    <w:rsid w:val="002004A8"/>
    <w:rsid w:val="0020134C"/>
    <w:rsid w:val="002019B1"/>
    <w:rsid w:val="00201E65"/>
    <w:rsid w:val="00203B45"/>
    <w:rsid w:val="00204E47"/>
    <w:rsid w:val="00205C33"/>
    <w:rsid w:val="002100BE"/>
    <w:rsid w:val="0021162B"/>
    <w:rsid w:val="002125E4"/>
    <w:rsid w:val="002131B7"/>
    <w:rsid w:val="00214E49"/>
    <w:rsid w:val="00215381"/>
    <w:rsid w:val="00215BA6"/>
    <w:rsid w:val="002163B7"/>
    <w:rsid w:val="00216C32"/>
    <w:rsid w:val="00216F58"/>
    <w:rsid w:val="00216F76"/>
    <w:rsid w:val="0021750E"/>
    <w:rsid w:val="002178EA"/>
    <w:rsid w:val="0022017F"/>
    <w:rsid w:val="002205EC"/>
    <w:rsid w:val="00220D97"/>
    <w:rsid w:val="00221A88"/>
    <w:rsid w:val="0022319A"/>
    <w:rsid w:val="002241D0"/>
    <w:rsid w:val="00224756"/>
    <w:rsid w:val="0022478F"/>
    <w:rsid w:val="00225322"/>
    <w:rsid w:val="00227A4A"/>
    <w:rsid w:val="00230CC6"/>
    <w:rsid w:val="00231F12"/>
    <w:rsid w:val="002337D7"/>
    <w:rsid w:val="00234DEB"/>
    <w:rsid w:val="0023584A"/>
    <w:rsid w:val="00236C44"/>
    <w:rsid w:val="00240343"/>
    <w:rsid w:val="002403E6"/>
    <w:rsid w:val="002422D0"/>
    <w:rsid w:val="00242D11"/>
    <w:rsid w:val="00243795"/>
    <w:rsid w:val="00245181"/>
    <w:rsid w:val="002451F7"/>
    <w:rsid w:val="002455CC"/>
    <w:rsid w:val="00246523"/>
    <w:rsid w:val="0024777B"/>
    <w:rsid w:val="00247CE0"/>
    <w:rsid w:val="002502F2"/>
    <w:rsid w:val="00250571"/>
    <w:rsid w:val="00251E5A"/>
    <w:rsid w:val="002526CA"/>
    <w:rsid w:val="00252DB6"/>
    <w:rsid w:val="00252DD3"/>
    <w:rsid w:val="00252F2A"/>
    <w:rsid w:val="0025351B"/>
    <w:rsid w:val="002546D8"/>
    <w:rsid w:val="00254B0F"/>
    <w:rsid w:val="002557C7"/>
    <w:rsid w:val="002558A3"/>
    <w:rsid w:val="00255930"/>
    <w:rsid w:val="00255ABE"/>
    <w:rsid w:val="00256505"/>
    <w:rsid w:val="00256D0C"/>
    <w:rsid w:val="00260459"/>
    <w:rsid w:val="00260814"/>
    <w:rsid w:val="00262A17"/>
    <w:rsid w:val="00262AF8"/>
    <w:rsid w:val="00263AD5"/>
    <w:rsid w:val="0026705F"/>
    <w:rsid w:val="002704DD"/>
    <w:rsid w:val="00270AF3"/>
    <w:rsid w:val="00271BEA"/>
    <w:rsid w:val="0027207B"/>
    <w:rsid w:val="0027210A"/>
    <w:rsid w:val="002748C2"/>
    <w:rsid w:val="00274F86"/>
    <w:rsid w:val="002752C3"/>
    <w:rsid w:val="00275659"/>
    <w:rsid w:val="002761E2"/>
    <w:rsid w:val="00277591"/>
    <w:rsid w:val="002825AA"/>
    <w:rsid w:val="00283282"/>
    <w:rsid w:val="00284760"/>
    <w:rsid w:val="00286A34"/>
    <w:rsid w:val="002871C2"/>
    <w:rsid w:val="002875D5"/>
    <w:rsid w:val="00287CB1"/>
    <w:rsid w:val="0029096F"/>
    <w:rsid w:val="00290AD2"/>
    <w:rsid w:val="0029353E"/>
    <w:rsid w:val="00293F4E"/>
    <w:rsid w:val="00296B74"/>
    <w:rsid w:val="00297286"/>
    <w:rsid w:val="002A05C6"/>
    <w:rsid w:val="002A1522"/>
    <w:rsid w:val="002A17F4"/>
    <w:rsid w:val="002A4E7E"/>
    <w:rsid w:val="002A56BF"/>
    <w:rsid w:val="002A5F4D"/>
    <w:rsid w:val="002A70E9"/>
    <w:rsid w:val="002A7731"/>
    <w:rsid w:val="002A7A0A"/>
    <w:rsid w:val="002B0D61"/>
    <w:rsid w:val="002B2AF4"/>
    <w:rsid w:val="002B3E20"/>
    <w:rsid w:val="002B541A"/>
    <w:rsid w:val="002B754D"/>
    <w:rsid w:val="002C0694"/>
    <w:rsid w:val="002C1023"/>
    <w:rsid w:val="002C1538"/>
    <w:rsid w:val="002C2FE5"/>
    <w:rsid w:val="002C302A"/>
    <w:rsid w:val="002C3B3F"/>
    <w:rsid w:val="002C4F02"/>
    <w:rsid w:val="002C69AD"/>
    <w:rsid w:val="002D0E4D"/>
    <w:rsid w:val="002D11F2"/>
    <w:rsid w:val="002D1A13"/>
    <w:rsid w:val="002D1E71"/>
    <w:rsid w:val="002D29B0"/>
    <w:rsid w:val="002D6B36"/>
    <w:rsid w:val="002D7136"/>
    <w:rsid w:val="002D7978"/>
    <w:rsid w:val="002E1B17"/>
    <w:rsid w:val="002E2283"/>
    <w:rsid w:val="002E2CAD"/>
    <w:rsid w:val="002E32C2"/>
    <w:rsid w:val="002E5790"/>
    <w:rsid w:val="002E6CB4"/>
    <w:rsid w:val="002E7DDB"/>
    <w:rsid w:val="002F21B6"/>
    <w:rsid w:val="002F222D"/>
    <w:rsid w:val="002F2A4A"/>
    <w:rsid w:val="002F42FC"/>
    <w:rsid w:val="002F5C03"/>
    <w:rsid w:val="002F6F4F"/>
    <w:rsid w:val="002F75DA"/>
    <w:rsid w:val="00300799"/>
    <w:rsid w:val="00302FCA"/>
    <w:rsid w:val="00303526"/>
    <w:rsid w:val="00303761"/>
    <w:rsid w:val="003048EC"/>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3808"/>
    <w:rsid w:val="00326EEE"/>
    <w:rsid w:val="00326F3E"/>
    <w:rsid w:val="00330A67"/>
    <w:rsid w:val="00332A51"/>
    <w:rsid w:val="00333ADD"/>
    <w:rsid w:val="00334B02"/>
    <w:rsid w:val="00334F62"/>
    <w:rsid w:val="00336496"/>
    <w:rsid w:val="003364EB"/>
    <w:rsid w:val="00336857"/>
    <w:rsid w:val="00336CE8"/>
    <w:rsid w:val="003425CF"/>
    <w:rsid w:val="0034272B"/>
    <w:rsid w:val="00342BFE"/>
    <w:rsid w:val="00344C34"/>
    <w:rsid w:val="00345C65"/>
    <w:rsid w:val="00346679"/>
    <w:rsid w:val="003470E8"/>
    <w:rsid w:val="0035100D"/>
    <w:rsid w:val="003513F1"/>
    <w:rsid w:val="003534EB"/>
    <w:rsid w:val="00354574"/>
    <w:rsid w:val="00354BD0"/>
    <w:rsid w:val="003550C3"/>
    <w:rsid w:val="00355C53"/>
    <w:rsid w:val="00356988"/>
    <w:rsid w:val="003601E1"/>
    <w:rsid w:val="00360613"/>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CD2"/>
    <w:rsid w:val="00383321"/>
    <w:rsid w:val="003851CD"/>
    <w:rsid w:val="00385BF0"/>
    <w:rsid w:val="00385DAD"/>
    <w:rsid w:val="00386626"/>
    <w:rsid w:val="003908D7"/>
    <w:rsid w:val="00390929"/>
    <w:rsid w:val="00390DBB"/>
    <w:rsid w:val="00391CFF"/>
    <w:rsid w:val="003924CC"/>
    <w:rsid w:val="0039354A"/>
    <w:rsid w:val="00396333"/>
    <w:rsid w:val="00396ADD"/>
    <w:rsid w:val="0039716B"/>
    <w:rsid w:val="003A0B9C"/>
    <w:rsid w:val="003A0E5A"/>
    <w:rsid w:val="003A0F8D"/>
    <w:rsid w:val="003A2B63"/>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4B98"/>
    <w:rsid w:val="003E5240"/>
    <w:rsid w:val="003E5CDD"/>
    <w:rsid w:val="003E7E85"/>
    <w:rsid w:val="003F01A7"/>
    <w:rsid w:val="003F2E62"/>
    <w:rsid w:val="003F3925"/>
    <w:rsid w:val="003F425B"/>
    <w:rsid w:val="00401386"/>
    <w:rsid w:val="004014F2"/>
    <w:rsid w:val="004017C5"/>
    <w:rsid w:val="0040192E"/>
    <w:rsid w:val="004047B1"/>
    <w:rsid w:val="00404D7B"/>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68"/>
    <w:rsid w:val="00425C94"/>
    <w:rsid w:val="00426277"/>
    <w:rsid w:val="004262B3"/>
    <w:rsid w:val="00426605"/>
    <w:rsid w:val="00427B11"/>
    <w:rsid w:val="00431130"/>
    <w:rsid w:val="00433AE5"/>
    <w:rsid w:val="0043485A"/>
    <w:rsid w:val="00434FD6"/>
    <w:rsid w:val="00435EA8"/>
    <w:rsid w:val="00440521"/>
    <w:rsid w:val="004407EE"/>
    <w:rsid w:val="00440C1D"/>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4F3D"/>
    <w:rsid w:val="00455691"/>
    <w:rsid w:val="004565C0"/>
    <w:rsid w:val="00460024"/>
    <w:rsid w:val="00460031"/>
    <w:rsid w:val="00460140"/>
    <w:rsid w:val="0046238B"/>
    <w:rsid w:val="004625E8"/>
    <w:rsid w:val="00464B18"/>
    <w:rsid w:val="00465D71"/>
    <w:rsid w:val="00466D15"/>
    <w:rsid w:val="0047070D"/>
    <w:rsid w:val="00470BDF"/>
    <w:rsid w:val="004736EA"/>
    <w:rsid w:val="00476B21"/>
    <w:rsid w:val="00477A71"/>
    <w:rsid w:val="00481269"/>
    <w:rsid w:val="004839FC"/>
    <w:rsid w:val="00483C70"/>
    <w:rsid w:val="00484589"/>
    <w:rsid w:val="00484BCE"/>
    <w:rsid w:val="00486735"/>
    <w:rsid w:val="00487E8F"/>
    <w:rsid w:val="004909A4"/>
    <w:rsid w:val="00491F39"/>
    <w:rsid w:val="004938B5"/>
    <w:rsid w:val="00493AC3"/>
    <w:rsid w:val="0049422F"/>
    <w:rsid w:val="0049475D"/>
    <w:rsid w:val="00494B84"/>
    <w:rsid w:val="0049575D"/>
    <w:rsid w:val="00496D95"/>
    <w:rsid w:val="00496DB8"/>
    <w:rsid w:val="004A0A31"/>
    <w:rsid w:val="004A11A6"/>
    <w:rsid w:val="004A1729"/>
    <w:rsid w:val="004A21F4"/>
    <w:rsid w:val="004A31A0"/>
    <w:rsid w:val="004A3363"/>
    <w:rsid w:val="004A4B6C"/>
    <w:rsid w:val="004A5318"/>
    <w:rsid w:val="004A5D57"/>
    <w:rsid w:val="004A741E"/>
    <w:rsid w:val="004B0321"/>
    <w:rsid w:val="004B1ADE"/>
    <w:rsid w:val="004B2625"/>
    <w:rsid w:val="004B3BD9"/>
    <w:rsid w:val="004B3C9C"/>
    <w:rsid w:val="004B570B"/>
    <w:rsid w:val="004B652A"/>
    <w:rsid w:val="004B7DB2"/>
    <w:rsid w:val="004C015B"/>
    <w:rsid w:val="004C0C3E"/>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384D"/>
    <w:rsid w:val="004E429F"/>
    <w:rsid w:val="004E5569"/>
    <w:rsid w:val="004E60E4"/>
    <w:rsid w:val="004F160A"/>
    <w:rsid w:val="004F2F62"/>
    <w:rsid w:val="004F37CB"/>
    <w:rsid w:val="004F45CA"/>
    <w:rsid w:val="004F5216"/>
    <w:rsid w:val="004F616B"/>
    <w:rsid w:val="004F64E4"/>
    <w:rsid w:val="00500A53"/>
    <w:rsid w:val="0050204C"/>
    <w:rsid w:val="00503634"/>
    <w:rsid w:val="00504F92"/>
    <w:rsid w:val="00505551"/>
    <w:rsid w:val="005078B3"/>
    <w:rsid w:val="00510A28"/>
    <w:rsid w:val="00511C54"/>
    <w:rsid w:val="0051292E"/>
    <w:rsid w:val="00516207"/>
    <w:rsid w:val="00520C27"/>
    <w:rsid w:val="005216C0"/>
    <w:rsid w:val="00521B57"/>
    <w:rsid w:val="00521BCE"/>
    <w:rsid w:val="00522DE9"/>
    <w:rsid w:val="00522EF8"/>
    <w:rsid w:val="0052399F"/>
    <w:rsid w:val="00523F60"/>
    <w:rsid w:val="00523FBA"/>
    <w:rsid w:val="00524079"/>
    <w:rsid w:val="005255C0"/>
    <w:rsid w:val="005258BD"/>
    <w:rsid w:val="00526890"/>
    <w:rsid w:val="0052764F"/>
    <w:rsid w:val="00527AFE"/>
    <w:rsid w:val="005328F4"/>
    <w:rsid w:val="0053460A"/>
    <w:rsid w:val="00535220"/>
    <w:rsid w:val="00536ABE"/>
    <w:rsid w:val="0053717B"/>
    <w:rsid w:val="00540B74"/>
    <w:rsid w:val="00540B8B"/>
    <w:rsid w:val="00540ED6"/>
    <w:rsid w:val="00541C1D"/>
    <w:rsid w:val="005449AC"/>
    <w:rsid w:val="00544A16"/>
    <w:rsid w:val="005472EC"/>
    <w:rsid w:val="00547C82"/>
    <w:rsid w:val="0055122B"/>
    <w:rsid w:val="00552915"/>
    <w:rsid w:val="005531C7"/>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1469"/>
    <w:rsid w:val="00582289"/>
    <w:rsid w:val="0058363F"/>
    <w:rsid w:val="00584CB9"/>
    <w:rsid w:val="00585BD9"/>
    <w:rsid w:val="00587B74"/>
    <w:rsid w:val="00587DCF"/>
    <w:rsid w:val="00591696"/>
    <w:rsid w:val="00592900"/>
    <w:rsid w:val="00593FF1"/>
    <w:rsid w:val="00594648"/>
    <w:rsid w:val="005949BF"/>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22A"/>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2C4"/>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0BB5"/>
    <w:rsid w:val="00651F0A"/>
    <w:rsid w:val="006540C5"/>
    <w:rsid w:val="006543FB"/>
    <w:rsid w:val="006549F5"/>
    <w:rsid w:val="00655505"/>
    <w:rsid w:val="00655AA7"/>
    <w:rsid w:val="00655E07"/>
    <w:rsid w:val="00655F80"/>
    <w:rsid w:val="00656541"/>
    <w:rsid w:val="00660216"/>
    <w:rsid w:val="006621E9"/>
    <w:rsid w:val="00662904"/>
    <w:rsid w:val="00664A57"/>
    <w:rsid w:val="00664C73"/>
    <w:rsid w:val="006657A7"/>
    <w:rsid w:val="00671999"/>
    <w:rsid w:val="006732A8"/>
    <w:rsid w:val="0067552F"/>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1B78"/>
    <w:rsid w:val="006A3267"/>
    <w:rsid w:val="006A4533"/>
    <w:rsid w:val="006A5968"/>
    <w:rsid w:val="006A5F8B"/>
    <w:rsid w:val="006A600F"/>
    <w:rsid w:val="006A65AE"/>
    <w:rsid w:val="006A76B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66A4"/>
    <w:rsid w:val="006C71BB"/>
    <w:rsid w:val="006D071F"/>
    <w:rsid w:val="006D1276"/>
    <w:rsid w:val="006D13C4"/>
    <w:rsid w:val="006D1E5C"/>
    <w:rsid w:val="006D2C14"/>
    <w:rsid w:val="006D3945"/>
    <w:rsid w:val="006D4C15"/>
    <w:rsid w:val="006D7692"/>
    <w:rsid w:val="006E0A1C"/>
    <w:rsid w:val="006E1753"/>
    <w:rsid w:val="006E1E2D"/>
    <w:rsid w:val="006E3BF0"/>
    <w:rsid w:val="006E4E29"/>
    <w:rsid w:val="006E5D2E"/>
    <w:rsid w:val="006E670A"/>
    <w:rsid w:val="006E7C63"/>
    <w:rsid w:val="006F15E9"/>
    <w:rsid w:val="006F252A"/>
    <w:rsid w:val="006F27FC"/>
    <w:rsid w:val="006F3153"/>
    <w:rsid w:val="006F42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1B3A"/>
    <w:rsid w:val="00713444"/>
    <w:rsid w:val="0071374E"/>
    <w:rsid w:val="00714B6A"/>
    <w:rsid w:val="00716D0A"/>
    <w:rsid w:val="00717AF6"/>
    <w:rsid w:val="00720157"/>
    <w:rsid w:val="00720579"/>
    <w:rsid w:val="00721ECF"/>
    <w:rsid w:val="00722D13"/>
    <w:rsid w:val="007230FE"/>
    <w:rsid w:val="00724A38"/>
    <w:rsid w:val="00725BEA"/>
    <w:rsid w:val="00726409"/>
    <w:rsid w:val="007306D1"/>
    <w:rsid w:val="00730BE2"/>
    <w:rsid w:val="00732046"/>
    <w:rsid w:val="007335EB"/>
    <w:rsid w:val="007337E0"/>
    <w:rsid w:val="007344C3"/>
    <w:rsid w:val="00736C31"/>
    <w:rsid w:val="0074239D"/>
    <w:rsid w:val="00742CE1"/>
    <w:rsid w:val="007431DB"/>
    <w:rsid w:val="0074372C"/>
    <w:rsid w:val="00744C7C"/>
    <w:rsid w:val="00745862"/>
    <w:rsid w:val="00746657"/>
    <w:rsid w:val="0074687F"/>
    <w:rsid w:val="00746973"/>
    <w:rsid w:val="00747C4D"/>
    <w:rsid w:val="00751055"/>
    <w:rsid w:val="007517A4"/>
    <w:rsid w:val="00752EF0"/>
    <w:rsid w:val="0075585E"/>
    <w:rsid w:val="00755A77"/>
    <w:rsid w:val="007562C9"/>
    <w:rsid w:val="00761CA4"/>
    <w:rsid w:val="007631D1"/>
    <w:rsid w:val="007635AC"/>
    <w:rsid w:val="00765FA2"/>
    <w:rsid w:val="00772458"/>
    <w:rsid w:val="00775812"/>
    <w:rsid w:val="00780312"/>
    <w:rsid w:val="00780370"/>
    <w:rsid w:val="00781AFB"/>
    <w:rsid w:val="00782461"/>
    <w:rsid w:val="0078261F"/>
    <w:rsid w:val="007833DA"/>
    <w:rsid w:val="00783492"/>
    <w:rsid w:val="00784137"/>
    <w:rsid w:val="00784522"/>
    <w:rsid w:val="0078470A"/>
    <w:rsid w:val="00784C15"/>
    <w:rsid w:val="0078583D"/>
    <w:rsid w:val="00785939"/>
    <w:rsid w:val="00785D73"/>
    <w:rsid w:val="00786FA8"/>
    <w:rsid w:val="00787AF1"/>
    <w:rsid w:val="0079132B"/>
    <w:rsid w:val="0079360E"/>
    <w:rsid w:val="00794977"/>
    <w:rsid w:val="00795245"/>
    <w:rsid w:val="007969E6"/>
    <w:rsid w:val="00796DA1"/>
    <w:rsid w:val="007A2C57"/>
    <w:rsid w:val="007A3440"/>
    <w:rsid w:val="007A34B3"/>
    <w:rsid w:val="007B03FE"/>
    <w:rsid w:val="007B1039"/>
    <w:rsid w:val="007B1644"/>
    <w:rsid w:val="007B32F0"/>
    <w:rsid w:val="007B33F8"/>
    <w:rsid w:val="007B3B6F"/>
    <w:rsid w:val="007B3F3D"/>
    <w:rsid w:val="007B413B"/>
    <w:rsid w:val="007B4FD7"/>
    <w:rsid w:val="007B5461"/>
    <w:rsid w:val="007B6474"/>
    <w:rsid w:val="007B7F0F"/>
    <w:rsid w:val="007C19EC"/>
    <w:rsid w:val="007C342D"/>
    <w:rsid w:val="007C3C7F"/>
    <w:rsid w:val="007C51EB"/>
    <w:rsid w:val="007C5405"/>
    <w:rsid w:val="007C60E2"/>
    <w:rsid w:val="007C7435"/>
    <w:rsid w:val="007D158A"/>
    <w:rsid w:val="007D5B1C"/>
    <w:rsid w:val="007D6D87"/>
    <w:rsid w:val="007D6FD6"/>
    <w:rsid w:val="007E0ADA"/>
    <w:rsid w:val="007E15CF"/>
    <w:rsid w:val="007E1DB4"/>
    <w:rsid w:val="007E2112"/>
    <w:rsid w:val="007E21BB"/>
    <w:rsid w:val="007E5866"/>
    <w:rsid w:val="007F07AF"/>
    <w:rsid w:val="007F2A44"/>
    <w:rsid w:val="007F496F"/>
    <w:rsid w:val="007F6E2B"/>
    <w:rsid w:val="007F7699"/>
    <w:rsid w:val="007F773D"/>
    <w:rsid w:val="008003C8"/>
    <w:rsid w:val="00800E95"/>
    <w:rsid w:val="00802118"/>
    <w:rsid w:val="00802C2E"/>
    <w:rsid w:val="00804065"/>
    <w:rsid w:val="008047DD"/>
    <w:rsid w:val="00805B2D"/>
    <w:rsid w:val="0080611B"/>
    <w:rsid w:val="00806213"/>
    <w:rsid w:val="008065C0"/>
    <w:rsid w:val="0080743E"/>
    <w:rsid w:val="0080760D"/>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8A"/>
    <w:rsid w:val="008428A1"/>
    <w:rsid w:val="0085047D"/>
    <w:rsid w:val="008509FF"/>
    <w:rsid w:val="008524EA"/>
    <w:rsid w:val="0085263B"/>
    <w:rsid w:val="008530B9"/>
    <w:rsid w:val="008537C0"/>
    <w:rsid w:val="00855167"/>
    <w:rsid w:val="00857642"/>
    <w:rsid w:val="00857872"/>
    <w:rsid w:val="00857F8E"/>
    <w:rsid w:val="00860759"/>
    <w:rsid w:val="00861F42"/>
    <w:rsid w:val="0086268A"/>
    <w:rsid w:val="008644EC"/>
    <w:rsid w:val="00864B15"/>
    <w:rsid w:val="00864D3B"/>
    <w:rsid w:val="00865242"/>
    <w:rsid w:val="00865C18"/>
    <w:rsid w:val="0086621E"/>
    <w:rsid w:val="0086717D"/>
    <w:rsid w:val="0087121E"/>
    <w:rsid w:val="00876B32"/>
    <w:rsid w:val="00882CB8"/>
    <w:rsid w:val="0088366C"/>
    <w:rsid w:val="00884366"/>
    <w:rsid w:val="00884650"/>
    <w:rsid w:val="008851B9"/>
    <w:rsid w:val="00885C22"/>
    <w:rsid w:val="00885F50"/>
    <w:rsid w:val="00887314"/>
    <w:rsid w:val="00890EB4"/>
    <w:rsid w:val="00891D35"/>
    <w:rsid w:val="00893901"/>
    <w:rsid w:val="0089667B"/>
    <w:rsid w:val="0089728F"/>
    <w:rsid w:val="008A062E"/>
    <w:rsid w:val="008A0874"/>
    <w:rsid w:val="008A0FF6"/>
    <w:rsid w:val="008A28F5"/>
    <w:rsid w:val="008A3680"/>
    <w:rsid w:val="008A4A9F"/>
    <w:rsid w:val="008A51AD"/>
    <w:rsid w:val="008B0642"/>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375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449"/>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171B6"/>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32F"/>
    <w:rsid w:val="00952928"/>
    <w:rsid w:val="009531DA"/>
    <w:rsid w:val="00953CFD"/>
    <w:rsid w:val="009540FD"/>
    <w:rsid w:val="0095579C"/>
    <w:rsid w:val="00956E7E"/>
    <w:rsid w:val="0096243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3F06"/>
    <w:rsid w:val="00997443"/>
    <w:rsid w:val="00997E98"/>
    <w:rsid w:val="009A021D"/>
    <w:rsid w:val="009A1545"/>
    <w:rsid w:val="009A1813"/>
    <w:rsid w:val="009A1BA1"/>
    <w:rsid w:val="009A2A81"/>
    <w:rsid w:val="009A2AFB"/>
    <w:rsid w:val="009A2DE2"/>
    <w:rsid w:val="009A3B62"/>
    <w:rsid w:val="009A3ED4"/>
    <w:rsid w:val="009A56EE"/>
    <w:rsid w:val="009A5C47"/>
    <w:rsid w:val="009A68E7"/>
    <w:rsid w:val="009A6BC5"/>
    <w:rsid w:val="009A6DF2"/>
    <w:rsid w:val="009B0164"/>
    <w:rsid w:val="009B2B90"/>
    <w:rsid w:val="009B4A92"/>
    <w:rsid w:val="009B4B7B"/>
    <w:rsid w:val="009B4CB6"/>
    <w:rsid w:val="009B61D8"/>
    <w:rsid w:val="009B66C0"/>
    <w:rsid w:val="009B72A1"/>
    <w:rsid w:val="009B74A5"/>
    <w:rsid w:val="009C0E90"/>
    <w:rsid w:val="009C24F9"/>
    <w:rsid w:val="009C51C1"/>
    <w:rsid w:val="009C638A"/>
    <w:rsid w:val="009D1653"/>
    <w:rsid w:val="009D3AAC"/>
    <w:rsid w:val="009D5B63"/>
    <w:rsid w:val="009D6C48"/>
    <w:rsid w:val="009E0BB3"/>
    <w:rsid w:val="009E1679"/>
    <w:rsid w:val="009E1BE9"/>
    <w:rsid w:val="009E2348"/>
    <w:rsid w:val="009E239E"/>
    <w:rsid w:val="009E271D"/>
    <w:rsid w:val="009E362F"/>
    <w:rsid w:val="009E40DF"/>
    <w:rsid w:val="009E4A44"/>
    <w:rsid w:val="009E5390"/>
    <w:rsid w:val="009E59CA"/>
    <w:rsid w:val="009E7033"/>
    <w:rsid w:val="009F1AEE"/>
    <w:rsid w:val="009F1DB1"/>
    <w:rsid w:val="009F1EA5"/>
    <w:rsid w:val="009F2387"/>
    <w:rsid w:val="009F5E68"/>
    <w:rsid w:val="009F69E5"/>
    <w:rsid w:val="009F7476"/>
    <w:rsid w:val="009F768D"/>
    <w:rsid w:val="009F7F6F"/>
    <w:rsid w:val="00A00F26"/>
    <w:rsid w:val="00A018F7"/>
    <w:rsid w:val="00A02ABC"/>
    <w:rsid w:val="00A02E9F"/>
    <w:rsid w:val="00A039B4"/>
    <w:rsid w:val="00A0555A"/>
    <w:rsid w:val="00A063F2"/>
    <w:rsid w:val="00A07535"/>
    <w:rsid w:val="00A0799C"/>
    <w:rsid w:val="00A07D8F"/>
    <w:rsid w:val="00A12531"/>
    <w:rsid w:val="00A13C95"/>
    <w:rsid w:val="00A15615"/>
    <w:rsid w:val="00A1707A"/>
    <w:rsid w:val="00A174AB"/>
    <w:rsid w:val="00A215E2"/>
    <w:rsid w:val="00A2164F"/>
    <w:rsid w:val="00A2301B"/>
    <w:rsid w:val="00A23185"/>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1D58"/>
    <w:rsid w:val="00A51D7D"/>
    <w:rsid w:val="00A52A4E"/>
    <w:rsid w:val="00A5343C"/>
    <w:rsid w:val="00A541D5"/>
    <w:rsid w:val="00A54D47"/>
    <w:rsid w:val="00A55081"/>
    <w:rsid w:val="00A5538B"/>
    <w:rsid w:val="00A57796"/>
    <w:rsid w:val="00A57AB1"/>
    <w:rsid w:val="00A635D9"/>
    <w:rsid w:val="00A64C8D"/>
    <w:rsid w:val="00A6721B"/>
    <w:rsid w:val="00A70355"/>
    <w:rsid w:val="00A7046F"/>
    <w:rsid w:val="00A7081C"/>
    <w:rsid w:val="00A70DCF"/>
    <w:rsid w:val="00A71E4D"/>
    <w:rsid w:val="00A73547"/>
    <w:rsid w:val="00A73D17"/>
    <w:rsid w:val="00A73D4F"/>
    <w:rsid w:val="00A74128"/>
    <w:rsid w:val="00A74D4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0FA"/>
    <w:rsid w:val="00AB3CE6"/>
    <w:rsid w:val="00AB3E2B"/>
    <w:rsid w:val="00AB65C7"/>
    <w:rsid w:val="00AB671D"/>
    <w:rsid w:val="00AB6BFE"/>
    <w:rsid w:val="00AB7130"/>
    <w:rsid w:val="00AB7311"/>
    <w:rsid w:val="00AC0D42"/>
    <w:rsid w:val="00AC2C30"/>
    <w:rsid w:val="00AC350C"/>
    <w:rsid w:val="00AC3558"/>
    <w:rsid w:val="00AC3A1B"/>
    <w:rsid w:val="00AC46EE"/>
    <w:rsid w:val="00AC51D6"/>
    <w:rsid w:val="00AC5254"/>
    <w:rsid w:val="00AC701A"/>
    <w:rsid w:val="00AC74A3"/>
    <w:rsid w:val="00AC7DAD"/>
    <w:rsid w:val="00AD02BB"/>
    <w:rsid w:val="00AD0393"/>
    <w:rsid w:val="00AD11DB"/>
    <w:rsid w:val="00AD329C"/>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0F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8E0"/>
    <w:rsid w:val="00B459AF"/>
    <w:rsid w:val="00B4667C"/>
    <w:rsid w:val="00B475B6"/>
    <w:rsid w:val="00B51BBA"/>
    <w:rsid w:val="00B5347C"/>
    <w:rsid w:val="00B538BE"/>
    <w:rsid w:val="00B54A67"/>
    <w:rsid w:val="00B55869"/>
    <w:rsid w:val="00B567F1"/>
    <w:rsid w:val="00B569FA"/>
    <w:rsid w:val="00B571D3"/>
    <w:rsid w:val="00B60E2D"/>
    <w:rsid w:val="00B635A5"/>
    <w:rsid w:val="00B63BE5"/>
    <w:rsid w:val="00B64CAA"/>
    <w:rsid w:val="00B66D36"/>
    <w:rsid w:val="00B71B48"/>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242"/>
    <w:rsid w:val="00BB1D36"/>
    <w:rsid w:val="00BB3631"/>
    <w:rsid w:val="00BB3FF6"/>
    <w:rsid w:val="00BB4785"/>
    <w:rsid w:val="00BB5630"/>
    <w:rsid w:val="00BB6BE1"/>
    <w:rsid w:val="00BB7A4B"/>
    <w:rsid w:val="00BC0299"/>
    <w:rsid w:val="00BC392E"/>
    <w:rsid w:val="00BC3CAF"/>
    <w:rsid w:val="00BC60A6"/>
    <w:rsid w:val="00BC62E0"/>
    <w:rsid w:val="00BC6FBF"/>
    <w:rsid w:val="00BD00D9"/>
    <w:rsid w:val="00BD1886"/>
    <w:rsid w:val="00BD23E3"/>
    <w:rsid w:val="00BD40BC"/>
    <w:rsid w:val="00BD610C"/>
    <w:rsid w:val="00BD6234"/>
    <w:rsid w:val="00BE0437"/>
    <w:rsid w:val="00BE04F6"/>
    <w:rsid w:val="00BE0FB9"/>
    <w:rsid w:val="00BE107D"/>
    <w:rsid w:val="00BE2CD2"/>
    <w:rsid w:val="00BE2D6C"/>
    <w:rsid w:val="00BE4C2B"/>
    <w:rsid w:val="00BE52CA"/>
    <w:rsid w:val="00BE5D1C"/>
    <w:rsid w:val="00BE701E"/>
    <w:rsid w:val="00BE743C"/>
    <w:rsid w:val="00BE7640"/>
    <w:rsid w:val="00BF0242"/>
    <w:rsid w:val="00BF0AE5"/>
    <w:rsid w:val="00BF144D"/>
    <w:rsid w:val="00BF1C00"/>
    <w:rsid w:val="00BF214A"/>
    <w:rsid w:val="00BF377B"/>
    <w:rsid w:val="00BF3E1B"/>
    <w:rsid w:val="00BF635B"/>
    <w:rsid w:val="00BF7D51"/>
    <w:rsid w:val="00C00699"/>
    <w:rsid w:val="00C01975"/>
    <w:rsid w:val="00C02723"/>
    <w:rsid w:val="00C02A91"/>
    <w:rsid w:val="00C035A0"/>
    <w:rsid w:val="00C04960"/>
    <w:rsid w:val="00C05ABD"/>
    <w:rsid w:val="00C06163"/>
    <w:rsid w:val="00C07A0E"/>
    <w:rsid w:val="00C106FC"/>
    <w:rsid w:val="00C10713"/>
    <w:rsid w:val="00C10ED0"/>
    <w:rsid w:val="00C1120E"/>
    <w:rsid w:val="00C11391"/>
    <w:rsid w:val="00C114A8"/>
    <w:rsid w:val="00C12EC0"/>
    <w:rsid w:val="00C1324E"/>
    <w:rsid w:val="00C138A5"/>
    <w:rsid w:val="00C14B96"/>
    <w:rsid w:val="00C152A9"/>
    <w:rsid w:val="00C158D4"/>
    <w:rsid w:val="00C211F9"/>
    <w:rsid w:val="00C22F92"/>
    <w:rsid w:val="00C237F5"/>
    <w:rsid w:val="00C238EE"/>
    <w:rsid w:val="00C2574A"/>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22B7"/>
    <w:rsid w:val="00C4383B"/>
    <w:rsid w:val="00C4601A"/>
    <w:rsid w:val="00C47442"/>
    <w:rsid w:val="00C478FE"/>
    <w:rsid w:val="00C502DD"/>
    <w:rsid w:val="00C611B5"/>
    <w:rsid w:val="00C613E2"/>
    <w:rsid w:val="00C621E3"/>
    <w:rsid w:val="00C62298"/>
    <w:rsid w:val="00C6430C"/>
    <w:rsid w:val="00C64E24"/>
    <w:rsid w:val="00C64E79"/>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47E5"/>
    <w:rsid w:val="00C95318"/>
    <w:rsid w:val="00C95A99"/>
    <w:rsid w:val="00C96B98"/>
    <w:rsid w:val="00C96F6B"/>
    <w:rsid w:val="00C97ED3"/>
    <w:rsid w:val="00CA043D"/>
    <w:rsid w:val="00CA069B"/>
    <w:rsid w:val="00CA09C4"/>
    <w:rsid w:val="00CA27F9"/>
    <w:rsid w:val="00CA28AD"/>
    <w:rsid w:val="00CA4F28"/>
    <w:rsid w:val="00CA7388"/>
    <w:rsid w:val="00CA78AC"/>
    <w:rsid w:val="00CB00B1"/>
    <w:rsid w:val="00CB067C"/>
    <w:rsid w:val="00CB15CA"/>
    <w:rsid w:val="00CB26B3"/>
    <w:rsid w:val="00CB3B7D"/>
    <w:rsid w:val="00CB4DC8"/>
    <w:rsid w:val="00CB51F5"/>
    <w:rsid w:val="00CB687E"/>
    <w:rsid w:val="00CC0095"/>
    <w:rsid w:val="00CC0250"/>
    <w:rsid w:val="00CC074E"/>
    <w:rsid w:val="00CC1659"/>
    <w:rsid w:val="00CC3092"/>
    <w:rsid w:val="00CC30C3"/>
    <w:rsid w:val="00CC363A"/>
    <w:rsid w:val="00CC3D4E"/>
    <w:rsid w:val="00CC4003"/>
    <w:rsid w:val="00CC74BD"/>
    <w:rsid w:val="00CD0768"/>
    <w:rsid w:val="00CD3CC4"/>
    <w:rsid w:val="00CD42CB"/>
    <w:rsid w:val="00CD5E86"/>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221"/>
    <w:rsid w:val="00D02D5A"/>
    <w:rsid w:val="00D03B9D"/>
    <w:rsid w:val="00D0498A"/>
    <w:rsid w:val="00D053FE"/>
    <w:rsid w:val="00D065E6"/>
    <w:rsid w:val="00D06F2D"/>
    <w:rsid w:val="00D10843"/>
    <w:rsid w:val="00D11B6A"/>
    <w:rsid w:val="00D138A9"/>
    <w:rsid w:val="00D13B2D"/>
    <w:rsid w:val="00D154A5"/>
    <w:rsid w:val="00D15660"/>
    <w:rsid w:val="00D16E7D"/>
    <w:rsid w:val="00D17731"/>
    <w:rsid w:val="00D1779C"/>
    <w:rsid w:val="00D20E86"/>
    <w:rsid w:val="00D20FB3"/>
    <w:rsid w:val="00D21DFB"/>
    <w:rsid w:val="00D227C4"/>
    <w:rsid w:val="00D23048"/>
    <w:rsid w:val="00D2352A"/>
    <w:rsid w:val="00D23DD0"/>
    <w:rsid w:val="00D251C3"/>
    <w:rsid w:val="00D252A0"/>
    <w:rsid w:val="00D25440"/>
    <w:rsid w:val="00D2557B"/>
    <w:rsid w:val="00D26CB5"/>
    <w:rsid w:val="00D27EA0"/>
    <w:rsid w:val="00D31593"/>
    <w:rsid w:val="00D33231"/>
    <w:rsid w:val="00D36240"/>
    <w:rsid w:val="00D36D3E"/>
    <w:rsid w:val="00D36DB7"/>
    <w:rsid w:val="00D405A9"/>
    <w:rsid w:val="00D40E5E"/>
    <w:rsid w:val="00D4138D"/>
    <w:rsid w:val="00D41493"/>
    <w:rsid w:val="00D4152F"/>
    <w:rsid w:val="00D438DC"/>
    <w:rsid w:val="00D43EF1"/>
    <w:rsid w:val="00D43F6F"/>
    <w:rsid w:val="00D44015"/>
    <w:rsid w:val="00D45743"/>
    <w:rsid w:val="00D46755"/>
    <w:rsid w:val="00D46CFF"/>
    <w:rsid w:val="00D46FBF"/>
    <w:rsid w:val="00D47A7B"/>
    <w:rsid w:val="00D47BB6"/>
    <w:rsid w:val="00D54C37"/>
    <w:rsid w:val="00D556D1"/>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4F58"/>
    <w:rsid w:val="00D85346"/>
    <w:rsid w:val="00D85B4A"/>
    <w:rsid w:val="00D907BD"/>
    <w:rsid w:val="00D90E7B"/>
    <w:rsid w:val="00D91EDC"/>
    <w:rsid w:val="00D92D94"/>
    <w:rsid w:val="00D961DB"/>
    <w:rsid w:val="00DA0625"/>
    <w:rsid w:val="00DA0B89"/>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98D"/>
    <w:rsid w:val="00DB4F49"/>
    <w:rsid w:val="00DB6714"/>
    <w:rsid w:val="00DB6D5A"/>
    <w:rsid w:val="00DB6DA5"/>
    <w:rsid w:val="00DC1ACA"/>
    <w:rsid w:val="00DC2C22"/>
    <w:rsid w:val="00DC4772"/>
    <w:rsid w:val="00DC48CF"/>
    <w:rsid w:val="00DC5BB0"/>
    <w:rsid w:val="00DC6711"/>
    <w:rsid w:val="00DC6826"/>
    <w:rsid w:val="00DD20E3"/>
    <w:rsid w:val="00DD2429"/>
    <w:rsid w:val="00DD247D"/>
    <w:rsid w:val="00DD2605"/>
    <w:rsid w:val="00DD2AAA"/>
    <w:rsid w:val="00DD50B5"/>
    <w:rsid w:val="00DD5275"/>
    <w:rsid w:val="00DD5F86"/>
    <w:rsid w:val="00DD6047"/>
    <w:rsid w:val="00DD7205"/>
    <w:rsid w:val="00DD771A"/>
    <w:rsid w:val="00DD7F78"/>
    <w:rsid w:val="00DE1B18"/>
    <w:rsid w:val="00DE262A"/>
    <w:rsid w:val="00DE2759"/>
    <w:rsid w:val="00DE2977"/>
    <w:rsid w:val="00DE3953"/>
    <w:rsid w:val="00DE4037"/>
    <w:rsid w:val="00DE43F4"/>
    <w:rsid w:val="00DE466B"/>
    <w:rsid w:val="00DE4A72"/>
    <w:rsid w:val="00DE5D8B"/>
    <w:rsid w:val="00DE7607"/>
    <w:rsid w:val="00DE761A"/>
    <w:rsid w:val="00DE7C5B"/>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07780"/>
    <w:rsid w:val="00E101A9"/>
    <w:rsid w:val="00E11A36"/>
    <w:rsid w:val="00E11BA8"/>
    <w:rsid w:val="00E12954"/>
    <w:rsid w:val="00E12A2F"/>
    <w:rsid w:val="00E12D9F"/>
    <w:rsid w:val="00E12FAE"/>
    <w:rsid w:val="00E13468"/>
    <w:rsid w:val="00E1638A"/>
    <w:rsid w:val="00E24543"/>
    <w:rsid w:val="00E2457B"/>
    <w:rsid w:val="00E247DE"/>
    <w:rsid w:val="00E257AB"/>
    <w:rsid w:val="00E268BB"/>
    <w:rsid w:val="00E3212A"/>
    <w:rsid w:val="00E32221"/>
    <w:rsid w:val="00E32512"/>
    <w:rsid w:val="00E333C7"/>
    <w:rsid w:val="00E3374E"/>
    <w:rsid w:val="00E33A7F"/>
    <w:rsid w:val="00E34A79"/>
    <w:rsid w:val="00E36696"/>
    <w:rsid w:val="00E376F7"/>
    <w:rsid w:val="00E4104D"/>
    <w:rsid w:val="00E41293"/>
    <w:rsid w:val="00E41C3F"/>
    <w:rsid w:val="00E41CE3"/>
    <w:rsid w:val="00E44479"/>
    <w:rsid w:val="00E45108"/>
    <w:rsid w:val="00E4622A"/>
    <w:rsid w:val="00E475F0"/>
    <w:rsid w:val="00E50933"/>
    <w:rsid w:val="00E5099A"/>
    <w:rsid w:val="00E50CA8"/>
    <w:rsid w:val="00E519D9"/>
    <w:rsid w:val="00E536DE"/>
    <w:rsid w:val="00E538E6"/>
    <w:rsid w:val="00E5535A"/>
    <w:rsid w:val="00E553E9"/>
    <w:rsid w:val="00E563DF"/>
    <w:rsid w:val="00E569B2"/>
    <w:rsid w:val="00E577FD"/>
    <w:rsid w:val="00E61098"/>
    <w:rsid w:val="00E619A4"/>
    <w:rsid w:val="00E61A2A"/>
    <w:rsid w:val="00E62177"/>
    <w:rsid w:val="00E622AF"/>
    <w:rsid w:val="00E62A45"/>
    <w:rsid w:val="00E638EF"/>
    <w:rsid w:val="00E645FC"/>
    <w:rsid w:val="00E6494D"/>
    <w:rsid w:val="00E6634F"/>
    <w:rsid w:val="00E670F2"/>
    <w:rsid w:val="00E6716A"/>
    <w:rsid w:val="00E67F40"/>
    <w:rsid w:val="00E70167"/>
    <w:rsid w:val="00E703C3"/>
    <w:rsid w:val="00E72EDA"/>
    <w:rsid w:val="00E73A14"/>
    <w:rsid w:val="00E73F29"/>
    <w:rsid w:val="00E742E2"/>
    <w:rsid w:val="00E74899"/>
    <w:rsid w:val="00E759B1"/>
    <w:rsid w:val="00E779AA"/>
    <w:rsid w:val="00E77D57"/>
    <w:rsid w:val="00E80333"/>
    <w:rsid w:val="00E8107B"/>
    <w:rsid w:val="00E82C75"/>
    <w:rsid w:val="00E83629"/>
    <w:rsid w:val="00E838DB"/>
    <w:rsid w:val="00E83F7E"/>
    <w:rsid w:val="00E865F0"/>
    <w:rsid w:val="00E868E7"/>
    <w:rsid w:val="00E92122"/>
    <w:rsid w:val="00E92610"/>
    <w:rsid w:val="00E9310C"/>
    <w:rsid w:val="00E93979"/>
    <w:rsid w:val="00E93CD3"/>
    <w:rsid w:val="00E93F61"/>
    <w:rsid w:val="00E9501F"/>
    <w:rsid w:val="00E962BC"/>
    <w:rsid w:val="00E9676A"/>
    <w:rsid w:val="00EA2D0F"/>
    <w:rsid w:val="00EA379C"/>
    <w:rsid w:val="00EA4CB5"/>
    <w:rsid w:val="00EA67B2"/>
    <w:rsid w:val="00EB0757"/>
    <w:rsid w:val="00EB351D"/>
    <w:rsid w:val="00EB3C74"/>
    <w:rsid w:val="00EB415B"/>
    <w:rsid w:val="00EB5926"/>
    <w:rsid w:val="00EB5D98"/>
    <w:rsid w:val="00EB65B2"/>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186"/>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3FB0"/>
    <w:rsid w:val="00F04308"/>
    <w:rsid w:val="00F045C1"/>
    <w:rsid w:val="00F04C8C"/>
    <w:rsid w:val="00F054DA"/>
    <w:rsid w:val="00F06144"/>
    <w:rsid w:val="00F06530"/>
    <w:rsid w:val="00F07B2D"/>
    <w:rsid w:val="00F07BCF"/>
    <w:rsid w:val="00F1553A"/>
    <w:rsid w:val="00F1597D"/>
    <w:rsid w:val="00F16EF8"/>
    <w:rsid w:val="00F16FAB"/>
    <w:rsid w:val="00F170B7"/>
    <w:rsid w:val="00F21CA5"/>
    <w:rsid w:val="00F255B6"/>
    <w:rsid w:val="00F26ED7"/>
    <w:rsid w:val="00F302CB"/>
    <w:rsid w:val="00F31625"/>
    <w:rsid w:val="00F31BDC"/>
    <w:rsid w:val="00F32232"/>
    <w:rsid w:val="00F32242"/>
    <w:rsid w:val="00F361A3"/>
    <w:rsid w:val="00F36CDE"/>
    <w:rsid w:val="00F36E39"/>
    <w:rsid w:val="00F4003B"/>
    <w:rsid w:val="00F40A8F"/>
    <w:rsid w:val="00F40FF5"/>
    <w:rsid w:val="00F41E1E"/>
    <w:rsid w:val="00F43A3C"/>
    <w:rsid w:val="00F43ED1"/>
    <w:rsid w:val="00F44759"/>
    <w:rsid w:val="00F45144"/>
    <w:rsid w:val="00F45F26"/>
    <w:rsid w:val="00F46284"/>
    <w:rsid w:val="00F4680B"/>
    <w:rsid w:val="00F4734D"/>
    <w:rsid w:val="00F473D4"/>
    <w:rsid w:val="00F47445"/>
    <w:rsid w:val="00F47B17"/>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0B6F"/>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1C1F"/>
    <w:rsid w:val="00FA2895"/>
    <w:rsid w:val="00FA29A4"/>
    <w:rsid w:val="00FA3DD7"/>
    <w:rsid w:val="00FA4A77"/>
    <w:rsid w:val="00FA4D12"/>
    <w:rsid w:val="00FA5031"/>
    <w:rsid w:val="00FA56FF"/>
    <w:rsid w:val="00FA63EB"/>
    <w:rsid w:val="00FB106B"/>
    <w:rsid w:val="00FB4326"/>
    <w:rsid w:val="00FB4C6F"/>
    <w:rsid w:val="00FB64A1"/>
    <w:rsid w:val="00FB6732"/>
    <w:rsid w:val="00FB7D16"/>
    <w:rsid w:val="00FC0858"/>
    <w:rsid w:val="00FC110D"/>
    <w:rsid w:val="00FC3800"/>
    <w:rsid w:val="00FC4527"/>
    <w:rsid w:val="00FC65BE"/>
    <w:rsid w:val="00FC70C0"/>
    <w:rsid w:val="00FC7307"/>
    <w:rsid w:val="00FC74F0"/>
    <w:rsid w:val="00FC7971"/>
    <w:rsid w:val="00FD1EEA"/>
    <w:rsid w:val="00FD30C0"/>
    <w:rsid w:val="00FD33CF"/>
    <w:rsid w:val="00FD36CA"/>
    <w:rsid w:val="00FD3B41"/>
    <w:rsid w:val="00FD4E22"/>
    <w:rsid w:val="00FD6C73"/>
    <w:rsid w:val="00FE263F"/>
    <w:rsid w:val="00FE486C"/>
    <w:rsid w:val="00FE4BFD"/>
    <w:rsid w:val="00FE578A"/>
    <w:rsid w:val="00FE7C48"/>
    <w:rsid w:val="00FF0379"/>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087"/>
    <w:pPr>
      <w:tabs>
        <w:tab w:val="center" w:pos="4680"/>
        <w:tab w:val="right" w:pos="9360"/>
      </w:tabs>
      <w:spacing w:line="240" w:lineRule="auto"/>
    </w:pPr>
  </w:style>
  <w:style w:type="character" w:customStyle="1" w:styleId="HeaderChar">
    <w:name w:val="Header Char"/>
    <w:basedOn w:val="DefaultParagraphFont"/>
    <w:link w:val="Header"/>
    <w:uiPriority w:val="99"/>
    <w:rsid w:val="00133087"/>
  </w:style>
  <w:style w:type="paragraph" w:styleId="Footer">
    <w:name w:val="footer"/>
    <w:basedOn w:val="Normal"/>
    <w:link w:val="FooterChar"/>
    <w:uiPriority w:val="99"/>
    <w:unhideWhenUsed/>
    <w:rsid w:val="00133087"/>
    <w:pPr>
      <w:tabs>
        <w:tab w:val="center" w:pos="4680"/>
        <w:tab w:val="right" w:pos="9360"/>
      </w:tabs>
      <w:spacing w:line="240" w:lineRule="auto"/>
    </w:pPr>
  </w:style>
  <w:style w:type="character" w:customStyle="1" w:styleId="FooterChar">
    <w:name w:val="Footer Char"/>
    <w:basedOn w:val="DefaultParagraphFont"/>
    <w:link w:val="Footer"/>
    <w:uiPriority w:val="99"/>
    <w:rsid w:val="00133087"/>
  </w:style>
  <w:style w:type="paragraph" w:styleId="BalloonText">
    <w:name w:val="Balloon Text"/>
    <w:basedOn w:val="Normal"/>
    <w:link w:val="BalloonTextChar"/>
    <w:uiPriority w:val="99"/>
    <w:semiHidden/>
    <w:unhideWhenUsed/>
    <w:rsid w:val="00C15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2A9"/>
    <w:rPr>
      <w:rFonts w:ascii="Tahoma" w:hAnsi="Tahoma" w:cs="Tahoma"/>
      <w:sz w:val="16"/>
      <w:szCs w:val="16"/>
    </w:rPr>
  </w:style>
  <w:style w:type="paragraph" w:styleId="FootnoteText">
    <w:name w:val="footnote text"/>
    <w:basedOn w:val="Normal"/>
    <w:link w:val="FootnoteTextChar"/>
    <w:uiPriority w:val="99"/>
    <w:semiHidden/>
    <w:unhideWhenUsed/>
    <w:rsid w:val="000A3FA5"/>
    <w:pPr>
      <w:spacing w:line="240" w:lineRule="auto"/>
    </w:pPr>
    <w:rPr>
      <w:sz w:val="20"/>
      <w:szCs w:val="20"/>
    </w:rPr>
  </w:style>
  <w:style w:type="character" w:customStyle="1" w:styleId="FootnoteTextChar">
    <w:name w:val="Footnote Text Char"/>
    <w:basedOn w:val="DefaultParagraphFont"/>
    <w:link w:val="FootnoteText"/>
    <w:uiPriority w:val="99"/>
    <w:semiHidden/>
    <w:rsid w:val="000A3FA5"/>
    <w:rPr>
      <w:sz w:val="20"/>
      <w:szCs w:val="20"/>
    </w:rPr>
  </w:style>
  <w:style w:type="character" w:styleId="FootnoteReference">
    <w:name w:val="footnote reference"/>
    <w:basedOn w:val="DefaultParagraphFont"/>
    <w:semiHidden/>
    <w:unhideWhenUsed/>
    <w:rsid w:val="000A3F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087"/>
    <w:pPr>
      <w:tabs>
        <w:tab w:val="center" w:pos="4680"/>
        <w:tab w:val="right" w:pos="9360"/>
      </w:tabs>
      <w:spacing w:line="240" w:lineRule="auto"/>
    </w:pPr>
  </w:style>
  <w:style w:type="character" w:customStyle="1" w:styleId="HeaderChar">
    <w:name w:val="Header Char"/>
    <w:basedOn w:val="DefaultParagraphFont"/>
    <w:link w:val="Header"/>
    <w:uiPriority w:val="99"/>
    <w:rsid w:val="00133087"/>
  </w:style>
  <w:style w:type="paragraph" w:styleId="Footer">
    <w:name w:val="footer"/>
    <w:basedOn w:val="Normal"/>
    <w:link w:val="FooterChar"/>
    <w:uiPriority w:val="99"/>
    <w:unhideWhenUsed/>
    <w:rsid w:val="00133087"/>
    <w:pPr>
      <w:tabs>
        <w:tab w:val="center" w:pos="4680"/>
        <w:tab w:val="right" w:pos="9360"/>
      </w:tabs>
      <w:spacing w:line="240" w:lineRule="auto"/>
    </w:pPr>
  </w:style>
  <w:style w:type="character" w:customStyle="1" w:styleId="FooterChar">
    <w:name w:val="Footer Char"/>
    <w:basedOn w:val="DefaultParagraphFont"/>
    <w:link w:val="Footer"/>
    <w:uiPriority w:val="99"/>
    <w:rsid w:val="00133087"/>
  </w:style>
  <w:style w:type="paragraph" w:styleId="BalloonText">
    <w:name w:val="Balloon Text"/>
    <w:basedOn w:val="Normal"/>
    <w:link w:val="BalloonTextChar"/>
    <w:uiPriority w:val="99"/>
    <w:semiHidden/>
    <w:unhideWhenUsed/>
    <w:rsid w:val="00C15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2A9"/>
    <w:rPr>
      <w:rFonts w:ascii="Tahoma" w:hAnsi="Tahoma" w:cs="Tahoma"/>
      <w:sz w:val="16"/>
      <w:szCs w:val="16"/>
    </w:rPr>
  </w:style>
  <w:style w:type="paragraph" w:styleId="FootnoteText">
    <w:name w:val="footnote text"/>
    <w:basedOn w:val="Normal"/>
    <w:link w:val="FootnoteTextChar"/>
    <w:uiPriority w:val="99"/>
    <w:semiHidden/>
    <w:unhideWhenUsed/>
    <w:rsid w:val="000A3FA5"/>
    <w:pPr>
      <w:spacing w:line="240" w:lineRule="auto"/>
    </w:pPr>
    <w:rPr>
      <w:sz w:val="20"/>
      <w:szCs w:val="20"/>
    </w:rPr>
  </w:style>
  <w:style w:type="character" w:customStyle="1" w:styleId="FootnoteTextChar">
    <w:name w:val="Footnote Text Char"/>
    <w:basedOn w:val="DefaultParagraphFont"/>
    <w:link w:val="FootnoteText"/>
    <w:uiPriority w:val="99"/>
    <w:semiHidden/>
    <w:rsid w:val="000A3FA5"/>
    <w:rPr>
      <w:sz w:val="20"/>
      <w:szCs w:val="20"/>
    </w:rPr>
  </w:style>
  <w:style w:type="character" w:styleId="FootnoteReference">
    <w:name w:val="footnote reference"/>
    <w:basedOn w:val="DefaultParagraphFont"/>
    <w:semiHidden/>
    <w:unhideWhenUsed/>
    <w:rsid w:val="000A3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15BFB-2A22-46B5-8A4B-2B574192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4375</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Wolf, Ariel</cp:lastModifiedBy>
  <cp:revision>3</cp:revision>
  <cp:lastPrinted>2014-06-11T12:47:00Z</cp:lastPrinted>
  <dcterms:created xsi:type="dcterms:W3CDTF">2014-09-11T18:14:00Z</dcterms:created>
  <dcterms:modified xsi:type="dcterms:W3CDTF">2014-09-12T13:25:00Z</dcterms:modified>
</cp:coreProperties>
</file>