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DE5EB8" w:rsidRDefault="008E4FD6" w:rsidP="00331721">
      <w:pPr>
        <w:jc w:val="center"/>
        <w:rPr>
          <w:b/>
        </w:rPr>
      </w:pPr>
      <w:r w:rsidRPr="00DE5EB8">
        <w:rPr>
          <w:b/>
        </w:rPr>
        <w:t>BEFORE THE</w:t>
      </w:r>
    </w:p>
    <w:p w:rsidR="008E4FD6" w:rsidRPr="00DE5EB8" w:rsidRDefault="008E4FD6" w:rsidP="00331721">
      <w:pPr>
        <w:jc w:val="center"/>
        <w:rPr>
          <w:b/>
        </w:rPr>
      </w:pPr>
      <w:r w:rsidRPr="00DE5EB8">
        <w:rPr>
          <w:b/>
        </w:rPr>
        <w:t>PENNSYLVANIA PUBLIC UTILITY COMMISSION</w:t>
      </w:r>
    </w:p>
    <w:p w:rsidR="008E4FD6" w:rsidRPr="00DE5EB8" w:rsidRDefault="008E4FD6" w:rsidP="00331721">
      <w:pPr>
        <w:jc w:val="center"/>
        <w:rPr>
          <w:b/>
        </w:rPr>
      </w:pPr>
    </w:p>
    <w:p w:rsidR="008E4FD6" w:rsidRPr="00DE5EB8" w:rsidRDefault="008E4FD6" w:rsidP="00331721"/>
    <w:p w:rsidR="008E4FD6" w:rsidRPr="00DE5EB8" w:rsidRDefault="008E4FD6" w:rsidP="00331721"/>
    <w:p w:rsidR="00F9732A" w:rsidRPr="00DE5EB8" w:rsidRDefault="00C67E0E" w:rsidP="00331721">
      <w:r>
        <w:t xml:space="preserve">Robin </w:t>
      </w:r>
      <w:proofErr w:type="spellStart"/>
      <w:r>
        <w:t>Mariani</w:t>
      </w:r>
      <w:proofErr w:type="spellEnd"/>
      <w:r>
        <w:tab/>
      </w:r>
      <w:r w:rsidR="00F9732A" w:rsidRPr="00DE5EB8">
        <w:tab/>
      </w:r>
      <w:r w:rsidR="00F9732A" w:rsidRPr="00DE5EB8">
        <w:tab/>
      </w:r>
      <w:r w:rsidR="00F9732A" w:rsidRPr="00DE5EB8">
        <w:tab/>
      </w:r>
      <w:r w:rsidR="00EF7BB1" w:rsidRPr="00DE5EB8">
        <w:tab/>
      </w:r>
      <w:r w:rsidR="00F9732A" w:rsidRPr="00DE5EB8">
        <w:tab/>
        <w:t>:</w:t>
      </w:r>
      <w:r w:rsidR="00F9732A" w:rsidRPr="00DE5EB8">
        <w:tab/>
      </w:r>
    </w:p>
    <w:p w:rsidR="00F9732A" w:rsidRPr="00DE5EB8" w:rsidRDefault="00F9732A" w:rsidP="00331721">
      <w:r w:rsidRPr="00DE5EB8">
        <w:tab/>
      </w:r>
      <w:r w:rsidRPr="00DE5EB8">
        <w:tab/>
      </w:r>
      <w:r w:rsidRPr="00DE5EB8">
        <w:tab/>
      </w:r>
      <w:r w:rsidRPr="00DE5EB8">
        <w:tab/>
      </w:r>
      <w:r w:rsidRPr="00DE5EB8">
        <w:tab/>
      </w:r>
      <w:r w:rsidRPr="00DE5EB8">
        <w:tab/>
      </w:r>
      <w:r w:rsidRPr="00DE5EB8">
        <w:tab/>
        <w:t>:</w:t>
      </w:r>
    </w:p>
    <w:p w:rsidR="00F9732A" w:rsidRPr="00DE5EB8" w:rsidRDefault="00F9732A" w:rsidP="00331721">
      <w:pPr>
        <w:numPr>
          <w:ilvl w:val="0"/>
          <w:numId w:val="5"/>
        </w:numPr>
        <w:ind w:hanging="4320"/>
      </w:pPr>
      <w:r w:rsidRPr="00DE5EB8">
        <w:t>:</w:t>
      </w:r>
      <w:r w:rsidRPr="00DE5EB8">
        <w:tab/>
      </w:r>
      <w:r w:rsidR="00F6612B" w:rsidRPr="00DE5EB8">
        <w:tab/>
      </w:r>
      <w:r w:rsidR="00BE0FB3">
        <w:t>C-</w:t>
      </w:r>
      <w:r w:rsidR="00C67E0E">
        <w:t>2014-2406209</w:t>
      </w:r>
    </w:p>
    <w:p w:rsidR="00F9732A" w:rsidRPr="00DE5EB8" w:rsidRDefault="00F9732A" w:rsidP="00331721">
      <w:pPr>
        <w:ind w:left="5040"/>
      </w:pPr>
      <w:r w:rsidRPr="00DE5EB8">
        <w:t>:</w:t>
      </w:r>
    </w:p>
    <w:p w:rsidR="00F9732A" w:rsidRPr="00DE5EB8" w:rsidRDefault="00C67E0E" w:rsidP="00331721">
      <w:r>
        <w:t>PECO Energy Company</w:t>
      </w:r>
      <w:r>
        <w:tab/>
      </w:r>
      <w:r w:rsidR="007B3113" w:rsidRPr="00DE5EB8">
        <w:tab/>
      </w:r>
      <w:r w:rsidR="00F9732A" w:rsidRPr="00DE5EB8">
        <w:t xml:space="preserve"> </w:t>
      </w:r>
      <w:r w:rsidR="00F9732A" w:rsidRPr="00DE5EB8">
        <w:tab/>
      </w:r>
      <w:r w:rsidR="00F9732A" w:rsidRPr="00DE5EB8">
        <w:tab/>
        <w:t>:</w:t>
      </w:r>
    </w:p>
    <w:p w:rsidR="004D6DDC" w:rsidRPr="00DE5EB8" w:rsidRDefault="004D6DDC" w:rsidP="00331721"/>
    <w:p w:rsidR="00BE6E3A" w:rsidRPr="00DE5EB8" w:rsidRDefault="00BE6E3A" w:rsidP="00331721"/>
    <w:p w:rsidR="008E4FD6" w:rsidRPr="00DE5EB8" w:rsidRDefault="008E4FD6" w:rsidP="00331721">
      <w:pPr>
        <w:tabs>
          <w:tab w:val="left" w:pos="1076"/>
        </w:tabs>
      </w:pPr>
    </w:p>
    <w:p w:rsidR="008E4FD6" w:rsidRPr="00DE5EB8" w:rsidRDefault="008E4FD6" w:rsidP="00331721">
      <w:pPr>
        <w:jc w:val="center"/>
        <w:rPr>
          <w:b/>
          <w:u w:val="single"/>
        </w:rPr>
      </w:pPr>
      <w:r w:rsidRPr="00DE5EB8">
        <w:rPr>
          <w:b/>
          <w:u w:val="single"/>
        </w:rPr>
        <w:t>INITIAL DECISION</w:t>
      </w:r>
    </w:p>
    <w:p w:rsidR="008E4FD6" w:rsidRPr="00DE5EB8" w:rsidRDefault="008E4FD6" w:rsidP="00331721">
      <w:pPr>
        <w:jc w:val="center"/>
      </w:pPr>
    </w:p>
    <w:p w:rsidR="009D47A5" w:rsidRPr="00DE5EB8" w:rsidRDefault="009D47A5" w:rsidP="00331721">
      <w:pPr>
        <w:jc w:val="center"/>
      </w:pPr>
    </w:p>
    <w:p w:rsidR="008E4FD6" w:rsidRPr="00DE5EB8" w:rsidRDefault="008E4FD6" w:rsidP="00331721">
      <w:pPr>
        <w:jc w:val="center"/>
      </w:pPr>
      <w:r w:rsidRPr="00DE5EB8">
        <w:t>Before</w:t>
      </w:r>
    </w:p>
    <w:p w:rsidR="008E4FD6" w:rsidRPr="00DE5EB8" w:rsidRDefault="00DF0974" w:rsidP="00331721">
      <w:pPr>
        <w:jc w:val="center"/>
      </w:pPr>
      <w:r w:rsidRPr="00DE5EB8">
        <w:t>Katrina L. Dunderdale</w:t>
      </w:r>
    </w:p>
    <w:p w:rsidR="008E4FD6" w:rsidRPr="00DE5EB8" w:rsidRDefault="008E4FD6" w:rsidP="00331721">
      <w:pPr>
        <w:jc w:val="center"/>
      </w:pPr>
      <w:r w:rsidRPr="00DE5EB8">
        <w:t>Administrative Law Judge</w:t>
      </w:r>
    </w:p>
    <w:p w:rsidR="008E4FD6" w:rsidRPr="00DE5EB8" w:rsidRDefault="008E4FD6" w:rsidP="00331721"/>
    <w:p w:rsidR="00C67E0E" w:rsidRDefault="00C67E0E" w:rsidP="00C67E0E">
      <w:pPr>
        <w:jc w:val="center"/>
        <w:rPr>
          <w:u w:val="single"/>
        </w:rPr>
      </w:pPr>
    </w:p>
    <w:p w:rsidR="00C67E0E" w:rsidRPr="000B0551" w:rsidRDefault="00C67E0E" w:rsidP="00C67E0E">
      <w:pPr>
        <w:jc w:val="center"/>
        <w:rPr>
          <w:u w:val="single"/>
        </w:rPr>
      </w:pPr>
      <w:r w:rsidRPr="000B0551">
        <w:rPr>
          <w:u w:val="single"/>
        </w:rPr>
        <w:t>INTRODUCTION</w:t>
      </w:r>
    </w:p>
    <w:p w:rsidR="00C67E0E" w:rsidRDefault="00C67E0E" w:rsidP="00C67E0E">
      <w:pPr>
        <w:spacing w:line="360" w:lineRule="auto"/>
      </w:pPr>
    </w:p>
    <w:p w:rsidR="00C67E0E" w:rsidRDefault="00C67E0E" w:rsidP="00C67E0E">
      <w:pPr>
        <w:spacing w:line="360" w:lineRule="auto"/>
      </w:pPr>
      <w:r>
        <w:tab/>
      </w:r>
      <w:r>
        <w:tab/>
        <w:t xml:space="preserve">This decision denies Robin </w:t>
      </w:r>
      <w:proofErr w:type="spellStart"/>
      <w:r>
        <w:t>Mariani’s</w:t>
      </w:r>
      <w:proofErr w:type="spellEnd"/>
      <w:r>
        <w:t xml:space="preserve"> complaint that Respondent utility company</w:t>
      </w:r>
      <w:r w:rsidR="00626C8E">
        <w:t xml:space="preserve"> was incorrect to transfer </w:t>
      </w:r>
      <w:r w:rsidR="00672685">
        <w:t>an</w:t>
      </w:r>
      <w:r w:rsidR="00626C8E">
        <w:t xml:space="preserve"> unpaid balance </w:t>
      </w:r>
      <w:r w:rsidR="00B836C9">
        <w:t>due to the presence of a foreign load</w:t>
      </w:r>
      <w:r>
        <w:t xml:space="preserve">.  </w:t>
      </w:r>
    </w:p>
    <w:p w:rsidR="00C67E0E" w:rsidRDefault="00C67E0E" w:rsidP="00C67E0E">
      <w:pPr>
        <w:spacing w:line="360" w:lineRule="auto"/>
        <w:rPr>
          <w:u w:val="single"/>
        </w:rPr>
      </w:pPr>
    </w:p>
    <w:p w:rsidR="00F9732A" w:rsidRPr="00DE5EB8" w:rsidRDefault="008E4FD6" w:rsidP="00EA1625">
      <w:pPr>
        <w:jc w:val="center"/>
        <w:rPr>
          <w:u w:val="single"/>
        </w:rPr>
      </w:pPr>
      <w:r w:rsidRPr="00DE5EB8">
        <w:rPr>
          <w:u w:val="single"/>
        </w:rPr>
        <w:t>HISTORY OF THE PROCEEDING</w:t>
      </w:r>
    </w:p>
    <w:p w:rsidR="00F9732A" w:rsidRPr="00DE5EB8" w:rsidRDefault="00F9732A" w:rsidP="00D2354E">
      <w:pPr>
        <w:rPr>
          <w:u w:val="single"/>
        </w:rPr>
      </w:pPr>
    </w:p>
    <w:p w:rsidR="00D868FB" w:rsidRPr="00DE5EB8" w:rsidRDefault="00D868FB" w:rsidP="00D2354E">
      <w:pPr>
        <w:rPr>
          <w:u w:val="single"/>
        </w:rPr>
      </w:pPr>
    </w:p>
    <w:p w:rsidR="0041637D" w:rsidRPr="00DE5EB8" w:rsidRDefault="00F9732A" w:rsidP="00EA1625">
      <w:pPr>
        <w:spacing w:line="360" w:lineRule="auto"/>
      </w:pPr>
      <w:r w:rsidRPr="00DE5EB8">
        <w:tab/>
      </w:r>
      <w:r w:rsidRPr="00DE5EB8">
        <w:tab/>
      </w:r>
      <w:r w:rsidR="00E55C1D" w:rsidRPr="00DE5EB8">
        <w:t xml:space="preserve">On </w:t>
      </w:r>
      <w:r w:rsidR="00C67E0E">
        <w:t>February 6, 2014</w:t>
      </w:r>
      <w:r w:rsidR="00BD76C8" w:rsidRPr="00DE5EB8">
        <w:t xml:space="preserve">, </w:t>
      </w:r>
      <w:r w:rsidR="00C67E0E">
        <w:t xml:space="preserve">Robin </w:t>
      </w:r>
      <w:proofErr w:type="spellStart"/>
      <w:r w:rsidR="00C67E0E">
        <w:t>Mariani</w:t>
      </w:r>
      <w:proofErr w:type="spellEnd"/>
      <w:r w:rsidR="00BD76C8" w:rsidRPr="00DE5EB8">
        <w:t xml:space="preserve"> </w:t>
      </w:r>
      <w:r w:rsidR="00497A4D" w:rsidRPr="00DE5EB8">
        <w:t>(Complainant</w:t>
      </w:r>
      <w:r w:rsidR="00C67E0E">
        <w:t xml:space="preserve"> or Ms. </w:t>
      </w:r>
      <w:proofErr w:type="spellStart"/>
      <w:r w:rsidR="00C67E0E">
        <w:t>Mariani</w:t>
      </w:r>
      <w:proofErr w:type="spellEnd"/>
      <w:r w:rsidR="00497A4D" w:rsidRPr="00DE5EB8">
        <w:t xml:space="preserve">) </w:t>
      </w:r>
      <w:r w:rsidR="00BD76C8" w:rsidRPr="00DE5EB8">
        <w:t>filed a formal complaint with the Pennsylvania P</w:t>
      </w:r>
      <w:r w:rsidR="0041637D" w:rsidRPr="00DE5EB8">
        <w:t>u</w:t>
      </w:r>
      <w:r w:rsidR="00BD76C8" w:rsidRPr="00DE5EB8">
        <w:t xml:space="preserve">blic </w:t>
      </w:r>
      <w:r w:rsidR="005D2B9F">
        <w:t>Utility Commission (Commission</w:t>
      </w:r>
      <w:r w:rsidR="00BD76C8" w:rsidRPr="00DE5EB8">
        <w:t xml:space="preserve">) against </w:t>
      </w:r>
      <w:r w:rsidR="00C67E0E">
        <w:t>PECO Energy Company</w:t>
      </w:r>
      <w:r w:rsidR="004201C6" w:rsidRPr="00DE5EB8">
        <w:t xml:space="preserve"> </w:t>
      </w:r>
      <w:r w:rsidR="005D2B9F">
        <w:t>(</w:t>
      </w:r>
      <w:r w:rsidR="00C67E0E">
        <w:t>PECO</w:t>
      </w:r>
      <w:r w:rsidR="00BD76C8" w:rsidRPr="00DE5EB8">
        <w:t xml:space="preserve"> or </w:t>
      </w:r>
      <w:r w:rsidR="00FD4410" w:rsidRPr="00DE5EB8">
        <w:t>Respondent</w:t>
      </w:r>
      <w:r w:rsidR="00BD76C8" w:rsidRPr="00DE5EB8">
        <w:t xml:space="preserve">) </w:t>
      </w:r>
      <w:r w:rsidR="004201C6" w:rsidRPr="00DE5EB8">
        <w:t>alleging</w:t>
      </w:r>
      <w:r w:rsidR="00BD76C8" w:rsidRPr="00DE5EB8">
        <w:t xml:space="preserve"> </w:t>
      </w:r>
      <w:r w:rsidR="00C67E0E">
        <w:t>PECO</w:t>
      </w:r>
      <w:r w:rsidR="00025610">
        <w:t xml:space="preserve"> charged </w:t>
      </w:r>
      <w:r w:rsidR="005D2B9F">
        <w:t xml:space="preserve">her incorrectly for </w:t>
      </w:r>
      <w:r w:rsidR="00C67E0E">
        <w:t>electric</w:t>
      </w:r>
      <w:r w:rsidR="005D2B9F">
        <w:t xml:space="preserve"> service</w:t>
      </w:r>
      <w:r w:rsidR="00C67E0E">
        <w:t xml:space="preserve"> from August 10, 2013 to September 13, 2013 when a former </w:t>
      </w:r>
      <w:r w:rsidR="00E67136">
        <w:t>tenant</w:t>
      </w:r>
      <w:r w:rsidR="00C67E0E">
        <w:t xml:space="preserve"> stole electricity.  Complainant also alleges PECO failed to provide customer service when it allowed the </w:t>
      </w:r>
      <w:r w:rsidR="00E67136">
        <w:t>tenant</w:t>
      </w:r>
      <w:r w:rsidR="00C67E0E">
        <w:t xml:space="preserve"> to go three years without making a payment.</w:t>
      </w:r>
    </w:p>
    <w:p w:rsidR="00C67E0E" w:rsidRDefault="00C67E0E" w:rsidP="00EA1625">
      <w:pPr>
        <w:spacing w:line="360" w:lineRule="auto"/>
      </w:pPr>
    </w:p>
    <w:p w:rsidR="000B575F" w:rsidRPr="00DE5EB8" w:rsidRDefault="0041637D" w:rsidP="00EA1625">
      <w:pPr>
        <w:spacing w:line="360" w:lineRule="auto"/>
      </w:pPr>
      <w:r w:rsidRPr="00DE5EB8">
        <w:tab/>
      </w:r>
      <w:r w:rsidRPr="00DE5EB8">
        <w:tab/>
      </w:r>
      <w:r w:rsidR="00C67E0E">
        <w:t>PECO</w:t>
      </w:r>
      <w:r w:rsidR="00AB2957">
        <w:t xml:space="preserve"> </w:t>
      </w:r>
      <w:r w:rsidRPr="00DE5EB8">
        <w:t xml:space="preserve">filed </w:t>
      </w:r>
      <w:r w:rsidR="00DF0974" w:rsidRPr="00DE5EB8">
        <w:t>an</w:t>
      </w:r>
      <w:r w:rsidR="00580D5E" w:rsidRPr="00DE5EB8">
        <w:t xml:space="preserve"> </w:t>
      </w:r>
      <w:r w:rsidRPr="00DE5EB8">
        <w:t xml:space="preserve">answer in response to </w:t>
      </w:r>
      <w:r w:rsidR="00AB2957">
        <w:t>the</w:t>
      </w:r>
      <w:r w:rsidRPr="00DE5EB8">
        <w:t xml:space="preserve"> complaint on </w:t>
      </w:r>
      <w:r w:rsidR="00C67E0E">
        <w:t>February 28, 2014</w:t>
      </w:r>
      <w:r w:rsidRPr="00DE5EB8">
        <w:t xml:space="preserve">.  In </w:t>
      </w:r>
      <w:r w:rsidR="00DF0974" w:rsidRPr="00DE5EB8">
        <w:t>its</w:t>
      </w:r>
      <w:r w:rsidRPr="00DE5EB8">
        <w:t xml:space="preserve"> </w:t>
      </w:r>
      <w:r w:rsidR="00580D5E" w:rsidRPr="00DE5EB8">
        <w:t xml:space="preserve">responsive pleading, </w:t>
      </w:r>
      <w:r w:rsidR="00C67E0E">
        <w:t>PECO</w:t>
      </w:r>
      <w:r w:rsidR="003F5065" w:rsidRPr="00DE5EB8">
        <w:t xml:space="preserve"> </w:t>
      </w:r>
      <w:r w:rsidR="00590E0C" w:rsidRPr="00DE5EB8">
        <w:t xml:space="preserve">denies </w:t>
      </w:r>
      <w:r w:rsidR="00025610">
        <w:t xml:space="preserve">it billed Complainant incorrectly because </w:t>
      </w:r>
      <w:r w:rsidR="00C67E0E">
        <w:t xml:space="preserve">it correctly </w:t>
      </w:r>
      <w:r w:rsidR="00C67E0E">
        <w:lastRenderedPageBreak/>
        <w:t xml:space="preserve">determined the existence of a foreign load and </w:t>
      </w:r>
      <w:r w:rsidR="00025610">
        <w:t>Complainant</w:t>
      </w:r>
      <w:r w:rsidR="00B836C9">
        <w:t>, as the landlord,</w:t>
      </w:r>
      <w:r w:rsidR="00025610">
        <w:t xml:space="preserve"> is responsible for the charges </w:t>
      </w:r>
      <w:r w:rsidR="005D2B9F">
        <w:t>due to the presence of a foreign load</w:t>
      </w:r>
      <w:r w:rsidR="00025610">
        <w:t xml:space="preserve">.  </w:t>
      </w:r>
      <w:r w:rsidR="00590E0C" w:rsidRPr="00DE5EB8">
        <w:t xml:space="preserve">  </w:t>
      </w:r>
      <w:r w:rsidR="00734AEF" w:rsidRPr="00DE5EB8">
        <w:t xml:space="preserve"> </w:t>
      </w:r>
      <w:r w:rsidR="00D23617" w:rsidRPr="00DE5EB8">
        <w:t xml:space="preserve">  </w:t>
      </w:r>
    </w:p>
    <w:p w:rsidR="00A85958" w:rsidRPr="00DE5EB8" w:rsidRDefault="00A85958" w:rsidP="00EA1625">
      <w:pPr>
        <w:spacing w:line="360" w:lineRule="auto"/>
      </w:pPr>
    </w:p>
    <w:p w:rsidR="008E4FD6" w:rsidRDefault="009239E5" w:rsidP="00A90945">
      <w:pPr>
        <w:spacing w:line="360" w:lineRule="auto"/>
        <w:ind w:firstLine="1440"/>
      </w:pPr>
      <w:r w:rsidRPr="00DE5EB8">
        <w:t xml:space="preserve">By </w:t>
      </w:r>
      <w:r w:rsidR="00C67E0E">
        <w:t xml:space="preserve">Call-In </w:t>
      </w:r>
      <w:r w:rsidRPr="00DE5EB8">
        <w:t>Telephon</w:t>
      </w:r>
      <w:r w:rsidR="00C67E0E">
        <w:t>e</w:t>
      </w:r>
      <w:r w:rsidRPr="00DE5EB8">
        <w:t xml:space="preserve"> Hearing Notice dated </w:t>
      </w:r>
      <w:r w:rsidR="00C67E0E">
        <w:t>March 6, 2014</w:t>
      </w:r>
      <w:r w:rsidRPr="00DE5EB8">
        <w:t xml:space="preserve">, the </w:t>
      </w:r>
      <w:r w:rsidR="00C67E0E">
        <w:t>Office of Administrative Law Judge</w:t>
      </w:r>
      <w:r w:rsidRPr="00DE5EB8">
        <w:t xml:space="preserve"> notified the parties an initial hearing in this case was scheduled for </w:t>
      </w:r>
      <w:r w:rsidR="00C67E0E">
        <w:t>Wednesday, April 30, 2014</w:t>
      </w:r>
      <w:r w:rsidR="00D23617" w:rsidRPr="00DE5EB8">
        <w:t xml:space="preserve"> </w:t>
      </w:r>
      <w:r w:rsidR="00590E0C" w:rsidRPr="00DE5EB8">
        <w:t>at 10</w:t>
      </w:r>
      <w:r w:rsidRPr="00DE5EB8">
        <w:t xml:space="preserve">:00 a.m.  </w:t>
      </w:r>
      <w:r w:rsidRPr="00DE5EB8">
        <w:rPr>
          <w:spacing w:val="-3"/>
        </w:rPr>
        <w:t xml:space="preserve">On </w:t>
      </w:r>
      <w:r w:rsidR="00C67E0E">
        <w:rPr>
          <w:spacing w:val="-3"/>
        </w:rPr>
        <w:t>March 7, 2014</w:t>
      </w:r>
      <w:r w:rsidRPr="00DE5EB8">
        <w:rPr>
          <w:spacing w:val="-3"/>
        </w:rPr>
        <w:t xml:space="preserve">, the </w:t>
      </w:r>
      <w:r w:rsidR="009737DF" w:rsidRPr="00DE5EB8">
        <w:rPr>
          <w:spacing w:val="-3"/>
        </w:rPr>
        <w:t>presiding officer</w:t>
      </w:r>
      <w:r w:rsidRPr="00DE5EB8">
        <w:rPr>
          <w:spacing w:val="-3"/>
        </w:rPr>
        <w:t xml:space="preserve"> issued a Prehearing Order </w:t>
      </w:r>
      <w:r w:rsidRPr="00DE5EB8">
        <w:t>setting forth the date and time of the scheduled hearing</w:t>
      </w:r>
      <w:r w:rsidR="00C67E0E">
        <w:t>, and providing procedural guidelines</w:t>
      </w:r>
      <w:r w:rsidRPr="00DE5EB8">
        <w:t xml:space="preserve">.  </w:t>
      </w:r>
      <w:r w:rsidR="00D93CB5" w:rsidRPr="00DE5EB8">
        <w:t xml:space="preserve">  </w:t>
      </w:r>
    </w:p>
    <w:p w:rsidR="00C67E0E" w:rsidRPr="00DE5EB8" w:rsidRDefault="00C67E0E" w:rsidP="00A90945">
      <w:pPr>
        <w:spacing w:line="360" w:lineRule="auto"/>
        <w:ind w:firstLine="1440"/>
      </w:pPr>
    </w:p>
    <w:p w:rsidR="00A275B6" w:rsidRDefault="00212D2D" w:rsidP="007B4DE2">
      <w:pPr>
        <w:tabs>
          <w:tab w:val="left" w:pos="2160"/>
        </w:tabs>
        <w:spacing w:line="360" w:lineRule="auto"/>
        <w:ind w:firstLine="1440"/>
      </w:pPr>
      <w:r w:rsidRPr="00DE5EB8">
        <w:t xml:space="preserve">On </w:t>
      </w:r>
      <w:r w:rsidR="00C67E0E">
        <w:t>April 30, 2014</w:t>
      </w:r>
      <w:r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hearing</w:t>
      </w:r>
      <w:r w:rsidR="00826CBC" w:rsidRPr="00DE5EB8">
        <w:t xml:space="preserve"> </w:t>
      </w:r>
      <w:r w:rsidR="00734AEF" w:rsidRPr="00DE5EB8">
        <w:t xml:space="preserve">at which time </w:t>
      </w:r>
      <w:r w:rsidR="009737DF" w:rsidRPr="00DE5EB8">
        <w:t>Complainant</w:t>
      </w:r>
      <w:r w:rsidR="005243F8" w:rsidRPr="00DE5EB8">
        <w:t xml:space="preserve"> appeared </w:t>
      </w:r>
      <w:r w:rsidR="005243F8" w:rsidRPr="00DE5EB8">
        <w:rPr>
          <w:i/>
        </w:rPr>
        <w:t>pro se</w:t>
      </w:r>
      <w:r w:rsidR="0071351A" w:rsidRPr="00DE5EB8">
        <w:t xml:space="preserve">.  </w:t>
      </w:r>
      <w:r w:rsidR="005D2B9F">
        <w:t xml:space="preserve">Ms. </w:t>
      </w:r>
      <w:proofErr w:type="spellStart"/>
      <w:r w:rsidR="00C67E0E">
        <w:t>Mariani</w:t>
      </w:r>
      <w:proofErr w:type="spellEnd"/>
      <w:r w:rsidR="005D7228" w:rsidRPr="00DE5EB8">
        <w:t xml:space="preserve"> </w:t>
      </w:r>
      <w:r w:rsidR="005243F8" w:rsidRPr="00DE5EB8">
        <w:t xml:space="preserve">testified on </w:t>
      </w:r>
      <w:r w:rsidR="005D2B9F">
        <w:t>her</w:t>
      </w:r>
      <w:r w:rsidR="005243F8" w:rsidRPr="00DE5EB8">
        <w:t xml:space="preserve"> own behalf</w:t>
      </w:r>
      <w:r w:rsidR="005C7F1B">
        <w:t xml:space="preserve"> and </w:t>
      </w:r>
      <w:r w:rsidR="00C67E0E">
        <w:t xml:space="preserve">provided two witnesses </w:t>
      </w:r>
      <w:r w:rsidR="0005083D">
        <w:t xml:space="preserve">(Chasity </w:t>
      </w:r>
      <w:proofErr w:type="spellStart"/>
      <w:r w:rsidR="0005083D">
        <w:t>Mariani</w:t>
      </w:r>
      <w:proofErr w:type="spellEnd"/>
      <w:r w:rsidR="0005083D">
        <w:t xml:space="preserve"> and William Fenton </w:t>
      </w:r>
      <w:proofErr w:type="spellStart"/>
      <w:r w:rsidR="0005083D">
        <w:t>Riehl</w:t>
      </w:r>
      <w:proofErr w:type="spellEnd"/>
      <w:r w:rsidR="0005083D">
        <w:t>).  Complainant</w:t>
      </w:r>
      <w:r w:rsidR="0071351A" w:rsidRPr="00DE5EB8">
        <w:t xml:space="preserve"> </w:t>
      </w:r>
      <w:r w:rsidR="00025610">
        <w:t xml:space="preserve">did not </w:t>
      </w:r>
      <w:r w:rsidR="0071351A" w:rsidRPr="00DE5EB8">
        <w:t>offer</w:t>
      </w:r>
      <w:r w:rsidR="00025610">
        <w:t xml:space="preserve"> any exhibits.  </w:t>
      </w:r>
      <w:proofErr w:type="spellStart"/>
      <w:r w:rsidR="00C67E0E">
        <w:t>Shawane</w:t>
      </w:r>
      <w:proofErr w:type="spellEnd"/>
      <w:r w:rsidR="00C67E0E">
        <w:t xml:space="preserve"> L. Lee</w:t>
      </w:r>
      <w:r w:rsidR="007B4DE2" w:rsidRPr="00DE5EB8">
        <w:t xml:space="preserve">, Esquire represented </w:t>
      </w:r>
      <w:r w:rsidR="00C67E0E">
        <w:t>PECO</w:t>
      </w:r>
      <w:r w:rsidR="00025610">
        <w:t>.  At the hearing</w:t>
      </w:r>
      <w:r w:rsidR="005D2B9F">
        <w:t xml:space="preserve">, </w:t>
      </w:r>
      <w:r w:rsidR="00C67E0E">
        <w:t>Ms. Lee</w:t>
      </w:r>
      <w:r w:rsidR="00025610">
        <w:t xml:space="preserve"> </w:t>
      </w:r>
      <w:r w:rsidR="007B4DE2" w:rsidRPr="00DE5EB8">
        <w:t xml:space="preserve">presented the testimony of </w:t>
      </w:r>
      <w:r w:rsidR="00C67E0E">
        <w:t>one witness</w:t>
      </w:r>
      <w:r w:rsidR="007B4DE2" w:rsidRPr="00DE5EB8">
        <w:t xml:space="preserve"> </w:t>
      </w:r>
      <w:r w:rsidR="0005083D">
        <w:t xml:space="preserve">(Elsa Leung) </w:t>
      </w:r>
      <w:r w:rsidR="007B4DE2" w:rsidRPr="00DE5EB8">
        <w:t xml:space="preserve">and offered </w:t>
      </w:r>
      <w:r w:rsidR="00C67E0E">
        <w:t>eight</w:t>
      </w:r>
      <w:r w:rsidR="007B4DE2" w:rsidRPr="00DE5EB8">
        <w:t xml:space="preserve"> exhibit</w:t>
      </w:r>
      <w:r w:rsidR="00025610">
        <w:t>s</w:t>
      </w:r>
      <w:r w:rsidR="007B4DE2" w:rsidRPr="00DE5EB8">
        <w:t xml:space="preserve">, marked </w:t>
      </w:r>
      <w:r w:rsidR="00C67E0E">
        <w:t>PECO</w:t>
      </w:r>
      <w:r w:rsidR="00980721">
        <w:t xml:space="preserve"> Exhibi</w:t>
      </w:r>
      <w:r w:rsidR="00025610">
        <w:t>ts</w:t>
      </w:r>
      <w:r w:rsidR="00A275B6">
        <w:t xml:space="preserve"> 5, 6, 10, 11, 12, 13, 14, and 15</w:t>
      </w:r>
      <w:r w:rsidR="005D2B9F">
        <w:t xml:space="preserve">.  </w:t>
      </w:r>
      <w:r w:rsidR="00A275B6">
        <w:t>PECO did not move to admit its</w:t>
      </w:r>
      <w:r w:rsidR="005D2B9F">
        <w:t xml:space="preserve"> exhibits </w:t>
      </w:r>
      <w:r w:rsidR="007B4DE2" w:rsidRPr="00DE5EB8">
        <w:t>into evidence at the hearing</w:t>
      </w:r>
      <w:r w:rsidR="00A275B6">
        <w:t xml:space="preserve"> on April 30, 2014</w:t>
      </w:r>
      <w:r w:rsidR="007B4DE2" w:rsidRPr="00DE5EB8">
        <w:t xml:space="preserve">.  </w:t>
      </w:r>
    </w:p>
    <w:p w:rsidR="00A275B6" w:rsidRDefault="00A275B6" w:rsidP="007B4DE2">
      <w:pPr>
        <w:tabs>
          <w:tab w:val="left" w:pos="2160"/>
        </w:tabs>
        <w:spacing w:line="360" w:lineRule="auto"/>
        <w:ind w:firstLine="1440"/>
      </w:pPr>
    </w:p>
    <w:p w:rsidR="00A275B6" w:rsidRDefault="00A275B6" w:rsidP="007B4DE2">
      <w:pPr>
        <w:tabs>
          <w:tab w:val="left" w:pos="2160"/>
        </w:tabs>
        <w:spacing w:line="360" w:lineRule="auto"/>
        <w:ind w:firstLine="1440"/>
      </w:pPr>
      <w:r>
        <w:t xml:space="preserve">On May 9, 2014, the presiding </w:t>
      </w:r>
      <w:r w:rsidR="007C7AA3">
        <w:t xml:space="preserve">officer </w:t>
      </w:r>
      <w:r>
        <w:t>reconvened the parties and conducted a further day of hearings for the purpose of securing the testimony of PECO’s witness</w:t>
      </w:r>
      <w:r w:rsidR="0005083D">
        <w:t xml:space="preserve"> (Peggy O’Donnell)</w:t>
      </w:r>
      <w:r>
        <w:t xml:space="preserve">, who was unavailable on the first day of hearing.  Complainant appeared </w:t>
      </w:r>
      <w:r w:rsidRPr="00E510EB">
        <w:rPr>
          <w:i/>
        </w:rPr>
        <w:t>pro se</w:t>
      </w:r>
      <w:r>
        <w:t xml:space="preserve"> and presented no testimony or exhibits.  Ms. Lee appeared on behalf of PECO and presented the testimony of one witness.  At the hearing, Ms. Lee offered seven (7) additional exhibits which were admitted, in addition to the eight (8) exhibits marked and discussed on April 30, 2014.</w:t>
      </w:r>
    </w:p>
    <w:p w:rsidR="00A275B6" w:rsidRDefault="00A275B6" w:rsidP="007B4DE2">
      <w:pPr>
        <w:tabs>
          <w:tab w:val="left" w:pos="2160"/>
        </w:tabs>
        <w:spacing w:line="360" w:lineRule="auto"/>
        <w:ind w:firstLine="1440"/>
      </w:pPr>
    </w:p>
    <w:p w:rsidR="007B4DE2" w:rsidRPr="00DE5EB8" w:rsidRDefault="007B4DE2" w:rsidP="007B4DE2">
      <w:pPr>
        <w:tabs>
          <w:tab w:val="left" w:pos="2160"/>
        </w:tabs>
        <w:spacing w:line="360" w:lineRule="auto"/>
        <w:ind w:firstLine="1440"/>
      </w:pPr>
      <w:r w:rsidRPr="00DE5EB8">
        <w:t xml:space="preserve">Complainant and Respondent issued final statements on the record </w:t>
      </w:r>
      <w:r w:rsidR="00A275B6">
        <w:t>on May 9, 2014</w:t>
      </w:r>
      <w:r w:rsidRPr="00DE5EB8">
        <w:t>.</w:t>
      </w:r>
      <w:r w:rsidR="00025610">
        <w:t xml:space="preserve">  </w:t>
      </w:r>
      <w:r w:rsidR="00025610" w:rsidRPr="00DE5EB8">
        <w:t xml:space="preserve">The </w:t>
      </w:r>
      <w:r w:rsidR="00025610">
        <w:t xml:space="preserve">presiding officer received the transcript of the </w:t>
      </w:r>
      <w:r w:rsidR="00A275B6">
        <w:t xml:space="preserve">first day of </w:t>
      </w:r>
      <w:r w:rsidR="00025610">
        <w:t xml:space="preserve">hearing, which contains </w:t>
      </w:r>
      <w:r w:rsidR="00A275B6">
        <w:t>ninety-five</w:t>
      </w:r>
      <w:r w:rsidR="00025610">
        <w:t xml:space="preserve"> (</w:t>
      </w:r>
      <w:r w:rsidR="00A275B6">
        <w:t>95</w:t>
      </w:r>
      <w:r w:rsidR="00025610">
        <w:t>)</w:t>
      </w:r>
      <w:r w:rsidR="00025610" w:rsidRPr="00DE5EB8">
        <w:t xml:space="preserve"> pages</w:t>
      </w:r>
      <w:r w:rsidR="00025610">
        <w:t xml:space="preserve">, on </w:t>
      </w:r>
      <w:r w:rsidR="00A275B6">
        <w:t>May 23, 2014</w:t>
      </w:r>
      <w:r w:rsidR="00025610">
        <w:t>.</w:t>
      </w:r>
      <w:r w:rsidR="00A275B6">
        <w:t xml:space="preserve">  The presiding officer received the transcript from the second day of hearing, which contains fifty-five (55) additional pages, on May 27, 2014.</w:t>
      </w:r>
      <w:r w:rsidR="00025610">
        <w:t xml:space="preserve">  On </w:t>
      </w:r>
      <w:r w:rsidR="00A275B6">
        <w:t>June 11</w:t>
      </w:r>
      <w:r w:rsidR="005D2B9F">
        <w:t>, 2014</w:t>
      </w:r>
      <w:r w:rsidR="00F37FC1">
        <w:t>,</w:t>
      </w:r>
      <w:r w:rsidRPr="00DE5EB8">
        <w:t xml:space="preserve"> the </w:t>
      </w:r>
      <w:r w:rsidR="00A275B6">
        <w:t>presiding officer</w:t>
      </w:r>
      <w:r w:rsidRPr="00DE5EB8">
        <w:t xml:space="preserve">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lastRenderedPageBreak/>
        <w:t>FINDINGS OF FACT</w:t>
      </w:r>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FD4410" w:rsidRPr="00DE5EB8">
        <w:t>Complainant</w:t>
      </w:r>
      <w:r w:rsidR="00FA2D82" w:rsidRPr="00DE5EB8">
        <w:t xml:space="preserve">, </w:t>
      </w:r>
      <w:r w:rsidR="00C15D1F">
        <w:t xml:space="preserve">Robin </w:t>
      </w:r>
      <w:proofErr w:type="spellStart"/>
      <w:r w:rsidR="00C15D1F">
        <w:t>Mariani</w:t>
      </w:r>
      <w:proofErr w:type="spellEnd"/>
      <w:r w:rsidR="00490E8B">
        <w:t xml:space="preserve">, </w:t>
      </w:r>
      <w:r w:rsidR="00C15D1F">
        <w:t xml:space="preserve">resides in Pipersville, Pennsylvania, and </w:t>
      </w:r>
      <w:r w:rsidR="008C3235">
        <w:t xml:space="preserve">in 2004 purchased </w:t>
      </w:r>
      <w:r w:rsidR="00B92C2C">
        <w:t xml:space="preserve">a </w:t>
      </w:r>
      <w:r w:rsidR="008C3235">
        <w:t>structure</w:t>
      </w:r>
      <w:r w:rsidR="00865DA7">
        <w:t xml:space="preserve"> </w:t>
      </w:r>
      <w:r w:rsidR="008C3235">
        <w:t xml:space="preserve">(service address) </w:t>
      </w:r>
      <w:r w:rsidR="00865DA7">
        <w:t xml:space="preserve">containing </w:t>
      </w:r>
      <w:r w:rsidR="008C3235">
        <w:t>three</w:t>
      </w:r>
      <w:r w:rsidR="00865DA7">
        <w:t xml:space="preserve"> rental units </w:t>
      </w:r>
      <w:r w:rsidR="00053A88">
        <w:t>located at</w:t>
      </w:r>
      <w:r w:rsidR="00490E8B">
        <w:t xml:space="preserve"> </w:t>
      </w:r>
      <w:r w:rsidR="00C15D1F">
        <w:t>3901 Lower Road, Levittown</w:t>
      </w:r>
      <w:r w:rsidR="00053A88">
        <w:t>, Pennsylvania</w:t>
      </w:r>
      <w:r w:rsidR="00C15D1F">
        <w:t xml:space="preserve"> 19056</w:t>
      </w:r>
      <w:r w:rsidR="00D11E0E" w:rsidRPr="00DE5EB8">
        <w:t>.</w:t>
      </w:r>
      <w:r w:rsidR="00607DB2">
        <w:t xml:space="preserve">  </w:t>
      </w:r>
      <w:r w:rsidR="00B92C2C">
        <w:t xml:space="preserve">(Tr. </w:t>
      </w:r>
      <w:r w:rsidR="008C3235">
        <w:t>15-17</w:t>
      </w:r>
      <w:r w:rsidR="00B92C2C">
        <w:t>).</w:t>
      </w:r>
    </w:p>
    <w:p w:rsidR="000B7480" w:rsidRPr="00DE5EB8" w:rsidRDefault="000B7480" w:rsidP="00EA1625">
      <w:pPr>
        <w:tabs>
          <w:tab w:val="left" w:pos="2160"/>
        </w:tabs>
        <w:spacing w:line="360" w:lineRule="auto"/>
        <w:ind w:firstLine="1440"/>
      </w:pPr>
    </w:p>
    <w:p w:rsidR="000B7480" w:rsidRPr="00DE5EB8" w:rsidRDefault="000B7480" w:rsidP="00EA1625">
      <w:pPr>
        <w:tabs>
          <w:tab w:val="left" w:pos="2160"/>
        </w:tabs>
        <w:spacing w:line="360" w:lineRule="auto"/>
        <w:ind w:firstLine="1440"/>
      </w:pPr>
      <w:r w:rsidRPr="00DE5EB8">
        <w:t>2.</w:t>
      </w:r>
      <w:r w:rsidRPr="00DE5EB8">
        <w:tab/>
      </w:r>
      <w:r w:rsidR="00490E8B">
        <w:t>Respondent</w:t>
      </w:r>
      <w:r w:rsidR="00DF087F" w:rsidRPr="00DE5EB8">
        <w:t xml:space="preserve"> </w:t>
      </w:r>
      <w:r w:rsidR="004B2C3D">
        <w:t>provides</w:t>
      </w:r>
      <w:r w:rsidR="00DF087F" w:rsidRPr="00DE5EB8">
        <w:t xml:space="preserve"> </w:t>
      </w:r>
      <w:r w:rsidR="008C3235">
        <w:t>electric</w:t>
      </w:r>
      <w:r w:rsidR="00DF087F" w:rsidRPr="00DE5EB8">
        <w:t xml:space="preserve"> service to </w:t>
      </w:r>
      <w:r w:rsidR="008C3235">
        <w:t>all three</w:t>
      </w:r>
      <w:r w:rsidR="00490E8B">
        <w:t xml:space="preserve"> units </w:t>
      </w:r>
      <w:r w:rsidR="00C15D1F">
        <w:t>(Apartment A</w:t>
      </w:r>
      <w:r w:rsidR="008C3235">
        <w:t>, Apartment B</w:t>
      </w:r>
      <w:r w:rsidR="00C15D1F">
        <w:t xml:space="preserve"> and Apartment C) </w:t>
      </w:r>
      <w:r w:rsidR="00490E8B">
        <w:t xml:space="preserve">located at </w:t>
      </w:r>
      <w:r w:rsidR="009560DC">
        <w:t>the service address</w:t>
      </w:r>
      <w:r w:rsidR="00865DA7">
        <w:t>.</w:t>
      </w:r>
      <w:r w:rsidR="007C631A">
        <w:t xml:space="preserve">  </w:t>
      </w:r>
      <w:r w:rsidR="008C3235">
        <w:t xml:space="preserve">Respondent also provides electric service to Complainant at her residence.  </w:t>
      </w:r>
      <w:proofErr w:type="gramStart"/>
      <w:r w:rsidR="00B92C2C">
        <w:t xml:space="preserve">(Tr. </w:t>
      </w:r>
      <w:r w:rsidR="008C3235">
        <w:t>16</w:t>
      </w:r>
      <w:r w:rsidR="00B92C2C">
        <w:t>).</w:t>
      </w:r>
      <w:proofErr w:type="gramEnd"/>
    </w:p>
    <w:p w:rsidR="001354D6" w:rsidRPr="00DE5EB8" w:rsidRDefault="001354D6" w:rsidP="00EA1625">
      <w:pPr>
        <w:tabs>
          <w:tab w:val="left" w:pos="2160"/>
        </w:tabs>
        <w:spacing w:line="360" w:lineRule="auto"/>
        <w:ind w:firstLine="1440"/>
      </w:pPr>
    </w:p>
    <w:p w:rsidR="00F35726" w:rsidRDefault="007767D5" w:rsidP="00EA1625">
      <w:pPr>
        <w:tabs>
          <w:tab w:val="left" w:pos="2160"/>
        </w:tabs>
        <w:spacing w:line="360" w:lineRule="auto"/>
        <w:ind w:firstLine="1440"/>
      </w:pPr>
      <w:r w:rsidRPr="00DE5EB8">
        <w:t>3</w:t>
      </w:r>
      <w:r w:rsidR="001354D6" w:rsidRPr="00DE5EB8">
        <w:t>.</w:t>
      </w:r>
      <w:r w:rsidR="001354D6" w:rsidRPr="00DE5EB8">
        <w:tab/>
      </w:r>
      <w:r w:rsidR="00B0030E">
        <w:t xml:space="preserve">In 2011, </w:t>
      </w:r>
      <w:r w:rsidR="00490E8B">
        <w:t>Complainant</w:t>
      </w:r>
      <w:r w:rsidR="007C631A">
        <w:t xml:space="preserve"> began renting </w:t>
      </w:r>
      <w:r w:rsidR="004C05A7">
        <w:t>Apartment A</w:t>
      </w:r>
      <w:r w:rsidR="007C631A">
        <w:t xml:space="preserve"> at the service address to </w:t>
      </w:r>
      <w:r w:rsidR="00C15D1F">
        <w:t xml:space="preserve">Chasity </w:t>
      </w:r>
      <w:proofErr w:type="spellStart"/>
      <w:r w:rsidR="00C15D1F">
        <w:t>Mariani</w:t>
      </w:r>
      <w:proofErr w:type="spellEnd"/>
      <w:r w:rsidR="007C631A">
        <w:t xml:space="preserve"> </w:t>
      </w:r>
      <w:r w:rsidR="00B92C2C">
        <w:t xml:space="preserve">(the </w:t>
      </w:r>
      <w:r w:rsidR="00371AEC">
        <w:t>T</w:t>
      </w:r>
      <w:r w:rsidR="00E67136">
        <w:t>enant</w:t>
      </w:r>
      <w:r w:rsidR="00C15D1F">
        <w:t>),</w:t>
      </w:r>
      <w:r w:rsidR="001656A4">
        <w:t xml:space="preserve"> who is Complainant’s daughter.  T</w:t>
      </w:r>
      <w:r w:rsidR="00B92C2C">
        <w:t xml:space="preserve">he </w:t>
      </w:r>
      <w:r w:rsidR="00371AEC">
        <w:t>T</w:t>
      </w:r>
      <w:r w:rsidR="00E67136">
        <w:t>enant</w:t>
      </w:r>
      <w:r w:rsidR="009560DC">
        <w:t xml:space="preserve"> opened a</w:t>
      </w:r>
      <w:r w:rsidR="00A94DFE">
        <w:t xml:space="preserve"> residential</w:t>
      </w:r>
      <w:r w:rsidR="009560DC">
        <w:t xml:space="preserve"> account with </w:t>
      </w:r>
      <w:r w:rsidR="00C15D1F">
        <w:t>PECO</w:t>
      </w:r>
      <w:r w:rsidR="009560DC">
        <w:t xml:space="preserve"> on </w:t>
      </w:r>
      <w:r w:rsidR="003F418C">
        <w:t>April 25, 2011</w:t>
      </w:r>
      <w:r w:rsidR="001656A4">
        <w:t xml:space="preserve">.  </w:t>
      </w:r>
      <w:proofErr w:type="gramStart"/>
      <w:r w:rsidR="00B92C2C">
        <w:t xml:space="preserve">(Tr. </w:t>
      </w:r>
      <w:r w:rsidR="004C05A7">
        <w:t>26, 27</w:t>
      </w:r>
      <w:r w:rsidR="003F418C">
        <w:t>, 45</w:t>
      </w:r>
      <w:r w:rsidR="008F1BD1">
        <w:t>, 59</w:t>
      </w:r>
      <w:r w:rsidR="001656A4">
        <w:t>, 115-126</w:t>
      </w:r>
      <w:r w:rsidR="008F1BD1">
        <w:t>; PECO Exhibit 13</w:t>
      </w:r>
      <w:r w:rsidR="00B92C2C">
        <w:t>).</w:t>
      </w:r>
      <w:proofErr w:type="gramEnd"/>
    </w:p>
    <w:p w:rsidR="003F418C" w:rsidRDefault="003F418C" w:rsidP="00EA1625">
      <w:pPr>
        <w:tabs>
          <w:tab w:val="left" w:pos="2160"/>
        </w:tabs>
        <w:spacing w:line="360" w:lineRule="auto"/>
        <w:ind w:firstLine="1440"/>
      </w:pPr>
    </w:p>
    <w:p w:rsidR="003F418C" w:rsidRDefault="009A16E0" w:rsidP="00EA1625">
      <w:pPr>
        <w:tabs>
          <w:tab w:val="left" w:pos="2160"/>
        </w:tabs>
        <w:spacing w:line="360" w:lineRule="auto"/>
        <w:ind w:firstLine="1440"/>
      </w:pPr>
      <w:r>
        <w:t>4</w:t>
      </w:r>
      <w:r w:rsidR="003F418C">
        <w:t xml:space="preserve">. </w:t>
      </w:r>
      <w:r w:rsidR="003F418C">
        <w:tab/>
        <w:t xml:space="preserve">On July 12, 2011, the </w:t>
      </w:r>
      <w:r w:rsidR="00371AEC">
        <w:t>T</w:t>
      </w:r>
      <w:r w:rsidR="00E67136">
        <w:t>enant</w:t>
      </w:r>
      <w:r w:rsidR="003F418C">
        <w:t xml:space="preserve"> called PECO for the first time to complain about receiving a high bill</w:t>
      </w:r>
      <w:r w:rsidR="008F1BD1">
        <w:t xml:space="preserve"> and PECO initiated a high bill investigation</w:t>
      </w:r>
      <w:r w:rsidR="003F418C">
        <w:t xml:space="preserve">.  </w:t>
      </w:r>
      <w:proofErr w:type="gramStart"/>
      <w:r w:rsidR="003F418C">
        <w:t>(Tr. 46</w:t>
      </w:r>
      <w:r w:rsidR="008F1BD1">
        <w:t>, 60</w:t>
      </w:r>
      <w:r w:rsidR="003F418C">
        <w:t xml:space="preserve">; PECO Exhibit </w:t>
      </w:r>
      <w:r w:rsidR="008F1BD1">
        <w:t>13)</w:t>
      </w:r>
      <w:r w:rsidR="003F418C">
        <w:t>.</w:t>
      </w:r>
      <w:proofErr w:type="gramEnd"/>
    </w:p>
    <w:p w:rsidR="003F418C" w:rsidRDefault="003F418C" w:rsidP="00EA1625">
      <w:pPr>
        <w:tabs>
          <w:tab w:val="left" w:pos="2160"/>
        </w:tabs>
        <w:spacing w:line="360" w:lineRule="auto"/>
        <w:ind w:firstLine="1440"/>
      </w:pPr>
    </w:p>
    <w:p w:rsidR="003F418C" w:rsidRDefault="009A16E0" w:rsidP="00EA1625">
      <w:pPr>
        <w:tabs>
          <w:tab w:val="left" w:pos="2160"/>
        </w:tabs>
        <w:spacing w:line="360" w:lineRule="auto"/>
        <w:ind w:firstLine="1440"/>
      </w:pPr>
      <w:r>
        <w:t>5</w:t>
      </w:r>
      <w:r w:rsidR="003F418C">
        <w:t xml:space="preserve">. </w:t>
      </w:r>
      <w:r w:rsidR="003F418C">
        <w:tab/>
        <w:t xml:space="preserve">On </w:t>
      </w:r>
      <w:r w:rsidR="008F1BD1">
        <w:t xml:space="preserve">July 14, 2011, PECO contacted the </w:t>
      </w:r>
      <w:r w:rsidR="00371AEC">
        <w:t>T</w:t>
      </w:r>
      <w:r w:rsidR="00E67136">
        <w:t>enant</w:t>
      </w:r>
      <w:r w:rsidR="001656A4">
        <w:t xml:space="preserve"> and the </w:t>
      </w:r>
      <w:r w:rsidR="00371AEC">
        <w:t>T</w:t>
      </w:r>
      <w:r w:rsidR="00E67136">
        <w:t>enant</w:t>
      </w:r>
      <w:r w:rsidR="001656A4">
        <w:t xml:space="preserve"> agreed PECO c</w:t>
      </w:r>
      <w:r w:rsidR="008F1BD1">
        <w:t xml:space="preserve">ould visit on </w:t>
      </w:r>
      <w:r w:rsidR="003F418C">
        <w:t>July 20, 2011</w:t>
      </w:r>
      <w:r w:rsidR="008F1BD1">
        <w:t xml:space="preserve">.  </w:t>
      </w:r>
      <w:proofErr w:type="gramStart"/>
      <w:r w:rsidR="003F418C">
        <w:t>(Tr. 47</w:t>
      </w:r>
      <w:r w:rsidR="008F1BD1">
        <w:t>, 61; PECO Exhibit 13</w:t>
      </w:r>
      <w:r w:rsidR="003F418C">
        <w:t>).</w:t>
      </w:r>
      <w:proofErr w:type="gramEnd"/>
    </w:p>
    <w:p w:rsidR="001656A4" w:rsidRDefault="001656A4" w:rsidP="001656A4">
      <w:pPr>
        <w:tabs>
          <w:tab w:val="left" w:pos="2160"/>
        </w:tabs>
        <w:spacing w:line="360" w:lineRule="auto"/>
        <w:ind w:firstLine="1440"/>
      </w:pPr>
    </w:p>
    <w:p w:rsidR="001656A4" w:rsidRDefault="009A16E0" w:rsidP="001656A4">
      <w:pPr>
        <w:tabs>
          <w:tab w:val="left" w:pos="2160"/>
        </w:tabs>
        <w:spacing w:line="360" w:lineRule="auto"/>
        <w:ind w:firstLine="1440"/>
      </w:pPr>
      <w:r>
        <w:t>6</w:t>
      </w:r>
      <w:r w:rsidR="001656A4">
        <w:t xml:space="preserve">. </w:t>
      </w:r>
      <w:r w:rsidR="001656A4">
        <w:tab/>
        <w:t xml:space="preserve">On July 20, 2011, PECO’s field representative went to Apartment A at the request of the </w:t>
      </w:r>
      <w:r w:rsidR="00371AEC">
        <w:t>T</w:t>
      </w:r>
      <w:r w:rsidR="00E67136">
        <w:t>enant</w:t>
      </w:r>
      <w:r w:rsidR="001656A4">
        <w:t xml:space="preserve">.  No one was present to give the field representative access to the meter.  PECO advised the </w:t>
      </w:r>
      <w:r w:rsidR="00371AEC">
        <w:t>T</w:t>
      </w:r>
      <w:r w:rsidR="00E67136">
        <w:t>enant</w:t>
      </w:r>
      <w:r w:rsidR="001656A4">
        <w:t xml:space="preserve"> in a letter to contact PECO and reschedule the appointment when access to the meter would be available.  </w:t>
      </w:r>
      <w:proofErr w:type="gramStart"/>
      <w:r w:rsidR="001656A4">
        <w:t>(Tr. 47, 61, 101-103; PECO Exhibits 1 and 13).</w:t>
      </w:r>
      <w:proofErr w:type="gramEnd"/>
    </w:p>
    <w:p w:rsidR="009A16E0" w:rsidRDefault="009A16E0" w:rsidP="009A16E0">
      <w:pPr>
        <w:tabs>
          <w:tab w:val="left" w:pos="2160"/>
        </w:tabs>
        <w:spacing w:line="360" w:lineRule="auto"/>
        <w:ind w:firstLine="1440"/>
      </w:pPr>
    </w:p>
    <w:p w:rsidR="009A16E0" w:rsidRDefault="009A16E0" w:rsidP="009A16E0">
      <w:pPr>
        <w:tabs>
          <w:tab w:val="left" w:pos="2160"/>
        </w:tabs>
        <w:spacing w:line="360" w:lineRule="auto"/>
        <w:ind w:firstLine="1440"/>
      </w:pPr>
      <w:r>
        <w:t xml:space="preserve">7. </w:t>
      </w:r>
      <w:r>
        <w:tab/>
        <w:t xml:space="preserve">The service address has three meters which are accessible only through Apartment C on the first floor.  </w:t>
      </w:r>
      <w:proofErr w:type="gramStart"/>
      <w:r>
        <w:t>(Tr. 22, 136).</w:t>
      </w:r>
      <w:proofErr w:type="gramEnd"/>
    </w:p>
    <w:p w:rsidR="008F1BD1" w:rsidRDefault="008F1BD1" w:rsidP="00EA1625">
      <w:pPr>
        <w:tabs>
          <w:tab w:val="left" w:pos="2160"/>
        </w:tabs>
        <w:spacing w:line="360" w:lineRule="auto"/>
        <w:ind w:firstLine="1440"/>
      </w:pPr>
    </w:p>
    <w:p w:rsidR="008F1BD1" w:rsidRDefault="009A16E0" w:rsidP="00EA1625">
      <w:pPr>
        <w:tabs>
          <w:tab w:val="left" w:pos="2160"/>
        </w:tabs>
        <w:spacing w:line="360" w:lineRule="auto"/>
        <w:ind w:firstLine="1440"/>
      </w:pPr>
      <w:r>
        <w:lastRenderedPageBreak/>
        <w:t>8</w:t>
      </w:r>
      <w:r w:rsidR="008F1BD1">
        <w:t xml:space="preserve">. </w:t>
      </w:r>
      <w:r w:rsidR="008F1BD1">
        <w:tab/>
      </w:r>
      <w:r w:rsidR="001656A4">
        <w:t xml:space="preserve">On July 21, 2011, </w:t>
      </w:r>
      <w:r w:rsidR="008F1BD1">
        <w:t xml:space="preserve">PECO advised the </w:t>
      </w:r>
      <w:r w:rsidR="005766A1">
        <w:t>T</w:t>
      </w:r>
      <w:r w:rsidR="00E67136">
        <w:t>enant</w:t>
      </w:r>
      <w:r w:rsidR="008F1BD1">
        <w:t xml:space="preserve"> </w:t>
      </w:r>
      <w:r w:rsidR="001656A4">
        <w:t>in a letter to contact PECO and reschedule the appointment when access to the meter would be available</w:t>
      </w:r>
      <w:r w:rsidR="008F1BD1">
        <w:t xml:space="preserve">.  </w:t>
      </w:r>
      <w:proofErr w:type="gramStart"/>
      <w:r w:rsidR="008F1BD1">
        <w:t>(Tr. 61, 62</w:t>
      </w:r>
      <w:r w:rsidR="001656A4">
        <w:t>, 101-103</w:t>
      </w:r>
      <w:r w:rsidR="008F1BD1">
        <w:t>; PECO Exhibit</w:t>
      </w:r>
      <w:r w:rsidR="001656A4">
        <w:t>s 1 and</w:t>
      </w:r>
      <w:r w:rsidR="008F1BD1">
        <w:t xml:space="preserve"> 13).</w:t>
      </w:r>
      <w:proofErr w:type="gramEnd"/>
    </w:p>
    <w:p w:rsidR="008F1BD1" w:rsidRDefault="008F1BD1" w:rsidP="00EA1625">
      <w:pPr>
        <w:tabs>
          <w:tab w:val="left" w:pos="2160"/>
        </w:tabs>
        <w:spacing w:line="360" w:lineRule="auto"/>
        <w:ind w:firstLine="1440"/>
      </w:pPr>
    </w:p>
    <w:p w:rsidR="008F1BD1" w:rsidRDefault="009A16E0" w:rsidP="00EA1625">
      <w:pPr>
        <w:tabs>
          <w:tab w:val="left" w:pos="2160"/>
        </w:tabs>
        <w:spacing w:line="360" w:lineRule="auto"/>
        <w:ind w:firstLine="1440"/>
      </w:pPr>
      <w:r>
        <w:t>9</w:t>
      </w:r>
      <w:r w:rsidR="008F1BD1">
        <w:t xml:space="preserve">. </w:t>
      </w:r>
      <w:r w:rsidR="008F1BD1">
        <w:tab/>
        <w:t xml:space="preserve">On May 16, 2012, PECO </w:t>
      </w:r>
      <w:r w:rsidR="00EE02D9">
        <w:t xml:space="preserve">initiated termination procedures to </w:t>
      </w:r>
      <w:r w:rsidR="008F1BD1">
        <w:t xml:space="preserve">terminate </w:t>
      </w:r>
      <w:r w:rsidR="00EE02D9">
        <w:t xml:space="preserve">electric </w:t>
      </w:r>
      <w:r w:rsidR="008F1BD1">
        <w:t xml:space="preserve">service </w:t>
      </w:r>
      <w:r w:rsidR="00EE02D9">
        <w:t>to Apartment A</w:t>
      </w:r>
      <w:r w:rsidR="008F1BD1">
        <w:t xml:space="preserve"> because of </w:t>
      </w:r>
      <w:r w:rsidR="001656A4">
        <w:t>a</w:t>
      </w:r>
      <w:r w:rsidR="008F1BD1">
        <w:t xml:space="preserve"> high past due balance</w:t>
      </w:r>
      <w:r w:rsidR="00EE02D9">
        <w:t xml:space="preserve"> with the </w:t>
      </w:r>
      <w:r w:rsidR="005766A1">
        <w:t>T</w:t>
      </w:r>
      <w:r w:rsidR="00E67136">
        <w:t>enant</w:t>
      </w:r>
      <w:r w:rsidR="008F1BD1">
        <w:t xml:space="preserve">.  </w:t>
      </w:r>
      <w:proofErr w:type="gramStart"/>
      <w:r w:rsidR="008F1BD1">
        <w:t>(Tr. 63; PECO Exhibit 13).</w:t>
      </w:r>
      <w:proofErr w:type="gramEnd"/>
    </w:p>
    <w:p w:rsidR="00EE02D9" w:rsidRDefault="00EE02D9" w:rsidP="00EA1625">
      <w:pPr>
        <w:tabs>
          <w:tab w:val="left" w:pos="2160"/>
        </w:tabs>
        <w:spacing w:line="360" w:lineRule="auto"/>
        <w:ind w:firstLine="1440"/>
      </w:pPr>
    </w:p>
    <w:p w:rsidR="00EE02D9" w:rsidRDefault="009A16E0" w:rsidP="00EA1625">
      <w:pPr>
        <w:tabs>
          <w:tab w:val="left" w:pos="2160"/>
        </w:tabs>
        <w:spacing w:line="360" w:lineRule="auto"/>
        <w:ind w:firstLine="1440"/>
      </w:pPr>
      <w:r>
        <w:t>10</w:t>
      </w:r>
      <w:r w:rsidR="00EE02D9">
        <w:t xml:space="preserve">. </w:t>
      </w:r>
      <w:r w:rsidR="00EE02D9">
        <w:tab/>
      </w:r>
      <w:r w:rsidR="001656A4">
        <w:t xml:space="preserve">In 2012, </w:t>
      </w:r>
      <w:r w:rsidR="00EE02D9">
        <w:t xml:space="preserve">PECO made four attempts to terminate electric service to Apartment A but was unable to terminate service because PECO could not gain access to the electric meter.  </w:t>
      </w:r>
      <w:proofErr w:type="gramStart"/>
      <w:r w:rsidR="00EE02D9">
        <w:t>(Tr. 64, 67; PECO Exhibit 13).</w:t>
      </w:r>
      <w:proofErr w:type="gramEnd"/>
    </w:p>
    <w:p w:rsidR="00EE02D9" w:rsidRDefault="00EE02D9" w:rsidP="00EA1625">
      <w:pPr>
        <w:tabs>
          <w:tab w:val="left" w:pos="2160"/>
        </w:tabs>
        <w:spacing w:line="360" w:lineRule="auto"/>
        <w:ind w:firstLine="1440"/>
      </w:pPr>
    </w:p>
    <w:p w:rsidR="00EE02D9" w:rsidRDefault="009A16E0" w:rsidP="00EA1625">
      <w:pPr>
        <w:tabs>
          <w:tab w:val="left" w:pos="2160"/>
        </w:tabs>
        <w:spacing w:line="360" w:lineRule="auto"/>
        <w:ind w:firstLine="1440"/>
      </w:pPr>
      <w:r>
        <w:t>11</w:t>
      </w:r>
      <w:r w:rsidR="00EE02D9">
        <w:t xml:space="preserve">. </w:t>
      </w:r>
      <w:r w:rsidR="00EE02D9">
        <w:tab/>
      </w:r>
      <w:r w:rsidR="001656A4">
        <w:t>On April 25, 2013, t</w:t>
      </w:r>
      <w:r w:rsidR="00EE02D9">
        <w:t xml:space="preserve">he </w:t>
      </w:r>
      <w:r w:rsidR="005766A1">
        <w:t>T</w:t>
      </w:r>
      <w:r w:rsidR="00E67136">
        <w:t>enant</w:t>
      </w:r>
      <w:r w:rsidR="00EE02D9">
        <w:t xml:space="preserve"> contacted PECO to request a high bill investigation.  </w:t>
      </w:r>
      <w:proofErr w:type="gramStart"/>
      <w:r w:rsidR="00EE02D9">
        <w:t>(Tr. 68, 69; PECO Exhibit 13).</w:t>
      </w:r>
      <w:proofErr w:type="gramEnd"/>
    </w:p>
    <w:p w:rsidR="001656A4" w:rsidRDefault="001656A4" w:rsidP="001656A4">
      <w:pPr>
        <w:tabs>
          <w:tab w:val="left" w:pos="2160"/>
        </w:tabs>
        <w:spacing w:line="360" w:lineRule="auto"/>
        <w:ind w:firstLine="1440"/>
      </w:pPr>
    </w:p>
    <w:p w:rsidR="001656A4" w:rsidRPr="00DE5EB8" w:rsidRDefault="009A16E0" w:rsidP="001656A4">
      <w:pPr>
        <w:tabs>
          <w:tab w:val="left" w:pos="2160"/>
        </w:tabs>
        <w:spacing w:line="360" w:lineRule="auto"/>
        <w:ind w:firstLine="1440"/>
      </w:pPr>
      <w:r>
        <w:t>12</w:t>
      </w:r>
      <w:r w:rsidR="001656A4">
        <w:t xml:space="preserve">. </w:t>
      </w:r>
      <w:r w:rsidR="001656A4">
        <w:tab/>
        <w:t xml:space="preserve">On May 1, 2013, PECO’s field representative returned to Apartment A and conducted a high bill investigation at the request of the </w:t>
      </w:r>
      <w:r w:rsidR="009C6CC4">
        <w:t>T</w:t>
      </w:r>
      <w:r w:rsidR="00E67136">
        <w:t>enant</w:t>
      </w:r>
      <w:r w:rsidR="001656A4">
        <w:t xml:space="preserve">.  The </w:t>
      </w:r>
      <w:r w:rsidR="005766A1">
        <w:t>T</w:t>
      </w:r>
      <w:r w:rsidR="00E67136">
        <w:t>enant</w:t>
      </w:r>
      <w:r w:rsidR="001656A4">
        <w:t xml:space="preserve"> was present during the investigation and identified herself as the owner of the property.  </w:t>
      </w:r>
      <w:proofErr w:type="gramStart"/>
      <w:r w:rsidR="001656A4">
        <w:t>(Tr. 70, 103-107; PECO Exhibit 2).</w:t>
      </w:r>
      <w:proofErr w:type="gramEnd"/>
      <w:r w:rsidR="001656A4">
        <w:t xml:space="preserve">  </w:t>
      </w:r>
    </w:p>
    <w:p w:rsidR="001656A4" w:rsidRDefault="001656A4" w:rsidP="001656A4">
      <w:pPr>
        <w:tabs>
          <w:tab w:val="left" w:pos="2160"/>
        </w:tabs>
        <w:spacing w:line="360" w:lineRule="auto"/>
        <w:ind w:firstLine="1440"/>
      </w:pPr>
    </w:p>
    <w:p w:rsidR="001656A4" w:rsidRDefault="009A16E0" w:rsidP="001656A4">
      <w:pPr>
        <w:tabs>
          <w:tab w:val="left" w:pos="2160"/>
        </w:tabs>
        <w:spacing w:line="360" w:lineRule="auto"/>
        <w:ind w:firstLine="1440"/>
      </w:pPr>
      <w:r>
        <w:t>13</w:t>
      </w:r>
      <w:r w:rsidR="001656A4">
        <w:t xml:space="preserve">. </w:t>
      </w:r>
      <w:r w:rsidR="001656A4">
        <w:tab/>
        <w:t xml:space="preserve">On May 1, 2013, PECO determined the potential electricity usage in the summer and in the winter for Apartment A was consistent with the actual consumptions recorded by the meter for Apartment A.  PECO did not determine the presence of foreign wiring because the </w:t>
      </w:r>
      <w:r w:rsidR="005766A1">
        <w:t>T</w:t>
      </w:r>
      <w:r w:rsidR="00E67136">
        <w:t>enant</w:t>
      </w:r>
      <w:r w:rsidR="001656A4">
        <w:t xml:space="preserve"> identified herself as the owner and foreign load cannot exist when the owner lives in the unit burdened by the additional electrical load.  </w:t>
      </w:r>
      <w:proofErr w:type="gramStart"/>
      <w:r w:rsidR="001656A4">
        <w:t>(Tr. 103-114; PECO Exhibits 2 and 5).</w:t>
      </w:r>
      <w:proofErr w:type="gramEnd"/>
    </w:p>
    <w:p w:rsidR="001656A4" w:rsidRDefault="001656A4" w:rsidP="001656A4">
      <w:pPr>
        <w:tabs>
          <w:tab w:val="left" w:pos="2160"/>
        </w:tabs>
        <w:spacing w:line="360" w:lineRule="auto"/>
        <w:ind w:firstLine="1440"/>
      </w:pPr>
    </w:p>
    <w:p w:rsidR="001656A4" w:rsidRDefault="009A16E0" w:rsidP="001656A4">
      <w:pPr>
        <w:tabs>
          <w:tab w:val="left" w:pos="2160"/>
        </w:tabs>
        <w:spacing w:line="360" w:lineRule="auto"/>
        <w:ind w:firstLine="1440"/>
      </w:pPr>
      <w:r>
        <w:t>14</w:t>
      </w:r>
      <w:r w:rsidR="001656A4">
        <w:t xml:space="preserve">. </w:t>
      </w:r>
      <w:r w:rsidR="001656A4">
        <w:tab/>
        <w:t xml:space="preserve">On May 20, 2013, the </w:t>
      </w:r>
      <w:r w:rsidR="005766A1">
        <w:t>T</w:t>
      </w:r>
      <w:r w:rsidR="00E67136">
        <w:t>enant</w:t>
      </w:r>
      <w:r w:rsidR="001656A4">
        <w:t xml:space="preserve"> contacted PECO to complain her meter recorded usage for electricity provided to other </w:t>
      </w:r>
      <w:r w:rsidR="00E67136">
        <w:t>tenant</w:t>
      </w:r>
      <w:r w:rsidR="001656A4">
        <w:t xml:space="preserve">s.  She admitted she was not the owner.  </w:t>
      </w:r>
      <w:proofErr w:type="gramStart"/>
      <w:r w:rsidR="001656A4">
        <w:t>(Tr. 117-119; PECO Exhibit 3).</w:t>
      </w:r>
      <w:proofErr w:type="gramEnd"/>
    </w:p>
    <w:p w:rsidR="001656A4" w:rsidRDefault="001656A4" w:rsidP="001656A4">
      <w:pPr>
        <w:tabs>
          <w:tab w:val="left" w:pos="2160"/>
        </w:tabs>
        <w:spacing w:line="360" w:lineRule="auto"/>
        <w:ind w:firstLine="1440"/>
      </w:pPr>
    </w:p>
    <w:p w:rsidR="001656A4" w:rsidRDefault="009A16E0" w:rsidP="001656A4">
      <w:pPr>
        <w:tabs>
          <w:tab w:val="left" w:pos="2160"/>
        </w:tabs>
        <w:spacing w:line="360" w:lineRule="auto"/>
        <w:ind w:firstLine="1440"/>
      </w:pPr>
      <w:r>
        <w:lastRenderedPageBreak/>
        <w:t>15</w:t>
      </w:r>
      <w:r w:rsidR="001656A4">
        <w:t>.</w:t>
      </w:r>
      <w:r w:rsidR="001656A4">
        <w:tab/>
        <w:t xml:space="preserve">On May 20, 2013, PECO found a foreign load existed with two outlets in the living room, the hot water heater and some outside lights associated with Apartment C which </w:t>
      </w:r>
      <w:proofErr w:type="gramStart"/>
      <w:r w:rsidR="001656A4">
        <w:t>were</w:t>
      </w:r>
      <w:proofErr w:type="gramEnd"/>
      <w:r w:rsidR="001656A4">
        <w:t xml:space="preserve"> connected to the electric meter for Apartment A.  </w:t>
      </w:r>
      <w:proofErr w:type="gramStart"/>
      <w:r w:rsidR="001656A4">
        <w:t>(Tr. 28, 70, 108).</w:t>
      </w:r>
      <w:proofErr w:type="gramEnd"/>
    </w:p>
    <w:p w:rsidR="006069AE" w:rsidRDefault="006069AE" w:rsidP="009848F7">
      <w:pPr>
        <w:tabs>
          <w:tab w:val="left" w:pos="2160"/>
        </w:tabs>
        <w:spacing w:line="360" w:lineRule="auto"/>
        <w:ind w:firstLine="1440"/>
      </w:pPr>
    </w:p>
    <w:p w:rsidR="00B10688" w:rsidRDefault="009A16E0" w:rsidP="009848F7">
      <w:pPr>
        <w:tabs>
          <w:tab w:val="left" w:pos="2160"/>
        </w:tabs>
        <w:spacing w:line="360" w:lineRule="auto"/>
        <w:ind w:firstLine="1440"/>
      </w:pPr>
      <w:r>
        <w:t>16</w:t>
      </w:r>
      <w:r w:rsidR="006069AE">
        <w:t>.</w:t>
      </w:r>
      <w:r w:rsidR="006069AE">
        <w:tab/>
      </w:r>
      <w:r w:rsidR="005559A8">
        <w:t>Effective May 20, 2013, PECO established a new account in Complainant’s name as the landlord and, on May 29</w:t>
      </w:r>
      <w:r w:rsidR="00B836C9">
        <w:t>, 2013</w:t>
      </w:r>
      <w:r w:rsidR="004C05A7">
        <w:t xml:space="preserve">, PECO transferred the unpaid balance for Apartment A </w:t>
      </w:r>
      <w:r w:rsidR="005559A8">
        <w:t xml:space="preserve">($5,312.47) from Chasity </w:t>
      </w:r>
      <w:proofErr w:type="spellStart"/>
      <w:r w:rsidR="005559A8">
        <w:t>Mariani</w:t>
      </w:r>
      <w:proofErr w:type="spellEnd"/>
      <w:r w:rsidR="005559A8">
        <w:t xml:space="preserve"> into</w:t>
      </w:r>
      <w:r w:rsidR="004C05A7">
        <w:t xml:space="preserve"> Complainant’s </w:t>
      </w:r>
      <w:r w:rsidR="005559A8">
        <w:t>new account</w:t>
      </w:r>
      <w:r w:rsidR="004C05A7">
        <w:t xml:space="preserve">.  </w:t>
      </w:r>
      <w:proofErr w:type="gramStart"/>
      <w:r w:rsidR="004C05A7">
        <w:t>(Tr. 29</w:t>
      </w:r>
      <w:r w:rsidR="00B836C9">
        <w:t>, 71</w:t>
      </w:r>
      <w:r w:rsidR="005559A8">
        <w:t>, 72</w:t>
      </w:r>
      <w:r w:rsidR="00B836C9">
        <w:t>; PECO Exhibit</w:t>
      </w:r>
      <w:r w:rsidR="005559A8">
        <w:t>s</w:t>
      </w:r>
      <w:r w:rsidR="00B836C9">
        <w:t xml:space="preserve"> 5</w:t>
      </w:r>
      <w:r w:rsidR="005559A8">
        <w:t xml:space="preserve"> and 6</w:t>
      </w:r>
      <w:r w:rsidR="004C05A7">
        <w:t>).</w:t>
      </w:r>
      <w:proofErr w:type="gramEnd"/>
    </w:p>
    <w:p w:rsidR="009A16E0" w:rsidRDefault="009A16E0" w:rsidP="009A16E0">
      <w:pPr>
        <w:tabs>
          <w:tab w:val="left" w:pos="2160"/>
        </w:tabs>
        <w:spacing w:line="360" w:lineRule="auto"/>
        <w:ind w:firstLine="1440"/>
      </w:pPr>
    </w:p>
    <w:p w:rsidR="009A16E0" w:rsidRDefault="009A16E0" w:rsidP="009A16E0">
      <w:pPr>
        <w:tabs>
          <w:tab w:val="left" w:pos="2160"/>
        </w:tabs>
        <w:spacing w:line="360" w:lineRule="auto"/>
        <w:ind w:firstLine="1440"/>
      </w:pPr>
      <w:r>
        <w:t>17.</w:t>
      </w:r>
      <w:r>
        <w:tab/>
        <w:t xml:space="preserve">On May 22, 2013, PECO sent a letter to Complainant advising her that, effective May 20, 2013, the electric service would be transferred into Complainant’s name, and the unpaid balance from the </w:t>
      </w:r>
      <w:r w:rsidR="00651134">
        <w:t>T</w:t>
      </w:r>
      <w:r w:rsidR="00E67136">
        <w:t>enant</w:t>
      </w:r>
      <w:r>
        <w:t xml:space="preserve">’s service account would be transferred into Complainant’s account, due to the presence of a foreign load.  </w:t>
      </w:r>
      <w:proofErr w:type="gramStart"/>
      <w:r>
        <w:t>(Tr. 27, 71, 119-121; PECO Exhibits 4 and 5).</w:t>
      </w:r>
      <w:proofErr w:type="gramEnd"/>
      <w:r>
        <w:t xml:space="preserve">  </w:t>
      </w:r>
    </w:p>
    <w:p w:rsidR="0062342F" w:rsidRDefault="0062342F" w:rsidP="009848F7">
      <w:pPr>
        <w:tabs>
          <w:tab w:val="left" w:pos="2160"/>
        </w:tabs>
        <w:spacing w:line="360" w:lineRule="auto"/>
        <w:ind w:firstLine="1440"/>
      </w:pPr>
    </w:p>
    <w:p w:rsidR="0062342F" w:rsidRDefault="009A16E0" w:rsidP="009848F7">
      <w:pPr>
        <w:tabs>
          <w:tab w:val="left" w:pos="2160"/>
        </w:tabs>
        <w:spacing w:line="360" w:lineRule="auto"/>
        <w:ind w:firstLine="1440"/>
      </w:pPr>
      <w:r>
        <w:t>18</w:t>
      </w:r>
      <w:r w:rsidR="0062342F">
        <w:t xml:space="preserve">. </w:t>
      </w:r>
      <w:r w:rsidR="0062342F">
        <w:tab/>
      </w:r>
      <w:r>
        <w:t xml:space="preserve">On May 28, 2013, </w:t>
      </w:r>
      <w:r w:rsidR="0062342F">
        <w:t>Complainant contacted PECO to discuss the foreign load situation and again in July 2013 to inform PECO the foreign load had been corrected.  No other contacts were made by Complainant</w:t>
      </w:r>
      <w:r>
        <w:t xml:space="preserve"> to PECO</w:t>
      </w:r>
      <w:r w:rsidR="0062342F">
        <w:t xml:space="preserve"> from May 2013 to October 2013</w:t>
      </w:r>
      <w:r>
        <w:t xml:space="preserve"> about the foreign load problem</w:t>
      </w:r>
      <w:r w:rsidR="0062342F">
        <w:t xml:space="preserve">.  </w:t>
      </w:r>
      <w:proofErr w:type="gramStart"/>
      <w:r w:rsidR="0062342F">
        <w:t>(Tr. 77; PECO Exhibit 12).</w:t>
      </w:r>
      <w:proofErr w:type="gramEnd"/>
      <w:r w:rsidR="0062342F">
        <w:t xml:space="preserve">  </w:t>
      </w:r>
    </w:p>
    <w:p w:rsidR="0062342F" w:rsidRDefault="0062342F" w:rsidP="009848F7">
      <w:pPr>
        <w:tabs>
          <w:tab w:val="left" w:pos="2160"/>
        </w:tabs>
        <w:spacing w:line="360" w:lineRule="auto"/>
        <w:ind w:firstLine="1440"/>
      </w:pPr>
    </w:p>
    <w:p w:rsidR="0062342F" w:rsidRDefault="0062342F" w:rsidP="009848F7">
      <w:pPr>
        <w:tabs>
          <w:tab w:val="left" w:pos="2160"/>
        </w:tabs>
        <w:spacing w:line="360" w:lineRule="auto"/>
        <w:ind w:firstLine="1440"/>
      </w:pPr>
      <w:r>
        <w:t xml:space="preserve">19. </w:t>
      </w:r>
      <w:r>
        <w:tab/>
        <w:t xml:space="preserve">From 2007 through 2013, Complainant never contacted PECO to complain about a high bill dispute or to request a high bill investigation.  </w:t>
      </w:r>
      <w:proofErr w:type="gramStart"/>
      <w:r>
        <w:t>(Tr. 77, 78; PECO Exhibit 12).</w:t>
      </w:r>
      <w:proofErr w:type="gramEnd"/>
      <w:r>
        <w:t xml:space="preserve"> </w:t>
      </w:r>
    </w:p>
    <w:p w:rsidR="00B10688" w:rsidRDefault="00B10688" w:rsidP="009848F7">
      <w:pPr>
        <w:tabs>
          <w:tab w:val="left" w:pos="2160"/>
        </w:tabs>
        <w:spacing w:line="360" w:lineRule="auto"/>
        <w:ind w:firstLine="1440"/>
      </w:pPr>
    </w:p>
    <w:p w:rsidR="00B10688" w:rsidRDefault="009A16E0" w:rsidP="009848F7">
      <w:pPr>
        <w:tabs>
          <w:tab w:val="left" w:pos="2160"/>
        </w:tabs>
        <w:spacing w:line="360" w:lineRule="auto"/>
        <w:ind w:firstLine="1440"/>
      </w:pPr>
      <w:r>
        <w:t>20</w:t>
      </w:r>
      <w:r w:rsidR="00B10688">
        <w:t>.</w:t>
      </w:r>
      <w:r w:rsidR="00B10688">
        <w:tab/>
      </w:r>
      <w:r w:rsidR="00EB4F9D">
        <w:t xml:space="preserve">On </w:t>
      </w:r>
      <w:r w:rsidR="005559A8">
        <w:t>July 15, 2013</w:t>
      </w:r>
      <w:r w:rsidR="00EB4F9D">
        <w:t xml:space="preserve">, </w:t>
      </w:r>
      <w:r w:rsidR="000216BC">
        <w:t>PECO</w:t>
      </w:r>
      <w:r w:rsidR="00EB4F9D">
        <w:t xml:space="preserve"> returned to the service address </w:t>
      </w:r>
      <w:r>
        <w:t xml:space="preserve">after Complainant hired an electrician to repair the foreign load </w:t>
      </w:r>
      <w:r w:rsidR="00EB4F9D">
        <w:t xml:space="preserve">and met with Complainant to verify the foreign load had been corrected.  </w:t>
      </w:r>
      <w:proofErr w:type="gramStart"/>
      <w:r w:rsidR="00EB4F9D">
        <w:t xml:space="preserve">(Tr. </w:t>
      </w:r>
      <w:r>
        <w:t xml:space="preserve">28, 29, </w:t>
      </w:r>
      <w:r w:rsidR="005559A8">
        <w:t>73, 74</w:t>
      </w:r>
      <w:r w:rsidR="00D41241">
        <w:t>, 123-125</w:t>
      </w:r>
      <w:r w:rsidR="005559A8">
        <w:t>; PECO Exhibit 8</w:t>
      </w:r>
      <w:r w:rsidR="00EB4F9D">
        <w:t>).</w:t>
      </w:r>
      <w:proofErr w:type="gramEnd"/>
    </w:p>
    <w:p w:rsidR="00B10688" w:rsidRDefault="00B10688" w:rsidP="009848F7">
      <w:pPr>
        <w:tabs>
          <w:tab w:val="left" w:pos="2160"/>
        </w:tabs>
        <w:spacing w:line="360" w:lineRule="auto"/>
        <w:ind w:firstLine="1440"/>
      </w:pPr>
    </w:p>
    <w:p w:rsidR="005352B0" w:rsidRDefault="009A16E0" w:rsidP="009848F7">
      <w:pPr>
        <w:tabs>
          <w:tab w:val="left" w:pos="2160"/>
        </w:tabs>
        <w:spacing w:line="360" w:lineRule="auto"/>
        <w:ind w:firstLine="1440"/>
      </w:pPr>
      <w:r>
        <w:t>21</w:t>
      </w:r>
      <w:r w:rsidR="00B10688">
        <w:t>.</w:t>
      </w:r>
      <w:r w:rsidR="00B10688">
        <w:tab/>
      </w:r>
      <w:r w:rsidR="00EB4F9D">
        <w:t xml:space="preserve">On </w:t>
      </w:r>
      <w:r w:rsidR="005559A8">
        <w:t>July 15, 2013</w:t>
      </w:r>
      <w:r w:rsidR="00EB4F9D">
        <w:t xml:space="preserve">, </w:t>
      </w:r>
      <w:r w:rsidR="000216BC">
        <w:t>PECO</w:t>
      </w:r>
      <w:r w:rsidR="00EB4F9D">
        <w:t xml:space="preserve"> </w:t>
      </w:r>
      <w:r w:rsidR="004C05A7">
        <w:t xml:space="preserve">verified the foreign load was corrected and </w:t>
      </w:r>
      <w:r w:rsidR="005559A8">
        <w:t>finalized the payments due from Complainant as a result of the foreign load</w:t>
      </w:r>
      <w:r w:rsidR="00075534">
        <w:t xml:space="preserve">. </w:t>
      </w:r>
      <w:r w:rsidR="005559A8">
        <w:t xml:space="preserve"> </w:t>
      </w:r>
      <w:proofErr w:type="gramStart"/>
      <w:r w:rsidR="009E43EC">
        <w:t>(Tr.</w:t>
      </w:r>
      <w:r w:rsidR="005A7ABE">
        <w:t xml:space="preserve"> </w:t>
      </w:r>
      <w:r w:rsidR="005559A8">
        <w:t>73</w:t>
      </w:r>
      <w:r w:rsidR="00D41241">
        <w:t>, 125</w:t>
      </w:r>
      <w:r w:rsidR="005559A8">
        <w:t>; PECO Exhibit</w:t>
      </w:r>
      <w:r w:rsidR="00D41241">
        <w:t>s</w:t>
      </w:r>
      <w:r w:rsidR="005559A8">
        <w:t xml:space="preserve"> 6</w:t>
      </w:r>
      <w:r w:rsidR="00D41241">
        <w:t xml:space="preserve"> and 9</w:t>
      </w:r>
      <w:r w:rsidR="009E43EC">
        <w:t>).</w:t>
      </w:r>
      <w:proofErr w:type="gramEnd"/>
    </w:p>
    <w:p w:rsidR="0062342F" w:rsidRDefault="0062342F" w:rsidP="009848F7">
      <w:pPr>
        <w:tabs>
          <w:tab w:val="left" w:pos="2160"/>
        </w:tabs>
        <w:spacing w:line="360" w:lineRule="auto"/>
        <w:ind w:firstLine="1440"/>
      </w:pPr>
    </w:p>
    <w:p w:rsidR="0062342F" w:rsidRDefault="009A16E0" w:rsidP="009848F7">
      <w:pPr>
        <w:tabs>
          <w:tab w:val="left" w:pos="2160"/>
        </w:tabs>
        <w:spacing w:line="360" w:lineRule="auto"/>
        <w:ind w:firstLine="1440"/>
      </w:pPr>
      <w:r>
        <w:lastRenderedPageBreak/>
        <w:t>22</w:t>
      </w:r>
      <w:r w:rsidR="0062342F">
        <w:t xml:space="preserve">. </w:t>
      </w:r>
      <w:r w:rsidR="0062342F">
        <w:tab/>
        <w:t>As of July 15, 2013, the balance on Complainant’s account for Apartment A was $5,665.11 and on October 31, 2013, PECO transferred that balance over to Complainant’s residential account.</w:t>
      </w:r>
      <w:r w:rsidR="00667E32">
        <w:t xml:space="preserve">  PECO re</w:t>
      </w:r>
      <w:r w:rsidR="00293C62">
        <w:t>-</w:t>
      </w:r>
      <w:bookmarkStart w:id="0" w:name="_GoBack"/>
      <w:bookmarkEnd w:id="0"/>
      <w:r w:rsidR="00667E32">
        <w:t>opened a new account in Tenant’s name in July 2013.</w:t>
      </w:r>
      <w:r w:rsidR="0062342F">
        <w:t xml:space="preserve">  </w:t>
      </w:r>
      <w:proofErr w:type="gramStart"/>
      <w:r w:rsidR="0062342F">
        <w:t>(Tr. 75, 76; PECO Exhibits 6 and 11).</w:t>
      </w:r>
      <w:proofErr w:type="gramEnd"/>
    </w:p>
    <w:p w:rsidR="005A7ABE" w:rsidRDefault="005A7ABE" w:rsidP="009848F7">
      <w:pPr>
        <w:tabs>
          <w:tab w:val="left" w:pos="2160"/>
        </w:tabs>
        <w:spacing w:line="360" w:lineRule="auto"/>
        <w:ind w:firstLine="1440"/>
      </w:pPr>
    </w:p>
    <w:p w:rsidR="005A7ABE" w:rsidRDefault="009A16E0" w:rsidP="009848F7">
      <w:pPr>
        <w:tabs>
          <w:tab w:val="left" w:pos="2160"/>
        </w:tabs>
        <w:spacing w:line="360" w:lineRule="auto"/>
        <w:ind w:firstLine="1440"/>
      </w:pPr>
      <w:r>
        <w:t>23</w:t>
      </w:r>
      <w:r w:rsidR="005A7ABE">
        <w:t xml:space="preserve">. </w:t>
      </w:r>
      <w:r w:rsidR="005A7ABE">
        <w:tab/>
        <w:t xml:space="preserve">The </w:t>
      </w:r>
      <w:r w:rsidR="00651134">
        <w:t>T</w:t>
      </w:r>
      <w:r w:rsidR="00E67136">
        <w:t>enant</w:t>
      </w:r>
      <w:r w:rsidR="005A7ABE">
        <w:t xml:space="preserve"> did not make a payment for electric service from</w:t>
      </w:r>
      <w:r>
        <w:t xml:space="preserve"> August 2011 through July 2013 and accrued </w:t>
      </w:r>
      <w:proofErr w:type="spellStart"/>
      <w:r>
        <w:t>an</w:t>
      </w:r>
      <w:proofErr w:type="spellEnd"/>
      <w:r>
        <w:t xml:space="preserve"> unpaid balance equal to $6,060.09 as of July 19, 2013.  </w:t>
      </w:r>
      <w:proofErr w:type="gramStart"/>
      <w:r>
        <w:t>(Tr.</w:t>
      </w:r>
      <w:r w:rsidR="002A4A91">
        <w:t> </w:t>
      </w:r>
      <w:r>
        <w:t>31</w:t>
      </w:r>
      <w:r w:rsidR="005A7ABE">
        <w:t xml:space="preserve">; PECO Exhibit </w:t>
      </w:r>
      <w:r>
        <w:t>5</w:t>
      </w:r>
      <w:r w:rsidR="005A7ABE">
        <w:t>).</w:t>
      </w:r>
      <w:proofErr w:type="gramEnd"/>
    </w:p>
    <w:p w:rsidR="005A7ABE" w:rsidRDefault="005A7ABE" w:rsidP="009848F7">
      <w:pPr>
        <w:tabs>
          <w:tab w:val="left" w:pos="2160"/>
        </w:tabs>
        <w:spacing w:line="360" w:lineRule="auto"/>
        <w:ind w:firstLine="1440"/>
      </w:pPr>
    </w:p>
    <w:p w:rsidR="00651134" w:rsidRDefault="00651134" w:rsidP="009848F7">
      <w:pPr>
        <w:tabs>
          <w:tab w:val="left" w:pos="2160"/>
        </w:tabs>
        <w:spacing w:line="360" w:lineRule="auto"/>
        <w:ind w:firstLine="1440"/>
      </w:pPr>
      <w:r>
        <w:t>24.</w:t>
      </w:r>
      <w:r>
        <w:tab/>
        <w:t xml:space="preserve">PECO did not contact Complainant for assistance in accessing the meter or to advise Complainant about the </w:t>
      </w:r>
      <w:r w:rsidR="003D3992">
        <w:t>T</w:t>
      </w:r>
      <w:r>
        <w:t>enant’s failure to pay because Complainant never advised PECO she was the landlord.  (Tr. 24-</w:t>
      </w:r>
      <w:r w:rsidR="00815BCB">
        <w:t>2</w:t>
      </w:r>
      <w:r>
        <w:t>6).</w:t>
      </w:r>
    </w:p>
    <w:p w:rsidR="00651134" w:rsidRDefault="00651134" w:rsidP="009848F7">
      <w:pPr>
        <w:tabs>
          <w:tab w:val="left" w:pos="2160"/>
        </w:tabs>
        <w:spacing w:line="360" w:lineRule="auto"/>
        <w:ind w:firstLine="1440"/>
      </w:pPr>
    </w:p>
    <w:p w:rsidR="005A7ABE" w:rsidRDefault="009A16E0" w:rsidP="009848F7">
      <w:pPr>
        <w:tabs>
          <w:tab w:val="left" w:pos="2160"/>
        </w:tabs>
        <w:spacing w:line="360" w:lineRule="auto"/>
        <w:ind w:firstLine="1440"/>
      </w:pPr>
      <w:r>
        <w:t>2</w:t>
      </w:r>
      <w:r w:rsidR="00651134">
        <w:t>5</w:t>
      </w:r>
      <w:r w:rsidR="005A7ABE">
        <w:t>.</w:t>
      </w:r>
      <w:r w:rsidR="005A7ABE">
        <w:tab/>
      </w:r>
      <w:r w:rsidR="00C2686C">
        <w:t>Complainant did not make a payment on the transferred balance from May</w:t>
      </w:r>
      <w:r w:rsidR="00E65BF5">
        <w:t> </w:t>
      </w:r>
      <w:r w:rsidR="00C2686C">
        <w:t xml:space="preserve">29, 2013 to October 31, 2013, when the balance was transferred to her residential account.  </w:t>
      </w:r>
      <w:proofErr w:type="gramStart"/>
      <w:r w:rsidR="005A7ABE">
        <w:t>(</w:t>
      </w:r>
      <w:r w:rsidR="00C2686C">
        <w:t>Tr. 76; PECO Exhibit 6</w:t>
      </w:r>
      <w:r w:rsidR="005A7ABE">
        <w:t>).</w:t>
      </w:r>
      <w:proofErr w:type="gramEnd"/>
    </w:p>
    <w:p w:rsidR="00C2686C" w:rsidRDefault="00C2686C" w:rsidP="009848F7">
      <w:pPr>
        <w:tabs>
          <w:tab w:val="left" w:pos="2160"/>
        </w:tabs>
        <w:spacing w:line="360" w:lineRule="auto"/>
        <w:ind w:firstLine="1440"/>
      </w:pPr>
    </w:p>
    <w:p w:rsidR="00C2686C" w:rsidRDefault="00C2686C" w:rsidP="009848F7">
      <w:pPr>
        <w:tabs>
          <w:tab w:val="left" w:pos="2160"/>
        </w:tabs>
        <w:spacing w:line="360" w:lineRule="auto"/>
        <w:ind w:firstLine="1440"/>
      </w:pPr>
      <w:r>
        <w:t>2</w:t>
      </w:r>
      <w:r w:rsidR="00651134">
        <w:t>6</w:t>
      </w:r>
      <w:r>
        <w:t xml:space="preserve">. </w:t>
      </w:r>
      <w:r>
        <w:tab/>
        <w:t xml:space="preserve">From July 19, 2013 to the date of the evidentiary hearing, </w:t>
      </w:r>
      <w:r w:rsidR="00CB10B6">
        <w:t xml:space="preserve">neither </w:t>
      </w:r>
      <w:r>
        <w:t xml:space="preserve">the </w:t>
      </w:r>
      <w:r w:rsidR="00CB10B6">
        <w:t>T</w:t>
      </w:r>
      <w:r w:rsidR="00E67136">
        <w:t>enant</w:t>
      </w:r>
      <w:r>
        <w:t xml:space="preserve"> </w:t>
      </w:r>
      <w:r w:rsidR="00CB10B6">
        <w:t>nor any other person made</w:t>
      </w:r>
      <w:r>
        <w:t xml:space="preserve"> a payment for electric service and </w:t>
      </w:r>
      <w:r w:rsidR="00CB10B6">
        <w:t>there is a</w:t>
      </w:r>
      <w:r>
        <w:t>n unpaid balance equal to $982.05</w:t>
      </w:r>
      <w:r w:rsidR="00CB10B6">
        <w:t xml:space="preserve"> on the service account</w:t>
      </w:r>
      <w:r>
        <w:t xml:space="preserve">.  </w:t>
      </w:r>
      <w:proofErr w:type="gramStart"/>
      <w:r>
        <w:t>(PECO Exhibit 10).</w:t>
      </w:r>
      <w:proofErr w:type="gramEnd"/>
    </w:p>
    <w:p w:rsidR="00C2686C" w:rsidRDefault="00C2686C" w:rsidP="009848F7">
      <w:pPr>
        <w:tabs>
          <w:tab w:val="left" w:pos="2160"/>
        </w:tabs>
        <w:spacing w:line="360" w:lineRule="auto"/>
        <w:ind w:firstLine="1440"/>
      </w:pPr>
    </w:p>
    <w:p w:rsidR="00C2686C" w:rsidRDefault="00C2686C" w:rsidP="009848F7">
      <w:pPr>
        <w:tabs>
          <w:tab w:val="left" w:pos="2160"/>
        </w:tabs>
        <w:spacing w:line="360" w:lineRule="auto"/>
        <w:ind w:firstLine="1440"/>
      </w:pPr>
      <w:r>
        <w:t>2</w:t>
      </w:r>
      <w:r w:rsidR="00651134">
        <w:t>7</w:t>
      </w:r>
      <w:r>
        <w:t xml:space="preserve">. </w:t>
      </w:r>
      <w:r>
        <w:tab/>
        <w:t xml:space="preserve">The </w:t>
      </w:r>
      <w:r w:rsidR="00CB10B6">
        <w:t>T</w:t>
      </w:r>
      <w:r w:rsidR="00E67136">
        <w:t>enant</w:t>
      </w:r>
      <w:r>
        <w:t xml:space="preserve"> moved out of Apartment A in June 2013 but the electric service account for Apartment A remains in the name of Chasity </w:t>
      </w:r>
      <w:proofErr w:type="spellStart"/>
      <w:r>
        <w:t>Mariani</w:t>
      </w:r>
      <w:proofErr w:type="spellEnd"/>
      <w:r>
        <w:t xml:space="preserve">.  </w:t>
      </w:r>
      <w:proofErr w:type="gramStart"/>
      <w:r>
        <w:t xml:space="preserve">Neither the </w:t>
      </w:r>
      <w:r w:rsidR="00CB10B6">
        <w:t>T</w:t>
      </w:r>
      <w:r w:rsidR="00E67136">
        <w:t>enant</w:t>
      </w:r>
      <w:r>
        <w:t xml:space="preserve"> nor Complainant contacted PECO to close the account and</w:t>
      </w:r>
      <w:proofErr w:type="gramEnd"/>
      <w:r>
        <w:t xml:space="preserve"> </w:t>
      </w:r>
      <w:r w:rsidR="00CB10B6">
        <w:t>no</w:t>
      </w:r>
      <w:r>
        <w:t xml:space="preserve"> new </w:t>
      </w:r>
      <w:r w:rsidR="00E67136">
        <w:t>tenant</w:t>
      </w:r>
      <w:r>
        <w:t xml:space="preserve"> has contacted PECO to request service.  </w:t>
      </w:r>
      <w:proofErr w:type="gramStart"/>
      <w:r>
        <w:t>(Tr. 26, 27, 45, 59, 115-126; PECO Exhibits 10 and 13).</w:t>
      </w:r>
      <w:proofErr w:type="gramEnd"/>
    </w:p>
    <w:p w:rsidR="00E44218" w:rsidRDefault="00E44218" w:rsidP="009848F7">
      <w:pPr>
        <w:tabs>
          <w:tab w:val="left" w:pos="2160"/>
        </w:tabs>
        <w:spacing w:line="360" w:lineRule="auto"/>
        <w:ind w:firstLine="1440"/>
      </w:pPr>
    </w:p>
    <w:p w:rsidR="00042C4A" w:rsidRDefault="009A16E0" w:rsidP="00042C4A">
      <w:pPr>
        <w:tabs>
          <w:tab w:val="left" w:pos="2160"/>
        </w:tabs>
        <w:spacing w:line="360" w:lineRule="auto"/>
        <w:ind w:firstLine="1440"/>
      </w:pPr>
      <w:r>
        <w:t>2</w:t>
      </w:r>
      <w:r w:rsidR="00651134">
        <w:t>8</w:t>
      </w:r>
      <w:r w:rsidR="00E44218">
        <w:t>.</w:t>
      </w:r>
      <w:r w:rsidR="00E44218">
        <w:tab/>
      </w:r>
      <w:r w:rsidR="005310E5">
        <w:t xml:space="preserve">Complainant was the ratepayer of record on the </w:t>
      </w:r>
      <w:r w:rsidR="000216BC">
        <w:t>electric</w:t>
      </w:r>
      <w:r w:rsidR="005310E5">
        <w:t xml:space="preserve"> service account for the service address from </w:t>
      </w:r>
      <w:r>
        <w:t>May 20, 2013</w:t>
      </w:r>
      <w:r w:rsidR="005310E5">
        <w:t xml:space="preserve"> until </w:t>
      </w:r>
      <w:r>
        <w:t>July 15, 2013</w:t>
      </w:r>
      <w:r w:rsidR="005310E5">
        <w:t xml:space="preserve">, when </w:t>
      </w:r>
      <w:r>
        <w:t xml:space="preserve">PECO verified </w:t>
      </w:r>
      <w:r w:rsidR="005310E5">
        <w:t xml:space="preserve">Complainant corrected the foreign load.  </w:t>
      </w:r>
      <w:proofErr w:type="gramStart"/>
      <w:r w:rsidR="005310E5">
        <w:t xml:space="preserve">(Tr. </w:t>
      </w:r>
      <w:r>
        <w:t>28, 73, 111-125; PECO Exhibits 4, 6 and 9</w:t>
      </w:r>
      <w:r w:rsidR="005310E5">
        <w:t>).</w:t>
      </w:r>
      <w:proofErr w:type="gramEnd"/>
      <w:r w:rsidR="005310E5">
        <w:t xml:space="preserve">  </w:t>
      </w:r>
    </w:p>
    <w:p w:rsidR="00490E8B" w:rsidRDefault="00490E8B" w:rsidP="009848F7">
      <w:pPr>
        <w:tabs>
          <w:tab w:val="left" w:pos="2160"/>
        </w:tabs>
        <w:spacing w:line="360" w:lineRule="auto"/>
        <w:ind w:firstLine="1440"/>
      </w:pPr>
    </w:p>
    <w:p w:rsidR="00383CED" w:rsidRDefault="009A16E0" w:rsidP="009848F7">
      <w:pPr>
        <w:tabs>
          <w:tab w:val="left" w:pos="2160"/>
        </w:tabs>
        <w:spacing w:line="360" w:lineRule="auto"/>
        <w:ind w:firstLine="1440"/>
      </w:pPr>
      <w:r>
        <w:lastRenderedPageBreak/>
        <w:t>2</w:t>
      </w:r>
      <w:r w:rsidR="00651134">
        <w:t>9</w:t>
      </w:r>
      <w:r w:rsidR="00383CED">
        <w:t>.</w:t>
      </w:r>
      <w:r w:rsidR="00383CED">
        <w:tab/>
        <w:t xml:space="preserve"> </w:t>
      </w:r>
      <w:r w:rsidR="005310E5">
        <w:t xml:space="preserve">Complainant filed an informal complaint against </w:t>
      </w:r>
      <w:r w:rsidR="000216BC">
        <w:t>PECO</w:t>
      </w:r>
      <w:r w:rsidR="005310E5">
        <w:t xml:space="preserve"> with the Commission’s Bureau of Consumer Service</w:t>
      </w:r>
      <w:r w:rsidR="00BD0AD1">
        <w:t>s</w:t>
      </w:r>
      <w:r w:rsidR="005310E5">
        <w:t xml:space="preserve"> </w:t>
      </w:r>
      <w:r w:rsidR="00E03A70">
        <w:t xml:space="preserve">(BCS) </w:t>
      </w:r>
      <w:r w:rsidR="0062342F">
        <w:t>on August 14, 2013</w:t>
      </w:r>
      <w:r w:rsidR="005310E5">
        <w:t xml:space="preserve"> at Case No. </w:t>
      </w:r>
      <w:r w:rsidR="0062342F">
        <w:t xml:space="preserve">3136134 and alleged she should not be responsible to pay for electricity used by the </w:t>
      </w:r>
      <w:r w:rsidR="00CB10B6">
        <w:t>T</w:t>
      </w:r>
      <w:r w:rsidR="00E67136">
        <w:t>enant</w:t>
      </w:r>
      <w:r w:rsidR="005310E5">
        <w:t xml:space="preserve">.  BCS dismissed the informal complaint on </w:t>
      </w:r>
      <w:r w:rsidR="0062342F">
        <w:t>October 3, 2013</w:t>
      </w:r>
      <w:r w:rsidR="005310E5">
        <w:t xml:space="preserve">.  </w:t>
      </w:r>
      <w:proofErr w:type="gramStart"/>
      <w:r w:rsidR="005310E5">
        <w:t xml:space="preserve">(Tr. </w:t>
      </w:r>
      <w:r w:rsidR="0062342F">
        <w:t>79, 80; PECO Exhibit 15</w:t>
      </w:r>
      <w:r w:rsidR="005310E5">
        <w:t>).</w:t>
      </w:r>
      <w:proofErr w:type="gramEnd"/>
      <w:r w:rsidR="005310E5">
        <w:t xml:space="preserve">  </w:t>
      </w:r>
    </w:p>
    <w:p w:rsidR="00383CED" w:rsidRDefault="00383CED" w:rsidP="009848F7">
      <w:pPr>
        <w:tabs>
          <w:tab w:val="left" w:pos="2160"/>
        </w:tabs>
        <w:spacing w:line="360" w:lineRule="auto"/>
        <w:ind w:firstLine="1440"/>
      </w:pPr>
    </w:p>
    <w:p w:rsidR="00042C4A" w:rsidRDefault="00651134" w:rsidP="009848F7">
      <w:pPr>
        <w:tabs>
          <w:tab w:val="left" w:pos="2160"/>
        </w:tabs>
        <w:spacing w:line="360" w:lineRule="auto"/>
        <w:ind w:firstLine="1440"/>
      </w:pPr>
      <w:r>
        <w:t>30</w:t>
      </w:r>
      <w:r w:rsidR="00383CED">
        <w:t>.</w:t>
      </w:r>
      <w:r w:rsidR="00383CED">
        <w:tab/>
      </w:r>
      <w:r w:rsidR="00C2686C">
        <w:t xml:space="preserve">On February 6, 2014, </w:t>
      </w:r>
      <w:r w:rsidR="005D552B">
        <w:t xml:space="preserve">Complainant filed a formal complaint against Respondent.  </w:t>
      </w:r>
    </w:p>
    <w:p w:rsidR="00042C4A" w:rsidRDefault="00042C4A" w:rsidP="009848F7">
      <w:pPr>
        <w:tabs>
          <w:tab w:val="left" w:pos="2160"/>
        </w:tabs>
        <w:spacing w:line="360" w:lineRule="auto"/>
        <w:ind w:firstLine="1440"/>
      </w:pPr>
    </w:p>
    <w:p w:rsidR="008E4FD6" w:rsidRPr="00DE5EB8" w:rsidRDefault="008E4FD6" w:rsidP="00EA1625">
      <w:pPr>
        <w:tabs>
          <w:tab w:val="left" w:pos="2160"/>
        </w:tabs>
        <w:spacing w:line="360" w:lineRule="auto"/>
        <w:jc w:val="center"/>
        <w:rPr>
          <w:u w:val="single"/>
        </w:rPr>
      </w:pPr>
      <w:r w:rsidRPr="00DE5EB8">
        <w:rPr>
          <w:u w:val="single"/>
        </w:rPr>
        <w:t>DISCUSSION</w:t>
      </w:r>
    </w:p>
    <w:p w:rsidR="008E4FD6" w:rsidRPr="00C05989" w:rsidRDefault="008E4FD6" w:rsidP="006E5FE7">
      <w:pPr>
        <w:tabs>
          <w:tab w:val="left" w:pos="2160"/>
        </w:tabs>
        <w:spacing w:line="360" w:lineRule="auto"/>
        <w:rPr>
          <w:u w:val="single"/>
        </w:rPr>
      </w:pPr>
    </w:p>
    <w:p w:rsidR="00B66DDD" w:rsidRPr="00C2686C" w:rsidRDefault="000C736C" w:rsidP="006E5FE7">
      <w:pPr>
        <w:pStyle w:val="BodyText"/>
        <w:jc w:val="left"/>
        <w:rPr>
          <w:sz w:val="24"/>
          <w:szCs w:val="24"/>
        </w:rPr>
      </w:pPr>
      <w:r w:rsidRPr="00C05989">
        <w:rPr>
          <w:sz w:val="24"/>
          <w:szCs w:val="24"/>
        </w:rPr>
        <w:tab/>
      </w:r>
      <w:r w:rsidRPr="00C05989">
        <w:rPr>
          <w:sz w:val="24"/>
          <w:szCs w:val="24"/>
        </w:rPr>
        <w:tab/>
      </w:r>
      <w:r w:rsidR="00490E8B">
        <w:rPr>
          <w:sz w:val="24"/>
          <w:szCs w:val="24"/>
        </w:rPr>
        <w:t>Complainant alleges</w:t>
      </w:r>
      <w:r w:rsidR="005326CD" w:rsidRPr="00C05989">
        <w:rPr>
          <w:sz w:val="24"/>
          <w:szCs w:val="24"/>
        </w:rPr>
        <w:t xml:space="preserve"> </w:t>
      </w:r>
      <w:r w:rsidR="00FD4410" w:rsidRPr="00C05989">
        <w:rPr>
          <w:sz w:val="24"/>
          <w:szCs w:val="24"/>
        </w:rPr>
        <w:t>Respondent</w:t>
      </w:r>
      <w:r w:rsidR="005326CD" w:rsidRPr="00C05989">
        <w:rPr>
          <w:sz w:val="24"/>
          <w:szCs w:val="24"/>
        </w:rPr>
        <w:t xml:space="preserve"> </w:t>
      </w:r>
      <w:r w:rsidR="00490E8B">
        <w:rPr>
          <w:sz w:val="24"/>
          <w:szCs w:val="24"/>
        </w:rPr>
        <w:t xml:space="preserve">incorrectly </w:t>
      </w:r>
      <w:r w:rsidR="00C05989" w:rsidRPr="00C05989">
        <w:rPr>
          <w:sz w:val="24"/>
          <w:szCs w:val="24"/>
        </w:rPr>
        <w:t xml:space="preserve">charged </w:t>
      </w:r>
      <w:r w:rsidR="00490E8B">
        <w:rPr>
          <w:sz w:val="24"/>
          <w:szCs w:val="24"/>
        </w:rPr>
        <w:t xml:space="preserve">her for </w:t>
      </w:r>
      <w:r w:rsidR="000216BC">
        <w:rPr>
          <w:sz w:val="24"/>
          <w:szCs w:val="24"/>
        </w:rPr>
        <w:t>electric service</w:t>
      </w:r>
      <w:r w:rsidR="00490E8B">
        <w:rPr>
          <w:sz w:val="24"/>
          <w:szCs w:val="24"/>
        </w:rPr>
        <w:t xml:space="preserve"> used by the </w:t>
      </w:r>
      <w:r w:rsidR="00EA4433">
        <w:rPr>
          <w:sz w:val="24"/>
          <w:szCs w:val="24"/>
        </w:rPr>
        <w:t>T</w:t>
      </w:r>
      <w:r w:rsidR="00E67136">
        <w:rPr>
          <w:sz w:val="24"/>
          <w:szCs w:val="24"/>
        </w:rPr>
        <w:t>enant</w:t>
      </w:r>
      <w:r w:rsidR="00490E8B">
        <w:rPr>
          <w:sz w:val="24"/>
          <w:szCs w:val="24"/>
        </w:rPr>
        <w:t xml:space="preserve"> </w:t>
      </w:r>
      <w:r w:rsidR="00C2686C">
        <w:rPr>
          <w:sz w:val="24"/>
          <w:szCs w:val="24"/>
        </w:rPr>
        <w:t>and</w:t>
      </w:r>
      <w:r w:rsidR="000216BC">
        <w:rPr>
          <w:sz w:val="24"/>
          <w:szCs w:val="24"/>
        </w:rPr>
        <w:t xml:space="preserve"> </w:t>
      </w:r>
      <w:r w:rsidR="00490E8B">
        <w:rPr>
          <w:sz w:val="24"/>
          <w:szCs w:val="24"/>
        </w:rPr>
        <w:t xml:space="preserve">Complainant contends </w:t>
      </w:r>
      <w:r w:rsidR="005A7ABE">
        <w:rPr>
          <w:sz w:val="24"/>
          <w:szCs w:val="24"/>
        </w:rPr>
        <w:t xml:space="preserve">PECO allowed the bill to accumulate too high over a </w:t>
      </w:r>
      <w:r w:rsidR="005A7ABE" w:rsidRPr="00C2686C">
        <w:rPr>
          <w:sz w:val="24"/>
          <w:szCs w:val="24"/>
        </w:rPr>
        <w:t xml:space="preserve">three-year period </w:t>
      </w:r>
      <w:r w:rsidR="00C2686C" w:rsidRPr="00C2686C">
        <w:rPr>
          <w:sz w:val="24"/>
          <w:szCs w:val="24"/>
        </w:rPr>
        <w:t>without terminating</w:t>
      </w:r>
      <w:r w:rsidR="005A7ABE" w:rsidRPr="00C2686C">
        <w:rPr>
          <w:sz w:val="24"/>
          <w:szCs w:val="24"/>
        </w:rPr>
        <w:t xml:space="preserve"> service</w:t>
      </w:r>
      <w:r w:rsidR="00490E8B" w:rsidRPr="00C2686C">
        <w:rPr>
          <w:sz w:val="24"/>
          <w:szCs w:val="24"/>
        </w:rPr>
        <w:t xml:space="preserve">.  Complainant </w:t>
      </w:r>
      <w:r w:rsidR="000216BC" w:rsidRPr="00C2686C">
        <w:rPr>
          <w:sz w:val="24"/>
          <w:szCs w:val="24"/>
        </w:rPr>
        <w:t>argues</w:t>
      </w:r>
      <w:r w:rsidR="00490E8B" w:rsidRPr="00C2686C">
        <w:rPr>
          <w:sz w:val="24"/>
          <w:szCs w:val="24"/>
        </w:rPr>
        <w:t xml:space="preserve"> the </w:t>
      </w:r>
      <w:r w:rsidR="00980E47">
        <w:rPr>
          <w:sz w:val="24"/>
          <w:szCs w:val="24"/>
        </w:rPr>
        <w:t>T</w:t>
      </w:r>
      <w:r w:rsidR="00E67136">
        <w:rPr>
          <w:sz w:val="24"/>
          <w:szCs w:val="24"/>
        </w:rPr>
        <w:t>enant</w:t>
      </w:r>
      <w:r w:rsidR="00490E8B" w:rsidRPr="00C2686C">
        <w:rPr>
          <w:sz w:val="24"/>
          <w:szCs w:val="24"/>
        </w:rPr>
        <w:t xml:space="preserve"> should be required to pay for the </w:t>
      </w:r>
      <w:r w:rsidR="000216BC" w:rsidRPr="00C2686C">
        <w:rPr>
          <w:sz w:val="24"/>
          <w:szCs w:val="24"/>
        </w:rPr>
        <w:t>electricity</w:t>
      </w:r>
      <w:r w:rsidR="00490E8B" w:rsidRPr="00C2686C">
        <w:rPr>
          <w:sz w:val="24"/>
          <w:szCs w:val="24"/>
        </w:rPr>
        <w:t xml:space="preserve"> she used and Respondent is wrong to require her to pay off the unpaid balance left by the </w:t>
      </w:r>
      <w:r w:rsidR="00980E47">
        <w:rPr>
          <w:sz w:val="24"/>
          <w:szCs w:val="24"/>
        </w:rPr>
        <w:t>T</w:t>
      </w:r>
      <w:r w:rsidR="00E67136">
        <w:rPr>
          <w:sz w:val="24"/>
          <w:szCs w:val="24"/>
        </w:rPr>
        <w:t>enant</w:t>
      </w:r>
      <w:r w:rsidR="00490E8B" w:rsidRPr="00C2686C">
        <w:rPr>
          <w:sz w:val="24"/>
          <w:szCs w:val="24"/>
        </w:rPr>
        <w:t>.</w:t>
      </w:r>
      <w:r w:rsidR="00A727FE" w:rsidRPr="00C2686C">
        <w:rPr>
          <w:sz w:val="24"/>
          <w:szCs w:val="24"/>
        </w:rPr>
        <w:t xml:space="preserve">  </w:t>
      </w:r>
      <w:r w:rsidR="00C2686C" w:rsidRPr="00C2686C">
        <w:rPr>
          <w:color w:val="333333"/>
          <w:sz w:val="24"/>
          <w:szCs w:val="24"/>
        </w:rPr>
        <w:t xml:space="preserve">Complainant requests the Commission require PECO to seek payment for the unpaid balance from the </w:t>
      </w:r>
      <w:r w:rsidR="00980E47">
        <w:rPr>
          <w:color w:val="333333"/>
          <w:sz w:val="24"/>
          <w:szCs w:val="24"/>
        </w:rPr>
        <w:t>T</w:t>
      </w:r>
      <w:r w:rsidR="00E67136">
        <w:rPr>
          <w:color w:val="333333"/>
          <w:sz w:val="24"/>
          <w:szCs w:val="24"/>
        </w:rPr>
        <w:t>enant</w:t>
      </w:r>
      <w:r w:rsidR="003854D1">
        <w:rPr>
          <w:color w:val="333333"/>
          <w:sz w:val="24"/>
          <w:szCs w:val="24"/>
        </w:rPr>
        <w:t>.</w:t>
      </w:r>
    </w:p>
    <w:p w:rsidR="00AF192E" w:rsidRPr="00C2686C" w:rsidRDefault="00AF192E" w:rsidP="00AF192E">
      <w:pPr>
        <w:pStyle w:val="BodyText"/>
        <w:jc w:val="left"/>
        <w:rPr>
          <w:sz w:val="24"/>
          <w:szCs w:val="24"/>
        </w:rPr>
      </w:pPr>
    </w:p>
    <w:p w:rsidR="00AF192E" w:rsidRPr="0097190A" w:rsidRDefault="00AF192E" w:rsidP="00AF192E">
      <w:pPr>
        <w:pStyle w:val="BodyText"/>
        <w:jc w:val="left"/>
        <w:rPr>
          <w:sz w:val="24"/>
          <w:szCs w:val="24"/>
        </w:rPr>
      </w:pPr>
      <w:r w:rsidRPr="00C2686C">
        <w:rPr>
          <w:sz w:val="24"/>
          <w:szCs w:val="24"/>
        </w:rPr>
        <w:tab/>
      </w:r>
      <w:r w:rsidRPr="00C2686C">
        <w:rPr>
          <w:sz w:val="24"/>
          <w:szCs w:val="24"/>
        </w:rPr>
        <w:tab/>
      </w:r>
      <w:r w:rsidR="003B40DA" w:rsidRPr="00C2686C">
        <w:rPr>
          <w:sz w:val="24"/>
          <w:szCs w:val="24"/>
        </w:rPr>
        <w:t>Respondent, as a p</w:t>
      </w:r>
      <w:r w:rsidRPr="00C2686C">
        <w:rPr>
          <w:sz w:val="24"/>
          <w:szCs w:val="24"/>
        </w:rPr>
        <w:t>ublic utility</w:t>
      </w:r>
      <w:r w:rsidR="003B40DA" w:rsidRPr="00C2686C">
        <w:rPr>
          <w:sz w:val="24"/>
          <w:szCs w:val="24"/>
        </w:rPr>
        <w:t>, must “</w:t>
      </w:r>
      <w:r w:rsidRPr="00C2686C">
        <w:rPr>
          <w:sz w:val="24"/>
          <w:szCs w:val="24"/>
        </w:rPr>
        <w:t>furnish and maintain adequate, efficient,</w:t>
      </w:r>
      <w:r w:rsidRPr="00C05989">
        <w:rPr>
          <w:sz w:val="24"/>
          <w:szCs w:val="24"/>
        </w:rPr>
        <w:t xml:space="preserve"> safe, and reasonable service and facilities, and shall make all such repairs, changes, alterations, substitutions, extensions, and improvements in or to such service and facilities as shall be necessary or proper for the accommodation, convenience, and safety</w:t>
      </w:r>
      <w:r w:rsidRPr="0097190A">
        <w:rPr>
          <w:sz w:val="24"/>
          <w:szCs w:val="24"/>
        </w:rPr>
        <w:t xml:space="preserve"> of its patrons, employees, and the public.</w:t>
      </w:r>
      <w:r w:rsidR="003B40DA" w:rsidRPr="0097190A">
        <w:rPr>
          <w:sz w:val="24"/>
          <w:szCs w:val="24"/>
        </w:rPr>
        <w:t>”</w:t>
      </w:r>
      <w:r w:rsidR="0097190A" w:rsidRPr="0097190A">
        <w:rPr>
          <w:sz w:val="24"/>
          <w:szCs w:val="24"/>
        </w:rPr>
        <w:t xml:space="preserve">  </w:t>
      </w:r>
      <w:proofErr w:type="gramStart"/>
      <w:r w:rsidR="0097190A" w:rsidRPr="0097190A">
        <w:rPr>
          <w:sz w:val="24"/>
          <w:szCs w:val="24"/>
        </w:rPr>
        <w:t xml:space="preserve">66 </w:t>
      </w:r>
      <w:proofErr w:type="spellStart"/>
      <w:r w:rsidR="0097190A" w:rsidRPr="0097190A">
        <w:rPr>
          <w:sz w:val="24"/>
          <w:szCs w:val="24"/>
        </w:rPr>
        <w:t>Pa.C.S.A</w:t>
      </w:r>
      <w:proofErr w:type="spellEnd"/>
      <w:r w:rsidR="0097190A" w:rsidRPr="0097190A">
        <w:rPr>
          <w:sz w:val="24"/>
          <w:szCs w:val="24"/>
        </w:rPr>
        <w:t>.</w:t>
      </w:r>
      <w:proofErr w:type="gramEnd"/>
      <w:r w:rsidR="0097190A" w:rsidRPr="0097190A">
        <w:rPr>
          <w:sz w:val="24"/>
          <w:szCs w:val="24"/>
        </w:rPr>
        <w:t xml:space="preserve"> §</w:t>
      </w:r>
      <w:r w:rsidR="00372F6B">
        <w:rPr>
          <w:sz w:val="24"/>
          <w:szCs w:val="24"/>
        </w:rPr>
        <w:t xml:space="preserve"> </w:t>
      </w:r>
      <w:r w:rsidR="0097190A" w:rsidRPr="0097190A">
        <w:rPr>
          <w:sz w:val="24"/>
          <w:szCs w:val="24"/>
        </w:rPr>
        <w:t>1501.</w:t>
      </w:r>
    </w:p>
    <w:p w:rsidR="00AF192E" w:rsidRPr="00DE5EB8" w:rsidRDefault="00AF192E" w:rsidP="00AF192E">
      <w:pPr>
        <w:pStyle w:val="BodyText"/>
        <w:jc w:val="left"/>
        <w:rPr>
          <w:sz w:val="24"/>
          <w:szCs w:val="24"/>
        </w:rPr>
      </w:pPr>
    </w:p>
    <w:p w:rsidR="00AF192E" w:rsidRDefault="00AF192E" w:rsidP="00AF192E">
      <w:pPr>
        <w:spacing w:line="360" w:lineRule="auto"/>
        <w:ind w:firstLine="1440"/>
      </w:pPr>
      <w:r w:rsidRPr="00DE5EB8">
        <w:t xml:space="preserve">As the party seeking affirmative relief from the Commission, Complainant bears the burden of </w:t>
      </w:r>
      <w:r w:rsidR="00846FA1" w:rsidRPr="00DE5EB8">
        <w:t>proving the necessary elements of the complaint</w:t>
      </w:r>
      <w:r w:rsidRPr="00DE5EB8">
        <w:t xml:space="preserve"> by substantial evidence</w:t>
      </w:r>
      <w:r w:rsidR="00846FA1" w:rsidRPr="00DE5EB8">
        <w:t>.</w:t>
      </w:r>
      <w:r w:rsidR="00846FA1" w:rsidRPr="00DE5EB8">
        <w:rPr>
          <w:rStyle w:val="FootnoteReference"/>
        </w:rPr>
        <w:footnoteReference w:id="1"/>
      </w:r>
      <w:r w:rsidR="00846FA1" w:rsidRPr="00DE5EB8">
        <w:t xml:space="preserve">  </w:t>
      </w:r>
      <w:r w:rsidRPr="00DE5EB8">
        <w:t xml:space="preserve">Substantial evidence is defined as such evidence that a reasonable mind might accept as adequate </w:t>
      </w:r>
      <w:r w:rsidRPr="00DE5EB8">
        <w:lastRenderedPageBreak/>
        <w:t>to support a conclusion</w:t>
      </w:r>
      <w:r w:rsidR="00846FA1" w:rsidRPr="00DE5EB8">
        <w:t>, but Complainant is required to present more</w:t>
      </w:r>
      <w:r w:rsidRPr="00DE5EB8">
        <w:t xml:space="preserve"> than a mere trace of evidence or a suspicion of the existence of a fact sought to be established.</w:t>
      </w:r>
      <w:r w:rsidR="00846FA1" w:rsidRPr="00DE5EB8">
        <w:rPr>
          <w:rStyle w:val="FootnoteReference"/>
        </w:rPr>
        <w:footnoteReference w:id="2"/>
      </w:r>
    </w:p>
    <w:p w:rsidR="008F04A9" w:rsidRDefault="008F04A9" w:rsidP="00B6308C">
      <w:pPr>
        <w:pStyle w:val="BodyText"/>
        <w:jc w:val="left"/>
        <w:rPr>
          <w:sz w:val="24"/>
          <w:szCs w:val="24"/>
          <w:u w:val="single"/>
        </w:rPr>
      </w:pPr>
    </w:p>
    <w:p w:rsidR="00B6308C" w:rsidRPr="00CE724C" w:rsidRDefault="00B6308C" w:rsidP="00B6308C">
      <w:pPr>
        <w:pStyle w:val="BodyText"/>
        <w:jc w:val="left"/>
        <w:rPr>
          <w:sz w:val="24"/>
          <w:szCs w:val="24"/>
          <w:u w:val="single"/>
        </w:rPr>
      </w:pPr>
      <w:r w:rsidRPr="00CE724C">
        <w:rPr>
          <w:sz w:val="24"/>
          <w:szCs w:val="24"/>
          <w:u w:val="single"/>
        </w:rPr>
        <w:t>Foreign Load</w:t>
      </w:r>
    </w:p>
    <w:p w:rsidR="00C2686C" w:rsidRDefault="00C2686C" w:rsidP="00B6308C">
      <w:pPr>
        <w:spacing w:line="360" w:lineRule="auto"/>
      </w:pPr>
    </w:p>
    <w:p w:rsidR="00666CCF" w:rsidRDefault="00B6308C" w:rsidP="00C2686C">
      <w:pPr>
        <w:spacing w:line="360" w:lineRule="auto"/>
      </w:pPr>
      <w:r w:rsidRPr="00CE724C">
        <w:tab/>
      </w:r>
      <w:r w:rsidRPr="00CE724C">
        <w:tab/>
      </w:r>
      <w:r w:rsidR="008167F3" w:rsidRPr="00A62A93">
        <w:t xml:space="preserve">This Commission’s interpretation or construction of Section 1529.1, applicable to this case, </w:t>
      </w:r>
      <w:r w:rsidR="00381A78">
        <w:t>is</w:t>
      </w:r>
      <w:r w:rsidR="008167F3" w:rsidRPr="00A62A93">
        <w:t xml:space="preserve"> derived from</w:t>
      </w:r>
      <w:r w:rsidR="008167F3" w:rsidRPr="00A62A93">
        <w:rPr>
          <w:i/>
        </w:rPr>
        <w:t xml:space="preserve"> </w:t>
      </w:r>
      <w:r w:rsidR="008167F3" w:rsidRPr="00A62A93">
        <w:rPr>
          <w:u w:val="single"/>
        </w:rPr>
        <w:t>Bryce v. Duquesne Light Co.</w:t>
      </w:r>
      <w:r w:rsidR="004C2F4A">
        <w:rPr>
          <w:u w:val="single"/>
        </w:rPr>
        <w:t>,</w:t>
      </w:r>
      <w:r w:rsidR="00666CCF">
        <w:rPr>
          <w:rStyle w:val="FootnoteReference"/>
        </w:rPr>
        <w:footnoteReference w:id="3"/>
      </w:r>
      <w:r w:rsidR="008167F3" w:rsidRPr="00A62A93">
        <w:t xml:space="preserve"> </w:t>
      </w:r>
      <w:r w:rsidR="008167F3" w:rsidRPr="00A62A93">
        <w:rPr>
          <w:u w:val="single"/>
        </w:rPr>
        <w:t xml:space="preserve">Santos v. </w:t>
      </w:r>
      <w:r w:rsidR="008167F3" w:rsidRPr="006D0C36">
        <w:rPr>
          <w:u w:val="single"/>
        </w:rPr>
        <w:t>Metropolitan Edison Company</w:t>
      </w:r>
      <w:r w:rsidR="004C2F4A">
        <w:rPr>
          <w:u w:val="single"/>
        </w:rPr>
        <w:t>,</w:t>
      </w:r>
      <w:r w:rsidR="00666CCF" w:rsidRPr="006D0C36">
        <w:rPr>
          <w:rStyle w:val="FootnoteReference"/>
        </w:rPr>
        <w:footnoteReference w:id="4"/>
      </w:r>
      <w:r w:rsidR="008167F3" w:rsidRPr="006D0C36">
        <w:t xml:space="preserve"> and </w:t>
      </w:r>
      <w:r w:rsidR="008167F3" w:rsidRPr="00057494">
        <w:rPr>
          <w:u w:val="single"/>
        </w:rPr>
        <w:t>Stewart v. Equ</w:t>
      </w:r>
      <w:r w:rsidR="008167F3" w:rsidRPr="00A62A93">
        <w:rPr>
          <w:u w:val="single"/>
        </w:rPr>
        <w:t>itable Gas Co.</w:t>
      </w:r>
      <w:r w:rsidR="00666CCF" w:rsidRPr="006D0C36">
        <w:rPr>
          <w:rStyle w:val="FootnoteReference"/>
        </w:rPr>
        <w:footnoteReference w:id="5"/>
      </w:r>
      <w:r w:rsidR="008167F3" w:rsidRPr="00A62A93">
        <w:t xml:space="preserve">  These cases hold that a “foreign load” </w:t>
      </w:r>
      <w:r w:rsidR="00666CCF">
        <w:t>exists</w:t>
      </w:r>
      <w:r w:rsidR="008167F3" w:rsidRPr="00A62A93">
        <w:t xml:space="preserve"> when a ratepayer-</w:t>
      </w:r>
      <w:r w:rsidR="00E67136">
        <w:t>tenant</w:t>
      </w:r>
      <w:r w:rsidR="008167F3" w:rsidRPr="00A62A93">
        <w:t>’s meter in a multi-</w:t>
      </w:r>
      <w:r w:rsidR="00E67136">
        <w:t>tenant</w:t>
      </w:r>
      <w:r w:rsidR="008167F3" w:rsidRPr="00A62A93">
        <w:t xml:space="preserve"> dwelling registers utility service usage from which the </w:t>
      </w:r>
      <w:r w:rsidR="00E67136">
        <w:t>tenant</w:t>
      </w:r>
      <w:r w:rsidR="008167F3" w:rsidRPr="00A62A93">
        <w:t xml:space="preserve"> derives no benefit or only a shared benefit.  Even though the ratepayer-</w:t>
      </w:r>
      <w:r w:rsidR="00E67136">
        <w:t>tenant</w:t>
      </w:r>
      <w:r w:rsidR="008167F3" w:rsidRPr="00A62A93">
        <w:t>s in a multi-</w:t>
      </w:r>
      <w:r w:rsidR="00E67136">
        <w:t>tenant</w:t>
      </w:r>
      <w:r w:rsidR="008167F3" w:rsidRPr="00A62A93">
        <w:t xml:space="preserve"> dwelling have meters that register their individual utility service usage, a ratepayer-</w:t>
      </w:r>
      <w:r w:rsidR="00E67136">
        <w:t>tenant</w:t>
      </w:r>
      <w:r w:rsidR="008167F3" w:rsidRPr="00A62A93">
        <w:t xml:space="preserve"> whose meter also registers usage from which the </w:t>
      </w:r>
      <w:r w:rsidR="00E67136">
        <w:t>tenant</w:t>
      </w:r>
      <w:r w:rsidR="008167F3" w:rsidRPr="00A62A93">
        <w:t xml:space="preserve"> derives no benefit or only a shared benefit is not “individually metered” for the purpose of applying Section 15</w:t>
      </w:r>
      <w:r w:rsidR="00666CCF">
        <w:t xml:space="preserve">29.1.  </w:t>
      </w:r>
    </w:p>
    <w:p w:rsidR="00666CCF" w:rsidRDefault="00666CCF" w:rsidP="008167F3">
      <w:pPr>
        <w:spacing w:line="360" w:lineRule="auto"/>
        <w:ind w:firstLine="1440"/>
      </w:pPr>
    </w:p>
    <w:p w:rsidR="008167F3" w:rsidRPr="00A62A93" w:rsidRDefault="00666CCF" w:rsidP="008167F3">
      <w:pPr>
        <w:spacing w:line="360" w:lineRule="auto"/>
        <w:ind w:firstLine="1440"/>
        <w:rPr>
          <w:spacing w:val="-3"/>
        </w:rPr>
      </w:pPr>
      <w:r>
        <w:t>C</w:t>
      </w:r>
      <w:r w:rsidR="008167F3" w:rsidRPr="00A62A93">
        <w:t>onsequently, the owner of the property becomes immediately responsible</w:t>
      </w:r>
      <w:r>
        <w:t xml:space="preserve"> for the </w:t>
      </w:r>
      <w:r w:rsidR="00E67136">
        <w:t>tenant</w:t>
      </w:r>
      <w:r>
        <w:t xml:space="preserve">’s account and the </w:t>
      </w:r>
      <w:r w:rsidR="00E67136">
        <w:t>tenant</w:t>
      </w:r>
      <w:r>
        <w:t>’s account</w:t>
      </w:r>
      <w:r w:rsidR="008167F3" w:rsidRPr="00A62A93">
        <w:t xml:space="preserve"> must be </w:t>
      </w:r>
      <w:r>
        <w:t xml:space="preserve">placed in the owner’s name.  </w:t>
      </w:r>
      <w:proofErr w:type="gramStart"/>
      <w:r>
        <w:rPr>
          <w:spacing w:val="-3"/>
        </w:rPr>
        <w:t xml:space="preserve">Pursuant to </w:t>
      </w:r>
      <w:r>
        <w:t>66</w:t>
      </w:r>
      <w:r w:rsidR="002661BC">
        <w:t> </w:t>
      </w:r>
      <w:proofErr w:type="spellStart"/>
      <w:r>
        <w:t>Pa.C.S.</w:t>
      </w:r>
      <w:r w:rsidR="004C2F4A">
        <w:t>A</w:t>
      </w:r>
      <w:proofErr w:type="spellEnd"/>
      <w:r w:rsidR="004C2F4A">
        <w:t>.</w:t>
      </w:r>
      <w:proofErr w:type="gramEnd"/>
      <w:r>
        <w:t xml:space="preserve"> §</w:t>
      </w:r>
      <w:r w:rsidR="002661BC">
        <w:t xml:space="preserve"> </w:t>
      </w:r>
      <w:r>
        <w:t>1529.1, the</w:t>
      </w:r>
      <w:r w:rsidR="008167F3" w:rsidRPr="00A62A93">
        <w:t xml:space="preserve"> burden of dealing with a foreign load problem </w:t>
      </w:r>
      <w:r>
        <w:t>belong</w:t>
      </w:r>
      <w:r w:rsidR="00D336EE">
        <w:t>s</w:t>
      </w:r>
      <w:r>
        <w:t xml:space="preserve"> squarely with </w:t>
      </w:r>
      <w:r w:rsidR="008167F3" w:rsidRPr="00A62A93">
        <w:t xml:space="preserve">the property owner, not the </w:t>
      </w:r>
      <w:r w:rsidR="00E67136">
        <w:t>tenant</w:t>
      </w:r>
      <w:r>
        <w:t>, because t</w:t>
      </w:r>
      <w:r w:rsidR="008167F3" w:rsidRPr="00A62A93">
        <w:t xml:space="preserve">he owner is in a better position to know the foreign load </w:t>
      </w:r>
      <w:r>
        <w:t xml:space="preserve">exists </w:t>
      </w:r>
      <w:r w:rsidR="008167F3" w:rsidRPr="00A62A93">
        <w:t xml:space="preserve">than </w:t>
      </w:r>
      <w:r>
        <w:t>do the</w:t>
      </w:r>
      <w:r w:rsidR="008167F3" w:rsidRPr="00A62A93">
        <w:t xml:space="preserve"> </w:t>
      </w:r>
      <w:r w:rsidR="00E67136">
        <w:t>tenant</w:t>
      </w:r>
      <w:r>
        <w:t>s</w:t>
      </w:r>
      <w:r w:rsidR="008167F3" w:rsidRPr="00A62A93">
        <w:t>.</w:t>
      </w:r>
      <w:r>
        <w:rPr>
          <w:rStyle w:val="FootnoteReference"/>
        </w:rPr>
        <w:footnoteReference w:id="6"/>
      </w:r>
      <w:r w:rsidR="008167F3" w:rsidRPr="00A62A93">
        <w:t xml:space="preserve">      </w:t>
      </w:r>
    </w:p>
    <w:p w:rsidR="008167F3" w:rsidRPr="00A62A93" w:rsidRDefault="008167F3" w:rsidP="008167F3">
      <w:pPr>
        <w:spacing w:line="360" w:lineRule="auto"/>
      </w:pPr>
    </w:p>
    <w:p w:rsidR="008167F3" w:rsidRPr="00A62A93" w:rsidRDefault="00666CCF" w:rsidP="008167F3">
      <w:pPr>
        <w:spacing w:line="360" w:lineRule="auto"/>
        <w:ind w:firstLine="1440"/>
      </w:pPr>
      <w:r w:rsidRPr="00FA4DBE">
        <w:t xml:space="preserve">In </w:t>
      </w:r>
      <w:proofErr w:type="spellStart"/>
      <w:r w:rsidR="008167F3" w:rsidRPr="00B91FFB">
        <w:rPr>
          <w:u w:val="single"/>
        </w:rPr>
        <w:t>Franckowiak</w:t>
      </w:r>
      <w:proofErr w:type="spellEnd"/>
      <w:r w:rsidR="008167F3" w:rsidRPr="00B91FFB">
        <w:rPr>
          <w:u w:val="single"/>
        </w:rPr>
        <w:t xml:space="preserve"> v. PPL Electric Utilities Corp</w:t>
      </w:r>
      <w:r w:rsidR="00734377">
        <w:rPr>
          <w:u w:val="single"/>
        </w:rPr>
        <w:t>oration</w:t>
      </w:r>
      <w:r w:rsidR="004C2F4A">
        <w:rPr>
          <w:u w:val="single"/>
        </w:rPr>
        <w:t>,</w:t>
      </w:r>
      <w:r w:rsidRPr="00B91FFB">
        <w:rPr>
          <w:rStyle w:val="FootnoteReference"/>
        </w:rPr>
        <w:footnoteReference w:id="7"/>
      </w:r>
      <w:r w:rsidR="008167F3" w:rsidRPr="00A62A93">
        <w:t xml:space="preserve"> </w:t>
      </w:r>
      <w:r>
        <w:t>t</w:t>
      </w:r>
      <w:r w:rsidR="008167F3" w:rsidRPr="00A62A93">
        <w:t xml:space="preserve">he Commission ruled the </w:t>
      </w:r>
      <w:r>
        <w:t>public utility</w:t>
      </w:r>
      <w:r w:rsidR="00490E8B">
        <w:t xml:space="preserve"> failed to comply with 66 </w:t>
      </w:r>
      <w:proofErr w:type="spellStart"/>
      <w:r w:rsidR="00490E8B">
        <w:t>Pa.</w:t>
      </w:r>
      <w:r w:rsidR="008167F3" w:rsidRPr="00A62A93">
        <w:t>C.S.</w:t>
      </w:r>
      <w:r w:rsidR="004C2F4A">
        <w:t>A</w:t>
      </w:r>
      <w:proofErr w:type="spellEnd"/>
      <w:r w:rsidR="004C2F4A">
        <w:t>.</w:t>
      </w:r>
      <w:r w:rsidR="008167F3" w:rsidRPr="00A62A93">
        <w:t xml:space="preserve"> §</w:t>
      </w:r>
      <w:r w:rsidR="00490E8B">
        <w:t xml:space="preserve"> </w:t>
      </w:r>
      <w:r w:rsidR="008167F3" w:rsidRPr="00A62A93">
        <w:t xml:space="preserve">1529.1 </w:t>
      </w:r>
      <w:r>
        <w:t>when it failed to place</w:t>
      </w:r>
      <w:r w:rsidR="008167F3" w:rsidRPr="00A62A93">
        <w:t xml:space="preserve"> a </w:t>
      </w:r>
      <w:r w:rsidR="00E67136">
        <w:t>tenant</w:t>
      </w:r>
      <w:r w:rsidR="008167F3" w:rsidRPr="00A62A93">
        <w:t xml:space="preserve">’s </w:t>
      </w:r>
      <w:r w:rsidR="008167F3" w:rsidRPr="00A62A93">
        <w:lastRenderedPageBreak/>
        <w:t xml:space="preserve">account in the landlord’s name after the </w:t>
      </w:r>
      <w:r>
        <w:t>utility</w:t>
      </w:r>
      <w:r w:rsidR="008167F3" w:rsidRPr="00A62A93">
        <w:t xml:space="preserve"> suspected foreign wiring.  </w:t>
      </w:r>
      <w:r>
        <w:t>The Commission found that a</w:t>
      </w:r>
      <w:r w:rsidR="008167F3" w:rsidRPr="00A62A93">
        <w:t xml:space="preserve">sking </w:t>
      </w:r>
      <w:r>
        <w:t>the public utility</w:t>
      </w:r>
      <w:r w:rsidR="008167F3" w:rsidRPr="00A62A93">
        <w:t xml:space="preserve"> to substantiate the existence of foreign wiring before it places the account in the landlord’s name would permit landlords to thwart the legislative intent by failing to promptly and fully cooperate with a public utility’s foreign wiring investigation.  </w:t>
      </w:r>
    </w:p>
    <w:p w:rsidR="008167F3" w:rsidRPr="00A62A93" w:rsidRDefault="008167F3" w:rsidP="008167F3">
      <w:pPr>
        <w:spacing w:line="360" w:lineRule="auto"/>
      </w:pPr>
    </w:p>
    <w:p w:rsidR="008167F3" w:rsidRDefault="00666CCF" w:rsidP="008167F3">
      <w:pPr>
        <w:spacing w:line="360" w:lineRule="auto"/>
        <w:ind w:firstLine="1440"/>
      </w:pPr>
      <w:r>
        <w:t xml:space="preserve">Likewise, in </w:t>
      </w:r>
      <w:proofErr w:type="spellStart"/>
      <w:r w:rsidR="008167F3" w:rsidRPr="00A62A93">
        <w:rPr>
          <w:u w:val="single"/>
        </w:rPr>
        <w:t>DelVecchio</w:t>
      </w:r>
      <w:proofErr w:type="spellEnd"/>
      <w:r w:rsidR="008167F3" w:rsidRPr="00A62A93">
        <w:rPr>
          <w:u w:val="single"/>
        </w:rPr>
        <w:t xml:space="preserve"> v. PPL Electric Utilities Corporation</w:t>
      </w:r>
      <w:r w:rsidR="00DF0F98">
        <w:t>,</w:t>
      </w:r>
      <w:r w:rsidRPr="00666CCF">
        <w:rPr>
          <w:rStyle w:val="FootnoteReference"/>
        </w:rPr>
        <w:footnoteReference w:id="8"/>
      </w:r>
      <w:r w:rsidR="00DF0F98">
        <w:t xml:space="preserve"> the</w:t>
      </w:r>
      <w:r w:rsidR="008167F3" w:rsidRPr="00A62A93">
        <w:t xml:space="preserve"> utility </w:t>
      </w:r>
      <w:r w:rsidR="00DF0F98">
        <w:t xml:space="preserve">failed to change the account ratepayer back to the landlord </w:t>
      </w:r>
      <w:r w:rsidR="008167F3" w:rsidRPr="00A62A93">
        <w:t xml:space="preserve">after uncovering </w:t>
      </w:r>
      <w:r w:rsidR="00DF0F98">
        <w:t>a</w:t>
      </w:r>
      <w:r w:rsidR="008167F3" w:rsidRPr="00A62A93">
        <w:t xml:space="preserve"> foreign wiring.  The Commission found the amounts paid by the </w:t>
      </w:r>
      <w:r w:rsidR="00E67136">
        <w:t>tenant</w:t>
      </w:r>
      <w:r w:rsidR="008167F3" w:rsidRPr="00A62A93">
        <w:t xml:space="preserve"> after the utility discovered </w:t>
      </w:r>
      <w:r w:rsidR="00DF0F98">
        <w:t xml:space="preserve">the </w:t>
      </w:r>
      <w:r w:rsidR="008167F3" w:rsidRPr="00A62A93">
        <w:t xml:space="preserve">foreign wiring were the responsibility of the </w:t>
      </w:r>
      <w:r w:rsidR="00DF0F98">
        <w:t>landlord</w:t>
      </w:r>
      <w:r w:rsidR="008167F3" w:rsidRPr="00A62A93">
        <w:t xml:space="preserve">.  The Commission concluded the money </w:t>
      </w:r>
      <w:r w:rsidR="00DF0F98">
        <w:t xml:space="preserve">the </w:t>
      </w:r>
      <w:r w:rsidR="00E67136">
        <w:t>tenant</w:t>
      </w:r>
      <w:r w:rsidR="00DF0F98">
        <w:t xml:space="preserve"> </w:t>
      </w:r>
      <w:r w:rsidR="008167F3" w:rsidRPr="00A62A93">
        <w:t>paid to</w:t>
      </w:r>
      <w:r w:rsidR="00B8521D">
        <w:t xml:space="preserve"> the</w:t>
      </w:r>
      <w:r w:rsidR="008167F3" w:rsidRPr="00A62A93">
        <w:t xml:space="preserve"> </w:t>
      </w:r>
      <w:r w:rsidR="00DF0F98">
        <w:t>utility</w:t>
      </w:r>
      <w:r w:rsidR="008167F3" w:rsidRPr="00A62A93">
        <w:t xml:space="preserve"> for the time after </w:t>
      </w:r>
      <w:r w:rsidR="00DF0F98">
        <w:t>the public utility</w:t>
      </w:r>
      <w:r w:rsidR="008167F3" w:rsidRPr="00A62A93">
        <w:t xml:space="preserve"> discovered the foreign wiring was invalid pursuant to 66 </w:t>
      </w:r>
      <w:proofErr w:type="spellStart"/>
      <w:r w:rsidR="008167F3" w:rsidRPr="00A62A93">
        <w:t>Pa.C.S.</w:t>
      </w:r>
      <w:r w:rsidR="00B8521D">
        <w:t>A</w:t>
      </w:r>
      <w:proofErr w:type="spellEnd"/>
      <w:r w:rsidR="00B8521D">
        <w:t>.</w:t>
      </w:r>
      <w:r w:rsidR="008167F3" w:rsidRPr="00A62A93">
        <w:t xml:space="preserve"> §</w:t>
      </w:r>
      <w:r w:rsidR="00490E8B">
        <w:t xml:space="preserve"> </w:t>
      </w:r>
      <w:r w:rsidR="008167F3" w:rsidRPr="00A62A93">
        <w:t>1529.1</w:t>
      </w:r>
      <w:r w:rsidR="006831D7">
        <w:t>,</w:t>
      </w:r>
      <w:r w:rsidR="008167F3" w:rsidRPr="00A62A93">
        <w:t xml:space="preserve"> and </w:t>
      </w:r>
      <w:r w:rsidR="00DF0F98">
        <w:t>the utility</w:t>
      </w:r>
      <w:r w:rsidR="008167F3" w:rsidRPr="00A62A93">
        <w:t xml:space="preserve"> </w:t>
      </w:r>
      <w:r w:rsidR="00DF0F98">
        <w:t xml:space="preserve">was ordered </w:t>
      </w:r>
      <w:r w:rsidR="008167F3" w:rsidRPr="00A62A93">
        <w:t xml:space="preserve">to refund </w:t>
      </w:r>
      <w:r w:rsidR="00DF0F98">
        <w:t xml:space="preserve">back to the </w:t>
      </w:r>
      <w:r w:rsidR="00E67136">
        <w:t>tenant</w:t>
      </w:r>
      <w:r w:rsidR="00DF0F98">
        <w:t xml:space="preserve"> </w:t>
      </w:r>
      <w:r w:rsidR="008167F3" w:rsidRPr="00A62A93">
        <w:t>the amount paid during that time period.</w:t>
      </w:r>
    </w:p>
    <w:p w:rsidR="00DF0F98" w:rsidRDefault="00DF0F98" w:rsidP="008167F3">
      <w:pPr>
        <w:spacing w:line="360" w:lineRule="auto"/>
        <w:ind w:firstLine="1440"/>
      </w:pPr>
    </w:p>
    <w:p w:rsidR="00DF0F98" w:rsidRPr="00DF0F98" w:rsidRDefault="00DF0F98" w:rsidP="008167F3">
      <w:pPr>
        <w:spacing w:line="360" w:lineRule="auto"/>
        <w:ind w:firstLine="1440"/>
      </w:pPr>
      <w:r>
        <w:t xml:space="preserve">In </w:t>
      </w:r>
      <w:r>
        <w:rPr>
          <w:u w:val="single"/>
        </w:rPr>
        <w:t>Ace Check Cashing, Inc. v. Philadelphia Gas Works, etc.</w:t>
      </w:r>
      <w:r>
        <w:t>,</w:t>
      </w:r>
      <w:r>
        <w:rPr>
          <w:rStyle w:val="FootnoteReference"/>
        </w:rPr>
        <w:footnoteReference w:id="9"/>
      </w:r>
      <w:r>
        <w:t xml:space="preserve"> the Commission overruled a previous decision in </w:t>
      </w:r>
      <w:proofErr w:type="spellStart"/>
      <w:r>
        <w:rPr>
          <w:u w:val="single"/>
        </w:rPr>
        <w:t>Afshari</w:t>
      </w:r>
      <w:proofErr w:type="spellEnd"/>
      <w:r>
        <w:rPr>
          <w:u w:val="single"/>
        </w:rPr>
        <w:t xml:space="preserve"> v. PPL Electric Utilities Corporation</w:t>
      </w:r>
      <w:r w:rsidRPr="00DF0F98">
        <w:rPr>
          <w:rStyle w:val="FootnoteReference"/>
        </w:rPr>
        <w:footnoteReference w:id="10"/>
      </w:r>
      <w:r w:rsidRPr="00DF0F98">
        <w:t xml:space="preserve"> when i</w:t>
      </w:r>
      <w:r>
        <w:t>t determined landlords are responsible for both current bills and arrearages until such time as the landlord corrects the foreign load situation.</w:t>
      </w:r>
    </w:p>
    <w:p w:rsidR="00B41879" w:rsidRDefault="00B41879" w:rsidP="00DF0F98">
      <w:pPr>
        <w:ind w:left="1440" w:right="720" w:firstLine="720"/>
      </w:pPr>
    </w:p>
    <w:p w:rsidR="008167F3" w:rsidRPr="00A62A93" w:rsidRDefault="008167F3" w:rsidP="00DF0F98">
      <w:pPr>
        <w:ind w:left="1440" w:right="720" w:firstLine="720"/>
      </w:pPr>
      <w:r w:rsidRPr="00A62A93">
        <w:t xml:space="preserve">Prior to </w:t>
      </w:r>
      <w:proofErr w:type="spellStart"/>
      <w:r w:rsidRPr="00490E8B">
        <w:rPr>
          <w:u w:val="single"/>
        </w:rPr>
        <w:t>Afshari</w:t>
      </w:r>
      <w:proofErr w:type="spellEnd"/>
      <w:r w:rsidRPr="00A62A93">
        <w:t xml:space="preserve">, the Commission’s foreign load policy was clear and consistent with a plain reading of the statute.  Upon the finding of foreign load, the utility would list the account, including any arrearages, in the name of the landlord.  The landlord had the responsibility to pay the utility bills until the foreign load was corrected.  Once the foreign load was corrected by the landlord and verified by the utility, the utility would place the account back in the name of the </w:t>
      </w:r>
      <w:r w:rsidR="00E67136">
        <w:t>tenant</w:t>
      </w:r>
      <w:r w:rsidRPr="00A62A93">
        <w:t xml:space="preserve">.  However, the arrearage, if any, was to remain with the landlord.  There was no </w:t>
      </w:r>
      <w:r w:rsidRPr="00A62A93">
        <w:rPr>
          <w:i/>
        </w:rPr>
        <w:t xml:space="preserve">de </w:t>
      </w:r>
      <w:proofErr w:type="spellStart"/>
      <w:r w:rsidRPr="00A62A93">
        <w:rPr>
          <w:i/>
        </w:rPr>
        <w:t>minimus</w:t>
      </w:r>
      <w:proofErr w:type="spellEnd"/>
      <w:r w:rsidRPr="00A62A93">
        <w:rPr>
          <w:i/>
        </w:rPr>
        <w:t xml:space="preserve"> </w:t>
      </w:r>
      <w:r w:rsidRPr="00A62A93">
        <w:t xml:space="preserve">exception, and any dispute regarding the financial responsibilities of the parties was a matter to be resolved in the Court of Common Pleas and outside this Commission’s jurisdiction.  </w:t>
      </w:r>
    </w:p>
    <w:p w:rsidR="008167F3" w:rsidRPr="00A62A93" w:rsidRDefault="008167F3" w:rsidP="00DF0F98">
      <w:pPr>
        <w:ind w:left="1440" w:right="720"/>
      </w:pPr>
    </w:p>
    <w:p w:rsidR="008167F3" w:rsidRPr="00A62A93" w:rsidRDefault="00DF0F98" w:rsidP="00DF0F98">
      <w:pPr>
        <w:ind w:left="1440" w:right="720"/>
        <w:rPr>
          <w:color w:val="000000"/>
        </w:rPr>
      </w:pPr>
      <w:r>
        <w:tab/>
      </w:r>
      <w:r w:rsidR="008167F3" w:rsidRPr="00A62A93">
        <w:rPr>
          <w:color w:val="000000"/>
        </w:rPr>
        <w:t xml:space="preserve">The key determination in </w:t>
      </w:r>
      <w:proofErr w:type="spellStart"/>
      <w:r w:rsidR="008167F3" w:rsidRPr="00490E8B">
        <w:rPr>
          <w:iCs/>
          <w:color w:val="000000"/>
          <w:u w:val="single"/>
        </w:rPr>
        <w:t>Afshari</w:t>
      </w:r>
      <w:proofErr w:type="spellEnd"/>
      <w:r w:rsidR="008167F3" w:rsidRPr="00A62A93">
        <w:rPr>
          <w:color w:val="000000"/>
        </w:rPr>
        <w:t xml:space="preserve"> is that, when foreign load is found, per operation of Subsection (c), the landlord shall be responsible only for the portion of the </w:t>
      </w:r>
      <w:r w:rsidR="00E67136">
        <w:rPr>
          <w:color w:val="000000"/>
        </w:rPr>
        <w:t>tenant</w:t>
      </w:r>
      <w:r w:rsidR="008167F3" w:rsidRPr="00A62A93">
        <w:rPr>
          <w:color w:val="000000"/>
        </w:rPr>
        <w:t xml:space="preserve">’s arrearage that is related to foreign load.  </w:t>
      </w:r>
      <w:r w:rsidR="008167F3" w:rsidRPr="00A62A93">
        <w:rPr>
          <w:color w:val="000000"/>
        </w:rPr>
        <w:lastRenderedPageBreak/>
        <w:t xml:space="preserve">However, Commission precedent, such as </w:t>
      </w:r>
      <w:r w:rsidR="008167F3" w:rsidRPr="00490E8B">
        <w:rPr>
          <w:iCs/>
          <w:color w:val="000000"/>
          <w:u w:val="single"/>
        </w:rPr>
        <w:t>Elizabeth Santos v. Met Ed</w:t>
      </w:r>
      <w:r w:rsidR="008167F3" w:rsidRPr="00490E8B">
        <w:rPr>
          <w:color w:val="000000"/>
          <w:u w:val="single"/>
        </w:rPr>
        <w:t>,</w:t>
      </w:r>
      <w:r w:rsidR="008167F3" w:rsidRPr="00A62A93">
        <w:rPr>
          <w:color w:val="000000"/>
        </w:rPr>
        <w:t xml:space="preserve"> Docket No. C-00967757 (Order entered August 7, 1997</w:t>
      </w:r>
      <w:proofErr w:type="gramStart"/>
      <w:r w:rsidR="008167F3" w:rsidRPr="00A62A93">
        <w:rPr>
          <w:color w:val="000000"/>
        </w:rPr>
        <w:t>),</w:t>
      </w:r>
      <w:proofErr w:type="gramEnd"/>
      <w:r w:rsidR="008167F3" w:rsidRPr="00A62A93">
        <w:rPr>
          <w:color w:val="000000"/>
        </w:rPr>
        <w:t xml:space="preserve"> holds that Subsection (c) operates to place both current bills and all arrearages in the landlord’s name if the landlord failed to provide the notice required by Subsection (a).  In interpreting Subsection (c), the decision in </w:t>
      </w:r>
      <w:proofErr w:type="spellStart"/>
      <w:r w:rsidR="008167F3" w:rsidRPr="00490E8B">
        <w:rPr>
          <w:color w:val="000000"/>
          <w:u w:val="single"/>
        </w:rPr>
        <w:t>Afshari</w:t>
      </w:r>
      <w:proofErr w:type="spellEnd"/>
      <w:r w:rsidR="008167F3" w:rsidRPr="00A62A93">
        <w:rPr>
          <w:color w:val="000000"/>
        </w:rPr>
        <w:t xml:space="preserve"> sought to avoid an unreasonably harsh result for the landlord in that it does not require the owner to be responsible for the </w:t>
      </w:r>
      <w:r w:rsidR="00E67136">
        <w:rPr>
          <w:color w:val="000000"/>
        </w:rPr>
        <w:t>tenant</w:t>
      </w:r>
      <w:r w:rsidR="008167F3" w:rsidRPr="00A62A93">
        <w:rPr>
          <w:color w:val="000000"/>
        </w:rPr>
        <w:t xml:space="preserve">’s potentially large arrearages, especially where the foreign load is </w:t>
      </w:r>
      <w:r w:rsidR="008167F3" w:rsidRPr="00A62A93">
        <w:rPr>
          <w:i/>
          <w:color w:val="000000"/>
        </w:rPr>
        <w:t xml:space="preserve">de </w:t>
      </w:r>
      <w:proofErr w:type="spellStart"/>
      <w:r w:rsidR="008167F3" w:rsidRPr="00A62A93">
        <w:rPr>
          <w:i/>
          <w:color w:val="000000"/>
        </w:rPr>
        <w:t>minimus</w:t>
      </w:r>
      <w:proofErr w:type="spellEnd"/>
      <w:r w:rsidR="008167F3" w:rsidRPr="00A62A93">
        <w:rPr>
          <w:color w:val="000000"/>
        </w:rPr>
        <w:t xml:space="preserve">.  However, the approach in </w:t>
      </w:r>
      <w:proofErr w:type="spellStart"/>
      <w:r w:rsidR="008167F3" w:rsidRPr="00490E8B">
        <w:rPr>
          <w:color w:val="000000"/>
          <w:u w:val="single"/>
        </w:rPr>
        <w:t>Afshari</w:t>
      </w:r>
      <w:proofErr w:type="spellEnd"/>
      <w:r w:rsidR="008167F3" w:rsidRPr="00A62A93">
        <w:rPr>
          <w:color w:val="000000"/>
        </w:rPr>
        <w:t xml:space="preserve"> lessens the incentive for the landlord to correct the foreign load situation that is due to a wiring, plumbing or piping problem for which the landlord is responsible.  While the language in Subsection</w:t>
      </w:r>
      <w:r w:rsidR="009A555A">
        <w:rPr>
          <w:color w:val="000000"/>
        </w:rPr>
        <w:t> </w:t>
      </w:r>
      <w:r w:rsidR="008167F3" w:rsidRPr="00A62A93">
        <w:rPr>
          <w:color w:val="000000"/>
        </w:rPr>
        <w:t>(c) can be viewed as ambiguous enough to allow some latitude for Commission interpretation, a determination that the landlord’s financial responsibility for arrearages is strictly limited to the foreign load portion of the arrearage is problematic.  This is because the statutory remedy for failure to provide notice provided in Subsection (c) refers back to Subsection (b) which clearly mandates that the landlord “shall thereafter be responsible for the payment for the utility services rendered [to the rental property].”</w:t>
      </w:r>
    </w:p>
    <w:p w:rsidR="008167F3" w:rsidRDefault="008167F3" w:rsidP="008167F3">
      <w:pPr>
        <w:spacing w:line="360" w:lineRule="auto"/>
      </w:pPr>
    </w:p>
    <w:p w:rsidR="00D41241" w:rsidRPr="00D41241" w:rsidRDefault="00D41241" w:rsidP="008167F3">
      <w:pPr>
        <w:spacing w:line="360" w:lineRule="auto"/>
        <w:rPr>
          <w:u w:val="single"/>
        </w:rPr>
      </w:pPr>
      <w:r w:rsidRPr="00D41241">
        <w:rPr>
          <w:u w:val="single"/>
        </w:rPr>
        <w:t>Complainant’s Position</w:t>
      </w:r>
    </w:p>
    <w:p w:rsidR="00D41241" w:rsidRDefault="00D41241" w:rsidP="008167F3">
      <w:pPr>
        <w:spacing w:line="360" w:lineRule="auto"/>
      </w:pPr>
    </w:p>
    <w:p w:rsidR="00B0030E" w:rsidRDefault="00B0030E" w:rsidP="008167F3">
      <w:pPr>
        <w:spacing w:line="360" w:lineRule="auto"/>
      </w:pPr>
      <w:r>
        <w:tab/>
      </w:r>
      <w:r>
        <w:tab/>
        <w:t xml:space="preserve">Complainant contends PECO never told her it was trying to terminate service to Apartment A for non-payment and she also was unaware the </w:t>
      </w:r>
      <w:r w:rsidR="00E67136">
        <w:t>tenant</w:t>
      </w:r>
      <w:r>
        <w:t xml:space="preserve"> in Apartment C denied PECO access to the meter on multiple occasions.  Complainant argues PECO should have told her sometime within a three</w:t>
      </w:r>
      <w:r w:rsidR="009A4E52">
        <w:t>-</w:t>
      </w:r>
      <w:r>
        <w:t xml:space="preserve">year period that the </w:t>
      </w:r>
      <w:r w:rsidR="00980E47">
        <w:t>T</w:t>
      </w:r>
      <w:r w:rsidR="00E67136">
        <w:t>enant</w:t>
      </w:r>
      <w:r>
        <w:t xml:space="preserve"> </w:t>
      </w:r>
      <w:r w:rsidR="00980E47">
        <w:t>(</w:t>
      </w:r>
      <w:r>
        <w:t>in Apartment A</w:t>
      </w:r>
      <w:r w:rsidR="00980E47">
        <w:t>)</w:t>
      </w:r>
      <w:r>
        <w:t xml:space="preserve"> was not paying her electricity bills and should have turned off electricity at the outside pole when it could not gain access to the meter.  </w:t>
      </w:r>
      <w:r w:rsidR="006F5E49">
        <w:t xml:space="preserve">Complainant insists she should not be responsible for the large unpaid balance on the </w:t>
      </w:r>
      <w:r w:rsidR="00F62083">
        <w:t>T</w:t>
      </w:r>
      <w:r w:rsidR="00E67136">
        <w:t>enant</w:t>
      </w:r>
      <w:r w:rsidR="006F5E49">
        <w:t>’s service account.</w:t>
      </w:r>
    </w:p>
    <w:p w:rsidR="00B0030E" w:rsidRDefault="00B0030E" w:rsidP="008167F3">
      <w:pPr>
        <w:spacing w:line="360" w:lineRule="auto"/>
      </w:pPr>
    </w:p>
    <w:p w:rsidR="00D41241" w:rsidRPr="00D41241" w:rsidRDefault="00D41241" w:rsidP="008167F3">
      <w:pPr>
        <w:spacing w:line="360" w:lineRule="auto"/>
        <w:rPr>
          <w:u w:val="single"/>
        </w:rPr>
      </w:pPr>
      <w:r w:rsidRPr="00D41241">
        <w:rPr>
          <w:u w:val="single"/>
        </w:rPr>
        <w:t>Respondent’s Position</w:t>
      </w:r>
    </w:p>
    <w:p w:rsidR="00D41241" w:rsidRDefault="00D41241" w:rsidP="008167F3">
      <w:pPr>
        <w:spacing w:line="360" w:lineRule="auto"/>
      </w:pPr>
    </w:p>
    <w:p w:rsidR="00D41241" w:rsidRDefault="00D41241" w:rsidP="008167F3">
      <w:pPr>
        <w:spacing w:line="360" w:lineRule="auto"/>
      </w:pPr>
      <w:r>
        <w:tab/>
      </w:r>
      <w:r>
        <w:tab/>
      </w:r>
      <w:r w:rsidR="00B0030E">
        <w:t xml:space="preserve">PECO contends it responded promptly and appropriately when the </w:t>
      </w:r>
      <w:r w:rsidR="00F62083">
        <w:t>T</w:t>
      </w:r>
      <w:r w:rsidR="00E67136">
        <w:t>enant</w:t>
      </w:r>
      <w:r w:rsidR="00B0030E">
        <w:t xml:space="preserve"> filed high bill complaint</w:t>
      </w:r>
      <w:r w:rsidR="006F5E49">
        <w:t>s</w:t>
      </w:r>
      <w:r w:rsidR="00B0030E">
        <w:t xml:space="preserve"> and responded consistent with the regulations when PECO determined there was a foreign wiring condition in Apartment A.  PECO avers it took two years for the </w:t>
      </w:r>
      <w:r w:rsidR="00F62083">
        <w:t>T</w:t>
      </w:r>
      <w:r w:rsidR="00E67136">
        <w:t>enant</w:t>
      </w:r>
      <w:r w:rsidR="00B0030E">
        <w:t xml:space="preserve"> to schedule a follow-up visit when the meter would be accessible to PECO’s representative and during that visit PECO did not determine the presence of a foreign load because the </w:t>
      </w:r>
      <w:r w:rsidR="000C1980">
        <w:t>T</w:t>
      </w:r>
      <w:r w:rsidR="00E67136">
        <w:t>enant</w:t>
      </w:r>
      <w:r w:rsidR="00B0030E">
        <w:t xml:space="preserve"> </w:t>
      </w:r>
      <w:r w:rsidR="00B0030E">
        <w:lastRenderedPageBreak/>
        <w:t xml:space="preserve">identified herself as the owner.  PECO only became aware of the presence of a foreign load when the </w:t>
      </w:r>
      <w:r w:rsidR="00F62083">
        <w:t>T</w:t>
      </w:r>
      <w:r w:rsidR="00E67136">
        <w:t>enant</w:t>
      </w:r>
      <w:r w:rsidR="00B0030E">
        <w:t xml:space="preserve"> denied being the owner.  Once aware of the true owner, PECO </w:t>
      </w:r>
      <w:r w:rsidR="006F5E49">
        <w:t xml:space="preserve">argues it </w:t>
      </w:r>
      <w:r w:rsidR="00B0030E">
        <w:t xml:space="preserve">appropriately transferred the unpaid balance from Apartment A into Complainant’s name until after Complainant fixed the foreign load wiring problem.  Furthermore, PECO contends it tried on multiple occasions to terminate electric service to the </w:t>
      </w:r>
      <w:r w:rsidR="00F62083">
        <w:t>T</w:t>
      </w:r>
      <w:r w:rsidR="00E67136">
        <w:t>enant</w:t>
      </w:r>
      <w:r w:rsidR="00B0030E">
        <w:t xml:space="preserve"> but PECO was never given access to the meter which meant PECO could not turn off service to Apartment A without also turning off service to the other two apartments.  PECO argues it acted appropriately and the formal complaint should be dismissed.</w:t>
      </w:r>
    </w:p>
    <w:p w:rsidR="00D41241" w:rsidRPr="00A62A93" w:rsidRDefault="00D41241" w:rsidP="008167F3">
      <w:pPr>
        <w:spacing w:line="360" w:lineRule="auto"/>
      </w:pPr>
    </w:p>
    <w:p w:rsidR="00B6308C" w:rsidRDefault="00B6308C" w:rsidP="00B6308C">
      <w:pPr>
        <w:rPr>
          <w:color w:val="333333"/>
        </w:rPr>
      </w:pPr>
      <w:r>
        <w:rPr>
          <w:color w:val="333333"/>
          <w:u w:val="single"/>
        </w:rPr>
        <w:t>Analysis</w:t>
      </w:r>
    </w:p>
    <w:p w:rsidR="00B6308C" w:rsidRDefault="00B6308C" w:rsidP="00B6308C">
      <w:pPr>
        <w:rPr>
          <w:spacing w:val="-3"/>
        </w:rPr>
      </w:pPr>
    </w:p>
    <w:p w:rsidR="00B6308C" w:rsidRDefault="00B6308C" w:rsidP="00FC6829">
      <w:pPr>
        <w:pStyle w:val="BodyText"/>
        <w:ind w:firstLine="1440"/>
        <w:jc w:val="left"/>
        <w:rPr>
          <w:sz w:val="24"/>
          <w:szCs w:val="24"/>
        </w:rPr>
      </w:pPr>
      <w:r w:rsidRPr="00DE5EB8">
        <w:rPr>
          <w:sz w:val="24"/>
          <w:szCs w:val="24"/>
        </w:rPr>
        <w:t xml:space="preserve">Complainant </w:t>
      </w:r>
      <w:r w:rsidR="00FC6829">
        <w:rPr>
          <w:sz w:val="24"/>
          <w:szCs w:val="24"/>
        </w:rPr>
        <w:t xml:space="preserve">requests the Commission find </w:t>
      </w:r>
      <w:r w:rsidR="000216BC">
        <w:rPr>
          <w:sz w:val="24"/>
          <w:szCs w:val="24"/>
        </w:rPr>
        <w:t>PECO</w:t>
      </w:r>
      <w:r w:rsidR="00490E8B">
        <w:rPr>
          <w:sz w:val="24"/>
          <w:szCs w:val="24"/>
        </w:rPr>
        <w:t xml:space="preserve"> was in error to transfer the </w:t>
      </w:r>
      <w:r w:rsidR="00F62083">
        <w:rPr>
          <w:sz w:val="24"/>
          <w:szCs w:val="24"/>
        </w:rPr>
        <w:t>T</w:t>
      </w:r>
      <w:r w:rsidR="00E67136">
        <w:rPr>
          <w:sz w:val="24"/>
          <w:szCs w:val="24"/>
        </w:rPr>
        <w:t>enant</w:t>
      </w:r>
      <w:r w:rsidR="00490E8B">
        <w:rPr>
          <w:sz w:val="24"/>
          <w:szCs w:val="24"/>
        </w:rPr>
        <w:t xml:space="preserve">’s unpaid balance over to her </w:t>
      </w:r>
      <w:r w:rsidR="00FC6829">
        <w:rPr>
          <w:sz w:val="24"/>
          <w:szCs w:val="24"/>
        </w:rPr>
        <w:t xml:space="preserve">due to the presence of a foreign load </w:t>
      </w:r>
      <w:r w:rsidR="000216BC">
        <w:rPr>
          <w:sz w:val="24"/>
          <w:szCs w:val="24"/>
        </w:rPr>
        <w:t xml:space="preserve">when the foreign load resulted because the </w:t>
      </w:r>
      <w:r w:rsidR="00F62083">
        <w:rPr>
          <w:sz w:val="24"/>
          <w:szCs w:val="24"/>
        </w:rPr>
        <w:t>T</w:t>
      </w:r>
      <w:r w:rsidR="00E67136">
        <w:rPr>
          <w:sz w:val="24"/>
          <w:szCs w:val="24"/>
        </w:rPr>
        <w:t>enant</w:t>
      </w:r>
      <w:r w:rsidR="000216BC">
        <w:rPr>
          <w:sz w:val="24"/>
          <w:szCs w:val="24"/>
        </w:rPr>
        <w:t>, who is Complainant’s daughter, stole electricity</w:t>
      </w:r>
      <w:r w:rsidR="00FC6829">
        <w:rPr>
          <w:sz w:val="24"/>
          <w:szCs w:val="24"/>
        </w:rPr>
        <w:t xml:space="preserve">.  </w:t>
      </w:r>
      <w:proofErr w:type="gramStart"/>
      <w:r w:rsidR="0020778C">
        <w:rPr>
          <w:sz w:val="24"/>
          <w:szCs w:val="24"/>
        </w:rPr>
        <w:t xml:space="preserve">Complainant contests having to pay the unpaid balance </w:t>
      </w:r>
      <w:r w:rsidR="000216BC">
        <w:rPr>
          <w:sz w:val="24"/>
          <w:szCs w:val="24"/>
        </w:rPr>
        <w:t xml:space="preserve">because Respondent should have terminated electric service to the </w:t>
      </w:r>
      <w:r w:rsidR="00F62083">
        <w:rPr>
          <w:sz w:val="24"/>
          <w:szCs w:val="24"/>
        </w:rPr>
        <w:t>T</w:t>
      </w:r>
      <w:r w:rsidR="00E67136">
        <w:rPr>
          <w:sz w:val="24"/>
          <w:szCs w:val="24"/>
        </w:rPr>
        <w:t>enant</w:t>
      </w:r>
      <w:r w:rsidR="000216BC">
        <w:rPr>
          <w:sz w:val="24"/>
          <w:szCs w:val="24"/>
        </w:rPr>
        <w:t xml:space="preserve"> before allowing the balance to accrue over three years</w:t>
      </w:r>
      <w:r w:rsidR="0020778C">
        <w:rPr>
          <w:sz w:val="24"/>
          <w:szCs w:val="24"/>
        </w:rPr>
        <w:t>.</w:t>
      </w:r>
      <w:proofErr w:type="gramEnd"/>
      <w:r w:rsidR="0020778C">
        <w:rPr>
          <w:sz w:val="24"/>
          <w:szCs w:val="24"/>
        </w:rPr>
        <w:t xml:space="preserve">  </w:t>
      </w:r>
      <w:r>
        <w:rPr>
          <w:sz w:val="24"/>
          <w:szCs w:val="24"/>
        </w:rPr>
        <w:t>Respondent argues it provided adequate customer service when</w:t>
      </w:r>
      <w:r w:rsidR="00CA4712">
        <w:rPr>
          <w:sz w:val="24"/>
          <w:szCs w:val="24"/>
        </w:rPr>
        <w:t xml:space="preserve"> it</w:t>
      </w:r>
      <w:r w:rsidR="005D552B">
        <w:rPr>
          <w:sz w:val="24"/>
          <w:szCs w:val="24"/>
        </w:rPr>
        <w:t xml:space="preserve"> </w:t>
      </w:r>
      <w:r w:rsidR="00CA4712">
        <w:rPr>
          <w:sz w:val="24"/>
          <w:szCs w:val="24"/>
        </w:rPr>
        <w:t xml:space="preserve">placed the </w:t>
      </w:r>
      <w:r w:rsidR="000216BC">
        <w:rPr>
          <w:sz w:val="24"/>
          <w:szCs w:val="24"/>
        </w:rPr>
        <w:t>electricity</w:t>
      </w:r>
      <w:r w:rsidR="00CA4712">
        <w:rPr>
          <w:sz w:val="24"/>
          <w:szCs w:val="24"/>
        </w:rPr>
        <w:t xml:space="preserve"> in </w:t>
      </w:r>
      <w:r w:rsidR="00CD5641">
        <w:rPr>
          <w:sz w:val="24"/>
          <w:szCs w:val="24"/>
        </w:rPr>
        <w:t>Complainant’s</w:t>
      </w:r>
      <w:r w:rsidR="00CA4712">
        <w:rPr>
          <w:sz w:val="24"/>
          <w:szCs w:val="24"/>
        </w:rPr>
        <w:t xml:space="preserve"> name </w:t>
      </w:r>
      <w:r w:rsidR="00FC6829">
        <w:rPr>
          <w:sz w:val="24"/>
          <w:szCs w:val="24"/>
        </w:rPr>
        <w:t>after discovering</w:t>
      </w:r>
      <w:r w:rsidR="00CA4712">
        <w:rPr>
          <w:sz w:val="24"/>
          <w:szCs w:val="24"/>
        </w:rPr>
        <w:t xml:space="preserve"> a foreign load</w:t>
      </w:r>
      <w:r w:rsidR="005D552B">
        <w:rPr>
          <w:sz w:val="24"/>
          <w:szCs w:val="24"/>
        </w:rPr>
        <w:t xml:space="preserve"> because compliance with the Commission’s statutes and regulations requires a public utility to make landlords the responsible party when two or more </w:t>
      </w:r>
      <w:r w:rsidR="00E67136">
        <w:rPr>
          <w:sz w:val="24"/>
          <w:szCs w:val="24"/>
        </w:rPr>
        <w:t>tenant</w:t>
      </w:r>
      <w:r w:rsidR="005D552B">
        <w:rPr>
          <w:sz w:val="24"/>
          <w:szCs w:val="24"/>
        </w:rPr>
        <w:t xml:space="preserve">s are present but </w:t>
      </w:r>
      <w:r w:rsidR="000216BC">
        <w:rPr>
          <w:sz w:val="24"/>
          <w:szCs w:val="24"/>
        </w:rPr>
        <w:t>utility service</w:t>
      </w:r>
      <w:r w:rsidR="005D552B">
        <w:rPr>
          <w:sz w:val="24"/>
          <w:szCs w:val="24"/>
        </w:rPr>
        <w:t xml:space="preserve"> is not</w:t>
      </w:r>
      <w:r w:rsidR="000216BC">
        <w:rPr>
          <w:sz w:val="24"/>
          <w:szCs w:val="24"/>
        </w:rPr>
        <w:t xml:space="preserve"> completely separated</w:t>
      </w:r>
      <w:r w:rsidR="00E44218">
        <w:rPr>
          <w:sz w:val="24"/>
          <w:szCs w:val="24"/>
        </w:rPr>
        <w:t>.</w:t>
      </w:r>
    </w:p>
    <w:p w:rsidR="00B6308C" w:rsidRDefault="00B6308C" w:rsidP="00B6308C">
      <w:pPr>
        <w:pStyle w:val="BodyText"/>
        <w:jc w:val="left"/>
        <w:rPr>
          <w:sz w:val="24"/>
          <w:szCs w:val="24"/>
        </w:rPr>
      </w:pPr>
    </w:p>
    <w:p w:rsidR="00CD5641" w:rsidRDefault="00B6308C" w:rsidP="00CD5641">
      <w:pPr>
        <w:pStyle w:val="BodyText"/>
        <w:jc w:val="left"/>
        <w:rPr>
          <w:sz w:val="24"/>
          <w:szCs w:val="24"/>
        </w:rPr>
      </w:pPr>
      <w:r>
        <w:rPr>
          <w:sz w:val="24"/>
          <w:szCs w:val="24"/>
        </w:rPr>
        <w:tab/>
      </w:r>
      <w:r>
        <w:rPr>
          <w:sz w:val="24"/>
          <w:szCs w:val="24"/>
        </w:rPr>
        <w:tab/>
        <w:t xml:space="preserve">In this matter, </w:t>
      </w:r>
      <w:r w:rsidR="00FC6829">
        <w:rPr>
          <w:sz w:val="24"/>
          <w:szCs w:val="24"/>
        </w:rPr>
        <w:t xml:space="preserve">the evidence clearly shows </w:t>
      </w:r>
      <w:r w:rsidR="000216BC">
        <w:rPr>
          <w:sz w:val="24"/>
          <w:szCs w:val="24"/>
        </w:rPr>
        <w:t>PECO</w:t>
      </w:r>
      <w:r w:rsidR="00FC6829">
        <w:rPr>
          <w:sz w:val="24"/>
          <w:szCs w:val="24"/>
        </w:rPr>
        <w:t xml:space="preserve"> was correct to </w:t>
      </w:r>
      <w:r w:rsidR="00CD5641">
        <w:rPr>
          <w:sz w:val="24"/>
          <w:szCs w:val="24"/>
        </w:rPr>
        <w:t>require Ms.</w:t>
      </w:r>
      <w:r w:rsidR="00DC62B5">
        <w:rPr>
          <w:sz w:val="24"/>
          <w:szCs w:val="24"/>
        </w:rPr>
        <w:t> </w:t>
      </w:r>
      <w:proofErr w:type="spellStart"/>
      <w:r w:rsidR="000216BC">
        <w:rPr>
          <w:sz w:val="24"/>
          <w:szCs w:val="24"/>
        </w:rPr>
        <w:t>Mariani</w:t>
      </w:r>
      <w:proofErr w:type="spellEnd"/>
      <w:r w:rsidR="00CD5641">
        <w:rPr>
          <w:sz w:val="24"/>
          <w:szCs w:val="24"/>
        </w:rPr>
        <w:t xml:space="preserve"> to pay for all current charges and the arrearages on the account for the service address</w:t>
      </w:r>
      <w:r w:rsidR="00FC6829">
        <w:rPr>
          <w:sz w:val="24"/>
          <w:szCs w:val="24"/>
        </w:rPr>
        <w:t xml:space="preserve">, effective </w:t>
      </w:r>
      <w:r w:rsidR="006F5E49">
        <w:rPr>
          <w:sz w:val="24"/>
          <w:szCs w:val="24"/>
        </w:rPr>
        <w:t>May 20, 2013</w:t>
      </w:r>
      <w:r w:rsidR="00FC6829">
        <w:rPr>
          <w:sz w:val="24"/>
          <w:szCs w:val="24"/>
        </w:rPr>
        <w:t xml:space="preserve">, due to </w:t>
      </w:r>
      <w:r w:rsidR="00CD5641">
        <w:rPr>
          <w:sz w:val="24"/>
          <w:szCs w:val="24"/>
        </w:rPr>
        <w:t xml:space="preserve">the presence of a foreign load.  Complainant did not present </w:t>
      </w:r>
      <w:r w:rsidR="00FC6829">
        <w:rPr>
          <w:sz w:val="24"/>
          <w:szCs w:val="24"/>
        </w:rPr>
        <w:t xml:space="preserve">sufficient evidence to prove </w:t>
      </w:r>
      <w:r w:rsidR="000216BC">
        <w:rPr>
          <w:sz w:val="24"/>
          <w:szCs w:val="24"/>
        </w:rPr>
        <w:t>PECO</w:t>
      </w:r>
      <w:r w:rsidR="00FC6829">
        <w:rPr>
          <w:sz w:val="24"/>
          <w:szCs w:val="24"/>
        </w:rPr>
        <w:t xml:space="preserve"> failed to provide reasonable and adequate customer service when it </w:t>
      </w:r>
      <w:r w:rsidR="00CD5641">
        <w:rPr>
          <w:sz w:val="24"/>
          <w:szCs w:val="24"/>
        </w:rPr>
        <w:t xml:space="preserve">required her to be responsible </w:t>
      </w:r>
      <w:r w:rsidR="005D552B">
        <w:rPr>
          <w:sz w:val="24"/>
          <w:szCs w:val="24"/>
        </w:rPr>
        <w:t>to pay</w:t>
      </w:r>
      <w:r w:rsidR="00CD5641">
        <w:rPr>
          <w:sz w:val="24"/>
          <w:szCs w:val="24"/>
        </w:rPr>
        <w:t xml:space="preserve"> all current and past charges </w:t>
      </w:r>
      <w:r w:rsidR="005D552B">
        <w:rPr>
          <w:sz w:val="24"/>
          <w:szCs w:val="24"/>
        </w:rPr>
        <w:t xml:space="preserve">incurred by the </w:t>
      </w:r>
      <w:r w:rsidR="00F62083">
        <w:rPr>
          <w:sz w:val="24"/>
          <w:szCs w:val="24"/>
        </w:rPr>
        <w:t>T</w:t>
      </w:r>
      <w:r w:rsidR="00E67136">
        <w:rPr>
          <w:sz w:val="24"/>
          <w:szCs w:val="24"/>
        </w:rPr>
        <w:t>enant</w:t>
      </w:r>
      <w:r w:rsidR="005D552B">
        <w:rPr>
          <w:sz w:val="24"/>
          <w:szCs w:val="24"/>
        </w:rPr>
        <w:t xml:space="preserve"> </w:t>
      </w:r>
      <w:r w:rsidR="00CD5641">
        <w:rPr>
          <w:sz w:val="24"/>
          <w:szCs w:val="24"/>
        </w:rPr>
        <w:t xml:space="preserve">due to </w:t>
      </w:r>
      <w:r w:rsidR="00FC6829">
        <w:rPr>
          <w:sz w:val="24"/>
          <w:szCs w:val="24"/>
        </w:rPr>
        <w:t xml:space="preserve">the presence of a foreign load.  </w:t>
      </w:r>
      <w:r w:rsidR="006F5E49">
        <w:rPr>
          <w:sz w:val="24"/>
          <w:szCs w:val="24"/>
        </w:rPr>
        <w:t>Furthermore, PECO had no reason to contact Complainant to request assistance with gaining access to the meters because Complainant never advised PECO she was the owner of the rental units.</w:t>
      </w:r>
    </w:p>
    <w:p w:rsidR="00CD5641" w:rsidRDefault="00CD5641" w:rsidP="00CD5641">
      <w:pPr>
        <w:pStyle w:val="BodyText"/>
        <w:jc w:val="left"/>
        <w:rPr>
          <w:sz w:val="24"/>
          <w:szCs w:val="24"/>
        </w:rPr>
      </w:pPr>
    </w:p>
    <w:p w:rsidR="004777DC" w:rsidRDefault="00CD5641" w:rsidP="00CD5641">
      <w:pPr>
        <w:pStyle w:val="BodyText"/>
        <w:ind w:firstLine="1440"/>
        <w:jc w:val="left"/>
        <w:rPr>
          <w:sz w:val="24"/>
          <w:szCs w:val="24"/>
        </w:rPr>
      </w:pPr>
      <w:r>
        <w:rPr>
          <w:sz w:val="24"/>
          <w:szCs w:val="24"/>
        </w:rPr>
        <w:t xml:space="preserve">Respondent showed that it provided </w:t>
      </w:r>
      <w:r w:rsidR="00FC6829">
        <w:rPr>
          <w:sz w:val="24"/>
          <w:szCs w:val="24"/>
        </w:rPr>
        <w:t xml:space="preserve">reasonable and adequate customer service when it </w:t>
      </w:r>
      <w:r>
        <w:rPr>
          <w:sz w:val="24"/>
          <w:szCs w:val="24"/>
        </w:rPr>
        <w:t>notified</w:t>
      </w:r>
      <w:r w:rsidR="00FC6829">
        <w:rPr>
          <w:sz w:val="24"/>
          <w:szCs w:val="24"/>
        </w:rPr>
        <w:t xml:space="preserve"> Complainant there was a </w:t>
      </w:r>
      <w:r>
        <w:rPr>
          <w:sz w:val="24"/>
          <w:szCs w:val="24"/>
        </w:rPr>
        <w:t xml:space="preserve">foreign load problem with the service address, when it </w:t>
      </w:r>
      <w:r>
        <w:rPr>
          <w:sz w:val="24"/>
          <w:szCs w:val="24"/>
        </w:rPr>
        <w:lastRenderedPageBreak/>
        <w:t xml:space="preserve">explained to Complainant what steps she had to take to correct the problem, when it returned to the service address in a timely manner to verify Complainant’s efforts to separate the </w:t>
      </w:r>
      <w:r w:rsidR="000216BC">
        <w:rPr>
          <w:sz w:val="24"/>
          <w:szCs w:val="24"/>
        </w:rPr>
        <w:t>electric</w:t>
      </w:r>
      <w:r>
        <w:rPr>
          <w:sz w:val="24"/>
          <w:szCs w:val="24"/>
        </w:rPr>
        <w:t xml:space="preserve"> service and when it determined Complainant was responsible to pay the arrearages due on the account.  </w:t>
      </w:r>
    </w:p>
    <w:p w:rsidR="006F5E49" w:rsidRDefault="006F5E49" w:rsidP="00CD5641">
      <w:pPr>
        <w:pStyle w:val="BodyText"/>
        <w:ind w:firstLine="1440"/>
        <w:jc w:val="left"/>
        <w:rPr>
          <w:sz w:val="24"/>
          <w:szCs w:val="24"/>
        </w:rPr>
      </w:pPr>
    </w:p>
    <w:p w:rsidR="006F5E49" w:rsidRDefault="006F5E49" w:rsidP="00CD5641">
      <w:pPr>
        <w:pStyle w:val="BodyText"/>
        <w:ind w:firstLine="1440"/>
        <w:jc w:val="left"/>
        <w:rPr>
          <w:sz w:val="24"/>
          <w:szCs w:val="24"/>
        </w:rPr>
      </w:pPr>
      <w:r>
        <w:rPr>
          <w:sz w:val="24"/>
          <w:szCs w:val="24"/>
        </w:rPr>
        <w:t xml:space="preserve">It should be noted both Complainant and her daughter testified the </w:t>
      </w:r>
      <w:r w:rsidR="00F62083">
        <w:rPr>
          <w:sz w:val="24"/>
          <w:szCs w:val="24"/>
        </w:rPr>
        <w:t>T</w:t>
      </w:r>
      <w:r w:rsidR="00E67136">
        <w:rPr>
          <w:sz w:val="24"/>
          <w:szCs w:val="24"/>
        </w:rPr>
        <w:t>enant</w:t>
      </w:r>
      <w:r w:rsidR="00F62083">
        <w:rPr>
          <w:sz w:val="24"/>
          <w:szCs w:val="24"/>
        </w:rPr>
        <w:t>, i.e., Complainant’s daughter,</w:t>
      </w:r>
      <w:r>
        <w:rPr>
          <w:sz w:val="24"/>
          <w:szCs w:val="24"/>
        </w:rPr>
        <w:t xml:space="preserve"> vacated the premises in June 2013 but neither Complainant nor the </w:t>
      </w:r>
      <w:r w:rsidR="00F62083">
        <w:rPr>
          <w:sz w:val="24"/>
          <w:szCs w:val="24"/>
        </w:rPr>
        <w:t>T</w:t>
      </w:r>
      <w:r w:rsidR="00E67136">
        <w:rPr>
          <w:sz w:val="24"/>
          <w:szCs w:val="24"/>
        </w:rPr>
        <w:t>enant</w:t>
      </w:r>
      <w:r>
        <w:rPr>
          <w:sz w:val="24"/>
          <w:szCs w:val="24"/>
        </w:rPr>
        <w:t xml:space="preserve"> notified PECO to finalize the </w:t>
      </w:r>
      <w:r w:rsidR="00D2383E">
        <w:rPr>
          <w:sz w:val="24"/>
          <w:szCs w:val="24"/>
        </w:rPr>
        <w:t>T</w:t>
      </w:r>
      <w:r w:rsidR="00E67136">
        <w:rPr>
          <w:sz w:val="24"/>
          <w:szCs w:val="24"/>
        </w:rPr>
        <w:t>enant</w:t>
      </w:r>
      <w:r>
        <w:rPr>
          <w:sz w:val="24"/>
          <w:szCs w:val="24"/>
        </w:rPr>
        <w:t xml:space="preserve">’s service account until the first day of hearing.  Furthermore, Complainant alleges there is a new </w:t>
      </w:r>
      <w:r w:rsidR="00E67136">
        <w:rPr>
          <w:sz w:val="24"/>
          <w:szCs w:val="24"/>
        </w:rPr>
        <w:t>tenant</w:t>
      </w:r>
      <w:r>
        <w:rPr>
          <w:sz w:val="24"/>
          <w:szCs w:val="24"/>
        </w:rPr>
        <w:t xml:space="preserve"> in Apartment A but </w:t>
      </w:r>
      <w:r w:rsidR="00F62083">
        <w:rPr>
          <w:sz w:val="24"/>
          <w:szCs w:val="24"/>
        </w:rPr>
        <w:t>no new</w:t>
      </w:r>
      <w:r>
        <w:rPr>
          <w:sz w:val="24"/>
          <w:szCs w:val="24"/>
        </w:rPr>
        <w:t xml:space="preserve"> </w:t>
      </w:r>
      <w:r w:rsidR="00E67136">
        <w:rPr>
          <w:sz w:val="24"/>
          <w:szCs w:val="24"/>
        </w:rPr>
        <w:t>tenant</w:t>
      </w:r>
      <w:r>
        <w:rPr>
          <w:sz w:val="24"/>
          <w:szCs w:val="24"/>
        </w:rPr>
        <w:t xml:space="preserve"> has requested service from PECO.  PECO’s account summary clearly shows </w:t>
      </w:r>
      <w:r w:rsidRPr="006F5E49">
        <w:rPr>
          <w:b/>
          <w:sz w:val="24"/>
          <w:szCs w:val="24"/>
          <w:u w:val="single"/>
        </w:rPr>
        <w:t>no one</w:t>
      </w:r>
      <w:r>
        <w:rPr>
          <w:sz w:val="24"/>
          <w:szCs w:val="24"/>
        </w:rPr>
        <w:t xml:space="preserve"> has made a single payment for all the electric service provided to Apartment A since July 2011.  For over three years, the individuals who use</w:t>
      </w:r>
      <w:r w:rsidR="00846E0F">
        <w:rPr>
          <w:sz w:val="24"/>
          <w:szCs w:val="24"/>
        </w:rPr>
        <w:t>d</w:t>
      </w:r>
      <w:r>
        <w:rPr>
          <w:sz w:val="24"/>
          <w:szCs w:val="24"/>
        </w:rPr>
        <w:t xml:space="preserve"> Apartment A received free electric service.  It is not clear from the record why PECO opened a new service account in the </w:t>
      </w:r>
      <w:r w:rsidR="00846E0F">
        <w:rPr>
          <w:sz w:val="24"/>
          <w:szCs w:val="24"/>
        </w:rPr>
        <w:t>T</w:t>
      </w:r>
      <w:r w:rsidR="00E67136">
        <w:rPr>
          <w:sz w:val="24"/>
          <w:szCs w:val="24"/>
        </w:rPr>
        <w:t>enant</w:t>
      </w:r>
      <w:r>
        <w:rPr>
          <w:sz w:val="24"/>
          <w:szCs w:val="24"/>
        </w:rPr>
        <w:t xml:space="preserve">’s name in July 2013 when the same </w:t>
      </w:r>
      <w:r w:rsidR="00597FAB">
        <w:rPr>
          <w:sz w:val="24"/>
          <w:szCs w:val="24"/>
        </w:rPr>
        <w:t>t</w:t>
      </w:r>
      <w:r w:rsidR="00E67136">
        <w:rPr>
          <w:sz w:val="24"/>
          <w:szCs w:val="24"/>
        </w:rPr>
        <w:t>enant</w:t>
      </w:r>
      <w:r>
        <w:rPr>
          <w:sz w:val="24"/>
          <w:szCs w:val="24"/>
        </w:rPr>
        <w:t xml:space="preserve"> failed to make a single payment for the previous two years.  However, given the road blocks PECO faced in accessing the meter for these apartments, PECO’s failure to terminate service to Apartment A is understandable.  </w:t>
      </w:r>
      <w:r w:rsidR="00846E0F">
        <w:rPr>
          <w:sz w:val="24"/>
          <w:szCs w:val="24"/>
        </w:rPr>
        <w:t>PECO should initiate all appropriate procedures including, if necessary, a writ of replevin in order to rectify the problems with this service address.</w:t>
      </w:r>
    </w:p>
    <w:p w:rsidR="00C96AEA" w:rsidRDefault="00C96AEA" w:rsidP="00C96AEA">
      <w:pPr>
        <w:spacing w:line="360" w:lineRule="auto"/>
      </w:pPr>
    </w:p>
    <w:p w:rsidR="00C96AEA" w:rsidRPr="00EA1625" w:rsidRDefault="00C96AEA" w:rsidP="00C96AEA">
      <w:pPr>
        <w:spacing w:line="360" w:lineRule="auto"/>
        <w:jc w:val="center"/>
        <w:rPr>
          <w:u w:val="single"/>
        </w:rPr>
      </w:pPr>
      <w:r w:rsidRPr="00EA1625">
        <w:rPr>
          <w:u w:val="single"/>
        </w:rPr>
        <w:t>CONCLUSIONS OF LAW</w:t>
      </w:r>
    </w:p>
    <w:p w:rsidR="00C96AEA" w:rsidRPr="00EA1625" w:rsidRDefault="00C96AEA" w:rsidP="00C96AEA">
      <w:pPr>
        <w:spacing w:line="360" w:lineRule="auto"/>
        <w:ind w:firstLine="1440"/>
      </w:pPr>
    </w:p>
    <w:p w:rsidR="00C96AEA" w:rsidRPr="00EA1625" w:rsidRDefault="00C96AEA" w:rsidP="00C96AEA">
      <w:pPr>
        <w:numPr>
          <w:ilvl w:val="0"/>
          <w:numId w:val="1"/>
        </w:numPr>
        <w:tabs>
          <w:tab w:val="clear" w:pos="900"/>
          <w:tab w:val="num" w:pos="2160"/>
        </w:tabs>
        <w:spacing w:line="360" w:lineRule="auto"/>
        <w:ind w:left="0" w:firstLine="1440"/>
      </w:pPr>
      <w:r w:rsidRPr="00EA1625">
        <w:t xml:space="preserve">The Commission has jurisdiction over the parties and the subject matter of this proceeding.  </w:t>
      </w:r>
      <w:proofErr w:type="gramStart"/>
      <w:r w:rsidRPr="00EA1625">
        <w:t xml:space="preserve">66 </w:t>
      </w:r>
      <w:proofErr w:type="spellStart"/>
      <w:r w:rsidRPr="00EA1625">
        <w:t>Pa.C.S.</w:t>
      </w:r>
      <w:r w:rsidR="00FD0601">
        <w:t>A</w:t>
      </w:r>
      <w:proofErr w:type="spellEnd"/>
      <w:r w:rsidR="00FD0601">
        <w:t>.</w:t>
      </w:r>
      <w:proofErr w:type="gramEnd"/>
      <w:r w:rsidRPr="00EA1625">
        <w:t xml:space="preserve"> §</w:t>
      </w:r>
      <w:r w:rsidR="00FD0601">
        <w:t xml:space="preserve"> </w:t>
      </w:r>
      <w:r w:rsidRPr="00EA1625">
        <w:t>701.</w:t>
      </w:r>
    </w:p>
    <w:p w:rsidR="00C96AEA" w:rsidRPr="00EA1625" w:rsidRDefault="00C96AEA" w:rsidP="00C96AEA">
      <w:pPr>
        <w:tabs>
          <w:tab w:val="num" w:pos="2160"/>
        </w:tabs>
        <w:spacing w:line="360" w:lineRule="auto"/>
        <w:ind w:firstLine="1260"/>
      </w:pPr>
    </w:p>
    <w:p w:rsidR="00C96AEA" w:rsidRPr="00223A5B" w:rsidRDefault="00C96AEA" w:rsidP="00C96AEA">
      <w:pPr>
        <w:spacing w:line="360" w:lineRule="auto"/>
      </w:pPr>
      <w:r w:rsidRPr="00EA1625">
        <w:tab/>
      </w:r>
      <w:r w:rsidRPr="00EA1625">
        <w:tab/>
        <w:t>2.</w:t>
      </w:r>
      <w:r w:rsidRPr="00EA1625">
        <w:tab/>
      </w:r>
      <w:r>
        <w:t>Complainant</w:t>
      </w:r>
      <w:r w:rsidRPr="00EA1625">
        <w:t xml:space="preserve"> carries the burden of proving </w:t>
      </w:r>
      <w:r>
        <w:t xml:space="preserve">Respondent improperly charged Complainant for </w:t>
      </w:r>
      <w:r w:rsidR="006F5E49">
        <w:t>electric</w:t>
      </w:r>
      <w:r>
        <w:t xml:space="preserve"> service</w:t>
      </w:r>
      <w:r w:rsidRPr="00EA1625">
        <w:t xml:space="preserve">.  </w:t>
      </w:r>
      <w:proofErr w:type="gramStart"/>
      <w:r w:rsidRPr="00223A5B">
        <w:t xml:space="preserve">66 </w:t>
      </w:r>
      <w:proofErr w:type="spellStart"/>
      <w:r w:rsidRPr="00223A5B">
        <w:t>Pa.C.S.A</w:t>
      </w:r>
      <w:proofErr w:type="spellEnd"/>
      <w:r w:rsidRPr="00223A5B">
        <w:t>.</w:t>
      </w:r>
      <w:proofErr w:type="gramEnd"/>
      <w:r w:rsidRPr="00223A5B">
        <w:t xml:space="preserve"> §</w:t>
      </w:r>
      <w:r>
        <w:t xml:space="preserve"> </w:t>
      </w:r>
      <w:r w:rsidRPr="00223A5B">
        <w:t>332(a).</w:t>
      </w:r>
    </w:p>
    <w:p w:rsidR="00C96AEA" w:rsidRPr="00EA1625" w:rsidRDefault="00C96AEA" w:rsidP="00C96AEA">
      <w:pPr>
        <w:spacing w:line="360" w:lineRule="auto"/>
      </w:pPr>
    </w:p>
    <w:p w:rsidR="00C96AEA" w:rsidRDefault="00C96AEA" w:rsidP="00C96AEA">
      <w:pPr>
        <w:spacing w:line="360" w:lineRule="auto"/>
      </w:pPr>
      <w:r w:rsidRPr="00EA1625">
        <w:tab/>
      </w:r>
      <w:r w:rsidRPr="00EA1625">
        <w:tab/>
        <w:t>3.</w:t>
      </w:r>
      <w:r w:rsidRPr="00EA1625">
        <w:tab/>
      </w:r>
      <w:r>
        <w:t>Complainant</w:t>
      </w:r>
      <w:r w:rsidRPr="00EA1625">
        <w:t xml:space="preserve"> carries the burden of proving </w:t>
      </w:r>
      <w:r>
        <w:t xml:space="preserve">Respondent failed to provide reasonable and adequate customer service when Respondent charged Complainant for </w:t>
      </w:r>
      <w:r w:rsidR="000216BC">
        <w:t xml:space="preserve">electric </w:t>
      </w:r>
      <w:r>
        <w:t xml:space="preserve">service used in </w:t>
      </w:r>
      <w:r w:rsidR="005D552B">
        <w:t>Complainant’s rental unit</w:t>
      </w:r>
      <w:r w:rsidR="006F5E49">
        <w:t xml:space="preserve"> until July 15, 2013</w:t>
      </w:r>
      <w:r w:rsidRPr="00EA1625">
        <w:t xml:space="preserve">.  </w:t>
      </w:r>
      <w:proofErr w:type="gramStart"/>
      <w:r w:rsidRPr="00223A5B">
        <w:t xml:space="preserve">66 </w:t>
      </w:r>
      <w:proofErr w:type="spellStart"/>
      <w:r w:rsidRPr="00223A5B">
        <w:t>Pa.C.S.A</w:t>
      </w:r>
      <w:proofErr w:type="spellEnd"/>
      <w:r w:rsidRPr="00223A5B">
        <w:t>.</w:t>
      </w:r>
      <w:proofErr w:type="gramEnd"/>
      <w:r w:rsidRPr="00223A5B">
        <w:t xml:space="preserve"> §</w:t>
      </w:r>
      <w:r>
        <w:t xml:space="preserve"> </w:t>
      </w:r>
      <w:r w:rsidRPr="00223A5B">
        <w:t>332(a).</w:t>
      </w:r>
    </w:p>
    <w:p w:rsidR="00C96AEA" w:rsidRPr="00F10967" w:rsidRDefault="00C96AEA" w:rsidP="00C96AEA">
      <w:pPr>
        <w:pStyle w:val="FootnoteText"/>
        <w:spacing w:line="360" w:lineRule="auto"/>
        <w:rPr>
          <w:sz w:val="24"/>
          <w:szCs w:val="24"/>
        </w:rPr>
      </w:pPr>
    </w:p>
    <w:p w:rsidR="00C96AEA" w:rsidRDefault="00C96AEA" w:rsidP="00C96AEA">
      <w:pPr>
        <w:pStyle w:val="FootnoteText"/>
        <w:spacing w:line="360" w:lineRule="auto"/>
        <w:rPr>
          <w:sz w:val="24"/>
          <w:szCs w:val="24"/>
        </w:rPr>
      </w:pPr>
      <w:r w:rsidRPr="00F10967">
        <w:rPr>
          <w:sz w:val="24"/>
          <w:szCs w:val="24"/>
        </w:rPr>
        <w:lastRenderedPageBreak/>
        <w:tab/>
      </w:r>
      <w:r w:rsidRPr="00F10967">
        <w:rPr>
          <w:sz w:val="24"/>
          <w:szCs w:val="24"/>
        </w:rPr>
        <w:tab/>
        <w:t>4.</w:t>
      </w:r>
      <w:r w:rsidRPr="00F10967">
        <w:rPr>
          <w:sz w:val="24"/>
          <w:szCs w:val="24"/>
        </w:rPr>
        <w:tab/>
      </w:r>
      <w:r>
        <w:rPr>
          <w:sz w:val="24"/>
          <w:szCs w:val="24"/>
        </w:rPr>
        <w:t xml:space="preserve">Complainant failed to </w:t>
      </w:r>
      <w:r w:rsidR="005D552B">
        <w:rPr>
          <w:sz w:val="24"/>
          <w:szCs w:val="24"/>
        </w:rPr>
        <w:t xml:space="preserve">verify she </w:t>
      </w:r>
      <w:r>
        <w:rPr>
          <w:sz w:val="24"/>
          <w:szCs w:val="24"/>
        </w:rPr>
        <w:t>eliminate</w:t>
      </w:r>
      <w:r w:rsidR="005D552B">
        <w:rPr>
          <w:sz w:val="24"/>
          <w:szCs w:val="24"/>
        </w:rPr>
        <w:t>d</w:t>
      </w:r>
      <w:r>
        <w:rPr>
          <w:sz w:val="24"/>
          <w:szCs w:val="24"/>
        </w:rPr>
        <w:t xml:space="preserve"> the foreign load problem until </w:t>
      </w:r>
      <w:r w:rsidR="006F5E49">
        <w:rPr>
          <w:sz w:val="24"/>
          <w:szCs w:val="24"/>
        </w:rPr>
        <w:t>July 15, 2013</w:t>
      </w:r>
      <w:r>
        <w:rPr>
          <w:sz w:val="24"/>
          <w:szCs w:val="24"/>
        </w:rPr>
        <w:t xml:space="preserve">.  </w:t>
      </w:r>
      <w:proofErr w:type="gramStart"/>
      <w:r>
        <w:rPr>
          <w:sz w:val="24"/>
          <w:szCs w:val="24"/>
        </w:rPr>
        <w:t xml:space="preserve">66 </w:t>
      </w:r>
      <w:proofErr w:type="spellStart"/>
      <w:r>
        <w:rPr>
          <w:sz w:val="24"/>
          <w:szCs w:val="24"/>
        </w:rPr>
        <w:t>Pa.C.S.A</w:t>
      </w:r>
      <w:proofErr w:type="spellEnd"/>
      <w:r>
        <w:rPr>
          <w:sz w:val="24"/>
          <w:szCs w:val="24"/>
        </w:rPr>
        <w:t>.</w:t>
      </w:r>
      <w:proofErr w:type="gramEnd"/>
      <w:r>
        <w:rPr>
          <w:sz w:val="24"/>
          <w:szCs w:val="24"/>
        </w:rPr>
        <w:t xml:space="preserve"> § 1529.1.</w:t>
      </w:r>
    </w:p>
    <w:p w:rsidR="00C96AEA" w:rsidRDefault="00C96AEA" w:rsidP="00C96AEA">
      <w:pPr>
        <w:pStyle w:val="FootnoteText"/>
        <w:spacing w:line="360" w:lineRule="auto"/>
        <w:rPr>
          <w:sz w:val="24"/>
          <w:szCs w:val="24"/>
        </w:rPr>
      </w:pPr>
    </w:p>
    <w:p w:rsidR="00C96AEA" w:rsidRPr="005D552B" w:rsidRDefault="00C96AEA" w:rsidP="00C96AEA">
      <w:pPr>
        <w:pStyle w:val="FootnoteText"/>
        <w:spacing w:line="360" w:lineRule="auto"/>
        <w:ind w:firstLine="1440"/>
        <w:rPr>
          <w:sz w:val="24"/>
          <w:szCs w:val="24"/>
        </w:rPr>
      </w:pPr>
      <w:r>
        <w:rPr>
          <w:sz w:val="24"/>
          <w:szCs w:val="24"/>
        </w:rPr>
        <w:t>5.</w:t>
      </w:r>
      <w:r>
        <w:rPr>
          <w:sz w:val="24"/>
          <w:szCs w:val="24"/>
        </w:rPr>
        <w:tab/>
      </w:r>
      <w:r w:rsidRPr="00F10967">
        <w:rPr>
          <w:sz w:val="24"/>
          <w:szCs w:val="24"/>
        </w:rPr>
        <w:t xml:space="preserve">Complainant failed to meet the burden of proving Respondent </w:t>
      </w:r>
      <w:r>
        <w:rPr>
          <w:sz w:val="24"/>
          <w:szCs w:val="24"/>
        </w:rPr>
        <w:t>was in error to charge</w:t>
      </w:r>
      <w:r w:rsidRPr="00F10967">
        <w:rPr>
          <w:sz w:val="24"/>
          <w:szCs w:val="24"/>
        </w:rPr>
        <w:t xml:space="preserve"> Complainant for </w:t>
      </w:r>
      <w:r>
        <w:rPr>
          <w:sz w:val="24"/>
          <w:szCs w:val="24"/>
        </w:rPr>
        <w:t>service</w:t>
      </w:r>
      <w:r w:rsidRPr="00F10967">
        <w:rPr>
          <w:sz w:val="24"/>
          <w:szCs w:val="24"/>
        </w:rPr>
        <w:t xml:space="preserve"> </w:t>
      </w:r>
      <w:r w:rsidR="00667E32">
        <w:rPr>
          <w:sz w:val="24"/>
          <w:szCs w:val="24"/>
        </w:rPr>
        <w:t>the Tenant</w:t>
      </w:r>
      <w:r w:rsidR="005D552B">
        <w:rPr>
          <w:sz w:val="24"/>
          <w:szCs w:val="24"/>
        </w:rPr>
        <w:t xml:space="preserve"> </w:t>
      </w:r>
      <w:r w:rsidR="005D552B" w:rsidRPr="005D552B">
        <w:rPr>
          <w:sz w:val="24"/>
          <w:szCs w:val="24"/>
        </w:rPr>
        <w:t>used</w:t>
      </w:r>
      <w:r w:rsidR="006F5E49">
        <w:rPr>
          <w:sz w:val="24"/>
          <w:szCs w:val="24"/>
        </w:rPr>
        <w:t xml:space="preserve"> and for not terminating electric service to </w:t>
      </w:r>
      <w:r w:rsidR="00667E32">
        <w:rPr>
          <w:sz w:val="24"/>
          <w:szCs w:val="24"/>
        </w:rPr>
        <w:t>the</w:t>
      </w:r>
      <w:r w:rsidR="00846E0F">
        <w:rPr>
          <w:sz w:val="24"/>
          <w:szCs w:val="24"/>
        </w:rPr>
        <w:t xml:space="preserve"> </w:t>
      </w:r>
      <w:r w:rsidR="00667E32">
        <w:rPr>
          <w:sz w:val="24"/>
          <w:szCs w:val="24"/>
        </w:rPr>
        <w:t>Tenant</w:t>
      </w:r>
      <w:r w:rsidR="006F5E49">
        <w:rPr>
          <w:sz w:val="24"/>
          <w:szCs w:val="24"/>
        </w:rPr>
        <w:t xml:space="preserve"> for non-payment</w:t>
      </w:r>
      <w:r w:rsidRPr="005D552B">
        <w:rPr>
          <w:sz w:val="24"/>
          <w:szCs w:val="24"/>
        </w:rPr>
        <w:t xml:space="preserve">.  </w:t>
      </w:r>
      <w:proofErr w:type="gramStart"/>
      <w:r w:rsidR="005D552B" w:rsidRPr="005D552B">
        <w:rPr>
          <w:sz w:val="24"/>
          <w:szCs w:val="24"/>
        </w:rPr>
        <w:t xml:space="preserve">66 </w:t>
      </w:r>
      <w:proofErr w:type="spellStart"/>
      <w:r w:rsidR="005D552B" w:rsidRPr="005D552B">
        <w:rPr>
          <w:sz w:val="24"/>
          <w:szCs w:val="24"/>
        </w:rPr>
        <w:t>Pa.C.S.A</w:t>
      </w:r>
      <w:proofErr w:type="spellEnd"/>
      <w:r w:rsidR="005D552B" w:rsidRPr="005D552B">
        <w:rPr>
          <w:sz w:val="24"/>
          <w:szCs w:val="24"/>
        </w:rPr>
        <w:t>.</w:t>
      </w:r>
      <w:proofErr w:type="gramEnd"/>
      <w:r w:rsidR="005D552B" w:rsidRPr="005D552B">
        <w:rPr>
          <w:sz w:val="24"/>
          <w:szCs w:val="24"/>
        </w:rPr>
        <w:t xml:space="preserve"> § 332(a).</w:t>
      </w:r>
    </w:p>
    <w:p w:rsidR="007C5990" w:rsidRDefault="007C5990" w:rsidP="00B6308C">
      <w:pPr>
        <w:spacing w:line="360" w:lineRule="auto"/>
        <w:jc w:val="center"/>
        <w:rPr>
          <w:u w:val="single"/>
        </w:rPr>
      </w:pPr>
    </w:p>
    <w:p w:rsidR="001F7198" w:rsidRPr="00B73D10" w:rsidRDefault="001F7198" w:rsidP="001F7198">
      <w:pPr>
        <w:jc w:val="center"/>
        <w:rPr>
          <w:u w:val="single"/>
        </w:rPr>
      </w:pPr>
      <w:r w:rsidRPr="00B73D10">
        <w:rPr>
          <w:u w:val="single"/>
        </w:rPr>
        <w:t>ORDER</w:t>
      </w:r>
    </w:p>
    <w:p w:rsidR="001F7198" w:rsidRPr="00B73D10" w:rsidRDefault="001F7198" w:rsidP="001F7198">
      <w:pPr>
        <w:jc w:val="center"/>
      </w:pPr>
    </w:p>
    <w:p w:rsidR="001F7198" w:rsidRDefault="001F7198" w:rsidP="001F7198"/>
    <w:p w:rsidR="00577E3F" w:rsidRDefault="00577E3F" w:rsidP="001F7198"/>
    <w:p w:rsidR="001F7198" w:rsidRDefault="001F7198" w:rsidP="001F7198">
      <w:r w:rsidRPr="00B73D10">
        <w:tab/>
      </w:r>
      <w:r w:rsidRPr="00B73D10">
        <w:tab/>
        <w:t>THEREFORE,</w:t>
      </w:r>
    </w:p>
    <w:p w:rsidR="00577E3F" w:rsidRPr="00B73D10" w:rsidRDefault="00577E3F" w:rsidP="001F7198"/>
    <w:p w:rsidR="001F7198" w:rsidRPr="00B73D10" w:rsidRDefault="001F7198" w:rsidP="001F7198"/>
    <w:p w:rsidR="001F7198" w:rsidRPr="00ED1D67" w:rsidRDefault="001F7198" w:rsidP="001F7198">
      <w:r w:rsidRPr="00B73D10">
        <w:tab/>
      </w:r>
      <w:r w:rsidRPr="00ED1D67">
        <w:tab/>
        <w:t>IT IS ORDERED:</w:t>
      </w:r>
    </w:p>
    <w:p w:rsidR="001F7198" w:rsidRDefault="001F7198" w:rsidP="001F7198">
      <w:pPr>
        <w:tabs>
          <w:tab w:val="num" w:pos="2160"/>
        </w:tabs>
        <w:ind w:firstLine="1440"/>
        <w:outlineLvl w:val="0"/>
      </w:pPr>
    </w:p>
    <w:p w:rsidR="00577E3F" w:rsidRPr="00ED1D67" w:rsidRDefault="00577E3F" w:rsidP="001F7198">
      <w:pPr>
        <w:tabs>
          <w:tab w:val="num" w:pos="2160"/>
        </w:tabs>
        <w:ind w:firstLine="1440"/>
        <w:outlineLvl w:val="0"/>
      </w:pPr>
    </w:p>
    <w:p w:rsidR="001F7198" w:rsidRDefault="001F7198" w:rsidP="001F7198">
      <w:pPr>
        <w:pStyle w:val="ListParagraph"/>
        <w:numPr>
          <w:ilvl w:val="0"/>
          <w:numId w:val="12"/>
        </w:numPr>
        <w:spacing w:line="360" w:lineRule="auto"/>
        <w:ind w:left="0" w:firstLine="1440"/>
        <w:contextualSpacing w:val="0"/>
        <w:outlineLvl w:val="0"/>
      </w:pPr>
      <w:r w:rsidRPr="00ED1D67">
        <w:t xml:space="preserve">That the </w:t>
      </w:r>
      <w:r w:rsidR="00824FDC">
        <w:t>formal complaint</w:t>
      </w:r>
      <w:r w:rsidRPr="00ED1D67">
        <w:t xml:space="preserve"> filed by </w:t>
      </w:r>
      <w:r w:rsidR="000216BC">
        <w:t xml:space="preserve">Robin </w:t>
      </w:r>
      <w:proofErr w:type="spellStart"/>
      <w:r w:rsidR="000216BC">
        <w:t>Mariani</w:t>
      </w:r>
      <w:proofErr w:type="spellEnd"/>
      <w:r w:rsidRPr="00ED1D67">
        <w:t xml:space="preserve"> against </w:t>
      </w:r>
      <w:r w:rsidR="000216BC">
        <w:t>PECO Electric Company</w:t>
      </w:r>
      <w:r w:rsidRPr="00ED1D67">
        <w:t xml:space="preserve"> at Docket No. C-</w:t>
      </w:r>
      <w:r w:rsidR="000216BC">
        <w:t>2014-240</w:t>
      </w:r>
      <w:r w:rsidR="00E859EE">
        <w:t>6209</w:t>
      </w:r>
      <w:r w:rsidRPr="00ED1D67">
        <w:t xml:space="preserve"> is </w:t>
      </w:r>
      <w:r w:rsidR="00824FDC">
        <w:t>denied</w:t>
      </w:r>
      <w:r w:rsidRPr="00ED1D67">
        <w:t xml:space="preserve">.  </w:t>
      </w:r>
    </w:p>
    <w:p w:rsidR="001F7198" w:rsidRDefault="001F7198" w:rsidP="003A0598">
      <w:pPr>
        <w:pStyle w:val="ListParagraph"/>
        <w:spacing w:line="360" w:lineRule="auto"/>
        <w:ind w:left="1440"/>
        <w:contextualSpacing w:val="0"/>
        <w:outlineLvl w:val="0"/>
      </w:pPr>
    </w:p>
    <w:p w:rsidR="00824FDC" w:rsidRPr="00ED1D67" w:rsidRDefault="001F7198" w:rsidP="00824FDC">
      <w:pPr>
        <w:pStyle w:val="ListParagraph"/>
        <w:numPr>
          <w:ilvl w:val="0"/>
          <w:numId w:val="12"/>
        </w:numPr>
        <w:spacing w:line="360" w:lineRule="auto"/>
        <w:ind w:left="0" w:firstLine="1440"/>
        <w:contextualSpacing w:val="0"/>
        <w:outlineLvl w:val="0"/>
      </w:pPr>
      <w:r>
        <w:t xml:space="preserve">That </w:t>
      </w:r>
      <w:r w:rsidRPr="00ED1D67">
        <w:t xml:space="preserve">the </w:t>
      </w:r>
      <w:r w:rsidR="00824FDC">
        <w:t xml:space="preserve">Secretary </w:t>
      </w:r>
      <w:proofErr w:type="gramStart"/>
      <w:r w:rsidR="00824FDC">
        <w:t>mark</w:t>
      </w:r>
      <w:proofErr w:type="gramEnd"/>
      <w:r w:rsidR="00824FDC">
        <w:t xml:space="preserve"> the docket closed</w:t>
      </w:r>
      <w:r w:rsidR="006D377A">
        <w:t>.</w:t>
      </w:r>
    </w:p>
    <w:p w:rsidR="001F7198" w:rsidRPr="00ED1D67" w:rsidRDefault="001F7198" w:rsidP="00824FDC">
      <w:pPr>
        <w:spacing w:line="360" w:lineRule="auto"/>
        <w:outlineLvl w:val="0"/>
      </w:pPr>
    </w:p>
    <w:p w:rsidR="001F7198" w:rsidRPr="00ED1D67" w:rsidRDefault="001F7198" w:rsidP="001F7198"/>
    <w:p w:rsidR="001F7198" w:rsidRDefault="001F7198" w:rsidP="001F7198"/>
    <w:p w:rsidR="00D163EB" w:rsidRPr="00ED1D67" w:rsidRDefault="00D163EB" w:rsidP="001F7198"/>
    <w:p w:rsidR="001F7198" w:rsidRDefault="001F7198" w:rsidP="001F7198">
      <w:r w:rsidRPr="00ED1D67">
        <w:t xml:space="preserve">Date:  </w:t>
      </w:r>
      <w:r w:rsidR="006F5E49">
        <w:rPr>
          <w:u w:val="single"/>
        </w:rPr>
        <w:t>August 28</w:t>
      </w:r>
      <w:r w:rsidRPr="00ED1D67">
        <w:rPr>
          <w:u w:val="single"/>
        </w:rPr>
        <w:t>, 2014</w:t>
      </w:r>
      <w:r w:rsidRPr="00ED1D67">
        <w:tab/>
      </w:r>
      <w:r w:rsidRPr="00ED1D67">
        <w:tab/>
      </w:r>
      <w:r w:rsidRPr="00ED1D67">
        <w:tab/>
      </w:r>
      <w:r w:rsidRPr="00ED1D67">
        <w:tab/>
      </w:r>
      <w:r>
        <w:tab/>
      </w:r>
      <w:r>
        <w:rPr>
          <w:u w:val="single"/>
        </w:rPr>
        <w:tab/>
      </w:r>
      <w:r>
        <w:rPr>
          <w:u w:val="single"/>
        </w:rPr>
        <w:tab/>
      </w:r>
      <w:r w:rsidRPr="00935C58">
        <w:rPr>
          <w:u w:val="single"/>
        </w:rPr>
        <w:t>/s/</w:t>
      </w:r>
      <w:r>
        <w:rPr>
          <w:u w:val="single"/>
        </w:rPr>
        <w:tab/>
      </w:r>
      <w:r>
        <w:rPr>
          <w:u w:val="single"/>
        </w:rPr>
        <w:tab/>
      </w:r>
      <w:r>
        <w:rPr>
          <w:u w:val="single"/>
        </w:rPr>
        <w:tab/>
      </w:r>
    </w:p>
    <w:p w:rsidR="001F7198" w:rsidRPr="00ED1D67" w:rsidRDefault="001F7198" w:rsidP="001F7198">
      <w:pPr>
        <w:rPr>
          <w:u w:val="single"/>
        </w:rPr>
      </w:pPr>
      <w:r w:rsidRPr="00ED1D67">
        <w:tab/>
      </w:r>
      <w:r w:rsidRPr="00ED1D67">
        <w:tab/>
      </w:r>
      <w:r w:rsidRPr="00ED1D67">
        <w:tab/>
      </w:r>
      <w:r w:rsidRPr="00ED1D67">
        <w:tab/>
      </w:r>
      <w:r w:rsidRPr="00ED1D67">
        <w:tab/>
      </w:r>
      <w:r w:rsidRPr="00ED1D67">
        <w:tab/>
      </w:r>
      <w:r w:rsidRPr="00ED1D67">
        <w:tab/>
      </w:r>
      <w:r w:rsidRPr="00ED1D67">
        <w:tab/>
        <w:t>Katrina L. Dunderdale</w:t>
      </w:r>
    </w:p>
    <w:p w:rsidR="001F7198" w:rsidRDefault="001F7198" w:rsidP="001F7198">
      <w:r w:rsidRPr="00ED1D67">
        <w:tab/>
      </w:r>
      <w:r w:rsidRPr="00ED1D67">
        <w:tab/>
      </w:r>
      <w:r w:rsidRPr="00B73D10">
        <w:tab/>
      </w:r>
      <w:r w:rsidRPr="00B73D10">
        <w:tab/>
      </w:r>
      <w:r w:rsidRPr="00B73D10">
        <w:tab/>
      </w:r>
      <w:r w:rsidRPr="00B73D10">
        <w:tab/>
      </w:r>
      <w:r w:rsidRPr="00B73D10">
        <w:tab/>
      </w:r>
      <w:r>
        <w:tab/>
      </w:r>
      <w:r w:rsidRPr="00B73D10">
        <w:t>Administrative Law Judge</w:t>
      </w:r>
    </w:p>
    <w:p w:rsidR="000E6AC8" w:rsidRPr="00DE5EB8" w:rsidRDefault="000E6AC8" w:rsidP="001F7198">
      <w:pPr>
        <w:spacing w:line="360" w:lineRule="auto"/>
        <w:jc w:val="center"/>
      </w:pPr>
    </w:p>
    <w:sectPr w:rsidR="000E6AC8" w:rsidRPr="00DE5EB8"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71" w:rsidRDefault="00AE1571">
      <w:r>
        <w:separator/>
      </w:r>
    </w:p>
  </w:endnote>
  <w:endnote w:type="continuationSeparator" w:id="0">
    <w:p w:rsidR="00AE1571" w:rsidRDefault="00AE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F010BF"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14242F" w:rsidRDefault="00F010BF"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293C62">
      <w:rPr>
        <w:rStyle w:val="PageNumber"/>
        <w:noProof/>
        <w:sz w:val="20"/>
        <w:szCs w:val="20"/>
      </w:rPr>
      <w:t>6</w:t>
    </w:r>
    <w:r w:rsidRPr="0014242F">
      <w:rPr>
        <w:rStyle w:val="PageNumber"/>
        <w:sz w:val="20"/>
        <w:szCs w:val="20"/>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71" w:rsidRDefault="00AE1571">
      <w:r>
        <w:separator/>
      </w:r>
    </w:p>
  </w:footnote>
  <w:footnote w:type="continuationSeparator" w:id="0">
    <w:p w:rsidR="00AE1571" w:rsidRDefault="00AE1571">
      <w:r>
        <w:continuationSeparator/>
      </w:r>
    </w:p>
  </w:footnote>
  <w:footnote w:id="1">
    <w:p w:rsidR="005F0F52" w:rsidRDefault="00846FA1" w:rsidP="005F0F52">
      <w:pPr>
        <w:pStyle w:val="FootnoteText"/>
        <w:ind w:firstLine="720"/>
      </w:pPr>
      <w:r>
        <w:rPr>
          <w:rStyle w:val="FootnoteReference"/>
        </w:rPr>
        <w:footnoteRef/>
      </w:r>
      <w:r>
        <w:t xml:space="preserve"> </w:t>
      </w:r>
      <w:r>
        <w:tab/>
        <w:t xml:space="preserve">See </w:t>
      </w:r>
      <w:proofErr w:type="gramStart"/>
      <w:r w:rsidR="00490E8B">
        <w:t xml:space="preserve">66 </w:t>
      </w:r>
      <w:proofErr w:type="spellStart"/>
      <w:r w:rsidR="00490E8B">
        <w:t>Pa.</w:t>
      </w:r>
      <w:r w:rsidRPr="004E7308">
        <w:t>C.S.</w:t>
      </w:r>
      <w:r w:rsidR="001607E8">
        <w:t>A</w:t>
      </w:r>
      <w:proofErr w:type="spellEnd"/>
      <w:proofErr w:type="gramEnd"/>
      <w:r w:rsidR="001607E8">
        <w:t>.</w:t>
      </w:r>
      <w:r w:rsidRPr="004E7308">
        <w:t xml:space="preserve"> §</w:t>
      </w:r>
      <w:r w:rsidR="00490E8B">
        <w:t xml:space="preserve"> </w:t>
      </w:r>
      <w:r w:rsidRPr="004E7308">
        <w:t>332(a).</w:t>
      </w:r>
    </w:p>
    <w:p w:rsidR="00D41AB9" w:rsidRDefault="00D41AB9" w:rsidP="005F0F52">
      <w:pPr>
        <w:pStyle w:val="FootnoteText"/>
        <w:ind w:firstLine="720"/>
      </w:pPr>
    </w:p>
  </w:footnote>
  <w:footnote w:id="2">
    <w:p w:rsidR="00846FA1" w:rsidRDefault="00846FA1" w:rsidP="005F0F52">
      <w:pPr>
        <w:pStyle w:val="FootnoteText"/>
        <w:ind w:firstLine="720"/>
      </w:pPr>
      <w:r>
        <w:rPr>
          <w:rStyle w:val="FootnoteReference"/>
        </w:rPr>
        <w:footnoteRef/>
      </w:r>
      <w:r>
        <w:t xml:space="preserve"> </w:t>
      </w:r>
      <w:r>
        <w:tab/>
      </w:r>
      <w:proofErr w:type="gramStart"/>
      <w:r>
        <w:t xml:space="preserve">See </w:t>
      </w:r>
      <w:r>
        <w:rPr>
          <w:u w:val="single"/>
        </w:rPr>
        <w:t xml:space="preserve">Norfolk </w:t>
      </w:r>
      <w:r w:rsidRPr="006E5FE7">
        <w:rPr>
          <w:u w:val="single"/>
        </w:rPr>
        <w:t>&amp; Western Ry. Company v. P</w:t>
      </w:r>
      <w:r w:rsidR="00490E8B">
        <w:rPr>
          <w:u w:val="single"/>
        </w:rPr>
        <w:t>a. Pub.</w:t>
      </w:r>
      <w:proofErr w:type="gramEnd"/>
      <w:r w:rsidR="00490E8B">
        <w:rPr>
          <w:u w:val="single"/>
        </w:rPr>
        <w:t xml:space="preserve"> </w:t>
      </w:r>
      <w:proofErr w:type="gramStart"/>
      <w:r w:rsidR="00490E8B">
        <w:rPr>
          <w:u w:val="single"/>
        </w:rPr>
        <w:t xml:space="preserve">Util. </w:t>
      </w:r>
      <w:proofErr w:type="spellStart"/>
      <w:r w:rsidR="00490E8B">
        <w:rPr>
          <w:u w:val="single"/>
        </w:rPr>
        <w:t>Comm’n</w:t>
      </w:r>
      <w:proofErr w:type="spellEnd"/>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480 A.2d 382 (</w:t>
      </w:r>
      <w:proofErr w:type="spellStart"/>
      <w:r w:rsidRPr="006E5FE7">
        <w:t>Pa.Cmwlth</w:t>
      </w:r>
      <w:proofErr w:type="spellEnd"/>
      <w:r w:rsidRPr="006E5FE7">
        <w:t>. 1984).</w:t>
      </w:r>
      <w:proofErr w:type="gramEnd"/>
    </w:p>
    <w:p w:rsidR="00467327" w:rsidRDefault="00467327" w:rsidP="005F0F52">
      <w:pPr>
        <w:pStyle w:val="FootnoteText"/>
        <w:ind w:firstLine="720"/>
      </w:pPr>
    </w:p>
  </w:footnote>
  <w:footnote w:id="3">
    <w:p w:rsidR="00666CCF" w:rsidRPr="00666CCF" w:rsidRDefault="00666CCF" w:rsidP="00666CCF">
      <w:pPr>
        <w:pStyle w:val="FootnoteText"/>
        <w:ind w:firstLine="720"/>
      </w:pPr>
      <w:r w:rsidRPr="00666CCF">
        <w:rPr>
          <w:rStyle w:val="FootnoteReference"/>
        </w:rPr>
        <w:footnoteRef/>
      </w:r>
      <w:r w:rsidRPr="00666CCF">
        <w:t xml:space="preserve"> </w:t>
      </w:r>
      <w:r w:rsidRPr="00666CCF">
        <w:tab/>
        <w:t xml:space="preserve">Docket No. </w:t>
      </w:r>
      <w:proofErr w:type="gramStart"/>
      <w:r w:rsidRPr="00666CCF">
        <w:t>Z-00223698 (Order entered September 1, 1994).</w:t>
      </w:r>
      <w:proofErr w:type="gramEnd"/>
    </w:p>
  </w:footnote>
  <w:footnote w:id="4">
    <w:p w:rsidR="00666CCF" w:rsidRPr="00666CCF" w:rsidRDefault="00666CCF">
      <w:pPr>
        <w:pStyle w:val="FootnoteText"/>
      </w:pPr>
    </w:p>
    <w:p w:rsidR="00666CCF" w:rsidRPr="00666CCF" w:rsidRDefault="00666CCF" w:rsidP="00666CCF">
      <w:pPr>
        <w:pStyle w:val="FootnoteText"/>
        <w:ind w:firstLine="720"/>
      </w:pPr>
      <w:r w:rsidRPr="00666CCF">
        <w:rPr>
          <w:rStyle w:val="FootnoteReference"/>
        </w:rPr>
        <w:footnoteRef/>
      </w:r>
      <w:r w:rsidRPr="00666CCF">
        <w:t xml:space="preserve"> </w:t>
      </w:r>
      <w:r w:rsidRPr="00666CCF">
        <w:tab/>
        <w:t xml:space="preserve">Docket No. </w:t>
      </w:r>
      <w:proofErr w:type="gramStart"/>
      <w:r w:rsidRPr="00666CCF">
        <w:t>C-00967757 (Order entered August 7, 1997).</w:t>
      </w:r>
      <w:proofErr w:type="gramEnd"/>
    </w:p>
  </w:footnote>
  <w:footnote w:id="5">
    <w:p w:rsidR="00666CCF" w:rsidRPr="00666CCF" w:rsidRDefault="00666CCF">
      <w:pPr>
        <w:pStyle w:val="FootnoteText"/>
      </w:pPr>
    </w:p>
    <w:p w:rsidR="00666CCF" w:rsidRPr="00666CCF" w:rsidRDefault="00666CCF" w:rsidP="00666CCF">
      <w:pPr>
        <w:pStyle w:val="FootnoteText"/>
        <w:ind w:firstLine="720"/>
      </w:pPr>
      <w:r w:rsidRPr="00666CCF">
        <w:rPr>
          <w:rStyle w:val="FootnoteReference"/>
        </w:rPr>
        <w:footnoteRef/>
      </w:r>
      <w:r w:rsidRPr="00666CCF">
        <w:t xml:space="preserve"> </w:t>
      </w:r>
      <w:r w:rsidRPr="00666CCF">
        <w:tab/>
        <w:t xml:space="preserve">Docket No. C-00014708 (Order entered </w:t>
      </w:r>
      <w:smartTag w:uri="urn:schemas-microsoft-com:office:smarttags" w:element="date">
        <w:smartTagPr>
          <w:attr w:name="Month" w:val="10"/>
          <w:attr w:name="Day" w:val="31"/>
          <w:attr w:name="Year" w:val="2001"/>
        </w:smartTagPr>
        <w:r w:rsidRPr="00666CCF">
          <w:t>October 31, 2001</w:t>
        </w:r>
      </w:smartTag>
      <w:r w:rsidRPr="00666CCF">
        <w:t>).</w:t>
      </w:r>
    </w:p>
  </w:footnote>
  <w:footnote w:id="6">
    <w:p w:rsidR="00666CCF" w:rsidRPr="00666CCF" w:rsidRDefault="00666CCF">
      <w:pPr>
        <w:pStyle w:val="FootnoteText"/>
      </w:pPr>
    </w:p>
    <w:p w:rsidR="00666CCF" w:rsidRPr="00666CCF" w:rsidRDefault="00666CCF" w:rsidP="00666CCF">
      <w:pPr>
        <w:pStyle w:val="FootnoteText"/>
        <w:ind w:firstLine="720"/>
      </w:pPr>
      <w:r w:rsidRPr="00666CCF">
        <w:rPr>
          <w:rStyle w:val="FootnoteReference"/>
        </w:rPr>
        <w:footnoteRef/>
      </w:r>
      <w:r w:rsidRPr="00666CCF">
        <w:t xml:space="preserve"> </w:t>
      </w:r>
      <w:r w:rsidRPr="00666CCF">
        <w:tab/>
        <w:t xml:space="preserve">See </w:t>
      </w:r>
      <w:r w:rsidRPr="00666CCF">
        <w:rPr>
          <w:spacing w:val="-3"/>
          <w:u w:val="single"/>
        </w:rPr>
        <w:t xml:space="preserve">Jill and Joel </w:t>
      </w:r>
      <w:proofErr w:type="spellStart"/>
      <w:r w:rsidRPr="00666CCF">
        <w:rPr>
          <w:spacing w:val="-3"/>
          <w:u w:val="single"/>
        </w:rPr>
        <w:t>Haimes</w:t>
      </w:r>
      <w:proofErr w:type="spellEnd"/>
      <w:r w:rsidRPr="00666CCF">
        <w:rPr>
          <w:spacing w:val="-3"/>
          <w:u w:val="single"/>
        </w:rPr>
        <w:t xml:space="preserve"> v. PPL Electric Utilities Corporation</w:t>
      </w:r>
      <w:r w:rsidRPr="00666CCF">
        <w:rPr>
          <w:spacing w:val="-3"/>
        </w:rPr>
        <w:t>, F-02201447 (Initial Decision dated January 23, 2008).</w:t>
      </w:r>
    </w:p>
  </w:footnote>
  <w:footnote w:id="7">
    <w:p w:rsidR="00666CCF" w:rsidRPr="00666CCF" w:rsidRDefault="00666CCF">
      <w:pPr>
        <w:pStyle w:val="FootnoteText"/>
      </w:pPr>
    </w:p>
    <w:p w:rsidR="00666CCF" w:rsidRDefault="00666CCF" w:rsidP="00666CCF">
      <w:pPr>
        <w:pStyle w:val="FootnoteText"/>
        <w:ind w:firstLine="720"/>
      </w:pPr>
      <w:r w:rsidRPr="00666CCF">
        <w:rPr>
          <w:rStyle w:val="FootnoteReference"/>
        </w:rPr>
        <w:footnoteRef/>
      </w:r>
      <w:r w:rsidRPr="00666CCF">
        <w:t xml:space="preserve"> </w:t>
      </w:r>
      <w:r w:rsidRPr="00666CCF">
        <w:tab/>
        <w:t>Docket No. C-20054687 (Order entered July 3, 2006).</w:t>
      </w:r>
    </w:p>
    <w:p w:rsidR="00C656F6" w:rsidRPr="00666CCF" w:rsidRDefault="00C656F6" w:rsidP="00666CCF">
      <w:pPr>
        <w:pStyle w:val="FootnoteText"/>
        <w:ind w:firstLine="720"/>
      </w:pPr>
    </w:p>
  </w:footnote>
  <w:footnote w:id="8">
    <w:p w:rsidR="00666CCF" w:rsidRDefault="00666CCF" w:rsidP="00666CCF">
      <w:pPr>
        <w:pStyle w:val="FootnoteText"/>
        <w:ind w:firstLine="720"/>
      </w:pPr>
      <w:r>
        <w:rPr>
          <w:rStyle w:val="FootnoteReference"/>
        </w:rPr>
        <w:footnoteRef/>
      </w:r>
      <w:r>
        <w:t xml:space="preserve"> </w:t>
      </w:r>
      <w:r>
        <w:tab/>
      </w:r>
      <w:r w:rsidRPr="00A62A93">
        <w:rPr>
          <w:szCs w:val="24"/>
        </w:rPr>
        <w:t>Docket No. Z-01464793, (Order entered September 13, 2005)</w:t>
      </w:r>
      <w:r>
        <w:rPr>
          <w:szCs w:val="24"/>
        </w:rPr>
        <w:t>.</w:t>
      </w:r>
    </w:p>
  </w:footnote>
  <w:footnote w:id="9">
    <w:p w:rsidR="00DF0F98" w:rsidRDefault="00DF0F98">
      <w:pPr>
        <w:pStyle w:val="FootnoteText"/>
      </w:pPr>
    </w:p>
    <w:p w:rsidR="00DF0F98" w:rsidRDefault="00DF0F98" w:rsidP="00DF0F98">
      <w:pPr>
        <w:pStyle w:val="FootnoteText"/>
        <w:ind w:firstLine="720"/>
      </w:pPr>
      <w:r>
        <w:rPr>
          <w:rStyle w:val="FootnoteReference"/>
        </w:rPr>
        <w:footnoteRef/>
      </w:r>
      <w:r>
        <w:t xml:space="preserve"> </w:t>
      </w:r>
      <w:r>
        <w:tab/>
      </w:r>
      <w:r w:rsidRPr="00A62A93">
        <w:rPr>
          <w:szCs w:val="24"/>
        </w:rPr>
        <w:t>Docket No. C-2008-2056428 (Order entered May 21, 2010)</w:t>
      </w:r>
      <w:r>
        <w:rPr>
          <w:szCs w:val="24"/>
        </w:rPr>
        <w:t>.</w:t>
      </w:r>
    </w:p>
  </w:footnote>
  <w:footnote w:id="10">
    <w:p w:rsidR="00DF0F98" w:rsidRDefault="00DF0F98">
      <w:pPr>
        <w:pStyle w:val="FootnoteText"/>
      </w:pPr>
    </w:p>
    <w:p w:rsidR="00DF0F98" w:rsidRDefault="00DF0F98" w:rsidP="00DF0F98">
      <w:pPr>
        <w:pStyle w:val="FootnoteText"/>
        <w:ind w:firstLine="720"/>
      </w:pPr>
      <w:r>
        <w:rPr>
          <w:rStyle w:val="FootnoteReference"/>
        </w:rPr>
        <w:footnoteRef/>
      </w:r>
      <w:r>
        <w:t xml:space="preserve"> </w:t>
      </w:r>
      <w:r>
        <w:tab/>
      </w:r>
      <w:r w:rsidRPr="00A62A93">
        <w:rPr>
          <w:szCs w:val="24"/>
        </w:rPr>
        <w:t>Docket No. C</w:t>
      </w:r>
      <w:r w:rsidRPr="00A62A93">
        <w:rPr>
          <w:szCs w:val="24"/>
        </w:rPr>
        <w:noBreakHyphen/>
        <w:t>20055547 (Order entered April 9, 2008)</w:t>
      </w:r>
      <w:r>
        <w:rPr>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05007AB"/>
    <w:multiLevelType w:val="hybridMultilevel"/>
    <w:tmpl w:val="A5425946"/>
    <w:lvl w:ilvl="0" w:tplc="CA8E5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1"/>
  </w:num>
  <w:num w:numId="6">
    <w:abstractNumId w:val="5"/>
  </w:num>
  <w:num w:numId="7">
    <w:abstractNumId w:val="10"/>
  </w:num>
  <w:num w:numId="8">
    <w:abstractNumId w:val="2"/>
  </w:num>
  <w:num w:numId="9">
    <w:abstractNumId w:val="11"/>
  </w:num>
  <w:num w:numId="10">
    <w:abstractNumId w:val="8"/>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933"/>
    <w:rsid w:val="000033E9"/>
    <w:rsid w:val="00004E8B"/>
    <w:rsid w:val="00005217"/>
    <w:rsid w:val="000127A1"/>
    <w:rsid w:val="00014CD9"/>
    <w:rsid w:val="00015E77"/>
    <w:rsid w:val="000202E4"/>
    <w:rsid w:val="00020B78"/>
    <w:rsid w:val="000216BC"/>
    <w:rsid w:val="000218E1"/>
    <w:rsid w:val="00023CF5"/>
    <w:rsid w:val="00025610"/>
    <w:rsid w:val="0002562B"/>
    <w:rsid w:val="00030EFC"/>
    <w:rsid w:val="00032447"/>
    <w:rsid w:val="0003254A"/>
    <w:rsid w:val="0003345F"/>
    <w:rsid w:val="00033BEB"/>
    <w:rsid w:val="00034D3C"/>
    <w:rsid w:val="0003581E"/>
    <w:rsid w:val="00036E7E"/>
    <w:rsid w:val="0003750C"/>
    <w:rsid w:val="0004246D"/>
    <w:rsid w:val="00042684"/>
    <w:rsid w:val="00042C4A"/>
    <w:rsid w:val="00047CF1"/>
    <w:rsid w:val="0005083D"/>
    <w:rsid w:val="00050D6D"/>
    <w:rsid w:val="00051FFD"/>
    <w:rsid w:val="000522FF"/>
    <w:rsid w:val="0005269F"/>
    <w:rsid w:val="000539E5"/>
    <w:rsid w:val="00053A88"/>
    <w:rsid w:val="000566F5"/>
    <w:rsid w:val="00057494"/>
    <w:rsid w:val="0006370C"/>
    <w:rsid w:val="00064E1B"/>
    <w:rsid w:val="00065B67"/>
    <w:rsid w:val="00066099"/>
    <w:rsid w:val="00067DC6"/>
    <w:rsid w:val="00073A29"/>
    <w:rsid w:val="00075534"/>
    <w:rsid w:val="0008157D"/>
    <w:rsid w:val="00081604"/>
    <w:rsid w:val="00081933"/>
    <w:rsid w:val="00085428"/>
    <w:rsid w:val="00086D0E"/>
    <w:rsid w:val="000876AA"/>
    <w:rsid w:val="00091392"/>
    <w:rsid w:val="00091434"/>
    <w:rsid w:val="000919E3"/>
    <w:rsid w:val="00092268"/>
    <w:rsid w:val="0009237C"/>
    <w:rsid w:val="00094316"/>
    <w:rsid w:val="00094EC4"/>
    <w:rsid w:val="00095A48"/>
    <w:rsid w:val="00097F70"/>
    <w:rsid w:val="000A46F6"/>
    <w:rsid w:val="000A547A"/>
    <w:rsid w:val="000A7A7E"/>
    <w:rsid w:val="000A7B01"/>
    <w:rsid w:val="000A7DE2"/>
    <w:rsid w:val="000B0443"/>
    <w:rsid w:val="000B12EC"/>
    <w:rsid w:val="000B1450"/>
    <w:rsid w:val="000B2586"/>
    <w:rsid w:val="000B4044"/>
    <w:rsid w:val="000B4217"/>
    <w:rsid w:val="000B575F"/>
    <w:rsid w:val="000B7480"/>
    <w:rsid w:val="000C0C94"/>
    <w:rsid w:val="000C1980"/>
    <w:rsid w:val="000C22D0"/>
    <w:rsid w:val="000C4FB0"/>
    <w:rsid w:val="000C6105"/>
    <w:rsid w:val="000C639E"/>
    <w:rsid w:val="000C6633"/>
    <w:rsid w:val="000C736C"/>
    <w:rsid w:val="000D0A5A"/>
    <w:rsid w:val="000D20FB"/>
    <w:rsid w:val="000D332F"/>
    <w:rsid w:val="000D4E83"/>
    <w:rsid w:val="000D74CE"/>
    <w:rsid w:val="000D7D68"/>
    <w:rsid w:val="000E0DDA"/>
    <w:rsid w:val="000E33AA"/>
    <w:rsid w:val="000E46DE"/>
    <w:rsid w:val="000E4C15"/>
    <w:rsid w:val="000E4D29"/>
    <w:rsid w:val="000E52DA"/>
    <w:rsid w:val="000E6AC8"/>
    <w:rsid w:val="000F0F3C"/>
    <w:rsid w:val="000F45A3"/>
    <w:rsid w:val="000F4D6B"/>
    <w:rsid w:val="000F62C4"/>
    <w:rsid w:val="000F746C"/>
    <w:rsid w:val="0010040A"/>
    <w:rsid w:val="00101320"/>
    <w:rsid w:val="00103215"/>
    <w:rsid w:val="00103B9D"/>
    <w:rsid w:val="0010437D"/>
    <w:rsid w:val="00104453"/>
    <w:rsid w:val="00106746"/>
    <w:rsid w:val="001130C8"/>
    <w:rsid w:val="001140BC"/>
    <w:rsid w:val="001161AA"/>
    <w:rsid w:val="0011669D"/>
    <w:rsid w:val="0011788E"/>
    <w:rsid w:val="00117B44"/>
    <w:rsid w:val="0012141F"/>
    <w:rsid w:val="00121625"/>
    <w:rsid w:val="00121AE5"/>
    <w:rsid w:val="0012397B"/>
    <w:rsid w:val="0012478B"/>
    <w:rsid w:val="00125933"/>
    <w:rsid w:val="00125CCD"/>
    <w:rsid w:val="00126827"/>
    <w:rsid w:val="00130536"/>
    <w:rsid w:val="00130E27"/>
    <w:rsid w:val="0013299A"/>
    <w:rsid w:val="00133462"/>
    <w:rsid w:val="001339E0"/>
    <w:rsid w:val="00133A47"/>
    <w:rsid w:val="00133B41"/>
    <w:rsid w:val="001354D6"/>
    <w:rsid w:val="00137307"/>
    <w:rsid w:val="001375AA"/>
    <w:rsid w:val="00141A74"/>
    <w:rsid w:val="00142A80"/>
    <w:rsid w:val="00143FA7"/>
    <w:rsid w:val="00144748"/>
    <w:rsid w:val="001513EC"/>
    <w:rsid w:val="00152853"/>
    <w:rsid w:val="00153358"/>
    <w:rsid w:val="00153E19"/>
    <w:rsid w:val="00156938"/>
    <w:rsid w:val="00156A90"/>
    <w:rsid w:val="001579F8"/>
    <w:rsid w:val="001607E8"/>
    <w:rsid w:val="00161DD4"/>
    <w:rsid w:val="001651EC"/>
    <w:rsid w:val="00165400"/>
    <w:rsid w:val="0016541B"/>
    <w:rsid w:val="001656A4"/>
    <w:rsid w:val="00166791"/>
    <w:rsid w:val="00166F22"/>
    <w:rsid w:val="00167534"/>
    <w:rsid w:val="00167CDD"/>
    <w:rsid w:val="00167FFC"/>
    <w:rsid w:val="00174847"/>
    <w:rsid w:val="001802CA"/>
    <w:rsid w:val="0018210B"/>
    <w:rsid w:val="00182E52"/>
    <w:rsid w:val="00182EDA"/>
    <w:rsid w:val="00182F15"/>
    <w:rsid w:val="0018379D"/>
    <w:rsid w:val="00183ABD"/>
    <w:rsid w:val="00183AE1"/>
    <w:rsid w:val="00185EF9"/>
    <w:rsid w:val="00190C84"/>
    <w:rsid w:val="00192495"/>
    <w:rsid w:val="00195561"/>
    <w:rsid w:val="001961FE"/>
    <w:rsid w:val="00196E40"/>
    <w:rsid w:val="00197647"/>
    <w:rsid w:val="001A10B8"/>
    <w:rsid w:val="001A3D01"/>
    <w:rsid w:val="001A7B2A"/>
    <w:rsid w:val="001B02AE"/>
    <w:rsid w:val="001B3B0D"/>
    <w:rsid w:val="001B436F"/>
    <w:rsid w:val="001B4966"/>
    <w:rsid w:val="001C3008"/>
    <w:rsid w:val="001C4EBC"/>
    <w:rsid w:val="001C5AD4"/>
    <w:rsid w:val="001C5F76"/>
    <w:rsid w:val="001C69B3"/>
    <w:rsid w:val="001C75AE"/>
    <w:rsid w:val="001C77BD"/>
    <w:rsid w:val="001D1DC6"/>
    <w:rsid w:val="001D5E87"/>
    <w:rsid w:val="001D67F3"/>
    <w:rsid w:val="001D6F49"/>
    <w:rsid w:val="001D7070"/>
    <w:rsid w:val="001D79FF"/>
    <w:rsid w:val="001E0B58"/>
    <w:rsid w:val="001E2C24"/>
    <w:rsid w:val="001E6E72"/>
    <w:rsid w:val="001E724B"/>
    <w:rsid w:val="001E7F1E"/>
    <w:rsid w:val="001F030C"/>
    <w:rsid w:val="001F2DB0"/>
    <w:rsid w:val="001F41BB"/>
    <w:rsid w:val="001F44B8"/>
    <w:rsid w:val="001F4B49"/>
    <w:rsid w:val="001F501B"/>
    <w:rsid w:val="001F7198"/>
    <w:rsid w:val="00200ED0"/>
    <w:rsid w:val="00205CC7"/>
    <w:rsid w:val="00206B04"/>
    <w:rsid w:val="002075E6"/>
    <w:rsid w:val="0020778C"/>
    <w:rsid w:val="00210334"/>
    <w:rsid w:val="00210460"/>
    <w:rsid w:val="00210556"/>
    <w:rsid w:val="00212D2D"/>
    <w:rsid w:val="00212F30"/>
    <w:rsid w:val="00214A19"/>
    <w:rsid w:val="002154B5"/>
    <w:rsid w:val="00216A05"/>
    <w:rsid w:val="0022141F"/>
    <w:rsid w:val="00223A5B"/>
    <w:rsid w:val="00230A7F"/>
    <w:rsid w:val="00230C81"/>
    <w:rsid w:val="0023235E"/>
    <w:rsid w:val="00236778"/>
    <w:rsid w:val="002379B2"/>
    <w:rsid w:val="0024228E"/>
    <w:rsid w:val="00244AD1"/>
    <w:rsid w:val="00244F10"/>
    <w:rsid w:val="00251BBF"/>
    <w:rsid w:val="002520A5"/>
    <w:rsid w:val="00253D1F"/>
    <w:rsid w:val="00254BFC"/>
    <w:rsid w:val="00254FD1"/>
    <w:rsid w:val="0025557F"/>
    <w:rsid w:val="00255813"/>
    <w:rsid w:val="002562E9"/>
    <w:rsid w:val="00256651"/>
    <w:rsid w:val="0026028F"/>
    <w:rsid w:val="0026257D"/>
    <w:rsid w:val="00263EFE"/>
    <w:rsid w:val="00265108"/>
    <w:rsid w:val="0026526F"/>
    <w:rsid w:val="002661BC"/>
    <w:rsid w:val="00271E72"/>
    <w:rsid w:val="00271FF1"/>
    <w:rsid w:val="00277379"/>
    <w:rsid w:val="00280380"/>
    <w:rsid w:val="00280AF0"/>
    <w:rsid w:val="00283A3F"/>
    <w:rsid w:val="002867AD"/>
    <w:rsid w:val="0029002C"/>
    <w:rsid w:val="002904BB"/>
    <w:rsid w:val="002906C3"/>
    <w:rsid w:val="00291636"/>
    <w:rsid w:val="00291917"/>
    <w:rsid w:val="00293C62"/>
    <w:rsid w:val="00295403"/>
    <w:rsid w:val="00296B64"/>
    <w:rsid w:val="002A31F6"/>
    <w:rsid w:val="002A4A91"/>
    <w:rsid w:val="002A788C"/>
    <w:rsid w:val="002A78AC"/>
    <w:rsid w:val="002B39BF"/>
    <w:rsid w:val="002B433A"/>
    <w:rsid w:val="002B4996"/>
    <w:rsid w:val="002B4DFA"/>
    <w:rsid w:val="002C703F"/>
    <w:rsid w:val="002C71EE"/>
    <w:rsid w:val="002C7AB0"/>
    <w:rsid w:val="002D154F"/>
    <w:rsid w:val="002D29E7"/>
    <w:rsid w:val="002D5376"/>
    <w:rsid w:val="002E2B6E"/>
    <w:rsid w:val="002E49A8"/>
    <w:rsid w:val="002E597B"/>
    <w:rsid w:val="002E5A74"/>
    <w:rsid w:val="002E5BB0"/>
    <w:rsid w:val="002E6B15"/>
    <w:rsid w:val="002F490A"/>
    <w:rsid w:val="002F4F6F"/>
    <w:rsid w:val="002F6CA8"/>
    <w:rsid w:val="002F6DFB"/>
    <w:rsid w:val="00302C62"/>
    <w:rsid w:val="00302D41"/>
    <w:rsid w:val="003057F2"/>
    <w:rsid w:val="00307FF8"/>
    <w:rsid w:val="00311588"/>
    <w:rsid w:val="003121E7"/>
    <w:rsid w:val="00321EBE"/>
    <w:rsid w:val="00324C80"/>
    <w:rsid w:val="00324D8E"/>
    <w:rsid w:val="00325F65"/>
    <w:rsid w:val="00326C73"/>
    <w:rsid w:val="003307EF"/>
    <w:rsid w:val="00330B01"/>
    <w:rsid w:val="00331721"/>
    <w:rsid w:val="0033183D"/>
    <w:rsid w:val="003360F0"/>
    <w:rsid w:val="00337340"/>
    <w:rsid w:val="0034231B"/>
    <w:rsid w:val="00342B49"/>
    <w:rsid w:val="00342E95"/>
    <w:rsid w:val="00343D42"/>
    <w:rsid w:val="0034410D"/>
    <w:rsid w:val="00345DC7"/>
    <w:rsid w:val="0034692A"/>
    <w:rsid w:val="00350142"/>
    <w:rsid w:val="003603C7"/>
    <w:rsid w:val="00360ACF"/>
    <w:rsid w:val="00360EB9"/>
    <w:rsid w:val="003648F3"/>
    <w:rsid w:val="003649AC"/>
    <w:rsid w:val="00364DC3"/>
    <w:rsid w:val="0036614C"/>
    <w:rsid w:val="003678A1"/>
    <w:rsid w:val="00370128"/>
    <w:rsid w:val="00370B2D"/>
    <w:rsid w:val="00371933"/>
    <w:rsid w:val="00371AEC"/>
    <w:rsid w:val="00372F6B"/>
    <w:rsid w:val="00373245"/>
    <w:rsid w:val="00373AC6"/>
    <w:rsid w:val="0037694C"/>
    <w:rsid w:val="003776D7"/>
    <w:rsid w:val="00380103"/>
    <w:rsid w:val="00380F4B"/>
    <w:rsid w:val="00381A78"/>
    <w:rsid w:val="00382CE0"/>
    <w:rsid w:val="00382EDB"/>
    <w:rsid w:val="00383CED"/>
    <w:rsid w:val="003854D1"/>
    <w:rsid w:val="00386C1C"/>
    <w:rsid w:val="00387E50"/>
    <w:rsid w:val="003908EE"/>
    <w:rsid w:val="00391096"/>
    <w:rsid w:val="00394A82"/>
    <w:rsid w:val="00394B1F"/>
    <w:rsid w:val="00396CA9"/>
    <w:rsid w:val="003A0598"/>
    <w:rsid w:val="003A0D6B"/>
    <w:rsid w:val="003A551E"/>
    <w:rsid w:val="003A55A7"/>
    <w:rsid w:val="003A7566"/>
    <w:rsid w:val="003B40DA"/>
    <w:rsid w:val="003B7783"/>
    <w:rsid w:val="003C13E7"/>
    <w:rsid w:val="003C181D"/>
    <w:rsid w:val="003C3510"/>
    <w:rsid w:val="003C417D"/>
    <w:rsid w:val="003C7776"/>
    <w:rsid w:val="003D374F"/>
    <w:rsid w:val="003D3992"/>
    <w:rsid w:val="003D3E20"/>
    <w:rsid w:val="003D500A"/>
    <w:rsid w:val="003D5173"/>
    <w:rsid w:val="003D54E7"/>
    <w:rsid w:val="003D67D8"/>
    <w:rsid w:val="003E20E4"/>
    <w:rsid w:val="003E2BB0"/>
    <w:rsid w:val="003E2D32"/>
    <w:rsid w:val="003E4EFE"/>
    <w:rsid w:val="003E60E7"/>
    <w:rsid w:val="003E7584"/>
    <w:rsid w:val="003F1BC1"/>
    <w:rsid w:val="003F36D7"/>
    <w:rsid w:val="003F3929"/>
    <w:rsid w:val="003F418C"/>
    <w:rsid w:val="003F5065"/>
    <w:rsid w:val="003F56DB"/>
    <w:rsid w:val="003F66F1"/>
    <w:rsid w:val="003F6E27"/>
    <w:rsid w:val="003F7F46"/>
    <w:rsid w:val="0040125C"/>
    <w:rsid w:val="00405D70"/>
    <w:rsid w:val="00415E18"/>
    <w:rsid w:val="0041637D"/>
    <w:rsid w:val="004201C6"/>
    <w:rsid w:val="00421585"/>
    <w:rsid w:val="004219BD"/>
    <w:rsid w:val="00424046"/>
    <w:rsid w:val="004247B1"/>
    <w:rsid w:val="00424E02"/>
    <w:rsid w:val="00424E72"/>
    <w:rsid w:val="004267EE"/>
    <w:rsid w:val="00430437"/>
    <w:rsid w:val="004306FB"/>
    <w:rsid w:val="00430739"/>
    <w:rsid w:val="00431FA9"/>
    <w:rsid w:val="004322BD"/>
    <w:rsid w:val="00436F72"/>
    <w:rsid w:val="00440B6B"/>
    <w:rsid w:val="00441628"/>
    <w:rsid w:val="004455C4"/>
    <w:rsid w:val="004475E5"/>
    <w:rsid w:val="00447E82"/>
    <w:rsid w:val="004536D5"/>
    <w:rsid w:val="004624EF"/>
    <w:rsid w:val="00462770"/>
    <w:rsid w:val="0046290B"/>
    <w:rsid w:val="004635FD"/>
    <w:rsid w:val="00464A8D"/>
    <w:rsid w:val="0046513E"/>
    <w:rsid w:val="00465667"/>
    <w:rsid w:val="00465878"/>
    <w:rsid w:val="004661FD"/>
    <w:rsid w:val="0046652F"/>
    <w:rsid w:val="0046716A"/>
    <w:rsid w:val="00467327"/>
    <w:rsid w:val="00470AFC"/>
    <w:rsid w:val="00471A85"/>
    <w:rsid w:val="0047283C"/>
    <w:rsid w:val="00474C53"/>
    <w:rsid w:val="00476080"/>
    <w:rsid w:val="004777DC"/>
    <w:rsid w:val="00483A4C"/>
    <w:rsid w:val="004851CD"/>
    <w:rsid w:val="00487513"/>
    <w:rsid w:val="00487AE0"/>
    <w:rsid w:val="00490E8B"/>
    <w:rsid w:val="004970DA"/>
    <w:rsid w:val="00497A4D"/>
    <w:rsid w:val="00497F61"/>
    <w:rsid w:val="004A26B6"/>
    <w:rsid w:val="004A6673"/>
    <w:rsid w:val="004B2C3D"/>
    <w:rsid w:val="004B34C6"/>
    <w:rsid w:val="004B422F"/>
    <w:rsid w:val="004B4B53"/>
    <w:rsid w:val="004B4C8B"/>
    <w:rsid w:val="004B6FAD"/>
    <w:rsid w:val="004C0146"/>
    <w:rsid w:val="004C05A7"/>
    <w:rsid w:val="004C27D5"/>
    <w:rsid w:val="004C2B63"/>
    <w:rsid w:val="004C2F4A"/>
    <w:rsid w:val="004C5FA9"/>
    <w:rsid w:val="004C6202"/>
    <w:rsid w:val="004D07CB"/>
    <w:rsid w:val="004D3A14"/>
    <w:rsid w:val="004D454A"/>
    <w:rsid w:val="004D6DDC"/>
    <w:rsid w:val="004D75D5"/>
    <w:rsid w:val="004D7E2F"/>
    <w:rsid w:val="004E01BD"/>
    <w:rsid w:val="004E0BE2"/>
    <w:rsid w:val="004E3B20"/>
    <w:rsid w:val="004E3E03"/>
    <w:rsid w:val="004E4252"/>
    <w:rsid w:val="004E47CC"/>
    <w:rsid w:val="004E605F"/>
    <w:rsid w:val="004E7475"/>
    <w:rsid w:val="004E76C5"/>
    <w:rsid w:val="004F27CD"/>
    <w:rsid w:val="004F3D00"/>
    <w:rsid w:val="004F40E1"/>
    <w:rsid w:val="004F42F8"/>
    <w:rsid w:val="004F6CC3"/>
    <w:rsid w:val="0050181E"/>
    <w:rsid w:val="00502E11"/>
    <w:rsid w:val="0050497A"/>
    <w:rsid w:val="00504A1A"/>
    <w:rsid w:val="00507E5B"/>
    <w:rsid w:val="00507ECF"/>
    <w:rsid w:val="00510646"/>
    <w:rsid w:val="00517217"/>
    <w:rsid w:val="00521DF6"/>
    <w:rsid w:val="00522985"/>
    <w:rsid w:val="00524004"/>
    <w:rsid w:val="005243F8"/>
    <w:rsid w:val="00526435"/>
    <w:rsid w:val="005267BB"/>
    <w:rsid w:val="0052746D"/>
    <w:rsid w:val="005310E5"/>
    <w:rsid w:val="005317C7"/>
    <w:rsid w:val="005326CD"/>
    <w:rsid w:val="00532876"/>
    <w:rsid w:val="00532900"/>
    <w:rsid w:val="0053390E"/>
    <w:rsid w:val="005352B0"/>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59A8"/>
    <w:rsid w:val="00557326"/>
    <w:rsid w:val="00563142"/>
    <w:rsid w:val="005637DF"/>
    <w:rsid w:val="00563FC3"/>
    <w:rsid w:val="005641C8"/>
    <w:rsid w:val="00574344"/>
    <w:rsid w:val="005763CB"/>
    <w:rsid w:val="005766A1"/>
    <w:rsid w:val="00577567"/>
    <w:rsid w:val="00577E3F"/>
    <w:rsid w:val="00580981"/>
    <w:rsid w:val="00580D5E"/>
    <w:rsid w:val="0058201B"/>
    <w:rsid w:val="005900D4"/>
    <w:rsid w:val="0059029B"/>
    <w:rsid w:val="00590669"/>
    <w:rsid w:val="00590E0C"/>
    <w:rsid w:val="00591B22"/>
    <w:rsid w:val="00592A87"/>
    <w:rsid w:val="0059370D"/>
    <w:rsid w:val="0059631D"/>
    <w:rsid w:val="00597B28"/>
    <w:rsid w:val="00597FAB"/>
    <w:rsid w:val="005A3E08"/>
    <w:rsid w:val="005A49D6"/>
    <w:rsid w:val="005A6C63"/>
    <w:rsid w:val="005A742F"/>
    <w:rsid w:val="005A77D0"/>
    <w:rsid w:val="005A7ABE"/>
    <w:rsid w:val="005B0283"/>
    <w:rsid w:val="005B1AF7"/>
    <w:rsid w:val="005B47D9"/>
    <w:rsid w:val="005B5C0D"/>
    <w:rsid w:val="005B5C87"/>
    <w:rsid w:val="005B64BD"/>
    <w:rsid w:val="005B6BC1"/>
    <w:rsid w:val="005C146E"/>
    <w:rsid w:val="005C1BB9"/>
    <w:rsid w:val="005C3225"/>
    <w:rsid w:val="005C32F7"/>
    <w:rsid w:val="005C715B"/>
    <w:rsid w:val="005C7ED8"/>
    <w:rsid w:val="005C7F1B"/>
    <w:rsid w:val="005D03F4"/>
    <w:rsid w:val="005D2B9F"/>
    <w:rsid w:val="005D376C"/>
    <w:rsid w:val="005D4345"/>
    <w:rsid w:val="005D552B"/>
    <w:rsid w:val="005D673D"/>
    <w:rsid w:val="005D71F9"/>
    <w:rsid w:val="005D7228"/>
    <w:rsid w:val="005E1CC5"/>
    <w:rsid w:val="005E636D"/>
    <w:rsid w:val="005E6DB5"/>
    <w:rsid w:val="005F0F52"/>
    <w:rsid w:val="005F1CCE"/>
    <w:rsid w:val="005F69FE"/>
    <w:rsid w:val="00600EE9"/>
    <w:rsid w:val="00602A48"/>
    <w:rsid w:val="0060359F"/>
    <w:rsid w:val="006056E2"/>
    <w:rsid w:val="006069AE"/>
    <w:rsid w:val="00607DB2"/>
    <w:rsid w:val="0061304D"/>
    <w:rsid w:val="00613AE9"/>
    <w:rsid w:val="00616E73"/>
    <w:rsid w:val="00616FE9"/>
    <w:rsid w:val="00617C29"/>
    <w:rsid w:val="006220FF"/>
    <w:rsid w:val="0062342F"/>
    <w:rsid w:val="0062354B"/>
    <w:rsid w:val="00624D89"/>
    <w:rsid w:val="00625517"/>
    <w:rsid w:val="0062694F"/>
    <w:rsid w:val="00626C8E"/>
    <w:rsid w:val="0063324D"/>
    <w:rsid w:val="00633976"/>
    <w:rsid w:val="00633E89"/>
    <w:rsid w:val="0063487E"/>
    <w:rsid w:val="00634FE8"/>
    <w:rsid w:val="00636266"/>
    <w:rsid w:val="006404F9"/>
    <w:rsid w:val="00641052"/>
    <w:rsid w:val="00642EE9"/>
    <w:rsid w:val="00645FE8"/>
    <w:rsid w:val="00651134"/>
    <w:rsid w:val="006515DB"/>
    <w:rsid w:val="00651AB0"/>
    <w:rsid w:val="00653830"/>
    <w:rsid w:val="00653FDE"/>
    <w:rsid w:val="006552C8"/>
    <w:rsid w:val="0065686C"/>
    <w:rsid w:val="00656D84"/>
    <w:rsid w:val="00664032"/>
    <w:rsid w:val="00664A51"/>
    <w:rsid w:val="00664FC3"/>
    <w:rsid w:val="006663CA"/>
    <w:rsid w:val="00666CCF"/>
    <w:rsid w:val="0066791C"/>
    <w:rsid w:val="00667E32"/>
    <w:rsid w:val="00672685"/>
    <w:rsid w:val="00674304"/>
    <w:rsid w:val="00674B93"/>
    <w:rsid w:val="006771E3"/>
    <w:rsid w:val="006772A2"/>
    <w:rsid w:val="00681B94"/>
    <w:rsid w:val="00682B76"/>
    <w:rsid w:val="006831D7"/>
    <w:rsid w:val="00685256"/>
    <w:rsid w:val="006869B5"/>
    <w:rsid w:val="00691778"/>
    <w:rsid w:val="00691FDA"/>
    <w:rsid w:val="00692E3E"/>
    <w:rsid w:val="00694153"/>
    <w:rsid w:val="006954BC"/>
    <w:rsid w:val="006A0714"/>
    <w:rsid w:val="006A3061"/>
    <w:rsid w:val="006B0612"/>
    <w:rsid w:val="006B25F1"/>
    <w:rsid w:val="006B2DFE"/>
    <w:rsid w:val="006B2F6F"/>
    <w:rsid w:val="006B3C06"/>
    <w:rsid w:val="006B3E61"/>
    <w:rsid w:val="006B50E8"/>
    <w:rsid w:val="006B629F"/>
    <w:rsid w:val="006B7DE7"/>
    <w:rsid w:val="006C13BF"/>
    <w:rsid w:val="006C24C1"/>
    <w:rsid w:val="006C7D49"/>
    <w:rsid w:val="006D0C36"/>
    <w:rsid w:val="006D2CFC"/>
    <w:rsid w:val="006D2E25"/>
    <w:rsid w:val="006D2F3E"/>
    <w:rsid w:val="006D3697"/>
    <w:rsid w:val="006D377A"/>
    <w:rsid w:val="006D38B1"/>
    <w:rsid w:val="006D68C8"/>
    <w:rsid w:val="006E05AE"/>
    <w:rsid w:val="006E0E78"/>
    <w:rsid w:val="006E12A1"/>
    <w:rsid w:val="006E175B"/>
    <w:rsid w:val="006E5341"/>
    <w:rsid w:val="006E59A8"/>
    <w:rsid w:val="006E5FE7"/>
    <w:rsid w:val="006F1E0C"/>
    <w:rsid w:val="006F2A0A"/>
    <w:rsid w:val="006F2B28"/>
    <w:rsid w:val="006F2B77"/>
    <w:rsid w:val="006F44D4"/>
    <w:rsid w:val="006F55AC"/>
    <w:rsid w:val="006F5E49"/>
    <w:rsid w:val="006F5FE7"/>
    <w:rsid w:val="006F60DA"/>
    <w:rsid w:val="006F6154"/>
    <w:rsid w:val="006F6520"/>
    <w:rsid w:val="006F6FB4"/>
    <w:rsid w:val="006F7393"/>
    <w:rsid w:val="00700704"/>
    <w:rsid w:val="00700E85"/>
    <w:rsid w:val="00702303"/>
    <w:rsid w:val="00705F42"/>
    <w:rsid w:val="00710B17"/>
    <w:rsid w:val="00710CE3"/>
    <w:rsid w:val="0071171E"/>
    <w:rsid w:val="007121EF"/>
    <w:rsid w:val="0071351A"/>
    <w:rsid w:val="00715712"/>
    <w:rsid w:val="0071586C"/>
    <w:rsid w:val="007172D2"/>
    <w:rsid w:val="007177FF"/>
    <w:rsid w:val="00720288"/>
    <w:rsid w:val="00723E29"/>
    <w:rsid w:val="00724325"/>
    <w:rsid w:val="007272A7"/>
    <w:rsid w:val="00732CDD"/>
    <w:rsid w:val="00734377"/>
    <w:rsid w:val="00734AEF"/>
    <w:rsid w:val="00734BAB"/>
    <w:rsid w:val="00736DBA"/>
    <w:rsid w:val="0073725A"/>
    <w:rsid w:val="007402C5"/>
    <w:rsid w:val="00740BC6"/>
    <w:rsid w:val="00741D6F"/>
    <w:rsid w:val="00744725"/>
    <w:rsid w:val="0074730A"/>
    <w:rsid w:val="00747D0A"/>
    <w:rsid w:val="00750C0C"/>
    <w:rsid w:val="007516D0"/>
    <w:rsid w:val="00751CE0"/>
    <w:rsid w:val="00752EAE"/>
    <w:rsid w:val="00753A3F"/>
    <w:rsid w:val="00754C9E"/>
    <w:rsid w:val="00754EEB"/>
    <w:rsid w:val="00754FD3"/>
    <w:rsid w:val="007550F3"/>
    <w:rsid w:val="00756656"/>
    <w:rsid w:val="00757A01"/>
    <w:rsid w:val="00762EB0"/>
    <w:rsid w:val="00764246"/>
    <w:rsid w:val="00766B36"/>
    <w:rsid w:val="00766D86"/>
    <w:rsid w:val="0077037F"/>
    <w:rsid w:val="00772165"/>
    <w:rsid w:val="0077260D"/>
    <w:rsid w:val="00772949"/>
    <w:rsid w:val="00772CFC"/>
    <w:rsid w:val="00773EDE"/>
    <w:rsid w:val="007751FB"/>
    <w:rsid w:val="00776077"/>
    <w:rsid w:val="007767D5"/>
    <w:rsid w:val="00776CD8"/>
    <w:rsid w:val="00777957"/>
    <w:rsid w:val="0078110D"/>
    <w:rsid w:val="00783095"/>
    <w:rsid w:val="0078373B"/>
    <w:rsid w:val="00784F1D"/>
    <w:rsid w:val="0078572A"/>
    <w:rsid w:val="00785AF3"/>
    <w:rsid w:val="0079328F"/>
    <w:rsid w:val="007939B6"/>
    <w:rsid w:val="00794F1B"/>
    <w:rsid w:val="007952E7"/>
    <w:rsid w:val="007A32D3"/>
    <w:rsid w:val="007A35F8"/>
    <w:rsid w:val="007A40D1"/>
    <w:rsid w:val="007A547D"/>
    <w:rsid w:val="007A5552"/>
    <w:rsid w:val="007B3113"/>
    <w:rsid w:val="007B4DE2"/>
    <w:rsid w:val="007B6775"/>
    <w:rsid w:val="007B6B0E"/>
    <w:rsid w:val="007C1CA9"/>
    <w:rsid w:val="007C1F39"/>
    <w:rsid w:val="007C404E"/>
    <w:rsid w:val="007C5990"/>
    <w:rsid w:val="007C631A"/>
    <w:rsid w:val="007C7AA3"/>
    <w:rsid w:val="007C7AC8"/>
    <w:rsid w:val="007D2958"/>
    <w:rsid w:val="007D2DA0"/>
    <w:rsid w:val="007D7914"/>
    <w:rsid w:val="007D79D2"/>
    <w:rsid w:val="007D7F7F"/>
    <w:rsid w:val="007E5847"/>
    <w:rsid w:val="007E5EA0"/>
    <w:rsid w:val="007E78C1"/>
    <w:rsid w:val="007E7B4E"/>
    <w:rsid w:val="007F02A4"/>
    <w:rsid w:val="007F479E"/>
    <w:rsid w:val="007F4E21"/>
    <w:rsid w:val="00801B41"/>
    <w:rsid w:val="008037BB"/>
    <w:rsid w:val="00805B97"/>
    <w:rsid w:val="00806E0D"/>
    <w:rsid w:val="008116CE"/>
    <w:rsid w:val="00813E05"/>
    <w:rsid w:val="00815BCB"/>
    <w:rsid w:val="008167F3"/>
    <w:rsid w:val="00816D2C"/>
    <w:rsid w:val="00817DF9"/>
    <w:rsid w:val="0082129E"/>
    <w:rsid w:val="00821749"/>
    <w:rsid w:val="0082186F"/>
    <w:rsid w:val="00823FCA"/>
    <w:rsid w:val="00824890"/>
    <w:rsid w:val="00824FDC"/>
    <w:rsid w:val="00825D6C"/>
    <w:rsid w:val="00826CBC"/>
    <w:rsid w:val="00834060"/>
    <w:rsid w:val="0083502A"/>
    <w:rsid w:val="00836070"/>
    <w:rsid w:val="00840B18"/>
    <w:rsid w:val="008418FC"/>
    <w:rsid w:val="008433E3"/>
    <w:rsid w:val="0084410C"/>
    <w:rsid w:val="00846E0F"/>
    <w:rsid w:val="00846FA1"/>
    <w:rsid w:val="008502CE"/>
    <w:rsid w:val="0085780E"/>
    <w:rsid w:val="00857BC8"/>
    <w:rsid w:val="00861625"/>
    <w:rsid w:val="008618BE"/>
    <w:rsid w:val="00861DA4"/>
    <w:rsid w:val="00861DF9"/>
    <w:rsid w:val="00862D6B"/>
    <w:rsid w:val="00863CD4"/>
    <w:rsid w:val="0086498E"/>
    <w:rsid w:val="00864EB7"/>
    <w:rsid w:val="00865DA7"/>
    <w:rsid w:val="0086657E"/>
    <w:rsid w:val="00867F55"/>
    <w:rsid w:val="00873D8A"/>
    <w:rsid w:val="00885088"/>
    <w:rsid w:val="008853DF"/>
    <w:rsid w:val="00891035"/>
    <w:rsid w:val="008918D9"/>
    <w:rsid w:val="008927B5"/>
    <w:rsid w:val="00892EA3"/>
    <w:rsid w:val="00897203"/>
    <w:rsid w:val="008A150E"/>
    <w:rsid w:val="008A28F8"/>
    <w:rsid w:val="008A3A67"/>
    <w:rsid w:val="008A5950"/>
    <w:rsid w:val="008A63E2"/>
    <w:rsid w:val="008A65D3"/>
    <w:rsid w:val="008B11CF"/>
    <w:rsid w:val="008B2613"/>
    <w:rsid w:val="008B2A54"/>
    <w:rsid w:val="008B3142"/>
    <w:rsid w:val="008B361F"/>
    <w:rsid w:val="008B37A1"/>
    <w:rsid w:val="008B445B"/>
    <w:rsid w:val="008B58B2"/>
    <w:rsid w:val="008B6587"/>
    <w:rsid w:val="008C17E6"/>
    <w:rsid w:val="008C3235"/>
    <w:rsid w:val="008C36F2"/>
    <w:rsid w:val="008D0326"/>
    <w:rsid w:val="008D0D31"/>
    <w:rsid w:val="008D6CA9"/>
    <w:rsid w:val="008D6E2C"/>
    <w:rsid w:val="008D7DC6"/>
    <w:rsid w:val="008E09C6"/>
    <w:rsid w:val="008E0E89"/>
    <w:rsid w:val="008E4FD6"/>
    <w:rsid w:val="008E5C99"/>
    <w:rsid w:val="008E78BA"/>
    <w:rsid w:val="008F04A9"/>
    <w:rsid w:val="008F0933"/>
    <w:rsid w:val="008F1BD1"/>
    <w:rsid w:val="008F4EF2"/>
    <w:rsid w:val="008F54D4"/>
    <w:rsid w:val="008F6C87"/>
    <w:rsid w:val="008F79A4"/>
    <w:rsid w:val="008F7C99"/>
    <w:rsid w:val="009001C9"/>
    <w:rsid w:val="00906FD4"/>
    <w:rsid w:val="009101FF"/>
    <w:rsid w:val="00910A53"/>
    <w:rsid w:val="009171D1"/>
    <w:rsid w:val="00917283"/>
    <w:rsid w:val="0092068A"/>
    <w:rsid w:val="009206CC"/>
    <w:rsid w:val="00921285"/>
    <w:rsid w:val="0092359B"/>
    <w:rsid w:val="009239E5"/>
    <w:rsid w:val="009252B2"/>
    <w:rsid w:val="009268A6"/>
    <w:rsid w:val="009310EE"/>
    <w:rsid w:val="00933485"/>
    <w:rsid w:val="0094142D"/>
    <w:rsid w:val="00941C92"/>
    <w:rsid w:val="00943CC8"/>
    <w:rsid w:val="00943E53"/>
    <w:rsid w:val="009445CA"/>
    <w:rsid w:val="00947B95"/>
    <w:rsid w:val="009560DC"/>
    <w:rsid w:val="009564A0"/>
    <w:rsid w:val="00961399"/>
    <w:rsid w:val="00962EE7"/>
    <w:rsid w:val="00963B49"/>
    <w:rsid w:val="0096442E"/>
    <w:rsid w:val="00966C36"/>
    <w:rsid w:val="00970027"/>
    <w:rsid w:val="00970B33"/>
    <w:rsid w:val="00970D4D"/>
    <w:rsid w:val="0097190A"/>
    <w:rsid w:val="009737DF"/>
    <w:rsid w:val="00974D2B"/>
    <w:rsid w:val="00975F45"/>
    <w:rsid w:val="009760CB"/>
    <w:rsid w:val="00980721"/>
    <w:rsid w:val="00980E47"/>
    <w:rsid w:val="009848F7"/>
    <w:rsid w:val="009863CF"/>
    <w:rsid w:val="009879C8"/>
    <w:rsid w:val="0099770A"/>
    <w:rsid w:val="00997723"/>
    <w:rsid w:val="009A16E0"/>
    <w:rsid w:val="009A2999"/>
    <w:rsid w:val="009A4E52"/>
    <w:rsid w:val="009A555A"/>
    <w:rsid w:val="009A5AF8"/>
    <w:rsid w:val="009A5F12"/>
    <w:rsid w:val="009A695A"/>
    <w:rsid w:val="009A6970"/>
    <w:rsid w:val="009A6D58"/>
    <w:rsid w:val="009B3AB9"/>
    <w:rsid w:val="009B446B"/>
    <w:rsid w:val="009B4685"/>
    <w:rsid w:val="009B7062"/>
    <w:rsid w:val="009C01A4"/>
    <w:rsid w:val="009C05E9"/>
    <w:rsid w:val="009C27D2"/>
    <w:rsid w:val="009C3132"/>
    <w:rsid w:val="009C4526"/>
    <w:rsid w:val="009C6CC4"/>
    <w:rsid w:val="009D11CA"/>
    <w:rsid w:val="009D227B"/>
    <w:rsid w:val="009D298E"/>
    <w:rsid w:val="009D2B65"/>
    <w:rsid w:val="009D2B67"/>
    <w:rsid w:val="009D47A5"/>
    <w:rsid w:val="009D6117"/>
    <w:rsid w:val="009D619B"/>
    <w:rsid w:val="009D69B6"/>
    <w:rsid w:val="009D76EB"/>
    <w:rsid w:val="009E1F99"/>
    <w:rsid w:val="009E43EC"/>
    <w:rsid w:val="009E6876"/>
    <w:rsid w:val="009F0D6C"/>
    <w:rsid w:val="009F19AE"/>
    <w:rsid w:val="009F38D7"/>
    <w:rsid w:val="009F6130"/>
    <w:rsid w:val="00A00793"/>
    <w:rsid w:val="00A03847"/>
    <w:rsid w:val="00A04076"/>
    <w:rsid w:val="00A06161"/>
    <w:rsid w:val="00A10010"/>
    <w:rsid w:val="00A10E1F"/>
    <w:rsid w:val="00A112F1"/>
    <w:rsid w:val="00A13BF8"/>
    <w:rsid w:val="00A15866"/>
    <w:rsid w:val="00A1697A"/>
    <w:rsid w:val="00A16D50"/>
    <w:rsid w:val="00A23CCA"/>
    <w:rsid w:val="00A24849"/>
    <w:rsid w:val="00A248FB"/>
    <w:rsid w:val="00A25147"/>
    <w:rsid w:val="00A26764"/>
    <w:rsid w:val="00A275B6"/>
    <w:rsid w:val="00A334E4"/>
    <w:rsid w:val="00A33DF5"/>
    <w:rsid w:val="00A3579E"/>
    <w:rsid w:val="00A36132"/>
    <w:rsid w:val="00A371F3"/>
    <w:rsid w:val="00A375F1"/>
    <w:rsid w:val="00A40462"/>
    <w:rsid w:val="00A4355E"/>
    <w:rsid w:val="00A46378"/>
    <w:rsid w:val="00A469B4"/>
    <w:rsid w:val="00A46AA1"/>
    <w:rsid w:val="00A50C50"/>
    <w:rsid w:val="00A511AD"/>
    <w:rsid w:val="00A52673"/>
    <w:rsid w:val="00A5362B"/>
    <w:rsid w:val="00A53CE2"/>
    <w:rsid w:val="00A55B86"/>
    <w:rsid w:val="00A55F7C"/>
    <w:rsid w:val="00A56C4D"/>
    <w:rsid w:val="00A63167"/>
    <w:rsid w:val="00A64429"/>
    <w:rsid w:val="00A656AE"/>
    <w:rsid w:val="00A66253"/>
    <w:rsid w:val="00A70B89"/>
    <w:rsid w:val="00A70C75"/>
    <w:rsid w:val="00A727FE"/>
    <w:rsid w:val="00A733A2"/>
    <w:rsid w:val="00A73F72"/>
    <w:rsid w:val="00A75D98"/>
    <w:rsid w:val="00A773D7"/>
    <w:rsid w:val="00A779F8"/>
    <w:rsid w:val="00A801E7"/>
    <w:rsid w:val="00A80C86"/>
    <w:rsid w:val="00A80D6E"/>
    <w:rsid w:val="00A80E4E"/>
    <w:rsid w:val="00A827D6"/>
    <w:rsid w:val="00A831C5"/>
    <w:rsid w:val="00A83AA3"/>
    <w:rsid w:val="00A83CBE"/>
    <w:rsid w:val="00A8413E"/>
    <w:rsid w:val="00A848BA"/>
    <w:rsid w:val="00A85958"/>
    <w:rsid w:val="00A867A9"/>
    <w:rsid w:val="00A86E3D"/>
    <w:rsid w:val="00A90000"/>
    <w:rsid w:val="00A90945"/>
    <w:rsid w:val="00A911C6"/>
    <w:rsid w:val="00A914E9"/>
    <w:rsid w:val="00A93EC0"/>
    <w:rsid w:val="00A94A48"/>
    <w:rsid w:val="00A94DFE"/>
    <w:rsid w:val="00A95877"/>
    <w:rsid w:val="00A96702"/>
    <w:rsid w:val="00AA140D"/>
    <w:rsid w:val="00AA1929"/>
    <w:rsid w:val="00AA26D2"/>
    <w:rsid w:val="00AA30C4"/>
    <w:rsid w:val="00AA4167"/>
    <w:rsid w:val="00AA6F36"/>
    <w:rsid w:val="00AA70E2"/>
    <w:rsid w:val="00AB0EB4"/>
    <w:rsid w:val="00AB2957"/>
    <w:rsid w:val="00AB30CF"/>
    <w:rsid w:val="00AB40A9"/>
    <w:rsid w:val="00AB71AC"/>
    <w:rsid w:val="00AC1113"/>
    <w:rsid w:val="00AC1F4C"/>
    <w:rsid w:val="00AC2F0F"/>
    <w:rsid w:val="00AC40E3"/>
    <w:rsid w:val="00AC51A1"/>
    <w:rsid w:val="00AC6067"/>
    <w:rsid w:val="00AC6682"/>
    <w:rsid w:val="00AC6745"/>
    <w:rsid w:val="00AD08FD"/>
    <w:rsid w:val="00AD253F"/>
    <w:rsid w:val="00AD4AB8"/>
    <w:rsid w:val="00AD6391"/>
    <w:rsid w:val="00AD75C9"/>
    <w:rsid w:val="00AD7DF2"/>
    <w:rsid w:val="00AE1571"/>
    <w:rsid w:val="00AE290D"/>
    <w:rsid w:val="00AE29F8"/>
    <w:rsid w:val="00AE3923"/>
    <w:rsid w:val="00AF0845"/>
    <w:rsid w:val="00AF192E"/>
    <w:rsid w:val="00AF4238"/>
    <w:rsid w:val="00AF5FC0"/>
    <w:rsid w:val="00AF63EA"/>
    <w:rsid w:val="00AF6A7C"/>
    <w:rsid w:val="00AF767F"/>
    <w:rsid w:val="00AF7E5D"/>
    <w:rsid w:val="00B0030E"/>
    <w:rsid w:val="00B00C4E"/>
    <w:rsid w:val="00B03D80"/>
    <w:rsid w:val="00B077C5"/>
    <w:rsid w:val="00B10688"/>
    <w:rsid w:val="00B1655F"/>
    <w:rsid w:val="00B16875"/>
    <w:rsid w:val="00B17CA2"/>
    <w:rsid w:val="00B219F2"/>
    <w:rsid w:val="00B23445"/>
    <w:rsid w:val="00B27242"/>
    <w:rsid w:val="00B317B3"/>
    <w:rsid w:val="00B31A0D"/>
    <w:rsid w:val="00B32B55"/>
    <w:rsid w:val="00B35CD3"/>
    <w:rsid w:val="00B36351"/>
    <w:rsid w:val="00B37F62"/>
    <w:rsid w:val="00B406E2"/>
    <w:rsid w:val="00B41879"/>
    <w:rsid w:val="00B41D82"/>
    <w:rsid w:val="00B428F4"/>
    <w:rsid w:val="00B43D51"/>
    <w:rsid w:val="00B45022"/>
    <w:rsid w:val="00B45B36"/>
    <w:rsid w:val="00B46636"/>
    <w:rsid w:val="00B46DE5"/>
    <w:rsid w:val="00B50814"/>
    <w:rsid w:val="00B5162C"/>
    <w:rsid w:val="00B54BD2"/>
    <w:rsid w:val="00B55C84"/>
    <w:rsid w:val="00B57081"/>
    <w:rsid w:val="00B57B60"/>
    <w:rsid w:val="00B609E7"/>
    <w:rsid w:val="00B60EB4"/>
    <w:rsid w:val="00B613EB"/>
    <w:rsid w:val="00B61643"/>
    <w:rsid w:val="00B62A84"/>
    <w:rsid w:val="00B6308C"/>
    <w:rsid w:val="00B65D37"/>
    <w:rsid w:val="00B66DDD"/>
    <w:rsid w:val="00B67B97"/>
    <w:rsid w:val="00B72BDF"/>
    <w:rsid w:val="00B7377B"/>
    <w:rsid w:val="00B81129"/>
    <w:rsid w:val="00B81FED"/>
    <w:rsid w:val="00B836C9"/>
    <w:rsid w:val="00B845F6"/>
    <w:rsid w:val="00B8521D"/>
    <w:rsid w:val="00B90DA8"/>
    <w:rsid w:val="00B91FFB"/>
    <w:rsid w:val="00B92C2C"/>
    <w:rsid w:val="00B93A31"/>
    <w:rsid w:val="00B93A4F"/>
    <w:rsid w:val="00B94A3E"/>
    <w:rsid w:val="00B94FFF"/>
    <w:rsid w:val="00B97985"/>
    <w:rsid w:val="00BA3DE1"/>
    <w:rsid w:val="00BA45E7"/>
    <w:rsid w:val="00BA4C2A"/>
    <w:rsid w:val="00BA5695"/>
    <w:rsid w:val="00BB036D"/>
    <w:rsid w:val="00BB13B5"/>
    <w:rsid w:val="00BB1FC4"/>
    <w:rsid w:val="00BB46FB"/>
    <w:rsid w:val="00BB70B3"/>
    <w:rsid w:val="00BB7D46"/>
    <w:rsid w:val="00BC12AB"/>
    <w:rsid w:val="00BC1B4F"/>
    <w:rsid w:val="00BC360E"/>
    <w:rsid w:val="00BC4327"/>
    <w:rsid w:val="00BC45EB"/>
    <w:rsid w:val="00BC6CA5"/>
    <w:rsid w:val="00BD0AD1"/>
    <w:rsid w:val="00BD24C2"/>
    <w:rsid w:val="00BD3085"/>
    <w:rsid w:val="00BD42B0"/>
    <w:rsid w:val="00BD6511"/>
    <w:rsid w:val="00BD76C8"/>
    <w:rsid w:val="00BE0FB3"/>
    <w:rsid w:val="00BE4F3A"/>
    <w:rsid w:val="00BE55BE"/>
    <w:rsid w:val="00BE5FCB"/>
    <w:rsid w:val="00BE6E3A"/>
    <w:rsid w:val="00BE723C"/>
    <w:rsid w:val="00BF13F5"/>
    <w:rsid w:val="00BF197B"/>
    <w:rsid w:val="00BF245D"/>
    <w:rsid w:val="00BF2526"/>
    <w:rsid w:val="00BF28AB"/>
    <w:rsid w:val="00BF3F2C"/>
    <w:rsid w:val="00C026BD"/>
    <w:rsid w:val="00C03541"/>
    <w:rsid w:val="00C03561"/>
    <w:rsid w:val="00C0376D"/>
    <w:rsid w:val="00C03919"/>
    <w:rsid w:val="00C04B76"/>
    <w:rsid w:val="00C04FBB"/>
    <w:rsid w:val="00C0572F"/>
    <w:rsid w:val="00C05989"/>
    <w:rsid w:val="00C06259"/>
    <w:rsid w:val="00C065C3"/>
    <w:rsid w:val="00C07C89"/>
    <w:rsid w:val="00C12C25"/>
    <w:rsid w:val="00C13DF0"/>
    <w:rsid w:val="00C14193"/>
    <w:rsid w:val="00C15A48"/>
    <w:rsid w:val="00C15D1F"/>
    <w:rsid w:val="00C16FA3"/>
    <w:rsid w:val="00C17325"/>
    <w:rsid w:val="00C17738"/>
    <w:rsid w:val="00C21FE9"/>
    <w:rsid w:val="00C2330B"/>
    <w:rsid w:val="00C235A9"/>
    <w:rsid w:val="00C23A79"/>
    <w:rsid w:val="00C23DE7"/>
    <w:rsid w:val="00C26323"/>
    <w:rsid w:val="00C2686C"/>
    <w:rsid w:val="00C30962"/>
    <w:rsid w:val="00C30D8F"/>
    <w:rsid w:val="00C3192D"/>
    <w:rsid w:val="00C31A29"/>
    <w:rsid w:val="00C330CB"/>
    <w:rsid w:val="00C3358D"/>
    <w:rsid w:val="00C33F0E"/>
    <w:rsid w:val="00C36921"/>
    <w:rsid w:val="00C36D97"/>
    <w:rsid w:val="00C378D0"/>
    <w:rsid w:val="00C37FDB"/>
    <w:rsid w:val="00C40364"/>
    <w:rsid w:val="00C40744"/>
    <w:rsid w:val="00C419F6"/>
    <w:rsid w:val="00C42477"/>
    <w:rsid w:val="00C450EE"/>
    <w:rsid w:val="00C45F56"/>
    <w:rsid w:val="00C4740C"/>
    <w:rsid w:val="00C4785F"/>
    <w:rsid w:val="00C537D3"/>
    <w:rsid w:val="00C61317"/>
    <w:rsid w:val="00C655E8"/>
    <w:rsid w:val="00C656F6"/>
    <w:rsid w:val="00C67834"/>
    <w:rsid w:val="00C67E0E"/>
    <w:rsid w:val="00C7117A"/>
    <w:rsid w:val="00C74183"/>
    <w:rsid w:val="00C75FFA"/>
    <w:rsid w:val="00C76C95"/>
    <w:rsid w:val="00C77A59"/>
    <w:rsid w:val="00C800CB"/>
    <w:rsid w:val="00C803A5"/>
    <w:rsid w:val="00C80DF6"/>
    <w:rsid w:val="00C82C14"/>
    <w:rsid w:val="00C83FB9"/>
    <w:rsid w:val="00C85078"/>
    <w:rsid w:val="00C85889"/>
    <w:rsid w:val="00C862F8"/>
    <w:rsid w:val="00C908DB"/>
    <w:rsid w:val="00C91831"/>
    <w:rsid w:val="00C931B6"/>
    <w:rsid w:val="00C93B23"/>
    <w:rsid w:val="00C96AEA"/>
    <w:rsid w:val="00CA0FA9"/>
    <w:rsid w:val="00CA13E9"/>
    <w:rsid w:val="00CA37B5"/>
    <w:rsid w:val="00CA4712"/>
    <w:rsid w:val="00CA4819"/>
    <w:rsid w:val="00CA5746"/>
    <w:rsid w:val="00CA57BA"/>
    <w:rsid w:val="00CB10B6"/>
    <w:rsid w:val="00CB420E"/>
    <w:rsid w:val="00CB54CC"/>
    <w:rsid w:val="00CB6D43"/>
    <w:rsid w:val="00CB7EF0"/>
    <w:rsid w:val="00CC069F"/>
    <w:rsid w:val="00CC1042"/>
    <w:rsid w:val="00CC28E8"/>
    <w:rsid w:val="00CC3494"/>
    <w:rsid w:val="00CC3D15"/>
    <w:rsid w:val="00CD43F3"/>
    <w:rsid w:val="00CD4B61"/>
    <w:rsid w:val="00CD4ED5"/>
    <w:rsid w:val="00CD53CA"/>
    <w:rsid w:val="00CD5641"/>
    <w:rsid w:val="00CD6092"/>
    <w:rsid w:val="00CD64FF"/>
    <w:rsid w:val="00CE0915"/>
    <w:rsid w:val="00CE1628"/>
    <w:rsid w:val="00CE4399"/>
    <w:rsid w:val="00CE78B1"/>
    <w:rsid w:val="00CE7C12"/>
    <w:rsid w:val="00CF54D1"/>
    <w:rsid w:val="00CF7DA0"/>
    <w:rsid w:val="00CF7FD0"/>
    <w:rsid w:val="00D010F1"/>
    <w:rsid w:val="00D01109"/>
    <w:rsid w:val="00D06971"/>
    <w:rsid w:val="00D06B34"/>
    <w:rsid w:val="00D07B5C"/>
    <w:rsid w:val="00D07E03"/>
    <w:rsid w:val="00D11E0E"/>
    <w:rsid w:val="00D13BDB"/>
    <w:rsid w:val="00D163EB"/>
    <w:rsid w:val="00D16CD8"/>
    <w:rsid w:val="00D22A37"/>
    <w:rsid w:val="00D2354E"/>
    <w:rsid w:val="00D23617"/>
    <w:rsid w:val="00D2383E"/>
    <w:rsid w:val="00D27A8A"/>
    <w:rsid w:val="00D3288D"/>
    <w:rsid w:val="00D336EE"/>
    <w:rsid w:val="00D354FD"/>
    <w:rsid w:val="00D3570E"/>
    <w:rsid w:val="00D37974"/>
    <w:rsid w:val="00D40D19"/>
    <w:rsid w:val="00D41241"/>
    <w:rsid w:val="00D41A38"/>
    <w:rsid w:val="00D41AB9"/>
    <w:rsid w:val="00D41CEB"/>
    <w:rsid w:val="00D422B1"/>
    <w:rsid w:val="00D45250"/>
    <w:rsid w:val="00D45488"/>
    <w:rsid w:val="00D467C6"/>
    <w:rsid w:val="00D54567"/>
    <w:rsid w:val="00D65464"/>
    <w:rsid w:val="00D654B3"/>
    <w:rsid w:val="00D65923"/>
    <w:rsid w:val="00D65D16"/>
    <w:rsid w:val="00D66AFA"/>
    <w:rsid w:val="00D761B6"/>
    <w:rsid w:val="00D76D1C"/>
    <w:rsid w:val="00D77727"/>
    <w:rsid w:val="00D838A7"/>
    <w:rsid w:val="00D85A3F"/>
    <w:rsid w:val="00D868FB"/>
    <w:rsid w:val="00D86C43"/>
    <w:rsid w:val="00D86FEA"/>
    <w:rsid w:val="00D933B7"/>
    <w:rsid w:val="00D93CB5"/>
    <w:rsid w:val="00D94038"/>
    <w:rsid w:val="00DA0510"/>
    <w:rsid w:val="00DA430D"/>
    <w:rsid w:val="00DA5163"/>
    <w:rsid w:val="00DA66D7"/>
    <w:rsid w:val="00DB192A"/>
    <w:rsid w:val="00DB1985"/>
    <w:rsid w:val="00DB40BF"/>
    <w:rsid w:val="00DB66FD"/>
    <w:rsid w:val="00DB7463"/>
    <w:rsid w:val="00DC297D"/>
    <w:rsid w:val="00DC30DD"/>
    <w:rsid w:val="00DC3243"/>
    <w:rsid w:val="00DC62B5"/>
    <w:rsid w:val="00DC6899"/>
    <w:rsid w:val="00DC6EA0"/>
    <w:rsid w:val="00DD020B"/>
    <w:rsid w:val="00DD1CF3"/>
    <w:rsid w:val="00DD2547"/>
    <w:rsid w:val="00DD511F"/>
    <w:rsid w:val="00DD6739"/>
    <w:rsid w:val="00DD6D12"/>
    <w:rsid w:val="00DD7859"/>
    <w:rsid w:val="00DE3CDD"/>
    <w:rsid w:val="00DE3FF7"/>
    <w:rsid w:val="00DE5EB8"/>
    <w:rsid w:val="00DE608E"/>
    <w:rsid w:val="00DF0141"/>
    <w:rsid w:val="00DF087F"/>
    <w:rsid w:val="00DF08BA"/>
    <w:rsid w:val="00DF0974"/>
    <w:rsid w:val="00DF0F98"/>
    <w:rsid w:val="00DF2688"/>
    <w:rsid w:val="00DF26E1"/>
    <w:rsid w:val="00DF3972"/>
    <w:rsid w:val="00DF49F2"/>
    <w:rsid w:val="00DF4B76"/>
    <w:rsid w:val="00DF5A45"/>
    <w:rsid w:val="00E004AC"/>
    <w:rsid w:val="00E02283"/>
    <w:rsid w:val="00E024F2"/>
    <w:rsid w:val="00E027A0"/>
    <w:rsid w:val="00E03A70"/>
    <w:rsid w:val="00E05C0F"/>
    <w:rsid w:val="00E05C97"/>
    <w:rsid w:val="00E109B6"/>
    <w:rsid w:val="00E11F39"/>
    <w:rsid w:val="00E13580"/>
    <w:rsid w:val="00E13FEC"/>
    <w:rsid w:val="00E14394"/>
    <w:rsid w:val="00E14AE5"/>
    <w:rsid w:val="00E16E1F"/>
    <w:rsid w:val="00E16E9D"/>
    <w:rsid w:val="00E202E5"/>
    <w:rsid w:val="00E21754"/>
    <w:rsid w:val="00E237EC"/>
    <w:rsid w:val="00E24018"/>
    <w:rsid w:val="00E31B73"/>
    <w:rsid w:val="00E34A6F"/>
    <w:rsid w:val="00E35514"/>
    <w:rsid w:val="00E356EF"/>
    <w:rsid w:val="00E36F96"/>
    <w:rsid w:val="00E37F28"/>
    <w:rsid w:val="00E41DD8"/>
    <w:rsid w:val="00E44218"/>
    <w:rsid w:val="00E4475A"/>
    <w:rsid w:val="00E46033"/>
    <w:rsid w:val="00E463D6"/>
    <w:rsid w:val="00E47DCC"/>
    <w:rsid w:val="00E510EB"/>
    <w:rsid w:val="00E52B61"/>
    <w:rsid w:val="00E52BA8"/>
    <w:rsid w:val="00E55C1D"/>
    <w:rsid w:val="00E56F54"/>
    <w:rsid w:val="00E57675"/>
    <w:rsid w:val="00E57CF9"/>
    <w:rsid w:val="00E60F05"/>
    <w:rsid w:val="00E645B5"/>
    <w:rsid w:val="00E64C4B"/>
    <w:rsid w:val="00E65BF5"/>
    <w:rsid w:val="00E6700A"/>
    <w:rsid w:val="00E67136"/>
    <w:rsid w:val="00E729E2"/>
    <w:rsid w:val="00E73967"/>
    <w:rsid w:val="00E75181"/>
    <w:rsid w:val="00E7573A"/>
    <w:rsid w:val="00E7797A"/>
    <w:rsid w:val="00E859EE"/>
    <w:rsid w:val="00E86BB6"/>
    <w:rsid w:val="00E87654"/>
    <w:rsid w:val="00E9039A"/>
    <w:rsid w:val="00E90BC9"/>
    <w:rsid w:val="00E91C57"/>
    <w:rsid w:val="00E95158"/>
    <w:rsid w:val="00E95976"/>
    <w:rsid w:val="00E97661"/>
    <w:rsid w:val="00EA075C"/>
    <w:rsid w:val="00EA0777"/>
    <w:rsid w:val="00EA12C1"/>
    <w:rsid w:val="00EA1558"/>
    <w:rsid w:val="00EA1625"/>
    <w:rsid w:val="00EA1752"/>
    <w:rsid w:val="00EA1EDF"/>
    <w:rsid w:val="00EA4433"/>
    <w:rsid w:val="00EA7329"/>
    <w:rsid w:val="00EB1405"/>
    <w:rsid w:val="00EB1F80"/>
    <w:rsid w:val="00EB2F3A"/>
    <w:rsid w:val="00EB3E87"/>
    <w:rsid w:val="00EB4C89"/>
    <w:rsid w:val="00EB4F9D"/>
    <w:rsid w:val="00EB586A"/>
    <w:rsid w:val="00EB6518"/>
    <w:rsid w:val="00EB78AA"/>
    <w:rsid w:val="00EC1213"/>
    <w:rsid w:val="00EC121B"/>
    <w:rsid w:val="00EC1C81"/>
    <w:rsid w:val="00EC22BF"/>
    <w:rsid w:val="00EC3B67"/>
    <w:rsid w:val="00EC6DA3"/>
    <w:rsid w:val="00ED0A26"/>
    <w:rsid w:val="00ED13BB"/>
    <w:rsid w:val="00ED5A1C"/>
    <w:rsid w:val="00ED6AF6"/>
    <w:rsid w:val="00ED7A75"/>
    <w:rsid w:val="00EE02D9"/>
    <w:rsid w:val="00EE0E9D"/>
    <w:rsid w:val="00EE7212"/>
    <w:rsid w:val="00EE74BC"/>
    <w:rsid w:val="00EF0B42"/>
    <w:rsid w:val="00EF2708"/>
    <w:rsid w:val="00EF2B87"/>
    <w:rsid w:val="00EF49C0"/>
    <w:rsid w:val="00EF49DF"/>
    <w:rsid w:val="00EF4E44"/>
    <w:rsid w:val="00EF5386"/>
    <w:rsid w:val="00EF6B54"/>
    <w:rsid w:val="00EF6D7D"/>
    <w:rsid w:val="00EF7458"/>
    <w:rsid w:val="00EF7BB1"/>
    <w:rsid w:val="00F0055D"/>
    <w:rsid w:val="00F010BF"/>
    <w:rsid w:val="00F03356"/>
    <w:rsid w:val="00F06B97"/>
    <w:rsid w:val="00F07CBA"/>
    <w:rsid w:val="00F10967"/>
    <w:rsid w:val="00F10EF2"/>
    <w:rsid w:val="00F12CBF"/>
    <w:rsid w:val="00F14BF7"/>
    <w:rsid w:val="00F1611B"/>
    <w:rsid w:val="00F17004"/>
    <w:rsid w:val="00F17080"/>
    <w:rsid w:val="00F205AD"/>
    <w:rsid w:val="00F20D23"/>
    <w:rsid w:val="00F23AFD"/>
    <w:rsid w:val="00F2639D"/>
    <w:rsid w:val="00F2792A"/>
    <w:rsid w:val="00F27D7F"/>
    <w:rsid w:val="00F27E5E"/>
    <w:rsid w:val="00F30E5E"/>
    <w:rsid w:val="00F31BDE"/>
    <w:rsid w:val="00F32BB5"/>
    <w:rsid w:val="00F336B4"/>
    <w:rsid w:val="00F3411A"/>
    <w:rsid w:val="00F34195"/>
    <w:rsid w:val="00F343D1"/>
    <w:rsid w:val="00F35726"/>
    <w:rsid w:val="00F35B71"/>
    <w:rsid w:val="00F37FC1"/>
    <w:rsid w:val="00F42A12"/>
    <w:rsid w:val="00F4413D"/>
    <w:rsid w:val="00F4761B"/>
    <w:rsid w:val="00F606DA"/>
    <w:rsid w:val="00F60905"/>
    <w:rsid w:val="00F62083"/>
    <w:rsid w:val="00F62C44"/>
    <w:rsid w:val="00F650AC"/>
    <w:rsid w:val="00F6612B"/>
    <w:rsid w:val="00F67901"/>
    <w:rsid w:val="00F71306"/>
    <w:rsid w:val="00F71C3E"/>
    <w:rsid w:val="00F74820"/>
    <w:rsid w:val="00F7580A"/>
    <w:rsid w:val="00F768B3"/>
    <w:rsid w:val="00F83DDB"/>
    <w:rsid w:val="00F84497"/>
    <w:rsid w:val="00F866E9"/>
    <w:rsid w:val="00F86C65"/>
    <w:rsid w:val="00F872F3"/>
    <w:rsid w:val="00F93CE6"/>
    <w:rsid w:val="00F9451C"/>
    <w:rsid w:val="00F9542E"/>
    <w:rsid w:val="00F95F05"/>
    <w:rsid w:val="00F9732A"/>
    <w:rsid w:val="00F97469"/>
    <w:rsid w:val="00FA2D82"/>
    <w:rsid w:val="00FA4208"/>
    <w:rsid w:val="00FA4DBE"/>
    <w:rsid w:val="00FA5607"/>
    <w:rsid w:val="00FA766D"/>
    <w:rsid w:val="00FA7693"/>
    <w:rsid w:val="00FB039A"/>
    <w:rsid w:val="00FB12D4"/>
    <w:rsid w:val="00FB13F3"/>
    <w:rsid w:val="00FB24E1"/>
    <w:rsid w:val="00FB579D"/>
    <w:rsid w:val="00FC0796"/>
    <w:rsid w:val="00FC23D6"/>
    <w:rsid w:val="00FC4468"/>
    <w:rsid w:val="00FC6829"/>
    <w:rsid w:val="00FD0601"/>
    <w:rsid w:val="00FD084D"/>
    <w:rsid w:val="00FD2BCC"/>
    <w:rsid w:val="00FD4410"/>
    <w:rsid w:val="00FD73AA"/>
    <w:rsid w:val="00FE052E"/>
    <w:rsid w:val="00FE49BA"/>
    <w:rsid w:val="00FF021A"/>
    <w:rsid w:val="00FF0E78"/>
    <w:rsid w:val="00FF31A7"/>
    <w:rsid w:val="00FF467D"/>
    <w:rsid w:val="00FF5C00"/>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FooterChar">
    <w:name w:val="Footer Char"/>
    <w:basedOn w:val="DefaultParagraphFont"/>
    <w:link w:val="Footer"/>
    <w:rsid w:val="00B6308C"/>
    <w:rPr>
      <w:sz w:val="24"/>
      <w:szCs w:val="24"/>
    </w:rPr>
  </w:style>
  <w:style w:type="character" w:customStyle="1" w:styleId="BodyTextChar">
    <w:name w:val="Body Text Char"/>
    <w:basedOn w:val="DefaultParagraphFont"/>
    <w:link w:val="BodyText"/>
    <w:rsid w:val="00B6308C"/>
    <w:rPr>
      <w:sz w:val="26"/>
    </w:rPr>
  </w:style>
  <w:style w:type="paragraph" w:styleId="ListParagraph">
    <w:name w:val="List Paragraph"/>
    <w:basedOn w:val="Normal"/>
    <w:uiPriority w:val="34"/>
    <w:qFormat/>
    <w:rsid w:val="00B6308C"/>
    <w:pPr>
      <w:ind w:left="720"/>
      <w:contextualSpacing/>
    </w:pPr>
  </w:style>
  <w:style w:type="paragraph" w:styleId="BalloonText">
    <w:name w:val="Balloon Text"/>
    <w:basedOn w:val="Normal"/>
    <w:link w:val="BalloonTextChar"/>
    <w:rsid w:val="000E46DE"/>
    <w:rPr>
      <w:rFonts w:ascii="Tahoma" w:hAnsi="Tahoma" w:cs="Tahoma"/>
      <w:sz w:val="16"/>
      <w:szCs w:val="16"/>
    </w:rPr>
  </w:style>
  <w:style w:type="character" w:customStyle="1" w:styleId="BalloonTextChar">
    <w:name w:val="Balloon Text Char"/>
    <w:basedOn w:val="DefaultParagraphFont"/>
    <w:link w:val="BalloonText"/>
    <w:rsid w:val="000E4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FooterChar">
    <w:name w:val="Footer Char"/>
    <w:basedOn w:val="DefaultParagraphFont"/>
    <w:link w:val="Footer"/>
    <w:rsid w:val="00B6308C"/>
    <w:rPr>
      <w:sz w:val="24"/>
      <w:szCs w:val="24"/>
    </w:rPr>
  </w:style>
  <w:style w:type="character" w:customStyle="1" w:styleId="BodyTextChar">
    <w:name w:val="Body Text Char"/>
    <w:basedOn w:val="DefaultParagraphFont"/>
    <w:link w:val="BodyText"/>
    <w:rsid w:val="00B6308C"/>
    <w:rPr>
      <w:sz w:val="26"/>
    </w:rPr>
  </w:style>
  <w:style w:type="paragraph" w:styleId="ListParagraph">
    <w:name w:val="List Paragraph"/>
    <w:basedOn w:val="Normal"/>
    <w:uiPriority w:val="34"/>
    <w:qFormat/>
    <w:rsid w:val="00B6308C"/>
    <w:pPr>
      <w:ind w:left="720"/>
      <w:contextualSpacing/>
    </w:pPr>
  </w:style>
  <w:style w:type="paragraph" w:styleId="BalloonText">
    <w:name w:val="Balloon Text"/>
    <w:basedOn w:val="Normal"/>
    <w:link w:val="BalloonTextChar"/>
    <w:rsid w:val="000E46DE"/>
    <w:rPr>
      <w:rFonts w:ascii="Tahoma" w:hAnsi="Tahoma" w:cs="Tahoma"/>
      <w:sz w:val="16"/>
      <w:szCs w:val="16"/>
    </w:rPr>
  </w:style>
  <w:style w:type="character" w:customStyle="1" w:styleId="BalloonTextChar">
    <w:name w:val="Balloon Text Char"/>
    <w:basedOn w:val="DefaultParagraphFont"/>
    <w:link w:val="BalloonText"/>
    <w:rsid w:val="000E4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4231-9D92-42FA-9944-395B6D88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52</cp:revision>
  <cp:lastPrinted>2014-09-11T18:29:00Z</cp:lastPrinted>
  <dcterms:created xsi:type="dcterms:W3CDTF">2014-08-28T14:36:00Z</dcterms:created>
  <dcterms:modified xsi:type="dcterms:W3CDTF">2014-09-11T18:31:00Z</dcterms:modified>
</cp:coreProperties>
</file>