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E1A" w:rsidRPr="0063279F" w:rsidRDefault="00E82E1A" w:rsidP="009564BA">
      <w:pPr>
        <w:pStyle w:val="Heading1"/>
      </w:pPr>
      <w:r w:rsidRPr="0063279F">
        <w:t>BEFORE THE</w:t>
      </w:r>
    </w:p>
    <w:p w:rsidR="00E82E1A" w:rsidRPr="0063279F" w:rsidRDefault="00E82E1A" w:rsidP="009564BA">
      <w:pPr>
        <w:tabs>
          <w:tab w:val="left" w:pos="-720"/>
        </w:tabs>
        <w:suppressAutoHyphens/>
        <w:jc w:val="center"/>
        <w:outlineLvl w:val="0"/>
        <w:rPr>
          <w:rFonts w:ascii="Times New Roman" w:hAnsi="Times New Roman" w:cs="Times New Roman"/>
          <w:b/>
          <w:bCs/>
          <w:spacing w:val="-3"/>
        </w:rPr>
      </w:pPr>
      <w:r w:rsidRPr="0063279F">
        <w:rPr>
          <w:rFonts w:ascii="Times New Roman" w:hAnsi="Times New Roman" w:cs="Times New Roman"/>
          <w:b/>
          <w:bCs/>
          <w:spacing w:val="-3"/>
        </w:rPr>
        <w:t>PENNSYLVANIA PUBLIC UTILITY COMMISSION</w:t>
      </w:r>
    </w:p>
    <w:p w:rsidR="00A43313" w:rsidRPr="0063279F" w:rsidRDefault="00A43313" w:rsidP="00263604">
      <w:pPr>
        <w:tabs>
          <w:tab w:val="left" w:pos="-720"/>
        </w:tabs>
        <w:suppressAutoHyphens/>
        <w:jc w:val="center"/>
        <w:outlineLvl w:val="0"/>
        <w:rPr>
          <w:rFonts w:ascii="Times New Roman" w:hAnsi="Times New Roman" w:cs="Times New Roman"/>
          <w:b/>
          <w:bCs/>
          <w:spacing w:val="-3"/>
        </w:rPr>
      </w:pPr>
    </w:p>
    <w:p w:rsidR="00E82E1A" w:rsidRPr="0063279F" w:rsidRDefault="00E82E1A" w:rsidP="00E82E1A">
      <w:pPr>
        <w:tabs>
          <w:tab w:val="left" w:pos="-720"/>
        </w:tabs>
        <w:suppressAutoHyphens/>
        <w:rPr>
          <w:rFonts w:ascii="Times New Roman" w:hAnsi="Times New Roman" w:cs="Times New Roman"/>
          <w:spacing w:val="-3"/>
        </w:rPr>
      </w:pPr>
    </w:p>
    <w:p w:rsidR="00E82E1A" w:rsidRPr="0063279F" w:rsidRDefault="00E82E1A" w:rsidP="00E82E1A">
      <w:pPr>
        <w:tabs>
          <w:tab w:val="left" w:pos="-720"/>
        </w:tabs>
        <w:suppressAutoHyphens/>
        <w:rPr>
          <w:rFonts w:ascii="Times New Roman" w:hAnsi="Times New Roman" w:cs="Times New Roman"/>
          <w:spacing w:val="-3"/>
        </w:rPr>
      </w:pPr>
    </w:p>
    <w:p w:rsidR="00A43313" w:rsidRPr="0063279F" w:rsidRDefault="00A43313" w:rsidP="00263604">
      <w:pPr>
        <w:rPr>
          <w:rFonts w:ascii="Times New Roman" w:hAnsi="Times New Roman" w:cs="Times New Roman"/>
        </w:rPr>
      </w:pPr>
      <w:r w:rsidRPr="0063279F">
        <w:rPr>
          <w:rFonts w:ascii="Times New Roman" w:hAnsi="Times New Roman" w:cs="Times New Roman"/>
        </w:rPr>
        <w:t>Pennsylvania Public Utili</w:t>
      </w:r>
      <w:r w:rsidR="00C855BD" w:rsidRPr="0063279F">
        <w:rPr>
          <w:rFonts w:ascii="Times New Roman" w:hAnsi="Times New Roman" w:cs="Times New Roman"/>
        </w:rPr>
        <w:t>ty Commission</w:t>
      </w:r>
      <w:r w:rsidR="00C855BD" w:rsidRPr="0063279F">
        <w:rPr>
          <w:rFonts w:ascii="Times New Roman" w:hAnsi="Times New Roman" w:cs="Times New Roman"/>
        </w:rPr>
        <w:tab/>
      </w:r>
      <w:r w:rsidR="00C855BD" w:rsidRPr="0063279F">
        <w:rPr>
          <w:rFonts w:ascii="Times New Roman" w:hAnsi="Times New Roman" w:cs="Times New Roman"/>
        </w:rPr>
        <w:tab/>
        <w:t>:</w:t>
      </w:r>
      <w:r w:rsidR="00C855BD" w:rsidRPr="0063279F">
        <w:rPr>
          <w:rFonts w:ascii="Times New Roman" w:hAnsi="Times New Roman" w:cs="Times New Roman"/>
        </w:rPr>
        <w:tab/>
      </w:r>
      <w:r w:rsidR="00C855BD" w:rsidRPr="0063279F">
        <w:rPr>
          <w:rFonts w:ascii="Times New Roman" w:hAnsi="Times New Roman" w:cs="Times New Roman"/>
        </w:rPr>
        <w:tab/>
        <w:t>R-201</w:t>
      </w:r>
      <w:r w:rsidR="004C03B8" w:rsidRPr="0063279F">
        <w:rPr>
          <w:rFonts w:ascii="Times New Roman" w:hAnsi="Times New Roman" w:cs="Times New Roman"/>
        </w:rPr>
        <w:t>4</w:t>
      </w:r>
      <w:r w:rsidR="004272FD" w:rsidRPr="0063279F">
        <w:rPr>
          <w:rFonts w:ascii="Times New Roman" w:hAnsi="Times New Roman" w:cs="Times New Roman"/>
        </w:rPr>
        <w:t>-</w:t>
      </w:r>
      <w:r w:rsidR="004C03B8" w:rsidRPr="0063279F">
        <w:rPr>
          <w:rFonts w:ascii="Times New Roman" w:hAnsi="Times New Roman" w:cs="Times New Roman"/>
        </w:rPr>
        <w:t>242027</w:t>
      </w:r>
      <w:r w:rsidR="00AF2E39" w:rsidRPr="0063279F">
        <w:rPr>
          <w:rFonts w:ascii="Times New Roman" w:hAnsi="Times New Roman" w:cs="Times New Roman"/>
        </w:rPr>
        <w:t>6</w:t>
      </w:r>
    </w:p>
    <w:p w:rsidR="00A43313" w:rsidRPr="0063279F" w:rsidRDefault="00A43313" w:rsidP="00263604">
      <w:pPr>
        <w:rPr>
          <w:rFonts w:ascii="Times New Roman" w:hAnsi="Times New Roman" w:cs="Times New Roman"/>
        </w:rPr>
      </w:pPr>
      <w:r w:rsidRPr="0063279F">
        <w:rPr>
          <w:rFonts w:ascii="Times New Roman" w:hAnsi="Times New Roman" w:cs="Times New Roman"/>
        </w:rPr>
        <w:t>Office of Consu</w:t>
      </w:r>
      <w:r w:rsidR="004272FD" w:rsidRPr="0063279F">
        <w:rPr>
          <w:rFonts w:ascii="Times New Roman" w:hAnsi="Times New Roman" w:cs="Times New Roman"/>
        </w:rPr>
        <w:t>mer Advocate</w:t>
      </w:r>
      <w:r w:rsidR="004272FD" w:rsidRPr="0063279F">
        <w:rPr>
          <w:rFonts w:ascii="Times New Roman" w:hAnsi="Times New Roman" w:cs="Times New Roman"/>
        </w:rPr>
        <w:tab/>
      </w:r>
      <w:r w:rsidR="004272FD" w:rsidRPr="0063279F">
        <w:rPr>
          <w:rFonts w:ascii="Times New Roman" w:hAnsi="Times New Roman" w:cs="Times New Roman"/>
        </w:rPr>
        <w:tab/>
      </w:r>
      <w:r w:rsidR="004272FD" w:rsidRPr="0063279F">
        <w:rPr>
          <w:rFonts w:ascii="Times New Roman" w:hAnsi="Times New Roman" w:cs="Times New Roman"/>
        </w:rPr>
        <w:tab/>
        <w:t>:</w:t>
      </w:r>
      <w:r w:rsidR="004272FD" w:rsidRPr="0063279F">
        <w:rPr>
          <w:rFonts w:ascii="Times New Roman" w:hAnsi="Times New Roman" w:cs="Times New Roman"/>
        </w:rPr>
        <w:tab/>
      </w:r>
      <w:r w:rsidR="004272FD" w:rsidRPr="0063279F">
        <w:rPr>
          <w:rFonts w:ascii="Times New Roman" w:hAnsi="Times New Roman" w:cs="Times New Roman"/>
        </w:rPr>
        <w:tab/>
      </w:r>
      <w:r w:rsidR="00D42520" w:rsidRPr="0063279F">
        <w:rPr>
          <w:rFonts w:ascii="Times New Roman" w:hAnsi="Times New Roman" w:cs="Times New Roman"/>
        </w:rPr>
        <w:t>C-2014-24215</w:t>
      </w:r>
      <w:r w:rsidR="00AF2E39" w:rsidRPr="0063279F">
        <w:rPr>
          <w:rFonts w:ascii="Times New Roman" w:hAnsi="Times New Roman" w:cs="Times New Roman"/>
        </w:rPr>
        <w:t>47</w:t>
      </w:r>
    </w:p>
    <w:p w:rsidR="00A43313" w:rsidRPr="0063279F" w:rsidRDefault="00A43313" w:rsidP="00263604">
      <w:pPr>
        <w:rPr>
          <w:rFonts w:ascii="Times New Roman" w:hAnsi="Times New Roman" w:cs="Times New Roman"/>
        </w:rPr>
      </w:pPr>
      <w:r w:rsidRPr="0063279F">
        <w:rPr>
          <w:rFonts w:ascii="Times New Roman" w:hAnsi="Times New Roman" w:cs="Times New Roman"/>
        </w:rPr>
        <w:t>Office of Small Busin</w:t>
      </w:r>
      <w:r w:rsidR="004272FD" w:rsidRPr="0063279F">
        <w:rPr>
          <w:rFonts w:ascii="Times New Roman" w:hAnsi="Times New Roman" w:cs="Times New Roman"/>
        </w:rPr>
        <w:t>ess Advocate</w:t>
      </w:r>
      <w:r w:rsidR="004272FD" w:rsidRPr="0063279F">
        <w:rPr>
          <w:rFonts w:ascii="Times New Roman" w:hAnsi="Times New Roman" w:cs="Times New Roman"/>
        </w:rPr>
        <w:tab/>
      </w:r>
      <w:r w:rsidR="004272FD" w:rsidRPr="0063279F">
        <w:rPr>
          <w:rFonts w:ascii="Times New Roman" w:hAnsi="Times New Roman" w:cs="Times New Roman"/>
        </w:rPr>
        <w:tab/>
      </w:r>
      <w:r w:rsidR="004272FD" w:rsidRPr="0063279F">
        <w:rPr>
          <w:rFonts w:ascii="Times New Roman" w:hAnsi="Times New Roman" w:cs="Times New Roman"/>
        </w:rPr>
        <w:tab/>
        <w:t>:</w:t>
      </w:r>
      <w:r w:rsidR="004272FD" w:rsidRPr="0063279F">
        <w:rPr>
          <w:rFonts w:ascii="Times New Roman" w:hAnsi="Times New Roman" w:cs="Times New Roman"/>
        </w:rPr>
        <w:tab/>
      </w:r>
      <w:r w:rsidR="004272FD" w:rsidRPr="0063279F">
        <w:rPr>
          <w:rFonts w:ascii="Times New Roman" w:hAnsi="Times New Roman" w:cs="Times New Roman"/>
        </w:rPr>
        <w:tab/>
        <w:t>C-201</w:t>
      </w:r>
      <w:r w:rsidR="00AF2E39" w:rsidRPr="0063279F">
        <w:rPr>
          <w:rFonts w:ascii="Times New Roman" w:hAnsi="Times New Roman" w:cs="Times New Roman"/>
        </w:rPr>
        <w:t>4-2427279</w:t>
      </w:r>
    </w:p>
    <w:p w:rsidR="00A43313" w:rsidRPr="0063279F" w:rsidRDefault="00A43313" w:rsidP="00263604">
      <w:pPr>
        <w:rPr>
          <w:rFonts w:ascii="Times New Roman" w:hAnsi="Times New Roman" w:cs="Times New Roman"/>
        </w:rPr>
      </w:pPr>
      <w:r w:rsidRPr="0063279F">
        <w:rPr>
          <w:rFonts w:ascii="Times New Roman" w:hAnsi="Times New Roman" w:cs="Times New Roman"/>
        </w:rPr>
        <w:tab/>
      </w:r>
      <w:r w:rsidRPr="0063279F">
        <w:rPr>
          <w:rFonts w:ascii="Times New Roman" w:hAnsi="Times New Roman" w:cs="Times New Roman"/>
        </w:rPr>
        <w:tab/>
      </w:r>
      <w:r w:rsidRPr="0063279F">
        <w:rPr>
          <w:rFonts w:ascii="Times New Roman" w:hAnsi="Times New Roman" w:cs="Times New Roman"/>
        </w:rPr>
        <w:tab/>
      </w:r>
      <w:r w:rsidRPr="0063279F">
        <w:rPr>
          <w:rFonts w:ascii="Times New Roman" w:hAnsi="Times New Roman" w:cs="Times New Roman"/>
        </w:rPr>
        <w:tab/>
      </w:r>
      <w:r w:rsidRPr="0063279F">
        <w:rPr>
          <w:rFonts w:ascii="Times New Roman" w:hAnsi="Times New Roman" w:cs="Times New Roman"/>
        </w:rPr>
        <w:tab/>
      </w:r>
      <w:r w:rsidRPr="0063279F">
        <w:rPr>
          <w:rFonts w:ascii="Times New Roman" w:hAnsi="Times New Roman" w:cs="Times New Roman"/>
        </w:rPr>
        <w:tab/>
      </w:r>
      <w:r w:rsidRPr="0063279F">
        <w:rPr>
          <w:rFonts w:ascii="Times New Roman" w:hAnsi="Times New Roman" w:cs="Times New Roman"/>
        </w:rPr>
        <w:tab/>
        <w:t>:</w:t>
      </w:r>
    </w:p>
    <w:p w:rsidR="00A43313" w:rsidRPr="0063279F" w:rsidRDefault="00A45AC6" w:rsidP="00263604">
      <w:pPr>
        <w:rPr>
          <w:rFonts w:ascii="Times New Roman" w:hAnsi="Times New Roman" w:cs="Times New Roman"/>
        </w:rPr>
      </w:pPr>
      <w:r>
        <w:rPr>
          <w:rFonts w:ascii="Times New Roman" w:hAnsi="Times New Roman" w:cs="Times New Roman"/>
        </w:rPr>
        <w:tab/>
      </w:r>
      <w:r w:rsidR="00A43313" w:rsidRPr="0063279F">
        <w:rPr>
          <w:rFonts w:ascii="Times New Roman" w:hAnsi="Times New Roman" w:cs="Times New Roman"/>
        </w:rPr>
        <w:t>v.</w:t>
      </w:r>
      <w:r w:rsidR="00A43313" w:rsidRPr="0063279F">
        <w:rPr>
          <w:rFonts w:ascii="Times New Roman" w:hAnsi="Times New Roman" w:cs="Times New Roman"/>
        </w:rPr>
        <w:tab/>
      </w:r>
      <w:r w:rsidR="00A43313" w:rsidRPr="0063279F">
        <w:rPr>
          <w:rFonts w:ascii="Times New Roman" w:hAnsi="Times New Roman" w:cs="Times New Roman"/>
        </w:rPr>
        <w:tab/>
      </w:r>
      <w:r w:rsidR="00A43313" w:rsidRPr="0063279F">
        <w:rPr>
          <w:rFonts w:ascii="Times New Roman" w:hAnsi="Times New Roman" w:cs="Times New Roman"/>
        </w:rPr>
        <w:tab/>
      </w:r>
      <w:r w:rsidR="00A43313" w:rsidRPr="0063279F">
        <w:rPr>
          <w:rFonts w:ascii="Times New Roman" w:hAnsi="Times New Roman" w:cs="Times New Roman"/>
        </w:rPr>
        <w:tab/>
      </w:r>
      <w:r>
        <w:rPr>
          <w:rFonts w:ascii="Times New Roman" w:hAnsi="Times New Roman" w:cs="Times New Roman"/>
        </w:rPr>
        <w:tab/>
      </w:r>
      <w:r w:rsidR="00A43313" w:rsidRPr="0063279F">
        <w:rPr>
          <w:rFonts w:ascii="Times New Roman" w:hAnsi="Times New Roman" w:cs="Times New Roman"/>
        </w:rPr>
        <w:tab/>
        <w:t>:</w:t>
      </w:r>
    </w:p>
    <w:p w:rsidR="00A43313" w:rsidRPr="0063279F" w:rsidRDefault="00A43313" w:rsidP="00263604">
      <w:pPr>
        <w:rPr>
          <w:rFonts w:ascii="Times New Roman" w:hAnsi="Times New Roman" w:cs="Times New Roman"/>
        </w:rPr>
      </w:pPr>
      <w:r w:rsidRPr="0063279F">
        <w:rPr>
          <w:rFonts w:ascii="Times New Roman" w:hAnsi="Times New Roman" w:cs="Times New Roman"/>
        </w:rPr>
        <w:tab/>
      </w:r>
      <w:r w:rsidRPr="0063279F">
        <w:rPr>
          <w:rFonts w:ascii="Times New Roman" w:hAnsi="Times New Roman" w:cs="Times New Roman"/>
        </w:rPr>
        <w:tab/>
      </w:r>
      <w:r w:rsidRPr="0063279F">
        <w:rPr>
          <w:rFonts w:ascii="Times New Roman" w:hAnsi="Times New Roman" w:cs="Times New Roman"/>
        </w:rPr>
        <w:tab/>
      </w:r>
      <w:r w:rsidRPr="0063279F">
        <w:rPr>
          <w:rFonts w:ascii="Times New Roman" w:hAnsi="Times New Roman" w:cs="Times New Roman"/>
        </w:rPr>
        <w:tab/>
      </w:r>
      <w:r w:rsidRPr="0063279F">
        <w:rPr>
          <w:rFonts w:ascii="Times New Roman" w:hAnsi="Times New Roman" w:cs="Times New Roman"/>
        </w:rPr>
        <w:tab/>
      </w:r>
      <w:r w:rsidRPr="0063279F">
        <w:rPr>
          <w:rFonts w:ascii="Times New Roman" w:hAnsi="Times New Roman" w:cs="Times New Roman"/>
        </w:rPr>
        <w:tab/>
      </w:r>
      <w:r w:rsidRPr="0063279F">
        <w:rPr>
          <w:rFonts w:ascii="Times New Roman" w:hAnsi="Times New Roman" w:cs="Times New Roman"/>
        </w:rPr>
        <w:tab/>
        <w:t>:</w:t>
      </w:r>
    </w:p>
    <w:p w:rsidR="00A43313" w:rsidRPr="0063279F" w:rsidRDefault="0095653E" w:rsidP="00263604">
      <w:pPr>
        <w:rPr>
          <w:rFonts w:ascii="Times New Roman" w:hAnsi="Times New Roman" w:cs="Times New Roman"/>
        </w:rPr>
      </w:pPr>
      <w:r w:rsidRPr="0063279F">
        <w:rPr>
          <w:rFonts w:ascii="Times New Roman" w:hAnsi="Times New Roman" w:cs="Times New Roman"/>
        </w:rPr>
        <w:t xml:space="preserve">UGI </w:t>
      </w:r>
      <w:r w:rsidR="00AF2E39" w:rsidRPr="0063279F">
        <w:rPr>
          <w:rFonts w:ascii="Times New Roman" w:hAnsi="Times New Roman" w:cs="Times New Roman"/>
        </w:rPr>
        <w:t>Utilities</w:t>
      </w:r>
      <w:r w:rsidRPr="0063279F">
        <w:rPr>
          <w:rFonts w:ascii="Times New Roman" w:hAnsi="Times New Roman" w:cs="Times New Roman"/>
        </w:rPr>
        <w:t>, Inc.</w:t>
      </w:r>
      <w:r w:rsidR="004272FD" w:rsidRPr="0063279F">
        <w:rPr>
          <w:rFonts w:ascii="Times New Roman" w:hAnsi="Times New Roman" w:cs="Times New Roman"/>
        </w:rPr>
        <w:t xml:space="preserve"> </w:t>
      </w:r>
      <w:r w:rsidR="00D6390A" w:rsidRPr="0063279F">
        <w:rPr>
          <w:rFonts w:ascii="Times New Roman" w:hAnsi="Times New Roman" w:cs="Times New Roman"/>
        </w:rPr>
        <w:tab/>
      </w:r>
      <w:r w:rsidRPr="0063279F">
        <w:rPr>
          <w:rFonts w:ascii="Times New Roman" w:hAnsi="Times New Roman" w:cs="Times New Roman"/>
        </w:rPr>
        <w:tab/>
      </w:r>
      <w:r w:rsidR="004272FD" w:rsidRPr="0063279F">
        <w:rPr>
          <w:rFonts w:ascii="Times New Roman" w:hAnsi="Times New Roman" w:cs="Times New Roman"/>
        </w:rPr>
        <w:tab/>
      </w:r>
      <w:r w:rsidR="004272FD" w:rsidRPr="0063279F">
        <w:rPr>
          <w:rFonts w:ascii="Times New Roman" w:hAnsi="Times New Roman" w:cs="Times New Roman"/>
        </w:rPr>
        <w:tab/>
      </w:r>
      <w:r w:rsidR="00AF2E39" w:rsidRPr="0063279F">
        <w:rPr>
          <w:rFonts w:ascii="Times New Roman" w:hAnsi="Times New Roman" w:cs="Times New Roman"/>
        </w:rPr>
        <w:tab/>
      </w:r>
      <w:r w:rsidR="00A43313" w:rsidRPr="0063279F">
        <w:rPr>
          <w:rFonts w:ascii="Times New Roman" w:hAnsi="Times New Roman" w:cs="Times New Roman"/>
        </w:rPr>
        <w:t>:</w:t>
      </w:r>
    </w:p>
    <w:p w:rsidR="00CE2262" w:rsidRPr="0063279F" w:rsidRDefault="00CE2262" w:rsidP="00263604">
      <w:pPr>
        <w:tabs>
          <w:tab w:val="left" w:pos="-720"/>
        </w:tabs>
        <w:suppressAutoHyphens/>
        <w:jc w:val="center"/>
        <w:rPr>
          <w:rFonts w:ascii="Times New Roman" w:hAnsi="Times New Roman" w:cs="Times New Roman"/>
          <w:spacing w:val="-3"/>
        </w:rPr>
      </w:pPr>
    </w:p>
    <w:p w:rsidR="00795433" w:rsidRPr="0063279F" w:rsidRDefault="00795433" w:rsidP="00A43313">
      <w:pPr>
        <w:tabs>
          <w:tab w:val="left" w:pos="-720"/>
        </w:tabs>
        <w:suppressAutoHyphens/>
        <w:rPr>
          <w:rFonts w:ascii="Times New Roman" w:hAnsi="Times New Roman" w:cs="Times New Roman"/>
          <w:spacing w:val="-3"/>
        </w:rPr>
      </w:pPr>
    </w:p>
    <w:p w:rsidR="00795433" w:rsidRPr="0063279F" w:rsidRDefault="00795433">
      <w:pPr>
        <w:tabs>
          <w:tab w:val="left" w:pos="-720"/>
        </w:tabs>
        <w:suppressAutoHyphens/>
        <w:rPr>
          <w:rFonts w:ascii="Times New Roman" w:hAnsi="Times New Roman" w:cs="Times New Roman"/>
          <w:spacing w:val="-3"/>
        </w:rPr>
      </w:pPr>
    </w:p>
    <w:p w:rsidR="008651E5" w:rsidRPr="0063279F" w:rsidRDefault="004A4795" w:rsidP="009564BA">
      <w:pPr>
        <w:tabs>
          <w:tab w:val="center" w:pos="4680"/>
        </w:tabs>
        <w:suppressAutoHyphens/>
        <w:jc w:val="center"/>
        <w:outlineLvl w:val="0"/>
        <w:rPr>
          <w:rFonts w:ascii="Times New Roman" w:hAnsi="Times New Roman" w:cs="Times New Roman"/>
          <w:b/>
          <w:bCs/>
          <w:spacing w:val="-3"/>
          <w:u w:val="single"/>
        </w:rPr>
      </w:pPr>
      <w:r w:rsidRPr="0063279F">
        <w:rPr>
          <w:rFonts w:ascii="Times New Roman" w:hAnsi="Times New Roman" w:cs="Times New Roman"/>
          <w:b/>
          <w:bCs/>
          <w:spacing w:val="-3"/>
          <w:u w:val="single"/>
        </w:rPr>
        <w:t>RE</w:t>
      </w:r>
      <w:r w:rsidR="00C77C84" w:rsidRPr="0063279F">
        <w:rPr>
          <w:rFonts w:ascii="Times New Roman" w:hAnsi="Times New Roman" w:cs="Times New Roman"/>
          <w:b/>
          <w:bCs/>
          <w:spacing w:val="-3"/>
          <w:u w:val="single"/>
        </w:rPr>
        <w:t>COMMENDED DECISION</w:t>
      </w:r>
    </w:p>
    <w:p w:rsidR="00C77C84" w:rsidRPr="0063279F" w:rsidRDefault="00C77C84" w:rsidP="00263604">
      <w:pPr>
        <w:tabs>
          <w:tab w:val="center" w:pos="4680"/>
        </w:tabs>
        <w:suppressAutoHyphens/>
        <w:jc w:val="center"/>
        <w:rPr>
          <w:rFonts w:ascii="Times New Roman" w:hAnsi="Times New Roman" w:cs="Times New Roman"/>
          <w:b/>
          <w:bCs/>
          <w:spacing w:val="-3"/>
          <w:u w:val="single"/>
        </w:rPr>
      </w:pPr>
    </w:p>
    <w:p w:rsidR="00C77C84" w:rsidRPr="0063279F" w:rsidRDefault="00C77C84" w:rsidP="008651E5">
      <w:pPr>
        <w:tabs>
          <w:tab w:val="center" w:pos="4680"/>
        </w:tabs>
        <w:suppressAutoHyphens/>
        <w:jc w:val="center"/>
        <w:rPr>
          <w:rFonts w:ascii="Times New Roman" w:hAnsi="Times New Roman" w:cs="Times New Roman"/>
          <w:b/>
          <w:bCs/>
          <w:spacing w:val="-3"/>
          <w:u w:val="single"/>
        </w:rPr>
      </w:pPr>
    </w:p>
    <w:p w:rsidR="00C77C84" w:rsidRPr="0063279F" w:rsidRDefault="00C77C84" w:rsidP="009564BA">
      <w:pPr>
        <w:tabs>
          <w:tab w:val="center" w:pos="4680"/>
        </w:tabs>
        <w:suppressAutoHyphens/>
        <w:jc w:val="center"/>
        <w:outlineLvl w:val="0"/>
        <w:rPr>
          <w:rFonts w:ascii="Times New Roman" w:hAnsi="Times New Roman" w:cs="Times New Roman"/>
          <w:bCs/>
          <w:spacing w:val="-3"/>
        </w:rPr>
      </w:pPr>
      <w:r w:rsidRPr="0063279F">
        <w:rPr>
          <w:rFonts w:ascii="Times New Roman" w:hAnsi="Times New Roman" w:cs="Times New Roman"/>
          <w:bCs/>
          <w:spacing w:val="-3"/>
        </w:rPr>
        <w:t>Before</w:t>
      </w:r>
    </w:p>
    <w:p w:rsidR="00C77C84" w:rsidRPr="0063279F" w:rsidRDefault="00C94334" w:rsidP="008651E5">
      <w:pPr>
        <w:tabs>
          <w:tab w:val="center" w:pos="4680"/>
        </w:tabs>
        <w:suppressAutoHyphens/>
        <w:jc w:val="center"/>
        <w:rPr>
          <w:rFonts w:ascii="Times New Roman" w:hAnsi="Times New Roman" w:cs="Times New Roman"/>
          <w:bCs/>
          <w:spacing w:val="-3"/>
        </w:rPr>
      </w:pPr>
      <w:r w:rsidRPr="0063279F">
        <w:rPr>
          <w:rFonts w:ascii="Times New Roman" w:hAnsi="Times New Roman" w:cs="Times New Roman"/>
          <w:bCs/>
          <w:spacing w:val="-3"/>
        </w:rPr>
        <w:t>Elizabeth H. Barnes</w:t>
      </w:r>
    </w:p>
    <w:p w:rsidR="00C77C84" w:rsidRPr="0063279F" w:rsidRDefault="00C77C84" w:rsidP="008651E5">
      <w:pPr>
        <w:tabs>
          <w:tab w:val="center" w:pos="4680"/>
        </w:tabs>
        <w:suppressAutoHyphens/>
        <w:jc w:val="center"/>
        <w:rPr>
          <w:rFonts w:ascii="Times New Roman" w:hAnsi="Times New Roman" w:cs="Times New Roman"/>
          <w:bCs/>
          <w:spacing w:val="-3"/>
        </w:rPr>
      </w:pPr>
      <w:r w:rsidRPr="0063279F">
        <w:rPr>
          <w:rFonts w:ascii="Times New Roman" w:hAnsi="Times New Roman" w:cs="Times New Roman"/>
          <w:bCs/>
          <w:spacing w:val="-3"/>
        </w:rPr>
        <w:t>Administrative Law Judge</w:t>
      </w:r>
    </w:p>
    <w:p w:rsidR="00A702FB" w:rsidRPr="0063279F" w:rsidRDefault="00A702FB" w:rsidP="00263604">
      <w:pPr>
        <w:tabs>
          <w:tab w:val="center" w:pos="4680"/>
        </w:tabs>
        <w:suppressAutoHyphens/>
        <w:jc w:val="center"/>
        <w:rPr>
          <w:rFonts w:ascii="Times New Roman" w:hAnsi="Times New Roman" w:cs="Times New Roman"/>
          <w:bCs/>
          <w:spacing w:val="-3"/>
        </w:rPr>
      </w:pPr>
    </w:p>
    <w:p w:rsidR="00A702FB" w:rsidRPr="0063279F" w:rsidRDefault="00A702FB" w:rsidP="008651E5">
      <w:pPr>
        <w:tabs>
          <w:tab w:val="center" w:pos="4680"/>
        </w:tabs>
        <w:suppressAutoHyphens/>
        <w:jc w:val="center"/>
        <w:rPr>
          <w:rFonts w:ascii="Times New Roman" w:hAnsi="Times New Roman" w:cs="Times New Roman"/>
          <w:bCs/>
          <w:spacing w:val="-3"/>
        </w:rPr>
      </w:pPr>
    </w:p>
    <w:p w:rsidR="00A702FB" w:rsidRPr="0063279F" w:rsidRDefault="00A702FB" w:rsidP="009564BA">
      <w:pPr>
        <w:jc w:val="center"/>
        <w:outlineLvl w:val="0"/>
        <w:rPr>
          <w:rFonts w:ascii="Times New Roman" w:hAnsi="Times New Roman" w:cs="Times New Roman"/>
        </w:rPr>
      </w:pPr>
      <w:r w:rsidRPr="0063279F">
        <w:rPr>
          <w:rFonts w:ascii="Times New Roman" w:hAnsi="Times New Roman" w:cs="Times New Roman"/>
          <w:u w:val="single"/>
        </w:rPr>
        <w:t>HISTORY OF THE PROCEEDING</w:t>
      </w:r>
      <w:r w:rsidR="005A3817" w:rsidRPr="0063279F">
        <w:rPr>
          <w:rFonts w:ascii="Times New Roman" w:hAnsi="Times New Roman" w:cs="Times New Roman"/>
          <w:u w:val="single"/>
        </w:rPr>
        <w:t>S</w:t>
      </w:r>
    </w:p>
    <w:p w:rsidR="00A702FB" w:rsidRPr="0063279F" w:rsidRDefault="00A702FB" w:rsidP="00263604">
      <w:pPr>
        <w:jc w:val="center"/>
        <w:rPr>
          <w:rFonts w:ascii="Times New Roman" w:hAnsi="Times New Roman" w:cs="Times New Roman"/>
          <w:u w:val="single"/>
        </w:rPr>
      </w:pPr>
    </w:p>
    <w:p w:rsidR="00A702FB" w:rsidRPr="0063279F" w:rsidRDefault="00A702FB" w:rsidP="00263604">
      <w:pPr>
        <w:jc w:val="center"/>
        <w:rPr>
          <w:rFonts w:ascii="Times New Roman" w:hAnsi="Times New Roman" w:cs="Times New Roman"/>
          <w:u w:val="single"/>
        </w:rPr>
      </w:pPr>
    </w:p>
    <w:p w:rsidR="00A955F2" w:rsidRPr="0063279F" w:rsidRDefault="00A702FB" w:rsidP="00A955F2">
      <w:pPr>
        <w:spacing w:line="360" w:lineRule="auto"/>
        <w:rPr>
          <w:rFonts w:ascii="Times New Roman" w:hAnsi="Times New Roman" w:cs="Times New Roman"/>
        </w:rPr>
      </w:pPr>
      <w:r w:rsidRPr="0063279F">
        <w:rPr>
          <w:rFonts w:ascii="Times New Roman" w:hAnsi="Times New Roman" w:cs="Times New Roman"/>
        </w:rPr>
        <w:tab/>
      </w:r>
      <w:r w:rsidRPr="0063279F">
        <w:rPr>
          <w:rFonts w:ascii="Times New Roman" w:hAnsi="Times New Roman" w:cs="Times New Roman"/>
        </w:rPr>
        <w:tab/>
        <w:t xml:space="preserve">This </w:t>
      </w:r>
      <w:r w:rsidR="00C678FC" w:rsidRPr="0063279F">
        <w:rPr>
          <w:rFonts w:ascii="Times New Roman" w:hAnsi="Times New Roman" w:cs="Times New Roman"/>
        </w:rPr>
        <w:t>d</w:t>
      </w:r>
      <w:r w:rsidRPr="0063279F">
        <w:rPr>
          <w:rFonts w:ascii="Times New Roman" w:hAnsi="Times New Roman" w:cs="Times New Roman"/>
        </w:rPr>
        <w:t xml:space="preserve">ecision recommends approval of </w:t>
      </w:r>
      <w:r w:rsidR="00C678FC" w:rsidRPr="0063279F">
        <w:rPr>
          <w:rFonts w:ascii="Times New Roman" w:hAnsi="Times New Roman" w:cs="Times New Roman"/>
        </w:rPr>
        <w:t>the</w:t>
      </w:r>
      <w:r w:rsidRPr="0063279F">
        <w:rPr>
          <w:rFonts w:ascii="Times New Roman" w:hAnsi="Times New Roman" w:cs="Times New Roman"/>
        </w:rPr>
        <w:t xml:space="preserve"> Stipu</w:t>
      </w:r>
      <w:r w:rsidR="00263604" w:rsidRPr="0063279F">
        <w:rPr>
          <w:rFonts w:ascii="Times New Roman" w:hAnsi="Times New Roman" w:cs="Times New Roman"/>
        </w:rPr>
        <w:t>lation In Settlement Of Section </w:t>
      </w:r>
      <w:r w:rsidRPr="0063279F">
        <w:rPr>
          <w:rFonts w:ascii="Times New Roman" w:hAnsi="Times New Roman" w:cs="Times New Roman"/>
        </w:rPr>
        <w:t xml:space="preserve">1307(f) Rate Investigation (Stipulation or Settlement), </w:t>
      </w:r>
      <w:r w:rsidR="00820B3A" w:rsidRPr="0063279F">
        <w:rPr>
          <w:rFonts w:ascii="Times New Roman" w:hAnsi="Times New Roman" w:cs="Times New Roman"/>
        </w:rPr>
        <w:t>filed in this matter on August </w:t>
      </w:r>
      <w:r w:rsidR="004C03B8" w:rsidRPr="0063279F">
        <w:rPr>
          <w:rFonts w:ascii="Times New Roman" w:hAnsi="Times New Roman" w:cs="Times New Roman"/>
        </w:rPr>
        <w:t>29</w:t>
      </w:r>
      <w:r w:rsidR="00820B3A" w:rsidRPr="0063279F">
        <w:rPr>
          <w:rFonts w:ascii="Times New Roman" w:hAnsi="Times New Roman" w:cs="Times New Roman"/>
        </w:rPr>
        <w:t>, </w:t>
      </w:r>
      <w:r w:rsidR="00C678FC" w:rsidRPr="0063279F">
        <w:rPr>
          <w:rFonts w:ascii="Times New Roman" w:hAnsi="Times New Roman" w:cs="Times New Roman"/>
        </w:rPr>
        <w:t>20</w:t>
      </w:r>
      <w:r w:rsidR="008C2E2C" w:rsidRPr="0063279F">
        <w:rPr>
          <w:rFonts w:ascii="Times New Roman" w:hAnsi="Times New Roman" w:cs="Times New Roman"/>
        </w:rPr>
        <w:t>1</w:t>
      </w:r>
      <w:r w:rsidR="004C03B8" w:rsidRPr="0063279F">
        <w:rPr>
          <w:rFonts w:ascii="Times New Roman" w:hAnsi="Times New Roman" w:cs="Times New Roman"/>
        </w:rPr>
        <w:t>4</w:t>
      </w:r>
      <w:r w:rsidR="004A0761" w:rsidRPr="0063279F">
        <w:rPr>
          <w:rFonts w:ascii="Times New Roman" w:hAnsi="Times New Roman" w:cs="Times New Roman"/>
        </w:rPr>
        <w:t xml:space="preserve">, </w:t>
      </w:r>
      <w:r w:rsidRPr="0063279F">
        <w:rPr>
          <w:rFonts w:ascii="Times New Roman" w:hAnsi="Times New Roman" w:cs="Times New Roman"/>
        </w:rPr>
        <w:t xml:space="preserve">by </w:t>
      </w:r>
      <w:r w:rsidR="0095653E" w:rsidRPr="0063279F">
        <w:rPr>
          <w:rFonts w:ascii="Times New Roman" w:hAnsi="Times New Roman" w:cs="Times New Roman"/>
        </w:rPr>
        <w:t xml:space="preserve">UGI </w:t>
      </w:r>
      <w:r w:rsidR="00AF2E39" w:rsidRPr="0063279F">
        <w:rPr>
          <w:rFonts w:ascii="Times New Roman" w:hAnsi="Times New Roman" w:cs="Times New Roman"/>
        </w:rPr>
        <w:t>Utilities, Inc.</w:t>
      </w:r>
      <w:r w:rsidR="0095653E" w:rsidRPr="0063279F">
        <w:rPr>
          <w:rFonts w:ascii="Times New Roman" w:hAnsi="Times New Roman" w:cs="Times New Roman"/>
        </w:rPr>
        <w:t xml:space="preserve"> </w:t>
      </w:r>
      <w:r w:rsidRPr="0063279F">
        <w:rPr>
          <w:rFonts w:ascii="Times New Roman" w:hAnsi="Times New Roman" w:cs="Times New Roman"/>
        </w:rPr>
        <w:t>(</w:t>
      </w:r>
      <w:r w:rsidR="00AF2E39" w:rsidRPr="0063279F">
        <w:rPr>
          <w:rFonts w:ascii="Times New Roman" w:hAnsi="Times New Roman" w:cs="Times New Roman"/>
        </w:rPr>
        <w:t>UGI</w:t>
      </w:r>
      <w:r w:rsidRPr="0063279F">
        <w:rPr>
          <w:rFonts w:ascii="Times New Roman" w:hAnsi="Times New Roman" w:cs="Times New Roman"/>
        </w:rPr>
        <w:t xml:space="preserve"> or the Company</w:t>
      </w:r>
      <w:r w:rsidR="004A0761" w:rsidRPr="0063279F">
        <w:rPr>
          <w:rFonts w:ascii="Times New Roman" w:hAnsi="Times New Roman" w:cs="Times New Roman"/>
        </w:rPr>
        <w:t xml:space="preserve">), </w:t>
      </w:r>
      <w:r w:rsidR="002140D3" w:rsidRPr="0063279F">
        <w:rPr>
          <w:rFonts w:ascii="Times New Roman" w:hAnsi="Times New Roman" w:cs="Times New Roman"/>
        </w:rPr>
        <w:t>the Bureau of Investiga</w:t>
      </w:r>
      <w:r w:rsidR="004A0761" w:rsidRPr="0063279F">
        <w:rPr>
          <w:rFonts w:ascii="Times New Roman" w:hAnsi="Times New Roman" w:cs="Times New Roman"/>
        </w:rPr>
        <w:t xml:space="preserve">tion and Enforcement </w:t>
      </w:r>
      <w:r w:rsidR="00C20BC6" w:rsidRPr="0063279F">
        <w:rPr>
          <w:rFonts w:ascii="Times New Roman" w:hAnsi="Times New Roman" w:cs="Times New Roman"/>
        </w:rPr>
        <w:t>(</w:t>
      </w:r>
      <w:r w:rsidR="00B060FF" w:rsidRPr="0063279F">
        <w:rPr>
          <w:rFonts w:ascii="Times New Roman" w:hAnsi="Times New Roman" w:cs="Times New Roman"/>
        </w:rPr>
        <w:t>I&amp;E</w:t>
      </w:r>
      <w:r w:rsidR="00D52163" w:rsidRPr="0063279F">
        <w:rPr>
          <w:rFonts w:ascii="Times New Roman" w:hAnsi="Times New Roman" w:cs="Times New Roman"/>
        </w:rPr>
        <w:t>)</w:t>
      </w:r>
      <w:r w:rsidR="004A0761" w:rsidRPr="0063279F">
        <w:rPr>
          <w:rFonts w:ascii="Times New Roman" w:hAnsi="Times New Roman" w:cs="Times New Roman"/>
        </w:rPr>
        <w:t xml:space="preserve">, </w:t>
      </w:r>
      <w:r w:rsidR="0086549B" w:rsidRPr="0063279F">
        <w:rPr>
          <w:rFonts w:ascii="Times New Roman" w:hAnsi="Times New Roman" w:cs="Times New Roman"/>
        </w:rPr>
        <w:t>t</w:t>
      </w:r>
      <w:r w:rsidR="00C94334" w:rsidRPr="0063279F">
        <w:rPr>
          <w:rFonts w:ascii="Times New Roman" w:hAnsi="Times New Roman" w:cs="Times New Roman"/>
        </w:rPr>
        <w:t xml:space="preserve">he Office of Small Business Advocate (OSBA), </w:t>
      </w:r>
      <w:r w:rsidR="004A0761" w:rsidRPr="0063279F">
        <w:rPr>
          <w:rFonts w:ascii="Times New Roman" w:hAnsi="Times New Roman" w:cs="Times New Roman"/>
        </w:rPr>
        <w:t xml:space="preserve">and the </w:t>
      </w:r>
      <w:r w:rsidR="009940ED" w:rsidRPr="0063279F">
        <w:rPr>
          <w:rFonts w:ascii="Times New Roman" w:hAnsi="Times New Roman" w:cs="Times New Roman"/>
        </w:rPr>
        <w:t xml:space="preserve">Office of </w:t>
      </w:r>
      <w:r w:rsidRPr="0063279F">
        <w:rPr>
          <w:rFonts w:ascii="Times New Roman" w:hAnsi="Times New Roman" w:cs="Times New Roman"/>
        </w:rPr>
        <w:t>Consumer Advocate (OCA)</w:t>
      </w:r>
      <w:r w:rsidR="004A0761" w:rsidRPr="0063279F">
        <w:rPr>
          <w:rFonts w:ascii="Times New Roman" w:hAnsi="Times New Roman" w:cs="Times New Roman"/>
        </w:rPr>
        <w:t xml:space="preserve">.  </w:t>
      </w:r>
      <w:r w:rsidR="008F73F9">
        <w:rPr>
          <w:rFonts w:ascii="Times New Roman" w:hAnsi="Times New Roman" w:cs="Times New Roman"/>
        </w:rPr>
        <w:t xml:space="preserve">This Stipulation is a full settlement of all issues in dispute between the parties.  </w:t>
      </w:r>
      <w:r w:rsidR="00A955F2" w:rsidRPr="0063279F">
        <w:rPr>
          <w:rFonts w:ascii="Times New Roman" w:hAnsi="Times New Roman" w:cs="Times New Roman"/>
        </w:rPr>
        <w:t xml:space="preserve">A decision in this case must be rendered by the Commission by November </w:t>
      </w:r>
      <w:r w:rsidR="006F5652" w:rsidRPr="0063279F">
        <w:rPr>
          <w:rFonts w:ascii="Times New Roman" w:hAnsi="Times New Roman" w:cs="Times New Roman"/>
        </w:rPr>
        <w:t>30</w:t>
      </w:r>
      <w:r w:rsidR="00A955F2" w:rsidRPr="0063279F">
        <w:rPr>
          <w:rFonts w:ascii="Times New Roman" w:hAnsi="Times New Roman" w:cs="Times New Roman"/>
        </w:rPr>
        <w:t>, 2014.</w:t>
      </w:r>
    </w:p>
    <w:p w:rsidR="004A0761" w:rsidRPr="0063279F" w:rsidRDefault="004A0761" w:rsidP="003B02EF">
      <w:pPr>
        <w:spacing w:line="360" w:lineRule="auto"/>
        <w:rPr>
          <w:rFonts w:ascii="Times New Roman" w:hAnsi="Times New Roman" w:cs="Times New Roman"/>
        </w:rPr>
      </w:pPr>
    </w:p>
    <w:p w:rsidR="009824F8" w:rsidRPr="0063279F" w:rsidRDefault="004A0761" w:rsidP="003B02EF">
      <w:pPr>
        <w:spacing w:line="360" w:lineRule="auto"/>
        <w:rPr>
          <w:rFonts w:ascii="Times New Roman" w:hAnsi="Times New Roman" w:cs="Times New Roman"/>
        </w:rPr>
      </w:pPr>
      <w:r w:rsidRPr="0063279F">
        <w:rPr>
          <w:rFonts w:ascii="Times New Roman" w:hAnsi="Times New Roman" w:cs="Times New Roman"/>
        </w:rPr>
        <w:tab/>
      </w:r>
      <w:r w:rsidRPr="0063279F">
        <w:rPr>
          <w:rFonts w:ascii="Times New Roman" w:hAnsi="Times New Roman" w:cs="Times New Roman"/>
        </w:rPr>
        <w:tab/>
      </w:r>
      <w:r w:rsidR="00A702FB" w:rsidRPr="0063279F">
        <w:rPr>
          <w:rFonts w:ascii="Times New Roman" w:hAnsi="Times New Roman" w:cs="Times New Roman"/>
        </w:rPr>
        <w:t xml:space="preserve">On </w:t>
      </w:r>
      <w:r w:rsidR="005B7E02" w:rsidRPr="0063279F">
        <w:rPr>
          <w:rFonts w:ascii="Times New Roman" w:hAnsi="Times New Roman" w:cs="Times New Roman"/>
        </w:rPr>
        <w:t>May 1</w:t>
      </w:r>
      <w:r w:rsidR="00F655A6" w:rsidRPr="0063279F">
        <w:rPr>
          <w:rFonts w:ascii="Times New Roman" w:hAnsi="Times New Roman" w:cs="Times New Roman"/>
        </w:rPr>
        <w:t>, 20</w:t>
      </w:r>
      <w:r w:rsidR="001274CF" w:rsidRPr="0063279F">
        <w:rPr>
          <w:rFonts w:ascii="Times New Roman" w:hAnsi="Times New Roman" w:cs="Times New Roman"/>
        </w:rPr>
        <w:t>1</w:t>
      </w:r>
      <w:r w:rsidR="004C03B8" w:rsidRPr="0063279F">
        <w:rPr>
          <w:rFonts w:ascii="Times New Roman" w:hAnsi="Times New Roman" w:cs="Times New Roman"/>
        </w:rPr>
        <w:t>4</w:t>
      </w:r>
      <w:r w:rsidR="00F655A6" w:rsidRPr="0063279F">
        <w:rPr>
          <w:rFonts w:ascii="Times New Roman" w:hAnsi="Times New Roman" w:cs="Times New Roman"/>
        </w:rPr>
        <w:t xml:space="preserve">, </w:t>
      </w:r>
      <w:r w:rsidR="00AF2E39" w:rsidRPr="0063279F">
        <w:rPr>
          <w:rFonts w:ascii="Times New Roman" w:hAnsi="Times New Roman" w:cs="Times New Roman"/>
        </w:rPr>
        <w:t>UGI</w:t>
      </w:r>
      <w:r w:rsidR="00A702FB" w:rsidRPr="0063279F">
        <w:rPr>
          <w:rFonts w:ascii="Times New Roman" w:hAnsi="Times New Roman" w:cs="Times New Roman"/>
        </w:rPr>
        <w:t xml:space="preserve"> submitted its annual purchased gas cost (PGC) pre-filing </w:t>
      </w:r>
      <w:proofErr w:type="gramStart"/>
      <w:r w:rsidR="00403304" w:rsidRPr="0063279F">
        <w:rPr>
          <w:rFonts w:ascii="Times New Roman" w:hAnsi="Times New Roman" w:cs="Times New Roman"/>
        </w:rPr>
        <w:t>information</w:t>
      </w:r>
      <w:proofErr w:type="gramEnd"/>
      <w:r w:rsidR="00403304" w:rsidRPr="0063279F">
        <w:rPr>
          <w:rFonts w:ascii="Times New Roman" w:hAnsi="Times New Roman" w:cs="Times New Roman"/>
        </w:rPr>
        <w:t>, pursuant to 52 Pa.</w:t>
      </w:r>
      <w:r w:rsidR="00A702FB" w:rsidRPr="0063279F">
        <w:rPr>
          <w:rFonts w:ascii="Times New Roman" w:hAnsi="Times New Roman" w:cs="Times New Roman"/>
        </w:rPr>
        <w:t>Code §§</w:t>
      </w:r>
      <w:r w:rsidR="00403304" w:rsidRPr="0063279F">
        <w:rPr>
          <w:rFonts w:ascii="Times New Roman" w:hAnsi="Times New Roman" w:cs="Times New Roman"/>
        </w:rPr>
        <w:t xml:space="preserve"> </w:t>
      </w:r>
      <w:r w:rsidR="00A702FB" w:rsidRPr="0063279F">
        <w:rPr>
          <w:rFonts w:ascii="Times New Roman" w:hAnsi="Times New Roman" w:cs="Times New Roman"/>
        </w:rPr>
        <w:t xml:space="preserve">53.64 and 53.65.  On </w:t>
      </w:r>
      <w:r w:rsidR="001F7F5D" w:rsidRPr="0063279F">
        <w:rPr>
          <w:rFonts w:ascii="Times New Roman" w:hAnsi="Times New Roman" w:cs="Times New Roman"/>
        </w:rPr>
        <w:t>May 3</w:t>
      </w:r>
      <w:r w:rsidR="004C03B8" w:rsidRPr="0063279F">
        <w:rPr>
          <w:rFonts w:ascii="Times New Roman" w:hAnsi="Times New Roman" w:cs="Times New Roman"/>
        </w:rPr>
        <w:t>0</w:t>
      </w:r>
      <w:r w:rsidR="00F14E55" w:rsidRPr="0063279F">
        <w:rPr>
          <w:rFonts w:ascii="Times New Roman" w:hAnsi="Times New Roman" w:cs="Times New Roman"/>
        </w:rPr>
        <w:t>, 20</w:t>
      </w:r>
      <w:r w:rsidR="00751863" w:rsidRPr="0063279F">
        <w:rPr>
          <w:rFonts w:ascii="Times New Roman" w:hAnsi="Times New Roman" w:cs="Times New Roman"/>
        </w:rPr>
        <w:t>1</w:t>
      </w:r>
      <w:r w:rsidR="004C03B8" w:rsidRPr="0063279F">
        <w:rPr>
          <w:rFonts w:ascii="Times New Roman" w:hAnsi="Times New Roman" w:cs="Times New Roman"/>
        </w:rPr>
        <w:t>4</w:t>
      </w:r>
      <w:r w:rsidR="00F14E55" w:rsidRPr="0063279F">
        <w:rPr>
          <w:rFonts w:ascii="Times New Roman" w:hAnsi="Times New Roman" w:cs="Times New Roman"/>
        </w:rPr>
        <w:t xml:space="preserve">, </w:t>
      </w:r>
      <w:r w:rsidR="00AF2E39" w:rsidRPr="0063279F">
        <w:rPr>
          <w:rFonts w:ascii="Times New Roman" w:hAnsi="Times New Roman" w:cs="Times New Roman"/>
        </w:rPr>
        <w:t>UGI</w:t>
      </w:r>
      <w:r w:rsidR="00A702FB" w:rsidRPr="0063279F">
        <w:rPr>
          <w:rFonts w:ascii="Times New Roman" w:hAnsi="Times New Roman" w:cs="Times New Roman"/>
        </w:rPr>
        <w:t xml:space="preserve"> filed </w:t>
      </w:r>
      <w:r w:rsidR="00AE5B1E" w:rsidRPr="0063279F">
        <w:rPr>
          <w:rFonts w:ascii="Times New Roman" w:hAnsi="Times New Roman" w:cs="Times New Roman"/>
        </w:rPr>
        <w:t>its definitive 20</w:t>
      </w:r>
      <w:r w:rsidR="00751863" w:rsidRPr="0063279F">
        <w:rPr>
          <w:rFonts w:ascii="Times New Roman" w:hAnsi="Times New Roman" w:cs="Times New Roman"/>
        </w:rPr>
        <w:t>1</w:t>
      </w:r>
      <w:r w:rsidR="004C03B8" w:rsidRPr="0063279F">
        <w:rPr>
          <w:rFonts w:ascii="Times New Roman" w:hAnsi="Times New Roman" w:cs="Times New Roman"/>
        </w:rPr>
        <w:t>4</w:t>
      </w:r>
      <w:r w:rsidR="00AE5B1E" w:rsidRPr="0063279F">
        <w:rPr>
          <w:rFonts w:ascii="Times New Roman" w:hAnsi="Times New Roman" w:cs="Times New Roman"/>
        </w:rPr>
        <w:t xml:space="preserve"> PGC filing, with proposed </w:t>
      </w:r>
      <w:r w:rsidR="00D00FF7" w:rsidRPr="0063279F">
        <w:rPr>
          <w:rFonts w:ascii="Times New Roman" w:hAnsi="Times New Roman" w:cs="Times New Roman"/>
        </w:rPr>
        <w:t xml:space="preserve">modifications to </w:t>
      </w:r>
      <w:r w:rsidR="00AF2E39" w:rsidRPr="0063279F">
        <w:rPr>
          <w:rFonts w:ascii="Times New Roman" w:hAnsi="Times New Roman" w:cs="Times New Roman"/>
        </w:rPr>
        <w:t>UGI</w:t>
      </w:r>
      <w:r w:rsidR="00D00FF7" w:rsidRPr="0063279F">
        <w:rPr>
          <w:rFonts w:ascii="Times New Roman" w:hAnsi="Times New Roman" w:cs="Times New Roman"/>
        </w:rPr>
        <w:t>’s</w:t>
      </w:r>
      <w:r w:rsidR="005B4984" w:rsidRPr="0063279F">
        <w:rPr>
          <w:rFonts w:ascii="Times New Roman" w:hAnsi="Times New Roman" w:cs="Times New Roman"/>
        </w:rPr>
        <w:t xml:space="preserve"> </w:t>
      </w:r>
      <w:r w:rsidR="001D656F" w:rsidRPr="0063279F">
        <w:rPr>
          <w:rFonts w:ascii="Times New Roman" w:hAnsi="Times New Roman" w:cs="Times New Roman"/>
        </w:rPr>
        <w:t xml:space="preserve">Tariff </w:t>
      </w:r>
      <w:r w:rsidR="005B4984" w:rsidRPr="0063279F">
        <w:rPr>
          <w:rFonts w:ascii="Times New Roman" w:hAnsi="Times New Roman" w:cs="Times New Roman"/>
        </w:rPr>
        <w:t xml:space="preserve">Gas - </w:t>
      </w:r>
      <w:r w:rsidR="00403304" w:rsidRPr="0063279F">
        <w:rPr>
          <w:rFonts w:ascii="Times New Roman" w:hAnsi="Times New Roman" w:cs="Times New Roman"/>
        </w:rPr>
        <w:t>Pa. PUC</w:t>
      </w:r>
      <w:r w:rsidR="007E52CB" w:rsidRPr="0063279F">
        <w:rPr>
          <w:rFonts w:ascii="Times New Roman" w:hAnsi="Times New Roman" w:cs="Times New Roman"/>
        </w:rPr>
        <w:t xml:space="preserve"> No.</w:t>
      </w:r>
      <w:r w:rsidR="00BD106B" w:rsidRPr="0063279F">
        <w:rPr>
          <w:rFonts w:ascii="Times New Roman" w:hAnsi="Times New Roman" w:cs="Times New Roman"/>
        </w:rPr>
        <w:t xml:space="preserve"> </w:t>
      </w:r>
      <w:r w:rsidR="00AF2E39" w:rsidRPr="0063279F">
        <w:rPr>
          <w:rFonts w:ascii="Times New Roman" w:hAnsi="Times New Roman" w:cs="Times New Roman"/>
        </w:rPr>
        <w:t>5</w:t>
      </w:r>
      <w:r w:rsidR="00BD106B" w:rsidRPr="0063279F">
        <w:rPr>
          <w:rFonts w:ascii="Times New Roman" w:hAnsi="Times New Roman" w:cs="Times New Roman"/>
        </w:rPr>
        <w:t xml:space="preserve">, to become effective </w:t>
      </w:r>
      <w:r w:rsidR="00AE5B1E" w:rsidRPr="0063279F">
        <w:rPr>
          <w:rFonts w:ascii="Times New Roman" w:hAnsi="Times New Roman" w:cs="Times New Roman"/>
        </w:rPr>
        <w:t>December</w:t>
      </w:r>
      <w:r w:rsidR="001D656F" w:rsidRPr="0063279F">
        <w:rPr>
          <w:rFonts w:ascii="Times New Roman" w:hAnsi="Times New Roman" w:cs="Times New Roman"/>
        </w:rPr>
        <w:t xml:space="preserve"> 1, 201</w:t>
      </w:r>
      <w:r w:rsidR="004C03B8" w:rsidRPr="0063279F">
        <w:rPr>
          <w:rFonts w:ascii="Times New Roman" w:hAnsi="Times New Roman" w:cs="Times New Roman"/>
        </w:rPr>
        <w:t>4</w:t>
      </w:r>
      <w:r w:rsidR="001F7F5D" w:rsidRPr="0063279F">
        <w:rPr>
          <w:rFonts w:ascii="Times New Roman" w:hAnsi="Times New Roman" w:cs="Times New Roman"/>
        </w:rPr>
        <w:t>, and supportive written direct testimony</w:t>
      </w:r>
      <w:r w:rsidR="00AD610F" w:rsidRPr="0063279F">
        <w:rPr>
          <w:rFonts w:ascii="Times New Roman" w:hAnsi="Times New Roman" w:cs="Times New Roman"/>
        </w:rPr>
        <w:t>.</w:t>
      </w:r>
      <w:r w:rsidR="00332646" w:rsidRPr="0063279F">
        <w:rPr>
          <w:rFonts w:ascii="Times New Roman" w:hAnsi="Times New Roman" w:cs="Times New Roman"/>
        </w:rPr>
        <w:t xml:space="preserve">  </w:t>
      </w:r>
    </w:p>
    <w:p w:rsidR="00332646" w:rsidRPr="0063279F" w:rsidRDefault="00332646" w:rsidP="003B02EF">
      <w:pPr>
        <w:spacing w:line="360" w:lineRule="auto"/>
        <w:rPr>
          <w:rFonts w:ascii="Times New Roman" w:hAnsi="Times New Roman" w:cs="Times New Roman"/>
        </w:rPr>
      </w:pPr>
    </w:p>
    <w:p w:rsidR="00D42520" w:rsidRPr="0063279F" w:rsidRDefault="001F7F5D" w:rsidP="001F7F5D">
      <w:pPr>
        <w:spacing w:line="360" w:lineRule="auto"/>
        <w:ind w:firstLine="1440"/>
        <w:rPr>
          <w:rFonts w:ascii="Times New Roman" w:hAnsi="Times New Roman" w:cs="Times New Roman"/>
        </w:rPr>
      </w:pPr>
      <w:r w:rsidRPr="0063279F">
        <w:rPr>
          <w:rFonts w:ascii="Times New Roman" w:hAnsi="Times New Roman" w:cs="Times New Roman"/>
        </w:rPr>
        <w:t xml:space="preserve">I&amp;E filed a Notice of Appearance </w:t>
      </w:r>
      <w:r w:rsidR="004C03B8" w:rsidRPr="0063279F">
        <w:rPr>
          <w:rFonts w:ascii="Times New Roman" w:hAnsi="Times New Roman" w:cs="Times New Roman"/>
        </w:rPr>
        <w:t xml:space="preserve">of Prosecutor Charles Daniel Shields </w:t>
      </w:r>
      <w:r w:rsidR="00AC119C" w:rsidRPr="0063279F">
        <w:rPr>
          <w:rFonts w:ascii="Times New Roman" w:hAnsi="Times New Roman" w:cs="Times New Roman"/>
        </w:rPr>
        <w:t>on May </w:t>
      </w:r>
      <w:r w:rsidR="00AF2E39" w:rsidRPr="0063279F">
        <w:rPr>
          <w:rFonts w:ascii="Times New Roman" w:hAnsi="Times New Roman" w:cs="Times New Roman"/>
        </w:rPr>
        <w:t>9</w:t>
      </w:r>
      <w:r w:rsidR="00AC119C" w:rsidRPr="0063279F">
        <w:rPr>
          <w:rFonts w:ascii="Times New Roman" w:hAnsi="Times New Roman" w:cs="Times New Roman"/>
        </w:rPr>
        <w:t>, </w:t>
      </w:r>
      <w:r w:rsidRPr="0063279F">
        <w:rPr>
          <w:rFonts w:ascii="Times New Roman" w:hAnsi="Times New Roman" w:cs="Times New Roman"/>
        </w:rPr>
        <w:t>201</w:t>
      </w:r>
      <w:r w:rsidR="004C03B8" w:rsidRPr="0063279F">
        <w:rPr>
          <w:rFonts w:ascii="Times New Roman" w:hAnsi="Times New Roman" w:cs="Times New Roman"/>
        </w:rPr>
        <w:t>4</w:t>
      </w:r>
      <w:r w:rsidRPr="0063279F">
        <w:rPr>
          <w:rFonts w:ascii="Times New Roman" w:hAnsi="Times New Roman" w:cs="Times New Roman"/>
        </w:rPr>
        <w:t xml:space="preserve">.  </w:t>
      </w:r>
      <w:r w:rsidR="00D42520" w:rsidRPr="0063279F">
        <w:rPr>
          <w:rFonts w:ascii="Times New Roman" w:hAnsi="Times New Roman" w:cs="Times New Roman"/>
        </w:rPr>
        <w:t xml:space="preserve">Prosecutor Shields filed a Withdrawal of Appearance on July 21, 2014 and </w:t>
      </w:r>
      <w:r w:rsidR="00D42520" w:rsidRPr="0063279F">
        <w:rPr>
          <w:rFonts w:ascii="Times New Roman" w:hAnsi="Times New Roman" w:cs="Times New Roman"/>
        </w:rPr>
        <w:lastRenderedPageBreak/>
        <w:t>subsequently retired from the Commission on or about July 25, 2014.  I&amp;E entered a second Notice of Appearance of Prosecutor Scott B. Granger in this proceeding on July 21, 2014.</w:t>
      </w:r>
    </w:p>
    <w:p w:rsidR="00D42520" w:rsidRPr="0063279F" w:rsidRDefault="00D42520" w:rsidP="001F7F5D">
      <w:pPr>
        <w:spacing w:line="360" w:lineRule="auto"/>
        <w:ind w:firstLine="1440"/>
        <w:rPr>
          <w:rFonts w:ascii="Times New Roman" w:hAnsi="Times New Roman" w:cs="Times New Roman"/>
        </w:rPr>
      </w:pPr>
    </w:p>
    <w:p w:rsidR="0036060B" w:rsidRPr="0063279F" w:rsidRDefault="001F7F5D" w:rsidP="001F7F5D">
      <w:pPr>
        <w:spacing w:line="360" w:lineRule="auto"/>
        <w:ind w:firstLine="1440"/>
        <w:rPr>
          <w:rFonts w:ascii="Times New Roman" w:hAnsi="Times New Roman" w:cs="Times New Roman"/>
        </w:rPr>
      </w:pPr>
      <w:r w:rsidRPr="0063279F">
        <w:rPr>
          <w:rFonts w:ascii="Times New Roman" w:hAnsi="Times New Roman" w:cs="Times New Roman"/>
        </w:rPr>
        <w:t xml:space="preserve">On May </w:t>
      </w:r>
      <w:r w:rsidR="00D42520" w:rsidRPr="0063279F">
        <w:rPr>
          <w:rFonts w:ascii="Times New Roman" w:hAnsi="Times New Roman" w:cs="Times New Roman"/>
        </w:rPr>
        <w:t>7</w:t>
      </w:r>
      <w:r w:rsidRPr="0063279F">
        <w:rPr>
          <w:rFonts w:ascii="Times New Roman" w:hAnsi="Times New Roman" w:cs="Times New Roman"/>
        </w:rPr>
        <w:t>, 201</w:t>
      </w:r>
      <w:r w:rsidR="00D42520" w:rsidRPr="0063279F">
        <w:rPr>
          <w:rFonts w:ascii="Times New Roman" w:hAnsi="Times New Roman" w:cs="Times New Roman"/>
        </w:rPr>
        <w:t>4</w:t>
      </w:r>
      <w:r w:rsidR="0098108B" w:rsidRPr="0063279F">
        <w:rPr>
          <w:rFonts w:ascii="Times New Roman" w:hAnsi="Times New Roman" w:cs="Times New Roman"/>
        </w:rPr>
        <w:t>,</w:t>
      </w:r>
      <w:r w:rsidRPr="0063279F">
        <w:rPr>
          <w:rFonts w:ascii="Times New Roman" w:hAnsi="Times New Roman" w:cs="Times New Roman"/>
        </w:rPr>
        <w:t xml:space="preserve"> OCA filed a formal complaint at Docket No. </w:t>
      </w:r>
      <w:proofErr w:type="gramStart"/>
      <w:r w:rsidR="00D42520" w:rsidRPr="0063279F">
        <w:rPr>
          <w:rFonts w:ascii="Times New Roman" w:hAnsi="Times New Roman" w:cs="Times New Roman"/>
        </w:rPr>
        <w:t>C-2014-24215</w:t>
      </w:r>
      <w:r w:rsidR="00AF2E39" w:rsidRPr="0063279F">
        <w:rPr>
          <w:rFonts w:ascii="Times New Roman" w:hAnsi="Times New Roman" w:cs="Times New Roman"/>
        </w:rPr>
        <w:t>47</w:t>
      </w:r>
      <w:r w:rsidRPr="0063279F">
        <w:rPr>
          <w:rFonts w:ascii="Times New Roman" w:hAnsi="Times New Roman" w:cs="Times New Roman"/>
        </w:rPr>
        <w:t>.</w:t>
      </w:r>
      <w:proofErr w:type="gramEnd"/>
      <w:r w:rsidRPr="0063279F">
        <w:rPr>
          <w:rFonts w:ascii="Times New Roman" w:hAnsi="Times New Roman" w:cs="Times New Roman"/>
        </w:rPr>
        <w:t xml:space="preserve">  On </w:t>
      </w:r>
      <w:r w:rsidR="0098108B" w:rsidRPr="0063279F">
        <w:rPr>
          <w:rFonts w:ascii="Times New Roman" w:hAnsi="Times New Roman" w:cs="Times New Roman"/>
        </w:rPr>
        <w:t xml:space="preserve">June </w:t>
      </w:r>
      <w:r w:rsidR="004C2674" w:rsidRPr="0063279F">
        <w:rPr>
          <w:rFonts w:ascii="Times New Roman" w:hAnsi="Times New Roman" w:cs="Times New Roman"/>
        </w:rPr>
        <w:t>9</w:t>
      </w:r>
      <w:r w:rsidR="0098108B" w:rsidRPr="0063279F">
        <w:rPr>
          <w:rFonts w:ascii="Times New Roman" w:hAnsi="Times New Roman" w:cs="Times New Roman"/>
        </w:rPr>
        <w:t>, 2014</w:t>
      </w:r>
      <w:r w:rsidRPr="0063279F">
        <w:rPr>
          <w:rFonts w:ascii="Times New Roman" w:hAnsi="Times New Roman" w:cs="Times New Roman"/>
        </w:rPr>
        <w:t xml:space="preserve">, OSBA filed a complaint at Docket No. </w:t>
      </w:r>
      <w:proofErr w:type="gramStart"/>
      <w:r w:rsidR="004A2856" w:rsidRPr="0063279F">
        <w:rPr>
          <w:rFonts w:ascii="Times New Roman" w:hAnsi="Times New Roman" w:cs="Times New Roman"/>
        </w:rPr>
        <w:t>C-2014-242727</w:t>
      </w:r>
      <w:r w:rsidR="00AF2E39" w:rsidRPr="0063279F">
        <w:rPr>
          <w:rFonts w:ascii="Times New Roman" w:hAnsi="Times New Roman" w:cs="Times New Roman"/>
        </w:rPr>
        <w:t>9</w:t>
      </w:r>
      <w:r w:rsidRPr="0063279F">
        <w:rPr>
          <w:rFonts w:ascii="Times New Roman" w:hAnsi="Times New Roman" w:cs="Times New Roman"/>
        </w:rPr>
        <w:t>.</w:t>
      </w:r>
      <w:proofErr w:type="gramEnd"/>
    </w:p>
    <w:p w:rsidR="001F7F5D" w:rsidRPr="0063279F" w:rsidRDefault="001F7F5D" w:rsidP="00F252BE">
      <w:pPr>
        <w:spacing w:line="360" w:lineRule="auto"/>
        <w:ind w:firstLine="1440"/>
        <w:rPr>
          <w:rFonts w:ascii="Times New Roman" w:hAnsi="Times New Roman" w:cs="Times New Roman"/>
        </w:rPr>
      </w:pPr>
    </w:p>
    <w:p w:rsidR="00AB0DCB" w:rsidRPr="0063279F" w:rsidRDefault="00B46599" w:rsidP="0063279F">
      <w:pPr>
        <w:tabs>
          <w:tab w:val="left" w:pos="8910"/>
        </w:tabs>
        <w:spacing w:line="360" w:lineRule="auto"/>
        <w:ind w:firstLine="1440"/>
        <w:rPr>
          <w:rFonts w:ascii="Times New Roman" w:hAnsi="Times New Roman" w:cs="Times New Roman"/>
        </w:rPr>
      </w:pPr>
      <w:r w:rsidRPr="0063279F">
        <w:rPr>
          <w:rFonts w:ascii="Times New Roman" w:hAnsi="Times New Roman" w:cs="Times New Roman"/>
        </w:rPr>
        <w:t xml:space="preserve">On June </w:t>
      </w:r>
      <w:r w:rsidR="0098108B" w:rsidRPr="0063279F">
        <w:rPr>
          <w:rFonts w:ascii="Times New Roman" w:hAnsi="Times New Roman" w:cs="Times New Roman"/>
        </w:rPr>
        <w:t>30</w:t>
      </w:r>
      <w:r w:rsidRPr="0063279F">
        <w:rPr>
          <w:rFonts w:ascii="Times New Roman" w:hAnsi="Times New Roman" w:cs="Times New Roman"/>
        </w:rPr>
        <w:t>, 201</w:t>
      </w:r>
      <w:r w:rsidR="0098108B" w:rsidRPr="0063279F">
        <w:rPr>
          <w:rFonts w:ascii="Times New Roman" w:hAnsi="Times New Roman" w:cs="Times New Roman"/>
        </w:rPr>
        <w:t>4</w:t>
      </w:r>
      <w:r w:rsidR="00AC7102" w:rsidRPr="0063279F">
        <w:rPr>
          <w:rFonts w:ascii="Times New Roman" w:hAnsi="Times New Roman" w:cs="Times New Roman"/>
        </w:rPr>
        <w:t>, a</w:t>
      </w:r>
      <w:r w:rsidR="00F81B48" w:rsidRPr="0063279F">
        <w:rPr>
          <w:rFonts w:ascii="Times New Roman" w:hAnsi="Times New Roman" w:cs="Times New Roman"/>
        </w:rPr>
        <w:t xml:space="preserve"> </w:t>
      </w:r>
      <w:r w:rsidR="009824F8" w:rsidRPr="0063279F">
        <w:rPr>
          <w:rFonts w:ascii="Times New Roman" w:hAnsi="Times New Roman" w:cs="Times New Roman"/>
        </w:rPr>
        <w:t xml:space="preserve">consolidated </w:t>
      </w:r>
      <w:r w:rsidR="00F81B48" w:rsidRPr="0063279F">
        <w:rPr>
          <w:rFonts w:ascii="Times New Roman" w:hAnsi="Times New Roman" w:cs="Times New Roman"/>
        </w:rPr>
        <w:t>Prehearing Conference was held</w:t>
      </w:r>
      <w:r w:rsidR="009824F8" w:rsidRPr="0063279F">
        <w:rPr>
          <w:rFonts w:ascii="Times New Roman" w:hAnsi="Times New Roman" w:cs="Times New Roman"/>
        </w:rPr>
        <w:t xml:space="preserve"> in the UGI Penn Natural Gas, Inc. (“PNG”) PGC proceeding at Docket No. </w:t>
      </w:r>
      <w:proofErr w:type="gramStart"/>
      <w:r w:rsidR="009824F8" w:rsidRPr="0063279F">
        <w:rPr>
          <w:rFonts w:ascii="Times New Roman" w:hAnsi="Times New Roman" w:cs="Times New Roman"/>
        </w:rPr>
        <w:t>R-201</w:t>
      </w:r>
      <w:r w:rsidR="0098108B" w:rsidRPr="0063279F">
        <w:rPr>
          <w:rFonts w:ascii="Times New Roman" w:hAnsi="Times New Roman" w:cs="Times New Roman"/>
        </w:rPr>
        <w:t>4</w:t>
      </w:r>
      <w:r w:rsidR="009824F8" w:rsidRPr="0063279F">
        <w:rPr>
          <w:rFonts w:ascii="Times New Roman" w:hAnsi="Times New Roman" w:cs="Times New Roman"/>
        </w:rPr>
        <w:t>-2</w:t>
      </w:r>
      <w:r w:rsidR="0098108B" w:rsidRPr="0063279F">
        <w:rPr>
          <w:rFonts w:ascii="Times New Roman" w:hAnsi="Times New Roman" w:cs="Times New Roman"/>
        </w:rPr>
        <w:t>420273</w:t>
      </w:r>
      <w:r w:rsidR="009824F8" w:rsidRPr="0063279F">
        <w:rPr>
          <w:rFonts w:ascii="Times New Roman" w:hAnsi="Times New Roman" w:cs="Times New Roman"/>
        </w:rPr>
        <w:t>, UGI</w:t>
      </w:r>
      <w:r w:rsidR="008D0889">
        <w:rPr>
          <w:rFonts w:ascii="Times New Roman" w:hAnsi="Times New Roman" w:cs="Times New Roman"/>
        </w:rPr>
        <w:t xml:space="preserve"> </w:t>
      </w:r>
      <w:r w:rsidR="0021188F">
        <w:rPr>
          <w:rFonts w:ascii="Times New Roman" w:hAnsi="Times New Roman" w:cs="Times New Roman"/>
        </w:rPr>
        <w:t>Central Penn Gas</w:t>
      </w:r>
      <w:r w:rsidR="004C13BE" w:rsidRPr="0063279F">
        <w:rPr>
          <w:rFonts w:ascii="Times New Roman" w:hAnsi="Times New Roman" w:cs="Times New Roman"/>
        </w:rPr>
        <w:t>, Inc.</w:t>
      </w:r>
      <w:r w:rsidR="009824F8" w:rsidRPr="0063279F">
        <w:rPr>
          <w:rFonts w:ascii="Times New Roman" w:hAnsi="Times New Roman" w:cs="Times New Roman"/>
        </w:rPr>
        <w:t xml:space="preserve"> (“</w:t>
      </w:r>
      <w:r w:rsidR="0021188F">
        <w:rPr>
          <w:rFonts w:ascii="Times New Roman" w:hAnsi="Times New Roman" w:cs="Times New Roman"/>
        </w:rPr>
        <w:t>CPG</w:t>
      </w:r>
      <w:r w:rsidR="009824F8" w:rsidRPr="0063279F">
        <w:rPr>
          <w:rFonts w:ascii="Times New Roman" w:hAnsi="Times New Roman" w:cs="Times New Roman"/>
        </w:rPr>
        <w:t>”) PGC proceeding at Docket No.</w:t>
      </w:r>
      <w:proofErr w:type="gramEnd"/>
      <w:r w:rsidR="009824F8" w:rsidRPr="0063279F">
        <w:rPr>
          <w:rFonts w:ascii="Times New Roman" w:hAnsi="Times New Roman" w:cs="Times New Roman"/>
        </w:rPr>
        <w:t xml:space="preserve"> R-201</w:t>
      </w:r>
      <w:r w:rsidR="0098108B" w:rsidRPr="0063279F">
        <w:rPr>
          <w:rFonts w:ascii="Times New Roman" w:hAnsi="Times New Roman" w:cs="Times New Roman"/>
        </w:rPr>
        <w:t>4</w:t>
      </w:r>
      <w:r w:rsidR="009824F8" w:rsidRPr="0063279F">
        <w:rPr>
          <w:rFonts w:ascii="Times New Roman" w:hAnsi="Times New Roman" w:cs="Times New Roman"/>
        </w:rPr>
        <w:t>-2</w:t>
      </w:r>
      <w:r w:rsidR="0098108B" w:rsidRPr="0063279F">
        <w:rPr>
          <w:rFonts w:ascii="Times New Roman" w:hAnsi="Times New Roman" w:cs="Times New Roman"/>
        </w:rPr>
        <w:t>42027</w:t>
      </w:r>
      <w:r w:rsidR="0021188F">
        <w:rPr>
          <w:rFonts w:ascii="Times New Roman" w:hAnsi="Times New Roman" w:cs="Times New Roman"/>
        </w:rPr>
        <w:t>9</w:t>
      </w:r>
      <w:r w:rsidR="009824F8" w:rsidRPr="0063279F">
        <w:rPr>
          <w:rFonts w:ascii="Times New Roman" w:hAnsi="Times New Roman" w:cs="Times New Roman"/>
        </w:rPr>
        <w:t xml:space="preserve"> and the instant UGI</w:t>
      </w:r>
      <w:r w:rsidR="0021188F">
        <w:rPr>
          <w:rFonts w:ascii="Times New Roman" w:hAnsi="Times New Roman" w:cs="Times New Roman"/>
        </w:rPr>
        <w:t xml:space="preserve"> Utilities, Inc. – Gas Division (“UGI”)</w:t>
      </w:r>
      <w:r w:rsidR="009824F8" w:rsidRPr="0063279F">
        <w:rPr>
          <w:rFonts w:ascii="Times New Roman" w:hAnsi="Times New Roman" w:cs="Times New Roman"/>
        </w:rPr>
        <w:t xml:space="preserve"> </w:t>
      </w:r>
      <w:r w:rsidR="0021188F">
        <w:rPr>
          <w:rFonts w:ascii="Times New Roman" w:hAnsi="Times New Roman" w:cs="Times New Roman"/>
        </w:rPr>
        <w:t xml:space="preserve">PGC </w:t>
      </w:r>
      <w:r w:rsidR="009824F8" w:rsidRPr="0063279F">
        <w:rPr>
          <w:rFonts w:ascii="Times New Roman" w:hAnsi="Times New Roman" w:cs="Times New Roman"/>
        </w:rPr>
        <w:t>proceeding</w:t>
      </w:r>
      <w:r w:rsidR="00F81B48" w:rsidRPr="0063279F">
        <w:rPr>
          <w:rFonts w:ascii="Times New Roman" w:hAnsi="Times New Roman" w:cs="Times New Roman"/>
        </w:rPr>
        <w:t>.</w:t>
      </w:r>
      <w:r w:rsidR="009824F8" w:rsidRPr="0063279F">
        <w:rPr>
          <w:rStyle w:val="FootnoteReference"/>
          <w:rFonts w:ascii="Times New Roman" w:hAnsi="Times New Roman" w:cs="Times New Roman"/>
        </w:rPr>
        <w:footnoteReference w:id="1"/>
      </w:r>
      <w:r w:rsidR="00F81B48" w:rsidRPr="0063279F">
        <w:rPr>
          <w:rFonts w:ascii="Times New Roman" w:hAnsi="Times New Roman" w:cs="Times New Roman"/>
        </w:rPr>
        <w:t xml:space="preserve">  </w:t>
      </w:r>
      <w:r w:rsidR="004C2674" w:rsidRPr="0063279F">
        <w:rPr>
          <w:rFonts w:ascii="Times New Roman" w:hAnsi="Times New Roman" w:cs="Times New Roman"/>
        </w:rPr>
        <w:t>UGI</w:t>
      </w:r>
      <w:r w:rsidR="00AB0DCB" w:rsidRPr="0063279F">
        <w:rPr>
          <w:rFonts w:ascii="Times New Roman" w:hAnsi="Times New Roman" w:cs="Times New Roman"/>
        </w:rPr>
        <w:t xml:space="preserve">’s </w:t>
      </w:r>
      <w:r w:rsidR="00F252BE" w:rsidRPr="0063279F">
        <w:rPr>
          <w:rFonts w:ascii="Times New Roman" w:hAnsi="Times New Roman" w:cs="Times New Roman"/>
        </w:rPr>
        <w:t>20</w:t>
      </w:r>
      <w:r w:rsidR="00C23237" w:rsidRPr="0063279F">
        <w:rPr>
          <w:rFonts w:ascii="Times New Roman" w:hAnsi="Times New Roman" w:cs="Times New Roman"/>
        </w:rPr>
        <w:t>1</w:t>
      </w:r>
      <w:r w:rsidR="0098108B" w:rsidRPr="0063279F">
        <w:rPr>
          <w:rFonts w:ascii="Times New Roman" w:hAnsi="Times New Roman" w:cs="Times New Roman"/>
        </w:rPr>
        <w:t>4</w:t>
      </w:r>
      <w:r w:rsidR="00F252BE" w:rsidRPr="0063279F">
        <w:rPr>
          <w:rFonts w:ascii="Times New Roman" w:hAnsi="Times New Roman" w:cs="Times New Roman"/>
        </w:rPr>
        <w:t xml:space="preserve"> PGC pre-filing</w:t>
      </w:r>
      <w:r w:rsidR="000162D6" w:rsidRPr="0063279F">
        <w:rPr>
          <w:rFonts w:ascii="Times New Roman" w:hAnsi="Times New Roman" w:cs="Times New Roman"/>
        </w:rPr>
        <w:t xml:space="preserve">, </w:t>
      </w:r>
      <w:r w:rsidR="00F252BE" w:rsidRPr="0063279F">
        <w:rPr>
          <w:rFonts w:ascii="Times New Roman" w:hAnsi="Times New Roman" w:cs="Times New Roman"/>
        </w:rPr>
        <w:t xml:space="preserve">dated </w:t>
      </w:r>
      <w:r w:rsidR="00BF1A7C" w:rsidRPr="0063279F">
        <w:rPr>
          <w:rFonts w:ascii="Times New Roman" w:hAnsi="Times New Roman" w:cs="Times New Roman"/>
        </w:rPr>
        <w:t>May 1, 201</w:t>
      </w:r>
      <w:r w:rsidR="0021188F">
        <w:rPr>
          <w:rFonts w:ascii="Times New Roman" w:hAnsi="Times New Roman" w:cs="Times New Roman"/>
        </w:rPr>
        <w:t>4</w:t>
      </w:r>
      <w:r w:rsidR="00A4700F" w:rsidRPr="0063279F">
        <w:rPr>
          <w:rFonts w:ascii="Times New Roman" w:hAnsi="Times New Roman" w:cs="Times New Roman"/>
        </w:rPr>
        <w:t xml:space="preserve"> and the</w:t>
      </w:r>
      <w:r w:rsidR="00E53AD8">
        <w:rPr>
          <w:rFonts w:ascii="Times New Roman" w:hAnsi="Times New Roman" w:cs="Times New Roman"/>
        </w:rPr>
        <w:t xml:space="preserve"> definitive filing dated May </w:t>
      </w:r>
      <w:r w:rsidR="00BE6166" w:rsidRPr="0063279F">
        <w:rPr>
          <w:rFonts w:ascii="Times New Roman" w:hAnsi="Times New Roman" w:cs="Times New Roman"/>
        </w:rPr>
        <w:t>3</w:t>
      </w:r>
      <w:r w:rsidR="0098108B" w:rsidRPr="0063279F">
        <w:rPr>
          <w:rFonts w:ascii="Times New Roman" w:hAnsi="Times New Roman" w:cs="Times New Roman"/>
        </w:rPr>
        <w:t>0</w:t>
      </w:r>
      <w:r w:rsidR="00E53AD8">
        <w:rPr>
          <w:rFonts w:ascii="Times New Roman" w:hAnsi="Times New Roman" w:cs="Times New Roman"/>
        </w:rPr>
        <w:t xml:space="preserve">, </w:t>
      </w:r>
      <w:r w:rsidR="00A4700F" w:rsidRPr="0063279F">
        <w:rPr>
          <w:rFonts w:ascii="Times New Roman" w:hAnsi="Times New Roman" w:cs="Times New Roman"/>
        </w:rPr>
        <w:t>201</w:t>
      </w:r>
      <w:r w:rsidR="0021188F">
        <w:rPr>
          <w:rFonts w:ascii="Times New Roman" w:hAnsi="Times New Roman" w:cs="Times New Roman"/>
        </w:rPr>
        <w:t>4</w:t>
      </w:r>
      <w:r w:rsidR="00BF1A7C" w:rsidRPr="0063279F">
        <w:rPr>
          <w:rFonts w:ascii="Times New Roman" w:hAnsi="Times New Roman" w:cs="Times New Roman"/>
        </w:rPr>
        <w:t>,</w:t>
      </w:r>
      <w:r w:rsidR="00F252BE" w:rsidRPr="0063279F">
        <w:rPr>
          <w:rFonts w:ascii="Times New Roman" w:hAnsi="Times New Roman" w:cs="Times New Roman"/>
        </w:rPr>
        <w:t xml:space="preserve"> w</w:t>
      </w:r>
      <w:r w:rsidR="00DD46A7" w:rsidRPr="0063279F">
        <w:rPr>
          <w:rFonts w:ascii="Times New Roman" w:hAnsi="Times New Roman" w:cs="Times New Roman"/>
        </w:rPr>
        <w:t>ere</w:t>
      </w:r>
      <w:r w:rsidR="00F252BE" w:rsidRPr="0063279F">
        <w:rPr>
          <w:rFonts w:ascii="Times New Roman" w:hAnsi="Times New Roman" w:cs="Times New Roman"/>
        </w:rPr>
        <w:t xml:space="preserve"> identified for the record as </w:t>
      </w:r>
      <w:r w:rsidR="0098108B" w:rsidRPr="0063279F">
        <w:rPr>
          <w:rFonts w:ascii="Times New Roman" w:hAnsi="Times New Roman" w:cs="Times New Roman"/>
        </w:rPr>
        <w:t xml:space="preserve">UGI </w:t>
      </w:r>
      <w:r w:rsidR="004C2674" w:rsidRPr="0063279F">
        <w:rPr>
          <w:rFonts w:ascii="Times New Roman" w:hAnsi="Times New Roman" w:cs="Times New Roman"/>
        </w:rPr>
        <w:t>Utilities, Inc. (UGI)</w:t>
      </w:r>
      <w:r w:rsidR="00B86B50" w:rsidRPr="0063279F">
        <w:rPr>
          <w:rFonts w:ascii="Times New Roman" w:hAnsi="Times New Roman" w:cs="Times New Roman"/>
        </w:rPr>
        <w:t xml:space="preserve"> </w:t>
      </w:r>
      <w:r w:rsidR="00D069A9" w:rsidRPr="0063279F">
        <w:rPr>
          <w:rFonts w:ascii="Times New Roman" w:hAnsi="Times New Roman" w:cs="Times New Roman"/>
        </w:rPr>
        <w:t xml:space="preserve">Exhibit </w:t>
      </w:r>
      <w:r w:rsidR="00E53AD8">
        <w:rPr>
          <w:rFonts w:ascii="Times New Roman" w:hAnsi="Times New Roman" w:cs="Times New Roman"/>
        </w:rPr>
        <w:t xml:space="preserve">No. </w:t>
      </w:r>
      <w:r w:rsidR="00F252BE" w:rsidRPr="0063279F">
        <w:rPr>
          <w:rFonts w:ascii="Times New Roman" w:hAnsi="Times New Roman" w:cs="Times New Roman"/>
        </w:rPr>
        <w:t>1</w:t>
      </w:r>
      <w:r w:rsidR="005150C2" w:rsidRPr="0063279F">
        <w:rPr>
          <w:rFonts w:ascii="Times New Roman" w:hAnsi="Times New Roman" w:cs="Times New Roman"/>
        </w:rPr>
        <w:t>, Book 1 and 2 respectively</w:t>
      </w:r>
      <w:r w:rsidR="00F252BE" w:rsidRPr="0063279F">
        <w:rPr>
          <w:rFonts w:ascii="Times New Roman" w:hAnsi="Times New Roman" w:cs="Times New Roman"/>
        </w:rPr>
        <w:t>.</w:t>
      </w:r>
      <w:r w:rsidR="00A4700F" w:rsidRPr="0063279F">
        <w:rPr>
          <w:rFonts w:ascii="Times New Roman" w:hAnsi="Times New Roman" w:cs="Times New Roman"/>
        </w:rPr>
        <w:t xml:space="preserve">  </w:t>
      </w:r>
      <w:proofErr w:type="gramStart"/>
      <w:r w:rsidR="00A4700F" w:rsidRPr="0063279F">
        <w:rPr>
          <w:rFonts w:ascii="Times New Roman" w:hAnsi="Times New Roman" w:cs="Times New Roman"/>
        </w:rPr>
        <w:t>Tr. 1</w:t>
      </w:r>
      <w:r w:rsidR="004C2674" w:rsidRPr="0063279F">
        <w:rPr>
          <w:rFonts w:ascii="Times New Roman" w:hAnsi="Times New Roman" w:cs="Times New Roman"/>
        </w:rPr>
        <w:t>5</w:t>
      </w:r>
      <w:r w:rsidR="00A4700F" w:rsidRPr="0063279F">
        <w:rPr>
          <w:rFonts w:ascii="Times New Roman" w:hAnsi="Times New Roman" w:cs="Times New Roman"/>
        </w:rPr>
        <w:t>.</w:t>
      </w:r>
      <w:proofErr w:type="gramEnd"/>
      <w:r w:rsidR="00F252BE" w:rsidRPr="0063279F">
        <w:rPr>
          <w:rFonts w:ascii="Times New Roman" w:hAnsi="Times New Roman" w:cs="Times New Roman"/>
        </w:rPr>
        <w:t xml:space="preserve"> </w:t>
      </w:r>
      <w:r w:rsidR="00D069A9" w:rsidRPr="0063279F">
        <w:rPr>
          <w:rFonts w:ascii="Times New Roman" w:hAnsi="Times New Roman" w:cs="Times New Roman"/>
        </w:rPr>
        <w:t xml:space="preserve"> </w:t>
      </w:r>
      <w:r w:rsidR="00F252BE" w:rsidRPr="0063279F">
        <w:rPr>
          <w:rFonts w:ascii="Times New Roman" w:hAnsi="Times New Roman" w:cs="Times New Roman"/>
        </w:rPr>
        <w:t xml:space="preserve">The parties agreed to a procedural schedule which required in-hand service of the prepared written direct testimony of other parties, and rebuttal </w:t>
      </w:r>
      <w:r w:rsidR="006A2684" w:rsidRPr="0063279F">
        <w:rPr>
          <w:rFonts w:ascii="Times New Roman" w:hAnsi="Times New Roman" w:cs="Times New Roman"/>
        </w:rPr>
        <w:t xml:space="preserve">and surrebuttal </w:t>
      </w:r>
      <w:r w:rsidR="00F252BE" w:rsidRPr="0063279F">
        <w:rPr>
          <w:rFonts w:ascii="Times New Roman" w:hAnsi="Times New Roman" w:cs="Times New Roman"/>
        </w:rPr>
        <w:t xml:space="preserve">testimony on </w:t>
      </w:r>
      <w:r w:rsidR="00B0732F" w:rsidRPr="0063279F">
        <w:rPr>
          <w:rFonts w:ascii="Times New Roman" w:hAnsi="Times New Roman" w:cs="Times New Roman"/>
        </w:rPr>
        <w:t>July 11, 2014</w:t>
      </w:r>
      <w:r w:rsidR="00F252BE" w:rsidRPr="0063279F">
        <w:rPr>
          <w:rFonts w:ascii="Times New Roman" w:hAnsi="Times New Roman" w:cs="Times New Roman"/>
        </w:rPr>
        <w:t xml:space="preserve">, </w:t>
      </w:r>
      <w:r w:rsidR="00E52EF1" w:rsidRPr="0063279F">
        <w:rPr>
          <w:rFonts w:ascii="Times New Roman" w:hAnsi="Times New Roman" w:cs="Times New Roman"/>
        </w:rPr>
        <w:t xml:space="preserve">July </w:t>
      </w:r>
      <w:r w:rsidR="00B0732F" w:rsidRPr="0063279F">
        <w:rPr>
          <w:rFonts w:ascii="Times New Roman" w:hAnsi="Times New Roman" w:cs="Times New Roman"/>
        </w:rPr>
        <w:t>23</w:t>
      </w:r>
      <w:r w:rsidR="00F252BE" w:rsidRPr="0063279F">
        <w:rPr>
          <w:rFonts w:ascii="Times New Roman" w:hAnsi="Times New Roman" w:cs="Times New Roman"/>
        </w:rPr>
        <w:t>, 20</w:t>
      </w:r>
      <w:r w:rsidR="00E52EF1" w:rsidRPr="0063279F">
        <w:rPr>
          <w:rFonts w:ascii="Times New Roman" w:hAnsi="Times New Roman" w:cs="Times New Roman"/>
        </w:rPr>
        <w:t>1</w:t>
      </w:r>
      <w:r w:rsidR="00B0732F" w:rsidRPr="0063279F">
        <w:rPr>
          <w:rFonts w:ascii="Times New Roman" w:hAnsi="Times New Roman" w:cs="Times New Roman"/>
        </w:rPr>
        <w:t>4</w:t>
      </w:r>
      <w:r w:rsidR="006A2684" w:rsidRPr="0063279F">
        <w:rPr>
          <w:rFonts w:ascii="Times New Roman" w:hAnsi="Times New Roman" w:cs="Times New Roman"/>
        </w:rPr>
        <w:t>,</w:t>
      </w:r>
      <w:r w:rsidR="00F252BE" w:rsidRPr="0063279F">
        <w:rPr>
          <w:rFonts w:ascii="Times New Roman" w:hAnsi="Times New Roman" w:cs="Times New Roman"/>
        </w:rPr>
        <w:t xml:space="preserve"> </w:t>
      </w:r>
      <w:r w:rsidR="007D74D7" w:rsidRPr="0063279F">
        <w:rPr>
          <w:rFonts w:ascii="Times New Roman" w:hAnsi="Times New Roman" w:cs="Times New Roman"/>
        </w:rPr>
        <w:t xml:space="preserve">and July </w:t>
      </w:r>
      <w:r w:rsidR="00B0732F" w:rsidRPr="0063279F">
        <w:rPr>
          <w:rFonts w:ascii="Times New Roman" w:hAnsi="Times New Roman" w:cs="Times New Roman"/>
        </w:rPr>
        <w:t>31</w:t>
      </w:r>
      <w:r w:rsidR="007D74D7" w:rsidRPr="0063279F">
        <w:rPr>
          <w:rFonts w:ascii="Times New Roman" w:hAnsi="Times New Roman" w:cs="Times New Roman"/>
        </w:rPr>
        <w:t xml:space="preserve">, </w:t>
      </w:r>
      <w:r w:rsidR="006A2684" w:rsidRPr="0063279F">
        <w:rPr>
          <w:rFonts w:ascii="Times New Roman" w:hAnsi="Times New Roman" w:cs="Times New Roman"/>
        </w:rPr>
        <w:t>201</w:t>
      </w:r>
      <w:r w:rsidR="00B0732F" w:rsidRPr="0063279F">
        <w:rPr>
          <w:rFonts w:ascii="Times New Roman" w:hAnsi="Times New Roman" w:cs="Times New Roman"/>
        </w:rPr>
        <w:t>4</w:t>
      </w:r>
      <w:r w:rsidR="006A2684" w:rsidRPr="0063279F">
        <w:rPr>
          <w:rFonts w:ascii="Times New Roman" w:hAnsi="Times New Roman" w:cs="Times New Roman"/>
        </w:rPr>
        <w:t xml:space="preserve">, </w:t>
      </w:r>
      <w:r w:rsidR="00F252BE" w:rsidRPr="0063279F">
        <w:rPr>
          <w:rFonts w:ascii="Times New Roman" w:hAnsi="Times New Roman" w:cs="Times New Roman"/>
        </w:rPr>
        <w:t xml:space="preserve">respectively, evidentiary hearings on </w:t>
      </w:r>
      <w:r w:rsidR="00B0732F" w:rsidRPr="0063279F">
        <w:rPr>
          <w:rFonts w:ascii="Times New Roman" w:hAnsi="Times New Roman" w:cs="Times New Roman"/>
        </w:rPr>
        <w:t>August 4-5</w:t>
      </w:r>
      <w:r w:rsidR="002163FE" w:rsidRPr="0063279F">
        <w:rPr>
          <w:rFonts w:ascii="Times New Roman" w:hAnsi="Times New Roman" w:cs="Times New Roman"/>
        </w:rPr>
        <w:t>, 201</w:t>
      </w:r>
      <w:r w:rsidR="00B0732F" w:rsidRPr="0063279F">
        <w:rPr>
          <w:rFonts w:ascii="Times New Roman" w:hAnsi="Times New Roman" w:cs="Times New Roman"/>
        </w:rPr>
        <w:t>4</w:t>
      </w:r>
      <w:r w:rsidR="00E52EF1" w:rsidRPr="0063279F">
        <w:rPr>
          <w:rFonts w:ascii="Times New Roman" w:hAnsi="Times New Roman" w:cs="Times New Roman"/>
        </w:rPr>
        <w:t xml:space="preserve">, </w:t>
      </w:r>
      <w:r w:rsidR="00F252BE" w:rsidRPr="0063279F">
        <w:rPr>
          <w:rFonts w:ascii="Times New Roman" w:hAnsi="Times New Roman" w:cs="Times New Roman"/>
        </w:rPr>
        <w:t>and a modified discovery response time.</w:t>
      </w:r>
    </w:p>
    <w:p w:rsidR="00AB0DCB" w:rsidRPr="0063279F" w:rsidRDefault="00AB0DCB" w:rsidP="00F252BE">
      <w:pPr>
        <w:spacing w:line="360" w:lineRule="auto"/>
        <w:ind w:firstLine="1350"/>
        <w:rPr>
          <w:rFonts w:ascii="Times New Roman" w:hAnsi="Times New Roman" w:cs="Times New Roman"/>
        </w:rPr>
      </w:pPr>
    </w:p>
    <w:p w:rsidR="00473007" w:rsidRPr="0063279F" w:rsidRDefault="00473007" w:rsidP="000B1295">
      <w:pPr>
        <w:spacing w:line="360" w:lineRule="auto"/>
        <w:ind w:firstLine="1440"/>
        <w:rPr>
          <w:rFonts w:ascii="Times New Roman" w:hAnsi="Times New Roman" w:cs="Times New Roman"/>
          <w:color w:val="000000"/>
        </w:rPr>
      </w:pPr>
      <w:r w:rsidRPr="0063279F">
        <w:rPr>
          <w:rFonts w:ascii="Times New Roman" w:hAnsi="Times New Roman" w:cs="Times New Roman"/>
        </w:rPr>
        <w:t xml:space="preserve">I issued a Procedural Order on June </w:t>
      </w:r>
      <w:r w:rsidR="00727477" w:rsidRPr="0063279F">
        <w:rPr>
          <w:rFonts w:ascii="Times New Roman" w:hAnsi="Times New Roman" w:cs="Times New Roman"/>
        </w:rPr>
        <w:t>3</w:t>
      </w:r>
      <w:r w:rsidRPr="0063279F">
        <w:rPr>
          <w:rFonts w:ascii="Times New Roman" w:hAnsi="Times New Roman" w:cs="Times New Roman"/>
        </w:rPr>
        <w:t>0, 201</w:t>
      </w:r>
      <w:r w:rsidR="00727477" w:rsidRPr="0063279F">
        <w:rPr>
          <w:rFonts w:ascii="Times New Roman" w:hAnsi="Times New Roman" w:cs="Times New Roman"/>
        </w:rPr>
        <w:t>4</w:t>
      </w:r>
      <w:r w:rsidRPr="0063279F">
        <w:rPr>
          <w:rFonts w:ascii="Times New Roman" w:hAnsi="Times New Roman" w:cs="Times New Roman"/>
        </w:rPr>
        <w:t xml:space="preserve">, which set forth the procedural schedule and the other matters discussed at the Prehearing Conference.  The Procedural Order granted </w:t>
      </w:r>
      <w:r w:rsidRPr="0063279F">
        <w:rPr>
          <w:rFonts w:ascii="Times New Roman" w:hAnsi="Times New Roman" w:cs="Times New Roman"/>
          <w:color w:val="000000"/>
        </w:rPr>
        <w:t xml:space="preserve">UGI, CPG and PNG’s Joint Petition for Protective Order and a Protective Order was also issued on June </w:t>
      </w:r>
      <w:r w:rsidR="00727477" w:rsidRPr="0063279F">
        <w:rPr>
          <w:rFonts w:ascii="Times New Roman" w:hAnsi="Times New Roman" w:cs="Times New Roman"/>
          <w:color w:val="000000"/>
        </w:rPr>
        <w:t>3</w:t>
      </w:r>
      <w:r w:rsidRPr="0063279F">
        <w:rPr>
          <w:rFonts w:ascii="Times New Roman" w:hAnsi="Times New Roman" w:cs="Times New Roman"/>
          <w:color w:val="000000"/>
        </w:rPr>
        <w:t>0, 201</w:t>
      </w:r>
      <w:r w:rsidR="00727477" w:rsidRPr="0063279F">
        <w:rPr>
          <w:rFonts w:ascii="Times New Roman" w:hAnsi="Times New Roman" w:cs="Times New Roman"/>
          <w:color w:val="000000"/>
        </w:rPr>
        <w:t>4</w:t>
      </w:r>
      <w:r w:rsidRPr="0063279F">
        <w:rPr>
          <w:rFonts w:ascii="Times New Roman" w:hAnsi="Times New Roman" w:cs="Times New Roman"/>
          <w:color w:val="000000"/>
        </w:rPr>
        <w:t>.</w:t>
      </w:r>
    </w:p>
    <w:p w:rsidR="0021156D" w:rsidRPr="0063279F" w:rsidRDefault="0021156D" w:rsidP="0021156D">
      <w:pPr>
        <w:spacing w:line="360" w:lineRule="auto"/>
        <w:ind w:firstLine="1350"/>
        <w:rPr>
          <w:rFonts w:ascii="Times New Roman" w:hAnsi="Times New Roman" w:cs="Times New Roman"/>
          <w:color w:val="000000"/>
        </w:rPr>
      </w:pPr>
    </w:p>
    <w:p w:rsidR="006F1B0D" w:rsidRPr="0063279F" w:rsidRDefault="000B5B2B" w:rsidP="00A702FB">
      <w:pPr>
        <w:spacing w:line="360" w:lineRule="auto"/>
        <w:rPr>
          <w:rFonts w:ascii="Times New Roman" w:hAnsi="Times New Roman" w:cs="Times New Roman"/>
        </w:rPr>
      </w:pPr>
      <w:r w:rsidRPr="0063279F">
        <w:rPr>
          <w:rFonts w:ascii="Times New Roman" w:hAnsi="Times New Roman" w:cs="Times New Roman"/>
          <w:color w:val="000000"/>
        </w:rPr>
        <w:tab/>
      </w:r>
      <w:r w:rsidRPr="0063279F">
        <w:rPr>
          <w:rFonts w:ascii="Times New Roman" w:hAnsi="Times New Roman" w:cs="Times New Roman"/>
          <w:color w:val="000000"/>
        </w:rPr>
        <w:tab/>
      </w:r>
      <w:r w:rsidR="00A702FB" w:rsidRPr="0063279F">
        <w:rPr>
          <w:rFonts w:ascii="Times New Roman" w:hAnsi="Times New Roman" w:cs="Times New Roman"/>
        </w:rPr>
        <w:t xml:space="preserve">In accordance with the </w:t>
      </w:r>
      <w:r w:rsidR="00815CA2" w:rsidRPr="0063279F">
        <w:rPr>
          <w:rFonts w:ascii="Times New Roman" w:hAnsi="Times New Roman" w:cs="Times New Roman"/>
        </w:rPr>
        <w:t>Procedural</w:t>
      </w:r>
      <w:r w:rsidR="00A702FB" w:rsidRPr="0063279F">
        <w:rPr>
          <w:rFonts w:ascii="Times New Roman" w:hAnsi="Times New Roman" w:cs="Times New Roman"/>
        </w:rPr>
        <w:t xml:space="preserve"> Order, </w:t>
      </w:r>
      <w:r w:rsidR="0093605C" w:rsidRPr="0063279F">
        <w:rPr>
          <w:rFonts w:ascii="Times New Roman" w:hAnsi="Times New Roman" w:cs="Times New Roman"/>
        </w:rPr>
        <w:t>OCA</w:t>
      </w:r>
      <w:r w:rsidR="0021156D" w:rsidRPr="0063279F">
        <w:rPr>
          <w:rFonts w:ascii="Times New Roman" w:hAnsi="Times New Roman" w:cs="Times New Roman"/>
        </w:rPr>
        <w:t xml:space="preserve">, </w:t>
      </w:r>
      <w:r w:rsidR="00B86B50" w:rsidRPr="0063279F">
        <w:rPr>
          <w:rFonts w:ascii="Times New Roman" w:hAnsi="Times New Roman" w:cs="Times New Roman"/>
        </w:rPr>
        <w:t xml:space="preserve">and </w:t>
      </w:r>
      <w:r w:rsidR="0021156D" w:rsidRPr="0063279F">
        <w:rPr>
          <w:rFonts w:ascii="Times New Roman" w:hAnsi="Times New Roman" w:cs="Times New Roman"/>
        </w:rPr>
        <w:t xml:space="preserve">I&amp;E </w:t>
      </w:r>
      <w:r w:rsidR="0093605C" w:rsidRPr="0063279F">
        <w:rPr>
          <w:rFonts w:ascii="Times New Roman" w:hAnsi="Times New Roman" w:cs="Times New Roman"/>
        </w:rPr>
        <w:t xml:space="preserve">provided direct </w:t>
      </w:r>
      <w:r w:rsidR="0021156D" w:rsidRPr="0063279F">
        <w:rPr>
          <w:rFonts w:ascii="Times New Roman" w:hAnsi="Times New Roman" w:cs="Times New Roman"/>
        </w:rPr>
        <w:t>testimony on</w:t>
      </w:r>
      <w:r w:rsidR="00B86B50" w:rsidRPr="0063279F">
        <w:rPr>
          <w:rFonts w:ascii="Times New Roman" w:hAnsi="Times New Roman" w:cs="Times New Roman"/>
        </w:rPr>
        <w:t xml:space="preserve"> July 11, 2014</w:t>
      </w:r>
      <w:r w:rsidR="0021156D" w:rsidRPr="0063279F">
        <w:rPr>
          <w:rFonts w:ascii="Times New Roman" w:hAnsi="Times New Roman" w:cs="Times New Roman"/>
        </w:rPr>
        <w:t>, and</w:t>
      </w:r>
      <w:r w:rsidR="004C13BE" w:rsidRPr="0063279F">
        <w:rPr>
          <w:rFonts w:ascii="Times New Roman" w:hAnsi="Times New Roman" w:cs="Times New Roman"/>
        </w:rPr>
        <w:t xml:space="preserve"> </w:t>
      </w:r>
      <w:r w:rsidR="0021188F">
        <w:rPr>
          <w:rFonts w:ascii="Times New Roman" w:hAnsi="Times New Roman" w:cs="Times New Roman"/>
        </w:rPr>
        <w:t>UGI</w:t>
      </w:r>
      <w:r w:rsidR="0021156D" w:rsidRPr="0063279F">
        <w:rPr>
          <w:rFonts w:ascii="Times New Roman" w:hAnsi="Times New Roman" w:cs="Times New Roman"/>
        </w:rPr>
        <w:t xml:space="preserve"> filed rebuttal testimonies on </w:t>
      </w:r>
      <w:r w:rsidR="00B86B50" w:rsidRPr="0063279F">
        <w:rPr>
          <w:rFonts w:ascii="Times New Roman" w:hAnsi="Times New Roman" w:cs="Times New Roman"/>
        </w:rPr>
        <w:t>July 23, 2014</w:t>
      </w:r>
      <w:r w:rsidR="0021156D" w:rsidRPr="0063279F">
        <w:rPr>
          <w:rFonts w:ascii="Times New Roman" w:hAnsi="Times New Roman" w:cs="Times New Roman"/>
        </w:rPr>
        <w:t xml:space="preserve">.  </w:t>
      </w:r>
      <w:r w:rsidR="002163FE" w:rsidRPr="0063279F">
        <w:rPr>
          <w:rFonts w:ascii="Times New Roman" w:hAnsi="Times New Roman" w:cs="Times New Roman"/>
        </w:rPr>
        <w:t>On</w:t>
      </w:r>
      <w:r w:rsidR="00674F5E" w:rsidRPr="0063279F">
        <w:rPr>
          <w:rFonts w:ascii="Times New Roman" w:hAnsi="Times New Roman" w:cs="Times New Roman"/>
        </w:rPr>
        <w:t xml:space="preserve"> July 31, </w:t>
      </w:r>
      <w:r w:rsidR="00863BD9" w:rsidRPr="0063279F">
        <w:rPr>
          <w:rFonts w:ascii="Times New Roman" w:hAnsi="Times New Roman" w:cs="Times New Roman"/>
        </w:rPr>
        <w:t>2014</w:t>
      </w:r>
      <w:r w:rsidR="008045FE" w:rsidRPr="0063279F">
        <w:rPr>
          <w:rFonts w:ascii="Times New Roman" w:hAnsi="Times New Roman" w:cs="Times New Roman"/>
        </w:rPr>
        <w:t>,</w:t>
      </w:r>
      <w:r w:rsidR="0021156D" w:rsidRPr="0063279F">
        <w:rPr>
          <w:rFonts w:ascii="Times New Roman" w:hAnsi="Times New Roman" w:cs="Times New Roman"/>
        </w:rPr>
        <w:t xml:space="preserve"> I was notified</w:t>
      </w:r>
      <w:r w:rsidR="006F1B0D" w:rsidRPr="0063279F">
        <w:rPr>
          <w:rFonts w:ascii="Times New Roman" w:hAnsi="Times New Roman" w:cs="Times New Roman"/>
        </w:rPr>
        <w:t xml:space="preserve"> by </w:t>
      </w:r>
      <w:r w:rsidR="004C2674" w:rsidRPr="0063279F">
        <w:rPr>
          <w:rFonts w:ascii="Times New Roman" w:hAnsi="Times New Roman" w:cs="Times New Roman"/>
        </w:rPr>
        <w:t>UGI</w:t>
      </w:r>
      <w:r w:rsidR="004C13BE" w:rsidRPr="0063279F">
        <w:rPr>
          <w:rFonts w:ascii="Times New Roman" w:hAnsi="Times New Roman" w:cs="Times New Roman"/>
        </w:rPr>
        <w:t xml:space="preserve"> </w:t>
      </w:r>
      <w:r w:rsidR="0021156D" w:rsidRPr="0063279F">
        <w:rPr>
          <w:rFonts w:ascii="Times New Roman" w:hAnsi="Times New Roman" w:cs="Times New Roman"/>
        </w:rPr>
        <w:t xml:space="preserve">that a settlement in principle had been reached regarding all issues among all of the parties in the instant proceeding.  Therefore, </w:t>
      </w:r>
      <w:r w:rsidR="006F1B0D" w:rsidRPr="0063279F">
        <w:rPr>
          <w:rFonts w:ascii="Times New Roman" w:hAnsi="Times New Roman" w:cs="Times New Roman"/>
        </w:rPr>
        <w:t xml:space="preserve">the hearing scheduled for </w:t>
      </w:r>
      <w:r w:rsidR="00863BD9" w:rsidRPr="0063279F">
        <w:rPr>
          <w:rFonts w:ascii="Times New Roman" w:hAnsi="Times New Roman" w:cs="Times New Roman"/>
        </w:rPr>
        <w:t>August 4-5</w:t>
      </w:r>
      <w:r w:rsidR="006F1B0D" w:rsidRPr="0063279F">
        <w:rPr>
          <w:rFonts w:ascii="Times New Roman" w:hAnsi="Times New Roman" w:cs="Times New Roman"/>
        </w:rPr>
        <w:t>, 201</w:t>
      </w:r>
      <w:r w:rsidR="00863BD9" w:rsidRPr="0063279F">
        <w:rPr>
          <w:rFonts w:ascii="Times New Roman" w:hAnsi="Times New Roman" w:cs="Times New Roman"/>
        </w:rPr>
        <w:t>4</w:t>
      </w:r>
      <w:r w:rsidR="006F1B0D" w:rsidRPr="0063279F">
        <w:rPr>
          <w:rFonts w:ascii="Times New Roman" w:hAnsi="Times New Roman" w:cs="Times New Roman"/>
        </w:rPr>
        <w:t xml:space="preserve"> was </w:t>
      </w:r>
      <w:r w:rsidR="00A4700F" w:rsidRPr="0063279F">
        <w:rPr>
          <w:rFonts w:ascii="Times New Roman" w:hAnsi="Times New Roman" w:cs="Times New Roman"/>
        </w:rPr>
        <w:t xml:space="preserve">shortened </w:t>
      </w:r>
      <w:r w:rsidR="006F1B0D" w:rsidRPr="0063279F">
        <w:rPr>
          <w:rFonts w:ascii="Times New Roman" w:hAnsi="Times New Roman" w:cs="Times New Roman"/>
        </w:rPr>
        <w:t xml:space="preserve">to a hearing convening on </w:t>
      </w:r>
      <w:r w:rsidR="00863BD9" w:rsidRPr="0063279F">
        <w:rPr>
          <w:rFonts w:ascii="Times New Roman" w:hAnsi="Times New Roman" w:cs="Times New Roman"/>
        </w:rPr>
        <w:t>August 4</w:t>
      </w:r>
      <w:r w:rsidR="006F1B0D" w:rsidRPr="0063279F">
        <w:rPr>
          <w:rFonts w:ascii="Times New Roman" w:hAnsi="Times New Roman" w:cs="Times New Roman"/>
        </w:rPr>
        <w:t>, 201</w:t>
      </w:r>
      <w:r w:rsidR="00863BD9" w:rsidRPr="0063279F">
        <w:rPr>
          <w:rFonts w:ascii="Times New Roman" w:hAnsi="Times New Roman" w:cs="Times New Roman"/>
        </w:rPr>
        <w:t>4</w:t>
      </w:r>
      <w:r w:rsidR="006F1B0D" w:rsidRPr="0063279F">
        <w:rPr>
          <w:rFonts w:ascii="Times New Roman" w:hAnsi="Times New Roman" w:cs="Times New Roman"/>
        </w:rPr>
        <w:t xml:space="preserve">, for the purpose of entering into the record the </w:t>
      </w:r>
      <w:r w:rsidR="00C803E8" w:rsidRPr="0063279F">
        <w:rPr>
          <w:rFonts w:ascii="Times New Roman" w:hAnsi="Times New Roman" w:cs="Times New Roman"/>
        </w:rPr>
        <w:t xml:space="preserve">written </w:t>
      </w:r>
      <w:r w:rsidR="006F1B0D" w:rsidRPr="0063279F">
        <w:rPr>
          <w:rFonts w:ascii="Times New Roman" w:hAnsi="Times New Roman" w:cs="Times New Roman"/>
        </w:rPr>
        <w:t>testimonies and exhibits of the parties</w:t>
      </w:r>
      <w:r w:rsidR="00C803E8" w:rsidRPr="0063279F">
        <w:rPr>
          <w:rFonts w:ascii="Times New Roman" w:hAnsi="Times New Roman" w:cs="Times New Roman"/>
        </w:rPr>
        <w:t>.  A</w:t>
      </w:r>
      <w:r w:rsidR="0021156D" w:rsidRPr="0063279F">
        <w:rPr>
          <w:rFonts w:ascii="Times New Roman" w:hAnsi="Times New Roman" w:cs="Times New Roman"/>
        </w:rPr>
        <w:t xml:space="preserve">n Order Suspending Procedural Schedule was </w:t>
      </w:r>
      <w:r w:rsidR="006F1B0D" w:rsidRPr="0063279F">
        <w:rPr>
          <w:rFonts w:ascii="Times New Roman" w:hAnsi="Times New Roman" w:cs="Times New Roman"/>
        </w:rPr>
        <w:t xml:space="preserve">issued on </w:t>
      </w:r>
      <w:r w:rsidR="00863BD9" w:rsidRPr="0063279F">
        <w:rPr>
          <w:rFonts w:ascii="Times New Roman" w:hAnsi="Times New Roman" w:cs="Times New Roman"/>
        </w:rPr>
        <w:t>August 4, 2014</w:t>
      </w:r>
      <w:r w:rsidR="006F1B0D" w:rsidRPr="0063279F">
        <w:rPr>
          <w:rFonts w:ascii="Times New Roman" w:hAnsi="Times New Roman" w:cs="Times New Roman"/>
        </w:rPr>
        <w:t xml:space="preserve">, which suspended the requirement that briefs be filed and </w:t>
      </w:r>
      <w:r w:rsidR="00A4700F" w:rsidRPr="0063279F">
        <w:rPr>
          <w:rFonts w:ascii="Times New Roman" w:hAnsi="Times New Roman" w:cs="Times New Roman"/>
        </w:rPr>
        <w:t xml:space="preserve">instead </w:t>
      </w:r>
      <w:r w:rsidR="006F1B0D" w:rsidRPr="0063279F">
        <w:rPr>
          <w:rFonts w:ascii="Times New Roman" w:hAnsi="Times New Roman" w:cs="Times New Roman"/>
        </w:rPr>
        <w:t>directed</w:t>
      </w:r>
      <w:r w:rsidR="00C803E8" w:rsidRPr="0063279F">
        <w:rPr>
          <w:rFonts w:ascii="Times New Roman" w:hAnsi="Times New Roman" w:cs="Times New Roman"/>
        </w:rPr>
        <w:t xml:space="preserve"> that</w:t>
      </w:r>
      <w:r w:rsidR="006F1B0D" w:rsidRPr="0063279F">
        <w:rPr>
          <w:rFonts w:ascii="Times New Roman" w:hAnsi="Times New Roman" w:cs="Times New Roman"/>
        </w:rPr>
        <w:t xml:space="preserve"> a settlement petition</w:t>
      </w:r>
      <w:r w:rsidR="00C803E8" w:rsidRPr="0063279F">
        <w:rPr>
          <w:rFonts w:ascii="Times New Roman" w:hAnsi="Times New Roman" w:cs="Times New Roman"/>
        </w:rPr>
        <w:t>(s)</w:t>
      </w:r>
      <w:r w:rsidR="006F1B0D" w:rsidRPr="0063279F">
        <w:rPr>
          <w:rFonts w:ascii="Times New Roman" w:hAnsi="Times New Roman" w:cs="Times New Roman"/>
        </w:rPr>
        <w:t xml:space="preserve"> be filed with statements in support or non-opposition attached thereto on or before August </w:t>
      </w:r>
      <w:r w:rsidR="00863BD9" w:rsidRPr="0063279F">
        <w:rPr>
          <w:rFonts w:ascii="Times New Roman" w:hAnsi="Times New Roman" w:cs="Times New Roman"/>
        </w:rPr>
        <w:t>29</w:t>
      </w:r>
      <w:r w:rsidR="006F1B0D" w:rsidRPr="0063279F">
        <w:rPr>
          <w:rFonts w:ascii="Times New Roman" w:hAnsi="Times New Roman" w:cs="Times New Roman"/>
        </w:rPr>
        <w:t>, 201</w:t>
      </w:r>
      <w:r w:rsidR="00863BD9" w:rsidRPr="0063279F">
        <w:rPr>
          <w:rFonts w:ascii="Times New Roman" w:hAnsi="Times New Roman" w:cs="Times New Roman"/>
        </w:rPr>
        <w:t>4</w:t>
      </w:r>
      <w:r w:rsidR="006F1B0D" w:rsidRPr="0063279F">
        <w:rPr>
          <w:rFonts w:ascii="Times New Roman" w:hAnsi="Times New Roman" w:cs="Times New Roman"/>
        </w:rPr>
        <w:t>.</w:t>
      </w:r>
    </w:p>
    <w:p w:rsidR="006F1B0D" w:rsidRPr="0063279F" w:rsidRDefault="006F1B0D" w:rsidP="00A702FB">
      <w:pPr>
        <w:spacing w:line="360" w:lineRule="auto"/>
        <w:rPr>
          <w:rFonts w:ascii="Times New Roman" w:hAnsi="Times New Roman" w:cs="Times New Roman"/>
        </w:rPr>
      </w:pPr>
    </w:p>
    <w:p w:rsidR="00AC2BCC" w:rsidRPr="0063279F" w:rsidRDefault="00C803E8" w:rsidP="00672D3F">
      <w:pPr>
        <w:spacing w:line="360" w:lineRule="auto"/>
        <w:rPr>
          <w:rFonts w:ascii="Times New Roman" w:hAnsi="Times New Roman" w:cs="Times New Roman"/>
        </w:rPr>
      </w:pPr>
      <w:r w:rsidRPr="0063279F">
        <w:rPr>
          <w:rFonts w:ascii="Times New Roman" w:hAnsi="Times New Roman" w:cs="Times New Roman"/>
        </w:rPr>
        <w:tab/>
      </w:r>
      <w:r w:rsidRPr="0063279F">
        <w:rPr>
          <w:rFonts w:ascii="Times New Roman" w:hAnsi="Times New Roman" w:cs="Times New Roman"/>
        </w:rPr>
        <w:tab/>
        <w:t xml:space="preserve">At </w:t>
      </w:r>
      <w:r w:rsidR="00F53C71" w:rsidRPr="0063279F">
        <w:rPr>
          <w:rFonts w:ascii="Times New Roman" w:hAnsi="Times New Roman" w:cs="Times New Roman"/>
        </w:rPr>
        <w:t xml:space="preserve">the </w:t>
      </w:r>
      <w:r w:rsidR="00B86B50" w:rsidRPr="0063279F">
        <w:rPr>
          <w:rFonts w:ascii="Times New Roman" w:hAnsi="Times New Roman" w:cs="Times New Roman"/>
        </w:rPr>
        <w:t>August 4, 2014</w:t>
      </w:r>
      <w:r w:rsidRPr="0063279F">
        <w:rPr>
          <w:rFonts w:ascii="Times New Roman" w:hAnsi="Times New Roman" w:cs="Times New Roman"/>
        </w:rPr>
        <w:t xml:space="preserve"> hearing, </w:t>
      </w:r>
      <w:r w:rsidR="004C2674" w:rsidRPr="0063279F">
        <w:rPr>
          <w:rFonts w:ascii="Times New Roman" w:hAnsi="Times New Roman" w:cs="Times New Roman"/>
        </w:rPr>
        <w:t>UGI</w:t>
      </w:r>
      <w:r w:rsidR="00B060FF" w:rsidRPr="0063279F">
        <w:rPr>
          <w:rFonts w:ascii="Times New Roman" w:hAnsi="Times New Roman" w:cs="Times New Roman"/>
        </w:rPr>
        <w:t xml:space="preserve"> </w:t>
      </w:r>
      <w:r w:rsidR="00411E77" w:rsidRPr="0063279F">
        <w:rPr>
          <w:rFonts w:ascii="Times New Roman" w:hAnsi="Times New Roman" w:cs="Times New Roman"/>
        </w:rPr>
        <w:t>E</w:t>
      </w:r>
      <w:r w:rsidR="008045FE" w:rsidRPr="0063279F">
        <w:rPr>
          <w:rFonts w:ascii="Times New Roman" w:hAnsi="Times New Roman" w:cs="Times New Roman"/>
        </w:rPr>
        <w:t>xhibit No. 1</w:t>
      </w:r>
      <w:r w:rsidRPr="0063279F">
        <w:rPr>
          <w:rFonts w:ascii="Times New Roman" w:hAnsi="Times New Roman" w:cs="Times New Roman"/>
        </w:rPr>
        <w:t xml:space="preserve"> (5/1/1</w:t>
      </w:r>
      <w:r w:rsidR="00B86B50" w:rsidRPr="0063279F">
        <w:rPr>
          <w:rFonts w:ascii="Times New Roman" w:hAnsi="Times New Roman" w:cs="Times New Roman"/>
        </w:rPr>
        <w:t>4</w:t>
      </w:r>
      <w:r w:rsidRPr="0063279F">
        <w:rPr>
          <w:rFonts w:ascii="Times New Roman" w:hAnsi="Times New Roman" w:cs="Times New Roman"/>
        </w:rPr>
        <w:t xml:space="preserve"> pre</w:t>
      </w:r>
      <w:r w:rsidR="00180A6C" w:rsidRPr="0063279F">
        <w:rPr>
          <w:rFonts w:ascii="Times New Roman" w:hAnsi="Times New Roman" w:cs="Times New Roman"/>
        </w:rPr>
        <w:t>-</w:t>
      </w:r>
      <w:r w:rsidRPr="0063279F">
        <w:rPr>
          <w:rFonts w:ascii="Times New Roman" w:hAnsi="Times New Roman" w:cs="Times New Roman"/>
        </w:rPr>
        <w:t>filing information</w:t>
      </w:r>
      <w:r w:rsidR="003A75F2" w:rsidRPr="0063279F">
        <w:rPr>
          <w:rFonts w:ascii="Times New Roman" w:hAnsi="Times New Roman" w:cs="Times New Roman"/>
        </w:rPr>
        <w:t xml:space="preserve"> (Book 1)</w:t>
      </w:r>
      <w:r w:rsidRPr="0063279F">
        <w:rPr>
          <w:rFonts w:ascii="Times New Roman" w:hAnsi="Times New Roman" w:cs="Times New Roman"/>
        </w:rPr>
        <w:t>, 5/3</w:t>
      </w:r>
      <w:r w:rsidR="00B86B50" w:rsidRPr="0063279F">
        <w:rPr>
          <w:rFonts w:ascii="Times New Roman" w:hAnsi="Times New Roman" w:cs="Times New Roman"/>
        </w:rPr>
        <w:t>0</w:t>
      </w:r>
      <w:r w:rsidRPr="0063279F">
        <w:rPr>
          <w:rFonts w:ascii="Times New Roman" w:hAnsi="Times New Roman" w:cs="Times New Roman"/>
        </w:rPr>
        <w:t>/1</w:t>
      </w:r>
      <w:r w:rsidR="00B86B50" w:rsidRPr="0063279F">
        <w:rPr>
          <w:rFonts w:ascii="Times New Roman" w:hAnsi="Times New Roman" w:cs="Times New Roman"/>
        </w:rPr>
        <w:t>4</w:t>
      </w:r>
      <w:r w:rsidRPr="0063279F">
        <w:rPr>
          <w:rFonts w:ascii="Times New Roman" w:hAnsi="Times New Roman" w:cs="Times New Roman"/>
        </w:rPr>
        <w:t xml:space="preserve"> filing and direct testimony</w:t>
      </w:r>
      <w:r w:rsidR="003A75F2" w:rsidRPr="0063279F">
        <w:rPr>
          <w:rFonts w:ascii="Times New Roman" w:hAnsi="Times New Roman" w:cs="Times New Roman"/>
        </w:rPr>
        <w:t xml:space="preserve"> (Book 2)</w:t>
      </w:r>
      <w:r w:rsidRPr="0063279F">
        <w:rPr>
          <w:rFonts w:ascii="Times New Roman" w:hAnsi="Times New Roman" w:cs="Times New Roman"/>
        </w:rPr>
        <w:t>)</w:t>
      </w:r>
      <w:r w:rsidR="00F53C71" w:rsidRPr="0063279F">
        <w:rPr>
          <w:rFonts w:ascii="Times New Roman" w:hAnsi="Times New Roman" w:cs="Times New Roman"/>
        </w:rPr>
        <w:t xml:space="preserve"> w</w:t>
      </w:r>
      <w:r w:rsidR="00DD46A7" w:rsidRPr="0063279F">
        <w:rPr>
          <w:rFonts w:ascii="Times New Roman" w:hAnsi="Times New Roman" w:cs="Times New Roman"/>
        </w:rPr>
        <w:t>ere</w:t>
      </w:r>
      <w:r w:rsidR="00F53C71" w:rsidRPr="0063279F">
        <w:rPr>
          <w:rFonts w:ascii="Times New Roman" w:hAnsi="Times New Roman" w:cs="Times New Roman"/>
        </w:rPr>
        <w:t xml:space="preserve"> admitted into the record.  </w:t>
      </w:r>
      <w:r w:rsidR="00B7744F" w:rsidRPr="0063279F">
        <w:rPr>
          <w:rFonts w:ascii="Times New Roman" w:hAnsi="Times New Roman" w:cs="Times New Roman"/>
        </w:rPr>
        <w:t xml:space="preserve">Tr. </w:t>
      </w:r>
      <w:r w:rsidR="00B86B50" w:rsidRPr="0063279F">
        <w:rPr>
          <w:rFonts w:ascii="Times New Roman" w:hAnsi="Times New Roman" w:cs="Times New Roman"/>
        </w:rPr>
        <w:t>30</w:t>
      </w:r>
      <w:r w:rsidR="004C2674" w:rsidRPr="0063279F">
        <w:rPr>
          <w:rFonts w:ascii="Times New Roman" w:hAnsi="Times New Roman" w:cs="Times New Roman"/>
        </w:rPr>
        <w:t>-35</w:t>
      </w:r>
      <w:r w:rsidR="00B7744F" w:rsidRPr="0063279F">
        <w:rPr>
          <w:rFonts w:ascii="Times New Roman" w:hAnsi="Times New Roman" w:cs="Times New Roman"/>
        </w:rPr>
        <w:t xml:space="preserve">.  </w:t>
      </w:r>
      <w:r w:rsidR="006F5652" w:rsidRPr="0063279F">
        <w:rPr>
          <w:rFonts w:ascii="Times New Roman" w:hAnsi="Times New Roman" w:cs="Times New Roman"/>
        </w:rPr>
        <w:t xml:space="preserve">The Supplemental Direct Testimony of </w:t>
      </w:r>
      <w:r w:rsidR="004C2674" w:rsidRPr="0063279F">
        <w:rPr>
          <w:rFonts w:ascii="Times New Roman" w:hAnsi="Times New Roman" w:cs="Times New Roman"/>
        </w:rPr>
        <w:t>William J. McAllister</w:t>
      </w:r>
      <w:r w:rsidR="006F5652" w:rsidRPr="0063279F">
        <w:rPr>
          <w:rFonts w:ascii="Times New Roman" w:hAnsi="Times New Roman" w:cs="Times New Roman"/>
        </w:rPr>
        <w:t xml:space="preserve"> was also admitted into the record.  </w:t>
      </w:r>
      <w:proofErr w:type="gramStart"/>
      <w:r w:rsidR="006F5652" w:rsidRPr="0063279F">
        <w:rPr>
          <w:rFonts w:ascii="Times New Roman" w:hAnsi="Times New Roman" w:cs="Times New Roman"/>
        </w:rPr>
        <w:t>Tr. 3</w:t>
      </w:r>
      <w:r w:rsidR="004C2674" w:rsidRPr="0063279F">
        <w:rPr>
          <w:rFonts w:ascii="Times New Roman" w:hAnsi="Times New Roman" w:cs="Times New Roman"/>
        </w:rPr>
        <w:t>1</w:t>
      </w:r>
      <w:r w:rsidR="006F5652" w:rsidRPr="0063279F">
        <w:rPr>
          <w:rFonts w:ascii="Times New Roman" w:hAnsi="Times New Roman" w:cs="Times New Roman"/>
        </w:rPr>
        <w:t>.</w:t>
      </w:r>
      <w:proofErr w:type="gramEnd"/>
      <w:r w:rsidR="006F5652" w:rsidRPr="0063279F">
        <w:rPr>
          <w:rFonts w:ascii="Times New Roman" w:hAnsi="Times New Roman" w:cs="Times New Roman"/>
        </w:rPr>
        <w:t xml:space="preserve">  </w:t>
      </w:r>
      <w:r w:rsidRPr="0063279F">
        <w:rPr>
          <w:rFonts w:ascii="Times New Roman" w:hAnsi="Times New Roman" w:cs="Times New Roman"/>
        </w:rPr>
        <w:t xml:space="preserve">Additionally, </w:t>
      </w:r>
      <w:r w:rsidR="004C2674" w:rsidRPr="0063279F">
        <w:rPr>
          <w:rFonts w:ascii="Times New Roman" w:hAnsi="Times New Roman" w:cs="Times New Roman"/>
        </w:rPr>
        <w:t xml:space="preserve">UGI </w:t>
      </w:r>
      <w:r w:rsidRPr="0063279F">
        <w:rPr>
          <w:rFonts w:ascii="Times New Roman" w:hAnsi="Times New Roman" w:cs="Times New Roman"/>
        </w:rPr>
        <w:t>Statements 1-R (</w:t>
      </w:r>
      <w:r w:rsidR="004C2674" w:rsidRPr="0063279F">
        <w:rPr>
          <w:rFonts w:ascii="Times New Roman" w:hAnsi="Times New Roman" w:cs="Times New Roman"/>
        </w:rPr>
        <w:t>William McAllister</w:t>
      </w:r>
      <w:r w:rsidRPr="0063279F">
        <w:rPr>
          <w:rFonts w:ascii="Times New Roman" w:hAnsi="Times New Roman" w:cs="Times New Roman"/>
        </w:rPr>
        <w:t xml:space="preserve"> – rebuttal), 2-R (</w:t>
      </w:r>
      <w:r w:rsidR="00B86B50" w:rsidRPr="0063279F">
        <w:rPr>
          <w:rFonts w:ascii="Times New Roman" w:hAnsi="Times New Roman" w:cs="Times New Roman"/>
        </w:rPr>
        <w:t xml:space="preserve">David C. </w:t>
      </w:r>
      <w:proofErr w:type="spellStart"/>
      <w:r w:rsidRPr="0063279F">
        <w:rPr>
          <w:rFonts w:ascii="Times New Roman" w:hAnsi="Times New Roman" w:cs="Times New Roman"/>
        </w:rPr>
        <w:t>Beasten</w:t>
      </w:r>
      <w:proofErr w:type="spellEnd"/>
      <w:r w:rsidRPr="0063279F">
        <w:rPr>
          <w:rFonts w:ascii="Times New Roman" w:hAnsi="Times New Roman" w:cs="Times New Roman"/>
        </w:rPr>
        <w:t xml:space="preserve"> – rebuttal) and 3-R (</w:t>
      </w:r>
      <w:r w:rsidR="00B86B50" w:rsidRPr="0063279F">
        <w:rPr>
          <w:rFonts w:ascii="Times New Roman" w:hAnsi="Times New Roman" w:cs="Times New Roman"/>
        </w:rPr>
        <w:t xml:space="preserve">Shaun </w:t>
      </w:r>
      <w:r w:rsidRPr="0063279F">
        <w:rPr>
          <w:rFonts w:ascii="Times New Roman" w:hAnsi="Times New Roman" w:cs="Times New Roman"/>
        </w:rPr>
        <w:t xml:space="preserve">Hart – rebuttal) were </w:t>
      </w:r>
      <w:r w:rsidR="00B7744F" w:rsidRPr="0063279F">
        <w:rPr>
          <w:rFonts w:ascii="Times New Roman" w:hAnsi="Times New Roman" w:cs="Times New Roman"/>
        </w:rPr>
        <w:t>admitted into the record.  Tr. 3</w:t>
      </w:r>
      <w:r w:rsidR="004C2674" w:rsidRPr="0063279F">
        <w:rPr>
          <w:rFonts w:ascii="Times New Roman" w:hAnsi="Times New Roman" w:cs="Times New Roman"/>
        </w:rPr>
        <w:t>1-32</w:t>
      </w:r>
      <w:r w:rsidRPr="0063279F">
        <w:rPr>
          <w:rFonts w:ascii="Times New Roman" w:hAnsi="Times New Roman" w:cs="Times New Roman"/>
        </w:rPr>
        <w:t xml:space="preserve">.  </w:t>
      </w:r>
      <w:r w:rsidR="003B6497" w:rsidRPr="0063279F">
        <w:rPr>
          <w:rFonts w:ascii="Times New Roman" w:hAnsi="Times New Roman" w:cs="Times New Roman"/>
        </w:rPr>
        <w:t xml:space="preserve">OCA Statement No. 1 </w:t>
      </w:r>
      <w:r w:rsidR="00180A6C" w:rsidRPr="0063279F">
        <w:rPr>
          <w:rFonts w:ascii="Times New Roman" w:hAnsi="Times New Roman" w:cs="Times New Roman"/>
        </w:rPr>
        <w:t>(</w:t>
      </w:r>
      <w:r w:rsidR="00B86B50" w:rsidRPr="0063279F">
        <w:rPr>
          <w:rFonts w:ascii="Times New Roman" w:hAnsi="Times New Roman" w:cs="Times New Roman"/>
        </w:rPr>
        <w:t xml:space="preserve">Jerome D. </w:t>
      </w:r>
      <w:proofErr w:type="spellStart"/>
      <w:r w:rsidR="00180A6C" w:rsidRPr="0063279F">
        <w:rPr>
          <w:rFonts w:ascii="Times New Roman" w:hAnsi="Times New Roman" w:cs="Times New Roman"/>
        </w:rPr>
        <w:t>M</w:t>
      </w:r>
      <w:r w:rsidR="003B6497" w:rsidRPr="0063279F">
        <w:rPr>
          <w:rFonts w:ascii="Times New Roman" w:hAnsi="Times New Roman" w:cs="Times New Roman"/>
        </w:rPr>
        <w:t>ierzwa</w:t>
      </w:r>
      <w:proofErr w:type="spellEnd"/>
      <w:r w:rsidR="00180A6C" w:rsidRPr="0063279F">
        <w:rPr>
          <w:rFonts w:ascii="Times New Roman" w:hAnsi="Times New Roman" w:cs="Times New Roman"/>
        </w:rPr>
        <w:t xml:space="preserve"> – direct)</w:t>
      </w:r>
      <w:r w:rsidRPr="0063279F">
        <w:rPr>
          <w:rFonts w:ascii="Times New Roman" w:hAnsi="Times New Roman" w:cs="Times New Roman"/>
        </w:rPr>
        <w:t xml:space="preserve"> was admitted</w:t>
      </w:r>
      <w:r w:rsidR="00180A6C" w:rsidRPr="0063279F">
        <w:rPr>
          <w:rFonts w:ascii="Times New Roman" w:hAnsi="Times New Roman" w:cs="Times New Roman"/>
        </w:rPr>
        <w:t xml:space="preserve">.  </w:t>
      </w:r>
      <w:proofErr w:type="gramStart"/>
      <w:r w:rsidR="004C2674" w:rsidRPr="0063279F">
        <w:rPr>
          <w:rFonts w:ascii="Times New Roman" w:hAnsi="Times New Roman" w:cs="Times New Roman"/>
        </w:rPr>
        <w:t>Tr. 32.</w:t>
      </w:r>
      <w:proofErr w:type="gramEnd"/>
      <w:r w:rsidR="004C2674" w:rsidRPr="0063279F">
        <w:rPr>
          <w:rFonts w:ascii="Times New Roman" w:hAnsi="Times New Roman" w:cs="Times New Roman"/>
        </w:rPr>
        <w:t xml:space="preserve">  </w:t>
      </w:r>
      <w:r w:rsidR="00180A6C" w:rsidRPr="0063279F">
        <w:rPr>
          <w:rFonts w:ascii="Times New Roman" w:hAnsi="Times New Roman" w:cs="Times New Roman"/>
        </w:rPr>
        <w:t>I&amp;E Statement No. 1 (</w:t>
      </w:r>
      <w:r w:rsidR="00B86B50" w:rsidRPr="0063279F">
        <w:rPr>
          <w:rFonts w:ascii="Times New Roman" w:hAnsi="Times New Roman" w:cs="Times New Roman"/>
        </w:rPr>
        <w:t xml:space="preserve">Ethan H. Cline </w:t>
      </w:r>
      <w:r w:rsidR="00180A6C" w:rsidRPr="0063279F">
        <w:rPr>
          <w:rFonts w:ascii="Times New Roman" w:hAnsi="Times New Roman" w:cs="Times New Roman"/>
        </w:rPr>
        <w:t xml:space="preserve">– </w:t>
      </w:r>
      <w:r w:rsidR="00B86B50" w:rsidRPr="0063279F">
        <w:rPr>
          <w:rFonts w:ascii="Times New Roman" w:hAnsi="Times New Roman" w:cs="Times New Roman"/>
        </w:rPr>
        <w:t xml:space="preserve">proprietary/nonproprietary </w:t>
      </w:r>
      <w:r w:rsidR="00180A6C" w:rsidRPr="0063279F">
        <w:rPr>
          <w:rFonts w:ascii="Times New Roman" w:hAnsi="Times New Roman" w:cs="Times New Roman"/>
        </w:rPr>
        <w:t xml:space="preserve">direct) and </w:t>
      </w:r>
      <w:r w:rsidR="00B7744F" w:rsidRPr="0063279F">
        <w:rPr>
          <w:rFonts w:ascii="Times New Roman" w:hAnsi="Times New Roman" w:cs="Times New Roman"/>
        </w:rPr>
        <w:t>2 (</w:t>
      </w:r>
      <w:r w:rsidR="004C2674" w:rsidRPr="0063279F">
        <w:rPr>
          <w:rFonts w:ascii="Times New Roman" w:hAnsi="Times New Roman" w:cs="Times New Roman"/>
        </w:rPr>
        <w:t>Lisa Boyd</w:t>
      </w:r>
      <w:r w:rsidR="00B7744F" w:rsidRPr="0063279F">
        <w:rPr>
          <w:rFonts w:ascii="Times New Roman" w:hAnsi="Times New Roman" w:cs="Times New Roman"/>
        </w:rPr>
        <w:t xml:space="preserve"> – </w:t>
      </w:r>
      <w:r w:rsidR="00B86B50" w:rsidRPr="0063279F">
        <w:rPr>
          <w:rFonts w:ascii="Times New Roman" w:hAnsi="Times New Roman" w:cs="Times New Roman"/>
        </w:rPr>
        <w:t xml:space="preserve">proprietary/nonproprietary </w:t>
      </w:r>
      <w:r w:rsidR="00B7744F" w:rsidRPr="0063279F">
        <w:rPr>
          <w:rFonts w:ascii="Times New Roman" w:hAnsi="Times New Roman" w:cs="Times New Roman"/>
        </w:rPr>
        <w:t xml:space="preserve">direct) were admitted.  </w:t>
      </w:r>
      <w:r w:rsidR="00180A6C" w:rsidRPr="0063279F">
        <w:rPr>
          <w:rFonts w:ascii="Times New Roman" w:hAnsi="Times New Roman" w:cs="Times New Roman"/>
        </w:rPr>
        <w:t>I&amp;E Exhibit No. 1 (</w:t>
      </w:r>
      <w:r w:rsidR="00B86B50" w:rsidRPr="0063279F">
        <w:rPr>
          <w:rFonts w:ascii="Times New Roman" w:hAnsi="Times New Roman" w:cs="Times New Roman"/>
        </w:rPr>
        <w:t>Cline</w:t>
      </w:r>
      <w:r w:rsidR="00180A6C" w:rsidRPr="0063279F">
        <w:rPr>
          <w:rFonts w:ascii="Times New Roman" w:hAnsi="Times New Roman" w:cs="Times New Roman"/>
        </w:rPr>
        <w:t>) was admitted</w:t>
      </w:r>
      <w:r w:rsidR="00B86B50" w:rsidRPr="0063279F">
        <w:rPr>
          <w:rFonts w:ascii="Times New Roman" w:hAnsi="Times New Roman" w:cs="Times New Roman"/>
        </w:rPr>
        <w:t xml:space="preserve"> in proprietary and nonproprietary versions</w:t>
      </w:r>
      <w:r w:rsidR="00180A6C" w:rsidRPr="0063279F">
        <w:rPr>
          <w:rFonts w:ascii="Times New Roman" w:hAnsi="Times New Roman" w:cs="Times New Roman"/>
        </w:rPr>
        <w:t>.</w:t>
      </w:r>
      <w:r w:rsidR="003A75F2" w:rsidRPr="0063279F">
        <w:rPr>
          <w:rFonts w:ascii="Times New Roman" w:hAnsi="Times New Roman" w:cs="Times New Roman"/>
        </w:rPr>
        <w:t xml:space="preserve">  </w:t>
      </w:r>
      <w:proofErr w:type="gramStart"/>
      <w:r w:rsidR="003A75F2" w:rsidRPr="0063279F">
        <w:rPr>
          <w:rFonts w:ascii="Times New Roman" w:hAnsi="Times New Roman" w:cs="Times New Roman"/>
        </w:rPr>
        <w:t>Tr. 3</w:t>
      </w:r>
      <w:r w:rsidR="004C2674" w:rsidRPr="0063279F">
        <w:rPr>
          <w:rFonts w:ascii="Times New Roman" w:hAnsi="Times New Roman" w:cs="Times New Roman"/>
        </w:rPr>
        <w:t>5</w:t>
      </w:r>
      <w:r w:rsidR="003A75F2" w:rsidRPr="0063279F">
        <w:rPr>
          <w:rFonts w:ascii="Times New Roman" w:hAnsi="Times New Roman" w:cs="Times New Roman"/>
        </w:rPr>
        <w:t>.</w:t>
      </w:r>
      <w:proofErr w:type="gramEnd"/>
      <w:r w:rsidR="00B86B50" w:rsidRPr="0063279F">
        <w:rPr>
          <w:rFonts w:ascii="Times New Roman" w:hAnsi="Times New Roman" w:cs="Times New Roman"/>
        </w:rPr>
        <w:t xml:space="preserve">  Also, I&amp;E Exhibit No. 2 (</w:t>
      </w:r>
      <w:r w:rsidR="004C2674" w:rsidRPr="0063279F">
        <w:rPr>
          <w:rFonts w:ascii="Times New Roman" w:hAnsi="Times New Roman" w:cs="Times New Roman"/>
        </w:rPr>
        <w:t>Boyd</w:t>
      </w:r>
      <w:r w:rsidR="00B86B50" w:rsidRPr="0063279F">
        <w:rPr>
          <w:rFonts w:ascii="Times New Roman" w:hAnsi="Times New Roman" w:cs="Times New Roman"/>
        </w:rPr>
        <w:t xml:space="preserve">) was admitted in proprietary and nonproprietary versions.  </w:t>
      </w:r>
      <w:proofErr w:type="gramStart"/>
      <w:r w:rsidR="00B86B50" w:rsidRPr="0063279F">
        <w:rPr>
          <w:rFonts w:ascii="Times New Roman" w:hAnsi="Times New Roman" w:cs="Times New Roman"/>
        </w:rPr>
        <w:t>Tr. 3</w:t>
      </w:r>
      <w:r w:rsidR="004C2674" w:rsidRPr="0063279F">
        <w:rPr>
          <w:rFonts w:ascii="Times New Roman" w:hAnsi="Times New Roman" w:cs="Times New Roman"/>
        </w:rPr>
        <w:t>5</w:t>
      </w:r>
      <w:r w:rsidR="00B86B50" w:rsidRPr="0063279F">
        <w:rPr>
          <w:rFonts w:ascii="Times New Roman" w:hAnsi="Times New Roman" w:cs="Times New Roman"/>
        </w:rPr>
        <w:t>.</w:t>
      </w:r>
      <w:proofErr w:type="gramEnd"/>
    </w:p>
    <w:p w:rsidR="005A09A4" w:rsidRPr="0063279F" w:rsidRDefault="005A09A4" w:rsidP="00106029">
      <w:pPr>
        <w:pStyle w:val="Style"/>
        <w:spacing w:line="360" w:lineRule="auto"/>
        <w:ind w:firstLine="1440"/>
      </w:pPr>
    </w:p>
    <w:p w:rsidR="00881C63" w:rsidRPr="0063279F" w:rsidRDefault="00034EB4" w:rsidP="00106029">
      <w:pPr>
        <w:pStyle w:val="Style"/>
        <w:spacing w:line="360" w:lineRule="auto"/>
        <w:ind w:firstLine="1440"/>
      </w:pPr>
      <w:r w:rsidRPr="0063279F">
        <w:t xml:space="preserve">On August </w:t>
      </w:r>
      <w:r w:rsidR="00180A6C" w:rsidRPr="0063279F">
        <w:t>2</w:t>
      </w:r>
      <w:r w:rsidR="00893EA1" w:rsidRPr="0063279F">
        <w:t>9</w:t>
      </w:r>
      <w:r w:rsidR="00C70B51" w:rsidRPr="0063279F">
        <w:t>, 20</w:t>
      </w:r>
      <w:r w:rsidR="00672D3F" w:rsidRPr="0063279F">
        <w:t>1</w:t>
      </w:r>
      <w:r w:rsidR="00893EA1" w:rsidRPr="0063279F">
        <w:t>4</w:t>
      </w:r>
      <w:r w:rsidR="00443011" w:rsidRPr="0063279F">
        <w:t xml:space="preserve">, </w:t>
      </w:r>
      <w:r w:rsidR="0021188F">
        <w:t>UGI</w:t>
      </w:r>
      <w:r w:rsidR="006F0269" w:rsidRPr="0063279F">
        <w:t>, I&amp;E,</w:t>
      </w:r>
      <w:r w:rsidR="00180A6C" w:rsidRPr="0063279F">
        <w:t xml:space="preserve"> OSBA</w:t>
      </w:r>
      <w:r w:rsidR="006F0269" w:rsidRPr="0063279F">
        <w:t xml:space="preserve"> and OCA</w:t>
      </w:r>
      <w:r w:rsidR="005A09A4" w:rsidRPr="0063279F">
        <w:t xml:space="preserve"> </w:t>
      </w:r>
      <w:r w:rsidR="00C70B51" w:rsidRPr="0063279F">
        <w:t>filed the Stipulation previously referenced herein</w:t>
      </w:r>
      <w:r w:rsidR="008C5837" w:rsidRPr="0063279F">
        <w:t xml:space="preserve">. </w:t>
      </w:r>
      <w:r w:rsidR="00264145" w:rsidRPr="0063279F">
        <w:t xml:space="preserve"> </w:t>
      </w:r>
      <w:r w:rsidR="00841865" w:rsidRPr="0063279F">
        <w:t>These signatory parties also filed separate statements in support attached as Appendices B-E to the Stipulation.</w:t>
      </w:r>
    </w:p>
    <w:p w:rsidR="004C2674" w:rsidRPr="0063279F" w:rsidRDefault="004C2674" w:rsidP="00106029">
      <w:pPr>
        <w:pStyle w:val="Style"/>
        <w:spacing w:line="360" w:lineRule="auto"/>
        <w:ind w:firstLine="1440"/>
        <w:rPr>
          <w:color w:val="000000"/>
        </w:rPr>
      </w:pPr>
    </w:p>
    <w:p w:rsidR="00890E28" w:rsidRPr="0063279F" w:rsidRDefault="00B5583C" w:rsidP="00672D3F">
      <w:pPr>
        <w:pStyle w:val="Style"/>
        <w:spacing w:line="360" w:lineRule="auto"/>
        <w:ind w:firstLine="1440"/>
      </w:pPr>
      <w:r w:rsidRPr="0063279F">
        <w:rPr>
          <w:spacing w:val="-3"/>
        </w:rPr>
        <w:t xml:space="preserve">On September 11, 2014, the Company filed a corrected Appendix A, which </w:t>
      </w:r>
      <w:r w:rsidR="00002865" w:rsidRPr="0063279F">
        <w:rPr>
          <w:spacing w:val="-3"/>
        </w:rPr>
        <w:t>is</w:t>
      </w:r>
      <w:r w:rsidRPr="0063279F">
        <w:rPr>
          <w:spacing w:val="-3"/>
        </w:rPr>
        <w:t xml:space="preserve"> entered into the record. </w:t>
      </w:r>
      <w:r w:rsidR="00002865" w:rsidRPr="0063279F">
        <w:rPr>
          <w:spacing w:val="-3"/>
        </w:rPr>
        <w:t xml:space="preserve"> The corrected Appendix A changes Line N of Appendix </w:t>
      </w:r>
      <w:proofErr w:type="gramStart"/>
      <w:r w:rsidR="00002865" w:rsidRPr="0063279F">
        <w:rPr>
          <w:spacing w:val="-3"/>
        </w:rPr>
        <w:t>A</w:t>
      </w:r>
      <w:proofErr w:type="gramEnd"/>
      <w:r w:rsidR="00002865" w:rsidRPr="0063279F">
        <w:rPr>
          <w:spacing w:val="-3"/>
        </w:rPr>
        <w:t>, Page 1 of 2 to state, “Residential Hea</w:t>
      </w:r>
      <w:r w:rsidR="0021188F">
        <w:rPr>
          <w:spacing w:val="-3"/>
        </w:rPr>
        <w:t>t</w:t>
      </w:r>
      <w:r w:rsidR="00002865" w:rsidRPr="0063279F">
        <w:rPr>
          <w:spacing w:val="-3"/>
        </w:rPr>
        <w:t xml:space="preserve">ing Percentage Change with Settlement Adjustments – PGC1” as opposed to “PGC1 Percentage Change with Settlement Adjustments.” </w:t>
      </w:r>
      <w:r w:rsidRPr="0063279F">
        <w:rPr>
          <w:spacing w:val="-3"/>
        </w:rPr>
        <w:t xml:space="preserve"> </w:t>
      </w:r>
      <w:r w:rsidR="00002865" w:rsidRPr="0063279F">
        <w:rPr>
          <w:spacing w:val="-3"/>
        </w:rPr>
        <w:t xml:space="preserve">The figure itself remains unchanged.  It was just mislabeled.  </w:t>
      </w:r>
      <w:r w:rsidR="00CB6DB1" w:rsidRPr="0063279F">
        <w:rPr>
          <w:spacing w:val="-3"/>
        </w:rPr>
        <w:t xml:space="preserve">On </w:t>
      </w:r>
      <w:r w:rsidRPr="0063279F">
        <w:rPr>
          <w:spacing w:val="-3"/>
        </w:rPr>
        <w:t>September 11, 2014</w:t>
      </w:r>
      <w:r w:rsidR="00672D3F" w:rsidRPr="0063279F">
        <w:rPr>
          <w:spacing w:val="-3"/>
        </w:rPr>
        <w:t>,</w:t>
      </w:r>
      <w:r w:rsidR="00CB6DB1" w:rsidRPr="0063279F">
        <w:rPr>
          <w:spacing w:val="-3"/>
        </w:rPr>
        <w:t xml:space="preserve"> the </w:t>
      </w:r>
      <w:r w:rsidRPr="0063279F">
        <w:rPr>
          <w:spacing w:val="-3"/>
        </w:rPr>
        <w:t>UGI</w:t>
      </w:r>
      <w:r w:rsidR="007674B0" w:rsidRPr="0063279F">
        <w:rPr>
          <w:spacing w:val="-3"/>
        </w:rPr>
        <w:t xml:space="preserve"> 1307(f) </w:t>
      </w:r>
      <w:r w:rsidR="00CB6DB1" w:rsidRPr="0063279F">
        <w:rPr>
          <w:spacing w:val="-3"/>
        </w:rPr>
        <w:t xml:space="preserve">record was closed for decision writing.  The record consists of the above-mentioned statements and exhibits and </w:t>
      </w:r>
      <w:r w:rsidR="00180A6C" w:rsidRPr="0063279F">
        <w:rPr>
          <w:spacing w:val="-3"/>
        </w:rPr>
        <w:t>thirty-</w:t>
      </w:r>
      <w:r w:rsidR="00893EA1" w:rsidRPr="0063279F">
        <w:rPr>
          <w:spacing w:val="-3"/>
        </w:rPr>
        <w:t>seven</w:t>
      </w:r>
      <w:r w:rsidR="00443011" w:rsidRPr="0063279F">
        <w:rPr>
          <w:spacing w:val="-3"/>
        </w:rPr>
        <w:t xml:space="preserve"> (</w:t>
      </w:r>
      <w:r w:rsidR="00180A6C" w:rsidRPr="0063279F">
        <w:rPr>
          <w:spacing w:val="-3"/>
        </w:rPr>
        <w:t>3</w:t>
      </w:r>
      <w:r w:rsidR="00893EA1" w:rsidRPr="0063279F">
        <w:rPr>
          <w:spacing w:val="-3"/>
        </w:rPr>
        <w:t>7</w:t>
      </w:r>
      <w:r w:rsidR="00443011" w:rsidRPr="0063279F">
        <w:rPr>
          <w:spacing w:val="-3"/>
        </w:rPr>
        <w:t>)</w:t>
      </w:r>
      <w:r w:rsidR="00CB6DB1" w:rsidRPr="0063279F">
        <w:rPr>
          <w:spacing w:val="-3"/>
        </w:rPr>
        <w:t xml:space="preserve"> </w:t>
      </w:r>
      <w:r w:rsidR="0049157E" w:rsidRPr="0063279F">
        <w:rPr>
          <w:spacing w:val="-3"/>
        </w:rPr>
        <w:t xml:space="preserve">transcript </w:t>
      </w:r>
      <w:r w:rsidR="00CB6DB1" w:rsidRPr="0063279F">
        <w:rPr>
          <w:spacing w:val="-3"/>
        </w:rPr>
        <w:t>pages</w:t>
      </w:r>
      <w:r w:rsidR="00443011" w:rsidRPr="0063279F">
        <w:rPr>
          <w:spacing w:val="-3"/>
        </w:rPr>
        <w:t>.</w:t>
      </w:r>
      <w:r w:rsidR="004D1273" w:rsidRPr="0063279F">
        <w:rPr>
          <w:spacing w:val="-3"/>
        </w:rPr>
        <w:t xml:space="preserve"> </w:t>
      </w:r>
      <w:r w:rsidR="00BA5F45" w:rsidRPr="0063279F">
        <w:rPr>
          <w:spacing w:val="-3"/>
        </w:rPr>
        <w:t xml:space="preserve"> </w:t>
      </w:r>
      <w:r w:rsidR="00A702FB" w:rsidRPr="0063279F">
        <w:t xml:space="preserve">This matter is ready for a Recommended Decision on whether the </w:t>
      </w:r>
      <w:r w:rsidR="008C5837" w:rsidRPr="0063279F">
        <w:t>p</w:t>
      </w:r>
      <w:r w:rsidR="00A702FB" w:rsidRPr="0063279F">
        <w:t>arties’ proposed resolution of the issues in this proceeding should be approved by the Commission.</w:t>
      </w:r>
    </w:p>
    <w:p w:rsidR="00AE5B5E" w:rsidRPr="0063279F" w:rsidRDefault="00AE5B5E" w:rsidP="006E6DFA">
      <w:pPr>
        <w:rPr>
          <w:rFonts w:ascii="Times New Roman" w:hAnsi="Times New Roman" w:cs="Times New Roman"/>
          <w:spacing w:val="-3"/>
        </w:rPr>
      </w:pPr>
    </w:p>
    <w:p w:rsidR="006E6DFA" w:rsidRPr="0063279F" w:rsidRDefault="006E6DFA" w:rsidP="006E6DFA">
      <w:pPr>
        <w:rPr>
          <w:rFonts w:ascii="Times New Roman" w:hAnsi="Times New Roman" w:cs="Times New Roman"/>
          <w:spacing w:val="-3"/>
        </w:rPr>
      </w:pPr>
    </w:p>
    <w:p w:rsidR="00D4758E" w:rsidRPr="0063279F" w:rsidRDefault="006C3C58" w:rsidP="00730202">
      <w:pPr>
        <w:pStyle w:val="Style"/>
        <w:jc w:val="center"/>
      </w:pPr>
      <w:r w:rsidRPr="0063279F">
        <w:rPr>
          <w:u w:val="single"/>
        </w:rPr>
        <w:t>STATUTORY CRITERIA</w:t>
      </w:r>
    </w:p>
    <w:p w:rsidR="00790AFC" w:rsidRPr="0063279F" w:rsidRDefault="00790AFC" w:rsidP="00730202">
      <w:pPr>
        <w:jc w:val="center"/>
        <w:rPr>
          <w:rFonts w:ascii="Times New Roman" w:hAnsi="Times New Roman" w:cs="Times New Roman"/>
          <w:u w:val="single"/>
        </w:rPr>
      </w:pPr>
    </w:p>
    <w:p w:rsidR="00730202" w:rsidRPr="0063279F" w:rsidRDefault="00730202" w:rsidP="00730202">
      <w:pPr>
        <w:jc w:val="center"/>
        <w:rPr>
          <w:rFonts w:ascii="Times New Roman" w:hAnsi="Times New Roman" w:cs="Times New Roman"/>
          <w:u w:val="single"/>
        </w:rPr>
      </w:pPr>
    </w:p>
    <w:p w:rsidR="00E01645" w:rsidRPr="0063279F" w:rsidRDefault="00790AFC" w:rsidP="00E01645">
      <w:pPr>
        <w:spacing w:line="360" w:lineRule="auto"/>
        <w:rPr>
          <w:rFonts w:ascii="Times New Roman" w:hAnsi="Times New Roman" w:cs="Times New Roman"/>
        </w:rPr>
      </w:pPr>
      <w:r w:rsidRPr="0063279F">
        <w:rPr>
          <w:rFonts w:ascii="Times New Roman" w:hAnsi="Times New Roman" w:cs="Times New Roman"/>
        </w:rPr>
        <w:tab/>
      </w:r>
      <w:r w:rsidRPr="0063279F">
        <w:rPr>
          <w:rFonts w:ascii="Times New Roman" w:hAnsi="Times New Roman" w:cs="Times New Roman"/>
        </w:rPr>
        <w:tab/>
        <w:t>Section 1307(f</w:t>
      </w:r>
      <w:proofErr w:type="gramStart"/>
      <w:r w:rsidRPr="0063279F">
        <w:rPr>
          <w:rFonts w:ascii="Times New Roman" w:hAnsi="Times New Roman" w:cs="Times New Roman"/>
        </w:rPr>
        <w:t>)(</w:t>
      </w:r>
      <w:proofErr w:type="gramEnd"/>
      <w:r w:rsidRPr="0063279F">
        <w:rPr>
          <w:rFonts w:ascii="Times New Roman" w:hAnsi="Times New Roman" w:cs="Times New Roman"/>
        </w:rPr>
        <w:t>5) of the Pub</w:t>
      </w:r>
      <w:r w:rsidR="006E6DFA" w:rsidRPr="0063279F">
        <w:rPr>
          <w:rFonts w:ascii="Times New Roman" w:hAnsi="Times New Roman" w:cs="Times New Roman"/>
        </w:rPr>
        <w:t>lic Utility Code (Code), 66 Pa.</w:t>
      </w:r>
      <w:r w:rsidRPr="0063279F">
        <w:rPr>
          <w:rFonts w:ascii="Times New Roman" w:hAnsi="Times New Roman" w:cs="Times New Roman"/>
        </w:rPr>
        <w:t>C.S. §</w:t>
      </w:r>
      <w:r w:rsidR="006E6DFA" w:rsidRPr="0063279F">
        <w:rPr>
          <w:rFonts w:ascii="Times New Roman" w:hAnsi="Times New Roman" w:cs="Times New Roman"/>
        </w:rPr>
        <w:t xml:space="preserve"> </w:t>
      </w:r>
      <w:r w:rsidRPr="0063279F">
        <w:rPr>
          <w:rFonts w:ascii="Times New Roman" w:hAnsi="Times New Roman" w:cs="Times New Roman"/>
        </w:rPr>
        <w:t xml:space="preserve">1307(f)(5), requires that the Commission determine the portion of </w:t>
      </w:r>
      <w:r w:rsidR="00772836" w:rsidRPr="0063279F">
        <w:rPr>
          <w:rFonts w:ascii="Times New Roman" w:hAnsi="Times New Roman" w:cs="Times New Roman"/>
        </w:rPr>
        <w:t>UGI</w:t>
      </w:r>
      <w:r w:rsidRPr="0063279F">
        <w:rPr>
          <w:rFonts w:ascii="Times New Roman" w:hAnsi="Times New Roman" w:cs="Times New Roman"/>
        </w:rPr>
        <w:t>’s historic period actual gas costs which meet the least cost fuel procurement standards set forth in Section 1318 of the Code, 66</w:t>
      </w:r>
      <w:r w:rsidR="00C271A6" w:rsidRPr="0063279F">
        <w:rPr>
          <w:rFonts w:ascii="Times New Roman" w:hAnsi="Times New Roman" w:cs="Times New Roman"/>
        </w:rPr>
        <w:t xml:space="preserve"> </w:t>
      </w:r>
      <w:r w:rsidR="006E6DFA" w:rsidRPr="0063279F">
        <w:rPr>
          <w:rFonts w:ascii="Times New Roman" w:hAnsi="Times New Roman" w:cs="Times New Roman"/>
        </w:rPr>
        <w:t>Pa.</w:t>
      </w:r>
      <w:r w:rsidRPr="0063279F">
        <w:rPr>
          <w:rFonts w:ascii="Times New Roman" w:hAnsi="Times New Roman" w:cs="Times New Roman"/>
        </w:rPr>
        <w:t>C.S. §</w:t>
      </w:r>
      <w:r w:rsidR="006E6DFA" w:rsidRPr="0063279F">
        <w:rPr>
          <w:rFonts w:ascii="Times New Roman" w:hAnsi="Times New Roman" w:cs="Times New Roman"/>
        </w:rPr>
        <w:t xml:space="preserve"> </w:t>
      </w:r>
      <w:r w:rsidRPr="0063279F">
        <w:rPr>
          <w:rFonts w:ascii="Times New Roman" w:hAnsi="Times New Roman" w:cs="Times New Roman"/>
        </w:rPr>
        <w:t xml:space="preserve">1318.  In addition, Section 1318 findings must be made with respect to new PGC rates to be established in this proceeding.  </w:t>
      </w:r>
      <w:r w:rsidR="00E01645" w:rsidRPr="0063279F">
        <w:rPr>
          <w:rFonts w:ascii="Times New Roman" w:hAnsi="Times New Roman" w:cs="Times New Roman"/>
        </w:rPr>
        <w:t>Since UGI purchases gas from affiliates (CPG; PNG; and UGI Energy Services, Inc.) it is also necessary for the Commission to make findings under Section 1318(b) of the Code, 66 P</w:t>
      </w:r>
      <w:r w:rsidR="005E10A8">
        <w:rPr>
          <w:rFonts w:ascii="Times New Roman" w:hAnsi="Times New Roman" w:cs="Times New Roman"/>
        </w:rPr>
        <w:t>a.</w:t>
      </w:r>
      <w:r w:rsidR="00E01645" w:rsidRPr="0063279F">
        <w:rPr>
          <w:rFonts w:ascii="Times New Roman" w:hAnsi="Times New Roman" w:cs="Times New Roman"/>
        </w:rPr>
        <w:t>C.S. §</w:t>
      </w:r>
      <w:r w:rsidR="005E10A8">
        <w:rPr>
          <w:rFonts w:ascii="Times New Roman" w:hAnsi="Times New Roman" w:cs="Times New Roman"/>
        </w:rPr>
        <w:t xml:space="preserve"> </w:t>
      </w:r>
      <w:r w:rsidR="00E01645" w:rsidRPr="0063279F">
        <w:rPr>
          <w:rFonts w:ascii="Times New Roman" w:hAnsi="Times New Roman" w:cs="Times New Roman"/>
        </w:rPr>
        <w:t xml:space="preserve">1318(b).  </w:t>
      </w:r>
      <w:proofErr w:type="gramStart"/>
      <w:r w:rsidR="00E01645" w:rsidRPr="0063279F">
        <w:rPr>
          <w:rFonts w:ascii="Times New Roman" w:hAnsi="Times New Roman" w:cs="Times New Roman"/>
          <w:u w:val="single"/>
        </w:rPr>
        <w:t>See</w:t>
      </w:r>
      <w:r w:rsidR="00E01645" w:rsidRPr="0063279F">
        <w:rPr>
          <w:rFonts w:ascii="Times New Roman" w:hAnsi="Times New Roman" w:cs="Times New Roman"/>
        </w:rPr>
        <w:t>, UGI Utilities, Inc. Gas Division Exhibit No. 1 (Book 1), Section 13.</w:t>
      </w:r>
      <w:proofErr w:type="gramEnd"/>
      <w:r w:rsidR="00E01645" w:rsidRPr="0063279F">
        <w:rPr>
          <w:rFonts w:ascii="Times New Roman" w:hAnsi="Times New Roman" w:cs="Times New Roman"/>
        </w:rPr>
        <w:t xml:space="preserve">  S</w:t>
      </w:r>
      <w:r w:rsidR="005E10A8">
        <w:rPr>
          <w:rFonts w:ascii="Times New Roman" w:hAnsi="Times New Roman" w:cs="Times New Roman"/>
        </w:rPr>
        <w:t xml:space="preserve">ection 1317 of the Code, </w:t>
      </w:r>
      <w:proofErr w:type="gramStart"/>
      <w:r w:rsidR="005E10A8">
        <w:rPr>
          <w:rFonts w:ascii="Times New Roman" w:hAnsi="Times New Roman" w:cs="Times New Roman"/>
        </w:rPr>
        <w:t>66 Pa.</w:t>
      </w:r>
      <w:r w:rsidR="00E01645" w:rsidRPr="0063279F">
        <w:rPr>
          <w:rFonts w:ascii="Times New Roman" w:hAnsi="Times New Roman" w:cs="Times New Roman"/>
        </w:rPr>
        <w:t>C.S</w:t>
      </w:r>
      <w:proofErr w:type="gramEnd"/>
      <w:r w:rsidR="00E01645" w:rsidRPr="0063279F">
        <w:rPr>
          <w:rFonts w:ascii="Times New Roman" w:hAnsi="Times New Roman" w:cs="Times New Roman"/>
        </w:rPr>
        <w:t>. §</w:t>
      </w:r>
      <w:r w:rsidR="005E10A8">
        <w:rPr>
          <w:rFonts w:ascii="Times New Roman" w:hAnsi="Times New Roman" w:cs="Times New Roman"/>
        </w:rPr>
        <w:t xml:space="preserve"> </w:t>
      </w:r>
      <w:r w:rsidR="00E01645" w:rsidRPr="0063279F">
        <w:rPr>
          <w:rFonts w:ascii="Times New Roman" w:hAnsi="Times New Roman" w:cs="Times New Roman"/>
        </w:rPr>
        <w:t>1317, requires the submission of certain information to enable the Commission to make a least cost fuel procurement policy evaluation.</w:t>
      </w:r>
    </w:p>
    <w:p w:rsidR="00D72EF8" w:rsidRPr="0063279F" w:rsidRDefault="00D72EF8" w:rsidP="00E01645">
      <w:pPr>
        <w:spacing w:line="360" w:lineRule="auto"/>
        <w:rPr>
          <w:rFonts w:ascii="Times New Roman" w:hAnsi="Times New Roman" w:cs="Times New Roman"/>
        </w:rPr>
      </w:pPr>
    </w:p>
    <w:p w:rsidR="00E01645" w:rsidRPr="0063279F" w:rsidRDefault="00E01645" w:rsidP="00E01645">
      <w:pPr>
        <w:spacing w:line="360" w:lineRule="auto"/>
        <w:rPr>
          <w:rFonts w:ascii="Times New Roman" w:hAnsi="Times New Roman" w:cs="Times New Roman"/>
        </w:rPr>
      </w:pPr>
      <w:r w:rsidRPr="0063279F">
        <w:rPr>
          <w:rFonts w:ascii="Times New Roman" w:hAnsi="Times New Roman" w:cs="Times New Roman"/>
        </w:rPr>
        <w:tab/>
      </w:r>
      <w:r w:rsidRPr="0063279F">
        <w:rPr>
          <w:rFonts w:ascii="Times New Roman" w:hAnsi="Times New Roman" w:cs="Times New Roman"/>
        </w:rPr>
        <w:tab/>
        <w:t>In determining whether UGI is pursuing a least cost fuel procurement policy under Section 1318 of the Code, the specific findings in §</w:t>
      </w:r>
      <w:r w:rsidR="00D32D3D">
        <w:rPr>
          <w:rFonts w:ascii="Times New Roman" w:hAnsi="Times New Roman" w:cs="Times New Roman"/>
        </w:rPr>
        <w:t xml:space="preserve"> </w:t>
      </w:r>
      <w:r w:rsidRPr="0063279F">
        <w:rPr>
          <w:rFonts w:ascii="Times New Roman" w:hAnsi="Times New Roman" w:cs="Times New Roman"/>
        </w:rPr>
        <w:t>1318(a)(1) through (4) must be made as follows: (1) that the utility has fully and vigorously represented its ratepayers’ interests before the Federal Energy Regulatory Commission (FERC); (2) that the utility has taken all prudent steps necessary to negotiate favorable gas supply contracts and to relieve the utility from terms in existing contracts with its gas suppliers which are or may be adverse to ratepayer interests; (3) that the utility has taken all prudent steps necessary to obtain lower cost gas supplies on both short-term and long-term bases both within and outside the Commonwealth, including the use of gas transportation arrangements with pipelines and other distribution companies; and, (4) that the utility has not withheld from the market or caused to be withheld from the market any gas supplies which should have been utilized as part of a least cost fuel procurement policy.</w:t>
      </w:r>
    </w:p>
    <w:p w:rsidR="00E01645" w:rsidRPr="0063279F" w:rsidRDefault="00E01645" w:rsidP="00E01645">
      <w:pPr>
        <w:spacing w:line="360" w:lineRule="auto"/>
        <w:rPr>
          <w:rFonts w:ascii="Times New Roman" w:hAnsi="Times New Roman" w:cs="Times New Roman"/>
        </w:rPr>
      </w:pPr>
    </w:p>
    <w:p w:rsidR="00E01645" w:rsidRPr="0063279F" w:rsidRDefault="00E01645" w:rsidP="00E01645">
      <w:pPr>
        <w:spacing w:line="360" w:lineRule="auto"/>
        <w:rPr>
          <w:rFonts w:ascii="Times New Roman" w:hAnsi="Times New Roman" w:cs="Times New Roman"/>
        </w:rPr>
      </w:pPr>
      <w:r w:rsidRPr="0063279F">
        <w:rPr>
          <w:rFonts w:ascii="Times New Roman" w:hAnsi="Times New Roman" w:cs="Times New Roman"/>
        </w:rPr>
        <w:tab/>
      </w:r>
      <w:r w:rsidRPr="0063279F">
        <w:rPr>
          <w:rFonts w:ascii="Times New Roman" w:hAnsi="Times New Roman" w:cs="Times New Roman"/>
        </w:rPr>
        <w:tab/>
        <w:t>With respect to purchases from affiliates, the Commission is required to make the following specific findings pursuant to §</w:t>
      </w:r>
      <w:r w:rsidR="00D32D3D">
        <w:rPr>
          <w:rFonts w:ascii="Times New Roman" w:hAnsi="Times New Roman" w:cs="Times New Roman"/>
        </w:rPr>
        <w:t xml:space="preserve"> </w:t>
      </w:r>
      <w:r w:rsidRPr="0063279F">
        <w:rPr>
          <w:rFonts w:ascii="Times New Roman" w:hAnsi="Times New Roman" w:cs="Times New Roman"/>
        </w:rPr>
        <w:t>1318(b)(1) through (b)(3): (1) that the utility has fully and vigorously attempted to obtain less costly gas supplies on both short-term and long-term bases from nonaffiliated interests; (2) that each contract for the purchase of gas from an affiliated interest is consistent with a least cost fuel procurement policy; and, (3) that neither the utility nor its affiliated interest has withheld from the market any gas supplies which should have been utilized as part of a least cost fuel procurement policy.</w:t>
      </w:r>
    </w:p>
    <w:p w:rsidR="00E01645" w:rsidRPr="0063279F" w:rsidRDefault="00E01645" w:rsidP="00D32D3D">
      <w:pPr>
        <w:rPr>
          <w:rFonts w:ascii="Times New Roman" w:hAnsi="Times New Roman" w:cs="Times New Roman"/>
        </w:rPr>
      </w:pPr>
    </w:p>
    <w:p w:rsidR="00242CCB" w:rsidRPr="0063279F" w:rsidRDefault="00242CCB" w:rsidP="00D32D3D">
      <w:pPr>
        <w:rPr>
          <w:rFonts w:ascii="Times New Roman" w:hAnsi="Times New Roman" w:cs="Times New Roman"/>
          <w:u w:val="single"/>
        </w:rPr>
      </w:pPr>
    </w:p>
    <w:p w:rsidR="00D32D3D" w:rsidRDefault="00D32D3D" w:rsidP="00D32D3D">
      <w:pPr>
        <w:jc w:val="center"/>
        <w:rPr>
          <w:rFonts w:ascii="Times New Roman" w:hAnsi="Times New Roman" w:cs="Times New Roman"/>
          <w:u w:val="single"/>
        </w:rPr>
      </w:pPr>
      <w:r>
        <w:rPr>
          <w:rFonts w:ascii="Times New Roman" w:hAnsi="Times New Roman" w:cs="Times New Roman"/>
          <w:u w:val="single"/>
        </w:rPr>
        <w:br w:type="page"/>
      </w:r>
    </w:p>
    <w:p w:rsidR="00E01645" w:rsidRPr="0063279F" w:rsidRDefault="00E01645" w:rsidP="00D32D3D">
      <w:pPr>
        <w:jc w:val="center"/>
        <w:rPr>
          <w:rFonts w:ascii="Times New Roman" w:hAnsi="Times New Roman" w:cs="Times New Roman"/>
        </w:rPr>
      </w:pPr>
      <w:r w:rsidRPr="0063279F">
        <w:rPr>
          <w:rFonts w:ascii="Times New Roman" w:hAnsi="Times New Roman" w:cs="Times New Roman"/>
          <w:u w:val="single"/>
        </w:rPr>
        <w:t>DESCRIPTION OF THE SETTLEMENT</w:t>
      </w:r>
    </w:p>
    <w:p w:rsidR="00E01645" w:rsidRDefault="00E01645" w:rsidP="00D32D3D">
      <w:pPr>
        <w:rPr>
          <w:rFonts w:ascii="Times New Roman" w:hAnsi="Times New Roman" w:cs="Times New Roman"/>
        </w:rPr>
      </w:pPr>
    </w:p>
    <w:p w:rsidR="00D32D3D" w:rsidRPr="0063279F" w:rsidRDefault="00D32D3D" w:rsidP="00D32D3D">
      <w:pPr>
        <w:rPr>
          <w:rFonts w:ascii="Times New Roman" w:hAnsi="Times New Roman" w:cs="Times New Roman"/>
        </w:rPr>
      </w:pPr>
    </w:p>
    <w:p w:rsidR="00E01645" w:rsidRDefault="00E01645" w:rsidP="003E2463">
      <w:pPr>
        <w:spacing w:line="360" w:lineRule="auto"/>
        <w:rPr>
          <w:rFonts w:ascii="Times New Roman" w:hAnsi="Times New Roman" w:cs="Times New Roman"/>
        </w:rPr>
      </w:pPr>
      <w:r w:rsidRPr="0063279F">
        <w:rPr>
          <w:rFonts w:ascii="Times New Roman" w:hAnsi="Times New Roman" w:cs="Times New Roman"/>
        </w:rPr>
        <w:tab/>
      </w:r>
      <w:r w:rsidRPr="0063279F">
        <w:rPr>
          <w:rFonts w:ascii="Times New Roman" w:hAnsi="Times New Roman" w:cs="Times New Roman"/>
        </w:rPr>
        <w:tab/>
        <w:t>The Stipulation consists of a</w:t>
      </w:r>
      <w:r w:rsidR="00D72EF8" w:rsidRPr="0063279F">
        <w:rPr>
          <w:rFonts w:ascii="Times New Roman" w:hAnsi="Times New Roman" w:cs="Times New Roman"/>
        </w:rPr>
        <w:t xml:space="preserve"> thirteen</w:t>
      </w:r>
      <w:r w:rsidRPr="0063279F">
        <w:rPr>
          <w:rFonts w:ascii="Times New Roman" w:hAnsi="Times New Roman" w:cs="Times New Roman"/>
        </w:rPr>
        <w:t xml:space="preserve"> (1</w:t>
      </w:r>
      <w:r w:rsidR="00772836" w:rsidRPr="0063279F">
        <w:rPr>
          <w:rFonts w:ascii="Times New Roman" w:hAnsi="Times New Roman" w:cs="Times New Roman"/>
        </w:rPr>
        <w:t>3</w:t>
      </w:r>
      <w:r w:rsidRPr="0063279F">
        <w:rPr>
          <w:rFonts w:ascii="Times New Roman" w:hAnsi="Times New Roman" w:cs="Times New Roman"/>
        </w:rPr>
        <w:t xml:space="preserve">) page document, with attached Appendices A through </w:t>
      </w:r>
      <w:r w:rsidR="00772836" w:rsidRPr="0063279F">
        <w:rPr>
          <w:rFonts w:ascii="Times New Roman" w:hAnsi="Times New Roman" w:cs="Times New Roman"/>
        </w:rPr>
        <w:t>E</w:t>
      </w:r>
      <w:r w:rsidRPr="0063279F">
        <w:rPr>
          <w:rFonts w:ascii="Times New Roman" w:hAnsi="Times New Roman" w:cs="Times New Roman"/>
        </w:rPr>
        <w:t>.  The body of the document provides the terms and conditions of the Settlement, which are:</w:t>
      </w:r>
    </w:p>
    <w:p w:rsidR="00D32D3D" w:rsidRPr="0063279F" w:rsidRDefault="00D32D3D" w:rsidP="003E2463">
      <w:pPr>
        <w:spacing w:line="360" w:lineRule="auto"/>
        <w:rPr>
          <w:rFonts w:ascii="Times New Roman" w:hAnsi="Times New Roman" w:cs="Times New Roman"/>
        </w:rPr>
      </w:pPr>
    </w:p>
    <w:p w:rsidR="00E01645" w:rsidRPr="0063279F" w:rsidRDefault="00E01645" w:rsidP="003E2463">
      <w:pPr>
        <w:pStyle w:val="ListNumber"/>
        <w:spacing w:line="360" w:lineRule="auto"/>
        <w:ind w:left="720" w:right="720" w:firstLine="720"/>
      </w:pPr>
      <w:r w:rsidRPr="0063279F">
        <w:t>The Parties agree the rates for the recovery of the purchased gas costs of UGI should be revised effective December 1, 201</w:t>
      </w:r>
      <w:r w:rsidR="00772836" w:rsidRPr="0063279F">
        <w:t>4</w:t>
      </w:r>
      <w:r w:rsidRPr="0063279F">
        <w:t>, subject to updates, to reflect the rates set forth in Appendix A.</w:t>
      </w:r>
    </w:p>
    <w:p w:rsidR="00E01645" w:rsidRPr="0063279F" w:rsidRDefault="00E01645" w:rsidP="003E2463">
      <w:pPr>
        <w:pStyle w:val="ListNumber"/>
        <w:numPr>
          <w:ilvl w:val="0"/>
          <w:numId w:val="0"/>
        </w:numPr>
        <w:spacing w:line="360" w:lineRule="auto"/>
        <w:ind w:left="1440" w:right="720"/>
      </w:pPr>
    </w:p>
    <w:p w:rsidR="00E80BEF" w:rsidRPr="0063279F" w:rsidRDefault="00E80BEF" w:rsidP="003E2463">
      <w:pPr>
        <w:pStyle w:val="ListNumber"/>
        <w:numPr>
          <w:ilvl w:val="0"/>
          <w:numId w:val="0"/>
        </w:numPr>
        <w:tabs>
          <w:tab w:val="clear" w:pos="1440"/>
          <w:tab w:val="left" w:pos="0"/>
        </w:tabs>
        <w:spacing w:line="360" w:lineRule="auto"/>
        <w:ind w:left="720"/>
      </w:pPr>
      <w:r w:rsidRPr="0063279F">
        <w:tab/>
        <w:t>2.</w:t>
      </w:r>
      <w:r w:rsidRPr="0063279F">
        <w:tab/>
        <w:t>UGI will include the results of the winters of 2012-2013 and 2013-2014 in developing projected peak day demand for the winter of 2014-2015.  UGI will revise the projected peak day demand for winters 2015-2016, 2016-2017, and 2017-2018 in a manner that the projected shortfall is consistent with the shortfall in 2014-2015, resulting in the following adjustments to projected peak day demands:</w:t>
      </w:r>
    </w:p>
    <w:p w:rsidR="00E80BEF" w:rsidRPr="0063279F" w:rsidRDefault="00E80BEF" w:rsidP="00D32D3D">
      <w:pPr>
        <w:pStyle w:val="ListNumber"/>
        <w:numPr>
          <w:ilvl w:val="0"/>
          <w:numId w:val="0"/>
        </w:numPr>
        <w:spacing w:line="360" w:lineRule="auto"/>
        <w:ind w:left="1440"/>
      </w:pPr>
    </w:p>
    <w:tbl>
      <w:tblPr>
        <w:tblW w:w="0" w:type="auto"/>
        <w:jc w:val="center"/>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3"/>
        <w:gridCol w:w="2250"/>
        <w:gridCol w:w="1980"/>
        <w:gridCol w:w="2212"/>
      </w:tblGrid>
      <w:tr w:rsidR="00E80BEF" w:rsidRPr="0063279F" w:rsidTr="00B6132A">
        <w:trPr>
          <w:jc w:val="center"/>
        </w:trPr>
        <w:tc>
          <w:tcPr>
            <w:tcW w:w="8025" w:type="dxa"/>
            <w:gridSpan w:val="4"/>
          </w:tcPr>
          <w:p w:rsidR="00E80BEF" w:rsidRPr="0063279F" w:rsidRDefault="00E80BEF" w:rsidP="00B6132A">
            <w:pPr>
              <w:spacing w:before="120" w:after="120"/>
              <w:jc w:val="center"/>
              <w:rPr>
                <w:rFonts w:ascii="Times New Roman" w:hAnsi="Times New Roman" w:cs="Times New Roman"/>
                <w:b/>
              </w:rPr>
            </w:pPr>
            <w:r w:rsidRPr="0063279F">
              <w:rPr>
                <w:rFonts w:ascii="Times New Roman" w:hAnsi="Times New Roman" w:cs="Times New Roman"/>
                <w:b/>
              </w:rPr>
              <w:t>Table 1 – UGI’s Projected Firm Peak Day Capacity Positions (</w:t>
            </w:r>
            <w:proofErr w:type="spellStart"/>
            <w:r w:rsidRPr="0063279F">
              <w:rPr>
                <w:rFonts w:ascii="Times New Roman" w:hAnsi="Times New Roman" w:cs="Times New Roman"/>
                <w:b/>
              </w:rPr>
              <w:t>Dth</w:t>
            </w:r>
            <w:proofErr w:type="spellEnd"/>
            <w:r w:rsidRPr="0063279F">
              <w:rPr>
                <w:rFonts w:ascii="Times New Roman" w:hAnsi="Times New Roman" w:cs="Times New Roman"/>
                <w:b/>
              </w:rPr>
              <w:t>)</w:t>
            </w:r>
          </w:p>
        </w:tc>
      </w:tr>
      <w:tr w:rsidR="00E80BEF" w:rsidRPr="0063279F" w:rsidTr="00B6132A">
        <w:trPr>
          <w:jc w:val="center"/>
        </w:trPr>
        <w:tc>
          <w:tcPr>
            <w:tcW w:w="1583" w:type="dxa"/>
            <w:vAlign w:val="center"/>
          </w:tcPr>
          <w:p w:rsidR="00E80BEF" w:rsidRPr="0063279F" w:rsidRDefault="00E80BEF" w:rsidP="00B6132A">
            <w:pPr>
              <w:spacing w:before="120" w:after="120"/>
              <w:jc w:val="center"/>
              <w:rPr>
                <w:rFonts w:ascii="Times New Roman" w:hAnsi="Times New Roman" w:cs="Times New Roman"/>
                <w:b/>
              </w:rPr>
            </w:pPr>
            <w:r w:rsidRPr="0063279F">
              <w:rPr>
                <w:rFonts w:ascii="Times New Roman" w:hAnsi="Times New Roman" w:cs="Times New Roman"/>
                <w:b/>
              </w:rPr>
              <w:t>Winter</w:t>
            </w:r>
          </w:p>
        </w:tc>
        <w:tc>
          <w:tcPr>
            <w:tcW w:w="2250" w:type="dxa"/>
            <w:vAlign w:val="center"/>
          </w:tcPr>
          <w:p w:rsidR="00E80BEF" w:rsidRPr="0063279F" w:rsidRDefault="00E80BEF" w:rsidP="00B6132A">
            <w:pPr>
              <w:spacing w:before="120" w:after="120"/>
              <w:jc w:val="center"/>
              <w:rPr>
                <w:rFonts w:ascii="Times New Roman" w:hAnsi="Times New Roman" w:cs="Times New Roman"/>
                <w:b/>
              </w:rPr>
            </w:pPr>
            <w:r w:rsidRPr="0063279F">
              <w:rPr>
                <w:rFonts w:ascii="Times New Roman" w:hAnsi="Times New Roman" w:cs="Times New Roman"/>
                <w:b/>
              </w:rPr>
              <w:t>Projected Firm Peak Day Demand</w:t>
            </w:r>
          </w:p>
        </w:tc>
        <w:tc>
          <w:tcPr>
            <w:tcW w:w="1980" w:type="dxa"/>
            <w:vAlign w:val="center"/>
          </w:tcPr>
          <w:p w:rsidR="00E80BEF" w:rsidRPr="0063279F" w:rsidRDefault="00E80BEF" w:rsidP="00B6132A">
            <w:pPr>
              <w:spacing w:before="120" w:after="120"/>
              <w:jc w:val="center"/>
              <w:rPr>
                <w:rFonts w:ascii="Times New Roman" w:hAnsi="Times New Roman" w:cs="Times New Roman"/>
                <w:b/>
              </w:rPr>
            </w:pPr>
            <w:r w:rsidRPr="0063279F">
              <w:rPr>
                <w:rFonts w:ascii="Times New Roman" w:hAnsi="Times New Roman" w:cs="Times New Roman"/>
                <w:b/>
              </w:rPr>
              <w:t>Firm Capacity / Supply</w:t>
            </w:r>
          </w:p>
        </w:tc>
        <w:tc>
          <w:tcPr>
            <w:tcW w:w="2212" w:type="dxa"/>
            <w:vAlign w:val="center"/>
          </w:tcPr>
          <w:p w:rsidR="00E80BEF" w:rsidRPr="0063279F" w:rsidRDefault="00E80BEF" w:rsidP="00B6132A">
            <w:pPr>
              <w:spacing w:before="120" w:after="120"/>
              <w:jc w:val="center"/>
              <w:rPr>
                <w:rFonts w:ascii="Times New Roman" w:hAnsi="Times New Roman" w:cs="Times New Roman"/>
                <w:b/>
              </w:rPr>
            </w:pPr>
            <w:r w:rsidRPr="0063279F">
              <w:rPr>
                <w:rFonts w:ascii="Times New Roman" w:hAnsi="Times New Roman" w:cs="Times New Roman"/>
                <w:b/>
              </w:rPr>
              <w:t>Projected Capacity Length/(Shortfall)</w:t>
            </w:r>
          </w:p>
        </w:tc>
      </w:tr>
      <w:tr w:rsidR="00E80BEF" w:rsidRPr="0063279F" w:rsidTr="00B6132A">
        <w:trPr>
          <w:jc w:val="center"/>
        </w:trPr>
        <w:tc>
          <w:tcPr>
            <w:tcW w:w="1583" w:type="dxa"/>
          </w:tcPr>
          <w:p w:rsidR="00E80BEF" w:rsidRPr="0063279F" w:rsidRDefault="00E80BEF" w:rsidP="00B6132A">
            <w:pPr>
              <w:spacing w:before="120" w:line="360" w:lineRule="auto"/>
              <w:jc w:val="center"/>
              <w:rPr>
                <w:rFonts w:ascii="Times New Roman" w:hAnsi="Times New Roman" w:cs="Times New Roman"/>
              </w:rPr>
            </w:pPr>
            <w:r w:rsidRPr="0063279F">
              <w:rPr>
                <w:rFonts w:ascii="Times New Roman" w:hAnsi="Times New Roman" w:cs="Times New Roman"/>
              </w:rPr>
              <w:t>2014-2015</w:t>
            </w:r>
          </w:p>
        </w:tc>
        <w:tc>
          <w:tcPr>
            <w:tcW w:w="2250" w:type="dxa"/>
          </w:tcPr>
          <w:p w:rsidR="00E80BEF" w:rsidRPr="0063279F" w:rsidRDefault="00E80BEF" w:rsidP="00B6132A">
            <w:pPr>
              <w:spacing w:before="120" w:line="360" w:lineRule="auto"/>
              <w:jc w:val="center"/>
              <w:rPr>
                <w:rFonts w:ascii="Times New Roman" w:hAnsi="Times New Roman" w:cs="Times New Roman"/>
              </w:rPr>
            </w:pPr>
            <w:r w:rsidRPr="0063279F">
              <w:rPr>
                <w:rFonts w:ascii="Times New Roman" w:hAnsi="Times New Roman" w:cs="Times New Roman"/>
              </w:rPr>
              <w:t>691,292</w:t>
            </w:r>
          </w:p>
        </w:tc>
        <w:tc>
          <w:tcPr>
            <w:tcW w:w="1980" w:type="dxa"/>
          </w:tcPr>
          <w:p w:rsidR="00E80BEF" w:rsidRPr="0063279F" w:rsidRDefault="00E80BEF" w:rsidP="00B6132A">
            <w:pPr>
              <w:spacing w:before="120" w:line="360" w:lineRule="auto"/>
              <w:jc w:val="center"/>
              <w:rPr>
                <w:rFonts w:ascii="Times New Roman" w:hAnsi="Times New Roman" w:cs="Times New Roman"/>
              </w:rPr>
            </w:pPr>
            <w:r w:rsidRPr="0063279F">
              <w:rPr>
                <w:rFonts w:ascii="Times New Roman" w:hAnsi="Times New Roman" w:cs="Times New Roman"/>
              </w:rPr>
              <w:t>669,595</w:t>
            </w:r>
          </w:p>
        </w:tc>
        <w:tc>
          <w:tcPr>
            <w:tcW w:w="2212" w:type="dxa"/>
          </w:tcPr>
          <w:p w:rsidR="00E80BEF" w:rsidRPr="0063279F" w:rsidRDefault="00E80BEF" w:rsidP="00B6132A">
            <w:pPr>
              <w:spacing w:before="120" w:line="360" w:lineRule="auto"/>
              <w:jc w:val="center"/>
              <w:rPr>
                <w:rFonts w:ascii="Times New Roman" w:hAnsi="Times New Roman" w:cs="Times New Roman"/>
              </w:rPr>
            </w:pPr>
            <w:r w:rsidRPr="0063279F">
              <w:rPr>
                <w:rFonts w:ascii="Times New Roman" w:hAnsi="Times New Roman" w:cs="Times New Roman"/>
              </w:rPr>
              <w:t>(21,697)</w:t>
            </w:r>
          </w:p>
        </w:tc>
      </w:tr>
      <w:tr w:rsidR="00E80BEF" w:rsidRPr="0063279F" w:rsidTr="00B6132A">
        <w:trPr>
          <w:jc w:val="center"/>
        </w:trPr>
        <w:tc>
          <w:tcPr>
            <w:tcW w:w="1583" w:type="dxa"/>
          </w:tcPr>
          <w:p w:rsidR="00E80BEF" w:rsidRPr="0063279F" w:rsidRDefault="00E80BEF" w:rsidP="00B6132A">
            <w:pPr>
              <w:spacing w:before="120" w:line="360" w:lineRule="auto"/>
              <w:jc w:val="center"/>
              <w:rPr>
                <w:rFonts w:ascii="Times New Roman" w:hAnsi="Times New Roman" w:cs="Times New Roman"/>
              </w:rPr>
            </w:pPr>
            <w:r w:rsidRPr="0063279F">
              <w:rPr>
                <w:rFonts w:ascii="Times New Roman" w:hAnsi="Times New Roman" w:cs="Times New Roman"/>
              </w:rPr>
              <w:t>2015-2016</w:t>
            </w:r>
          </w:p>
        </w:tc>
        <w:tc>
          <w:tcPr>
            <w:tcW w:w="2250" w:type="dxa"/>
          </w:tcPr>
          <w:p w:rsidR="00E80BEF" w:rsidRPr="0063279F" w:rsidRDefault="00E80BEF" w:rsidP="00B6132A">
            <w:pPr>
              <w:spacing w:before="120" w:line="360" w:lineRule="auto"/>
              <w:jc w:val="center"/>
              <w:rPr>
                <w:rFonts w:ascii="Times New Roman" w:hAnsi="Times New Roman" w:cs="Times New Roman"/>
              </w:rPr>
            </w:pPr>
            <w:r w:rsidRPr="0063279F">
              <w:rPr>
                <w:rFonts w:ascii="Times New Roman" w:hAnsi="Times New Roman" w:cs="Times New Roman"/>
              </w:rPr>
              <w:t>703,547</w:t>
            </w:r>
          </w:p>
        </w:tc>
        <w:tc>
          <w:tcPr>
            <w:tcW w:w="1980" w:type="dxa"/>
          </w:tcPr>
          <w:p w:rsidR="00E80BEF" w:rsidRPr="0063279F" w:rsidRDefault="00E80BEF" w:rsidP="00B6132A">
            <w:pPr>
              <w:spacing w:before="120" w:line="360" w:lineRule="auto"/>
              <w:jc w:val="center"/>
              <w:rPr>
                <w:rFonts w:ascii="Times New Roman" w:hAnsi="Times New Roman" w:cs="Times New Roman"/>
              </w:rPr>
            </w:pPr>
            <w:r w:rsidRPr="0063279F">
              <w:rPr>
                <w:rFonts w:ascii="Times New Roman" w:hAnsi="Times New Roman" w:cs="Times New Roman"/>
              </w:rPr>
              <w:t>681,850</w:t>
            </w:r>
          </w:p>
        </w:tc>
        <w:tc>
          <w:tcPr>
            <w:tcW w:w="2212" w:type="dxa"/>
          </w:tcPr>
          <w:p w:rsidR="00E80BEF" w:rsidRPr="0063279F" w:rsidRDefault="00E80BEF" w:rsidP="00B6132A">
            <w:pPr>
              <w:spacing w:before="120" w:line="360" w:lineRule="auto"/>
              <w:jc w:val="center"/>
              <w:rPr>
                <w:rFonts w:ascii="Times New Roman" w:hAnsi="Times New Roman" w:cs="Times New Roman"/>
              </w:rPr>
            </w:pPr>
            <w:r w:rsidRPr="0063279F">
              <w:rPr>
                <w:rFonts w:ascii="Times New Roman" w:hAnsi="Times New Roman" w:cs="Times New Roman"/>
              </w:rPr>
              <w:t>(21,697)</w:t>
            </w:r>
          </w:p>
        </w:tc>
      </w:tr>
      <w:tr w:rsidR="00E80BEF" w:rsidRPr="0063279F" w:rsidTr="00B6132A">
        <w:trPr>
          <w:jc w:val="center"/>
        </w:trPr>
        <w:tc>
          <w:tcPr>
            <w:tcW w:w="1583" w:type="dxa"/>
          </w:tcPr>
          <w:p w:rsidR="00E80BEF" w:rsidRPr="0063279F" w:rsidRDefault="00E80BEF" w:rsidP="00B6132A">
            <w:pPr>
              <w:spacing w:before="120" w:line="360" w:lineRule="auto"/>
              <w:jc w:val="center"/>
              <w:rPr>
                <w:rFonts w:ascii="Times New Roman" w:hAnsi="Times New Roman" w:cs="Times New Roman"/>
              </w:rPr>
            </w:pPr>
            <w:r w:rsidRPr="0063279F">
              <w:rPr>
                <w:rFonts w:ascii="Times New Roman" w:hAnsi="Times New Roman" w:cs="Times New Roman"/>
              </w:rPr>
              <w:t>2016-2017</w:t>
            </w:r>
          </w:p>
        </w:tc>
        <w:tc>
          <w:tcPr>
            <w:tcW w:w="2250" w:type="dxa"/>
          </w:tcPr>
          <w:p w:rsidR="00E80BEF" w:rsidRPr="0063279F" w:rsidRDefault="00E80BEF" w:rsidP="00B6132A">
            <w:pPr>
              <w:spacing w:before="120" w:line="360" w:lineRule="auto"/>
              <w:jc w:val="center"/>
              <w:rPr>
                <w:rFonts w:ascii="Times New Roman" w:hAnsi="Times New Roman" w:cs="Times New Roman"/>
              </w:rPr>
            </w:pPr>
            <w:r w:rsidRPr="0063279F">
              <w:rPr>
                <w:rFonts w:ascii="Times New Roman" w:hAnsi="Times New Roman" w:cs="Times New Roman"/>
              </w:rPr>
              <w:t>716,047</w:t>
            </w:r>
          </w:p>
        </w:tc>
        <w:tc>
          <w:tcPr>
            <w:tcW w:w="1980" w:type="dxa"/>
          </w:tcPr>
          <w:p w:rsidR="00E80BEF" w:rsidRPr="0063279F" w:rsidRDefault="00E80BEF" w:rsidP="00B6132A">
            <w:pPr>
              <w:spacing w:before="120" w:line="360" w:lineRule="auto"/>
              <w:jc w:val="center"/>
              <w:rPr>
                <w:rFonts w:ascii="Times New Roman" w:hAnsi="Times New Roman" w:cs="Times New Roman"/>
              </w:rPr>
            </w:pPr>
            <w:r w:rsidRPr="0063279F">
              <w:rPr>
                <w:rFonts w:ascii="Times New Roman" w:hAnsi="Times New Roman" w:cs="Times New Roman"/>
              </w:rPr>
              <w:t>694,350</w:t>
            </w:r>
          </w:p>
        </w:tc>
        <w:tc>
          <w:tcPr>
            <w:tcW w:w="2212" w:type="dxa"/>
          </w:tcPr>
          <w:p w:rsidR="00E80BEF" w:rsidRPr="0063279F" w:rsidRDefault="00E80BEF" w:rsidP="00B6132A">
            <w:pPr>
              <w:spacing w:before="120" w:line="360" w:lineRule="auto"/>
              <w:jc w:val="center"/>
              <w:rPr>
                <w:rFonts w:ascii="Times New Roman" w:hAnsi="Times New Roman" w:cs="Times New Roman"/>
              </w:rPr>
            </w:pPr>
            <w:r w:rsidRPr="0063279F">
              <w:rPr>
                <w:rFonts w:ascii="Times New Roman" w:hAnsi="Times New Roman" w:cs="Times New Roman"/>
              </w:rPr>
              <w:t>(21,697)</w:t>
            </w:r>
          </w:p>
        </w:tc>
      </w:tr>
      <w:tr w:rsidR="00E80BEF" w:rsidRPr="0063279F" w:rsidTr="00B6132A">
        <w:trPr>
          <w:jc w:val="center"/>
        </w:trPr>
        <w:tc>
          <w:tcPr>
            <w:tcW w:w="1583" w:type="dxa"/>
          </w:tcPr>
          <w:p w:rsidR="00E80BEF" w:rsidRPr="0063279F" w:rsidRDefault="00E80BEF" w:rsidP="00B6132A">
            <w:pPr>
              <w:spacing w:before="120" w:line="360" w:lineRule="auto"/>
              <w:jc w:val="center"/>
              <w:rPr>
                <w:rFonts w:ascii="Times New Roman" w:hAnsi="Times New Roman" w:cs="Times New Roman"/>
              </w:rPr>
            </w:pPr>
            <w:r w:rsidRPr="0063279F">
              <w:rPr>
                <w:rFonts w:ascii="Times New Roman" w:hAnsi="Times New Roman" w:cs="Times New Roman"/>
              </w:rPr>
              <w:t>2017-2018</w:t>
            </w:r>
          </w:p>
        </w:tc>
        <w:tc>
          <w:tcPr>
            <w:tcW w:w="2250" w:type="dxa"/>
          </w:tcPr>
          <w:p w:rsidR="00E80BEF" w:rsidRPr="0063279F" w:rsidRDefault="00E80BEF" w:rsidP="00B6132A">
            <w:pPr>
              <w:spacing w:before="120" w:line="360" w:lineRule="auto"/>
              <w:jc w:val="center"/>
              <w:rPr>
                <w:rFonts w:ascii="Times New Roman" w:hAnsi="Times New Roman" w:cs="Times New Roman"/>
              </w:rPr>
            </w:pPr>
            <w:r w:rsidRPr="0063279F">
              <w:rPr>
                <w:rFonts w:ascii="Times New Roman" w:hAnsi="Times New Roman" w:cs="Times New Roman"/>
              </w:rPr>
              <w:t>716,047</w:t>
            </w:r>
          </w:p>
        </w:tc>
        <w:tc>
          <w:tcPr>
            <w:tcW w:w="1980" w:type="dxa"/>
          </w:tcPr>
          <w:p w:rsidR="00E80BEF" w:rsidRPr="0063279F" w:rsidRDefault="00E80BEF" w:rsidP="00B6132A">
            <w:pPr>
              <w:spacing w:before="120" w:line="360" w:lineRule="auto"/>
              <w:jc w:val="center"/>
              <w:rPr>
                <w:rFonts w:ascii="Times New Roman" w:hAnsi="Times New Roman" w:cs="Times New Roman"/>
              </w:rPr>
            </w:pPr>
            <w:r w:rsidRPr="0063279F">
              <w:rPr>
                <w:rFonts w:ascii="Times New Roman" w:hAnsi="Times New Roman" w:cs="Times New Roman"/>
              </w:rPr>
              <w:t>694,350</w:t>
            </w:r>
          </w:p>
        </w:tc>
        <w:tc>
          <w:tcPr>
            <w:tcW w:w="2212" w:type="dxa"/>
          </w:tcPr>
          <w:p w:rsidR="00E80BEF" w:rsidRPr="0063279F" w:rsidRDefault="00E80BEF" w:rsidP="00B6132A">
            <w:pPr>
              <w:spacing w:before="120" w:line="360" w:lineRule="auto"/>
              <w:jc w:val="center"/>
              <w:rPr>
                <w:rFonts w:ascii="Times New Roman" w:hAnsi="Times New Roman" w:cs="Times New Roman"/>
              </w:rPr>
            </w:pPr>
            <w:r w:rsidRPr="0063279F">
              <w:rPr>
                <w:rFonts w:ascii="Times New Roman" w:hAnsi="Times New Roman" w:cs="Times New Roman"/>
              </w:rPr>
              <w:t>(21,697)</w:t>
            </w:r>
          </w:p>
        </w:tc>
      </w:tr>
    </w:tbl>
    <w:p w:rsidR="00E80BEF" w:rsidRPr="0063279F" w:rsidRDefault="00E80BEF" w:rsidP="00D32D3D">
      <w:pPr>
        <w:pStyle w:val="ListNumber"/>
        <w:numPr>
          <w:ilvl w:val="0"/>
          <w:numId w:val="0"/>
        </w:numPr>
        <w:spacing w:line="360" w:lineRule="auto"/>
        <w:ind w:left="720"/>
        <w:jc w:val="both"/>
      </w:pPr>
    </w:p>
    <w:p w:rsidR="00D32D3D" w:rsidRDefault="00D32D3D" w:rsidP="00D72EF8">
      <w:pPr>
        <w:pStyle w:val="ListNumber"/>
        <w:numPr>
          <w:ilvl w:val="0"/>
          <w:numId w:val="0"/>
        </w:numPr>
        <w:tabs>
          <w:tab w:val="clear" w:pos="1440"/>
          <w:tab w:val="left" w:pos="0"/>
        </w:tabs>
        <w:spacing w:line="360" w:lineRule="auto"/>
        <w:ind w:left="720"/>
      </w:pPr>
      <w:r>
        <w:br w:type="page"/>
      </w:r>
    </w:p>
    <w:p w:rsidR="00E80BEF" w:rsidRPr="0063279F" w:rsidRDefault="00D72EF8" w:rsidP="00D72EF8">
      <w:pPr>
        <w:pStyle w:val="ListNumber"/>
        <w:numPr>
          <w:ilvl w:val="0"/>
          <w:numId w:val="0"/>
        </w:numPr>
        <w:tabs>
          <w:tab w:val="clear" w:pos="1440"/>
          <w:tab w:val="left" w:pos="0"/>
        </w:tabs>
        <w:spacing w:line="360" w:lineRule="auto"/>
        <w:ind w:left="720"/>
      </w:pPr>
      <w:r w:rsidRPr="0063279F">
        <w:tab/>
        <w:t>3.</w:t>
      </w:r>
      <w:r w:rsidRPr="0063279F">
        <w:tab/>
      </w:r>
      <w:r w:rsidR="00E80BEF" w:rsidRPr="0063279F">
        <w:t>UGI’s peaking service contracts for winter 2014-2015 are comprised of the following:</w:t>
      </w:r>
    </w:p>
    <w:p w:rsidR="00242CCB" w:rsidRPr="0063279F" w:rsidRDefault="00242CCB" w:rsidP="00D32D3D">
      <w:pPr>
        <w:pStyle w:val="ListNumber"/>
        <w:numPr>
          <w:ilvl w:val="0"/>
          <w:numId w:val="0"/>
        </w:numPr>
        <w:spacing w:line="360" w:lineRule="auto"/>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1353"/>
        <w:gridCol w:w="1353"/>
        <w:gridCol w:w="1354"/>
        <w:gridCol w:w="1354"/>
        <w:gridCol w:w="1354"/>
        <w:gridCol w:w="1354"/>
      </w:tblGrid>
      <w:tr w:rsidR="00E80BEF" w:rsidRPr="0063279F" w:rsidTr="00B6132A">
        <w:tc>
          <w:tcPr>
            <w:tcW w:w="9486" w:type="dxa"/>
            <w:gridSpan w:val="7"/>
            <w:shd w:val="clear" w:color="auto" w:fill="auto"/>
            <w:vAlign w:val="center"/>
          </w:tcPr>
          <w:p w:rsidR="00E80BEF" w:rsidRPr="0063279F" w:rsidRDefault="00E80BEF" w:rsidP="00B6132A">
            <w:pPr>
              <w:pStyle w:val="ListParagraph"/>
              <w:spacing w:before="120" w:after="120" w:line="276" w:lineRule="auto"/>
              <w:ind w:left="0"/>
              <w:jc w:val="center"/>
              <w:rPr>
                <w:rFonts w:ascii="Times New Roman" w:hAnsi="Times New Roman" w:cs="Times New Roman"/>
                <w:b/>
              </w:rPr>
            </w:pPr>
            <w:r w:rsidRPr="0063279F">
              <w:rPr>
                <w:rFonts w:ascii="Times New Roman" w:hAnsi="Times New Roman" w:cs="Times New Roman"/>
                <w:b/>
              </w:rPr>
              <w:t>Table 2 – UGI’s Peaking Service Contracts</w:t>
            </w:r>
          </w:p>
        </w:tc>
      </w:tr>
      <w:tr w:rsidR="00E80BEF" w:rsidRPr="0063279F" w:rsidTr="00B6132A">
        <w:tc>
          <w:tcPr>
            <w:tcW w:w="1364" w:type="dxa"/>
            <w:shd w:val="clear" w:color="auto" w:fill="auto"/>
          </w:tcPr>
          <w:p w:rsidR="00E80BEF" w:rsidRPr="0063279F" w:rsidRDefault="00E80BEF" w:rsidP="00B6132A">
            <w:pPr>
              <w:pStyle w:val="ListParagraph"/>
              <w:spacing w:before="120" w:after="120" w:line="276" w:lineRule="auto"/>
              <w:ind w:left="0"/>
              <w:rPr>
                <w:rFonts w:ascii="Times New Roman" w:hAnsi="Times New Roman" w:cs="Times New Roman"/>
                <w:b/>
              </w:rPr>
            </w:pPr>
          </w:p>
        </w:tc>
        <w:tc>
          <w:tcPr>
            <w:tcW w:w="2706" w:type="dxa"/>
            <w:gridSpan w:val="2"/>
            <w:shd w:val="clear" w:color="auto" w:fill="auto"/>
          </w:tcPr>
          <w:p w:rsidR="00E80BEF" w:rsidRPr="0063279F" w:rsidRDefault="00E80BEF" w:rsidP="00B6132A">
            <w:pPr>
              <w:pStyle w:val="ListParagraph"/>
              <w:spacing w:before="120" w:after="120" w:line="276" w:lineRule="auto"/>
              <w:ind w:left="0"/>
              <w:jc w:val="center"/>
              <w:rPr>
                <w:rFonts w:ascii="Times New Roman" w:hAnsi="Times New Roman" w:cs="Times New Roman"/>
                <w:b/>
              </w:rPr>
            </w:pPr>
            <w:r w:rsidRPr="0063279F">
              <w:rPr>
                <w:rFonts w:ascii="Times New Roman" w:hAnsi="Times New Roman" w:cs="Times New Roman"/>
                <w:b/>
              </w:rPr>
              <w:t>Originally Proposed</w:t>
            </w:r>
          </w:p>
        </w:tc>
        <w:tc>
          <w:tcPr>
            <w:tcW w:w="2708" w:type="dxa"/>
            <w:gridSpan w:val="2"/>
            <w:shd w:val="clear" w:color="auto" w:fill="auto"/>
          </w:tcPr>
          <w:p w:rsidR="00E80BEF" w:rsidRPr="0063279F" w:rsidRDefault="00E80BEF" w:rsidP="00B6132A">
            <w:pPr>
              <w:pStyle w:val="ListParagraph"/>
              <w:spacing w:before="120" w:after="120" w:line="276" w:lineRule="auto"/>
              <w:ind w:left="0"/>
              <w:jc w:val="center"/>
              <w:rPr>
                <w:rFonts w:ascii="Times New Roman" w:hAnsi="Times New Roman" w:cs="Times New Roman"/>
                <w:b/>
              </w:rPr>
            </w:pPr>
            <w:r w:rsidRPr="0063279F">
              <w:rPr>
                <w:rFonts w:ascii="Times New Roman" w:hAnsi="Times New Roman" w:cs="Times New Roman"/>
                <w:b/>
              </w:rPr>
              <w:t>Settlement</w:t>
            </w:r>
          </w:p>
        </w:tc>
        <w:tc>
          <w:tcPr>
            <w:tcW w:w="2708" w:type="dxa"/>
            <w:gridSpan w:val="2"/>
            <w:shd w:val="clear" w:color="auto" w:fill="auto"/>
          </w:tcPr>
          <w:p w:rsidR="00E80BEF" w:rsidRPr="0063279F" w:rsidRDefault="00E80BEF" w:rsidP="00B6132A">
            <w:pPr>
              <w:pStyle w:val="ListParagraph"/>
              <w:spacing w:before="120" w:after="120" w:line="276" w:lineRule="auto"/>
              <w:ind w:left="0"/>
              <w:jc w:val="center"/>
              <w:rPr>
                <w:rFonts w:ascii="Times New Roman" w:hAnsi="Times New Roman" w:cs="Times New Roman"/>
                <w:b/>
              </w:rPr>
            </w:pPr>
            <w:r w:rsidRPr="0063279F">
              <w:rPr>
                <w:rFonts w:ascii="Times New Roman" w:hAnsi="Times New Roman" w:cs="Times New Roman"/>
                <w:b/>
              </w:rPr>
              <w:t>Difference</w:t>
            </w:r>
          </w:p>
        </w:tc>
      </w:tr>
      <w:tr w:rsidR="00E80BEF" w:rsidRPr="0063279F" w:rsidTr="00B6132A">
        <w:tc>
          <w:tcPr>
            <w:tcW w:w="1364" w:type="dxa"/>
            <w:shd w:val="clear" w:color="auto" w:fill="auto"/>
            <w:vAlign w:val="center"/>
          </w:tcPr>
          <w:p w:rsidR="00E80BEF" w:rsidRPr="0063279F" w:rsidRDefault="00E80BEF" w:rsidP="00B6132A">
            <w:pPr>
              <w:pStyle w:val="ListParagraph"/>
              <w:ind w:left="0"/>
              <w:jc w:val="center"/>
              <w:rPr>
                <w:rFonts w:ascii="Times New Roman" w:hAnsi="Times New Roman" w:cs="Times New Roman"/>
                <w:b/>
              </w:rPr>
            </w:pPr>
            <w:r w:rsidRPr="0063279F">
              <w:rPr>
                <w:rFonts w:ascii="Times New Roman" w:hAnsi="Times New Roman" w:cs="Times New Roman"/>
                <w:b/>
              </w:rPr>
              <w:t>Contract</w:t>
            </w:r>
          </w:p>
        </w:tc>
        <w:tc>
          <w:tcPr>
            <w:tcW w:w="1353" w:type="dxa"/>
            <w:shd w:val="clear" w:color="auto" w:fill="auto"/>
            <w:vAlign w:val="center"/>
          </w:tcPr>
          <w:p w:rsidR="00E80BEF" w:rsidRPr="0063279F" w:rsidRDefault="00E80BEF" w:rsidP="00B6132A">
            <w:pPr>
              <w:pStyle w:val="ListParagraph"/>
              <w:ind w:left="0"/>
              <w:jc w:val="center"/>
              <w:rPr>
                <w:rFonts w:ascii="Times New Roman" w:hAnsi="Times New Roman" w:cs="Times New Roman"/>
                <w:b/>
              </w:rPr>
            </w:pPr>
            <w:r w:rsidRPr="0063279F">
              <w:rPr>
                <w:rFonts w:ascii="Times New Roman" w:hAnsi="Times New Roman" w:cs="Times New Roman"/>
                <w:b/>
              </w:rPr>
              <w:t>Quantity (</w:t>
            </w:r>
            <w:proofErr w:type="spellStart"/>
            <w:r w:rsidRPr="0063279F">
              <w:rPr>
                <w:rFonts w:ascii="Times New Roman" w:hAnsi="Times New Roman" w:cs="Times New Roman"/>
                <w:b/>
              </w:rPr>
              <w:t>Dth</w:t>
            </w:r>
            <w:proofErr w:type="spellEnd"/>
            <w:r w:rsidRPr="0063279F">
              <w:rPr>
                <w:rFonts w:ascii="Times New Roman" w:hAnsi="Times New Roman" w:cs="Times New Roman"/>
                <w:b/>
              </w:rPr>
              <w:t>/day)</w:t>
            </w:r>
          </w:p>
        </w:tc>
        <w:tc>
          <w:tcPr>
            <w:tcW w:w="1353" w:type="dxa"/>
            <w:shd w:val="clear" w:color="auto" w:fill="auto"/>
            <w:vAlign w:val="center"/>
          </w:tcPr>
          <w:p w:rsidR="00E80BEF" w:rsidRPr="0063279F" w:rsidRDefault="00E80BEF" w:rsidP="00B6132A">
            <w:pPr>
              <w:pStyle w:val="ListParagraph"/>
              <w:ind w:left="0"/>
              <w:jc w:val="center"/>
              <w:rPr>
                <w:rFonts w:ascii="Times New Roman" w:hAnsi="Times New Roman" w:cs="Times New Roman"/>
                <w:b/>
              </w:rPr>
            </w:pPr>
            <w:r w:rsidRPr="0063279F">
              <w:rPr>
                <w:rFonts w:ascii="Times New Roman" w:hAnsi="Times New Roman" w:cs="Times New Roman"/>
                <w:b/>
              </w:rPr>
              <w:t>Annual Demand Charge ($)</w:t>
            </w:r>
          </w:p>
        </w:tc>
        <w:tc>
          <w:tcPr>
            <w:tcW w:w="1354" w:type="dxa"/>
            <w:shd w:val="clear" w:color="auto" w:fill="auto"/>
            <w:vAlign w:val="center"/>
          </w:tcPr>
          <w:p w:rsidR="00E80BEF" w:rsidRPr="0063279F" w:rsidRDefault="00E80BEF" w:rsidP="00B6132A">
            <w:pPr>
              <w:pStyle w:val="ListParagraph"/>
              <w:ind w:left="0"/>
              <w:jc w:val="center"/>
              <w:rPr>
                <w:rFonts w:ascii="Times New Roman" w:hAnsi="Times New Roman" w:cs="Times New Roman"/>
                <w:b/>
              </w:rPr>
            </w:pPr>
            <w:r w:rsidRPr="0063279F">
              <w:rPr>
                <w:rFonts w:ascii="Times New Roman" w:hAnsi="Times New Roman" w:cs="Times New Roman"/>
                <w:b/>
              </w:rPr>
              <w:t>Quantity (</w:t>
            </w:r>
            <w:proofErr w:type="spellStart"/>
            <w:r w:rsidRPr="0063279F">
              <w:rPr>
                <w:rFonts w:ascii="Times New Roman" w:hAnsi="Times New Roman" w:cs="Times New Roman"/>
                <w:b/>
              </w:rPr>
              <w:t>Dth</w:t>
            </w:r>
            <w:proofErr w:type="spellEnd"/>
            <w:r w:rsidRPr="0063279F">
              <w:rPr>
                <w:rFonts w:ascii="Times New Roman" w:hAnsi="Times New Roman" w:cs="Times New Roman"/>
                <w:b/>
              </w:rPr>
              <w:t>/day)</w:t>
            </w:r>
          </w:p>
        </w:tc>
        <w:tc>
          <w:tcPr>
            <w:tcW w:w="1354" w:type="dxa"/>
            <w:shd w:val="clear" w:color="auto" w:fill="auto"/>
            <w:vAlign w:val="center"/>
          </w:tcPr>
          <w:p w:rsidR="00E80BEF" w:rsidRPr="0063279F" w:rsidRDefault="00E80BEF" w:rsidP="00B6132A">
            <w:pPr>
              <w:pStyle w:val="ListParagraph"/>
              <w:ind w:left="0"/>
              <w:jc w:val="center"/>
              <w:rPr>
                <w:rFonts w:ascii="Times New Roman" w:hAnsi="Times New Roman" w:cs="Times New Roman"/>
                <w:b/>
              </w:rPr>
            </w:pPr>
            <w:r w:rsidRPr="0063279F">
              <w:rPr>
                <w:rFonts w:ascii="Times New Roman" w:hAnsi="Times New Roman" w:cs="Times New Roman"/>
                <w:b/>
              </w:rPr>
              <w:t>Annual Demand Charge ($)</w:t>
            </w:r>
          </w:p>
        </w:tc>
        <w:tc>
          <w:tcPr>
            <w:tcW w:w="1354" w:type="dxa"/>
            <w:shd w:val="clear" w:color="auto" w:fill="auto"/>
            <w:vAlign w:val="center"/>
          </w:tcPr>
          <w:p w:rsidR="00E80BEF" w:rsidRPr="0063279F" w:rsidRDefault="00E80BEF" w:rsidP="00B6132A">
            <w:pPr>
              <w:pStyle w:val="ListParagraph"/>
              <w:ind w:left="0"/>
              <w:jc w:val="center"/>
              <w:rPr>
                <w:rFonts w:ascii="Times New Roman" w:hAnsi="Times New Roman" w:cs="Times New Roman"/>
                <w:b/>
              </w:rPr>
            </w:pPr>
            <w:r w:rsidRPr="0063279F">
              <w:rPr>
                <w:rFonts w:ascii="Times New Roman" w:hAnsi="Times New Roman" w:cs="Times New Roman"/>
                <w:b/>
              </w:rPr>
              <w:t>Quantity (</w:t>
            </w:r>
            <w:proofErr w:type="spellStart"/>
            <w:r w:rsidRPr="0063279F">
              <w:rPr>
                <w:rFonts w:ascii="Times New Roman" w:hAnsi="Times New Roman" w:cs="Times New Roman"/>
                <w:b/>
              </w:rPr>
              <w:t>Dth</w:t>
            </w:r>
            <w:proofErr w:type="spellEnd"/>
            <w:r w:rsidRPr="0063279F">
              <w:rPr>
                <w:rFonts w:ascii="Times New Roman" w:hAnsi="Times New Roman" w:cs="Times New Roman"/>
                <w:b/>
              </w:rPr>
              <w:t>/day)</w:t>
            </w:r>
          </w:p>
        </w:tc>
        <w:tc>
          <w:tcPr>
            <w:tcW w:w="1354" w:type="dxa"/>
            <w:shd w:val="clear" w:color="auto" w:fill="auto"/>
            <w:vAlign w:val="center"/>
          </w:tcPr>
          <w:p w:rsidR="00E80BEF" w:rsidRPr="0063279F" w:rsidRDefault="00E80BEF" w:rsidP="00B6132A">
            <w:pPr>
              <w:pStyle w:val="ListParagraph"/>
              <w:ind w:left="0"/>
              <w:jc w:val="center"/>
              <w:rPr>
                <w:rFonts w:ascii="Times New Roman" w:hAnsi="Times New Roman" w:cs="Times New Roman"/>
                <w:b/>
              </w:rPr>
            </w:pPr>
            <w:r w:rsidRPr="0063279F">
              <w:rPr>
                <w:rFonts w:ascii="Times New Roman" w:hAnsi="Times New Roman" w:cs="Times New Roman"/>
                <w:b/>
              </w:rPr>
              <w:t>Annual Demand Charge ($)</w:t>
            </w:r>
          </w:p>
        </w:tc>
      </w:tr>
      <w:tr w:rsidR="00E80BEF" w:rsidRPr="0063279F" w:rsidTr="00B6132A">
        <w:tc>
          <w:tcPr>
            <w:tcW w:w="1364" w:type="dxa"/>
            <w:shd w:val="clear" w:color="auto" w:fill="auto"/>
          </w:tcPr>
          <w:p w:rsidR="00E80BEF" w:rsidRPr="0063279F" w:rsidRDefault="00E80BEF" w:rsidP="00B6132A">
            <w:pPr>
              <w:pStyle w:val="ListParagraph"/>
              <w:ind w:left="0"/>
              <w:rPr>
                <w:rFonts w:ascii="Times New Roman" w:hAnsi="Times New Roman" w:cs="Times New Roman"/>
              </w:rPr>
            </w:pPr>
            <w:r w:rsidRPr="0063279F">
              <w:rPr>
                <w:rFonts w:ascii="Times New Roman" w:hAnsi="Times New Roman" w:cs="Times New Roman"/>
              </w:rPr>
              <w:t>Peaking I</w:t>
            </w:r>
          </w:p>
        </w:tc>
        <w:tc>
          <w:tcPr>
            <w:tcW w:w="1353" w:type="dxa"/>
            <w:shd w:val="clear" w:color="auto" w:fill="auto"/>
          </w:tcPr>
          <w:p w:rsidR="00E80BEF" w:rsidRPr="0063279F" w:rsidRDefault="00E80BEF" w:rsidP="00B6132A">
            <w:pPr>
              <w:pStyle w:val="ListParagraph"/>
              <w:ind w:left="0"/>
              <w:jc w:val="center"/>
              <w:rPr>
                <w:rFonts w:ascii="Times New Roman" w:hAnsi="Times New Roman" w:cs="Times New Roman"/>
              </w:rPr>
            </w:pPr>
            <w:r w:rsidRPr="0063279F">
              <w:rPr>
                <w:rFonts w:ascii="Times New Roman" w:hAnsi="Times New Roman" w:cs="Times New Roman"/>
              </w:rPr>
              <w:t>25,000</w:t>
            </w:r>
          </w:p>
        </w:tc>
        <w:tc>
          <w:tcPr>
            <w:tcW w:w="1353" w:type="dxa"/>
            <w:shd w:val="clear" w:color="auto" w:fill="auto"/>
          </w:tcPr>
          <w:p w:rsidR="00E80BEF" w:rsidRPr="0063279F" w:rsidRDefault="00E80BEF" w:rsidP="00B6132A">
            <w:pPr>
              <w:pStyle w:val="ListParagraph"/>
              <w:ind w:left="0"/>
              <w:jc w:val="center"/>
              <w:rPr>
                <w:rFonts w:ascii="Times New Roman" w:hAnsi="Times New Roman" w:cs="Times New Roman"/>
              </w:rPr>
            </w:pPr>
            <w:r w:rsidRPr="0063279F">
              <w:rPr>
                <w:rFonts w:ascii="Times New Roman" w:hAnsi="Times New Roman" w:cs="Times New Roman"/>
              </w:rPr>
              <w:t>6,125,000</w:t>
            </w:r>
          </w:p>
        </w:tc>
        <w:tc>
          <w:tcPr>
            <w:tcW w:w="1354" w:type="dxa"/>
            <w:shd w:val="clear" w:color="auto" w:fill="auto"/>
          </w:tcPr>
          <w:p w:rsidR="00E80BEF" w:rsidRPr="0063279F" w:rsidRDefault="00E80BEF" w:rsidP="00B6132A">
            <w:pPr>
              <w:pStyle w:val="ListParagraph"/>
              <w:ind w:left="0"/>
              <w:jc w:val="center"/>
              <w:rPr>
                <w:rFonts w:ascii="Times New Roman" w:hAnsi="Times New Roman" w:cs="Times New Roman"/>
              </w:rPr>
            </w:pPr>
            <w:r w:rsidRPr="0063279F">
              <w:rPr>
                <w:rFonts w:ascii="Times New Roman" w:hAnsi="Times New Roman" w:cs="Times New Roman"/>
              </w:rPr>
              <w:t>25,000</w:t>
            </w:r>
          </w:p>
        </w:tc>
        <w:tc>
          <w:tcPr>
            <w:tcW w:w="1354" w:type="dxa"/>
            <w:shd w:val="clear" w:color="auto" w:fill="auto"/>
          </w:tcPr>
          <w:p w:rsidR="00E80BEF" w:rsidRPr="0063279F" w:rsidRDefault="00E80BEF" w:rsidP="00B6132A">
            <w:pPr>
              <w:pStyle w:val="ListParagraph"/>
              <w:ind w:left="0"/>
              <w:jc w:val="center"/>
              <w:rPr>
                <w:rFonts w:ascii="Times New Roman" w:hAnsi="Times New Roman" w:cs="Times New Roman"/>
              </w:rPr>
            </w:pPr>
            <w:r w:rsidRPr="0063279F">
              <w:rPr>
                <w:rFonts w:ascii="Times New Roman" w:hAnsi="Times New Roman" w:cs="Times New Roman"/>
              </w:rPr>
              <w:t>6,125,000</w:t>
            </w:r>
          </w:p>
        </w:tc>
        <w:tc>
          <w:tcPr>
            <w:tcW w:w="1354" w:type="dxa"/>
            <w:shd w:val="clear" w:color="auto" w:fill="auto"/>
          </w:tcPr>
          <w:p w:rsidR="00E80BEF" w:rsidRPr="0063279F" w:rsidRDefault="00E80BEF" w:rsidP="00B6132A">
            <w:pPr>
              <w:pStyle w:val="ListParagraph"/>
              <w:ind w:left="0"/>
              <w:jc w:val="center"/>
              <w:rPr>
                <w:rFonts w:ascii="Times New Roman" w:hAnsi="Times New Roman" w:cs="Times New Roman"/>
              </w:rPr>
            </w:pPr>
            <w:r w:rsidRPr="0063279F">
              <w:rPr>
                <w:rFonts w:ascii="Times New Roman" w:hAnsi="Times New Roman" w:cs="Times New Roman"/>
              </w:rPr>
              <w:t>0</w:t>
            </w:r>
          </w:p>
        </w:tc>
        <w:tc>
          <w:tcPr>
            <w:tcW w:w="1354" w:type="dxa"/>
            <w:shd w:val="clear" w:color="auto" w:fill="auto"/>
          </w:tcPr>
          <w:p w:rsidR="00E80BEF" w:rsidRPr="0063279F" w:rsidRDefault="00E80BEF" w:rsidP="00B6132A">
            <w:pPr>
              <w:pStyle w:val="ListParagraph"/>
              <w:ind w:left="0"/>
              <w:jc w:val="center"/>
              <w:rPr>
                <w:rFonts w:ascii="Times New Roman" w:hAnsi="Times New Roman" w:cs="Times New Roman"/>
              </w:rPr>
            </w:pPr>
            <w:r w:rsidRPr="0063279F">
              <w:rPr>
                <w:rFonts w:ascii="Times New Roman" w:hAnsi="Times New Roman" w:cs="Times New Roman"/>
              </w:rPr>
              <w:t>0</w:t>
            </w:r>
          </w:p>
        </w:tc>
      </w:tr>
      <w:tr w:rsidR="00E80BEF" w:rsidRPr="0063279F" w:rsidTr="00B6132A">
        <w:tc>
          <w:tcPr>
            <w:tcW w:w="1364" w:type="dxa"/>
            <w:shd w:val="clear" w:color="auto" w:fill="auto"/>
          </w:tcPr>
          <w:p w:rsidR="00E80BEF" w:rsidRPr="0063279F" w:rsidRDefault="00E80BEF" w:rsidP="00B6132A">
            <w:pPr>
              <w:pStyle w:val="ListParagraph"/>
              <w:ind w:left="0"/>
              <w:rPr>
                <w:rFonts w:ascii="Times New Roman" w:hAnsi="Times New Roman" w:cs="Times New Roman"/>
              </w:rPr>
            </w:pPr>
            <w:r w:rsidRPr="0063279F">
              <w:rPr>
                <w:rFonts w:ascii="Times New Roman" w:hAnsi="Times New Roman" w:cs="Times New Roman"/>
              </w:rPr>
              <w:t>Peaking II</w:t>
            </w:r>
          </w:p>
        </w:tc>
        <w:tc>
          <w:tcPr>
            <w:tcW w:w="1353" w:type="dxa"/>
            <w:shd w:val="clear" w:color="auto" w:fill="auto"/>
          </w:tcPr>
          <w:p w:rsidR="00E80BEF" w:rsidRPr="0063279F" w:rsidRDefault="00E80BEF" w:rsidP="00B6132A">
            <w:pPr>
              <w:pStyle w:val="ListParagraph"/>
              <w:ind w:left="0"/>
              <w:jc w:val="center"/>
              <w:rPr>
                <w:rFonts w:ascii="Times New Roman" w:hAnsi="Times New Roman" w:cs="Times New Roman"/>
              </w:rPr>
            </w:pPr>
            <w:r w:rsidRPr="0063279F">
              <w:rPr>
                <w:rFonts w:ascii="Times New Roman" w:hAnsi="Times New Roman" w:cs="Times New Roman"/>
              </w:rPr>
              <w:t>40,000</w:t>
            </w:r>
          </w:p>
        </w:tc>
        <w:tc>
          <w:tcPr>
            <w:tcW w:w="1353" w:type="dxa"/>
            <w:shd w:val="clear" w:color="auto" w:fill="auto"/>
          </w:tcPr>
          <w:p w:rsidR="00E80BEF" w:rsidRPr="0063279F" w:rsidRDefault="00E80BEF" w:rsidP="00B6132A">
            <w:pPr>
              <w:pStyle w:val="ListParagraph"/>
              <w:ind w:left="0"/>
              <w:jc w:val="center"/>
              <w:rPr>
                <w:rFonts w:ascii="Times New Roman" w:hAnsi="Times New Roman" w:cs="Times New Roman"/>
              </w:rPr>
            </w:pPr>
            <w:r w:rsidRPr="0063279F">
              <w:rPr>
                <w:rFonts w:ascii="Times New Roman" w:hAnsi="Times New Roman" w:cs="Times New Roman"/>
              </w:rPr>
              <w:t>8,600,000</w:t>
            </w:r>
          </w:p>
        </w:tc>
        <w:tc>
          <w:tcPr>
            <w:tcW w:w="1354" w:type="dxa"/>
            <w:shd w:val="clear" w:color="auto" w:fill="auto"/>
          </w:tcPr>
          <w:p w:rsidR="00E80BEF" w:rsidRPr="0063279F" w:rsidRDefault="00E80BEF" w:rsidP="00B6132A">
            <w:pPr>
              <w:pStyle w:val="ListParagraph"/>
              <w:ind w:left="0"/>
              <w:jc w:val="center"/>
              <w:rPr>
                <w:rFonts w:ascii="Times New Roman" w:hAnsi="Times New Roman" w:cs="Times New Roman"/>
              </w:rPr>
            </w:pPr>
            <w:r w:rsidRPr="0063279F">
              <w:rPr>
                <w:rFonts w:ascii="Times New Roman" w:hAnsi="Times New Roman" w:cs="Times New Roman"/>
              </w:rPr>
              <w:t>40,000</w:t>
            </w:r>
          </w:p>
        </w:tc>
        <w:tc>
          <w:tcPr>
            <w:tcW w:w="1354" w:type="dxa"/>
            <w:shd w:val="clear" w:color="auto" w:fill="auto"/>
          </w:tcPr>
          <w:p w:rsidR="00E80BEF" w:rsidRPr="0063279F" w:rsidRDefault="00E80BEF" w:rsidP="00B6132A">
            <w:pPr>
              <w:pStyle w:val="ListParagraph"/>
              <w:ind w:left="0"/>
              <w:jc w:val="center"/>
              <w:rPr>
                <w:rFonts w:ascii="Times New Roman" w:hAnsi="Times New Roman" w:cs="Times New Roman"/>
              </w:rPr>
            </w:pPr>
            <w:r w:rsidRPr="0063279F">
              <w:rPr>
                <w:rFonts w:ascii="Times New Roman" w:hAnsi="Times New Roman" w:cs="Times New Roman"/>
              </w:rPr>
              <w:t>8,600,000</w:t>
            </w:r>
          </w:p>
        </w:tc>
        <w:tc>
          <w:tcPr>
            <w:tcW w:w="1354" w:type="dxa"/>
            <w:shd w:val="clear" w:color="auto" w:fill="auto"/>
          </w:tcPr>
          <w:p w:rsidR="00E80BEF" w:rsidRPr="0063279F" w:rsidRDefault="00E80BEF" w:rsidP="00B6132A">
            <w:pPr>
              <w:pStyle w:val="ListParagraph"/>
              <w:ind w:left="0"/>
              <w:jc w:val="center"/>
              <w:rPr>
                <w:rFonts w:ascii="Times New Roman" w:hAnsi="Times New Roman" w:cs="Times New Roman"/>
              </w:rPr>
            </w:pPr>
            <w:r w:rsidRPr="0063279F">
              <w:rPr>
                <w:rFonts w:ascii="Times New Roman" w:hAnsi="Times New Roman" w:cs="Times New Roman"/>
              </w:rPr>
              <w:t>0</w:t>
            </w:r>
          </w:p>
        </w:tc>
        <w:tc>
          <w:tcPr>
            <w:tcW w:w="1354" w:type="dxa"/>
            <w:shd w:val="clear" w:color="auto" w:fill="auto"/>
          </w:tcPr>
          <w:p w:rsidR="00E80BEF" w:rsidRPr="0063279F" w:rsidRDefault="00E80BEF" w:rsidP="00B6132A">
            <w:pPr>
              <w:pStyle w:val="ListParagraph"/>
              <w:ind w:left="0"/>
              <w:jc w:val="center"/>
              <w:rPr>
                <w:rFonts w:ascii="Times New Roman" w:hAnsi="Times New Roman" w:cs="Times New Roman"/>
              </w:rPr>
            </w:pPr>
            <w:r w:rsidRPr="0063279F">
              <w:rPr>
                <w:rFonts w:ascii="Times New Roman" w:hAnsi="Times New Roman" w:cs="Times New Roman"/>
              </w:rPr>
              <w:t>0</w:t>
            </w:r>
          </w:p>
        </w:tc>
      </w:tr>
      <w:tr w:rsidR="00E80BEF" w:rsidRPr="0063279F" w:rsidTr="00B6132A">
        <w:tc>
          <w:tcPr>
            <w:tcW w:w="1364" w:type="dxa"/>
            <w:shd w:val="clear" w:color="auto" w:fill="auto"/>
          </w:tcPr>
          <w:p w:rsidR="00E80BEF" w:rsidRPr="0063279F" w:rsidRDefault="00E80BEF" w:rsidP="00B6132A">
            <w:pPr>
              <w:pStyle w:val="ListParagraph"/>
              <w:ind w:left="0"/>
              <w:rPr>
                <w:rFonts w:ascii="Times New Roman" w:hAnsi="Times New Roman" w:cs="Times New Roman"/>
              </w:rPr>
            </w:pPr>
            <w:r w:rsidRPr="0063279F">
              <w:rPr>
                <w:rFonts w:ascii="Times New Roman" w:hAnsi="Times New Roman" w:cs="Times New Roman"/>
              </w:rPr>
              <w:t>Peaking III</w:t>
            </w:r>
          </w:p>
        </w:tc>
        <w:tc>
          <w:tcPr>
            <w:tcW w:w="1353" w:type="dxa"/>
            <w:shd w:val="clear" w:color="auto" w:fill="auto"/>
          </w:tcPr>
          <w:p w:rsidR="00E80BEF" w:rsidRPr="0063279F" w:rsidRDefault="00E80BEF" w:rsidP="00B6132A">
            <w:pPr>
              <w:pStyle w:val="ListParagraph"/>
              <w:ind w:left="0"/>
              <w:jc w:val="center"/>
              <w:rPr>
                <w:rFonts w:ascii="Times New Roman" w:hAnsi="Times New Roman" w:cs="Times New Roman"/>
              </w:rPr>
            </w:pPr>
            <w:r w:rsidRPr="0063279F">
              <w:rPr>
                <w:rFonts w:ascii="Times New Roman" w:hAnsi="Times New Roman" w:cs="Times New Roman"/>
              </w:rPr>
              <w:t>34,500</w:t>
            </w:r>
          </w:p>
        </w:tc>
        <w:tc>
          <w:tcPr>
            <w:tcW w:w="1353" w:type="dxa"/>
            <w:shd w:val="clear" w:color="auto" w:fill="auto"/>
          </w:tcPr>
          <w:p w:rsidR="00E80BEF" w:rsidRPr="0063279F" w:rsidRDefault="00E80BEF" w:rsidP="00B6132A">
            <w:pPr>
              <w:pStyle w:val="ListParagraph"/>
              <w:ind w:left="0"/>
              <w:jc w:val="center"/>
              <w:rPr>
                <w:rFonts w:ascii="Times New Roman" w:hAnsi="Times New Roman" w:cs="Times New Roman"/>
              </w:rPr>
            </w:pPr>
            <w:r w:rsidRPr="0063279F">
              <w:rPr>
                <w:rFonts w:ascii="Times New Roman" w:hAnsi="Times New Roman" w:cs="Times New Roman"/>
              </w:rPr>
              <w:t>6,591,740</w:t>
            </w:r>
          </w:p>
        </w:tc>
        <w:tc>
          <w:tcPr>
            <w:tcW w:w="1354" w:type="dxa"/>
            <w:shd w:val="clear" w:color="auto" w:fill="auto"/>
          </w:tcPr>
          <w:p w:rsidR="00E80BEF" w:rsidRPr="0063279F" w:rsidRDefault="00E80BEF" w:rsidP="00B6132A">
            <w:pPr>
              <w:pStyle w:val="ListParagraph"/>
              <w:ind w:left="0"/>
              <w:jc w:val="center"/>
              <w:rPr>
                <w:rFonts w:ascii="Times New Roman" w:hAnsi="Times New Roman" w:cs="Times New Roman"/>
              </w:rPr>
            </w:pPr>
            <w:r w:rsidRPr="0063279F">
              <w:rPr>
                <w:rFonts w:ascii="Times New Roman" w:hAnsi="Times New Roman" w:cs="Times New Roman"/>
              </w:rPr>
              <w:t>34,500</w:t>
            </w:r>
          </w:p>
        </w:tc>
        <w:tc>
          <w:tcPr>
            <w:tcW w:w="1354" w:type="dxa"/>
            <w:shd w:val="clear" w:color="auto" w:fill="auto"/>
          </w:tcPr>
          <w:p w:rsidR="00E80BEF" w:rsidRPr="0063279F" w:rsidRDefault="00E80BEF" w:rsidP="00B6132A">
            <w:pPr>
              <w:pStyle w:val="ListParagraph"/>
              <w:ind w:left="0"/>
              <w:jc w:val="center"/>
              <w:rPr>
                <w:rFonts w:ascii="Times New Roman" w:hAnsi="Times New Roman" w:cs="Times New Roman"/>
              </w:rPr>
            </w:pPr>
            <w:r w:rsidRPr="0063279F">
              <w:rPr>
                <w:rFonts w:ascii="Times New Roman" w:hAnsi="Times New Roman" w:cs="Times New Roman"/>
              </w:rPr>
              <w:t>6,591,740</w:t>
            </w:r>
          </w:p>
        </w:tc>
        <w:tc>
          <w:tcPr>
            <w:tcW w:w="1354" w:type="dxa"/>
            <w:shd w:val="clear" w:color="auto" w:fill="auto"/>
          </w:tcPr>
          <w:p w:rsidR="00E80BEF" w:rsidRPr="0063279F" w:rsidRDefault="00E80BEF" w:rsidP="00B6132A">
            <w:pPr>
              <w:pStyle w:val="ListParagraph"/>
              <w:ind w:left="0"/>
              <w:jc w:val="center"/>
              <w:rPr>
                <w:rFonts w:ascii="Times New Roman" w:hAnsi="Times New Roman" w:cs="Times New Roman"/>
              </w:rPr>
            </w:pPr>
            <w:r w:rsidRPr="0063279F">
              <w:rPr>
                <w:rFonts w:ascii="Times New Roman" w:hAnsi="Times New Roman" w:cs="Times New Roman"/>
              </w:rPr>
              <w:t>0</w:t>
            </w:r>
          </w:p>
        </w:tc>
        <w:tc>
          <w:tcPr>
            <w:tcW w:w="1354" w:type="dxa"/>
            <w:shd w:val="clear" w:color="auto" w:fill="auto"/>
          </w:tcPr>
          <w:p w:rsidR="00E80BEF" w:rsidRPr="0063279F" w:rsidRDefault="00E80BEF" w:rsidP="00B6132A">
            <w:pPr>
              <w:pStyle w:val="ListParagraph"/>
              <w:ind w:left="0"/>
              <w:jc w:val="center"/>
              <w:rPr>
                <w:rFonts w:ascii="Times New Roman" w:hAnsi="Times New Roman" w:cs="Times New Roman"/>
              </w:rPr>
            </w:pPr>
            <w:r w:rsidRPr="0063279F">
              <w:rPr>
                <w:rFonts w:ascii="Times New Roman" w:hAnsi="Times New Roman" w:cs="Times New Roman"/>
              </w:rPr>
              <w:t>0</w:t>
            </w:r>
          </w:p>
        </w:tc>
      </w:tr>
      <w:tr w:rsidR="00E80BEF" w:rsidRPr="0063279F" w:rsidTr="00B6132A">
        <w:tc>
          <w:tcPr>
            <w:tcW w:w="1364" w:type="dxa"/>
            <w:shd w:val="clear" w:color="auto" w:fill="auto"/>
          </w:tcPr>
          <w:p w:rsidR="00E80BEF" w:rsidRPr="0063279F" w:rsidRDefault="00E80BEF" w:rsidP="00B6132A">
            <w:pPr>
              <w:pStyle w:val="ListParagraph"/>
              <w:ind w:left="0"/>
              <w:rPr>
                <w:rFonts w:ascii="Times New Roman" w:hAnsi="Times New Roman" w:cs="Times New Roman"/>
              </w:rPr>
            </w:pPr>
            <w:r w:rsidRPr="0063279F">
              <w:rPr>
                <w:rFonts w:ascii="Times New Roman" w:hAnsi="Times New Roman" w:cs="Times New Roman"/>
              </w:rPr>
              <w:t>Peaking IV</w:t>
            </w:r>
          </w:p>
        </w:tc>
        <w:tc>
          <w:tcPr>
            <w:tcW w:w="1353" w:type="dxa"/>
            <w:shd w:val="clear" w:color="auto" w:fill="auto"/>
          </w:tcPr>
          <w:p w:rsidR="00E80BEF" w:rsidRPr="0063279F" w:rsidRDefault="00E80BEF" w:rsidP="00B6132A">
            <w:pPr>
              <w:pStyle w:val="ListParagraph"/>
              <w:ind w:left="0"/>
              <w:jc w:val="center"/>
              <w:rPr>
                <w:rFonts w:ascii="Times New Roman" w:hAnsi="Times New Roman" w:cs="Times New Roman"/>
              </w:rPr>
            </w:pPr>
            <w:r w:rsidRPr="0063279F">
              <w:rPr>
                <w:rFonts w:ascii="Times New Roman" w:hAnsi="Times New Roman" w:cs="Times New Roman"/>
              </w:rPr>
              <w:t>6,012</w:t>
            </w:r>
          </w:p>
        </w:tc>
        <w:tc>
          <w:tcPr>
            <w:tcW w:w="1353" w:type="dxa"/>
            <w:shd w:val="clear" w:color="auto" w:fill="auto"/>
          </w:tcPr>
          <w:p w:rsidR="00E80BEF" w:rsidRPr="0063279F" w:rsidRDefault="00E80BEF" w:rsidP="00B6132A">
            <w:pPr>
              <w:pStyle w:val="ListParagraph"/>
              <w:ind w:left="0"/>
              <w:jc w:val="center"/>
              <w:rPr>
                <w:rFonts w:ascii="Times New Roman" w:hAnsi="Times New Roman" w:cs="Times New Roman"/>
              </w:rPr>
            </w:pPr>
            <w:r w:rsidRPr="0063279F">
              <w:rPr>
                <w:rFonts w:ascii="Times New Roman" w:hAnsi="Times New Roman" w:cs="Times New Roman"/>
              </w:rPr>
              <w:t>837,458</w:t>
            </w:r>
          </w:p>
        </w:tc>
        <w:tc>
          <w:tcPr>
            <w:tcW w:w="1354" w:type="dxa"/>
            <w:shd w:val="clear" w:color="auto" w:fill="auto"/>
          </w:tcPr>
          <w:p w:rsidR="00E80BEF" w:rsidRPr="0063279F" w:rsidRDefault="00E80BEF" w:rsidP="00B6132A">
            <w:pPr>
              <w:pStyle w:val="ListParagraph"/>
              <w:ind w:left="0"/>
              <w:jc w:val="center"/>
              <w:rPr>
                <w:rFonts w:ascii="Times New Roman" w:hAnsi="Times New Roman" w:cs="Times New Roman"/>
              </w:rPr>
            </w:pPr>
            <w:r w:rsidRPr="0063279F">
              <w:rPr>
                <w:rFonts w:ascii="Times New Roman" w:hAnsi="Times New Roman" w:cs="Times New Roman"/>
              </w:rPr>
              <w:t>6,012</w:t>
            </w:r>
          </w:p>
        </w:tc>
        <w:tc>
          <w:tcPr>
            <w:tcW w:w="1354" w:type="dxa"/>
            <w:shd w:val="clear" w:color="auto" w:fill="auto"/>
          </w:tcPr>
          <w:p w:rsidR="00E80BEF" w:rsidRPr="0063279F" w:rsidRDefault="00E80BEF" w:rsidP="00B6132A">
            <w:pPr>
              <w:pStyle w:val="ListParagraph"/>
              <w:ind w:left="0"/>
              <w:jc w:val="center"/>
              <w:rPr>
                <w:rFonts w:ascii="Times New Roman" w:hAnsi="Times New Roman" w:cs="Times New Roman"/>
              </w:rPr>
            </w:pPr>
            <w:r w:rsidRPr="0063279F">
              <w:rPr>
                <w:rFonts w:ascii="Times New Roman" w:hAnsi="Times New Roman" w:cs="Times New Roman"/>
              </w:rPr>
              <w:t>837,458</w:t>
            </w:r>
          </w:p>
        </w:tc>
        <w:tc>
          <w:tcPr>
            <w:tcW w:w="1354" w:type="dxa"/>
            <w:shd w:val="clear" w:color="auto" w:fill="auto"/>
          </w:tcPr>
          <w:p w:rsidR="00E80BEF" w:rsidRPr="0063279F" w:rsidRDefault="00E80BEF" w:rsidP="00B6132A">
            <w:pPr>
              <w:pStyle w:val="ListParagraph"/>
              <w:ind w:left="0"/>
              <w:jc w:val="center"/>
              <w:rPr>
                <w:rFonts w:ascii="Times New Roman" w:hAnsi="Times New Roman" w:cs="Times New Roman"/>
              </w:rPr>
            </w:pPr>
            <w:r w:rsidRPr="0063279F">
              <w:rPr>
                <w:rFonts w:ascii="Times New Roman" w:hAnsi="Times New Roman" w:cs="Times New Roman"/>
              </w:rPr>
              <w:t>0</w:t>
            </w:r>
          </w:p>
        </w:tc>
        <w:tc>
          <w:tcPr>
            <w:tcW w:w="1354" w:type="dxa"/>
            <w:shd w:val="clear" w:color="auto" w:fill="auto"/>
          </w:tcPr>
          <w:p w:rsidR="00E80BEF" w:rsidRPr="0063279F" w:rsidRDefault="00E80BEF" w:rsidP="00B6132A">
            <w:pPr>
              <w:pStyle w:val="ListParagraph"/>
              <w:ind w:left="0"/>
              <w:jc w:val="center"/>
              <w:rPr>
                <w:rFonts w:ascii="Times New Roman" w:hAnsi="Times New Roman" w:cs="Times New Roman"/>
              </w:rPr>
            </w:pPr>
            <w:r w:rsidRPr="0063279F">
              <w:rPr>
                <w:rFonts w:ascii="Times New Roman" w:hAnsi="Times New Roman" w:cs="Times New Roman"/>
              </w:rPr>
              <w:t>0</w:t>
            </w:r>
          </w:p>
        </w:tc>
      </w:tr>
      <w:tr w:rsidR="00E80BEF" w:rsidRPr="0063279F" w:rsidTr="00B6132A">
        <w:tc>
          <w:tcPr>
            <w:tcW w:w="1364" w:type="dxa"/>
            <w:shd w:val="clear" w:color="auto" w:fill="auto"/>
          </w:tcPr>
          <w:p w:rsidR="00E80BEF" w:rsidRPr="0063279F" w:rsidRDefault="00E80BEF" w:rsidP="00B6132A">
            <w:pPr>
              <w:pStyle w:val="ListParagraph"/>
              <w:ind w:left="0"/>
              <w:rPr>
                <w:rFonts w:ascii="Times New Roman" w:hAnsi="Times New Roman" w:cs="Times New Roman"/>
              </w:rPr>
            </w:pPr>
            <w:r w:rsidRPr="0063279F">
              <w:rPr>
                <w:rFonts w:ascii="Times New Roman" w:hAnsi="Times New Roman" w:cs="Times New Roman"/>
              </w:rPr>
              <w:t>Peaking V</w:t>
            </w:r>
          </w:p>
        </w:tc>
        <w:tc>
          <w:tcPr>
            <w:tcW w:w="1353" w:type="dxa"/>
            <w:shd w:val="clear" w:color="auto" w:fill="auto"/>
          </w:tcPr>
          <w:p w:rsidR="00E80BEF" w:rsidRPr="0063279F" w:rsidRDefault="00E80BEF" w:rsidP="00B6132A">
            <w:pPr>
              <w:pStyle w:val="ListParagraph"/>
              <w:ind w:left="0"/>
              <w:jc w:val="center"/>
              <w:rPr>
                <w:rFonts w:ascii="Times New Roman" w:hAnsi="Times New Roman" w:cs="Times New Roman"/>
              </w:rPr>
            </w:pPr>
            <w:r w:rsidRPr="0063279F">
              <w:rPr>
                <w:rFonts w:ascii="Times New Roman" w:hAnsi="Times New Roman" w:cs="Times New Roman"/>
              </w:rPr>
              <w:t>12,930</w:t>
            </w:r>
          </w:p>
        </w:tc>
        <w:tc>
          <w:tcPr>
            <w:tcW w:w="1353" w:type="dxa"/>
            <w:shd w:val="clear" w:color="auto" w:fill="auto"/>
          </w:tcPr>
          <w:p w:rsidR="00E80BEF" w:rsidRPr="0063279F" w:rsidRDefault="00E80BEF" w:rsidP="00B6132A">
            <w:pPr>
              <w:pStyle w:val="ListParagraph"/>
              <w:ind w:left="0"/>
              <w:jc w:val="center"/>
              <w:rPr>
                <w:rFonts w:ascii="Times New Roman" w:hAnsi="Times New Roman" w:cs="Times New Roman"/>
              </w:rPr>
            </w:pPr>
            <w:r w:rsidRPr="0063279F">
              <w:rPr>
                <w:rFonts w:ascii="Times New Roman" w:hAnsi="Times New Roman" w:cs="Times New Roman"/>
              </w:rPr>
              <w:t>1,760,000</w:t>
            </w:r>
          </w:p>
        </w:tc>
        <w:tc>
          <w:tcPr>
            <w:tcW w:w="1354" w:type="dxa"/>
            <w:shd w:val="clear" w:color="auto" w:fill="auto"/>
          </w:tcPr>
          <w:p w:rsidR="00E80BEF" w:rsidRPr="0063279F" w:rsidRDefault="00E80BEF" w:rsidP="00B6132A">
            <w:pPr>
              <w:pStyle w:val="ListParagraph"/>
              <w:ind w:left="0"/>
              <w:jc w:val="center"/>
              <w:rPr>
                <w:rFonts w:ascii="Times New Roman" w:hAnsi="Times New Roman" w:cs="Times New Roman"/>
              </w:rPr>
            </w:pPr>
            <w:r w:rsidRPr="0063279F">
              <w:rPr>
                <w:rFonts w:ascii="Times New Roman" w:hAnsi="Times New Roman" w:cs="Times New Roman"/>
              </w:rPr>
              <w:t>12,930</w:t>
            </w:r>
          </w:p>
        </w:tc>
        <w:tc>
          <w:tcPr>
            <w:tcW w:w="1354" w:type="dxa"/>
            <w:shd w:val="clear" w:color="auto" w:fill="auto"/>
          </w:tcPr>
          <w:p w:rsidR="00E80BEF" w:rsidRPr="0063279F" w:rsidRDefault="00E80BEF" w:rsidP="00B6132A">
            <w:pPr>
              <w:pStyle w:val="ListParagraph"/>
              <w:ind w:left="0"/>
              <w:jc w:val="center"/>
              <w:rPr>
                <w:rFonts w:ascii="Times New Roman" w:hAnsi="Times New Roman" w:cs="Times New Roman"/>
              </w:rPr>
            </w:pPr>
            <w:r w:rsidRPr="0063279F">
              <w:rPr>
                <w:rFonts w:ascii="Times New Roman" w:hAnsi="Times New Roman" w:cs="Times New Roman"/>
              </w:rPr>
              <w:t>1,760,000</w:t>
            </w:r>
          </w:p>
        </w:tc>
        <w:tc>
          <w:tcPr>
            <w:tcW w:w="1354" w:type="dxa"/>
            <w:shd w:val="clear" w:color="auto" w:fill="auto"/>
          </w:tcPr>
          <w:p w:rsidR="00E80BEF" w:rsidRPr="0063279F" w:rsidRDefault="00E80BEF" w:rsidP="00B6132A">
            <w:pPr>
              <w:pStyle w:val="ListParagraph"/>
              <w:ind w:left="0"/>
              <w:jc w:val="center"/>
              <w:rPr>
                <w:rFonts w:ascii="Times New Roman" w:hAnsi="Times New Roman" w:cs="Times New Roman"/>
              </w:rPr>
            </w:pPr>
            <w:r w:rsidRPr="0063279F">
              <w:rPr>
                <w:rFonts w:ascii="Times New Roman" w:hAnsi="Times New Roman" w:cs="Times New Roman"/>
              </w:rPr>
              <w:t>0</w:t>
            </w:r>
          </w:p>
        </w:tc>
        <w:tc>
          <w:tcPr>
            <w:tcW w:w="1354" w:type="dxa"/>
            <w:shd w:val="clear" w:color="auto" w:fill="auto"/>
          </w:tcPr>
          <w:p w:rsidR="00E80BEF" w:rsidRPr="0063279F" w:rsidRDefault="00E80BEF" w:rsidP="00B6132A">
            <w:pPr>
              <w:pStyle w:val="ListParagraph"/>
              <w:ind w:left="0"/>
              <w:jc w:val="center"/>
              <w:rPr>
                <w:rFonts w:ascii="Times New Roman" w:hAnsi="Times New Roman" w:cs="Times New Roman"/>
              </w:rPr>
            </w:pPr>
            <w:r w:rsidRPr="0063279F">
              <w:rPr>
                <w:rFonts w:ascii="Times New Roman" w:hAnsi="Times New Roman" w:cs="Times New Roman"/>
              </w:rPr>
              <w:t>0</w:t>
            </w:r>
          </w:p>
        </w:tc>
      </w:tr>
      <w:tr w:rsidR="00E80BEF" w:rsidRPr="0063279F" w:rsidTr="00B6132A">
        <w:tc>
          <w:tcPr>
            <w:tcW w:w="1364" w:type="dxa"/>
            <w:shd w:val="clear" w:color="auto" w:fill="auto"/>
          </w:tcPr>
          <w:p w:rsidR="00E80BEF" w:rsidRPr="0063279F" w:rsidRDefault="00E80BEF" w:rsidP="00B6132A">
            <w:pPr>
              <w:pStyle w:val="ListParagraph"/>
              <w:ind w:left="0"/>
              <w:rPr>
                <w:rFonts w:ascii="Times New Roman" w:hAnsi="Times New Roman" w:cs="Times New Roman"/>
              </w:rPr>
            </w:pPr>
            <w:r w:rsidRPr="0063279F">
              <w:rPr>
                <w:rFonts w:ascii="Times New Roman" w:hAnsi="Times New Roman" w:cs="Times New Roman"/>
              </w:rPr>
              <w:t>Peaking VI</w:t>
            </w:r>
          </w:p>
        </w:tc>
        <w:tc>
          <w:tcPr>
            <w:tcW w:w="1353" w:type="dxa"/>
            <w:shd w:val="clear" w:color="auto" w:fill="auto"/>
          </w:tcPr>
          <w:p w:rsidR="00E80BEF" w:rsidRPr="0063279F" w:rsidRDefault="00E80BEF" w:rsidP="00B6132A">
            <w:pPr>
              <w:pStyle w:val="ListParagraph"/>
              <w:ind w:left="0"/>
              <w:jc w:val="center"/>
              <w:rPr>
                <w:rFonts w:ascii="Times New Roman" w:hAnsi="Times New Roman" w:cs="Times New Roman"/>
              </w:rPr>
            </w:pPr>
            <w:r w:rsidRPr="0063279F">
              <w:rPr>
                <w:rFonts w:ascii="Times New Roman" w:hAnsi="Times New Roman" w:cs="Times New Roman"/>
              </w:rPr>
              <w:t>36,551</w:t>
            </w:r>
          </w:p>
        </w:tc>
        <w:tc>
          <w:tcPr>
            <w:tcW w:w="1353" w:type="dxa"/>
            <w:shd w:val="clear" w:color="auto" w:fill="auto"/>
          </w:tcPr>
          <w:p w:rsidR="00E80BEF" w:rsidRPr="0063279F" w:rsidRDefault="00E80BEF" w:rsidP="00B6132A">
            <w:pPr>
              <w:pStyle w:val="ListParagraph"/>
              <w:ind w:left="0"/>
              <w:jc w:val="center"/>
              <w:rPr>
                <w:rFonts w:ascii="Times New Roman" w:hAnsi="Times New Roman" w:cs="Times New Roman"/>
              </w:rPr>
            </w:pPr>
            <w:r w:rsidRPr="0063279F">
              <w:rPr>
                <w:rFonts w:ascii="Times New Roman" w:hAnsi="Times New Roman" w:cs="Times New Roman"/>
              </w:rPr>
              <w:t>7,492,955</w:t>
            </w:r>
            <w:r w:rsidRPr="0063279F">
              <w:rPr>
                <w:rStyle w:val="FootnoteReference"/>
                <w:rFonts w:ascii="Times New Roman" w:hAnsi="Times New Roman" w:cs="Times New Roman"/>
              </w:rPr>
              <w:footnoteReference w:id="2"/>
            </w:r>
          </w:p>
        </w:tc>
        <w:tc>
          <w:tcPr>
            <w:tcW w:w="1354" w:type="dxa"/>
            <w:shd w:val="clear" w:color="auto" w:fill="auto"/>
          </w:tcPr>
          <w:p w:rsidR="00E80BEF" w:rsidRPr="0063279F" w:rsidRDefault="00E80BEF" w:rsidP="00B6132A">
            <w:pPr>
              <w:pStyle w:val="ListParagraph"/>
              <w:ind w:left="0"/>
              <w:jc w:val="center"/>
              <w:rPr>
                <w:rFonts w:ascii="Times New Roman" w:hAnsi="Times New Roman" w:cs="Times New Roman"/>
              </w:rPr>
            </w:pPr>
            <w:r w:rsidRPr="0063279F">
              <w:rPr>
                <w:rFonts w:ascii="Times New Roman" w:hAnsi="Times New Roman" w:cs="Times New Roman"/>
              </w:rPr>
              <w:t>21,697</w:t>
            </w:r>
          </w:p>
        </w:tc>
        <w:tc>
          <w:tcPr>
            <w:tcW w:w="1354" w:type="dxa"/>
            <w:shd w:val="clear" w:color="auto" w:fill="auto"/>
          </w:tcPr>
          <w:p w:rsidR="00E80BEF" w:rsidRPr="0063279F" w:rsidRDefault="00E80BEF" w:rsidP="00B6132A">
            <w:pPr>
              <w:pStyle w:val="ListParagraph"/>
              <w:ind w:left="0"/>
              <w:jc w:val="center"/>
              <w:rPr>
                <w:rFonts w:ascii="Times New Roman" w:hAnsi="Times New Roman" w:cs="Times New Roman"/>
              </w:rPr>
            </w:pPr>
            <w:r w:rsidRPr="0063279F">
              <w:rPr>
                <w:rFonts w:ascii="Times New Roman" w:hAnsi="Times New Roman" w:cs="Times New Roman"/>
              </w:rPr>
              <w:t>4,447,885</w:t>
            </w:r>
          </w:p>
        </w:tc>
        <w:tc>
          <w:tcPr>
            <w:tcW w:w="1354" w:type="dxa"/>
            <w:shd w:val="clear" w:color="auto" w:fill="auto"/>
          </w:tcPr>
          <w:p w:rsidR="00E80BEF" w:rsidRPr="0063279F" w:rsidRDefault="00E80BEF" w:rsidP="00B6132A">
            <w:pPr>
              <w:pStyle w:val="ListParagraph"/>
              <w:ind w:left="0"/>
              <w:jc w:val="center"/>
              <w:rPr>
                <w:rFonts w:ascii="Times New Roman" w:hAnsi="Times New Roman" w:cs="Times New Roman"/>
              </w:rPr>
            </w:pPr>
            <w:r w:rsidRPr="0063279F">
              <w:rPr>
                <w:rFonts w:ascii="Times New Roman" w:hAnsi="Times New Roman" w:cs="Times New Roman"/>
              </w:rPr>
              <w:t>(14,854)</w:t>
            </w:r>
          </w:p>
        </w:tc>
        <w:tc>
          <w:tcPr>
            <w:tcW w:w="1354" w:type="dxa"/>
            <w:shd w:val="clear" w:color="auto" w:fill="auto"/>
          </w:tcPr>
          <w:p w:rsidR="00E80BEF" w:rsidRPr="0063279F" w:rsidRDefault="00E80BEF" w:rsidP="00B6132A">
            <w:pPr>
              <w:pStyle w:val="ListParagraph"/>
              <w:ind w:left="0"/>
              <w:jc w:val="center"/>
              <w:rPr>
                <w:rFonts w:ascii="Times New Roman" w:hAnsi="Times New Roman" w:cs="Times New Roman"/>
              </w:rPr>
            </w:pPr>
            <w:r w:rsidRPr="0063279F">
              <w:rPr>
                <w:rFonts w:ascii="Times New Roman" w:hAnsi="Times New Roman" w:cs="Times New Roman"/>
              </w:rPr>
              <w:t>(3,045,070)</w:t>
            </w:r>
          </w:p>
        </w:tc>
      </w:tr>
    </w:tbl>
    <w:p w:rsidR="00E80BEF" w:rsidRPr="0063279F" w:rsidRDefault="00E80BEF" w:rsidP="00D32D3D">
      <w:pPr>
        <w:pStyle w:val="ListNumber"/>
        <w:numPr>
          <w:ilvl w:val="0"/>
          <w:numId w:val="0"/>
        </w:numPr>
        <w:spacing w:line="360" w:lineRule="auto"/>
        <w:ind w:left="720"/>
        <w:jc w:val="both"/>
      </w:pPr>
    </w:p>
    <w:p w:rsidR="00E80BEF" w:rsidRPr="0063279F" w:rsidRDefault="00D72EF8" w:rsidP="003E2463">
      <w:pPr>
        <w:pStyle w:val="ListNumber"/>
        <w:numPr>
          <w:ilvl w:val="0"/>
          <w:numId w:val="0"/>
        </w:numPr>
        <w:spacing w:line="360" w:lineRule="auto"/>
        <w:ind w:left="720"/>
      </w:pPr>
      <w:r w:rsidRPr="0063279F">
        <w:tab/>
        <w:t>4.</w:t>
      </w:r>
      <w:r w:rsidRPr="0063279F">
        <w:tab/>
      </w:r>
      <w:r w:rsidR="00E80BEF" w:rsidRPr="0063279F">
        <w:t>Peaking Contracts III and IV will be extended one year to March 31, 2016, as described in UGI Statement No. 2, pages 3-11.</w:t>
      </w:r>
    </w:p>
    <w:p w:rsidR="00D72EF8" w:rsidRPr="0063279F" w:rsidRDefault="00D72EF8" w:rsidP="003E2463">
      <w:pPr>
        <w:pStyle w:val="ListNumber"/>
        <w:numPr>
          <w:ilvl w:val="0"/>
          <w:numId w:val="0"/>
        </w:numPr>
        <w:spacing w:line="360" w:lineRule="auto"/>
        <w:ind w:left="720"/>
      </w:pPr>
      <w:r w:rsidRPr="0063279F">
        <w:tab/>
      </w:r>
    </w:p>
    <w:p w:rsidR="00E80BEF" w:rsidRPr="0063279F" w:rsidRDefault="00D72EF8" w:rsidP="003E2463">
      <w:pPr>
        <w:pStyle w:val="ListNumber"/>
        <w:numPr>
          <w:ilvl w:val="0"/>
          <w:numId w:val="0"/>
        </w:numPr>
        <w:spacing w:line="360" w:lineRule="auto"/>
        <w:ind w:left="720"/>
      </w:pPr>
      <w:r w:rsidRPr="0063279F">
        <w:tab/>
        <w:t>5.</w:t>
      </w:r>
      <w:r w:rsidRPr="0063279F">
        <w:tab/>
      </w:r>
      <w:r w:rsidR="00E80BEF" w:rsidRPr="0063279F">
        <w:t xml:space="preserve">When Peaking Contract III is renewed for the winter period of 2016-2017, UGI shall convert 1,800 </w:t>
      </w:r>
      <w:proofErr w:type="spellStart"/>
      <w:r w:rsidR="00E80BEF" w:rsidRPr="0063279F">
        <w:t>Dth</w:t>
      </w:r>
      <w:proofErr w:type="spellEnd"/>
      <w:r w:rsidR="00E80BEF" w:rsidRPr="0063279F">
        <w:t xml:space="preserve"> of the service from no-notice to day-ahead service.</w:t>
      </w:r>
    </w:p>
    <w:p w:rsidR="00D72EF8" w:rsidRPr="0063279F" w:rsidRDefault="00D72EF8" w:rsidP="003E2463">
      <w:pPr>
        <w:pStyle w:val="ListNumber"/>
        <w:numPr>
          <w:ilvl w:val="0"/>
          <w:numId w:val="0"/>
        </w:numPr>
        <w:spacing w:line="360" w:lineRule="auto"/>
        <w:ind w:left="720"/>
      </w:pPr>
      <w:r w:rsidRPr="0063279F">
        <w:tab/>
      </w:r>
    </w:p>
    <w:p w:rsidR="00E80BEF" w:rsidRPr="0063279F" w:rsidRDefault="00D72EF8" w:rsidP="003E2463">
      <w:pPr>
        <w:pStyle w:val="ListNumber"/>
        <w:numPr>
          <w:ilvl w:val="0"/>
          <w:numId w:val="0"/>
        </w:numPr>
        <w:spacing w:line="360" w:lineRule="auto"/>
        <w:ind w:left="720"/>
      </w:pPr>
      <w:r w:rsidRPr="0063279F">
        <w:tab/>
        <w:t>6.</w:t>
      </w:r>
      <w:r w:rsidRPr="0063279F">
        <w:tab/>
      </w:r>
      <w:r w:rsidR="00E80BEF" w:rsidRPr="0063279F">
        <w:t>UGI may enter into Peaking Contrac</w:t>
      </w:r>
      <w:r w:rsidR="00D32D3D">
        <w:t>t VI for the period of November 1, </w:t>
      </w:r>
      <w:r w:rsidR="00E80BEF" w:rsidRPr="0063279F">
        <w:t xml:space="preserve">2014 through March 31, 2018 with a daily quantity of 21,697 </w:t>
      </w:r>
      <w:proofErr w:type="spellStart"/>
      <w:r w:rsidR="00E80BEF" w:rsidRPr="0063279F">
        <w:t>Dth</w:t>
      </w:r>
      <w:proofErr w:type="spellEnd"/>
      <w:r w:rsidR="00E80BEF" w:rsidRPr="0063279F">
        <w:t xml:space="preserve"> and an annual demand unit rate of $205 per </w:t>
      </w:r>
      <w:proofErr w:type="spellStart"/>
      <w:r w:rsidR="00E80BEF" w:rsidRPr="0063279F">
        <w:t>Dth</w:t>
      </w:r>
      <w:proofErr w:type="spellEnd"/>
      <w:r w:rsidR="00E80BEF" w:rsidRPr="0063279F">
        <w:t>, as shown on Exhibit UGI-DCB-1R in UGI Statement No. 2-R, resulting in an annual demand charge of $4,447,885.</w:t>
      </w:r>
    </w:p>
    <w:p w:rsidR="00D72EF8" w:rsidRPr="0063279F" w:rsidRDefault="00D72EF8" w:rsidP="003E2463">
      <w:pPr>
        <w:pStyle w:val="ListNumber"/>
        <w:numPr>
          <w:ilvl w:val="0"/>
          <w:numId w:val="0"/>
        </w:numPr>
        <w:spacing w:line="360" w:lineRule="auto"/>
        <w:ind w:left="720"/>
      </w:pPr>
      <w:r w:rsidRPr="0063279F">
        <w:tab/>
      </w:r>
    </w:p>
    <w:p w:rsidR="00E80BEF" w:rsidRPr="0063279F" w:rsidRDefault="00D72EF8" w:rsidP="003E2463">
      <w:pPr>
        <w:pStyle w:val="ListNumber"/>
        <w:numPr>
          <w:ilvl w:val="0"/>
          <w:numId w:val="0"/>
        </w:numPr>
        <w:spacing w:line="360" w:lineRule="auto"/>
        <w:ind w:left="720"/>
      </w:pPr>
      <w:r w:rsidRPr="0063279F">
        <w:tab/>
        <w:t>7.</w:t>
      </w:r>
      <w:r w:rsidRPr="0063279F">
        <w:tab/>
      </w:r>
      <w:r w:rsidR="00E80BEF" w:rsidRPr="0063279F">
        <w:t>UGI shall explore the costs and benefits of programs and other options that have the potential to reduce its design day capacity requirements for the purpose of reducing peaking service costs, and will report its findings in its 2015 Section 1307(f) filing.</w:t>
      </w:r>
    </w:p>
    <w:p w:rsidR="00D72EF8" w:rsidRPr="0063279F" w:rsidRDefault="00D72EF8" w:rsidP="003E2463">
      <w:pPr>
        <w:pStyle w:val="ListNumber"/>
        <w:numPr>
          <w:ilvl w:val="0"/>
          <w:numId w:val="0"/>
        </w:numPr>
        <w:spacing w:line="360" w:lineRule="auto"/>
        <w:ind w:left="720"/>
      </w:pPr>
      <w:r w:rsidRPr="0063279F">
        <w:tab/>
      </w:r>
    </w:p>
    <w:p w:rsidR="00E80BEF" w:rsidRPr="0063279F" w:rsidRDefault="00D72EF8" w:rsidP="003E2463">
      <w:pPr>
        <w:pStyle w:val="ListNumber"/>
        <w:numPr>
          <w:ilvl w:val="0"/>
          <w:numId w:val="0"/>
        </w:numPr>
        <w:spacing w:line="360" w:lineRule="auto"/>
        <w:ind w:left="720"/>
      </w:pPr>
      <w:r w:rsidRPr="0063279F">
        <w:tab/>
        <w:t>8.</w:t>
      </w:r>
      <w:r w:rsidRPr="0063279F">
        <w:tab/>
      </w:r>
      <w:r w:rsidR="00E80BEF" w:rsidRPr="0063279F">
        <w:t>Subject to the provisions of paragraphs 27 and 28</w:t>
      </w:r>
      <w:r w:rsidR="003E2463" w:rsidRPr="0063279F">
        <w:t xml:space="preserve"> of the Settlement</w:t>
      </w:r>
      <w:r w:rsidR="00E80BEF" w:rsidRPr="0063279F">
        <w:t>, when making December 1, March 1 and June 1 quarterly C-factor adjustments, UGI will recover/collect all actual and projected incremental over/under collections from December 1 through November 30 over remaining PGC year sales volumes.</w:t>
      </w:r>
    </w:p>
    <w:p w:rsidR="00D72EF8" w:rsidRPr="0063279F" w:rsidRDefault="00D72EF8" w:rsidP="003E2463">
      <w:pPr>
        <w:pStyle w:val="ListNumber"/>
        <w:numPr>
          <w:ilvl w:val="0"/>
          <w:numId w:val="0"/>
        </w:numPr>
        <w:spacing w:line="360" w:lineRule="auto"/>
        <w:ind w:left="720"/>
      </w:pPr>
      <w:r w:rsidRPr="0063279F">
        <w:tab/>
      </w:r>
    </w:p>
    <w:p w:rsidR="00E80BEF" w:rsidRPr="0063279F" w:rsidRDefault="00D72EF8" w:rsidP="003E2463">
      <w:pPr>
        <w:pStyle w:val="ListNumber"/>
        <w:numPr>
          <w:ilvl w:val="0"/>
          <w:numId w:val="0"/>
        </w:numPr>
        <w:spacing w:line="360" w:lineRule="auto"/>
        <w:ind w:left="720"/>
      </w:pPr>
      <w:r w:rsidRPr="0063279F">
        <w:tab/>
        <w:t>9.</w:t>
      </w:r>
      <w:r w:rsidRPr="0063279F">
        <w:tab/>
      </w:r>
      <w:r w:rsidR="00E80BEF" w:rsidRPr="0063279F">
        <w:t>Subject to the provisions of paragraphs 27 and 28</w:t>
      </w:r>
      <w:r w:rsidR="003E2463" w:rsidRPr="0063279F">
        <w:t xml:space="preserve"> of the Settlement</w:t>
      </w:r>
      <w:r w:rsidR="00E80BEF" w:rsidRPr="0063279F">
        <w:t>, when making September 1 quarterly C-factor adjustments, UGI will recover/collect all actual and projected incremental over/under collections from December 1 through November 30 over sales volumes applicable to the six months of June through November.</w:t>
      </w:r>
    </w:p>
    <w:p w:rsidR="00D72EF8" w:rsidRPr="0063279F" w:rsidRDefault="00D72EF8" w:rsidP="003E2463">
      <w:pPr>
        <w:pStyle w:val="ListNumber"/>
        <w:numPr>
          <w:ilvl w:val="0"/>
          <w:numId w:val="0"/>
        </w:numPr>
        <w:spacing w:line="360" w:lineRule="auto"/>
        <w:ind w:left="720"/>
      </w:pPr>
      <w:r w:rsidRPr="0063279F">
        <w:tab/>
      </w:r>
    </w:p>
    <w:p w:rsidR="00E80BEF" w:rsidRPr="0063279F" w:rsidRDefault="00D72EF8" w:rsidP="003E2463">
      <w:pPr>
        <w:pStyle w:val="ListNumber"/>
        <w:numPr>
          <w:ilvl w:val="0"/>
          <w:numId w:val="0"/>
        </w:numPr>
        <w:spacing w:line="360" w:lineRule="auto"/>
        <w:ind w:left="720"/>
      </w:pPr>
      <w:r w:rsidRPr="0063279F">
        <w:tab/>
        <w:t>10.</w:t>
      </w:r>
      <w:r w:rsidRPr="0063279F">
        <w:tab/>
      </w:r>
      <w:r w:rsidR="00E80BEF" w:rsidRPr="0063279F">
        <w:t>Notwithstanding the provisions of paragraphs 25 and 26</w:t>
      </w:r>
      <w:r w:rsidR="003E2463" w:rsidRPr="0063279F">
        <w:t xml:space="preserve"> of the Settlement</w:t>
      </w:r>
      <w:r w:rsidR="00E80BEF" w:rsidRPr="0063279F">
        <w:t>, any March, June or September quarterly PGC rate change will be capped at 25% of the then-current PGC rate, with any amounts above this cap being brought forward for inclusion in the calculation of the next subsequent adjustment.</w:t>
      </w:r>
    </w:p>
    <w:p w:rsidR="00D72EF8" w:rsidRPr="0063279F" w:rsidRDefault="00D72EF8" w:rsidP="003E2463">
      <w:pPr>
        <w:pStyle w:val="ListNumber"/>
        <w:numPr>
          <w:ilvl w:val="0"/>
          <w:numId w:val="0"/>
        </w:numPr>
        <w:spacing w:line="360" w:lineRule="auto"/>
        <w:ind w:left="720"/>
      </w:pPr>
      <w:r w:rsidRPr="0063279F">
        <w:tab/>
      </w:r>
    </w:p>
    <w:p w:rsidR="00E80BEF" w:rsidRPr="0063279F" w:rsidRDefault="00D72EF8" w:rsidP="003E2463">
      <w:pPr>
        <w:pStyle w:val="ListNumber"/>
        <w:numPr>
          <w:ilvl w:val="0"/>
          <w:numId w:val="0"/>
        </w:numPr>
        <w:spacing w:line="360" w:lineRule="auto"/>
        <w:ind w:left="720"/>
      </w:pPr>
      <w:r w:rsidRPr="0063279F">
        <w:tab/>
        <w:t>11.</w:t>
      </w:r>
      <w:r w:rsidRPr="0063279F">
        <w:tab/>
      </w:r>
      <w:r w:rsidR="00E80BEF" w:rsidRPr="0063279F">
        <w:t>Notwithstanding the provisions of paragraphs 25 and 26</w:t>
      </w:r>
      <w:r w:rsidR="003E2463" w:rsidRPr="0063279F">
        <w:t xml:space="preserve"> of the Settlement</w:t>
      </w:r>
      <w:r w:rsidR="00E80BEF" w:rsidRPr="0063279F">
        <w:t>, when actual November data is reconciled with the projected November data used to establish PGC rates effective December 1, the resulting over or under collection amount shall be recovered/refunded in the next UGI quarterly filing over the applicable annual PGC sales volumes plus migration rider volumes.</w:t>
      </w:r>
    </w:p>
    <w:p w:rsidR="00D72EF8" w:rsidRPr="0063279F" w:rsidRDefault="00D72EF8" w:rsidP="003E2463">
      <w:pPr>
        <w:pStyle w:val="ListNumber"/>
        <w:numPr>
          <w:ilvl w:val="0"/>
          <w:numId w:val="0"/>
        </w:numPr>
        <w:spacing w:line="360" w:lineRule="auto"/>
        <w:ind w:left="720"/>
      </w:pPr>
      <w:r w:rsidRPr="0063279F">
        <w:tab/>
      </w:r>
    </w:p>
    <w:p w:rsidR="00E80BEF" w:rsidRPr="0063279F" w:rsidRDefault="00D72EF8" w:rsidP="003E2463">
      <w:pPr>
        <w:pStyle w:val="ListNumber"/>
        <w:numPr>
          <w:ilvl w:val="0"/>
          <w:numId w:val="0"/>
        </w:numPr>
        <w:spacing w:line="360" w:lineRule="auto"/>
        <w:ind w:left="720"/>
      </w:pPr>
      <w:r w:rsidRPr="0063279F">
        <w:tab/>
        <w:t>12.</w:t>
      </w:r>
      <w:r w:rsidRPr="0063279F">
        <w:tab/>
      </w:r>
      <w:r w:rsidR="00E80BEF" w:rsidRPr="0063279F">
        <w:t>Any Party shall be free to propose further revisions to the quarterly C-factor and E-factor adjustment methodologies in future PGC proceedings.</w:t>
      </w:r>
    </w:p>
    <w:p w:rsidR="00D72EF8" w:rsidRPr="0063279F" w:rsidRDefault="00D72EF8" w:rsidP="003E2463">
      <w:pPr>
        <w:pStyle w:val="ListNumber"/>
        <w:numPr>
          <w:ilvl w:val="0"/>
          <w:numId w:val="0"/>
        </w:numPr>
        <w:spacing w:line="360" w:lineRule="auto"/>
        <w:ind w:left="720"/>
      </w:pPr>
      <w:r w:rsidRPr="0063279F">
        <w:tab/>
      </w:r>
    </w:p>
    <w:p w:rsidR="00E80BEF" w:rsidRPr="0063279F" w:rsidRDefault="00D72EF8" w:rsidP="003E2463">
      <w:pPr>
        <w:pStyle w:val="ListNumber"/>
        <w:numPr>
          <w:ilvl w:val="0"/>
          <w:numId w:val="0"/>
        </w:numPr>
        <w:spacing w:line="360" w:lineRule="auto"/>
        <w:ind w:left="720"/>
      </w:pPr>
      <w:r w:rsidRPr="0063279F">
        <w:tab/>
        <w:t>13.</w:t>
      </w:r>
      <w:r w:rsidRPr="0063279F">
        <w:tab/>
      </w:r>
      <w:r w:rsidR="00E80BEF" w:rsidRPr="0063279F">
        <w:t>The Parties agree that the Commission should approve the renewals and changes in gas supply, pipeline, storage and peaking contracts and all other provisions of UGI’s May 1, 2014 filing, UGI’s May 30, 2014 filing and the testimony, schedules and exhibits filed in support thereof, as modified by this Settlement.</w:t>
      </w:r>
    </w:p>
    <w:p w:rsidR="00E80BEF" w:rsidRPr="0063279F" w:rsidRDefault="00E80BEF" w:rsidP="003E2463">
      <w:pPr>
        <w:pStyle w:val="ListNumber"/>
        <w:numPr>
          <w:ilvl w:val="0"/>
          <w:numId w:val="0"/>
        </w:numPr>
        <w:spacing w:line="360" w:lineRule="auto"/>
        <w:ind w:left="1440" w:right="720"/>
      </w:pPr>
    </w:p>
    <w:p w:rsidR="00B14644" w:rsidRPr="0063279F" w:rsidRDefault="00E01645" w:rsidP="003E2463">
      <w:pPr>
        <w:spacing w:line="360" w:lineRule="auto"/>
        <w:rPr>
          <w:rFonts w:ascii="Times New Roman" w:hAnsi="Times New Roman" w:cs="Times New Roman"/>
        </w:rPr>
      </w:pPr>
      <w:r w:rsidRPr="0063279F">
        <w:rPr>
          <w:rFonts w:ascii="Times New Roman" w:hAnsi="Times New Roman" w:cs="Times New Roman"/>
        </w:rPr>
        <w:tab/>
      </w:r>
      <w:r w:rsidRPr="0063279F">
        <w:rPr>
          <w:rFonts w:ascii="Times New Roman" w:hAnsi="Times New Roman" w:cs="Times New Roman"/>
        </w:rPr>
        <w:tab/>
      </w:r>
      <w:r w:rsidR="00641466" w:rsidRPr="0063279F">
        <w:rPr>
          <w:rFonts w:ascii="Times New Roman" w:hAnsi="Times New Roman" w:cs="Times New Roman"/>
        </w:rPr>
        <w:t>Appendix A contains the proposed rates</w:t>
      </w:r>
      <w:r w:rsidR="00C76CD9" w:rsidRPr="0063279F">
        <w:rPr>
          <w:rFonts w:ascii="Times New Roman" w:hAnsi="Times New Roman" w:cs="Times New Roman"/>
        </w:rPr>
        <w:t xml:space="preserve"> as amended by the revised Appendix </w:t>
      </w:r>
      <w:proofErr w:type="gramStart"/>
      <w:r w:rsidR="00C76CD9" w:rsidRPr="0063279F">
        <w:rPr>
          <w:rFonts w:ascii="Times New Roman" w:hAnsi="Times New Roman" w:cs="Times New Roman"/>
        </w:rPr>
        <w:t>A</w:t>
      </w:r>
      <w:proofErr w:type="gramEnd"/>
      <w:r w:rsidR="00C76CD9" w:rsidRPr="0063279F">
        <w:rPr>
          <w:rFonts w:ascii="Times New Roman" w:hAnsi="Times New Roman" w:cs="Times New Roman"/>
        </w:rPr>
        <w:t xml:space="preserve"> filed on September 11, 2014</w:t>
      </w:r>
      <w:r w:rsidR="00641466" w:rsidRPr="0063279F">
        <w:rPr>
          <w:rFonts w:ascii="Times New Roman" w:hAnsi="Times New Roman" w:cs="Times New Roman"/>
        </w:rPr>
        <w:t xml:space="preserve">.  Specifically, the </w:t>
      </w:r>
      <w:r w:rsidR="00C76CD9" w:rsidRPr="0063279F">
        <w:rPr>
          <w:rFonts w:ascii="Times New Roman" w:hAnsi="Times New Roman" w:cs="Times New Roman"/>
        </w:rPr>
        <w:t>settlement reduces the Company’s projected costs of $157,903,930 by $595,618 to yield projected cost</w:t>
      </w:r>
      <w:r w:rsidR="00017DC8" w:rsidRPr="0063279F">
        <w:rPr>
          <w:rFonts w:ascii="Times New Roman" w:hAnsi="Times New Roman" w:cs="Times New Roman"/>
        </w:rPr>
        <w:t>s</w:t>
      </w:r>
      <w:r w:rsidR="00C76CD9" w:rsidRPr="0063279F">
        <w:rPr>
          <w:rFonts w:ascii="Times New Roman" w:hAnsi="Times New Roman" w:cs="Times New Roman"/>
        </w:rPr>
        <w:t xml:space="preserve"> of $157,308,312.  </w:t>
      </w:r>
      <w:r w:rsidR="00017DC8" w:rsidRPr="0063279F">
        <w:rPr>
          <w:rFonts w:ascii="Times New Roman" w:hAnsi="Times New Roman" w:cs="Times New Roman"/>
        </w:rPr>
        <w:t xml:space="preserve">The PGC1 change with settlement adjustments is $0.0426 and the Residential Heating Percentage Change with Settlement Adjustments – PGC 1 is 0.4%.  </w:t>
      </w:r>
      <w:proofErr w:type="gramStart"/>
      <w:r w:rsidR="00017DC8" w:rsidRPr="0063279F">
        <w:rPr>
          <w:rFonts w:ascii="Times New Roman" w:hAnsi="Times New Roman" w:cs="Times New Roman"/>
        </w:rPr>
        <w:t>Corrected Appendix A at 1.</w:t>
      </w:r>
      <w:proofErr w:type="gramEnd"/>
    </w:p>
    <w:p w:rsidR="00017DC8" w:rsidRPr="0063279F" w:rsidRDefault="00017DC8" w:rsidP="003E2463">
      <w:pPr>
        <w:spacing w:line="360" w:lineRule="auto"/>
        <w:rPr>
          <w:rFonts w:ascii="Times New Roman" w:hAnsi="Times New Roman" w:cs="Times New Roman"/>
        </w:rPr>
      </w:pPr>
    </w:p>
    <w:p w:rsidR="00E01645" w:rsidRPr="0063279F" w:rsidRDefault="00E01645" w:rsidP="00B14644">
      <w:pPr>
        <w:spacing w:line="360" w:lineRule="auto"/>
        <w:rPr>
          <w:rFonts w:ascii="Times New Roman" w:hAnsi="Times New Roman" w:cs="Times New Roman"/>
        </w:rPr>
      </w:pPr>
      <w:r w:rsidRPr="0063279F">
        <w:rPr>
          <w:rFonts w:ascii="Times New Roman" w:hAnsi="Times New Roman" w:cs="Times New Roman"/>
        </w:rPr>
        <w:tab/>
      </w:r>
      <w:r w:rsidRPr="0063279F">
        <w:rPr>
          <w:rFonts w:ascii="Times New Roman" w:hAnsi="Times New Roman" w:cs="Times New Roman"/>
        </w:rPr>
        <w:tab/>
        <w:t>Appendices B, C, D and E contain Statements in Support of the Stipulation, prepared by UGI, I&amp;E, OCA, and OSBA respectively.  The Stipulation requests that certain findings be made, as required for gas costs incurred during the historic period, and as required for approval of proposed rates and affiliate purchases.  Specifically, with respect to the historic period, which is the twelve months ended March 31, 201</w:t>
      </w:r>
      <w:r w:rsidR="00B14644" w:rsidRPr="0063279F">
        <w:rPr>
          <w:rFonts w:ascii="Times New Roman" w:hAnsi="Times New Roman" w:cs="Times New Roman"/>
        </w:rPr>
        <w:t>4</w:t>
      </w:r>
      <w:r w:rsidRPr="0063279F">
        <w:rPr>
          <w:rFonts w:ascii="Times New Roman" w:hAnsi="Times New Roman" w:cs="Times New Roman"/>
        </w:rPr>
        <w:t>, the Stipulation requests that the Commission fi</w:t>
      </w:r>
      <w:r w:rsidR="007F7DA2">
        <w:rPr>
          <w:rFonts w:ascii="Times New Roman" w:hAnsi="Times New Roman" w:cs="Times New Roman"/>
        </w:rPr>
        <w:t xml:space="preserve">nd that UGI has met the Section </w:t>
      </w:r>
      <w:r w:rsidRPr="0063279F">
        <w:rPr>
          <w:rFonts w:ascii="Times New Roman" w:hAnsi="Times New Roman" w:cs="Times New Roman"/>
        </w:rPr>
        <w:t>1318 standards as to all historic period purchased gas costs.  The Stipulation references portions of the evidentiary record where specific support for the required statutory findings can be found.  This evidentiary support relates to: (1) FERC participation; (2) supplier negotiations/renegotiations; (3) efforts to obtain lower cost gas supplies; (4) withheld supplies; (5) affiliated transactions; (6) least cost fuel procurement policy; (7) PGC calculation; and (8) reliability.</w:t>
      </w:r>
    </w:p>
    <w:p w:rsidR="00E01645" w:rsidRPr="0063279F" w:rsidRDefault="00E01645" w:rsidP="003E2463">
      <w:pPr>
        <w:spacing w:line="360" w:lineRule="auto"/>
        <w:rPr>
          <w:rFonts w:ascii="Times New Roman" w:hAnsi="Times New Roman" w:cs="Times New Roman"/>
        </w:rPr>
      </w:pPr>
    </w:p>
    <w:p w:rsidR="00E01645" w:rsidRPr="0063279F" w:rsidRDefault="00E01645" w:rsidP="003E2463">
      <w:pPr>
        <w:spacing w:line="360" w:lineRule="auto"/>
        <w:rPr>
          <w:rFonts w:ascii="Times New Roman" w:hAnsi="Times New Roman" w:cs="Times New Roman"/>
        </w:rPr>
      </w:pPr>
      <w:r w:rsidRPr="0063279F">
        <w:rPr>
          <w:rFonts w:ascii="Times New Roman" w:hAnsi="Times New Roman" w:cs="Times New Roman"/>
        </w:rPr>
        <w:tab/>
      </w:r>
      <w:r w:rsidRPr="0063279F">
        <w:rPr>
          <w:rFonts w:ascii="Times New Roman" w:hAnsi="Times New Roman" w:cs="Times New Roman"/>
        </w:rPr>
        <w:tab/>
        <w:t>With respect to the twelve-month period beginning December 1, 201</w:t>
      </w:r>
      <w:r w:rsidR="00B14644" w:rsidRPr="0063279F">
        <w:rPr>
          <w:rFonts w:ascii="Times New Roman" w:hAnsi="Times New Roman" w:cs="Times New Roman"/>
        </w:rPr>
        <w:t>4</w:t>
      </w:r>
      <w:r w:rsidR="00017DC8" w:rsidRPr="0063279F">
        <w:rPr>
          <w:rFonts w:ascii="Times New Roman" w:hAnsi="Times New Roman" w:cs="Times New Roman"/>
        </w:rPr>
        <w:t>, and ending November 30, 2015</w:t>
      </w:r>
      <w:r w:rsidRPr="0063279F">
        <w:rPr>
          <w:rFonts w:ascii="Times New Roman" w:hAnsi="Times New Roman" w:cs="Times New Roman"/>
        </w:rPr>
        <w:t>, which is the period of time during which proposed rates approved in this proceeding would be in effect, the Stipulation requests Section 1318 findings, based upon the evidence of record in this proceeding concerning UGI’s purchasing practices.  Nevertheless, the Parties acknowledge that these findings are made solely for the purpose of setting prospective rates and that, except as agreed to in the Settlement, these findings do not bar subsequent review of and challenge to these gas purchases and practices.</w:t>
      </w:r>
    </w:p>
    <w:p w:rsidR="00E01645" w:rsidRPr="0063279F" w:rsidRDefault="00E01645" w:rsidP="003E2463">
      <w:pPr>
        <w:spacing w:line="360" w:lineRule="auto"/>
        <w:rPr>
          <w:rFonts w:ascii="Times New Roman" w:hAnsi="Times New Roman" w:cs="Times New Roman"/>
        </w:rPr>
      </w:pPr>
    </w:p>
    <w:p w:rsidR="00E01645" w:rsidRPr="0063279F" w:rsidRDefault="00E01645" w:rsidP="003E2463">
      <w:pPr>
        <w:spacing w:line="360" w:lineRule="auto"/>
        <w:rPr>
          <w:rFonts w:ascii="Times New Roman" w:hAnsi="Times New Roman" w:cs="Times New Roman"/>
        </w:rPr>
      </w:pPr>
      <w:r w:rsidRPr="0063279F">
        <w:rPr>
          <w:rFonts w:ascii="Times New Roman" w:hAnsi="Times New Roman" w:cs="Times New Roman"/>
        </w:rPr>
        <w:tab/>
      </w:r>
      <w:r w:rsidRPr="0063279F">
        <w:rPr>
          <w:rFonts w:ascii="Times New Roman" w:hAnsi="Times New Roman" w:cs="Times New Roman"/>
        </w:rPr>
        <w:tab/>
        <w:t>The Stipulation is conditioned upon the Commission’s approval of terms and conditions contained therein without modification, addition, or deletion.  If the Commission modifies the Settlement or fails to approve it by December 1, 201</w:t>
      </w:r>
      <w:r w:rsidR="00B14644" w:rsidRPr="0063279F">
        <w:rPr>
          <w:rFonts w:ascii="Times New Roman" w:hAnsi="Times New Roman" w:cs="Times New Roman"/>
        </w:rPr>
        <w:t>4</w:t>
      </w:r>
      <w:r w:rsidRPr="0063279F">
        <w:rPr>
          <w:rFonts w:ascii="Times New Roman" w:hAnsi="Times New Roman" w:cs="Times New Roman"/>
        </w:rPr>
        <w:t>, then any Party may elect to withdraw from this Stipulation and may proceed with litigation.  In that event, the Settlement would be void and of no effect.</w:t>
      </w:r>
    </w:p>
    <w:p w:rsidR="00E01645" w:rsidRPr="0063279F" w:rsidRDefault="00E01645" w:rsidP="003E2463">
      <w:pPr>
        <w:spacing w:line="360" w:lineRule="auto"/>
        <w:rPr>
          <w:rFonts w:ascii="Times New Roman" w:hAnsi="Times New Roman" w:cs="Times New Roman"/>
        </w:rPr>
      </w:pPr>
    </w:p>
    <w:p w:rsidR="00E01645" w:rsidRPr="0063279F" w:rsidRDefault="00E01645" w:rsidP="003E2463">
      <w:pPr>
        <w:spacing w:line="360" w:lineRule="auto"/>
        <w:rPr>
          <w:rFonts w:ascii="Times New Roman" w:hAnsi="Times New Roman" w:cs="Times New Roman"/>
        </w:rPr>
      </w:pPr>
      <w:r w:rsidRPr="0063279F">
        <w:rPr>
          <w:rFonts w:ascii="Times New Roman" w:hAnsi="Times New Roman" w:cs="Times New Roman"/>
        </w:rPr>
        <w:tab/>
      </w:r>
      <w:r w:rsidRPr="0063279F">
        <w:rPr>
          <w:rFonts w:ascii="Times New Roman" w:hAnsi="Times New Roman" w:cs="Times New Roman"/>
        </w:rPr>
        <w:tab/>
        <w:t>The Stipulation is proposed by the Parties to settle certain issues in the instant proceeding and is made without any admission against, or prejudice to, any position which a Party to the Stipulation may adopt during any subsequent litigation of this proceeding, or to positions that a Party may advance in the future on the merits of the issues.  It is understood and agreed among the Parties that the Stipulation is the result of compromise and does not necessarily represent the position that would be advanced by any Party in the event the proceeding was to be fully litigated.</w:t>
      </w:r>
    </w:p>
    <w:p w:rsidR="00E01645" w:rsidRDefault="00E01645" w:rsidP="007F7DA2">
      <w:pPr>
        <w:rPr>
          <w:rFonts w:ascii="Times New Roman" w:hAnsi="Times New Roman" w:cs="Times New Roman"/>
        </w:rPr>
      </w:pPr>
    </w:p>
    <w:p w:rsidR="007F7DA2" w:rsidRPr="0063279F" w:rsidRDefault="007F7DA2" w:rsidP="007F7DA2">
      <w:pPr>
        <w:rPr>
          <w:rFonts w:ascii="Times New Roman" w:hAnsi="Times New Roman" w:cs="Times New Roman"/>
        </w:rPr>
      </w:pPr>
    </w:p>
    <w:p w:rsidR="00E01645" w:rsidRPr="0063279F" w:rsidRDefault="00E01645" w:rsidP="00332646">
      <w:pPr>
        <w:spacing w:line="360" w:lineRule="auto"/>
        <w:jc w:val="center"/>
        <w:rPr>
          <w:rFonts w:ascii="Times New Roman" w:hAnsi="Times New Roman" w:cs="Times New Roman"/>
        </w:rPr>
      </w:pPr>
      <w:r w:rsidRPr="0063279F">
        <w:rPr>
          <w:rFonts w:ascii="Times New Roman" w:hAnsi="Times New Roman" w:cs="Times New Roman"/>
          <w:u w:val="single"/>
        </w:rPr>
        <w:t>FINDINGS OF FACT</w:t>
      </w:r>
    </w:p>
    <w:p w:rsidR="00E01645" w:rsidRPr="0063279F" w:rsidRDefault="00E01645" w:rsidP="003E2463">
      <w:pPr>
        <w:spacing w:line="360" w:lineRule="auto"/>
        <w:rPr>
          <w:rFonts w:ascii="Times New Roman" w:hAnsi="Times New Roman" w:cs="Times New Roman"/>
        </w:rPr>
      </w:pPr>
    </w:p>
    <w:p w:rsidR="00E01645" w:rsidRPr="0063279F" w:rsidRDefault="00E01645" w:rsidP="003E2463">
      <w:pPr>
        <w:spacing w:line="360" w:lineRule="auto"/>
        <w:rPr>
          <w:rFonts w:ascii="Times New Roman" w:hAnsi="Times New Roman" w:cs="Times New Roman"/>
        </w:rPr>
      </w:pPr>
      <w:r w:rsidRPr="0063279F">
        <w:rPr>
          <w:rFonts w:ascii="Times New Roman" w:hAnsi="Times New Roman" w:cs="Times New Roman"/>
        </w:rPr>
        <w:tab/>
      </w:r>
      <w:r w:rsidRPr="0063279F">
        <w:rPr>
          <w:rFonts w:ascii="Times New Roman" w:hAnsi="Times New Roman" w:cs="Times New Roman"/>
        </w:rPr>
        <w:tab/>
        <w:t>1.</w:t>
      </w:r>
      <w:r w:rsidRPr="0063279F">
        <w:rPr>
          <w:rFonts w:ascii="Times New Roman" w:hAnsi="Times New Roman" w:cs="Times New Roman"/>
        </w:rPr>
        <w:tab/>
        <w:t xml:space="preserve">UGI is a natural gas distribution company with gross intrastate annual operating revenues in excess of $40 million, and furnishes natural gas distribution service to customers within the Commonwealth of Pennsylvania.  </w:t>
      </w:r>
      <w:proofErr w:type="gramStart"/>
      <w:r w:rsidRPr="0063279F">
        <w:rPr>
          <w:rFonts w:ascii="Times New Roman" w:hAnsi="Times New Roman" w:cs="Times New Roman"/>
        </w:rPr>
        <w:t>Stipulation at 2.</w:t>
      </w:r>
      <w:proofErr w:type="gramEnd"/>
    </w:p>
    <w:p w:rsidR="00E01645" w:rsidRPr="0063279F" w:rsidRDefault="00E01645" w:rsidP="003E2463">
      <w:pPr>
        <w:spacing w:line="360" w:lineRule="auto"/>
        <w:rPr>
          <w:rFonts w:ascii="Times New Roman" w:hAnsi="Times New Roman" w:cs="Times New Roman"/>
        </w:rPr>
      </w:pPr>
    </w:p>
    <w:p w:rsidR="00E01645" w:rsidRPr="0063279F" w:rsidRDefault="00E01645" w:rsidP="003E2463">
      <w:pPr>
        <w:spacing w:line="360" w:lineRule="auto"/>
        <w:rPr>
          <w:rFonts w:ascii="Times New Roman" w:hAnsi="Times New Roman" w:cs="Times New Roman"/>
        </w:rPr>
      </w:pPr>
      <w:r w:rsidRPr="0063279F">
        <w:rPr>
          <w:rFonts w:ascii="Times New Roman" w:hAnsi="Times New Roman" w:cs="Times New Roman"/>
        </w:rPr>
        <w:tab/>
      </w:r>
      <w:r w:rsidRPr="0063279F">
        <w:rPr>
          <w:rFonts w:ascii="Times New Roman" w:hAnsi="Times New Roman" w:cs="Times New Roman"/>
        </w:rPr>
        <w:tab/>
        <w:t>2.</w:t>
      </w:r>
      <w:r w:rsidRPr="0063279F">
        <w:rPr>
          <w:rFonts w:ascii="Times New Roman" w:hAnsi="Times New Roman" w:cs="Times New Roman"/>
        </w:rPr>
        <w:tab/>
        <w:t>On May 3</w:t>
      </w:r>
      <w:r w:rsidR="00A1283E" w:rsidRPr="0063279F">
        <w:rPr>
          <w:rFonts w:ascii="Times New Roman" w:hAnsi="Times New Roman" w:cs="Times New Roman"/>
        </w:rPr>
        <w:t>0</w:t>
      </w:r>
      <w:r w:rsidRPr="0063279F">
        <w:rPr>
          <w:rFonts w:ascii="Times New Roman" w:hAnsi="Times New Roman" w:cs="Times New Roman"/>
        </w:rPr>
        <w:t>, 201</w:t>
      </w:r>
      <w:r w:rsidR="00A1283E" w:rsidRPr="0063279F">
        <w:rPr>
          <w:rFonts w:ascii="Times New Roman" w:hAnsi="Times New Roman" w:cs="Times New Roman"/>
        </w:rPr>
        <w:t>4</w:t>
      </w:r>
      <w:r w:rsidRPr="0063279F">
        <w:rPr>
          <w:rFonts w:ascii="Times New Roman" w:hAnsi="Times New Roman" w:cs="Times New Roman"/>
        </w:rPr>
        <w:t>, at Docket No. R-201</w:t>
      </w:r>
      <w:r w:rsidR="00A1283E" w:rsidRPr="0063279F">
        <w:rPr>
          <w:rFonts w:ascii="Times New Roman" w:hAnsi="Times New Roman" w:cs="Times New Roman"/>
        </w:rPr>
        <w:t>4</w:t>
      </w:r>
      <w:r w:rsidRPr="0063279F">
        <w:rPr>
          <w:rFonts w:ascii="Times New Roman" w:hAnsi="Times New Roman" w:cs="Times New Roman"/>
        </w:rPr>
        <w:t>-2</w:t>
      </w:r>
      <w:r w:rsidR="00A1283E" w:rsidRPr="0063279F">
        <w:rPr>
          <w:rFonts w:ascii="Times New Roman" w:hAnsi="Times New Roman" w:cs="Times New Roman"/>
        </w:rPr>
        <w:t>420276</w:t>
      </w:r>
      <w:r w:rsidRPr="0063279F">
        <w:rPr>
          <w:rFonts w:ascii="Times New Roman" w:hAnsi="Times New Roman" w:cs="Times New Roman"/>
        </w:rPr>
        <w:t>, UGI filed its definitive annual PGC filing for 201</w:t>
      </w:r>
      <w:r w:rsidR="00017DC8" w:rsidRPr="0063279F">
        <w:rPr>
          <w:rFonts w:ascii="Times New Roman" w:hAnsi="Times New Roman" w:cs="Times New Roman"/>
        </w:rPr>
        <w:t>4</w:t>
      </w:r>
      <w:r w:rsidRPr="0063279F">
        <w:rPr>
          <w:rFonts w:ascii="Times New Roman" w:hAnsi="Times New Roman" w:cs="Times New Roman"/>
        </w:rPr>
        <w:t>, with proposed modificati</w:t>
      </w:r>
      <w:r w:rsidR="007F7DA2">
        <w:rPr>
          <w:rFonts w:ascii="Times New Roman" w:hAnsi="Times New Roman" w:cs="Times New Roman"/>
        </w:rPr>
        <w:t>ons to UGI’s Tariff Gas - Pa. PUC</w:t>
      </w:r>
      <w:r w:rsidRPr="0063279F">
        <w:rPr>
          <w:rFonts w:ascii="Times New Roman" w:hAnsi="Times New Roman" w:cs="Times New Roman"/>
        </w:rPr>
        <w:t xml:space="preserve"> No. 5, to become effective for service rendered on and after December 1, 201</w:t>
      </w:r>
      <w:r w:rsidR="00017DC8" w:rsidRPr="0063279F">
        <w:rPr>
          <w:rFonts w:ascii="Times New Roman" w:hAnsi="Times New Roman" w:cs="Times New Roman"/>
        </w:rPr>
        <w:t>4</w:t>
      </w:r>
      <w:r w:rsidRPr="0063279F">
        <w:rPr>
          <w:rFonts w:ascii="Times New Roman" w:hAnsi="Times New Roman" w:cs="Times New Roman"/>
        </w:rPr>
        <w:t xml:space="preserve">.  </w:t>
      </w:r>
      <w:proofErr w:type="gramStart"/>
      <w:r w:rsidRPr="0063279F">
        <w:rPr>
          <w:rFonts w:ascii="Times New Roman" w:hAnsi="Times New Roman" w:cs="Times New Roman"/>
        </w:rPr>
        <w:t xml:space="preserve">Stipulation at </w:t>
      </w:r>
      <w:r w:rsidR="00664B94" w:rsidRPr="0063279F">
        <w:rPr>
          <w:rFonts w:ascii="Times New Roman" w:hAnsi="Times New Roman" w:cs="Times New Roman"/>
        </w:rPr>
        <w:t>2</w:t>
      </w:r>
      <w:r w:rsidRPr="0063279F">
        <w:rPr>
          <w:rFonts w:ascii="Times New Roman" w:hAnsi="Times New Roman" w:cs="Times New Roman"/>
        </w:rPr>
        <w:t>, UGI Utilities, Inc. Gas Division Exhibit 1 (Book 2).</w:t>
      </w:r>
      <w:proofErr w:type="gramEnd"/>
    </w:p>
    <w:p w:rsidR="00E01645" w:rsidRPr="0063279F" w:rsidRDefault="00E01645" w:rsidP="003E2463">
      <w:pPr>
        <w:spacing w:line="360" w:lineRule="auto"/>
        <w:rPr>
          <w:rFonts w:ascii="Times New Roman" w:hAnsi="Times New Roman" w:cs="Times New Roman"/>
        </w:rPr>
      </w:pPr>
    </w:p>
    <w:p w:rsidR="00A1283E" w:rsidRPr="0063279F" w:rsidRDefault="00E01645" w:rsidP="00A1283E">
      <w:pPr>
        <w:spacing w:line="360" w:lineRule="auto"/>
        <w:rPr>
          <w:rFonts w:ascii="Times New Roman" w:hAnsi="Times New Roman" w:cs="Times New Roman"/>
        </w:rPr>
      </w:pPr>
      <w:r w:rsidRPr="0063279F">
        <w:rPr>
          <w:rFonts w:ascii="Times New Roman" w:hAnsi="Times New Roman" w:cs="Times New Roman"/>
        </w:rPr>
        <w:tab/>
      </w:r>
      <w:r w:rsidRPr="0063279F">
        <w:rPr>
          <w:rFonts w:ascii="Times New Roman" w:hAnsi="Times New Roman" w:cs="Times New Roman"/>
        </w:rPr>
        <w:tab/>
        <w:t>3.</w:t>
      </w:r>
      <w:r w:rsidRPr="0063279F">
        <w:rPr>
          <w:rFonts w:ascii="Times New Roman" w:hAnsi="Times New Roman" w:cs="Times New Roman"/>
        </w:rPr>
        <w:tab/>
        <w:t xml:space="preserve">As a result of the Stipulation, </w:t>
      </w:r>
      <w:r w:rsidR="00A1283E" w:rsidRPr="0063279F">
        <w:rPr>
          <w:rFonts w:ascii="Times New Roman" w:hAnsi="Times New Roman" w:cs="Times New Roman"/>
        </w:rPr>
        <w:t xml:space="preserve">the Company’s projected costs of $157,903,930 are reduced by $595,618 to yield projected costs of $157,308,312.  The PGC1 change with settlement adjustments is $0.0426 and the Residential Heating Percentage Change with Settlement Adjustments – PGC 1 is 0.4%.  </w:t>
      </w:r>
      <w:proofErr w:type="gramStart"/>
      <w:r w:rsidR="00A1283E" w:rsidRPr="0063279F">
        <w:rPr>
          <w:rFonts w:ascii="Times New Roman" w:hAnsi="Times New Roman" w:cs="Times New Roman"/>
        </w:rPr>
        <w:t>Corrected Stipulation Appendix A, at 1.</w:t>
      </w:r>
      <w:proofErr w:type="gramEnd"/>
    </w:p>
    <w:p w:rsidR="00E01645" w:rsidRPr="0063279F" w:rsidRDefault="00E01645" w:rsidP="003E2463">
      <w:pPr>
        <w:spacing w:line="360" w:lineRule="auto"/>
        <w:rPr>
          <w:rFonts w:ascii="Times New Roman" w:hAnsi="Times New Roman" w:cs="Times New Roman"/>
        </w:rPr>
      </w:pPr>
    </w:p>
    <w:p w:rsidR="00E01645" w:rsidRPr="0063279F" w:rsidRDefault="00E01645" w:rsidP="003E2463">
      <w:pPr>
        <w:spacing w:line="360" w:lineRule="auto"/>
        <w:rPr>
          <w:rFonts w:ascii="Times New Roman" w:hAnsi="Times New Roman" w:cs="Times New Roman"/>
        </w:rPr>
      </w:pPr>
      <w:r w:rsidRPr="0063279F">
        <w:rPr>
          <w:rFonts w:ascii="Times New Roman" w:hAnsi="Times New Roman" w:cs="Times New Roman"/>
        </w:rPr>
        <w:tab/>
      </w:r>
      <w:r w:rsidRPr="0063279F">
        <w:rPr>
          <w:rFonts w:ascii="Times New Roman" w:hAnsi="Times New Roman" w:cs="Times New Roman"/>
        </w:rPr>
        <w:tab/>
        <w:t>4.</w:t>
      </w:r>
      <w:r w:rsidRPr="0063279F">
        <w:rPr>
          <w:rFonts w:ascii="Times New Roman" w:hAnsi="Times New Roman" w:cs="Times New Roman"/>
        </w:rPr>
        <w:tab/>
        <w:t xml:space="preserve">As a result of the Stipulation, the Formal Complaints of the OCA and the OSBA, and any other concerns of the parties have been satisfactorily addressed.  </w:t>
      </w:r>
      <w:r w:rsidRPr="0063279F">
        <w:rPr>
          <w:rFonts w:ascii="Times New Roman" w:hAnsi="Times New Roman" w:cs="Times New Roman"/>
          <w:i/>
        </w:rPr>
        <w:t>See,</w:t>
      </w:r>
      <w:r w:rsidRPr="0063279F">
        <w:rPr>
          <w:rFonts w:ascii="Times New Roman" w:hAnsi="Times New Roman" w:cs="Times New Roman"/>
        </w:rPr>
        <w:t xml:space="preserve"> Statements in Support/Statement of Non-opposition Letter at Appendices B - </w:t>
      </w:r>
      <w:r w:rsidR="00A1283E" w:rsidRPr="0063279F">
        <w:rPr>
          <w:rFonts w:ascii="Times New Roman" w:hAnsi="Times New Roman" w:cs="Times New Roman"/>
        </w:rPr>
        <w:t>E</w:t>
      </w:r>
      <w:r w:rsidRPr="0063279F">
        <w:rPr>
          <w:rFonts w:ascii="Times New Roman" w:hAnsi="Times New Roman" w:cs="Times New Roman"/>
        </w:rPr>
        <w:t>.</w:t>
      </w:r>
    </w:p>
    <w:p w:rsidR="00E01645" w:rsidRPr="0063279F" w:rsidRDefault="00E01645" w:rsidP="003E2463">
      <w:pPr>
        <w:spacing w:line="360" w:lineRule="auto"/>
        <w:rPr>
          <w:rFonts w:ascii="Times New Roman" w:hAnsi="Times New Roman" w:cs="Times New Roman"/>
        </w:rPr>
      </w:pPr>
    </w:p>
    <w:p w:rsidR="00E01645" w:rsidRPr="0063279F" w:rsidRDefault="00E01645" w:rsidP="003E2463">
      <w:pPr>
        <w:spacing w:line="360" w:lineRule="auto"/>
        <w:rPr>
          <w:rFonts w:ascii="Times New Roman" w:hAnsi="Times New Roman" w:cs="Times New Roman"/>
        </w:rPr>
      </w:pPr>
      <w:r w:rsidRPr="0063279F">
        <w:rPr>
          <w:rFonts w:ascii="Times New Roman" w:hAnsi="Times New Roman" w:cs="Times New Roman"/>
        </w:rPr>
        <w:tab/>
      </w:r>
      <w:r w:rsidRPr="0063279F">
        <w:rPr>
          <w:rFonts w:ascii="Times New Roman" w:hAnsi="Times New Roman" w:cs="Times New Roman"/>
        </w:rPr>
        <w:tab/>
        <w:t>5.</w:t>
      </w:r>
      <w:r w:rsidRPr="0063279F">
        <w:rPr>
          <w:rFonts w:ascii="Times New Roman" w:hAnsi="Times New Roman" w:cs="Times New Roman"/>
        </w:rPr>
        <w:tab/>
        <w:t xml:space="preserve">UGI has fully and vigorously represented the interests of its ratepayers in proceedings before the Federal Energy Regulatory Commission.  </w:t>
      </w:r>
      <w:proofErr w:type="gramStart"/>
      <w:r w:rsidRPr="0063279F">
        <w:rPr>
          <w:rFonts w:ascii="Times New Roman" w:hAnsi="Times New Roman" w:cs="Times New Roman"/>
        </w:rPr>
        <w:t>UGI Utilities, Inc. Gas Division Exhibi</w:t>
      </w:r>
      <w:r w:rsidR="007F7DA2">
        <w:rPr>
          <w:rFonts w:ascii="Times New Roman" w:hAnsi="Times New Roman" w:cs="Times New Roman"/>
        </w:rPr>
        <w:t>t 1 (Book 1), Section 3; 66 Pa.</w:t>
      </w:r>
      <w:r w:rsidRPr="0063279F">
        <w:rPr>
          <w:rFonts w:ascii="Times New Roman" w:hAnsi="Times New Roman" w:cs="Times New Roman"/>
        </w:rPr>
        <w:t>C.S.</w:t>
      </w:r>
      <w:proofErr w:type="gramEnd"/>
      <w:r w:rsidRPr="0063279F">
        <w:rPr>
          <w:rFonts w:ascii="Times New Roman" w:hAnsi="Times New Roman" w:cs="Times New Roman"/>
        </w:rPr>
        <w:t xml:space="preserve"> §§</w:t>
      </w:r>
      <w:r w:rsidR="007F7DA2">
        <w:rPr>
          <w:rFonts w:ascii="Times New Roman" w:hAnsi="Times New Roman" w:cs="Times New Roman"/>
        </w:rPr>
        <w:t xml:space="preserve"> </w:t>
      </w:r>
      <w:r w:rsidRPr="0063279F">
        <w:rPr>
          <w:rFonts w:ascii="Times New Roman" w:hAnsi="Times New Roman" w:cs="Times New Roman"/>
        </w:rPr>
        <w:t>1317(a</w:t>
      </w:r>
      <w:proofErr w:type="gramStart"/>
      <w:r w:rsidRPr="0063279F">
        <w:rPr>
          <w:rFonts w:ascii="Times New Roman" w:hAnsi="Times New Roman" w:cs="Times New Roman"/>
        </w:rPr>
        <w:t>)(</w:t>
      </w:r>
      <w:proofErr w:type="gramEnd"/>
      <w:r w:rsidRPr="0063279F">
        <w:rPr>
          <w:rFonts w:ascii="Times New Roman" w:hAnsi="Times New Roman" w:cs="Times New Roman"/>
        </w:rPr>
        <w:t>1); 1318(a)(l).</w:t>
      </w:r>
    </w:p>
    <w:p w:rsidR="00E01645" w:rsidRPr="0063279F" w:rsidRDefault="00E01645" w:rsidP="003E2463">
      <w:pPr>
        <w:spacing w:line="360" w:lineRule="auto"/>
        <w:rPr>
          <w:rFonts w:ascii="Times New Roman" w:hAnsi="Times New Roman" w:cs="Times New Roman"/>
        </w:rPr>
      </w:pPr>
    </w:p>
    <w:p w:rsidR="00E01645" w:rsidRPr="0063279F" w:rsidRDefault="00E01645" w:rsidP="003E2463">
      <w:pPr>
        <w:spacing w:line="360" w:lineRule="auto"/>
        <w:rPr>
          <w:rFonts w:ascii="Times New Roman" w:hAnsi="Times New Roman" w:cs="Times New Roman"/>
        </w:rPr>
      </w:pPr>
      <w:r w:rsidRPr="0063279F">
        <w:rPr>
          <w:rFonts w:ascii="Times New Roman" w:hAnsi="Times New Roman" w:cs="Times New Roman"/>
        </w:rPr>
        <w:tab/>
      </w:r>
      <w:r w:rsidRPr="0063279F">
        <w:rPr>
          <w:rFonts w:ascii="Times New Roman" w:hAnsi="Times New Roman" w:cs="Times New Roman"/>
        </w:rPr>
        <w:tab/>
        <w:t>6.</w:t>
      </w:r>
      <w:r w:rsidRPr="0063279F">
        <w:rPr>
          <w:rFonts w:ascii="Times New Roman" w:hAnsi="Times New Roman" w:cs="Times New Roman"/>
        </w:rPr>
        <w:tab/>
        <w:t xml:space="preserve">UGI has taken all prudent steps necessary to negotiate favorable gas supply contracts and to relieve itself from terms in existing contracts with its gas suppliers which are or may be adverse to the interests of its ratepayers.  </w:t>
      </w:r>
      <w:proofErr w:type="gramStart"/>
      <w:r w:rsidRPr="0063279F">
        <w:rPr>
          <w:rFonts w:ascii="Times New Roman" w:hAnsi="Times New Roman" w:cs="Times New Roman"/>
        </w:rPr>
        <w:t>UGI Utilities, Inc. Gas Division Exhibit 1 (Bo</w:t>
      </w:r>
      <w:r w:rsidR="007F7DA2">
        <w:rPr>
          <w:rFonts w:ascii="Times New Roman" w:hAnsi="Times New Roman" w:cs="Times New Roman"/>
        </w:rPr>
        <w:t>ok 1), Sections 2 and 5; 66 Pa.</w:t>
      </w:r>
      <w:r w:rsidRPr="0063279F">
        <w:rPr>
          <w:rFonts w:ascii="Times New Roman" w:hAnsi="Times New Roman" w:cs="Times New Roman"/>
        </w:rPr>
        <w:t>C.S.</w:t>
      </w:r>
      <w:proofErr w:type="gramEnd"/>
      <w:r w:rsidRPr="0063279F">
        <w:rPr>
          <w:rFonts w:ascii="Times New Roman" w:hAnsi="Times New Roman" w:cs="Times New Roman"/>
        </w:rPr>
        <w:t xml:space="preserve"> §§</w:t>
      </w:r>
      <w:r w:rsidR="007F7DA2">
        <w:rPr>
          <w:rFonts w:ascii="Times New Roman" w:hAnsi="Times New Roman" w:cs="Times New Roman"/>
        </w:rPr>
        <w:t xml:space="preserve"> </w:t>
      </w:r>
      <w:r w:rsidRPr="0063279F">
        <w:rPr>
          <w:rFonts w:ascii="Times New Roman" w:hAnsi="Times New Roman" w:cs="Times New Roman"/>
        </w:rPr>
        <w:t>1317(a</w:t>
      </w:r>
      <w:proofErr w:type="gramStart"/>
      <w:r w:rsidRPr="0063279F">
        <w:rPr>
          <w:rFonts w:ascii="Times New Roman" w:hAnsi="Times New Roman" w:cs="Times New Roman"/>
        </w:rPr>
        <w:t>)(</w:t>
      </w:r>
      <w:proofErr w:type="gramEnd"/>
      <w:r w:rsidRPr="0063279F">
        <w:rPr>
          <w:rFonts w:ascii="Times New Roman" w:hAnsi="Times New Roman" w:cs="Times New Roman"/>
        </w:rPr>
        <w:t>2); 1318(a)(2).</w:t>
      </w:r>
    </w:p>
    <w:p w:rsidR="00E01645" w:rsidRPr="0063279F" w:rsidRDefault="00E01645" w:rsidP="003E2463">
      <w:pPr>
        <w:spacing w:line="360" w:lineRule="auto"/>
        <w:rPr>
          <w:rFonts w:ascii="Times New Roman" w:hAnsi="Times New Roman" w:cs="Times New Roman"/>
        </w:rPr>
      </w:pPr>
    </w:p>
    <w:p w:rsidR="00E01645" w:rsidRPr="0063279F" w:rsidRDefault="00E01645" w:rsidP="003E2463">
      <w:pPr>
        <w:spacing w:line="360" w:lineRule="auto"/>
        <w:rPr>
          <w:rFonts w:ascii="Times New Roman" w:hAnsi="Times New Roman" w:cs="Times New Roman"/>
        </w:rPr>
      </w:pPr>
      <w:r w:rsidRPr="0063279F">
        <w:rPr>
          <w:rFonts w:ascii="Times New Roman" w:hAnsi="Times New Roman" w:cs="Times New Roman"/>
        </w:rPr>
        <w:tab/>
      </w:r>
      <w:r w:rsidRPr="0063279F">
        <w:rPr>
          <w:rFonts w:ascii="Times New Roman" w:hAnsi="Times New Roman" w:cs="Times New Roman"/>
        </w:rPr>
        <w:tab/>
        <w:t>7.</w:t>
      </w:r>
      <w:r w:rsidRPr="0063279F">
        <w:rPr>
          <w:rFonts w:ascii="Times New Roman" w:hAnsi="Times New Roman" w:cs="Times New Roman"/>
        </w:rPr>
        <w:tab/>
        <w:t xml:space="preserve">UGI has taken all prudent steps necessary to obtain lower cost gas supplies on both short-term and long-term bases both within and outside the Commonwealth, including the use of gas transportation arrangements with pipelines and other distribution companies.  </w:t>
      </w:r>
      <w:proofErr w:type="gramStart"/>
      <w:r w:rsidRPr="0063279F">
        <w:rPr>
          <w:rFonts w:ascii="Times New Roman" w:hAnsi="Times New Roman" w:cs="Times New Roman"/>
        </w:rPr>
        <w:t>UGI Utilities, Inc. Gas Division Exhibit 1 (Book</w:t>
      </w:r>
      <w:r w:rsidR="007F7DA2">
        <w:rPr>
          <w:rFonts w:ascii="Times New Roman" w:hAnsi="Times New Roman" w:cs="Times New Roman"/>
        </w:rPr>
        <w:t xml:space="preserve"> 1) Sections 1, 2 and 5; 66 Pa.</w:t>
      </w:r>
      <w:r w:rsidRPr="0063279F">
        <w:rPr>
          <w:rFonts w:ascii="Times New Roman" w:hAnsi="Times New Roman" w:cs="Times New Roman"/>
        </w:rPr>
        <w:t>C.S.</w:t>
      </w:r>
      <w:proofErr w:type="gramEnd"/>
      <w:r w:rsidRPr="0063279F">
        <w:rPr>
          <w:rFonts w:ascii="Times New Roman" w:hAnsi="Times New Roman" w:cs="Times New Roman"/>
        </w:rPr>
        <w:t xml:space="preserve"> §§</w:t>
      </w:r>
      <w:r w:rsidR="007F7DA2">
        <w:rPr>
          <w:rFonts w:ascii="Times New Roman" w:hAnsi="Times New Roman" w:cs="Times New Roman"/>
        </w:rPr>
        <w:t> 1317(a</w:t>
      </w:r>
      <w:proofErr w:type="gramStart"/>
      <w:r w:rsidR="007F7DA2">
        <w:rPr>
          <w:rFonts w:ascii="Times New Roman" w:hAnsi="Times New Roman" w:cs="Times New Roman"/>
        </w:rPr>
        <w:t>)(</w:t>
      </w:r>
      <w:proofErr w:type="gramEnd"/>
      <w:r w:rsidR="007F7DA2">
        <w:rPr>
          <w:rFonts w:ascii="Times New Roman" w:hAnsi="Times New Roman" w:cs="Times New Roman"/>
        </w:rPr>
        <w:t>3); </w:t>
      </w:r>
      <w:r w:rsidRPr="0063279F">
        <w:rPr>
          <w:rFonts w:ascii="Times New Roman" w:hAnsi="Times New Roman" w:cs="Times New Roman"/>
        </w:rPr>
        <w:t>1318(a)(3).</w:t>
      </w:r>
    </w:p>
    <w:p w:rsidR="00E01645" w:rsidRPr="0063279F" w:rsidRDefault="00E01645" w:rsidP="003E2463">
      <w:pPr>
        <w:spacing w:line="360" w:lineRule="auto"/>
        <w:rPr>
          <w:rFonts w:ascii="Times New Roman" w:hAnsi="Times New Roman" w:cs="Times New Roman"/>
        </w:rPr>
      </w:pPr>
    </w:p>
    <w:p w:rsidR="00E01645" w:rsidRPr="0063279F" w:rsidRDefault="00E01645" w:rsidP="003E2463">
      <w:pPr>
        <w:spacing w:line="360" w:lineRule="auto"/>
        <w:rPr>
          <w:rFonts w:ascii="Times New Roman" w:hAnsi="Times New Roman" w:cs="Times New Roman"/>
        </w:rPr>
      </w:pPr>
      <w:r w:rsidRPr="0063279F">
        <w:rPr>
          <w:rFonts w:ascii="Times New Roman" w:hAnsi="Times New Roman" w:cs="Times New Roman"/>
        </w:rPr>
        <w:tab/>
      </w:r>
      <w:r w:rsidRPr="0063279F">
        <w:rPr>
          <w:rFonts w:ascii="Times New Roman" w:hAnsi="Times New Roman" w:cs="Times New Roman"/>
        </w:rPr>
        <w:tab/>
        <w:t>8.</w:t>
      </w:r>
      <w:r w:rsidRPr="0063279F">
        <w:rPr>
          <w:rFonts w:ascii="Times New Roman" w:hAnsi="Times New Roman" w:cs="Times New Roman"/>
        </w:rPr>
        <w:tab/>
        <w:t xml:space="preserve">UGI has not withheld from the market or caused to be withheld from the market any gas supplies which should have been utilized as part of a least cost fuel procurement policy.  </w:t>
      </w:r>
      <w:proofErr w:type="gramStart"/>
      <w:r w:rsidRPr="0063279F">
        <w:rPr>
          <w:rFonts w:ascii="Times New Roman" w:hAnsi="Times New Roman" w:cs="Times New Roman"/>
        </w:rPr>
        <w:t>UGI Utilities, Inc. Gas Division Exhibi</w:t>
      </w:r>
      <w:r w:rsidR="00917C81">
        <w:rPr>
          <w:rFonts w:ascii="Times New Roman" w:hAnsi="Times New Roman" w:cs="Times New Roman"/>
        </w:rPr>
        <w:t>t 1 (Book 1), Section 5; 66 Pa.</w:t>
      </w:r>
      <w:r w:rsidRPr="0063279F">
        <w:rPr>
          <w:rFonts w:ascii="Times New Roman" w:hAnsi="Times New Roman" w:cs="Times New Roman"/>
        </w:rPr>
        <w:t>C.S.</w:t>
      </w:r>
      <w:proofErr w:type="gramEnd"/>
      <w:r w:rsidRPr="0063279F">
        <w:rPr>
          <w:rFonts w:ascii="Times New Roman" w:hAnsi="Times New Roman" w:cs="Times New Roman"/>
        </w:rPr>
        <w:t xml:space="preserve"> §§</w:t>
      </w:r>
      <w:r w:rsidR="00917C81">
        <w:rPr>
          <w:rFonts w:ascii="Times New Roman" w:hAnsi="Times New Roman" w:cs="Times New Roman"/>
        </w:rPr>
        <w:t> 1317(a</w:t>
      </w:r>
      <w:proofErr w:type="gramStart"/>
      <w:r w:rsidR="00917C81">
        <w:rPr>
          <w:rFonts w:ascii="Times New Roman" w:hAnsi="Times New Roman" w:cs="Times New Roman"/>
        </w:rPr>
        <w:t>)(</w:t>
      </w:r>
      <w:proofErr w:type="gramEnd"/>
      <w:r w:rsidR="00917C81">
        <w:rPr>
          <w:rFonts w:ascii="Times New Roman" w:hAnsi="Times New Roman" w:cs="Times New Roman"/>
        </w:rPr>
        <w:t>4); </w:t>
      </w:r>
      <w:r w:rsidRPr="0063279F">
        <w:rPr>
          <w:rFonts w:ascii="Times New Roman" w:hAnsi="Times New Roman" w:cs="Times New Roman"/>
        </w:rPr>
        <w:t>1318(a)(4).</w:t>
      </w:r>
    </w:p>
    <w:p w:rsidR="00E01645" w:rsidRPr="0063279F" w:rsidRDefault="00E01645" w:rsidP="003E2463">
      <w:pPr>
        <w:spacing w:line="360" w:lineRule="auto"/>
        <w:rPr>
          <w:rFonts w:ascii="Times New Roman" w:hAnsi="Times New Roman" w:cs="Times New Roman"/>
        </w:rPr>
      </w:pPr>
    </w:p>
    <w:p w:rsidR="00E01645" w:rsidRPr="0063279F" w:rsidRDefault="00E01645" w:rsidP="003E2463">
      <w:pPr>
        <w:spacing w:line="360" w:lineRule="auto"/>
        <w:rPr>
          <w:rFonts w:ascii="Times New Roman" w:hAnsi="Times New Roman" w:cs="Times New Roman"/>
        </w:rPr>
      </w:pPr>
      <w:r w:rsidRPr="0063279F">
        <w:rPr>
          <w:rFonts w:ascii="Times New Roman" w:hAnsi="Times New Roman" w:cs="Times New Roman"/>
        </w:rPr>
        <w:tab/>
      </w:r>
      <w:r w:rsidRPr="0063279F">
        <w:rPr>
          <w:rFonts w:ascii="Times New Roman" w:hAnsi="Times New Roman" w:cs="Times New Roman"/>
        </w:rPr>
        <w:tab/>
        <w:t>9.</w:t>
      </w:r>
      <w:r w:rsidRPr="0063279F">
        <w:rPr>
          <w:rFonts w:ascii="Times New Roman" w:hAnsi="Times New Roman" w:cs="Times New Roman"/>
        </w:rPr>
        <w:tab/>
        <w:t xml:space="preserve">UGI has fully and vigorously attempted to obtain less costly gas supplies on both short-term and long-term bases from nonaffiliated interests.  </w:t>
      </w:r>
      <w:proofErr w:type="gramStart"/>
      <w:r w:rsidRPr="0063279F">
        <w:rPr>
          <w:rFonts w:ascii="Times New Roman" w:hAnsi="Times New Roman" w:cs="Times New Roman"/>
        </w:rPr>
        <w:t>UGI Utilities, Inc. Gas Division Exhibit</w:t>
      </w:r>
      <w:r w:rsidR="00C52D1D">
        <w:rPr>
          <w:rFonts w:ascii="Times New Roman" w:hAnsi="Times New Roman" w:cs="Times New Roman"/>
        </w:rPr>
        <w:t xml:space="preserve"> 1 (Book 1), Section 13; 66 Pa.</w:t>
      </w:r>
      <w:r w:rsidRPr="0063279F">
        <w:rPr>
          <w:rFonts w:ascii="Times New Roman" w:hAnsi="Times New Roman" w:cs="Times New Roman"/>
        </w:rPr>
        <w:t>C.S.</w:t>
      </w:r>
      <w:proofErr w:type="gramEnd"/>
      <w:r w:rsidRPr="0063279F">
        <w:rPr>
          <w:rFonts w:ascii="Times New Roman" w:hAnsi="Times New Roman" w:cs="Times New Roman"/>
        </w:rPr>
        <w:t xml:space="preserve"> §§</w:t>
      </w:r>
      <w:r w:rsidR="00C52D1D">
        <w:rPr>
          <w:rFonts w:ascii="Times New Roman" w:hAnsi="Times New Roman" w:cs="Times New Roman"/>
        </w:rPr>
        <w:t xml:space="preserve"> </w:t>
      </w:r>
      <w:r w:rsidRPr="0063279F">
        <w:rPr>
          <w:rFonts w:ascii="Times New Roman" w:hAnsi="Times New Roman" w:cs="Times New Roman"/>
        </w:rPr>
        <w:t>1317(b</w:t>
      </w:r>
      <w:proofErr w:type="gramStart"/>
      <w:r w:rsidRPr="0063279F">
        <w:rPr>
          <w:rFonts w:ascii="Times New Roman" w:hAnsi="Times New Roman" w:cs="Times New Roman"/>
        </w:rPr>
        <w:t>)(</w:t>
      </w:r>
      <w:proofErr w:type="gramEnd"/>
      <w:r w:rsidRPr="0063279F">
        <w:rPr>
          <w:rFonts w:ascii="Times New Roman" w:hAnsi="Times New Roman" w:cs="Times New Roman"/>
        </w:rPr>
        <w:t>1); 1318(b)(l).</w:t>
      </w:r>
    </w:p>
    <w:p w:rsidR="00E01645" w:rsidRPr="0063279F" w:rsidRDefault="00E01645" w:rsidP="003E2463">
      <w:pPr>
        <w:spacing w:line="360" w:lineRule="auto"/>
        <w:rPr>
          <w:rFonts w:ascii="Times New Roman" w:hAnsi="Times New Roman" w:cs="Times New Roman"/>
        </w:rPr>
      </w:pPr>
    </w:p>
    <w:p w:rsidR="00E01645" w:rsidRPr="0063279F" w:rsidRDefault="00E01645" w:rsidP="003E2463">
      <w:pPr>
        <w:spacing w:line="360" w:lineRule="auto"/>
        <w:rPr>
          <w:rFonts w:ascii="Times New Roman" w:hAnsi="Times New Roman" w:cs="Times New Roman"/>
        </w:rPr>
      </w:pPr>
      <w:r w:rsidRPr="0063279F">
        <w:rPr>
          <w:rFonts w:ascii="Times New Roman" w:hAnsi="Times New Roman" w:cs="Times New Roman"/>
        </w:rPr>
        <w:tab/>
      </w:r>
      <w:r w:rsidRPr="0063279F">
        <w:rPr>
          <w:rFonts w:ascii="Times New Roman" w:hAnsi="Times New Roman" w:cs="Times New Roman"/>
        </w:rPr>
        <w:tab/>
        <w:t>10.</w:t>
      </w:r>
      <w:r w:rsidRPr="0063279F">
        <w:rPr>
          <w:rFonts w:ascii="Times New Roman" w:hAnsi="Times New Roman" w:cs="Times New Roman"/>
        </w:rPr>
        <w:tab/>
        <w:t>Each contract for the purchase of gas by UGI from an affiliated interest is consistent with a least cost fuel procurement policy.  UGI Utilities, Inc. Gas Division, Exhibit 1 (Book 1), Section 13; 66 Pa. C.S. §§</w:t>
      </w:r>
      <w:r w:rsidR="00CA60F9">
        <w:rPr>
          <w:rFonts w:ascii="Times New Roman" w:hAnsi="Times New Roman" w:cs="Times New Roman"/>
        </w:rPr>
        <w:t xml:space="preserve"> </w:t>
      </w:r>
      <w:r w:rsidRPr="0063279F">
        <w:rPr>
          <w:rFonts w:ascii="Times New Roman" w:hAnsi="Times New Roman" w:cs="Times New Roman"/>
        </w:rPr>
        <w:t>1317(b</w:t>
      </w:r>
      <w:proofErr w:type="gramStart"/>
      <w:r w:rsidRPr="0063279F">
        <w:rPr>
          <w:rFonts w:ascii="Times New Roman" w:hAnsi="Times New Roman" w:cs="Times New Roman"/>
        </w:rPr>
        <w:t>)(</w:t>
      </w:r>
      <w:proofErr w:type="gramEnd"/>
      <w:r w:rsidRPr="0063279F">
        <w:rPr>
          <w:rFonts w:ascii="Times New Roman" w:hAnsi="Times New Roman" w:cs="Times New Roman"/>
        </w:rPr>
        <w:t>2); 1318(b)(2).</w:t>
      </w:r>
    </w:p>
    <w:p w:rsidR="00E01645" w:rsidRPr="0063279F" w:rsidRDefault="00E01645" w:rsidP="003E2463">
      <w:pPr>
        <w:spacing w:line="360" w:lineRule="auto"/>
        <w:rPr>
          <w:rFonts w:ascii="Times New Roman" w:hAnsi="Times New Roman" w:cs="Times New Roman"/>
        </w:rPr>
      </w:pPr>
    </w:p>
    <w:p w:rsidR="00E01645" w:rsidRPr="0063279F" w:rsidRDefault="00E01645" w:rsidP="003E2463">
      <w:pPr>
        <w:spacing w:line="360" w:lineRule="auto"/>
        <w:rPr>
          <w:rFonts w:ascii="Times New Roman" w:hAnsi="Times New Roman" w:cs="Times New Roman"/>
        </w:rPr>
      </w:pPr>
      <w:r w:rsidRPr="0063279F">
        <w:rPr>
          <w:rFonts w:ascii="Times New Roman" w:hAnsi="Times New Roman" w:cs="Times New Roman"/>
        </w:rPr>
        <w:tab/>
      </w:r>
      <w:r w:rsidRPr="0063279F">
        <w:rPr>
          <w:rFonts w:ascii="Times New Roman" w:hAnsi="Times New Roman" w:cs="Times New Roman"/>
        </w:rPr>
        <w:tab/>
        <w:t>11.</w:t>
      </w:r>
      <w:r w:rsidRPr="0063279F">
        <w:rPr>
          <w:rFonts w:ascii="Times New Roman" w:hAnsi="Times New Roman" w:cs="Times New Roman"/>
        </w:rPr>
        <w:tab/>
        <w:t>Neither UGI nor its affiliated interests have withheld from the market any gas supplies which should have been utilized as part of a least cost fuel procurement policy.  UGI Utilities, Inc. Gas Division Exhibit 1 (Book 1), Section 13; 66 Pa. C.S. §§1317(b</w:t>
      </w:r>
      <w:proofErr w:type="gramStart"/>
      <w:r w:rsidRPr="0063279F">
        <w:rPr>
          <w:rFonts w:ascii="Times New Roman" w:hAnsi="Times New Roman" w:cs="Times New Roman"/>
        </w:rPr>
        <w:t>)(</w:t>
      </w:r>
      <w:proofErr w:type="gramEnd"/>
      <w:r w:rsidRPr="0063279F">
        <w:rPr>
          <w:rFonts w:ascii="Times New Roman" w:hAnsi="Times New Roman" w:cs="Times New Roman"/>
        </w:rPr>
        <w:t>3); 1318(b)(3).</w:t>
      </w:r>
    </w:p>
    <w:p w:rsidR="00E01645" w:rsidRPr="0063279F" w:rsidRDefault="00E01645" w:rsidP="003E2463">
      <w:pPr>
        <w:spacing w:line="360" w:lineRule="auto"/>
        <w:rPr>
          <w:rFonts w:ascii="Times New Roman" w:hAnsi="Times New Roman" w:cs="Times New Roman"/>
        </w:rPr>
      </w:pPr>
    </w:p>
    <w:p w:rsidR="00CA60F9" w:rsidRDefault="00CA60F9" w:rsidP="00332646">
      <w:pPr>
        <w:spacing w:line="360" w:lineRule="auto"/>
        <w:jc w:val="center"/>
        <w:rPr>
          <w:rFonts w:ascii="Times New Roman" w:hAnsi="Times New Roman" w:cs="Times New Roman"/>
          <w:u w:val="single"/>
        </w:rPr>
      </w:pPr>
      <w:r>
        <w:rPr>
          <w:rFonts w:ascii="Times New Roman" w:hAnsi="Times New Roman" w:cs="Times New Roman"/>
          <w:u w:val="single"/>
        </w:rPr>
        <w:br w:type="page"/>
      </w:r>
    </w:p>
    <w:p w:rsidR="00E01645" w:rsidRPr="0063279F" w:rsidRDefault="00E01645" w:rsidP="00332646">
      <w:pPr>
        <w:spacing w:line="360" w:lineRule="auto"/>
        <w:jc w:val="center"/>
        <w:rPr>
          <w:rFonts w:ascii="Times New Roman" w:hAnsi="Times New Roman" w:cs="Times New Roman"/>
        </w:rPr>
      </w:pPr>
      <w:r w:rsidRPr="0063279F">
        <w:rPr>
          <w:rFonts w:ascii="Times New Roman" w:hAnsi="Times New Roman" w:cs="Times New Roman"/>
          <w:u w:val="single"/>
        </w:rPr>
        <w:t>DISCUSSION</w:t>
      </w:r>
    </w:p>
    <w:p w:rsidR="00E01645" w:rsidRPr="0063279F" w:rsidRDefault="00E01645" w:rsidP="003E2463">
      <w:pPr>
        <w:spacing w:line="360" w:lineRule="auto"/>
        <w:rPr>
          <w:rFonts w:ascii="Times New Roman" w:hAnsi="Times New Roman" w:cs="Times New Roman"/>
          <w:u w:val="single"/>
        </w:rPr>
      </w:pPr>
    </w:p>
    <w:p w:rsidR="00E01645" w:rsidRPr="0063279F" w:rsidRDefault="00E01645" w:rsidP="003E2463">
      <w:pPr>
        <w:tabs>
          <w:tab w:val="left" w:pos="-720"/>
        </w:tabs>
        <w:suppressAutoHyphens/>
        <w:spacing w:line="360" w:lineRule="auto"/>
        <w:rPr>
          <w:rFonts w:ascii="Times New Roman" w:hAnsi="Times New Roman" w:cs="Times New Roman"/>
        </w:rPr>
      </w:pPr>
      <w:r w:rsidRPr="0063279F">
        <w:rPr>
          <w:rFonts w:ascii="Times New Roman" w:hAnsi="Times New Roman" w:cs="Times New Roman"/>
        </w:rPr>
        <w:tab/>
      </w:r>
      <w:r w:rsidRPr="0063279F">
        <w:rPr>
          <w:rFonts w:ascii="Times New Roman" w:hAnsi="Times New Roman" w:cs="Times New Roman"/>
        </w:rPr>
        <w:tab/>
        <w:t>The Commission has expressed a policy of encouraging settlements and has indicated that settlement results are often preferable to those achieved at the conclusion of a full</w:t>
      </w:r>
      <w:r w:rsidR="00CA60F9">
        <w:rPr>
          <w:rFonts w:ascii="Times New Roman" w:hAnsi="Times New Roman" w:cs="Times New Roman"/>
        </w:rPr>
        <w:t xml:space="preserve">y litigated proceeding.  </w:t>
      </w:r>
      <w:proofErr w:type="gramStart"/>
      <w:r w:rsidR="00CA60F9">
        <w:rPr>
          <w:rFonts w:ascii="Times New Roman" w:hAnsi="Times New Roman" w:cs="Times New Roman"/>
        </w:rPr>
        <w:t>52 Pa.</w:t>
      </w:r>
      <w:r w:rsidRPr="0063279F">
        <w:rPr>
          <w:rFonts w:ascii="Times New Roman" w:hAnsi="Times New Roman" w:cs="Times New Roman"/>
        </w:rPr>
        <w:t>Code §§</w:t>
      </w:r>
      <w:r w:rsidR="00CA60F9">
        <w:rPr>
          <w:rFonts w:ascii="Times New Roman" w:hAnsi="Times New Roman" w:cs="Times New Roman"/>
        </w:rPr>
        <w:t xml:space="preserve"> </w:t>
      </w:r>
      <w:r w:rsidRPr="0063279F">
        <w:rPr>
          <w:rFonts w:ascii="Times New Roman" w:hAnsi="Times New Roman" w:cs="Times New Roman"/>
        </w:rPr>
        <w:t>5.231, 69.401.</w:t>
      </w:r>
      <w:proofErr w:type="gramEnd"/>
    </w:p>
    <w:p w:rsidR="00E01645" w:rsidRPr="0063279F" w:rsidRDefault="00E01645" w:rsidP="003E2463">
      <w:pPr>
        <w:tabs>
          <w:tab w:val="left" w:pos="-720"/>
        </w:tabs>
        <w:suppressAutoHyphens/>
        <w:spacing w:line="360" w:lineRule="auto"/>
        <w:rPr>
          <w:rFonts w:ascii="Times New Roman" w:hAnsi="Times New Roman" w:cs="Times New Roman"/>
        </w:rPr>
      </w:pPr>
    </w:p>
    <w:p w:rsidR="00E01645" w:rsidRPr="0063279F" w:rsidRDefault="00E01645" w:rsidP="003E2463">
      <w:pPr>
        <w:tabs>
          <w:tab w:val="left" w:pos="-720"/>
        </w:tabs>
        <w:suppressAutoHyphens/>
        <w:spacing w:line="360" w:lineRule="auto"/>
        <w:rPr>
          <w:rFonts w:ascii="Times New Roman" w:hAnsi="Times New Roman" w:cs="Times New Roman"/>
        </w:rPr>
      </w:pPr>
      <w:r w:rsidRPr="0063279F">
        <w:rPr>
          <w:rFonts w:ascii="Times New Roman" w:hAnsi="Times New Roman" w:cs="Times New Roman"/>
        </w:rPr>
        <w:tab/>
      </w:r>
      <w:r w:rsidRPr="0063279F">
        <w:rPr>
          <w:rFonts w:ascii="Times New Roman" w:hAnsi="Times New Roman" w:cs="Times New Roman"/>
        </w:rPr>
        <w:tab/>
        <w:t xml:space="preserve">The benchmark for determining the acceptability of a settlement is whether the proposed terms and conditions are in the public interest.  </w:t>
      </w:r>
      <w:r w:rsidRPr="0063279F">
        <w:rPr>
          <w:rFonts w:ascii="Times New Roman" w:hAnsi="Times New Roman" w:cs="Times New Roman"/>
          <w:u w:val="single"/>
        </w:rPr>
        <w:t>Warner v. GTE North, Inc.</w:t>
      </w:r>
      <w:r w:rsidRPr="0063279F">
        <w:rPr>
          <w:rFonts w:ascii="Times New Roman" w:hAnsi="Times New Roman" w:cs="Times New Roman"/>
        </w:rPr>
        <w:t xml:space="preserve">, Docket No. C-00902815, Opinion and Order entered April 1, 1996; </w:t>
      </w:r>
      <w:r w:rsidR="008F3296">
        <w:rPr>
          <w:rFonts w:ascii="Times New Roman" w:hAnsi="Times New Roman" w:cs="Times New Roman"/>
          <w:u w:val="single"/>
        </w:rPr>
        <w:t>Pa. P</w:t>
      </w:r>
      <w:r w:rsidR="0021188F">
        <w:rPr>
          <w:rFonts w:ascii="Times New Roman" w:hAnsi="Times New Roman" w:cs="Times New Roman"/>
          <w:u w:val="single"/>
        </w:rPr>
        <w:t xml:space="preserve">ub. </w:t>
      </w:r>
      <w:proofErr w:type="gramStart"/>
      <w:r w:rsidR="008F3296">
        <w:rPr>
          <w:rFonts w:ascii="Times New Roman" w:hAnsi="Times New Roman" w:cs="Times New Roman"/>
          <w:u w:val="single"/>
        </w:rPr>
        <w:t>U</w:t>
      </w:r>
      <w:r w:rsidR="0021188F">
        <w:rPr>
          <w:rFonts w:ascii="Times New Roman" w:hAnsi="Times New Roman" w:cs="Times New Roman"/>
          <w:u w:val="single"/>
        </w:rPr>
        <w:t xml:space="preserve">til. </w:t>
      </w:r>
      <w:r w:rsidR="008F3296">
        <w:rPr>
          <w:rFonts w:ascii="Times New Roman" w:hAnsi="Times New Roman" w:cs="Times New Roman"/>
          <w:u w:val="single"/>
        </w:rPr>
        <w:t>C</w:t>
      </w:r>
      <w:r w:rsidR="0021188F">
        <w:rPr>
          <w:rFonts w:ascii="Times New Roman" w:hAnsi="Times New Roman" w:cs="Times New Roman"/>
          <w:u w:val="single"/>
        </w:rPr>
        <w:t>omm’n</w:t>
      </w:r>
      <w:r w:rsidRPr="0063279F">
        <w:rPr>
          <w:rFonts w:ascii="Times New Roman" w:hAnsi="Times New Roman" w:cs="Times New Roman"/>
          <w:u w:val="single"/>
        </w:rPr>
        <w:t xml:space="preserve"> v. CS Water and Sewer Associates</w:t>
      </w:r>
      <w:r w:rsidRPr="0063279F">
        <w:rPr>
          <w:rFonts w:ascii="Times New Roman" w:hAnsi="Times New Roman" w:cs="Times New Roman"/>
        </w:rPr>
        <w:t>, 74 P</w:t>
      </w:r>
      <w:r w:rsidR="0021188F">
        <w:rPr>
          <w:rFonts w:ascii="Times New Roman" w:hAnsi="Times New Roman" w:cs="Times New Roman"/>
        </w:rPr>
        <w:t>a.</w:t>
      </w:r>
      <w:r w:rsidRPr="0063279F">
        <w:rPr>
          <w:rFonts w:ascii="Times New Roman" w:hAnsi="Times New Roman" w:cs="Times New Roman"/>
        </w:rPr>
        <w:t xml:space="preserve"> PUC 767 (1991).</w:t>
      </w:r>
      <w:proofErr w:type="gramEnd"/>
    </w:p>
    <w:p w:rsidR="00E01645" w:rsidRPr="0063279F" w:rsidRDefault="00E01645" w:rsidP="003E2463">
      <w:pPr>
        <w:tabs>
          <w:tab w:val="left" w:pos="-720"/>
        </w:tabs>
        <w:suppressAutoHyphens/>
        <w:spacing w:line="360" w:lineRule="auto"/>
        <w:rPr>
          <w:rFonts w:ascii="Times New Roman" w:hAnsi="Times New Roman" w:cs="Times New Roman"/>
        </w:rPr>
      </w:pPr>
      <w:r w:rsidRPr="0063279F">
        <w:rPr>
          <w:rFonts w:ascii="Times New Roman" w:hAnsi="Times New Roman" w:cs="Times New Roman"/>
        </w:rPr>
        <w:tab/>
      </w:r>
      <w:r w:rsidRPr="0063279F">
        <w:rPr>
          <w:rFonts w:ascii="Times New Roman" w:hAnsi="Times New Roman" w:cs="Times New Roman"/>
        </w:rPr>
        <w:tab/>
      </w:r>
    </w:p>
    <w:p w:rsidR="00E01645" w:rsidRPr="0063279F" w:rsidRDefault="00E01645" w:rsidP="003E2463">
      <w:pPr>
        <w:tabs>
          <w:tab w:val="left" w:pos="-720"/>
        </w:tabs>
        <w:suppressAutoHyphens/>
        <w:spacing w:line="360" w:lineRule="auto"/>
        <w:rPr>
          <w:rFonts w:ascii="Times New Roman" w:hAnsi="Times New Roman" w:cs="Times New Roman"/>
          <w:u w:val="single"/>
        </w:rPr>
      </w:pPr>
      <w:r w:rsidRPr="0063279F">
        <w:rPr>
          <w:rFonts w:ascii="Times New Roman" w:hAnsi="Times New Roman" w:cs="Times New Roman"/>
          <w:u w:val="single"/>
        </w:rPr>
        <w:t>OCA Position</w:t>
      </w:r>
    </w:p>
    <w:p w:rsidR="00E01645" w:rsidRPr="0063279F" w:rsidRDefault="00E01645" w:rsidP="003E2463">
      <w:pPr>
        <w:tabs>
          <w:tab w:val="left" w:pos="-720"/>
        </w:tabs>
        <w:suppressAutoHyphens/>
        <w:spacing w:line="360" w:lineRule="auto"/>
        <w:rPr>
          <w:rFonts w:ascii="Times New Roman" w:hAnsi="Times New Roman" w:cs="Times New Roman"/>
        </w:rPr>
      </w:pPr>
    </w:p>
    <w:p w:rsidR="00E01645" w:rsidRPr="0063279F" w:rsidRDefault="00E01645" w:rsidP="003E2463">
      <w:pPr>
        <w:tabs>
          <w:tab w:val="left" w:pos="-720"/>
        </w:tabs>
        <w:suppressAutoHyphens/>
        <w:spacing w:line="360" w:lineRule="auto"/>
        <w:rPr>
          <w:rFonts w:ascii="Times New Roman" w:hAnsi="Times New Roman" w:cs="Times New Roman"/>
        </w:rPr>
      </w:pPr>
      <w:r w:rsidRPr="0063279F">
        <w:rPr>
          <w:rFonts w:ascii="Times New Roman" w:hAnsi="Times New Roman" w:cs="Times New Roman"/>
        </w:rPr>
        <w:tab/>
      </w:r>
      <w:r w:rsidRPr="0063279F">
        <w:rPr>
          <w:rFonts w:ascii="Times New Roman" w:hAnsi="Times New Roman" w:cs="Times New Roman"/>
        </w:rPr>
        <w:tab/>
        <w:t xml:space="preserve">OCA filed a Complaint in this matter on May </w:t>
      </w:r>
      <w:r w:rsidR="00A1283E" w:rsidRPr="0063279F">
        <w:rPr>
          <w:rFonts w:ascii="Times New Roman" w:hAnsi="Times New Roman" w:cs="Times New Roman"/>
        </w:rPr>
        <w:t>7</w:t>
      </w:r>
      <w:r w:rsidRPr="0063279F">
        <w:rPr>
          <w:rFonts w:ascii="Times New Roman" w:hAnsi="Times New Roman" w:cs="Times New Roman"/>
        </w:rPr>
        <w:t>, 201</w:t>
      </w:r>
      <w:r w:rsidR="00A1283E" w:rsidRPr="0063279F">
        <w:rPr>
          <w:rFonts w:ascii="Times New Roman" w:hAnsi="Times New Roman" w:cs="Times New Roman"/>
        </w:rPr>
        <w:t>4</w:t>
      </w:r>
      <w:r w:rsidRPr="0063279F">
        <w:rPr>
          <w:rFonts w:ascii="Times New Roman" w:hAnsi="Times New Roman" w:cs="Times New Roman"/>
        </w:rPr>
        <w:t xml:space="preserve">.  In OCA’s Statement in Support, OCA states its concerns have been satisfied by the terms of settlement.  Specifically, </w:t>
      </w:r>
      <w:r w:rsidR="00332646" w:rsidRPr="0063279F">
        <w:rPr>
          <w:rFonts w:ascii="Times New Roman" w:hAnsi="Times New Roman" w:cs="Times New Roman"/>
        </w:rPr>
        <w:t xml:space="preserve">OCA witness Mr. </w:t>
      </w:r>
      <w:proofErr w:type="spellStart"/>
      <w:r w:rsidR="00332646" w:rsidRPr="0063279F">
        <w:rPr>
          <w:rFonts w:ascii="Times New Roman" w:hAnsi="Times New Roman" w:cs="Times New Roman"/>
        </w:rPr>
        <w:t>Mierzwa</w:t>
      </w:r>
      <w:proofErr w:type="spellEnd"/>
      <w:r w:rsidR="00332646" w:rsidRPr="0063279F">
        <w:rPr>
          <w:rFonts w:ascii="Times New Roman" w:hAnsi="Times New Roman" w:cs="Times New Roman"/>
        </w:rPr>
        <w:t xml:space="preserve"> expressed concern regarding the amount of “no-notice peaking service” that the Company procures from its affiliate, UGI Energy Services.  OCA St. 1 at 5-9.  Mr. </w:t>
      </w:r>
      <w:proofErr w:type="spellStart"/>
      <w:r w:rsidR="00332646" w:rsidRPr="0063279F">
        <w:rPr>
          <w:rFonts w:ascii="Times New Roman" w:hAnsi="Times New Roman" w:cs="Times New Roman"/>
        </w:rPr>
        <w:t>Mierzwa</w:t>
      </w:r>
      <w:proofErr w:type="spellEnd"/>
      <w:r w:rsidR="00332646" w:rsidRPr="0063279F">
        <w:rPr>
          <w:rFonts w:ascii="Times New Roman" w:hAnsi="Times New Roman" w:cs="Times New Roman"/>
        </w:rPr>
        <w:t xml:space="preserve"> testified:</w:t>
      </w:r>
    </w:p>
    <w:p w:rsidR="00332646" w:rsidRPr="0063279F" w:rsidRDefault="00332646" w:rsidP="003E2463">
      <w:pPr>
        <w:tabs>
          <w:tab w:val="left" w:pos="-720"/>
        </w:tabs>
        <w:suppressAutoHyphens/>
        <w:spacing w:line="360" w:lineRule="auto"/>
        <w:rPr>
          <w:rFonts w:ascii="Times New Roman" w:hAnsi="Times New Roman" w:cs="Times New Roman"/>
        </w:rPr>
      </w:pPr>
    </w:p>
    <w:p w:rsidR="004D2FF1" w:rsidRPr="0063279F" w:rsidRDefault="00332646" w:rsidP="00E01645">
      <w:pPr>
        <w:tabs>
          <w:tab w:val="left" w:pos="-720"/>
        </w:tabs>
        <w:suppressAutoHyphens/>
        <w:ind w:left="720" w:right="720"/>
        <w:rPr>
          <w:rFonts w:ascii="Times New Roman" w:hAnsi="Times New Roman" w:cs="Times New Roman"/>
        </w:rPr>
      </w:pPr>
      <w:r w:rsidRPr="0063279F">
        <w:rPr>
          <w:rFonts w:ascii="Times New Roman" w:hAnsi="Times New Roman" w:cs="Times New Roman"/>
        </w:rPr>
        <w:t xml:space="preserve">Including a no-notice feature in a peaking service contract significantly increases the cost of that service . . . [T]he MDQ cost of UGI’s three largest no-notice peaking service contracts range from $191 to $245 per </w:t>
      </w:r>
      <w:proofErr w:type="spellStart"/>
      <w:r w:rsidRPr="0063279F">
        <w:rPr>
          <w:rFonts w:ascii="Times New Roman" w:hAnsi="Times New Roman" w:cs="Times New Roman"/>
        </w:rPr>
        <w:t>Dth</w:t>
      </w:r>
      <w:proofErr w:type="spellEnd"/>
      <w:r w:rsidRPr="0063279F">
        <w:rPr>
          <w:rFonts w:ascii="Times New Roman" w:hAnsi="Times New Roman" w:cs="Times New Roman"/>
        </w:rPr>
        <w:t xml:space="preserve">.  Peaking Service 5 arrangement is a day-ahead service and not a no-notice service.  While Peaking Service 5 is still a relatively expensive service at a cost of $139 per </w:t>
      </w:r>
      <w:proofErr w:type="spellStart"/>
      <w:r w:rsidR="004D2FF1" w:rsidRPr="0063279F">
        <w:rPr>
          <w:rFonts w:ascii="Times New Roman" w:hAnsi="Times New Roman" w:cs="Times New Roman"/>
        </w:rPr>
        <w:t>Dth</w:t>
      </w:r>
      <w:proofErr w:type="spellEnd"/>
      <w:r w:rsidR="004D2FF1" w:rsidRPr="0063279F">
        <w:rPr>
          <w:rFonts w:ascii="Times New Roman" w:hAnsi="Times New Roman" w:cs="Times New Roman"/>
        </w:rPr>
        <w:t xml:space="preserve">, it is lower cost than UGI’s no-notice peaking service arrangements. </w:t>
      </w:r>
    </w:p>
    <w:p w:rsidR="004D2FF1" w:rsidRPr="0063279F" w:rsidRDefault="004D2FF1" w:rsidP="00E01645">
      <w:pPr>
        <w:tabs>
          <w:tab w:val="left" w:pos="-720"/>
        </w:tabs>
        <w:suppressAutoHyphens/>
        <w:ind w:left="720" w:right="720"/>
        <w:rPr>
          <w:rFonts w:ascii="Times New Roman" w:hAnsi="Times New Roman" w:cs="Times New Roman"/>
        </w:rPr>
      </w:pPr>
    </w:p>
    <w:p w:rsidR="004D2FF1" w:rsidRPr="0063279F" w:rsidRDefault="004D2FF1" w:rsidP="004D2FF1">
      <w:pPr>
        <w:tabs>
          <w:tab w:val="left" w:pos="-720"/>
        </w:tabs>
        <w:suppressAutoHyphens/>
        <w:ind w:left="720" w:right="720"/>
        <w:rPr>
          <w:rFonts w:ascii="Times New Roman" w:hAnsi="Times New Roman" w:cs="Times New Roman"/>
        </w:rPr>
      </w:pPr>
      <w:r w:rsidRPr="0063279F">
        <w:rPr>
          <w:rFonts w:ascii="Times New Roman" w:hAnsi="Times New Roman" w:cs="Times New Roman"/>
        </w:rPr>
        <w:t>OCA St. 1 at 6-7.</w:t>
      </w:r>
    </w:p>
    <w:p w:rsidR="004D2FF1" w:rsidRPr="0063279F" w:rsidRDefault="004D2FF1" w:rsidP="004D2FF1">
      <w:pPr>
        <w:tabs>
          <w:tab w:val="left" w:pos="-720"/>
        </w:tabs>
        <w:suppressAutoHyphens/>
        <w:ind w:left="720" w:right="720"/>
        <w:rPr>
          <w:rFonts w:ascii="Times New Roman" w:hAnsi="Times New Roman" w:cs="Times New Roman"/>
        </w:rPr>
      </w:pPr>
    </w:p>
    <w:p w:rsidR="00E01645" w:rsidRPr="0063279F" w:rsidRDefault="004D2FF1" w:rsidP="004D2FF1">
      <w:pPr>
        <w:tabs>
          <w:tab w:val="left" w:pos="-720"/>
        </w:tabs>
        <w:suppressAutoHyphens/>
        <w:spacing w:line="360" w:lineRule="auto"/>
        <w:ind w:right="720"/>
        <w:rPr>
          <w:rFonts w:ascii="Times New Roman" w:hAnsi="Times New Roman" w:cs="Times New Roman"/>
        </w:rPr>
      </w:pPr>
      <w:r w:rsidRPr="0063279F">
        <w:rPr>
          <w:rFonts w:ascii="Times New Roman" w:hAnsi="Times New Roman" w:cs="Times New Roman"/>
        </w:rPr>
        <w:t xml:space="preserve">As Mr. </w:t>
      </w:r>
      <w:proofErr w:type="spellStart"/>
      <w:r w:rsidRPr="0063279F">
        <w:rPr>
          <w:rFonts w:ascii="Times New Roman" w:hAnsi="Times New Roman" w:cs="Times New Roman"/>
        </w:rPr>
        <w:t>Mierzwa</w:t>
      </w:r>
      <w:proofErr w:type="spellEnd"/>
      <w:r w:rsidRPr="0063279F">
        <w:rPr>
          <w:rFonts w:ascii="Times New Roman" w:hAnsi="Times New Roman" w:cs="Times New Roman"/>
        </w:rPr>
        <w:t xml:space="preserve"> testified, the no-notice provisions of these contracts significantly increase the costs of these arrangements.  Mr. </w:t>
      </w:r>
      <w:proofErr w:type="spellStart"/>
      <w:r w:rsidRPr="0063279F">
        <w:rPr>
          <w:rFonts w:ascii="Times New Roman" w:hAnsi="Times New Roman" w:cs="Times New Roman"/>
        </w:rPr>
        <w:t>Mierzwa</w:t>
      </w:r>
      <w:proofErr w:type="spellEnd"/>
      <w:r w:rsidRPr="0063279F">
        <w:rPr>
          <w:rFonts w:ascii="Times New Roman" w:hAnsi="Times New Roman" w:cs="Times New Roman"/>
        </w:rPr>
        <w:t xml:space="preserve"> further testified that UGI’s Pennsylvania affiliates utilize significantly less no-notice service than UGI claimed was required to provide reasonable service.  </w:t>
      </w:r>
      <w:proofErr w:type="gramStart"/>
      <w:r w:rsidRPr="0063279F">
        <w:rPr>
          <w:rFonts w:ascii="Times New Roman" w:hAnsi="Times New Roman" w:cs="Times New Roman"/>
        </w:rPr>
        <w:t>OCA St. 1 at 8.</w:t>
      </w:r>
      <w:proofErr w:type="gramEnd"/>
      <w:r w:rsidRPr="0063279F">
        <w:rPr>
          <w:rFonts w:ascii="Times New Roman" w:hAnsi="Times New Roman" w:cs="Times New Roman"/>
        </w:rPr>
        <w:t xml:space="preserve">  The Settlement addresses Mr. </w:t>
      </w:r>
      <w:proofErr w:type="spellStart"/>
      <w:r w:rsidR="001E2DFB" w:rsidRPr="0063279F">
        <w:rPr>
          <w:rFonts w:ascii="Times New Roman" w:hAnsi="Times New Roman" w:cs="Times New Roman"/>
        </w:rPr>
        <w:t>Mierzwa’s</w:t>
      </w:r>
      <w:proofErr w:type="spellEnd"/>
      <w:r w:rsidRPr="0063279F">
        <w:rPr>
          <w:rFonts w:ascii="Times New Roman" w:hAnsi="Times New Roman" w:cs="Times New Roman"/>
        </w:rPr>
        <w:t xml:space="preserve"> concern by providing for a portion of UGI’s peaking capacity to be converted from no-notice to day-ahead service.  </w:t>
      </w:r>
      <w:proofErr w:type="gramStart"/>
      <w:r w:rsidRPr="0063279F">
        <w:rPr>
          <w:rFonts w:ascii="Times New Roman" w:hAnsi="Times New Roman" w:cs="Times New Roman"/>
        </w:rPr>
        <w:t>Settlement at Par. 22.</w:t>
      </w:r>
      <w:proofErr w:type="gramEnd"/>
    </w:p>
    <w:p w:rsidR="004D2FF1" w:rsidRPr="0063279F" w:rsidRDefault="004D2FF1" w:rsidP="004D2FF1">
      <w:pPr>
        <w:tabs>
          <w:tab w:val="left" w:pos="-720"/>
        </w:tabs>
        <w:suppressAutoHyphens/>
        <w:spacing w:line="360" w:lineRule="auto"/>
        <w:ind w:right="720"/>
        <w:rPr>
          <w:rFonts w:ascii="Times New Roman" w:hAnsi="Times New Roman" w:cs="Times New Roman"/>
        </w:rPr>
      </w:pPr>
    </w:p>
    <w:p w:rsidR="004D2FF1" w:rsidRPr="0063279F" w:rsidRDefault="004D2FF1" w:rsidP="004D2FF1">
      <w:pPr>
        <w:tabs>
          <w:tab w:val="left" w:pos="-720"/>
        </w:tabs>
        <w:suppressAutoHyphens/>
        <w:spacing w:line="360" w:lineRule="auto"/>
        <w:ind w:right="720"/>
        <w:rPr>
          <w:rFonts w:ascii="Times New Roman" w:hAnsi="Times New Roman" w:cs="Times New Roman"/>
        </w:rPr>
      </w:pPr>
      <w:r w:rsidRPr="0063279F">
        <w:rPr>
          <w:rFonts w:ascii="Times New Roman" w:hAnsi="Times New Roman" w:cs="Times New Roman"/>
        </w:rPr>
        <w:tab/>
      </w:r>
      <w:r w:rsidRPr="0063279F">
        <w:rPr>
          <w:rFonts w:ascii="Times New Roman" w:hAnsi="Times New Roman" w:cs="Times New Roman"/>
        </w:rPr>
        <w:tab/>
        <w:t xml:space="preserve">Regarding capacity contracting, OCA’s witness Mr. </w:t>
      </w:r>
      <w:proofErr w:type="spellStart"/>
      <w:r w:rsidRPr="0063279F">
        <w:rPr>
          <w:rFonts w:ascii="Times New Roman" w:hAnsi="Times New Roman" w:cs="Times New Roman"/>
        </w:rPr>
        <w:t>Mierzwa</w:t>
      </w:r>
      <w:proofErr w:type="spellEnd"/>
      <w:r w:rsidRPr="0063279F">
        <w:rPr>
          <w:rFonts w:ascii="Times New Roman" w:hAnsi="Times New Roman" w:cs="Times New Roman"/>
        </w:rPr>
        <w:t xml:space="preserve"> expressed concern for capacity contracting practices.  </w:t>
      </w:r>
      <w:proofErr w:type="gramStart"/>
      <w:r w:rsidRPr="0063279F">
        <w:rPr>
          <w:rFonts w:ascii="Times New Roman" w:hAnsi="Times New Roman" w:cs="Times New Roman"/>
        </w:rPr>
        <w:t>OCA St. 1 at 10.</w:t>
      </w:r>
      <w:proofErr w:type="gramEnd"/>
      <w:r w:rsidRPr="0063279F">
        <w:rPr>
          <w:rFonts w:ascii="Times New Roman" w:hAnsi="Times New Roman" w:cs="Times New Roman"/>
        </w:rPr>
        <w:t xml:space="preserve">  Mr. </w:t>
      </w:r>
      <w:proofErr w:type="spellStart"/>
      <w:r w:rsidRPr="0063279F">
        <w:rPr>
          <w:rFonts w:ascii="Times New Roman" w:hAnsi="Times New Roman" w:cs="Times New Roman"/>
        </w:rPr>
        <w:t>Mierzwa</w:t>
      </w:r>
      <w:proofErr w:type="spellEnd"/>
      <w:r w:rsidRPr="0063279F">
        <w:rPr>
          <w:rFonts w:ascii="Times New Roman" w:hAnsi="Times New Roman" w:cs="Times New Roman"/>
        </w:rPr>
        <w:t xml:space="preserve"> testified:</w:t>
      </w:r>
    </w:p>
    <w:p w:rsidR="004D2FF1" w:rsidRPr="0063279F" w:rsidRDefault="004D2FF1" w:rsidP="004D2FF1">
      <w:pPr>
        <w:tabs>
          <w:tab w:val="left" w:pos="-720"/>
        </w:tabs>
        <w:suppressAutoHyphens/>
        <w:spacing w:line="360" w:lineRule="auto"/>
        <w:ind w:right="720"/>
        <w:rPr>
          <w:rFonts w:ascii="Times New Roman" w:hAnsi="Times New Roman" w:cs="Times New Roman"/>
        </w:rPr>
      </w:pPr>
    </w:p>
    <w:p w:rsidR="00E01645" w:rsidRPr="0063279F" w:rsidRDefault="00B6132A" w:rsidP="00E01645">
      <w:pPr>
        <w:tabs>
          <w:tab w:val="left" w:pos="-720"/>
        </w:tabs>
        <w:suppressAutoHyphens/>
        <w:ind w:left="720" w:right="720"/>
        <w:rPr>
          <w:rFonts w:ascii="Times New Roman" w:hAnsi="Times New Roman" w:cs="Times New Roman"/>
        </w:rPr>
      </w:pPr>
      <w:r w:rsidRPr="0063279F">
        <w:rPr>
          <w:rFonts w:ascii="Times New Roman" w:hAnsi="Times New Roman" w:cs="Times New Roman"/>
        </w:rPr>
        <w:t xml:space="preserve">[U]GI is </w:t>
      </w:r>
      <w:r w:rsidR="001E2DFB" w:rsidRPr="0063279F">
        <w:rPr>
          <w:rFonts w:ascii="Times New Roman" w:hAnsi="Times New Roman" w:cs="Times New Roman"/>
        </w:rPr>
        <w:t>purchasing</w:t>
      </w:r>
      <w:r w:rsidRPr="0063279F">
        <w:rPr>
          <w:rFonts w:ascii="Times New Roman" w:hAnsi="Times New Roman" w:cs="Times New Roman"/>
        </w:rPr>
        <w:t xml:space="preserve"> peaking services to meet demands of 36,209 </w:t>
      </w:r>
      <w:proofErr w:type="spellStart"/>
      <w:r w:rsidRPr="0063279F">
        <w:rPr>
          <w:rFonts w:ascii="Times New Roman" w:hAnsi="Times New Roman" w:cs="Times New Roman"/>
        </w:rPr>
        <w:t>Dth</w:t>
      </w:r>
      <w:proofErr w:type="spellEnd"/>
      <w:r w:rsidRPr="0063279F">
        <w:rPr>
          <w:rFonts w:ascii="Times New Roman" w:hAnsi="Times New Roman" w:cs="Times New Roman"/>
        </w:rPr>
        <w:t xml:space="preserve"> which can be </w:t>
      </w:r>
      <w:r w:rsidR="001E2DFB" w:rsidRPr="0063279F">
        <w:rPr>
          <w:rFonts w:ascii="Times New Roman" w:hAnsi="Times New Roman" w:cs="Times New Roman"/>
        </w:rPr>
        <w:t>expected</w:t>
      </w:r>
      <w:r w:rsidRPr="0063279F">
        <w:rPr>
          <w:rFonts w:ascii="Times New Roman" w:hAnsi="Times New Roman" w:cs="Times New Roman"/>
        </w:rPr>
        <w:t xml:space="preserve"> to occur no more frequently than once in 40 years.  Based on the current costs of UGI’s peaking services the Company will spend a total of between $200 million and $355 million over 40 years to meet demands expected to occur no more frequently than once every 40 years.</w:t>
      </w:r>
    </w:p>
    <w:p w:rsidR="00B6132A" w:rsidRPr="0063279F" w:rsidRDefault="00B6132A" w:rsidP="00E01645">
      <w:pPr>
        <w:tabs>
          <w:tab w:val="left" w:pos="-720"/>
        </w:tabs>
        <w:suppressAutoHyphens/>
        <w:ind w:left="720" w:right="720"/>
        <w:rPr>
          <w:rFonts w:ascii="Times New Roman" w:hAnsi="Times New Roman" w:cs="Times New Roman"/>
        </w:rPr>
      </w:pPr>
    </w:p>
    <w:p w:rsidR="00B6132A" w:rsidRPr="0063279F" w:rsidRDefault="00B6132A" w:rsidP="00B6132A">
      <w:pPr>
        <w:tabs>
          <w:tab w:val="left" w:pos="-720"/>
        </w:tabs>
        <w:suppressAutoHyphens/>
        <w:spacing w:line="360" w:lineRule="auto"/>
        <w:rPr>
          <w:rFonts w:ascii="Times New Roman" w:hAnsi="Times New Roman" w:cs="Times New Roman"/>
        </w:rPr>
      </w:pPr>
      <w:proofErr w:type="gramStart"/>
      <w:r w:rsidRPr="0063279F">
        <w:rPr>
          <w:rFonts w:ascii="Times New Roman" w:hAnsi="Times New Roman" w:cs="Times New Roman"/>
        </w:rPr>
        <w:t>OCA St. 1 at 10.</w:t>
      </w:r>
      <w:proofErr w:type="gramEnd"/>
      <w:r w:rsidRPr="0063279F">
        <w:rPr>
          <w:rFonts w:ascii="Times New Roman" w:hAnsi="Times New Roman" w:cs="Times New Roman"/>
        </w:rPr>
        <w:t xml:space="preserve">  Mr. </w:t>
      </w:r>
      <w:proofErr w:type="spellStart"/>
      <w:r w:rsidRPr="0063279F">
        <w:rPr>
          <w:rFonts w:ascii="Times New Roman" w:hAnsi="Times New Roman" w:cs="Times New Roman"/>
        </w:rPr>
        <w:t>Mierzwa</w:t>
      </w:r>
      <w:proofErr w:type="spellEnd"/>
      <w:r w:rsidRPr="0063279F">
        <w:rPr>
          <w:rFonts w:ascii="Times New Roman" w:hAnsi="Times New Roman" w:cs="Times New Roman"/>
        </w:rPr>
        <w:t xml:space="preserve"> recommended UGI explore other options that would reduce the $200 - $355 million in peaking service costs and that the Company not </w:t>
      </w:r>
      <w:proofErr w:type="gramStart"/>
      <w:r w:rsidRPr="0063279F">
        <w:rPr>
          <w:rFonts w:ascii="Times New Roman" w:hAnsi="Times New Roman" w:cs="Times New Roman"/>
        </w:rPr>
        <w:t>acquire</w:t>
      </w:r>
      <w:proofErr w:type="gramEnd"/>
      <w:r w:rsidRPr="0063279F">
        <w:rPr>
          <w:rFonts w:ascii="Times New Roman" w:hAnsi="Times New Roman" w:cs="Times New Roman"/>
        </w:rPr>
        <w:t xml:space="preserve"> additional peaking service until unauthorized to do so by the Commission.  </w:t>
      </w:r>
      <w:proofErr w:type="gramStart"/>
      <w:r w:rsidRPr="0063279F">
        <w:rPr>
          <w:rFonts w:ascii="Times New Roman" w:hAnsi="Times New Roman" w:cs="Times New Roman"/>
        </w:rPr>
        <w:t>OCA St. 1 at 11.</w:t>
      </w:r>
      <w:proofErr w:type="gramEnd"/>
    </w:p>
    <w:p w:rsidR="00B6132A" w:rsidRPr="0063279F" w:rsidRDefault="00B6132A" w:rsidP="00B6132A">
      <w:pPr>
        <w:tabs>
          <w:tab w:val="left" w:pos="-720"/>
        </w:tabs>
        <w:suppressAutoHyphens/>
        <w:spacing w:line="360" w:lineRule="auto"/>
        <w:rPr>
          <w:rFonts w:ascii="Times New Roman" w:hAnsi="Times New Roman" w:cs="Times New Roman"/>
        </w:rPr>
      </w:pPr>
    </w:p>
    <w:p w:rsidR="00B6132A" w:rsidRPr="0063279F" w:rsidRDefault="00B6132A" w:rsidP="00B6132A">
      <w:pPr>
        <w:tabs>
          <w:tab w:val="left" w:pos="-720"/>
        </w:tabs>
        <w:suppressAutoHyphens/>
        <w:spacing w:line="360" w:lineRule="auto"/>
        <w:rPr>
          <w:rFonts w:ascii="Times New Roman" w:hAnsi="Times New Roman" w:cs="Times New Roman"/>
        </w:rPr>
      </w:pPr>
      <w:r w:rsidRPr="0063279F">
        <w:rPr>
          <w:rFonts w:ascii="Times New Roman" w:hAnsi="Times New Roman" w:cs="Times New Roman"/>
        </w:rPr>
        <w:tab/>
      </w:r>
      <w:r w:rsidRPr="0063279F">
        <w:rPr>
          <w:rFonts w:ascii="Times New Roman" w:hAnsi="Times New Roman" w:cs="Times New Roman"/>
        </w:rPr>
        <w:tab/>
        <w:t xml:space="preserve">The Stipulation addresses Mr. </w:t>
      </w:r>
      <w:proofErr w:type="spellStart"/>
      <w:r w:rsidR="001E2DFB" w:rsidRPr="0063279F">
        <w:rPr>
          <w:rFonts w:ascii="Times New Roman" w:hAnsi="Times New Roman" w:cs="Times New Roman"/>
        </w:rPr>
        <w:t>Mierzwa’s</w:t>
      </w:r>
      <w:proofErr w:type="spellEnd"/>
      <w:r w:rsidRPr="0063279F">
        <w:rPr>
          <w:rFonts w:ascii="Times New Roman" w:hAnsi="Times New Roman" w:cs="Times New Roman"/>
        </w:rPr>
        <w:t xml:space="preserve"> concerns two ways.  First, Stipulation Paragraph No. 24 requires the Company to explore options to reduce peaking capacity costs.  Second, Stipulation Paragraph No. 20 indicates that UGI will reduce the amount of peaking service to be acquired by 14,954 </w:t>
      </w:r>
      <w:proofErr w:type="spellStart"/>
      <w:r w:rsidRPr="0063279F">
        <w:rPr>
          <w:rFonts w:ascii="Times New Roman" w:hAnsi="Times New Roman" w:cs="Times New Roman"/>
        </w:rPr>
        <w:t>Dth</w:t>
      </w:r>
      <w:proofErr w:type="spellEnd"/>
      <w:r w:rsidRPr="0063279F">
        <w:rPr>
          <w:rFonts w:ascii="Times New Roman" w:hAnsi="Times New Roman" w:cs="Times New Roman"/>
        </w:rPr>
        <w:t xml:space="preserve">, saving customers $3,045,070 annually.  </w:t>
      </w:r>
    </w:p>
    <w:p w:rsidR="00B6132A" w:rsidRPr="0063279F" w:rsidRDefault="00B6132A" w:rsidP="00B6132A">
      <w:pPr>
        <w:tabs>
          <w:tab w:val="left" w:pos="-720"/>
        </w:tabs>
        <w:suppressAutoHyphens/>
        <w:spacing w:line="360" w:lineRule="auto"/>
        <w:rPr>
          <w:rFonts w:ascii="Times New Roman" w:hAnsi="Times New Roman" w:cs="Times New Roman"/>
        </w:rPr>
      </w:pPr>
    </w:p>
    <w:p w:rsidR="00E01645" w:rsidRPr="0063279F" w:rsidRDefault="00E01645" w:rsidP="00E01645">
      <w:pPr>
        <w:tabs>
          <w:tab w:val="left" w:pos="-720"/>
        </w:tabs>
        <w:suppressAutoHyphens/>
        <w:spacing w:line="360" w:lineRule="auto"/>
        <w:rPr>
          <w:rFonts w:ascii="Times New Roman" w:hAnsi="Times New Roman" w:cs="Times New Roman"/>
          <w:u w:val="single"/>
        </w:rPr>
      </w:pPr>
      <w:r w:rsidRPr="0063279F">
        <w:rPr>
          <w:rFonts w:ascii="Times New Roman" w:hAnsi="Times New Roman" w:cs="Times New Roman"/>
          <w:u w:val="single"/>
        </w:rPr>
        <w:t>OSBA Position</w:t>
      </w:r>
    </w:p>
    <w:p w:rsidR="00E01645" w:rsidRPr="0063279F" w:rsidRDefault="00E01645" w:rsidP="00E01645">
      <w:pPr>
        <w:tabs>
          <w:tab w:val="left" w:pos="-720"/>
        </w:tabs>
        <w:suppressAutoHyphens/>
        <w:spacing w:line="360" w:lineRule="auto"/>
        <w:rPr>
          <w:rFonts w:ascii="Times New Roman" w:hAnsi="Times New Roman" w:cs="Times New Roman"/>
        </w:rPr>
      </w:pPr>
      <w:r w:rsidRPr="0063279F">
        <w:rPr>
          <w:rFonts w:ascii="Times New Roman" w:hAnsi="Times New Roman" w:cs="Times New Roman"/>
        </w:rPr>
        <w:tab/>
      </w:r>
      <w:r w:rsidRPr="0063279F">
        <w:rPr>
          <w:rFonts w:ascii="Times New Roman" w:hAnsi="Times New Roman" w:cs="Times New Roman"/>
        </w:rPr>
        <w:tab/>
      </w:r>
    </w:p>
    <w:p w:rsidR="00E01645" w:rsidRPr="0063279F" w:rsidRDefault="00E01645" w:rsidP="00E01645">
      <w:pPr>
        <w:tabs>
          <w:tab w:val="left" w:pos="-720"/>
        </w:tabs>
        <w:suppressAutoHyphens/>
        <w:spacing w:line="360" w:lineRule="auto"/>
        <w:rPr>
          <w:rFonts w:ascii="Times New Roman" w:hAnsi="Times New Roman" w:cs="Times New Roman"/>
        </w:rPr>
      </w:pPr>
      <w:r w:rsidRPr="0063279F">
        <w:rPr>
          <w:rFonts w:ascii="Times New Roman" w:hAnsi="Times New Roman" w:cs="Times New Roman"/>
        </w:rPr>
        <w:tab/>
      </w:r>
      <w:r w:rsidRPr="0063279F">
        <w:rPr>
          <w:rFonts w:ascii="Times New Roman" w:hAnsi="Times New Roman" w:cs="Times New Roman"/>
        </w:rPr>
        <w:tab/>
        <w:t>The OSBA Statement in Support indicated that</w:t>
      </w:r>
      <w:r w:rsidR="00242CCB" w:rsidRPr="0063279F">
        <w:rPr>
          <w:rFonts w:ascii="Times New Roman" w:hAnsi="Times New Roman" w:cs="Times New Roman"/>
        </w:rPr>
        <w:t xml:space="preserve"> </w:t>
      </w:r>
      <w:r w:rsidR="00664B94" w:rsidRPr="0063279F">
        <w:rPr>
          <w:rFonts w:ascii="Times New Roman" w:hAnsi="Times New Roman" w:cs="Times New Roman"/>
        </w:rPr>
        <w:t xml:space="preserve">OSBA </w:t>
      </w:r>
      <w:r w:rsidR="00B6132A" w:rsidRPr="0063279F">
        <w:rPr>
          <w:rFonts w:ascii="Times New Roman" w:hAnsi="Times New Roman" w:cs="Times New Roman"/>
        </w:rPr>
        <w:t xml:space="preserve">had </w:t>
      </w:r>
      <w:r w:rsidRPr="0063279F">
        <w:rPr>
          <w:rFonts w:ascii="Times New Roman" w:hAnsi="Times New Roman" w:cs="Times New Roman"/>
        </w:rPr>
        <w:t>issues regarding</w:t>
      </w:r>
      <w:r w:rsidR="00B6132A" w:rsidRPr="0063279F">
        <w:rPr>
          <w:rFonts w:ascii="Times New Roman" w:hAnsi="Times New Roman" w:cs="Times New Roman"/>
        </w:rPr>
        <w:t xml:space="preserve">: (1) design day demand </w:t>
      </w:r>
      <w:r w:rsidR="001F21C5" w:rsidRPr="0063279F">
        <w:rPr>
          <w:rFonts w:ascii="Times New Roman" w:hAnsi="Times New Roman" w:cs="Times New Roman"/>
        </w:rPr>
        <w:t>calculations</w:t>
      </w:r>
      <w:r w:rsidR="00B6132A" w:rsidRPr="0063279F">
        <w:rPr>
          <w:rFonts w:ascii="Times New Roman" w:hAnsi="Times New Roman" w:cs="Times New Roman"/>
        </w:rPr>
        <w:t xml:space="preserve">; (2) the </w:t>
      </w:r>
      <w:r w:rsidR="00664B94" w:rsidRPr="0063279F">
        <w:rPr>
          <w:rFonts w:ascii="Times New Roman" w:hAnsi="Times New Roman" w:cs="Times New Roman"/>
        </w:rPr>
        <w:t>E</w:t>
      </w:r>
      <w:r w:rsidR="00B6132A" w:rsidRPr="0063279F">
        <w:rPr>
          <w:rFonts w:ascii="Times New Roman" w:hAnsi="Times New Roman" w:cs="Times New Roman"/>
        </w:rPr>
        <w:t xml:space="preserve">-factor; and (3) </w:t>
      </w:r>
      <w:proofErr w:type="gramStart"/>
      <w:r w:rsidR="00B6132A" w:rsidRPr="0063279F">
        <w:rPr>
          <w:rFonts w:ascii="Times New Roman" w:hAnsi="Times New Roman" w:cs="Times New Roman"/>
        </w:rPr>
        <w:t>the</w:t>
      </w:r>
      <w:r w:rsidR="00961AEF" w:rsidRPr="0063279F">
        <w:rPr>
          <w:rFonts w:ascii="Times New Roman" w:hAnsi="Times New Roman" w:cs="Times New Roman"/>
        </w:rPr>
        <w:t xml:space="preserve"> </w:t>
      </w:r>
      <w:r w:rsidR="00B6132A" w:rsidRPr="0063279F">
        <w:rPr>
          <w:rFonts w:ascii="Times New Roman" w:hAnsi="Times New Roman" w:cs="Times New Roman"/>
        </w:rPr>
        <w:t>I</w:t>
      </w:r>
      <w:proofErr w:type="gramEnd"/>
      <w:r w:rsidR="00B6132A" w:rsidRPr="0063279F">
        <w:rPr>
          <w:rFonts w:ascii="Times New Roman" w:hAnsi="Times New Roman" w:cs="Times New Roman"/>
        </w:rPr>
        <w:t xml:space="preserve">&amp;E disallowance.  </w:t>
      </w:r>
      <w:r w:rsidRPr="0063279F">
        <w:rPr>
          <w:rFonts w:ascii="Times New Roman" w:hAnsi="Times New Roman" w:cs="Times New Roman"/>
        </w:rPr>
        <w:t>The Settlement addresses these concerns as follows.</w:t>
      </w:r>
    </w:p>
    <w:p w:rsidR="00E01645" w:rsidRPr="0063279F" w:rsidRDefault="00E01645" w:rsidP="00E01645">
      <w:pPr>
        <w:tabs>
          <w:tab w:val="left" w:pos="-720"/>
        </w:tabs>
        <w:suppressAutoHyphens/>
        <w:spacing w:line="360" w:lineRule="auto"/>
        <w:rPr>
          <w:rFonts w:ascii="Times New Roman" w:hAnsi="Times New Roman" w:cs="Times New Roman"/>
        </w:rPr>
      </w:pPr>
    </w:p>
    <w:p w:rsidR="00496015" w:rsidRPr="0063279F" w:rsidRDefault="00496015" w:rsidP="00E01645">
      <w:pPr>
        <w:tabs>
          <w:tab w:val="left" w:pos="-720"/>
        </w:tabs>
        <w:suppressAutoHyphens/>
        <w:spacing w:line="360" w:lineRule="auto"/>
        <w:rPr>
          <w:rFonts w:ascii="Times New Roman" w:hAnsi="Times New Roman" w:cs="Times New Roman"/>
        </w:rPr>
      </w:pPr>
      <w:r w:rsidRPr="0063279F">
        <w:rPr>
          <w:rFonts w:ascii="Times New Roman" w:hAnsi="Times New Roman" w:cs="Times New Roman"/>
        </w:rPr>
        <w:tab/>
      </w:r>
      <w:r w:rsidRPr="0063279F">
        <w:rPr>
          <w:rFonts w:ascii="Times New Roman" w:hAnsi="Times New Roman" w:cs="Times New Roman"/>
        </w:rPr>
        <w:tab/>
        <w:t xml:space="preserve">First, UGI made significant changes to its design day demand </w:t>
      </w:r>
      <w:r w:rsidR="001F21C5" w:rsidRPr="0063279F">
        <w:rPr>
          <w:rFonts w:ascii="Times New Roman" w:hAnsi="Times New Roman" w:cs="Times New Roman"/>
        </w:rPr>
        <w:t>calculations</w:t>
      </w:r>
      <w:r w:rsidRPr="0063279F">
        <w:rPr>
          <w:rFonts w:ascii="Times New Roman" w:hAnsi="Times New Roman" w:cs="Times New Roman"/>
        </w:rPr>
        <w:t xml:space="preserve"> based upon the last severe winter of 2013-2014.  OSBA accepts the modifications made by the Stipulation and notes that it does not lock in any particular design day methodology, allowing the parties </w:t>
      </w:r>
      <w:r w:rsidR="00664B94" w:rsidRPr="0063279F">
        <w:rPr>
          <w:rFonts w:ascii="Times New Roman" w:hAnsi="Times New Roman" w:cs="Times New Roman"/>
        </w:rPr>
        <w:t xml:space="preserve">to </w:t>
      </w:r>
      <w:r w:rsidRPr="0063279F">
        <w:rPr>
          <w:rFonts w:ascii="Times New Roman" w:hAnsi="Times New Roman" w:cs="Times New Roman"/>
        </w:rPr>
        <w:t>pursue the issue further in future filings.</w:t>
      </w:r>
    </w:p>
    <w:p w:rsidR="00496015" w:rsidRPr="0063279F" w:rsidRDefault="00496015" w:rsidP="00E01645">
      <w:pPr>
        <w:tabs>
          <w:tab w:val="left" w:pos="-720"/>
        </w:tabs>
        <w:suppressAutoHyphens/>
        <w:spacing w:line="360" w:lineRule="auto"/>
        <w:rPr>
          <w:rFonts w:ascii="Times New Roman" w:hAnsi="Times New Roman" w:cs="Times New Roman"/>
          <w:u w:val="single"/>
        </w:rPr>
      </w:pPr>
    </w:p>
    <w:p w:rsidR="00496015" w:rsidRPr="0063279F" w:rsidRDefault="00496015" w:rsidP="00E01645">
      <w:pPr>
        <w:tabs>
          <w:tab w:val="left" w:pos="-720"/>
        </w:tabs>
        <w:suppressAutoHyphens/>
        <w:spacing w:line="360" w:lineRule="auto"/>
        <w:rPr>
          <w:rFonts w:ascii="Times New Roman" w:hAnsi="Times New Roman" w:cs="Times New Roman"/>
        </w:rPr>
      </w:pPr>
      <w:r w:rsidRPr="0063279F">
        <w:rPr>
          <w:rFonts w:ascii="Times New Roman" w:hAnsi="Times New Roman" w:cs="Times New Roman"/>
        </w:rPr>
        <w:tab/>
      </w:r>
      <w:r w:rsidRPr="0063279F">
        <w:rPr>
          <w:rFonts w:ascii="Times New Roman" w:hAnsi="Times New Roman" w:cs="Times New Roman"/>
        </w:rPr>
        <w:tab/>
        <w:t>Second, OSBA was concerned about the patter</w:t>
      </w:r>
      <w:r w:rsidR="00664B94" w:rsidRPr="0063279F">
        <w:rPr>
          <w:rFonts w:ascii="Times New Roman" w:hAnsi="Times New Roman" w:cs="Times New Roman"/>
        </w:rPr>
        <w:t>n of</w:t>
      </w:r>
      <w:r w:rsidR="00FE5A5D">
        <w:rPr>
          <w:rFonts w:ascii="Times New Roman" w:hAnsi="Times New Roman" w:cs="Times New Roman"/>
        </w:rPr>
        <w:t xml:space="preserve"> </w:t>
      </w:r>
      <w:r w:rsidRPr="0063279F">
        <w:rPr>
          <w:rFonts w:ascii="Times New Roman" w:hAnsi="Times New Roman" w:cs="Times New Roman"/>
        </w:rPr>
        <w:t>E-factors at UGI Gas, which indicated UGI had not had an E-factor credit for the past 32 quarters.  OSBA states that the Stipulation is sufficiently flexible to allow OSBA to review the issue in more detail in future Section 1307(f) proceedings.</w:t>
      </w:r>
    </w:p>
    <w:p w:rsidR="00496015" w:rsidRPr="0063279F" w:rsidRDefault="00496015" w:rsidP="00E01645">
      <w:pPr>
        <w:tabs>
          <w:tab w:val="left" w:pos="-720"/>
        </w:tabs>
        <w:suppressAutoHyphens/>
        <w:spacing w:line="360" w:lineRule="auto"/>
        <w:rPr>
          <w:rFonts w:ascii="Times New Roman" w:hAnsi="Times New Roman" w:cs="Times New Roman"/>
        </w:rPr>
      </w:pPr>
    </w:p>
    <w:p w:rsidR="00496015" w:rsidRPr="0063279F" w:rsidRDefault="00496015" w:rsidP="00E01645">
      <w:pPr>
        <w:tabs>
          <w:tab w:val="left" w:pos="-720"/>
        </w:tabs>
        <w:suppressAutoHyphens/>
        <w:spacing w:line="360" w:lineRule="auto"/>
        <w:rPr>
          <w:rFonts w:ascii="Times New Roman" w:hAnsi="Times New Roman" w:cs="Times New Roman"/>
        </w:rPr>
      </w:pPr>
      <w:r w:rsidRPr="0063279F">
        <w:rPr>
          <w:rFonts w:ascii="Times New Roman" w:hAnsi="Times New Roman" w:cs="Times New Roman"/>
        </w:rPr>
        <w:tab/>
      </w:r>
      <w:r w:rsidR="001F21C5" w:rsidRPr="0063279F">
        <w:rPr>
          <w:rFonts w:ascii="Times New Roman" w:hAnsi="Times New Roman" w:cs="Times New Roman"/>
        </w:rPr>
        <w:tab/>
      </w:r>
      <w:r w:rsidRPr="0063279F">
        <w:rPr>
          <w:rFonts w:ascii="Times New Roman" w:hAnsi="Times New Roman" w:cs="Times New Roman"/>
        </w:rPr>
        <w:t>Finally, OSBA support</w:t>
      </w:r>
      <w:r w:rsidR="00664B94" w:rsidRPr="0063279F">
        <w:rPr>
          <w:rFonts w:ascii="Times New Roman" w:hAnsi="Times New Roman" w:cs="Times New Roman"/>
        </w:rPr>
        <w:t>ed</w:t>
      </w:r>
      <w:r w:rsidRPr="0063279F">
        <w:rPr>
          <w:rFonts w:ascii="Times New Roman" w:hAnsi="Times New Roman" w:cs="Times New Roman"/>
        </w:rPr>
        <w:t xml:space="preserve"> </w:t>
      </w:r>
      <w:proofErr w:type="gramStart"/>
      <w:r w:rsidRPr="0063279F">
        <w:rPr>
          <w:rFonts w:ascii="Times New Roman" w:hAnsi="Times New Roman" w:cs="Times New Roman"/>
        </w:rPr>
        <w:t>I&amp;E’s</w:t>
      </w:r>
      <w:proofErr w:type="gramEnd"/>
      <w:r w:rsidRPr="0063279F">
        <w:rPr>
          <w:rFonts w:ascii="Times New Roman" w:hAnsi="Times New Roman" w:cs="Times New Roman"/>
        </w:rPr>
        <w:t xml:space="preserve"> </w:t>
      </w:r>
      <w:r w:rsidR="00664B94" w:rsidRPr="0063279F">
        <w:rPr>
          <w:rFonts w:ascii="Times New Roman" w:hAnsi="Times New Roman" w:cs="Times New Roman"/>
        </w:rPr>
        <w:t xml:space="preserve">proposed </w:t>
      </w:r>
      <w:r w:rsidRPr="0063279F">
        <w:rPr>
          <w:rFonts w:ascii="Times New Roman" w:hAnsi="Times New Roman" w:cs="Times New Roman"/>
        </w:rPr>
        <w:t xml:space="preserve">position to disallow the 25% Company share of off-system sales margins that were earned on very cold days in the winter of 2013-2014.  OSBA supports efforts to ensure the Company does not retain excessive capacity allowing it to increase profits by using </w:t>
      </w:r>
      <w:r w:rsidR="00664B94" w:rsidRPr="0063279F">
        <w:rPr>
          <w:rFonts w:ascii="Times New Roman" w:hAnsi="Times New Roman" w:cs="Times New Roman"/>
        </w:rPr>
        <w:t xml:space="preserve">that </w:t>
      </w:r>
      <w:r w:rsidRPr="0063279F">
        <w:rPr>
          <w:rFonts w:ascii="Times New Roman" w:hAnsi="Times New Roman" w:cs="Times New Roman"/>
        </w:rPr>
        <w:t xml:space="preserve">excess capacity for off-systems sales </w:t>
      </w:r>
      <w:r w:rsidR="00664B94" w:rsidRPr="0063279F">
        <w:rPr>
          <w:rFonts w:ascii="Times New Roman" w:hAnsi="Times New Roman" w:cs="Times New Roman"/>
        </w:rPr>
        <w:t xml:space="preserve">and capacity release transactions </w:t>
      </w:r>
      <w:r w:rsidRPr="0063279F">
        <w:rPr>
          <w:rFonts w:ascii="Times New Roman" w:hAnsi="Times New Roman" w:cs="Times New Roman"/>
        </w:rPr>
        <w:t xml:space="preserve">through a sharing mechanism.  OSBA states that as long as UGI is required to retain capacity necessary to meet design day conditions, the Company should use any excess capacity to the benefit of its </w:t>
      </w:r>
      <w:r w:rsidR="00664B94" w:rsidRPr="0063279F">
        <w:rPr>
          <w:rFonts w:ascii="Times New Roman" w:hAnsi="Times New Roman" w:cs="Times New Roman"/>
        </w:rPr>
        <w:t xml:space="preserve">PGC </w:t>
      </w:r>
      <w:r w:rsidRPr="0063279F">
        <w:rPr>
          <w:rFonts w:ascii="Times New Roman" w:hAnsi="Times New Roman" w:cs="Times New Roman"/>
        </w:rPr>
        <w:t xml:space="preserve">ratepayers.  </w:t>
      </w:r>
      <w:r w:rsidR="00664B94" w:rsidRPr="0063279F">
        <w:rPr>
          <w:rFonts w:ascii="Times New Roman" w:hAnsi="Times New Roman" w:cs="Times New Roman"/>
        </w:rPr>
        <w:t xml:space="preserve">OSBA states further, as the Commission has consistently determined that it is reasonable and prudent to apply a sharing mechanism to encourage these transactions, OSBA believes it is just and reasonable that the Stipulation does not adopt the I&amp;E proposals in this proceeding. </w:t>
      </w:r>
      <w:r w:rsidRPr="0063279F">
        <w:rPr>
          <w:rFonts w:ascii="Times New Roman" w:hAnsi="Times New Roman" w:cs="Times New Roman"/>
        </w:rPr>
        <w:t>Thus, the Stipulation addresses OSBA’s concerns.</w:t>
      </w:r>
    </w:p>
    <w:p w:rsidR="00496015" w:rsidRPr="0063279F" w:rsidRDefault="00496015" w:rsidP="00E01645">
      <w:pPr>
        <w:tabs>
          <w:tab w:val="left" w:pos="-720"/>
        </w:tabs>
        <w:suppressAutoHyphens/>
        <w:spacing w:line="360" w:lineRule="auto"/>
        <w:rPr>
          <w:rFonts w:ascii="Times New Roman" w:hAnsi="Times New Roman" w:cs="Times New Roman"/>
        </w:rPr>
      </w:pPr>
    </w:p>
    <w:p w:rsidR="00E01645" w:rsidRPr="0063279F" w:rsidRDefault="00E01645" w:rsidP="00E01645">
      <w:pPr>
        <w:tabs>
          <w:tab w:val="left" w:pos="-720"/>
        </w:tabs>
        <w:suppressAutoHyphens/>
        <w:spacing w:line="360" w:lineRule="auto"/>
        <w:rPr>
          <w:rFonts w:ascii="Times New Roman" w:hAnsi="Times New Roman" w:cs="Times New Roman"/>
          <w:u w:val="single"/>
        </w:rPr>
      </w:pPr>
      <w:r w:rsidRPr="0063279F">
        <w:rPr>
          <w:rFonts w:ascii="Times New Roman" w:hAnsi="Times New Roman" w:cs="Times New Roman"/>
          <w:u w:val="single"/>
        </w:rPr>
        <w:t>I&amp;E Position</w:t>
      </w:r>
    </w:p>
    <w:p w:rsidR="007A6033" w:rsidRPr="0063279F" w:rsidRDefault="007A6033" w:rsidP="00C545C3">
      <w:pPr>
        <w:tabs>
          <w:tab w:val="left" w:pos="720"/>
          <w:tab w:val="left" w:pos="1440"/>
          <w:tab w:val="num" w:pos="2160"/>
          <w:tab w:val="num" w:pos="2520"/>
        </w:tabs>
        <w:spacing w:line="360" w:lineRule="auto"/>
        <w:contextualSpacing/>
        <w:rPr>
          <w:rFonts w:ascii="Times New Roman" w:hAnsi="Times New Roman" w:cs="Times New Roman"/>
        </w:rPr>
      </w:pPr>
    </w:p>
    <w:p w:rsidR="007A6033" w:rsidRPr="0063279F" w:rsidRDefault="007A6033" w:rsidP="00C545C3">
      <w:pPr>
        <w:tabs>
          <w:tab w:val="left" w:pos="720"/>
          <w:tab w:val="left" w:pos="1440"/>
          <w:tab w:val="num" w:pos="2160"/>
          <w:tab w:val="num" w:pos="2520"/>
        </w:tabs>
        <w:spacing w:line="360" w:lineRule="auto"/>
        <w:contextualSpacing/>
        <w:rPr>
          <w:rFonts w:ascii="Times New Roman" w:hAnsi="Times New Roman" w:cs="Times New Roman"/>
          <w:u w:val="single"/>
        </w:rPr>
      </w:pPr>
      <w:r w:rsidRPr="0063279F">
        <w:rPr>
          <w:rFonts w:ascii="Times New Roman" w:hAnsi="Times New Roman" w:cs="Times New Roman"/>
          <w:u w:val="single"/>
        </w:rPr>
        <w:t>C-Factor Adjustment</w:t>
      </w:r>
    </w:p>
    <w:p w:rsidR="007A6033" w:rsidRPr="0063279F" w:rsidRDefault="007A6033" w:rsidP="00C545C3">
      <w:pPr>
        <w:tabs>
          <w:tab w:val="left" w:pos="720"/>
          <w:tab w:val="left" w:pos="1440"/>
          <w:tab w:val="num" w:pos="2160"/>
          <w:tab w:val="num" w:pos="2520"/>
        </w:tabs>
        <w:spacing w:line="360" w:lineRule="auto"/>
        <w:contextualSpacing/>
        <w:rPr>
          <w:rFonts w:ascii="Times New Roman" w:hAnsi="Times New Roman" w:cs="Times New Roman"/>
          <w:u w:val="single"/>
        </w:rPr>
      </w:pPr>
    </w:p>
    <w:p w:rsidR="001F21C5" w:rsidRPr="0063279F" w:rsidRDefault="007A6033" w:rsidP="00C545C3">
      <w:pPr>
        <w:tabs>
          <w:tab w:val="left" w:pos="720"/>
          <w:tab w:val="left" w:pos="1440"/>
          <w:tab w:val="num" w:pos="2160"/>
          <w:tab w:val="num" w:pos="2520"/>
        </w:tabs>
        <w:spacing w:line="360" w:lineRule="auto"/>
        <w:contextualSpacing/>
        <w:rPr>
          <w:rFonts w:ascii="Times New Roman" w:hAnsi="Times New Roman" w:cs="Times New Roman"/>
        </w:rPr>
      </w:pPr>
      <w:r w:rsidRPr="0063279F">
        <w:rPr>
          <w:rFonts w:ascii="Times New Roman" w:hAnsi="Times New Roman" w:cs="Times New Roman"/>
        </w:rPr>
        <w:tab/>
      </w:r>
      <w:r w:rsidRPr="0063279F">
        <w:rPr>
          <w:rFonts w:ascii="Times New Roman" w:hAnsi="Times New Roman" w:cs="Times New Roman"/>
        </w:rPr>
        <w:tab/>
      </w:r>
      <w:r w:rsidR="001F21C5" w:rsidRPr="0063279F">
        <w:rPr>
          <w:rFonts w:ascii="Times New Roman" w:hAnsi="Times New Roman" w:cs="Times New Roman"/>
        </w:rPr>
        <w:t xml:space="preserve">In its filing, UGI had proposed to divide either the annual sales volume or the remaining life volume into the incremental over/under collections to determine the incremental change to the C-factor.  The Company proposed to divide the previous quarter over/under collections by annual sales volume, and the prospective quarters by the remaining life volume.  </w:t>
      </w:r>
      <w:r w:rsidR="001F21C5" w:rsidRPr="0063279F">
        <w:rPr>
          <w:rFonts w:ascii="Times New Roman" w:hAnsi="Times New Roman" w:cs="Times New Roman"/>
          <w:i/>
        </w:rPr>
        <w:t>See</w:t>
      </w:r>
      <w:r w:rsidR="001F21C5" w:rsidRPr="0063279F">
        <w:rPr>
          <w:rFonts w:ascii="Times New Roman" w:hAnsi="Times New Roman" w:cs="Times New Roman"/>
        </w:rPr>
        <w:t>, PNG Statement No. 1</w:t>
      </w:r>
      <w:r w:rsidR="00C545C3" w:rsidRPr="0063279F">
        <w:rPr>
          <w:rFonts w:ascii="Times New Roman" w:hAnsi="Times New Roman" w:cs="Times New Roman"/>
        </w:rPr>
        <w:t xml:space="preserve"> at</w:t>
      </w:r>
      <w:r w:rsidR="001F21C5" w:rsidRPr="0063279F">
        <w:rPr>
          <w:rFonts w:ascii="Times New Roman" w:hAnsi="Times New Roman" w:cs="Times New Roman"/>
        </w:rPr>
        <w:t xml:space="preserve"> 10</w:t>
      </w:r>
      <w:r w:rsidR="00C545C3" w:rsidRPr="0063279F">
        <w:rPr>
          <w:rFonts w:ascii="Times New Roman" w:hAnsi="Times New Roman" w:cs="Times New Roman"/>
        </w:rPr>
        <w:t>.</w:t>
      </w:r>
      <w:r w:rsidR="001F21C5" w:rsidRPr="0063279F">
        <w:rPr>
          <w:rFonts w:ascii="Times New Roman" w:hAnsi="Times New Roman" w:cs="Times New Roman"/>
        </w:rPr>
        <w:t xml:space="preserve"> </w:t>
      </w:r>
      <w:r w:rsidR="00C545C3" w:rsidRPr="0063279F">
        <w:rPr>
          <w:rFonts w:ascii="Times New Roman" w:hAnsi="Times New Roman" w:cs="Times New Roman"/>
        </w:rPr>
        <w:t xml:space="preserve"> T</w:t>
      </w:r>
      <w:r w:rsidR="001F21C5" w:rsidRPr="0063279F">
        <w:rPr>
          <w:rFonts w:ascii="Times New Roman" w:hAnsi="Times New Roman" w:cs="Times New Roman"/>
        </w:rPr>
        <w:t xml:space="preserve">he proposed methodology was in response to a Commission-approved settlement in </w:t>
      </w:r>
      <w:r w:rsidR="00FF2C1D">
        <w:rPr>
          <w:rFonts w:ascii="Times New Roman" w:hAnsi="Times New Roman" w:cs="Times New Roman"/>
        </w:rPr>
        <w:t xml:space="preserve">a </w:t>
      </w:r>
      <w:r w:rsidR="001F21C5" w:rsidRPr="0063279F">
        <w:rPr>
          <w:rFonts w:ascii="Times New Roman" w:hAnsi="Times New Roman" w:cs="Times New Roman"/>
        </w:rPr>
        <w:t xml:space="preserve">prior PGC case at Docket No. R-2013-2361763 which provided that the Company propose a new C-factor methodology that would eliminate the Company’s discretion to use either annual volumes or remaining life volumes in each quarterly filing.  </w:t>
      </w:r>
      <w:proofErr w:type="gramStart"/>
      <w:r w:rsidR="001F21C5" w:rsidRPr="0063279F">
        <w:rPr>
          <w:rFonts w:ascii="Times New Roman" w:hAnsi="Times New Roman" w:cs="Times New Roman"/>
        </w:rPr>
        <w:t xml:space="preserve">UGI Statement No 1 </w:t>
      </w:r>
      <w:r w:rsidR="00C545C3" w:rsidRPr="0063279F">
        <w:rPr>
          <w:rFonts w:ascii="Times New Roman" w:hAnsi="Times New Roman" w:cs="Times New Roman"/>
        </w:rPr>
        <w:t>at</w:t>
      </w:r>
      <w:r w:rsidR="001F21C5" w:rsidRPr="0063279F">
        <w:rPr>
          <w:rFonts w:ascii="Times New Roman" w:hAnsi="Times New Roman" w:cs="Times New Roman"/>
        </w:rPr>
        <w:t xml:space="preserve"> 15.</w:t>
      </w:r>
      <w:proofErr w:type="gramEnd"/>
    </w:p>
    <w:p w:rsidR="00C545C3" w:rsidRPr="0063279F" w:rsidRDefault="001F21C5" w:rsidP="00C545C3">
      <w:pPr>
        <w:tabs>
          <w:tab w:val="left" w:pos="720"/>
          <w:tab w:val="left" w:pos="1440"/>
          <w:tab w:val="num" w:pos="2160"/>
          <w:tab w:val="num" w:pos="2520"/>
        </w:tabs>
        <w:spacing w:line="360" w:lineRule="auto"/>
        <w:contextualSpacing/>
        <w:rPr>
          <w:rFonts w:ascii="Times New Roman" w:hAnsi="Times New Roman" w:cs="Times New Roman"/>
        </w:rPr>
      </w:pPr>
      <w:r w:rsidRPr="0063279F">
        <w:rPr>
          <w:rFonts w:ascii="Times New Roman" w:hAnsi="Times New Roman" w:cs="Times New Roman"/>
        </w:rPr>
        <w:tab/>
      </w:r>
      <w:r w:rsidRPr="0063279F">
        <w:rPr>
          <w:rFonts w:ascii="Times New Roman" w:hAnsi="Times New Roman" w:cs="Times New Roman"/>
        </w:rPr>
        <w:tab/>
      </w:r>
    </w:p>
    <w:p w:rsidR="001F21C5" w:rsidRPr="0063279F" w:rsidRDefault="00C545C3" w:rsidP="00C545C3">
      <w:pPr>
        <w:tabs>
          <w:tab w:val="left" w:pos="720"/>
          <w:tab w:val="left" w:pos="1440"/>
          <w:tab w:val="num" w:pos="2160"/>
          <w:tab w:val="num" w:pos="2520"/>
        </w:tabs>
        <w:spacing w:line="360" w:lineRule="auto"/>
        <w:contextualSpacing/>
        <w:rPr>
          <w:rFonts w:ascii="Times New Roman" w:hAnsi="Times New Roman" w:cs="Times New Roman"/>
        </w:rPr>
      </w:pPr>
      <w:r w:rsidRPr="0063279F">
        <w:rPr>
          <w:rFonts w:ascii="Times New Roman" w:hAnsi="Times New Roman" w:cs="Times New Roman"/>
        </w:rPr>
        <w:tab/>
      </w:r>
      <w:r w:rsidRPr="0063279F">
        <w:rPr>
          <w:rFonts w:ascii="Times New Roman" w:hAnsi="Times New Roman" w:cs="Times New Roman"/>
        </w:rPr>
        <w:tab/>
      </w:r>
      <w:r w:rsidR="001F21C5" w:rsidRPr="0063279F">
        <w:rPr>
          <w:rFonts w:ascii="Times New Roman" w:hAnsi="Times New Roman" w:cs="Times New Roman"/>
        </w:rPr>
        <w:t xml:space="preserve">In response, I&amp;E instead recommended that all incremental over/under collections be divided by remaining life sales volumes in the quarter they are reported.  </w:t>
      </w:r>
      <w:proofErr w:type="gramStart"/>
      <w:r w:rsidR="001F21C5" w:rsidRPr="0063279F">
        <w:rPr>
          <w:rFonts w:ascii="Times New Roman" w:hAnsi="Times New Roman" w:cs="Times New Roman"/>
        </w:rPr>
        <w:t>I&amp;E Statement No. 2</w:t>
      </w:r>
      <w:r w:rsidRPr="0063279F">
        <w:rPr>
          <w:rFonts w:ascii="Times New Roman" w:hAnsi="Times New Roman" w:cs="Times New Roman"/>
        </w:rPr>
        <w:t xml:space="preserve"> at</w:t>
      </w:r>
      <w:r w:rsidR="001F21C5" w:rsidRPr="0063279F">
        <w:rPr>
          <w:rFonts w:ascii="Times New Roman" w:hAnsi="Times New Roman" w:cs="Times New Roman"/>
        </w:rPr>
        <w:t xml:space="preserve"> 8.</w:t>
      </w:r>
      <w:proofErr w:type="gramEnd"/>
      <w:r w:rsidR="001F21C5" w:rsidRPr="0063279F">
        <w:rPr>
          <w:rFonts w:ascii="Times New Roman" w:hAnsi="Times New Roman" w:cs="Times New Roman"/>
        </w:rPr>
        <w:t xml:space="preserve">  I&amp;</w:t>
      </w:r>
      <w:r w:rsidRPr="0063279F">
        <w:rPr>
          <w:rFonts w:ascii="Times New Roman" w:hAnsi="Times New Roman" w:cs="Times New Roman"/>
        </w:rPr>
        <w:t>E stated that</w:t>
      </w:r>
      <w:r w:rsidR="001F21C5" w:rsidRPr="0063279F">
        <w:rPr>
          <w:rFonts w:ascii="Times New Roman" w:hAnsi="Times New Roman" w:cs="Times New Roman"/>
        </w:rPr>
        <w:t xml:space="preserve"> this would mean, for example, that in the March 1 quarterly filing, the Company will put all actual and projected incremental over/under collections from December 1 through November 30 over remaining life sales volumes.  The same will occur in the June 1 and September 1 filings.  By placing the prior quarter’s incremental over/under collection over the estimated remaining volume to be sold, the Company will have a much better chance of recovering or refunding that prior over/under collection in the current PGC year.  This in turn will minimize the prospective PGC year’s E-factor and limit the amount of interest either due to or from the ratepayers.  </w:t>
      </w:r>
      <w:proofErr w:type="gramStart"/>
      <w:r w:rsidR="001F21C5" w:rsidRPr="0063279F">
        <w:rPr>
          <w:rFonts w:ascii="Times New Roman" w:hAnsi="Times New Roman" w:cs="Times New Roman"/>
        </w:rPr>
        <w:t>I&amp;E Statement No. 2</w:t>
      </w:r>
      <w:r w:rsidRPr="0063279F">
        <w:rPr>
          <w:rFonts w:ascii="Times New Roman" w:hAnsi="Times New Roman" w:cs="Times New Roman"/>
        </w:rPr>
        <w:t xml:space="preserve"> at</w:t>
      </w:r>
      <w:r w:rsidR="001F21C5" w:rsidRPr="0063279F">
        <w:rPr>
          <w:rFonts w:ascii="Times New Roman" w:hAnsi="Times New Roman" w:cs="Times New Roman"/>
        </w:rPr>
        <w:t xml:space="preserve"> 8.</w:t>
      </w:r>
      <w:proofErr w:type="gramEnd"/>
      <w:r w:rsidR="001F21C5" w:rsidRPr="0063279F">
        <w:rPr>
          <w:rFonts w:ascii="Times New Roman" w:hAnsi="Times New Roman" w:cs="Times New Roman"/>
        </w:rPr>
        <w:t xml:space="preserve">  I&amp;E’s recommendation differed from UGI’s proposal in that UGI’s recommendation divided the incremental over/under collections from the previous quarter by a volume that is already partially included in historic sales such that it will not be able to fully recover or refund the incremental over/under collections with the volume of gas that remains to be sold.  I&amp;E Statement No. 2</w:t>
      </w:r>
      <w:r w:rsidRPr="0063279F">
        <w:rPr>
          <w:rFonts w:ascii="Times New Roman" w:hAnsi="Times New Roman" w:cs="Times New Roman"/>
        </w:rPr>
        <w:t xml:space="preserve"> at</w:t>
      </w:r>
      <w:r w:rsidR="001F21C5" w:rsidRPr="0063279F">
        <w:rPr>
          <w:rFonts w:ascii="Times New Roman" w:hAnsi="Times New Roman" w:cs="Times New Roman"/>
        </w:rPr>
        <w:t xml:space="preserve"> 8</w:t>
      </w:r>
      <w:r w:rsidRPr="0063279F">
        <w:rPr>
          <w:rFonts w:ascii="Times New Roman" w:hAnsi="Times New Roman" w:cs="Times New Roman"/>
        </w:rPr>
        <w:t>-</w:t>
      </w:r>
      <w:r w:rsidR="001F21C5" w:rsidRPr="0063279F">
        <w:rPr>
          <w:rFonts w:ascii="Times New Roman" w:hAnsi="Times New Roman" w:cs="Times New Roman"/>
        </w:rPr>
        <w:t>9.</w:t>
      </w:r>
    </w:p>
    <w:p w:rsidR="00C545C3" w:rsidRPr="0063279F" w:rsidRDefault="00C545C3" w:rsidP="00C545C3">
      <w:pPr>
        <w:tabs>
          <w:tab w:val="left" w:pos="720"/>
          <w:tab w:val="left" w:pos="1440"/>
          <w:tab w:val="num" w:pos="2160"/>
          <w:tab w:val="num" w:pos="2520"/>
        </w:tabs>
        <w:spacing w:line="360" w:lineRule="auto"/>
        <w:contextualSpacing/>
        <w:rPr>
          <w:rFonts w:ascii="Times New Roman" w:hAnsi="Times New Roman" w:cs="Times New Roman"/>
        </w:rPr>
      </w:pPr>
    </w:p>
    <w:p w:rsidR="001F21C5" w:rsidRPr="0063279F" w:rsidRDefault="001F21C5" w:rsidP="00C545C3">
      <w:pPr>
        <w:tabs>
          <w:tab w:val="left" w:pos="720"/>
          <w:tab w:val="left" w:pos="1440"/>
          <w:tab w:val="num" w:pos="2160"/>
          <w:tab w:val="num" w:pos="2520"/>
        </w:tabs>
        <w:spacing w:line="360" w:lineRule="auto"/>
        <w:contextualSpacing/>
        <w:rPr>
          <w:rFonts w:ascii="Times New Roman" w:hAnsi="Times New Roman" w:cs="Times New Roman"/>
        </w:rPr>
      </w:pPr>
      <w:r w:rsidRPr="0063279F">
        <w:rPr>
          <w:rFonts w:ascii="Times New Roman" w:hAnsi="Times New Roman" w:cs="Times New Roman"/>
        </w:rPr>
        <w:tab/>
      </w:r>
      <w:r w:rsidR="00C545C3" w:rsidRPr="0063279F">
        <w:rPr>
          <w:rFonts w:ascii="Times New Roman" w:hAnsi="Times New Roman" w:cs="Times New Roman"/>
        </w:rPr>
        <w:tab/>
      </w:r>
      <w:r w:rsidRPr="0063279F">
        <w:rPr>
          <w:rFonts w:ascii="Times New Roman" w:hAnsi="Times New Roman" w:cs="Times New Roman"/>
        </w:rPr>
        <w:t xml:space="preserve">UGI and I&amp;E recognized that either UGI’s or I&amp;E’s C-factor methodology had the potential to result in greater quarter-to-quarter volatility; and therefore, I&amp;E accepted UGI’s proposal to limit any quarterly rate change to 25% of the then-current PGC rate.  </w:t>
      </w:r>
      <w:r w:rsidRPr="0063279F">
        <w:rPr>
          <w:rFonts w:ascii="Times New Roman" w:hAnsi="Times New Roman" w:cs="Times New Roman"/>
          <w:i/>
        </w:rPr>
        <w:t>See</w:t>
      </w:r>
      <w:r w:rsidRPr="0063279F">
        <w:rPr>
          <w:rFonts w:ascii="Times New Roman" w:hAnsi="Times New Roman" w:cs="Times New Roman"/>
        </w:rPr>
        <w:t>, UGI Statement No. 1</w:t>
      </w:r>
      <w:r w:rsidR="00C545C3" w:rsidRPr="0063279F">
        <w:rPr>
          <w:rFonts w:ascii="Times New Roman" w:hAnsi="Times New Roman" w:cs="Times New Roman"/>
        </w:rPr>
        <w:t xml:space="preserve"> at</w:t>
      </w:r>
      <w:r w:rsidRPr="0063279F">
        <w:rPr>
          <w:rFonts w:ascii="Times New Roman" w:hAnsi="Times New Roman" w:cs="Times New Roman"/>
        </w:rPr>
        <w:t xml:space="preserve"> 10</w:t>
      </w:r>
      <w:r w:rsidR="00C545C3" w:rsidRPr="0063279F">
        <w:rPr>
          <w:rFonts w:ascii="Times New Roman" w:hAnsi="Times New Roman" w:cs="Times New Roman"/>
        </w:rPr>
        <w:t>-</w:t>
      </w:r>
      <w:r w:rsidRPr="0063279F">
        <w:rPr>
          <w:rFonts w:ascii="Times New Roman" w:hAnsi="Times New Roman" w:cs="Times New Roman"/>
        </w:rPr>
        <w:t xml:space="preserve">11.  </w:t>
      </w:r>
      <w:proofErr w:type="gramStart"/>
      <w:r w:rsidRPr="0063279F">
        <w:rPr>
          <w:rFonts w:ascii="Times New Roman" w:hAnsi="Times New Roman" w:cs="Times New Roman"/>
        </w:rPr>
        <w:t>I&amp;E Statement No. 2</w:t>
      </w:r>
      <w:r w:rsidR="00C545C3" w:rsidRPr="0063279F">
        <w:rPr>
          <w:rFonts w:ascii="Times New Roman" w:hAnsi="Times New Roman" w:cs="Times New Roman"/>
        </w:rPr>
        <w:t xml:space="preserve"> at</w:t>
      </w:r>
      <w:r w:rsidRPr="0063279F">
        <w:rPr>
          <w:rFonts w:ascii="Times New Roman" w:hAnsi="Times New Roman" w:cs="Times New Roman"/>
        </w:rPr>
        <w:t xml:space="preserve"> 11.</w:t>
      </w:r>
      <w:proofErr w:type="gramEnd"/>
      <w:r w:rsidRPr="0063279F">
        <w:rPr>
          <w:rFonts w:ascii="Times New Roman" w:hAnsi="Times New Roman" w:cs="Times New Roman"/>
        </w:rPr>
        <w:t xml:space="preserve">  I&amp;E also noted that this 25% cap was previously proposed by National Fuel Gas Distribution Corporation (“NFG”) and approved by the Commission at Docket No. </w:t>
      </w:r>
      <w:proofErr w:type="gramStart"/>
      <w:r w:rsidRPr="0063279F">
        <w:rPr>
          <w:rFonts w:ascii="Times New Roman" w:hAnsi="Times New Roman" w:cs="Times New Roman"/>
        </w:rPr>
        <w:t>R-2103-2341534.</w:t>
      </w:r>
      <w:proofErr w:type="gramEnd"/>
    </w:p>
    <w:p w:rsidR="00C545C3" w:rsidRPr="0063279F" w:rsidRDefault="00C545C3" w:rsidP="00C545C3">
      <w:pPr>
        <w:tabs>
          <w:tab w:val="left" w:pos="720"/>
          <w:tab w:val="left" w:pos="1440"/>
          <w:tab w:val="num" w:pos="2160"/>
          <w:tab w:val="num" w:pos="2520"/>
        </w:tabs>
        <w:spacing w:line="360" w:lineRule="auto"/>
        <w:contextualSpacing/>
        <w:rPr>
          <w:rFonts w:ascii="Times New Roman" w:hAnsi="Times New Roman" w:cs="Times New Roman"/>
        </w:rPr>
      </w:pPr>
    </w:p>
    <w:p w:rsidR="001F21C5" w:rsidRPr="0063279F" w:rsidRDefault="00C545C3" w:rsidP="00C545C3">
      <w:pPr>
        <w:tabs>
          <w:tab w:val="left" w:pos="720"/>
          <w:tab w:val="left" w:pos="1440"/>
          <w:tab w:val="num" w:pos="2160"/>
          <w:tab w:val="num" w:pos="2520"/>
        </w:tabs>
        <w:spacing w:line="360" w:lineRule="auto"/>
        <w:contextualSpacing/>
        <w:rPr>
          <w:rFonts w:ascii="Times New Roman" w:hAnsi="Times New Roman" w:cs="Times New Roman"/>
        </w:rPr>
      </w:pPr>
      <w:r w:rsidRPr="0063279F">
        <w:rPr>
          <w:rFonts w:ascii="Times New Roman" w:hAnsi="Times New Roman" w:cs="Times New Roman"/>
        </w:rPr>
        <w:tab/>
      </w:r>
      <w:r w:rsidR="001F21C5" w:rsidRPr="0063279F">
        <w:rPr>
          <w:rFonts w:ascii="Times New Roman" w:hAnsi="Times New Roman" w:cs="Times New Roman"/>
        </w:rPr>
        <w:tab/>
        <w:t xml:space="preserve">I&amp;E fully </w:t>
      </w:r>
      <w:proofErr w:type="gramStart"/>
      <w:r w:rsidR="001F21C5" w:rsidRPr="0063279F">
        <w:rPr>
          <w:rFonts w:ascii="Times New Roman" w:hAnsi="Times New Roman" w:cs="Times New Roman"/>
        </w:rPr>
        <w:t>supports</w:t>
      </w:r>
      <w:proofErr w:type="gramEnd"/>
      <w:r w:rsidR="001F21C5" w:rsidRPr="0063279F">
        <w:rPr>
          <w:rFonts w:ascii="Times New Roman" w:hAnsi="Times New Roman" w:cs="Times New Roman"/>
        </w:rPr>
        <w:t xml:space="preserve"> the settled upon C-factor methodology and the 25% cap on the quarterly rate change.  I&amp;E believes that the settled upon C-factor methodology and the 25% cap are consistent with prior Commission decisions, provides stability to UGI, and provides protection from volatility; all of which are consistent with protecting the public interest.</w:t>
      </w:r>
    </w:p>
    <w:p w:rsidR="00C545C3" w:rsidRPr="0063279F" w:rsidRDefault="00C545C3" w:rsidP="00C545C3">
      <w:pPr>
        <w:tabs>
          <w:tab w:val="left" w:pos="720"/>
          <w:tab w:val="left" w:pos="1440"/>
          <w:tab w:val="num" w:pos="2160"/>
          <w:tab w:val="num" w:pos="2520"/>
        </w:tabs>
        <w:spacing w:line="360" w:lineRule="auto"/>
        <w:contextualSpacing/>
        <w:rPr>
          <w:rFonts w:ascii="Times New Roman" w:hAnsi="Times New Roman" w:cs="Times New Roman"/>
        </w:rPr>
      </w:pPr>
    </w:p>
    <w:p w:rsidR="007A6033" w:rsidRPr="0063279F" w:rsidRDefault="007A6033" w:rsidP="007A6033">
      <w:pPr>
        <w:tabs>
          <w:tab w:val="left" w:pos="720"/>
          <w:tab w:val="left" w:pos="1440"/>
          <w:tab w:val="num" w:pos="2160"/>
          <w:tab w:val="num" w:pos="2520"/>
        </w:tabs>
        <w:spacing w:line="360" w:lineRule="auto"/>
        <w:contextualSpacing/>
        <w:rPr>
          <w:rFonts w:ascii="Times New Roman" w:hAnsi="Times New Roman" w:cs="Times New Roman"/>
          <w:b/>
        </w:rPr>
      </w:pPr>
      <w:r w:rsidRPr="0063279F">
        <w:rPr>
          <w:rFonts w:ascii="Times New Roman" w:hAnsi="Times New Roman" w:cs="Times New Roman"/>
          <w:u w:val="single"/>
        </w:rPr>
        <w:t>E-Factor Reconciliation</w:t>
      </w:r>
    </w:p>
    <w:p w:rsidR="001F21C5" w:rsidRPr="0063279F" w:rsidRDefault="001F21C5" w:rsidP="007A6033">
      <w:pPr>
        <w:tabs>
          <w:tab w:val="left" w:pos="720"/>
          <w:tab w:val="left" w:pos="1440"/>
          <w:tab w:val="num" w:pos="2160"/>
          <w:tab w:val="num" w:pos="2520"/>
        </w:tabs>
        <w:spacing w:line="360" w:lineRule="auto"/>
        <w:contextualSpacing/>
        <w:rPr>
          <w:rFonts w:ascii="Times New Roman" w:hAnsi="Times New Roman" w:cs="Times New Roman"/>
          <w:i/>
        </w:rPr>
      </w:pPr>
    </w:p>
    <w:p w:rsidR="001F21C5" w:rsidRPr="0063279F" w:rsidRDefault="007A6033" w:rsidP="007A6033">
      <w:pPr>
        <w:tabs>
          <w:tab w:val="left" w:pos="720"/>
          <w:tab w:val="left" w:pos="1440"/>
          <w:tab w:val="num" w:pos="2160"/>
          <w:tab w:val="num" w:pos="2520"/>
        </w:tabs>
        <w:spacing w:line="360" w:lineRule="auto"/>
        <w:contextualSpacing/>
        <w:rPr>
          <w:rFonts w:ascii="Times New Roman" w:hAnsi="Times New Roman" w:cs="Times New Roman"/>
        </w:rPr>
      </w:pPr>
      <w:r w:rsidRPr="0063279F">
        <w:rPr>
          <w:rFonts w:ascii="Times New Roman" w:hAnsi="Times New Roman" w:cs="Times New Roman"/>
        </w:rPr>
        <w:tab/>
      </w:r>
      <w:r w:rsidR="001F21C5" w:rsidRPr="0063279F">
        <w:rPr>
          <w:rFonts w:ascii="Times New Roman" w:hAnsi="Times New Roman" w:cs="Times New Roman"/>
        </w:rPr>
        <w:tab/>
        <w:t>In the Settlement, UGI and the Parties agree that when actual November data is reconciled with the projected November data used to establish PGC rates effective December 1, the resulting over or under collection amount shall be recovered/refunded in the next UGI quarterly filing over the applicable annual PGC sales volumes plus migration rider volumes.  Additionally, any party will be free to propose further revisions to the E-factor adjustment methodology in future PGC proceedings.</w:t>
      </w:r>
    </w:p>
    <w:p w:rsidR="007A6033" w:rsidRPr="0063279F" w:rsidRDefault="001F21C5" w:rsidP="00C545C3">
      <w:pPr>
        <w:tabs>
          <w:tab w:val="left" w:pos="720"/>
          <w:tab w:val="left" w:pos="1440"/>
          <w:tab w:val="num" w:pos="2160"/>
          <w:tab w:val="num" w:pos="2520"/>
        </w:tabs>
        <w:spacing w:line="360" w:lineRule="auto"/>
        <w:contextualSpacing/>
        <w:rPr>
          <w:rFonts w:ascii="Times New Roman" w:hAnsi="Times New Roman" w:cs="Times New Roman"/>
        </w:rPr>
      </w:pPr>
      <w:r w:rsidRPr="0063279F">
        <w:rPr>
          <w:rFonts w:ascii="Times New Roman" w:hAnsi="Times New Roman" w:cs="Times New Roman"/>
        </w:rPr>
        <w:tab/>
      </w:r>
      <w:r w:rsidRPr="0063279F">
        <w:rPr>
          <w:rFonts w:ascii="Times New Roman" w:hAnsi="Times New Roman" w:cs="Times New Roman"/>
        </w:rPr>
        <w:tab/>
      </w:r>
      <w:r w:rsidRPr="0063279F">
        <w:rPr>
          <w:rFonts w:ascii="Times New Roman" w:hAnsi="Times New Roman" w:cs="Times New Roman"/>
        </w:rPr>
        <w:tab/>
      </w:r>
    </w:p>
    <w:p w:rsidR="001F21C5" w:rsidRPr="0063279F" w:rsidRDefault="007A6033" w:rsidP="00C545C3">
      <w:pPr>
        <w:tabs>
          <w:tab w:val="left" w:pos="720"/>
          <w:tab w:val="left" w:pos="1440"/>
          <w:tab w:val="num" w:pos="2160"/>
          <w:tab w:val="num" w:pos="2520"/>
        </w:tabs>
        <w:spacing w:line="360" w:lineRule="auto"/>
        <w:contextualSpacing/>
        <w:rPr>
          <w:rFonts w:ascii="Times New Roman" w:hAnsi="Times New Roman" w:cs="Times New Roman"/>
        </w:rPr>
      </w:pPr>
      <w:r w:rsidRPr="0063279F">
        <w:rPr>
          <w:rFonts w:ascii="Times New Roman" w:hAnsi="Times New Roman" w:cs="Times New Roman"/>
        </w:rPr>
        <w:tab/>
      </w:r>
      <w:r w:rsidR="001F21C5" w:rsidRPr="0063279F">
        <w:rPr>
          <w:rFonts w:ascii="Times New Roman" w:hAnsi="Times New Roman" w:cs="Times New Roman"/>
        </w:rPr>
        <w:tab/>
        <w:t xml:space="preserve">In its filing, UGI explains that its E-factor consists of two parts: supplier refunds and over/under collections.  And, each of these parts is classified as “prior” or “current” for each respective PGC rate year (December 1 through November 30).  </w:t>
      </w:r>
      <w:r w:rsidR="001F21C5" w:rsidRPr="0063279F">
        <w:rPr>
          <w:rFonts w:ascii="Times New Roman" w:hAnsi="Times New Roman" w:cs="Times New Roman"/>
          <w:i/>
        </w:rPr>
        <w:t>See</w:t>
      </w:r>
      <w:r w:rsidR="001F21C5" w:rsidRPr="0063279F">
        <w:rPr>
          <w:rFonts w:ascii="Times New Roman" w:hAnsi="Times New Roman" w:cs="Times New Roman"/>
        </w:rPr>
        <w:t>, UGI Statement No. 1</w:t>
      </w:r>
      <w:r w:rsidRPr="0063279F">
        <w:rPr>
          <w:rFonts w:ascii="Times New Roman" w:hAnsi="Times New Roman" w:cs="Times New Roman"/>
        </w:rPr>
        <w:t xml:space="preserve"> at 5-6.</w:t>
      </w:r>
      <w:r w:rsidR="001F21C5" w:rsidRPr="0063279F">
        <w:rPr>
          <w:rFonts w:ascii="Times New Roman" w:hAnsi="Times New Roman" w:cs="Times New Roman"/>
        </w:rPr>
        <w:t xml:space="preserve">  UGI explained that the months of December through October are reconciled with actual data, while November is reconciled with estimated data.  </w:t>
      </w:r>
      <w:proofErr w:type="gramStart"/>
      <w:r w:rsidR="001F21C5" w:rsidRPr="0063279F">
        <w:rPr>
          <w:rFonts w:ascii="Times New Roman" w:hAnsi="Times New Roman" w:cs="Times New Roman"/>
        </w:rPr>
        <w:t>UGI Statement No. 1</w:t>
      </w:r>
      <w:r w:rsidRPr="0063279F">
        <w:rPr>
          <w:rFonts w:ascii="Times New Roman" w:hAnsi="Times New Roman" w:cs="Times New Roman"/>
        </w:rPr>
        <w:t xml:space="preserve"> at</w:t>
      </w:r>
      <w:r w:rsidR="001F21C5" w:rsidRPr="0063279F">
        <w:rPr>
          <w:rFonts w:ascii="Times New Roman" w:hAnsi="Times New Roman" w:cs="Times New Roman"/>
        </w:rPr>
        <w:t xml:space="preserve"> 5.</w:t>
      </w:r>
      <w:proofErr w:type="gramEnd"/>
      <w:r w:rsidR="001F21C5" w:rsidRPr="0063279F">
        <w:rPr>
          <w:rFonts w:ascii="Times New Roman" w:hAnsi="Times New Roman" w:cs="Times New Roman"/>
        </w:rPr>
        <w:t xml:space="preserve">  UGI explains further that in its compliance filing, the months of December through November are divided by projected yearly sales plus migration rider volumes.  </w:t>
      </w:r>
      <w:proofErr w:type="gramStart"/>
      <w:r w:rsidR="001F21C5" w:rsidRPr="0063279F">
        <w:rPr>
          <w:rFonts w:ascii="Times New Roman" w:hAnsi="Times New Roman" w:cs="Times New Roman"/>
        </w:rPr>
        <w:t>UGI Statement No. 1</w:t>
      </w:r>
      <w:r w:rsidRPr="0063279F">
        <w:rPr>
          <w:rFonts w:ascii="Times New Roman" w:hAnsi="Times New Roman" w:cs="Times New Roman"/>
        </w:rPr>
        <w:t xml:space="preserve"> at</w:t>
      </w:r>
      <w:r w:rsidR="001F21C5" w:rsidRPr="0063279F">
        <w:rPr>
          <w:rFonts w:ascii="Times New Roman" w:hAnsi="Times New Roman" w:cs="Times New Roman"/>
        </w:rPr>
        <w:t xml:space="preserve"> 6.</w:t>
      </w:r>
      <w:proofErr w:type="gramEnd"/>
    </w:p>
    <w:p w:rsidR="00961AEF" w:rsidRPr="0063279F" w:rsidRDefault="00961AEF" w:rsidP="00C545C3">
      <w:pPr>
        <w:tabs>
          <w:tab w:val="left" w:pos="720"/>
          <w:tab w:val="left" w:pos="1440"/>
          <w:tab w:val="num" w:pos="2160"/>
          <w:tab w:val="num" w:pos="2520"/>
        </w:tabs>
        <w:spacing w:line="360" w:lineRule="auto"/>
        <w:contextualSpacing/>
        <w:rPr>
          <w:rFonts w:ascii="Times New Roman" w:hAnsi="Times New Roman" w:cs="Times New Roman"/>
        </w:rPr>
      </w:pPr>
    </w:p>
    <w:p w:rsidR="001F21C5" w:rsidRPr="0063279F" w:rsidRDefault="001F21C5" w:rsidP="00C545C3">
      <w:pPr>
        <w:tabs>
          <w:tab w:val="left" w:pos="720"/>
          <w:tab w:val="left" w:pos="1440"/>
          <w:tab w:val="num" w:pos="2160"/>
          <w:tab w:val="num" w:pos="2520"/>
        </w:tabs>
        <w:spacing w:line="360" w:lineRule="auto"/>
        <w:contextualSpacing/>
        <w:rPr>
          <w:rFonts w:ascii="Times New Roman" w:hAnsi="Times New Roman" w:cs="Times New Roman"/>
        </w:rPr>
      </w:pPr>
      <w:r w:rsidRPr="0063279F">
        <w:rPr>
          <w:rFonts w:ascii="Times New Roman" w:hAnsi="Times New Roman" w:cs="Times New Roman"/>
        </w:rPr>
        <w:tab/>
      </w:r>
      <w:r w:rsidRPr="0063279F">
        <w:rPr>
          <w:rFonts w:ascii="Times New Roman" w:hAnsi="Times New Roman" w:cs="Times New Roman"/>
        </w:rPr>
        <w:tab/>
        <w:t xml:space="preserve">In its response to UGI’s proposal, I&amp;E recommended that the November actual data be divided by projected yearly sales plus the migration rider volumes, as is done in UGI’s compliance filing.  </w:t>
      </w:r>
      <w:proofErr w:type="gramStart"/>
      <w:r w:rsidRPr="0063279F">
        <w:rPr>
          <w:rFonts w:ascii="Times New Roman" w:hAnsi="Times New Roman" w:cs="Times New Roman"/>
        </w:rPr>
        <w:t>I&amp;E Statement No. 2</w:t>
      </w:r>
      <w:r w:rsidR="007A6033" w:rsidRPr="0063279F">
        <w:rPr>
          <w:rFonts w:ascii="Times New Roman" w:hAnsi="Times New Roman" w:cs="Times New Roman"/>
        </w:rPr>
        <w:t xml:space="preserve"> at</w:t>
      </w:r>
      <w:r w:rsidRPr="0063279F">
        <w:rPr>
          <w:rFonts w:ascii="Times New Roman" w:hAnsi="Times New Roman" w:cs="Times New Roman"/>
        </w:rPr>
        <w:t xml:space="preserve"> 13.</w:t>
      </w:r>
      <w:proofErr w:type="gramEnd"/>
      <w:r w:rsidRPr="0063279F">
        <w:rPr>
          <w:rFonts w:ascii="Times New Roman" w:hAnsi="Times New Roman" w:cs="Times New Roman"/>
        </w:rPr>
        <w:t xml:space="preserve">  The basis for I&amp;E’s recommendation is the annual Section 1307(f) filing which determines the annual E-factor rate.  The E-factor is determined by dividing the amount over projected yearly sales plus the migration rider volumes.  Therefore, it is only appropriate when reconciling November’s amount that it is over divided by the same denominator that was used for November’s estimated amount.  </w:t>
      </w:r>
      <w:proofErr w:type="gramStart"/>
      <w:r w:rsidRPr="0063279F">
        <w:rPr>
          <w:rFonts w:ascii="Times New Roman" w:hAnsi="Times New Roman" w:cs="Times New Roman"/>
        </w:rPr>
        <w:t>I&amp;E Statement No. 2</w:t>
      </w:r>
      <w:r w:rsidR="007A6033" w:rsidRPr="0063279F">
        <w:rPr>
          <w:rFonts w:ascii="Times New Roman" w:hAnsi="Times New Roman" w:cs="Times New Roman"/>
        </w:rPr>
        <w:t xml:space="preserve"> at</w:t>
      </w:r>
      <w:r w:rsidR="00D4513E">
        <w:rPr>
          <w:rFonts w:ascii="Times New Roman" w:hAnsi="Times New Roman" w:cs="Times New Roman"/>
        </w:rPr>
        <w:t> </w:t>
      </w:r>
      <w:r w:rsidRPr="0063279F">
        <w:rPr>
          <w:rFonts w:ascii="Times New Roman" w:hAnsi="Times New Roman" w:cs="Times New Roman"/>
        </w:rPr>
        <w:t>13.</w:t>
      </w:r>
      <w:proofErr w:type="gramEnd"/>
    </w:p>
    <w:p w:rsidR="007A6033" w:rsidRPr="0063279F" w:rsidRDefault="007A6033" w:rsidP="00C545C3">
      <w:pPr>
        <w:tabs>
          <w:tab w:val="left" w:pos="720"/>
          <w:tab w:val="left" w:pos="1440"/>
          <w:tab w:val="num" w:pos="2160"/>
          <w:tab w:val="num" w:pos="2520"/>
        </w:tabs>
        <w:spacing w:line="360" w:lineRule="auto"/>
        <w:contextualSpacing/>
        <w:rPr>
          <w:rFonts w:ascii="Times New Roman" w:hAnsi="Times New Roman" w:cs="Times New Roman"/>
        </w:rPr>
      </w:pPr>
    </w:p>
    <w:p w:rsidR="001F21C5" w:rsidRPr="0063279F" w:rsidRDefault="007A6033" w:rsidP="00C545C3">
      <w:pPr>
        <w:tabs>
          <w:tab w:val="left" w:pos="720"/>
          <w:tab w:val="left" w:pos="1440"/>
          <w:tab w:val="num" w:pos="2160"/>
          <w:tab w:val="num" w:pos="2520"/>
        </w:tabs>
        <w:spacing w:line="360" w:lineRule="auto"/>
        <w:contextualSpacing/>
        <w:rPr>
          <w:rFonts w:ascii="Times New Roman" w:hAnsi="Times New Roman" w:cs="Times New Roman"/>
        </w:rPr>
      </w:pPr>
      <w:r w:rsidRPr="0063279F">
        <w:rPr>
          <w:rFonts w:ascii="Times New Roman" w:hAnsi="Times New Roman" w:cs="Times New Roman"/>
        </w:rPr>
        <w:tab/>
      </w:r>
      <w:r w:rsidR="001F21C5" w:rsidRPr="0063279F">
        <w:rPr>
          <w:rFonts w:ascii="Times New Roman" w:hAnsi="Times New Roman" w:cs="Times New Roman"/>
        </w:rPr>
        <w:tab/>
        <w:t>I&amp;E supports the settled upon E-factor methodology.  I&amp;E believes that the settled upon E-factor methodology is consistent with prior Commission decisions, provides stability to UGI, and provides protection from volatility; all of which are consistent with protecting the public interest.</w:t>
      </w:r>
    </w:p>
    <w:p w:rsidR="007A6033" w:rsidRPr="0063279F" w:rsidRDefault="007A6033" w:rsidP="00C545C3">
      <w:pPr>
        <w:tabs>
          <w:tab w:val="left" w:pos="720"/>
          <w:tab w:val="left" w:pos="1440"/>
          <w:tab w:val="num" w:pos="2160"/>
          <w:tab w:val="num" w:pos="2520"/>
        </w:tabs>
        <w:spacing w:line="360" w:lineRule="auto"/>
        <w:contextualSpacing/>
        <w:rPr>
          <w:rFonts w:ascii="Times New Roman" w:hAnsi="Times New Roman" w:cs="Times New Roman"/>
        </w:rPr>
      </w:pPr>
    </w:p>
    <w:p w:rsidR="007A6033" w:rsidRPr="0063279F" w:rsidRDefault="007A6033" w:rsidP="00C545C3">
      <w:pPr>
        <w:tabs>
          <w:tab w:val="left" w:pos="720"/>
          <w:tab w:val="left" w:pos="1440"/>
          <w:tab w:val="num" w:pos="2160"/>
          <w:tab w:val="num" w:pos="2520"/>
        </w:tabs>
        <w:spacing w:line="360" w:lineRule="auto"/>
        <w:contextualSpacing/>
        <w:rPr>
          <w:rFonts w:ascii="Times New Roman" w:hAnsi="Times New Roman" w:cs="Times New Roman"/>
          <w:b/>
          <w:u w:val="single"/>
        </w:rPr>
      </w:pPr>
      <w:r w:rsidRPr="0063279F">
        <w:rPr>
          <w:rFonts w:ascii="Times New Roman" w:hAnsi="Times New Roman" w:cs="Times New Roman"/>
          <w:u w:val="single"/>
        </w:rPr>
        <w:t>Peak Day Requirements and Peaking Service Contracts</w:t>
      </w:r>
    </w:p>
    <w:p w:rsidR="001F21C5" w:rsidRPr="0063279F" w:rsidRDefault="001F21C5" w:rsidP="007A6033">
      <w:pPr>
        <w:tabs>
          <w:tab w:val="left" w:pos="720"/>
          <w:tab w:val="left" w:pos="1440"/>
          <w:tab w:val="num" w:pos="2160"/>
          <w:tab w:val="num" w:pos="2520"/>
        </w:tabs>
        <w:spacing w:line="360" w:lineRule="auto"/>
        <w:ind w:left="2160" w:hanging="2160"/>
        <w:contextualSpacing/>
        <w:rPr>
          <w:rFonts w:ascii="Times New Roman" w:hAnsi="Times New Roman" w:cs="Times New Roman"/>
          <w:i/>
        </w:rPr>
      </w:pPr>
      <w:r w:rsidRPr="0063279F">
        <w:rPr>
          <w:rFonts w:ascii="Times New Roman" w:hAnsi="Times New Roman" w:cs="Times New Roman"/>
          <w:b/>
        </w:rPr>
        <w:tab/>
      </w:r>
      <w:r w:rsidRPr="0063279F">
        <w:rPr>
          <w:rFonts w:ascii="Times New Roman" w:hAnsi="Times New Roman" w:cs="Times New Roman"/>
          <w:b/>
        </w:rPr>
        <w:tab/>
      </w:r>
    </w:p>
    <w:p w:rsidR="001F21C5" w:rsidRPr="0063279F" w:rsidRDefault="001F21C5" w:rsidP="00C545C3">
      <w:pPr>
        <w:tabs>
          <w:tab w:val="left" w:pos="720"/>
          <w:tab w:val="left" w:pos="1440"/>
          <w:tab w:val="num" w:pos="2160"/>
          <w:tab w:val="num" w:pos="2520"/>
        </w:tabs>
        <w:spacing w:line="360" w:lineRule="auto"/>
        <w:contextualSpacing/>
        <w:rPr>
          <w:rFonts w:ascii="Times New Roman" w:hAnsi="Times New Roman" w:cs="Times New Roman"/>
        </w:rPr>
      </w:pPr>
      <w:r w:rsidRPr="0063279F">
        <w:rPr>
          <w:rFonts w:ascii="Times New Roman" w:hAnsi="Times New Roman" w:cs="Times New Roman"/>
        </w:rPr>
        <w:tab/>
      </w:r>
      <w:r w:rsidR="007A6033" w:rsidRPr="0063279F">
        <w:rPr>
          <w:rFonts w:ascii="Times New Roman" w:hAnsi="Times New Roman" w:cs="Times New Roman"/>
        </w:rPr>
        <w:tab/>
      </w:r>
      <w:r w:rsidRPr="0063279F">
        <w:rPr>
          <w:rFonts w:ascii="Times New Roman" w:hAnsi="Times New Roman" w:cs="Times New Roman"/>
        </w:rPr>
        <w:t>In the Settlement, the Parties agree that UGI will include the results of the winters of 2012-2013 and 2013-2014 in developing projected peak day demand for the winter of 2014-2015.  UGI will revise the projected peak day demand for winters 2015-2016, 2016-2017, and</w:t>
      </w:r>
      <w:r w:rsidR="00F53D8C">
        <w:rPr>
          <w:rFonts w:ascii="Times New Roman" w:hAnsi="Times New Roman" w:cs="Times New Roman"/>
        </w:rPr>
        <w:t> </w:t>
      </w:r>
      <w:r w:rsidRPr="0063279F">
        <w:rPr>
          <w:rFonts w:ascii="Times New Roman" w:hAnsi="Times New Roman" w:cs="Times New Roman"/>
        </w:rPr>
        <w:t xml:space="preserve">2017-2018 in a manner that the projected shortfall is consistent with the shortfall in 2014-2015, resulting in the following adjustments to projected peak day demands:  </w:t>
      </w:r>
      <w:r w:rsidRPr="0063279F">
        <w:rPr>
          <w:rFonts w:ascii="Times New Roman" w:hAnsi="Times New Roman" w:cs="Times New Roman"/>
          <w:i/>
        </w:rPr>
        <w:t>See</w:t>
      </w:r>
      <w:r w:rsidRPr="0063279F">
        <w:rPr>
          <w:rFonts w:ascii="Times New Roman" w:hAnsi="Times New Roman" w:cs="Times New Roman"/>
        </w:rPr>
        <w:t xml:space="preserve">, Stipulation, </w:t>
      </w:r>
      <w:proofErr w:type="gramStart"/>
      <w:r w:rsidR="00961AEF" w:rsidRPr="0063279F">
        <w:rPr>
          <w:rFonts w:ascii="Times New Roman" w:hAnsi="Times New Roman" w:cs="Times New Roman"/>
        </w:rPr>
        <w:t>Par</w:t>
      </w:r>
      <w:proofErr w:type="gramEnd"/>
      <w:r w:rsidR="00961AEF" w:rsidRPr="0063279F">
        <w:rPr>
          <w:rFonts w:ascii="Times New Roman" w:hAnsi="Times New Roman" w:cs="Times New Roman"/>
        </w:rPr>
        <w:t xml:space="preserve">. </w:t>
      </w:r>
      <w:r w:rsidRPr="0063279F">
        <w:rPr>
          <w:rFonts w:ascii="Times New Roman" w:hAnsi="Times New Roman" w:cs="Times New Roman"/>
        </w:rPr>
        <w:t>19.</w:t>
      </w:r>
    </w:p>
    <w:p w:rsidR="001F21C5" w:rsidRPr="0063279F" w:rsidRDefault="001F21C5" w:rsidP="00C545C3">
      <w:pPr>
        <w:tabs>
          <w:tab w:val="left" w:pos="720"/>
          <w:tab w:val="left" w:pos="1440"/>
          <w:tab w:val="num" w:pos="2160"/>
          <w:tab w:val="num" w:pos="2520"/>
        </w:tabs>
        <w:spacing w:line="360" w:lineRule="auto"/>
        <w:contextualSpacing/>
        <w:rPr>
          <w:rFonts w:ascii="Times New Roman" w:hAnsi="Times New Roman" w:cs="Times New Roman"/>
        </w:rPr>
      </w:pPr>
    </w:p>
    <w:tbl>
      <w:tblPr>
        <w:tblW w:w="0" w:type="auto"/>
        <w:tblInd w:w="713" w:type="dxa"/>
        <w:tblLayout w:type="fixed"/>
        <w:tblCellMar>
          <w:left w:w="0" w:type="dxa"/>
          <w:right w:w="0" w:type="dxa"/>
        </w:tblCellMar>
        <w:tblLook w:val="0000" w:firstRow="0" w:lastRow="0" w:firstColumn="0" w:lastColumn="0" w:noHBand="0" w:noVBand="0"/>
      </w:tblPr>
      <w:tblGrid>
        <w:gridCol w:w="1598"/>
        <w:gridCol w:w="2242"/>
        <w:gridCol w:w="1973"/>
        <w:gridCol w:w="2237"/>
      </w:tblGrid>
      <w:tr w:rsidR="001F21C5" w:rsidRPr="0063279F" w:rsidTr="00242CCB">
        <w:trPr>
          <w:cantSplit/>
          <w:trHeight w:hRule="exact" w:val="566"/>
        </w:trPr>
        <w:tc>
          <w:tcPr>
            <w:tcW w:w="8050" w:type="dxa"/>
            <w:gridSpan w:val="4"/>
            <w:tcBorders>
              <w:top w:val="single" w:sz="5" w:space="0" w:color="000000"/>
              <w:left w:val="single" w:sz="5" w:space="0" w:color="000000"/>
              <w:bottom w:val="single" w:sz="5" w:space="0" w:color="000000"/>
              <w:right w:val="single" w:sz="5" w:space="0" w:color="000000"/>
            </w:tcBorders>
            <w:vAlign w:val="center"/>
          </w:tcPr>
          <w:p w:rsidR="001F21C5" w:rsidRPr="0063279F" w:rsidRDefault="001F21C5" w:rsidP="00C545C3">
            <w:pPr>
              <w:spacing w:before="165" w:after="167" w:line="360" w:lineRule="auto"/>
              <w:textAlignment w:val="baseline"/>
              <w:rPr>
                <w:rFonts w:ascii="Times New Roman" w:eastAsia="Arial" w:hAnsi="Times New Roman" w:cs="Times New Roman"/>
                <w:b/>
                <w:color w:val="000000"/>
              </w:rPr>
            </w:pPr>
            <w:r w:rsidRPr="0063279F">
              <w:rPr>
                <w:rFonts w:ascii="Times New Roman" w:eastAsia="Arial" w:hAnsi="Times New Roman" w:cs="Times New Roman"/>
                <w:b/>
                <w:color w:val="000000"/>
              </w:rPr>
              <w:t>Table 1— UGI's Projected Firm Peak Day Capacity Positions (</w:t>
            </w:r>
            <w:proofErr w:type="spellStart"/>
            <w:r w:rsidRPr="0063279F">
              <w:rPr>
                <w:rFonts w:ascii="Times New Roman" w:eastAsia="Arial" w:hAnsi="Times New Roman" w:cs="Times New Roman"/>
                <w:b/>
                <w:color w:val="000000"/>
              </w:rPr>
              <w:t>Dth</w:t>
            </w:r>
            <w:proofErr w:type="spellEnd"/>
            <w:r w:rsidRPr="0063279F">
              <w:rPr>
                <w:rFonts w:ascii="Times New Roman" w:eastAsia="Arial" w:hAnsi="Times New Roman" w:cs="Times New Roman"/>
                <w:b/>
                <w:color w:val="000000"/>
              </w:rPr>
              <w:t>)</w:t>
            </w:r>
          </w:p>
        </w:tc>
      </w:tr>
      <w:tr w:rsidR="001F21C5" w:rsidRPr="0063279F" w:rsidTr="00242CCB">
        <w:trPr>
          <w:cantSplit/>
          <w:trHeight w:hRule="exact" w:val="874"/>
        </w:trPr>
        <w:tc>
          <w:tcPr>
            <w:tcW w:w="1598" w:type="dxa"/>
            <w:tcBorders>
              <w:top w:val="single" w:sz="5" w:space="0" w:color="000000"/>
              <w:left w:val="single" w:sz="5" w:space="0" w:color="000000"/>
              <w:bottom w:val="single" w:sz="5" w:space="0" w:color="000000"/>
              <w:right w:val="single" w:sz="5" w:space="0" w:color="000000"/>
            </w:tcBorders>
            <w:vAlign w:val="center"/>
          </w:tcPr>
          <w:p w:rsidR="001F21C5" w:rsidRPr="0063279F" w:rsidRDefault="001F21C5" w:rsidP="00C545C3">
            <w:pPr>
              <w:spacing w:before="320" w:after="324" w:line="360" w:lineRule="auto"/>
              <w:textAlignment w:val="baseline"/>
              <w:rPr>
                <w:rFonts w:ascii="Times New Roman" w:eastAsia="Arial" w:hAnsi="Times New Roman" w:cs="Times New Roman"/>
                <w:b/>
                <w:color w:val="000000"/>
              </w:rPr>
            </w:pPr>
            <w:r w:rsidRPr="0063279F">
              <w:rPr>
                <w:rFonts w:ascii="Times New Roman" w:eastAsia="Arial" w:hAnsi="Times New Roman" w:cs="Times New Roman"/>
                <w:b/>
                <w:color w:val="000000"/>
              </w:rPr>
              <w:t>Winter</w:t>
            </w:r>
          </w:p>
        </w:tc>
        <w:tc>
          <w:tcPr>
            <w:tcW w:w="2242" w:type="dxa"/>
            <w:tcBorders>
              <w:top w:val="single" w:sz="5" w:space="0" w:color="000000"/>
              <w:left w:val="single" w:sz="5" w:space="0" w:color="000000"/>
              <w:bottom w:val="single" w:sz="5" w:space="0" w:color="000000"/>
              <w:right w:val="single" w:sz="5" w:space="0" w:color="000000"/>
            </w:tcBorders>
            <w:vAlign w:val="center"/>
          </w:tcPr>
          <w:p w:rsidR="001F21C5" w:rsidRPr="0063279F" w:rsidRDefault="001F21C5" w:rsidP="00C545C3">
            <w:pPr>
              <w:spacing w:before="81" w:after="172" w:line="360" w:lineRule="auto"/>
              <w:textAlignment w:val="baseline"/>
              <w:rPr>
                <w:rFonts w:ascii="Times New Roman" w:eastAsia="Arial" w:hAnsi="Times New Roman" w:cs="Times New Roman"/>
                <w:b/>
                <w:color w:val="000000"/>
              </w:rPr>
            </w:pPr>
            <w:r w:rsidRPr="0063279F">
              <w:rPr>
                <w:rFonts w:ascii="Times New Roman" w:eastAsia="Arial" w:hAnsi="Times New Roman" w:cs="Times New Roman"/>
                <w:b/>
                <w:color w:val="000000"/>
              </w:rPr>
              <w:t xml:space="preserve">Projected Firm Peak </w:t>
            </w:r>
            <w:r w:rsidRPr="0063279F">
              <w:rPr>
                <w:rFonts w:ascii="Times New Roman" w:eastAsia="Arial" w:hAnsi="Times New Roman" w:cs="Times New Roman"/>
                <w:b/>
                <w:color w:val="000000"/>
              </w:rPr>
              <w:br/>
              <w:t>Day Demand</w:t>
            </w:r>
          </w:p>
        </w:tc>
        <w:tc>
          <w:tcPr>
            <w:tcW w:w="1973" w:type="dxa"/>
            <w:tcBorders>
              <w:top w:val="single" w:sz="5" w:space="0" w:color="000000"/>
              <w:left w:val="single" w:sz="5" w:space="0" w:color="000000"/>
              <w:bottom w:val="single" w:sz="5" w:space="0" w:color="000000"/>
              <w:right w:val="single" w:sz="5" w:space="0" w:color="000000"/>
            </w:tcBorders>
          </w:tcPr>
          <w:p w:rsidR="001F21C5" w:rsidRPr="0063279F" w:rsidRDefault="001F21C5" w:rsidP="00C545C3">
            <w:pPr>
              <w:spacing w:before="75" w:after="172" w:line="360" w:lineRule="auto"/>
              <w:textAlignment w:val="baseline"/>
              <w:rPr>
                <w:rFonts w:ascii="Times New Roman" w:eastAsia="Arial" w:hAnsi="Times New Roman" w:cs="Times New Roman"/>
                <w:b/>
                <w:color w:val="000000"/>
              </w:rPr>
            </w:pPr>
            <w:r w:rsidRPr="0063279F">
              <w:rPr>
                <w:rFonts w:ascii="Times New Roman" w:eastAsia="Arial" w:hAnsi="Times New Roman" w:cs="Times New Roman"/>
                <w:b/>
                <w:color w:val="000000"/>
              </w:rPr>
              <w:t xml:space="preserve">Firm Capacity / </w:t>
            </w:r>
            <w:r w:rsidRPr="0063279F">
              <w:rPr>
                <w:rFonts w:ascii="Times New Roman" w:eastAsia="Arial" w:hAnsi="Times New Roman" w:cs="Times New Roman"/>
                <w:b/>
                <w:color w:val="000000"/>
              </w:rPr>
              <w:br/>
              <w:t>Supply</w:t>
            </w:r>
          </w:p>
        </w:tc>
        <w:tc>
          <w:tcPr>
            <w:tcW w:w="2237" w:type="dxa"/>
            <w:tcBorders>
              <w:top w:val="single" w:sz="5" w:space="0" w:color="000000"/>
              <w:left w:val="single" w:sz="5" w:space="0" w:color="000000"/>
              <w:bottom w:val="single" w:sz="5" w:space="0" w:color="000000"/>
              <w:right w:val="single" w:sz="5" w:space="0" w:color="000000"/>
            </w:tcBorders>
          </w:tcPr>
          <w:p w:rsidR="001F21C5" w:rsidRPr="0063279F" w:rsidRDefault="001F21C5" w:rsidP="00C545C3">
            <w:pPr>
              <w:spacing w:before="78" w:after="177" w:line="360" w:lineRule="auto"/>
              <w:textAlignment w:val="baseline"/>
              <w:rPr>
                <w:rFonts w:ascii="Times New Roman" w:eastAsia="Arial" w:hAnsi="Times New Roman" w:cs="Times New Roman"/>
                <w:b/>
                <w:color w:val="000000"/>
              </w:rPr>
            </w:pPr>
            <w:r w:rsidRPr="0063279F">
              <w:rPr>
                <w:rFonts w:ascii="Times New Roman" w:eastAsia="Arial" w:hAnsi="Times New Roman" w:cs="Times New Roman"/>
                <w:b/>
                <w:color w:val="000000"/>
              </w:rPr>
              <w:t xml:space="preserve">Projected Capacity </w:t>
            </w:r>
            <w:r w:rsidRPr="0063279F">
              <w:rPr>
                <w:rFonts w:ascii="Times New Roman" w:eastAsia="Arial" w:hAnsi="Times New Roman" w:cs="Times New Roman"/>
                <w:b/>
                <w:color w:val="000000"/>
              </w:rPr>
              <w:br/>
              <w:t>Length/(Shortfall)</w:t>
            </w:r>
          </w:p>
        </w:tc>
      </w:tr>
      <w:tr w:rsidR="001F21C5" w:rsidRPr="0063279F" w:rsidTr="00242CCB">
        <w:trPr>
          <w:cantSplit/>
          <w:trHeight w:val="144"/>
        </w:trPr>
        <w:tc>
          <w:tcPr>
            <w:tcW w:w="1598" w:type="dxa"/>
            <w:tcBorders>
              <w:top w:val="single" w:sz="5" w:space="0" w:color="000000"/>
              <w:left w:val="single" w:sz="5" w:space="0" w:color="000000"/>
              <w:bottom w:val="single" w:sz="5" w:space="0" w:color="000000"/>
              <w:right w:val="single" w:sz="5" w:space="0" w:color="000000"/>
            </w:tcBorders>
          </w:tcPr>
          <w:p w:rsidR="001F21C5" w:rsidRPr="0063279F" w:rsidRDefault="001F21C5" w:rsidP="00C545C3">
            <w:pPr>
              <w:spacing w:before="156" w:after="350" w:line="360" w:lineRule="auto"/>
              <w:textAlignment w:val="baseline"/>
              <w:rPr>
                <w:rFonts w:ascii="Times New Roman" w:eastAsia="Verdana" w:hAnsi="Times New Roman" w:cs="Times New Roman"/>
                <w:color w:val="000000"/>
              </w:rPr>
            </w:pPr>
            <w:r w:rsidRPr="0063279F">
              <w:rPr>
                <w:rFonts w:ascii="Times New Roman" w:eastAsia="Verdana" w:hAnsi="Times New Roman" w:cs="Times New Roman"/>
                <w:color w:val="000000"/>
              </w:rPr>
              <w:t>2014-2015</w:t>
            </w:r>
          </w:p>
        </w:tc>
        <w:tc>
          <w:tcPr>
            <w:tcW w:w="2242" w:type="dxa"/>
            <w:tcBorders>
              <w:top w:val="single" w:sz="5" w:space="0" w:color="000000"/>
              <w:left w:val="single" w:sz="5" w:space="0" w:color="000000"/>
              <w:bottom w:val="single" w:sz="5" w:space="0" w:color="000000"/>
              <w:right w:val="single" w:sz="5" w:space="0" w:color="000000"/>
            </w:tcBorders>
          </w:tcPr>
          <w:p w:rsidR="001F21C5" w:rsidRPr="0063279F" w:rsidRDefault="001F21C5" w:rsidP="00C545C3">
            <w:pPr>
              <w:spacing w:before="154" w:after="350" w:line="360" w:lineRule="auto"/>
              <w:ind w:right="746"/>
              <w:textAlignment w:val="baseline"/>
              <w:rPr>
                <w:rFonts w:ascii="Times New Roman" w:eastAsia="Verdana" w:hAnsi="Times New Roman" w:cs="Times New Roman"/>
                <w:color w:val="000000"/>
              </w:rPr>
            </w:pPr>
            <w:r w:rsidRPr="0063279F">
              <w:rPr>
                <w:rFonts w:ascii="Times New Roman" w:eastAsia="Verdana" w:hAnsi="Times New Roman" w:cs="Times New Roman"/>
                <w:color w:val="000000"/>
              </w:rPr>
              <w:t>691,292</w:t>
            </w:r>
          </w:p>
        </w:tc>
        <w:tc>
          <w:tcPr>
            <w:tcW w:w="1973" w:type="dxa"/>
            <w:tcBorders>
              <w:top w:val="single" w:sz="5" w:space="0" w:color="000000"/>
              <w:left w:val="single" w:sz="5" w:space="0" w:color="000000"/>
              <w:bottom w:val="single" w:sz="5" w:space="0" w:color="000000"/>
              <w:right w:val="single" w:sz="5" w:space="0" w:color="000000"/>
            </w:tcBorders>
          </w:tcPr>
          <w:p w:rsidR="001F21C5" w:rsidRPr="0063279F" w:rsidRDefault="001F21C5" w:rsidP="00C545C3">
            <w:pPr>
              <w:spacing w:before="154" w:after="352" w:line="360" w:lineRule="auto"/>
              <w:textAlignment w:val="baseline"/>
              <w:rPr>
                <w:rFonts w:ascii="Times New Roman" w:eastAsia="Verdana" w:hAnsi="Times New Roman" w:cs="Times New Roman"/>
                <w:color w:val="000000"/>
              </w:rPr>
            </w:pPr>
            <w:r w:rsidRPr="0063279F">
              <w:rPr>
                <w:rFonts w:ascii="Times New Roman" w:eastAsia="Verdana" w:hAnsi="Times New Roman" w:cs="Times New Roman"/>
                <w:color w:val="000000"/>
              </w:rPr>
              <w:t>669,595</w:t>
            </w:r>
          </w:p>
        </w:tc>
        <w:tc>
          <w:tcPr>
            <w:tcW w:w="2237" w:type="dxa"/>
            <w:tcBorders>
              <w:top w:val="single" w:sz="5" w:space="0" w:color="000000"/>
              <w:left w:val="single" w:sz="5" w:space="0" w:color="000000"/>
              <w:bottom w:val="single" w:sz="5" w:space="0" w:color="000000"/>
              <w:right w:val="single" w:sz="5" w:space="0" w:color="000000"/>
            </w:tcBorders>
          </w:tcPr>
          <w:p w:rsidR="001F21C5" w:rsidRPr="0063279F" w:rsidRDefault="001F21C5" w:rsidP="00C545C3">
            <w:pPr>
              <w:spacing w:before="149" w:after="350" w:line="360" w:lineRule="auto"/>
              <w:textAlignment w:val="baseline"/>
              <w:rPr>
                <w:rFonts w:ascii="Times New Roman" w:eastAsia="Verdana" w:hAnsi="Times New Roman" w:cs="Times New Roman"/>
                <w:color w:val="000000"/>
              </w:rPr>
            </w:pPr>
            <w:r w:rsidRPr="0063279F">
              <w:rPr>
                <w:rFonts w:ascii="Times New Roman" w:eastAsia="Verdana" w:hAnsi="Times New Roman" w:cs="Times New Roman"/>
                <w:color w:val="000000"/>
              </w:rPr>
              <w:t>(21,697)</w:t>
            </w:r>
          </w:p>
        </w:tc>
      </w:tr>
      <w:tr w:rsidR="001F21C5" w:rsidRPr="0063279F" w:rsidTr="00242CCB">
        <w:trPr>
          <w:cantSplit/>
          <w:trHeight w:val="144"/>
        </w:trPr>
        <w:tc>
          <w:tcPr>
            <w:tcW w:w="1598" w:type="dxa"/>
            <w:tcBorders>
              <w:top w:val="single" w:sz="5" w:space="0" w:color="000000"/>
              <w:left w:val="single" w:sz="5" w:space="0" w:color="000000"/>
              <w:bottom w:val="single" w:sz="5" w:space="0" w:color="000000"/>
              <w:right w:val="single" w:sz="5" w:space="0" w:color="000000"/>
            </w:tcBorders>
          </w:tcPr>
          <w:p w:rsidR="001F21C5" w:rsidRPr="0063279F" w:rsidRDefault="001F21C5" w:rsidP="00C545C3">
            <w:pPr>
              <w:spacing w:before="156" w:after="345" w:line="360" w:lineRule="auto"/>
              <w:textAlignment w:val="baseline"/>
              <w:rPr>
                <w:rFonts w:ascii="Times New Roman" w:eastAsia="Verdana" w:hAnsi="Times New Roman" w:cs="Times New Roman"/>
                <w:color w:val="000000"/>
              </w:rPr>
            </w:pPr>
            <w:r w:rsidRPr="0063279F">
              <w:rPr>
                <w:rFonts w:ascii="Times New Roman" w:eastAsia="Verdana" w:hAnsi="Times New Roman" w:cs="Times New Roman"/>
                <w:color w:val="000000"/>
              </w:rPr>
              <w:t>2015-2016</w:t>
            </w:r>
          </w:p>
        </w:tc>
        <w:tc>
          <w:tcPr>
            <w:tcW w:w="2242" w:type="dxa"/>
            <w:tcBorders>
              <w:top w:val="single" w:sz="5" w:space="0" w:color="000000"/>
              <w:left w:val="single" w:sz="5" w:space="0" w:color="000000"/>
              <w:bottom w:val="single" w:sz="5" w:space="0" w:color="000000"/>
              <w:right w:val="single" w:sz="5" w:space="0" w:color="000000"/>
            </w:tcBorders>
          </w:tcPr>
          <w:p w:rsidR="001F21C5" w:rsidRPr="0063279F" w:rsidRDefault="001F21C5" w:rsidP="00C545C3">
            <w:pPr>
              <w:spacing w:before="154" w:after="347" w:line="360" w:lineRule="auto"/>
              <w:ind w:right="746"/>
              <w:textAlignment w:val="baseline"/>
              <w:rPr>
                <w:rFonts w:ascii="Times New Roman" w:eastAsia="Verdana" w:hAnsi="Times New Roman" w:cs="Times New Roman"/>
                <w:color w:val="000000"/>
              </w:rPr>
            </w:pPr>
            <w:r w:rsidRPr="0063279F">
              <w:rPr>
                <w:rFonts w:ascii="Times New Roman" w:eastAsia="Verdana" w:hAnsi="Times New Roman" w:cs="Times New Roman"/>
                <w:color w:val="000000"/>
              </w:rPr>
              <w:t>703,547</w:t>
            </w:r>
          </w:p>
        </w:tc>
        <w:tc>
          <w:tcPr>
            <w:tcW w:w="1973" w:type="dxa"/>
            <w:tcBorders>
              <w:top w:val="single" w:sz="5" w:space="0" w:color="000000"/>
              <w:left w:val="single" w:sz="5" w:space="0" w:color="000000"/>
              <w:bottom w:val="single" w:sz="5" w:space="0" w:color="000000"/>
              <w:right w:val="single" w:sz="5" w:space="0" w:color="000000"/>
            </w:tcBorders>
          </w:tcPr>
          <w:p w:rsidR="001F21C5" w:rsidRPr="0063279F" w:rsidRDefault="001F21C5" w:rsidP="00C545C3">
            <w:pPr>
              <w:spacing w:before="154" w:after="347" w:line="360" w:lineRule="auto"/>
              <w:textAlignment w:val="baseline"/>
              <w:rPr>
                <w:rFonts w:ascii="Times New Roman" w:eastAsia="Verdana" w:hAnsi="Times New Roman" w:cs="Times New Roman"/>
                <w:color w:val="000000"/>
              </w:rPr>
            </w:pPr>
            <w:r w:rsidRPr="0063279F">
              <w:rPr>
                <w:rFonts w:ascii="Times New Roman" w:eastAsia="Verdana" w:hAnsi="Times New Roman" w:cs="Times New Roman"/>
                <w:color w:val="000000"/>
              </w:rPr>
              <w:t>681,850</w:t>
            </w:r>
          </w:p>
        </w:tc>
        <w:tc>
          <w:tcPr>
            <w:tcW w:w="2237" w:type="dxa"/>
            <w:tcBorders>
              <w:top w:val="single" w:sz="5" w:space="0" w:color="000000"/>
              <w:left w:val="single" w:sz="5" w:space="0" w:color="000000"/>
              <w:bottom w:val="single" w:sz="5" w:space="0" w:color="000000"/>
              <w:right w:val="single" w:sz="5" w:space="0" w:color="000000"/>
            </w:tcBorders>
          </w:tcPr>
          <w:p w:rsidR="001F21C5" w:rsidRPr="0063279F" w:rsidRDefault="001F21C5" w:rsidP="00C545C3">
            <w:pPr>
              <w:spacing w:before="149" w:after="345" w:line="360" w:lineRule="auto"/>
              <w:textAlignment w:val="baseline"/>
              <w:rPr>
                <w:rFonts w:ascii="Times New Roman" w:eastAsia="Verdana" w:hAnsi="Times New Roman" w:cs="Times New Roman"/>
                <w:color w:val="000000"/>
              </w:rPr>
            </w:pPr>
            <w:r w:rsidRPr="0063279F">
              <w:rPr>
                <w:rFonts w:ascii="Times New Roman" w:eastAsia="Verdana" w:hAnsi="Times New Roman" w:cs="Times New Roman"/>
                <w:color w:val="000000"/>
              </w:rPr>
              <w:t>(21,697)</w:t>
            </w:r>
          </w:p>
        </w:tc>
      </w:tr>
      <w:tr w:rsidR="001F21C5" w:rsidRPr="0063279F" w:rsidTr="00242CCB">
        <w:trPr>
          <w:cantSplit/>
          <w:trHeight w:val="144"/>
        </w:trPr>
        <w:tc>
          <w:tcPr>
            <w:tcW w:w="1598" w:type="dxa"/>
            <w:tcBorders>
              <w:top w:val="single" w:sz="5" w:space="0" w:color="000000"/>
              <w:left w:val="single" w:sz="5" w:space="0" w:color="000000"/>
              <w:bottom w:val="single" w:sz="5" w:space="0" w:color="000000"/>
              <w:right w:val="single" w:sz="5" w:space="0" w:color="000000"/>
            </w:tcBorders>
          </w:tcPr>
          <w:p w:rsidR="001F21C5" w:rsidRPr="0063279F" w:rsidRDefault="001F21C5" w:rsidP="00C545C3">
            <w:pPr>
              <w:spacing w:before="154" w:after="346" w:line="360" w:lineRule="auto"/>
              <w:textAlignment w:val="baseline"/>
              <w:rPr>
                <w:rFonts w:ascii="Times New Roman" w:eastAsia="Verdana" w:hAnsi="Times New Roman" w:cs="Times New Roman"/>
                <w:color w:val="000000"/>
              </w:rPr>
            </w:pPr>
            <w:r w:rsidRPr="0063279F">
              <w:rPr>
                <w:rFonts w:ascii="Times New Roman" w:eastAsia="Verdana" w:hAnsi="Times New Roman" w:cs="Times New Roman"/>
                <w:color w:val="000000"/>
              </w:rPr>
              <w:t>2016-2017</w:t>
            </w:r>
          </w:p>
        </w:tc>
        <w:tc>
          <w:tcPr>
            <w:tcW w:w="2242" w:type="dxa"/>
            <w:tcBorders>
              <w:top w:val="single" w:sz="5" w:space="0" w:color="000000"/>
              <w:left w:val="single" w:sz="5" w:space="0" w:color="000000"/>
              <w:bottom w:val="single" w:sz="5" w:space="0" w:color="000000"/>
              <w:right w:val="single" w:sz="5" w:space="0" w:color="000000"/>
            </w:tcBorders>
          </w:tcPr>
          <w:p w:rsidR="001F21C5" w:rsidRPr="0063279F" w:rsidRDefault="001F21C5" w:rsidP="00C545C3">
            <w:pPr>
              <w:spacing w:before="149" w:after="350" w:line="360" w:lineRule="auto"/>
              <w:ind w:right="746"/>
              <w:textAlignment w:val="baseline"/>
              <w:rPr>
                <w:rFonts w:ascii="Times New Roman" w:eastAsia="Verdana" w:hAnsi="Times New Roman" w:cs="Times New Roman"/>
                <w:color w:val="000000"/>
              </w:rPr>
            </w:pPr>
            <w:r w:rsidRPr="0063279F">
              <w:rPr>
                <w:rFonts w:ascii="Times New Roman" w:eastAsia="Verdana" w:hAnsi="Times New Roman" w:cs="Times New Roman"/>
                <w:color w:val="000000"/>
              </w:rPr>
              <w:t>716,047</w:t>
            </w:r>
          </w:p>
        </w:tc>
        <w:tc>
          <w:tcPr>
            <w:tcW w:w="1973" w:type="dxa"/>
            <w:tcBorders>
              <w:top w:val="single" w:sz="5" w:space="0" w:color="000000"/>
              <w:left w:val="single" w:sz="5" w:space="0" w:color="000000"/>
              <w:bottom w:val="single" w:sz="5" w:space="0" w:color="000000"/>
              <w:right w:val="single" w:sz="5" w:space="0" w:color="000000"/>
            </w:tcBorders>
          </w:tcPr>
          <w:p w:rsidR="001F21C5" w:rsidRPr="0063279F" w:rsidRDefault="001F21C5" w:rsidP="00C545C3">
            <w:pPr>
              <w:spacing w:before="149" w:after="351" w:line="360" w:lineRule="auto"/>
              <w:textAlignment w:val="baseline"/>
              <w:rPr>
                <w:rFonts w:ascii="Times New Roman" w:eastAsia="Verdana" w:hAnsi="Times New Roman" w:cs="Times New Roman"/>
                <w:color w:val="000000"/>
              </w:rPr>
            </w:pPr>
            <w:r w:rsidRPr="0063279F">
              <w:rPr>
                <w:rFonts w:ascii="Times New Roman" w:eastAsia="Verdana" w:hAnsi="Times New Roman" w:cs="Times New Roman"/>
                <w:color w:val="000000"/>
              </w:rPr>
              <w:t>694,350</w:t>
            </w:r>
          </w:p>
        </w:tc>
        <w:tc>
          <w:tcPr>
            <w:tcW w:w="2237" w:type="dxa"/>
            <w:tcBorders>
              <w:top w:val="single" w:sz="5" w:space="0" w:color="000000"/>
              <w:left w:val="single" w:sz="5" w:space="0" w:color="000000"/>
              <w:bottom w:val="single" w:sz="5" w:space="0" w:color="000000"/>
              <w:right w:val="single" w:sz="5" w:space="0" w:color="000000"/>
            </w:tcBorders>
          </w:tcPr>
          <w:p w:rsidR="001F21C5" w:rsidRPr="0063279F" w:rsidRDefault="001F21C5" w:rsidP="00C545C3">
            <w:pPr>
              <w:spacing w:before="144" w:after="350" w:line="360" w:lineRule="auto"/>
              <w:textAlignment w:val="baseline"/>
              <w:rPr>
                <w:rFonts w:ascii="Times New Roman" w:eastAsia="Verdana" w:hAnsi="Times New Roman" w:cs="Times New Roman"/>
                <w:color w:val="000000"/>
              </w:rPr>
            </w:pPr>
            <w:r w:rsidRPr="0063279F">
              <w:rPr>
                <w:rFonts w:ascii="Times New Roman" w:eastAsia="Verdana" w:hAnsi="Times New Roman" w:cs="Times New Roman"/>
                <w:color w:val="000000"/>
              </w:rPr>
              <w:t>(21,697)</w:t>
            </w:r>
          </w:p>
        </w:tc>
      </w:tr>
      <w:tr w:rsidR="001F21C5" w:rsidRPr="0063279F" w:rsidTr="00242CCB">
        <w:trPr>
          <w:cantSplit/>
          <w:trHeight w:val="144"/>
        </w:trPr>
        <w:tc>
          <w:tcPr>
            <w:tcW w:w="1598" w:type="dxa"/>
            <w:tcBorders>
              <w:top w:val="single" w:sz="5" w:space="0" w:color="000000"/>
              <w:left w:val="single" w:sz="5" w:space="0" w:color="000000"/>
              <w:bottom w:val="single" w:sz="5" w:space="0" w:color="000000"/>
              <w:right w:val="single" w:sz="5" w:space="0" w:color="000000"/>
            </w:tcBorders>
          </w:tcPr>
          <w:p w:rsidR="001F21C5" w:rsidRPr="0063279F" w:rsidRDefault="001F21C5" w:rsidP="00C545C3">
            <w:pPr>
              <w:spacing w:before="154" w:after="361" w:line="360" w:lineRule="auto"/>
              <w:textAlignment w:val="baseline"/>
              <w:rPr>
                <w:rFonts w:ascii="Times New Roman" w:eastAsia="Verdana" w:hAnsi="Times New Roman" w:cs="Times New Roman"/>
                <w:color w:val="000000"/>
              </w:rPr>
            </w:pPr>
            <w:r w:rsidRPr="0063279F">
              <w:rPr>
                <w:rFonts w:ascii="Times New Roman" w:eastAsia="Verdana" w:hAnsi="Times New Roman" w:cs="Times New Roman"/>
                <w:color w:val="000000"/>
              </w:rPr>
              <w:t>2017-2018</w:t>
            </w:r>
          </w:p>
        </w:tc>
        <w:tc>
          <w:tcPr>
            <w:tcW w:w="2242" w:type="dxa"/>
            <w:tcBorders>
              <w:top w:val="single" w:sz="5" w:space="0" w:color="000000"/>
              <w:left w:val="single" w:sz="5" w:space="0" w:color="000000"/>
              <w:bottom w:val="single" w:sz="5" w:space="0" w:color="000000"/>
              <w:right w:val="single" w:sz="5" w:space="0" w:color="000000"/>
            </w:tcBorders>
          </w:tcPr>
          <w:p w:rsidR="001F21C5" w:rsidRPr="0063279F" w:rsidRDefault="001F21C5" w:rsidP="00C545C3">
            <w:pPr>
              <w:spacing w:before="154" w:after="359" w:line="360" w:lineRule="auto"/>
              <w:ind w:right="746"/>
              <w:textAlignment w:val="baseline"/>
              <w:rPr>
                <w:rFonts w:ascii="Times New Roman" w:eastAsia="Verdana" w:hAnsi="Times New Roman" w:cs="Times New Roman"/>
                <w:color w:val="000000"/>
              </w:rPr>
            </w:pPr>
            <w:r w:rsidRPr="0063279F">
              <w:rPr>
                <w:rFonts w:ascii="Times New Roman" w:eastAsia="Verdana" w:hAnsi="Times New Roman" w:cs="Times New Roman"/>
                <w:color w:val="000000"/>
              </w:rPr>
              <w:t>716,047</w:t>
            </w:r>
          </w:p>
        </w:tc>
        <w:tc>
          <w:tcPr>
            <w:tcW w:w="1973" w:type="dxa"/>
            <w:tcBorders>
              <w:top w:val="single" w:sz="5" w:space="0" w:color="000000"/>
              <w:left w:val="single" w:sz="5" w:space="0" w:color="000000"/>
              <w:bottom w:val="single" w:sz="5" w:space="0" w:color="000000"/>
              <w:right w:val="single" w:sz="5" w:space="0" w:color="000000"/>
            </w:tcBorders>
          </w:tcPr>
          <w:p w:rsidR="001F21C5" w:rsidRPr="0063279F" w:rsidRDefault="001F21C5" w:rsidP="00C545C3">
            <w:pPr>
              <w:spacing w:before="151" w:after="364" w:line="360" w:lineRule="auto"/>
              <w:textAlignment w:val="baseline"/>
              <w:rPr>
                <w:rFonts w:ascii="Times New Roman" w:eastAsia="Verdana" w:hAnsi="Times New Roman" w:cs="Times New Roman"/>
                <w:color w:val="000000"/>
              </w:rPr>
            </w:pPr>
            <w:r w:rsidRPr="0063279F">
              <w:rPr>
                <w:rFonts w:ascii="Times New Roman" w:eastAsia="Verdana" w:hAnsi="Times New Roman" w:cs="Times New Roman"/>
                <w:color w:val="000000"/>
              </w:rPr>
              <w:t>694,350</w:t>
            </w:r>
          </w:p>
        </w:tc>
        <w:tc>
          <w:tcPr>
            <w:tcW w:w="2237" w:type="dxa"/>
            <w:tcBorders>
              <w:top w:val="single" w:sz="5" w:space="0" w:color="000000"/>
              <w:left w:val="single" w:sz="5" w:space="0" w:color="000000"/>
              <w:bottom w:val="single" w:sz="5" w:space="0" w:color="000000"/>
              <w:right w:val="single" w:sz="5" w:space="0" w:color="000000"/>
            </w:tcBorders>
          </w:tcPr>
          <w:p w:rsidR="001F21C5" w:rsidRPr="0063279F" w:rsidRDefault="001F21C5" w:rsidP="00C545C3">
            <w:pPr>
              <w:spacing w:before="147" w:after="359" w:line="360" w:lineRule="auto"/>
              <w:textAlignment w:val="baseline"/>
              <w:rPr>
                <w:rFonts w:ascii="Times New Roman" w:eastAsia="Verdana" w:hAnsi="Times New Roman" w:cs="Times New Roman"/>
                <w:color w:val="000000"/>
              </w:rPr>
            </w:pPr>
            <w:r w:rsidRPr="0063279F">
              <w:rPr>
                <w:rFonts w:ascii="Times New Roman" w:eastAsia="Verdana" w:hAnsi="Times New Roman" w:cs="Times New Roman"/>
                <w:color w:val="000000"/>
              </w:rPr>
              <w:t>(21,697)</w:t>
            </w:r>
          </w:p>
        </w:tc>
      </w:tr>
    </w:tbl>
    <w:p w:rsidR="001F21C5" w:rsidRPr="0063279F" w:rsidRDefault="001F21C5" w:rsidP="00C545C3">
      <w:pPr>
        <w:tabs>
          <w:tab w:val="left" w:pos="720"/>
          <w:tab w:val="left" w:pos="1440"/>
          <w:tab w:val="num" w:pos="2160"/>
          <w:tab w:val="num" w:pos="2520"/>
        </w:tabs>
        <w:spacing w:line="360" w:lineRule="auto"/>
        <w:contextualSpacing/>
        <w:rPr>
          <w:rFonts w:ascii="Times New Roman" w:hAnsi="Times New Roman" w:cs="Times New Roman"/>
        </w:rPr>
      </w:pPr>
    </w:p>
    <w:p w:rsidR="001F21C5" w:rsidRPr="0063279F" w:rsidRDefault="001F21C5" w:rsidP="00C545C3">
      <w:pPr>
        <w:tabs>
          <w:tab w:val="left" w:pos="720"/>
          <w:tab w:val="left" w:pos="1440"/>
          <w:tab w:val="num" w:pos="2160"/>
          <w:tab w:val="num" w:pos="2520"/>
        </w:tabs>
        <w:spacing w:line="360" w:lineRule="auto"/>
        <w:contextualSpacing/>
        <w:rPr>
          <w:rFonts w:ascii="Times New Roman" w:hAnsi="Times New Roman" w:cs="Times New Roman"/>
        </w:rPr>
      </w:pPr>
      <w:r w:rsidRPr="0063279F">
        <w:rPr>
          <w:rFonts w:ascii="Times New Roman" w:hAnsi="Times New Roman" w:cs="Times New Roman"/>
        </w:rPr>
        <w:tab/>
      </w:r>
      <w:r w:rsidRPr="0063279F">
        <w:rPr>
          <w:rFonts w:ascii="Times New Roman" w:hAnsi="Times New Roman" w:cs="Times New Roman"/>
        </w:rPr>
        <w:tab/>
        <w:t>In describing it</w:t>
      </w:r>
      <w:r w:rsidR="00327E19" w:rsidRPr="0063279F">
        <w:rPr>
          <w:rFonts w:ascii="Times New Roman" w:hAnsi="Times New Roman" w:cs="Times New Roman"/>
        </w:rPr>
        <w:t>s</w:t>
      </w:r>
      <w:r w:rsidRPr="0063279F">
        <w:rPr>
          <w:rFonts w:ascii="Times New Roman" w:hAnsi="Times New Roman" w:cs="Times New Roman"/>
        </w:rPr>
        <w:t xml:space="preserve"> methodology used to project peak day demand in its filing, UGI summarize</w:t>
      </w:r>
      <w:r w:rsidR="00961AEF" w:rsidRPr="0063279F">
        <w:rPr>
          <w:rFonts w:ascii="Times New Roman" w:hAnsi="Times New Roman" w:cs="Times New Roman"/>
        </w:rPr>
        <w:t>d</w:t>
      </w:r>
      <w:r w:rsidRPr="0063279F">
        <w:rPr>
          <w:rFonts w:ascii="Times New Roman" w:hAnsi="Times New Roman" w:cs="Times New Roman"/>
        </w:rPr>
        <w:t xml:space="preserve"> by stating that UGI’s goal is to meet its anticipated demand at the coldest temperature experienced over 30 years.  UGI then uses actual historical winter data to correlate temperature and demand.  As temperatures drop, firm demand increases, so UGI uses the correlation to project the firm peak day demand expected to occur at UGI's design peak day temperature.  Then UGI adjusts for growth and the contractual peak day firm requirement of its large firm transportation customers.  </w:t>
      </w:r>
      <w:proofErr w:type="gramStart"/>
      <w:r w:rsidRPr="0063279F">
        <w:rPr>
          <w:rFonts w:ascii="Times New Roman" w:hAnsi="Times New Roman" w:cs="Times New Roman"/>
        </w:rPr>
        <w:t>UGI Statement No. 3</w:t>
      </w:r>
      <w:r w:rsidR="00961AEF" w:rsidRPr="0063279F">
        <w:rPr>
          <w:rFonts w:ascii="Times New Roman" w:hAnsi="Times New Roman" w:cs="Times New Roman"/>
        </w:rPr>
        <w:t xml:space="preserve"> at</w:t>
      </w:r>
      <w:r w:rsidR="00F53D8C">
        <w:rPr>
          <w:rFonts w:ascii="Times New Roman" w:hAnsi="Times New Roman" w:cs="Times New Roman"/>
        </w:rPr>
        <w:t xml:space="preserve"> </w:t>
      </w:r>
      <w:r w:rsidRPr="0063279F">
        <w:rPr>
          <w:rFonts w:ascii="Times New Roman" w:hAnsi="Times New Roman" w:cs="Times New Roman"/>
        </w:rPr>
        <w:t>12.</w:t>
      </w:r>
      <w:proofErr w:type="gramEnd"/>
    </w:p>
    <w:p w:rsidR="00327E19" w:rsidRPr="0063279F" w:rsidRDefault="00327E19" w:rsidP="00C545C3">
      <w:pPr>
        <w:tabs>
          <w:tab w:val="left" w:pos="720"/>
          <w:tab w:val="left" w:pos="1440"/>
          <w:tab w:val="num" w:pos="2160"/>
          <w:tab w:val="num" w:pos="2520"/>
        </w:tabs>
        <w:spacing w:line="360" w:lineRule="auto"/>
        <w:contextualSpacing/>
        <w:rPr>
          <w:rFonts w:ascii="Times New Roman" w:hAnsi="Times New Roman" w:cs="Times New Roman"/>
        </w:rPr>
      </w:pPr>
    </w:p>
    <w:p w:rsidR="001F21C5" w:rsidRPr="0063279F" w:rsidRDefault="001F21C5" w:rsidP="00C545C3">
      <w:pPr>
        <w:tabs>
          <w:tab w:val="left" w:pos="720"/>
          <w:tab w:val="left" w:pos="1440"/>
          <w:tab w:val="num" w:pos="2160"/>
          <w:tab w:val="num" w:pos="2520"/>
        </w:tabs>
        <w:spacing w:line="360" w:lineRule="auto"/>
        <w:contextualSpacing/>
        <w:rPr>
          <w:rFonts w:ascii="Times New Roman" w:hAnsi="Times New Roman" w:cs="Times New Roman"/>
        </w:rPr>
      </w:pPr>
      <w:r w:rsidRPr="0063279F">
        <w:rPr>
          <w:rFonts w:ascii="Times New Roman" w:hAnsi="Times New Roman" w:cs="Times New Roman"/>
        </w:rPr>
        <w:tab/>
      </w:r>
      <w:r w:rsidR="00961AEF" w:rsidRPr="0063279F">
        <w:rPr>
          <w:rFonts w:ascii="Times New Roman" w:hAnsi="Times New Roman" w:cs="Times New Roman"/>
        </w:rPr>
        <w:tab/>
      </w:r>
      <w:r w:rsidRPr="0063279F">
        <w:rPr>
          <w:rFonts w:ascii="Times New Roman" w:hAnsi="Times New Roman" w:cs="Times New Roman"/>
        </w:rPr>
        <w:t xml:space="preserve">UG1 stated that it calculated the projected peak day demand by summing </w:t>
      </w:r>
      <w:r w:rsidRPr="0063279F">
        <w:rPr>
          <w:rFonts w:ascii="Times New Roman" w:hAnsi="Times New Roman" w:cs="Times New Roman"/>
          <w:b/>
        </w:rPr>
        <w:t>(</w:t>
      </w:r>
      <w:r w:rsidRPr="0063279F">
        <w:rPr>
          <w:rFonts w:ascii="Times New Roman" w:hAnsi="Times New Roman" w:cs="Times New Roman"/>
        </w:rPr>
        <w:t xml:space="preserve">1) the actual firm core market </w:t>
      </w:r>
      <w:r w:rsidR="001E2DFB" w:rsidRPr="0063279F">
        <w:rPr>
          <w:rFonts w:ascii="Times New Roman" w:hAnsi="Times New Roman" w:cs="Times New Roman"/>
        </w:rPr>
        <w:t>send out</w:t>
      </w:r>
      <w:r w:rsidRPr="0063279F">
        <w:rPr>
          <w:rFonts w:ascii="Times New Roman" w:hAnsi="Times New Roman" w:cs="Times New Roman"/>
        </w:rPr>
        <w:t xml:space="preserve"> on January 7, 2014, (2) the product of the average slope from the past two winters' linear regression equations and the difference between the actual mean temperature on January 7, 2014 and UGI's design peak day temperature, (3) the peak day firm requirement of its large firm transportation customers, and (4) projected core market growth. </w:t>
      </w:r>
      <w:r w:rsidR="00940E96">
        <w:rPr>
          <w:rFonts w:ascii="Times New Roman" w:hAnsi="Times New Roman" w:cs="Times New Roman"/>
        </w:rPr>
        <w:t xml:space="preserve"> </w:t>
      </w:r>
      <w:r w:rsidRPr="0063279F">
        <w:rPr>
          <w:rFonts w:ascii="Times New Roman" w:hAnsi="Times New Roman" w:cs="Times New Roman"/>
        </w:rPr>
        <w:t xml:space="preserve">The result was a projected firm peak day demand of 706,146 </w:t>
      </w:r>
      <w:proofErr w:type="spellStart"/>
      <w:r w:rsidRPr="0063279F">
        <w:rPr>
          <w:rFonts w:ascii="Times New Roman" w:hAnsi="Times New Roman" w:cs="Times New Roman"/>
        </w:rPr>
        <w:t>Dth</w:t>
      </w:r>
      <w:proofErr w:type="spellEnd"/>
      <w:r w:rsidRPr="0063279F">
        <w:rPr>
          <w:rFonts w:ascii="Times New Roman" w:hAnsi="Times New Roman" w:cs="Times New Roman"/>
        </w:rPr>
        <w:t xml:space="preserve"> for the upcoming winter 2014-2015.  </w:t>
      </w:r>
      <w:r w:rsidRPr="0063279F">
        <w:rPr>
          <w:rFonts w:ascii="Times New Roman" w:hAnsi="Times New Roman" w:cs="Times New Roman"/>
          <w:i/>
        </w:rPr>
        <w:t>See</w:t>
      </w:r>
      <w:r w:rsidRPr="0063279F">
        <w:rPr>
          <w:rFonts w:ascii="Times New Roman" w:hAnsi="Times New Roman" w:cs="Times New Roman"/>
        </w:rPr>
        <w:t>, UGI Statement No. 3</w:t>
      </w:r>
      <w:r w:rsidR="00327E19" w:rsidRPr="0063279F">
        <w:rPr>
          <w:rFonts w:ascii="Times New Roman" w:hAnsi="Times New Roman" w:cs="Times New Roman"/>
        </w:rPr>
        <w:t xml:space="preserve"> at</w:t>
      </w:r>
      <w:r w:rsidRPr="0063279F">
        <w:rPr>
          <w:rFonts w:ascii="Times New Roman" w:hAnsi="Times New Roman" w:cs="Times New Roman"/>
        </w:rPr>
        <w:t>15.</w:t>
      </w:r>
    </w:p>
    <w:p w:rsidR="00961AEF" w:rsidRPr="0063279F" w:rsidRDefault="001F21C5" w:rsidP="00C545C3">
      <w:pPr>
        <w:tabs>
          <w:tab w:val="left" w:pos="720"/>
          <w:tab w:val="left" w:pos="1440"/>
          <w:tab w:val="num" w:pos="2160"/>
          <w:tab w:val="num" w:pos="2520"/>
        </w:tabs>
        <w:spacing w:line="360" w:lineRule="auto"/>
        <w:contextualSpacing/>
        <w:rPr>
          <w:rFonts w:ascii="Times New Roman" w:hAnsi="Times New Roman" w:cs="Times New Roman"/>
        </w:rPr>
      </w:pPr>
      <w:r w:rsidRPr="0063279F">
        <w:rPr>
          <w:rFonts w:ascii="Times New Roman" w:hAnsi="Times New Roman" w:cs="Times New Roman"/>
        </w:rPr>
        <w:tab/>
      </w:r>
    </w:p>
    <w:p w:rsidR="001F21C5" w:rsidRPr="0063279F" w:rsidRDefault="00961AEF" w:rsidP="00C545C3">
      <w:pPr>
        <w:tabs>
          <w:tab w:val="left" w:pos="720"/>
          <w:tab w:val="left" w:pos="1440"/>
          <w:tab w:val="num" w:pos="2160"/>
          <w:tab w:val="num" w:pos="2520"/>
        </w:tabs>
        <w:spacing w:line="360" w:lineRule="auto"/>
        <w:contextualSpacing/>
        <w:rPr>
          <w:rFonts w:ascii="Times New Roman" w:hAnsi="Times New Roman" w:cs="Times New Roman"/>
        </w:rPr>
      </w:pPr>
      <w:r w:rsidRPr="0063279F">
        <w:rPr>
          <w:rFonts w:ascii="Times New Roman" w:hAnsi="Times New Roman" w:cs="Times New Roman"/>
        </w:rPr>
        <w:tab/>
      </w:r>
      <w:r w:rsidRPr="0063279F">
        <w:rPr>
          <w:rFonts w:ascii="Times New Roman" w:hAnsi="Times New Roman" w:cs="Times New Roman"/>
        </w:rPr>
        <w:tab/>
      </w:r>
      <w:proofErr w:type="gramStart"/>
      <w:r w:rsidR="001F21C5" w:rsidRPr="0063279F">
        <w:rPr>
          <w:rFonts w:ascii="Times New Roman" w:hAnsi="Times New Roman" w:cs="Times New Roman"/>
        </w:rPr>
        <w:t xml:space="preserve">In last year's PGC proceeding </w:t>
      </w:r>
      <w:r w:rsidR="00327E19" w:rsidRPr="0063279F">
        <w:rPr>
          <w:rFonts w:ascii="Times New Roman" w:hAnsi="Times New Roman" w:cs="Times New Roman"/>
        </w:rPr>
        <w:t>at</w:t>
      </w:r>
      <w:r w:rsidRPr="0063279F">
        <w:rPr>
          <w:rFonts w:ascii="Times New Roman" w:hAnsi="Times New Roman" w:cs="Times New Roman"/>
        </w:rPr>
        <w:t xml:space="preserve"> </w:t>
      </w:r>
      <w:r w:rsidR="001F21C5" w:rsidRPr="0063279F">
        <w:rPr>
          <w:rFonts w:ascii="Times New Roman" w:hAnsi="Times New Roman" w:cs="Times New Roman"/>
        </w:rPr>
        <w:t>Docket No.</w:t>
      </w:r>
      <w:proofErr w:type="gramEnd"/>
      <w:r w:rsidR="001F21C5" w:rsidRPr="0063279F">
        <w:rPr>
          <w:rFonts w:ascii="Times New Roman" w:hAnsi="Times New Roman" w:cs="Times New Roman"/>
        </w:rPr>
        <w:t xml:space="preserve"> R-2013-2361771, UGI removed the results from winter 2011-2012 because UGI asserted that it was an outlier due to being the fourth warmest winter on record in Pennsylvania when compared to 2012-2013 and 2013-2014.  </w:t>
      </w:r>
      <w:r w:rsidR="001F21C5" w:rsidRPr="0063279F">
        <w:rPr>
          <w:rFonts w:ascii="Times New Roman" w:hAnsi="Times New Roman" w:cs="Times New Roman"/>
          <w:i/>
        </w:rPr>
        <w:t>See</w:t>
      </w:r>
      <w:r w:rsidR="001F21C5" w:rsidRPr="0063279F">
        <w:rPr>
          <w:rFonts w:ascii="Times New Roman" w:hAnsi="Times New Roman" w:cs="Times New Roman"/>
        </w:rPr>
        <w:t>, UGI Statement No. 3</w:t>
      </w:r>
      <w:r w:rsidRPr="0063279F">
        <w:rPr>
          <w:rFonts w:ascii="Times New Roman" w:hAnsi="Times New Roman" w:cs="Times New Roman"/>
        </w:rPr>
        <w:t xml:space="preserve"> at</w:t>
      </w:r>
      <w:r w:rsidR="001F21C5" w:rsidRPr="0063279F">
        <w:rPr>
          <w:rFonts w:ascii="Times New Roman" w:hAnsi="Times New Roman" w:cs="Times New Roman"/>
        </w:rPr>
        <w:t xml:space="preserve"> 16.  UGI asserted further that consistent with last year's approach, UGI removed winter 2011-2012 from the 2014-2015</w:t>
      </w:r>
      <w:r w:rsidR="001F21C5" w:rsidRPr="0063279F">
        <w:rPr>
          <w:rFonts w:ascii="Times New Roman" w:hAnsi="Times New Roman" w:cs="Times New Roman"/>
          <w:b/>
        </w:rPr>
        <w:t xml:space="preserve"> </w:t>
      </w:r>
      <w:r w:rsidR="001F21C5" w:rsidRPr="0063279F">
        <w:rPr>
          <w:rFonts w:ascii="Times New Roman" w:hAnsi="Times New Roman" w:cs="Times New Roman"/>
        </w:rPr>
        <w:t xml:space="preserve">peak day calculation.  However, after UGI analyzed the results of dropping winter 2011-2012 and using an average of the remaining three years, UGI determined the projected peak day demand was being underestimated. </w:t>
      </w:r>
      <w:r w:rsidR="00031563">
        <w:rPr>
          <w:rFonts w:ascii="Times New Roman" w:hAnsi="Times New Roman" w:cs="Times New Roman"/>
        </w:rPr>
        <w:t xml:space="preserve"> </w:t>
      </w:r>
      <w:r w:rsidR="001F21C5" w:rsidRPr="0063279F">
        <w:rPr>
          <w:rFonts w:ascii="Times New Roman" w:hAnsi="Times New Roman" w:cs="Times New Roman"/>
          <w:i/>
        </w:rPr>
        <w:t>See</w:t>
      </w:r>
      <w:r w:rsidR="001F21C5" w:rsidRPr="0063279F">
        <w:rPr>
          <w:rFonts w:ascii="Times New Roman" w:hAnsi="Times New Roman" w:cs="Times New Roman"/>
        </w:rPr>
        <w:t>, UGI Statement No. 3</w:t>
      </w:r>
      <w:r w:rsidRPr="0063279F">
        <w:rPr>
          <w:rFonts w:ascii="Times New Roman" w:hAnsi="Times New Roman" w:cs="Times New Roman"/>
        </w:rPr>
        <w:t xml:space="preserve"> at 16</w:t>
      </w:r>
      <w:r w:rsidR="001F21C5" w:rsidRPr="0063279F">
        <w:rPr>
          <w:rFonts w:ascii="Times New Roman" w:hAnsi="Times New Roman" w:cs="Times New Roman"/>
        </w:rPr>
        <w:t xml:space="preserve">.  Therefore, UGI discarded winter 2010-2011 as an outlier so as not to understate UGI's projected firm peak day demand for the upcoming winter 2014-2015.  </w:t>
      </w:r>
      <w:r w:rsidR="001F21C5" w:rsidRPr="0063279F">
        <w:rPr>
          <w:rFonts w:ascii="Times New Roman" w:hAnsi="Times New Roman" w:cs="Times New Roman"/>
          <w:i/>
        </w:rPr>
        <w:t>See</w:t>
      </w:r>
      <w:r w:rsidR="001F21C5" w:rsidRPr="0063279F">
        <w:rPr>
          <w:rFonts w:ascii="Times New Roman" w:hAnsi="Times New Roman" w:cs="Times New Roman"/>
        </w:rPr>
        <w:t>, UGI Statement No. 3</w:t>
      </w:r>
      <w:r w:rsidRPr="0063279F">
        <w:rPr>
          <w:rFonts w:ascii="Times New Roman" w:hAnsi="Times New Roman" w:cs="Times New Roman"/>
        </w:rPr>
        <w:t xml:space="preserve"> at</w:t>
      </w:r>
      <w:r w:rsidR="001F21C5" w:rsidRPr="0063279F">
        <w:rPr>
          <w:rFonts w:ascii="Times New Roman" w:hAnsi="Times New Roman" w:cs="Times New Roman"/>
        </w:rPr>
        <w:t xml:space="preserve"> 16.  UGI reasoned further that it should have also, with the benefit of hindsight, identified the winter of 2011-2012 as an outlier.  And, therefore, UGI did not include data from either winter 2010-2011 or winter 2011-2012 to develop the projected peak day demand for this upcoming winter.  </w:t>
      </w:r>
      <w:r w:rsidR="001F21C5" w:rsidRPr="0063279F">
        <w:rPr>
          <w:rFonts w:ascii="Times New Roman" w:hAnsi="Times New Roman" w:cs="Times New Roman"/>
          <w:i/>
        </w:rPr>
        <w:t>See</w:t>
      </w:r>
      <w:r w:rsidR="001F21C5" w:rsidRPr="0063279F">
        <w:rPr>
          <w:rFonts w:ascii="Times New Roman" w:hAnsi="Times New Roman" w:cs="Times New Roman"/>
        </w:rPr>
        <w:t>, UGI Statement No. 3</w:t>
      </w:r>
      <w:r w:rsidRPr="0063279F">
        <w:rPr>
          <w:rFonts w:ascii="Times New Roman" w:hAnsi="Times New Roman" w:cs="Times New Roman"/>
        </w:rPr>
        <w:t xml:space="preserve"> at</w:t>
      </w:r>
      <w:r w:rsidR="008B39DA">
        <w:rPr>
          <w:rFonts w:ascii="Times New Roman" w:hAnsi="Times New Roman" w:cs="Times New Roman"/>
        </w:rPr>
        <w:t xml:space="preserve"> 17.  </w:t>
      </w:r>
      <w:r w:rsidR="001F21C5" w:rsidRPr="0063279F">
        <w:rPr>
          <w:rFonts w:ascii="Times New Roman" w:hAnsi="Times New Roman" w:cs="Times New Roman"/>
        </w:rPr>
        <w:t xml:space="preserve">UGI then considered using the average of the remaining two years (2012-2013 and 2013-2014) to project peak day demand, but in the end elected to simply use the actual firm demand January 7, 2014, which was the coldest day of the year and where demand exceeded this past year’s linear regression equation.  </w:t>
      </w:r>
      <w:r w:rsidR="001F21C5" w:rsidRPr="0063279F">
        <w:rPr>
          <w:rFonts w:ascii="Times New Roman" w:hAnsi="Times New Roman" w:cs="Times New Roman"/>
          <w:i/>
        </w:rPr>
        <w:t>See</w:t>
      </w:r>
      <w:r w:rsidR="001F21C5" w:rsidRPr="0063279F">
        <w:rPr>
          <w:rFonts w:ascii="Times New Roman" w:hAnsi="Times New Roman" w:cs="Times New Roman"/>
        </w:rPr>
        <w:t>, UGI Statement No. 3</w:t>
      </w:r>
      <w:r w:rsidRPr="0063279F">
        <w:rPr>
          <w:rFonts w:ascii="Times New Roman" w:hAnsi="Times New Roman" w:cs="Times New Roman"/>
        </w:rPr>
        <w:t xml:space="preserve"> at</w:t>
      </w:r>
      <w:r w:rsidR="001F21C5" w:rsidRPr="0063279F">
        <w:rPr>
          <w:rFonts w:ascii="Times New Roman" w:hAnsi="Times New Roman" w:cs="Times New Roman"/>
        </w:rPr>
        <w:t xml:space="preserve"> 17.</w:t>
      </w:r>
    </w:p>
    <w:p w:rsidR="00327E19" w:rsidRPr="0063279F" w:rsidRDefault="00327E19" w:rsidP="00C545C3">
      <w:pPr>
        <w:tabs>
          <w:tab w:val="left" w:pos="720"/>
          <w:tab w:val="left" w:pos="1440"/>
          <w:tab w:val="num" w:pos="2160"/>
          <w:tab w:val="num" w:pos="2520"/>
        </w:tabs>
        <w:spacing w:line="360" w:lineRule="auto"/>
        <w:contextualSpacing/>
        <w:rPr>
          <w:rFonts w:ascii="Times New Roman" w:hAnsi="Times New Roman" w:cs="Times New Roman"/>
        </w:rPr>
      </w:pPr>
    </w:p>
    <w:p w:rsidR="001F21C5" w:rsidRPr="0063279F" w:rsidRDefault="00961AEF" w:rsidP="00C545C3">
      <w:pPr>
        <w:tabs>
          <w:tab w:val="left" w:pos="720"/>
          <w:tab w:val="left" w:pos="1440"/>
          <w:tab w:val="num" w:pos="2160"/>
          <w:tab w:val="num" w:pos="2520"/>
        </w:tabs>
        <w:spacing w:line="360" w:lineRule="auto"/>
        <w:contextualSpacing/>
        <w:rPr>
          <w:rFonts w:ascii="Times New Roman" w:hAnsi="Times New Roman" w:cs="Times New Roman"/>
        </w:rPr>
      </w:pPr>
      <w:r w:rsidRPr="0063279F">
        <w:rPr>
          <w:rFonts w:ascii="Times New Roman" w:hAnsi="Times New Roman" w:cs="Times New Roman"/>
        </w:rPr>
        <w:tab/>
      </w:r>
      <w:r w:rsidR="001F21C5" w:rsidRPr="0063279F">
        <w:rPr>
          <w:rFonts w:ascii="Times New Roman" w:hAnsi="Times New Roman" w:cs="Times New Roman"/>
        </w:rPr>
        <w:tab/>
        <w:t xml:space="preserve">In response to UGI’s proposal regarding the calculation of the projected peak day demand by simply using the actual firm demand January 7, 2014, which was the coldest day of the year and where demand exceeded this past year’s linear regression equation, I&amp;E disagreed with this approach and stated UGI arbitrarily denied the use of data points in order to generate the higher peak day that it desired to justify the addition of more UGIES Peaking service.  Further, </w:t>
      </w:r>
      <w:r w:rsidR="00DC426A">
        <w:rPr>
          <w:rFonts w:ascii="Times New Roman" w:hAnsi="Times New Roman" w:cs="Times New Roman"/>
        </w:rPr>
        <w:t>I&amp;</w:t>
      </w:r>
      <w:r w:rsidRPr="0063279F">
        <w:rPr>
          <w:rFonts w:ascii="Times New Roman" w:hAnsi="Times New Roman" w:cs="Times New Roman"/>
        </w:rPr>
        <w:t xml:space="preserve">E believed </w:t>
      </w:r>
      <w:r w:rsidR="001F21C5" w:rsidRPr="0063279F">
        <w:rPr>
          <w:rFonts w:ascii="Times New Roman" w:hAnsi="Times New Roman" w:cs="Times New Roman"/>
        </w:rPr>
        <w:t xml:space="preserve">UGI’s analysis is based on the actual data from January 7, 2014 which was the coldest day experienced in 20 years.  By ignoring the peak data from any previous winters and applying a new linear regression analysis based on that point going forward, UGI essentially assumed that every winter in the future will be colder than this recent record cold winter.  I&amp;E argued that this projection is not supported, as it is much more likely that the January 7, 2014 data is an outlier and that temperatures will fall back towards the average.  </w:t>
      </w:r>
      <w:r w:rsidR="001F21C5" w:rsidRPr="0063279F">
        <w:rPr>
          <w:rFonts w:ascii="Times New Roman" w:hAnsi="Times New Roman" w:cs="Times New Roman"/>
          <w:i/>
        </w:rPr>
        <w:t>See</w:t>
      </w:r>
      <w:r w:rsidR="001F21C5" w:rsidRPr="0063279F">
        <w:rPr>
          <w:rFonts w:ascii="Times New Roman" w:hAnsi="Times New Roman" w:cs="Times New Roman"/>
        </w:rPr>
        <w:t xml:space="preserve">, </w:t>
      </w:r>
      <w:proofErr w:type="gramStart"/>
      <w:r w:rsidR="001F21C5" w:rsidRPr="0063279F">
        <w:rPr>
          <w:rFonts w:ascii="Times New Roman" w:hAnsi="Times New Roman" w:cs="Times New Roman"/>
        </w:rPr>
        <w:t>I&amp;E</w:t>
      </w:r>
      <w:proofErr w:type="gramEnd"/>
      <w:r w:rsidR="001F21C5" w:rsidRPr="0063279F">
        <w:rPr>
          <w:rFonts w:ascii="Times New Roman" w:hAnsi="Times New Roman" w:cs="Times New Roman"/>
        </w:rPr>
        <w:t xml:space="preserve"> Statement No. 1</w:t>
      </w:r>
      <w:r w:rsidRPr="0063279F">
        <w:rPr>
          <w:rFonts w:ascii="Times New Roman" w:hAnsi="Times New Roman" w:cs="Times New Roman"/>
        </w:rPr>
        <w:t xml:space="preserve"> at</w:t>
      </w:r>
      <w:r w:rsidR="001F21C5" w:rsidRPr="0063279F">
        <w:rPr>
          <w:rFonts w:ascii="Times New Roman" w:hAnsi="Times New Roman" w:cs="Times New Roman"/>
        </w:rPr>
        <w:t xml:space="preserve"> 21</w:t>
      </w:r>
      <w:r w:rsidRPr="0063279F">
        <w:rPr>
          <w:rFonts w:ascii="Times New Roman" w:hAnsi="Times New Roman" w:cs="Times New Roman"/>
        </w:rPr>
        <w:t>-</w:t>
      </w:r>
      <w:r w:rsidR="001F21C5" w:rsidRPr="0063279F">
        <w:rPr>
          <w:rFonts w:ascii="Times New Roman" w:hAnsi="Times New Roman" w:cs="Times New Roman"/>
        </w:rPr>
        <w:t>22.</w:t>
      </w:r>
    </w:p>
    <w:p w:rsidR="00961AEF" w:rsidRPr="0063279F" w:rsidRDefault="001F21C5" w:rsidP="00C545C3">
      <w:pPr>
        <w:tabs>
          <w:tab w:val="left" w:pos="720"/>
          <w:tab w:val="left" w:pos="1440"/>
          <w:tab w:val="num" w:pos="2160"/>
          <w:tab w:val="num" w:pos="2520"/>
        </w:tabs>
        <w:spacing w:line="360" w:lineRule="auto"/>
        <w:contextualSpacing/>
        <w:rPr>
          <w:rFonts w:ascii="Times New Roman" w:hAnsi="Times New Roman" w:cs="Times New Roman"/>
        </w:rPr>
      </w:pPr>
      <w:r w:rsidRPr="0063279F">
        <w:rPr>
          <w:rFonts w:ascii="Times New Roman" w:hAnsi="Times New Roman" w:cs="Times New Roman"/>
        </w:rPr>
        <w:tab/>
      </w:r>
    </w:p>
    <w:p w:rsidR="001F21C5" w:rsidRPr="0063279F" w:rsidRDefault="00961AEF" w:rsidP="00C545C3">
      <w:pPr>
        <w:tabs>
          <w:tab w:val="left" w:pos="720"/>
          <w:tab w:val="left" w:pos="1440"/>
          <w:tab w:val="num" w:pos="2160"/>
          <w:tab w:val="num" w:pos="2520"/>
        </w:tabs>
        <w:spacing w:line="360" w:lineRule="auto"/>
        <w:contextualSpacing/>
        <w:rPr>
          <w:rFonts w:ascii="Times New Roman" w:hAnsi="Times New Roman" w:cs="Times New Roman"/>
        </w:rPr>
      </w:pPr>
      <w:r w:rsidRPr="0063279F">
        <w:rPr>
          <w:rFonts w:ascii="Times New Roman" w:hAnsi="Times New Roman" w:cs="Times New Roman"/>
        </w:rPr>
        <w:tab/>
      </w:r>
      <w:r w:rsidRPr="0063279F">
        <w:rPr>
          <w:rFonts w:ascii="Times New Roman" w:hAnsi="Times New Roman" w:cs="Times New Roman"/>
        </w:rPr>
        <w:tab/>
      </w:r>
      <w:r w:rsidR="001F21C5" w:rsidRPr="0063279F">
        <w:rPr>
          <w:rFonts w:ascii="Times New Roman" w:hAnsi="Times New Roman" w:cs="Times New Roman"/>
        </w:rPr>
        <w:t xml:space="preserve">However, I&amp;E </w:t>
      </w:r>
      <w:proofErr w:type="gramStart"/>
      <w:r w:rsidRPr="0063279F">
        <w:rPr>
          <w:rFonts w:ascii="Times New Roman" w:hAnsi="Times New Roman" w:cs="Times New Roman"/>
        </w:rPr>
        <w:t>is</w:t>
      </w:r>
      <w:proofErr w:type="gramEnd"/>
      <w:r w:rsidRPr="0063279F">
        <w:rPr>
          <w:rFonts w:ascii="Times New Roman" w:hAnsi="Times New Roman" w:cs="Times New Roman"/>
        </w:rPr>
        <w:t xml:space="preserve"> willing to compromise its position, and </w:t>
      </w:r>
      <w:r w:rsidR="001F21C5" w:rsidRPr="0063279F">
        <w:rPr>
          <w:rFonts w:ascii="Times New Roman" w:hAnsi="Times New Roman" w:cs="Times New Roman"/>
        </w:rPr>
        <w:t>supports the terms of the peak day requirements</w:t>
      </w:r>
      <w:r w:rsidRPr="0063279F">
        <w:rPr>
          <w:rFonts w:ascii="Times New Roman" w:hAnsi="Times New Roman" w:cs="Times New Roman"/>
        </w:rPr>
        <w:t xml:space="preserve"> in the Settlement</w:t>
      </w:r>
      <w:r w:rsidR="001F21C5" w:rsidRPr="0063279F">
        <w:rPr>
          <w:rFonts w:ascii="Times New Roman" w:hAnsi="Times New Roman" w:cs="Times New Roman"/>
        </w:rPr>
        <w:t xml:space="preserve">.  I&amp;E </w:t>
      </w:r>
      <w:proofErr w:type="gramStart"/>
      <w:r w:rsidR="001F21C5" w:rsidRPr="0063279F">
        <w:rPr>
          <w:rFonts w:ascii="Times New Roman" w:hAnsi="Times New Roman" w:cs="Times New Roman"/>
        </w:rPr>
        <w:t>believes</w:t>
      </w:r>
      <w:proofErr w:type="gramEnd"/>
      <w:r w:rsidR="001F21C5" w:rsidRPr="0063279F">
        <w:rPr>
          <w:rFonts w:ascii="Times New Roman" w:hAnsi="Times New Roman" w:cs="Times New Roman"/>
        </w:rPr>
        <w:t xml:space="preserve"> that the settled upon projected peak day demand requirements provide stability to UGI, and provide protection from volatility; all of which are consistent with protecting the public interest.</w:t>
      </w:r>
    </w:p>
    <w:p w:rsidR="00F57B74" w:rsidRPr="0063279F" w:rsidRDefault="00F57B74" w:rsidP="00C545C3">
      <w:pPr>
        <w:tabs>
          <w:tab w:val="left" w:pos="720"/>
          <w:tab w:val="left" w:pos="1440"/>
          <w:tab w:val="num" w:pos="2160"/>
          <w:tab w:val="num" w:pos="2520"/>
        </w:tabs>
        <w:spacing w:line="360" w:lineRule="auto"/>
        <w:contextualSpacing/>
        <w:rPr>
          <w:rFonts w:ascii="Times New Roman" w:hAnsi="Times New Roman" w:cs="Times New Roman"/>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1353"/>
        <w:gridCol w:w="1353"/>
        <w:gridCol w:w="1354"/>
        <w:gridCol w:w="1354"/>
        <w:gridCol w:w="1354"/>
        <w:gridCol w:w="1354"/>
      </w:tblGrid>
      <w:tr w:rsidR="00F57B74" w:rsidRPr="0063279F" w:rsidTr="00374870">
        <w:tc>
          <w:tcPr>
            <w:tcW w:w="9486" w:type="dxa"/>
            <w:gridSpan w:val="7"/>
            <w:shd w:val="clear" w:color="auto" w:fill="auto"/>
            <w:vAlign w:val="center"/>
          </w:tcPr>
          <w:p w:rsidR="00F57B74" w:rsidRPr="0063279F" w:rsidRDefault="00F57B74" w:rsidP="00374870">
            <w:pPr>
              <w:pStyle w:val="ListParagraph"/>
              <w:spacing w:before="120" w:after="120" w:line="276" w:lineRule="auto"/>
              <w:ind w:left="0"/>
              <w:jc w:val="center"/>
              <w:rPr>
                <w:rFonts w:ascii="Times New Roman" w:hAnsi="Times New Roman" w:cs="Times New Roman"/>
                <w:b/>
              </w:rPr>
            </w:pPr>
            <w:r w:rsidRPr="0063279F">
              <w:rPr>
                <w:rFonts w:ascii="Times New Roman" w:hAnsi="Times New Roman" w:cs="Times New Roman"/>
                <w:b/>
              </w:rPr>
              <w:t>Table 2 – UGI’s Peaking Service Contracts</w:t>
            </w:r>
          </w:p>
        </w:tc>
      </w:tr>
      <w:tr w:rsidR="00F57B74" w:rsidRPr="0063279F" w:rsidTr="00374870">
        <w:tc>
          <w:tcPr>
            <w:tcW w:w="1364" w:type="dxa"/>
            <w:shd w:val="clear" w:color="auto" w:fill="auto"/>
          </w:tcPr>
          <w:p w:rsidR="00F57B74" w:rsidRPr="0063279F" w:rsidRDefault="00F57B74" w:rsidP="00374870">
            <w:pPr>
              <w:pStyle w:val="ListParagraph"/>
              <w:spacing w:before="120" w:after="120" w:line="276" w:lineRule="auto"/>
              <w:ind w:left="0"/>
              <w:rPr>
                <w:rFonts w:ascii="Times New Roman" w:hAnsi="Times New Roman" w:cs="Times New Roman"/>
                <w:b/>
              </w:rPr>
            </w:pPr>
          </w:p>
        </w:tc>
        <w:tc>
          <w:tcPr>
            <w:tcW w:w="2706" w:type="dxa"/>
            <w:gridSpan w:val="2"/>
            <w:shd w:val="clear" w:color="auto" w:fill="auto"/>
          </w:tcPr>
          <w:p w:rsidR="00F57B74" w:rsidRPr="0063279F" w:rsidRDefault="00F57B74" w:rsidP="00374870">
            <w:pPr>
              <w:pStyle w:val="ListParagraph"/>
              <w:spacing w:before="120" w:after="120" w:line="276" w:lineRule="auto"/>
              <w:ind w:left="0"/>
              <w:jc w:val="center"/>
              <w:rPr>
                <w:rFonts w:ascii="Times New Roman" w:hAnsi="Times New Roman" w:cs="Times New Roman"/>
                <w:b/>
              </w:rPr>
            </w:pPr>
            <w:r w:rsidRPr="0063279F">
              <w:rPr>
                <w:rFonts w:ascii="Times New Roman" w:hAnsi="Times New Roman" w:cs="Times New Roman"/>
                <w:b/>
              </w:rPr>
              <w:t>Originally Proposed</w:t>
            </w:r>
          </w:p>
        </w:tc>
        <w:tc>
          <w:tcPr>
            <w:tcW w:w="2708" w:type="dxa"/>
            <w:gridSpan w:val="2"/>
            <w:shd w:val="clear" w:color="auto" w:fill="auto"/>
          </w:tcPr>
          <w:p w:rsidR="00F57B74" w:rsidRPr="0063279F" w:rsidRDefault="00F57B74" w:rsidP="00374870">
            <w:pPr>
              <w:pStyle w:val="ListParagraph"/>
              <w:spacing w:before="120" w:after="120" w:line="276" w:lineRule="auto"/>
              <w:ind w:left="0"/>
              <w:jc w:val="center"/>
              <w:rPr>
                <w:rFonts w:ascii="Times New Roman" w:hAnsi="Times New Roman" w:cs="Times New Roman"/>
                <w:b/>
              </w:rPr>
            </w:pPr>
            <w:r w:rsidRPr="0063279F">
              <w:rPr>
                <w:rFonts w:ascii="Times New Roman" w:hAnsi="Times New Roman" w:cs="Times New Roman"/>
                <w:b/>
              </w:rPr>
              <w:t>Settlement</w:t>
            </w:r>
          </w:p>
        </w:tc>
        <w:tc>
          <w:tcPr>
            <w:tcW w:w="2708" w:type="dxa"/>
            <w:gridSpan w:val="2"/>
            <w:shd w:val="clear" w:color="auto" w:fill="auto"/>
          </w:tcPr>
          <w:p w:rsidR="00F57B74" w:rsidRPr="0063279F" w:rsidRDefault="00F57B74" w:rsidP="00374870">
            <w:pPr>
              <w:pStyle w:val="ListParagraph"/>
              <w:spacing w:before="120" w:after="120" w:line="276" w:lineRule="auto"/>
              <w:ind w:left="0"/>
              <w:jc w:val="center"/>
              <w:rPr>
                <w:rFonts w:ascii="Times New Roman" w:hAnsi="Times New Roman" w:cs="Times New Roman"/>
                <w:b/>
              </w:rPr>
            </w:pPr>
            <w:r w:rsidRPr="0063279F">
              <w:rPr>
                <w:rFonts w:ascii="Times New Roman" w:hAnsi="Times New Roman" w:cs="Times New Roman"/>
                <w:b/>
              </w:rPr>
              <w:t>Difference</w:t>
            </w:r>
          </w:p>
        </w:tc>
      </w:tr>
      <w:tr w:rsidR="00F57B74" w:rsidRPr="0063279F" w:rsidTr="00374870">
        <w:tc>
          <w:tcPr>
            <w:tcW w:w="1364" w:type="dxa"/>
            <w:shd w:val="clear" w:color="auto" w:fill="auto"/>
            <w:vAlign w:val="center"/>
          </w:tcPr>
          <w:p w:rsidR="00F57B74" w:rsidRPr="0063279F" w:rsidRDefault="00F57B74" w:rsidP="00374870">
            <w:pPr>
              <w:pStyle w:val="ListParagraph"/>
              <w:ind w:left="0"/>
              <w:jc w:val="center"/>
              <w:rPr>
                <w:rFonts w:ascii="Times New Roman" w:hAnsi="Times New Roman" w:cs="Times New Roman"/>
                <w:b/>
              </w:rPr>
            </w:pPr>
            <w:r w:rsidRPr="0063279F">
              <w:rPr>
                <w:rFonts w:ascii="Times New Roman" w:hAnsi="Times New Roman" w:cs="Times New Roman"/>
                <w:b/>
              </w:rPr>
              <w:t>Contract</w:t>
            </w:r>
          </w:p>
        </w:tc>
        <w:tc>
          <w:tcPr>
            <w:tcW w:w="1353" w:type="dxa"/>
            <w:shd w:val="clear" w:color="auto" w:fill="auto"/>
            <w:vAlign w:val="center"/>
          </w:tcPr>
          <w:p w:rsidR="00F57B74" w:rsidRPr="0063279F" w:rsidRDefault="00F57B74" w:rsidP="00374870">
            <w:pPr>
              <w:pStyle w:val="ListParagraph"/>
              <w:ind w:left="0"/>
              <w:jc w:val="center"/>
              <w:rPr>
                <w:rFonts w:ascii="Times New Roman" w:hAnsi="Times New Roman" w:cs="Times New Roman"/>
                <w:b/>
              </w:rPr>
            </w:pPr>
            <w:r w:rsidRPr="0063279F">
              <w:rPr>
                <w:rFonts w:ascii="Times New Roman" w:hAnsi="Times New Roman" w:cs="Times New Roman"/>
                <w:b/>
              </w:rPr>
              <w:t>Quantity (</w:t>
            </w:r>
            <w:proofErr w:type="spellStart"/>
            <w:r w:rsidRPr="0063279F">
              <w:rPr>
                <w:rFonts w:ascii="Times New Roman" w:hAnsi="Times New Roman" w:cs="Times New Roman"/>
                <w:b/>
              </w:rPr>
              <w:t>Dth</w:t>
            </w:r>
            <w:proofErr w:type="spellEnd"/>
            <w:r w:rsidRPr="0063279F">
              <w:rPr>
                <w:rFonts w:ascii="Times New Roman" w:hAnsi="Times New Roman" w:cs="Times New Roman"/>
                <w:b/>
              </w:rPr>
              <w:t>/day)</w:t>
            </w:r>
          </w:p>
        </w:tc>
        <w:tc>
          <w:tcPr>
            <w:tcW w:w="1353" w:type="dxa"/>
            <w:shd w:val="clear" w:color="auto" w:fill="auto"/>
            <w:vAlign w:val="center"/>
          </w:tcPr>
          <w:p w:rsidR="00F57B74" w:rsidRPr="0063279F" w:rsidRDefault="00F57B74" w:rsidP="00374870">
            <w:pPr>
              <w:pStyle w:val="ListParagraph"/>
              <w:ind w:left="0"/>
              <w:jc w:val="center"/>
              <w:rPr>
                <w:rFonts w:ascii="Times New Roman" w:hAnsi="Times New Roman" w:cs="Times New Roman"/>
                <w:b/>
              </w:rPr>
            </w:pPr>
            <w:r w:rsidRPr="0063279F">
              <w:rPr>
                <w:rFonts w:ascii="Times New Roman" w:hAnsi="Times New Roman" w:cs="Times New Roman"/>
                <w:b/>
              </w:rPr>
              <w:t>Annual Demand Charge ($)</w:t>
            </w:r>
          </w:p>
        </w:tc>
        <w:tc>
          <w:tcPr>
            <w:tcW w:w="1354" w:type="dxa"/>
            <w:shd w:val="clear" w:color="auto" w:fill="auto"/>
            <w:vAlign w:val="center"/>
          </w:tcPr>
          <w:p w:rsidR="00F57B74" w:rsidRPr="0063279F" w:rsidRDefault="00F57B74" w:rsidP="00374870">
            <w:pPr>
              <w:pStyle w:val="ListParagraph"/>
              <w:ind w:left="0"/>
              <w:jc w:val="center"/>
              <w:rPr>
                <w:rFonts w:ascii="Times New Roman" w:hAnsi="Times New Roman" w:cs="Times New Roman"/>
                <w:b/>
              </w:rPr>
            </w:pPr>
            <w:r w:rsidRPr="0063279F">
              <w:rPr>
                <w:rFonts w:ascii="Times New Roman" w:hAnsi="Times New Roman" w:cs="Times New Roman"/>
                <w:b/>
              </w:rPr>
              <w:t>Quantity (</w:t>
            </w:r>
            <w:proofErr w:type="spellStart"/>
            <w:r w:rsidRPr="0063279F">
              <w:rPr>
                <w:rFonts w:ascii="Times New Roman" w:hAnsi="Times New Roman" w:cs="Times New Roman"/>
                <w:b/>
              </w:rPr>
              <w:t>Dth</w:t>
            </w:r>
            <w:proofErr w:type="spellEnd"/>
            <w:r w:rsidRPr="0063279F">
              <w:rPr>
                <w:rFonts w:ascii="Times New Roman" w:hAnsi="Times New Roman" w:cs="Times New Roman"/>
                <w:b/>
              </w:rPr>
              <w:t>/day)</w:t>
            </w:r>
          </w:p>
        </w:tc>
        <w:tc>
          <w:tcPr>
            <w:tcW w:w="1354" w:type="dxa"/>
            <w:shd w:val="clear" w:color="auto" w:fill="auto"/>
            <w:vAlign w:val="center"/>
          </w:tcPr>
          <w:p w:rsidR="00F57B74" w:rsidRPr="0063279F" w:rsidRDefault="00F57B74" w:rsidP="00374870">
            <w:pPr>
              <w:pStyle w:val="ListParagraph"/>
              <w:ind w:left="0"/>
              <w:jc w:val="center"/>
              <w:rPr>
                <w:rFonts w:ascii="Times New Roman" w:hAnsi="Times New Roman" w:cs="Times New Roman"/>
                <w:b/>
              </w:rPr>
            </w:pPr>
            <w:r w:rsidRPr="0063279F">
              <w:rPr>
                <w:rFonts w:ascii="Times New Roman" w:hAnsi="Times New Roman" w:cs="Times New Roman"/>
                <w:b/>
              </w:rPr>
              <w:t>Annual Demand Charge ($)</w:t>
            </w:r>
          </w:p>
        </w:tc>
        <w:tc>
          <w:tcPr>
            <w:tcW w:w="1354" w:type="dxa"/>
            <w:shd w:val="clear" w:color="auto" w:fill="auto"/>
            <w:vAlign w:val="center"/>
          </w:tcPr>
          <w:p w:rsidR="00F57B74" w:rsidRPr="0063279F" w:rsidRDefault="00F57B74" w:rsidP="00374870">
            <w:pPr>
              <w:pStyle w:val="ListParagraph"/>
              <w:ind w:left="0"/>
              <w:jc w:val="center"/>
              <w:rPr>
                <w:rFonts w:ascii="Times New Roman" w:hAnsi="Times New Roman" w:cs="Times New Roman"/>
                <w:b/>
              </w:rPr>
            </w:pPr>
            <w:r w:rsidRPr="0063279F">
              <w:rPr>
                <w:rFonts w:ascii="Times New Roman" w:hAnsi="Times New Roman" w:cs="Times New Roman"/>
                <w:b/>
              </w:rPr>
              <w:t>Quantity (</w:t>
            </w:r>
            <w:proofErr w:type="spellStart"/>
            <w:r w:rsidRPr="0063279F">
              <w:rPr>
                <w:rFonts w:ascii="Times New Roman" w:hAnsi="Times New Roman" w:cs="Times New Roman"/>
                <w:b/>
              </w:rPr>
              <w:t>Dth</w:t>
            </w:r>
            <w:proofErr w:type="spellEnd"/>
            <w:r w:rsidRPr="0063279F">
              <w:rPr>
                <w:rFonts w:ascii="Times New Roman" w:hAnsi="Times New Roman" w:cs="Times New Roman"/>
                <w:b/>
              </w:rPr>
              <w:t>/day)</w:t>
            </w:r>
          </w:p>
        </w:tc>
        <w:tc>
          <w:tcPr>
            <w:tcW w:w="1354" w:type="dxa"/>
            <w:shd w:val="clear" w:color="auto" w:fill="auto"/>
            <w:vAlign w:val="center"/>
          </w:tcPr>
          <w:p w:rsidR="00F57B74" w:rsidRPr="0063279F" w:rsidRDefault="00F57B74" w:rsidP="00374870">
            <w:pPr>
              <w:pStyle w:val="ListParagraph"/>
              <w:ind w:left="0"/>
              <w:jc w:val="center"/>
              <w:rPr>
                <w:rFonts w:ascii="Times New Roman" w:hAnsi="Times New Roman" w:cs="Times New Roman"/>
                <w:b/>
              </w:rPr>
            </w:pPr>
            <w:r w:rsidRPr="0063279F">
              <w:rPr>
                <w:rFonts w:ascii="Times New Roman" w:hAnsi="Times New Roman" w:cs="Times New Roman"/>
                <w:b/>
              </w:rPr>
              <w:t>Annual Demand Charge ($)</w:t>
            </w:r>
          </w:p>
        </w:tc>
      </w:tr>
      <w:tr w:rsidR="00F57B74" w:rsidRPr="0063279F" w:rsidTr="00374870">
        <w:tc>
          <w:tcPr>
            <w:tcW w:w="1364" w:type="dxa"/>
            <w:shd w:val="clear" w:color="auto" w:fill="auto"/>
          </w:tcPr>
          <w:p w:rsidR="00F57B74" w:rsidRPr="0063279F" w:rsidRDefault="00F57B74" w:rsidP="00374870">
            <w:pPr>
              <w:pStyle w:val="ListParagraph"/>
              <w:ind w:left="0"/>
              <w:rPr>
                <w:rFonts w:ascii="Times New Roman" w:hAnsi="Times New Roman" w:cs="Times New Roman"/>
              </w:rPr>
            </w:pPr>
            <w:r w:rsidRPr="0063279F">
              <w:rPr>
                <w:rFonts w:ascii="Times New Roman" w:hAnsi="Times New Roman" w:cs="Times New Roman"/>
              </w:rPr>
              <w:t>Peaking I</w:t>
            </w:r>
          </w:p>
        </w:tc>
        <w:tc>
          <w:tcPr>
            <w:tcW w:w="1353" w:type="dxa"/>
            <w:shd w:val="clear" w:color="auto" w:fill="auto"/>
          </w:tcPr>
          <w:p w:rsidR="00F57B74" w:rsidRPr="0063279F" w:rsidRDefault="00F57B74" w:rsidP="00374870">
            <w:pPr>
              <w:pStyle w:val="ListParagraph"/>
              <w:ind w:left="0"/>
              <w:jc w:val="center"/>
              <w:rPr>
                <w:rFonts w:ascii="Times New Roman" w:hAnsi="Times New Roman" w:cs="Times New Roman"/>
              </w:rPr>
            </w:pPr>
            <w:r w:rsidRPr="0063279F">
              <w:rPr>
                <w:rFonts w:ascii="Times New Roman" w:hAnsi="Times New Roman" w:cs="Times New Roman"/>
              </w:rPr>
              <w:t>25,000</w:t>
            </w:r>
          </w:p>
        </w:tc>
        <w:tc>
          <w:tcPr>
            <w:tcW w:w="1353" w:type="dxa"/>
            <w:shd w:val="clear" w:color="auto" w:fill="auto"/>
          </w:tcPr>
          <w:p w:rsidR="00F57B74" w:rsidRPr="0063279F" w:rsidRDefault="00F57B74" w:rsidP="00374870">
            <w:pPr>
              <w:pStyle w:val="ListParagraph"/>
              <w:ind w:left="0"/>
              <w:jc w:val="center"/>
              <w:rPr>
                <w:rFonts w:ascii="Times New Roman" w:hAnsi="Times New Roman" w:cs="Times New Roman"/>
              </w:rPr>
            </w:pPr>
            <w:r w:rsidRPr="0063279F">
              <w:rPr>
                <w:rFonts w:ascii="Times New Roman" w:hAnsi="Times New Roman" w:cs="Times New Roman"/>
              </w:rPr>
              <w:t>6,125,000</w:t>
            </w:r>
          </w:p>
        </w:tc>
        <w:tc>
          <w:tcPr>
            <w:tcW w:w="1354" w:type="dxa"/>
            <w:shd w:val="clear" w:color="auto" w:fill="auto"/>
          </w:tcPr>
          <w:p w:rsidR="00F57B74" w:rsidRPr="0063279F" w:rsidRDefault="00F57B74" w:rsidP="00374870">
            <w:pPr>
              <w:pStyle w:val="ListParagraph"/>
              <w:ind w:left="0"/>
              <w:jc w:val="center"/>
              <w:rPr>
                <w:rFonts w:ascii="Times New Roman" w:hAnsi="Times New Roman" w:cs="Times New Roman"/>
              </w:rPr>
            </w:pPr>
            <w:r w:rsidRPr="0063279F">
              <w:rPr>
                <w:rFonts w:ascii="Times New Roman" w:hAnsi="Times New Roman" w:cs="Times New Roman"/>
              </w:rPr>
              <w:t>25,000</w:t>
            </w:r>
          </w:p>
        </w:tc>
        <w:tc>
          <w:tcPr>
            <w:tcW w:w="1354" w:type="dxa"/>
            <w:shd w:val="clear" w:color="auto" w:fill="auto"/>
          </w:tcPr>
          <w:p w:rsidR="00F57B74" w:rsidRPr="0063279F" w:rsidRDefault="00F57B74" w:rsidP="00374870">
            <w:pPr>
              <w:pStyle w:val="ListParagraph"/>
              <w:ind w:left="0"/>
              <w:jc w:val="center"/>
              <w:rPr>
                <w:rFonts w:ascii="Times New Roman" w:hAnsi="Times New Roman" w:cs="Times New Roman"/>
              </w:rPr>
            </w:pPr>
            <w:r w:rsidRPr="0063279F">
              <w:rPr>
                <w:rFonts w:ascii="Times New Roman" w:hAnsi="Times New Roman" w:cs="Times New Roman"/>
              </w:rPr>
              <w:t>6,125,000</w:t>
            </w:r>
          </w:p>
        </w:tc>
        <w:tc>
          <w:tcPr>
            <w:tcW w:w="1354" w:type="dxa"/>
            <w:shd w:val="clear" w:color="auto" w:fill="auto"/>
          </w:tcPr>
          <w:p w:rsidR="00F57B74" w:rsidRPr="0063279F" w:rsidRDefault="00F57B74" w:rsidP="00374870">
            <w:pPr>
              <w:pStyle w:val="ListParagraph"/>
              <w:ind w:left="0"/>
              <w:jc w:val="center"/>
              <w:rPr>
                <w:rFonts w:ascii="Times New Roman" w:hAnsi="Times New Roman" w:cs="Times New Roman"/>
              </w:rPr>
            </w:pPr>
            <w:r w:rsidRPr="0063279F">
              <w:rPr>
                <w:rFonts w:ascii="Times New Roman" w:hAnsi="Times New Roman" w:cs="Times New Roman"/>
              </w:rPr>
              <w:t>0</w:t>
            </w:r>
          </w:p>
        </w:tc>
        <w:tc>
          <w:tcPr>
            <w:tcW w:w="1354" w:type="dxa"/>
            <w:shd w:val="clear" w:color="auto" w:fill="auto"/>
          </w:tcPr>
          <w:p w:rsidR="00F57B74" w:rsidRPr="0063279F" w:rsidRDefault="00F57B74" w:rsidP="00374870">
            <w:pPr>
              <w:pStyle w:val="ListParagraph"/>
              <w:ind w:left="0"/>
              <w:jc w:val="center"/>
              <w:rPr>
                <w:rFonts w:ascii="Times New Roman" w:hAnsi="Times New Roman" w:cs="Times New Roman"/>
              </w:rPr>
            </w:pPr>
            <w:r w:rsidRPr="0063279F">
              <w:rPr>
                <w:rFonts w:ascii="Times New Roman" w:hAnsi="Times New Roman" w:cs="Times New Roman"/>
              </w:rPr>
              <w:t>0</w:t>
            </w:r>
          </w:p>
        </w:tc>
      </w:tr>
      <w:tr w:rsidR="00F57B74" w:rsidRPr="0063279F" w:rsidTr="00374870">
        <w:tc>
          <w:tcPr>
            <w:tcW w:w="1364" w:type="dxa"/>
            <w:shd w:val="clear" w:color="auto" w:fill="auto"/>
          </w:tcPr>
          <w:p w:rsidR="00F57B74" w:rsidRPr="0063279F" w:rsidRDefault="00F57B74" w:rsidP="00374870">
            <w:pPr>
              <w:pStyle w:val="ListParagraph"/>
              <w:ind w:left="0"/>
              <w:rPr>
                <w:rFonts w:ascii="Times New Roman" w:hAnsi="Times New Roman" w:cs="Times New Roman"/>
              </w:rPr>
            </w:pPr>
            <w:r w:rsidRPr="0063279F">
              <w:rPr>
                <w:rFonts w:ascii="Times New Roman" w:hAnsi="Times New Roman" w:cs="Times New Roman"/>
              </w:rPr>
              <w:t>Peaking II</w:t>
            </w:r>
          </w:p>
        </w:tc>
        <w:tc>
          <w:tcPr>
            <w:tcW w:w="1353" w:type="dxa"/>
            <w:shd w:val="clear" w:color="auto" w:fill="auto"/>
          </w:tcPr>
          <w:p w:rsidR="00F57B74" w:rsidRPr="0063279F" w:rsidRDefault="00F57B74" w:rsidP="00374870">
            <w:pPr>
              <w:pStyle w:val="ListParagraph"/>
              <w:ind w:left="0"/>
              <w:jc w:val="center"/>
              <w:rPr>
                <w:rFonts w:ascii="Times New Roman" w:hAnsi="Times New Roman" w:cs="Times New Roman"/>
              </w:rPr>
            </w:pPr>
            <w:r w:rsidRPr="0063279F">
              <w:rPr>
                <w:rFonts w:ascii="Times New Roman" w:hAnsi="Times New Roman" w:cs="Times New Roman"/>
              </w:rPr>
              <w:t>40,000</w:t>
            </w:r>
          </w:p>
        </w:tc>
        <w:tc>
          <w:tcPr>
            <w:tcW w:w="1353" w:type="dxa"/>
            <w:shd w:val="clear" w:color="auto" w:fill="auto"/>
          </w:tcPr>
          <w:p w:rsidR="00F57B74" w:rsidRPr="0063279F" w:rsidRDefault="00F57B74" w:rsidP="00374870">
            <w:pPr>
              <w:pStyle w:val="ListParagraph"/>
              <w:ind w:left="0"/>
              <w:jc w:val="center"/>
              <w:rPr>
                <w:rFonts w:ascii="Times New Roman" w:hAnsi="Times New Roman" w:cs="Times New Roman"/>
              </w:rPr>
            </w:pPr>
            <w:r w:rsidRPr="0063279F">
              <w:rPr>
                <w:rFonts w:ascii="Times New Roman" w:hAnsi="Times New Roman" w:cs="Times New Roman"/>
              </w:rPr>
              <w:t>8,600,000</w:t>
            </w:r>
          </w:p>
        </w:tc>
        <w:tc>
          <w:tcPr>
            <w:tcW w:w="1354" w:type="dxa"/>
            <w:shd w:val="clear" w:color="auto" w:fill="auto"/>
          </w:tcPr>
          <w:p w:rsidR="00F57B74" w:rsidRPr="0063279F" w:rsidRDefault="00F57B74" w:rsidP="00374870">
            <w:pPr>
              <w:pStyle w:val="ListParagraph"/>
              <w:ind w:left="0"/>
              <w:jc w:val="center"/>
              <w:rPr>
                <w:rFonts w:ascii="Times New Roman" w:hAnsi="Times New Roman" w:cs="Times New Roman"/>
              </w:rPr>
            </w:pPr>
            <w:r w:rsidRPr="0063279F">
              <w:rPr>
                <w:rFonts w:ascii="Times New Roman" w:hAnsi="Times New Roman" w:cs="Times New Roman"/>
              </w:rPr>
              <w:t>40,000</w:t>
            </w:r>
          </w:p>
        </w:tc>
        <w:tc>
          <w:tcPr>
            <w:tcW w:w="1354" w:type="dxa"/>
            <w:shd w:val="clear" w:color="auto" w:fill="auto"/>
          </w:tcPr>
          <w:p w:rsidR="00F57B74" w:rsidRPr="0063279F" w:rsidRDefault="00F57B74" w:rsidP="00374870">
            <w:pPr>
              <w:pStyle w:val="ListParagraph"/>
              <w:ind w:left="0"/>
              <w:jc w:val="center"/>
              <w:rPr>
                <w:rFonts w:ascii="Times New Roman" w:hAnsi="Times New Roman" w:cs="Times New Roman"/>
              </w:rPr>
            </w:pPr>
            <w:r w:rsidRPr="0063279F">
              <w:rPr>
                <w:rFonts w:ascii="Times New Roman" w:hAnsi="Times New Roman" w:cs="Times New Roman"/>
              </w:rPr>
              <w:t>8,600,000</w:t>
            </w:r>
          </w:p>
        </w:tc>
        <w:tc>
          <w:tcPr>
            <w:tcW w:w="1354" w:type="dxa"/>
            <w:shd w:val="clear" w:color="auto" w:fill="auto"/>
          </w:tcPr>
          <w:p w:rsidR="00F57B74" w:rsidRPr="0063279F" w:rsidRDefault="00F57B74" w:rsidP="00374870">
            <w:pPr>
              <w:pStyle w:val="ListParagraph"/>
              <w:ind w:left="0"/>
              <w:jc w:val="center"/>
              <w:rPr>
                <w:rFonts w:ascii="Times New Roman" w:hAnsi="Times New Roman" w:cs="Times New Roman"/>
              </w:rPr>
            </w:pPr>
            <w:r w:rsidRPr="0063279F">
              <w:rPr>
                <w:rFonts w:ascii="Times New Roman" w:hAnsi="Times New Roman" w:cs="Times New Roman"/>
              </w:rPr>
              <w:t>0</w:t>
            </w:r>
          </w:p>
        </w:tc>
        <w:tc>
          <w:tcPr>
            <w:tcW w:w="1354" w:type="dxa"/>
            <w:shd w:val="clear" w:color="auto" w:fill="auto"/>
          </w:tcPr>
          <w:p w:rsidR="00F57B74" w:rsidRPr="0063279F" w:rsidRDefault="00F57B74" w:rsidP="00374870">
            <w:pPr>
              <w:pStyle w:val="ListParagraph"/>
              <w:ind w:left="0"/>
              <w:jc w:val="center"/>
              <w:rPr>
                <w:rFonts w:ascii="Times New Roman" w:hAnsi="Times New Roman" w:cs="Times New Roman"/>
              </w:rPr>
            </w:pPr>
            <w:r w:rsidRPr="0063279F">
              <w:rPr>
                <w:rFonts w:ascii="Times New Roman" w:hAnsi="Times New Roman" w:cs="Times New Roman"/>
              </w:rPr>
              <w:t>0</w:t>
            </w:r>
          </w:p>
        </w:tc>
      </w:tr>
      <w:tr w:rsidR="00F57B74" w:rsidRPr="0063279F" w:rsidTr="00374870">
        <w:tc>
          <w:tcPr>
            <w:tcW w:w="1364" w:type="dxa"/>
            <w:shd w:val="clear" w:color="auto" w:fill="auto"/>
          </w:tcPr>
          <w:p w:rsidR="00F57B74" w:rsidRPr="0063279F" w:rsidRDefault="00F57B74" w:rsidP="00374870">
            <w:pPr>
              <w:pStyle w:val="ListParagraph"/>
              <w:ind w:left="0"/>
              <w:rPr>
                <w:rFonts w:ascii="Times New Roman" w:hAnsi="Times New Roman" w:cs="Times New Roman"/>
              </w:rPr>
            </w:pPr>
            <w:r w:rsidRPr="0063279F">
              <w:rPr>
                <w:rFonts w:ascii="Times New Roman" w:hAnsi="Times New Roman" w:cs="Times New Roman"/>
              </w:rPr>
              <w:t>Peaking III</w:t>
            </w:r>
          </w:p>
        </w:tc>
        <w:tc>
          <w:tcPr>
            <w:tcW w:w="1353" w:type="dxa"/>
            <w:shd w:val="clear" w:color="auto" w:fill="auto"/>
          </w:tcPr>
          <w:p w:rsidR="00F57B74" w:rsidRPr="0063279F" w:rsidRDefault="00F57B74" w:rsidP="00374870">
            <w:pPr>
              <w:pStyle w:val="ListParagraph"/>
              <w:ind w:left="0"/>
              <w:jc w:val="center"/>
              <w:rPr>
                <w:rFonts w:ascii="Times New Roman" w:hAnsi="Times New Roman" w:cs="Times New Roman"/>
              </w:rPr>
            </w:pPr>
            <w:r w:rsidRPr="0063279F">
              <w:rPr>
                <w:rFonts w:ascii="Times New Roman" w:hAnsi="Times New Roman" w:cs="Times New Roman"/>
              </w:rPr>
              <w:t>34,500</w:t>
            </w:r>
          </w:p>
        </w:tc>
        <w:tc>
          <w:tcPr>
            <w:tcW w:w="1353" w:type="dxa"/>
            <w:shd w:val="clear" w:color="auto" w:fill="auto"/>
          </w:tcPr>
          <w:p w:rsidR="00F57B74" w:rsidRPr="0063279F" w:rsidRDefault="00F57B74" w:rsidP="00374870">
            <w:pPr>
              <w:pStyle w:val="ListParagraph"/>
              <w:ind w:left="0"/>
              <w:jc w:val="center"/>
              <w:rPr>
                <w:rFonts w:ascii="Times New Roman" w:hAnsi="Times New Roman" w:cs="Times New Roman"/>
              </w:rPr>
            </w:pPr>
            <w:r w:rsidRPr="0063279F">
              <w:rPr>
                <w:rFonts w:ascii="Times New Roman" w:hAnsi="Times New Roman" w:cs="Times New Roman"/>
              </w:rPr>
              <w:t>6,591,740</w:t>
            </w:r>
          </w:p>
        </w:tc>
        <w:tc>
          <w:tcPr>
            <w:tcW w:w="1354" w:type="dxa"/>
            <w:shd w:val="clear" w:color="auto" w:fill="auto"/>
          </w:tcPr>
          <w:p w:rsidR="00F57B74" w:rsidRPr="0063279F" w:rsidRDefault="00F57B74" w:rsidP="00374870">
            <w:pPr>
              <w:pStyle w:val="ListParagraph"/>
              <w:ind w:left="0"/>
              <w:jc w:val="center"/>
              <w:rPr>
                <w:rFonts w:ascii="Times New Roman" w:hAnsi="Times New Roman" w:cs="Times New Roman"/>
              </w:rPr>
            </w:pPr>
            <w:r w:rsidRPr="0063279F">
              <w:rPr>
                <w:rFonts w:ascii="Times New Roman" w:hAnsi="Times New Roman" w:cs="Times New Roman"/>
              </w:rPr>
              <w:t>34,500</w:t>
            </w:r>
          </w:p>
        </w:tc>
        <w:tc>
          <w:tcPr>
            <w:tcW w:w="1354" w:type="dxa"/>
            <w:shd w:val="clear" w:color="auto" w:fill="auto"/>
          </w:tcPr>
          <w:p w:rsidR="00F57B74" w:rsidRPr="0063279F" w:rsidRDefault="00F57B74" w:rsidP="00374870">
            <w:pPr>
              <w:pStyle w:val="ListParagraph"/>
              <w:ind w:left="0"/>
              <w:jc w:val="center"/>
              <w:rPr>
                <w:rFonts w:ascii="Times New Roman" w:hAnsi="Times New Roman" w:cs="Times New Roman"/>
              </w:rPr>
            </w:pPr>
            <w:r w:rsidRPr="0063279F">
              <w:rPr>
                <w:rFonts w:ascii="Times New Roman" w:hAnsi="Times New Roman" w:cs="Times New Roman"/>
              </w:rPr>
              <w:t>6,591,740</w:t>
            </w:r>
          </w:p>
        </w:tc>
        <w:tc>
          <w:tcPr>
            <w:tcW w:w="1354" w:type="dxa"/>
            <w:shd w:val="clear" w:color="auto" w:fill="auto"/>
          </w:tcPr>
          <w:p w:rsidR="00F57B74" w:rsidRPr="0063279F" w:rsidRDefault="00F57B74" w:rsidP="00374870">
            <w:pPr>
              <w:pStyle w:val="ListParagraph"/>
              <w:ind w:left="0"/>
              <w:jc w:val="center"/>
              <w:rPr>
                <w:rFonts w:ascii="Times New Roman" w:hAnsi="Times New Roman" w:cs="Times New Roman"/>
              </w:rPr>
            </w:pPr>
            <w:r w:rsidRPr="0063279F">
              <w:rPr>
                <w:rFonts w:ascii="Times New Roman" w:hAnsi="Times New Roman" w:cs="Times New Roman"/>
              </w:rPr>
              <w:t>0</w:t>
            </w:r>
          </w:p>
        </w:tc>
        <w:tc>
          <w:tcPr>
            <w:tcW w:w="1354" w:type="dxa"/>
            <w:shd w:val="clear" w:color="auto" w:fill="auto"/>
          </w:tcPr>
          <w:p w:rsidR="00F57B74" w:rsidRPr="0063279F" w:rsidRDefault="00F57B74" w:rsidP="00374870">
            <w:pPr>
              <w:pStyle w:val="ListParagraph"/>
              <w:ind w:left="0"/>
              <w:jc w:val="center"/>
              <w:rPr>
                <w:rFonts w:ascii="Times New Roman" w:hAnsi="Times New Roman" w:cs="Times New Roman"/>
              </w:rPr>
            </w:pPr>
            <w:r w:rsidRPr="0063279F">
              <w:rPr>
                <w:rFonts w:ascii="Times New Roman" w:hAnsi="Times New Roman" w:cs="Times New Roman"/>
              </w:rPr>
              <w:t>0</w:t>
            </w:r>
          </w:p>
        </w:tc>
      </w:tr>
      <w:tr w:rsidR="00F57B74" w:rsidRPr="0063279F" w:rsidTr="00374870">
        <w:tc>
          <w:tcPr>
            <w:tcW w:w="1364" w:type="dxa"/>
            <w:shd w:val="clear" w:color="auto" w:fill="auto"/>
          </w:tcPr>
          <w:p w:rsidR="00F57B74" w:rsidRPr="0063279F" w:rsidRDefault="00F57B74" w:rsidP="00374870">
            <w:pPr>
              <w:pStyle w:val="ListParagraph"/>
              <w:ind w:left="0"/>
              <w:rPr>
                <w:rFonts w:ascii="Times New Roman" w:hAnsi="Times New Roman" w:cs="Times New Roman"/>
              </w:rPr>
            </w:pPr>
            <w:r w:rsidRPr="0063279F">
              <w:rPr>
                <w:rFonts w:ascii="Times New Roman" w:hAnsi="Times New Roman" w:cs="Times New Roman"/>
              </w:rPr>
              <w:t>Peaking IV</w:t>
            </w:r>
          </w:p>
        </w:tc>
        <w:tc>
          <w:tcPr>
            <w:tcW w:w="1353" w:type="dxa"/>
            <w:shd w:val="clear" w:color="auto" w:fill="auto"/>
          </w:tcPr>
          <w:p w:rsidR="00F57B74" w:rsidRPr="0063279F" w:rsidRDefault="00F57B74" w:rsidP="00374870">
            <w:pPr>
              <w:pStyle w:val="ListParagraph"/>
              <w:ind w:left="0"/>
              <w:jc w:val="center"/>
              <w:rPr>
                <w:rFonts w:ascii="Times New Roman" w:hAnsi="Times New Roman" w:cs="Times New Roman"/>
              </w:rPr>
            </w:pPr>
            <w:r w:rsidRPr="0063279F">
              <w:rPr>
                <w:rFonts w:ascii="Times New Roman" w:hAnsi="Times New Roman" w:cs="Times New Roman"/>
              </w:rPr>
              <w:t>6,012</w:t>
            </w:r>
          </w:p>
        </w:tc>
        <w:tc>
          <w:tcPr>
            <w:tcW w:w="1353" w:type="dxa"/>
            <w:shd w:val="clear" w:color="auto" w:fill="auto"/>
          </w:tcPr>
          <w:p w:rsidR="00F57B74" w:rsidRPr="0063279F" w:rsidRDefault="00F57B74" w:rsidP="00374870">
            <w:pPr>
              <w:pStyle w:val="ListParagraph"/>
              <w:ind w:left="0"/>
              <w:jc w:val="center"/>
              <w:rPr>
                <w:rFonts w:ascii="Times New Roman" w:hAnsi="Times New Roman" w:cs="Times New Roman"/>
              </w:rPr>
            </w:pPr>
            <w:r w:rsidRPr="0063279F">
              <w:rPr>
                <w:rFonts w:ascii="Times New Roman" w:hAnsi="Times New Roman" w:cs="Times New Roman"/>
              </w:rPr>
              <w:t>837,458</w:t>
            </w:r>
          </w:p>
        </w:tc>
        <w:tc>
          <w:tcPr>
            <w:tcW w:w="1354" w:type="dxa"/>
            <w:shd w:val="clear" w:color="auto" w:fill="auto"/>
          </w:tcPr>
          <w:p w:rsidR="00F57B74" w:rsidRPr="0063279F" w:rsidRDefault="00F57B74" w:rsidP="00374870">
            <w:pPr>
              <w:pStyle w:val="ListParagraph"/>
              <w:ind w:left="0"/>
              <w:jc w:val="center"/>
              <w:rPr>
                <w:rFonts w:ascii="Times New Roman" w:hAnsi="Times New Roman" w:cs="Times New Roman"/>
              </w:rPr>
            </w:pPr>
            <w:r w:rsidRPr="0063279F">
              <w:rPr>
                <w:rFonts w:ascii="Times New Roman" w:hAnsi="Times New Roman" w:cs="Times New Roman"/>
              </w:rPr>
              <w:t>6,012</w:t>
            </w:r>
          </w:p>
        </w:tc>
        <w:tc>
          <w:tcPr>
            <w:tcW w:w="1354" w:type="dxa"/>
            <w:shd w:val="clear" w:color="auto" w:fill="auto"/>
          </w:tcPr>
          <w:p w:rsidR="00F57B74" w:rsidRPr="0063279F" w:rsidRDefault="00F57B74" w:rsidP="00374870">
            <w:pPr>
              <w:pStyle w:val="ListParagraph"/>
              <w:ind w:left="0"/>
              <w:jc w:val="center"/>
              <w:rPr>
                <w:rFonts w:ascii="Times New Roman" w:hAnsi="Times New Roman" w:cs="Times New Roman"/>
              </w:rPr>
            </w:pPr>
            <w:r w:rsidRPr="0063279F">
              <w:rPr>
                <w:rFonts w:ascii="Times New Roman" w:hAnsi="Times New Roman" w:cs="Times New Roman"/>
              </w:rPr>
              <w:t>837,458</w:t>
            </w:r>
          </w:p>
        </w:tc>
        <w:tc>
          <w:tcPr>
            <w:tcW w:w="1354" w:type="dxa"/>
            <w:shd w:val="clear" w:color="auto" w:fill="auto"/>
          </w:tcPr>
          <w:p w:rsidR="00F57B74" w:rsidRPr="0063279F" w:rsidRDefault="00F57B74" w:rsidP="00374870">
            <w:pPr>
              <w:pStyle w:val="ListParagraph"/>
              <w:ind w:left="0"/>
              <w:jc w:val="center"/>
              <w:rPr>
                <w:rFonts w:ascii="Times New Roman" w:hAnsi="Times New Roman" w:cs="Times New Roman"/>
              </w:rPr>
            </w:pPr>
            <w:r w:rsidRPr="0063279F">
              <w:rPr>
                <w:rFonts w:ascii="Times New Roman" w:hAnsi="Times New Roman" w:cs="Times New Roman"/>
              </w:rPr>
              <w:t>0</w:t>
            </w:r>
          </w:p>
        </w:tc>
        <w:tc>
          <w:tcPr>
            <w:tcW w:w="1354" w:type="dxa"/>
            <w:shd w:val="clear" w:color="auto" w:fill="auto"/>
          </w:tcPr>
          <w:p w:rsidR="00F57B74" w:rsidRPr="0063279F" w:rsidRDefault="00F57B74" w:rsidP="00374870">
            <w:pPr>
              <w:pStyle w:val="ListParagraph"/>
              <w:ind w:left="0"/>
              <w:jc w:val="center"/>
              <w:rPr>
                <w:rFonts w:ascii="Times New Roman" w:hAnsi="Times New Roman" w:cs="Times New Roman"/>
              </w:rPr>
            </w:pPr>
            <w:r w:rsidRPr="0063279F">
              <w:rPr>
                <w:rFonts w:ascii="Times New Roman" w:hAnsi="Times New Roman" w:cs="Times New Roman"/>
              </w:rPr>
              <w:t>0</w:t>
            </w:r>
          </w:p>
        </w:tc>
      </w:tr>
      <w:tr w:rsidR="00F57B74" w:rsidRPr="0063279F" w:rsidTr="00374870">
        <w:tc>
          <w:tcPr>
            <w:tcW w:w="1364" w:type="dxa"/>
            <w:shd w:val="clear" w:color="auto" w:fill="auto"/>
          </w:tcPr>
          <w:p w:rsidR="00F57B74" w:rsidRPr="0063279F" w:rsidRDefault="00F57B74" w:rsidP="00374870">
            <w:pPr>
              <w:pStyle w:val="ListParagraph"/>
              <w:ind w:left="0"/>
              <w:rPr>
                <w:rFonts w:ascii="Times New Roman" w:hAnsi="Times New Roman" w:cs="Times New Roman"/>
              </w:rPr>
            </w:pPr>
            <w:r w:rsidRPr="0063279F">
              <w:rPr>
                <w:rFonts w:ascii="Times New Roman" w:hAnsi="Times New Roman" w:cs="Times New Roman"/>
              </w:rPr>
              <w:t>Peaking V</w:t>
            </w:r>
          </w:p>
        </w:tc>
        <w:tc>
          <w:tcPr>
            <w:tcW w:w="1353" w:type="dxa"/>
            <w:shd w:val="clear" w:color="auto" w:fill="auto"/>
          </w:tcPr>
          <w:p w:rsidR="00F57B74" w:rsidRPr="0063279F" w:rsidRDefault="00F57B74" w:rsidP="00374870">
            <w:pPr>
              <w:pStyle w:val="ListParagraph"/>
              <w:ind w:left="0"/>
              <w:jc w:val="center"/>
              <w:rPr>
                <w:rFonts w:ascii="Times New Roman" w:hAnsi="Times New Roman" w:cs="Times New Roman"/>
              </w:rPr>
            </w:pPr>
            <w:r w:rsidRPr="0063279F">
              <w:rPr>
                <w:rFonts w:ascii="Times New Roman" w:hAnsi="Times New Roman" w:cs="Times New Roman"/>
              </w:rPr>
              <w:t>12,930</w:t>
            </w:r>
          </w:p>
        </w:tc>
        <w:tc>
          <w:tcPr>
            <w:tcW w:w="1353" w:type="dxa"/>
            <w:shd w:val="clear" w:color="auto" w:fill="auto"/>
          </w:tcPr>
          <w:p w:rsidR="00F57B74" w:rsidRPr="0063279F" w:rsidRDefault="00F57B74" w:rsidP="00374870">
            <w:pPr>
              <w:pStyle w:val="ListParagraph"/>
              <w:ind w:left="0"/>
              <w:jc w:val="center"/>
              <w:rPr>
                <w:rFonts w:ascii="Times New Roman" w:hAnsi="Times New Roman" w:cs="Times New Roman"/>
              </w:rPr>
            </w:pPr>
            <w:r w:rsidRPr="0063279F">
              <w:rPr>
                <w:rFonts w:ascii="Times New Roman" w:hAnsi="Times New Roman" w:cs="Times New Roman"/>
              </w:rPr>
              <w:t>1,760,000</w:t>
            </w:r>
          </w:p>
        </w:tc>
        <w:tc>
          <w:tcPr>
            <w:tcW w:w="1354" w:type="dxa"/>
            <w:shd w:val="clear" w:color="auto" w:fill="auto"/>
          </w:tcPr>
          <w:p w:rsidR="00F57B74" w:rsidRPr="0063279F" w:rsidRDefault="00F57B74" w:rsidP="00374870">
            <w:pPr>
              <w:pStyle w:val="ListParagraph"/>
              <w:ind w:left="0"/>
              <w:jc w:val="center"/>
              <w:rPr>
                <w:rFonts w:ascii="Times New Roman" w:hAnsi="Times New Roman" w:cs="Times New Roman"/>
              </w:rPr>
            </w:pPr>
            <w:r w:rsidRPr="0063279F">
              <w:rPr>
                <w:rFonts w:ascii="Times New Roman" w:hAnsi="Times New Roman" w:cs="Times New Roman"/>
              </w:rPr>
              <w:t>12,930</w:t>
            </w:r>
          </w:p>
        </w:tc>
        <w:tc>
          <w:tcPr>
            <w:tcW w:w="1354" w:type="dxa"/>
            <w:shd w:val="clear" w:color="auto" w:fill="auto"/>
          </w:tcPr>
          <w:p w:rsidR="00F57B74" w:rsidRPr="0063279F" w:rsidRDefault="00F57B74" w:rsidP="00374870">
            <w:pPr>
              <w:pStyle w:val="ListParagraph"/>
              <w:ind w:left="0"/>
              <w:jc w:val="center"/>
              <w:rPr>
                <w:rFonts w:ascii="Times New Roman" w:hAnsi="Times New Roman" w:cs="Times New Roman"/>
              </w:rPr>
            </w:pPr>
            <w:r w:rsidRPr="0063279F">
              <w:rPr>
                <w:rFonts w:ascii="Times New Roman" w:hAnsi="Times New Roman" w:cs="Times New Roman"/>
              </w:rPr>
              <w:t>1,760,000</w:t>
            </w:r>
          </w:p>
        </w:tc>
        <w:tc>
          <w:tcPr>
            <w:tcW w:w="1354" w:type="dxa"/>
            <w:shd w:val="clear" w:color="auto" w:fill="auto"/>
          </w:tcPr>
          <w:p w:rsidR="00F57B74" w:rsidRPr="0063279F" w:rsidRDefault="00F57B74" w:rsidP="00374870">
            <w:pPr>
              <w:pStyle w:val="ListParagraph"/>
              <w:ind w:left="0"/>
              <w:jc w:val="center"/>
              <w:rPr>
                <w:rFonts w:ascii="Times New Roman" w:hAnsi="Times New Roman" w:cs="Times New Roman"/>
              </w:rPr>
            </w:pPr>
            <w:r w:rsidRPr="0063279F">
              <w:rPr>
                <w:rFonts w:ascii="Times New Roman" w:hAnsi="Times New Roman" w:cs="Times New Roman"/>
              </w:rPr>
              <w:t>0</w:t>
            </w:r>
          </w:p>
        </w:tc>
        <w:tc>
          <w:tcPr>
            <w:tcW w:w="1354" w:type="dxa"/>
            <w:shd w:val="clear" w:color="auto" w:fill="auto"/>
          </w:tcPr>
          <w:p w:rsidR="00F57B74" w:rsidRPr="0063279F" w:rsidRDefault="00F57B74" w:rsidP="00374870">
            <w:pPr>
              <w:pStyle w:val="ListParagraph"/>
              <w:ind w:left="0"/>
              <w:jc w:val="center"/>
              <w:rPr>
                <w:rFonts w:ascii="Times New Roman" w:hAnsi="Times New Roman" w:cs="Times New Roman"/>
              </w:rPr>
            </w:pPr>
            <w:r w:rsidRPr="0063279F">
              <w:rPr>
                <w:rFonts w:ascii="Times New Roman" w:hAnsi="Times New Roman" w:cs="Times New Roman"/>
              </w:rPr>
              <w:t>0</w:t>
            </w:r>
          </w:p>
        </w:tc>
      </w:tr>
      <w:tr w:rsidR="00F57B74" w:rsidRPr="0063279F" w:rsidTr="00374870">
        <w:tc>
          <w:tcPr>
            <w:tcW w:w="1364" w:type="dxa"/>
            <w:shd w:val="clear" w:color="auto" w:fill="auto"/>
          </w:tcPr>
          <w:p w:rsidR="00F57B74" w:rsidRPr="0063279F" w:rsidRDefault="00F57B74" w:rsidP="00374870">
            <w:pPr>
              <w:pStyle w:val="ListParagraph"/>
              <w:ind w:left="0"/>
              <w:rPr>
                <w:rFonts w:ascii="Times New Roman" w:hAnsi="Times New Roman" w:cs="Times New Roman"/>
              </w:rPr>
            </w:pPr>
            <w:r w:rsidRPr="0063279F">
              <w:rPr>
                <w:rFonts w:ascii="Times New Roman" w:hAnsi="Times New Roman" w:cs="Times New Roman"/>
              </w:rPr>
              <w:t>Peaking VI</w:t>
            </w:r>
          </w:p>
        </w:tc>
        <w:tc>
          <w:tcPr>
            <w:tcW w:w="1353" w:type="dxa"/>
            <w:shd w:val="clear" w:color="auto" w:fill="auto"/>
          </w:tcPr>
          <w:p w:rsidR="00F57B74" w:rsidRPr="0063279F" w:rsidRDefault="00F57B74" w:rsidP="00374870">
            <w:pPr>
              <w:pStyle w:val="ListParagraph"/>
              <w:ind w:left="0"/>
              <w:jc w:val="center"/>
              <w:rPr>
                <w:rFonts w:ascii="Times New Roman" w:hAnsi="Times New Roman" w:cs="Times New Roman"/>
              </w:rPr>
            </w:pPr>
            <w:r w:rsidRPr="0063279F">
              <w:rPr>
                <w:rFonts w:ascii="Times New Roman" w:hAnsi="Times New Roman" w:cs="Times New Roman"/>
              </w:rPr>
              <w:t>36,551</w:t>
            </w:r>
          </w:p>
        </w:tc>
        <w:tc>
          <w:tcPr>
            <w:tcW w:w="1353" w:type="dxa"/>
            <w:shd w:val="clear" w:color="auto" w:fill="auto"/>
          </w:tcPr>
          <w:p w:rsidR="00F57B74" w:rsidRPr="0063279F" w:rsidRDefault="00F57B74" w:rsidP="00374870">
            <w:pPr>
              <w:pStyle w:val="ListParagraph"/>
              <w:ind w:left="0"/>
              <w:jc w:val="center"/>
              <w:rPr>
                <w:rFonts w:ascii="Times New Roman" w:hAnsi="Times New Roman" w:cs="Times New Roman"/>
              </w:rPr>
            </w:pPr>
            <w:r w:rsidRPr="0063279F">
              <w:rPr>
                <w:rFonts w:ascii="Times New Roman" w:hAnsi="Times New Roman" w:cs="Times New Roman"/>
              </w:rPr>
              <w:t>7,492,955</w:t>
            </w:r>
            <w:r w:rsidRPr="0063279F">
              <w:rPr>
                <w:rStyle w:val="FootnoteReference"/>
                <w:rFonts w:ascii="Times New Roman" w:hAnsi="Times New Roman" w:cs="Times New Roman"/>
              </w:rPr>
              <w:footnoteReference w:id="3"/>
            </w:r>
          </w:p>
        </w:tc>
        <w:tc>
          <w:tcPr>
            <w:tcW w:w="1354" w:type="dxa"/>
            <w:shd w:val="clear" w:color="auto" w:fill="auto"/>
          </w:tcPr>
          <w:p w:rsidR="00F57B74" w:rsidRPr="0063279F" w:rsidRDefault="00F57B74" w:rsidP="00374870">
            <w:pPr>
              <w:pStyle w:val="ListParagraph"/>
              <w:ind w:left="0"/>
              <w:jc w:val="center"/>
              <w:rPr>
                <w:rFonts w:ascii="Times New Roman" w:hAnsi="Times New Roman" w:cs="Times New Roman"/>
              </w:rPr>
            </w:pPr>
            <w:r w:rsidRPr="0063279F">
              <w:rPr>
                <w:rFonts w:ascii="Times New Roman" w:hAnsi="Times New Roman" w:cs="Times New Roman"/>
              </w:rPr>
              <w:t>21,697</w:t>
            </w:r>
          </w:p>
        </w:tc>
        <w:tc>
          <w:tcPr>
            <w:tcW w:w="1354" w:type="dxa"/>
            <w:shd w:val="clear" w:color="auto" w:fill="auto"/>
          </w:tcPr>
          <w:p w:rsidR="00F57B74" w:rsidRPr="0063279F" w:rsidRDefault="00F57B74" w:rsidP="00374870">
            <w:pPr>
              <w:pStyle w:val="ListParagraph"/>
              <w:ind w:left="0"/>
              <w:jc w:val="center"/>
              <w:rPr>
                <w:rFonts w:ascii="Times New Roman" w:hAnsi="Times New Roman" w:cs="Times New Roman"/>
              </w:rPr>
            </w:pPr>
            <w:r w:rsidRPr="0063279F">
              <w:rPr>
                <w:rFonts w:ascii="Times New Roman" w:hAnsi="Times New Roman" w:cs="Times New Roman"/>
              </w:rPr>
              <w:t>4,447,885</w:t>
            </w:r>
          </w:p>
        </w:tc>
        <w:tc>
          <w:tcPr>
            <w:tcW w:w="1354" w:type="dxa"/>
            <w:shd w:val="clear" w:color="auto" w:fill="auto"/>
          </w:tcPr>
          <w:p w:rsidR="00F57B74" w:rsidRPr="0063279F" w:rsidRDefault="00F57B74" w:rsidP="00374870">
            <w:pPr>
              <w:pStyle w:val="ListParagraph"/>
              <w:ind w:left="0"/>
              <w:jc w:val="center"/>
              <w:rPr>
                <w:rFonts w:ascii="Times New Roman" w:hAnsi="Times New Roman" w:cs="Times New Roman"/>
              </w:rPr>
            </w:pPr>
            <w:r w:rsidRPr="0063279F">
              <w:rPr>
                <w:rFonts w:ascii="Times New Roman" w:hAnsi="Times New Roman" w:cs="Times New Roman"/>
              </w:rPr>
              <w:t>(14,854)</w:t>
            </w:r>
          </w:p>
        </w:tc>
        <w:tc>
          <w:tcPr>
            <w:tcW w:w="1354" w:type="dxa"/>
            <w:shd w:val="clear" w:color="auto" w:fill="auto"/>
          </w:tcPr>
          <w:p w:rsidR="00F57B74" w:rsidRPr="0063279F" w:rsidRDefault="00F57B74" w:rsidP="00374870">
            <w:pPr>
              <w:pStyle w:val="ListParagraph"/>
              <w:ind w:left="0"/>
              <w:jc w:val="center"/>
              <w:rPr>
                <w:rFonts w:ascii="Times New Roman" w:hAnsi="Times New Roman" w:cs="Times New Roman"/>
              </w:rPr>
            </w:pPr>
            <w:r w:rsidRPr="0063279F">
              <w:rPr>
                <w:rFonts w:ascii="Times New Roman" w:hAnsi="Times New Roman" w:cs="Times New Roman"/>
              </w:rPr>
              <w:t>(3,045,070)</w:t>
            </w:r>
          </w:p>
        </w:tc>
      </w:tr>
    </w:tbl>
    <w:p w:rsidR="001F21C5" w:rsidRPr="0063279F" w:rsidRDefault="001F21C5" w:rsidP="007A6033">
      <w:pPr>
        <w:tabs>
          <w:tab w:val="left" w:pos="720"/>
          <w:tab w:val="left" w:pos="1440"/>
          <w:tab w:val="num" w:pos="2160"/>
          <w:tab w:val="num" w:pos="2520"/>
        </w:tabs>
        <w:spacing w:line="360" w:lineRule="auto"/>
        <w:contextualSpacing/>
        <w:rPr>
          <w:rFonts w:ascii="Times New Roman" w:hAnsi="Times New Roman" w:cs="Times New Roman"/>
        </w:rPr>
      </w:pPr>
    </w:p>
    <w:p w:rsidR="001F21C5" w:rsidRPr="0063279F" w:rsidRDefault="001F21C5" w:rsidP="007A6033">
      <w:pPr>
        <w:tabs>
          <w:tab w:val="left" w:pos="720"/>
          <w:tab w:val="left" w:pos="1440"/>
          <w:tab w:val="num" w:pos="2520"/>
        </w:tabs>
        <w:spacing w:line="360" w:lineRule="auto"/>
        <w:rPr>
          <w:rFonts w:ascii="Times New Roman" w:hAnsi="Times New Roman" w:cs="Times New Roman"/>
        </w:rPr>
      </w:pPr>
      <w:r w:rsidRPr="0063279F">
        <w:rPr>
          <w:rFonts w:ascii="Times New Roman" w:hAnsi="Times New Roman" w:cs="Times New Roman"/>
        </w:rPr>
        <w:tab/>
      </w:r>
      <w:r w:rsidR="007A6033" w:rsidRPr="0063279F">
        <w:rPr>
          <w:rFonts w:ascii="Times New Roman" w:hAnsi="Times New Roman" w:cs="Times New Roman"/>
        </w:rPr>
        <w:tab/>
      </w:r>
      <w:r w:rsidRPr="0063279F">
        <w:rPr>
          <w:rFonts w:ascii="Times New Roman" w:hAnsi="Times New Roman" w:cs="Times New Roman"/>
        </w:rPr>
        <w:t>Additionally, Peaking Contracts III and IV wil</w:t>
      </w:r>
      <w:r w:rsidR="00230803">
        <w:rPr>
          <w:rFonts w:ascii="Times New Roman" w:hAnsi="Times New Roman" w:cs="Times New Roman"/>
        </w:rPr>
        <w:t>l be extended one year to March 31, </w:t>
      </w:r>
      <w:r w:rsidRPr="0063279F">
        <w:rPr>
          <w:rFonts w:ascii="Times New Roman" w:hAnsi="Times New Roman" w:cs="Times New Roman"/>
        </w:rPr>
        <w:t>2016, as described in UGI Statement No. 2</w:t>
      </w:r>
      <w:r w:rsidR="007A6033" w:rsidRPr="0063279F">
        <w:rPr>
          <w:rFonts w:ascii="Times New Roman" w:hAnsi="Times New Roman" w:cs="Times New Roman"/>
        </w:rPr>
        <w:t xml:space="preserve"> at </w:t>
      </w:r>
      <w:r w:rsidRPr="0063279F">
        <w:rPr>
          <w:rFonts w:ascii="Times New Roman" w:hAnsi="Times New Roman" w:cs="Times New Roman"/>
        </w:rPr>
        <w:t xml:space="preserve">3-11.  When Peaking Contract III is renewed for the winter period of 2016-2017, UGI shall convert 1,800 </w:t>
      </w:r>
      <w:proofErr w:type="spellStart"/>
      <w:r w:rsidRPr="0063279F">
        <w:rPr>
          <w:rFonts w:ascii="Times New Roman" w:hAnsi="Times New Roman" w:cs="Times New Roman"/>
        </w:rPr>
        <w:t>Dth</w:t>
      </w:r>
      <w:proofErr w:type="spellEnd"/>
      <w:r w:rsidRPr="0063279F">
        <w:rPr>
          <w:rFonts w:ascii="Times New Roman" w:hAnsi="Times New Roman" w:cs="Times New Roman"/>
        </w:rPr>
        <w:t xml:space="preserve"> of the service from no-notice to day-ahead service.  UGI may enter into Peaking Contract VI for the period of November 1, 2014 through March 31, 2018 with a daily quantity of 21,697 </w:t>
      </w:r>
      <w:proofErr w:type="spellStart"/>
      <w:r w:rsidRPr="0063279F">
        <w:rPr>
          <w:rFonts w:ascii="Times New Roman" w:hAnsi="Times New Roman" w:cs="Times New Roman"/>
        </w:rPr>
        <w:t>Dth</w:t>
      </w:r>
      <w:proofErr w:type="spellEnd"/>
      <w:r w:rsidRPr="0063279F">
        <w:rPr>
          <w:rFonts w:ascii="Times New Roman" w:hAnsi="Times New Roman" w:cs="Times New Roman"/>
        </w:rPr>
        <w:t xml:space="preserve"> and an annual demand unit rate of $205 per </w:t>
      </w:r>
      <w:proofErr w:type="spellStart"/>
      <w:r w:rsidRPr="0063279F">
        <w:rPr>
          <w:rFonts w:ascii="Times New Roman" w:hAnsi="Times New Roman" w:cs="Times New Roman"/>
        </w:rPr>
        <w:t>Dth</w:t>
      </w:r>
      <w:proofErr w:type="spellEnd"/>
      <w:r w:rsidRPr="0063279F">
        <w:rPr>
          <w:rFonts w:ascii="Times New Roman" w:hAnsi="Times New Roman" w:cs="Times New Roman"/>
        </w:rPr>
        <w:t>, as shown on Exhibit UGI-DCB-1R in UGI Statement No. 2-R, resulting in an annual demand charge of $4,447,885.  UGI shall explore the costs and benefits of programs and other options that have the potential to reduce its design day capacity requirements for the purpose of reducing peaking service costs, and will report i</w:t>
      </w:r>
      <w:r w:rsidR="006E750A">
        <w:rPr>
          <w:rFonts w:ascii="Times New Roman" w:hAnsi="Times New Roman" w:cs="Times New Roman"/>
        </w:rPr>
        <w:t>ts findings in its 2015 Section </w:t>
      </w:r>
      <w:r w:rsidRPr="0063279F">
        <w:rPr>
          <w:rFonts w:ascii="Times New Roman" w:hAnsi="Times New Roman" w:cs="Times New Roman"/>
        </w:rPr>
        <w:t>1307(f) filing.</w:t>
      </w:r>
    </w:p>
    <w:p w:rsidR="001F21C5" w:rsidRPr="0063279F" w:rsidRDefault="00327E19" w:rsidP="00950E62">
      <w:pPr>
        <w:tabs>
          <w:tab w:val="left" w:pos="720"/>
          <w:tab w:val="left" w:pos="1440"/>
          <w:tab w:val="num" w:pos="2520"/>
        </w:tabs>
        <w:spacing w:line="360" w:lineRule="auto"/>
        <w:rPr>
          <w:rFonts w:ascii="Times New Roman" w:hAnsi="Times New Roman" w:cs="Times New Roman"/>
          <w:i/>
        </w:rPr>
      </w:pPr>
      <w:r w:rsidRPr="0063279F">
        <w:rPr>
          <w:rFonts w:ascii="Times New Roman" w:hAnsi="Times New Roman" w:cs="Times New Roman"/>
        </w:rPr>
        <w:tab/>
      </w:r>
      <w:r w:rsidRPr="0063279F">
        <w:rPr>
          <w:rFonts w:ascii="Times New Roman" w:hAnsi="Times New Roman" w:cs="Times New Roman"/>
        </w:rPr>
        <w:tab/>
      </w:r>
      <w:r w:rsidR="001F21C5" w:rsidRPr="0063279F">
        <w:rPr>
          <w:rFonts w:ascii="Times New Roman" w:hAnsi="Times New Roman" w:cs="Times New Roman"/>
        </w:rPr>
        <w:tab/>
      </w:r>
      <w:r w:rsidR="001F21C5" w:rsidRPr="0063279F">
        <w:rPr>
          <w:rFonts w:ascii="Times New Roman" w:hAnsi="Times New Roman" w:cs="Times New Roman"/>
        </w:rPr>
        <w:tab/>
      </w:r>
    </w:p>
    <w:p w:rsidR="001F21C5" w:rsidRPr="0063279F" w:rsidRDefault="001F21C5" w:rsidP="00C545C3">
      <w:pPr>
        <w:tabs>
          <w:tab w:val="left" w:pos="720"/>
          <w:tab w:val="left" w:pos="1440"/>
          <w:tab w:val="num" w:pos="2160"/>
          <w:tab w:val="num" w:pos="2520"/>
        </w:tabs>
        <w:spacing w:line="360" w:lineRule="auto"/>
        <w:contextualSpacing/>
        <w:rPr>
          <w:rFonts w:ascii="Times New Roman" w:hAnsi="Times New Roman" w:cs="Times New Roman"/>
        </w:rPr>
      </w:pPr>
      <w:r w:rsidRPr="0063279F">
        <w:rPr>
          <w:rFonts w:ascii="Times New Roman" w:hAnsi="Times New Roman" w:cs="Times New Roman"/>
        </w:rPr>
        <w:tab/>
      </w:r>
      <w:r w:rsidR="007A6033" w:rsidRPr="0063279F">
        <w:rPr>
          <w:rFonts w:ascii="Times New Roman" w:hAnsi="Times New Roman" w:cs="Times New Roman"/>
        </w:rPr>
        <w:tab/>
      </w:r>
      <w:r w:rsidRPr="0063279F">
        <w:rPr>
          <w:rFonts w:ascii="Times New Roman" w:hAnsi="Times New Roman" w:cs="Times New Roman"/>
        </w:rPr>
        <w:t xml:space="preserve">In its filing UGI asserted that it contracts for primary firm asset-backed capacity to meet its projected firm peak daily, monthly and seasonal demand requirements for each upcoming winter. </w:t>
      </w:r>
      <w:r w:rsidR="00EC5CB0">
        <w:rPr>
          <w:rFonts w:ascii="Times New Roman" w:hAnsi="Times New Roman" w:cs="Times New Roman"/>
        </w:rPr>
        <w:t xml:space="preserve"> </w:t>
      </w:r>
      <w:r w:rsidRPr="0063279F">
        <w:rPr>
          <w:rFonts w:ascii="Times New Roman" w:hAnsi="Times New Roman" w:cs="Times New Roman"/>
        </w:rPr>
        <w:t xml:space="preserve">By contracting for sufficient firm capacity to meet projected demand during design cold conditions, UGI is able to meet its responsibilities as the supplier of last resort and ensure reliable supply deliveries to core market customers every day of the year. </w:t>
      </w:r>
      <w:r w:rsidR="001F1630">
        <w:rPr>
          <w:rFonts w:ascii="Times New Roman" w:hAnsi="Times New Roman" w:cs="Times New Roman"/>
        </w:rPr>
        <w:t xml:space="preserve"> </w:t>
      </w:r>
      <w:r w:rsidRPr="0063279F">
        <w:rPr>
          <w:rFonts w:ascii="Times New Roman" w:hAnsi="Times New Roman" w:cs="Times New Roman"/>
        </w:rPr>
        <w:t>While this past winter was the coldest winter in Pennsylvania in the last 20 years, neither the demand nor temperatures reached design cold conditions, so UGI and its Choice suppliers had sufficient capacity to meet the core market customers' demand.  UGI Statement No. 3</w:t>
      </w:r>
      <w:r w:rsidR="007A6033" w:rsidRPr="0063279F">
        <w:rPr>
          <w:rFonts w:ascii="Times New Roman" w:hAnsi="Times New Roman" w:cs="Times New Roman"/>
        </w:rPr>
        <w:t xml:space="preserve"> at</w:t>
      </w:r>
      <w:r w:rsidRPr="0063279F">
        <w:rPr>
          <w:rFonts w:ascii="Times New Roman" w:hAnsi="Times New Roman" w:cs="Times New Roman"/>
        </w:rPr>
        <w:t xml:space="preserve"> 2</w:t>
      </w:r>
      <w:r w:rsidR="007A6033" w:rsidRPr="0063279F">
        <w:rPr>
          <w:rFonts w:ascii="Times New Roman" w:hAnsi="Times New Roman" w:cs="Times New Roman"/>
        </w:rPr>
        <w:t>-</w:t>
      </w:r>
      <w:r w:rsidRPr="0063279F">
        <w:rPr>
          <w:rFonts w:ascii="Times New Roman" w:hAnsi="Times New Roman" w:cs="Times New Roman"/>
        </w:rPr>
        <w:t>3.</w:t>
      </w:r>
    </w:p>
    <w:p w:rsidR="007A6033" w:rsidRPr="0063279F" w:rsidRDefault="007A6033" w:rsidP="00C545C3">
      <w:pPr>
        <w:tabs>
          <w:tab w:val="left" w:pos="720"/>
          <w:tab w:val="left" w:pos="1440"/>
          <w:tab w:val="num" w:pos="2160"/>
          <w:tab w:val="num" w:pos="2520"/>
        </w:tabs>
        <w:spacing w:line="360" w:lineRule="auto"/>
        <w:contextualSpacing/>
        <w:rPr>
          <w:rFonts w:ascii="Times New Roman" w:hAnsi="Times New Roman" w:cs="Times New Roman"/>
        </w:rPr>
      </w:pPr>
    </w:p>
    <w:p w:rsidR="001F21C5" w:rsidRPr="0063279F" w:rsidRDefault="007A6033" w:rsidP="00C545C3">
      <w:pPr>
        <w:tabs>
          <w:tab w:val="left" w:pos="720"/>
          <w:tab w:val="left" w:pos="1440"/>
          <w:tab w:val="num" w:pos="2160"/>
          <w:tab w:val="num" w:pos="2520"/>
        </w:tabs>
        <w:spacing w:line="360" w:lineRule="auto"/>
        <w:contextualSpacing/>
        <w:rPr>
          <w:rFonts w:ascii="Times New Roman" w:hAnsi="Times New Roman" w:cs="Times New Roman"/>
        </w:rPr>
      </w:pPr>
      <w:r w:rsidRPr="0063279F">
        <w:rPr>
          <w:rFonts w:ascii="Times New Roman" w:hAnsi="Times New Roman" w:cs="Times New Roman"/>
        </w:rPr>
        <w:tab/>
      </w:r>
      <w:r w:rsidR="001F21C5" w:rsidRPr="0063279F">
        <w:rPr>
          <w:rFonts w:ascii="Times New Roman" w:hAnsi="Times New Roman" w:cs="Times New Roman"/>
        </w:rPr>
        <w:tab/>
        <w:t xml:space="preserve">Also in its filing UGI asserted in a document identified as “October 17, 2012, Analyst Day Presentation,” prepared by UGI’s parent, UGI Corporation, peaking service is defined as “[a] customized low cost alternative to firm pipeline capacity designed to serve a utility’s need on the coldest winter day.  Works like insurance contract – utilities pay to have assets ready for utilization.  Utilities reduce costs by using the cheaper peaking service – thereby lowering customer rates.”  </w:t>
      </w:r>
      <w:proofErr w:type="gramStart"/>
      <w:r w:rsidR="001F21C5" w:rsidRPr="0063279F">
        <w:rPr>
          <w:rFonts w:ascii="Times New Roman" w:hAnsi="Times New Roman" w:cs="Times New Roman"/>
        </w:rPr>
        <w:t xml:space="preserve">I&amp;E Statement No. 1 </w:t>
      </w:r>
      <w:r w:rsidRPr="0063279F">
        <w:rPr>
          <w:rFonts w:ascii="Times New Roman" w:hAnsi="Times New Roman" w:cs="Times New Roman"/>
        </w:rPr>
        <w:t>at</w:t>
      </w:r>
      <w:r w:rsidR="001F21C5" w:rsidRPr="0063279F">
        <w:rPr>
          <w:rFonts w:ascii="Times New Roman" w:hAnsi="Times New Roman" w:cs="Times New Roman"/>
        </w:rPr>
        <w:t xml:space="preserve"> 4.</w:t>
      </w:r>
      <w:proofErr w:type="gramEnd"/>
    </w:p>
    <w:p w:rsidR="001F21C5" w:rsidRPr="0063279F" w:rsidRDefault="001F21C5" w:rsidP="00C545C3">
      <w:pPr>
        <w:tabs>
          <w:tab w:val="left" w:pos="720"/>
          <w:tab w:val="left" w:pos="1440"/>
          <w:tab w:val="num" w:pos="2160"/>
          <w:tab w:val="num" w:pos="2520"/>
        </w:tabs>
        <w:spacing w:line="360" w:lineRule="auto"/>
        <w:contextualSpacing/>
        <w:rPr>
          <w:rFonts w:ascii="Times New Roman" w:hAnsi="Times New Roman" w:cs="Times New Roman"/>
          <w:i/>
        </w:rPr>
      </w:pPr>
      <w:r w:rsidRPr="0063279F">
        <w:rPr>
          <w:rFonts w:ascii="Times New Roman" w:hAnsi="Times New Roman" w:cs="Times New Roman"/>
        </w:rPr>
        <w:tab/>
      </w:r>
      <w:r w:rsidRPr="0063279F">
        <w:rPr>
          <w:rFonts w:ascii="Times New Roman" w:hAnsi="Times New Roman" w:cs="Times New Roman"/>
        </w:rPr>
        <w:tab/>
      </w:r>
      <w:r w:rsidRPr="0063279F">
        <w:rPr>
          <w:rFonts w:ascii="Times New Roman" w:hAnsi="Times New Roman" w:cs="Times New Roman"/>
        </w:rPr>
        <w:tab/>
      </w:r>
    </w:p>
    <w:p w:rsidR="001F21C5" w:rsidRPr="0063279F" w:rsidRDefault="007A6033" w:rsidP="00C545C3">
      <w:pPr>
        <w:tabs>
          <w:tab w:val="left" w:pos="720"/>
          <w:tab w:val="left" w:pos="1440"/>
          <w:tab w:val="num" w:pos="2160"/>
          <w:tab w:val="num" w:pos="2520"/>
        </w:tabs>
        <w:spacing w:line="360" w:lineRule="auto"/>
        <w:contextualSpacing/>
        <w:rPr>
          <w:rFonts w:ascii="Times New Roman" w:hAnsi="Times New Roman" w:cs="Times New Roman"/>
        </w:rPr>
      </w:pPr>
      <w:r w:rsidRPr="0063279F">
        <w:rPr>
          <w:rFonts w:ascii="Times New Roman" w:hAnsi="Times New Roman" w:cs="Times New Roman"/>
        </w:rPr>
        <w:tab/>
      </w:r>
      <w:r w:rsidR="001F21C5" w:rsidRPr="0063279F">
        <w:rPr>
          <w:rFonts w:ascii="Times New Roman" w:hAnsi="Times New Roman" w:cs="Times New Roman"/>
        </w:rPr>
        <w:tab/>
        <w:t>In response to UGI’s proposal, and in its analysis of UGI’s utilization of the peaking service contracts, I&amp;E focused on January 7, 2014 and March 3, 2014.  January 7</w:t>
      </w:r>
      <w:r w:rsidR="001F21C5" w:rsidRPr="0063279F">
        <w:rPr>
          <w:rFonts w:ascii="Times New Roman" w:hAnsi="Times New Roman" w:cs="Times New Roman"/>
          <w:vertAlign w:val="superscript"/>
        </w:rPr>
        <w:t>th</w:t>
      </w:r>
      <w:r w:rsidR="001F21C5" w:rsidRPr="0063279F">
        <w:rPr>
          <w:rFonts w:ascii="Times New Roman" w:hAnsi="Times New Roman" w:cs="Times New Roman"/>
        </w:rPr>
        <w:t xml:space="preserve"> was the coldest day on record in the last twenty years, and March 3</w:t>
      </w:r>
      <w:r w:rsidR="001F21C5" w:rsidRPr="0063279F">
        <w:rPr>
          <w:rFonts w:ascii="Times New Roman" w:hAnsi="Times New Roman" w:cs="Times New Roman"/>
          <w:vertAlign w:val="superscript"/>
        </w:rPr>
        <w:t>rd</w:t>
      </w:r>
      <w:r w:rsidR="001F21C5" w:rsidRPr="0063279F">
        <w:rPr>
          <w:rFonts w:ascii="Times New Roman" w:hAnsi="Times New Roman" w:cs="Times New Roman"/>
        </w:rPr>
        <w:t xml:space="preserve"> represents UGI’s actual peak send</w:t>
      </w:r>
      <w:r w:rsidRPr="0063279F">
        <w:rPr>
          <w:rFonts w:ascii="Times New Roman" w:hAnsi="Times New Roman" w:cs="Times New Roman"/>
        </w:rPr>
        <w:t>-</w:t>
      </w:r>
      <w:r w:rsidR="001F21C5" w:rsidRPr="0063279F">
        <w:rPr>
          <w:rFonts w:ascii="Times New Roman" w:hAnsi="Times New Roman" w:cs="Times New Roman"/>
        </w:rPr>
        <w:t>out during the current period ending November 30, 2014.</w:t>
      </w:r>
    </w:p>
    <w:p w:rsidR="007A6033" w:rsidRPr="0063279F" w:rsidRDefault="007A6033" w:rsidP="00C545C3">
      <w:pPr>
        <w:tabs>
          <w:tab w:val="left" w:pos="720"/>
          <w:tab w:val="left" w:pos="1440"/>
          <w:tab w:val="num" w:pos="2160"/>
          <w:tab w:val="num" w:pos="2520"/>
        </w:tabs>
        <w:spacing w:line="360" w:lineRule="auto"/>
        <w:contextualSpacing/>
        <w:rPr>
          <w:rFonts w:ascii="Times New Roman" w:hAnsi="Times New Roman" w:cs="Times New Roman"/>
        </w:rPr>
      </w:pPr>
    </w:p>
    <w:p w:rsidR="001F21C5" w:rsidRPr="0063279F" w:rsidRDefault="007A6033" w:rsidP="00C545C3">
      <w:pPr>
        <w:tabs>
          <w:tab w:val="left" w:pos="720"/>
          <w:tab w:val="left" w:pos="1440"/>
          <w:tab w:val="num" w:pos="2160"/>
          <w:tab w:val="num" w:pos="2520"/>
        </w:tabs>
        <w:spacing w:line="360" w:lineRule="auto"/>
        <w:contextualSpacing/>
        <w:rPr>
          <w:rFonts w:ascii="Times New Roman" w:hAnsi="Times New Roman" w:cs="Times New Roman"/>
        </w:rPr>
      </w:pPr>
      <w:r w:rsidRPr="0063279F">
        <w:rPr>
          <w:rFonts w:ascii="Times New Roman" w:hAnsi="Times New Roman" w:cs="Times New Roman"/>
        </w:rPr>
        <w:tab/>
      </w:r>
      <w:r w:rsidR="001F21C5" w:rsidRPr="0063279F">
        <w:rPr>
          <w:rFonts w:ascii="Times New Roman" w:hAnsi="Times New Roman" w:cs="Times New Roman"/>
        </w:rPr>
        <w:tab/>
        <w:t xml:space="preserve">Regarding January 7, 2014, in UGI’s response to </w:t>
      </w:r>
      <w:proofErr w:type="gramStart"/>
      <w:r w:rsidR="001F21C5" w:rsidRPr="0063279F">
        <w:rPr>
          <w:rFonts w:ascii="Times New Roman" w:hAnsi="Times New Roman" w:cs="Times New Roman"/>
        </w:rPr>
        <w:t>I&amp;E</w:t>
      </w:r>
      <w:proofErr w:type="gramEnd"/>
      <w:r w:rsidR="001F21C5" w:rsidRPr="0063279F">
        <w:rPr>
          <w:rFonts w:ascii="Times New Roman" w:hAnsi="Times New Roman" w:cs="Times New Roman"/>
        </w:rPr>
        <w:t xml:space="preserve"> Interrogatory I&amp;E-56, the Company provided its supply disposition for January 7, 2014 (I&amp;E Ex. No. 1, Sch. 5).  This response shows that UGI used 35,112, </w:t>
      </w:r>
      <w:proofErr w:type="spellStart"/>
      <w:r w:rsidR="001F21C5" w:rsidRPr="0063279F">
        <w:rPr>
          <w:rFonts w:ascii="Times New Roman" w:hAnsi="Times New Roman" w:cs="Times New Roman"/>
        </w:rPr>
        <w:t>Dth</w:t>
      </w:r>
      <w:proofErr w:type="spellEnd"/>
      <w:r w:rsidR="001F21C5" w:rsidRPr="0063279F">
        <w:rPr>
          <w:rFonts w:ascii="Times New Roman" w:hAnsi="Times New Roman" w:cs="Times New Roman"/>
        </w:rPr>
        <w:t>, or approximately 76% of the Peaking II</w:t>
      </w:r>
      <w:r w:rsidR="00327E19" w:rsidRPr="0063279F">
        <w:rPr>
          <w:rFonts w:ascii="Times New Roman" w:hAnsi="Times New Roman" w:cs="Times New Roman"/>
        </w:rPr>
        <w:t>I</w:t>
      </w:r>
      <w:r w:rsidR="001F21C5" w:rsidRPr="0063279F">
        <w:rPr>
          <w:rFonts w:ascii="Times New Roman" w:hAnsi="Times New Roman" w:cs="Times New Roman"/>
        </w:rPr>
        <w:t xml:space="preserve"> and Peaking IV services (35,112 </w:t>
      </w:r>
      <w:proofErr w:type="spellStart"/>
      <w:r w:rsidR="001F21C5" w:rsidRPr="0063279F">
        <w:rPr>
          <w:rFonts w:ascii="Times New Roman" w:hAnsi="Times New Roman" w:cs="Times New Roman"/>
        </w:rPr>
        <w:t>Dth</w:t>
      </w:r>
      <w:proofErr w:type="spellEnd"/>
      <w:r w:rsidR="001F21C5" w:rsidRPr="0063279F">
        <w:rPr>
          <w:rFonts w:ascii="Times New Roman" w:hAnsi="Times New Roman" w:cs="Times New Roman"/>
        </w:rPr>
        <w:t xml:space="preserve"> / 46,012 </w:t>
      </w:r>
      <w:proofErr w:type="spellStart"/>
      <w:r w:rsidR="001F21C5" w:rsidRPr="0063279F">
        <w:rPr>
          <w:rFonts w:ascii="Times New Roman" w:hAnsi="Times New Roman" w:cs="Times New Roman"/>
        </w:rPr>
        <w:t>Dth</w:t>
      </w:r>
      <w:proofErr w:type="spellEnd"/>
      <w:r w:rsidR="001F21C5" w:rsidRPr="0063279F">
        <w:rPr>
          <w:rFonts w:ascii="Times New Roman" w:hAnsi="Times New Roman" w:cs="Times New Roman"/>
        </w:rPr>
        <w:t xml:space="preserve"> x 100 = 76.3%) on the coldest recorded day in UGI’s service territory in the last twenty (20) years.  </w:t>
      </w:r>
      <w:r w:rsidR="001F21C5" w:rsidRPr="0063279F">
        <w:rPr>
          <w:rFonts w:ascii="Times New Roman" w:hAnsi="Times New Roman" w:cs="Times New Roman"/>
          <w:i/>
        </w:rPr>
        <w:t>See</w:t>
      </w:r>
      <w:r w:rsidR="001F21C5" w:rsidRPr="0063279F">
        <w:rPr>
          <w:rFonts w:ascii="Times New Roman" w:hAnsi="Times New Roman" w:cs="Times New Roman"/>
        </w:rPr>
        <w:t xml:space="preserve">, </w:t>
      </w:r>
      <w:proofErr w:type="gramStart"/>
      <w:r w:rsidR="001F21C5" w:rsidRPr="0063279F">
        <w:rPr>
          <w:rFonts w:ascii="Times New Roman" w:hAnsi="Times New Roman" w:cs="Times New Roman"/>
        </w:rPr>
        <w:t>I&amp;E</w:t>
      </w:r>
      <w:proofErr w:type="gramEnd"/>
      <w:r w:rsidR="001F21C5" w:rsidRPr="0063279F">
        <w:rPr>
          <w:rFonts w:ascii="Times New Roman" w:hAnsi="Times New Roman" w:cs="Times New Roman"/>
        </w:rPr>
        <w:t xml:space="preserve"> Statement No. 1</w:t>
      </w:r>
      <w:r w:rsidR="00F57B74" w:rsidRPr="0063279F">
        <w:rPr>
          <w:rFonts w:ascii="Times New Roman" w:hAnsi="Times New Roman" w:cs="Times New Roman"/>
        </w:rPr>
        <w:t xml:space="preserve"> at</w:t>
      </w:r>
      <w:r w:rsidR="001F21C5" w:rsidRPr="0063279F">
        <w:rPr>
          <w:rFonts w:ascii="Times New Roman" w:hAnsi="Times New Roman" w:cs="Times New Roman"/>
        </w:rPr>
        <w:t xml:space="preserve"> 6.</w:t>
      </w:r>
    </w:p>
    <w:p w:rsidR="007A6033" w:rsidRPr="0063279F" w:rsidRDefault="007A6033" w:rsidP="00C545C3">
      <w:pPr>
        <w:tabs>
          <w:tab w:val="left" w:pos="720"/>
          <w:tab w:val="left" w:pos="1440"/>
          <w:tab w:val="num" w:pos="2160"/>
          <w:tab w:val="num" w:pos="2520"/>
        </w:tabs>
        <w:spacing w:line="360" w:lineRule="auto"/>
        <w:contextualSpacing/>
        <w:rPr>
          <w:rFonts w:ascii="Times New Roman" w:hAnsi="Times New Roman" w:cs="Times New Roman"/>
        </w:rPr>
      </w:pPr>
    </w:p>
    <w:p w:rsidR="001F21C5" w:rsidRPr="0063279F" w:rsidRDefault="007A6033" w:rsidP="00C545C3">
      <w:pPr>
        <w:tabs>
          <w:tab w:val="left" w:pos="720"/>
          <w:tab w:val="left" w:pos="1440"/>
          <w:tab w:val="num" w:pos="2160"/>
          <w:tab w:val="num" w:pos="2520"/>
        </w:tabs>
        <w:spacing w:line="360" w:lineRule="auto"/>
        <w:contextualSpacing/>
        <w:rPr>
          <w:rFonts w:ascii="Times New Roman" w:hAnsi="Times New Roman" w:cs="Times New Roman"/>
        </w:rPr>
      </w:pPr>
      <w:r w:rsidRPr="0063279F">
        <w:rPr>
          <w:rFonts w:ascii="Times New Roman" w:hAnsi="Times New Roman" w:cs="Times New Roman"/>
        </w:rPr>
        <w:tab/>
      </w:r>
      <w:r w:rsidR="001F21C5" w:rsidRPr="0063279F">
        <w:rPr>
          <w:rFonts w:ascii="Times New Roman" w:hAnsi="Times New Roman" w:cs="Times New Roman"/>
        </w:rPr>
        <w:tab/>
        <w:t xml:space="preserve">Regarding March 3, 2014, according to the Supply Disposition provided in the Company’s response to I&amp;E Interrogatory I&amp;E-43, UGI supplied a total of 679,046 </w:t>
      </w:r>
      <w:proofErr w:type="spellStart"/>
      <w:r w:rsidR="001F21C5" w:rsidRPr="0063279F">
        <w:rPr>
          <w:rFonts w:ascii="Times New Roman" w:hAnsi="Times New Roman" w:cs="Times New Roman"/>
        </w:rPr>
        <w:t>Dth</w:t>
      </w:r>
      <w:proofErr w:type="spellEnd"/>
      <w:r w:rsidR="001F21C5" w:rsidRPr="0063279F">
        <w:rPr>
          <w:rFonts w:ascii="Times New Roman" w:hAnsi="Times New Roman" w:cs="Times New Roman"/>
        </w:rPr>
        <w:t xml:space="preserve"> on March 3, 2014, of which 3,095 </w:t>
      </w:r>
      <w:proofErr w:type="spellStart"/>
      <w:r w:rsidR="001F21C5" w:rsidRPr="0063279F">
        <w:rPr>
          <w:rFonts w:ascii="Times New Roman" w:hAnsi="Times New Roman" w:cs="Times New Roman"/>
        </w:rPr>
        <w:t>Dth</w:t>
      </w:r>
      <w:proofErr w:type="spellEnd"/>
      <w:r w:rsidR="001F21C5" w:rsidRPr="0063279F">
        <w:rPr>
          <w:rFonts w:ascii="Times New Roman" w:hAnsi="Times New Roman" w:cs="Times New Roman"/>
        </w:rPr>
        <w:t xml:space="preserve"> was from peaking supplies, le</w:t>
      </w:r>
      <w:r w:rsidR="009F67CC">
        <w:rPr>
          <w:rFonts w:ascii="Times New Roman" w:hAnsi="Times New Roman" w:cs="Times New Roman"/>
        </w:rPr>
        <w:t xml:space="preserve">aving 675,951 </w:t>
      </w:r>
      <w:proofErr w:type="spellStart"/>
      <w:r w:rsidR="009F67CC">
        <w:rPr>
          <w:rFonts w:ascii="Times New Roman" w:hAnsi="Times New Roman" w:cs="Times New Roman"/>
        </w:rPr>
        <w:t>Dth</w:t>
      </w:r>
      <w:proofErr w:type="spellEnd"/>
      <w:r w:rsidR="009F67CC">
        <w:rPr>
          <w:rFonts w:ascii="Times New Roman" w:hAnsi="Times New Roman" w:cs="Times New Roman"/>
        </w:rPr>
        <w:t xml:space="preserve"> (679,046 Dth-</w:t>
      </w:r>
      <w:r w:rsidR="001F21C5" w:rsidRPr="0063279F">
        <w:rPr>
          <w:rFonts w:ascii="Times New Roman" w:hAnsi="Times New Roman" w:cs="Times New Roman"/>
        </w:rPr>
        <w:t xml:space="preserve">3,095 </w:t>
      </w:r>
      <w:proofErr w:type="spellStart"/>
      <w:r w:rsidR="001F21C5" w:rsidRPr="0063279F">
        <w:rPr>
          <w:rFonts w:ascii="Times New Roman" w:hAnsi="Times New Roman" w:cs="Times New Roman"/>
        </w:rPr>
        <w:t>Dth</w:t>
      </w:r>
      <w:proofErr w:type="spellEnd"/>
      <w:r w:rsidR="001F21C5" w:rsidRPr="0063279F">
        <w:rPr>
          <w:rFonts w:ascii="Times New Roman" w:hAnsi="Times New Roman" w:cs="Times New Roman"/>
        </w:rPr>
        <w:t xml:space="preserve">).  Therefore, the Company was able to supply the 675,900 </w:t>
      </w:r>
      <w:proofErr w:type="spellStart"/>
      <w:r w:rsidR="001F21C5" w:rsidRPr="0063279F">
        <w:rPr>
          <w:rFonts w:ascii="Times New Roman" w:hAnsi="Times New Roman" w:cs="Times New Roman"/>
        </w:rPr>
        <w:t>Dth</w:t>
      </w:r>
      <w:proofErr w:type="spellEnd"/>
      <w:r w:rsidR="001F21C5" w:rsidRPr="0063279F">
        <w:rPr>
          <w:rFonts w:ascii="Times New Roman" w:hAnsi="Times New Roman" w:cs="Times New Roman"/>
        </w:rPr>
        <w:t xml:space="preserve"> total </w:t>
      </w:r>
      <w:proofErr w:type="spellStart"/>
      <w:r w:rsidR="001E2DFB" w:rsidRPr="0063279F">
        <w:rPr>
          <w:rFonts w:ascii="Times New Roman" w:hAnsi="Times New Roman" w:cs="Times New Roman"/>
        </w:rPr>
        <w:t>sendout</w:t>
      </w:r>
      <w:proofErr w:type="spellEnd"/>
      <w:r w:rsidR="001F21C5" w:rsidRPr="0063279F">
        <w:rPr>
          <w:rFonts w:ascii="Times New Roman" w:hAnsi="Times New Roman" w:cs="Times New Roman"/>
        </w:rPr>
        <w:t xml:space="preserve"> experienced on its peak day without the use of the Peaking service (I&amp;E Ex. No. 1, Sch. 4, p. 2 of 4).  I&amp;E Statement No. 1</w:t>
      </w:r>
      <w:r w:rsidRPr="0063279F">
        <w:rPr>
          <w:rFonts w:ascii="Times New Roman" w:hAnsi="Times New Roman" w:cs="Times New Roman"/>
        </w:rPr>
        <w:t xml:space="preserve"> at</w:t>
      </w:r>
      <w:r w:rsidR="001F21C5" w:rsidRPr="0063279F">
        <w:rPr>
          <w:rFonts w:ascii="Times New Roman" w:hAnsi="Times New Roman" w:cs="Times New Roman"/>
        </w:rPr>
        <w:t xml:space="preserve"> 6</w:t>
      </w:r>
      <w:r w:rsidRPr="0063279F">
        <w:rPr>
          <w:rFonts w:ascii="Times New Roman" w:hAnsi="Times New Roman" w:cs="Times New Roman"/>
        </w:rPr>
        <w:t>-</w:t>
      </w:r>
      <w:r w:rsidR="001F21C5" w:rsidRPr="0063279F">
        <w:rPr>
          <w:rFonts w:ascii="Times New Roman" w:hAnsi="Times New Roman" w:cs="Times New Roman"/>
        </w:rPr>
        <w:t>7.</w:t>
      </w:r>
    </w:p>
    <w:p w:rsidR="007A6033" w:rsidRPr="0063279F" w:rsidRDefault="001F21C5" w:rsidP="00C545C3">
      <w:pPr>
        <w:tabs>
          <w:tab w:val="left" w:pos="720"/>
          <w:tab w:val="left" w:pos="1440"/>
          <w:tab w:val="num" w:pos="2160"/>
          <w:tab w:val="num" w:pos="2520"/>
        </w:tabs>
        <w:spacing w:line="360" w:lineRule="auto"/>
        <w:contextualSpacing/>
        <w:rPr>
          <w:rFonts w:ascii="Times New Roman" w:hAnsi="Times New Roman" w:cs="Times New Roman"/>
        </w:rPr>
      </w:pPr>
      <w:r w:rsidRPr="0063279F">
        <w:rPr>
          <w:rFonts w:ascii="Times New Roman" w:hAnsi="Times New Roman" w:cs="Times New Roman"/>
        </w:rPr>
        <w:tab/>
      </w:r>
    </w:p>
    <w:p w:rsidR="001F21C5" w:rsidRPr="0063279F" w:rsidRDefault="00F57B74" w:rsidP="00C545C3">
      <w:pPr>
        <w:tabs>
          <w:tab w:val="left" w:pos="720"/>
          <w:tab w:val="left" w:pos="1440"/>
          <w:tab w:val="num" w:pos="2160"/>
          <w:tab w:val="num" w:pos="2520"/>
        </w:tabs>
        <w:spacing w:line="360" w:lineRule="auto"/>
        <w:contextualSpacing/>
        <w:rPr>
          <w:rFonts w:ascii="Times New Roman" w:hAnsi="Times New Roman" w:cs="Times New Roman"/>
        </w:rPr>
      </w:pPr>
      <w:r w:rsidRPr="0063279F">
        <w:rPr>
          <w:rFonts w:ascii="Times New Roman" w:hAnsi="Times New Roman" w:cs="Times New Roman"/>
        </w:rPr>
        <w:tab/>
      </w:r>
      <w:r w:rsidR="007A6033" w:rsidRPr="0063279F">
        <w:rPr>
          <w:rFonts w:ascii="Times New Roman" w:hAnsi="Times New Roman" w:cs="Times New Roman"/>
        </w:rPr>
        <w:tab/>
      </w:r>
      <w:r w:rsidR="001F21C5" w:rsidRPr="0063279F">
        <w:rPr>
          <w:rFonts w:ascii="Times New Roman" w:hAnsi="Times New Roman" w:cs="Times New Roman"/>
        </w:rPr>
        <w:t xml:space="preserve">However, I&amp;E recognizes that this Settlement is the result of compromises by all of the Parties and it does not necessarily represent the position(s) that would be advanced by I&amp;E in the event this proceeding were to be fully litigated.  I&amp;E, therefore, fully supports the peaking service contracts Settlement terms for the </w:t>
      </w:r>
      <w:proofErr w:type="gramStart"/>
      <w:r w:rsidR="001F21C5" w:rsidRPr="0063279F">
        <w:rPr>
          <w:rFonts w:ascii="Times New Roman" w:hAnsi="Times New Roman" w:cs="Times New Roman"/>
        </w:rPr>
        <w:t>Winter</w:t>
      </w:r>
      <w:proofErr w:type="gramEnd"/>
      <w:r w:rsidR="001F21C5" w:rsidRPr="0063279F">
        <w:rPr>
          <w:rFonts w:ascii="Times New Roman" w:hAnsi="Times New Roman" w:cs="Times New Roman"/>
        </w:rPr>
        <w:t xml:space="preserve"> of 2014-2105 as set forth above in Table 2.  I&amp;E believes that the settled upon peaking service contracts Set</w:t>
      </w:r>
      <w:r w:rsidR="009035C0">
        <w:rPr>
          <w:rFonts w:ascii="Times New Roman" w:hAnsi="Times New Roman" w:cs="Times New Roman"/>
        </w:rPr>
        <w:t>tlement terms for the Winter of </w:t>
      </w:r>
      <w:r w:rsidR="001F21C5" w:rsidRPr="0063279F">
        <w:rPr>
          <w:rFonts w:ascii="Times New Roman" w:hAnsi="Times New Roman" w:cs="Times New Roman"/>
        </w:rPr>
        <w:t>2014-2105 provides stability to UGI, and provides protection from volatility; all of which are consistent with protecting the public interest and maintaining a balance of the interests of the Parties.</w:t>
      </w:r>
    </w:p>
    <w:p w:rsidR="00E01645" w:rsidRPr="0063279F" w:rsidRDefault="00E01645" w:rsidP="00C545C3">
      <w:pPr>
        <w:tabs>
          <w:tab w:val="left" w:pos="-720"/>
        </w:tabs>
        <w:suppressAutoHyphens/>
        <w:spacing w:line="360" w:lineRule="auto"/>
        <w:rPr>
          <w:rFonts w:ascii="Times New Roman" w:hAnsi="Times New Roman" w:cs="Times New Roman"/>
        </w:rPr>
      </w:pPr>
    </w:p>
    <w:p w:rsidR="00E01645" w:rsidRPr="0063279F" w:rsidRDefault="00E01645" w:rsidP="00C545C3">
      <w:pPr>
        <w:tabs>
          <w:tab w:val="left" w:pos="-720"/>
        </w:tabs>
        <w:suppressAutoHyphens/>
        <w:spacing w:line="360" w:lineRule="auto"/>
        <w:rPr>
          <w:rFonts w:ascii="Times New Roman" w:hAnsi="Times New Roman" w:cs="Times New Roman"/>
          <w:u w:val="single"/>
        </w:rPr>
      </w:pPr>
      <w:r w:rsidRPr="0063279F">
        <w:rPr>
          <w:rFonts w:ascii="Times New Roman" w:hAnsi="Times New Roman" w:cs="Times New Roman"/>
          <w:u w:val="single"/>
        </w:rPr>
        <w:t>Disposition</w:t>
      </w:r>
    </w:p>
    <w:p w:rsidR="00E01645" w:rsidRPr="0063279F" w:rsidRDefault="00E01645" w:rsidP="00C545C3">
      <w:pPr>
        <w:tabs>
          <w:tab w:val="left" w:pos="-720"/>
        </w:tabs>
        <w:suppressAutoHyphens/>
        <w:spacing w:line="360" w:lineRule="auto"/>
        <w:outlineLvl w:val="0"/>
        <w:rPr>
          <w:rFonts w:ascii="Times New Roman" w:hAnsi="Times New Roman" w:cs="Times New Roman"/>
        </w:rPr>
      </w:pPr>
    </w:p>
    <w:p w:rsidR="0005103A" w:rsidRPr="0063279F" w:rsidRDefault="00E01645" w:rsidP="00C545C3">
      <w:pPr>
        <w:tabs>
          <w:tab w:val="left" w:pos="-720"/>
        </w:tabs>
        <w:suppressAutoHyphens/>
        <w:spacing w:line="360" w:lineRule="auto"/>
        <w:outlineLvl w:val="0"/>
        <w:rPr>
          <w:rFonts w:ascii="Times New Roman" w:hAnsi="Times New Roman" w:cs="Times New Roman"/>
        </w:rPr>
      </w:pPr>
      <w:r w:rsidRPr="0063279F">
        <w:rPr>
          <w:rFonts w:ascii="Times New Roman" w:hAnsi="Times New Roman" w:cs="Times New Roman"/>
        </w:rPr>
        <w:tab/>
      </w:r>
      <w:r w:rsidRPr="0063279F">
        <w:rPr>
          <w:rFonts w:ascii="Times New Roman" w:hAnsi="Times New Roman" w:cs="Times New Roman"/>
        </w:rPr>
        <w:tab/>
        <w:t xml:space="preserve">I am persuaded to recommend adoption of the Settlement because UGI has agreed to </w:t>
      </w:r>
      <w:r w:rsidR="0005103A" w:rsidRPr="0063279F">
        <w:rPr>
          <w:rFonts w:ascii="Times New Roman" w:hAnsi="Times New Roman" w:cs="Times New Roman"/>
        </w:rPr>
        <w:t xml:space="preserve">include both the winters of 2012-2013 and 2013-2014 in developing projected peak day demand for the winter of 2014-2015.  While this reduces UGI’s projected firm peak day demand slightly, it still leaves UGI with a projected shortfall of 21,697 </w:t>
      </w:r>
      <w:proofErr w:type="spellStart"/>
      <w:r w:rsidR="0005103A" w:rsidRPr="0063279F">
        <w:rPr>
          <w:rFonts w:ascii="Times New Roman" w:hAnsi="Times New Roman" w:cs="Times New Roman"/>
        </w:rPr>
        <w:t>D</w:t>
      </w:r>
      <w:r w:rsidR="00801432">
        <w:rPr>
          <w:rFonts w:ascii="Times New Roman" w:hAnsi="Times New Roman" w:cs="Times New Roman"/>
        </w:rPr>
        <w:t>th</w:t>
      </w:r>
      <w:proofErr w:type="spellEnd"/>
      <w:r w:rsidR="00801432">
        <w:rPr>
          <w:rFonts w:ascii="Times New Roman" w:hAnsi="Times New Roman" w:cs="Times New Roman"/>
        </w:rPr>
        <w:t xml:space="preserve"> of peak day capacity through </w:t>
      </w:r>
      <w:r w:rsidR="0005103A" w:rsidRPr="0063279F">
        <w:rPr>
          <w:rFonts w:ascii="Times New Roman" w:hAnsi="Times New Roman" w:cs="Times New Roman"/>
        </w:rPr>
        <w:t xml:space="preserve">2017-2018.  </w:t>
      </w:r>
      <w:r w:rsidR="00327E19" w:rsidRPr="0063279F">
        <w:rPr>
          <w:rFonts w:ascii="Times New Roman" w:hAnsi="Times New Roman" w:cs="Times New Roman"/>
        </w:rPr>
        <w:t xml:space="preserve">UGI may enter into Peaking Contract VI to resolve this shortfall.  </w:t>
      </w:r>
      <w:r w:rsidR="0005103A" w:rsidRPr="0063279F">
        <w:rPr>
          <w:rFonts w:ascii="Times New Roman" w:hAnsi="Times New Roman" w:cs="Times New Roman"/>
        </w:rPr>
        <w:t>The Settlement further allows UGI to extend its Peaking III and IV contracts to March 31, 2016.</w:t>
      </w:r>
    </w:p>
    <w:p w:rsidR="0005103A" w:rsidRPr="0063279F" w:rsidRDefault="0005103A" w:rsidP="00C545C3">
      <w:pPr>
        <w:tabs>
          <w:tab w:val="left" w:pos="-720"/>
        </w:tabs>
        <w:suppressAutoHyphens/>
        <w:spacing w:line="360" w:lineRule="auto"/>
        <w:outlineLvl w:val="0"/>
        <w:rPr>
          <w:rFonts w:ascii="Times New Roman" w:hAnsi="Times New Roman" w:cs="Times New Roman"/>
        </w:rPr>
      </w:pPr>
    </w:p>
    <w:p w:rsidR="0005103A" w:rsidRPr="0063279F" w:rsidRDefault="0005103A" w:rsidP="00C545C3">
      <w:pPr>
        <w:tabs>
          <w:tab w:val="left" w:pos="-720"/>
        </w:tabs>
        <w:suppressAutoHyphens/>
        <w:spacing w:line="360" w:lineRule="auto"/>
        <w:outlineLvl w:val="0"/>
        <w:rPr>
          <w:rFonts w:ascii="Times New Roman" w:hAnsi="Times New Roman" w:cs="Times New Roman"/>
        </w:rPr>
      </w:pPr>
      <w:r w:rsidRPr="0063279F">
        <w:rPr>
          <w:rFonts w:ascii="Times New Roman" w:hAnsi="Times New Roman" w:cs="Times New Roman"/>
        </w:rPr>
        <w:tab/>
      </w:r>
      <w:r w:rsidRPr="0063279F">
        <w:rPr>
          <w:rFonts w:ascii="Times New Roman" w:hAnsi="Times New Roman" w:cs="Times New Roman"/>
        </w:rPr>
        <w:tab/>
        <w:t xml:space="preserve">The Settlement further addresses OCA’s concerns regarding no-notice service in that UGI will convert 1,800 </w:t>
      </w:r>
      <w:proofErr w:type="spellStart"/>
      <w:r w:rsidRPr="0063279F">
        <w:rPr>
          <w:rFonts w:ascii="Times New Roman" w:hAnsi="Times New Roman" w:cs="Times New Roman"/>
        </w:rPr>
        <w:t>Dth</w:t>
      </w:r>
      <w:proofErr w:type="spellEnd"/>
      <w:r w:rsidRPr="0063279F">
        <w:rPr>
          <w:rFonts w:ascii="Times New Roman" w:hAnsi="Times New Roman" w:cs="Times New Roman"/>
        </w:rPr>
        <w:t xml:space="preserve"> of Peaking Contract II</w:t>
      </w:r>
      <w:r w:rsidR="00327E19" w:rsidRPr="0063279F">
        <w:rPr>
          <w:rFonts w:ascii="Times New Roman" w:hAnsi="Times New Roman" w:cs="Times New Roman"/>
        </w:rPr>
        <w:t>I</w:t>
      </w:r>
      <w:r w:rsidRPr="0063279F">
        <w:rPr>
          <w:rFonts w:ascii="Times New Roman" w:hAnsi="Times New Roman" w:cs="Times New Roman"/>
        </w:rPr>
        <w:t xml:space="preserve"> service from no-notice service to day-ahead service for the winter period of 2016-2017.  UGI will also explore costs and benefits of programs and other options that may reduce design day capacity requirements and will report these findings in next year’s PGC filing.</w:t>
      </w:r>
    </w:p>
    <w:p w:rsidR="0005103A" w:rsidRPr="0063279F" w:rsidRDefault="0005103A" w:rsidP="00C545C3">
      <w:pPr>
        <w:tabs>
          <w:tab w:val="left" w:pos="-720"/>
        </w:tabs>
        <w:suppressAutoHyphens/>
        <w:spacing w:line="360" w:lineRule="auto"/>
        <w:outlineLvl w:val="0"/>
        <w:rPr>
          <w:rFonts w:ascii="Times New Roman" w:hAnsi="Times New Roman" w:cs="Times New Roman"/>
        </w:rPr>
      </w:pPr>
    </w:p>
    <w:p w:rsidR="00E01645" w:rsidRPr="0063279F" w:rsidRDefault="0005103A" w:rsidP="00C545C3">
      <w:pPr>
        <w:tabs>
          <w:tab w:val="left" w:pos="-720"/>
        </w:tabs>
        <w:suppressAutoHyphens/>
        <w:spacing w:line="360" w:lineRule="auto"/>
        <w:outlineLvl w:val="0"/>
        <w:rPr>
          <w:rFonts w:ascii="Times New Roman" w:hAnsi="Times New Roman" w:cs="Times New Roman"/>
        </w:rPr>
      </w:pPr>
      <w:r w:rsidRPr="0063279F">
        <w:rPr>
          <w:rFonts w:ascii="Times New Roman" w:hAnsi="Times New Roman" w:cs="Times New Roman"/>
        </w:rPr>
        <w:tab/>
      </w:r>
      <w:r w:rsidRPr="0063279F">
        <w:rPr>
          <w:rFonts w:ascii="Times New Roman" w:hAnsi="Times New Roman" w:cs="Times New Roman"/>
        </w:rPr>
        <w:tab/>
        <w:t xml:space="preserve">The Settlement also maintains a cap of 25% on quarterly PGC rate changes to protect customers against rate volatility and adopts </w:t>
      </w:r>
      <w:proofErr w:type="gramStart"/>
      <w:r w:rsidRPr="0063279F">
        <w:rPr>
          <w:rFonts w:ascii="Times New Roman" w:hAnsi="Times New Roman" w:cs="Times New Roman"/>
        </w:rPr>
        <w:t>I&amp;E’s</w:t>
      </w:r>
      <w:proofErr w:type="gramEnd"/>
      <w:r w:rsidRPr="0063279F">
        <w:rPr>
          <w:rFonts w:ascii="Times New Roman" w:hAnsi="Times New Roman" w:cs="Times New Roman"/>
        </w:rPr>
        <w:t xml:space="preserve"> proposal regarding quarterly C-Factor Adjustments.  </w:t>
      </w:r>
      <w:r w:rsidR="00327E19" w:rsidRPr="0063279F">
        <w:rPr>
          <w:rFonts w:ascii="Times New Roman" w:hAnsi="Times New Roman" w:cs="Times New Roman"/>
        </w:rPr>
        <w:t xml:space="preserve">When making December 1, March 1 and June 1 quarterly C-factor adjustments, UGI will recover/collect all actual and projected incremental over/under collections from December 1 through November 30 over </w:t>
      </w:r>
      <w:r w:rsidR="005B6B6C" w:rsidRPr="0063279F">
        <w:rPr>
          <w:rFonts w:ascii="Times New Roman" w:hAnsi="Times New Roman" w:cs="Times New Roman"/>
        </w:rPr>
        <w:t>remaining</w:t>
      </w:r>
      <w:r w:rsidR="00327E19" w:rsidRPr="0063279F">
        <w:rPr>
          <w:rFonts w:ascii="Times New Roman" w:hAnsi="Times New Roman" w:cs="Times New Roman"/>
        </w:rPr>
        <w:t xml:space="preserve"> PGC year sales volumes.  When making September 1 quarterly C-factor adjustments, UGI will </w:t>
      </w:r>
      <w:r w:rsidR="005B6B6C" w:rsidRPr="0063279F">
        <w:rPr>
          <w:rFonts w:ascii="Times New Roman" w:hAnsi="Times New Roman" w:cs="Times New Roman"/>
        </w:rPr>
        <w:t>recover</w:t>
      </w:r>
      <w:r w:rsidR="00327E19" w:rsidRPr="0063279F">
        <w:rPr>
          <w:rFonts w:ascii="Times New Roman" w:hAnsi="Times New Roman" w:cs="Times New Roman"/>
        </w:rPr>
        <w:t xml:space="preserve">/collect all actual and </w:t>
      </w:r>
      <w:r w:rsidR="005B6B6C" w:rsidRPr="0063279F">
        <w:rPr>
          <w:rFonts w:ascii="Times New Roman" w:hAnsi="Times New Roman" w:cs="Times New Roman"/>
        </w:rPr>
        <w:t>projected incremental over/under collections from December 1 through November 30 over sales volumes applicable to the six</w:t>
      </w:r>
      <w:r w:rsidR="00F57B74" w:rsidRPr="0063279F">
        <w:rPr>
          <w:rFonts w:ascii="Times New Roman" w:hAnsi="Times New Roman" w:cs="Times New Roman"/>
        </w:rPr>
        <w:t xml:space="preserve"> </w:t>
      </w:r>
      <w:r w:rsidR="005B6B6C" w:rsidRPr="0063279F">
        <w:rPr>
          <w:rFonts w:ascii="Times New Roman" w:hAnsi="Times New Roman" w:cs="Times New Roman"/>
        </w:rPr>
        <w:t xml:space="preserve">months of June through November.  </w:t>
      </w:r>
      <w:r w:rsidRPr="0063279F">
        <w:rPr>
          <w:rFonts w:ascii="Times New Roman" w:hAnsi="Times New Roman" w:cs="Times New Roman"/>
        </w:rPr>
        <w:t xml:space="preserve">The Settlement resolves E-factor </w:t>
      </w:r>
      <w:r w:rsidR="001E2DFB" w:rsidRPr="0063279F">
        <w:rPr>
          <w:rFonts w:ascii="Times New Roman" w:hAnsi="Times New Roman" w:cs="Times New Roman"/>
        </w:rPr>
        <w:t>calculation</w:t>
      </w:r>
      <w:r w:rsidRPr="0063279F">
        <w:rPr>
          <w:rFonts w:ascii="Times New Roman" w:hAnsi="Times New Roman" w:cs="Times New Roman"/>
        </w:rPr>
        <w:t xml:space="preserve"> issues among the parties and provides that when actual November data is reconciled with the projected November data used to establish PGC rates effective December 1, the resulting over or under collection amount shall be recovered/refunded in the next UGI quarterly filing over the applicable annual PGC sales volumes plus migration rider volumes.  Additionally, any party can propose further revisions to quarterly C-Factor and E-Factor adjustments in future proceedings.  This is in the public interest because the C-Factor and E-Factor are defined and will be adjusted, at the same time protecting the customers from unnecessary rate volatility.  </w:t>
      </w:r>
      <w:r w:rsidR="00E01645" w:rsidRPr="0063279F">
        <w:rPr>
          <w:rFonts w:ascii="Times New Roman" w:hAnsi="Times New Roman" w:cs="Times New Roman"/>
        </w:rPr>
        <w:t>Thus, there is more predictability and less risk for the public.</w:t>
      </w:r>
    </w:p>
    <w:p w:rsidR="00E01645" w:rsidRPr="0063279F" w:rsidRDefault="00E01645" w:rsidP="00C545C3">
      <w:pPr>
        <w:tabs>
          <w:tab w:val="left" w:pos="-720"/>
        </w:tabs>
        <w:suppressAutoHyphens/>
        <w:spacing w:line="360" w:lineRule="auto"/>
        <w:outlineLvl w:val="0"/>
        <w:rPr>
          <w:rFonts w:ascii="Times New Roman" w:hAnsi="Times New Roman" w:cs="Times New Roman"/>
        </w:rPr>
      </w:pPr>
    </w:p>
    <w:p w:rsidR="00E01645" w:rsidRPr="0063279F" w:rsidRDefault="00E01645" w:rsidP="0005103A">
      <w:pPr>
        <w:tabs>
          <w:tab w:val="left" w:pos="-720"/>
        </w:tabs>
        <w:suppressAutoHyphens/>
        <w:spacing w:line="360" w:lineRule="auto"/>
        <w:outlineLvl w:val="0"/>
        <w:rPr>
          <w:rFonts w:ascii="Times New Roman" w:hAnsi="Times New Roman" w:cs="Times New Roman"/>
        </w:rPr>
      </w:pPr>
      <w:r w:rsidRPr="0063279F">
        <w:rPr>
          <w:rFonts w:ascii="Times New Roman" w:hAnsi="Times New Roman" w:cs="Times New Roman"/>
        </w:rPr>
        <w:tab/>
      </w:r>
      <w:r w:rsidRPr="0063279F">
        <w:rPr>
          <w:rFonts w:ascii="Times New Roman" w:hAnsi="Times New Roman" w:cs="Times New Roman"/>
        </w:rPr>
        <w:tab/>
        <w:t xml:space="preserve">The Stipulation reflects a reasonable resolution of all concerns, provides for reduced PGC rates and is unopposed by any party.  The PGC rates </w:t>
      </w:r>
      <w:r w:rsidR="001E2DFB" w:rsidRPr="0063279F">
        <w:rPr>
          <w:rFonts w:ascii="Times New Roman" w:hAnsi="Times New Roman" w:cs="Times New Roman"/>
        </w:rPr>
        <w:t xml:space="preserve">for residential customers will not increase </w:t>
      </w:r>
      <w:r w:rsidRPr="0063279F">
        <w:rPr>
          <w:rFonts w:ascii="Times New Roman" w:hAnsi="Times New Roman" w:cs="Times New Roman"/>
        </w:rPr>
        <w:t>under the settlement.</w:t>
      </w:r>
    </w:p>
    <w:p w:rsidR="00E01645" w:rsidRPr="0063279F" w:rsidRDefault="00E01645" w:rsidP="00C545C3">
      <w:pPr>
        <w:tabs>
          <w:tab w:val="left" w:pos="-720"/>
        </w:tabs>
        <w:suppressAutoHyphens/>
        <w:spacing w:line="360" w:lineRule="auto"/>
        <w:outlineLvl w:val="0"/>
        <w:rPr>
          <w:rFonts w:ascii="Times New Roman" w:hAnsi="Times New Roman" w:cs="Times New Roman"/>
        </w:rPr>
      </w:pPr>
    </w:p>
    <w:p w:rsidR="00E01645" w:rsidRPr="0063279F" w:rsidRDefault="00E01645" w:rsidP="00C545C3">
      <w:pPr>
        <w:tabs>
          <w:tab w:val="left" w:pos="-720"/>
        </w:tabs>
        <w:suppressAutoHyphens/>
        <w:spacing w:line="360" w:lineRule="auto"/>
        <w:rPr>
          <w:rFonts w:ascii="Times New Roman" w:hAnsi="Times New Roman" w:cs="Times New Roman"/>
        </w:rPr>
      </w:pPr>
      <w:r w:rsidRPr="0063279F">
        <w:rPr>
          <w:rFonts w:ascii="Times New Roman" w:hAnsi="Times New Roman" w:cs="Times New Roman"/>
        </w:rPr>
        <w:tab/>
      </w:r>
      <w:r w:rsidRPr="0063279F">
        <w:rPr>
          <w:rFonts w:ascii="Times New Roman" w:hAnsi="Times New Roman" w:cs="Times New Roman"/>
        </w:rPr>
        <w:tab/>
        <w:t>For all the foregoing reasons, I find that the Stipulation is in the public interest and consistent with the requirements of S</w:t>
      </w:r>
      <w:r w:rsidR="007B446A">
        <w:rPr>
          <w:rFonts w:ascii="Times New Roman" w:hAnsi="Times New Roman" w:cs="Times New Roman"/>
        </w:rPr>
        <w:t>ection 1318 of the Code, 66 Pa.</w:t>
      </w:r>
      <w:r w:rsidRPr="0063279F">
        <w:rPr>
          <w:rFonts w:ascii="Times New Roman" w:hAnsi="Times New Roman" w:cs="Times New Roman"/>
        </w:rPr>
        <w:t>C.S. §</w:t>
      </w:r>
      <w:r w:rsidR="007B446A">
        <w:rPr>
          <w:rFonts w:ascii="Times New Roman" w:hAnsi="Times New Roman" w:cs="Times New Roman"/>
        </w:rPr>
        <w:t xml:space="preserve"> </w:t>
      </w:r>
      <w:r w:rsidRPr="0063279F">
        <w:rPr>
          <w:rFonts w:ascii="Times New Roman" w:hAnsi="Times New Roman" w:cs="Times New Roman"/>
        </w:rPr>
        <w:t>1318.  Accordingly, I recommend that the Stipulation be approved and that the compliance filing, consistent therewith, be permitted to become effective for service rendered on and after December 1, 201</w:t>
      </w:r>
      <w:r w:rsidR="001E2DFB" w:rsidRPr="0063279F">
        <w:rPr>
          <w:rFonts w:ascii="Times New Roman" w:hAnsi="Times New Roman" w:cs="Times New Roman"/>
        </w:rPr>
        <w:t>4</w:t>
      </w:r>
      <w:r w:rsidRPr="0063279F">
        <w:rPr>
          <w:rFonts w:ascii="Times New Roman" w:hAnsi="Times New Roman" w:cs="Times New Roman"/>
        </w:rPr>
        <w:t>.</w:t>
      </w:r>
    </w:p>
    <w:p w:rsidR="00E01645" w:rsidRPr="0063279F" w:rsidRDefault="00E01645" w:rsidP="00C545C3">
      <w:pPr>
        <w:tabs>
          <w:tab w:val="left" w:pos="-720"/>
        </w:tabs>
        <w:suppressAutoHyphens/>
        <w:spacing w:line="360" w:lineRule="auto"/>
        <w:outlineLvl w:val="0"/>
        <w:rPr>
          <w:rFonts w:ascii="Times New Roman" w:hAnsi="Times New Roman" w:cs="Times New Roman"/>
        </w:rPr>
      </w:pPr>
    </w:p>
    <w:p w:rsidR="00E01645" w:rsidRPr="0063279F" w:rsidRDefault="00E01645" w:rsidP="00E01645">
      <w:pPr>
        <w:tabs>
          <w:tab w:val="left" w:pos="-720"/>
        </w:tabs>
        <w:suppressAutoHyphens/>
        <w:spacing w:line="360" w:lineRule="auto"/>
        <w:jc w:val="center"/>
        <w:rPr>
          <w:rFonts w:ascii="Times New Roman" w:hAnsi="Times New Roman" w:cs="Times New Roman"/>
        </w:rPr>
      </w:pPr>
      <w:r w:rsidRPr="0063279F">
        <w:rPr>
          <w:rFonts w:ascii="Times New Roman" w:hAnsi="Times New Roman" w:cs="Times New Roman"/>
          <w:bCs/>
          <w:u w:val="single"/>
        </w:rPr>
        <w:t>CONCLUSIONS OF LAW</w:t>
      </w:r>
    </w:p>
    <w:p w:rsidR="00E01645" w:rsidRPr="0063279F" w:rsidRDefault="00E01645" w:rsidP="00E01645">
      <w:pPr>
        <w:tabs>
          <w:tab w:val="left" w:pos="-720"/>
        </w:tabs>
        <w:suppressAutoHyphens/>
        <w:spacing w:line="360" w:lineRule="auto"/>
        <w:jc w:val="center"/>
        <w:rPr>
          <w:rFonts w:ascii="Times New Roman" w:hAnsi="Times New Roman" w:cs="Times New Roman"/>
          <w:bCs/>
          <w:u w:val="single"/>
        </w:rPr>
      </w:pPr>
    </w:p>
    <w:p w:rsidR="00E01645" w:rsidRPr="0063279F" w:rsidRDefault="00E01645" w:rsidP="00E01645">
      <w:pPr>
        <w:autoSpaceDE/>
        <w:autoSpaceDN/>
        <w:spacing w:line="360" w:lineRule="auto"/>
        <w:rPr>
          <w:rFonts w:ascii="Times New Roman" w:hAnsi="Times New Roman" w:cs="Times New Roman"/>
        </w:rPr>
      </w:pPr>
      <w:r w:rsidRPr="0063279F">
        <w:rPr>
          <w:rFonts w:ascii="Times New Roman" w:hAnsi="Times New Roman" w:cs="Times New Roman"/>
        </w:rPr>
        <w:tab/>
      </w:r>
      <w:r w:rsidRPr="0063279F">
        <w:rPr>
          <w:rFonts w:ascii="Times New Roman" w:hAnsi="Times New Roman" w:cs="Times New Roman"/>
        </w:rPr>
        <w:tab/>
        <w:t>1.</w:t>
      </w:r>
      <w:r w:rsidRPr="0063279F">
        <w:rPr>
          <w:rFonts w:ascii="Times New Roman" w:hAnsi="Times New Roman" w:cs="Times New Roman"/>
        </w:rPr>
        <w:tab/>
        <w:t>The Commission has jurisdiction over the parties and subject mat</w:t>
      </w:r>
      <w:r w:rsidR="000A56DA">
        <w:rPr>
          <w:rFonts w:ascii="Times New Roman" w:hAnsi="Times New Roman" w:cs="Times New Roman"/>
        </w:rPr>
        <w:t xml:space="preserve">ter of this proceeding.  </w:t>
      </w:r>
      <w:proofErr w:type="gramStart"/>
      <w:r w:rsidR="000A56DA">
        <w:rPr>
          <w:rFonts w:ascii="Times New Roman" w:hAnsi="Times New Roman" w:cs="Times New Roman"/>
        </w:rPr>
        <w:t>66 Pa.</w:t>
      </w:r>
      <w:r w:rsidRPr="0063279F">
        <w:rPr>
          <w:rFonts w:ascii="Times New Roman" w:hAnsi="Times New Roman" w:cs="Times New Roman"/>
        </w:rPr>
        <w:t>C.S.</w:t>
      </w:r>
      <w:proofErr w:type="gramEnd"/>
      <w:r w:rsidRPr="0063279F">
        <w:rPr>
          <w:rFonts w:ascii="Times New Roman" w:hAnsi="Times New Roman" w:cs="Times New Roman"/>
        </w:rPr>
        <w:t xml:space="preserve"> </w:t>
      </w:r>
      <w:proofErr w:type="gramStart"/>
      <w:r w:rsidRPr="0063279F">
        <w:rPr>
          <w:rFonts w:ascii="Times New Roman" w:hAnsi="Times New Roman" w:cs="Times New Roman"/>
        </w:rPr>
        <w:t>§§</w:t>
      </w:r>
      <w:r w:rsidR="000A56DA">
        <w:rPr>
          <w:rFonts w:ascii="Times New Roman" w:hAnsi="Times New Roman" w:cs="Times New Roman"/>
        </w:rPr>
        <w:t xml:space="preserve"> </w:t>
      </w:r>
      <w:r w:rsidRPr="0063279F">
        <w:rPr>
          <w:rFonts w:ascii="Times New Roman" w:hAnsi="Times New Roman" w:cs="Times New Roman"/>
        </w:rPr>
        <w:t>501, 1301, 1307(f), 1317, 1318.</w:t>
      </w:r>
      <w:proofErr w:type="gramEnd"/>
    </w:p>
    <w:p w:rsidR="00E01645" w:rsidRPr="0063279F" w:rsidRDefault="00E01645" w:rsidP="00E01645">
      <w:pPr>
        <w:autoSpaceDE/>
        <w:autoSpaceDN/>
        <w:spacing w:line="360" w:lineRule="auto"/>
        <w:rPr>
          <w:rFonts w:ascii="Times New Roman" w:hAnsi="Times New Roman" w:cs="Times New Roman"/>
        </w:rPr>
      </w:pPr>
    </w:p>
    <w:p w:rsidR="00E01645" w:rsidRPr="0063279F" w:rsidRDefault="00E01645" w:rsidP="00E01645">
      <w:pPr>
        <w:autoSpaceDE/>
        <w:autoSpaceDN/>
        <w:spacing w:line="360" w:lineRule="auto"/>
        <w:rPr>
          <w:rFonts w:ascii="Times New Roman" w:hAnsi="Times New Roman" w:cs="Times New Roman"/>
        </w:rPr>
      </w:pPr>
      <w:r w:rsidRPr="0063279F">
        <w:rPr>
          <w:rFonts w:ascii="Times New Roman" w:hAnsi="Times New Roman" w:cs="Times New Roman"/>
        </w:rPr>
        <w:tab/>
      </w:r>
      <w:r w:rsidRPr="0063279F">
        <w:rPr>
          <w:rFonts w:ascii="Times New Roman" w:hAnsi="Times New Roman" w:cs="Times New Roman"/>
        </w:rPr>
        <w:tab/>
        <w:t>2.</w:t>
      </w:r>
      <w:r w:rsidRPr="0063279F">
        <w:rPr>
          <w:rFonts w:ascii="Times New Roman" w:hAnsi="Times New Roman" w:cs="Times New Roman"/>
        </w:rPr>
        <w:tab/>
        <w:t xml:space="preserve">There is sufficient evidence of record to make the findings required by Section 1318 of </w:t>
      </w:r>
      <w:r w:rsidR="000A56DA">
        <w:rPr>
          <w:rFonts w:ascii="Times New Roman" w:hAnsi="Times New Roman" w:cs="Times New Roman"/>
        </w:rPr>
        <w:t>the Public Utility Code, 66 Pa.</w:t>
      </w:r>
      <w:r w:rsidRPr="0063279F">
        <w:rPr>
          <w:rFonts w:ascii="Times New Roman" w:hAnsi="Times New Roman" w:cs="Times New Roman"/>
        </w:rPr>
        <w:t>C.S. §</w:t>
      </w:r>
      <w:r w:rsidR="000A56DA">
        <w:rPr>
          <w:rFonts w:ascii="Times New Roman" w:hAnsi="Times New Roman" w:cs="Times New Roman"/>
        </w:rPr>
        <w:t xml:space="preserve"> </w:t>
      </w:r>
      <w:r w:rsidRPr="0063279F">
        <w:rPr>
          <w:rFonts w:ascii="Times New Roman" w:hAnsi="Times New Roman" w:cs="Times New Roman"/>
        </w:rPr>
        <w:t>1318.</w:t>
      </w:r>
    </w:p>
    <w:p w:rsidR="00E01645" w:rsidRPr="0063279F" w:rsidRDefault="00E01645" w:rsidP="00E01645">
      <w:pPr>
        <w:autoSpaceDE/>
        <w:autoSpaceDN/>
        <w:spacing w:line="360" w:lineRule="auto"/>
        <w:rPr>
          <w:rFonts w:ascii="Times New Roman" w:hAnsi="Times New Roman" w:cs="Times New Roman"/>
        </w:rPr>
      </w:pPr>
    </w:p>
    <w:p w:rsidR="00E01645" w:rsidRPr="0063279F" w:rsidRDefault="00E01645" w:rsidP="00E01645">
      <w:pPr>
        <w:autoSpaceDE/>
        <w:autoSpaceDN/>
        <w:spacing w:line="360" w:lineRule="auto"/>
        <w:rPr>
          <w:rFonts w:ascii="Times New Roman" w:hAnsi="Times New Roman" w:cs="Times New Roman"/>
        </w:rPr>
      </w:pPr>
      <w:r w:rsidRPr="0063279F">
        <w:rPr>
          <w:rFonts w:ascii="Times New Roman" w:hAnsi="Times New Roman" w:cs="Times New Roman"/>
        </w:rPr>
        <w:tab/>
      </w:r>
      <w:r w:rsidRPr="0063279F">
        <w:rPr>
          <w:rFonts w:ascii="Times New Roman" w:hAnsi="Times New Roman" w:cs="Times New Roman"/>
        </w:rPr>
        <w:tab/>
        <w:t>3.</w:t>
      </w:r>
      <w:r w:rsidRPr="0063279F">
        <w:rPr>
          <w:rFonts w:ascii="Times New Roman" w:hAnsi="Times New Roman" w:cs="Times New Roman"/>
        </w:rPr>
        <w:tab/>
        <w:t>With respect to gas purchases and gas purchasing practices during the twelve-month historic reconciliation period ended March 31, 201</w:t>
      </w:r>
      <w:r w:rsidR="001E2DFB" w:rsidRPr="0063279F">
        <w:rPr>
          <w:rFonts w:ascii="Times New Roman" w:hAnsi="Times New Roman" w:cs="Times New Roman"/>
        </w:rPr>
        <w:t>4</w:t>
      </w:r>
      <w:r w:rsidRPr="0063279F">
        <w:rPr>
          <w:rFonts w:ascii="Times New Roman" w:hAnsi="Times New Roman" w:cs="Times New Roman"/>
        </w:rPr>
        <w:t xml:space="preserve">, UGI has met the standards set forth in Section 1318 of </w:t>
      </w:r>
      <w:r w:rsidR="0031658C">
        <w:rPr>
          <w:rFonts w:ascii="Times New Roman" w:hAnsi="Times New Roman" w:cs="Times New Roman"/>
        </w:rPr>
        <w:t>the Public Utility Code, 66 Pa.</w:t>
      </w:r>
      <w:r w:rsidRPr="0063279F">
        <w:rPr>
          <w:rFonts w:ascii="Times New Roman" w:hAnsi="Times New Roman" w:cs="Times New Roman"/>
        </w:rPr>
        <w:t>C.S. §</w:t>
      </w:r>
      <w:r w:rsidR="0031658C">
        <w:rPr>
          <w:rFonts w:ascii="Times New Roman" w:hAnsi="Times New Roman" w:cs="Times New Roman"/>
        </w:rPr>
        <w:t xml:space="preserve"> </w:t>
      </w:r>
      <w:r w:rsidRPr="0063279F">
        <w:rPr>
          <w:rFonts w:ascii="Times New Roman" w:hAnsi="Times New Roman" w:cs="Times New Roman"/>
        </w:rPr>
        <w:t>1318, as required by Section 1307(f</w:t>
      </w:r>
      <w:proofErr w:type="gramStart"/>
      <w:r w:rsidRPr="0063279F">
        <w:rPr>
          <w:rFonts w:ascii="Times New Roman" w:hAnsi="Times New Roman" w:cs="Times New Roman"/>
        </w:rPr>
        <w:t>)(</w:t>
      </w:r>
      <w:proofErr w:type="gramEnd"/>
      <w:r w:rsidRPr="0063279F">
        <w:rPr>
          <w:rFonts w:ascii="Times New Roman" w:hAnsi="Times New Roman" w:cs="Times New Roman"/>
        </w:rPr>
        <w:t xml:space="preserve">5) of </w:t>
      </w:r>
      <w:r w:rsidR="0031658C">
        <w:rPr>
          <w:rFonts w:ascii="Times New Roman" w:hAnsi="Times New Roman" w:cs="Times New Roman"/>
        </w:rPr>
        <w:t>the Public Utility Code, 66 Pa.</w:t>
      </w:r>
      <w:r w:rsidRPr="0063279F">
        <w:rPr>
          <w:rFonts w:ascii="Times New Roman" w:hAnsi="Times New Roman" w:cs="Times New Roman"/>
        </w:rPr>
        <w:t>C.S. §</w:t>
      </w:r>
      <w:r w:rsidR="0031658C">
        <w:rPr>
          <w:rFonts w:ascii="Times New Roman" w:hAnsi="Times New Roman" w:cs="Times New Roman"/>
        </w:rPr>
        <w:t xml:space="preserve"> </w:t>
      </w:r>
      <w:r w:rsidRPr="0063279F">
        <w:rPr>
          <w:rFonts w:ascii="Times New Roman" w:hAnsi="Times New Roman" w:cs="Times New Roman"/>
        </w:rPr>
        <w:t>1307(f</w:t>
      </w:r>
      <w:proofErr w:type="gramStart"/>
      <w:r w:rsidRPr="0063279F">
        <w:rPr>
          <w:rFonts w:ascii="Times New Roman" w:hAnsi="Times New Roman" w:cs="Times New Roman"/>
        </w:rPr>
        <w:t>)(</w:t>
      </w:r>
      <w:proofErr w:type="gramEnd"/>
      <w:r w:rsidRPr="0063279F">
        <w:rPr>
          <w:rFonts w:ascii="Times New Roman" w:hAnsi="Times New Roman" w:cs="Times New Roman"/>
        </w:rPr>
        <w:t>5).</w:t>
      </w:r>
    </w:p>
    <w:p w:rsidR="00E01645" w:rsidRPr="0063279F" w:rsidRDefault="00E01645" w:rsidP="00E01645">
      <w:pPr>
        <w:autoSpaceDE/>
        <w:autoSpaceDN/>
        <w:spacing w:line="360" w:lineRule="auto"/>
        <w:rPr>
          <w:rFonts w:ascii="Times New Roman" w:hAnsi="Times New Roman" w:cs="Times New Roman"/>
        </w:rPr>
      </w:pPr>
    </w:p>
    <w:p w:rsidR="00E01645" w:rsidRPr="0063279F" w:rsidRDefault="00E01645" w:rsidP="00E01645">
      <w:pPr>
        <w:autoSpaceDE/>
        <w:autoSpaceDN/>
        <w:spacing w:line="360" w:lineRule="auto"/>
        <w:rPr>
          <w:rFonts w:ascii="Times New Roman" w:hAnsi="Times New Roman" w:cs="Times New Roman"/>
        </w:rPr>
      </w:pPr>
      <w:r w:rsidRPr="0063279F">
        <w:rPr>
          <w:rFonts w:ascii="Times New Roman" w:hAnsi="Times New Roman" w:cs="Times New Roman"/>
        </w:rPr>
        <w:tab/>
      </w:r>
      <w:r w:rsidRPr="0063279F">
        <w:rPr>
          <w:rFonts w:ascii="Times New Roman" w:hAnsi="Times New Roman" w:cs="Times New Roman"/>
        </w:rPr>
        <w:tab/>
        <w:t>4.</w:t>
      </w:r>
      <w:r w:rsidRPr="0063279F">
        <w:rPr>
          <w:rFonts w:ascii="Times New Roman" w:hAnsi="Times New Roman" w:cs="Times New Roman"/>
        </w:rPr>
        <w:tab/>
        <w:t>During the twelve-month period ended March 31, 201</w:t>
      </w:r>
      <w:r w:rsidR="001E2DFB" w:rsidRPr="0063279F">
        <w:rPr>
          <w:rFonts w:ascii="Times New Roman" w:hAnsi="Times New Roman" w:cs="Times New Roman"/>
        </w:rPr>
        <w:t>4</w:t>
      </w:r>
      <w:r w:rsidRPr="0063279F">
        <w:rPr>
          <w:rFonts w:ascii="Times New Roman" w:hAnsi="Times New Roman" w:cs="Times New Roman"/>
        </w:rPr>
        <w:t>, UGI has met the requirements of Section 1318 of the Public Utility Code by pursuing a least cost fuel procurement policy, consistent with its obligation to provide safe, adequate and reliable service to its customers.</w:t>
      </w:r>
    </w:p>
    <w:p w:rsidR="00E01645" w:rsidRPr="0063279F" w:rsidRDefault="00E01645" w:rsidP="00E01645">
      <w:pPr>
        <w:autoSpaceDE/>
        <w:autoSpaceDN/>
        <w:spacing w:line="360" w:lineRule="auto"/>
        <w:rPr>
          <w:rFonts w:ascii="Times New Roman" w:hAnsi="Times New Roman" w:cs="Times New Roman"/>
        </w:rPr>
      </w:pPr>
    </w:p>
    <w:p w:rsidR="00E01645" w:rsidRPr="0063279F" w:rsidRDefault="00E01645" w:rsidP="00E01645">
      <w:pPr>
        <w:autoSpaceDE/>
        <w:autoSpaceDN/>
        <w:spacing w:line="360" w:lineRule="auto"/>
        <w:rPr>
          <w:rFonts w:ascii="Times New Roman" w:hAnsi="Times New Roman" w:cs="Times New Roman"/>
        </w:rPr>
      </w:pPr>
      <w:r w:rsidRPr="0063279F">
        <w:rPr>
          <w:rFonts w:ascii="Times New Roman" w:hAnsi="Times New Roman" w:cs="Times New Roman"/>
        </w:rPr>
        <w:tab/>
      </w:r>
      <w:r w:rsidRPr="0063279F">
        <w:rPr>
          <w:rFonts w:ascii="Times New Roman" w:hAnsi="Times New Roman" w:cs="Times New Roman"/>
        </w:rPr>
        <w:tab/>
        <w:t>5.</w:t>
      </w:r>
      <w:r w:rsidRPr="0063279F">
        <w:rPr>
          <w:rFonts w:ascii="Times New Roman" w:hAnsi="Times New Roman" w:cs="Times New Roman"/>
        </w:rPr>
        <w:tab/>
        <w:t>With respect to the twelve-month period beginning December 1, 201</w:t>
      </w:r>
      <w:r w:rsidR="001E2DFB" w:rsidRPr="0063279F">
        <w:rPr>
          <w:rFonts w:ascii="Times New Roman" w:hAnsi="Times New Roman" w:cs="Times New Roman"/>
        </w:rPr>
        <w:t>4</w:t>
      </w:r>
      <w:r w:rsidRPr="0063279F">
        <w:rPr>
          <w:rFonts w:ascii="Times New Roman" w:hAnsi="Times New Roman" w:cs="Times New Roman"/>
        </w:rPr>
        <w:t>, UGI has satisfied each of the standards for a least cost fuel procurement policy set forth in Section 1318 of the Public Utility Code, based upon the evidence of record concerning its purchasing practices, subject to further review in an appropriate future proceeding.</w:t>
      </w:r>
    </w:p>
    <w:p w:rsidR="00E01645" w:rsidRPr="0063279F" w:rsidRDefault="00E01645" w:rsidP="00E01645">
      <w:pPr>
        <w:autoSpaceDE/>
        <w:autoSpaceDN/>
        <w:spacing w:line="360" w:lineRule="auto"/>
        <w:rPr>
          <w:rFonts w:ascii="Times New Roman" w:hAnsi="Times New Roman" w:cs="Times New Roman"/>
        </w:rPr>
      </w:pPr>
    </w:p>
    <w:p w:rsidR="00E01645" w:rsidRPr="0063279F" w:rsidRDefault="00E01645" w:rsidP="00E01645">
      <w:pPr>
        <w:autoSpaceDE/>
        <w:autoSpaceDN/>
        <w:spacing w:line="360" w:lineRule="auto"/>
        <w:rPr>
          <w:rFonts w:ascii="Times New Roman" w:hAnsi="Times New Roman" w:cs="Times New Roman"/>
        </w:rPr>
      </w:pPr>
      <w:r w:rsidRPr="0063279F">
        <w:rPr>
          <w:rFonts w:ascii="Times New Roman" w:hAnsi="Times New Roman" w:cs="Times New Roman"/>
        </w:rPr>
        <w:tab/>
      </w:r>
      <w:r w:rsidRPr="0063279F">
        <w:rPr>
          <w:rFonts w:ascii="Times New Roman" w:hAnsi="Times New Roman" w:cs="Times New Roman"/>
        </w:rPr>
        <w:tab/>
        <w:t>6.</w:t>
      </w:r>
      <w:r w:rsidRPr="0063279F">
        <w:rPr>
          <w:rFonts w:ascii="Times New Roman" w:hAnsi="Times New Roman" w:cs="Times New Roman"/>
        </w:rPr>
        <w:tab/>
        <w:t>The Stipulation In Settlement Of Section 1307(f) Rate Investigation submitted by UGI, I&amp;E, OCA, and OSBA at this docket on August 2</w:t>
      </w:r>
      <w:r w:rsidR="001E2DFB" w:rsidRPr="0063279F">
        <w:rPr>
          <w:rFonts w:ascii="Times New Roman" w:hAnsi="Times New Roman" w:cs="Times New Roman"/>
        </w:rPr>
        <w:t>9</w:t>
      </w:r>
      <w:r w:rsidRPr="0063279F">
        <w:rPr>
          <w:rFonts w:ascii="Times New Roman" w:hAnsi="Times New Roman" w:cs="Times New Roman"/>
        </w:rPr>
        <w:t>, 201</w:t>
      </w:r>
      <w:r w:rsidR="001E2DFB" w:rsidRPr="0063279F">
        <w:rPr>
          <w:rFonts w:ascii="Times New Roman" w:hAnsi="Times New Roman" w:cs="Times New Roman"/>
        </w:rPr>
        <w:t>4</w:t>
      </w:r>
      <w:r w:rsidRPr="0063279F">
        <w:rPr>
          <w:rFonts w:ascii="Times New Roman" w:hAnsi="Times New Roman" w:cs="Times New Roman"/>
        </w:rPr>
        <w:t>, which has not been opposed by any other party, is in the public interest.</w:t>
      </w:r>
    </w:p>
    <w:p w:rsidR="00E01645" w:rsidRPr="0063279F" w:rsidRDefault="00E01645" w:rsidP="00E01645">
      <w:pPr>
        <w:autoSpaceDE/>
        <w:autoSpaceDN/>
        <w:spacing w:line="360" w:lineRule="auto"/>
        <w:rPr>
          <w:rFonts w:ascii="Times New Roman" w:hAnsi="Times New Roman" w:cs="Times New Roman"/>
        </w:rPr>
      </w:pPr>
    </w:p>
    <w:p w:rsidR="00E01645" w:rsidRPr="0063279F" w:rsidRDefault="00E01645" w:rsidP="00E01645">
      <w:pPr>
        <w:autoSpaceDE/>
        <w:autoSpaceDN/>
        <w:spacing w:line="360" w:lineRule="auto"/>
        <w:rPr>
          <w:rFonts w:ascii="Times New Roman" w:hAnsi="Times New Roman" w:cs="Times New Roman"/>
        </w:rPr>
      </w:pPr>
      <w:r w:rsidRPr="0063279F">
        <w:rPr>
          <w:rFonts w:ascii="Times New Roman" w:hAnsi="Times New Roman" w:cs="Times New Roman"/>
        </w:rPr>
        <w:tab/>
      </w:r>
      <w:r w:rsidRPr="0063279F">
        <w:rPr>
          <w:rFonts w:ascii="Times New Roman" w:hAnsi="Times New Roman" w:cs="Times New Roman"/>
        </w:rPr>
        <w:tab/>
        <w:t>7.</w:t>
      </w:r>
      <w:r w:rsidRPr="0063279F">
        <w:rPr>
          <w:rFonts w:ascii="Times New Roman" w:hAnsi="Times New Roman" w:cs="Times New Roman"/>
        </w:rPr>
        <w:tab/>
        <w:t xml:space="preserve">A compliance filing consistent with the Stipulation </w:t>
      </w:r>
      <w:proofErr w:type="gramStart"/>
      <w:r w:rsidRPr="0063279F">
        <w:rPr>
          <w:rFonts w:ascii="Times New Roman" w:hAnsi="Times New Roman" w:cs="Times New Roman"/>
        </w:rPr>
        <w:t>In Settlement Of</w:t>
      </w:r>
      <w:proofErr w:type="gramEnd"/>
      <w:r w:rsidRPr="0063279F">
        <w:rPr>
          <w:rFonts w:ascii="Times New Roman" w:hAnsi="Times New Roman" w:cs="Times New Roman"/>
        </w:rPr>
        <w:t xml:space="preserve"> Section 1307(f) Rate Investigation filed on August 2</w:t>
      </w:r>
      <w:r w:rsidR="001E2DFB" w:rsidRPr="0063279F">
        <w:rPr>
          <w:rFonts w:ascii="Times New Roman" w:hAnsi="Times New Roman" w:cs="Times New Roman"/>
        </w:rPr>
        <w:t>9</w:t>
      </w:r>
      <w:r w:rsidRPr="0063279F">
        <w:rPr>
          <w:rFonts w:ascii="Times New Roman" w:hAnsi="Times New Roman" w:cs="Times New Roman"/>
        </w:rPr>
        <w:t>, 201</w:t>
      </w:r>
      <w:r w:rsidR="001E2DFB" w:rsidRPr="0063279F">
        <w:rPr>
          <w:rFonts w:ascii="Times New Roman" w:hAnsi="Times New Roman" w:cs="Times New Roman"/>
        </w:rPr>
        <w:t>4</w:t>
      </w:r>
      <w:r w:rsidRPr="0063279F">
        <w:rPr>
          <w:rFonts w:ascii="Times New Roman" w:hAnsi="Times New Roman" w:cs="Times New Roman"/>
        </w:rPr>
        <w:t>, should be permitted to become effective for service rendered by UGI on and after December 1, 201</w:t>
      </w:r>
      <w:r w:rsidR="001E2DFB" w:rsidRPr="0063279F">
        <w:rPr>
          <w:rFonts w:ascii="Times New Roman" w:hAnsi="Times New Roman" w:cs="Times New Roman"/>
        </w:rPr>
        <w:t>4</w:t>
      </w:r>
      <w:r w:rsidRPr="0063279F">
        <w:rPr>
          <w:rFonts w:ascii="Times New Roman" w:hAnsi="Times New Roman" w:cs="Times New Roman"/>
        </w:rPr>
        <w:t>.</w:t>
      </w:r>
    </w:p>
    <w:p w:rsidR="00E01645" w:rsidRPr="0063279F" w:rsidRDefault="00E01645" w:rsidP="00E01645">
      <w:pPr>
        <w:autoSpaceDE/>
        <w:autoSpaceDN/>
        <w:spacing w:line="360" w:lineRule="auto"/>
        <w:rPr>
          <w:rFonts w:ascii="Times New Roman" w:hAnsi="Times New Roman" w:cs="Times New Roman"/>
          <w:u w:val="single"/>
        </w:rPr>
      </w:pPr>
    </w:p>
    <w:p w:rsidR="00E01645" w:rsidRPr="0063279F" w:rsidRDefault="00E01645" w:rsidP="00E01645">
      <w:pPr>
        <w:autoSpaceDE/>
        <w:autoSpaceDN/>
        <w:spacing w:line="360" w:lineRule="auto"/>
        <w:jc w:val="center"/>
        <w:rPr>
          <w:rFonts w:ascii="Times New Roman" w:hAnsi="Times New Roman" w:cs="Times New Roman"/>
        </w:rPr>
      </w:pPr>
      <w:r w:rsidRPr="0063279F">
        <w:rPr>
          <w:rFonts w:ascii="Times New Roman" w:hAnsi="Times New Roman" w:cs="Times New Roman"/>
          <w:u w:val="single"/>
        </w:rPr>
        <w:t>ORDER</w:t>
      </w:r>
    </w:p>
    <w:p w:rsidR="00E01645" w:rsidRPr="0063279F" w:rsidRDefault="00E01645" w:rsidP="00E01645">
      <w:pPr>
        <w:spacing w:line="360" w:lineRule="auto"/>
        <w:rPr>
          <w:rFonts w:ascii="Times New Roman" w:hAnsi="Times New Roman" w:cs="Times New Roman"/>
        </w:rPr>
      </w:pPr>
    </w:p>
    <w:p w:rsidR="00E01645" w:rsidRPr="0063279F" w:rsidRDefault="00E01645" w:rsidP="00E01645">
      <w:pPr>
        <w:spacing w:line="360" w:lineRule="auto"/>
        <w:rPr>
          <w:rFonts w:ascii="Times New Roman" w:hAnsi="Times New Roman" w:cs="Times New Roman"/>
        </w:rPr>
      </w:pPr>
    </w:p>
    <w:p w:rsidR="00E01645" w:rsidRPr="0063279F" w:rsidRDefault="00E01645" w:rsidP="00E01645">
      <w:pPr>
        <w:spacing w:line="360" w:lineRule="auto"/>
        <w:rPr>
          <w:rFonts w:ascii="Times New Roman" w:hAnsi="Times New Roman" w:cs="Times New Roman"/>
        </w:rPr>
      </w:pPr>
      <w:r w:rsidRPr="0063279F">
        <w:rPr>
          <w:rFonts w:ascii="Times New Roman" w:hAnsi="Times New Roman" w:cs="Times New Roman"/>
        </w:rPr>
        <w:tab/>
      </w:r>
      <w:r w:rsidRPr="0063279F">
        <w:rPr>
          <w:rFonts w:ascii="Times New Roman" w:hAnsi="Times New Roman" w:cs="Times New Roman"/>
        </w:rPr>
        <w:tab/>
        <w:t>THEREFORE,</w:t>
      </w:r>
    </w:p>
    <w:p w:rsidR="00E01645" w:rsidRPr="0063279F" w:rsidRDefault="00E01645" w:rsidP="00E01645">
      <w:pPr>
        <w:spacing w:line="360" w:lineRule="auto"/>
        <w:outlineLvl w:val="0"/>
        <w:rPr>
          <w:rFonts w:ascii="Times New Roman" w:hAnsi="Times New Roman" w:cs="Times New Roman"/>
        </w:rPr>
      </w:pPr>
    </w:p>
    <w:p w:rsidR="00E01645" w:rsidRPr="0063279F" w:rsidRDefault="00E01645" w:rsidP="00E01645">
      <w:pPr>
        <w:spacing w:line="360" w:lineRule="auto"/>
        <w:rPr>
          <w:rFonts w:ascii="Times New Roman" w:hAnsi="Times New Roman" w:cs="Times New Roman"/>
        </w:rPr>
      </w:pPr>
      <w:r w:rsidRPr="0063279F">
        <w:rPr>
          <w:rFonts w:ascii="Times New Roman" w:hAnsi="Times New Roman" w:cs="Times New Roman"/>
        </w:rPr>
        <w:tab/>
      </w:r>
      <w:r w:rsidRPr="0063279F">
        <w:rPr>
          <w:rFonts w:ascii="Times New Roman" w:hAnsi="Times New Roman" w:cs="Times New Roman"/>
        </w:rPr>
        <w:tab/>
        <w:t>IT IS RECOMMENDED:</w:t>
      </w:r>
    </w:p>
    <w:p w:rsidR="00E01645" w:rsidRPr="0063279F" w:rsidRDefault="00E01645" w:rsidP="00E01645">
      <w:pPr>
        <w:spacing w:line="360" w:lineRule="auto"/>
        <w:rPr>
          <w:rFonts w:ascii="Times New Roman" w:hAnsi="Times New Roman" w:cs="Times New Roman"/>
        </w:rPr>
      </w:pPr>
    </w:p>
    <w:p w:rsidR="00E01645" w:rsidRPr="0063279F" w:rsidRDefault="00E01645" w:rsidP="00E01645">
      <w:pPr>
        <w:spacing w:line="360" w:lineRule="auto"/>
        <w:rPr>
          <w:rFonts w:ascii="Times New Roman" w:hAnsi="Times New Roman" w:cs="Times New Roman"/>
        </w:rPr>
      </w:pPr>
      <w:r w:rsidRPr="0063279F">
        <w:rPr>
          <w:rFonts w:ascii="Times New Roman" w:hAnsi="Times New Roman" w:cs="Times New Roman"/>
        </w:rPr>
        <w:tab/>
      </w:r>
      <w:r w:rsidRPr="0063279F">
        <w:rPr>
          <w:rFonts w:ascii="Times New Roman" w:hAnsi="Times New Roman" w:cs="Times New Roman"/>
        </w:rPr>
        <w:tab/>
        <w:t>1.</w:t>
      </w:r>
      <w:r w:rsidRPr="0063279F">
        <w:rPr>
          <w:rFonts w:ascii="Times New Roman" w:hAnsi="Times New Roman" w:cs="Times New Roman"/>
        </w:rPr>
        <w:tab/>
        <w:t>That the Stipulation In Settlement Of Section 1307(f) Rate Investigation submitted by UGI Utilities, Inc. – Gas Division, the Bureau of Investigation and Enforcement, the Office of Small Business Advocate, and the Office of Consumer Advocate at Docket No. R</w:t>
      </w:r>
      <w:r w:rsidR="00B22056">
        <w:rPr>
          <w:rFonts w:ascii="Times New Roman" w:hAnsi="Times New Roman" w:cs="Times New Roman"/>
        </w:rPr>
        <w:noBreakHyphen/>
      </w:r>
      <w:bookmarkStart w:id="0" w:name="_GoBack"/>
      <w:bookmarkEnd w:id="0"/>
      <w:r w:rsidRPr="0063279F">
        <w:rPr>
          <w:rFonts w:ascii="Times New Roman" w:hAnsi="Times New Roman" w:cs="Times New Roman"/>
        </w:rPr>
        <w:t>201</w:t>
      </w:r>
      <w:r w:rsidR="001E2DFB" w:rsidRPr="0063279F">
        <w:rPr>
          <w:rFonts w:ascii="Times New Roman" w:hAnsi="Times New Roman" w:cs="Times New Roman"/>
        </w:rPr>
        <w:t>4</w:t>
      </w:r>
      <w:r w:rsidRPr="0063279F">
        <w:rPr>
          <w:rFonts w:ascii="Times New Roman" w:hAnsi="Times New Roman" w:cs="Times New Roman"/>
        </w:rPr>
        <w:t>-</w:t>
      </w:r>
      <w:r w:rsidR="001E2DFB" w:rsidRPr="0063279F">
        <w:rPr>
          <w:rFonts w:ascii="Times New Roman" w:hAnsi="Times New Roman" w:cs="Times New Roman"/>
        </w:rPr>
        <w:t>2420276</w:t>
      </w:r>
      <w:r w:rsidRPr="0063279F">
        <w:rPr>
          <w:rFonts w:ascii="Times New Roman" w:hAnsi="Times New Roman" w:cs="Times New Roman"/>
        </w:rPr>
        <w:t>, on August 2</w:t>
      </w:r>
      <w:r w:rsidR="001E2DFB" w:rsidRPr="0063279F">
        <w:rPr>
          <w:rFonts w:ascii="Times New Roman" w:hAnsi="Times New Roman" w:cs="Times New Roman"/>
        </w:rPr>
        <w:t>9</w:t>
      </w:r>
      <w:r w:rsidRPr="0063279F">
        <w:rPr>
          <w:rFonts w:ascii="Times New Roman" w:hAnsi="Times New Roman" w:cs="Times New Roman"/>
        </w:rPr>
        <w:t>, 201</w:t>
      </w:r>
      <w:r w:rsidR="001E2DFB" w:rsidRPr="0063279F">
        <w:rPr>
          <w:rFonts w:ascii="Times New Roman" w:hAnsi="Times New Roman" w:cs="Times New Roman"/>
        </w:rPr>
        <w:t>4</w:t>
      </w:r>
      <w:r w:rsidRPr="0063279F">
        <w:rPr>
          <w:rFonts w:ascii="Times New Roman" w:hAnsi="Times New Roman" w:cs="Times New Roman"/>
        </w:rPr>
        <w:t xml:space="preserve">, </w:t>
      </w:r>
      <w:r w:rsidR="001E2DFB" w:rsidRPr="0063279F">
        <w:rPr>
          <w:rFonts w:ascii="Times New Roman" w:hAnsi="Times New Roman" w:cs="Times New Roman"/>
        </w:rPr>
        <w:t xml:space="preserve">as amended by corrected Appendix A, </w:t>
      </w:r>
      <w:r w:rsidRPr="0063279F">
        <w:rPr>
          <w:rFonts w:ascii="Times New Roman" w:hAnsi="Times New Roman" w:cs="Times New Roman"/>
        </w:rPr>
        <w:t>and which has not been opposed by any other party, is hereby approved.</w:t>
      </w:r>
    </w:p>
    <w:p w:rsidR="00E01645" w:rsidRPr="0063279F" w:rsidRDefault="00E01645" w:rsidP="00E01645">
      <w:pPr>
        <w:spacing w:line="360" w:lineRule="auto"/>
        <w:rPr>
          <w:rFonts w:ascii="Times New Roman" w:hAnsi="Times New Roman" w:cs="Times New Roman"/>
        </w:rPr>
      </w:pPr>
    </w:p>
    <w:p w:rsidR="00E01645" w:rsidRPr="0063279F" w:rsidRDefault="00E01645" w:rsidP="00E01645">
      <w:pPr>
        <w:spacing w:line="360" w:lineRule="auto"/>
        <w:rPr>
          <w:rFonts w:ascii="Times New Roman" w:hAnsi="Times New Roman" w:cs="Times New Roman"/>
        </w:rPr>
      </w:pPr>
      <w:r w:rsidRPr="0063279F">
        <w:rPr>
          <w:rFonts w:ascii="Times New Roman" w:hAnsi="Times New Roman" w:cs="Times New Roman"/>
        </w:rPr>
        <w:tab/>
      </w:r>
      <w:r w:rsidRPr="0063279F">
        <w:rPr>
          <w:rFonts w:ascii="Times New Roman" w:hAnsi="Times New Roman" w:cs="Times New Roman"/>
        </w:rPr>
        <w:tab/>
        <w:t>2.</w:t>
      </w:r>
      <w:r w:rsidRPr="0063279F">
        <w:rPr>
          <w:rFonts w:ascii="Times New Roman" w:hAnsi="Times New Roman" w:cs="Times New Roman"/>
        </w:rPr>
        <w:tab/>
        <w:t>That UGI Utilities, Inc. – Gas Division may file a tariff supplement, on one day’s notice to the Commission, containing changes in rates to provide for the recovery of its costs of purchased gas, consistent with the terms and conditions of the Stipulation In Settlement Of Section 1307(f) Rate Investigation.</w:t>
      </w:r>
    </w:p>
    <w:p w:rsidR="00E01645" w:rsidRPr="0063279F" w:rsidRDefault="00E01645" w:rsidP="00E01645">
      <w:pPr>
        <w:spacing w:line="360" w:lineRule="auto"/>
        <w:rPr>
          <w:rFonts w:ascii="Times New Roman" w:hAnsi="Times New Roman" w:cs="Times New Roman"/>
        </w:rPr>
      </w:pPr>
    </w:p>
    <w:p w:rsidR="00E01645" w:rsidRPr="0063279F" w:rsidRDefault="00E01645" w:rsidP="00E01645">
      <w:pPr>
        <w:spacing w:line="360" w:lineRule="auto"/>
        <w:rPr>
          <w:rFonts w:ascii="Times New Roman" w:hAnsi="Times New Roman" w:cs="Times New Roman"/>
        </w:rPr>
      </w:pPr>
      <w:r w:rsidRPr="0063279F">
        <w:rPr>
          <w:rFonts w:ascii="Times New Roman" w:hAnsi="Times New Roman" w:cs="Times New Roman"/>
        </w:rPr>
        <w:tab/>
      </w:r>
      <w:r w:rsidRPr="0063279F">
        <w:rPr>
          <w:rFonts w:ascii="Times New Roman" w:hAnsi="Times New Roman" w:cs="Times New Roman"/>
        </w:rPr>
        <w:tab/>
        <w:t>3.</w:t>
      </w:r>
      <w:r w:rsidRPr="0063279F">
        <w:rPr>
          <w:rFonts w:ascii="Times New Roman" w:hAnsi="Times New Roman" w:cs="Times New Roman"/>
        </w:rPr>
        <w:tab/>
        <w:t>That UGI Utilities, Inc. – Gas Division, the Bureau of Investigation and Enforcement, the Office of Small Business Advocate, and the Office of Consumer Advocate shall comply with the terms and conditions of the Stipulation In Settlement Of Section 1307(f) Rate Investigation</w:t>
      </w:r>
      <w:r w:rsidR="001E2DFB" w:rsidRPr="0063279F">
        <w:rPr>
          <w:rFonts w:ascii="Times New Roman" w:hAnsi="Times New Roman" w:cs="Times New Roman"/>
        </w:rPr>
        <w:t xml:space="preserve"> as amended by corrected Appendix A</w:t>
      </w:r>
      <w:r w:rsidRPr="0063279F">
        <w:rPr>
          <w:rFonts w:ascii="Times New Roman" w:hAnsi="Times New Roman" w:cs="Times New Roman"/>
        </w:rPr>
        <w:t xml:space="preserve"> submitted in this proceeding, to the extent applicable, as though each term and condition stated therein had been the subject of an individual ordering paragraph.</w:t>
      </w:r>
    </w:p>
    <w:p w:rsidR="00E01645" w:rsidRPr="0063279F" w:rsidRDefault="00E01645" w:rsidP="00E01645">
      <w:pPr>
        <w:spacing w:line="360" w:lineRule="auto"/>
        <w:rPr>
          <w:rFonts w:ascii="Times New Roman" w:hAnsi="Times New Roman" w:cs="Times New Roman"/>
        </w:rPr>
      </w:pPr>
    </w:p>
    <w:p w:rsidR="00E01645" w:rsidRPr="0063279F" w:rsidRDefault="00E01645" w:rsidP="00E01645">
      <w:pPr>
        <w:spacing w:line="360" w:lineRule="auto"/>
        <w:rPr>
          <w:rFonts w:ascii="Times New Roman" w:hAnsi="Times New Roman" w:cs="Times New Roman"/>
        </w:rPr>
      </w:pPr>
      <w:r w:rsidRPr="0063279F">
        <w:rPr>
          <w:rFonts w:ascii="Times New Roman" w:hAnsi="Times New Roman" w:cs="Times New Roman"/>
        </w:rPr>
        <w:tab/>
      </w:r>
      <w:r w:rsidRPr="0063279F">
        <w:rPr>
          <w:rFonts w:ascii="Times New Roman" w:hAnsi="Times New Roman" w:cs="Times New Roman"/>
        </w:rPr>
        <w:tab/>
        <w:t>4.</w:t>
      </w:r>
      <w:r w:rsidRPr="0063279F">
        <w:rPr>
          <w:rFonts w:ascii="Times New Roman" w:hAnsi="Times New Roman" w:cs="Times New Roman"/>
        </w:rPr>
        <w:tab/>
        <w:t>That upon the filing of a tariff supplement by UGI Utilities, Inc. – Gas Division, acceptable to the Commission as conforming with this Order and the Stipulation In Settlement Of Section 1307(f) Rate Investigation, and the Commission’s approval thereof, the purchased gas rates established therein shall become effective for service rendered on and after December 1, 201</w:t>
      </w:r>
      <w:r w:rsidR="001E2DFB" w:rsidRPr="0063279F">
        <w:rPr>
          <w:rFonts w:ascii="Times New Roman" w:hAnsi="Times New Roman" w:cs="Times New Roman"/>
        </w:rPr>
        <w:t>4</w:t>
      </w:r>
      <w:r w:rsidRPr="0063279F">
        <w:rPr>
          <w:rFonts w:ascii="Times New Roman" w:hAnsi="Times New Roman" w:cs="Times New Roman"/>
        </w:rPr>
        <w:t>.</w:t>
      </w:r>
    </w:p>
    <w:p w:rsidR="00E01645" w:rsidRPr="0063279F" w:rsidRDefault="00E01645" w:rsidP="00E01645">
      <w:pPr>
        <w:spacing w:line="360" w:lineRule="auto"/>
        <w:rPr>
          <w:rFonts w:ascii="Times New Roman" w:hAnsi="Times New Roman" w:cs="Times New Roman"/>
        </w:rPr>
      </w:pPr>
    </w:p>
    <w:p w:rsidR="00CE15AD" w:rsidRDefault="00CE15AD" w:rsidP="00E01645">
      <w:pPr>
        <w:spacing w:line="360" w:lineRule="auto"/>
        <w:rPr>
          <w:rFonts w:ascii="Times New Roman" w:hAnsi="Times New Roman" w:cs="Times New Roman"/>
        </w:rPr>
      </w:pPr>
      <w:r>
        <w:rPr>
          <w:rFonts w:ascii="Times New Roman" w:hAnsi="Times New Roman" w:cs="Times New Roman"/>
        </w:rPr>
        <w:br w:type="page"/>
      </w:r>
    </w:p>
    <w:p w:rsidR="00F57B74" w:rsidRPr="0063279F" w:rsidRDefault="00E01645" w:rsidP="00E01645">
      <w:pPr>
        <w:spacing w:line="360" w:lineRule="auto"/>
        <w:rPr>
          <w:rFonts w:ascii="Times New Roman" w:hAnsi="Times New Roman" w:cs="Times New Roman"/>
        </w:rPr>
      </w:pPr>
      <w:r w:rsidRPr="0063279F">
        <w:rPr>
          <w:rFonts w:ascii="Times New Roman" w:hAnsi="Times New Roman" w:cs="Times New Roman"/>
        </w:rPr>
        <w:tab/>
      </w:r>
      <w:r w:rsidRPr="0063279F">
        <w:rPr>
          <w:rFonts w:ascii="Times New Roman" w:hAnsi="Times New Roman" w:cs="Times New Roman"/>
        </w:rPr>
        <w:tab/>
        <w:t>5.</w:t>
      </w:r>
      <w:r w:rsidRPr="0063279F">
        <w:rPr>
          <w:rFonts w:ascii="Times New Roman" w:hAnsi="Times New Roman" w:cs="Times New Roman"/>
        </w:rPr>
        <w:tab/>
        <w:t>That upon acceptance and approval by the Commission of the tariff supplement and supporting data filed by UGI Utilities, Inc. – Gas Division as being consistent with this Order and the Stipulation In Settlement Of Section 1307(f) Rate Investigation, the inquiry and investigation at Docket No. R-201</w:t>
      </w:r>
      <w:r w:rsidR="001E2DFB" w:rsidRPr="0063279F">
        <w:rPr>
          <w:rFonts w:ascii="Times New Roman" w:hAnsi="Times New Roman" w:cs="Times New Roman"/>
        </w:rPr>
        <w:t>4</w:t>
      </w:r>
      <w:r w:rsidRPr="0063279F">
        <w:rPr>
          <w:rFonts w:ascii="Times New Roman" w:hAnsi="Times New Roman" w:cs="Times New Roman"/>
        </w:rPr>
        <w:t>-2</w:t>
      </w:r>
      <w:r w:rsidR="001E2DFB" w:rsidRPr="0063279F">
        <w:rPr>
          <w:rFonts w:ascii="Times New Roman" w:hAnsi="Times New Roman" w:cs="Times New Roman"/>
        </w:rPr>
        <w:t>420276</w:t>
      </w:r>
      <w:r w:rsidRPr="0063279F">
        <w:rPr>
          <w:rFonts w:ascii="Times New Roman" w:hAnsi="Times New Roman" w:cs="Times New Roman"/>
        </w:rPr>
        <w:t xml:space="preserve"> shall be terminated and marked closed and the Formal Complaints of the Office of Consumer Advocate and the Office of Small </w:t>
      </w:r>
    </w:p>
    <w:p w:rsidR="00E01645" w:rsidRPr="0063279F" w:rsidRDefault="00E01645" w:rsidP="00E01645">
      <w:pPr>
        <w:spacing w:line="360" w:lineRule="auto"/>
        <w:rPr>
          <w:rFonts w:ascii="Times New Roman" w:hAnsi="Times New Roman" w:cs="Times New Roman"/>
        </w:rPr>
      </w:pPr>
      <w:proofErr w:type="gramStart"/>
      <w:r w:rsidRPr="0063279F">
        <w:rPr>
          <w:rFonts w:ascii="Times New Roman" w:hAnsi="Times New Roman" w:cs="Times New Roman"/>
        </w:rPr>
        <w:t>Business Advocate at Docket Nos.</w:t>
      </w:r>
      <w:proofErr w:type="gramEnd"/>
      <w:r w:rsidRPr="0063279F">
        <w:rPr>
          <w:rFonts w:ascii="Times New Roman" w:hAnsi="Times New Roman" w:cs="Times New Roman"/>
        </w:rPr>
        <w:t xml:space="preserve"> C-201</w:t>
      </w:r>
      <w:r w:rsidR="001E2DFB" w:rsidRPr="0063279F">
        <w:rPr>
          <w:rFonts w:ascii="Times New Roman" w:hAnsi="Times New Roman" w:cs="Times New Roman"/>
        </w:rPr>
        <w:t>4</w:t>
      </w:r>
      <w:r w:rsidRPr="0063279F">
        <w:rPr>
          <w:rFonts w:ascii="Times New Roman" w:hAnsi="Times New Roman" w:cs="Times New Roman"/>
        </w:rPr>
        <w:t>-2</w:t>
      </w:r>
      <w:r w:rsidR="001E2DFB" w:rsidRPr="0063279F">
        <w:rPr>
          <w:rFonts w:ascii="Times New Roman" w:hAnsi="Times New Roman" w:cs="Times New Roman"/>
        </w:rPr>
        <w:t>421547</w:t>
      </w:r>
      <w:r w:rsidRPr="0063279F">
        <w:rPr>
          <w:rFonts w:ascii="Times New Roman" w:hAnsi="Times New Roman" w:cs="Times New Roman"/>
        </w:rPr>
        <w:t xml:space="preserve"> and C-201</w:t>
      </w:r>
      <w:r w:rsidR="001E2DFB" w:rsidRPr="0063279F">
        <w:rPr>
          <w:rFonts w:ascii="Times New Roman" w:hAnsi="Times New Roman" w:cs="Times New Roman"/>
        </w:rPr>
        <w:t>4</w:t>
      </w:r>
      <w:r w:rsidRPr="0063279F">
        <w:rPr>
          <w:rFonts w:ascii="Times New Roman" w:hAnsi="Times New Roman" w:cs="Times New Roman"/>
        </w:rPr>
        <w:t>-2</w:t>
      </w:r>
      <w:r w:rsidR="001E2DFB" w:rsidRPr="0063279F">
        <w:rPr>
          <w:rFonts w:ascii="Times New Roman" w:hAnsi="Times New Roman" w:cs="Times New Roman"/>
        </w:rPr>
        <w:t>427279</w:t>
      </w:r>
      <w:r w:rsidRPr="0063279F">
        <w:rPr>
          <w:rFonts w:ascii="Times New Roman" w:hAnsi="Times New Roman" w:cs="Times New Roman"/>
        </w:rPr>
        <w:t>, respectively, shall be considered satisfied and marked closed.</w:t>
      </w:r>
    </w:p>
    <w:p w:rsidR="00E01645" w:rsidRPr="0063279F" w:rsidRDefault="00E01645" w:rsidP="00E01645">
      <w:pPr>
        <w:spacing w:line="360" w:lineRule="auto"/>
        <w:rPr>
          <w:rFonts w:ascii="Times New Roman" w:hAnsi="Times New Roman" w:cs="Times New Roman"/>
        </w:rPr>
      </w:pPr>
    </w:p>
    <w:p w:rsidR="00E01645" w:rsidRPr="0063279F" w:rsidRDefault="00E01645" w:rsidP="00790AFC">
      <w:pPr>
        <w:spacing w:line="360" w:lineRule="auto"/>
        <w:rPr>
          <w:rFonts w:ascii="Times New Roman" w:hAnsi="Times New Roman" w:cs="Times New Roman"/>
        </w:rPr>
      </w:pPr>
    </w:p>
    <w:p w:rsidR="0029527D" w:rsidRPr="0063279F" w:rsidRDefault="0029527D" w:rsidP="0029527D">
      <w:pPr>
        <w:rPr>
          <w:rFonts w:ascii="Times New Roman" w:hAnsi="Times New Roman" w:cs="Times New Roman"/>
        </w:rPr>
      </w:pPr>
      <w:r w:rsidRPr="0063279F">
        <w:rPr>
          <w:rFonts w:ascii="Times New Roman" w:hAnsi="Times New Roman" w:cs="Times New Roman"/>
        </w:rPr>
        <w:t>Date:</w:t>
      </w:r>
      <w:r w:rsidRPr="0063279F">
        <w:rPr>
          <w:rFonts w:ascii="Times New Roman" w:hAnsi="Times New Roman" w:cs="Times New Roman"/>
        </w:rPr>
        <w:tab/>
      </w:r>
      <w:r w:rsidR="00A2495B" w:rsidRPr="0063279F">
        <w:rPr>
          <w:rFonts w:ascii="Times New Roman" w:hAnsi="Times New Roman" w:cs="Times New Roman"/>
          <w:u w:val="single"/>
        </w:rPr>
        <w:t>September 1</w:t>
      </w:r>
      <w:r w:rsidR="00242CCB" w:rsidRPr="0063279F">
        <w:rPr>
          <w:rFonts w:ascii="Times New Roman" w:hAnsi="Times New Roman" w:cs="Times New Roman"/>
          <w:u w:val="single"/>
        </w:rPr>
        <w:t>5</w:t>
      </w:r>
      <w:r w:rsidRPr="0063279F">
        <w:rPr>
          <w:rFonts w:ascii="Times New Roman" w:hAnsi="Times New Roman" w:cs="Times New Roman"/>
          <w:u w:val="single"/>
        </w:rPr>
        <w:t>, 201</w:t>
      </w:r>
      <w:r w:rsidR="003E3810" w:rsidRPr="0063279F">
        <w:rPr>
          <w:rFonts w:ascii="Times New Roman" w:hAnsi="Times New Roman" w:cs="Times New Roman"/>
          <w:u w:val="single"/>
        </w:rPr>
        <w:t>4</w:t>
      </w:r>
      <w:r w:rsidRPr="0063279F">
        <w:rPr>
          <w:rFonts w:ascii="Times New Roman" w:hAnsi="Times New Roman" w:cs="Times New Roman"/>
        </w:rPr>
        <w:tab/>
      </w:r>
      <w:r w:rsidRPr="0063279F">
        <w:rPr>
          <w:rFonts w:ascii="Times New Roman" w:hAnsi="Times New Roman" w:cs="Times New Roman"/>
        </w:rPr>
        <w:tab/>
      </w:r>
      <w:r w:rsidRPr="0063279F">
        <w:rPr>
          <w:rFonts w:ascii="Times New Roman" w:hAnsi="Times New Roman" w:cs="Times New Roman"/>
        </w:rPr>
        <w:tab/>
      </w:r>
      <w:r w:rsidRPr="0063279F">
        <w:rPr>
          <w:rFonts w:ascii="Times New Roman" w:hAnsi="Times New Roman" w:cs="Times New Roman"/>
        </w:rPr>
        <w:tab/>
      </w:r>
      <w:r w:rsidR="00092FFC" w:rsidRPr="0063279F">
        <w:rPr>
          <w:rFonts w:ascii="Times New Roman" w:hAnsi="Times New Roman" w:cs="Times New Roman"/>
          <w:u w:val="single"/>
        </w:rPr>
        <w:t>________</w:t>
      </w:r>
      <w:r w:rsidR="00DD46A7" w:rsidRPr="0063279F">
        <w:rPr>
          <w:rFonts w:ascii="Times New Roman" w:hAnsi="Times New Roman" w:cs="Times New Roman"/>
          <w:u w:val="single"/>
        </w:rPr>
        <w:t>/s/</w:t>
      </w:r>
      <w:r w:rsidR="00092FFC" w:rsidRPr="0063279F">
        <w:rPr>
          <w:rFonts w:ascii="Times New Roman" w:hAnsi="Times New Roman" w:cs="Times New Roman"/>
          <w:u w:val="single"/>
        </w:rPr>
        <w:t>_________________________</w:t>
      </w:r>
      <w:r w:rsidRPr="0063279F">
        <w:rPr>
          <w:rFonts w:ascii="Times New Roman" w:hAnsi="Times New Roman" w:cs="Times New Roman"/>
        </w:rPr>
        <w:tab/>
      </w:r>
      <w:r w:rsidRPr="0063279F">
        <w:rPr>
          <w:rFonts w:ascii="Times New Roman" w:hAnsi="Times New Roman" w:cs="Times New Roman"/>
        </w:rPr>
        <w:tab/>
      </w:r>
      <w:r w:rsidRPr="0063279F">
        <w:rPr>
          <w:rFonts w:ascii="Times New Roman" w:hAnsi="Times New Roman" w:cs="Times New Roman"/>
        </w:rPr>
        <w:tab/>
      </w:r>
      <w:r w:rsidRPr="0063279F">
        <w:rPr>
          <w:rFonts w:ascii="Times New Roman" w:hAnsi="Times New Roman" w:cs="Times New Roman"/>
        </w:rPr>
        <w:tab/>
      </w:r>
      <w:r w:rsidRPr="0063279F">
        <w:rPr>
          <w:rFonts w:ascii="Times New Roman" w:hAnsi="Times New Roman" w:cs="Times New Roman"/>
        </w:rPr>
        <w:tab/>
      </w:r>
      <w:r w:rsidRPr="0063279F">
        <w:rPr>
          <w:rFonts w:ascii="Times New Roman" w:hAnsi="Times New Roman" w:cs="Times New Roman"/>
        </w:rPr>
        <w:tab/>
      </w:r>
      <w:r w:rsidRPr="0063279F">
        <w:rPr>
          <w:rFonts w:ascii="Times New Roman" w:hAnsi="Times New Roman" w:cs="Times New Roman"/>
        </w:rPr>
        <w:tab/>
      </w:r>
      <w:r w:rsidR="00092FFC" w:rsidRPr="0063279F">
        <w:rPr>
          <w:rFonts w:ascii="Times New Roman" w:hAnsi="Times New Roman" w:cs="Times New Roman"/>
        </w:rPr>
        <w:tab/>
      </w:r>
      <w:r w:rsidR="00A2495B" w:rsidRPr="0063279F">
        <w:rPr>
          <w:rFonts w:ascii="Times New Roman" w:hAnsi="Times New Roman" w:cs="Times New Roman"/>
        </w:rPr>
        <w:t>Elizabeth H. Barnes</w:t>
      </w:r>
    </w:p>
    <w:p w:rsidR="007C50AF" w:rsidRPr="0063279F" w:rsidRDefault="0029527D" w:rsidP="00B9079B">
      <w:pPr>
        <w:rPr>
          <w:rFonts w:ascii="Times New Roman" w:hAnsi="Times New Roman" w:cs="Times New Roman"/>
        </w:rPr>
      </w:pPr>
      <w:r w:rsidRPr="0063279F">
        <w:rPr>
          <w:rFonts w:ascii="Times New Roman" w:hAnsi="Times New Roman" w:cs="Times New Roman"/>
        </w:rPr>
        <w:tab/>
      </w:r>
      <w:r w:rsidRPr="0063279F">
        <w:rPr>
          <w:rFonts w:ascii="Times New Roman" w:hAnsi="Times New Roman" w:cs="Times New Roman"/>
        </w:rPr>
        <w:tab/>
      </w:r>
      <w:r w:rsidRPr="0063279F">
        <w:rPr>
          <w:rFonts w:ascii="Times New Roman" w:hAnsi="Times New Roman" w:cs="Times New Roman"/>
        </w:rPr>
        <w:tab/>
      </w:r>
      <w:r w:rsidRPr="0063279F">
        <w:rPr>
          <w:rFonts w:ascii="Times New Roman" w:hAnsi="Times New Roman" w:cs="Times New Roman"/>
        </w:rPr>
        <w:tab/>
      </w:r>
      <w:r w:rsidRPr="0063279F">
        <w:rPr>
          <w:rFonts w:ascii="Times New Roman" w:hAnsi="Times New Roman" w:cs="Times New Roman"/>
        </w:rPr>
        <w:tab/>
      </w:r>
      <w:r w:rsidRPr="0063279F">
        <w:rPr>
          <w:rFonts w:ascii="Times New Roman" w:hAnsi="Times New Roman" w:cs="Times New Roman"/>
        </w:rPr>
        <w:tab/>
      </w:r>
      <w:r w:rsidRPr="0063279F">
        <w:rPr>
          <w:rFonts w:ascii="Times New Roman" w:hAnsi="Times New Roman" w:cs="Times New Roman"/>
        </w:rPr>
        <w:tab/>
        <w:t>Administrative Law Judge</w:t>
      </w:r>
    </w:p>
    <w:sectPr w:rsidR="007C50AF" w:rsidRPr="0063279F" w:rsidSect="00DC39CB">
      <w:footerReference w:type="default" r:id="rId9"/>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E32" w:rsidRDefault="00C37E32">
      <w:pPr>
        <w:spacing w:line="20" w:lineRule="exact"/>
        <w:rPr>
          <w:sz w:val="22"/>
          <w:szCs w:val="22"/>
        </w:rPr>
      </w:pPr>
    </w:p>
  </w:endnote>
  <w:endnote w:type="continuationSeparator" w:id="0">
    <w:p w:rsidR="00C37E32" w:rsidRDefault="00C37E32">
      <w:pPr>
        <w:pStyle w:val="ParaTab1"/>
        <w:rPr>
          <w:sz w:val="22"/>
          <w:szCs w:val="22"/>
        </w:rPr>
      </w:pPr>
      <w:r>
        <w:rPr>
          <w:sz w:val="22"/>
          <w:szCs w:val="22"/>
        </w:rPr>
        <w:t xml:space="preserve"> </w:t>
      </w:r>
    </w:p>
  </w:endnote>
  <w:endnote w:type="continuationNotice" w:id="1">
    <w:p w:rsidR="00C37E32" w:rsidRDefault="00C37E32">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32A" w:rsidRPr="00862FA8" w:rsidRDefault="00B6132A">
    <w:pPr>
      <w:pStyle w:val="Footer"/>
      <w:jc w:val="center"/>
      <w:rPr>
        <w:rFonts w:ascii="Times New Roman" w:hAnsi="Times New Roman" w:cs="Times New Roman"/>
        <w:sz w:val="20"/>
        <w:szCs w:val="20"/>
      </w:rPr>
    </w:pPr>
    <w:r w:rsidRPr="00862FA8">
      <w:rPr>
        <w:rFonts w:ascii="Times New Roman" w:hAnsi="Times New Roman" w:cs="Times New Roman"/>
        <w:sz w:val="20"/>
        <w:szCs w:val="20"/>
      </w:rPr>
      <w:fldChar w:fldCharType="begin"/>
    </w:r>
    <w:r w:rsidRPr="00862FA8">
      <w:rPr>
        <w:rFonts w:ascii="Times New Roman" w:hAnsi="Times New Roman" w:cs="Times New Roman"/>
        <w:sz w:val="20"/>
        <w:szCs w:val="20"/>
      </w:rPr>
      <w:instrText xml:space="preserve"> PAGE   \* MERGEFORMAT </w:instrText>
    </w:r>
    <w:r w:rsidRPr="00862FA8">
      <w:rPr>
        <w:rFonts w:ascii="Times New Roman" w:hAnsi="Times New Roman" w:cs="Times New Roman"/>
        <w:sz w:val="20"/>
        <w:szCs w:val="20"/>
      </w:rPr>
      <w:fldChar w:fldCharType="separate"/>
    </w:r>
    <w:r w:rsidR="00B22056">
      <w:rPr>
        <w:rFonts w:ascii="Times New Roman" w:hAnsi="Times New Roman" w:cs="Times New Roman"/>
        <w:noProof/>
        <w:sz w:val="20"/>
        <w:szCs w:val="20"/>
      </w:rPr>
      <w:t>23</w:t>
    </w:r>
    <w:r w:rsidRPr="00862FA8">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E32" w:rsidRDefault="00C37E32" w:rsidP="00C710C5">
      <w:pPr>
        <w:pStyle w:val="ParaTab1"/>
        <w:ind w:firstLine="0"/>
        <w:rPr>
          <w:sz w:val="22"/>
          <w:szCs w:val="22"/>
        </w:rPr>
      </w:pPr>
      <w:r>
        <w:separator/>
      </w:r>
    </w:p>
  </w:footnote>
  <w:footnote w:type="continuationSeparator" w:id="0">
    <w:p w:rsidR="00C37E32" w:rsidRDefault="00C37E32">
      <w:r>
        <w:continuationSeparator/>
      </w:r>
    </w:p>
  </w:footnote>
  <w:footnote w:id="1">
    <w:p w:rsidR="00B6132A" w:rsidRPr="009824F8" w:rsidRDefault="00B6132A">
      <w:pPr>
        <w:pStyle w:val="FootnoteText"/>
        <w:rPr>
          <w:sz w:val="20"/>
        </w:rPr>
      </w:pPr>
      <w:r w:rsidRPr="009824F8">
        <w:rPr>
          <w:rStyle w:val="FootnoteReference"/>
          <w:sz w:val="20"/>
        </w:rPr>
        <w:footnoteRef/>
      </w:r>
      <w:r w:rsidRPr="009824F8">
        <w:rPr>
          <w:sz w:val="20"/>
        </w:rPr>
        <w:t xml:space="preserve"> At the Prehearing Conference, the PNG, CPG, and UGI PGC proceedings were consolidated by the ALJ for the limited purpose of an evidentiary hearing in the interest of judicial efficiency</w:t>
      </w:r>
      <w:r>
        <w:rPr>
          <w:sz w:val="20"/>
        </w:rPr>
        <w:t xml:space="preserve"> because the cases involved the same parties and witnesses. </w:t>
      </w:r>
    </w:p>
  </w:footnote>
  <w:footnote w:id="2">
    <w:p w:rsidR="00B6132A" w:rsidRPr="00C227DC" w:rsidRDefault="00B6132A" w:rsidP="00E80BEF">
      <w:pPr>
        <w:pStyle w:val="FootnoteText"/>
        <w:rPr>
          <w:sz w:val="20"/>
          <w:szCs w:val="20"/>
        </w:rPr>
      </w:pPr>
      <w:r w:rsidRPr="00C227DC">
        <w:rPr>
          <w:rStyle w:val="FootnoteReference"/>
          <w:sz w:val="20"/>
          <w:szCs w:val="20"/>
        </w:rPr>
        <w:footnoteRef/>
      </w:r>
      <w:r w:rsidRPr="00C227DC">
        <w:rPr>
          <w:sz w:val="20"/>
          <w:szCs w:val="20"/>
        </w:rPr>
        <w:t xml:space="preserve"> </w:t>
      </w:r>
      <w:proofErr w:type="gramStart"/>
      <w:r w:rsidRPr="00C227DC">
        <w:rPr>
          <w:sz w:val="20"/>
          <w:szCs w:val="20"/>
        </w:rPr>
        <w:t>Exhibit UGI-DCB-1R.</w:t>
      </w:r>
      <w:proofErr w:type="gramEnd"/>
    </w:p>
  </w:footnote>
  <w:footnote w:id="3">
    <w:p w:rsidR="00F57B74" w:rsidRPr="00C227DC" w:rsidRDefault="00F57B74" w:rsidP="00F57B74">
      <w:pPr>
        <w:pStyle w:val="FootnoteText"/>
        <w:rPr>
          <w:sz w:val="20"/>
          <w:szCs w:val="20"/>
        </w:rPr>
      </w:pPr>
      <w:r w:rsidRPr="00C227DC">
        <w:rPr>
          <w:rStyle w:val="FootnoteReference"/>
          <w:sz w:val="20"/>
          <w:szCs w:val="20"/>
        </w:rPr>
        <w:footnoteRef/>
      </w:r>
      <w:r w:rsidRPr="00C227DC">
        <w:rPr>
          <w:sz w:val="20"/>
          <w:szCs w:val="20"/>
        </w:rPr>
        <w:t xml:space="preserve"> </w:t>
      </w:r>
      <w:proofErr w:type="gramStart"/>
      <w:r w:rsidRPr="00C227DC">
        <w:rPr>
          <w:sz w:val="20"/>
          <w:szCs w:val="20"/>
        </w:rPr>
        <w:t>Per Exhibit UGI-DCB-1R.</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8C66E16"/>
    <w:lvl w:ilvl="0">
      <w:start w:val="1"/>
      <w:numFmt w:val="decimal"/>
      <w:pStyle w:val="ListNumber"/>
      <w:lvlText w:val="%1."/>
      <w:lvlJc w:val="left"/>
      <w:pPr>
        <w:tabs>
          <w:tab w:val="num" w:pos="720"/>
        </w:tabs>
        <w:ind w:left="0" w:firstLine="720"/>
      </w:pPr>
      <w:rPr>
        <w:rFonts w:hint="default"/>
      </w:rPr>
    </w:lvl>
  </w:abstractNum>
  <w:abstractNum w:abstractNumId="1">
    <w:nsid w:val="04683209"/>
    <w:multiLevelType w:val="singleLevel"/>
    <w:tmpl w:val="84BA7CE6"/>
    <w:name w:val=" Numbered List2"/>
    <w:lvl w:ilvl="0">
      <w:start w:val="30"/>
      <w:numFmt w:val="decimal"/>
      <w:lvlText w:val="%1."/>
      <w:lvlJc w:val="left"/>
      <w:pPr>
        <w:tabs>
          <w:tab w:val="num" w:pos="0"/>
        </w:tabs>
        <w:ind w:left="0" w:firstLine="720"/>
      </w:pPr>
      <w:rPr>
        <w:rFonts w:hint="default"/>
      </w:rPr>
    </w:lvl>
  </w:abstractNum>
  <w:abstractNum w:abstractNumId="2">
    <w:nsid w:val="19DC443B"/>
    <w:multiLevelType w:val="hybridMultilevel"/>
    <w:tmpl w:val="8E4ECC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A1B2D17"/>
    <w:multiLevelType w:val="singleLevel"/>
    <w:tmpl w:val="09FEAC80"/>
    <w:lvl w:ilvl="0">
      <w:start w:val="3"/>
      <w:numFmt w:val="decimal"/>
      <w:lvlText w:val="%1."/>
      <w:legacy w:legacy="1" w:legacySpace="120" w:legacyIndent="720"/>
      <w:lvlJc w:val="left"/>
      <w:pPr>
        <w:ind w:left="2160" w:hanging="720"/>
      </w:pPr>
    </w:lvl>
  </w:abstractNum>
  <w:abstractNum w:abstractNumId="4">
    <w:nsid w:val="261C4048"/>
    <w:multiLevelType w:val="hybridMultilevel"/>
    <w:tmpl w:val="820A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356F05"/>
    <w:multiLevelType w:val="singleLevel"/>
    <w:tmpl w:val="DA404DD8"/>
    <w:lvl w:ilvl="0">
      <w:start w:val="1"/>
      <w:numFmt w:val="decimal"/>
      <w:lvlText w:val="%1."/>
      <w:legacy w:legacy="1" w:legacySpace="120" w:legacyIndent="720"/>
      <w:lvlJc w:val="left"/>
      <w:pPr>
        <w:ind w:left="1560" w:hanging="720"/>
      </w:pPr>
    </w:lvl>
  </w:abstractNum>
  <w:abstractNum w:abstractNumId="6">
    <w:nsid w:val="316654B9"/>
    <w:multiLevelType w:val="hybridMultilevel"/>
    <w:tmpl w:val="63288312"/>
    <w:lvl w:ilvl="0" w:tplc="2C4231D6">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328E303C"/>
    <w:multiLevelType w:val="hybridMultilevel"/>
    <w:tmpl w:val="2FA2EAE0"/>
    <w:lvl w:ilvl="0" w:tplc="C0E4A688">
      <w:start w:val="2"/>
      <w:numFmt w:val="lowerRoman"/>
      <w:lvlText w:val="%1."/>
      <w:lvlJc w:val="right"/>
      <w:pPr>
        <w:ind w:left="720" w:hanging="360"/>
      </w:pPr>
      <w:rPr>
        <w:rFonts w:hint="default"/>
      </w:rPr>
    </w:lvl>
    <w:lvl w:ilvl="1" w:tplc="3D7E8016">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180CC9"/>
    <w:multiLevelType w:val="multilevel"/>
    <w:tmpl w:val="44CCD6A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abstractNum w:abstractNumId="9">
    <w:nsid w:val="4B42627C"/>
    <w:multiLevelType w:val="hybridMultilevel"/>
    <w:tmpl w:val="9E189F3E"/>
    <w:name w:val="General Numbering (1)"/>
    <w:lvl w:ilvl="0" w:tplc="17CEC2E0">
      <w:start w:val="1"/>
      <w:numFmt w:val="decimal"/>
      <w:lvlText w:val="%1."/>
      <w:lvlJc w:val="left"/>
      <w:pPr>
        <w:tabs>
          <w:tab w:val="num" w:pos="2160"/>
        </w:tabs>
        <w:ind w:left="2160" w:hanging="720"/>
      </w:pPr>
      <w:rPr>
        <w:rFonts w:hint="default"/>
      </w:rPr>
    </w:lvl>
    <w:lvl w:ilvl="1" w:tplc="87903E82" w:tentative="1">
      <w:start w:val="1"/>
      <w:numFmt w:val="lowerLetter"/>
      <w:lvlText w:val="%2."/>
      <w:lvlJc w:val="left"/>
      <w:pPr>
        <w:tabs>
          <w:tab w:val="num" w:pos="2520"/>
        </w:tabs>
        <w:ind w:left="2520" w:hanging="360"/>
      </w:pPr>
    </w:lvl>
    <w:lvl w:ilvl="2" w:tplc="5B5C586C" w:tentative="1">
      <w:start w:val="1"/>
      <w:numFmt w:val="lowerRoman"/>
      <w:lvlText w:val="%3."/>
      <w:lvlJc w:val="right"/>
      <w:pPr>
        <w:tabs>
          <w:tab w:val="num" w:pos="3240"/>
        </w:tabs>
        <w:ind w:left="3240" w:hanging="180"/>
      </w:pPr>
    </w:lvl>
    <w:lvl w:ilvl="3" w:tplc="8660BA0A" w:tentative="1">
      <w:start w:val="1"/>
      <w:numFmt w:val="decimal"/>
      <w:lvlText w:val="%4."/>
      <w:lvlJc w:val="left"/>
      <w:pPr>
        <w:tabs>
          <w:tab w:val="num" w:pos="3960"/>
        </w:tabs>
        <w:ind w:left="3960" w:hanging="360"/>
      </w:pPr>
    </w:lvl>
    <w:lvl w:ilvl="4" w:tplc="9424BA14" w:tentative="1">
      <w:start w:val="1"/>
      <w:numFmt w:val="lowerLetter"/>
      <w:lvlText w:val="%5."/>
      <w:lvlJc w:val="left"/>
      <w:pPr>
        <w:tabs>
          <w:tab w:val="num" w:pos="4680"/>
        </w:tabs>
        <w:ind w:left="4680" w:hanging="360"/>
      </w:pPr>
    </w:lvl>
    <w:lvl w:ilvl="5" w:tplc="4A74D6F2" w:tentative="1">
      <w:start w:val="1"/>
      <w:numFmt w:val="lowerRoman"/>
      <w:lvlText w:val="%6."/>
      <w:lvlJc w:val="right"/>
      <w:pPr>
        <w:tabs>
          <w:tab w:val="num" w:pos="5400"/>
        </w:tabs>
        <w:ind w:left="5400" w:hanging="180"/>
      </w:pPr>
    </w:lvl>
    <w:lvl w:ilvl="6" w:tplc="924E4A4A" w:tentative="1">
      <w:start w:val="1"/>
      <w:numFmt w:val="decimal"/>
      <w:lvlText w:val="%7."/>
      <w:lvlJc w:val="left"/>
      <w:pPr>
        <w:tabs>
          <w:tab w:val="num" w:pos="6120"/>
        </w:tabs>
        <w:ind w:left="6120" w:hanging="360"/>
      </w:pPr>
    </w:lvl>
    <w:lvl w:ilvl="7" w:tplc="86561232" w:tentative="1">
      <w:start w:val="1"/>
      <w:numFmt w:val="lowerLetter"/>
      <w:lvlText w:val="%8."/>
      <w:lvlJc w:val="left"/>
      <w:pPr>
        <w:tabs>
          <w:tab w:val="num" w:pos="6840"/>
        </w:tabs>
        <w:ind w:left="6840" w:hanging="360"/>
      </w:pPr>
    </w:lvl>
    <w:lvl w:ilvl="8" w:tplc="4DA2D64C" w:tentative="1">
      <w:start w:val="1"/>
      <w:numFmt w:val="lowerRoman"/>
      <w:lvlText w:val="%9."/>
      <w:lvlJc w:val="right"/>
      <w:pPr>
        <w:tabs>
          <w:tab w:val="num" w:pos="7560"/>
        </w:tabs>
        <w:ind w:left="7560" w:hanging="180"/>
      </w:pPr>
    </w:lvl>
  </w:abstractNum>
  <w:abstractNum w:abstractNumId="10">
    <w:nsid w:val="4C8E2D14"/>
    <w:multiLevelType w:val="singleLevel"/>
    <w:tmpl w:val="DA404DD8"/>
    <w:lvl w:ilvl="0">
      <w:start w:val="1"/>
      <w:numFmt w:val="decimal"/>
      <w:lvlText w:val="%1."/>
      <w:legacy w:legacy="1" w:legacySpace="120" w:legacyIndent="720"/>
      <w:lvlJc w:val="left"/>
      <w:pPr>
        <w:ind w:left="1440" w:hanging="720"/>
      </w:pPr>
    </w:lvl>
  </w:abstractNum>
  <w:abstractNum w:abstractNumId="11">
    <w:nsid w:val="61507857"/>
    <w:multiLevelType w:val="singleLevel"/>
    <w:tmpl w:val="DA404DD8"/>
    <w:lvl w:ilvl="0">
      <w:start w:val="1"/>
      <w:numFmt w:val="decimal"/>
      <w:lvlText w:val="%1."/>
      <w:legacy w:legacy="1" w:legacySpace="120" w:legacyIndent="720"/>
      <w:lvlJc w:val="left"/>
      <w:pPr>
        <w:ind w:left="1440" w:hanging="720"/>
      </w:pPr>
    </w:lvl>
  </w:abstractNum>
  <w:abstractNum w:abstractNumId="12">
    <w:nsid w:val="62523D95"/>
    <w:multiLevelType w:val="hybridMultilevel"/>
    <w:tmpl w:val="8E48FD8A"/>
    <w:lvl w:ilvl="0" w:tplc="B6A20F8A">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6AF20526"/>
    <w:multiLevelType w:val="hybridMultilevel"/>
    <w:tmpl w:val="2A2AE46A"/>
    <w:lvl w:ilvl="0" w:tplc="96C21CD2">
      <w:start w:val="1"/>
      <w:numFmt w:val="lowerRoman"/>
      <w:lvlText w:val="(%1)"/>
      <w:lvlJc w:val="left"/>
      <w:pPr>
        <w:tabs>
          <w:tab w:val="num" w:pos="1800"/>
        </w:tabs>
        <w:ind w:left="1800" w:hanging="72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4">
    <w:nsid w:val="7E2E6D04"/>
    <w:multiLevelType w:val="hybridMultilevel"/>
    <w:tmpl w:val="DF123192"/>
    <w:lvl w:ilvl="0" w:tplc="314C8D3C">
      <w:start w:val="2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8"/>
  </w:num>
  <w:num w:numId="2">
    <w:abstractNumId w:val="8"/>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3">
    <w:abstractNumId w:val="8"/>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4">
    <w:abstractNumId w:val="8"/>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5">
    <w:abstractNumId w:val="8"/>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6">
    <w:abstractNumId w:val="8"/>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7">
    <w:abstractNumId w:val="6"/>
  </w:num>
  <w:num w:numId="8">
    <w:abstractNumId w:val="5"/>
  </w:num>
  <w:num w:numId="9">
    <w:abstractNumId w:val="12"/>
  </w:num>
  <w:num w:numId="10">
    <w:abstractNumId w:val="13"/>
  </w:num>
  <w:num w:numId="11">
    <w:abstractNumId w:val="10"/>
  </w:num>
  <w:num w:numId="12">
    <w:abstractNumId w:val="11"/>
  </w:num>
  <w:num w:numId="13">
    <w:abstractNumId w:val="3"/>
  </w:num>
  <w:num w:numId="14">
    <w:abstractNumId w:val="1"/>
  </w:num>
  <w:num w:numId="15">
    <w:abstractNumId w:val="14"/>
  </w:num>
  <w:num w:numId="16">
    <w:abstractNumId w:val="2"/>
  </w:num>
  <w:num w:numId="17">
    <w:abstractNumId w:val="4"/>
  </w:num>
  <w:num w:numId="18">
    <w:abstractNumId w:val="7"/>
  </w:num>
  <w:num w:numId="19">
    <w:abstractNumId w:val="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savePreviewPicture/>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433"/>
    <w:rsid w:val="0000153E"/>
    <w:rsid w:val="00002865"/>
    <w:rsid w:val="000034F1"/>
    <w:rsid w:val="00003DD5"/>
    <w:rsid w:val="00004ACD"/>
    <w:rsid w:val="00004C84"/>
    <w:rsid w:val="000050A5"/>
    <w:rsid w:val="000054FA"/>
    <w:rsid w:val="000131DD"/>
    <w:rsid w:val="00013504"/>
    <w:rsid w:val="00014393"/>
    <w:rsid w:val="000162D6"/>
    <w:rsid w:val="000170E3"/>
    <w:rsid w:val="00017DC8"/>
    <w:rsid w:val="00020FBF"/>
    <w:rsid w:val="0002148F"/>
    <w:rsid w:val="000230F3"/>
    <w:rsid w:val="000239C2"/>
    <w:rsid w:val="0003153F"/>
    <w:rsid w:val="00031563"/>
    <w:rsid w:val="00034EB4"/>
    <w:rsid w:val="0003573F"/>
    <w:rsid w:val="00036395"/>
    <w:rsid w:val="00037550"/>
    <w:rsid w:val="00037A20"/>
    <w:rsid w:val="00037C31"/>
    <w:rsid w:val="00040FD2"/>
    <w:rsid w:val="00043343"/>
    <w:rsid w:val="00043865"/>
    <w:rsid w:val="00046476"/>
    <w:rsid w:val="000473A8"/>
    <w:rsid w:val="00050509"/>
    <w:rsid w:val="0005103A"/>
    <w:rsid w:val="00052770"/>
    <w:rsid w:val="00053F0A"/>
    <w:rsid w:val="000576D4"/>
    <w:rsid w:val="00061445"/>
    <w:rsid w:val="00062D2F"/>
    <w:rsid w:val="00064B4E"/>
    <w:rsid w:val="0006581B"/>
    <w:rsid w:val="00066428"/>
    <w:rsid w:val="00067DA3"/>
    <w:rsid w:val="00070785"/>
    <w:rsid w:val="000726E3"/>
    <w:rsid w:val="0007329B"/>
    <w:rsid w:val="00073BC5"/>
    <w:rsid w:val="000765BD"/>
    <w:rsid w:val="00082FCA"/>
    <w:rsid w:val="000859AE"/>
    <w:rsid w:val="00086633"/>
    <w:rsid w:val="000915B7"/>
    <w:rsid w:val="000916AF"/>
    <w:rsid w:val="00092FFC"/>
    <w:rsid w:val="000944DD"/>
    <w:rsid w:val="00094C99"/>
    <w:rsid w:val="00095E76"/>
    <w:rsid w:val="00095F78"/>
    <w:rsid w:val="000969CE"/>
    <w:rsid w:val="000A181C"/>
    <w:rsid w:val="000A29F0"/>
    <w:rsid w:val="000A2E74"/>
    <w:rsid w:val="000A31ED"/>
    <w:rsid w:val="000A38B6"/>
    <w:rsid w:val="000A3A8A"/>
    <w:rsid w:val="000A56DA"/>
    <w:rsid w:val="000A5B86"/>
    <w:rsid w:val="000A5C48"/>
    <w:rsid w:val="000A7CD1"/>
    <w:rsid w:val="000B1295"/>
    <w:rsid w:val="000B1F22"/>
    <w:rsid w:val="000B5044"/>
    <w:rsid w:val="000B55FC"/>
    <w:rsid w:val="000B5B2B"/>
    <w:rsid w:val="000B6B4A"/>
    <w:rsid w:val="000C048A"/>
    <w:rsid w:val="000C302E"/>
    <w:rsid w:val="000C3894"/>
    <w:rsid w:val="000C48F0"/>
    <w:rsid w:val="000C69E2"/>
    <w:rsid w:val="000D22A7"/>
    <w:rsid w:val="000D23F6"/>
    <w:rsid w:val="000D31F0"/>
    <w:rsid w:val="000D3320"/>
    <w:rsid w:val="000D5D5E"/>
    <w:rsid w:val="000D64F7"/>
    <w:rsid w:val="000D7402"/>
    <w:rsid w:val="000D77B0"/>
    <w:rsid w:val="000E0507"/>
    <w:rsid w:val="000E0B7A"/>
    <w:rsid w:val="000E13C5"/>
    <w:rsid w:val="000E20FC"/>
    <w:rsid w:val="000E2E7A"/>
    <w:rsid w:val="000E39C1"/>
    <w:rsid w:val="000E3F04"/>
    <w:rsid w:val="000E3FFC"/>
    <w:rsid w:val="000E4412"/>
    <w:rsid w:val="000E581F"/>
    <w:rsid w:val="000E5AE4"/>
    <w:rsid w:val="000E5C6F"/>
    <w:rsid w:val="000E6603"/>
    <w:rsid w:val="000E7804"/>
    <w:rsid w:val="000E7FEB"/>
    <w:rsid w:val="000F0000"/>
    <w:rsid w:val="000F1B21"/>
    <w:rsid w:val="000F21C7"/>
    <w:rsid w:val="000F4523"/>
    <w:rsid w:val="000F46DF"/>
    <w:rsid w:val="000F4E02"/>
    <w:rsid w:val="000F6651"/>
    <w:rsid w:val="00101723"/>
    <w:rsid w:val="00101DC2"/>
    <w:rsid w:val="00101EF5"/>
    <w:rsid w:val="001026DB"/>
    <w:rsid w:val="0010289F"/>
    <w:rsid w:val="00104D46"/>
    <w:rsid w:val="001055D3"/>
    <w:rsid w:val="00106029"/>
    <w:rsid w:val="00107F50"/>
    <w:rsid w:val="001111E4"/>
    <w:rsid w:val="001143A5"/>
    <w:rsid w:val="001151E3"/>
    <w:rsid w:val="001171E9"/>
    <w:rsid w:val="0012247D"/>
    <w:rsid w:val="00122D19"/>
    <w:rsid w:val="00125224"/>
    <w:rsid w:val="0012576B"/>
    <w:rsid w:val="001274CF"/>
    <w:rsid w:val="00131687"/>
    <w:rsid w:val="00132177"/>
    <w:rsid w:val="00134C61"/>
    <w:rsid w:val="001357BD"/>
    <w:rsid w:val="00136E47"/>
    <w:rsid w:val="00136FDF"/>
    <w:rsid w:val="0013760C"/>
    <w:rsid w:val="00143BD8"/>
    <w:rsid w:val="00143DF2"/>
    <w:rsid w:val="001465AA"/>
    <w:rsid w:val="00146B3D"/>
    <w:rsid w:val="00150CD7"/>
    <w:rsid w:val="00152152"/>
    <w:rsid w:val="001533C7"/>
    <w:rsid w:val="00156117"/>
    <w:rsid w:val="00156AD8"/>
    <w:rsid w:val="00156B91"/>
    <w:rsid w:val="00157182"/>
    <w:rsid w:val="001601AD"/>
    <w:rsid w:val="0016117F"/>
    <w:rsid w:val="00167304"/>
    <w:rsid w:val="00171D8B"/>
    <w:rsid w:val="00172F9E"/>
    <w:rsid w:val="00173C4E"/>
    <w:rsid w:val="00177757"/>
    <w:rsid w:val="0018084E"/>
    <w:rsid w:val="00180A6C"/>
    <w:rsid w:val="00186426"/>
    <w:rsid w:val="00187796"/>
    <w:rsid w:val="00187F5A"/>
    <w:rsid w:val="001918A1"/>
    <w:rsid w:val="001938AE"/>
    <w:rsid w:val="001957BE"/>
    <w:rsid w:val="0019585B"/>
    <w:rsid w:val="0019681A"/>
    <w:rsid w:val="001973B4"/>
    <w:rsid w:val="001A0D7D"/>
    <w:rsid w:val="001A4A91"/>
    <w:rsid w:val="001A6D6E"/>
    <w:rsid w:val="001B0671"/>
    <w:rsid w:val="001B3432"/>
    <w:rsid w:val="001B414F"/>
    <w:rsid w:val="001B45D2"/>
    <w:rsid w:val="001B56C2"/>
    <w:rsid w:val="001B5D8F"/>
    <w:rsid w:val="001B5EDA"/>
    <w:rsid w:val="001B7511"/>
    <w:rsid w:val="001C1FD4"/>
    <w:rsid w:val="001C32D1"/>
    <w:rsid w:val="001C582E"/>
    <w:rsid w:val="001D1355"/>
    <w:rsid w:val="001D3833"/>
    <w:rsid w:val="001D555D"/>
    <w:rsid w:val="001D656F"/>
    <w:rsid w:val="001D6678"/>
    <w:rsid w:val="001E0A71"/>
    <w:rsid w:val="001E17A7"/>
    <w:rsid w:val="001E1E94"/>
    <w:rsid w:val="001E29D9"/>
    <w:rsid w:val="001E2C1A"/>
    <w:rsid w:val="001E2DFB"/>
    <w:rsid w:val="001E3C15"/>
    <w:rsid w:val="001E52DF"/>
    <w:rsid w:val="001F1630"/>
    <w:rsid w:val="001F21C5"/>
    <w:rsid w:val="001F475E"/>
    <w:rsid w:val="001F484E"/>
    <w:rsid w:val="001F4DF5"/>
    <w:rsid w:val="001F6F9C"/>
    <w:rsid w:val="001F7F5D"/>
    <w:rsid w:val="002003D1"/>
    <w:rsid w:val="00200764"/>
    <w:rsid w:val="00202433"/>
    <w:rsid w:val="002028B7"/>
    <w:rsid w:val="00204565"/>
    <w:rsid w:val="0020513C"/>
    <w:rsid w:val="00207A1C"/>
    <w:rsid w:val="0021156D"/>
    <w:rsid w:val="00211747"/>
    <w:rsid w:val="0021188F"/>
    <w:rsid w:val="002140D3"/>
    <w:rsid w:val="00215368"/>
    <w:rsid w:val="002155C2"/>
    <w:rsid w:val="002163FE"/>
    <w:rsid w:val="00220E33"/>
    <w:rsid w:val="002213AA"/>
    <w:rsid w:val="00224475"/>
    <w:rsid w:val="0022458A"/>
    <w:rsid w:val="00226EF1"/>
    <w:rsid w:val="00227433"/>
    <w:rsid w:val="00230320"/>
    <w:rsid w:val="00230803"/>
    <w:rsid w:val="002308C3"/>
    <w:rsid w:val="00231DE1"/>
    <w:rsid w:val="00234FB2"/>
    <w:rsid w:val="00237052"/>
    <w:rsid w:val="00237B57"/>
    <w:rsid w:val="002406DE"/>
    <w:rsid w:val="0024240C"/>
    <w:rsid w:val="00242CCB"/>
    <w:rsid w:val="002433D7"/>
    <w:rsid w:val="002441D7"/>
    <w:rsid w:val="002473B8"/>
    <w:rsid w:val="00247A30"/>
    <w:rsid w:val="00250F61"/>
    <w:rsid w:val="00252C69"/>
    <w:rsid w:val="00252CF9"/>
    <w:rsid w:val="002533E0"/>
    <w:rsid w:val="002557F0"/>
    <w:rsid w:val="0026013F"/>
    <w:rsid w:val="002603ED"/>
    <w:rsid w:val="00260D38"/>
    <w:rsid w:val="002623BF"/>
    <w:rsid w:val="00263604"/>
    <w:rsid w:val="00264145"/>
    <w:rsid w:val="00265015"/>
    <w:rsid w:val="00265331"/>
    <w:rsid w:val="00265C8F"/>
    <w:rsid w:val="0026627C"/>
    <w:rsid w:val="00267E9A"/>
    <w:rsid w:val="002708A1"/>
    <w:rsid w:val="0027247B"/>
    <w:rsid w:val="002737B0"/>
    <w:rsid w:val="00274741"/>
    <w:rsid w:val="002752AB"/>
    <w:rsid w:val="00276CB0"/>
    <w:rsid w:val="002801DB"/>
    <w:rsid w:val="00280713"/>
    <w:rsid w:val="00281E30"/>
    <w:rsid w:val="0028234B"/>
    <w:rsid w:val="00285686"/>
    <w:rsid w:val="00286B41"/>
    <w:rsid w:val="00291917"/>
    <w:rsid w:val="00291B2D"/>
    <w:rsid w:val="002929F3"/>
    <w:rsid w:val="00293C23"/>
    <w:rsid w:val="00293C36"/>
    <w:rsid w:val="0029527D"/>
    <w:rsid w:val="00295E84"/>
    <w:rsid w:val="002975FA"/>
    <w:rsid w:val="002A05C4"/>
    <w:rsid w:val="002A0A25"/>
    <w:rsid w:val="002A0D29"/>
    <w:rsid w:val="002A5C93"/>
    <w:rsid w:val="002B1290"/>
    <w:rsid w:val="002B456C"/>
    <w:rsid w:val="002B4DE9"/>
    <w:rsid w:val="002B6B8D"/>
    <w:rsid w:val="002C0ECA"/>
    <w:rsid w:val="002C10D8"/>
    <w:rsid w:val="002C2C89"/>
    <w:rsid w:val="002C2F0E"/>
    <w:rsid w:val="002C31B0"/>
    <w:rsid w:val="002C4185"/>
    <w:rsid w:val="002C4793"/>
    <w:rsid w:val="002C5479"/>
    <w:rsid w:val="002C640C"/>
    <w:rsid w:val="002C666C"/>
    <w:rsid w:val="002D246F"/>
    <w:rsid w:val="002D60C2"/>
    <w:rsid w:val="002D67EC"/>
    <w:rsid w:val="002D6CA7"/>
    <w:rsid w:val="002D788B"/>
    <w:rsid w:val="002E2BA6"/>
    <w:rsid w:val="002E2E79"/>
    <w:rsid w:val="002E427D"/>
    <w:rsid w:val="002E5397"/>
    <w:rsid w:val="002E5976"/>
    <w:rsid w:val="002E61D8"/>
    <w:rsid w:val="002F036A"/>
    <w:rsid w:val="002F0426"/>
    <w:rsid w:val="002F1CB4"/>
    <w:rsid w:val="002F28E7"/>
    <w:rsid w:val="002F2C7C"/>
    <w:rsid w:val="002F2FB8"/>
    <w:rsid w:val="002F3172"/>
    <w:rsid w:val="002F44B5"/>
    <w:rsid w:val="002F44BF"/>
    <w:rsid w:val="002F53CE"/>
    <w:rsid w:val="002F59AD"/>
    <w:rsid w:val="002F6D59"/>
    <w:rsid w:val="002F77B4"/>
    <w:rsid w:val="003014D9"/>
    <w:rsid w:val="003016D1"/>
    <w:rsid w:val="0030490E"/>
    <w:rsid w:val="00305BDE"/>
    <w:rsid w:val="00307DF6"/>
    <w:rsid w:val="003104DD"/>
    <w:rsid w:val="00312358"/>
    <w:rsid w:val="00312C9E"/>
    <w:rsid w:val="00315BC5"/>
    <w:rsid w:val="0031626F"/>
    <w:rsid w:val="0031658C"/>
    <w:rsid w:val="00316F6B"/>
    <w:rsid w:val="00317979"/>
    <w:rsid w:val="00321948"/>
    <w:rsid w:val="00322CD3"/>
    <w:rsid w:val="00322D9C"/>
    <w:rsid w:val="00322F15"/>
    <w:rsid w:val="003243E5"/>
    <w:rsid w:val="00324855"/>
    <w:rsid w:val="00325EF0"/>
    <w:rsid w:val="00327E19"/>
    <w:rsid w:val="00332646"/>
    <w:rsid w:val="003334D3"/>
    <w:rsid w:val="0033367C"/>
    <w:rsid w:val="00336CE1"/>
    <w:rsid w:val="0033716D"/>
    <w:rsid w:val="00337447"/>
    <w:rsid w:val="00343176"/>
    <w:rsid w:val="00343AD9"/>
    <w:rsid w:val="00345731"/>
    <w:rsid w:val="00345909"/>
    <w:rsid w:val="003466BA"/>
    <w:rsid w:val="003466D2"/>
    <w:rsid w:val="00346D0F"/>
    <w:rsid w:val="003502C8"/>
    <w:rsid w:val="0035106F"/>
    <w:rsid w:val="00351D38"/>
    <w:rsid w:val="00353807"/>
    <w:rsid w:val="00354A3D"/>
    <w:rsid w:val="00355019"/>
    <w:rsid w:val="003555CD"/>
    <w:rsid w:val="00355986"/>
    <w:rsid w:val="00355DE7"/>
    <w:rsid w:val="00357ECF"/>
    <w:rsid w:val="0036060B"/>
    <w:rsid w:val="003624EC"/>
    <w:rsid w:val="00363E35"/>
    <w:rsid w:val="003717EE"/>
    <w:rsid w:val="00371C1F"/>
    <w:rsid w:val="00374A3C"/>
    <w:rsid w:val="0037688A"/>
    <w:rsid w:val="00377EF9"/>
    <w:rsid w:val="00380589"/>
    <w:rsid w:val="003812CA"/>
    <w:rsid w:val="003849F2"/>
    <w:rsid w:val="00384A39"/>
    <w:rsid w:val="00385B70"/>
    <w:rsid w:val="00386415"/>
    <w:rsid w:val="0039024C"/>
    <w:rsid w:val="00390772"/>
    <w:rsid w:val="0039102F"/>
    <w:rsid w:val="00395B32"/>
    <w:rsid w:val="003A09DA"/>
    <w:rsid w:val="003A0DED"/>
    <w:rsid w:val="003A14F5"/>
    <w:rsid w:val="003A16FE"/>
    <w:rsid w:val="003A2054"/>
    <w:rsid w:val="003A3187"/>
    <w:rsid w:val="003A4EE1"/>
    <w:rsid w:val="003A5628"/>
    <w:rsid w:val="003A75F2"/>
    <w:rsid w:val="003A760D"/>
    <w:rsid w:val="003B02EF"/>
    <w:rsid w:val="003B12EB"/>
    <w:rsid w:val="003B17C4"/>
    <w:rsid w:val="003B6497"/>
    <w:rsid w:val="003C0864"/>
    <w:rsid w:val="003C09D5"/>
    <w:rsid w:val="003C0F19"/>
    <w:rsid w:val="003C159D"/>
    <w:rsid w:val="003C18FC"/>
    <w:rsid w:val="003C1F21"/>
    <w:rsid w:val="003C20F9"/>
    <w:rsid w:val="003C24AE"/>
    <w:rsid w:val="003C2BF1"/>
    <w:rsid w:val="003C46ED"/>
    <w:rsid w:val="003C5838"/>
    <w:rsid w:val="003C624E"/>
    <w:rsid w:val="003C630D"/>
    <w:rsid w:val="003C6A92"/>
    <w:rsid w:val="003D12D3"/>
    <w:rsid w:val="003D3DD4"/>
    <w:rsid w:val="003D3EF3"/>
    <w:rsid w:val="003D4ED5"/>
    <w:rsid w:val="003D5A96"/>
    <w:rsid w:val="003E0665"/>
    <w:rsid w:val="003E2463"/>
    <w:rsid w:val="003E2D4F"/>
    <w:rsid w:val="003E3810"/>
    <w:rsid w:val="003E466A"/>
    <w:rsid w:val="003E5D99"/>
    <w:rsid w:val="003F0718"/>
    <w:rsid w:val="003F1752"/>
    <w:rsid w:val="00403304"/>
    <w:rsid w:val="00404B87"/>
    <w:rsid w:val="00405901"/>
    <w:rsid w:val="00405B0B"/>
    <w:rsid w:val="00411E77"/>
    <w:rsid w:val="00415307"/>
    <w:rsid w:val="00417279"/>
    <w:rsid w:val="00420546"/>
    <w:rsid w:val="00422A54"/>
    <w:rsid w:val="00422F5C"/>
    <w:rsid w:val="00423A56"/>
    <w:rsid w:val="00425ABE"/>
    <w:rsid w:val="0042652F"/>
    <w:rsid w:val="00426680"/>
    <w:rsid w:val="004268AE"/>
    <w:rsid w:val="00426DCC"/>
    <w:rsid w:val="004272FD"/>
    <w:rsid w:val="00427B33"/>
    <w:rsid w:val="004306FC"/>
    <w:rsid w:val="004327F7"/>
    <w:rsid w:val="004346AB"/>
    <w:rsid w:val="0043500F"/>
    <w:rsid w:val="00441692"/>
    <w:rsid w:val="004417F3"/>
    <w:rsid w:val="00442511"/>
    <w:rsid w:val="00442936"/>
    <w:rsid w:val="00442C57"/>
    <w:rsid w:val="00443011"/>
    <w:rsid w:val="004445E1"/>
    <w:rsid w:val="004464D8"/>
    <w:rsid w:val="004469D9"/>
    <w:rsid w:val="00446D58"/>
    <w:rsid w:val="0044776D"/>
    <w:rsid w:val="00447BA8"/>
    <w:rsid w:val="004504CE"/>
    <w:rsid w:val="00451285"/>
    <w:rsid w:val="00451E4F"/>
    <w:rsid w:val="00452D8A"/>
    <w:rsid w:val="0045476E"/>
    <w:rsid w:val="004552E3"/>
    <w:rsid w:val="004556A8"/>
    <w:rsid w:val="00456101"/>
    <w:rsid w:val="00457636"/>
    <w:rsid w:val="004613C2"/>
    <w:rsid w:val="00461D36"/>
    <w:rsid w:val="00462EB6"/>
    <w:rsid w:val="00462F04"/>
    <w:rsid w:val="00463B41"/>
    <w:rsid w:val="00464B67"/>
    <w:rsid w:val="00465CF4"/>
    <w:rsid w:val="00471CE9"/>
    <w:rsid w:val="004722A4"/>
    <w:rsid w:val="00472398"/>
    <w:rsid w:val="00473007"/>
    <w:rsid w:val="00475CC1"/>
    <w:rsid w:val="00475FB5"/>
    <w:rsid w:val="00476A08"/>
    <w:rsid w:val="00477401"/>
    <w:rsid w:val="00480B05"/>
    <w:rsid w:val="00484897"/>
    <w:rsid w:val="00487AB7"/>
    <w:rsid w:val="0049157E"/>
    <w:rsid w:val="00494BAE"/>
    <w:rsid w:val="0049503A"/>
    <w:rsid w:val="00496015"/>
    <w:rsid w:val="00496BE7"/>
    <w:rsid w:val="00496E23"/>
    <w:rsid w:val="004A0761"/>
    <w:rsid w:val="004A2856"/>
    <w:rsid w:val="004A2CB8"/>
    <w:rsid w:val="004A4795"/>
    <w:rsid w:val="004A78C3"/>
    <w:rsid w:val="004B0F76"/>
    <w:rsid w:val="004B125E"/>
    <w:rsid w:val="004B372C"/>
    <w:rsid w:val="004B43F5"/>
    <w:rsid w:val="004C0324"/>
    <w:rsid w:val="004C03B8"/>
    <w:rsid w:val="004C0B14"/>
    <w:rsid w:val="004C13BE"/>
    <w:rsid w:val="004C1565"/>
    <w:rsid w:val="004C2306"/>
    <w:rsid w:val="004C2674"/>
    <w:rsid w:val="004C3166"/>
    <w:rsid w:val="004C5E20"/>
    <w:rsid w:val="004C739C"/>
    <w:rsid w:val="004C7652"/>
    <w:rsid w:val="004D1273"/>
    <w:rsid w:val="004D2FF1"/>
    <w:rsid w:val="004D37CC"/>
    <w:rsid w:val="004D4136"/>
    <w:rsid w:val="004D4F40"/>
    <w:rsid w:val="004D5C1F"/>
    <w:rsid w:val="004D6D42"/>
    <w:rsid w:val="004D7BFE"/>
    <w:rsid w:val="004E211F"/>
    <w:rsid w:val="004E33A0"/>
    <w:rsid w:val="004E6122"/>
    <w:rsid w:val="004E6A36"/>
    <w:rsid w:val="004E7B73"/>
    <w:rsid w:val="004F246B"/>
    <w:rsid w:val="004F29C6"/>
    <w:rsid w:val="004F4111"/>
    <w:rsid w:val="004F41D8"/>
    <w:rsid w:val="004F554F"/>
    <w:rsid w:val="004F6CD9"/>
    <w:rsid w:val="00500536"/>
    <w:rsid w:val="0050072F"/>
    <w:rsid w:val="00500E9B"/>
    <w:rsid w:val="00504467"/>
    <w:rsid w:val="005061A8"/>
    <w:rsid w:val="00510C18"/>
    <w:rsid w:val="00513B5A"/>
    <w:rsid w:val="00514FBE"/>
    <w:rsid w:val="005150C2"/>
    <w:rsid w:val="00516316"/>
    <w:rsid w:val="005163E5"/>
    <w:rsid w:val="005164EB"/>
    <w:rsid w:val="0051689C"/>
    <w:rsid w:val="00516BF0"/>
    <w:rsid w:val="00522A7A"/>
    <w:rsid w:val="00523E02"/>
    <w:rsid w:val="00527A01"/>
    <w:rsid w:val="00532B3B"/>
    <w:rsid w:val="0053330B"/>
    <w:rsid w:val="0053447F"/>
    <w:rsid w:val="00535206"/>
    <w:rsid w:val="005366E4"/>
    <w:rsid w:val="005370FD"/>
    <w:rsid w:val="005376D9"/>
    <w:rsid w:val="00542938"/>
    <w:rsid w:val="005446E4"/>
    <w:rsid w:val="00545F5C"/>
    <w:rsid w:val="005541BA"/>
    <w:rsid w:val="00554417"/>
    <w:rsid w:val="00554AF1"/>
    <w:rsid w:val="00561129"/>
    <w:rsid w:val="00561479"/>
    <w:rsid w:val="005630D5"/>
    <w:rsid w:val="00566B15"/>
    <w:rsid w:val="00567E7A"/>
    <w:rsid w:val="0057021B"/>
    <w:rsid w:val="0057473F"/>
    <w:rsid w:val="00585555"/>
    <w:rsid w:val="00587CAC"/>
    <w:rsid w:val="00590DA9"/>
    <w:rsid w:val="0059152B"/>
    <w:rsid w:val="00593BB3"/>
    <w:rsid w:val="005950F4"/>
    <w:rsid w:val="00596014"/>
    <w:rsid w:val="00596EA1"/>
    <w:rsid w:val="005A09A4"/>
    <w:rsid w:val="005A25E6"/>
    <w:rsid w:val="005A2FBD"/>
    <w:rsid w:val="005A3817"/>
    <w:rsid w:val="005A476C"/>
    <w:rsid w:val="005A47F9"/>
    <w:rsid w:val="005A50A7"/>
    <w:rsid w:val="005A63E6"/>
    <w:rsid w:val="005A6565"/>
    <w:rsid w:val="005B3108"/>
    <w:rsid w:val="005B36F1"/>
    <w:rsid w:val="005B4984"/>
    <w:rsid w:val="005B4B28"/>
    <w:rsid w:val="005B530E"/>
    <w:rsid w:val="005B565C"/>
    <w:rsid w:val="005B5E24"/>
    <w:rsid w:val="005B62E1"/>
    <w:rsid w:val="005B6B6C"/>
    <w:rsid w:val="005B7E02"/>
    <w:rsid w:val="005B7F5E"/>
    <w:rsid w:val="005C04B8"/>
    <w:rsid w:val="005C1B23"/>
    <w:rsid w:val="005C4681"/>
    <w:rsid w:val="005C70FC"/>
    <w:rsid w:val="005D0EA9"/>
    <w:rsid w:val="005D1416"/>
    <w:rsid w:val="005D181C"/>
    <w:rsid w:val="005D34F4"/>
    <w:rsid w:val="005D7371"/>
    <w:rsid w:val="005D7497"/>
    <w:rsid w:val="005E052F"/>
    <w:rsid w:val="005E074E"/>
    <w:rsid w:val="005E10A8"/>
    <w:rsid w:val="005E17A5"/>
    <w:rsid w:val="005E2665"/>
    <w:rsid w:val="005E2794"/>
    <w:rsid w:val="005E3434"/>
    <w:rsid w:val="005E685B"/>
    <w:rsid w:val="005E774C"/>
    <w:rsid w:val="005F0007"/>
    <w:rsid w:val="005F1A97"/>
    <w:rsid w:val="005F23D4"/>
    <w:rsid w:val="005F29CB"/>
    <w:rsid w:val="005F30D0"/>
    <w:rsid w:val="005F39E5"/>
    <w:rsid w:val="005F53F4"/>
    <w:rsid w:val="005F63AC"/>
    <w:rsid w:val="005F723F"/>
    <w:rsid w:val="005F740A"/>
    <w:rsid w:val="005F7C0F"/>
    <w:rsid w:val="00601654"/>
    <w:rsid w:val="00602076"/>
    <w:rsid w:val="00604205"/>
    <w:rsid w:val="006048E7"/>
    <w:rsid w:val="00605F22"/>
    <w:rsid w:val="00606B58"/>
    <w:rsid w:val="00612A33"/>
    <w:rsid w:val="00612BE3"/>
    <w:rsid w:val="00615199"/>
    <w:rsid w:val="006160A6"/>
    <w:rsid w:val="00616FC3"/>
    <w:rsid w:val="0061794C"/>
    <w:rsid w:val="00621750"/>
    <w:rsid w:val="00621C6F"/>
    <w:rsid w:val="00622FD2"/>
    <w:rsid w:val="006255DC"/>
    <w:rsid w:val="00625630"/>
    <w:rsid w:val="006274D0"/>
    <w:rsid w:val="006304D0"/>
    <w:rsid w:val="00632668"/>
    <w:rsid w:val="0063279F"/>
    <w:rsid w:val="006332D5"/>
    <w:rsid w:val="00635051"/>
    <w:rsid w:val="00635C72"/>
    <w:rsid w:val="00635CA8"/>
    <w:rsid w:val="00636490"/>
    <w:rsid w:val="00637168"/>
    <w:rsid w:val="00640A48"/>
    <w:rsid w:val="00641466"/>
    <w:rsid w:val="00642B09"/>
    <w:rsid w:val="00643BCA"/>
    <w:rsid w:val="00650671"/>
    <w:rsid w:val="0065100C"/>
    <w:rsid w:val="006521D4"/>
    <w:rsid w:val="00654686"/>
    <w:rsid w:val="00662433"/>
    <w:rsid w:val="00662FC4"/>
    <w:rsid w:val="0066378A"/>
    <w:rsid w:val="00664B94"/>
    <w:rsid w:val="00671C14"/>
    <w:rsid w:val="00672D3F"/>
    <w:rsid w:val="006738ED"/>
    <w:rsid w:val="00674F5E"/>
    <w:rsid w:val="006756E7"/>
    <w:rsid w:val="00675A17"/>
    <w:rsid w:val="0067696F"/>
    <w:rsid w:val="00677E77"/>
    <w:rsid w:val="006827CC"/>
    <w:rsid w:val="00683115"/>
    <w:rsid w:val="00683D83"/>
    <w:rsid w:val="00684C7A"/>
    <w:rsid w:val="00684D13"/>
    <w:rsid w:val="00686BCE"/>
    <w:rsid w:val="00692CA0"/>
    <w:rsid w:val="00692D4D"/>
    <w:rsid w:val="00693BA3"/>
    <w:rsid w:val="00693E0A"/>
    <w:rsid w:val="00693E0F"/>
    <w:rsid w:val="006950F1"/>
    <w:rsid w:val="00695737"/>
    <w:rsid w:val="00695DA0"/>
    <w:rsid w:val="006A0156"/>
    <w:rsid w:val="006A13C5"/>
    <w:rsid w:val="006A2684"/>
    <w:rsid w:val="006A28BE"/>
    <w:rsid w:val="006A2D14"/>
    <w:rsid w:val="006A35BC"/>
    <w:rsid w:val="006A3646"/>
    <w:rsid w:val="006A5A20"/>
    <w:rsid w:val="006A6465"/>
    <w:rsid w:val="006A6A7E"/>
    <w:rsid w:val="006A76AD"/>
    <w:rsid w:val="006A7C43"/>
    <w:rsid w:val="006B02CB"/>
    <w:rsid w:val="006B226D"/>
    <w:rsid w:val="006B284F"/>
    <w:rsid w:val="006B3180"/>
    <w:rsid w:val="006B378F"/>
    <w:rsid w:val="006B3907"/>
    <w:rsid w:val="006B5100"/>
    <w:rsid w:val="006B58DB"/>
    <w:rsid w:val="006B61D5"/>
    <w:rsid w:val="006B703D"/>
    <w:rsid w:val="006C23F1"/>
    <w:rsid w:val="006C2E4E"/>
    <w:rsid w:val="006C3C58"/>
    <w:rsid w:val="006C3C6E"/>
    <w:rsid w:val="006C446D"/>
    <w:rsid w:val="006C6078"/>
    <w:rsid w:val="006D2AFB"/>
    <w:rsid w:val="006D335C"/>
    <w:rsid w:val="006D6CCC"/>
    <w:rsid w:val="006E075F"/>
    <w:rsid w:val="006E1C11"/>
    <w:rsid w:val="006E212D"/>
    <w:rsid w:val="006E2930"/>
    <w:rsid w:val="006E31F4"/>
    <w:rsid w:val="006E3B7D"/>
    <w:rsid w:val="006E6018"/>
    <w:rsid w:val="006E6886"/>
    <w:rsid w:val="006E6DFA"/>
    <w:rsid w:val="006E73EB"/>
    <w:rsid w:val="006E750A"/>
    <w:rsid w:val="006F0269"/>
    <w:rsid w:val="006F1B0D"/>
    <w:rsid w:val="006F1CEF"/>
    <w:rsid w:val="006F3179"/>
    <w:rsid w:val="006F5652"/>
    <w:rsid w:val="006F7732"/>
    <w:rsid w:val="006F7FD9"/>
    <w:rsid w:val="0070208C"/>
    <w:rsid w:val="007036D5"/>
    <w:rsid w:val="00703738"/>
    <w:rsid w:val="00703B31"/>
    <w:rsid w:val="00704002"/>
    <w:rsid w:val="0070406F"/>
    <w:rsid w:val="00707879"/>
    <w:rsid w:val="00712F85"/>
    <w:rsid w:val="00714FA2"/>
    <w:rsid w:val="00715D2E"/>
    <w:rsid w:val="007167CE"/>
    <w:rsid w:val="00717FCA"/>
    <w:rsid w:val="00720836"/>
    <w:rsid w:val="00720AB3"/>
    <w:rsid w:val="00720B0C"/>
    <w:rsid w:val="00721D7D"/>
    <w:rsid w:val="00723AC7"/>
    <w:rsid w:val="00724045"/>
    <w:rsid w:val="00724BE1"/>
    <w:rsid w:val="00726039"/>
    <w:rsid w:val="0072688B"/>
    <w:rsid w:val="00727171"/>
    <w:rsid w:val="00727477"/>
    <w:rsid w:val="00730202"/>
    <w:rsid w:val="007323C4"/>
    <w:rsid w:val="007332F9"/>
    <w:rsid w:val="007333A7"/>
    <w:rsid w:val="00734DCF"/>
    <w:rsid w:val="00736397"/>
    <w:rsid w:val="0073650F"/>
    <w:rsid w:val="00736805"/>
    <w:rsid w:val="00737E24"/>
    <w:rsid w:val="00744271"/>
    <w:rsid w:val="007503E7"/>
    <w:rsid w:val="007513DE"/>
    <w:rsid w:val="00751863"/>
    <w:rsid w:val="007529E3"/>
    <w:rsid w:val="00754055"/>
    <w:rsid w:val="00755461"/>
    <w:rsid w:val="00755C99"/>
    <w:rsid w:val="00760259"/>
    <w:rsid w:val="00762396"/>
    <w:rsid w:val="007666F8"/>
    <w:rsid w:val="0076748D"/>
    <w:rsid w:val="007674B0"/>
    <w:rsid w:val="00767623"/>
    <w:rsid w:val="00772836"/>
    <w:rsid w:val="0077437E"/>
    <w:rsid w:val="00774759"/>
    <w:rsid w:val="007749DE"/>
    <w:rsid w:val="00775728"/>
    <w:rsid w:val="00776946"/>
    <w:rsid w:val="00780157"/>
    <w:rsid w:val="007804F8"/>
    <w:rsid w:val="00783267"/>
    <w:rsid w:val="00785D3A"/>
    <w:rsid w:val="0078600F"/>
    <w:rsid w:val="007909C2"/>
    <w:rsid w:val="00790AFC"/>
    <w:rsid w:val="0079470C"/>
    <w:rsid w:val="0079503E"/>
    <w:rsid w:val="00795433"/>
    <w:rsid w:val="007962D4"/>
    <w:rsid w:val="007973F7"/>
    <w:rsid w:val="00797502"/>
    <w:rsid w:val="00797D1D"/>
    <w:rsid w:val="007A0BA4"/>
    <w:rsid w:val="007A1A03"/>
    <w:rsid w:val="007A2A16"/>
    <w:rsid w:val="007A337F"/>
    <w:rsid w:val="007A5866"/>
    <w:rsid w:val="007A6033"/>
    <w:rsid w:val="007A7520"/>
    <w:rsid w:val="007B1BE1"/>
    <w:rsid w:val="007B2127"/>
    <w:rsid w:val="007B2B30"/>
    <w:rsid w:val="007B446A"/>
    <w:rsid w:val="007B68C8"/>
    <w:rsid w:val="007B79DB"/>
    <w:rsid w:val="007B7F54"/>
    <w:rsid w:val="007C10CC"/>
    <w:rsid w:val="007C1C39"/>
    <w:rsid w:val="007C3E9A"/>
    <w:rsid w:val="007C4787"/>
    <w:rsid w:val="007C490B"/>
    <w:rsid w:val="007C4F24"/>
    <w:rsid w:val="007C50AF"/>
    <w:rsid w:val="007C6B9C"/>
    <w:rsid w:val="007D0579"/>
    <w:rsid w:val="007D0F3D"/>
    <w:rsid w:val="007D343C"/>
    <w:rsid w:val="007D3B7B"/>
    <w:rsid w:val="007D6456"/>
    <w:rsid w:val="007D722A"/>
    <w:rsid w:val="007D74D7"/>
    <w:rsid w:val="007D7557"/>
    <w:rsid w:val="007E0B5F"/>
    <w:rsid w:val="007E17B7"/>
    <w:rsid w:val="007E3DFB"/>
    <w:rsid w:val="007E49CD"/>
    <w:rsid w:val="007E4EF8"/>
    <w:rsid w:val="007E50C9"/>
    <w:rsid w:val="007E52CB"/>
    <w:rsid w:val="007E681A"/>
    <w:rsid w:val="007E693B"/>
    <w:rsid w:val="007E69C6"/>
    <w:rsid w:val="007E7337"/>
    <w:rsid w:val="007E7C07"/>
    <w:rsid w:val="007F2CB5"/>
    <w:rsid w:val="007F4091"/>
    <w:rsid w:val="007F48A6"/>
    <w:rsid w:val="007F4C9F"/>
    <w:rsid w:val="007F639A"/>
    <w:rsid w:val="007F791C"/>
    <w:rsid w:val="007F7DA2"/>
    <w:rsid w:val="00801432"/>
    <w:rsid w:val="008045FE"/>
    <w:rsid w:val="00804D96"/>
    <w:rsid w:val="00805D49"/>
    <w:rsid w:val="00807715"/>
    <w:rsid w:val="00807FD9"/>
    <w:rsid w:val="00812811"/>
    <w:rsid w:val="0081365D"/>
    <w:rsid w:val="008137F5"/>
    <w:rsid w:val="00813996"/>
    <w:rsid w:val="008148F2"/>
    <w:rsid w:val="00814C9D"/>
    <w:rsid w:val="00815CA2"/>
    <w:rsid w:val="008161E9"/>
    <w:rsid w:val="00816F9E"/>
    <w:rsid w:val="00817810"/>
    <w:rsid w:val="00820B3A"/>
    <w:rsid w:val="008223EB"/>
    <w:rsid w:val="00822F68"/>
    <w:rsid w:val="008247CC"/>
    <w:rsid w:val="008278E8"/>
    <w:rsid w:val="00827E8D"/>
    <w:rsid w:val="00831378"/>
    <w:rsid w:val="00831ABD"/>
    <w:rsid w:val="00831C8A"/>
    <w:rsid w:val="008347BC"/>
    <w:rsid w:val="00835066"/>
    <w:rsid w:val="00836277"/>
    <w:rsid w:val="00837456"/>
    <w:rsid w:val="008405D7"/>
    <w:rsid w:val="008410C6"/>
    <w:rsid w:val="0084155A"/>
    <w:rsid w:val="00841865"/>
    <w:rsid w:val="0084380B"/>
    <w:rsid w:val="00845BDF"/>
    <w:rsid w:val="008462B6"/>
    <w:rsid w:val="00847185"/>
    <w:rsid w:val="00847325"/>
    <w:rsid w:val="00847F2E"/>
    <w:rsid w:val="00851353"/>
    <w:rsid w:val="008518ED"/>
    <w:rsid w:val="008549C7"/>
    <w:rsid w:val="00857297"/>
    <w:rsid w:val="008574B6"/>
    <w:rsid w:val="008604BA"/>
    <w:rsid w:val="00860F76"/>
    <w:rsid w:val="00861418"/>
    <w:rsid w:val="008621DE"/>
    <w:rsid w:val="00862FA8"/>
    <w:rsid w:val="00863BD9"/>
    <w:rsid w:val="00864C6C"/>
    <w:rsid w:val="008651E5"/>
    <w:rsid w:val="0086549B"/>
    <w:rsid w:val="00871151"/>
    <w:rsid w:val="00872913"/>
    <w:rsid w:val="0087330C"/>
    <w:rsid w:val="0087390C"/>
    <w:rsid w:val="00874C58"/>
    <w:rsid w:val="0087539C"/>
    <w:rsid w:val="008757A4"/>
    <w:rsid w:val="00875A7F"/>
    <w:rsid w:val="00875C3B"/>
    <w:rsid w:val="00877051"/>
    <w:rsid w:val="00877084"/>
    <w:rsid w:val="00881C63"/>
    <w:rsid w:val="00886120"/>
    <w:rsid w:val="0089011E"/>
    <w:rsid w:val="008904D1"/>
    <w:rsid w:val="008907F3"/>
    <w:rsid w:val="00890C39"/>
    <w:rsid w:val="00890E28"/>
    <w:rsid w:val="00891461"/>
    <w:rsid w:val="00891883"/>
    <w:rsid w:val="00891CE0"/>
    <w:rsid w:val="00892C7B"/>
    <w:rsid w:val="00893EA1"/>
    <w:rsid w:val="00893FE4"/>
    <w:rsid w:val="008944C1"/>
    <w:rsid w:val="00895FB6"/>
    <w:rsid w:val="00896524"/>
    <w:rsid w:val="008967BD"/>
    <w:rsid w:val="00897C72"/>
    <w:rsid w:val="00897D86"/>
    <w:rsid w:val="008A03A4"/>
    <w:rsid w:val="008A1CC7"/>
    <w:rsid w:val="008A2A73"/>
    <w:rsid w:val="008A3EF7"/>
    <w:rsid w:val="008A56A2"/>
    <w:rsid w:val="008A5AE0"/>
    <w:rsid w:val="008A6521"/>
    <w:rsid w:val="008A6A37"/>
    <w:rsid w:val="008B0E86"/>
    <w:rsid w:val="008B0F1D"/>
    <w:rsid w:val="008B238C"/>
    <w:rsid w:val="008B39DA"/>
    <w:rsid w:val="008B5268"/>
    <w:rsid w:val="008B57A0"/>
    <w:rsid w:val="008B6176"/>
    <w:rsid w:val="008B6BFA"/>
    <w:rsid w:val="008B7A75"/>
    <w:rsid w:val="008C1981"/>
    <w:rsid w:val="008C2E2C"/>
    <w:rsid w:val="008C45A3"/>
    <w:rsid w:val="008C5837"/>
    <w:rsid w:val="008C6342"/>
    <w:rsid w:val="008C7BEB"/>
    <w:rsid w:val="008D080D"/>
    <w:rsid w:val="008D0889"/>
    <w:rsid w:val="008D0F03"/>
    <w:rsid w:val="008D2104"/>
    <w:rsid w:val="008D3207"/>
    <w:rsid w:val="008D355C"/>
    <w:rsid w:val="008D51B1"/>
    <w:rsid w:val="008D55BD"/>
    <w:rsid w:val="008D5937"/>
    <w:rsid w:val="008E07DF"/>
    <w:rsid w:val="008E18E4"/>
    <w:rsid w:val="008E303E"/>
    <w:rsid w:val="008F05BE"/>
    <w:rsid w:val="008F1215"/>
    <w:rsid w:val="008F196A"/>
    <w:rsid w:val="008F3296"/>
    <w:rsid w:val="008F361F"/>
    <w:rsid w:val="008F455A"/>
    <w:rsid w:val="008F4C4D"/>
    <w:rsid w:val="008F4CAE"/>
    <w:rsid w:val="008F6EA9"/>
    <w:rsid w:val="008F7186"/>
    <w:rsid w:val="008F73F9"/>
    <w:rsid w:val="008F7F2D"/>
    <w:rsid w:val="0090160C"/>
    <w:rsid w:val="009035C0"/>
    <w:rsid w:val="00904305"/>
    <w:rsid w:val="00904A65"/>
    <w:rsid w:val="009056F3"/>
    <w:rsid w:val="00906927"/>
    <w:rsid w:val="00911116"/>
    <w:rsid w:val="00914AAB"/>
    <w:rsid w:val="00916306"/>
    <w:rsid w:val="00917A7E"/>
    <w:rsid w:val="00917ADD"/>
    <w:rsid w:val="00917C81"/>
    <w:rsid w:val="00921BE2"/>
    <w:rsid w:val="00925038"/>
    <w:rsid w:val="00926193"/>
    <w:rsid w:val="00926629"/>
    <w:rsid w:val="009274BB"/>
    <w:rsid w:val="00927BA5"/>
    <w:rsid w:val="0093143D"/>
    <w:rsid w:val="00931458"/>
    <w:rsid w:val="00932702"/>
    <w:rsid w:val="00932B15"/>
    <w:rsid w:val="0093386E"/>
    <w:rsid w:val="009338DE"/>
    <w:rsid w:val="0093424D"/>
    <w:rsid w:val="009354A7"/>
    <w:rsid w:val="00935992"/>
    <w:rsid w:val="0093605C"/>
    <w:rsid w:val="00940E96"/>
    <w:rsid w:val="00942C64"/>
    <w:rsid w:val="00950327"/>
    <w:rsid w:val="00950DE9"/>
    <w:rsid w:val="00950E62"/>
    <w:rsid w:val="0095103D"/>
    <w:rsid w:val="00951327"/>
    <w:rsid w:val="009540BE"/>
    <w:rsid w:val="00954112"/>
    <w:rsid w:val="009556D1"/>
    <w:rsid w:val="009564BA"/>
    <w:rsid w:val="0095653E"/>
    <w:rsid w:val="00961AEF"/>
    <w:rsid w:val="009649DD"/>
    <w:rsid w:val="00964F35"/>
    <w:rsid w:val="0096698F"/>
    <w:rsid w:val="00966A64"/>
    <w:rsid w:val="009678E8"/>
    <w:rsid w:val="009700BB"/>
    <w:rsid w:val="00970362"/>
    <w:rsid w:val="009710F1"/>
    <w:rsid w:val="00971E50"/>
    <w:rsid w:val="009723F3"/>
    <w:rsid w:val="009735EA"/>
    <w:rsid w:val="009740C7"/>
    <w:rsid w:val="009761EA"/>
    <w:rsid w:val="009775AE"/>
    <w:rsid w:val="0098108B"/>
    <w:rsid w:val="0098117E"/>
    <w:rsid w:val="00981F03"/>
    <w:rsid w:val="00982249"/>
    <w:rsid w:val="009824F8"/>
    <w:rsid w:val="00982968"/>
    <w:rsid w:val="00982B87"/>
    <w:rsid w:val="009877B4"/>
    <w:rsid w:val="00993669"/>
    <w:rsid w:val="00993B76"/>
    <w:rsid w:val="009940ED"/>
    <w:rsid w:val="0099679A"/>
    <w:rsid w:val="009A031F"/>
    <w:rsid w:val="009A0413"/>
    <w:rsid w:val="009A0BF7"/>
    <w:rsid w:val="009A2EFA"/>
    <w:rsid w:val="009A52BE"/>
    <w:rsid w:val="009A557D"/>
    <w:rsid w:val="009A5DFF"/>
    <w:rsid w:val="009A6D78"/>
    <w:rsid w:val="009B0C7D"/>
    <w:rsid w:val="009B1A90"/>
    <w:rsid w:val="009B2CAF"/>
    <w:rsid w:val="009B3D68"/>
    <w:rsid w:val="009B483F"/>
    <w:rsid w:val="009B54C6"/>
    <w:rsid w:val="009B59AC"/>
    <w:rsid w:val="009B64BA"/>
    <w:rsid w:val="009B7242"/>
    <w:rsid w:val="009B7E94"/>
    <w:rsid w:val="009C0028"/>
    <w:rsid w:val="009C11BD"/>
    <w:rsid w:val="009C4626"/>
    <w:rsid w:val="009C6DD0"/>
    <w:rsid w:val="009C79CA"/>
    <w:rsid w:val="009D09D4"/>
    <w:rsid w:val="009D0CA9"/>
    <w:rsid w:val="009D1BAE"/>
    <w:rsid w:val="009D1D44"/>
    <w:rsid w:val="009D1EDD"/>
    <w:rsid w:val="009D1FC9"/>
    <w:rsid w:val="009D5E0B"/>
    <w:rsid w:val="009D7988"/>
    <w:rsid w:val="009E03C2"/>
    <w:rsid w:val="009E33DC"/>
    <w:rsid w:val="009E437F"/>
    <w:rsid w:val="009E5883"/>
    <w:rsid w:val="009F0599"/>
    <w:rsid w:val="009F0862"/>
    <w:rsid w:val="009F34F8"/>
    <w:rsid w:val="009F3E88"/>
    <w:rsid w:val="009F44BC"/>
    <w:rsid w:val="009F5F42"/>
    <w:rsid w:val="009F619D"/>
    <w:rsid w:val="009F67CC"/>
    <w:rsid w:val="009F6D1B"/>
    <w:rsid w:val="00A0103B"/>
    <w:rsid w:val="00A028B3"/>
    <w:rsid w:val="00A02EC3"/>
    <w:rsid w:val="00A04692"/>
    <w:rsid w:val="00A05526"/>
    <w:rsid w:val="00A058F9"/>
    <w:rsid w:val="00A0670F"/>
    <w:rsid w:val="00A07439"/>
    <w:rsid w:val="00A1283E"/>
    <w:rsid w:val="00A13402"/>
    <w:rsid w:val="00A13A54"/>
    <w:rsid w:val="00A13CE7"/>
    <w:rsid w:val="00A13FF8"/>
    <w:rsid w:val="00A15C09"/>
    <w:rsid w:val="00A20611"/>
    <w:rsid w:val="00A20667"/>
    <w:rsid w:val="00A2495B"/>
    <w:rsid w:val="00A27459"/>
    <w:rsid w:val="00A278E0"/>
    <w:rsid w:val="00A30BCA"/>
    <w:rsid w:val="00A30E7C"/>
    <w:rsid w:val="00A33F74"/>
    <w:rsid w:val="00A36202"/>
    <w:rsid w:val="00A4033D"/>
    <w:rsid w:val="00A40CB7"/>
    <w:rsid w:val="00A42ABC"/>
    <w:rsid w:val="00A43313"/>
    <w:rsid w:val="00A45AC6"/>
    <w:rsid w:val="00A4700F"/>
    <w:rsid w:val="00A475B9"/>
    <w:rsid w:val="00A51803"/>
    <w:rsid w:val="00A528C3"/>
    <w:rsid w:val="00A55022"/>
    <w:rsid w:val="00A55B99"/>
    <w:rsid w:val="00A61399"/>
    <w:rsid w:val="00A626E6"/>
    <w:rsid w:val="00A63555"/>
    <w:rsid w:val="00A638EC"/>
    <w:rsid w:val="00A63C99"/>
    <w:rsid w:val="00A65C50"/>
    <w:rsid w:val="00A6737F"/>
    <w:rsid w:val="00A67581"/>
    <w:rsid w:val="00A67E1A"/>
    <w:rsid w:val="00A702FB"/>
    <w:rsid w:val="00A72465"/>
    <w:rsid w:val="00A726B7"/>
    <w:rsid w:val="00A72E19"/>
    <w:rsid w:val="00A73838"/>
    <w:rsid w:val="00A7387B"/>
    <w:rsid w:val="00A81F5A"/>
    <w:rsid w:val="00A831BF"/>
    <w:rsid w:val="00A83758"/>
    <w:rsid w:val="00A83D61"/>
    <w:rsid w:val="00A84482"/>
    <w:rsid w:val="00A8700A"/>
    <w:rsid w:val="00A90A03"/>
    <w:rsid w:val="00A9124B"/>
    <w:rsid w:val="00A91721"/>
    <w:rsid w:val="00A92395"/>
    <w:rsid w:val="00A9307D"/>
    <w:rsid w:val="00A93C61"/>
    <w:rsid w:val="00A955F2"/>
    <w:rsid w:val="00A97103"/>
    <w:rsid w:val="00AA1519"/>
    <w:rsid w:val="00AA3F89"/>
    <w:rsid w:val="00AA5D8E"/>
    <w:rsid w:val="00AA602B"/>
    <w:rsid w:val="00AA6DE1"/>
    <w:rsid w:val="00AA7C8D"/>
    <w:rsid w:val="00AB0DCB"/>
    <w:rsid w:val="00AB11E8"/>
    <w:rsid w:val="00AB2913"/>
    <w:rsid w:val="00AB58BA"/>
    <w:rsid w:val="00AB6183"/>
    <w:rsid w:val="00AB62A5"/>
    <w:rsid w:val="00AB68D0"/>
    <w:rsid w:val="00AC0D92"/>
    <w:rsid w:val="00AC0DAA"/>
    <w:rsid w:val="00AC119C"/>
    <w:rsid w:val="00AC1ADD"/>
    <w:rsid w:val="00AC20EC"/>
    <w:rsid w:val="00AC2BCC"/>
    <w:rsid w:val="00AC4DD4"/>
    <w:rsid w:val="00AC51F8"/>
    <w:rsid w:val="00AC56EF"/>
    <w:rsid w:val="00AC7102"/>
    <w:rsid w:val="00AD07D8"/>
    <w:rsid w:val="00AD1161"/>
    <w:rsid w:val="00AD3BA2"/>
    <w:rsid w:val="00AD610F"/>
    <w:rsid w:val="00AD6B09"/>
    <w:rsid w:val="00AE1204"/>
    <w:rsid w:val="00AE1ABE"/>
    <w:rsid w:val="00AE237C"/>
    <w:rsid w:val="00AE5B1E"/>
    <w:rsid w:val="00AE5B5E"/>
    <w:rsid w:val="00AE6C99"/>
    <w:rsid w:val="00AF00AC"/>
    <w:rsid w:val="00AF057C"/>
    <w:rsid w:val="00AF0A20"/>
    <w:rsid w:val="00AF15BE"/>
    <w:rsid w:val="00AF168E"/>
    <w:rsid w:val="00AF22A9"/>
    <w:rsid w:val="00AF2E39"/>
    <w:rsid w:val="00AF534A"/>
    <w:rsid w:val="00AF5F43"/>
    <w:rsid w:val="00AF67C7"/>
    <w:rsid w:val="00AF7B8F"/>
    <w:rsid w:val="00B01DFE"/>
    <w:rsid w:val="00B01EFD"/>
    <w:rsid w:val="00B060FF"/>
    <w:rsid w:val="00B06A0C"/>
    <w:rsid w:val="00B06D6D"/>
    <w:rsid w:val="00B0732F"/>
    <w:rsid w:val="00B10003"/>
    <w:rsid w:val="00B100C2"/>
    <w:rsid w:val="00B10B94"/>
    <w:rsid w:val="00B13B00"/>
    <w:rsid w:val="00B145E2"/>
    <w:rsid w:val="00B14644"/>
    <w:rsid w:val="00B15907"/>
    <w:rsid w:val="00B21A32"/>
    <w:rsid w:val="00B21D34"/>
    <w:rsid w:val="00B22056"/>
    <w:rsid w:val="00B220EA"/>
    <w:rsid w:val="00B222FC"/>
    <w:rsid w:val="00B23A45"/>
    <w:rsid w:val="00B24AC8"/>
    <w:rsid w:val="00B25222"/>
    <w:rsid w:val="00B25572"/>
    <w:rsid w:val="00B26C0A"/>
    <w:rsid w:val="00B26C5F"/>
    <w:rsid w:val="00B27A74"/>
    <w:rsid w:val="00B31C12"/>
    <w:rsid w:val="00B33EF0"/>
    <w:rsid w:val="00B35451"/>
    <w:rsid w:val="00B3655E"/>
    <w:rsid w:val="00B36D47"/>
    <w:rsid w:val="00B37415"/>
    <w:rsid w:val="00B37761"/>
    <w:rsid w:val="00B41BCB"/>
    <w:rsid w:val="00B430A5"/>
    <w:rsid w:val="00B43299"/>
    <w:rsid w:val="00B4654F"/>
    <w:rsid w:val="00B46599"/>
    <w:rsid w:val="00B47D49"/>
    <w:rsid w:val="00B50DE8"/>
    <w:rsid w:val="00B524ED"/>
    <w:rsid w:val="00B52923"/>
    <w:rsid w:val="00B536F4"/>
    <w:rsid w:val="00B547AB"/>
    <w:rsid w:val="00B5583C"/>
    <w:rsid w:val="00B55C64"/>
    <w:rsid w:val="00B57B19"/>
    <w:rsid w:val="00B6132A"/>
    <w:rsid w:val="00B64E95"/>
    <w:rsid w:val="00B659B6"/>
    <w:rsid w:val="00B67CC0"/>
    <w:rsid w:val="00B71A94"/>
    <w:rsid w:val="00B7526F"/>
    <w:rsid w:val="00B75A60"/>
    <w:rsid w:val="00B75E49"/>
    <w:rsid w:val="00B7744F"/>
    <w:rsid w:val="00B774B8"/>
    <w:rsid w:val="00B77790"/>
    <w:rsid w:val="00B80F99"/>
    <w:rsid w:val="00B812E6"/>
    <w:rsid w:val="00B8271B"/>
    <w:rsid w:val="00B841F6"/>
    <w:rsid w:val="00B86B50"/>
    <w:rsid w:val="00B9079B"/>
    <w:rsid w:val="00B91FE0"/>
    <w:rsid w:val="00B9467C"/>
    <w:rsid w:val="00B94BC9"/>
    <w:rsid w:val="00B94EE5"/>
    <w:rsid w:val="00B9552D"/>
    <w:rsid w:val="00B977F9"/>
    <w:rsid w:val="00BA12F8"/>
    <w:rsid w:val="00BA1A33"/>
    <w:rsid w:val="00BA1FC1"/>
    <w:rsid w:val="00BA26C2"/>
    <w:rsid w:val="00BA2CCF"/>
    <w:rsid w:val="00BA44A8"/>
    <w:rsid w:val="00BA5BE3"/>
    <w:rsid w:val="00BA5F45"/>
    <w:rsid w:val="00BA6AF2"/>
    <w:rsid w:val="00BB0550"/>
    <w:rsid w:val="00BB0B43"/>
    <w:rsid w:val="00BB2DA5"/>
    <w:rsid w:val="00BB70F9"/>
    <w:rsid w:val="00BC26AF"/>
    <w:rsid w:val="00BC376F"/>
    <w:rsid w:val="00BC43CD"/>
    <w:rsid w:val="00BC5F77"/>
    <w:rsid w:val="00BC659E"/>
    <w:rsid w:val="00BD0920"/>
    <w:rsid w:val="00BD106B"/>
    <w:rsid w:val="00BD45D3"/>
    <w:rsid w:val="00BD4A0D"/>
    <w:rsid w:val="00BD5155"/>
    <w:rsid w:val="00BD5ED2"/>
    <w:rsid w:val="00BD611D"/>
    <w:rsid w:val="00BE082F"/>
    <w:rsid w:val="00BE09D3"/>
    <w:rsid w:val="00BE0C1C"/>
    <w:rsid w:val="00BE153C"/>
    <w:rsid w:val="00BE52FF"/>
    <w:rsid w:val="00BE58AB"/>
    <w:rsid w:val="00BE6166"/>
    <w:rsid w:val="00BF1A7C"/>
    <w:rsid w:val="00BF2ED7"/>
    <w:rsid w:val="00BF3B5F"/>
    <w:rsid w:val="00BF4D3F"/>
    <w:rsid w:val="00BF53CF"/>
    <w:rsid w:val="00BF6A45"/>
    <w:rsid w:val="00BF6A8C"/>
    <w:rsid w:val="00BF6F3C"/>
    <w:rsid w:val="00BF7E9D"/>
    <w:rsid w:val="00C01096"/>
    <w:rsid w:val="00C0218A"/>
    <w:rsid w:val="00C0437D"/>
    <w:rsid w:val="00C050BF"/>
    <w:rsid w:val="00C052BF"/>
    <w:rsid w:val="00C0571B"/>
    <w:rsid w:val="00C058EB"/>
    <w:rsid w:val="00C0597F"/>
    <w:rsid w:val="00C05BBB"/>
    <w:rsid w:val="00C05E24"/>
    <w:rsid w:val="00C11A6F"/>
    <w:rsid w:val="00C1396A"/>
    <w:rsid w:val="00C1793A"/>
    <w:rsid w:val="00C20BC6"/>
    <w:rsid w:val="00C2160A"/>
    <w:rsid w:val="00C21DE2"/>
    <w:rsid w:val="00C22281"/>
    <w:rsid w:val="00C23237"/>
    <w:rsid w:val="00C24C4F"/>
    <w:rsid w:val="00C269A8"/>
    <w:rsid w:val="00C27047"/>
    <w:rsid w:val="00C271A6"/>
    <w:rsid w:val="00C2723D"/>
    <w:rsid w:val="00C311AD"/>
    <w:rsid w:val="00C313B3"/>
    <w:rsid w:val="00C3227D"/>
    <w:rsid w:val="00C335F3"/>
    <w:rsid w:val="00C34B26"/>
    <w:rsid w:val="00C37E32"/>
    <w:rsid w:val="00C400AA"/>
    <w:rsid w:val="00C40882"/>
    <w:rsid w:val="00C41747"/>
    <w:rsid w:val="00C43031"/>
    <w:rsid w:val="00C4378D"/>
    <w:rsid w:val="00C44033"/>
    <w:rsid w:val="00C44201"/>
    <w:rsid w:val="00C44E71"/>
    <w:rsid w:val="00C471A1"/>
    <w:rsid w:val="00C50C3A"/>
    <w:rsid w:val="00C51287"/>
    <w:rsid w:val="00C52D1D"/>
    <w:rsid w:val="00C539C6"/>
    <w:rsid w:val="00C545C3"/>
    <w:rsid w:val="00C54B20"/>
    <w:rsid w:val="00C5784C"/>
    <w:rsid w:val="00C632CA"/>
    <w:rsid w:val="00C651E9"/>
    <w:rsid w:val="00C653DF"/>
    <w:rsid w:val="00C660BD"/>
    <w:rsid w:val="00C665AE"/>
    <w:rsid w:val="00C67567"/>
    <w:rsid w:val="00C678FC"/>
    <w:rsid w:val="00C704F8"/>
    <w:rsid w:val="00C70B51"/>
    <w:rsid w:val="00C710C5"/>
    <w:rsid w:val="00C7267C"/>
    <w:rsid w:val="00C7449D"/>
    <w:rsid w:val="00C74F33"/>
    <w:rsid w:val="00C76CD9"/>
    <w:rsid w:val="00C774A6"/>
    <w:rsid w:val="00C77C84"/>
    <w:rsid w:val="00C77D55"/>
    <w:rsid w:val="00C803E8"/>
    <w:rsid w:val="00C80F02"/>
    <w:rsid w:val="00C829C5"/>
    <w:rsid w:val="00C82A7A"/>
    <w:rsid w:val="00C83267"/>
    <w:rsid w:val="00C850C1"/>
    <w:rsid w:val="00C855BD"/>
    <w:rsid w:val="00C8646E"/>
    <w:rsid w:val="00C86FC0"/>
    <w:rsid w:val="00C90909"/>
    <w:rsid w:val="00C91038"/>
    <w:rsid w:val="00C91917"/>
    <w:rsid w:val="00C91933"/>
    <w:rsid w:val="00C92F46"/>
    <w:rsid w:val="00C93EE4"/>
    <w:rsid w:val="00C94334"/>
    <w:rsid w:val="00C95B80"/>
    <w:rsid w:val="00C95FC1"/>
    <w:rsid w:val="00C963A8"/>
    <w:rsid w:val="00C97CEB"/>
    <w:rsid w:val="00CA0219"/>
    <w:rsid w:val="00CA0872"/>
    <w:rsid w:val="00CA0BD7"/>
    <w:rsid w:val="00CA3332"/>
    <w:rsid w:val="00CA39C1"/>
    <w:rsid w:val="00CA3AAD"/>
    <w:rsid w:val="00CA438C"/>
    <w:rsid w:val="00CA60F9"/>
    <w:rsid w:val="00CA62F4"/>
    <w:rsid w:val="00CB0EF2"/>
    <w:rsid w:val="00CB1C37"/>
    <w:rsid w:val="00CB42E0"/>
    <w:rsid w:val="00CB4731"/>
    <w:rsid w:val="00CB4AA9"/>
    <w:rsid w:val="00CB57E0"/>
    <w:rsid w:val="00CB5800"/>
    <w:rsid w:val="00CB6DB1"/>
    <w:rsid w:val="00CC1AE7"/>
    <w:rsid w:val="00CC339E"/>
    <w:rsid w:val="00CC3FDB"/>
    <w:rsid w:val="00CC4564"/>
    <w:rsid w:val="00CC5730"/>
    <w:rsid w:val="00CC62C2"/>
    <w:rsid w:val="00CD0001"/>
    <w:rsid w:val="00CD0FE3"/>
    <w:rsid w:val="00CD369C"/>
    <w:rsid w:val="00CD396E"/>
    <w:rsid w:val="00CD647E"/>
    <w:rsid w:val="00CD732F"/>
    <w:rsid w:val="00CE11FD"/>
    <w:rsid w:val="00CE15AD"/>
    <w:rsid w:val="00CE2262"/>
    <w:rsid w:val="00CE3777"/>
    <w:rsid w:val="00CE3878"/>
    <w:rsid w:val="00CE48D7"/>
    <w:rsid w:val="00CE732E"/>
    <w:rsid w:val="00CF3C4E"/>
    <w:rsid w:val="00CF5506"/>
    <w:rsid w:val="00CF5B48"/>
    <w:rsid w:val="00D00B16"/>
    <w:rsid w:val="00D00B45"/>
    <w:rsid w:val="00D00FF7"/>
    <w:rsid w:val="00D01E19"/>
    <w:rsid w:val="00D0311D"/>
    <w:rsid w:val="00D038AA"/>
    <w:rsid w:val="00D04BE5"/>
    <w:rsid w:val="00D0501F"/>
    <w:rsid w:val="00D069A9"/>
    <w:rsid w:val="00D07E17"/>
    <w:rsid w:val="00D10BE7"/>
    <w:rsid w:val="00D11303"/>
    <w:rsid w:val="00D12AED"/>
    <w:rsid w:val="00D151D2"/>
    <w:rsid w:val="00D174EF"/>
    <w:rsid w:val="00D21749"/>
    <w:rsid w:val="00D21F0E"/>
    <w:rsid w:val="00D21FAD"/>
    <w:rsid w:val="00D2458C"/>
    <w:rsid w:val="00D2465C"/>
    <w:rsid w:val="00D32D3D"/>
    <w:rsid w:val="00D34304"/>
    <w:rsid w:val="00D3583E"/>
    <w:rsid w:val="00D358E5"/>
    <w:rsid w:val="00D411FE"/>
    <w:rsid w:val="00D41DEC"/>
    <w:rsid w:val="00D42520"/>
    <w:rsid w:val="00D44D6E"/>
    <w:rsid w:val="00D4513E"/>
    <w:rsid w:val="00D4758E"/>
    <w:rsid w:val="00D477F7"/>
    <w:rsid w:val="00D47B56"/>
    <w:rsid w:val="00D51638"/>
    <w:rsid w:val="00D52068"/>
    <w:rsid w:val="00D52163"/>
    <w:rsid w:val="00D52BF1"/>
    <w:rsid w:val="00D56ADE"/>
    <w:rsid w:val="00D576C0"/>
    <w:rsid w:val="00D57C4D"/>
    <w:rsid w:val="00D60841"/>
    <w:rsid w:val="00D609DB"/>
    <w:rsid w:val="00D6308D"/>
    <w:rsid w:val="00D635E4"/>
    <w:rsid w:val="00D6390A"/>
    <w:rsid w:val="00D6408A"/>
    <w:rsid w:val="00D65050"/>
    <w:rsid w:val="00D654D5"/>
    <w:rsid w:val="00D65D57"/>
    <w:rsid w:val="00D66110"/>
    <w:rsid w:val="00D70B75"/>
    <w:rsid w:val="00D72661"/>
    <w:rsid w:val="00D72EF8"/>
    <w:rsid w:val="00D77AE7"/>
    <w:rsid w:val="00D8108C"/>
    <w:rsid w:val="00D845D0"/>
    <w:rsid w:val="00D84885"/>
    <w:rsid w:val="00D8488F"/>
    <w:rsid w:val="00D8492E"/>
    <w:rsid w:val="00D850D9"/>
    <w:rsid w:val="00D8519B"/>
    <w:rsid w:val="00D90958"/>
    <w:rsid w:val="00D90E8D"/>
    <w:rsid w:val="00D91457"/>
    <w:rsid w:val="00D92B62"/>
    <w:rsid w:val="00D92B90"/>
    <w:rsid w:val="00D939B3"/>
    <w:rsid w:val="00D94195"/>
    <w:rsid w:val="00D96AEB"/>
    <w:rsid w:val="00DA0A43"/>
    <w:rsid w:val="00DA1266"/>
    <w:rsid w:val="00DA55C5"/>
    <w:rsid w:val="00DB1C53"/>
    <w:rsid w:val="00DB255D"/>
    <w:rsid w:val="00DB32B7"/>
    <w:rsid w:val="00DB3BFA"/>
    <w:rsid w:val="00DB3C1E"/>
    <w:rsid w:val="00DB5235"/>
    <w:rsid w:val="00DB56BD"/>
    <w:rsid w:val="00DB5836"/>
    <w:rsid w:val="00DB5984"/>
    <w:rsid w:val="00DB5CD6"/>
    <w:rsid w:val="00DB5CE4"/>
    <w:rsid w:val="00DC0037"/>
    <w:rsid w:val="00DC0A6B"/>
    <w:rsid w:val="00DC131A"/>
    <w:rsid w:val="00DC3121"/>
    <w:rsid w:val="00DC39CB"/>
    <w:rsid w:val="00DC426A"/>
    <w:rsid w:val="00DC467B"/>
    <w:rsid w:val="00DC57CA"/>
    <w:rsid w:val="00DC628E"/>
    <w:rsid w:val="00DC6726"/>
    <w:rsid w:val="00DD1796"/>
    <w:rsid w:val="00DD2B8E"/>
    <w:rsid w:val="00DD3958"/>
    <w:rsid w:val="00DD396B"/>
    <w:rsid w:val="00DD3E17"/>
    <w:rsid w:val="00DD3F22"/>
    <w:rsid w:val="00DD410C"/>
    <w:rsid w:val="00DD46A7"/>
    <w:rsid w:val="00DD46F4"/>
    <w:rsid w:val="00DD6DDB"/>
    <w:rsid w:val="00DE17D3"/>
    <w:rsid w:val="00DE28FE"/>
    <w:rsid w:val="00DE2B85"/>
    <w:rsid w:val="00DE2D5D"/>
    <w:rsid w:val="00DE3103"/>
    <w:rsid w:val="00DE64C5"/>
    <w:rsid w:val="00DE6A0B"/>
    <w:rsid w:val="00DE7099"/>
    <w:rsid w:val="00DE7740"/>
    <w:rsid w:val="00DF2D56"/>
    <w:rsid w:val="00DF43A0"/>
    <w:rsid w:val="00DF5030"/>
    <w:rsid w:val="00DF60F7"/>
    <w:rsid w:val="00DF65CF"/>
    <w:rsid w:val="00E00546"/>
    <w:rsid w:val="00E01645"/>
    <w:rsid w:val="00E01AA8"/>
    <w:rsid w:val="00E02222"/>
    <w:rsid w:val="00E02EC8"/>
    <w:rsid w:val="00E03072"/>
    <w:rsid w:val="00E04255"/>
    <w:rsid w:val="00E05F7A"/>
    <w:rsid w:val="00E06171"/>
    <w:rsid w:val="00E07350"/>
    <w:rsid w:val="00E10006"/>
    <w:rsid w:val="00E10704"/>
    <w:rsid w:val="00E10DEB"/>
    <w:rsid w:val="00E11B42"/>
    <w:rsid w:val="00E20D8E"/>
    <w:rsid w:val="00E21587"/>
    <w:rsid w:val="00E215A2"/>
    <w:rsid w:val="00E218EA"/>
    <w:rsid w:val="00E24365"/>
    <w:rsid w:val="00E255E1"/>
    <w:rsid w:val="00E272D1"/>
    <w:rsid w:val="00E277C2"/>
    <w:rsid w:val="00E305F3"/>
    <w:rsid w:val="00E31E4E"/>
    <w:rsid w:val="00E331B6"/>
    <w:rsid w:val="00E342BB"/>
    <w:rsid w:val="00E348CE"/>
    <w:rsid w:val="00E35B35"/>
    <w:rsid w:val="00E35EB3"/>
    <w:rsid w:val="00E36788"/>
    <w:rsid w:val="00E36C79"/>
    <w:rsid w:val="00E4039F"/>
    <w:rsid w:val="00E41F2E"/>
    <w:rsid w:val="00E42B6B"/>
    <w:rsid w:val="00E42F41"/>
    <w:rsid w:val="00E45B6A"/>
    <w:rsid w:val="00E4742B"/>
    <w:rsid w:val="00E52EF1"/>
    <w:rsid w:val="00E53AD8"/>
    <w:rsid w:val="00E53F4A"/>
    <w:rsid w:val="00E5589C"/>
    <w:rsid w:val="00E55CF3"/>
    <w:rsid w:val="00E568D7"/>
    <w:rsid w:val="00E571AA"/>
    <w:rsid w:val="00E57A77"/>
    <w:rsid w:val="00E60142"/>
    <w:rsid w:val="00E61C5B"/>
    <w:rsid w:val="00E64C89"/>
    <w:rsid w:val="00E654D2"/>
    <w:rsid w:val="00E67D02"/>
    <w:rsid w:val="00E67DEF"/>
    <w:rsid w:val="00E715E2"/>
    <w:rsid w:val="00E71C6B"/>
    <w:rsid w:val="00E72765"/>
    <w:rsid w:val="00E77207"/>
    <w:rsid w:val="00E800D3"/>
    <w:rsid w:val="00E80BEF"/>
    <w:rsid w:val="00E8130C"/>
    <w:rsid w:val="00E82E1A"/>
    <w:rsid w:val="00E84C21"/>
    <w:rsid w:val="00E85FCA"/>
    <w:rsid w:val="00E870EE"/>
    <w:rsid w:val="00E90964"/>
    <w:rsid w:val="00E95A4B"/>
    <w:rsid w:val="00E95ACE"/>
    <w:rsid w:val="00E9677B"/>
    <w:rsid w:val="00E977AC"/>
    <w:rsid w:val="00EA0EAC"/>
    <w:rsid w:val="00EA0FD1"/>
    <w:rsid w:val="00EA11A5"/>
    <w:rsid w:val="00EA249F"/>
    <w:rsid w:val="00EA26AC"/>
    <w:rsid w:val="00EA3BE1"/>
    <w:rsid w:val="00EA62D0"/>
    <w:rsid w:val="00EA7968"/>
    <w:rsid w:val="00EB22F1"/>
    <w:rsid w:val="00EB3631"/>
    <w:rsid w:val="00EB467A"/>
    <w:rsid w:val="00EB5746"/>
    <w:rsid w:val="00EB7BD0"/>
    <w:rsid w:val="00EC5CB0"/>
    <w:rsid w:val="00EC5EA1"/>
    <w:rsid w:val="00EC73B1"/>
    <w:rsid w:val="00ED351A"/>
    <w:rsid w:val="00ED50E9"/>
    <w:rsid w:val="00ED681E"/>
    <w:rsid w:val="00ED6BF7"/>
    <w:rsid w:val="00ED71D6"/>
    <w:rsid w:val="00ED7524"/>
    <w:rsid w:val="00ED7706"/>
    <w:rsid w:val="00EE2FC9"/>
    <w:rsid w:val="00EE5880"/>
    <w:rsid w:val="00EE5D0E"/>
    <w:rsid w:val="00EF02D3"/>
    <w:rsid w:val="00EF0541"/>
    <w:rsid w:val="00EF26E7"/>
    <w:rsid w:val="00EF362C"/>
    <w:rsid w:val="00EF4582"/>
    <w:rsid w:val="00EF659B"/>
    <w:rsid w:val="00F01CEF"/>
    <w:rsid w:val="00F03030"/>
    <w:rsid w:val="00F061B8"/>
    <w:rsid w:val="00F063B5"/>
    <w:rsid w:val="00F069E0"/>
    <w:rsid w:val="00F10FBC"/>
    <w:rsid w:val="00F11B7B"/>
    <w:rsid w:val="00F12355"/>
    <w:rsid w:val="00F125FF"/>
    <w:rsid w:val="00F12A1E"/>
    <w:rsid w:val="00F14E55"/>
    <w:rsid w:val="00F15885"/>
    <w:rsid w:val="00F17A83"/>
    <w:rsid w:val="00F20A5E"/>
    <w:rsid w:val="00F20F15"/>
    <w:rsid w:val="00F21947"/>
    <w:rsid w:val="00F2274B"/>
    <w:rsid w:val="00F22941"/>
    <w:rsid w:val="00F249C6"/>
    <w:rsid w:val="00F24F07"/>
    <w:rsid w:val="00F252BE"/>
    <w:rsid w:val="00F2725E"/>
    <w:rsid w:val="00F27676"/>
    <w:rsid w:val="00F319BC"/>
    <w:rsid w:val="00F37C67"/>
    <w:rsid w:val="00F37C68"/>
    <w:rsid w:val="00F40ECB"/>
    <w:rsid w:val="00F418BE"/>
    <w:rsid w:val="00F53C71"/>
    <w:rsid w:val="00F53D8C"/>
    <w:rsid w:val="00F5744A"/>
    <w:rsid w:val="00F57B74"/>
    <w:rsid w:val="00F62680"/>
    <w:rsid w:val="00F63C69"/>
    <w:rsid w:val="00F655A6"/>
    <w:rsid w:val="00F672B3"/>
    <w:rsid w:val="00F71734"/>
    <w:rsid w:val="00F72592"/>
    <w:rsid w:val="00F72EDA"/>
    <w:rsid w:val="00F7384A"/>
    <w:rsid w:val="00F742ED"/>
    <w:rsid w:val="00F75512"/>
    <w:rsid w:val="00F802FA"/>
    <w:rsid w:val="00F816BD"/>
    <w:rsid w:val="00F81A69"/>
    <w:rsid w:val="00F81B48"/>
    <w:rsid w:val="00F83AC1"/>
    <w:rsid w:val="00F84CB6"/>
    <w:rsid w:val="00F85053"/>
    <w:rsid w:val="00F85614"/>
    <w:rsid w:val="00F86653"/>
    <w:rsid w:val="00F905E0"/>
    <w:rsid w:val="00F90F5D"/>
    <w:rsid w:val="00F92527"/>
    <w:rsid w:val="00FA11CA"/>
    <w:rsid w:val="00FA3233"/>
    <w:rsid w:val="00FA4231"/>
    <w:rsid w:val="00FA4DBE"/>
    <w:rsid w:val="00FA74B5"/>
    <w:rsid w:val="00FB19B7"/>
    <w:rsid w:val="00FB3BA5"/>
    <w:rsid w:val="00FB4E8D"/>
    <w:rsid w:val="00FB52AB"/>
    <w:rsid w:val="00FB5463"/>
    <w:rsid w:val="00FB5BB5"/>
    <w:rsid w:val="00FB721C"/>
    <w:rsid w:val="00FC0211"/>
    <w:rsid w:val="00FC126B"/>
    <w:rsid w:val="00FC264B"/>
    <w:rsid w:val="00FC42E1"/>
    <w:rsid w:val="00FC4812"/>
    <w:rsid w:val="00FC57CB"/>
    <w:rsid w:val="00FC5EED"/>
    <w:rsid w:val="00FC74A7"/>
    <w:rsid w:val="00FC7B42"/>
    <w:rsid w:val="00FD1359"/>
    <w:rsid w:val="00FD2AD5"/>
    <w:rsid w:val="00FD357D"/>
    <w:rsid w:val="00FD5F8B"/>
    <w:rsid w:val="00FE17AA"/>
    <w:rsid w:val="00FE4D23"/>
    <w:rsid w:val="00FE5387"/>
    <w:rsid w:val="00FE5A5D"/>
    <w:rsid w:val="00FE6F84"/>
    <w:rsid w:val="00FE7F33"/>
    <w:rsid w:val="00FF1E4A"/>
    <w:rsid w:val="00FF2C1D"/>
    <w:rsid w:val="00FF3994"/>
    <w:rsid w:val="00FF3C2A"/>
    <w:rsid w:val="00FF57D1"/>
    <w:rsid w:val="00FF7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qFormat/>
    <w:rsid w:val="00514FBE"/>
    <w:pPr>
      <w:keepNext/>
      <w:overflowPunct w:val="0"/>
      <w:adjustRightInd w:val="0"/>
      <w:jc w:val="center"/>
      <w:textAlignment w:val="baseline"/>
      <w:outlineLvl w:val="0"/>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TxBrp3">
    <w:name w:val="TxBr_p3"/>
    <w:basedOn w:val="Normal"/>
    <w:rsid w:val="007C50AF"/>
    <w:pPr>
      <w:widowControl w:val="0"/>
      <w:tabs>
        <w:tab w:val="left" w:pos="1474"/>
      </w:tabs>
      <w:adjustRightInd w:val="0"/>
      <w:spacing w:line="425" w:lineRule="atLeast"/>
      <w:ind w:firstLine="1474"/>
    </w:pPr>
    <w:rPr>
      <w:rFonts w:ascii="Times New Roman" w:hAnsi="Times New Roman" w:cs="Times New Roman"/>
    </w:rPr>
  </w:style>
  <w:style w:type="paragraph" w:styleId="BodyText2">
    <w:name w:val="Body Text 2"/>
    <w:basedOn w:val="Normal"/>
    <w:rsid w:val="00514FBE"/>
    <w:pPr>
      <w:tabs>
        <w:tab w:val="left" w:pos="-720"/>
      </w:tabs>
      <w:suppressAutoHyphens/>
      <w:overflowPunct w:val="0"/>
      <w:adjustRightInd w:val="0"/>
      <w:spacing w:line="480" w:lineRule="auto"/>
      <w:ind w:left="720"/>
      <w:textAlignment w:val="baseline"/>
    </w:pPr>
    <w:rPr>
      <w:rFonts w:ascii="Times New Roman" w:hAnsi="Times New Roman" w:cs="Times New Roman"/>
    </w:rPr>
  </w:style>
  <w:style w:type="paragraph" w:styleId="BodyText">
    <w:name w:val="Body Text"/>
    <w:basedOn w:val="Normal"/>
    <w:rsid w:val="00514FBE"/>
    <w:pPr>
      <w:overflowPunct w:val="0"/>
      <w:adjustRightInd w:val="0"/>
      <w:spacing w:after="120"/>
      <w:textAlignment w:val="baseline"/>
    </w:pPr>
    <w:rPr>
      <w:rFonts w:ascii="Times New Roman" w:hAnsi="Times New Roman" w:cs="Times New Roman"/>
    </w:rPr>
  </w:style>
  <w:style w:type="paragraph" w:customStyle="1" w:styleId="PersonalInfo">
    <w:name w:val="PersonalInfo"/>
    <w:basedOn w:val="Normal"/>
    <w:next w:val="Normal"/>
    <w:rsid w:val="00514FBE"/>
    <w:pPr>
      <w:autoSpaceDE/>
      <w:autoSpaceDN/>
      <w:ind w:left="6500"/>
    </w:pPr>
    <w:rPr>
      <w:rFonts w:ascii="Arial" w:hAnsi="Arial" w:cs="Arial"/>
      <w:smallCaps/>
      <w:sz w:val="16"/>
      <w:szCs w:val="16"/>
    </w:rPr>
  </w:style>
  <w:style w:type="paragraph" w:customStyle="1" w:styleId="LetterDate">
    <w:name w:val="LetterDate"/>
    <w:basedOn w:val="Normal"/>
    <w:next w:val="Normal"/>
    <w:rsid w:val="00514FBE"/>
    <w:pPr>
      <w:autoSpaceDE/>
      <w:autoSpaceDN/>
      <w:jc w:val="center"/>
    </w:pPr>
    <w:rPr>
      <w:rFonts w:ascii="Arial" w:hAnsi="Arial" w:cs="Arial"/>
      <w:sz w:val="23"/>
      <w:szCs w:val="23"/>
    </w:rPr>
  </w:style>
  <w:style w:type="paragraph" w:customStyle="1" w:styleId="DeliveryMethod">
    <w:name w:val="DeliveryMethod"/>
    <w:basedOn w:val="Normal"/>
    <w:next w:val="Normal"/>
    <w:rsid w:val="00514FBE"/>
    <w:pPr>
      <w:autoSpaceDE/>
      <w:autoSpaceDN/>
      <w:spacing w:after="240"/>
    </w:pPr>
    <w:rPr>
      <w:rFonts w:ascii="Arial" w:hAnsi="Arial" w:cs="Arial"/>
      <w:b/>
      <w:bCs/>
      <w:caps/>
      <w:sz w:val="23"/>
      <w:szCs w:val="23"/>
      <w:u w:val="single"/>
    </w:rPr>
  </w:style>
  <w:style w:type="paragraph" w:customStyle="1" w:styleId="RecipientName">
    <w:name w:val="RecipientName"/>
    <w:basedOn w:val="Normal"/>
    <w:next w:val="Normal"/>
    <w:rsid w:val="00514FBE"/>
    <w:pPr>
      <w:autoSpaceDE/>
      <w:autoSpaceDN/>
    </w:pPr>
    <w:rPr>
      <w:rFonts w:ascii="Arial" w:hAnsi="Arial" w:cs="Arial"/>
      <w:sz w:val="23"/>
      <w:szCs w:val="23"/>
    </w:rPr>
  </w:style>
  <w:style w:type="paragraph" w:customStyle="1" w:styleId="RecipientAddress">
    <w:name w:val="RecipientAddress"/>
    <w:basedOn w:val="Normal"/>
    <w:next w:val="Normal"/>
    <w:rsid w:val="00514FBE"/>
    <w:pPr>
      <w:autoSpaceDE/>
      <w:autoSpaceDN/>
    </w:pPr>
    <w:rPr>
      <w:rFonts w:ascii="Arial" w:hAnsi="Arial" w:cs="Arial"/>
      <w:sz w:val="23"/>
      <w:szCs w:val="23"/>
    </w:rPr>
  </w:style>
  <w:style w:type="paragraph" w:customStyle="1" w:styleId="ReLine">
    <w:name w:val="ReLine"/>
    <w:basedOn w:val="Normal"/>
    <w:next w:val="Normal"/>
    <w:rsid w:val="00514FBE"/>
    <w:pPr>
      <w:autoSpaceDE/>
      <w:autoSpaceDN/>
      <w:ind w:left="1440" w:hanging="720"/>
    </w:pPr>
    <w:rPr>
      <w:rFonts w:ascii="Arial" w:hAnsi="Arial" w:cs="Arial"/>
      <w:sz w:val="23"/>
      <w:szCs w:val="23"/>
    </w:rPr>
  </w:style>
  <w:style w:type="paragraph" w:styleId="Salutation">
    <w:name w:val="Salutation"/>
    <w:basedOn w:val="Normal"/>
    <w:next w:val="Normal"/>
    <w:rsid w:val="00514FBE"/>
    <w:pPr>
      <w:autoSpaceDE/>
      <w:autoSpaceDN/>
      <w:spacing w:after="240"/>
    </w:pPr>
    <w:rPr>
      <w:rFonts w:ascii="Arial" w:hAnsi="Arial" w:cs="Arial"/>
      <w:sz w:val="23"/>
      <w:szCs w:val="23"/>
    </w:rPr>
  </w:style>
  <w:style w:type="paragraph" w:styleId="Closing">
    <w:name w:val="Closing"/>
    <w:basedOn w:val="Normal"/>
    <w:rsid w:val="00514FBE"/>
    <w:pPr>
      <w:autoSpaceDE/>
      <w:autoSpaceDN/>
      <w:ind w:left="5040"/>
    </w:pPr>
    <w:rPr>
      <w:rFonts w:ascii="Arial" w:hAnsi="Arial" w:cs="Arial"/>
      <w:sz w:val="23"/>
      <w:szCs w:val="23"/>
    </w:rPr>
  </w:style>
  <w:style w:type="paragraph" w:customStyle="1" w:styleId="Initials">
    <w:name w:val="Initials"/>
    <w:basedOn w:val="Normal"/>
    <w:next w:val="Normal"/>
    <w:rsid w:val="00514FBE"/>
    <w:pPr>
      <w:autoSpaceDE/>
      <w:autoSpaceDN/>
    </w:pPr>
    <w:rPr>
      <w:rFonts w:ascii="Arial" w:hAnsi="Arial" w:cs="Arial"/>
      <w:sz w:val="23"/>
      <w:szCs w:val="23"/>
    </w:rPr>
  </w:style>
  <w:style w:type="paragraph" w:styleId="BalloonText">
    <w:name w:val="Balloon Text"/>
    <w:basedOn w:val="Normal"/>
    <w:link w:val="BalloonTextChar"/>
    <w:rsid w:val="00E21587"/>
    <w:rPr>
      <w:rFonts w:ascii="Tahoma" w:hAnsi="Tahoma" w:cs="Tahoma"/>
      <w:sz w:val="16"/>
      <w:szCs w:val="16"/>
    </w:rPr>
  </w:style>
  <w:style w:type="character" w:customStyle="1" w:styleId="BalloonTextChar">
    <w:name w:val="Balloon Text Char"/>
    <w:link w:val="BalloonText"/>
    <w:rsid w:val="00E21587"/>
    <w:rPr>
      <w:rFonts w:ascii="Tahoma" w:hAnsi="Tahoma" w:cs="Tahoma"/>
      <w:sz w:val="16"/>
      <w:szCs w:val="16"/>
    </w:rPr>
  </w:style>
  <w:style w:type="paragraph" w:customStyle="1" w:styleId="Style">
    <w:name w:val="Style"/>
    <w:rsid w:val="00106029"/>
    <w:pPr>
      <w:widowControl w:val="0"/>
      <w:autoSpaceDE w:val="0"/>
      <w:autoSpaceDN w:val="0"/>
      <w:adjustRightInd w:val="0"/>
    </w:pPr>
    <w:rPr>
      <w:sz w:val="24"/>
      <w:szCs w:val="24"/>
    </w:rPr>
  </w:style>
  <w:style w:type="character" w:customStyle="1" w:styleId="FootnoteTextChar">
    <w:name w:val="Footnote Text Char"/>
    <w:link w:val="FootnoteText"/>
    <w:semiHidden/>
    <w:rsid w:val="00736397"/>
    <w:rPr>
      <w:rFonts w:ascii="CG Times" w:hAnsi="CG Times" w:cs="CG Times"/>
      <w:sz w:val="24"/>
      <w:szCs w:val="24"/>
    </w:rPr>
  </w:style>
  <w:style w:type="character" w:customStyle="1" w:styleId="FooterChar">
    <w:name w:val="Footer Char"/>
    <w:link w:val="Footer"/>
    <w:uiPriority w:val="99"/>
    <w:rsid w:val="0053447F"/>
    <w:rPr>
      <w:rFonts w:ascii="CG Times" w:hAnsi="CG Times" w:cs="CG Times"/>
      <w:sz w:val="24"/>
      <w:szCs w:val="24"/>
    </w:rPr>
  </w:style>
  <w:style w:type="paragraph" w:styleId="DocumentMap">
    <w:name w:val="Document Map"/>
    <w:basedOn w:val="Normal"/>
    <w:link w:val="DocumentMapChar"/>
    <w:rsid w:val="009564BA"/>
    <w:rPr>
      <w:rFonts w:ascii="Tahoma" w:hAnsi="Tahoma" w:cs="Tahoma"/>
      <w:sz w:val="16"/>
      <w:szCs w:val="16"/>
    </w:rPr>
  </w:style>
  <w:style w:type="character" w:customStyle="1" w:styleId="DocumentMapChar">
    <w:name w:val="Document Map Char"/>
    <w:link w:val="DocumentMap"/>
    <w:rsid w:val="009564BA"/>
    <w:rPr>
      <w:rFonts w:ascii="Tahoma" w:hAnsi="Tahoma" w:cs="Tahoma"/>
      <w:sz w:val="16"/>
      <w:szCs w:val="16"/>
    </w:rPr>
  </w:style>
  <w:style w:type="paragraph" w:styleId="ListNumber">
    <w:name w:val="List Number"/>
    <w:basedOn w:val="Normal"/>
    <w:rsid w:val="00724BE1"/>
    <w:pPr>
      <w:numPr>
        <w:numId w:val="19"/>
      </w:numPr>
      <w:tabs>
        <w:tab w:val="clear" w:pos="720"/>
        <w:tab w:val="left" w:pos="1440"/>
      </w:tabs>
      <w:autoSpaceDE/>
      <w:autoSpaceDN/>
      <w:spacing w:line="480" w:lineRule="auto"/>
      <w:ind w:left="1440" w:hanging="720"/>
    </w:pPr>
    <w:rPr>
      <w:rFonts w:ascii="Times New Roman" w:hAnsi="Times New Roman" w:cs="Times New Roman"/>
    </w:rPr>
  </w:style>
  <w:style w:type="paragraph" w:styleId="ListParagraph">
    <w:name w:val="List Paragraph"/>
    <w:basedOn w:val="Normal"/>
    <w:uiPriority w:val="34"/>
    <w:qFormat/>
    <w:rsid w:val="002C31B0"/>
    <w:pPr>
      <w:ind w:left="720"/>
      <w:contextualSpacing/>
    </w:pPr>
  </w:style>
  <w:style w:type="character" w:styleId="CommentReference">
    <w:name w:val="annotation reference"/>
    <w:basedOn w:val="DefaultParagraphFont"/>
    <w:rsid w:val="00AC20EC"/>
    <w:rPr>
      <w:sz w:val="16"/>
      <w:szCs w:val="16"/>
    </w:rPr>
  </w:style>
  <w:style w:type="paragraph" w:styleId="CommentText">
    <w:name w:val="annotation text"/>
    <w:basedOn w:val="Normal"/>
    <w:link w:val="CommentTextChar"/>
    <w:rsid w:val="00AC20EC"/>
    <w:rPr>
      <w:sz w:val="20"/>
      <w:szCs w:val="20"/>
    </w:rPr>
  </w:style>
  <w:style w:type="character" w:customStyle="1" w:styleId="CommentTextChar">
    <w:name w:val="Comment Text Char"/>
    <w:basedOn w:val="DefaultParagraphFont"/>
    <w:link w:val="CommentText"/>
    <w:rsid w:val="00AC20EC"/>
    <w:rPr>
      <w:rFonts w:ascii="CG Times" w:hAnsi="CG Times" w:cs="CG Times"/>
    </w:rPr>
  </w:style>
  <w:style w:type="paragraph" w:styleId="CommentSubject">
    <w:name w:val="annotation subject"/>
    <w:basedOn w:val="CommentText"/>
    <w:next w:val="CommentText"/>
    <w:link w:val="CommentSubjectChar"/>
    <w:rsid w:val="00AC20EC"/>
    <w:rPr>
      <w:b/>
      <w:bCs/>
    </w:rPr>
  </w:style>
  <w:style w:type="character" w:customStyle="1" w:styleId="CommentSubjectChar">
    <w:name w:val="Comment Subject Char"/>
    <w:basedOn w:val="CommentTextChar"/>
    <w:link w:val="CommentSubject"/>
    <w:rsid w:val="00AC20EC"/>
    <w:rPr>
      <w:rFonts w:ascii="CG Times" w:hAnsi="CG Times" w:cs="CG Times"/>
      <w:b/>
      <w:bCs/>
    </w:rPr>
  </w:style>
  <w:style w:type="paragraph" w:styleId="Revision">
    <w:name w:val="Revision"/>
    <w:hidden/>
    <w:uiPriority w:val="99"/>
    <w:semiHidden/>
    <w:rsid w:val="00875C3B"/>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qFormat/>
    <w:rsid w:val="00514FBE"/>
    <w:pPr>
      <w:keepNext/>
      <w:overflowPunct w:val="0"/>
      <w:adjustRightInd w:val="0"/>
      <w:jc w:val="center"/>
      <w:textAlignment w:val="baseline"/>
      <w:outlineLvl w:val="0"/>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TxBrp3">
    <w:name w:val="TxBr_p3"/>
    <w:basedOn w:val="Normal"/>
    <w:rsid w:val="007C50AF"/>
    <w:pPr>
      <w:widowControl w:val="0"/>
      <w:tabs>
        <w:tab w:val="left" w:pos="1474"/>
      </w:tabs>
      <w:adjustRightInd w:val="0"/>
      <w:spacing w:line="425" w:lineRule="atLeast"/>
      <w:ind w:firstLine="1474"/>
    </w:pPr>
    <w:rPr>
      <w:rFonts w:ascii="Times New Roman" w:hAnsi="Times New Roman" w:cs="Times New Roman"/>
    </w:rPr>
  </w:style>
  <w:style w:type="paragraph" w:styleId="BodyText2">
    <w:name w:val="Body Text 2"/>
    <w:basedOn w:val="Normal"/>
    <w:rsid w:val="00514FBE"/>
    <w:pPr>
      <w:tabs>
        <w:tab w:val="left" w:pos="-720"/>
      </w:tabs>
      <w:suppressAutoHyphens/>
      <w:overflowPunct w:val="0"/>
      <w:adjustRightInd w:val="0"/>
      <w:spacing w:line="480" w:lineRule="auto"/>
      <w:ind w:left="720"/>
      <w:textAlignment w:val="baseline"/>
    </w:pPr>
    <w:rPr>
      <w:rFonts w:ascii="Times New Roman" w:hAnsi="Times New Roman" w:cs="Times New Roman"/>
    </w:rPr>
  </w:style>
  <w:style w:type="paragraph" w:styleId="BodyText">
    <w:name w:val="Body Text"/>
    <w:basedOn w:val="Normal"/>
    <w:rsid w:val="00514FBE"/>
    <w:pPr>
      <w:overflowPunct w:val="0"/>
      <w:adjustRightInd w:val="0"/>
      <w:spacing w:after="120"/>
      <w:textAlignment w:val="baseline"/>
    </w:pPr>
    <w:rPr>
      <w:rFonts w:ascii="Times New Roman" w:hAnsi="Times New Roman" w:cs="Times New Roman"/>
    </w:rPr>
  </w:style>
  <w:style w:type="paragraph" w:customStyle="1" w:styleId="PersonalInfo">
    <w:name w:val="PersonalInfo"/>
    <w:basedOn w:val="Normal"/>
    <w:next w:val="Normal"/>
    <w:rsid w:val="00514FBE"/>
    <w:pPr>
      <w:autoSpaceDE/>
      <w:autoSpaceDN/>
      <w:ind w:left="6500"/>
    </w:pPr>
    <w:rPr>
      <w:rFonts w:ascii="Arial" w:hAnsi="Arial" w:cs="Arial"/>
      <w:smallCaps/>
      <w:sz w:val="16"/>
      <w:szCs w:val="16"/>
    </w:rPr>
  </w:style>
  <w:style w:type="paragraph" w:customStyle="1" w:styleId="LetterDate">
    <w:name w:val="LetterDate"/>
    <w:basedOn w:val="Normal"/>
    <w:next w:val="Normal"/>
    <w:rsid w:val="00514FBE"/>
    <w:pPr>
      <w:autoSpaceDE/>
      <w:autoSpaceDN/>
      <w:jc w:val="center"/>
    </w:pPr>
    <w:rPr>
      <w:rFonts w:ascii="Arial" w:hAnsi="Arial" w:cs="Arial"/>
      <w:sz w:val="23"/>
      <w:szCs w:val="23"/>
    </w:rPr>
  </w:style>
  <w:style w:type="paragraph" w:customStyle="1" w:styleId="DeliveryMethod">
    <w:name w:val="DeliveryMethod"/>
    <w:basedOn w:val="Normal"/>
    <w:next w:val="Normal"/>
    <w:rsid w:val="00514FBE"/>
    <w:pPr>
      <w:autoSpaceDE/>
      <w:autoSpaceDN/>
      <w:spacing w:after="240"/>
    </w:pPr>
    <w:rPr>
      <w:rFonts w:ascii="Arial" w:hAnsi="Arial" w:cs="Arial"/>
      <w:b/>
      <w:bCs/>
      <w:caps/>
      <w:sz w:val="23"/>
      <w:szCs w:val="23"/>
      <w:u w:val="single"/>
    </w:rPr>
  </w:style>
  <w:style w:type="paragraph" w:customStyle="1" w:styleId="RecipientName">
    <w:name w:val="RecipientName"/>
    <w:basedOn w:val="Normal"/>
    <w:next w:val="Normal"/>
    <w:rsid w:val="00514FBE"/>
    <w:pPr>
      <w:autoSpaceDE/>
      <w:autoSpaceDN/>
    </w:pPr>
    <w:rPr>
      <w:rFonts w:ascii="Arial" w:hAnsi="Arial" w:cs="Arial"/>
      <w:sz w:val="23"/>
      <w:szCs w:val="23"/>
    </w:rPr>
  </w:style>
  <w:style w:type="paragraph" w:customStyle="1" w:styleId="RecipientAddress">
    <w:name w:val="RecipientAddress"/>
    <w:basedOn w:val="Normal"/>
    <w:next w:val="Normal"/>
    <w:rsid w:val="00514FBE"/>
    <w:pPr>
      <w:autoSpaceDE/>
      <w:autoSpaceDN/>
    </w:pPr>
    <w:rPr>
      <w:rFonts w:ascii="Arial" w:hAnsi="Arial" w:cs="Arial"/>
      <w:sz w:val="23"/>
      <w:szCs w:val="23"/>
    </w:rPr>
  </w:style>
  <w:style w:type="paragraph" w:customStyle="1" w:styleId="ReLine">
    <w:name w:val="ReLine"/>
    <w:basedOn w:val="Normal"/>
    <w:next w:val="Normal"/>
    <w:rsid w:val="00514FBE"/>
    <w:pPr>
      <w:autoSpaceDE/>
      <w:autoSpaceDN/>
      <w:ind w:left="1440" w:hanging="720"/>
    </w:pPr>
    <w:rPr>
      <w:rFonts w:ascii="Arial" w:hAnsi="Arial" w:cs="Arial"/>
      <w:sz w:val="23"/>
      <w:szCs w:val="23"/>
    </w:rPr>
  </w:style>
  <w:style w:type="paragraph" w:styleId="Salutation">
    <w:name w:val="Salutation"/>
    <w:basedOn w:val="Normal"/>
    <w:next w:val="Normal"/>
    <w:rsid w:val="00514FBE"/>
    <w:pPr>
      <w:autoSpaceDE/>
      <w:autoSpaceDN/>
      <w:spacing w:after="240"/>
    </w:pPr>
    <w:rPr>
      <w:rFonts w:ascii="Arial" w:hAnsi="Arial" w:cs="Arial"/>
      <w:sz w:val="23"/>
      <w:szCs w:val="23"/>
    </w:rPr>
  </w:style>
  <w:style w:type="paragraph" w:styleId="Closing">
    <w:name w:val="Closing"/>
    <w:basedOn w:val="Normal"/>
    <w:rsid w:val="00514FBE"/>
    <w:pPr>
      <w:autoSpaceDE/>
      <w:autoSpaceDN/>
      <w:ind w:left="5040"/>
    </w:pPr>
    <w:rPr>
      <w:rFonts w:ascii="Arial" w:hAnsi="Arial" w:cs="Arial"/>
      <w:sz w:val="23"/>
      <w:szCs w:val="23"/>
    </w:rPr>
  </w:style>
  <w:style w:type="paragraph" w:customStyle="1" w:styleId="Initials">
    <w:name w:val="Initials"/>
    <w:basedOn w:val="Normal"/>
    <w:next w:val="Normal"/>
    <w:rsid w:val="00514FBE"/>
    <w:pPr>
      <w:autoSpaceDE/>
      <w:autoSpaceDN/>
    </w:pPr>
    <w:rPr>
      <w:rFonts w:ascii="Arial" w:hAnsi="Arial" w:cs="Arial"/>
      <w:sz w:val="23"/>
      <w:szCs w:val="23"/>
    </w:rPr>
  </w:style>
  <w:style w:type="paragraph" w:styleId="BalloonText">
    <w:name w:val="Balloon Text"/>
    <w:basedOn w:val="Normal"/>
    <w:link w:val="BalloonTextChar"/>
    <w:rsid w:val="00E21587"/>
    <w:rPr>
      <w:rFonts w:ascii="Tahoma" w:hAnsi="Tahoma" w:cs="Tahoma"/>
      <w:sz w:val="16"/>
      <w:szCs w:val="16"/>
    </w:rPr>
  </w:style>
  <w:style w:type="character" w:customStyle="1" w:styleId="BalloonTextChar">
    <w:name w:val="Balloon Text Char"/>
    <w:link w:val="BalloonText"/>
    <w:rsid w:val="00E21587"/>
    <w:rPr>
      <w:rFonts w:ascii="Tahoma" w:hAnsi="Tahoma" w:cs="Tahoma"/>
      <w:sz w:val="16"/>
      <w:szCs w:val="16"/>
    </w:rPr>
  </w:style>
  <w:style w:type="paragraph" w:customStyle="1" w:styleId="Style">
    <w:name w:val="Style"/>
    <w:rsid w:val="00106029"/>
    <w:pPr>
      <w:widowControl w:val="0"/>
      <w:autoSpaceDE w:val="0"/>
      <w:autoSpaceDN w:val="0"/>
      <w:adjustRightInd w:val="0"/>
    </w:pPr>
    <w:rPr>
      <w:sz w:val="24"/>
      <w:szCs w:val="24"/>
    </w:rPr>
  </w:style>
  <w:style w:type="character" w:customStyle="1" w:styleId="FootnoteTextChar">
    <w:name w:val="Footnote Text Char"/>
    <w:link w:val="FootnoteText"/>
    <w:semiHidden/>
    <w:rsid w:val="00736397"/>
    <w:rPr>
      <w:rFonts w:ascii="CG Times" w:hAnsi="CG Times" w:cs="CG Times"/>
      <w:sz w:val="24"/>
      <w:szCs w:val="24"/>
    </w:rPr>
  </w:style>
  <w:style w:type="character" w:customStyle="1" w:styleId="FooterChar">
    <w:name w:val="Footer Char"/>
    <w:link w:val="Footer"/>
    <w:uiPriority w:val="99"/>
    <w:rsid w:val="0053447F"/>
    <w:rPr>
      <w:rFonts w:ascii="CG Times" w:hAnsi="CG Times" w:cs="CG Times"/>
      <w:sz w:val="24"/>
      <w:szCs w:val="24"/>
    </w:rPr>
  </w:style>
  <w:style w:type="paragraph" w:styleId="DocumentMap">
    <w:name w:val="Document Map"/>
    <w:basedOn w:val="Normal"/>
    <w:link w:val="DocumentMapChar"/>
    <w:rsid w:val="009564BA"/>
    <w:rPr>
      <w:rFonts w:ascii="Tahoma" w:hAnsi="Tahoma" w:cs="Tahoma"/>
      <w:sz w:val="16"/>
      <w:szCs w:val="16"/>
    </w:rPr>
  </w:style>
  <w:style w:type="character" w:customStyle="1" w:styleId="DocumentMapChar">
    <w:name w:val="Document Map Char"/>
    <w:link w:val="DocumentMap"/>
    <w:rsid w:val="009564BA"/>
    <w:rPr>
      <w:rFonts w:ascii="Tahoma" w:hAnsi="Tahoma" w:cs="Tahoma"/>
      <w:sz w:val="16"/>
      <w:szCs w:val="16"/>
    </w:rPr>
  </w:style>
  <w:style w:type="paragraph" w:styleId="ListNumber">
    <w:name w:val="List Number"/>
    <w:basedOn w:val="Normal"/>
    <w:rsid w:val="00724BE1"/>
    <w:pPr>
      <w:numPr>
        <w:numId w:val="19"/>
      </w:numPr>
      <w:tabs>
        <w:tab w:val="clear" w:pos="720"/>
        <w:tab w:val="left" w:pos="1440"/>
      </w:tabs>
      <w:autoSpaceDE/>
      <w:autoSpaceDN/>
      <w:spacing w:line="480" w:lineRule="auto"/>
      <w:ind w:left="1440" w:hanging="720"/>
    </w:pPr>
    <w:rPr>
      <w:rFonts w:ascii="Times New Roman" w:hAnsi="Times New Roman" w:cs="Times New Roman"/>
    </w:rPr>
  </w:style>
  <w:style w:type="paragraph" w:styleId="ListParagraph">
    <w:name w:val="List Paragraph"/>
    <w:basedOn w:val="Normal"/>
    <w:uiPriority w:val="34"/>
    <w:qFormat/>
    <w:rsid w:val="002C31B0"/>
    <w:pPr>
      <w:ind w:left="720"/>
      <w:contextualSpacing/>
    </w:pPr>
  </w:style>
  <w:style w:type="character" w:styleId="CommentReference">
    <w:name w:val="annotation reference"/>
    <w:basedOn w:val="DefaultParagraphFont"/>
    <w:rsid w:val="00AC20EC"/>
    <w:rPr>
      <w:sz w:val="16"/>
      <w:szCs w:val="16"/>
    </w:rPr>
  </w:style>
  <w:style w:type="paragraph" w:styleId="CommentText">
    <w:name w:val="annotation text"/>
    <w:basedOn w:val="Normal"/>
    <w:link w:val="CommentTextChar"/>
    <w:rsid w:val="00AC20EC"/>
    <w:rPr>
      <w:sz w:val="20"/>
      <w:szCs w:val="20"/>
    </w:rPr>
  </w:style>
  <w:style w:type="character" w:customStyle="1" w:styleId="CommentTextChar">
    <w:name w:val="Comment Text Char"/>
    <w:basedOn w:val="DefaultParagraphFont"/>
    <w:link w:val="CommentText"/>
    <w:rsid w:val="00AC20EC"/>
    <w:rPr>
      <w:rFonts w:ascii="CG Times" w:hAnsi="CG Times" w:cs="CG Times"/>
    </w:rPr>
  </w:style>
  <w:style w:type="paragraph" w:styleId="CommentSubject">
    <w:name w:val="annotation subject"/>
    <w:basedOn w:val="CommentText"/>
    <w:next w:val="CommentText"/>
    <w:link w:val="CommentSubjectChar"/>
    <w:rsid w:val="00AC20EC"/>
    <w:rPr>
      <w:b/>
      <w:bCs/>
    </w:rPr>
  </w:style>
  <w:style w:type="character" w:customStyle="1" w:styleId="CommentSubjectChar">
    <w:name w:val="Comment Subject Char"/>
    <w:basedOn w:val="CommentTextChar"/>
    <w:link w:val="CommentSubject"/>
    <w:rsid w:val="00AC20EC"/>
    <w:rPr>
      <w:rFonts w:ascii="CG Times" w:hAnsi="CG Times" w:cs="CG Times"/>
      <w:b/>
      <w:bCs/>
    </w:rPr>
  </w:style>
  <w:style w:type="paragraph" w:styleId="Revision">
    <w:name w:val="Revision"/>
    <w:hidden/>
    <w:uiPriority w:val="99"/>
    <w:semiHidden/>
    <w:rsid w:val="00875C3B"/>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41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FDE7D-9376-4B64-9313-E21352DAE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24</Pages>
  <Words>6702</Words>
  <Characters>38202</Characters>
  <Application>Microsoft Office Word</Application>
  <DocSecurity>0</DocSecurity>
  <Lines>318</Lines>
  <Paragraphs>89</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BEFORE THE</vt:lpstr>
      <vt:lpstr>BEFORE THE</vt:lpstr>
      <vt:lpstr>PENNSYLVANIA PUBLIC UTILITY COMMISSION</vt:lpstr>
      <vt:lpstr/>
      <vt:lpstr>RECOMMENDED DECISION</vt:lpstr>
      <vt:lpstr>Before</vt:lpstr>
      <vt:lpstr>HISTORY OF THE PROCEEDINGS</vt:lpstr>
      <vt:lpstr/>
      <vt:lpstr>I am persuaded to recommend adoption of the Settlement because UGI has agreed </vt:lpstr>
      <vt:lpstr/>
      <vt:lpstr>The Settlement further addresses OCA’s concerns regarding no-notice service in</vt:lpstr>
      <vt:lpstr/>
      <vt:lpstr>The Settlement also maintains a cap of 25% on quarterly PGC rate changes to pr</vt:lpstr>
      <vt:lpstr/>
      <vt:lpstr>The Stipulation reflects a reasonable resolution of all concerns, provides for</vt:lpstr>
      <vt:lpstr/>
      <vt:lpstr/>
      <vt:lpstr/>
    </vt:vector>
  </TitlesOfParts>
  <Company>PA PUC</Company>
  <LinksUpToDate>false</LinksUpToDate>
  <CharactersWithSpaces>44815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shoffner</cp:lastModifiedBy>
  <cp:revision>9</cp:revision>
  <cp:lastPrinted>2014-09-18T19:03:00Z</cp:lastPrinted>
  <dcterms:created xsi:type="dcterms:W3CDTF">2014-09-18T18:24:00Z</dcterms:created>
  <dcterms:modified xsi:type="dcterms:W3CDTF">2014-09-18T19:04:00Z</dcterms:modified>
</cp:coreProperties>
</file>