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6E2" w:rsidRDefault="004B26E2" w:rsidP="004B26E2">
      <w:pPr>
        <w:jc w:val="center"/>
        <w:rPr>
          <w:b/>
        </w:rPr>
      </w:pPr>
      <w:r>
        <w:rPr>
          <w:b/>
        </w:rPr>
        <w:t>BEFORE THE</w:t>
      </w:r>
    </w:p>
    <w:p w:rsidR="004B26E2" w:rsidRDefault="004B26E2" w:rsidP="004B26E2">
      <w:pPr>
        <w:jc w:val="center"/>
      </w:pPr>
      <w:smartTag w:uri="urn:schemas-microsoft-com:office:smarttags" w:element="State">
        <w:smartTag w:uri="urn:schemas-microsoft-com:office:smarttags" w:element="place">
          <w:r>
            <w:rPr>
              <w:b/>
            </w:rPr>
            <w:t>PENNSYLVANIA</w:t>
          </w:r>
        </w:smartTag>
      </w:smartTag>
      <w:r>
        <w:rPr>
          <w:b/>
        </w:rPr>
        <w:t xml:space="preserve"> PUBLIC UTILITY COMMISSION</w:t>
      </w:r>
    </w:p>
    <w:p w:rsidR="004B26E2" w:rsidRDefault="004B26E2" w:rsidP="004B26E2"/>
    <w:p w:rsidR="004B26E2" w:rsidRDefault="004B26E2" w:rsidP="004B26E2"/>
    <w:tbl>
      <w:tblPr>
        <w:tblW w:w="0" w:type="auto"/>
        <w:tblLayout w:type="fixed"/>
        <w:tblLook w:val="0000" w:firstRow="0" w:lastRow="0" w:firstColumn="0" w:lastColumn="0" w:noHBand="0" w:noVBand="0"/>
      </w:tblPr>
      <w:tblGrid>
        <w:gridCol w:w="4968"/>
        <w:gridCol w:w="4500"/>
      </w:tblGrid>
      <w:tr w:rsidR="009F64F2" w:rsidRPr="00754C39" w:rsidTr="00D46068">
        <w:tc>
          <w:tcPr>
            <w:tcW w:w="4968" w:type="dxa"/>
          </w:tcPr>
          <w:p w:rsidR="009F64F2" w:rsidRPr="00754C39" w:rsidRDefault="009F64F2" w:rsidP="009F64F2">
            <w:pPr>
              <w:rPr>
                <w:sz w:val="26"/>
                <w:szCs w:val="26"/>
              </w:rPr>
            </w:pPr>
          </w:p>
        </w:tc>
        <w:tc>
          <w:tcPr>
            <w:tcW w:w="4500" w:type="dxa"/>
          </w:tcPr>
          <w:p w:rsidR="009F64F2" w:rsidRPr="00754C39" w:rsidRDefault="009F64F2" w:rsidP="00D46068">
            <w:pPr>
              <w:ind w:left="-108"/>
              <w:rPr>
                <w:sz w:val="26"/>
                <w:szCs w:val="26"/>
              </w:rPr>
            </w:pPr>
            <w:r w:rsidRPr="00754C39">
              <w:rPr>
                <w:sz w:val="26"/>
                <w:szCs w:val="26"/>
              </w:rPr>
              <w:t xml:space="preserve">Public Meeting held </w:t>
            </w:r>
            <w:r w:rsidR="00D46068">
              <w:rPr>
                <w:sz w:val="26"/>
                <w:szCs w:val="26"/>
              </w:rPr>
              <w:t>September 11</w:t>
            </w:r>
            <w:r w:rsidR="00900BFC">
              <w:rPr>
                <w:sz w:val="26"/>
                <w:szCs w:val="26"/>
              </w:rPr>
              <w:t>, 201</w:t>
            </w:r>
            <w:r w:rsidR="005D7A28">
              <w:rPr>
                <w:sz w:val="26"/>
                <w:szCs w:val="26"/>
              </w:rPr>
              <w:t>4</w:t>
            </w:r>
          </w:p>
        </w:tc>
      </w:tr>
      <w:tr w:rsidR="009F64F2" w:rsidRPr="00754C39" w:rsidTr="00D46068">
        <w:tc>
          <w:tcPr>
            <w:tcW w:w="4968" w:type="dxa"/>
          </w:tcPr>
          <w:p w:rsidR="009F64F2" w:rsidRPr="00754C39" w:rsidRDefault="009F64F2" w:rsidP="009F64F2">
            <w:pPr>
              <w:rPr>
                <w:sz w:val="26"/>
                <w:szCs w:val="26"/>
              </w:rPr>
            </w:pPr>
          </w:p>
        </w:tc>
        <w:tc>
          <w:tcPr>
            <w:tcW w:w="4500" w:type="dxa"/>
          </w:tcPr>
          <w:p w:rsidR="009F64F2" w:rsidRPr="00754C39" w:rsidRDefault="009F64F2" w:rsidP="009F64F2">
            <w:pPr>
              <w:rPr>
                <w:sz w:val="26"/>
                <w:szCs w:val="26"/>
              </w:rPr>
            </w:pPr>
          </w:p>
        </w:tc>
      </w:tr>
      <w:tr w:rsidR="009F64F2" w:rsidRPr="00754C39" w:rsidTr="00D46068">
        <w:tc>
          <w:tcPr>
            <w:tcW w:w="4968" w:type="dxa"/>
          </w:tcPr>
          <w:p w:rsidR="009F64F2" w:rsidRPr="00754C39" w:rsidRDefault="009F64F2" w:rsidP="009F64F2">
            <w:pPr>
              <w:rPr>
                <w:sz w:val="26"/>
                <w:szCs w:val="26"/>
              </w:rPr>
            </w:pPr>
            <w:r w:rsidRPr="00754C39">
              <w:rPr>
                <w:sz w:val="26"/>
                <w:szCs w:val="26"/>
              </w:rPr>
              <w:t>Commissioners Present:</w:t>
            </w:r>
          </w:p>
        </w:tc>
        <w:tc>
          <w:tcPr>
            <w:tcW w:w="4500" w:type="dxa"/>
          </w:tcPr>
          <w:p w:rsidR="009F64F2" w:rsidRPr="00754C39" w:rsidRDefault="009F64F2" w:rsidP="009F64F2">
            <w:pPr>
              <w:rPr>
                <w:sz w:val="26"/>
                <w:szCs w:val="26"/>
              </w:rPr>
            </w:pPr>
          </w:p>
        </w:tc>
      </w:tr>
      <w:tr w:rsidR="009F64F2" w:rsidRPr="00754C39" w:rsidTr="00D46068">
        <w:tc>
          <w:tcPr>
            <w:tcW w:w="4968" w:type="dxa"/>
          </w:tcPr>
          <w:p w:rsidR="009F64F2" w:rsidRPr="00754C39" w:rsidRDefault="009F64F2" w:rsidP="009F64F2">
            <w:pPr>
              <w:rPr>
                <w:sz w:val="26"/>
                <w:szCs w:val="26"/>
              </w:rPr>
            </w:pPr>
          </w:p>
        </w:tc>
        <w:tc>
          <w:tcPr>
            <w:tcW w:w="4500" w:type="dxa"/>
          </w:tcPr>
          <w:p w:rsidR="009F64F2" w:rsidRPr="00754C39" w:rsidRDefault="009F64F2" w:rsidP="009F64F2">
            <w:pPr>
              <w:rPr>
                <w:sz w:val="26"/>
                <w:szCs w:val="26"/>
              </w:rPr>
            </w:pPr>
          </w:p>
        </w:tc>
      </w:tr>
      <w:tr w:rsidR="009F64F2" w:rsidRPr="003965C8" w:rsidTr="009F64F2">
        <w:tc>
          <w:tcPr>
            <w:tcW w:w="9468" w:type="dxa"/>
            <w:gridSpan w:val="2"/>
          </w:tcPr>
          <w:p w:rsidR="009F64F2" w:rsidRPr="003965C8" w:rsidRDefault="00900BFC" w:rsidP="00983535">
            <w:pPr>
              <w:pStyle w:val="p5"/>
              <w:ind w:left="720"/>
              <w:rPr>
                <w:sz w:val="26"/>
                <w:szCs w:val="26"/>
              </w:rPr>
            </w:pPr>
            <w:r w:rsidRPr="003965C8">
              <w:rPr>
                <w:sz w:val="26"/>
                <w:szCs w:val="26"/>
              </w:rPr>
              <w:t>Robert F. Powelson</w:t>
            </w:r>
            <w:r w:rsidR="009F64F2" w:rsidRPr="003965C8">
              <w:rPr>
                <w:sz w:val="26"/>
                <w:szCs w:val="26"/>
              </w:rPr>
              <w:t>, Chairman</w:t>
            </w:r>
          </w:p>
        </w:tc>
      </w:tr>
      <w:tr w:rsidR="009F64F2" w:rsidRPr="003965C8" w:rsidTr="009F64F2">
        <w:tc>
          <w:tcPr>
            <w:tcW w:w="9468" w:type="dxa"/>
            <w:gridSpan w:val="2"/>
          </w:tcPr>
          <w:p w:rsidR="009F64F2" w:rsidRPr="003965C8" w:rsidRDefault="00900BFC" w:rsidP="00983535">
            <w:pPr>
              <w:pStyle w:val="p5"/>
              <w:ind w:left="720"/>
              <w:rPr>
                <w:sz w:val="26"/>
                <w:szCs w:val="26"/>
              </w:rPr>
            </w:pPr>
            <w:r w:rsidRPr="003965C8">
              <w:rPr>
                <w:sz w:val="26"/>
                <w:szCs w:val="26"/>
              </w:rPr>
              <w:t>John F. Coleman, Jr.</w:t>
            </w:r>
            <w:r w:rsidR="009F64F2" w:rsidRPr="003965C8">
              <w:rPr>
                <w:sz w:val="26"/>
                <w:szCs w:val="26"/>
              </w:rPr>
              <w:t>, Vice Chairman</w:t>
            </w:r>
          </w:p>
          <w:p w:rsidR="009F64F2" w:rsidRPr="003965C8" w:rsidRDefault="005D7A28" w:rsidP="00983535">
            <w:pPr>
              <w:pStyle w:val="p5"/>
              <w:ind w:left="720"/>
              <w:rPr>
                <w:sz w:val="26"/>
                <w:szCs w:val="26"/>
              </w:rPr>
            </w:pPr>
            <w:r w:rsidRPr="005D7A28">
              <w:rPr>
                <w:sz w:val="26"/>
                <w:szCs w:val="26"/>
              </w:rPr>
              <w:t>James H. Cawley</w:t>
            </w:r>
          </w:p>
          <w:p w:rsidR="009F64F2" w:rsidRPr="003965C8" w:rsidRDefault="005D7A28" w:rsidP="00983535">
            <w:pPr>
              <w:pStyle w:val="p5"/>
              <w:ind w:left="720"/>
              <w:rPr>
                <w:sz w:val="26"/>
                <w:szCs w:val="26"/>
              </w:rPr>
            </w:pPr>
            <w:r w:rsidRPr="003965C8">
              <w:rPr>
                <w:sz w:val="26"/>
                <w:szCs w:val="26"/>
              </w:rPr>
              <w:t>Pamela A. Witmer</w:t>
            </w:r>
          </w:p>
          <w:p w:rsidR="00900BFC" w:rsidRPr="003965C8" w:rsidRDefault="005D7A28" w:rsidP="00983535">
            <w:pPr>
              <w:pStyle w:val="p5"/>
              <w:ind w:left="720"/>
              <w:rPr>
                <w:sz w:val="26"/>
                <w:szCs w:val="26"/>
              </w:rPr>
            </w:pPr>
            <w:r w:rsidRPr="001E62AB">
              <w:rPr>
                <w:sz w:val="26"/>
                <w:szCs w:val="26"/>
              </w:rPr>
              <w:t>Gladys M. Brown</w:t>
            </w:r>
          </w:p>
        </w:tc>
      </w:tr>
      <w:tr w:rsidR="009F64F2" w:rsidRPr="003965C8" w:rsidTr="009F64F2">
        <w:tc>
          <w:tcPr>
            <w:tcW w:w="9468" w:type="dxa"/>
            <w:gridSpan w:val="2"/>
          </w:tcPr>
          <w:p w:rsidR="009F64F2" w:rsidRPr="003965C8" w:rsidRDefault="009F64F2" w:rsidP="009F64F2">
            <w:pPr>
              <w:pStyle w:val="p5"/>
              <w:rPr>
                <w:sz w:val="26"/>
                <w:szCs w:val="26"/>
              </w:rPr>
            </w:pPr>
          </w:p>
        </w:tc>
      </w:tr>
      <w:tr w:rsidR="009F64F2" w:rsidRPr="003965C8" w:rsidTr="00D46068">
        <w:tc>
          <w:tcPr>
            <w:tcW w:w="4968" w:type="dxa"/>
          </w:tcPr>
          <w:p w:rsidR="00900BFC" w:rsidRPr="003965C8" w:rsidRDefault="005D7A28" w:rsidP="00983535">
            <w:pPr>
              <w:rPr>
                <w:sz w:val="26"/>
                <w:szCs w:val="26"/>
              </w:rPr>
            </w:pPr>
            <w:r w:rsidRPr="005D7A28">
              <w:rPr>
                <w:sz w:val="26"/>
                <w:szCs w:val="26"/>
              </w:rPr>
              <w:t>PPL Electric Utilities Corporation Universal Service and Energy Conservation Plan for 2014-2016 Submitted in Compliance with 52</w:t>
            </w:r>
            <w:r w:rsidR="00983535">
              <w:rPr>
                <w:sz w:val="26"/>
                <w:szCs w:val="26"/>
              </w:rPr>
              <w:t> </w:t>
            </w:r>
            <w:r w:rsidRPr="005D7A28">
              <w:rPr>
                <w:sz w:val="26"/>
                <w:szCs w:val="26"/>
              </w:rPr>
              <w:t>Pa. Code § 54.74.</w:t>
            </w:r>
          </w:p>
        </w:tc>
        <w:tc>
          <w:tcPr>
            <w:tcW w:w="4500" w:type="dxa"/>
            <w:vAlign w:val="center"/>
          </w:tcPr>
          <w:p w:rsidR="009F64F2" w:rsidRPr="003965C8" w:rsidRDefault="009F64F2" w:rsidP="009F64F2">
            <w:pPr>
              <w:ind w:firstLine="1332"/>
              <w:rPr>
                <w:sz w:val="26"/>
                <w:szCs w:val="26"/>
              </w:rPr>
            </w:pPr>
            <w:r w:rsidRPr="003965C8">
              <w:rPr>
                <w:sz w:val="26"/>
                <w:szCs w:val="26"/>
              </w:rPr>
              <w:t>Docket Number:</w:t>
            </w:r>
          </w:p>
          <w:p w:rsidR="009F64F2" w:rsidRPr="003965C8" w:rsidRDefault="005D7A28" w:rsidP="00B920D1">
            <w:pPr>
              <w:ind w:firstLine="1332"/>
              <w:rPr>
                <w:sz w:val="26"/>
                <w:szCs w:val="26"/>
              </w:rPr>
            </w:pPr>
            <w:r w:rsidRPr="001E62AB">
              <w:rPr>
                <w:sz w:val="26"/>
                <w:szCs w:val="26"/>
              </w:rPr>
              <w:t>M-2013-2367021</w:t>
            </w:r>
          </w:p>
        </w:tc>
      </w:tr>
    </w:tbl>
    <w:p w:rsidR="004B26E2" w:rsidRPr="003965C8" w:rsidRDefault="004B26E2" w:rsidP="004B26E2"/>
    <w:p w:rsidR="00061AA0" w:rsidRPr="003965C8" w:rsidRDefault="00061AA0" w:rsidP="00061AA0">
      <w:pPr>
        <w:jc w:val="center"/>
        <w:rPr>
          <w:sz w:val="22"/>
          <w:szCs w:val="22"/>
        </w:rPr>
      </w:pPr>
      <w:r w:rsidRPr="003965C8">
        <w:rPr>
          <w:b/>
          <w:bCs/>
          <w:u w:val="single"/>
        </w:rPr>
        <w:t xml:space="preserve">ERRATA NOTICE </w:t>
      </w:r>
    </w:p>
    <w:p w:rsidR="00061AA0" w:rsidRPr="003965C8" w:rsidRDefault="00061AA0" w:rsidP="00061AA0">
      <w:pPr>
        <w:ind w:firstLine="1440"/>
        <w:jc w:val="center"/>
        <w:rPr>
          <w:sz w:val="22"/>
          <w:szCs w:val="22"/>
        </w:rPr>
      </w:pPr>
    </w:p>
    <w:p w:rsidR="00061AA0" w:rsidRPr="003965C8" w:rsidRDefault="00061AA0" w:rsidP="00061AA0">
      <w:pPr>
        <w:ind w:firstLine="1440"/>
        <w:jc w:val="center"/>
        <w:rPr>
          <w:sz w:val="22"/>
          <w:szCs w:val="22"/>
        </w:rPr>
      </w:pPr>
    </w:p>
    <w:p w:rsidR="00F922A0" w:rsidRPr="005D7A28" w:rsidRDefault="00061AA0" w:rsidP="00983535">
      <w:pPr>
        <w:spacing w:line="360" w:lineRule="auto"/>
        <w:ind w:firstLine="720"/>
        <w:jc w:val="both"/>
        <w:rPr>
          <w:sz w:val="26"/>
          <w:szCs w:val="26"/>
        </w:rPr>
      </w:pPr>
      <w:r w:rsidRPr="005D7A28">
        <w:rPr>
          <w:sz w:val="26"/>
          <w:szCs w:val="26"/>
        </w:rPr>
        <w:t xml:space="preserve">This is to advise all parties of record that </w:t>
      </w:r>
      <w:r w:rsidR="00180DB7" w:rsidRPr="005D7A28">
        <w:rPr>
          <w:sz w:val="26"/>
          <w:szCs w:val="26"/>
        </w:rPr>
        <w:t>the Order</w:t>
      </w:r>
      <w:r w:rsidRPr="005D7A28">
        <w:rPr>
          <w:sz w:val="26"/>
          <w:szCs w:val="26"/>
        </w:rPr>
        <w:t xml:space="preserve"> </w:t>
      </w:r>
      <w:r w:rsidR="00693018" w:rsidRPr="005D7A28">
        <w:rPr>
          <w:sz w:val="26"/>
          <w:szCs w:val="26"/>
        </w:rPr>
        <w:t xml:space="preserve">entered on </w:t>
      </w:r>
      <w:r w:rsidR="005D7A28" w:rsidRPr="005D7A28">
        <w:rPr>
          <w:sz w:val="26"/>
          <w:szCs w:val="26"/>
        </w:rPr>
        <w:t>September 11, 2014</w:t>
      </w:r>
      <w:r w:rsidR="00180DB7" w:rsidRPr="005D7A28">
        <w:rPr>
          <w:sz w:val="26"/>
          <w:szCs w:val="26"/>
        </w:rPr>
        <w:t>,</w:t>
      </w:r>
      <w:r w:rsidRPr="005D7A28">
        <w:rPr>
          <w:sz w:val="26"/>
          <w:szCs w:val="26"/>
        </w:rPr>
        <w:t xml:space="preserve"> in the above-captioned proceeding</w:t>
      </w:r>
      <w:r w:rsidR="004D3282">
        <w:rPr>
          <w:sz w:val="26"/>
          <w:szCs w:val="26"/>
        </w:rPr>
        <w:t>,</w:t>
      </w:r>
      <w:r w:rsidRPr="005D7A28">
        <w:rPr>
          <w:sz w:val="26"/>
          <w:szCs w:val="26"/>
        </w:rPr>
        <w:t xml:space="preserve"> contains</w:t>
      </w:r>
      <w:r w:rsidR="00F922A0" w:rsidRPr="005D7A28">
        <w:rPr>
          <w:sz w:val="26"/>
          <w:szCs w:val="26"/>
        </w:rPr>
        <w:t xml:space="preserve"> </w:t>
      </w:r>
      <w:r w:rsidR="003965C8" w:rsidRPr="005D7A28">
        <w:rPr>
          <w:sz w:val="26"/>
          <w:szCs w:val="26"/>
        </w:rPr>
        <w:t xml:space="preserve">an </w:t>
      </w:r>
      <w:r w:rsidRPr="005D7A28">
        <w:rPr>
          <w:sz w:val="26"/>
          <w:szCs w:val="26"/>
        </w:rPr>
        <w:t>erro</w:t>
      </w:r>
      <w:r w:rsidR="00FA0973" w:rsidRPr="005D7A28">
        <w:rPr>
          <w:sz w:val="26"/>
          <w:szCs w:val="26"/>
        </w:rPr>
        <w:t>r</w:t>
      </w:r>
      <w:r w:rsidR="00F922A0" w:rsidRPr="005D7A28">
        <w:rPr>
          <w:sz w:val="26"/>
          <w:szCs w:val="26"/>
        </w:rPr>
        <w:t xml:space="preserve"> on P</w:t>
      </w:r>
      <w:r w:rsidR="005D7A28" w:rsidRPr="005D7A28">
        <w:rPr>
          <w:sz w:val="26"/>
          <w:szCs w:val="26"/>
        </w:rPr>
        <w:t>age 56</w:t>
      </w:r>
      <w:r w:rsidR="003965C8" w:rsidRPr="005D7A28">
        <w:rPr>
          <w:sz w:val="26"/>
          <w:szCs w:val="26"/>
        </w:rPr>
        <w:t xml:space="preserve">, </w:t>
      </w:r>
      <w:r w:rsidR="005D7A28" w:rsidRPr="005D7A28">
        <w:rPr>
          <w:sz w:val="26"/>
          <w:szCs w:val="26"/>
        </w:rPr>
        <w:t>o</w:t>
      </w:r>
      <w:bookmarkStart w:id="0" w:name="_GoBack"/>
      <w:bookmarkEnd w:id="0"/>
      <w:r w:rsidR="005D7A28" w:rsidRPr="005D7A28">
        <w:rPr>
          <w:sz w:val="26"/>
          <w:szCs w:val="26"/>
        </w:rPr>
        <w:t xml:space="preserve">mitting the fifth </w:t>
      </w:r>
      <w:r w:rsidR="00334C5A">
        <w:rPr>
          <w:sz w:val="26"/>
          <w:szCs w:val="26"/>
        </w:rPr>
        <w:t xml:space="preserve">numbered </w:t>
      </w:r>
      <w:r w:rsidR="004D3282">
        <w:rPr>
          <w:sz w:val="26"/>
          <w:szCs w:val="26"/>
        </w:rPr>
        <w:t xml:space="preserve">summary </w:t>
      </w:r>
      <w:r w:rsidR="005D7A28" w:rsidRPr="005D7A28">
        <w:rPr>
          <w:sz w:val="26"/>
          <w:szCs w:val="26"/>
        </w:rPr>
        <w:t>paragraph</w:t>
      </w:r>
      <w:r w:rsidR="004D3282">
        <w:rPr>
          <w:sz w:val="26"/>
          <w:szCs w:val="26"/>
        </w:rPr>
        <w:t xml:space="preserve"> in the Conclusion section of the Order</w:t>
      </w:r>
      <w:r w:rsidR="009F64F2" w:rsidRPr="005D7A28">
        <w:rPr>
          <w:sz w:val="26"/>
          <w:szCs w:val="26"/>
        </w:rPr>
        <w:t>.</w:t>
      </w:r>
    </w:p>
    <w:p w:rsidR="00E1663A" w:rsidRPr="005D7A28" w:rsidRDefault="00E1663A" w:rsidP="00E85D5D">
      <w:pPr>
        <w:spacing w:line="360" w:lineRule="auto"/>
        <w:ind w:firstLine="1440"/>
        <w:jc w:val="both"/>
        <w:rPr>
          <w:sz w:val="26"/>
          <w:szCs w:val="26"/>
        </w:rPr>
      </w:pPr>
    </w:p>
    <w:p w:rsidR="00E1663A" w:rsidRDefault="005D7A28" w:rsidP="00983535">
      <w:pPr>
        <w:spacing w:line="360" w:lineRule="auto"/>
        <w:ind w:firstLine="720"/>
        <w:jc w:val="both"/>
        <w:rPr>
          <w:sz w:val="26"/>
          <w:szCs w:val="26"/>
        </w:rPr>
      </w:pPr>
      <w:r>
        <w:rPr>
          <w:sz w:val="26"/>
          <w:szCs w:val="26"/>
        </w:rPr>
        <w:t>The missing</w:t>
      </w:r>
      <w:r w:rsidRPr="005D7A28">
        <w:rPr>
          <w:sz w:val="26"/>
          <w:szCs w:val="26"/>
        </w:rPr>
        <w:t xml:space="preserve"> </w:t>
      </w:r>
      <w:r w:rsidR="005D5FAC">
        <w:rPr>
          <w:sz w:val="26"/>
          <w:szCs w:val="26"/>
        </w:rPr>
        <w:t xml:space="preserve">fifth </w:t>
      </w:r>
      <w:r w:rsidRPr="005D7A28">
        <w:rPr>
          <w:sz w:val="26"/>
          <w:szCs w:val="26"/>
        </w:rPr>
        <w:t>paragraph should have read:</w:t>
      </w:r>
    </w:p>
    <w:p w:rsidR="00E1663A" w:rsidRPr="005D7A28" w:rsidRDefault="00E1663A" w:rsidP="005D7A28">
      <w:pPr>
        <w:spacing w:line="360" w:lineRule="auto"/>
        <w:ind w:firstLine="1440"/>
        <w:jc w:val="both"/>
        <w:rPr>
          <w:sz w:val="26"/>
          <w:szCs w:val="26"/>
        </w:rPr>
      </w:pPr>
    </w:p>
    <w:p w:rsidR="005D7A28" w:rsidRDefault="005D7A28" w:rsidP="005D5FAC">
      <w:pPr>
        <w:ind w:left="720" w:right="720"/>
        <w:rPr>
          <w:sz w:val="26"/>
          <w:szCs w:val="26"/>
        </w:rPr>
      </w:pPr>
      <w:r w:rsidRPr="005D7A28">
        <w:rPr>
          <w:sz w:val="26"/>
          <w:szCs w:val="26"/>
        </w:rPr>
        <w:t xml:space="preserve">(5)  Beginning by January 2016 or earlier, PPL will update it system to apply any excess </w:t>
      </w:r>
      <w:proofErr w:type="spellStart"/>
      <w:r w:rsidRPr="005D7A28">
        <w:rPr>
          <w:sz w:val="26"/>
          <w:szCs w:val="26"/>
        </w:rPr>
        <w:t>OnTrack</w:t>
      </w:r>
      <w:proofErr w:type="spellEnd"/>
      <w:r w:rsidRPr="005D7A28">
        <w:rPr>
          <w:sz w:val="26"/>
          <w:szCs w:val="26"/>
        </w:rPr>
        <w:t xml:space="preserve"> payments first to any existing program arrears and then to the next month’s </w:t>
      </w:r>
      <w:proofErr w:type="spellStart"/>
      <w:r w:rsidRPr="005D7A28">
        <w:rPr>
          <w:sz w:val="26"/>
          <w:szCs w:val="26"/>
        </w:rPr>
        <w:t>OnTrack</w:t>
      </w:r>
      <w:proofErr w:type="spellEnd"/>
      <w:r w:rsidRPr="005D7A28">
        <w:rPr>
          <w:sz w:val="26"/>
          <w:szCs w:val="26"/>
        </w:rPr>
        <w:t xml:space="preserve"> payment.  The Company will include this payment application change in its revised 2014-2016 Plan.   </w:t>
      </w:r>
    </w:p>
    <w:p w:rsidR="005D7A28" w:rsidRDefault="005D7A28" w:rsidP="005D5FAC">
      <w:pPr>
        <w:ind w:left="720" w:right="720"/>
        <w:jc w:val="both"/>
        <w:rPr>
          <w:sz w:val="26"/>
          <w:szCs w:val="26"/>
        </w:rPr>
      </w:pPr>
    </w:p>
    <w:p w:rsidR="005D5FAC" w:rsidRDefault="005D5FAC" w:rsidP="005D5FAC">
      <w:pPr>
        <w:ind w:left="720" w:right="720"/>
        <w:jc w:val="both"/>
        <w:rPr>
          <w:sz w:val="26"/>
          <w:szCs w:val="26"/>
        </w:rPr>
      </w:pPr>
    </w:p>
    <w:p w:rsidR="005D7A28" w:rsidRDefault="005D5FAC" w:rsidP="004D3282">
      <w:pPr>
        <w:spacing w:line="360" w:lineRule="auto"/>
        <w:ind w:firstLine="720"/>
        <w:rPr>
          <w:sz w:val="26"/>
          <w:szCs w:val="26"/>
        </w:rPr>
      </w:pPr>
      <w:r>
        <w:rPr>
          <w:sz w:val="26"/>
          <w:szCs w:val="26"/>
        </w:rPr>
        <w:t xml:space="preserve">The Order on the PA PUC website will be corrected as indicated above.  Please find attached replacement pages starting with page 56 and continuing through the end of the original order to reflect insertion of the missing paragraph and repagination of the remainder of the order.  </w:t>
      </w:r>
    </w:p>
    <w:p w:rsidR="00983535" w:rsidRDefault="00983535" w:rsidP="00334C5A">
      <w:pPr>
        <w:spacing w:line="360" w:lineRule="auto"/>
        <w:rPr>
          <w:color w:val="0D0D0D" w:themeColor="text1" w:themeTint="F2"/>
          <w:sz w:val="26"/>
          <w:szCs w:val="26"/>
        </w:rPr>
      </w:pPr>
    </w:p>
    <w:p w:rsidR="00983535" w:rsidRDefault="00983535" w:rsidP="00334C5A">
      <w:pPr>
        <w:spacing w:line="360" w:lineRule="auto"/>
        <w:rPr>
          <w:color w:val="0D0D0D" w:themeColor="text1" w:themeTint="F2"/>
          <w:sz w:val="26"/>
          <w:szCs w:val="26"/>
        </w:rPr>
        <w:sectPr w:rsidR="00983535" w:rsidSect="00E1663A">
          <w:headerReference w:type="even" r:id="rId9"/>
          <w:headerReference w:type="default" r:id="rId10"/>
          <w:footerReference w:type="even" r:id="rId11"/>
          <w:footerReference w:type="default" r:id="rId12"/>
          <w:headerReference w:type="first" r:id="rId13"/>
          <w:footerReference w:type="first" r:id="rId14"/>
          <w:pgSz w:w="12240" w:h="15840" w:code="1"/>
          <w:pgMar w:top="1152" w:right="1440" w:bottom="360" w:left="1440" w:header="720" w:footer="288" w:gutter="0"/>
          <w:paperSrc w:first="15"/>
          <w:pgNumType w:start="1"/>
          <w:cols w:space="720"/>
          <w:noEndnote/>
          <w:docGrid w:linePitch="326"/>
        </w:sectPr>
      </w:pPr>
    </w:p>
    <w:p w:rsidR="00334C5A" w:rsidRDefault="00334C5A" w:rsidP="00334C5A">
      <w:pPr>
        <w:spacing w:line="360" w:lineRule="auto"/>
        <w:rPr>
          <w:color w:val="0D0D0D" w:themeColor="text1" w:themeTint="F2"/>
          <w:sz w:val="26"/>
          <w:szCs w:val="26"/>
        </w:rPr>
      </w:pPr>
      <w:r>
        <w:rPr>
          <w:color w:val="0D0D0D" w:themeColor="text1" w:themeTint="F2"/>
          <w:sz w:val="26"/>
          <w:szCs w:val="26"/>
        </w:rPr>
        <w:lastRenderedPageBreak/>
        <w:t xml:space="preserve">(3)  </w:t>
      </w:r>
      <w:r>
        <w:rPr>
          <w:sz w:val="26"/>
          <w:szCs w:val="26"/>
        </w:rPr>
        <w:t>Include language</w:t>
      </w:r>
      <w:r>
        <w:rPr>
          <w:color w:val="0D0D0D" w:themeColor="text1" w:themeTint="F2"/>
          <w:sz w:val="26"/>
          <w:szCs w:val="26"/>
        </w:rPr>
        <w:t xml:space="preserve"> in the </w:t>
      </w:r>
      <w:proofErr w:type="gramStart"/>
      <w:r>
        <w:rPr>
          <w:color w:val="0D0D0D" w:themeColor="text1" w:themeTint="F2"/>
          <w:sz w:val="26"/>
          <w:szCs w:val="26"/>
        </w:rPr>
        <w:t>Revised</w:t>
      </w:r>
      <w:proofErr w:type="gramEnd"/>
      <w:r>
        <w:rPr>
          <w:color w:val="0D0D0D" w:themeColor="text1" w:themeTint="F2"/>
          <w:sz w:val="26"/>
          <w:szCs w:val="26"/>
        </w:rPr>
        <w:t xml:space="preserve"> 2014-2016 Plan</w:t>
      </w:r>
      <w:r w:rsidRPr="007C5A1E">
        <w:rPr>
          <w:color w:val="0D0D0D" w:themeColor="text1" w:themeTint="F2"/>
          <w:sz w:val="26"/>
          <w:szCs w:val="26"/>
        </w:rPr>
        <w:t xml:space="preserve"> </w:t>
      </w:r>
      <w:r>
        <w:rPr>
          <w:color w:val="0D0D0D" w:themeColor="text1" w:themeTint="F2"/>
          <w:sz w:val="26"/>
          <w:szCs w:val="26"/>
        </w:rPr>
        <w:t>to clarify</w:t>
      </w:r>
      <w:r w:rsidRPr="007C5A1E">
        <w:rPr>
          <w:color w:val="0D0D0D" w:themeColor="text1" w:themeTint="F2"/>
          <w:sz w:val="26"/>
          <w:szCs w:val="26"/>
        </w:rPr>
        <w:t xml:space="preserve"> that </w:t>
      </w:r>
      <w:proofErr w:type="spellStart"/>
      <w:r w:rsidRPr="007C5A1E">
        <w:rPr>
          <w:color w:val="0D0D0D" w:themeColor="text1" w:themeTint="F2"/>
          <w:sz w:val="26"/>
          <w:szCs w:val="26"/>
        </w:rPr>
        <w:t>OnTrack</w:t>
      </w:r>
      <w:proofErr w:type="spellEnd"/>
      <w:r w:rsidRPr="007C5A1E">
        <w:rPr>
          <w:color w:val="0D0D0D" w:themeColor="text1" w:themeTint="F2"/>
          <w:sz w:val="26"/>
          <w:szCs w:val="26"/>
        </w:rPr>
        <w:t xml:space="preserve"> customers receive arrearage forgiveness for each timely and in-full monthly payment, regardless of arrears, </w:t>
      </w:r>
      <w:r w:rsidRPr="007C5A1E">
        <w:rPr>
          <w:color w:val="0D0D0D" w:themeColor="text1" w:themeTint="F2"/>
          <w:sz w:val="26"/>
          <w:szCs w:val="26"/>
          <w:u w:val="single"/>
        </w:rPr>
        <w:t>and</w:t>
      </w:r>
      <w:r w:rsidRPr="007C5A1E">
        <w:rPr>
          <w:color w:val="0D0D0D" w:themeColor="text1" w:themeTint="F2"/>
          <w:sz w:val="26"/>
          <w:szCs w:val="26"/>
        </w:rPr>
        <w:t xml:space="preserve"> retroactive forgiveness for any months missed once the account is caught up.</w:t>
      </w:r>
    </w:p>
    <w:p w:rsidR="00334C5A" w:rsidRDefault="00334C5A" w:rsidP="00334C5A">
      <w:pPr>
        <w:spacing w:line="360" w:lineRule="auto"/>
        <w:rPr>
          <w:color w:val="0D0D0D" w:themeColor="text1" w:themeTint="F2"/>
          <w:sz w:val="26"/>
          <w:szCs w:val="26"/>
        </w:rPr>
      </w:pPr>
    </w:p>
    <w:p w:rsidR="00334C5A" w:rsidRDefault="00334C5A" w:rsidP="00334C5A">
      <w:pPr>
        <w:spacing w:line="360" w:lineRule="auto"/>
        <w:rPr>
          <w:color w:val="0D0D0D" w:themeColor="text1" w:themeTint="F2"/>
          <w:sz w:val="26"/>
          <w:szCs w:val="26"/>
        </w:rPr>
      </w:pPr>
      <w:r>
        <w:rPr>
          <w:color w:val="0D0D0D" w:themeColor="text1" w:themeTint="F2"/>
          <w:sz w:val="26"/>
          <w:szCs w:val="26"/>
        </w:rPr>
        <w:t xml:space="preserve">(4)  Beginning by January 2016 or earlier, PPL will update it system to apply any excess </w:t>
      </w:r>
      <w:proofErr w:type="spellStart"/>
      <w:r>
        <w:rPr>
          <w:color w:val="0D0D0D" w:themeColor="text1" w:themeTint="F2"/>
          <w:sz w:val="26"/>
          <w:szCs w:val="26"/>
        </w:rPr>
        <w:t>OnTrack</w:t>
      </w:r>
      <w:proofErr w:type="spellEnd"/>
      <w:r>
        <w:rPr>
          <w:color w:val="0D0D0D" w:themeColor="text1" w:themeTint="F2"/>
          <w:sz w:val="26"/>
          <w:szCs w:val="26"/>
        </w:rPr>
        <w:t xml:space="preserve"> payments first to any existing program arrears and then to the next month’s </w:t>
      </w:r>
      <w:proofErr w:type="spellStart"/>
      <w:r>
        <w:rPr>
          <w:color w:val="0D0D0D" w:themeColor="text1" w:themeTint="F2"/>
          <w:sz w:val="26"/>
          <w:szCs w:val="26"/>
        </w:rPr>
        <w:t>OnTrack</w:t>
      </w:r>
      <w:proofErr w:type="spellEnd"/>
      <w:r>
        <w:rPr>
          <w:color w:val="0D0D0D" w:themeColor="text1" w:themeTint="F2"/>
          <w:sz w:val="26"/>
          <w:szCs w:val="26"/>
        </w:rPr>
        <w:t xml:space="preserve"> payment.  The Company will include this payment application</w:t>
      </w:r>
      <w:r w:rsidRPr="007543ED">
        <w:rPr>
          <w:color w:val="0D0D0D" w:themeColor="text1" w:themeTint="F2"/>
          <w:sz w:val="26"/>
          <w:szCs w:val="26"/>
        </w:rPr>
        <w:t xml:space="preserve"> change in its </w:t>
      </w:r>
      <w:proofErr w:type="gramStart"/>
      <w:r>
        <w:rPr>
          <w:color w:val="0D0D0D" w:themeColor="text1" w:themeTint="F2"/>
          <w:sz w:val="26"/>
          <w:szCs w:val="26"/>
        </w:rPr>
        <w:t>Revised</w:t>
      </w:r>
      <w:proofErr w:type="gramEnd"/>
      <w:r>
        <w:rPr>
          <w:color w:val="0D0D0D" w:themeColor="text1" w:themeTint="F2"/>
          <w:sz w:val="26"/>
          <w:szCs w:val="26"/>
        </w:rPr>
        <w:t xml:space="preserve"> 2014-2016 Plan and provide quarterly updates on system enhancement progress to all parties and BCS beginning January 1, 2015, and continuing until the system </w:t>
      </w:r>
      <w:r w:rsidRPr="009662CD">
        <w:rPr>
          <w:color w:val="0D0D0D" w:themeColor="text1" w:themeTint="F2"/>
          <w:sz w:val="26"/>
          <w:szCs w:val="26"/>
        </w:rPr>
        <w:t>enhancement is completed.</w:t>
      </w:r>
    </w:p>
    <w:p w:rsidR="00334C5A" w:rsidRPr="009662CD" w:rsidRDefault="00334C5A" w:rsidP="00334C5A">
      <w:pPr>
        <w:spacing w:line="360" w:lineRule="auto"/>
        <w:rPr>
          <w:color w:val="0D0D0D" w:themeColor="text1" w:themeTint="F2"/>
          <w:sz w:val="26"/>
          <w:szCs w:val="26"/>
        </w:rPr>
      </w:pPr>
    </w:p>
    <w:p w:rsidR="00334C5A" w:rsidRPr="009662CD" w:rsidRDefault="00334C5A" w:rsidP="00334C5A">
      <w:pPr>
        <w:spacing w:line="360" w:lineRule="auto"/>
        <w:rPr>
          <w:color w:val="0D0D0D" w:themeColor="text1" w:themeTint="F2"/>
          <w:sz w:val="26"/>
          <w:szCs w:val="26"/>
        </w:rPr>
      </w:pPr>
      <w:r w:rsidRPr="009662CD">
        <w:rPr>
          <w:color w:val="0D0D0D" w:themeColor="text1" w:themeTint="F2"/>
          <w:sz w:val="26"/>
          <w:szCs w:val="26"/>
        </w:rPr>
        <w:t xml:space="preserve">(5)  Beginning by January 2016 or earlier, PPL will update its system to apply any excess </w:t>
      </w:r>
      <w:proofErr w:type="spellStart"/>
      <w:r w:rsidRPr="009662CD">
        <w:rPr>
          <w:color w:val="0D0D0D" w:themeColor="text1" w:themeTint="F2"/>
          <w:sz w:val="26"/>
          <w:szCs w:val="26"/>
        </w:rPr>
        <w:t>OnTrack</w:t>
      </w:r>
      <w:proofErr w:type="spellEnd"/>
      <w:r w:rsidRPr="009662CD">
        <w:rPr>
          <w:color w:val="0D0D0D" w:themeColor="text1" w:themeTint="F2"/>
          <w:sz w:val="26"/>
          <w:szCs w:val="26"/>
        </w:rPr>
        <w:t xml:space="preserve"> payments first to any existing program arrears and then to the next month’s </w:t>
      </w:r>
      <w:proofErr w:type="spellStart"/>
      <w:r w:rsidRPr="009662CD">
        <w:rPr>
          <w:color w:val="0D0D0D" w:themeColor="text1" w:themeTint="F2"/>
          <w:sz w:val="26"/>
          <w:szCs w:val="26"/>
        </w:rPr>
        <w:t>OnTrack</w:t>
      </w:r>
      <w:proofErr w:type="spellEnd"/>
      <w:r w:rsidRPr="009662CD">
        <w:rPr>
          <w:color w:val="0D0D0D" w:themeColor="text1" w:themeTint="F2"/>
          <w:sz w:val="26"/>
          <w:szCs w:val="26"/>
        </w:rPr>
        <w:t xml:space="preserve"> payment.  The Company will include this payment application change in its revised 2014-2016 Plan.</w:t>
      </w:r>
    </w:p>
    <w:p w:rsidR="00334C5A" w:rsidRPr="009662CD" w:rsidRDefault="00334C5A" w:rsidP="00334C5A">
      <w:pPr>
        <w:spacing w:line="360" w:lineRule="auto"/>
        <w:rPr>
          <w:color w:val="0D0D0D" w:themeColor="text1" w:themeTint="F2"/>
          <w:sz w:val="26"/>
          <w:szCs w:val="26"/>
        </w:rPr>
      </w:pPr>
    </w:p>
    <w:p w:rsidR="00334C5A" w:rsidRDefault="00334C5A" w:rsidP="00334C5A">
      <w:pPr>
        <w:spacing w:line="360" w:lineRule="auto"/>
        <w:contextualSpacing/>
        <w:rPr>
          <w:sz w:val="26"/>
          <w:szCs w:val="26"/>
        </w:rPr>
      </w:pPr>
      <w:r>
        <w:rPr>
          <w:sz w:val="26"/>
          <w:szCs w:val="26"/>
        </w:rPr>
        <w:t xml:space="preserve">(6)  Include language in the </w:t>
      </w:r>
      <w:proofErr w:type="gramStart"/>
      <w:r>
        <w:rPr>
          <w:sz w:val="26"/>
          <w:szCs w:val="26"/>
        </w:rPr>
        <w:t>Revised</w:t>
      </w:r>
      <w:proofErr w:type="gramEnd"/>
      <w:r>
        <w:rPr>
          <w:sz w:val="26"/>
          <w:szCs w:val="26"/>
        </w:rPr>
        <w:t xml:space="preserve"> 2014-2016 Plan that clarifies WRAP eligibility criteria regarding premises that have previously received </w:t>
      </w:r>
      <w:proofErr w:type="spellStart"/>
      <w:r>
        <w:rPr>
          <w:sz w:val="26"/>
          <w:szCs w:val="26"/>
        </w:rPr>
        <w:t>baseload</w:t>
      </w:r>
      <w:proofErr w:type="spellEnd"/>
      <w:r>
        <w:rPr>
          <w:sz w:val="26"/>
          <w:szCs w:val="26"/>
        </w:rPr>
        <w:t xml:space="preserve"> or Act 129 energy efficiency kits.</w:t>
      </w:r>
    </w:p>
    <w:p w:rsidR="00334C5A" w:rsidRDefault="00334C5A" w:rsidP="00334C5A">
      <w:pPr>
        <w:spacing w:line="360" w:lineRule="auto"/>
        <w:contextualSpacing/>
        <w:rPr>
          <w:sz w:val="26"/>
          <w:szCs w:val="26"/>
        </w:rPr>
      </w:pPr>
    </w:p>
    <w:p w:rsidR="00334C5A" w:rsidRDefault="00334C5A" w:rsidP="00334C5A">
      <w:pPr>
        <w:spacing w:line="360" w:lineRule="auto"/>
        <w:contextualSpacing/>
        <w:rPr>
          <w:sz w:val="26"/>
          <w:szCs w:val="26"/>
        </w:rPr>
      </w:pPr>
      <w:r>
        <w:rPr>
          <w:sz w:val="26"/>
          <w:szCs w:val="26"/>
        </w:rPr>
        <w:t>(7)  Include language in the Revised 2014-2016 Plan that allows households with income that is less than rent or mortgage amounts, to demonstrate how those expenses will be met prior to disqualification from WRAP.</w:t>
      </w:r>
    </w:p>
    <w:p w:rsidR="00334C5A" w:rsidRDefault="00334C5A" w:rsidP="00334C5A">
      <w:pPr>
        <w:spacing w:line="360" w:lineRule="auto"/>
        <w:contextualSpacing/>
        <w:rPr>
          <w:sz w:val="26"/>
          <w:szCs w:val="26"/>
        </w:rPr>
      </w:pPr>
    </w:p>
    <w:p w:rsidR="00334C5A" w:rsidRDefault="00334C5A" w:rsidP="00334C5A">
      <w:pPr>
        <w:spacing w:line="360" w:lineRule="auto"/>
        <w:contextualSpacing/>
        <w:rPr>
          <w:sz w:val="26"/>
          <w:szCs w:val="26"/>
        </w:rPr>
      </w:pPr>
      <w:r>
        <w:rPr>
          <w:sz w:val="26"/>
          <w:szCs w:val="26"/>
        </w:rPr>
        <w:t xml:space="preserve">(8)  Remove language from the Revised 2014-2016 Plan that relates to specific square footage and the potential sale and occupancy </w:t>
      </w:r>
      <w:proofErr w:type="gramStart"/>
      <w:r>
        <w:rPr>
          <w:sz w:val="26"/>
          <w:szCs w:val="26"/>
        </w:rPr>
        <w:t>of a premises</w:t>
      </w:r>
      <w:proofErr w:type="gramEnd"/>
      <w:r>
        <w:rPr>
          <w:sz w:val="26"/>
          <w:szCs w:val="26"/>
        </w:rPr>
        <w:t xml:space="preserve">, as an eligibility requirement for WRAP. </w:t>
      </w:r>
    </w:p>
    <w:p w:rsidR="00334C5A" w:rsidRDefault="00334C5A" w:rsidP="00334C5A">
      <w:pPr>
        <w:spacing w:line="360" w:lineRule="auto"/>
        <w:contextualSpacing/>
        <w:rPr>
          <w:sz w:val="26"/>
          <w:szCs w:val="26"/>
        </w:rPr>
      </w:pPr>
    </w:p>
    <w:p w:rsidR="00334C5A" w:rsidRDefault="00334C5A" w:rsidP="00334C5A">
      <w:pPr>
        <w:spacing w:line="360" w:lineRule="auto"/>
        <w:contextualSpacing/>
        <w:rPr>
          <w:sz w:val="26"/>
          <w:szCs w:val="26"/>
        </w:rPr>
      </w:pPr>
      <w:r>
        <w:rPr>
          <w:sz w:val="26"/>
          <w:szCs w:val="26"/>
        </w:rPr>
        <w:t xml:space="preserve">(9)  Include language in the </w:t>
      </w:r>
      <w:proofErr w:type="gramStart"/>
      <w:r>
        <w:rPr>
          <w:sz w:val="26"/>
          <w:szCs w:val="26"/>
        </w:rPr>
        <w:t>Revised</w:t>
      </w:r>
      <w:proofErr w:type="gramEnd"/>
      <w:r>
        <w:rPr>
          <w:sz w:val="26"/>
          <w:szCs w:val="26"/>
        </w:rPr>
        <w:t xml:space="preserve"> 2014-2016 Plan that reinstates the allowance for health and safety in </w:t>
      </w:r>
      <w:proofErr w:type="spellStart"/>
      <w:r>
        <w:rPr>
          <w:sz w:val="26"/>
          <w:szCs w:val="26"/>
        </w:rPr>
        <w:t>baseload</w:t>
      </w:r>
      <w:proofErr w:type="spellEnd"/>
      <w:r>
        <w:rPr>
          <w:sz w:val="26"/>
          <w:szCs w:val="26"/>
        </w:rPr>
        <w:t xml:space="preserve"> jobs, raising the amount from $200 to $250, and that allows </w:t>
      </w:r>
      <w:r w:rsidRPr="000A6C9D">
        <w:rPr>
          <w:sz w:val="26"/>
          <w:szCs w:val="26"/>
        </w:rPr>
        <w:t>contractors to spend up to $650 in health and safety measures for full cost jobs</w:t>
      </w:r>
      <w:r>
        <w:rPr>
          <w:sz w:val="26"/>
          <w:szCs w:val="26"/>
        </w:rPr>
        <w:t>.</w:t>
      </w:r>
    </w:p>
    <w:p w:rsidR="00334C5A" w:rsidRDefault="00334C5A" w:rsidP="00334C5A">
      <w:pPr>
        <w:spacing w:line="360" w:lineRule="auto"/>
        <w:contextualSpacing/>
        <w:rPr>
          <w:sz w:val="26"/>
          <w:szCs w:val="26"/>
        </w:rPr>
      </w:pPr>
    </w:p>
    <w:p w:rsidR="00334C5A" w:rsidRPr="005B3DF7" w:rsidRDefault="00334C5A" w:rsidP="00334C5A">
      <w:pPr>
        <w:spacing w:line="360" w:lineRule="auto"/>
        <w:contextualSpacing/>
        <w:rPr>
          <w:sz w:val="26"/>
          <w:szCs w:val="26"/>
        </w:rPr>
      </w:pPr>
      <w:r>
        <w:rPr>
          <w:sz w:val="26"/>
          <w:szCs w:val="26"/>
        </w:rPr>
        <w:t xml:space="preserve">(10)  Include the updated needs assessment based on 2012 Census data in its Revised 2014-2016 Plan. </w:t>
      </w:r>
    </w:p>
    <w:p w:rsidR="00334C5A" w:rsidRDefault="00334C5A" w:rsidP="00334C5A">
      <w:pPr>
        <w:spacing w:line="360" w:lineRule="auto"/>
        <w:contextualSpacing/>
        <w:rPr>
          <w:sz w:val="26"/>
          <w:szCs w:val="26"/>
        </w:rPr>
      </w:pPr>
    </w:p>
    <w:p w:rsidR="00334C5A" w:rsidRPr="001E62AB" w:rsidRDefault="00334C5A" w:rsidP="00334C5A">
      <w:pPr>
        <w:keepNext/>
        <w:spacing w:line="360" w:lineRule="auto"/>
        <w:ind w:firstLine="720"/>
        <w:rPr>
          <w:color w:val="0D0D0D" w:themeColor="text1" w:themeTint="F2"/>
          <w:sz w:val="26"/>
          <w:szCs w:val="26"/>
        </w:rPr>
      </w:pPr>
      <w:r w:rsidRPr="006379DF">
        <w:rPr>
          <w:sz w:val="26"/>
          <w:szCs w:val="26"/>
        </w:rPr>
        <w:t xml:space="preserve">Having addressed </w:t>
      </w:r>
      <w:r>
        <w:rPr>
          <w:sz w:val="26"/>
          <w:szCs w:val="26"/>
        </w:rPr>
        <w:t>PPL’s</w:t>
      </w:r>
      <w:r w:rsidRPr="006379DF">
        <w:rPr>
          <w:sz w:val="26"/>
          <w:szCs w:val="26"/>
        </w:rPr>
        <w:t xml:space="preserve"> Plan and the comments and reply comments, we note that any issue, comment, or reply comment requesting a further deviation from the </w:t>
      </w:r>
      <w:r>
        <w:rPr>
          <w:sz w:val="26"/>
          <w:szCs w:val="26"/>
        </w:rPr>
        <w:t xml:space="preserve">Proposed  </w:t>
      </w:r>
      <w:r w:rsidRPr="006379DF">
        <w:rPr>
          <w:sz w:val="26"/>
          <w:szCs w:val="26"/>
        </w:rPr>
        <w:t>2014-2016</w:t>
      </w:r>
      <w:r>
        <w:rPr>
          <w:sz w:val="26"/>
          <w:szCs w:val="26"/>
        </w:rPr>
        <w:t xml:space="preserve"> Plan</w:t>
      </w:r>
      <w:r w:rsidRPr="006379DF">
        <w:rPr>
          <w:sz w:val="26"/>
          <w:szCs w:val="26"/>
        </w:rPr>
        <w:t>, but which we may not have specifically delineated herein, shall be deemed to have been duly considered and denied without further discussion.  The Commission is not required to consider expressly or at length each contention or argument raised by the parties.  Consolidated Rail Corp. v. Pa. PUC, 625 A.2d 741 (Pa. Cmwlth. 1993); also see, generally, U. of PA v. Pa. PUC, 485 A.2d 1217 (Pa. Cmwlth. 1984)</w:t>
      </w:r>
      <w:r>
        <w:rPr>
          <w:sz w:val="26"/>
          <w:szCs w:val="26"/>
        </w:rPr>
        <w:t xml:space="preserve">; </w:t>
      </w:r>
      <w:r w:rsidRPr="001E62AB">
        <w:rPr>
          <w:b/>
          <w:sz w:val="26"/>
          <w:szCs w:val="26"/>
        </w:rPr>
        <w:t>THEREFORE,</w:t>
      </w:r>
    </w:p>
    <w:p w:rsidR="00334C5A" w:rsidRPr="001E62AB" w:rsidRDefault="00334C5A" w:rsidP="00334C5A">
      <w:pPr>
        <w:keepNext/>
        <w:spacing w:line="360" w:lineRule="auto"/>
        <w:rPr>
          <w:b/>
          <w:sz w:val="26"/>
          <w:szCs w:val="26"/>
        </w:rPr>
      </w:pPr>
    </w:p>
    <w:p w:rsidR="00334C5A" w:rsidRPr="001E62AB" w:rsidRDefault="00334C5A" w:rsidP="00334C5A">
      <w:pPr>
        <w:keepNext/>
        <w:spacing w:line="360" w:lineRule="auto"/>
        <w:rPr>
          <w:sz w:val="26"/>
          <w:szCs w:val="26"/>
        </w:rPr>
      </w:pPr>
      <w:r w:rsidRPr="001E62AB">
        <w:rPr>
          <w:b/>
          <w:sz w:val="26"/>
          <w:szCs w:val="26"/>
        </w:rPr>
        <w:t>IT IS ORDERED:</w:t>
      </w:r>
    </w:p>
    <w:p w:rsidR="00334C5A" w:rsidRPr="001E62AB" w:rsidRDefault="00334C5A" w:rsidP="00334C5A">
      <w:pPr>
        <w:keepNext/>
        <w:spacing w:line="360" w:lineRule="auto"/>
        <w:rPr>
          <w:sz w:val="26"/>
          <w:szCs w:val="26"/>
        </w:rPr>
      </w:pPr>
    </w:p>
    <w:p w:rsidR="00334C5A" w:rsidRDefault="00334C5A" w:rsidP="00334C5A">
      <w:pPr>
        <w:spacing w:line="360" w:lineRule="auto"/>
        <w:ind w:firstLine="720"/>
        <w:rPr>
          <w:sz w:val="26"/>
          <w:szCs w:val="26"/>
        </w:rPr>
      </w:pPr>
      <w:r>
        <w:rPr>
          <w:sz w:val="26"/>
          <w:szCs w:val="26"/>
        </w:rPr>
        <w:t xml:space="preserve">1.  </w:t>
      </w:r>
      <w:r w:rsidRPr="00EC314B">
        <w:rPr>
          <w:color w:val="0D0D0D" w:themeColor="text1" w:themeTint="F2"/>
          <w:sz w:val="26"/>
          <w:szCs w:val="26"/>
        </w:rPr>
        <w:t>That a</w:t>
      </w:r>
      <w:r>
        <w:rPr>
          <w:color w:val="0D0D0D" w:themeColor="text1" w:themeTint="F2"/>
          <w:sz w:val="26"/>
          <w:szCs w:val="26"/>
        </w:rPr>
        <w:t>pproval herein at Docket No. M-2013-2367021</w:t>
      </w:r>
      <w:r w:rsidRPr="00EC314B">
        <w:rPr>
          <w:color w:val="0D0D0D" w:themeColor="text1" w:themeTint="F2"/>
          <w:sz w:val="26"/>
          <w:szCs w:val="26"/>
        </w:rPr>
        <w:t xml:space="preserve"> relative to </w:t>
      </w:r>
      <w:r>
        <w:rPr>
          <w:color w:val="0D0D0D" w:themeColor="text1" w:themeTint="F2"/>
          <w:sz w:val="26"/>
          <w:szCs w:val="26"/>
        </w:rPr>
        <w:t>PPL Electric Utilities Corporation</w:t>
      </w:r>
      <w:r w:rsidRPr="00EC314B">
        <w:rPr>
          <w:color w:val="0D0D0D" w:themeColor="text1" w:themeTint="F2"/>
          <w:sz w:val="26"/>
          <w:szCs w:val="26"/>
        </w:rPr>
        <w:t>’s U</w:t>
      </w:r>
      <w:r>
        <w:rPr>
          <w:color w:val="0D0D0D" w:themeColor="text1" w:themeTint="F2"/>
          <w:sz w:val="26"/>
          <w:szCs w:val="26"/>
        </w:rPr>
        <w:t xml:space="preserve">niversal </w:t>
      </w:r>
      <w:r w:rsidRPr="00EC314B">
        <w:rPr>
          <w:color w:val="0D0D0D" w:themeColor="text1" w:themeTint="F2"/>
          <w:sz w:val="26"/>
          <w:szCs w:val="26"/>
        </w:rPr>
        <w:t>S</w:t>
      </w:r>
      <w:r>
        <w:rPr>
          <w:color w:val="0D0D0D" w:themeColor="text1" w:themeTint="F2"/>
          <w:sz w:val="26"/>
          <w:szCs w:val="26"/>
        </w:rPr>
        <w:t xml:space="preserve">ervice and </w:t>
      </w:r>
      <w:r w:rsidRPr="00EC314B">
        <w:rPr>
          <w:color w:val="0D0D0D" w:themeColor="text1" w:themeTint="F2"/>
          <w:sz w:val="26"/>
          <w:szCs w:val="26"/>
        </w:rPr>
        <w:t>E</w:t>
      </w:r>
      <w:r>
        <w:rPr>
          <w:color w:val="0D0D0D" w:themeColor="text1" w:themeTint="F2"/>
          <w:sz w:val="26"/>
          <w:szCs w:val="26"/>
        </w:rPr>
        <w:t xml:space="preserve">nergy </w:t>
      </w:r>
      <w:r w:rsidRPr="00EC314B">
        <w:rPr>
          <w:color w:val="0D0D0D" w:themeColor="text1" w:themeTint="F2"/>
          <w:sz w:val="26"/>
          <w:szCs w:val="26"/>
        </w:rPr>
        <w:t>C</w:t>
      </w:r>
      <w:r>
        <w:rPr>
          <w:color w:val="0D0D0D" w:themeColor="text1" w:themeTint="F2"/>
          <w:sz w:val="26"/>
          <w:szCs w:val="26"/>
        </w:rPr>
        <w:t xml:space="preserve">onservation </w:t>
      </w:r>
      <w:r w:rsidRPr="00EC314B">
        <w:rPr>
          <w:color w:val="0D0D0D" w:themeColor="text1" w:themeTint="F2"/>
          <w:sz w:val="26"/>
          <w:szCs w:val="26"/>
        </w:rPr>
        <w:t>P</w:t>
      </w:r>
      <w:r>
        <w:rPr>
          <w:color w:val="0D0D0D" w:themeColor="text1" w:themeTint="F2"/>
          <w:sz w:val="26"/>
          <w:szCs w:val="26"/>
        </w:rPr>
        <w:t>lan</w:t>
      </w:r>
      <w:r w:rsidRPr="00EC314B">
        <w:rPr>
          <w:color w:val="0D0D0D" w:themeColor="text1" w:themeTint="F2"/>
          <w:sz w:val="26"/>
          <w:szCs w:val="26"/>
        </w:rPr>
        <w:t xml:space="preserve"> does not address and, therefore, is not an approval of matters relating to shopping by </w:t>
      </w:r>
      <w:r>
        <w:rPr>
          <w:color w:val="0D0D0D" w:themeColor="text1" w:themeTint="F2"/>
          <w:sz w:val="26"/>
          <w:szCs w:val="26"/>
        </w:rPr>
        <w:t xml:space="preserve">the utility’s </w:t>
      </w:r>
      <w:proofErr w:type="spellStart"/>
      <w:r>
        <w:rPr>
          <w:color w:val="0D0D0D" w:themeColor="text1" w:themeTint="F2"/>
          <w:sz w:val="26"/>
          <w:szCs w:val="26"/>
        </w:rPr>
        <w:t>OnTrack</w:t>
      </w:r>
      <w:proofErr w:type="spellEnd"/>
      <w:r w:rsidRPr="00EC314B">
        <w:rPr>
          <w:color w:val="0D0D0D" w:themeColor="text1" w:themeTint="F2"/>
          <w:sz w:val="26"/>
          <w:szCs w:val="26"/>
        </w:rPr>
        <w:t xml:space="preserve"> customers.  Such matters </w:t>
      </w:r>
      <w:r>
        <w:rPr>
          <w:color w:val="0D0D0D" w:themeColor="text1" w:themeTint="F2"/>
          <w:sz w:val="26"/>
          <w:szCs w:val="26"/>
        </w:rPr>
        <w:t xml:space="preserve">should be addressed in the context of the utility’s Default Service Program and Procurement Plan proceeding, at Docket No. </w:t>
      </w:r>
      <w:proofErr w:type="gramStart"/>
      <w:r>
        <w:rPr>
          <w:color w:val="0D0D0D" w:themeColor="text1" w:themeTint="F2"/>
          <w:sz w:val="26"/>
          <w:szCs w:val="26"/>
        </w:rPr>
        <w:t>P-2012-2302074 or related dockets.</w:t>
      </w:r>
      <w:proofErr w:type="gramEnd"/>
    </w:p>
    <w:p w:rsidR="00334C5A" w:rsidRDefault="00334C5A" w:rsidP="00334C5A">
      <w:pPr>
        <w:spacing w:line="360" w:lineRule="auto"/>
        <w:ind w:firstLine="720"/>
        <w:rPr>
          <w:sz w:val="26"/>
          <w:szCs w:val="26"/>
        </w:rPr>
      </w:pPr>
    </w:p>
    <w:p w:rsidR="00334C5A" w:rsidRPr="001E62AB" w:rsidRDefault="00334C5A" w:rsidP="00334C5A">
      <w:pPr>
        <w:spacing w:line="360" w:lineRule="auto"/>
        <w:ind w:firstLine="720"/>
        <w:rPr>
          <w:sz w:val="26"/>
          <w:szCs w:val="26"/>
        </w:rPr>
      </w:pPr>
      <w:r>
        <w:rPr>
          <w:sz w:val="26"/>
          <w:szCs w:val="26"/>
        </w:rPr>
        <w:t xml:space="preserve">2.  </w:t>
      </w:r>
      <w:r w:rsidRPr="00C4016A">
        <w:rPr>
          <w:color w:val="0D0D0D" w:themeColor="text1" w:themeTint="F2"/>
          <w:sz w:val="26"/>
          <w:szCs w:val="26"/>
        </w:rPr>
        <w:t xml:space="preserve">That </w:t>
      </w:r>
      <w:r>
        <w:rPr>
          <w:color w:val="0D0D0D" w:themeColor="text1" w:themeTint="F2"/>
          <w:sz w:val="26"/>
          <w:szCs w:val="26"/>
        </w:rPr>
        <w:t>PPL Electric Utilities Corporation</w:t>
      </w:r>
      <w:r w:rsidRPr="00EC314B">
        <w:rPr>
          <w:color w:val="0D0D0D" w:themeColor="text1" w:themeTint="F2"/>
          <w:sz w:val="26"/>
          <w:szCs w:val="26"/>
        </w:rPr>
        <w:t xml:space="preserve">’s </w:t>
      </w:r>
      <w:r>
        <w:rPr>
          <w:color w:val="0D0D0D" w:themeColor="text1" w:themeTint="F2"/>
          <w:sz w:val="26"/>
          <w:szCs w:val="26"/>
        </w:rPr>
        <w:t>Proposed</w:t>
      </w:r>
      <w:r w:rsidRPr="00C4016A">
        <w:rPr>
          <w:color w:val="0D0D0D" w:themeColor="text1" w:themeTint="F2"/>
          <w:sz w:val="26"/>
          <w:szCs w:val="26"/>
        </w:rPr>
        <w:t xml:space="preserve"> Universal Service and Energy Conservation Plan fo</w:t>
      </w:r>
      <w:r>
        <w:rPr>
          <w:color w:val="0D0D0D" w:themeColor="text1" w:themeTint="F2"/>
          <w:sz w:val="26"/>
          <w:szCs w:val="26"/>
        </w:rPr>
        <w:t>r 2014-2016, as filed on June 3</w:t>
      </w:r>
      <w:r w:rsidRPr="00C4016A">
        <w:rPr>
          <w:color w:val="0D0D0D" w:themeColor="text1" w:themeTint="F2"/>
          <w:sz w:val="26"/>
          <w:szCs w:val="26"/>
        </w:rPr>
        <w:t>, 2013, is partially approved as consistent with Title 66 of the Pennsylvania Consolidated Statutes, Title 52 of the Pennsylvania Code, and Commission practice</w:t>
      </w:r>
      <w:r>
        <w:rPr>
          <w:color w:val="0D0D0D" w:themeColor="text1" w:themeTint="F2"/>
          <w:sz w:val="26"/>
          <w:szCs w:val="26"/>
        </w:rPr>
        <w:t>, consistent with this order</w:t>
      </w:r>
      <w:r w:rsidRPr="00C4016A">
        <w:rPr>
          <w:color w:val="0D0D0D" w:themeColor="text1" w:themeTint="F2"/>
          <w:sz w:val="26"/>
          <w:szCs w:val="26"/>
        </w:rPr>
        <w:t>.</w:t>
      </w:r>
    </w:p>
    <w:p w:rsidR="00334C5A" w:rsidRPr="001E62AB" w:rsidRDefault="00334C5A" w:rsidP="00334C5A">
      <w:pPr>
        <w:spacing w:line="360" w:lineRule="auto"/>
        <w:ind w:firstLine="720"/>
        <w:rPr>
          <w:sz w:val="26"/>
          <w:szCs w:val="26"/>
        </w:rPr>
      </w:pPr>
    </w:p>
    <w:p w:rsidR="00334C5A" w:rsidRDefault="00334C5A" w:rsidP="00334C5A">
      <w:pPr>
        <w:spacing w:line="360" w:lineRule="auto"/>
        <w:ind w:firstLine="720"/>
        <w:rPr>
          <w:color w:val="0D0D0D" w:themeColor="text1" w:themeTint="F2"/>
          <w:sz w:val="26"/>
          <w:szCs w:val="26"/>
        </w:rPr>
      </w:pPr>
      <w:r>
        <w:rPr>
          <w:sz w:val="26"/>
          <w:szCs w:val="26"/>
        </w:rPr>
        <w:t>3</w:t>
      </w:r>
      <w:r w:rsidRPr="001E62AB">
        <w:rPr>
          <w:sz w:val="26"/>
          <w:szCs w:val="26"/>
        </w:rPr>
        <w:t xml:space="preserve">.  </w:t>
      </w:r>
      <w:r w:rsidRPr="00C4016A">
        <w:rPr>
          <w:color w:val="0D0D0D" w:themeColor="text1" w:themeTint="F2"/>
          <w:sz w:val="26"/>
          <w:szCs w:val="26"/>
        </w:rPr>
        <w:t xml:space="preserve">That a copy of this Final Order </w:t>
      </w:r>
      <w:proofErr w:type="gramStart"/>
      <w:r w:rsidRPr="00C4016A">
        <w:rPr>
          <w:color w:val="0D0D0D" w:themeColor="text1" w:themeTint="F2"/>
          <w:sz w:val="26"/>
          <w:szCs w:val="26"/>
        </w:rPr>
        <w:t>be</w:t>
      </w:r>
      <w:proofErr w:type="gramEnd"/>
      <w:r w:rsidRPr="00C4016A">
        <w:rPr>
          <w:color w:val="0D0D0D" w:themeColor="text1" w:themeTint="F2"/>
          <w:sz w:val="26"/>
          <w:szCs w:val="26"/>
        </w:rPr>
        <w:t xml:space="preserve"> served on </w:t>
      </w:r>
      <w:r w:rsidRPr="001E62AB">
        <w:rPr>
          <w:sz w:val="26"/>
          <w:szCs w:val="26"/>
        </w:rPr>
        <w:t>PPL Electric Utilities Corporation</w:t>
      </w:r>
      <w:r>
        <w:rPr>
          <w:color w:val="0D0D0D" w:themeColor="text1" w:themeTint="F2"/>
          <w:sz w:val="26"/>
          <w:szCs w:val="26"/>
        </w:rPr>
        <w:t xml:space="preserve"> and the other parties to this proceeding</w:t>
      </w:r>
      <w:r w:rsidRPr="00C4016A">
        <w:rPr>
          <w:color w:val="0D0D0D" w:themeColor="text1" w:themeTint="F2"/>
          <w:sz w:val="26"/>
          <w:szCs w:val="26"/>
        </w:rPr>
        <w:t>.</w:t>
      </w:r>
    </w:p>
    <w:p w:rsidR="00334C5A" w:rsidRDefault="00334C5A" w:rsidP="00334C5A">
      <w:pPr>
        <w:spacing w:line="360" w:lineRule="auto"/>
        <w:ind w:firstLine="720"/>
        <w:rPr>
          <w:color w:val="0D0D0D" w:themeColor="text1" w:themeTint="F2"/>
          <w:sz w:val="26"/>
          <w:szCs w:val="26"/>
        </w:rPr>
      </w:pPr>
    </w:p>
    <w:p w:rsidR="00334C5A" w:rsidRPr="001E62AB" w:rsidRDefault="00334C5A" w:rsidP="00334C5A">
      <w:pPr>
        <w:spacing w:line="360" w:lineRule="auto"/>
        <w:ind w:firstLine="720"/>
        <w:rPr>
          <w:sz w:val="26"/>
          <w:szCs w:val="26"/>
        </w:rPr>
      </w:pPr>
      <w:r>
        <w:rPr>
          <w:sz w:val="26"/>
          <w:szCs w:val="26"/>
        </w:rPr>
        <w:lastRenderedPageBreak/>
        <w:t>4</w:t>
      </w:r>
      <w:r w:rsidRPr="001E62AB">
        <w:rPr>
          <w:sz w:val="26"/>
          <w:szCs w:val="26"/>
        </w:rPr>
        <w:t xml:space="preserve">.  </w:t>
      </w:r>
      <w:r w:rsidRPr="00C4016A">
        <w:rPr>
          <w:color w:val="0D0D0D" w:themeColor="text1" w:themeTint="F2"/>
          <w:sz w:val="26"/>
          <w:szCs w:val="26"/>
        </w:rPr>
        <w:t xml:space="preserve">That </w:t>
      </w:r>
      <w:r w:rsidRPr="001E62AB">
        <w:rPr>
          <w:sz w:val="26"/>
          <w:szCs w:val="26"/>
        </w:rPr>
        <w:t>PPL Electric Utilities Corporation</w:t>
      </w:r>
      <w:r w:rsidRPr="00C4016A">
        <w:rPr>
          <w:color w:val="0D0D0D" w:themeColor="text1" w:themeTint="F2"/>
          <w:sz w:val="26"/>
          <w:szCs w:val="26"/>
        </w:rPr>
        <w:t xml:space="preserve"> file </w:t>
      </w:r>
      <w:r>
        <w:rPr>
          <w:color w:val="0D0D0D" w:themeColor="text1" w:themeTint="F2"/>
          <w:sz w:val="26"/>
          <w:szCs w:val="26"/>
        </w:rPr>
        <w:t xml:space="preserve">and serve </w:t>
      </w:r>
      <w:r w:rsidRPr="00C4016A">
        <w:rPr>
          <w:color w:val="0D0D0D" w:themeColor="text1" w:themeTint="F2"/>
          <w:sz w:val="26"/>
          <w:szCs w:val="26"/>
        </w:rPr>
        <w:t>a Revised Universal Service and Energy Conservation Plan for 2014-2016, consistent with this order, within 30 days of the entry date of this order.</w:t>
      </w:r>
    </w:p>
    <w:p w:rsidR="00334C5A" w:rsidRPr="001E62AB" w:rsidRDefault="00334C5A" w:rsidP="00334C5A">
      <w:pPr>
        <w:spacing w:line="360" w:lineRule="auto"/>
        <w:ind w:firstLine="720"/>
        <w:rPr>
          <w:sz w:val="26"/>
          <w:szCs w:val="26"/>
        </w:rPr>
      </w:pPr>
    </w:p>
    <w:p w:rsidR="00334C5A" w:rsidRPr="001E62AB" w:rsidRDefault="00334C5A" w:rsidP="00334C5A">
      <w:pPr>
        <w:spacing w:line="360" w:lineRule="auto"/>
        <w:ind w:firstLine="720"/>
        <w:rPr>
          <w:sz w:val="26"/>
          <w:szCs w:val="26"/>
        </w:rPr>
      </w:pPr>
      <w:r>
        <w:rPr>
          <w:sz w:val="26"/>
          <w:szCs w:val="26"/>
        </w:rPr>
        <w:t>5</w:t>
      </w:r>
      <w:r w:rsidRPr="001E62AB">
        <w:rPr>
          <w:sz w:val="26"/>
          <w:szCs w:val="26"/>
        </w:rPr>
        <w:t xml:space="preserve">.  </w:t>
      </w:r>
      <w:r w:rsidRPr="00C4016A">
        <w:rPr>
          <w:color w:val="0D0D0D" w:themeColor="text1" w:themeTint="F2"/>
          <w:sz w:val="26"/>
          <w:szCs w:val="26"/>
        </w:rPr>
        <w:t xml:space="preserve">That a copy of this Final Order be posted on the Commission’s website at </w:t>
      </w:r>
      <w:hyperlink r:id="rId15" w:history="1">
        <w:r w:rsidRPr="00C4016A">
          <w:rPr>
            <w:color w:val="0000FF"/>
            <w:sz w:val="26"/>
            <w:szCs w:val="26"/>
            <w:u w:val="single"/>
          </w:rPr>
          <w:t>http://www.puc.state.pa.us</w:t>
        </w:r>
      </w:hyperlink>
      <w:r w:rsidRPr="00C4016A">
        <w:rPr>
          <w:color w:val="0D0D0D" w:themeColor="text1" w:themeTint="F2"/>
          <w:sz w:val="26"/>
          <w:szCs w:val="26"/>
        </w:rPr>
        <w:t>.</w:t>
      </w:r>
    </w:p>
    <w:p w:rsidR="00334C5A" w:rsidRPr="001E62AB" w:rsidRDefault="00334C5A" w:rsidP="00334C5A">
      <w:pPr>
        <w:spacing w:line="360" w:lineRule="auto"/>
        <w:ind w:firstLine="720"/>
        <w:rPr>
          <w:sz w:val="26"/>
          <w:szCs w:val="26"/>
        </w:rPr>
      </w:pPr>
    </w:p>
    <w:p w:rsidR="00334C5A" w:rsidRPr="001E62AB" w:rsidRDefault="00334C5A" w:rsidP="00334C5A">
      <w:pPr>
        <w:spacing w:line="360" w:lineRule="auto"/>
        <w:rPr>
          <w:sz w:val="26"/>
          <w:szCs w:val="26"/>
        </w:rPr>
      </w:pPr>
      <w:r w:rsidRPr="001E62AB">
        <w:rPr>
          <w:sz w:val="26"/>
          <w:szCs w:val="26"/>
        </w:rPr>
        <w:tab/>
      </w:r>
      <w:r w:rsidRPr="001E62AB">
        <w:rPr>
          <w:sz w:val="26"/>
          <w:szCs w:val="26"/>
        </w:rPr>
        <w:tab/>
      </w:r>
      <w:r w:rsidRPr="001E62AB">
        <w:rPr>
          <w:sz w:val="26"/>
          <w:szCs w:val="26"/>
        </w:rPr>
        <w:tab/>
      </w:r>
    </w:p>
    <w:p w:rsidR="00334C5A" w:rsidRPr="001E62AB" w:rsidRDefault="00334C5A" w:rsidP="00334C5A">
      <w:pPr>
        <w:spacing w:line="360" w:lineRule="auto"/>
        <w:rPr>
          <w:sz w:val="26"/>
          <w:szCs w:val="26"/>
        </w:rPr>
      </w:pPr>
    </w:p>
    <w:p w:rsidR="00334C5A" w:rsidRPr="001E62AB" w:rsidRDefault="00334C5A" w:rsidP="00334C5A">
      <w:pPr>
        <w:spacing w:line="360" w:lineRule="auto"/>
        <w:ind w:left="2880" w:firstLine="720"/>
        <w:rPr>
          <w:b/>
          <w:sz w:val="26"/>
          <w:szCs w:val="26"/>
        </w:rPr>
      </w:pPr>
      <w:r>
        <w:rPr>
          <w:noProof/>
        </w:rPr>
        <w:drawing>
          <wp:anchor distT="0" distB="0" distL="114300" distR="114300" simplePos="0" relativeHeight="251659264" behindDoc="1" locked="0" layoutInCell="1" allowOverlap="1" wp14:anchorId="5F8F8BA1" wp14:editId="20EC8565">
            <wp:simplePos x="0" y="0"/>
            <wp:positionH relativeFrom="column">
              <wp:posOffset>2664460</wp:posOffset>
            </wp:positionH>
            <wp:positionV relativeFrom="paragraph">
              <wp:posOffset>52705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1E62AB">
        <w:rPr>
          <w:sz w:val="26"/>
          <w:szCs w:val="26"/>
        </w:rPr>
        <w:tab/>
      </w:r>
      <w:r w:rsidRPr="001E62AB">
        <w:rPr>
          <w:b/>
          <w:sz w:val="26"/>
          <w:szCs w:val="26"/>
        </w:rPr>
        <w:t>BY THE COMMISSION,</w:t>
      </w:r>
    </w:p>
    <w:p w:rsidR="00334C5A" w:rsidRPr="001E62AB" w:rsidRDefault="00334C5A" w:rsidP="00334C5A">
      <w:pPr>
        <w:spacing w:line="360" w:lineRule="auto"/>
        <w:rPr>
          <w:sz w:val="26"/>
          <w:szCs w:val="26"/>
        </w:rPr>
      </w:pPr>
    </w:p>
    <w:p w:rsidR="00334C5A" w:rsidRPr="001E62AB" w:rsidRDefault="00334C5A" w:rsidP="00334C5A">
      <w:pPr>
        <w:spacing w:line="360" w:lineRule="auto"/>
        <w:rPr>
          <w:sz w:val="26"/>
          <w:szCs w:val="26"/>
        </w:rPr>
      </w:pPr>
    </w:p>
    <w:p w:rsidR="00334C5A" w:rsidRPr="001E62AB" w:rsidRDefault="00334C5A" w:rsidP="00334C5A">
      <w:pPr>
        <w:rPr>
          <w:sz w:val="26"/>
          <w:szCs w:val="26"/>
        </w:rPr>
      </w:pPr>
      <w:r w:rsidRPr="001E62AB">
        <w:rPr>
          <w:sz w:val="26"/>
          <w:szCs w:val="26"/>
        </w:rPr>
        <w:tab/>
      </w:r>
      <w:r w:rsidRPr="001E62AB">
        <w:rPr>
          <w:sz w:val="26"/>
          <w:szCs w:val="26"/>
        </w:rPr>
        <w:tab/>
      </w:r>
      <w:r w:rsidRPr="001E62AB">
        <w:rPr>
          <w:sz w:val="26"/>
          <w:szCs w:val="26"/>
        </w:rPr>
        <w:tab/>
      </w:r>
      <w:r w:rsidRPr="001E62AB">
        <w:rPr>
          <w:sz w:val="26"/>
          <w:szCs w:val="26"/>
        </w:rPr>
        <w:tab/>
      </w:r>
      <w:r w:rsidRPr="001E62AB">
        <w:rPr>
          <w:sz w:val="26"/>
          <w:szCs w:val="26"/>
        </w:rPr>
        <w:tab/>
      </w:r>
      <w:r w:rsidRPr="001E62AB">
        <w:rPr>
          <w:sz w:val="26"/>
          <w:szCs w:val="26"/>
        </w:rPr>
        <w:tab/>
        <w:t>Rosemary Chiavetta</w:t>
      </w:r>
    </w:p>
    <w:p w:rsidR="00334C5A" w:rsidRPr="001E62AB" w:rsidRDefault="00334C5A" w:rsidP="00334C5A">
      <w:pPr>
        <w:rPr>
          <w:sz w:val="26"/>
          <w:szCs w:val="26"/>
        </w:rPr>
      </w:pPr>
      <w:r w:rsidRPr="001E62AB">
        <w:rPr>
          <w:sz w:val="26"/>
          <w:szCs w:val="26"/>
        </w:rPr>
        <w:tab/>
      </w:r>
      <w:r w:rsidRPr="001E62AB">
        <w:rPr>
          <w:sz w:val="26"/>
          <w:szCs w:val="26"/>
        </w:rPr>
        <w:tab/>
      </w:r>
      <w:r w:rsidRPr="001E62AB">
        <w:rPr>
          <w:sz w:val="26"/>
          <w:szCs w:val="26"/>
        </w:rPr>
        <w:tab/>
      </w:r>
      <w:r w:rsidRPr="001E62AB">
        <w:rPr>
          <w:sz w:val="26"/>
          <w:szCs w:val="26"/>
        </w:rPr>
        <w:tab/>
      </w:r>
      <w:r w:rsidRPr="001E62AB">
        <w:rPr>
          <w:sz w:val="26"/>
          <w:szCs w:val="26"/>
        </w:rPr>
        <w:tab/>
      </w:r>
      <w:r w:rsidRPr="001E62AB">
        <w:rPr>
          <w:sz w:val="26"/>
          <w:szCs w:val="26"/>
        </w:rPr>
        <w:tab/>
        <w:t>Secretary</w:t>
      </w:r>
    </w:p>
    <w:p w:rsidR="00334C5A" w:rsidRPr="001E62AB" w:rsidRDefault="00334C5A" w:rsidP="00334C5A">
      <w:pPr>
        <w:spacing w:line="360" w:lineRule="auto"/>
        <w:rPr>
          <w:sz w:val="26"/>
          <w:szCs w:val="26"/>
        </w:rPr>
      </w:pPr>
    </w:p>
    <w:p w:rsidR="00334C5A" w:rsidRPr="001E62AB" w:rsidRDefault="00334C5A" w:rsidP="00334C5A">
      <w:pPr>
        <w:spacing w:line="360" w:lineRule="auto"/>
        <w:rPr>
          <w:sz w:val="26"/>
          <w:szCs w:val="26"/>
        </w:rPr>
      </w:pPr>
      <w:r w:rsidRPr="001E62AB">
        <w:rPr>
          <w:sz w:val="26"/>
          <w:szCs w:val="26"/>
        </w:rPr>
        <w:t>(SEAL)</w:t>
      </w:r>
    </w:p>
    <w:p w:rsidR="00334C5A" w:rsidRPr="001E62AB" w:rsidRDefault="00334C5A" w:rsidP="00334C5A">
      <w:pPr>
        <w:spacing w:line="360" w:lineRule="auto"/>
        <w:rPr>
          <w:sz w:val="26"/>
          <w:szCs w:val="26"/>
        </w:rPr>
      </w:pPr>
      <w:r w:rsidRPr="001E62AB">
        <w:rPr>
          <w:sz w:val="26"/>
          <w:szCs w:val="26"/>
        </w:rPr>
        <w:t xml:space="preserve">ORDER ADOPTED:  </w:t>
      </w:r>
      <w:r w:rsidRPr="001E62AB">
        <w:rPr>
          <w:sz w:val="26"/>
          <w:szCs w:val="26"/>
        </w:rPr>
        <w:tab/>
      </w:r>
      <w:r>
        <w:rPr>
          <w:sz w:val="26"/>
          <w:szCs w:val="26"/>
        </w:rPr>
        <w:t>September 11, 2014</w:t>
      </w:r>
    </w:p>
    <w:p w:rsidR="00334C5A" w:rsidRPr="001E62AB" w:rsidRDefault="00334C5A" w:rsidP="00334C5A">
      <w:pPr>
        <w:rPr>
          <w:sz w:val="26"/>
          <w:szCs w:val="26"/>
        </w:rPr>
      </w:pPr>
      <w:r w:rsidRPr="001E62AB">
        <w:rPr>
          <w:sz w:val="26"/>
          <w:szCs w:val="26"/>
        </w:rPr>
        <w:t xml:space="preserve">ORDER ENTERED:  </w:t>
      </w:r>
      <w:r w:rsidRPr="001E62AB">
        <w:rPr>
          <w:sz w:val="26"/>
          <w:szCs w:val="26"/>
        </w:rPr>
        <w:tab/>
      </w:r>
      <w:r>
        <w:rPr>
          <w:sz w:val="26"/>
          <w:szCs w:val="26"/>
        </w:rPr>
        <w:t>September 11, 2014</w:t>
      </w:r>
    </w:p>
    <w:p w:rsidR="00334C5A" w:rsidRPr="001E62AB" w:rsidRDefault="00334C5A" w:rsidP="00334C5A">
      <w:pPr>
        <w:rPr>
          <w:sz w:val="26"/>
          <w:szCs w:val="26"/>
        </w:rPr>
      </w:pPr>
    </w:p>
    <w:p w:rsidR="005D7A28" w:rsidRPr="00334C5A" w:rsidRDefault="005D7A28">
      <w:pPr>
        <w:rPr>
          <w:b/>
          <w:sz w:val="26"/>
          <w:szCs w:val="26"/>
        </w:rPr>
      </w:pPr>
    </w:p>
    <w:sectPr w:rsidR="005D7A28" w:rsidRPr="00334C5A" w:rsidSect="00983535">
      <w:pgSz w:w="12240" w:h="15840" w:code="1"/>
      <w:pgMar w:top="1152" w:right="1440" w:bottom="360" w:left="1440" w:header="720" w:footer="288" w:gutter="0"/>
      <w:paperSrc w:first="15"/>
      <w:pgNumType w:start="56"/>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DB3" w:rsidRDefault="00D13DB3">
      <w:r>
        <w:separator/>
      </w:r>
    </w:p>
  </w:endnote>
  <w:endnote w:type="continuationSeparator" w:id="0">
    <w:p w:rsidR="00D13DB3" w:rsidRDefault="00D13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ED3" w:rsidRDefault="000804B4" w:rsidP="004C67EF">
    <w:pPr>
      <w:pStyle w:val="Footer"/>
      <w:framePr w:wrap="around" w:vAnchor="text" w:hAnchor="margin" w:xAlign="center" w:y="1"/>
      <w:rPr>
        <w:rStyle w:val="PageNumber"/>
      </w:rPr>
    </w:pPr>
    <w:r>
      <w:rPr>
        <w:rStyle w:val="PageNumber"/>
      </w:rPr>
      <w:fldChar w:fldCharType="begin"/>
    </w:r>
    <w:r w:rsidR="00813ED3">
      <w:rPr>
        <w:rStyle w:val="PageNumber"/>
      </w:rPr>
      <w:instrText xml:space="preserve">PAGE  </w:instrText>
    </w:r>
    <w:r>
      <w:rPr>
        <w:rStyle w:val="PageNumber"/>
      </w:rPr>
      <w:fldChar w:fldCharType="separate"/>
    </w:r>
    <w:r w:rsidR="00813ED3">
      <w:rPr>
        <w:rStyle w:val="PageNumber"/>
        <w:noProof/>
      </w:rPr>
      <w:t>12</w:t>
    </w:r>
    <w:r>
      <w:rPr>
        <w:rStyle w:val="PageNumber"/>
      </w:rPr>
      <w:fldChar w:fldCharType="end"/>
    </w:r>
  </w:p>
  <w:p w:rsidR="00813ED3" w:rsidRDefault="00813E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2455889"/>
      <w:docPartObj>
        <w:docPartGallery w:val="Page Numbers (Bottom of Page)"/>
        <w:docPartUnique/>
      </w:docPartObj>
    </w:sdtPr>
    <w:sdtEndPr>
      <w:rPr>
        <w:noProof/>
      </w:rPr>
    </w:sdtEndPr>
    <w:sdtContent>
      <w:p w:rsidR="00E1663A" w:rsidRDefault="00E1663A">
        <w:pPr>
          <w:pStyle w:val="Footer"/>
          <w:jc w:val="center"/>
        </w:pPr>
        <w:r>
          <w:fldChar w:fldCharType="begin"/>
        </w:r>
        <w:r>
          <w:instrText xml:space="preserve"> PAGE   \* MERGEFORMAT </w:instrText>
        </w:r>
        <w:r>
          <w:fldChar w:fldCharType="separate"/>
        </w:r>
        <w:r w:rsidR="00D46068">
          <w:rPr>
            <w:noProof/>
          </w:rPr>
          <w:t>1</w:t>
        </w:r>
        <w:r>
          <w:rPr>
            <w:noProof/>
          </w:rPr>
          <w:fldChar w:fldCharType="end"/>
        </w:r>
      </w:p>
    </w:sdtContent>
  </w:sdt>
  <w:p w:rsidR="00711867" w:rsidRDefault="007118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ED3" w:rsidRPr="00DC42AE" w:rsidRDefault="00813ED3" w:rsidP="004C67EF">
    <w:pPr>
      <w:pStyle w:val="Footer"/>
      <w:framePr w:wrap="around" w:vAnchor="text" w:hAnchor="margin" w:xAlign="center" w:y="1"/>
      <w:rPr>
        <w:rStyle w:val="PageNumber"/>
        <w:sz w:val="20"/>
        <w:szCs w:val="20"/>
      </w:rPr>
    </w:pPr>
  </w:p>
  <w:p w:rsidR="00813ED3" w:rsidRDefault="00813E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DB3" w:rsidRDefault="00D13DB3">
      <w:r>
        <w:separator/>
      </w:r>
    </w:p>
  </w:footnote>
  <w:footnote w:type="continuationSeparator" w:id="0">
    <w:p w:rsidR="00D13DB3" w:rsidRDefault="00D13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535" w:rsidRDefault="009835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535" w:rsidRDefault="009835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535" w:rsidRDefault="009835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4C47"/>
    <w:multiLevelType w:val="hybridMultilevel"/>
    <w:tmpl w:val="78CC9220"/>
    <w:lvl w:ilvl="0" w:tplc="538C9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5897B4F"/>
    <w:multiLevelType w:val="hybridMultilevel"/>
    <w:tmpl w:val="C7382D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506D3559"/>
    <w:multiLevelType w:val="hybridMultilevel"/>
    <w:tmpl w:val="B0E4CD6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3392A5D2-1848-4048-9489-CAFCF57D5BAE}"/>
  </w:docVars>
  <w:rsids>
    <w:rsidRoot w:val="004B26E2"/>
    <w:rsid w:val="0000235B"/>
    <w:rsid w:val="00002894"/>
    <w:rsid w:val="00002A15"/>
    <w:rsid w:val="000102F5"/>
    <w:rsid w:val="000109B4"/>
    <w:rsid w:val="00010D5E"/>
    <w:rsid w:val="00010E8E"/>
    <w:rsid w:val="000133BF"/>
    <w:rsid w:val="00013DB9"/>
    <w:rsid w:val="000161C6"/>
    <w:rsid w:val="00022F41"/>
    <w:rsid w:val="0002403B"/>
    <w:rsid w:val="00030135"/>
    <w:rsid w:val="00031517"/>
    <w:rsid w:val="00031AB1"/>
    <w:rsid w:val="0003703E"/>
    <w:rsid w:val="00047AA7"/>
    <w:rsid w:val="000506CC"/>
    <w:rsid w:val="0005265C"/>
    <w:rsid w:val="00052E00"/>
    <w:rsid w:val="00053876"/>
    <w:rsid w:val="00053F4A"/>
    <w:rsid w:val="00056C15"/>
    <w:rsid w:val="00060C62"/>
    <w:rsid w:val="00061148"/>
    <w:rsid w:val="00061AA0"/>
    <w:rsid w:val="00061C90"/>
    <w:rsid w:val="00062745"/>
    <w:rsid w:val="000644C8"/>
    <w:rsid w:val="000666A6"/>
    <w:rsid w:val="00066BD9"/>
    <w:rsid w:val="00070539"/>
    <w:rsid w:val="000721A7"/>
    <w:rsid w:val="00076498"/>
    <w:rsid w:val="000804B4"/>
    <w:rsid w:val="00080770"/>
    <w:rsid w:val="00082AE5"/>
    <w:rsid w:val="000836E8"/>
    <w:rsid w:val="00084DC8"/>
    <w:rsid w:val="00086381"/>
    <w:rsid w:val="00086D28"/>
    <w:rsid w:val="000911D0"/>
    <w:rsid w:val="00091425"/>
    <w:rsid w:val="000929AD"/>
    <w:rsid w:val="0009326C"/>
    <w:rsid w:val="00094EB8"/>
    <w:rsid w:val="00096002"/>
    <w:rsid w:val="000963E1"/>
    <w:rsid w:val="000B41FF"/>
    <w:rsid w:val="000B6CCA"/>
    <w:rsid w:val="000C222E"/>
    <w:rsid w:val="000C3C3C"/>
    <w:rsid w:val="000C3FC8"/>
    <w:rsid w:val="000D1895"/>
    <w:rsid w:val="000D4246"/>
    <w:rsid w:val="000D4BF7"/>
    <w:rsid w:val="000D5396"/>
    <w:rsid w:val="000D5D9B"/>
    <w:rsid w:val="000E3E11"/>
    <w:rsid w:val="000F127E"/>
    <w:rsid w:val="000F1898"/>
    <w:rsid w:val="000F19D8"/>
    <w:rsid w:val="000F7144"/>
    <w:rsid w:val="00103367"/>
    <w:rsid w:val="001042CF"/>
    <w:rsid w:val="001078A7"/>
    <w:rsid w:val="001112A4"/>
    <w:rsid w:val="001168D3"/>
    <w:rsid w:val="0011699F"/>
    <w:rsid w:val="00120AA6"/>
    <w:rsid w:val="00120B3D"/>
    <w:rsid w:val="0012139C"/>
    <w:rsid w:val="0012411F"/>
    <w:rsid w:val="0013586B"/>
    <w:rsid w:val="00137061"/>
    <w:rsid w:val="00141564"/>
    <w:rsid w:val="0014205C"/>
    <w:rsid w:val="00143209"/>
    <w:rsid w:val="00146731"/>
    <w:rsid w:val="00146CF5"/>
    <w:rsid w:val="00150480"/>
    <w:rsid w:val="001519A2"/>
    <w:rsid w:val="00152EA1"/>
    <w:rsid w:val="00153032"/>
    <w:rsid w:val="001536B0"/>
    <w:rsid w:val="00155810"/>
    <w:rsid w:val="00157374"/>
    <w:rsid w:val="001603AA"/>
    <w:rsid w:val="001627F3"/>
    <w:rsid w:val="00164C05"/>
    <w:rsid w:val="00165F09"/>
    <w:rsid w:val="00167C84"/>
    <w:rsid w:val="00171372"/>
    <w:rsid w:val="00180DB7"/>
    <w:rsid w:val="00181657"/>
    <w:rsid w:val="0018284E"/>
    <w:rsid w:val="00183D08"/>
    <w:rsid w:val="001860C5"/>
    <w:rsid w:val="0019169D"/>
    <w:rsid w:val="001979F8"/>
    <w:rsid w:val="001A10FE"/>
    <w:rsid w:val="001A57BB"/>
    <w:rsid w:val="001B38EC"/>
    <w:rsid w:val="001B449A"/>
    <w:rsid w:val="001B4624"/>
    <w:rsid w:val="001B464F"/>
    <w:rsid w:val="001B54EB"/>
    <w:rsid w:val="001B5EE2"/>
    <w:rsid w:val="001C3F56"/>
    <w:rsid w:val="001C47C9"/>
    <w:rsid w:val="001C532C"/>
    <w:rsid w:val="001C7BD3"/>
    <w:rsid w:val="001D21B3"/>
    <w:rsid w:val="001D24AE"/>
    <w:rsid w:val="001D27B5"/>
    <w:rsid w:val="001D50CB"/>
    <w:rsid w:val="001D675D"/>
    <w:rsid w:val="001E2338"/>
    <w:rsid w:val="001E3BB5"/>
    <w:rsid w:val="001E6BE6"/>
    <w:rsid w:val="001E7E8D"/>
    <w:rsid w:val="001E7FB2"/>
    <w:rsid w:val="001F212D"/>
    <w:rsid w:val="001F25FF"/>
    <w:rsid w:val="001F2730"/>
    <w:rsid w:val="0020235D"/>
    <w:rsid w:val="00204634"/>
    <w:rsid w:val="00207B94"/>
    <w:rsid w:val="00210EA2"/>
    <w:rsid w:val="002164CF"/>
    <w:rsid w:val="00222945"/>
    <w:rsid w:val="002251C5"/>
    <w:rsid w:val="00225F9F"/>
    <w:rsid w:val="002276ED"/>
    <w:rsid w:val="00237568"/>
    <w:rsid w:val="0024433B"/>
    <w:rsid w:val="002450C9"/>
    <w:rsid w:val="00250A56"/>
    <w:rsid w:val="00250C39"/>
    <w:rsid w:val="002512CF"/>
    <w:rsid w:val="00256D90"/>
    <w:rsid w:val="00262477"/>
    <w:rsid w:val="00267645"/>
    <w:rsid w:val="00272A64"/>
    <w:rsid w:val="00273FEB"/>
    <w:rsid w:val="0027541F"/>
    <w:rsid w:val="0028156E"/>
    <w:rsid w:val="002824A3"/>
    <w:rsid w:val="00282E4F"/>
    <w:rsid w:val="002A1E10"/>
    <w:rsid w:val="002A635E"/>
    <w:rsid w:val="002A7E88"/>
    <w:rsid w:val="002B1224"/>
    <w:rsid w:val="002B2655"/>
    <w:rsid w:val="002B3F52"/>
    <w:rsid w:val="002C2009"/>
    <w:rsid w:val="002C237E"/>
    <w:rsid w:val="002C2E35"/>
    <w:rsid w:val="002C2FE7"/>
    <w:rsid w:val="002C5E53"/>
    <w:rsid w:val="002C7B9A"/>
    <w:rsid w:val="002D15C1"/>
    <w:rsid w:val="002D2B16"/>
    <w:rsid w:val="002D3523"/>
    <w:rsid w:val="002E1FCE"/>
    <w:rsid w:val="002E4C19"/>
    <w:rsid w:val="002E575A"/>
    <w:rsid w:val="002E581E"/>
    <w:rsid w:val="002E75FB"/>
    <w:rsid w:val="002F28A8"/>
    <w:rsid w:val="002F3212"/>
    <w:rsid w:val="002F327E"/>
    <w:rsid w:val="002F3F95"/>
    <w:rsid w:val="002F48FC"/>
    <w:rsid w:val="002F543E"/>
    <w:rsid w:val="002F6885"/>
    <w:rsid w:val="002F70C7"/>
    <w:rsid w:val="0030142A"/>
    <w:rsid w:val="003039A9"/>
    <w:rsid w:val="00304FB0"/>
    <w:rsid w:val="00305E53"/>
    <w:rsid w:val="003067F3"/>
    <w:rsid w:val="003105B1"/>
    <w:rsid w:val="003112E5"/>
    <w:rsid w:val="00321962"/>
    <w:rsid w:val="00326B12"/>
    <w:rsid w:val="00330533"/>
    <w:rsid w:val="00331A15"/>
    <w:rsid w:val="0033257B"/>
    <w:rsid w:val="0033391A"/>
    <w:rsid w:val="003343CF"/>
    <w:rsid w:val="00334C5A"/>
    <w:rsid w:val="003402A3"/>
    <w:rsid w:val="00341287"/>
    <w:rsid w:val="00343CA9"/>
    <w:rsid w:val="00345283"/>
    <w:rsid w:val="0035200F"/>
    <w:rsid w:val="0035364D"/>
    <w:rsid w:val="00353AB6"/>
    <w:rsid w:val="00355BF1"/>
    <w:rsid w:val="00356A7C"/>
    <w:rsid w:val="00357E43"/>
    <w:rsid w:val="00360912"/>
    <w:rsid w:val="00361D2D"/>
    <w:rsid w:val="0036730D"/>
    <w:rsid w:val="003675ED"/>
    <w:rsid w:val="00370C54"/>
    <w:rsid w:val="00371351"/>
    <w:rsid w:val="003731E2"/>
    <w:rsid w:val="003750FB"/>
    <w:rsid w:val="00375C32"/>
    <w:rsid w:val="00376C83"/>
    <w:rsid w:val="0038467C"/>
    <w:rsid w:val="003858B9"/>
    <w:rsid w:val="00390A60"/>
    <w:rsid w:val="0039516D"/>
    <w:rsid w:val="00395BCC"/>
    <w:rsid w:val="003965C8"/>
    <w:rsid w:val="003A07DE"/>
    <w:rsid w:val="003A2EB1"/>
    <w:rsid w:val="003A4014"/>
    <w:rsid w:val="003A5C02"/>
    <w:rsid w:val="003B3B28"/>
    <w:rsid w:val="003B5D10"/>
    <w:rsid w:val="003C726A"/>
    <w:rsid w:val="003D0209"/>
    <w:rsid w:val="003D1100"/>
    <w:rsid w:val="003D1E21"/>
    <w:rsid w:val="003D50A1"/>
    <w:rsid w:val="003D54D9"/>
    <w:rsid w:val="003E228E"/>
    <w:rsid w:val="003E568A"/>
    <w:rsid w:val="003F3BF1"/>
    <w:rsid w:val="003F58EC"/>
    <w:rsid w:val="003F6AA0"/>
    <w:rsid w:val="003F6B74"/>
    <w:rsid w:val="003F7F3B"/>
    <w:rsid w:val="00402A59"/>
    <w:rsid w:val="00402C56"/>
    <w:rsid w:val="0040411D"/>
    <w:rsid w:val="0040413E"/>
    <w:rsid w:val="004053AE"/>
    <w:rsid w:val="004110EA"/>
    <w:rsid w:val="004120B4"/>
    <w:rsid w:val="004126B4"/>
    <w:rsid w:val="00413047"/>
    <w:rsid w:val="004144D8"/>
    <w:rsid w:val="00415143"/>
    <w:rsid w:val="00416A78"/>
    <w:rsid w:val="00423957"/>
    <w:rsid w:val="0042440E"/>
    <w:rsid w:val="00430900"/>
    <w:rsid w:val="00432143"/>
    <w:rsid w:val="00443A69"/>
    <w:rsid w:val="00444CD4"/>
    <w:rsid w:val="00444FC6"/>
    <w:rsid w:val="00445444"/>
    <w:rsid w:val="00445D3A"/>
    <w:rsid w:val="00445DEF"/>
    <w:rsid w:val="00446535"/>
    <w:rsid w:val="00446824"/>
    <w:rsid w:val="00455056"/>
    <w:rsid w:val="00460D9B"/>
    <w:rsid w:val="004646B2"/>
    <w:rsid w:val="00466E96"/>
    <w:rsid w:val="00467538"/>
    <w:rsid w:val="004704B1"/>
    <w:rsid w:val="00477293"/>
    <w:rsid w:val="00481BAB"/>
    <w:rsid w:val="0048216C"/>
    <w:rsid w:val="00485A2D"/>
    <w:rsid w:val="004943AE"/>
    <w:rsid w:val="0049549A"/>
    <w:rsid w:val="0049553A"/>
    <w:rsid w:val="00496970"/>
    <w:rsid w:val="00497287"/>
    <w:rsid w:val="004A083C"/>
    <w:rsid w:val="004B26E2"/>
    <w:rsid w:val="004B4893"/>
    <w:rsid w:val="004B7AFE"/>
    <w:rsid w:val="004C1464"/>
    <w:rsid w:val="004C1BA2"/>
    <w:rsid w:val="004C1C78"/>
    <w:rsid w:val="004C329C"/>
    <w:rsid w:val="004C3ABE"/>
    <w:rsid w:val="004C67EF"/>
    <w:rsid w:val="004D1B72"/>
    <w:rsid w:val="004D3282"/>
    <w:rsid w:val="004E74A8"/>
    <w:rsid w:val="004E77CE"/>
    <w:rsid w:val="004F0156"/>
    <w:rsid w:val="004F0656"/>
    <w:rsid w:val="004F5CBF"/>
    <w:rsid w:val="0050179C"/>
    <w:rsid w:val="00504BF8"/>
    <w:rsid w:val="00510E16"/>
    <w:rsid w:val="005129F6"/>
    <w:rsid w:val="00515B82"/>
    <w:rsid w:val="00515ED8"/>
    <w:rsid w:val="00516D51"/>
    <w:rsid w:val="005175A0"/>
    <w:rsid w:val="00520548"/>
    <w:rsid w:val="00520E3F"/>
    <w:rsid w:val="005217E9"/>
    <w:rsid w:val="00523AF6"/>
    <w:rsid w:val="00523DAB"/>
    <w:rsid w:val="00527A05"/>
    <w:rsid w:val="00532420"/>
    <w:rsid w:val="00534572"/>
    <w:rsid w:val="00541393"/>
    <w:rsid w:val="00541786"/>
    <w:rsid w:val="00542A68"/>
    <w:rsid w:val="00544424"/>
    <w:rsid w:val="00550EBD"/>
    <w:rsid w:val="00555080"/>
    <w:rsid w:val="00555A03"/>
    <w:rsid w:val="00556BBF"/>
    <w:rsid w:val="00556F82"/>
    <w:rsid w:val="0055724C"/>
    <w:rsid w:val="00560082"/>
    <w:rsid w:val="005605A3"/>
    <w:rsid w:val="005617D6"/>
    <w:rsid w:val="005633CC"/>
    <w:rsid w:val="005654A9"/>
    <w:rsid w:val="00565C9D"/>
    <w:rsid w:val="005670F8"/>
    <w:rsid w:val="00567869"/>
    <w:rsid w:val="00567F83"/>
    <w:rsid w:val="00575D69"/>
    <w:rsid w:val="00576762"/>
    <w:rsid w:val="00583955"/>
    <w:rsid w:val="005857CA"/>
    <w:rsid w:val="0058602B"/>
    <w:rsid w:val="00590EFE"/>
    <w:rsid w:val="00591AC4"/>
    <w:rsid w:val="00592D27"/>
    <w:rsid w:val="00594F80"/>
    <w:rsid w:val="00595241"/>
    <w:rsid w:val="00595652"/>
    <w:rsid w:val="005974E2"/>
    <w:rsid w:val="005979AA"/>
    <w:rsid w:val="005A40F3"/>
    <w:rsid w:val="005A4F4A"/>
    <w:rsid w:val="005B099E"/>
    <w:rsid w:val="005B473C"/>
    <w:rsid w:val="005B6426"/>
    <w:rsid w:val="005C0DD8"/>
    <w:rsid w:val="005C11AF"/>
    <w:rsid w:val="005C24F5"/>
    <w:rsid w:val="005C2C3A"/>
    <w:rsid w:val="005C5EF8"/>
    <w:rsid w:val="005C73FB"/>
    <w:rsid w:val="005D4DD7"/>
    <w:rsid w:val="005D5D9F"/>
    <w:rsid w:val="005D5FAC"/>
    <w:rsid w:val="005D7A28"/>
    <w:rsid w:val="005E4BBD"/>
    <w:rsid w:val="005E7E24"/>
    <w:rsid w:val="006014E0"/>
    <w:rsid w:val="006058D9"/>
    <w:rsid w:val="00607178"/>
    <w:rsid w:val="0061209D"/>
    <w:rsid w:val="00614655"/>
    <w:rsid w:val="00623FB1"/>
    <w:rsid w:val="00635FBF"/>
    <w:rsid w:val="006362EF"/>
    <w:rsid w:val="006518F3"/>
    <w:rsid w:val="00652035"/>
    <w:rsid w:val="0065438C"/>
    <w:rsid w:val="00655B7E"/>
    <w:rsid w:val="00657436"/>
    <w:rsid w:val="00660DD1"/>
    <w:rsid w:val="0066183C"/>
    <w:rsid w:val="00661EF7"/>
    <w:rsid w:val="0066493C"/>
    <w:rsid w:val="00673B73"/>
    <w:rsid w:val="00673F87"/>
    <w:rsid w:val="006756B5"/>
    <w:rsid w:val="0068078E"/>
    <w:rsid w:val="006817FB"/>
    <w:rsid w:val="0068604F"/>
    <w:rsid w:val="006860B1"/>
    <w:rsid w:val="006872BB"/>
    <w:rsid w:val="00693018"/>
    <w:rsid w:val="0069582F"/>
    <w:rsid w:val="006A1437"/>
    <w:rsid w:val="006A1ED2"/>
    <w:rsid w:val="006A2AD4"/>
    <w:rsid w:val="006A2FD3"/>
    <w:rsid w:val="006A5AAE"/>
    <w:rsid w:val="006A5E15"/>
    <w:rsid w:val="006B03AB"/>
    <w:rsid w:val="006B0AF7"/>
    <w:rsid w:val="006B10F8"/>
    <w:rsid w:val="006C00D6"/>
    <w:rsid w:val="006C202B"/>
    <w:rsid w:val="006C23A1"/>
    <w:rsid w:val="006C43B6"/>
    <w:rsid w:val="006C6AA9"/>
    <w:rsid w:val="006D0180"/>
    <w:rsid w:val="006E2957"/>
    <w:rsid w:val="006E2C03"/>
    <w:rsid w:val="006E672A"/>
    <w:rsid w:val="006F0D47"/>
    <w:rsid w:val="006F4DF0"/>
    <w:rsid w:val="006F5F77"/>
    <w:rsid w:val="006F5FAB"/>
    <w:rsid w:val="006F788B"/>
    <w:rsid w:val="007003E2"/>
    <w:rsid w:val="0070686E"/>
    <w:rsid w:val="00706EF5"/>
    <w:rsid w:val="00710D67"/>
    <w:rsid w:val="00711867"/>
    <w:rsid w:val="00711FBB"/>
    <w:rsid w:val="007129A9"/>
    <w:rsid w:val="007151B2"/>
    <w:rsid w:val="0072527E"/>
    <w:rsid w:val="0072529C"/>
    <w:rsid w:val="007263B9"/>
    <w:rsid w:val="00730F25"/>
    <w:rsid w:val="00731BC3"/>
    <w:rsid w:val="007335DD"/>
    <w:rsid w:val="00735958"/>
    <w:rsid w:val="00735ED6"/>
    <w:rsid w:val="00736503"/>
    <w:rsid w:val="007414DA"/>
    <w:rsid w:val="00743D70"/>
    <w:rsid w:val="007461AC"/>
    <w:rsid w:val="007462DE"/>
    <w:rsid w:val="00752524"/>
    <w:rsid w:val="0075260C"/>
    <w:rsid w:val="0075673A"/>
    <w:rsid w:val="00760C92"/>
    <w:rsid w:val="0076669A"/>
    <w:rsid w:val="00767539"/>
    <w:rsid w:val="007761D4"/>
    <w:rsid w:val="00782D74"/>
    <w:rsid w:val="007856C4"/>
    <w:rsid w:val="0078798D"/>
    <w:rsid w:val="00790184"/>
    <w:rsid w:val="00790950"/>
    <w:rsid w:val="00790CEE"/>
    <w:rsid w:val="00791D0E"/>
    <w:rsid w:val="007A3F27"/>
    <w:rsid w:val="007A50C8"/>
    <w:rsid w:val="007A6373"/>
    <w:rsid w:val="007B1083"/>
    <w:rsid w:val="007B165B"/>
    <w:rsid w:val="007B194F"/>
    <w:rsid w:val="007B1A75"/>
    <w:rsid w:val="007B2141"/>
    <w:rsid w:val="007B32EE"/>
    <w:rsid w:val="007C00F5"/>
    <w:rsid w:val="007C0461"/>
    <w:rsid w:val="007D430C"/>
    <w:rsid w:val="007D6AA4"/>
    <w:rsid w:val="007D6DE6"/>
    <w:rsid w:val="007E1015"/>
    <w:rsid w:val="007F25D8"/>
    <w:rsid w:val="007F312D"/>
    <w:rsid w:val="007F553A"/>
    <w:rsid w:val="007F590B"/>
    <w:rsid w:val="007F710C"/>
    <w:rsid w:val="007F73A6"/>
    <w:rsid w:val="007F78EC"/>
    <w:rsid w:val="008025A3"/>
    <w:rsid w:val="00803DE2"/>
    <w:rsid w:val="0081274B"/>
    <w:rsid w:val="008139D7"/>
    <w:rsid w:val="00813D9D"/>
    <w:rsid w:val="00813ED3"/>
    <w:rsid w:val="00816557"/>
    <w:rsid w:val="0081696C"/>
    <w:rsid w:val="00820C38"/>
    <w:rsid w:val="008217B5"/>
    <w:rsid w:val="008223B2"/>
    <w:rsid w:val="008229F6"/>
    <w:rsid w:val="0083146F"/>
    <w:rsid w:val="00832570"/>
    <w:rsid w:val="00834B56"/>
    <w:rsid w:val="008418B1"/>
    <w:rsid w:val="00841B4C"/>
    <w:rsid w:val="008427DB"/>
    <w:rsid w:val="00843573"/>
    <w:rsid w:val="00843C07"/>
    <w:rsid w:val="0084456E"/>
    <w:rsid w:val="00845CDB"/>
    <w:rsid w:val="008478A4"/>
    <w:rsid w:val="00851492"/>
    <w:rsid w:val="008519BB"/>
    <w:rsid w:val="008556AE"/>
    <w:rsid w:val="0086518F"/>
    <w:rsid w:val="00871810"/>
    <w:rsid w:val="008721B3"/>
    <w:rsid w:val="00876E00"/>
    <w:rsid w:val="00880988"/>
    <w:rsid w:val="00881843"/>
    <w:rsid w:val="0088541D"/>
    <w:rsid w:val="0088583B"/>
    <w:rsid w:val="00890589"/>
    <w:rsid w:val="008934D9"/>
    <w:rsid w:val="00893605"/>
    <w:rsid w:val="0089405E"/>
    <w:rsid w:val="008A10CD"/>
    <w:rsid w:val="008A272D"/>
    <w:rsid w:val="008A7917"/>
    <w:rsid w:val="008A7DB4"/>
    <w:rsid w:val="008C21C2"/>
    <w:rsid w:val="008C49C6"/>
    <w:rsid w:val="008C524A"/>
    <w:rsid w:val="008D4C79"/>
    <w:rsid w:val="008D6AB0"/>
    <w:rsid w:val="008D7F94"/>
    <w:rsid w:val="008E0980"/>
    <w:rsid w:val="008E0DEF"/>
    <w:rsid w:val="008E2B68"/>
    <w:rsid w:val="008E5F06"/>
    <w:rsid w:val="008F3DA5"/>
    <w:rsid w:val="00900BFC"/>
    <w:rsid w:val="0090265A"/>
    <w:rsid w:val="009068D4"/>
    <w:rsid w:val="00910695"/>
    <w:rsid w:val="0091162B"/>
    <w:rsid w:val="00912FF4"/>
    <w:rsid w:val="00916885"/>
    <w:rsid w:val="00917EFD"/>
    <w:rsid w:val="00920AA3"/>
    <w:rsid w:val="0092185B"/>
    <w:rsid w:val="00922F35"/>
    <w:rsid w:val="00923A3F"/>
    <w:rsid w:val="00926CCB"/>
    <w:rsid w:val="00927C12"/>
    <w:rsid w:val="00937EE4"/>
    <w:rsid w:val="00940BF1"/>
    <w:rsid w:val="0094141C"/>
    <w:rsid w:val="00941A97"/>
    <w:rsid w:val="00946280"/>
    <w:rsid w:val="00950999"/>
    <w:rsid w:val="00954C64"/>
    <w:rsid w:val="0096435A"/>
    <w:rsid w:val="0096565E"/>
    <w:rsid w:val="00965869"/>
    <w:rsid w:val="009659A8"/>
    <w:rsid w:val="00967588"/>
    <w:rsid w:val="00967FB6"/>
    <w:rsid w:val="009700A1"/>
    <w:rsid w:val="009735B7"/>
    <w:rsid w:val="009757E7"/>
    <w:rsid w:val="00983535"/>
    <w:rsid w:val="00984610"/>
    <w:rsid w:val="00990EE0"/>
    <w:rsid w:val="009A157D"/>
    <w:rsid w:val="009A43C4"/>
    <w:rsid w:val="009B2075"/>
    <w:rsid w:val="009B5F4C"/>
    <w:rsid w:val="009B62A9"/>
    <w:rsid w:val="009B713A"/>
    <w:rsid w:val="009C1258"/>
    <w:rsid w:val="009C19F0"/>
    <w:rsid w:val="009C2124"/>
    <w:rsid w:val="009C5480"/>
    <w:rsid w:val="009C74EE"/>
    <w:rsid w:val="009D1322"/>
    <w:rsid w:val="009D3A7C"/>
    <w:rsid w:val="009E6E12"/>
    <w:rsid w:val="009F17E9"/>
    <w:rsid w:val="009F40EE"/>
    <w:rsid w:val="009F44D4"/>
    <w:rsid w:val="009F512D"/>
    <w:rsid w:val="009F6261"/>
    <w:rsid w:val="009F64F2"/>
    <w:rsid w:val="009F67BE"/>
    <w:rsid w:val="00A02975"/>
    <w:rsid w:val="00A045EF"/>
    <w:rsid w:val="00A06D41"/>
    <w:rsid w:val="00A07FC3"/>
    <w:rsid w:val="00A1295B"/>
    <w:rsid w:val="00A2007E"/>
    <w:rsid w:val="00A20114"/>
    <w:rsid w:val="00A201FB"/>
    <w:rsid w:val="00A253F8"/>
    <w:rsid w:val="00A27F36"/>
    <w:rsid w:val="00A3286E"/>
    <w:rsid w:val="00A35B13"/>
    <w:rsid w:val="00A3684E"/>
    <w:rsid w:val="00A36A14"/>
    <w:rsid w:val="00A41905"/>
    <w:rsid w:val="00A424B5"/>
    <w:rsid w:val="00A4335F"/>
    <w:rsid w:val="00A45646"/>
    <w:rsid w:val="00A459E0"/>
    <w:rsid w:val="00A518F7"/>
    <w:rsid w:val="00A52F94"/>
    <w:rsid w:val="00A55304"/>
    <w:rsid w:val="00A563D7"/>
    <w:rsid w:val="00A64ED5"/>
    <w:rsid w:val="00A65895"/>
    <w:rsid w:val="00A65DC4"/>
    <w:rsid w:val="00A6742E"/>
    <w:rsid w:val="00A67CF5"/>
    <w:rsid w:val="00A75145"/>
    <w:rsid w:val="00A75719"/>
    <w:rsid w:val="00A82F39"/>
    <w:rsid w:val="00A86E3F"/>
    <w:rsid w:val="00A90108"/>
    <w:rsid w:val="00A91733"/>
    <w:rsid w:val="00A91BD4"/>
    <w:rsid w:val="00A92215"/>
    <w:rsid w:val="00A92DBC"/>
    <w:rsid w:val="00A92E9A"/>
    <w:rsid w:val="00A9489C"/>
    <w:rsid w:val="00A95153"/>
    <w:rsid w:val="00A97ACB"/>
    <w:rsid w:val="00AA5E3B"/>
    <w:rsid w:val="00AA6206"/>
    <w:rsid w:val="00AA6C1A"/>
    <w:rsid w:val="00AB0DB8"/>
    <w:rsid w:val="00AB33B3"/>
    <w:rsid w:val="00AD3111"/>
    <w:rsid w:val="00AD5DC7"/>
    <w:rsid w:val="00AD5DE0"/>
    <w:rsid w:val="00AE3992"/>
    <w:rsid w:val="00AE3C18"/>
    <w:rsid w:val="00AE6470"/>
    <w:rsid w:val="00AF014A"/>
    <w:rsid w:val="00AF02A6"/>
    <w:rsid w:val="00AF6F95"/>
    <w:rsid w:val="00B00A96"/>
    <w:rsid w:val="00B01464"/>
    <w:rsid w:val="00B026D0"/>
    <w:rsid w:val="00B041AB"/>
    <w:rsid w:val="00B05AC7"/>
    <w:rsid w:val="00B073E1"/>
    <w:rsid w:val="00B11605"/>
    <w:rsid w:val="00B140EC"/>
    <w:rsid w:val="00B14124"/>
    <w:rsid w:val="00B17E5D"/>
    <w:rsid w:val="00B21659"/>
    <w:rsid w:val="00B21E7C"/>
    <w:rsid w:val="00B25A67"/>
    <w:rsid w:val="00B2705D"/>
    <w:rsid w:val="00B31A87"/>
    <w:rsid w:val="00B328D9"/>
    <w:rsid w:val="00B359F7"/>
    <w:rsid w:val="00B36174"/>
    <w:rsid w:val="00B36797"/>
    <w:rsid w:val="00B37938"/>
    <w:rsid w:val="00B40964"/>
    <w:rsid w:val="00B4379B"/>
    <w:rsid w:val="00B449A6"/>
    <w:rsid w:val="00B44B21"/>
    <w:rsid w:val="00B47364"/>
    <w:rsid w:val="00B4761C"/>
    <w:rsid w:val="00B50A7E"/>
    <w:rsid w:val="00B52DF0"/>
    <w:rsid w:val="00B5362F"/>
    <w:rsid w:val="00B536AA"/>
    <w:rsid w:val="00B72F77"/>
    <w:rsid w:val="00B77D1B"/>
    <w:rsid w:val="00B82854"/>
    <w:rsid w:val="00B83B4C"/>
    <w:rsid w:val="00B8481F"/>
    <w:rsid w:val="00B8596E"/>
    <w:rsid w:val="00B86426"/>
    <w:rsid w:val="00B920D1"/>
    <w:rsid w:val="00B932A3"/>
    <w:rsid w:val="00B9368B"/>
    <w:rsid w:val="00B9635F"/>
    <w:rsid w:val="00B97C53"/>
    <w:rsid w:val="00BA336D"/>
    <w:rsid w:val="00BA60E2"/>
    <w:rsid w:val="00BB20ED"/>
    <w:rsid w:val="00BB2292"/>
    <w:rsid w:val="00BB2C94"/>
    <w:rsid w:val="00BB3122"/>
    <w:rsid w:val="00BB4DE1"/>
    <w:rsid w:val="00BC364B"/>
    <w:rsid w:val="00BC3F88"/>
    <w:rsid w:val="00BC411D"/>
    <w:rsid w:val="00BC637B"/>
    <w:rsid w:val="00BD0301"/>
    <w:rsid w:val="00BD4834"/>
    <w:rsid w:val="00BD483F"/>
    <w:rsid w:val="00BE3526"/>
    <w:rsid w:val="00BE4E4D"/>
    <w:rsid w:val="00BE7164"/>
    <w:rsid w:val="00BE74A5"/>
    <w:rsid w:val="00BF105E"/>
    <w:rsid w:val="00BF272B"/>
    <w:rsid w:val="00BF31BF"/>
    <w:rsid w:val="00BF49DE"/>
    <w:rsid w:val="00BF5637"/>
    <w:rsid w:val="00BF6C16"/>
    <w:rsid w:val="00C00B93"/>
    <w:rsid w:val="00C045F4"/>
    <w:rsid w:val="00C1225F"/>
    <w:rsid w:val="00C13AE0"/>
    <w:rsid w:val="00C16C6D"/>
    <w:rsid w:val="00C25477"/>
    <w:rsid w:val="00C272D1"/>
    <w:rsid w:val="00C3090C"/>
    <w:rsid w:val="00C30F72"/>
    <w:rsid w:val="00C30FC2"/>
    <w:rsid w:val="00C33822"/>
    <w:rsid w:val="00C3412F"/>
    <w:rsid w:val="00C34A77"/>
    <w:rsid w:val="00C34C88"/>
    <w:rsid w:val="00C36B9D"/>
    <w:rsid w:val="00C3776A"/>
    <w:rsid w:val="00C4365C"/>
    <w:rsid w:val="00C43742"/>
    <w:rsid w:val="00C45547"/>
    <w:rsid w:val="00C51119"/>
    <w:rsid w:val="00C51B3D"/>
    <w:rsid w:val="00C5218E"/>
    <w:rsid w:val="00C523BE"/>
    <w:rsid w:val="00C53FDA"/>
    <w:rsid w:val="00C64267"/>
    <w:rsid w:val="00C64323"/>
    <w:rsid w:val="00C8014C"/>
    <w:rsid w:val="00C84495"/>
    <w:rsid w:val="00C85212"/>
    <w:rsid w:val="00C85EDF"/>
    <w:rsid w:val="00C860E6"/>
    <w:rsid w:val="00C863B8"/>
    <w:rsid w:val="00C91287"/>
    <w:rsid w:val="00C947A2"/>
    <w:rsid w:val="00C958B5"/>
    <w:rsid w:val="00CA03EF"/>
    <w:rsid w:val="00CA32F8"/>
    <w:rsid w:val="00CA4E0A"/>
    <w:rsid w:val="00CA5E04"/>
    <w:rsid w:val="00CA7E2A"/>
    <w:rsid w:val="00CB1766"/>
    <w:rsid w:val="00CB1B44"/>
    <w:rsid w:val="00CB34C5"/>
    <w:rsid w:val="00CC0E9C"/>
    <w:rsid w:val="00CC4ED9"/>
    <w:rsid w:val="00CC58D1"/>
    <w:rsid w:val="00CC6DD6"/>
    <w:rsid w:val="00CC70AF"/>
    <w:rsid w:val="00CD5349"/>
    <w:rsid w:val="00CE0C52"/>
    <w:rsid w:val="00CE2ABC"/>
    <w:rsid w:val="00CE43A3"/>
    <w:rsid w:val="00CE4908"/>
    <w:rsid w:val="00CE767B"/>
    <w:rsid w:val="00CE7A3C"/>
    <w:rsid w:val="00D04611"/>
    <w:rsid w:val="00D05CBD"/>
    <w:rsid w:val="00D13380"/>
    <w:rsid w:val="00D139C8"/>
    <w:rsid w:val="00D13DB3"/>
    <w:rsid w:val="00D14F2F"/>
    <w:rsid w:val="00D1519F"/>
    <w:rsid w:val="00D157DD"/>
    <w:rsid w:val="00D16568"/>
    <w:rsid w:val="00D245F1"/>
    <w:rsid w:val="00D31261"/>
    <w:rsid w:val="00D36F95"/>
    <w:rsid w:val="00D40BC8"/>
    <w:rsid w:val="00D44A31"/>
    <w:rsid w:val="00D458A3"/>
    <w:rsid w:val="00D46068"/>
    <w:rsid w:val="00D47E63"/>
    <w:rsid w:val="00D510DE"/>
    <w:rsid w:val="00D56F36"/>
    <w:rsid w:val="00D617B8"/>
    <w:rsid w:val="00D6203F"/>
    <w:rsid w:val="00D63E28"/>
    <w:rsid w:val="00D6591C"/>
    <w:rsid w:val="00D67425"/>
    <w:rsid w:val="00D67B68"/>
    <w:rsid w:val="00D71BA5"/>
    <w:rsid w:val="00D72AE5"/>
    <w:rsid w:val="00D75D0C"/>
    <w:rsid w:val="00D76A1B"/>
    <w:rsid w:val="00D80DC1"/>
    <w:rsid w:val="00D81047"/>
    <w:rsid w:val="00D92034"/>
    <w:rsid w:val="00D95341"/>
    <w:rsid w:val="00DA2B91"/>
    <w:rsid w:val="00DA555C"/>
    <w:rsid w:val="00DB2F7E"/>
    <w:rsid w:val="00DC1098"/>
    <w:rsid w:val="00DC1298"/>
    <w:rsid w:val="00DC1694"/>
    <w:rsid w:val="00DC33BC"/>
    <w:rsid w:val="00DC42AE"/>
    <w:rsid w:val="00DC56A8"/>
    <w:rsid w:val="00DC5F30"/>
    <w:rsid w:val="00DD6508"/>
    <w:rsid w:val="00DF3659"/>
    <w:rsid w:val="00DF3CC4"/>
    <w:rsid w:val="00DF5886"/>
    <w:rsid w:val="00DF69C7"/>
    <w:rsid w:val="00E03D9C"/>
    <w:rsid w:val="00E12EA0"/>
    <w:rsid w:val="00E14EEC"/>
    <w:rsid w:val="00E1663A"/>
    <w:rsid w:val="00E16DBE"/>
    <w:rsid w:val="00E21287"/>
    <w:rsid w:val="00E2233E"/>
    <w:rsid w:val="00E2305D"/>
    <w:rsid w:val="00E254A3"/>
    <w:rsid w:val="00E267CD"/>
    <w:rsid w:val="00E310CB"/>
    <w:rsid w:val="00E32111"/>
    <w:rsid w:val="00E3530D"/>
    <w:rsid w:val="00E35715"/>
    <w:rsid w:val="00E36601"/>
    <w:rsid w:val="00E376A1"/>
    <w:rsid w:val="00E411BC"/>
    <w:rsid w:val="00E5265F"/>
    <w:rsid w:val="00E55125"/>
    <w:rsid w:val="00E55F95"/>
    <w:rsid w:val="00E57FCD"/>
    <w:rsid w:val="00E602D8"/>
    <w:rsid w:val="00E60D8A"/>
    <w:rsid w:val="00E61AFA"/>
    <w:rsid w:val="00E7008C"/>
    <w:rsid w:val="00E714CA"/>
    <w:rsid w:val="00E74050"/>
    <w:rsid w:val="00E77644"/>
    <w:rsid w:val="00E77FC8"/>
    <w:rsid w:val="00E85259"/>
    <w:rsid w:val="00E85D5D"/>
    <w:rsid w:val="00E91511"/>
    <w:rsid w:val="00E92162"/>
    <w:rsid w:val="00E929A9"/>
    <w:rsid w:val="00E946BD"/>
    <w:rsid w:val="00EA0250"/>
    <w:rsid w:val="00EA24FD"/>
    <w:rsid w:val="00EA3748"/>
    <w:rsid w:val="00EA3A37"/>
    <w:rsid w:val="00EA599F"/>
    <w:rsid w:val="00EA5F83"/>
    <w:rsid w:val="00EB1B09"/>
    <w:rsid w:val="00EB4DFC"/>
    <w:rsid w:val="00EC0E6A"/>
    <w:rsid w:val="00ED1E60"/>
    <w:rsid w:val="00ED2D81"/>
    <w:rsid w:val="00ED4475"/>
    <w:rsid w:val="00ED4675"/>
    <w:rsid w:val="00ED577C"/>
    <w:rsid w:val="00EE27B3"/>
    <w:rsid w:val="00EE6048"/>
    <w:rsid w:val="00EF01B1"/>
    <w:rsid w:val="00EF1FA6"/>
    <w:rsid w:val="00EF3944"/>
    <w:rsid w:val="00EF3DE8"/>
    <w:rsid w:val="00EF44BD"/>
    <w:rsid w:val="00EF4C04"/>
    <w:rsid w:val="00EF523D"/>
    <w:rsid w:val="00EF5E4B"/>
    <w:rsid w:val="00EF7857"/>
    <w:rsid w:val="00EF7B22"/>
    <w:rsid w:val="00F026AF"/>
    <w:rsid w:val="00F0404C"/>
    <w:rsid w:val="00F05973"/>
    <w:rsid w:val="00F05F9A"/>
    <w:rsid w:val="00F10F08"/>
    <w:rsid w:val="00F15164"/>
    <w:rsid w:val="00F17D0D"/>
    <w:rsid w:val="00F21A75"/>
    <w:rsid w:val="00F22408"/>
    <w:rsid w:val="00F22B79"/>
    <w:rsid w:val="00F23B90"/>
    <w:rsid w:val="00F26DE9"/>
    <w:rsid w:val="00F30794"/>
    <w:rsid w:val="00F325C0"/>
    <w:rsid w:val="00F33F26"/>
    <w:rsid w:val="00F34DAF"/>
    <w:rsid w:val="00F414C3"/>
    <w:rsid w:val="00F460BE"/>
    <w:rsid w:val="00F46D8D"/>
    <w:rsid w:val="00F52175"/>
    <w:rsid w:val="00F54FD5"/>
    <w:rsid w:val="00F57963"/>
    <w:rsid w:val="00F624B5"/>
    <w:rsid w:val="00F67FA5"/>
    <w:rsid w:val="00F70698"/>
    <w:rsid w:val="00F71114"/>
    <w:rsid w:val="00F71F9F"/>
    <w:rsid w:val="00F75648"/>
    <w:rsid w:val="00F778C2"/>
    <w:rsid w:val="00F80AFC"/>
    <w:rsid w:val="00F81510"/>
    <w:rsid w:val="00F81A18"/>
    <w:rsid w:val="00F8256B"/>
    <w:rsid w:val="00F830BE"/>
    <w:rsid w:val="00F846A4"/>
    <w:rsid w:val="00F84DAC"/>
    <w:rsid w:val="00F85A60"/>
    <w:rsid w:val="00F91B7E"/>
    <w:rsid w:val="00F922A0"/>
    <w:rsid w:val="00F95B59"/>
    <w:rsid w:val="00F97D93"/>
    <w:rsid w:val="00FA0973"/>
    <w:rsid w:val="00FA348B"/>
    <w:rsid w:val="00FA44F4"/>
    <w:rsid w:val="00FB1E31"/>
    <w:rsid w:val="00FC1647"/>
    <w:rsid w:val="00FC329C"/>
    <w:rsid w:val="00FC3E7B"/>
    <w:rsid w:val="00FD1DDC"/>
    <w:rsid w:val="00FD2AE4"/>
    <w:rsid w:val="00FD2F14"/>
    <w:rsid w:val="00FE0074"/>
    <w:rsid w:val="00FE212F"/>
    <w:rsid w:val="00FE2E4D"/>
    <w:rsid w:val="00FE353D"/>
    <w:rsid w:val="00FE64D3"/>
    <w:rsid w:val="00FE6ADD"/>
    <w:rsid w:val="00FF2E02"/>
    <w:rsid w:val="00FF56A4"/>
    <w:rsid w:val="00FF6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6E2"/>
    <w:rPr>
      <w:sz w:val="24"/>
      <w:szCs w:val="24"/>
    </w:rPr>
  </w:style>
  <w:style w:type="paragraph" w:styleId="Heading2">
    <w:name w:val="heading 2"/>
    <w:basedOn w:val="Normal"/>
    <w:next w:val="Normal"/>
    <w:link w:val="Heading2Char"/>
    <w:qFormat/>
    <w:rsid w:val="00356A7C"/>
    <w:pPr>
      <w:keepNext/>
      <w:outlineLvl w:val="1"/>
    </w:pPr>
    <w:rPr>
      <w:b/>
      <w:sz w:val="26"/>
      <w:szCs w:val="20"/>
    </w:rPr>
  </w:style>
  <w:style w:type="paragraph" w:styleId="Heading7">
    <w:name w:val="heading 7"/>
    <w:basedOn w:val="Normal"/>
    <w:next w:val="Normal"/>
    <w:link w:val="Heading7Char"/>
    <w:qFormat/>
    <w:rsid w:val="00356A7C"/>
    <w:pPr>
      <w:keepNext/>
      <w:ind w:left="720" w:hanging="630"/>
      <w:jc w:val="center"/>
      <w:outlineLvl w:val="6"/>
    </w:pPr>
    <w:rPr>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295B"/>
    <w:pPr>
      <w:tabs>
        <w:tab w:val="center" w:pos="4320"/>
        <w:tab w:val="right" w:pos="8640"/>
      </w:tabs>
    </w:pPr>
  </w:style>
  <w:style w:type="character" w:styleId="PageNumber">
    <w:name w:val="page number"/>
    <w:basedOn w:val="DefaultParagraphFont"/>
    <w:rsid w:val="00A1295B"/>
  </w:style>
  <w:style w:type="paragraph" w:styleId="Header">
    <w:name w:val="header"/>
    <w:basedOn w:val="Normal"/>
    <w:rsid w:val="00DC42AE"/>
    <w:pPr>
      <w:tabs>
        <w:tab w:val="center" w:pos="4320"/>
        <w:tab w:val="right" w:pos="8640"/>
      </w:tabs>
    </w:pPr>
  </w:style>
  <w:style w:type="character" w:customStyle="1" w:styleId="FooterChar">
    <w:name w:val="Footer Char"/>
    <w:basedOn w:val="DefaultParagraphFont"/>
    <w:link w:val="Footer"/>
    <w:uiPriority w:val="99"/>
    <w:rsid w:val="006D0180"/>
    <w:rPr>
      <w:sz w:val="24"/>
      <w:szCs w:val="24"/>
    </w:rPr>
  </w:style>
  <w:style w:type="paragraph" w:customStyle="1" w:styleId="p5">
    <w:name w:val="p5"/>
    <w:basedOn w:val="Normal"/>
    <w:rsid w:val="009F64F2"/>
    <w:pPr>
      <w:widowControl w:val="0"/>
      <w:tabs>
        <w:tab w:val="left" w:pos="391"/>
      </w:tabs>
      <w:autoSpaceDE w:val="0"/>
      <w:autoSpaceDN w:val="0"/>
      <w:adjustRightInd w:val="0"/>
      <w:ind w:left="1049"/>
    </w:pPr>
  </w:style>
  <w:style w:type="paragraph" w:styleId="BalloonText">
    <w:name w:val="Balloon Text"/>
    <w:basedOn w:val="Normal"/>
    <w:link w:val="BalloonTextChar"/>
    <w:rsid w:val="00900BFC"/>
    <w:rPr>
      <w:rFonts w:ascii="Tahoma" w:hAnsi="Tahoma" w:cs="Tahoma"/>
      <w:sz w:val="16"/>
      <w:szCs w:val="16"/>
    </w:rPr>
  </w:style>
  <w:style w:type="character" w:customStyle="1" w:styleId="BalloonTextChar">
    <w:name w:val="Balloon Text Char"/>
    <w:basedOn w:val="DefaultParagraphFont"/>
    <w:link w:val="BalloonText"/>
    <w:rsid w:val="00900BFC"/>
    <w:rPr>
      <w:rFonts w:ascii="Tahoma" w:hAnsi="Tahoma" w:cs="Tahoma"/>
      <w:sz w:val="16"/>
      <w:szCs w:val="16"/>
    </w:rPr>
  </w:style>
  <w:style w:type="character" w:customStyle="1" w:styleId="Heading2Char">
    <w:name w:val="Heading 2 Char"/>
    <w:basedOn w:val="DefaultParagraphFont"/>
    <w:link w:val="Heading2"/>
    <w:rsid w:val="00356A7C"/>
    <w:rPr>
      <w:b/>
      <w:sz w:val="26"/>
    </w:rPr>
  </w:style>
  <w:style w:type="character" w:customStyle="1" w:styleId="Heading7Char">
    <w:name w:val="Heading 7 Char"/>
    <w:basedOn w:val="DefaultParagraphFont"/>
    <w:link w:val="Heading7"/>
    <w:rsid w:val="00356A7C"/>
    <w:rPr>
      <w:b/>
      <w:sz w:val="26"/>
    </w:rPr>
  </w:style>
  <w:style w:type="paragraph" w:styleId="FootnoteText">
    <w:name w:val="footnote text"/>
    <w:basedOn w:val="Normal"/>
    <w:link w:val="FootnoteTextChar"/>
    <w:rsid w:val="00356A7C"/>
    <w:rPr>
      <w:sz w:val="20"/>
      <w:szCs w:val="20"/>
    </w:rPr>
  </w:style>
  <w:style w:type="character" w:customStyle="1" w:styleId="FootnoteTextChar">
    <w:name w:val="Footnote Text Char"/>
    <w:basedOn w:val="DefaultParagraphFont"/>
    <w:link w:val="FootnoteText"/>
    <w:rsid w:val="00356A7C"/>
  </w:style>
  <w:style w:type="character" w:styleId="FootnoteReference">
    <w:name w:val="footnote reference"/>
    <w:rsid w:val="00356A7C"/>
    <w:rPr>
      <w:vertAlign w:val="superscript"/>
    </w:rPr>
  </w:style>
  <w:style w:type="table" w:styleId="TableGrid">
    <w:name w:val="Table Grid"/>
    <w:basedOn w:val="TableNormal"/>
    <w:rsid w:val="00B92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E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6E2"/>
    <w:rPr>
      <w:sz w:val="24"/>
      <w:szCs w:val="24"/>
    </w:rPr>
  </w:style>
  <w:style w:type="paragraph" w:styleId="Heading2">
    <w:name w:val="heading 2"/>
    <w:basedOn w:val="Normal"/>
    <w:next w:val="Normal"/>
    <w:link w:val="Heading2Char"/>
    <w:qFormat/>
    <w:rsid w:val="00356A7C"/>
    <w:pPr>
      <w:keepNext/>
      <w:outlineLvl w:val="1"/>
    </w:pPr>
    <w:rPr>
      <w:b/>
      <w:sz w:val="26"/>
      <w:szCs w:val="20"/>
    </w:rPr>
  </w:style>
  <w:style w:type="paragraph" w:styleId="Heading7">
    <w:name w:val="heading 7"/>
    <w:basedOn w:val="Normal"/>
    <w:next w:val="Normal"/>
    <w:link w:val="Heading7Char"/>
    <w:qFormat/>
    <w:rsid w:val="00356A7C"/>
    <w:pPr>
      <w:keepNext/>
      <w:ind w:left="720" w:hanging="630"/>
      <w:jc w:val="center"/>
      <w:outlineLvl w:val="6"/>
    </w:pPr>
    <w:rPr>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295B"/>
    <w:pPr>
      <w:tabs>
        <w:tab w:val="center" w:pos="4320"/>
        <w:tab w:val="right" w:pos="8640"/>
      </w:tabs>
    </w:pPr>
  </w:style>
  <w:style w:type="character" w:styleId="PageNumber">
    <w:name w:val="page number"/>
    <w:basedOn w:val="DefaultParagraphFont"/>
    <w:rsid w:val="00A1295B"/>
  </w:style>
  <w:style w:type="paragraph" w:styleId="Header">
    <w:name w:val="header"/>
    <w:basedOn w:val="Normal"/>
    <w:rsid w:val="00DC42AE"/>
    <w:pPr>
      <w:tabs>
        <w:tab w:val="center" w:pos="4320"/>
        <w:tab w:val="right" w:pos="8640"/>
      </w:tabs>
    </w:pPr>
  </w:style>
  <w:style w:type="character" w:customStyle="1" w:styleId="FooterChar">
    <w:name w:val="Footer Char"/>
    <w:basedOn w:val="DefaultParagraphFont"/>
    <w:link w:val="Footer"/>
    <w:uiPriority w:val="99"/>
    <w:rsid w:val="006D0180"/>
    <w:rPr>
      <w:sz w:val="24"/>
      <w:szCs w:val="24"/>
    </w:rPr>
  </w:style>
  <w:style w:type="paragraph" w:customStyle="1" w:styleId="p5">
    <w:name w:val="p5"/>
    <w:basedOn w:val="Normal"/>
    <w:rsid w:val="009F64F2"/>
    <w:pPr>
      <w:widowControl w:val="0"/>
      <w:tabs>
        <w:tab w:val="left" w:pos="391"/>
      </w:tabs>
      <w:autoSpaceDE w:val="0"/>
      <w:autoSpaceDN w:val="0"/>
      <w:adjustRightInd w:val="0"/>
      <w:ind w:left="1049"/>
    </w:pPr>
  </w:style>
  <w:style w:type="paragraph" w:styleId="BalloonText">
    <w:name w:val="Balloon Text"/>
    <w:basedOn w:val="Normal"/>
    <w:link w:val="BalloonTextChar"/>
    <w:rsid w:val="00900BFC"/>
    <w:rPr>
      <w:rFonts w:ascii="Tahoma" w:hAnsi="Tahoma" w:cs="Tahoma"/>
      <w:sz w:val="16"/>
      <w:szCs w:val="16"/>
    </w:rPr>
  </w:style>
  <w:style w:type="character" w:customStyle="1" w:styleId="BalloonTextChar">
    <w:name w:val="Balloon Text Char"/>
    <w:basedOn w:val="DefaultParagraphFont"/>
    <w:link w:val="BalloonText"/>
    <w:rsid w:val="00900BFC"/>
    <w:rPr>
      <w:rFonts w:ascii="Tahoma" w:hAnsi="Tahoma" w:cs="Tahoma"/>
      <w:sz w:val="16"/>
      <w:szCs w:val="16"/>
    </w:rPr>
  </w:style>
  <w:style w:type="character" w:customStyle="1" w:styleId="Heading2Char">
    <w:name w:val="Heading 2 Char"/>
    <w:basedOn w:val="DefaultParagraphFont"/>
    <w:link w:val="Heading2"/>
    <w:rsid w:val="00356A7C"/>
    <w:rPr>
      <w:b/>
      <w:sz w:val="26"/>
    </w:rPr>
  </w:style>
  <w:style w:type="character" w:customStyle="1" w:styleId="Heading7Char">
    <w:name w:val="Heading 7 Char"/>
    <w:basedOn w:val="DefaultParagraphFont"/>
    <w:link w:val="Heading7"/>
    <w:rsid w:val="00356A7C"/>
    <w:rPr>
      <w:b/>
      <w:sz w:val="26"/>
    </w:rPr>
  </w:style>
  <w:style w:type="paragraph" w:styleId="FootnoteText">
    <w:name w:val="footnote text"/>
    <w:basedOn w:val="Normal"/>
    <w:link w:val="FootnoteTextChar"/>
    <w:rsid w:val="00356A7C"/>
    <w:rPr>
      <w:sz w:val="20"/>
      <w:szCs w:val="20"/>
    </w:rPr>
  </w:style>
  <w:style w:type="character" w:customStyle="1" w:styleId="FootnoteTextChar">
    <w:name w:val="Footnote Text Char"/>
    <w:basedOn w:val="DefaultParagraphFont"/>
    <w:link w:val="FootnoteText"/>
    <w:rsid w:val="00356A7C"/>
  </w:style>
  <w:style w:type="character" w:styleId="FootnoteReference">
    <w:name w:val="footnote reference"/>
    <w:rsid w:val="00356A7C"/>
    <w:rPr>
      <w:vertAlign w:val="superscript"/>
    </w:rPr>
  </w:style>
  <w:style w:type="table" w:styleId="TableGrid">
    <w:name w:val="Table Grid"/>
    <w:basedOn w:val="TableNormal"/>
    <w:rsid w:val="00B92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E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580714">
      <w:bodyDiv w:val="1"/>
      <w:marLeft w:val="0"/>
      <w:marRight w:val="0"/>
      <w:marTop w:val="0"/>
      <w:marBottom w:val="0"/>
      <w:divBdr>
        <w:top w:val="none" w:sz="0" w:space="0" w:color="auto"/>
        <w:left w:val="none" w:sz="0" w:space="0" w:color="auto"/>
        <w:bottom w:val="none" w:sz="0" w:space="0" w:color="auto"/>
        <w:right w:val="none" w:sz="0" w:space="0" w:color="auto"/>
      </w:divBdr>
    </w:div>
    <w:div w:id="193261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puc.state.pa.us"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35814-A3AC-4960-B7D3-0D5348698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Magee, Joseph</cp:lastModifiedBy>
  <cp:revision>2</cp:revision>
  <cp:lastPrinted>2012-09-04T14:31:00Z</cp:lastPrinted>
  <dcterms:created xsi:type="dcterms:W3CDTF">2014-09-15T18:45:00Z</dcterms:created>
  <dcterms:modified xsi:type="dcterms:W3CDTF">2014-09-15T18:45:00Z</dcterms:modified>
</cp:coreProperties>
</file>