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DD022E">
      <w:pPr>
        <w:tabs>
          <w:tab w:val="left" w:pos="2790"/>
          <w:tab w:val="center" w:pos="4680"/>
        </w:tabs>
        <w:suppressAutoHyphens/>
        <w:jc w:val="center"/>
        <w:rPr>
          <w:b/>
          <w:sz w:val="26"/>
          <w:szCs w:val="26"/>
        </w:rPr>
      </w:pPr>
      <w:bookmarkStart w:id="0" w:name="_GoBack"/>
      <w:bookmarkEnd w:id="0"/>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0A204D">
        <w:tc>
          <w:tcPr>
            <w:tcW w:w="5058" w:type="dxa"/>
          </w:tcPr>
          <w:p w:rsidR="00F514FB" w:rsidRPr="00F514FB" w:rsidRDefault="00F514FB" w:rsidP="009D7F85">
            <w:pPr>
              <w:rPr>
                <w:sz w:val="26"/>
                <w:szCs w:val="26"/>
              </w:rPr>
            </w:pPr>
          </w:p>
        </w:tc>
        <w:tc>
          <w:tcPr>
            <w:tcW w:w="4428" w:type="dxa"/>
          </w:tcPr>
          <w:p w:rsidR="00F514FB" w:rsidRPr="00F514FB" w:rsidRDefault="00F514FB" w:rsidP="004B500E">
            <w:pPr>
              <w:ind w:hanging="288"/>
              <w:jc w:val="right"/>
              <w:rPr>
                <w:sz w:val="26"/>
                <w:szCs w:val="26"/>
              </w:rPr>
            </w:pPr>
            <w:r w:rsidRPr="00F514FB">
              <w:rPr>
                <w:sz w:val="26"/>
                <w:szCs w:val="26"/>
              </w:rPr>
              <w:t>Pub</w:t>
            </w:r>
            <w:r w:rsidR="00226059">
              <w:rPr>
                <w:sz w:val="26"/>
                <w:szCs w:val="26"/>
              </w:rPr>
              <w:t>l</w:t>
            </w:r>
            <w:r w:rsidRPr="00F514FB">
              <w:rPr>
                <w:sz w:val="26"/>
                <w:szCs w:val="26"/>
              </w:rPr>
              <w:t xml:space="preserve">ic Meeting held </w:t>
            </w:r>
            <w:r w:rsidR="0077040D">
              <w:rPr>
                <w:sz w:val="26"/>
                <w:szCs w:val="26"/>
              </w:rPr>
              <w:t>September 11</w:t>
            </w:r>
            <w:r w:rsidR="000A27AF">
              <w:rPr>
                <w:sz w:val="26"/>
                <w:szCs w:val="26"/>
              </w:rPr>
              <w:t>, 2014</w:t>
            </w:r>
          </w:p>
          <w:p w:rsidR="00F514FB" w:rsidRPr="00F514FB" w:rsidRDefault="00F514FB" w:rsidP="00226059">
            <w:pPr>
              <w:rPr>
                <w:sz w:val="26"/>
                <w:szCs w:val="26"/>
              </w:rPr>
            </w:pPr>
          </w:p>
          <w:p w:rsidR="00F514FB" w:rsidRPr="00F514FB" w:rsidRDefault="00F514FB" w:rsidP="00226059">
            <w:pPr>
              <w:rPr>
                <w:sz w:val="26"/>
                <w:szCs w:val="26"/>
              </w:rPr>
            </w:pPr>
          </w:p>
        </w:tc>
      </w:tr>
      <w:tr w:rsidR="00F514FB" w:rsidRPr="00F514FB" w:rsidTr="000A204D">
        <w:tc>
          <w:tcPr>
            <w:tcW w:w="5058" w:type="dxa"/>
          </w:tcPr>
          <w:p w:rsidR="00F514FB" w:rsidRPr="00F514FB" w:rsidRDefault="00F514FB" w:rsidP="009D7F85">
            <w:pPr>
              <w:rPr>
                <w:sz w:val="26"/>
                <w:szCs w:val="26"/>
              </w:rPr>
            </w:pPr>
            <w:r w:rsidRPr="00F514FB">
              <w:rPr>
                <w:sz w:val="26"/>
                <w:szCs w:val="26"/>
              </w:rPr>
              <w:t>Commissioners Present:</w:t>
            </w:r>
          </w:p>
          <w:p w:rsidR="00F514FB" w:rsidRPr="00F514FB" w:rsidRDefault="00F514FB" w:rsidP="009D7F85">
            <w:pPr>
              <w:rPr>
                <w:sz w:val="26"/>
                <w:szCs w:val="26"/>
              </w:rPr>
            </w:pPr>
          </w:p>
          <w:p w:rsidR="00F514FB" w:rsidRPr="00F514FB" w:rsidRDefault="00F514FB" w:rsidP="009D7F85">
            <w:pPr>
              <w:tabs>
                <w:tab w:val="left" w:pos="705"/>
              </w:tabs>
              <w:ind w:firstLine="720"/>
              <w:rPr>
                <w:sz w:val="26"/>
                <w:szCs w:val="26"/>
              </w:rPr>
            </w:pPr>
            <w:r w:rsidRPr="00F514FB">
              <w:rPr>
                <w:sz w:val="26"/>
                <w:szCs w:val="26"/>
              </w:rPr>
              <w:t>Robert F. Powelson, Chairman</w:t>
            </w:r>
          </w:p>
          <w:p w:rsidR="00F514FB" w:rsidRPr="00F514FB" w:rsidRDefault="00F514FB" w:rsidP="009D7F85">
            <w:pPr>
              <w:tabs>
                <w:tab w:val="left" w:pos="705"/>
              </w:tabs>
              <w:ind w:firstLine="720"/>
              <w:rPr>
                <w:sz w:val="26"/>
                <w:szCs w:val="26"/>
              </w:rPr>
            </w:pPr>
            <w:r w:rsidRPr="00F514FB">
              <w:rPr>
                <w:sz w:val="26"/>
                <w:szCs w:val="26"/>
              </w:rPr>
              <w:t>John F. Coleman, Jr., Vice Chairman</w:t>
            </w:r>
          </w:p>
          <w:p w:rsidR="00F514FB" w:rsidRPr="00F514FB" w:rsidRDefault="00F514FB" w:rsidP="009D7F85">
            <w:pPr>
              <w:tabs>
                <w:tab w:val="left" w:pos="705"/>
              </w:tabs>
              <w:ind w:firstLine="720"/>
              <w:rPr>
                <w:sz w:val="26"/>
                <w:szCs w:val="26"/>
              </w:rPr>
            </w:pPr>
            <w:r w:rsidRPr="00F514FB">
              <w:rPr>
                <w:sz w:val="26"/>
                <w:szCs w:val="26"/>
              </w:rPr>
              <w:t>James H. Cawley</w:t>
            </w:r>
          </w:p>
          <w:p w:rsidR="00F514FB" w:rsidRDefault="00F514FB" w:rsidP="009D7F85">
            <w:pPr>
              <w:tabs>
                <w:tab w:val="left" w:pos="705"/>
              </w:tabs>
              <w:ind w:firstLine="720"/>
              <w:rPr>
                <w:sz w:val="26"/>
                <w:szCs w:val="26"/>
              </w:rPr>
            </w:pPr>
            <w:r w:rsidRPr="00F514FB">
              <w:rPr>
                <w:sz w:val="26"/>
                <w:szCs w:val="26"/>
              </w:rPr>
              <w:t>Pamela A. Witmer</w:t>
            </w:r>
          </w:p>
          <w:p w:rsidR="000A27AF" w:rsidRPr="00F514FB" w:rsidRDefault="000A27AF" w:rsidP="009D7F85">
            <w:pPr>
              <w:tabs>
                <w:tab w:val="left" w:pos="705"/>
              </w:tabs>
              <w:ind w:firstLine="720"/>
              <w:rPr>
                <w:sz w:val="26"/>
                <w:szCs w:val="26"/>
              </w:rPr>
            </w:pPr>
            <w:r>
              <w:rPr>
                <w:sz w:val="26"/>
                <w:szCs w:val="26"/>
              </w:rPr>
              <w:t>Gladys M. Brown</w:t>
            </w:r>
          </w:p>
          <w:p w:rsidR="00F514FB" w:rsidRPr="00F514FB" w:rsidRDefault="00F514FB" w:rsidP="009D7F85">
            <w:pPr>
              <w:rPr>
                <w:sz w:val="26"/>
                <w:szCs w:val="26"/>
              </w:rPr>
            </w:pPr>
          </w:p>
          <w:p w:rsidR="00F514FB" w:rsidRPr="00F514FB" w:rsidRDefault="00F514FB" w:rsidP="009D7F85">
            <w:pPr>
              <w:rPr>
                <w:sz w:val="26"/>
                <w:szCs w:val="26"/>
              </w:rPr>
            </w:pPr>
          </w:p>
        </w:tc>
        <w:tc>
          <w:tcPr>
            <w:tcW w:w="4428" w:type="dxa"/>
          </w:tcPr>
          <w:p w:rsidR="00F514FB" w:rsidRPr="00F514FB" w:rsidRDefault="00F514FB" w:rsidP="009D7F85">
            <w:pPr>
              <w:jc w:val="right"/>
              <w:rPr>
                <w:sz w:val="26"/>
                <w:szCs w:val="26"/>
              </w:rPr>
            </w:pPr>
          </w:p>
          <w:p w:rsidR="00F514FB" w:rsidRPr="00F514FB" w:rsidRDefault="00F514FB" w:rsidP="009D7F85">
            <w:pPr>
              <w:jc w:val="right"/>
              <w:rPr>
                <w:sz w:val="26"/>
                <w:szCs w:val="26"/>
              </w:rPr>
            </w:pPr>
          </w:p>
        </w:tc>
      </w:tr>
      <w:tr w:rsidR="00F514FB" w:rsidRPr="00F514FB" w:rsidTr="000A204D">
        <w:tc>
          <w:tcPr>
            <w:tcW w:w="5058" w:type="dxa"/>
          </w:tcPr>
          <w:p w:rsidR="000A27AF" w:rsidRPr="000A27AF" w:rsidRDefault="000A27AF" w:rsidP="000A27AF">
            <w:pPr>
              <w:rPr>
                <w:sz w:val="26"/>
                <w:szCs w:val="26"/>
              </w:rPr>
            </w:pPr>
            <w:r w:rsidRPr="000A27AF">
              <w:rPr>
                <w:sz w:val="26"/>
                <w:szCs w:val="26"/>
              </w:rPr>
              <w:t>Pennsylv</w:t>
            </w:r>
            <w:r>
              <w:rPr>
                <w:sz w:val="26"/>
                <w:szCs w:val="26"/>
              </w:rPr>
              <w:t>ania Public Utility Commission</w:t>
            </w:r>
            <w:r>
              <w:rPr>
                <w:sz w:val="26"/>
                <w:szCs w:val="26"/>
              </w:rPr>
              <w:tab/>
            </w:r>
          </w:p>
          <w:p w:rsidR="000A27AF" w:rsidRPr="000A27AF" w:rsidRDefault="000A27AF" w:rsidP="000A27AF">
            <w:pPr>
              <w:rPr>
                <w:sz w:val="26"/>
                <w:szCs w:val="26"/>
              </w:rPr>
            </w:pPr>
            <w:r w:rsidRPr="000A27AF">
              <w:rPr>
                <w:sz w:val="26"/>
                <w:szCs w:val="26"/>
              </w:rPr>
              <w:t>Office of Consumer Advocate</w:t>
            </w:r>
            <w:r>
              <w:rPr>
                <w:sz w:val="26"/>
                <w:szCs w:val="26"/>
              </w:rPr>
              <w:t xml:space="preserve">                                                                                                                                                                                </w:t>
            </w:r>
          </w:p>
          <w:p w:rsidR="00B11F56" w:rsidRDefault="000A27AF" w:rsidP="000A27AF">
            <w:pPr>
              <w:rPr>
                <w:color w:val="000000"/>
                <w:sz w:val="26"/>
                <w:szCs w:val="26"/>
              </w:rPr>
            </w:pPr>
            <w:r w:rsidRPr="000A27AF">
              <w:rPr>
                <w:sz w:val="26"/>
                <w:szCs w:val="26"/>
              </w:rPr>
              <w:t>Of</w:t>
            </w:r>
            <w:r>
              <w:rPr>
                <w:sz w:val="26"/>
                <w:szCs w:val="26"/>
              </w:rPr>
              <w:t xml:space="preserve">fice of Small Business Advocate                     </w:t>
            </w:r>
            <w:r>
              <w:rPr>
                <w:color w:val="000000"/>
                <w:sz w:val="26"/>
                <w:szCs w:val="26"/>
              </w:rPr>
              <w:t>Milford Township</w:t>
            </w:r>
          </w:p>
          <w:p w:rsidR="000A27AF" w:rsidRPr="000A27AF" w:rsidRDefault="00B11F56" w:rsidP="000A27AF">
            <w:pPr>
              <w:rPr>
                <w:sz w:val="26"/>
                <w:szCs w:val="26"/>
              </w:rPr>
            </w:pPr>
            <w:r>
              <w:rPr>
                <w:color w:val="000000"/>
                <w:sz w:val="26"/>
                <w:szCs w:val="26"/>
              </w:rPr>
              <w:t xml:space="preserve">Charles </w:t>
            </w:r>
            <w:proofErr w:type="spellStart"/>
            <w:r>
              <w:rPr>
                <w:color w:val="000000"/>
                <w:sz w:val="26"/>
                <w:szCs w:val="26"/>
              </w:rPr>
              <w:t>Gillinder</w:t>
            </w:r>
            <w:proofErr w:type="spellEnd"/>
            <w:r w:rsidR="000A27AF">
              <w:rPr>
                <w:color w:val="000000"/>
                <w:sz w:val="26"/>
                <w:szCs w:val="26"/>
              </w:rPr>
              <w:tab/>
            </w:r>
          </w:p>
          <w:p w:rsidR="000A27AF" w:rsidRPr="000A27AF" w:rsidRDefault="000A27AF" w:rsidP="000A27AF">
            <w:pPr>
              <w:rPr>
                <w:sz w:val="26"/>
                <w:szCs w:val="26"/>
              </w:rPr>
            </w:pPr>
            <w:r w:rsidRPr="000A27AF">
              <w:rPr>
                <w:sz w:val="26"/>
                <w:szCs w:val="26"/>
              </w:rPr>
              <w:tab/>
            </w:r>
            <w:r w:rsidRPr="000A27AF">
              <w:rPr>
                <w:sz w:val="26"/>
                <w:szCs w:val="26"/>
              </w:rPr>
              <w:tab/>
            </w:r>
            <w:r w:rsidRPr="000A27AF">
              <w:rPr>
                <w:sz w:val="26"/>
                <w:szCs w:val="26"/>
              </w:rPr>
              <w:tab/>
            </w:r>
            <w:r w:rsidRPr="000A27AF">
              <w:rPr>
                <w:sz w:val="26"/>
                <w:szCs w:val="26"/>
              </w:rPr>
              <w:tab/>
            </w:r>
            <w:r>
              <w:rPr>
                <w:sz w:val="26"/>
                <w:szCs w:val="26"/>
              </w:rPr>
              <w:tab/>
            </w:r>
            <w:r>
              <w:rPr>
                <w:sz w:val="26"/>
                <w:szCs w:val="26"/>
              </w:rPr>
              <w:tab/>
            </w:r>
          </w:p>
          <w:p w:rsidR="000A27AF" w:rsidRPr="000A27AF" w:rsidRDefault="000A27AF" w:rsidP="000A27AF">
            <w:pPr>
              <w:rPr>
                <w:sz w:val="26"/>
                <w:szCs w:val="26"/>
              </w:rPr>
            </w:pPr>
            <w:r>
              <w:rPr>
                <w:sz w:val="26"/>
                <w:szCs w:val="26"/>
              </w:rPr>
              <w:tab/>
              <w:t>v.</w:t>
            </w:r>
            <w:r>
              <w:rPr>
                <w:sz w:val="26"/>
                <w:szCs w:val="26"/>
              </w:rPr>
              <w:tab/>
            </w:r>
            <w:r>
              <w:rPr>
                <w:sz w:val="26"/>
                <w:szCs w:val="26"/>
              </w:rPr>
              <w:tab/>
            </w:r>
            <w:r>
              <w:rPr>
                <w:sz w:val="26"/>
                <w:szCs w:val="26"/>
              </w:rPr>
              <w:tab/>
            </w:r>
            <w:r>
              <w:rPr>
                <w:sz w:val="26"/>
                <w:szCs w:val="26"/>
              </w:rPr>
              <w:tab/>
            </w:r>
            <w:r>
              <w:rPr>
                <w:sz w:val="26"/>
                <w:szCs w:val="26"/>
              </w:rPr>
              <w:tab/>
            </w:r>
            <w:r w:rsidRPr="000A27AF">
              <w:rPr>
                <w:sz w:val="26"/>
                <w:szCs w:val="26"/>
              </w:rPr>
              <w:tab/>
            </w:r>
            <w:r w:rsidRPr="000A27AF">
              <w:rPr>
                <w:sz w:val="26"/>
                <w:szCs w:val="26"/>
              </w:rPr>
              <w:tab/>
            </w:r>
            <w:r w:rsidRPr="000A27AF">
              <w:rPr>
                <w:sz w:val="26"/>
                <w:szCs w:val="26"/>
              </w:rPr>
              <w:tab/>
            </w:r>
            <w:r w:rsidRPr="000A27AF">
              <w:rPr>
                <w:sz w:val="26"/>
                <w:szCs w:val="26"/>
              </w:rPr>
              <w:tab/>
            </w:r>
            <w:r w:rsidRPr="000A27AF">
              <w:rPr>
                <w:sz w:val="26"/>
                <w:szCs w:val="26"/>
              </w:rPr>
              <w:tab/>
            </w:r>
            <w:r w:rsidRPr="000A27AF">
              <w:rPr>
                <w:sz w:val="26"/>
                <w:szCs w:val="26"/>
              </w:rPr>
              <w:tab/>
            </w:r>
          </w:p>
          <w:p w:rsidR="000A27AF" w:rsidRDefault="000A27AF" w:rsidP="000A27AF">
            <w:pPr>
              <w:rPr>
                <w:sz w:val="26"/>
                <w:szCs w:val="26"/>
              </w:rPr>
            </w:pPr>
            <w:r w:rsidRPr="000A27AF">
              <w:rPr>
                <w:sz w:val="26"/>
                <w:szCs w:val="26"/>
              </w:rPr>
              <w:t>Pike County Light &amp; Power (Electric)</w:t>
            </w:r>
            <w:r w:rsidRPr="000A27AF">
              <w:rPr>
                <w:sz w:val="26"/>
                <w:szCs w:val="26"/>
              </w:rPr>
              <w:tab/>
            </w:r>
          </w:p>
          <w:p w:rsidR="000A27AF" w:rsidRDefault="000A27AF" w:rsidP="000A27AF">
            <w:pPr>
              <w:rPr>
                <w:sz w:val="26"/>
                <w:szCs w:val="26"/>
              </w:rPr>
            </w:pPr>
            <w:r>
              <w:rPr>
                <w:sz w:val="26"/>
                <w:szCs w:val="26"/>
              </w:rPr>
              <w:t xml:space="preserve">                                                   </w:t>
            </w:r>
          </w:p>
          <w:p w:rsidR="00F514FB" w:rsidRPr="000A27AF" w:rsidRDefault="00F514FB" w:rsidP="0077040D">
            <w:pPr>
              <w:rPr>
                <w:b/>
                <w:sz w:val="26"/>
                <w:szCs w:val="26"/>
              </w:rPr>
            </w:pPr>
          </w:p>
        </w:tc>
        <w:tc>
          <w:tcPr>
            <w:tcW w:w="4428" w:type="dxa"/>
          </w:tcPr>
          <w:p w:rsidR="006553BD" w:rsidRDefault="000A27AF" w:rsidP="004B500E">
            <w:pPr>
              <w:jc w:val="right"/>
              <w:rPr>
                <w:sz w:val="24"/>
                <w:szCs w:val="24"/>
              </w:rPr>
            </w:pPr>
            <w:r w:rsidRPr="000A27AF">
              <w:rPr>
                <w:sz w:val="26"/>
                <w:szCs w:val="26"/>
              </w:rPr>
              <w:t>R-2013-2397237</w:t>
            </w:r>
            <w:r w:rsidR="006553BD" w:rsidRPr="00E6204F">
              <w:rPr>
                <w:sz w:val="24"/>
                <w:szCs w:val="24"/>
              </w:rPr>
              <w:t xml:space="preserve"> </w:t>
            </w:r>
          </w:p>
          <w:p w:rsidR="006553BD" w:rsidRDefault="006553BD" w:rsidP="004B500E">
            <w:pPr>
              <w:jc w:val="right"/>
              <w:rPr>
                <w:sz w:val="26"/>
                <w:szCs w:val="26"/>
              </w:rPr>
            </w:pPr>
            <w:r w:rsidRPr="006553BD">
              <w:rPr>
                <w:sz w:val="26"/>
                <w:szCs w:val="26"/>
              </w:rPr>
              <w:t xml:space="preserve">C-2014-2405317 </w:t>
            </w:r>
          </w:p>
          <w:p w:rsidR="006553BD" w:rsidRDefault="006553BD" w:rsidP="004B500E">
            <w:pPr>
              <w:jc w:val="right"/>
              <w:rPr>
                <w:sz w:val="26"/>
                <w:szCs w:val="26"/>
              </w:rPr>
            </w:pPr>
            <w:r w:rsidRPr="006553BD">
              <w:rPr>
                <w:sz w:val="26"/>
                <w:szCs w:val="26"/>
              </w:rPr>
              <w:t>C-2014-240</w:t>
            </w:r>
            <w:r>
              <w:rPr>
                <w:sz w:val="26"/>
                <w:szCs w:val="26"/>
              </w:rPr>
              <w:t xml:space="preserve">8729 </w:t>
            </w:r>
          </w:p>
          <w:p w:rsidR="00F514FB" w:rsidRDefault="006553BD" w:rsidP="004B500E">
            <w:pPr>
              <w:jc w:val="right"/>
              <w:rPr>
                <w:sz w:val="26"/>
                <w:szCs w:val="26"/>
              </w:rPr>
            </w:pPr>
            <w:r w:rsidRPr="006553BD">
              <w:rPr>
                <w:sz w:val="26"/>
                <w:szCs w:val="26"/>
              </w:rPr>
              <w:t>C-2014-240</w:t>
            </w:r>
            <w:r>
              <w:rPr>
                <w:sz w:val="26"/>
                <w:szCs w:val="26"/>
              </w:rPr>
              <w:t>8736</w:t>
            </w:r>
          </w:p>
          <w:p w:rsidR="00B11F56" w:rsidRPr="00F514FB" w:rsidRDefault="00B11F56" w:rsidP="004B500E">
            <w:pPr>
              <w:jc w:val="right"/>
              <w:rPr>
                <w:sz w:val="26"/>
                <w:szCs w:val="26"/>
              </w:rPr>
            </w:pPr>
            <w:r>
              <w:rPr>
                <w:sz w:val="26"/>
                <w:szCs w:val="26"/>
              </w:rPr>
              <w:t>C-2014</w:t>
            </w:r>
            <w:r w:rsidR="0077040D">
              <w:rPr>
                <w:sz w:val="26"/>
                <w:szCs w:val="26"/>
              </w:rPr>
              <w:t>-</w:t>
            </w:r>
            <w:r w:rsidR="0077040D" w:rsidRPr="0077040D">
              <w:rPr>
                <w:sz w:val="26"/>
                <w:szCs w:val="26"/>
              </w:rPr>
              <w:t>2438396</w:t>
            </w:r>
          </w:p>
        </w:tc>
      </w:tr>
    </w:tbl>
    <w:p w:rsidR="000A204D" w:rsidRDefault="000A204D" w:rsidP="004B500E">
      <w:pPr>
        <w:spacing w:line="360" w:lineRule="auto"/>
        <w:jc w:val="center"/>
        <w:rPr>
          <w:b/>
          <w:sz w:val="26"/>
          <w:szCs w:val="26"/>
        </w:rPr>
      </w:pPr>
      <w:r w:rsidRPr="00F514FB">
        <w:rPr>
          <w:b/>
          <w:sz w:val="26"/>
          <w:szCs w:val="26"/>
        </w:rPr>
        <w:t>OPINION AND</w:t>
      </w:r>
      <w:r>
        <w:rPr>
          <w:b/>
          <w:sz w:val="26"/>
          <w:szCs w:val="26"/>
        </w:rPr>
        <w:t xml:space="preserve"> ORDER</w:t>
      </w:r>
    </w:p>
    <w:p w:rsidR="000A204D" w:rsidRDefault="000A204D" w:rsidP="004B500E">
      <w:pPr>
        <w:spacing w:line="360" w:lineRule="auto"/>
        <w:rPr>
          <w:b/>
          <w:sz w:val="26"/>
          <w:szCs w:val="26"/>
        </w:rPr>
      </w:pPr>
    </w:p>
    <w:p w:rsidR="00F514FB" w:rsidRPr="00F514FB" w:rsidRDefault="00F514FB" w:rsidP="004B500E">
      <w:pPr>
        <w:spacing w:line="360" w:lineRule="auto"/>
        <w:rPr>
          <w:b/>
          <w:sz w:val="26"/>
          <w:szCs w:val="26"/>
        </w:rPr>
      </w:pPr>
      <w:r w:rsidRPr="00F514FB">
        <w:rPr>
          <w:b/>
          <w:sz w:val="26"/>
          <w:szCs w:val="26"/>
        </w:rPr>
        <w:t>BY THE COMMISSION:</w:t>
      </w:r>
    </w:p>
    <w:p w:rsidR="00F514FB" w:rsidRPr="00F514FB" w:rsidRDefault="00F514FB" w:rsidP="004B500E">
      <w:pPr>
        <w:spacing w:line="360" w:lineRule="auto"/>
        <w:rPr>
          <w:sz w:val="26"/>
          <w:szCs w:val="26"/>
        </w:rPr>
      </w:pPr>
    </w:p>
    <w:p w:rsidR="00C655BD" w:rsidRDefault="00CA43A5" w:rsidP="004B500E">
      <w:pPr>
        <w:widowControl/>
        <w:spacing w:line="360" w:lineRule="auto"/>
        <w:ind w:firstLine="1440"/>
        <w:rPr>
          <w:color w:val="000000"/>
          <w:sz w:val="26"/>
        </w:rPr>
      </w:pPr>
      <w:r w:rsidRPr="00CA43A5">
        <w:rPr>
          <w:sz w:val="26"/>
          <w:szCs w:val="26"/>
        </w:rPr>
        <w:t xml:space="preserve">Before the Pennsylvania Public Utility Commission (Commission) for consideration and disposition </w:t>
      </w:r>
      <w:r w:rsidR="009242C4">
        <w:rPr>
          <w:sz w:val="26"/>
          <w:szCs w:val="26"/>
        </w:rPr>
        <w:t xml:space="preserve">are the Exceptions of Charles </w:t>
      </w:r>
      <w:proofErr w:type="spellStart"/>
      <w:r w:rsidR="009242C4">
        <w:rPr>
          <w:sz w:val="26"/>
          <w:szCs w:val="26"/>
        </w:rPr>
        <w:t>Gillinder</w:t>
      </w:r>
      <w:proofErr w:type="spellEnd"/>
      <w:r w:rsidR="000A204D">
        <w:rPr>
          <w:sz w:val="26"/>
          <w:szCs w:val="26"/>
        </w:rPr>
        <w:t xml:space="preserve"> (Mr. </w:t>
      </w:r>
      <w:proofErr w:type="spellStart"/>
      <w:r w:rsidR="000A204D">
        <w:rPr>
          <w:sz w:val="26"/>
          <w:szCs w:val="26"/>
        </w:rPr>
        <w:t>Gillinder</w:t>
      </w:r>
      <w:proofErr w:type="spellEnd"/>
      <w:r w:rsidR="000A204D">
        <w:rPr>
          <w:sz w:val="26"/>
          <w:szCs w:val="26"/>
        </w:rPr>
        <w:t xml:space="preserve"> or Complainant),</w:t>
      </w:r>
      <w:r w:rsidR="009242C4">
        <w:rPr>
          <w:sz w:val="26"/>
          <w:szCs w:val="26"/>
        </w:rPr>
        <w:t xml:space="preserve"> filed August 25, 2014, to</w:t>
      </w:r>
      <w:r w:rsidR="00B11F56">
        <w:rPr>
          <w:sz w:val="26"/>
          <w:szCs w:val="26"/>
        </w:rPr>
        <w:t xml:space="preserve"> </w:t>
      </w:r>
      <w:r w:rsidR="00671E4C">
        <w:rPr>
          <w:color w:val="000000"/>
          <w:sz w:val="26"/>
        </w:rPr>
        <w:t xml:space="preserve">the </w:t>
      </w:r>
      <w:r w:rsidR="006553BD">
        <w:rPr>
          <w:color w:val="000000"/>
          <w:sz w:val="26"/>
        </w:rPr>
        <w:t>Recommended</w:t>
      </w:r>
      <w:r w:rsidR="00671E4C">
        <w:rPr>
          <w:color w:val="000000"/>
          <w:sz w:val="26"/>
        </w:rPr>
        <w:t xml:space="preserve"> Decision (</w:t>
      </w:r>
      <w:r w:rsidR="006553BD">
        <w:rPr>
          <w:color w:val="000000"/>
          <w:sz w:val="26"/>
        </w:rPr>
        <w:t>R</w:t>
      </w:r>
      <w:r w:rsidR="00671E4C">
        <w:rPr>
          <w:color w:val="000000"/>
          <w:sz w:val="26"/>
        </w:rPr>
        <w:t xml:space="preserve">.D.) of Administrative Law Judge (ALJ) </w:t>
      </w:r>
      <w:r w:rsidR="006553BD">
        <w:rPr>
          <w:color w:val="000000"/>
          <w:sz w:val="26"/>
        </w:rPr>
        <w:t>Christopher P. Pell</w:t>
      </w:r>
      <w:r w:rsidR="00671E4C">
        <w:rPr>
          <w:color w:val="000000"/>
          <w:sz w:val="26"/>
        </w:rPr>
        <w:t xml:space="preserve">, which was issued on </w:t>
      </w:r>
      <w:r w:rsidR="00B11F56">
        <w:rPr>
          <w:color w:val="000000"/>
          <w:sz w:val="26"/>
        </w:rPr>
        <w:t xml:space="preserve">August </w:t>
      </w:r>
      <w:r w:rsidR="0059301C">
        <w:rPr>
          <w:color w:val="000000"/>
          <w:sz w:val="26"/>
        </w:rPr>
        <w:t>11</w:t>
      </w:r>
      <w:r w:rsidR="00B11F56">
        <w:rPr>
          <w:color w:val="000000"/>
          <w:sz w:val="26"/>
        </w:rPr>
        <w:t>, 2014</w:t>
      </w:r>
      <w:r w:rsidR="00671E4C">
        <w:rPr>
          <w:color w:val="000000"/>
          <w:sz w:val="26"/>
        </w:rPr>
        <w:t>, in the above-captioned proceeding</w:t>
      </w:r>
      <w:r w:rsidR="000A204D">
        <w:rPr>
          <w:color w:val="000000"/>
          <w:sz w:val="26"/>
        </w:rPr>
        <w:t>s</w:t>
      </w:r>
      <w:r w:rsidR="009242C4">
        <w:rPr>
          <w:color w:val="000000"/>
          <w:sz w:val="26"/>
        </w:rPr>
        <w:t>.</w:t>
      </w:r>
      <w:r w:rsidR="00C655BD">
        <w:rPr>
          <w:color w:val="000000"/>
          <w:sz w:val="26"/>
        </w:rPr>
        <w:t xml:space="preserve">  </w:t>
      </w:r>
      <w:r w:rsidR="00832A4C">
        <w:rPr>
          <w:color w:val="000000"/>
          <w:sz w:val="26"/>
        </w:rPr>
        <w:t xml:space="preserve">A </w:t>
      </w:r>
      <w:r w:rsidR="001930A8">
        <w:rPr>
          <w:color w:val="000000"/>
          <w:sz w:val="26"/>
        </w:rPr>
        <w:t>Letter</w:t>
      </w:r>
      <w:r w:rsidR="000A204D">
        <w:rPr>
          <w:color w:val="000000"/>
          <w:sz w:val="26"/>
        </w:rPr>
        <w:t>-</w:t>
      </w:r>
      <w:r w:rsidR="00C655BD">
        <w:rPr>
          <w:color w:val="000000"/>
          <w:sz w:val="26"/>
        </w:rPr>
        <w:t>Repl</w:t>
      </w:r>
      <w:r w:rsidR="00832A4C">
        <w:rPr>
          <w:color w:val="000000"/>
          <w:sz w:val="26"/>
        </w:rPr>
        <w:t>y</w:t>
      </w:r>
      <w:r w:rsidR="00C655BD">
        <w:rPr>
          <w:color w:val="000000"/>
          <w:sz w:val="26"/>
        </w:rPr>
        <w:t xml:space="preserve"> to the Exceptions </w:t>
      </w:r>
      <w:r w:rsidR="001930A8">
        <w:rPr>
          <w:color w:val="000000"/>
          <w:sz w:val="26"/>
        </w:rPr>
        <w:t xml:space="preserve">of Mr. </w:t>
      </w:r>
      <w:proofErr w:type="spellStart"/>
      <w:r w:rsidR="001930A8">
        <w:rPr>
          <w:color w:val="000000"/>
          <w:sz w:val="26"/>
        </w:rPr>
        <w:lastRenderedPageBreak/>
        <w:t>Gillinder</w:t>
      </w:r>
      <w:proofErr w:type="spellEnd"/>
      <w:r w:rsidR="001930A8">
        <w:rPr>
          <w:color w:val="000000"/>
          <w:sz w:val="26"/>
        </w:rPr>
        <w:t xml:space="preserve"> </w:t>
      </w:r>
      <w:r w:rsidR="00C655BD">
        <w:rPr>
          <w:color w:val="000000"/>
          <w:sz w:val="26"/>
        </w:rPr>
        <w:t>w</w:t>
      </w:r>
      <w:r w:rsidR="000A204D">
        <w:rPr>
          <w:color w:val="000000"/>
          <w:sz w:val="26"/>
        </w:rPr>
        <w:t>as</w:t>
      </w:r>
      <w:r w:rsidR="00C655BD">
        <w:rPr>
          <w:color w:val="000000"/>
          <w:sz w:val="26"/>
        </w:rPr>
        <w:t xml:space="preserve"> filed </w:t>
      </w:r>
      <w:r w:rsidR="001930A8">
        <w:rPr>
          <w:color w:val="000000"/>
          <w:sz w:val="26"/>
        </w:rPr>
        <w:t xml:space="preserve">by </w:t>
      </w:r>
      <w:r w:rsidR="001930A8" w:rsidRPr="000A27AF">
        <w:rPr>
          <w:sz w:val="26"/>
          <w:szCs w:val="26"/>
        </w:rPr>
        <w:t>Pike County Light &amp; Power (Electric)</w:t>
      </w:r>
      <w:r w:rsidR="001930A8">
        <w:rPr>
          <w:sz w:val="26"/>
          <w:szCs w:val="26"/>
        </w:rPr>
        <w:t xml:space="preserve"> </w:t>
      </w:r>
      <w:r w:rsidR="00D905BF">
        <w:rPr>
          <w:sz w:val="26"/>
          <w:szCs w:val="26"/>
        </w:rPr>
        <w:t>(Pike County</w:t>
      </w:r>
      <w:r w:rsidR="000A204D">
        <w:rPr>
          <w:sz w:val="26"/>
          <w:szCs w:val="26"/>
        </w:rPr>
        <w:t xml:space="preserve"> or the Company</w:t>
      </w:r>
      <w:r w:rsidR="00D905BF">
        <w:rPr>
          <w:sz w:val="26"/>
          <w:szCs w:val="26"/>
        </w:rPr>
        <w:t xml:space="preserve">) </w:t>
      </w:r>
      <w:r w:rsidR="00C655BD">
        <w:rPr>
          <w:color w:val="000000"/>
          <w:sz w:val="26"/>
        </w:rPr>
        <w:t xml:space="preserve">on September </w:t>
      </w:r>
      <w:r w:rsidR="001930A8">
        <w:rPr>
          <w:color w:val="000000"/>
          <w:sz w:val="26"/>
        </w:rPr>
        <w:t>8</w:t>
      </w:r>
      <w:r w:rsidR="00C655BD">
        <w:rPr>
          <w:color w:val="000000"/>
          <w:sz w:val="26"/>
        </w:rPr>
        <w:t>, 2014</w:t>
      </w:r>
      <w:r w:rsidR="00C655BD">
        <w:rPr>
          <w:sz w:val="26"/>
          <w:szCs w:val="26"/>
        </w:rPr>
        <w:t>.</w:t>
      </w:r>
      <w:r w:rsidR="001930A8">
        <w:rPr>
          <w:rStyle w:val="FootnoteReference"/>
          <w:sz w:val="26"/>
          <w:szCs w:val="26"/>
        </w:rPr>
        <w:footnoteReference w:id="1"/>
      </w:r>
      <w:r w:rsidR="002A6A66">
        <w:rPr>
          <w:color w:val="000000"/>
          <w:sz w:val="26"/>
        </w:rPr>
        <w:t xml:space="preserve">  </w:t>
      </w:r>
    </w:p>
    <w:p w:rsidR="001930A8" w:rsidRDefault="001930A8" w:rsidP="00F6094C">
      <w:pPr>
        <w:spacing w:line="360" w:lineRule="auto"/>
        <w:ind w:firstLine="1440"/>
        <w:rPr>
          <w:color w:val="000000"/>
          <w:sz w:val="26"/>
        </w:rPr>
      </w:pPr>
    </w:p>
    <w:p w:rsidR="009242C4" w:rsidRDefault="00F6094C" w:rsidP="00F6094C">
      <w:pPr>
        <w:spacing w:line="360" w:lineRule="auto"/>
        <w:ind w:firstLine="1440"/>
        <w:rPr>
          <w:sz w:val="26"/>
          <w:szCs w:val="26"/>
        </w:rPr>
      </w:pPr>
      <w:r>
        <w:rPr>
          <w:color w:val="000000"/>
          <w:sz w:val="26"/>
        </w:rPr>
        <w:t>Th</w:t>
      </w:r>
      <w:r w:rsidR="0077040D">
        <w:rPr>
          <w:color w:val="000000"/>
          <w:sz w:val="26"/>
        </w:rPr>
        <w:t>is</w:t>
      </w:r>
      <w:r>
        <w:rPr>
          <w:color w:val="000000"/>
          <w:sz w:val="26"/>
        </w:rPr>
        <w:t xml:space="preserve"> proceeding is a general rate increase investigation </w:t>
      </w:r>
      <w:r w:rsidR="0012497D">
        <w:rPr>
          <w:color w:val="000000"/>
          <w:sz w:val="26"/>
        </w:rPr>
        <w:t xml:space="preserve">of Pike County initiated </w:t>
      </w:r>
      <w:r>
        <w:rPr>
          <w:color w:val="000000"/>
          <w:sz w:val="26"/>
        </w:rPr>
        <w:t>pursuant to Section 1308(d) of the Public Utility Code</w:t>
      </w:r>
      <w:r w:rsidR="00022C88">
        <w:rPr>
          <w:color w:val="000000"/>
          <w:sz w:val="26"/>
        </w:rPr>
        <w:t xml:space="preserve"> (Code)</w:t>
      </w:r>
      <w:r>
        <w:rPr>
          <w:color w:val="000000"/>
          <w:sz w:val="26"/>
        </w:rPr>
        <w:t xml:space="preserve">, 66 Pa. C.S. </w:t>
      </w:r>
      <w:r w:rsidR="00022C88">
        <w:rPr>
          <w:color w:val="000000"/>
          <w:sz w:val="26"/>
        </w:rPr>
        <w:br/>
      </w:r>
      <w:r>
        <w:rPr>
          <w:color w:val="000000"/>
          <w:sz w:val="26"/>
        </w:rPr>
        <w:t xml:space="preserve">§ 1308(d).  The </w:t>
      </w:r>
      <w:r w:rsidR="001E0A4B">
        <w:rPr>
          <w:color w:val="000000"/>
          <w:sz w:val="26"/>
        </w:rPr>
        <w:t>August 11, 2014</w:t>
      </w:r>
      <w:r w:rsidR="00B516FD">
        <w:rPr>
          <w:color w:val="000000"/>
          <w:sz w:val="26"/>
        </w:rPr>
        <w:t>,</w:t>
      </w:r>
      <w:r w:rsidR="001E0A4B">
        <w:rPr>
          <w:color w:val="000000"/>
          <w:sz w:val="26"/>
        </w:rPr>
        <w:t xml:space="preserve"> </w:t>
      </w:r>
      <w:proofErr w:type="gramStart"/>
      <w:r>
        <w:rPr>
          <w:color w:val="000000"/>
          <w:sz w:val="26"/>
        </w:rPr>
        <w:t>R</w:t>
      </w:r>
      <w:r w:rsidR="00022C88">
        <w:rPr>
          <w:color w:val="000000"/>
          <w:sz w:val="26"/>
        </w:rPr>
        <w:t>ecommended</w:t>
      </w:r>
      <w:proofErr w:type="gramEnd"/>
      <w:r>
        <w:rPr>
          <w:color w:val="000000"/>
          <w:sz w:val="26"/>
        </w:rPr>
        <w:t xml:space="preserve"> D</w:t>
      </w:r>
      <w:r w:rsidR="00022C88">
        <w:rPr>
          <w:color w:val="000000"/>
          <w:sz w:val="26"/>
        </w:rPr>
        <w:t>ecision</w:t>
      </w:r>
      <w:r>
        <w:rPr>
          <w:color w:val="000000"/>
          <w:sz w:val="26"/>
        </w:rPr>
        <w:t xml:space="preserve"> recommend</w:t>
      </w:r>
      <w:r w:rsidR="00D905BF">
        <w:rPr>
          <w:color w:val="000000"/>
          <w:sz w:val="26"/>
        </w:rPr>
        <w:t>s</w:t>
      </w:r>
      <w:r>
        <w:rPr>
          <w:color w:val="000000"/>
          <w:sz w:val="26"/>
        </w:rPr>
        <w:t xml:space="preserve"> approval of </w:t>
      </w:r>
      <w:r w:rsidRPr="004F09E8">
        <w:rPr>
          <w:color w:val="000000"/>
          <w:sz w:val="26"/>
          <w:szCs w:val="26"/>
        </w:rPr>
        <w:t xml:space="preserve">a </w:t>
      </w:r>
      <w:r w:rsidRPr="004F09E8">
        <w:rPr>
          <w:sz w:val="26"/>
          <w:szCs w:val="26"/>
        </w:rPr>
        <w:t>Joint Petition for Settlement of Rate Proceeding</w:t>
      </w:r>
      <w:r>
        <w:rPr>
          <w:sz w:val="26"/>
          <w:szCs w:val="26"/>
        </w:rPr>
        <w:t xml:space="preserve"> (</w:t>
      </w:r>
      <w:r w:rsidR="006C6A28">
        <w:rPr>
          <w:sz w:val="26"/>
          <w:szCs w:val="26"/>
        </w:rPr>
        <w:t>Petition</w:t>
      </w:r>
      <w:r>
        <w:rPr>
          <w:sz w:val="26"/>
          <w:szCs w:val="26"/>
        </w:rPr>
        <w:t xml:space="preserve">).  </w:t>
      </w:r>
      <w:r>
        <w:rPr>
          <w:color w:val="000000"/>
          <w:sz w:val="26"/>
        </w:rPr>
        <w:t xml:space="preserve">The </w:t>
      </w:r>
      <w:r w:rsidR="006C6A28">
        <w:rPr>
          <w:color w:val="000000"/>
          <w:sz w:val="26"/>
        </w:rPr>
        <w:t>proposed settlement (</w:t>
      </w:r>
      <w:r w:rsidRPr="004F09E8">
        <w:rPr>
          <w:sz w:val="26"/>
          <w:szCs w:val="26"/>
        </w:rPr>
        <w:t>Settlement</w:t>
      </w:r>
      <w:r w:rsidR="006C6A28">
        <w:rPr>
          <w:sz w:val="26"/>
          <w:szCs w:val="26"/>
        </w:rPr>
        <w:t>)</w:t>
      </w:r>
      <w:r w:rsidRPr="004F09E8">
        <w:rPr>
          <w:sz w:val="26"/>
          <w:szCs w:val="26"/>
        </w:rPr>
        <w:t xml:space="preserve"> </w:t>
      </w:r>
      <w:r>
        <w:rPr>
          <w:sz w:val="26"/>
          <w:szCs w:val="26"/>
        </w:rPr>
        <w:t>is s</w:t>
      </w:r>
      <w:r w:rsidRPr="004F09E8">
        <w:rPr>
          <w:sz w:val="26"/>
          <w:szCs w:val="26"/>
        </w:rPr>
        <w:t>igned by Pike</w:t>
      </w:r>
      <w:r w:rsidR="00C655BD">
        <w:rPr>
          <w:sz w:val="26"/>
          <w:szCs w:val="26"/>
        </w:rPr>
        <w:t xml:space="preserve"> County</w:t>
      </w:r>
      <w:r w:rsidRPr="004F09E8">
        <w:rPr>
          <w:sz w:val="26"/>
          <w:szCs w:val="26"/>
        </w:rPr>
        <w:t xml:space="preserve">, </w:t>
      </w:r>
      <w:r>
        <w:rPr>
          <w:sz w:val="26"/>
          <w:szCs w:val="26"/>
        </w:rPr>
        <w:t>the Office of Consumer Advocate (</w:t>
      </w:r>
      <w:r w:rsidRPr="004F09E8">
        <w:rPr>
          <w:sz w:val="26"/>
          <w:szCs w:val="26"/>
        </w:rPr>
        <w:t>OCA</w:t>
      </w:r>
      <w:r>
        <w:rPr>
          <w:sz w:val="26"/>
          <w:szCs w:val="26"/>
        </w:rPr>
        <w:t>)</w:t>
      </w:r>
      <w:r w:rsidRPr="004F09E8">
        <w:rPr>
          <w:sz w:val="26"/>
          <w:szCs w:val="26"/>
        </w:rPr>
        <w:t>,</w:t>
      </w:r>
      <w:r>
        <w:rPr>
          <w:sz w:val="26"/>
          <w:szCs w:val="26"/>
        </w:rPr>
        <w:t xml:space="preserve"> the Commission’s Bureau of Investigation and Enforcement</w:t>
      </w:r>
      <w:r w:rsidRPr="004F09E8">
        <w:rPr>
          <w:sz w:val="26"/>
          <w:szCs w:val="26"/>
        </w:rPr>
        <w:t xml:space="preserve"> </w:t>
      </w:r>
      <w:r>
        <w:rPr>
          <w:sz w:val="26"/>
          <w:szCs w:val="26"/>
        </w:rPr>
        <w:t>(</w:t>
      </w:r>
      <w:r w:rsidRPr="004F09E8">
        <w:rPr>
          <w:sz w:val="26"/>
          <w:szCs w:val="26"/>
        </w:rPr>
        <w:t>I&amp;E</w:t>
      </w:r>
      <w:r>
        <w:rPr>
          <w:sz w:val="26"/>
          <w:szCs w:val="26"/>
        </w:rPr>
        <w:t>),</w:t>
      </w:r>
      <w:r w:rsidRPr="004F09E8">
        <w:rPr>
          <w:sz w:val="26"/>
          <w:szCs w:val="26"/>
        </w:rPr>
        <w:t xml:space="preserve"> and</w:t>
      </w:r>
      <w:r>
        <w:rPr>
          <w:sz w:val="26"/>
          <w:szCs w:val="26"/>
        </w:rPr>
        <w:t xml:space="preserve"> the Office of Small Business</w:t>
      </w:r>
      <w:r w:rsidRPr="004F09E8">
        <w:rPr>
          <w:sz w:val="26"/>
          <w:szCs w:val="26"/>
        </w:rPr>
        <w:t xml:space="preserve"> </w:t>
      </w:r>
      <w:r>
        <w:rPr>
          <w:sz w:val="26"/>
          <w:szCs w:val="26"/>
        </w:rPr>
        <w:t>Advocate (</w:t>
      </w:r>
      <w:r w:rsidRPr="004F09E8">
        <w:rPr>
          <w:sz w:val="26"/>
          <w:szCs w:val="26"/>
        </w:rPr>
        <w:t>OSBA</w:t>
      </w:r>
      <w:r>
        <w:rPr>
          <w:sz w:val="26"/>
          <w:szCs w:val="26"/>
        </w:rPr>
        <w:t>).  These parties were</w:t>
      </w:r>
      <w:r w:rsidRPr="004F09E8">
        <w:rPr>
          <w:sz w:val="26"/>
          <w:szCs w:val="26"/>
        </w:rPr>
        <w:t xml:space="preserve"> all of the </w:t>
      </w:r>
      <w:r w:rsidR="00CA55A7">
        <w:rPr>
          <w:sz w:val="26"/>
          <w:szCs w:val="26"/>
        </w:rPr>
        <w:t>A</w:t>
      </w:r>
      <w:r w:rsidRPr="004F09E8">
        <w:rPr>
          <w:sz w:val="26"/>
          <w:szCs w:val="26"/>
        </w:rPr>
        <w:t xml:space="preserve">ctive </w:t>
      </w:r>
      <w:r w:rsidR="00CA55A7">
        <w:rPr>
          <w:sz w:val="26"/>
          <w:szCs w:val="26"/>
        </w:rPr>
        <w:t>P</w:t>
      </w:r>
      <w:r w:rsidRPr="004F09E8">
        <w:rPr>
          <w:sz w:val="26"/>
          <w:szCs w:val="26"/>
        </w:rPr>
        <w:t>arties</w:t>
      </w:r>
      <w:r>
        <w:rPr>
          <w:sz w:val="26"/>
          <w:szCs w:val="26"/>
        </w:rPr>
        <w:t xml:space="preserve"> to the proceeding</w:t>
      </w:r>
      <w:r w:rsidRPr="004F09E8">
        <w:rPr>
          <w:sz w:val="26"/>
          <w:szCs w:val="26"/>
        </w:rPr>
        <w:t>.</w:t>
      </w:r>
      <w:r>
        <w:rPr>
          <w:sz w:val="26"/>
          <w:szCs w:val="26"/>
        </w:rPr>
        <w:t xml:space="preserve">  </w:t>
      </w:r>
      <w:proofErr w:type="gramStart"/>
      <w:r>
        <w:rPr>
          <w:sz w:val="26"/>
          <w:szCs w:val="26"/>
        </w:rPr>
        <w:t>R.D. at 15.</w:t>
      </w:r>
      <w:proofErr w:type="gramEnd"/>
      <w:r w:rsidR="0077040D">
        <w:rPr>
          <w:sz w:val="26"/>
          <w:szCs w:val="26"/>
        </w:rPr>
        <w:t xml:space="preserve">  </w:t>
      </w:r>
    </w:p>
    <w:p w:rsidR="009242C4" w:rsidRDefault="009242C4" w:rsidP="00F6094C">
      <w:pPr>
        <w:spacing w:line="360" w:lineRule="auto"/>
        <w:ind w:firstLine="1440"/>
        <w:rPr>
          <w:sz w:val="26"/>
          <w:szCs w:val="26"/>
        </w:rPr>
      </w:pPr>
    </w:p>
    <w:p w:rsidR="009C29C2" w:rsidRDefault="0077040D" w:rsidP="000C712B">
      <w:pPr>
        <w:spacing w:line="360" w:lineRule="auto"/>
        <w:ind w:firstLine="1440"/>
        <w:rPr>
          <w:sz w:val="26"/>
          <w:szCs w:val="26"/>
        </w:rPr>
      </w:pPr>
      <w:r>
        <w:rPr>
          <w:sz w:val="26"/>
          <w:szCs w:val="26"/>
        </w:rPr>
        <w:t xml:space="preserve">Mr. </w:t>
      </w:r>
      <w:r w:rsidR="00C74F77">
        <w:rPr>
          <w:sz w:val="26"/>
          <w:szCs w:val="26"/>
        </w:rPr>
        <w:t xml:space="preserve">Charles </w:t>
      </w:r>
      <w:proofErr w:type="spellStart"/>
      <w:r>
        <w:rPr>
          <w:sz w:val="26"/>
          <w:szCs w:val="26"/>
        </w:rPr>
        <w:t>Gillinder</w:t>
      </w:r>
      <w:proofErr w:type="spellEnd"/>
      <w:r>
        <w:rPr>
          <w:sz w:val="26"/>
          <w:szCs w:val="26"/>
        </w:rPr>
        <w:t xml:space="preserve"> is not a signatory to the Settlement</w:t>
      </w:r>
      <w:r w:rsidR="0043269E">
        <w:rPr>
          <w:sz w:val="26"/>
          <w:szCs w:val="26"/>
        </w:rPr>
        <w:t>.  I</w:t>
      </w:r>
      <w:r>
        <w:rPr>
          <w:sz w:val="26"/>
          <w:szCs w:val="26"/>
        </w:rPr>
        <w:t>n his August 25, 2014</w:t>
      </w:r>
      <w:r w:rsidR="00B516FD">
        <w:rPr>
          <w:sz w:val="26"/>
          <w:szCs w:val="26"/>
        </w:rPr>
        <w:t>,</w:t>
      </w:r>
      <w:r>
        <w:rPr>
          <w:sz w:val="26"/>
          <w:szCs w:val="26"/>
        </w:rPr>
        <w:t xml:space="preserve"> </w:t>
      </w:r>
      <w:r w:rsidR="001A7ECF">
        <w:rPr>
          <w:sz w:val="26"/>
          <w:szCs w:val="26"/>
        </w:rPr>
        <w:t>Exceptions,</w:t>
      </w:r>
      <w:r>
        <w:rPr>
          <w:sz w:val="26"/>
          <w:szCs w:val="26"/>
        </w:rPr>
        <w:t xml:space="preserve"> </w:t>
      </w:r>
      <w:r w:rsidR="00022C88">
        <w:rPr>
          <w:sz w:val="26"/>
          <w:szCs w:val="26"/>
        </w:rPr>
        <w:t xml:space="preserve">Mr. </w:t>
      </w:r>
      <w:proofErr w:type="spellStart"/>
      <w:r w:rsidR="0043269E">
        <w:rPr>
          <w:sz w:val="26"/>
          <w:szCs w:val="26"/>
        </w:rPr>
        <w:t>Gillinder</w:t>
      </w:r>
      <w:proofErr w:type="spellEnd"/>
      <w:r w:rsidR="0043269E">
        <w:rPr>
          <w:sz w:val="26"/>
          <w:szCs w:val="26"/>
        </w:rPr>
        <w:t xml:space="preserve"> </w:t>
      </w:r>
      <w:r>
        <w:rPr>
          <w:sz w:val="26"/>
          <w:szCs w:val="26"/>
        </w:rPr>
        <w:t>registered his opposition</w:t>
      </w:r>
      <w:r w:rsidR="001A7ECF">
        <w:rPr>
          <w:sz w:val="26"/>
          <w:szCs w:val="26"/>
        </w:rPr>
        <w:t xml:space="preserve"> to the Settlement</w:t>
      </w:r>
      <w:r>
        <w:rPr>
          <w:sz w:val="26"/>
          <w:szCs w:val="26"/>
        </w:rPr>
        <w:t>.</w:t>
      </w:r>
    </w:p>
    <w:p w:rsidR="007128CF" w:rsidRDefault="007128CF" w:rsidP="009E7DAF">
      <w:pPr>
        <w:spacing w:line="360" w:lineRule="auto"/>
        <w:ind w:firstLine="1440"/>
        <w:rPr>
          <w:sz w:val="26"/>
          <w:szCs w:val="26"/>
        </w:rPr>
      </w:pPr>
    </w:p>
    <w:p w:rsidR="00CE495D" w:rsidRPr="00CA43A5" w:rsidRDefault="003F4683" w:rsidP="00CE495D">
      <w:pPr>
        <w:spacing w:line="360" w:lineRule="auto"/>
        <w:ind w:firstLine="1440"/>
        <w:rPr>
          <w:sz w:val="26"/>
          <w:szCs w:val="26"/>
        </w:rPr>
      </w:pPr>
      <w:r>
        <w:rPr>
          <w:sz w:val="26"/>
          <w:szCs w:val="26"/>
        </w:rPr>
        <w:t>F</w:t>
      </w:r>
      <w:r w:rsidR="00CE495D" w:rsidRPr="00CA43A5">
        <w:rPr>
          <w:sz w:val="26"/>
          <w:szCs w:val="26"/>
        </w:rPr>
        <w:t xml:space="preserve">or the reasons stated below, we </w:t>
      </w:r>
      <w:r>
        <w:rPr>
          <w:sz w:val="26"/>
          <w:szCs w:val="26"/>
        </w:rPr>
        <w:t>shall a</w:t>
      </w:r>
      <w:r w:rsidR="00CE495D">
        <w:rPr>
          <w:sz w:val="26"/>
          <w:szCs w:val="26"/>
        </w:rPr>
        <w:t>dopt the R</w:t>
      </w:r>
      <w:r w:rsidR="00022C88">
        <w:rPr>
          <w:sz w:val="26"/>
          <w:szCs w:val="26"/>
        </w:rPr>
        <w:t>ecommended</w:t>
      </w:r>
      <w:r w:rsidR="00CE495D">
        <w:rPr>
          <w:sz w:val="26"/>
          <w:szCs w:val="26"/>
        </w:rPr>
        <w:t xml:space="preserve"> D</w:t>
      </w:r>
      <w:r w:rsidR="00022C88">
        <w:rPr>
          <w:sz w:val="26"/>
          <w:szCs w:val="26"/>
        </w:rPr>
        <w:t>ecision</w:t>
      </w:r>
      <w:r w:rsidR="0043269E">
        <w:rPr>
          <w:sz w:val="26"/>
          <w:szCs w:val="26"/>
        </w:rPr>
        <w:t xml:space="preserve">, approve the Settlement as in the public interest, </w:t>
      </w:r>
      <w:r w:rsidR="000C712B">
        <w:rPr>
          <w:sz w:val="26"/>
          <w:szCs w:val="26"/>
        </w:rPr>
        <w:t xml:space="preserve">and deny the Exceptions of Mr. </w:t>
      </w:r>
      <w:proofErr w:type="spellStart"/>
      <w:r w:rsidR="000C712B">
        <w:rPr>
          <w:sz w:val="26"/>
          <w:szCs w:val="26"/>
        </w:rPr>
        <w:t>Gillinder</w:t>
      </w:r>
      <w:proofErr w:type="spellEnd"/>
      <w:r w:rsidR="00022C88">
        <w:rPr>
          <w:sz w:val="26"/>
          <w:szCs w:val="26"/>
        </w:rPr>
        <w:t>,</w:t>
      </w:r>
      <w:r w:rsidR="000C712B">
        <w:rPr>
          <w:sz w:val="26"/>
          <w:szCs w:val="26"/>
        </w:rPr>
        <w:t xml:space="preserve"> consistent with the discussion herein</w:t>
      </w:r>
      <w:r w:rsidR="00CE495D" w:rsidRPr="00CA43A5">
        <w:rPr>
          <w:sz w:val="26"/>
          <w:szCs w:val="26"/>
        </w:rPr>
        <w:t>.</w:t>
      </w:r>
      <w:r w:rsidR="00901BF9">
        <w:rPr>
          <w:sz w:val="26"/>
          <w:szCs w:val="26"/>
        </w:rPr>
        <w:t xml:space="preserve"> </w:t>
      </w:r>
    </w:p>
    <w:p w:rsidR="00CC30E1" w:rsidRDefault="00CC30E1" w:rsidP="00CE495D">
      <w:pPr>
        <w:spacing w:line="360" w:lineRule="auto"/>
        <w:rPr>
          <w:sz w:val="26"/>
          <w:szCs w:val="26"/>
        </w:rPr>
      </w:pPr>
    </w:p>
    <w:p w:rsidR="00CE495D" w:rsidRDefault="00166C86" w:rsidP="004B500E">
      <w:pPr>
        <w:keepNext/>
        <w:spacing w:line="360" w:lineRule="auto"/>
        <w:jc w:val="center"/>
        <w:rPr>
          <w:b/>
          <w:sz w:val="26"/>
          <w:szCs w:val="26"/>
        </w:rPr>
      </w:pPr>
      <w:r>
        <w:rPr>
          <w:b/>
          <w:sz w:val="26"/>
          <w:szCs w:val="26"/>
        </w:rPr>
        <w:lastRenderedPageBreak/>
        <w:t>Procedural History</w:t>
      </w:r>
      <w:r w:rsidR="00CE495D" w:rsidRPr="00CA43A5">
        <w:rPr>
          <w:b/>
          <w:sz w:val="26"/>
          <w:szCs w:val="26"/>
        </w:rPr>
        <w:t xml:space="preserve"> </w:t>
      </w:r>
    </w:p>
    <w:p w:rsidR="007B415E" w:rsidRPr="007B415E" w:rsidRDefault="007B415E" w:rsidP="007B415E">
      <w:pPr>
        <w:spacing w:line="360" w:lineRule="auto"/>
        <w:rPr>
          <w:b/>
          <w:sz w:val="26"/>
          <w:szCs w:val="26"/>
        </w:rPr>
      </w:pPr>
    </w:p>
    <w:p w:rsidR="00CE495D" w:rsidRPr="00537D48" w:rsidRDefault="00537D48" w:rsidP="00537D48">
      <w:pPr>
        <w:spacing w:line="360" w:lineRule="auto"/>
        <w:ind w:firstLine="1440"/>
        <w:rPr>
          <w:sz w:val="24"/>
          <w:szCs w:val="24"/>
        </w:rPr>
      </w:pPr>
      <w:bookmarkStart w:id="1" w:name="OLE_LINK1"/>
      <w:bookmarkStart w:id="2" w:name="OLE_LINK2"/>
      <w:r w:rsidRPr="00C57243">
        <w:rPr>
          <w:sz w:val="26"/>
          <w:szCs w:val="26"/>
        </w:rPr>
        <w:t xml:space="preserve">On January 17, 2014, Pike County filed Supplement No. 61 to </w:t>
      </w:r>
      <w:r w:rsidR="00007B3C">
        <w:rPr>
          <w:sz w:val="26"/>
          <w:szCs w:val="26"/>
        </w:rPr>
        <w:t xml:space="preserve">Tariff </w:t>
      </w:r>
      <w:r w:rsidRPr="00C57243">
        <w:rPr>
          <w:sz w:val="26"/>
          <w:szCs w:val="26"/>
        </w:rPr>
        <w:t xml:space="preserve">Electric - PA. P.U.C. No. 8 to become effective March 18, 2014, containing proposed changes in rates, rules, and regulations calculated to produce $1.7 million (17.8%) in additional annual </w:t>
      </w:r>
      <w:r w:rsidR="00832A4C">
        <w:rPr>
          <w:sz w:val="26"/>
          <w:szCs w:val="26"/>
        </w:rPr>
        <w:t xml:space="preserve">operating </w:t>
      </w:r>
      <w:r w:rsidRPr="00C57243">
        <w:rPr>
          <w:sz w:val="26"/>
          <w:szCs w:val="26"/>
        </w:rPr>
        <w:t>revenues based on the historic test year ending September 30, 2013.  Pike</w:t>
      </w:r>
      <w:r>
        <w:rPr>
          <w:sz w:val="26"/>
          <w:szCs w:val="26"/>
        </w:rPr>
        <w:t xml:space="preserve"> County’s</w:t>
      </w:r>
      <w:r w:rsidRPr="00C57243">
        <w:rPr>
          <w:sz w:val="26"/>
          <w:szCs w:val="26"/>
        </w:rPr>
        <w:t xml:space="preserve"> </w:t>
      </w:r>
      <w:r>
        <w:rPr>
          <w:sz w:val="26"/>
          <w:szCs w:val="26"/>
        </w:rPr>
        <w:t>filing was</w:t>
      </w:r>
      <w:r w:rsidRPr="00C57243">
        <w:rPr>
          <w:sz w:val="26"/>
          <w:szCs w:val="26"/>
        </w:rPr>
        <w:t xml:space="preserve"> designed to allow </w:t>
      </w:r>
      <w:r>
        <w:rPr>
          <w:sz w:val="26"/>
          <w:szCs w:val="26"/>
        </w:rPr>
        <w:t>the utility</w:t>
      </w:r>
      <w:r w:rsidRPr="00C57243">
        <w:rPr>
          <w:sz w:val="26"/>
          <w:szCs w:val="26"/>
        </w:rPr>
        <w:t xml:space="preserve"> an opportunity to earn an overall rate of return of 8.21%, including a 10.25% return on equity</w:t>
      </w:r>
      <w:r>
        <w:rPr>
          <w:sz w:val="24"/>
          <w:szCs w:val="24"/>
        </w:rPr>
        <w:t xml:space="preserve">.  </w:t>
      </w:r>
      <w:proofErr w:type="gramStart"/>
      <w:r w:rsidR="008D557F">
        <w:rPr>
          <w:rFonts w:eastAsiaTheme="minorHAnsi"/>
          <w:sz w:val="26"/>
          <w:szCs w:val="26"/>
        </w:rPr>
        <w:t xml:space="preserve">R.D. at </w:t>
      </w:r>
      <w:r w:rsidR="009C29C2">
        <w:rPr>
          <w:rFonts w:eastAsiaTheme="minorHAnsi"/>
          <w:sz w:val="26"/>
          <w:szCs w:val="26"/>
        </w:rPr>
        <w:t>1</w:t>
      </w:r>
      <w:r w:rsidR="008D557F">
        <w:rPr>
          <w:rFonts w:eastAsiaTheme="minorHAnsi"/>
          <w:sz w:val="26"/>
          <w:szCs w:val="26"/>
        </w:rPr>
        <w:t>.</w:t>
      </w:r>
      <w:proofErr w:type="gramEnd"/>
    </w:p>
    <w:p w:rsidR="008D557F" w:rsidRDefault="008D557F" w:rsidP="008D557F">
      <w:pPr>
        <w:spacing w:line="360" w:lineRule="auto"/>
        <w:ind w:firstLine="1440"/>
        <w:rPr>
          <w:rFonts w:eastAsiaTheme="minorHAnsi"/>
          <w:sz w:val="26"/>
          <w:szCs w:val="26"/>
        </w:rPr>
      </w:pPr>
    </w:p>
    <w:p w:rsidR="00600A5E" w:rsidRDefault="008D557F" w:rsidP="00600A5E">
      <w:pPr>
        <w:spacing w:line="360" w:lineRule="auto"/>
        <w:ind w:firstLine="1440"/>
        <w:rPr>
          <w:sz w:val="26"/>
          <w:szCs w:val="26"/>
        </w:rPr>
      </w:pPr>
      <w:r w:rsidRPr="00DD3856">
        <w:rPr>
          <w:rFonts w:eastAsiaTheme="minorHAnsi"/>
          <w:sz w:val="26"/>
          <w:szCs w:val="26"/>
        </w:rPr>
        <w:t xml:space="preserve">Notices of Appearance were filed by </w:t>
      </w:r>
      <w:proofErr w:type="gramStart"/>
      <w:r w:rsidRPr="00DD3856">
        <w:rPr>
          <w:rFonts w:eastAsiaTheme="minorHAnsi"/>
          <w:sz w:val="26"/>
          <w:szCs w:val="26"/>
        </w:rPr>
        <w:t>I&amp;E</w:t>
      </w:r>
      <w:proofErr w:type="gramEnd"/>
      <w:r w:rsidR="002F0171">
        <w:rPr>
          <w:rFonts w:eastAsiaTheme="minorHAnsi"/>
          <w:sz w:val="26"/>
          <w:szCs w:val="26"/>
        </w:rPr>
        <w:t>,</w:t>
      </w:r>
      <w:r w:rsidRPr="00DD3856">
        <w:rPr>
          <w:rFonts w:eastAsiaTheme="minorHAnsi"/>
          <w:sz w:val="26"/>
          <w:szCs w:val="26"/>
        </w:rPr>
        <w:t xml:space="preserve"> </w:t>
      </w:r>
      <w:r w:rsidR="00B516FD">
        <w:rPr>
          <w:rFonts w:eastAsiaTheme="minorHAnsi"/>
          <w:sz w:val="26"/>
          <w:szCs w:val="26"/>
        </w:rPr>
        <w:t xml:space="preserve">the </w:t>
      </w:r>
      <w:r w:rsidRPr="00DD3856">
        <w:rPr>
          <w:rFonts w:eastAsiaTheme="minorHAnsi"/>
          <w:sz w:val="26"/>
          <w:szCs w:val="26"/>
        </w:rPr>
        <w:t>OCA</w:t>
      </w:r>
      <w:r w:rsidR="002F0171">
        <w:rPr>
          <w:rFonts w:eastAsiaTheme="minorHAnsi"/>
          <w:sz w:val="26"/>
          <w:szCs w:val="26"/>
        </w:rPr>
        <w:t>,</w:t>
      </w:r>
      <w:r>
        <w:rPr>
          <w:rFonts w:eastAsiaTheme="minorHAnsi"/>
          <w:sz w:val="26"/>
          <w:szCs w:val="26"/>
        </w:rPr>
        <w:t xml:space="preserve"> and</w:t>
      </w:r>
      <w:r w:rsidRPr="00DD3856">
        <w:rPr>
          <w:rFonts w:eastAsiaTheme="minorHAnsi"/>
          <w:sz w:val="26"/>
          <w:szCs w:val="26"/>
        </w:rPr>
        <w:t xml:space="preserve"> </w:t>
      </w:r>
      <w:r w:rsidR="00B516FD">
        <w:rPr>
          <w:rFonts w:eastAsiaTheme="minorHAnsi"/>
          <w:sz w:val="26"/>
          <w:szCs w:val="26"/>
        </w:rPr>
        <w:t xml:space="preserve">the </w:t>
      </w:r>
      <w:r w:rsidRPr="00DD3856">
        <w:rPr>
          <w:rFonts w:eastAsiaTheme="minorHAnsi"/>
          <w:sz w:val="26"/>
          <w:szCs w:val="26"/>
        </w:rPr>
        <w:t>OSBA</w:t>
      </w:r>
      <w:r>
        <w:rPr>
          <w:rFonts w:eastAsiaTheme="minorHAnsi"/>
          <w:sz w:val="26"/>
          <w:szCs w:val="26"/>
        </w:rPr>
        <w:t>.</w:t>
      </w:r>
      <w:r w:rsidRPr="00DD3856">
        <w:rPr>
          <w:rFonts w:eastAsiaTheme="minorHAnsi"/>
          <w:sz w:val="26"/>
          <w:szCs w:val="26"/>
        </w:rPr>
        <w:t xml:space="preserve"> </w:t>
      </w:r>
      <w:r w:rsidR="00600A5E" w:rsidRPr="003317CA">
        <w:rPr>
          <w:sz w:val="26"/>
          <w:szCs w:val="26"/>
        </w:rPr>
        <w:t xml:space="preserve">On February 24, 2014, Milford Township filed a </w:t>
      </w:r>
      <w:r w:rsidR="00DF2E71">
        <w:rPr>
          <w:sz w:val="26"/>
          <w:szCs w:val="26"/>
        </w:rPr>
        <w:t>F</w:t>
      </w:r>
      <w:r w:rsidR="00600A5E" w:rsidRPr="003317CA">
        <w:rPr>
          <w:sz w:val="26"/>
          <w:szCs w:val="26"/>
        </w:rPr>
        <w:t>ormal Complaint</w:t>
      </w:r>
      <w:r w:rsidR="00600A5E">
        <w:rPr>
          <w:sz w:val="26"/>
          <w:szCs w:val="26"/>
        </w:rPr>
        <w:t xml:space="preserve"> against the general rate increase filing</w:t>
      </w:r>
      <w:r w:rsidR="00600A5E" w:rsidRPr="003317CA">
        <w:rPr>
          <w:sz w:val="26"/>
          <w:szCs w:val="26"/>
        </w:rPr>
        <w:t xml:space="preserve">.  The Complaint was docketed at </w:t>
      </w:r>
      <w:r w:rsidR="002D0C91">
        <w:rPr>
          <w:sz w:val="26"/>
          <w:szCs w:val="26"/>
        </w:rPr>
        <w:t xml:space="preserve">No. </w:t>
      </w:r>
      <w:proofErr w:type="gramStart"/>
      <w:r w:rsidR="00600A5E" w:rsidRPr="003317CA">
        <w:rPr>
          <w:sz w:val="26"/>
          <w:szCs w:val="26"/>
        </w:rPr>
        <w:t>C-2014-2408736</w:t>
      </w:r>
      <w:r w:rsidR="00600A5E">
        <w:rPr>
          <w:sz w:val="26"/>
          <w:szCs w:val="26"/>
        </w:rPr>
        <w:t>.</w:t>
      </w:r>
      <w:proofErr w:type="gramEnd"/>
      <w:r w:rsidR="00600A5E">
        <w:rPr>
          <w:sz w:val="26"/>
          <w:szCs w:val="26"/>
        </w:rPr>
        <w:t xml:space="preserve">  </w:t>
      </w:r>
    </w:p>
    <w:p w:rsidR="008D557F" w:rsidRDefault="008D557F" w:rsidP="00600A5E">
      <w:pPr>
        <w:autoSpaceDE w:val="0"/>
        <w:autoSpaceDN w:val="0"/>
        <w:adjustRightInd w:val="0"/>
        <w:spacing w:line="360" w:lineRule="auto"/>
        <w:rPr>
          <w:rFonts w:eastAsiaTheme="minorHAnsi"/>
          <w:sz w:val="26"/>
          <w:szCs w:val="26"/>
        </w:rPr>
      </w:pPr>
    </w:p>
    <w:p w:rsidR="008D557F" w:rsidRDefault="008D557F">
      <w:pPr>
        <w:spacing w:line="360" w:lineRule="auto"/>
        <w:ind w:firstLine="1440"/>
        <w:rPr>
          <w:sz w:val="26"/>
          <w:szCs w:val="26"/>
        </w:rPr>
      </w:pPr>
      <w:r w:rsidRPr="00DD3856">
        <w:rPr>
          <w:rFonts w:eastAsiaTheme="minorHAnsi"/>
          <w:sz w:val="26"/>
          <w:szCs w:val="26"/>
        </w:rPr>
        <w:t>On March 6, 2014, the Commission entered an</w:t>
      </w:r>
      <w:r>
        <w:rPr>
          <w:rFonts w:eastAsiaTheme="minorHAnsi"/>
          <w:sz w:val="26"/>
          <w:szCs w:val="26"/>
        </w:rPr>
        <w:t xml:space="preserve"> Order suspending the effective </w:t>
      </w:r>
      <w:r w:rsidRPr="00DD3856">
        <w:rPr>
          <w:rFonts w:eastAsiaTheme="minorHAnsi"/>
          <w:sz w:val="26"/>
          <w:szCs w:val="26"/>
        </w:rPr>
        <w:t>date of the proposed tariff until October 18, 2014</w:t>
      </w:r>
      <w:r>
        <w:rPr>
          <w:rFonts w:eastAsiaTheme="minorHAnsi"/>
          <w:sz w:val="26"/>
          <w:szCs w:val="26"/>
        </w:rPr>
        <w:t>,</w:t>
      </w:r>
      <w:r w:rsidRPr="00DD3856">
        <w:rPr>
          <w:rFonts w:eastAsiaTheme="minorHAnsi"/>
          <w:sz w:val="26"/>
          <w:szCs w:val="26"/>
        </w:rPr>
        <w:t xml:space="preserve"> and insti</w:t>
      </w:r>
      <w:r>
        <w:rPr>
          <w:rFonts w:eastAsiaTheme="minorHAnsi"/>
          <w:sz w:val="26"/>
          <w:szCs w:val="26"/>
        </w:rPr>
        <w:t xml:space="preserve">tuted an investigation into the </w:t>
      </w:r>
      <w:r w:rsidR="009728FC">
        <w:rPr>
          <w:rFonts w:eastAsiaTheme="minorHAnsi"/>
          <w:sz w:val="26"/>
          <w:szCs w:val="26"/>
        </w:rPr>
        <w:t xml:space="preserve">justness and reasonableness of </w:t>
      </w:r>
      <w:r w:rsidR="009E292B">
        <w:rPr>
          <w:rFonts w:eastAsiaTheme="minorHAnsi"/>
          <w:sz w:val="26"/>
          <w:szCs w:val="26"/>
        </w:rPr>
        <w:t xml:space="preserve">the </w:t>
      </w:r>
      <w:r w:rsidRPr="00DD3856">
        <w:rPr>
          <w:rFonts w:eastAsiaTheme="minorHAnsi"/>
          <w:sz w:val="26"/>
          <w:szCs w:val="26"/>
        </w:rPr>
        <w:t>filing</w:t>
      </w:r>
      <w:r w:rsidR="009728FC">
        <w:rPr>
          <w:rFonts w:eastAsiaTheme="minorHAnsi"/>
          <w:sz w:val="26"/>
          <w:szCs w:val="26"/>
        </w:rPr>
        <w:t xml:space="preserve"> and Pike</w:t>
      </w:r>
      <w:r w:rsidR="002D0C91">
        <w:rPr>
          <w:rFonts w:eastAsiaTheme="minorHAnsi"/>
          <w:sz w:val="26"/>
          <w:szCs w:val="26"/>
        </w:rPr>
        <w:t xml:space="preserve"> County</w:t>
      </w:r>
      <w:r w:rsidR="009728FC">
        <w:rPr>
          <w:rFonts w:eastAsiaTheme="minorHAnsi"/>
          <w:sz w:val="26"/>
          <w:szCs w:val="26"/>
        </w:rPr>
        <w:t>’</w:t>
      </w:r>
      <w:r w:rsidR="002D0C91">
        <w:rPr>
          <w:rFonts w:eastAsiaTheme="minorHAnsi"/>
          <w:sz w:val="26"/>
          <w:szCs w:val="26"/>
        </w:rPr>
        <w:t>s</w:t>
      </w:r>
      <w:r w:rsidR="009728FC">
        <w:rPr>
          <w:rFonts w:eastAsiaTheme="minorHAnsi"/>
          <w:sz w:val="26"/>
          <w:szCs w:val="26"/>
        </w:rPr>
        <w:t xml:space="preserve"> existing rates</w:t>
      </w:r>
      <w:r w:rsidRPr="00DD3856">
        <w:rPr>
          <w:rFonts w:eastAsiaTheme="minorHAnsi"/>
          <w:sz w:val="26"/>
          <w:szCs w:val="26"/>
        </w:rPr>
        <w:t xml:space="preserve">. </w:t>
      </w:r>
      <w:r>
        <w:rPr>
          <w:rFonts w:eastAsiaTheme="minorHAnsi"/>
          <w:sz w:val="26"/>
          <w:szCs w:val="26"/>
        </w:rPr>
        <w:t xml:space="preserve"> </w:t>
      </w:r>
      <w:r w:rsidRPr="00DD3856">
        <w:rPr>
          <w:rFonts w:eastAsiaTheme="minorHAnsi"/>
          <w:sz w:val="26"/>
          <w:szCs w:val="26"/>
        </w:rPr>
        <w:t>Pike</w:t>
      </w:r>
      <w:r>
        <w:rPr>
          <w:rFonts w:eastAsiaTheme="minorHAnsi"/>
          <w:sz w:val="26"/>
          <w:szCs w:val="26"/>
        </w:rPr>
        <w:t xml:space="preserve"> </w:t>
      </w:r>
      <w:r w:rsidR="002D0C91">
        <w:rPr>
          <w:rFonts w:eastAsiaTheme="minorHAnsi"/>
          <w:sz w:val="26"/>
          <w:szCs w:val="26"/>
        </w:rPr>
        <w:t xml:space="preserve">County </w:t>
      </w:r>
      <w:r w:rsidRPr="00DD3856">
        <w:rPr>
          <w:rFonts w:eastAsiaTheme="minorHAnsi"/>
          <w:sz w:val="26"/>
          <w:szCs w:val="26"/>
        </w:rPr>
        <w:t>voluntarily extended the suspension period until October 31, 2014.</w:t>
      </w:r>
      <w:r w:rsidR="008D3BEA">
        <w:rPr>
          <w:rFonts w:eastAsiaTheme="minorHAnsi"/>
          <w:sz w:val="26"/>
          <w:szCs w:val="26"/>
        </w:rPr>
        <w:t xml:space="preserve">  </w:t>
      </w:r>
      <w:proofErr w:type="gramStart"/>
      <w:r w:rsidR="008D3BEA">
        <w:rPr>
          <w:rFonts w:eastAsiaTheme="minorHAnsi"/>
          <w:sz w:val="26"/>
          <w:szCs w:val="26"/>
        </w:rPr>
        <w:t>R.D.</w:t>
      </w:r>
      <w:r w:rsidR="008A6C91">
        <w:rPr>
          <w:rFonts w:eastAsiaTheme="minorHAnsi"/>
          <w:sz w:val="26"/>
          <w:szCs w:val="26"/>
        </w:rPr>
        <w:t xml:space="preserve"> at</w:t>
      </w:r>
      <w:r w:rsidR="008D3BEA">
        <w:rPr>
          <w:rFonts w:eastAsiaTheme="minorHAnsi"/>
          <w:sz w:val="26"/>
          <w:szCs w:val="26"/>
        </w:rPr>
        <w:t xml:space="preserve"> 2.</w:t>
      </w:r>
      <w:proofErr w:type="gramEnd"/>
      <w:r w:rsidR="008701D4">
        <w:rPr>
          <w:rFonts w:eastAsiaTheme="minorHAnsi"/>
          <w:sz w:val="26"/>
          <w:szCs w:val="26"/>
        </w:rPr>
        <w:t xml:space="preserve">  </w:t>
      </w:r>
      <w:r w:rsidR="006C6A28">
        <w:rPr>
          <w:rFonts w:eastAsiaTheme="minorHAnsi"/>
          <w:sz w:val="26"/>
          <w:szCs w:val="26"/>
        </w:rPr>
        <w:t xml:space="preserve">The </w:t>
      </w:r>
      <w:r>
        <w:rPr>
          <w:sz w:val="26"/>
          <w:szCs w:val="26"/>
        </w:rPr>
        <w:t>matter was</w:t>
      </w:r>
      <w:r w:rsidR="008D3BEA">
        <w:rPr>
          <w:sz w:val="26"/>
          <w:szCs w:val="26"/>
        </w:rPr>
        <w:t xml:space="preserve">, thereafter, </w:t>
      </w:r>
      <w:r>
        <w:rPr>
          <w:sz w:val="26"/>
          <w:szCs w:val="26"/>
        </w:rPr>
        <w:t xml:space="preserve">assigned to the Office of Administrative Law Judge, </w:t>
      </w:r>
      <w:r w:rsidR="009728FC">
        <w:rPr>
          <w:sz w:val="26"/>
          <w:szCs w:val="26"/>
        </w:rPr>
        <w:t xml:space="preserve">and </w:t>
      </w:r>
      <w:r>
        <w:rPr>
          <w:sz w:val="26"/>
          <w:szCs w:val="26"/>
        </w:rPr>
        <w:t>ALJ Pell, for such hearings as may be necessary and the issuance of a Recommended Decision.</w:t>
      </w:r>
    </w:p>
    <w:p w:rsidR="008D557F" w:rsidRDefault="008D557F" w:rsidP="008D557F">
      <w:pPr>
        <w:spacing w:line="360" w:lineRule="auto"/>
        <w:ind w:firstLine="1440"/>
        <w:rPr>
          <w:sz w:val="26"/>
          <w:szCs w:val="26"/>
        </w:rPr>
      </w:pPr>
    </w:p>
    <w:p w:rsidR="008D3BEA" w:rsidRDefault="00BF736B" w:rsidP="00FB2D7E">
      <w:pPr>
        <w:spacing w:line="360" w:lineRule="auto"/>
        <w:ind w:firstLine="1440"/>
        <w:rPr>
          <w:sz w:val="26"/>
          <w:szCs w:val="26"/>
        </w:rPr>
      </w:pPr>
      <w:r>
        <w:rPr>
          <w:sz w:val="26"/>
          <w:szCs w:val="26"/>
        </w:rPr>
        <w:t xml:space="preserve">A Prehearing Conference was convened (telephonically) on </w:t>
      </w:r>
      <w:r w:rsidR="00600A5E">
        <w:rPr>
          <w:sz w:val="26"/>
          <w:szCs w:val="26"/>
        </w:rPr>
        <w:t xml:space="preserve">               </w:t>
      </w:r>
      <w:r>
        <w:rPr>
          <w:sz w:val="26"/>
          <w:szCs w:val="26"/>
        </w:rPr>
        <w:t xml:space="preserve">March 27, 2014.  Active participants </w:t>
      </w:r>
      <w:r w:rsidR="0019267C">
        <w:rPr>
          <w:sz w:val="26"/>
          <w:szCs w:val="26"/>
        </w:rPr>
        <w:t xml:space="preserve">at the Prehearing Conference </w:t>
      </w:r>
      <w:r>
        <w:rPr>
          <w:sz w:val="26"/>
          <w:szCs w:val="26"/>
        </w:rPr>
        <w:t xml:space="preserve">were </w:t>
      </w:r>
      <w:r w:rsidR="00007B3C">
        <w:rPr>
          <w:sz w:val="26"/>
          <w:szCs w:val="26"/>
        </w:rPr>
        <w:t xml:space="preserve">Pike County, </w:t>
      </w:r>
      <w:r>
        <w:rPr>
          <w:sz w:val="26"/>
          <w:szCs w:val="26"/>
        </w:rPr>
        <w:t xml:space="preserve">I&amp;E, </w:t>
      </w:r>
      <w:r w:rsidR="00CA55A7">
        <w:rPr>
          <w:sz w:val="26"/>
          <w:szCs w:val="26"/>
        </w:rPr>
        <w:t xml:space="preserve">the </w:t>
      </w:r>
      <w:r>
        <w:rPr>
          <w:sz w:val="26"/>
          <w:szCs w:val="26"/>
        </w:rPr>
        <w:t xml:space="preserve">OCA, and </w:t>
      </w:r>
      <w:r w:rsidR="00CA55A7">
        <w:rPr>
          <w:sz w:val="26"/>
          <w:szCs w:val="26"/>
        </w:rPr>
        <w:t xml:space="preserve">the </w:t>
      </w:r>
      <w:r>
        <w:rPr>
          <w:sz w:val="26"/>
          <w:szCs w:val="26"/>
        </w:rPr>
        <w:t>OSBA.</w:t>
      </w:r>
      <w:r w:rsidR="0019267C">
        <w:rPr>
          <w:sz w:val="26"/>
          <w:szCs w:val="26"/>
        </w:rPr>
        <w:t xml:space="preserve">  A procedural schedule was adopted and</w:t>
      </w:r>
      <w:r w:rsidR="00054086">
        <w:rPr>
          <w:sz w:val="26"/>
          <w:szCs w:val="26"/>
        </w:rPr>
        <w:t>,</w:t>
      </w:r>
      <w:r w:rsidR="0019267C">
        <w:rPr>
          <w:sz w:val="26"/>
          <w:szCs w:val="26"/>
        </w:rPr>
        <w:t xml:space="preserve"> pursuant to the </w:t>
      </w:r>
      <w:r w:rsidR="008D3BEA">
        <w:rPr>
          <w:sz w:val="26"/>
          <w:szCs w:val="26"/>
        </w:rPr>
        <w:t xml:space="preserve">schedule, the </w:t>
      </w:r>
      <w:r w:rsidR="00CA55A7">
        <w:rPr>
          <w:sz w:val="26"/>
          <w:szCs w:val="26"/>
        </w:rPr>
        <w:t xml:space="preserve">Active </w:t>
      </w:r>
      <w:r w:rsidR="00054086">
        <w:rPr>
          <w:sz w:val="26"/>
          <w:szCs w:val="26"/>
        </w:rPr>
        <w:t>P</w:t>
      </w:r>
      <w:r w:rsidR="0019267C">
        <w:rPr>
          <w:sz w:val="26"/>
          <w:szCs w:val="26"/>
        </w:rPr>
        <w:t>arties engaged in extensive discovery.</w:t>
      </w:r>
      <w:r w:rsidR="00054086">
        <w:rPr>
          <w:sz w:val="26"/>
          <w:szCs w:val="26"/>
        </w:rPr>
        <w:t xml:space="preserve">  </w:t>
      </w:r>
      <w:r w:rsidR="00FB2D7E">
        <w:rPr>
          <w:sz w:val="26"/>
          <w:szCs w:val="26"/>
        </w:rPr>
        <w:t>At the time of the March 27, 2014</w:t>
      </w:r>
      <w:r w:rsidR="00B516FD">
        <w:rPr>
          <w:sz w:val="26"/>
          <w:szCs w:val="26"/>
        </w:rPr>
        <w:t>,</w:t>
      </w:r>
      <w:r w:rsidR="00FB2D7E">
        <w:rPr>
          <w:sz w:val="26"/>
          <w:szCs w:val="26"/>
        </w:rPr>
        <w:t xml:space="preserve"> Prehearing Conference, ALJ Pell was not aware of the </w:t>
      </w:r>
      <w:r w:rsidR="00B516FD">
        <w:rPr>
          <w:sz w:val="26"/>
          <w:szCs w:val="26"/>
        </w:rPr>
        <w:t>C</w:t>
      </w:r>
      <w:r w:rsidR="00FB2D7E">
        <w:rPr>
          <w:sz w:val="26"/>
          <w:szCs w:val="26"/>
        </w:rPr>
        <w:t xml:space="preserve">omplaint of Mr. </w:t>
      </w:r>
      <w:proofErr w:type="spellStart"/>
      <w:r w:rsidR="00FB2D7E">
        <w:rPr>
          <w:sz w:val="26"/>
          <w:szCs w:val="26"/>
        </w:rPr>
        <w:t>Gillinder</w:t>
      </w:r>
      <w:proofErr w:type="spellEnd"/>
      <w:r w:rsidR="00FB2D7E">
        <w:rPr>
          <w:sz w:val="26"/>
          <w:szCs w:val="26"/>
        </w:rPr>
        <w:t xml:space="preserve">.  </w:t>
      </w:r>
      <w:r w:rsidR="008D3BEA">
        <w:rPr>
          <w:i/>
          <w:sz w:val="26"/>
          <w:szCs w:val="26"/>
        </w:rPr>
        <w:t>See</w:t>
      </w:r>
      <w:r w:rsidR="00054086">
        <w:rPr>
          <w:i/>
          <w:sz w:val="26"/>
          <w:szCs w:val="26"/>
        </w:rPr>
        <w:t>,</w:t>
      </w:r>
      <w:r w:rsidR="008D3BEA">
        <w:rPr>
          <w:i/>
          <w:sz w:val="26"/>
          <w:szCs w:val="26"/>
        </w:rPr>
        <w:t xml:space="preserve"> </w:t>
      </w:r>
      <w:r w:rsidR="008D3BEA">
        <w:rPr>
          <w:sz w:val="26"/>
          <w:szCs w:val="26"/>
        </w:rPr>
        <w:t>March 27, 2014, Prehearing Conference Transcript (</w:t>
      </w:r>
      <w:r w:rsidR="00FB2D7E">
        <w:rPr>
          <w:sz w:val="26"/>
          <w:szCs w:val="26"/>
        </w:rPr>
        <w:t>Tr.</w:t>
      </w:r>
      <w:r w:rsidR="008D3BEA">
        <w:rPr>
          <w:sz w:val="26"/>
          <w:szCs w:val="26"/>
        </w:rPr>
        <w:t>)</w:t>
      </w:r>
      <w:r w:rsidR="00FB2D7E">
        <w:rPr>
          <w:sz w:val="26"/>
          <w:szCs w:val="26"/>
        </w:rPr>
        <w:t xml:space="preserve"> at 8.  </w:t>
      </w:r>
    </w:p>
    <w:p w:rsidR="008D3BEA" w:rsidRDefault="008D3BEA" w:rsidP="00FB2D7E">
      <w:pPr>
        <w:spacing w:line="360" w:lineRule="auto"/>
        <w:ind w:firstLine="1440"/>
        <w:rPr>
          <w:sz w:val="26"/>
          <w:szCs w:val="26"/>
        </w:rPr>
      </w:pPr>
    </w:p>
    <w:p w:rsidR="008E35BB" w:rsidRDefault="008E35BB" w:rsidP="008D557F">
      <w:pPr>
        <w:spacing w:line="360" w:lineRule="auto"/>
        <w:ind w:firstLine="1440"/>
        <w:rPr>
          <w:sz w:val="26"/>
          <w:szCs w:val="26"/>
        </w:rPr>
      </w:pPr>
    </w:p>
    <w:p w:rsidR="008E35BB" w:rsidRDefault="0019267C" w:rsidP="00600A5E">
      <w:pPr>
        <w:autoSpaceDE w:val="0"/>
        <w:autoSpaceDN w:val="0"/>
        <w:adjustRightInd w:val="0"/>
        <w:spacing w:line="360" w:lineRule="auto"/>
        <w:ind w:firstLine="1440"/>
        <w:rPr>
          <w:rFonts w:eastAsiaTheme="minorHAnsi"/>
          <w:sz w:val="26"/>
          <w:szCs w:val="26"/>
        </w:rPr>
      </w:pPr>
      <w:r>
        <w:rPr>
          <w:sz w:val="26"/>
          <w:szCs w:val="26"/>
        </w:rPr>
        <w:lastRenderedPageBreak/>
        <w:t xml:space="preserve">At the conclusion of discovery, the </w:t>
      </w:r>
      <w:r w:rsidR="00CA55A7">
        <w:rPr>
          <w:sz w:val="26"/>
          <w:szCs w:val="26"/>
        </w:rPr>
        <w:t>A</w:t>
      </w:r>
      <w:r>
        <w:rPr>
          <w:sz w:val="26"/>
          <w:szCs w:val="26"/>
        </w:rPr>
        <w:t xml:space="preserve">ctive </w:t>
      </w:r>
      <w:r w:rsidR="003C162E">
        <w:rPr>
          <w:sz w:val="26"/>
          <w:szCs w:val="26"/>
        </w:rPr>
        <w:t>P</w:t>
      </w:r>
      <w:r>
        <w:rPr>
          <w:sz w:val="26"/>
          <w:szCs w:val="26"/>
        </w:rPr>
        <w:t xml:space="preserve">arties </w:t>
      </w:r>
      <w:r w:rsidR="005318A8">
        <w:rPr>
          <w:sz w:val="26"/>
          <w:szCs w:val="26"/>
        </w:rPr>
        <w:t xml:space="preserve">to the case </w:t>
      </w:r>
      <w:r>
        <w:rPr>
          <w:sz w:val="26"/>
          <w:szCs w:val="26"/>
        </w:rPr>
        <w:t xml:space="preserve">filed direct, rebuttal, and </w:t>
      </w:r>
      <w:proofErr w:type="spellStart"/>
      <w:r>
        <w:rPr>
          <w:sz w:val="26"/>
          <w:szCs w:val="26"/>
        </w:rPr>
        <w:t>surrebuttal</w:t>
      </w:r>
      <w:proofErr w:type="spellEnd"/>
      <w:r>
        <w:rPr>
          <w:sz w:val="26"/>
          <w:szCs w:val="26"/>
        </w:rPr>
        <w:t xml:space="preserve"> written testimony in support of their respective litigation positions.</w:t>
      </w:r>
      <w:r w:rsidR="008701D4">
        <w:rPr>
          <w:sz w:val="26"/>
          <w:szCs w:val="26"/>
        </w:rPr>
        <w:t xml:space="preserve">  </w:t>
      </w:r>
      <w:r w:rsidR="008E35BB">
        <w:rPr>
          <w:rFonts w:eastAsiaTheme="minorHAnsi"/>
          <w:sz w:val="26"/>
          <w:szCs w:val="26"/>
        </w:rPr>
        <w:t xml:space="preserve">ALJ Pell recorded the following testimony </w:t>
      </w:r>
      <w:r w:rsidR="005318A8">
        <w:rPr>
          <w:rFonts w:eastAsiaTheme="minorHAnsi"/>
          <w:sz w:val="26"/>
          <w:szCs w:val="26"/>
        </w:rPr>
        <w:t xml:space="preserve">as </w:t>
      </w:r>
      <w:r w:rsidR="006A3127">
        <w:rPr>
          <w:rFonts w:eastAsiaTheme="minorHAnsi"/>
          <w:sz w:val="26"/>
          <w:szCs w:val="26"/>
        </w:rPr>
        <w:t>filed on</w:t>
      </w:r>
      <w:r w:rsidR="008E35BB">
        <w:rPr>
          <w:rFonts w:eastAsiaTheme="minorHAnsi"/>
          <w:sz w:val="26"/>
          <w:szCs w:val="26"/>
        </w:rPr>
        <w:t xml:space="preserve"> behalf of the </w:t>
      </w:r>
      <w:r w:rsidR="00CA55A7">
        <w:rPr>
          <w:rFonts w:eastAsiaTheme="minorHAnsi"/>
          <w:sz w:val="26"/>
          <w:szCs w:val="26"/>
        </w:rPr>
        <w:t>A</w:t>
      </w:r>
      <w:r w:rsidR="003C162E">
        <w:rPr>
          <w:rFonts w:eastAsiaTheme="minorHAnsi"/>
          <w:sz w:val="26"/>
          <w:szCs w:val="26"/>
        </w:rPr>
        <w:t xml:space="preserve">ctive </w:t>
      </w:r>
      <w:r w:rsidR="00007B3C">
        <w:rPr>
          <w:rFonts w:eastAsiaTheme="minorHAnsi"/>
          <w:sz w:val="26"/>
          <w:szCs w:val="26"/>
        </w:rPr>
        <w:t>P</w:t>
      </w:r>
      <w:r w:rsidR="008E35BB">
        <w:rPr>
          <w:rFonts w:eastAsiaTheme="minorHAnsi"/>
          <w:sz w:val="26"/>
          <w:szCs w:val="26"/>
        </w:rPr>
        <w:t>arties to this proceeding:</w:t>
      </w:r>
    </w:p>
    <w:p w:rsidR="008E35BB" w:rsidRDefault="008E35BB" w:rsidP="00600A5E">
      <w:pPr>
        <w:autoSpaceDE w:val="0"/>
        <w:autoSpaceDN w:val="0"/>
        <w:adjustRightInd w:val="0"/>
        <w:spacing w:line="360" w:lineRule="auto"/>
        <w:ind w:firstLine="1440"/>
        <w:rPr>
          <w:rFonts w:eastAsiaTheme="minorHAnsi"/>
          <w:sz w:val="26"/>
          <w:szCs w:val="26"/>
        </w:rPr>
      </w:pPr>
    </w:p>
    <w:p w:rsidR="008E35BB" w:rsidRPr="00963255" w:rsidRDefault="008E35BB" w:rsidP="002B231A">
      <w:pPr>
        <w:ind w:left="1440" w:right="1440"/>
        <w:rPr>
          <w:sz w:val="26"/>
          <w:szCs w:val="26"/>
        </w:rPr>
      </w:pPr>
      <w:r>
        <w:rPr>
          <w:sz w:val="26"/>
          <w:szCs w:val="26"/>
        </w:rPr>
        <w:t xml:space="preserve">           </w:t>
      </w:r>
      <w:r w:rsidRPr="00963255">
        <w:rPr>
          <w:sz w:val="26"/>
          <w:szCs w:val="26"/>
        </w:rPr>
        <w:t xml:space="preserve">On April 29, 2014, the following testimony was submitted:  I&amp;E submitted I&amp;E Statement No. 1, the Direct Testimony and Exhibit of Emily Sears, I&amp;E Statement No. 2, the Direct Testimony and Exhibit of Lisa A. Boyd, and I&amp;E Statement No. 3, the Direct Testimony and Exhibit of Ethan H. Cline; OCA submitted OCA Statement No. 1, the Direct Testimony and Schedules of David J. </w:t>
      </w:r>
      <w:proofErr w:type="spellStart"/>
      <w:r w:rsidRPr="00963255">
        <w:rPr>
          <w:sz w:val="26"/>
          <w:szCs w:val="26"/>
        </w:rPr>
        <w:t>Effron</w:t>
      </w:r>
      <w:proofErr w:type="spellEnd"/>
      <w:r w:rsidRPr="00963255">
        <w:rPr>
          <w:sz w:val="26"/>
          <w:szCs w:val="26"/>
        </w:rPr>
        <w:t xml:space="preserve">, OCA Statement No. 2, the Direct Testimony and Schedules of Aaron L. Rothschild, and OCA Statement No. 3, the Direct Testimony and Schedules of Scott J. Rubin; OSBA submitted OSBA Statement No. 1, the Direct Testimony and Exhibits of Robert D. </w:t>
      </w:r>
      <w:proofErr w:type="spellStart"/>
      <w:r w:rsidRPr="00963255">
        <w:rPr>
          <w:sz w:val="26"/>
          <w:szCs w:val="26"/>
        </w:rPr>
        <w:t>Knecht</w:t>
      </w:r>
      <w:proofErr w:type="spellEnd"/>
      <w:r w:rsidRPr="00963255">
        <w:rPr>
          <w:sz w:val="26"/>
          <w:szCs w:val="26"/>
        </w:rPr>
        <w:t>.</w:t>
      </w:r>
    </w:p>
    <w:p w:rsidR="008E35BB" w:rsidRPr="00963255" w:rsidRDefault="008E35BB" w:rsidP="002B231A">
      <w:pPr>
        <w:ind w:left="1440" w:right="1440"/>
        <w:rPr>
          <w:sz w:val="26"/>
          <w:szCs w:val="26"/>
        </w:rPr>
      </w:pPr>
    </w:p>
    <w:p w:rsidR="008E35BB" w:rsidRPr="00963255" w:rsidRDefault="008E35BB" w:rsidP="004B500E">
      <w:pPr>
        <w:widowControl/>
        <w:ind w:left="1440" w:right="1440"/>
        <w:rPr>
          <w:sz w:val="26"/>
          <w:szCs w:val="26"/>
        </w:rPr>
      </w:pPr>
      <w:r>
        <w:rPr>
          <w:sz w:val="26"/>
          <w:szCs w:val="26"/>
        </w:rPr>
        <w:t xml:space="preserve">            </w:t>
      </w:r>
      <w:r w:rsidRPr="00963255">
        <w:rPr>
          <w:sz w:val="26"/>
          <w:szCs w:val="26"/>
        </w:rPr>
        <w:t xml:space="preserve">On May 19, 2014, the following testimony was submitted:  OCA submitted OCA Statement No. 3R, the Rebuttal Testimony and Schedules of Scott J. Rubin; OSBA submitted OSBA Statement No. 2, the Rebuttal Testimony and Exhibit of Robert D. </w:t>
      </w:r>
      <w:proofErr w:type="spellStart"/>
      <w:r w:rsidRPr="00963255">
        <w:rPr>
          <w:sz w:val="26"/>
          <w:szCs w:val="26"/>
        </w:rPr>
        <w:t>Knecht</w:t>
      </w:r>
      <w:proofErr w:type="spellEnd"/>
      <w:r w:rsidRPr="00963255">
        <w:rPr>
          <w:sz w:val="26"/>
          <w:szCs w:val="26"/>
        </w:rPr>
        <w:t xml:space="preserve">; Pike submitted Accounting Panel Statement No. 1-R, Rebuttal Testimony and Exhibit of Accounting Panel, Rate Panel Rebuttal Statement 4-R, Rebuttal Testimony and Exhibit of Electric Rate Panel, Statement No. RBH-5-R, Rebuttal Testimony and Exhibits of Robert B. </w:t>
      </w:r>
      <w:proofErr w:type="spellStart"/>
      <w:r w:rsidRPr="00963255">
        <w:rPr>
          <w:sz w:val="26"/>
          <w:szCs w:val="26"/>
        </w:rPr>
        <w:t>Hevert</w:t>
      </w:r>
      <w:proofErr w:type="spellEnd"/>
      <w:r w:rsidRPr="00963255">
        <w:rPr>
          <w:sz w:val="26"/>
          <w:szCs w:val="26"/>
        </w:rPr>
        <w:t xml:space="preserve">, and Statement No. </w:t>
      </w:r>
      <w:proofErr w:type="gramStart"/>
      <w:r w:rsidRPr="00963255">
        <w:rPr>
          <w:sz w:val="26"/>
          <w:szCs w:val="26"/>
        </w:rPr>
        <w:t>WAB-6-R, Rebuttal Testimony of Wayne Banker.</w:t>
      </w:r>
      <w:proofErr w:type="gramEnd"/>
    </w:p>
    <w:p w:rsidR="008E35BB" w:rsidRPr="00963255" w:rsidRDefault="008E35BB" w:rsidP="002B231A">
      <w:pPr>
        <w:ind w:left="1440" w:right="1440"/>
        <w:rPr>
          <w:sz w:val="26"/>
          <w:szCs w:val="26"/>
        </w:rPr>
      </w:pPr>
    </w:p>
    <w:p w:rsidR="008E35BB" w:rsidRPr="00963255" w:rsidRDefault="008E35BB" w:rsidP="004B500E">
      <w:pPr>
        <w:widowControl/>
        <w:ind w:left="1440" w:right="1440"/>
        <w:rPr>
          <w:sz w:val="26"/>
          <w:szCs w:val="26"/>
        </w:rPr>
      </w:pPr>
      <w:r w:rsidRPr="00963255">
        <w:rPr>
          <w:sz w:val="26"/>
          <w:szCs w:val="26"/>
        </w:rPr>
        <w:tab/>
        <w:t xml:space="preserve">On June 4, 2014, the following testimony was submitted:  I&amp;E submitted I&amp;E Statement No. 1-SR, the </w:t>
      </w:r>
      <w:proofErr w:type="spellStart"/>
      <w:r w:rsidRPr="00963255">
        <w:rPr>
          <w:sz w:val="26"/>
          <w:szCs w:val="26"/>
        </w:rPr>
        <w:t>Surrebuttal</w:t>
      </w:r>
      <w:proofErr w:type="spellEnd"/>
      <w:r w:rsidRPr="00963255">
        <w:rPr>
          <w:sz w:val="26"/>
          <w:szCs w:val="26"/>
        </w:rPr>
        <w:t xml:space="preserve"> Testimony of Emily Sears, I&amp;E Statement No. 2-SR, the </w:t>
      </w:r>
      <w:proofErr w:type="spellStart"/>
      <w:r w:rsidRPr="00963255">
        <w:rPr>
          <w:sz w:val="26"/>
          <w:szCs w:val="26"/>
        </w:rPr>
        <w:t>Surrebuttal</w:t>
      </w:r>
      <w:proofErr w:type="spellEnd"/>
      <w:r w:rsidRPr="00963255">
        <w:rPr>
          <w:sz w:val="26"/>
          <w:szCs w:val="26"/>
        </w:rPr>
        <w:t xml:space="preserve"> Testimony of Lisa A. Boyd, and I&amp;E Statement No. 3-SR, the </w:t>
      </w:r>
      <w:proofErr w:type="spellStart"/>
      <w:r w:rsidRPr="00963255">
        <w:rPr>
          <w:sz w:val="26"/>
          <w:szCs w:val="26"/>
        </w:rPr>
        <w:t>Surrebuttal</w:t>
      </w:r>
      <w:proofErr w:type="spellEnd"/>
      <w:r w:rsidRPr="00963255">
        <w:rPr>
          <w:sz w:val="26"/>
          <w:szCs w:val="26"/>
        </w:rPr>
        <w:t xml:space="preserve"> Testimony</w:t>
      </w:r>
      <w:r w:rsidR="00E26B69">
        <w:rPr>
          <w:sz w:val="26"/>
          <w:szCs w:val="26"/>
        </w:rPr>
        <w:t xml:space="preserve"> and [sic]</w:t>
      </w:r>
      <w:r w:rsidRPr="00963255">
        <w:rPr>
          <w:sz w:val="26"/>
          <w:szCs w:val="26"/>
        </w:rPr>
        <w:t xml:space="preserve"> of Ethan H. Cline; OCA submitted OCA Statement 1-SR, the </w:t>
      </w:r>
      <w:proofErr w:type="spellStart"/>
      <w:r w:rsidRPr="00963255">
        <w:rPr>
          <w:sz w:val="26"/>
          <w:szCs w:val="26"/>
        </w:rPr>
        <w:t>Surrebuttal</w:t>
      </w:r>
      <w:proofErr w:type="spellEnd"/>
      <w:r w:rsidRPr="00963255">
        <w:rPr>
          <w:sz w:val="26"/>
          <w:szCs w:val="26"/>
        </w:rPr>
        <w:t xml:space="preserve"> Testimony and Schedules of David J. </w:t>
      </w:r>
      <w:proofErr w:type="spellStart"/>
      <w:r w:rsidRPr="00963255">
        <w:rPr>
          <w:sz w:val="26"/>
          <w:szCs w:val="26"/>
        </w:rPr>
        <w:t>Effron</w:t>
      </w:r>
      <w:proofErr w:type="spellEnd"/>
      <w:r w:rsidRPr="00963255">
        <w:rPr>
          <w:sz w:val="26"/>
          <w:szCs w:val="26"/>
        </w:rPr>
        <w:t xml:space="preserve"> and OCA Statement No. 2-SR, the </w:t>
      </w:r>
      <w:proofErr w:type="spellStart"/>
      <w:r w:rsidRPr="00963255">
        <w:rPr>
          <w:sz w:val="26"/>
          <w:szCs w:val="26"/>
        </w:rPr>
        <w:t>Surrebuttal</w:t>
      </w:r>
      <w:proofErr w:type="spellEnd"/>
      <w:r w:rsidRPr="00963255">
        <w:rPr>
          <w:sz w:val="26"/>
          <w:szCs w:val="26"/>
        </w:rPr>
        <w:t xml:space="preserve"> Testimony of Aaron L. Rothschild; OSBA submitted OSBA Statement No. </w:t>
      </w:r>
      <w:r w:rsidRPr="00963255">
        <w:rPr>
          <w:sz w:val="26"/>
          <w:szCs w:val="26"/>
        </w:rPr>
        <w:lastRenderedPageBreak/>
        <w:t xml:space="preserve">3, the </w:t>
      </w:r>
      <w:proofErr w:type="spellStart"/>
      <w:r w:rsidRPr="00963255">
        <w:rPr>
          <w:sz w:val="26"/>
          <w:szCs w:val="26"/>
        </w:rPr>
        <w:t>Surrebuttal</w:t>
      </w:r>
      <w:proofErr w:type="spellEnd"/>
      <w:r w:rsidRPr="00963255">
        <w:rPr>
          <w:sz w:val="26"/>
          <w:szCs w:val="26"/>
        </w:rPr>
        <w:t xml:space="preserve"> Testimony and Exhibits of Robert D. </w:t>
      </w:r>
      <w:proofErr w:type="spellStart"/>
      <w:r w:rsidRPr="00963255">
        <w:rPr>
          <w:sz w:val="26"/>
          <w:szCs w:val="26"/>
        </w:rPr>
        <w:t>Knecht</w:t>
      </w:r>
      <w:proofErr w:type="spellEnd"/>
      <w:r w:rsidRPr="00963255">
        <w:rPr>
          <w:sz w:val="26"/>
          <w:szCs w:val="26"/>
        </w:rPr>
        <w:t>.</w:t>
      </w:r>
    </w:p>
    <w:p w:rsidR="00E26B69" w:rsidRDefault="00E26B69" w:rsidP="008E35BB">
      <w:pPr>
        <w:autoSpaceDE w:val="0"/>
        <w:autoSpaceDN w:val="0"/>
        <w:adjustRightInd w:val="0"/>
        <w:spacing w:line="360" w:lineRule="auto"/>
        <w:rPr>
          <w:rFonts w:eastAsiaTheme="minorHAnsi"/>
          <w:sz w:val="26"/>
          <w:szCs w:val="26"/>
        </w:rPr>
      </w:pPr>
    </w:p>
    <w:p w:rsidR="008E35BB" w:rsidRDefault="008E35BB" w:rsidP="008E35BB">
      <w:pPr>
        <w:autoSpaceDE w:val="0"/>
        <w:autoSpaceDN w:val="0"/>
        <w:adjustRightInd w:val="0"/>
        <w:spacing w:line="360" w:lineRule="auto"/>
        <w:rPr>
          <w:rFonts w:eastAsiaTheme="minorHAnsi"/>
          <w:sz w:val="26"/>
          <w:szCs w:val="26"/>
        </w:rPr>
      </w:pPr>
      <w:proofErr w:type="gramStart"/>
      <w:r>
        <w:rPr>
          <w:rFonts w:eastAsiaTheme="minorHAnsi"/>
          <w:sz w:val="26"/>
          <w:szCs w:val="26"/>
        </w:rPr>
        <w:t>R.D.</w:t>
      </w:r>
      <w:r w:rsidR="00E26B69">
        <w:rPr>
          <w:rFonts w:eastAsiaTheme="minorHAnsi"/>
          <w:sz w:val="26"/>
          <w:szCs w:val="26"/>
        </w:rPr>
        <w:t xml:space="preserve"> at</w:t>
      </w:r>
      <w:r>
        <w:rPr>
          <w:rFonts w:eastAsiaTheme="minorHAnsi"/>
          <w:sz w:val="26"/>
          <w:szCs w:val="26"/>
        </w:rPr>
        <w:t>.</w:t>
      </w:r>
      <w:proofErr w:type="gramEnd"/>
      <w:r>
        <w:rPr>
          <w:rFonts w:eastAsiaTheme="minorHAnsi"/>
          <w:sz w:val="26"/>
          <w:szCs w:val="26"/>
        </w:rPr>
        <w:t xml:space="preserve"> </w:t>
      </w:r>
      <w:proofErr w:type="gramStart"/>
      <w:r>
        <w:rPr>
          <w:rFonts w:eastAsiaTheme="minorHAnsi"/>
          <w:sz w:val="26"/>
          <w:szCs w:val="26"/>
        </w:rPr>
        <w:t>2-3.</w:t>
      </w:r>
      <w:proofErr w:type="gramEnd"/>
    </w:p>
    <w:p w:rsidR="008E35BB" w:rsidRDefault="008E35BB" w:rsidP="008E35BB">
      <w:pPr>
        <w:autoSpaceDE w:val="0"/>
        <w:autoSpaceDN w:val="0"/>
        <w:adjustRightInd w:val="0"/>
        <w:spacing w:line="360" w:lineRule="auto"/>
        <w:rPr>
          <w:rFonts w:eastAsiaTheme="minorHAnsi"/>
          <w:sz w:val="26"/>
          <w:szCs w:val="26"/>
        </w:rPr>
      </w:pPr>
    </w:p>
    <w:p w:rsidR="00291B15" w:rsidRDefault="00600A5E" w:rsidP="004F65AB">
      <w:pPr>
        <w:autoSpaceDE w:val="0"/>
        <w:autoSpaceDN w:val="0"/>
        <w:adjustRightInd w:val="0"/>
        <w:spacing w:line="360" w:lineRule="auto"/>
        <w:ind w:firstLine="1440"/>
        <w:rPr>
          <w:sz w:val="26"/>
          <w:szCs w:val="26"/>
        </w:rPr>
      </w:pPr>
      <w:r w:rsidRPr="00DD3856">
        <w:rPr>
          <w:rFonts w:eastAsiaTheme="minorHAnsi"/>
          <w:sz w:val="26"/>
          <w:szCs w:val="26"/>
        </w:rPr>
        <w:t>Following the filing of testimony and exhibits</w:t>
      </w:r>
      <w:r w:rsidR="00D905BF">
        <w:rPr>
          <w:rFonts w:eastAsiaTheme="minorHAnsi"/>
          <w:sz w:val="26"/>
          <w:szCs w:val="26"/>
        </w:rPr>
        <w:t>,</w:t>
      </w:r>
      <w:r w:rsidRPr="00DD3856">
        <w:rPr>
          <w:rFonts w:eastAsiaTheme="minorHAnsi"/>
          <w:sz w:val="26"/>
          <w:szCs w:val="26"/>
        </w:rPr>
        <w:t xml:space="preserve"> </w:t>
      </w:r>
      <w:r w:rsidR="00D905BF">
        <w:rPr>
          <w:rFonts w:eastAsiaTheme="minorHAnsi"/>
          <w:sz w:val="26"/>
          <w:szCs w:val="26"/>
        </w:rPr>
        <w:t>but</w:t>
      </w:r>
      <w:r w:rsidRPr="00DD3856">
        <w:rPr>
          <w:rFonts w:eastAsiaTheme="minorHAnsi"/>
          <w:sz w:val="26"/>
          <w:szCs w:val="26"/>
        </w:rPr>
        <w:t xml:space="preserve"> before the date for the</w:t>
      </w:r>
      <w:r w:rsidR="00B77979">
        <w:rPr>
          <w:rFonts w:eastAsiaTheme="minorHAnsi"/>
          <w:sz w:val="26"/>
          <w:szCs w:val="26"/>
        </w:rPr>
        <w:t xml:space="preserve"> </w:t>
      </w:r>
      <w:r w:rsidRPr="00DD3856">
        <w:rPr>
          <w:rFonts w:eastAsiaTheme="minorHAnsi"/>
          <w:sz w:val="26"/>
          <w:szCs w:val="26"/>
        </w:rPr>
        <w:t>commencement of evidentiary hearings</w:t>
      </w:r>
      <w:r w:rsidR="00291B15">
        <w:rPr>
          <w:rFonts w:eastAsiaTheme="minorHAnsi"/>
          <w:sz w:val="26"/>
          <w:szCs w:val="26"/>
        </w:rPr>
        <w:t>,</w:t>
      </w:r>
      <w:r w:rsidRPr="00DD3856">
        <w:rPr>
          <w:rFonts w:eastAsiaTheme="minorHAnsi"/>
          <w:sz w:val="26"/>
          <w:szCs w:val="26"/>
        </w:rPr>
        <w:t xml:space="preserve"> the </w:t>
      </w:r>
      <w:r w:rsidR="00CA55A7">
        <w:rPr>
          <w:rFonts w:eastAsiaTheme="minorHAnsi"/>
          <w:sz w:val="26"/>
          <w:szCs w:val="26"/>
        </w:rPr>
        <w:t>A</w:t>
      </w:r>
      <w:r w:rsidR="00291B15">
        <w:rPr>
          <w:rFonts w:eastAsiaTheme="minorHAnsi"/>
          <w:sz w:val="26"/>
          <w:szCs w:val="26"/>
        </w:rPr>
        <w:t xml:space="preserve">ctive </w:t>
      </w:r>
      <w:r w:rsidR="00CA55A7">
        <w:rPr>
          <w:rFonts w:eastAsiaTheme="minorHAnsi"/>
          <w:sz w:val="26"/>
          <w:szCs w:val="26"/>
        </w:rPr>
        <w:t>P</w:t>
      </w:r>
      <w:r w:rsidRPr="00DD3856">
        <w:rPr>
          <w:rFonts w:eastAsiaTheme="minorHAnsi"/>
          <w:sz w:val="26"/>
          <w:szCs w:val="26"/>
        </w:rPr>
        <w:t>arties met and engaged in</w:t>
      </w:r>
      <w:r w:rsidR="00B77979">
        <w:rPr>
          <w:rFonts w:eastAsiaTheme="minorHAnsi"/>
          <w:sz w:val="26"/>
          <w:szCs w:val="26"/>
        </w:rPr>
        <w:t xml:space="preserve"> </w:t>
      </w:r>
      <w:r w:rsidRPr="00DD3856">
        <w:rPr>
          <w:rFonts w:eastAsiaTheme="minorHAnsi"/>
          <w:sz w:val="26"/>
          <w:szCs w:val="26"/>
        </w:rPr>
        <w:t>settlement negotiations</w:t>
      </w:r>
      <w:r w:rsidR="00291B15">
        <w:rPr>
          <w:rFonts w:eastAsiaTheme="minorHAnsi"/>
          <w:sz w:val="26"/>
          <w:szCs w:val="26"/>
        </w:rPr>
        <w:t>.  Those negotiations</w:t>
      </w:r>
      <w:r w:rsidRPr="00DD3856">
        <w:rPr>
          <w:rFonts w:eastAsiaTheme="minorHAnsi"/>
          <w:sz w:val="26"/>
          <w:szCs w:val="26"/>
        </w:rPr>
        <w:t xml:space="preserve"> result</w:t>
      </w:r>
      <w:r w:rsidR="00291B15">
        <w:rPr>
          <w:rFonts w:eastAsiaTheme="minorHAnsi"/>
          <w:sz w:val="26"/>
          <w:szCs w:val="26"/>
        </w:rPr>
        <w:t xml:space="preserve">ed </w:t>
      </w:r>
      <w:r w:rsidRPr="00DD3856">
        <w:rPr>
          <w:rFonts w:eastAsiaTheme="minorHAnsi"/>
          <w:sz w:val="26"/>
          <w:szCs w:val="26"/>
        </w:rPr>
        <w:t xml:space="preserve">in </w:t>
      </w:r>
      <w:r w:rsidR="00291B15">
        <w:rPr>
          <w:rFonts w:eastAsiaTheme="minorHAnsi"/>
          <w:sz w:val="26"/>
          <w:szCs w:val="26"/>
        </w:rPr>
        <w:t xml:space="preserve">a July 8, 2014, </w:t>
      </w:r>
      <w:r w:rsidRPr="00DD3856">
        <w:rPr>
          <w:rFonts w:eastAsiaTheme="minorHAnsi"/>
          <w:sz w:val="26"/>
          <w:szCs w:val="26"/>
        </w:rPr>
        <w:t xml:space="preserve">Settlement. </w:t>
      </w:r>
      <w:r>
        <w:rPr>
          <w:rFonts w:eastAsiaTheme="minorHAnsi"/>
          <w:sz w:val="26"/>
          <w:szCs w:val="26"/>
        </w:rPr>
        <w:t xml:space="preserve"> </w:t>
      </w:r>
      <w:r w:rsidR="007558FE" w:rsidRPr="007558FE">
        <w:rPr>
          <w:rFonts w:eastAsiaTheme="minorHAnsi"/>
          <w:sz w:val="26"/>
          <w:szCs w:val="26"/>
        </w:rPr>
        <w:t xml:space="preserve">The </w:t>
      </w:r>
      <w:r w:rsidR="00CA55A7">
        <w:rPr>
          <w:rFonts w:eastAsiaTheme="minorHAnsi"/>
          <w:sz w:val="26"/>
          <w:szCs w:val="26"/>
        </w:rPr>
        <w:t>A</w:t>
      </w:r>
      <w:r w:rsidR="007558FE" w:rsidRPr="007558FE">
        <w:rPr>
          <w:rFonts w:eastAsiaTheme="minorHAnsi"/>
          <w:sz w:val="26"/>
          <w:szCs w:val="26"/>
        </w:rPr>
        <w:t xml:space="preserve">ctive </w:t>
      </w:r>
      <w:r w:rsidR="00CA55A7">
        <w:rPr>
          <w:rFonts w:eastAsiaTheme="minorHAnsi"/>
          <w:sz w:val="26"/>
          <w:szCs w:val="26"/>
        </w:rPr>
        <w:t>P</w:t>
      </w:r>
      <w:r w:rsidR="007558FE" w:rsidRPr="007558FE">
        <w:rPr>
          <w:rFonts w:eastAsiaTheme="minorHAnsi"/>
          <w:sz w:val="26"/>
          <w:szCs w:val="26"/>
        </w:rPr>
        <w:t xml:space="preserve">arties were able to agree to a proposed revenue increase and a rate design to recover the agreed-upon increase and a resolution of other </w:t>
      </w:r>
      <w:r w:rsidR="00B516FD">
        <w:rPr>
          <w:rFonts w:eastAsiaTheme="minorHAnsi"/>
          <w:sz w:val="26"/>
          <w:szCs w:val="26"/>
        </w:rPr>
        <w:t>S</w:t>
      </w:r>
      <w:r w:rsidR="007558FE" w:rsidRPr="007558FE">
        <w:rPr>
          <w:rFonts w:eastAsiaTheme="minorHAnsi"/>
          <w:sz w:val="26"/>
          <w:szCs w:val="26"/>
        </w:rPr>
        <w:t>ettlement terms that effectively resolved all the issues raised by the participants.</w:t>
      </w:r>
      <w:r w:rsidR="007558FE">
        <w:rPr>
          <w:rFonts w:eastAsiaTheme="minorHAnsi"/>
          <w:sz w:val="26"/>
          <w:szCs w:val="26"/>
        </w:rPr>
        <w:t xml:space="preserve">  </w:t>
      </w:r>
      <w:r w:rsidR="0087633C" w:rsidRPr="0087633C">
        <w:rPr>
          <w:sz w:val="26"/>
          <w:szCs w:val="26"/>
        </w:rPr>
        <w:t xml:space="preserve">On July 8, 2014, Pike </w:t>
      </w:r>
      <w:r w:rsidR="00193632">
        <w:rPr>
          <w:sz w:val="26"/>
          <w:szCs w:val="26"/>
        </w:rPr>
        <w:t xml:space="preserve">County </w:t>
      </w:r>
      <w:r w:rsidR="0087633C" w:rsidRPr="0087633C">
        <w:rPr>
          <w:sz w:val="26"/>
          <w:szCs w:val="26"/>
        </w:rPr>
        <w:t>filed and served</w:t>
      </w:r>
      <w:r w:rsidR="006C6A28">
        <w:rPr>
          <w:sz w:val="26"/>
          <w:szCs w:val="26"/>
        </w:rPr>
        <w:t xml:space="preserve"> the Petition</w:t>
      </w:r>
      <w:r w:rsidR="0087633C" w:rsidRPr="0087633C">
        <w:rPr>
          <w:sz w:val="26"/>
          <w:szCs w:val="26"/>
        </w:rPr>
        <w:t xml:space="preserve">.  </w:t>
      </w:r>
      <w:r w:rsidR="00291B15">
        <w:rPr>
          <w:sz w:val="26"/>
          <w:szCs w:val="26"/>
        </w:rPr>
        <w:t>As noted, s</w:t>
      </w:r>
      <w:r w:rsidR="0087633C" w:rsidRPr="0087633C">
        <w:rPr>
          <w:sz w:val="26"/>
          <w:szCs w:val="26"/>
        </w:rPr>
        <w:t xml:space="preserve">ignatories to the Petition </w:t>
      </w:r>
      <w:r w:rsidR="0087633C">
        <w:rPr>
          <w:sz w:val="26"/>
          <w:szCs w:val="26"/>
        </w:rPr>
        <w:t>were</w:t>
      </w:r>
      <w:r w:rsidR="0087633C" w:rsidRPr="0087633C">
        <w:rPr>
          <w:sz w:val="26"/>
          <w:szCs w:val="26"/>
        </w:rPr>
        <w:t xml:space="preserve"> Pike</w:t>
      </w:r>
      <w:r w:rsidR="00193632">
        <w:rPr>
          <w:sz w:val="26"/>
          <w:szCs w:val="26"/>
        </w:rPr>
        <w:t xml:space="preserve"> County</w:t>
      </w:r>
      <w:r w:rsidR="0087633C" w:rsidRPr="0087633C">
        <w:rPr>
          <w:sz w:val="26"/>
          <w:szCs w:val="26"/>
        </w:rPr>
        <w:t xml:space="preserve">, </w:t>
      </w:r>
      <w:r w:rsidR="00291B15">
        <w:rPr>
          <w:sz w:val="26"/>
          <w:szCs w:val="26"/>
        </w:rPr>
        <w:t xml:space="preserve">the </w:t>
      </w:r>
      <w:r w:rsidR="0087633C" w:rsidRPr="0087633C">
        <w:rPr>
          <w:sz w:val="26"/>
          <w:szCs w:val="26"/>
        </w:rPr>
        <w:t xml:space="preserve">OCA, I&amp;E and </w:t>
      </w:r>
      <w:r w:rsidR="00291B15">
        <w:rPr>
          <w:sz w:val="26"/>
          <w:szCs w:val="26"/>
        </w:rPr>
        <w:t xml:space="preserve">the </w:t>
      </w:r>
      <w:r w:rsidR="0087633C" w:rsidRPr="0087633C">
        <w:rPr>
          <w:sz w:val="26"/>
          <w:szCs w:val="26"/>
        </w:rPr>
        <w:t>OSBA.</w:t>
      </w:r>
      <w:r w:rsidR="0087633C">
        <w:rPr>
          <w:sz w:val="26"/>
          <w:szCs w:val="26"/>
        </w:rPr>
        <w:t xml:space="preserve"> </w:t>
      </w:r>
    </w:p>
    <w:p w:rsidR="00291B15" w:rsidRDefault="00291B15" w:rsidP="00291B15">
      <w:pPr>
        <w:autoSpaceDE w:val="0"/>
        <w:autoSpaceDN w:val="0"/>
        <w:adjustRightInd w:val="0"/>
        <w:spacing w:line="360" w:lineRule="auto"/>
        <w:rPr>
          <w:sz w:val="26"/>
          <w:szCs w:val="26"/>
        </w:rPr>
      </w:pPr>
    </w:p>
    <w:p w:rsidR="00BF736B" w:rsidRDefault="0087633C" w:rsidP="004B500E">
      <w:pPr>
        <w:widowControl/>
        <w:autoSpaceDE w:val="0"/>
        <w:autoSpaceDN w:val="0"/>
        <w:adjustRightInd w:val="0"/>
        <w:spacing w:line="360" w:lineRule="auto"/>
        <w:ind w:firstLine="1440"/>
        <w:rPr>
          <w:sz w:val="26"/>
          <w:szCs w:val="26"/>
        </w:rPr>
      </w:pPr>
      <w:r w:rsidRPr="0087633C">
        <w:rPr>
          <w:sz w:val="26"/>
          <w:szCs w:val="26"/>
        </w:rPr>
        <w:t xml:space="preserve">By letter dated July 16, 2014, </w:t>
      </w:r>
      <w:r>
        <w:rPr>
          <w:sz w:val="26"/>
          <w:szCs w:val="26"/>
        </w:rPr>
        <w:t>ALJ Pell</w:t>
      </w:r>
      <w:r w:rsidRPr="0087633C">
        <w:rPr>
          <w:sz w:val="26"/>
          <w:szCs w:val="26"/>
        </w:rPr>
        <w:t xml:space="preserve"> informed </w:t>
      </w:r>
      <w:r w:rsidR="009A21F0">
        <w:rPr>
          <w:sz w:val="26"/>
          <w:szCs w:val="26"/>
        </w:rPr>
        <w:t xml:space="preserve">Milford Township, as </w:t>
      </w:r>
      <w:r w:rsidRPr="0087633C">
        <w:rPr>
          <w:sz w:val="26"/>
          <w:szCs w:val="26"/>
        </w:rPr>
        <w:t xml:space="preserve">the </w:t>
      </w:r>
      <w:r>
        <w:rPr>
          <w:sz w:val="26"/>
          <w:szCs w:val="26"/>
        </w:rPr>
        <w:t xml:space="preserve">only </w:t>
      </w:r>
      <w:r w:rsidRPr="0087633C">
        <w:rPr>
          <w:sz w:val="26"/>
          <w:szCs w:val="26"/>
        </w:rPr>
        <w:t xml:space="preserve">non-settling complainant of </w:t>
      </w:r>
      <w:r>
        <w:rPr>
          <w:sz w:val="26"/>
          <w:szCs w:val="26"/>
        </w:rPr>
        <w:t>which he was aware,</w:t>
      </w:r>
      <w:r w:rsidRPr="00E6204F">
        <w:rPr>
          <w:sz w:val="24"/>
          <w:szCs w:val="24"/>
        </w:rPr>
        <w:t xml:space="preserve"> </w:t>
      </w:r>
      <w:r w:rsidRPr="0087633C">
        <w:rPr>
          <w:sz w:val="26"/>
          <w:szCs w:val="26"/>
        </w:rPr>
        <w:t xml:space="preserve">of the </w:t>
      </w:r>
      <w:r w:rsidR="0047360F">
        <w:rPr>
          <w:sz w:val="26"/>
          <w:szCs w:val="26"/>
        </w:rPr>
        <w:t>S</w:t>
      </w:r>
      <w:r w:rsidRPr="0087633C">
        <w:rPr>
          <w:sz w:val="26"/>
          <w:szCs w:val="26"/>
        </w:rPr>
        <w:t xml:space="preserve">ettlement and requested that </w:t>
      </w:r>
      <w:r w:rsidR="0047360F">
        <w:rPr>
          <w:sz w:val="26"/>
          <w:szCs w:val="26"/>
        </w:rPr>
        <w:t>it</w:t>
      </w:r>
      <w:r w:rsidRPr="0087633C">
        <w:rPr>
          <w:sz w:val="26"/>
          <w:szCs w:val="26"/>
        </w:rPr>
        <w:t xml:space="preserve"> indicate, by no later than Monday, July 28, 2014, if </w:t>
      </w:r>
      <w:r w:rsidR="0047360F">
        <w:rPr>
          <w:sz w:val="26"/>
          <w:szCs w:val="26"/>
        </w:rPr>
        <w:t>it</w:t>
      </w:r>
      <w:r w:rsidRPr="0087633C">
        <w:rPr>
          <w:sz w:val="26"/>
          <w:szCs w:val="26"/>
        </w:rPr>
        <w:t xml:space="preserve"> wished to join, oppose or take no positi</w:t>
      </w:r>
      <w:r>
        <w:rPr>
          <w:sz w:val="26"/>
          <w:szCs w:val="26"/>
        </w:rPr>
        <w:t>on on the proposed Settlement.</w:t>
      </w:r>
      <w:r w:rsidR="009A21F0">
        <w:rPr>
          <w:sz w:val="26"/>
          <w:szCs w:val="26"/>
        </w:rPr>
        <w:t xml:space="preserve">  </w:t>
      </w:r>
      <w:proofErr w:type="gramStart"/>
      <w:r w:rsidR="00BF736B">
        <w:rPr>
          <w:sz w:val="26"/>
          <w:szCs w:val="26"/>
        </w:rPr>
        <w:t>R.D. at 4.</w:t>
      </w:r>
      <w:proofErr w:type="gramEnd"/>
      <w:r w:rsidR="00BF736B">
        <w:rPr>
          <w:sz w:val="26"/>
          <w:szCs w:val="26"/>
        </w:rPr>
        <w:t xml:space="preserve"> </w:t>
      </w:r>
      <w:r w:rsidR="00BF736B" w:rsidRPr="003317CA">
        <w:rPr>
          <w:sz w:val="26"/>
          <w:szCs w:val="26"/>
        </w:rPr>
        <w:t xml:space="preserve"> </w:t>
      </w:r>
      <w:r w:rsidR="00BF736B">
        <w:rPr>
          <w:sz w:val="26"/>
          <w:szCs w:val="26"/>
        </w:rPr>
        <w:t xml:space="preserve">Milford Township was </w:t>
      </w:r>
      <w:r w:rsidR="00BF736B" w:rsidRPr="003317CA">
        <w:rPr>
          <w:sz w:val="26"/>
          <w:szCs w:val="26"/>
        </w:rPr>
        <w:t xml:space="preserve">served with the Settlement by </w:t>
      </w:r>
      <w:r w:rsidR="00B516FD">
        <w:rPr>
          <w:sz w:val="26"/>
          <w:szCs w:val="26"/>
        </w:rPr>
        <w:t xml:space="preserve">the </w:t>
      </w:r>
      <w:r w:rsidR="00BF736B" w:rsidRPr="003317CA">
        <w:rPr>
          <w:sz w:val="26"/>
          <w:szCs w:val="26"/>
        </w:rPr>
        <w:t>OCA on July 3, 2014</w:t>
      </w:r>
      <w:r w:rsidR="00BF736B">
        <w:rPr>
          <w:sz w:val="26"/>
          <w:szCs w:val="26"/>
        </w:rPr>
        <w:t>.</w:t>
      </w:r>
      <w:r w:rsidR="00BF736B" w:rsidRPr="003317CA">
        <w:rPr>
          <w:sz w:val="26"/>
          <w:szCs w:val="26"/>
        </w:rPr>
        <w:t xml:space="preserve">  </w:t>
      </w:r>
      <w:r w:rsidR="00BF736B">
        <w:rPr>
          <w:sz w:val="26"/>
          <w:szCs w:val="26"/>
        </w:rPr>
        <w:t>ALJ Pell</w:t>
      </w:r>
      <w:r w:rsidR="00BF736B" w:rsidRPr="003317CA">
        <w:rPr>
          <w:sz w:val="26"/>
          <w:szCs w:val="26"/>
        </w:rPr>
        <w:t xml:space="preserve"> also enclosed a signature page that the </w:t>
      </w:r>
      <w:r w:rsidR="00832A4C">
        <w:rPr>
          <w:sz w:val="26"/>
          <w:szCs w:val="26"/>
        </w:rPr>
        <w:t>township’s</w:t>
      </w:r>
      <w:r w:rsidR="00BF736B" w:rsidRPr="003317CA">
        <w:rPr>
          <w:sz w:val="26"/>
          <w:szCs w:val="26"/>
        </w:rPr>
        <w:t xml:space="preserve"> solicitor, Douglas J. Jacobs, Esq</w:t>
      </w:r>
      <w:r w:rsidR="00BF736B">
        <w:rPr>
          <w:sz w:val="26"/>
          <w:szCs w:val="26"/>
        </w:rPr>
        <w:t>uire</w:t>
      </w:r>
      <w:r w:rsidR="00BF736B" w:rsidRPr="003317CA">
        <w:rPr>
          <w:sz w:val="26"/>
          <w:szCs w:val="26"/>
        </w:rPr>
        <w:t xml:space="preserve">, could sign and return if Milford Township wished to join in the </w:t>
      </w:r>
      <w:r w:rsidR="0047360F">
        <w:rPr>
          <w:sz w:val="26"/>
          <w:szCs w:val="26"/>
        </w:rPr>
        <w:t>S</w:t>
      </w:r>
      <w:r w:rsidR="00BF736B" w:rsidRPr="003317CA">
        <w:rPr>
          <w:sz w:val="26"/>
          <w:szCs w:val="26"/>
        </w:rPr>
        <w:t xml:space="preserve">ettlement.  Mr. Jacobs did not respond to </w:t>
      </w:r>
      <w:r w:rsidR="00BF736B">
        <w:rPr>
          <w:sz w:val="26"/>
          <w:szCs w:val="26"/>
        </w:rPr>
        <w:t xml:space="preserve">the </w:t>
      </w:r>
      <w:r w:rsidR="00BF736B" w:rsidRPr="003317CA">
        <w:rPr>
          <w:sz w:val="26"/>
          <w:szCs w:val="26"/>
        </w:rPr>
        <w:t>letter.</w:t>
      </w:r>
      <w:r w:rsidR="00BF736B">
        <w:rPr>
          <w:sz w:val="26"/>
          <w:szCs w:val="26"/>
        </w:rPr>
        <w:t xml:space="preserve">  </w:t>
      </w:r>
      <w:r w:rsidR="00BF736B">
        <w:rPr>
          <w:i/>
          <w:sz w:val="26"/>
          <w:szCs w:val="26"/>
        </w:rPr>
        <w:t>Id</w:t>
      </w:r>
      <w:r w:rsidR="00BF736B">
        <w:rPr>
          <w:sz w:val="26"/>
          <w:szCs w:val="26"/>
        </w:rPr>
        <w:t xml:space="preserve">. </w:t>
      </w:r>
    </w:p>
    <w:p w:rsidR="00BF736B" w:rsidRDefault="00BF736B" w:rsidP="00BF736B">
      <w:pPr>
        <w:spacing w:line="360" w:lineRule="auto"/>
        <w:ind w:firstLine="1440"/>
        <w:rPr>
          <w:sz w:val="26"/>
          <w:szCs w:val="26"/>
        </w:rPr>
      </w:pPr>
    </w:p>
    <w:p w:rsidR="00BF736B" w:rsidRPr="009D581E" w:rsidRDefault="00BF736B" w:rsidP="00BF736B">
      <w:pPr>
        <w:pStyle w:val="NoSpacing"/>
        <w:spacing w:line="360" w:lineRule="auto"/>
        <w:ind w:firstLine="1440"/>
        <w:rPr>
          <w:rFonts w:ascii="Times New Roman" w:hAnsi="Times New Roman"/>
          <w:sz w:val="26"/>
          <w:szCs w:val="26"/>
        </w:rPr>
      </w:pPr>
      <w:r>
        <w:rPr>
          <w:rFonts w:ascii="Times New Roman" w:hAnsi="Times New Roman"/>
          <w:sz w:val="26"/>
          <w:szCs w:val="26"/>
        </w:rPr>
        <w:t xml:space="preserve">Based on the lack of active participation and response by Milford Township, ALJ Pell concluded that </w:t>
      </w:r>
      <w:r w:rsidRPr="009D581E">
        <w:rPr>
          <w:rFonts w:ascii="Times New Roman" w:hAnsi="Times New Roman"/>
          <w:sz w:val="26"/>
          <w:szCs w:val="26"/>
        </w:rPr>
        <w:t xml:space="preserve">the </w:t>
      </w:r>
      <w:r w:rsidR="00645C07">
        <w:rPr>
          <w:rFonts w:ascii="Times New Roman" w:hAnsi="Times New Roman"/>
          <w:sz w:val="26"/>
          <w:szCs w:val="26"/>
        </w:rPr>
        <w:t>F</w:t>
      </w:r>
      <w:r w:rsidRPr="009D581E">
        <w:rPr>
          <w:rFonts w:ascii="Times New Roman" w:hAnsi="Times New Roman"/>
          <w:sz w:val="26"/>
          <w:szCs w:val="26"/>
        </w:rPr>
        <w:t xml:space="preserve">ormal Complaint </w:t>
      </w:r>
      <w:r w:rsidR="00AA3405">
        <w:rPr>
          <w:rFonts w:ascii="Times New Roman" w:hAnsi="Times New Roman"/>
          <w:sz w:val="26"/>
          <w:szCs w:val="26"/>
        </w:rPr>
        <w:t xml:space="preserve">of Milford Township </w:t>
      </w:r>
      <w:r>
        <w:rPr>
          <w:rFonts w:ascii="Times New Roman" w:hAnsi="Times New Roman"/>
          <w:sz w:val="26"/>
          <w:szCs w:val="26"/>
        </w:rPr>
        <w:t>should</w:t>
      </w:r>
      <w:r w:rsidRPr="009D581E">
        <w:rPr>
          <w:rFonts w:ascii="Times New Roman" w:hAnsi="Times New Roman"/>
          <w:sz w:val="26"/>
          <w:szCs w:val="26"/>
        </w:rPr>
        <w:t xml:space="preserve"> be dismissed for lack of prosecution.  </w:t>
      </w:r>
      <w:r w:rsidRPr="00357221">
        <w:rPr>
          <w:rFonts w:ascii="Times New Roman" w:hAnsi="Times New Roman"/>
          <w:i/>
          <w:sz w:val="26"/>
          <w:szCs w:val="26"/>
        </w:rPr>
        <w:t>See</w:t>
      </w:r>
      <w:r w:rsidRPr="009D581E">
        <w:rPr>
          <w:rFonts w:ascii="Times New Roman" w:hAnsi="Times New Roman"/>
          <w:sz w:val="26"/>
          <w:szCs w:val="26"/>
        </w:rPr>
        <w:t>,</w:t>
      </w:r>
      <w:r>
        <w:rPr>
          <w:rFonts w:ascii="Times New Roman" w:hAnsi="Times New Roman"/>
          <w:sz w:val="26"/>
          <w:szCs w:val="26"/>
        </w:rPr>
        <w:t xml:space="preserve"> R.D. at 16, citing </w:t>
      </w:r>
      <w:r w:rsidRPr="009D581E">
        <w:rPr>
          <w:rFonts w:ascii="Times New Roman" w:hAnsi="Times New Roman"/>
          <w:i/>
          <w:sz w:val="26"/>
          <w:szCs w:val="26"/>
        </w:rPr>
        <w:t>Schneider v. Pa. P</w:t>
      </w:r>
      <w:r>
        <w:rPr>
          <w:rFonts w:ascii="Times New Roman" w:hAnsi="Times New Roman"/>
          <w:i/>
          <w:sz w:val="26"/>
          <w:szCs w:val="26"/>
        </w:rPr>
        <w:t>UC</w:t>
      </w:r>
      <w:r w:rsidRPr="009D581E">
        <w:rPr>
          <w:rFonts w:ascii="Times New Roman" w:hAnsi="Times New Roman"/>
          <w:sz w:val="26"/>
          <w:szCs w:val="26"/>
        </w:rPr>
        <w:t>, 479 A.2d 10 (</w:t>
      </w:r>
      <w:r>
        <w:rPr>
          <w:rFonts w:ascii="Times New Roman" w:hAnsi="Times New Roman"/>
          <w:sz w:val="26"/>
          <w:szCs w:val="26"/>
        </w:rPr>
        <w:t xml:space="preserve">Pa. </w:t>
      </w:r>
      <w:proofErr w:type="spellStart"/>
      <w:r>
        <w:rPr>
          <w:rFonts w:ascii="Times New Roman" w:hAnsi="Times New Roman"/>
          <w:sz w:val="26"/>
          <w:szCs w:val="26"/>
        </w:rPr>
        <w:t>Cmw</w:t>
      </w:r>
      <w:r w:rsidR="00F73818">
        <w:rPr>
          <w:rFonts w:ascii="Times New Roman" w:hAnsi="Times New Roman"/>
          <w:sz w:val="26"/>
          <w:szCs w:val="26"/>
        </w:rPr>
        <w:t>lth</w:t>
      </w:r>
      <w:proofErr w:type="spellEnd"/>
      <w:r>
        <w:rPr>
          <w:rFonts w:ascii="Times New Roman" w:hAnsi="Times New Roman"/>
          <w:sz w:val="26"/>
          <w:szCs w:val="26"/>
        </w:rPr>
        <w:t xml:space="preserve">. </w:t>
      </w:r>
      <w:r w:rsidRPr="009D581E">
        <w:rPr>
          <w:rFonts w:ascii="Times New Roman" w:hAnsi="Times New Roman"/>
          <w:sz w:val="26"/>
          <w:szCs w:val="26"/>
        </w:rPr>
        <w:t xml:space="preserve">1984) </w:t>
      </w:r>
      <w:r w:rsidR="0047360F">
        <w:rPr>
          <w:rFonts w:ascii="Times New Roman" w:hAnsi="Times New Roman"/>
          <w:sz w:val="26"/>
          <w:szCs w:val="26"/>
        </w:rPr>
        <w:t xml:space="preserve"> The </w:t>
      </w:r>
      <w:r w:rsidRPr="009D581E">
        <w:rPr>
          <w:rFonts w:ascii="Times New Roman" w:hAnsi="Times New Roman"/>
          <w:sz w:val="26"/>
          <w:szCs w:val="26"/>
        </w:rPr>
        <w:t xml:space="preserve">Commission is required to provide due process to the parties; when parties are afforded notice and an opportunity to be heard, </w:t>
      </w:r>
      <w:r w:rsidR="0047360F">
        <w:rPr>
          <w:rFonts w:ascii="Times New Roman" w:hAnsi="Times New Roman"/>
          <w:sz w:val="26"/>
          <w:szCs w:val="26"/>
        </w:rPr>
        <w:t xml:space="preserve">the </w:t>
      </w:r>
      <w:r w:rsidRPr="009D581E">
        <w:rPr>
          <w:rFonts w:ascii="Times New Roman" w:hAnsi="Times New Roman"/>
          <w:sz w:val="26"/>
          <w:szCs w:val="26"/>
        </w:rPr>
        <w:t>Commission</w:t>
      </w:r>
      <w:r w:rsidR="0047360F">
        <w:rPr>
          <w:rFonts w:ascii="Times New Roman" w:hAnsi="Times New Roman"/>
          <w:sz w:val="26"/>
          <w:szCs w:val="26"/>
        </w:rPr>
        <w:t>’s</w:t>
      </w:r>
      <w:r w:rsidRPr="009D581E">
        <w:rPr>
          <w:rFonts w:ascii="Times New Roman" w:hAnsi="Times New Roman"/>
          <w:sz w:val="26"/>
          <w:szCs w:val="26"/>
        </w:rPr>
        <w:t xml:space="preserve"> requirement to provide due process is satisfied.</w:t>
      </w:r>
    </w:p>
    <w:p w:rsidR="00BF736B" w:rsidRDefault="009A21F0" w:rsidP="009A21F0">
      <w:pPr>
        <w:spacing w:line="360" w:lineRule="auto"/>
        <w:ind w:firstLine="1440"/>
        <w:rPr>
          <w:sz w:val="26"/>
          <w:szCs w:val="26"/>
        </w:rPr>
      </w:pPr>
      <w:r>
        <w:rPr>
          <w:sz w:val="26"/>
          <w:szCs w:val="26"/>
        </w:rPr>
        <w:t xml:space="preserve"> </w:t>
      </w:r>
    </w:p>
    <w:p w:rsidR="009A21F0" w:rsidRPr="00C4582B" w:rsidRDefault="009A21F0" w:rsidP="009F1CC0">
      <w:pPr>
        <w:spacing w:line="360" w:lineRule="auto"/>
        <w:ind w:firstLine="1440"/>
        <w:rPr>
          <w:sz w:val="26"/>
          <w:szCs w:val="26"/>
        </w:rPr>
      </w:pPr>
      <w:r w:rsidRPr="00C4582B">
        <w:rPr>
          <w:sz w:val="26"/>
          <w:szCs w:val="26"/>
        </w:rPr>
        <w:lastRenderedPageBreak/>
        <w:t xml:space="preserve">On July 17, 2014, the </w:t>
      </w:r>
      <w:r w:rsidR="00B516FD">
        <w:rPr>
          <w:sz w:val="26"/>
          <w:szCs w:val="26"/>
        </w:rPr>
        <w:t>Active</w:t>
      </w:r>
      <w:r w:rsidRPr="00C4582B">
        <w:rPr>
          <w:sz w:val="26"/>
          <w:szCs w:val="26"/>
        </w:rPr>
        <w:t xml:space="preserve"> </w:t>
      </w:r>
      <w:r w:rsidR="00B516FD">
        <w:rPr>
          <w:sz w:val="26"/>
          <w:szCs w:val="26"/>
        </w:rPr>
        <w:t>P</w:t>
      </w:r>
      <w:r w:rsidRPr="00C4582B">
        <w:rPr>
          <w:sz w:val="26"/>
          <w:szCs w:val="26"/>
        </w:rPr>
        <w:t xml:space="preserve">arties filed a Joint Stipulation for Admission of Testimony and Exhibits </w:t>
      </w:r>
      <w:proofErr w:type="gramStart"/>
      <w:r w:rsidRPr="00C4582B">
        <w:rPr>
          <w:sz w:val="26"/>
          <w:szCs w:val="26"/>
        </w:rPr>
        <w:t>Into</w:t>
      </w:r>
      <w:proofErr w:type="gramEnd"/>
      <w:r w:rsidRPr="00C4582B">
        <w:rPr>
          <w:sz w:val="26"/>
          <w:szCs w:val="26"/>
        </w:rPr>
        <w:t xml:space="preserve"> the Evidentiary Record</w:t>
      </w:r>
      <w:r w:rsidR="00F73818">
        <w:rPr>
          <w:sz w:val="26"/>
          <w:szCs w:val="26"/>
        </w:rPr>
        <w:t xml:space="preserve"> (Stipulation)</w:t>
      </w:r>
      <w:r w:rsidRPr="00C4582B">
        <w:rPr>
          <w:sz w:val="26"/>
          <w:szCs w:val="26"/>
        </w:rPr>
        <w:t>.</w:t>
      </w:r>
      <w:r w:rsidR="006836BB">
        <w:rPr>
          <w:sz w:val="26"/>
          <w:szCs w:val="26"/>
        </w:rPr>
        <w:t xml:space="preserve">  </w:t>
      </w:r>
      <w:proofErr w:type="gramStart"/>
      <w:r w:rsidR="006836BB">
        <w:rPr>
          <w:sz w:val="26"/>
          <w:szCs w:val="26"/>
        </w:rPr>
        <w:t>R.D. at 4.</w:t>
      </w:r>
      <w:proofErr w:type="gramEnd"/>
      <w:r w:rsidRPr="00C4582B">
        <w:rPr>
          <w:sz w:val="26"/>
          <w:szCs w:val="26"/>
        </w:rPr>
        <w:t xml:space="preserve">  The </w:t>
      </w:r>
      <w:r w:rsidR="00B516FD">
        <w:rPr>
          <w:sz w:val="26"/>
          <w:szCs w:val="26"/>
        </w:rPr>
        <w:t>Active</w:t>
      </w:r>
      <w:r w:rsidRPr="00C4582B">
        <w:rPr>
          <w:sz w:val="26"/>
          <w:szCs w:val="26"/>
        </w:rPr>
        <w:t xml:space="preserve"> </w:t>
      </w:r>
      <w:r w:rsidR="00B516FD">
        <w:rPr>
          <w:sz w:val="26"/>
          <w:szCs w:val="26"/>
        </w:rPr>
        <w:t>P</w:t>
      </w:r>
      <w:r w:rsidRPr="00C4582B">
        <w:rPr>
          <w:sz w:val="26"/>
          <w:szCs w:val="26"/>
        </w:rPr>
        <w:t xml:space="preserve">arties requested that the </w:t>
      </w:r>
      <w:r w:rsidR="00DF2E71">
        <w:rPr>
          <w:sz w:val="26"/>
          <w:szCs w:val="26"/>
        </w:rPr>
        <w:t>C</w:t>
      </w:r>
      <w:r w:rsidRPr="00C4582B">
        <w:rPr>
          <w:sz w:val="26"/>
          <w:szCs w:val="26"/>
        </w:rPr>
        <w:t xml:space="preserve">ompany filing and the statements and exhibits listed in the Stipulation be admitted into the record of this proceeding in lieu of being required to introduce these documents at an evidentiary hearing.  By Order dated August 5, 2014, the Stipulation, </w:t>
      </w:r>
      <w:r w:rsidR="00DF2E71">
        <w:rPr>
          <w:sz w:val="26"/>
          <w:szCs w:val="26"/>
        </w:rPr>
        <w:t>C</w:t>
      </w:r>
      <w:r w:rsidRPr="00C4582B">
        <w:rPr>
          <w:sz w:val="26"/>
          <w:szCs w:val="26"/>
        </w:rPr>
        <w:t>ompany filing, statements and exhibits were admitted into the record of this proceeding.</w:t>
      </w:r>
      <w:r w:rsidR="006836BB">
        <w:rPr>
          <w:sz w:val="26"/>
          <w:szCs w:val="26"/>
        </w:rPr>
        <w:t xml:space="preserve">  </w:t>
      </w:r>
      <w:r w:rsidR="006836BB">
        <w:rPr>
          <w:i/>
          <w:sz w:val="26"/>
          <w:szCs w:val="26"/>
        </w:rPr>
        <w:t>Id</w:t>
      </w:r>
      <w:r w:rsidR="006836BB">
        <w:rPr>
          <w:sz w:val="26"/>
          <w:szCs w:val="26"/>
        </w:rPr>
        <w:t>.</w:t>
      </w:r>
      <w:r w:rsidRPr="00C4582B">
        <w:rPr>
          <w:sz w:val="26"/>
          <w:szCs w:val="26"/>
        </w:rPr>
        <w:t xml:space="preserve">  </w:t>
      </w:r>
    </w:p>
    <w:p w:rsidR="009A21F0" w:rsidRPr="00C4582B" w:rsidRDefault="009A21F0" w:rsidP="009A21F0">
      <w:pPr>
        <w:spacing w:line="360" w:lineRule="auto"/>
        <w:rPr>
          <w:sz w:val="26"/>
          <w:szCs w:val="26"/>
        </w:rPr>
      </w:pPr>
    </w:p>
    <w:p w:rsidR="009A21F0" w:rsidRDefault="009A21F0" w:rsidP="009A21F0">
      <w:pPr>
        <w:spacing w:line="360" w:lineRule="auto"/>
        <w:rPr>
          <w:sz w:val="26"/>
          <w:szCs w:val="26"/>
        </w:rPr>
      </w:pPr>
      <w:r w:rsidRPr="00C4582B">
        <w:rPr>
          <w:sz w:val="26"/>
          <w:szCs w:val="26"/>
        </w:rPr>
        <w:tab/>
      </w:r>
      <w:r w:rsidRPr="00C4582B">
        <w:rPr>
          <w:sz w:val="26"/>
          <w:szCs w:val="26"/>
        </w:rPr>
        <w:tab/>
      </w:r>
      <w:r w:rsidR="006836BB">
        <w:rPr>
          <w:sz w:val="26"/>
          <w:szCs w:val="26"/>
        </w:rPr>
        <w:t xml:space="preserve">Statements in Support of </w:t>
      </w:r>
      <w:r w:rsidRPr="00C4582B">
        <w:rPr>
          <w:sz w:val="26"/>
          <w:szCs w:val="26"/>
        </w:rPr>
        <w:t xml:space="preserve">the Petition </w:t>
      </w:r>
      <w:r w:rsidR="006836BB">
        <w:rPr>
          <w:sz w:val="26"/>
          <w:szCs w:val="26"/>
        </w:rPr>
        <w:t xml:space="preserve">were filed by </w:t>
      </w:r>
      <w:proofErr w:type="gramStart"/>
      <w:r w:rsidR="006836BB">
        <w:rPr>
          <w:sz w:val="26"/>
          <w:szCs w:val="26"/>
        </w:rPr>
        <w:t>I&amp;E</w:t>
      </w:r>
      <w:proofErr w:type="gramEnd"/>
      <w:r w:rsidR="006836BB">
        <w:rPr>
          <w:sz w:val="26"/>
          <w:szCs w:val="26"/>
        </w:rPr>
        <w:t xml:space="preserve">, </w:t>
      </w:r>
      <w:r w:rsidR="00DF2E71">
        <w:rPr>
          <w:sz w:val="26"/>
          <w:szCs w:val="26"/>
        </w:rPr>
        <w:t xml:space="preserve">the </w:t>
      </w:r>
      <w:r w:rsidR="006836BB">
        <w:rPr>
          <w:sz w:val="26"/>
          <w:szCs w:val="26"/>
        </w:rPr>
        <w:t xml:space="preserve">OCA, </w:t>
      </w:r>
      <w:r w:rsidR="00DF2E71">
        <w:rPr>
          <w:sz w:val="26"/>
          <w:szCs w:val="26"/>
        </w:rPr>
        <w:t xml:space="preserve">the </w:t>
      </w:r>
      <w:r w:rsidR="006836BB">
        <w:rPr>
          <w:sz w:val="26"/>
          <w:szCs w:val="26"/>
        </w:rPr>
        <w:t>OSBA, and Pike</w:t>
      </w:r>
      <w:r w:rsidR="0036344E">
        <w:rPr>
          <w:sz w:val="26"/>
          <w:szCs w:val="26"/>
        </w:rPr>
        <w:t xml:space="preserve"> County</w:t>
      </w:r>
      <w:r w:rsidRPr="00C4582B">
        <w:rPr>
          <w:sz w:val="26"/>
          <w:szCs w:val="26"/>
        </w:rPr>
        <w:t>.</w:t>
      </w:r>
      <w:r w:rsidR="00F73818">
        <w:rPr>
          <w:sz w:val="26"/>
          <w:szCs w:val="26"/>
        </w:rPr>
        <w:t xml:space="preserve">  R.D.</w:t>
      </w:r>
      <w:r w:rsidR="0036344E">
        <w:rPr>
          <w:sz w:val="26"/>
          <w:szCs w:val="26"/>
        </w:rPr>
        <w:t xml:space="preserve"> at</w:t>
      </w:r>
      <w:r w:rsidR="00F73818">
        <w:rPr>
          <w:sz w:val="26"/>
          <w:szCs w:val="26"/>
        </w:rPr>
        <w:t xml:space="preserve"> 4-5.</w:t>
      </w:r>
      <w:r w:rsidR="0036344E">
        <w:rPr>
          <w:sz w:val="26"/>
          <w:szCs w:val="26"/>
        </w:rPr>
        <w:t xml:space="preserve">  </w:t>
      </w:r>
      <w:r w:rsidR="00F73818">
        <w:rPr>
          <w:sz w:val="26"/>
          <w:szCs w:val="26"/>
        </w:rPr>
        <w:t xml:space="preserve">  </w:t>
      </w:r>
    </w:p>
    <w:p w:rsidR="009728FC" w:rsidRDefault="009728FC" w:rsidP="009A21F0">
      <w:pPr>
        <w:spacing w:line="360" w:lineRule="auto"/>
        <w:rPr>
          <w:sz w:val="26"/>
          <w:szCs w:val="26"/>
        </w:rPr>
      </w:pPr>
    </w:p>
    <w:p w:rsidR="0038425B" w:rsidRDefault="009728FC" w:rsidP="004F65AB">
      <w:pPr>
        <w:spacing w:line="360" w:lineRule="auto"/>
        <w:ind w:firstLine="1440"/>
        <w:rPr>
          <w:sz w:val="26"/>
          <w:szCs w:val="26"/>
        </w:rPr>
      </w:pPr>
      <w:r>
        <w:rPr>
          <w:sz w:val="26"/>
          <w:szCs w:val="26"/>
        </w:rPr>
        <w:t>On August 11, 2014, the R</w:t>
      </w:r>
      <w:r w:rsidR="0036344E">
        <w:rPr>
          <w:sz w:val="26"/>
          <w:szCs w:val="26"/>
        </w:rPr>
        <w:t>ecommended Decision</w:t>
      </w:r>
      <w:r>
        <w:rPr>
          <w:sz w:val="26"/>
          <w:szCs w:val="26"/>
        </w:rPr>
        <w:t xml:space="preserve"> of ALJ </w:t>
      </w:r>
      <w:r w:rsidR="00832A4C">
        <w:rPr>
          <w:sz w:val="26"/>
          <w:szCs w:val="26"/>
        </w:rPr>
        <w:t xml:space="preserve">Pell </w:t>
      </w:r>
      <w:r>
        <w:rPr>
          <w:sz w:val="26"/>
          <w:szCs w:val="26"/>
        </w:rPr>
        <w:t>was issued.</w:t>
      </w:r>
      <w:r w:rsidR="0036344E">
        <w:rPr>
          <w:sz w:val="26"/>
          <w:szCs w:val="26"/>
        </w:rPr>
        <w:t xml:space="preserve">  A</w:t>
      </w:r>
      <w:r w:rsidR="00EB3432">
        <w:rPr>
          <w:sz w:val="26"/>
          <w:szCs w:val="26"/>
        </w:rPr>
        <w:t>fter the issuance of the Recommended Decision</w:t>
      </w:r>
      <w:r w:rsidR="00EB3432" w:rsidRPr="00D9179E">
        <w:rPr>
          <w:sz w:val="26"/>
          <w:szCs w:val="26"/>
        </w:rPr>
        <w:t xml:space="preserve">, </w:t>
      </w:r>
      <w:r w:rsidR="00EB3432">
        <w:rPr>
          <w:sz w:val="26"/>
          <w:szCs w:val="26"/>
        </w:rPr>
        <w:t>i</w:t>
      </w:r>
      <w:r w:rsidR="00EB3432" w:rsidRPr="00D9179E">
        <w:rPr>
          <w:sz w:val="26"/>
          <w:szCs w:val="26"/>
        </w:rPr>
        <w:t xml:space="preserve">t </w:t>
      </w:r>
      <w:r w:rsidR="00EB3432">
        <w:rPr>
          <w:sz w:val="26"/>
          <w:szCs w:val="26"/>
        </w:rPr>
        <w:t>wa</w:t>
      </w:r>
      <w:r w:rsidR="00EB3432" w:rsidRPr="00D9179E">
        <w:rPr>
          <w:sz w:val="26"/>
          <w:szCs w:val="26"/>
        </w:rPr>
        <w:t xml:space="preserve">s </w:t>
      </w:r>
      <w:r w:rsidR="00EB3432">
        <w:rPr>
          <w:sz w:val="26"/>
          <w:szCs w:val="26"/>
        </w:rPr>
        <w:t>brought</w:t>
      </w:r>
      <w:r w:rsidR="00EB3432" w:rsidRPr="00D9179E">
        <w:rPr>
          <w:sz w:val="26"/>
          <w:szCs w:val="26"/>
        </w:rPr>
        <w:t xml:space="preserve"> to the attention of the Commission that </w:t>
      </w:r>
      <w:r w:rsidR="00F73818">
        <w:rPr>
          <w:sz w:val="26"/>
          <w:szCs w:val="26"/>
        </w:rPr>
        <w:t xml:space="preserve">Mr. </w:t>
      </w:r>
      <w:r w:rsidR="00EB3432" w:rsidRPr="00D9179E">
        <w:rPr>
          <w:sz w:val="26"/>
          <w:szCs w:val="26"/>
        </w:rPr>
        <w:t xml:space="preserve">Charles </w:t>
      </w:r>
      <w:proofErr w:type="spellStart"/>
      <w:r w:rsidR="00EB3432" w:rsidRPr="00D9179E">
        <w:rPr>
          <w:sz w:val="26"/>
          <w:szCs w:val="26"/>
        </w:rPr>
        <w:t>Gillinder</w:t>
      </w:r>
      <w:proofErr w:type="spellEnd"/>
      <w:r w:rsidR="00EB3432" w:rsidRPr="00D9179E">
        <w:rPr>
          <w:sz w:val="26"/>
          <w:szCs w:val="26"/>
        </w:rPr>
        <w:t xml:space="preserve"> </w:t>
      </w:r>
      <w:r w:rsidR="0036344E">
        <w:rPr>
          <w:sz w:val="26"/>
          <w:szCs w:val="26"/>
        </w:rPr>
        <w:t xml:space="preserve">had </w:t>
      </w:r>
      <w:r w:rsidR="00EB3432" w:rsidRPr="00D9179E">
        <w:rPr>
          <w:sz w:val="26"/>
          <w:szCs w:val="26"/>
        </w:rPr>
        <w:t xml:space="preserve">filed correspondence dated July 24, 2014, </w:t>
      </w:r>
      <w:r w:rsidR="00EB3432">
        <w:rPr>
          <w:sz w:val="26"/>
          <w:szCs w:val="26"/>
        </w:rPr>
        <w:t xml:space="preserve">requesting that the Commission </w:t>
      </w:r>
      <w:r w:rsidR="00EB3432" w:rsidRPr="00D9179E">
        <w:rPr>
          <w:sz w:val="26"/>
          <w:szCs w:val="26"/>
        </w:rPr>
        <w:t>accept th</w:t>
      </w:r>
      <w:r w:rsidR="0038425B">
        <w:rPr>
          <w:sz w:val="26"/>
          <w:szCs w:val="26"/>
        </w:rPr>
        <w:t>at</w:t>
      </w:r>
      <w:r w:rsidR="00EB3432" w:rsidRPr="00D9179E">
        <w:rPr>
          <w:sz w:val="26"/>
          <w:szCs w:val="26"/>
        </w:rPr>
        <w:t xml:space="preserve"> letter as a </w:t>
      </w:r>
      <w:r w:rsidR="00DF2E71">
        <w:rPr>
          <w:sz w:val="26"/>
          <w:szCs w:val="26"/>
        </w:rPr>
        <w:t>F</w:t>
      </w:r>
      <w:r w:rsidR="00EB3432" w:rsidRPr="00D9179E">
        <w:rPr>
          <w:sz w:val="26"/>
          <w:szCs w:val="26"/>
        </w:rPr>
        <w:t xml:space="preserve">ormal </w:t>
      </w:r>
      <w:r w:rsidR="00DF2E71">
        <w:rPr>
          <w:sz w:val="26"/>
          <w:szCs w:val="26"/>
        </w:rPr>
        <w:t>C</w:t>
      </w:r>
      <w:r w:rsidR="00EB3432" w:rsidRPr="00D9179E">
        <w:rPr>
          <w:sz w:val="26"/>
          <w:szCs w:val="26"/>
        </w:rPr>
        <w:t xml:space="preserve">omplaint against the rate increase proposed by Pike County.  </w:t>
      </w:r>
      <w:r w:rsidR="00A61D03">
        <w:rPr>
          <w:sz w:val="26"/>
          <w:szCs w:val="26"/>
        </w:rPr>
        <w:t xml:space="preserve">On August 18, 2014, Mr. </w:t>
      </w:r>
      <w:proofErr w:type="spellStart"/>
      <w:r w:rsidR="00A61D03">
        <w:rPr>
          <w:sz w:val="26"/>
          <w:szCs w:val="26"/>
        </w:rPr>
        <w:t>Gillinder</w:t>
      </w:r>
      <w:proofErr w:type="spellEnd"/>
      <w:r w:rsidR="00A61D03">
        <w:rPr>
          <w:sz w:val="26"/>
          <w:szCs w:val="26"/>
        </w:rPr>
        <w:t xml:space="preserve"> filed the Commission’s “Formal Complaint to Proposed Rate Increase” form relative to the proposed rate increase.   The August 18, 2014</w:t>
      </w:r>
      <w:r w:rsidR="00DF2E71">
        <w:rPr>
          <w:sz w:val="26"/>
          <w:szCs w:val="26"/>
        </w:rPr>
        <w:t>,</w:t>
      </w:r>
      <w:r w:rsidR="00A61D03">
        <w:rPr>
          <w:sz w:val="26"/>
          <w:szCs w:val="26"/>
        </w:rPr>
        <w:t xml:space="preserve"> form submitted by Mr. </w:t>
      </w:r>
      <w:proofErr w:type="spellStart"/>
      <w:r w:rsidR="00A61D03">
        <w:rPr>
          <w:sz w:val="26"/>
          <w:szCs w:val="26"/>
        </w:rPr>
        <w:t>Gillinder</w:t>
      </w:r>
      <w:proofErr w:type="spellEnd"/>
      <w:r w:rsidR="00A61D03">
        <w:rPr>
          <w:sz w:val="26"/>
          <w:szCs w:val="26"/>
        </w:rPr>
        <w:t xml:space="preserve"> incorporated by reference and attached his July 24, 2014</w:t>
      </w:r>
      <w:r w:rsidR="00DF2E71">
        <w:rPr>
          <w:sz w:val="26"/>
          <w:szCs w:val="26"/>
        </w:rPr>
        <w:t>,</w:t>
      </w:r>
      <w:r w:rsidR="00A61D03">
        <w:rPr>
          <w:sz w:val="26"/>
          <w:szCs w:val="26"/>
        </w:rPr>
        <w:t xml:space="preserve"> letter, as well as letters </w:t>
      </w:r>
      <w:r w:rsidR="00184F19">
        <w:rPr>
          <w:sz w:val="26"/>
          <w:szCs w:val="26"/>
        </w:rPr>
        <w:t xml:space="preserve">he had previously submitted, </w:t>
      </w:r>
      <w:r w:rsidR="00A61D03">
        <w:rPr>
          <w:sz w:val="26"/>
          <w:szCs w:val="26"/>
        </w:rPr>
        <w:t xml:space="preserve">dated </w:t>
      </w:r>
      <w:r w:rsidR="00A61D03" w:rsidRPr="00D9179E">
        <w:rPr>
          <w:sz w:val="26"/>
          <w:szCs w:val="26"/>
        </w:rPr>
        <w:t>January 21, 2014</w:t>
      </w:r>
      <w:r w:rsidR="00DF2E71">
        <w:rPr>
          <w:sz w:val="26"/>
          <w:szCs w:val="26"/>
        </w:rPr>
        <w:t>,</w:t>
      </w:r>
      <w:r w:rsidR="00A61D03" w:rsidRPr="00D9179E">
        <w:rPr>
          <w:sz w:val="26"/>
          <w:szCs w:val="26"/>
        </w:rPr>
        <w:t xml:space="preserve"> </w:t>
      </w:r>
      <w:r w:rsidR="00A61D03">
        <w:rPr>
          <w:sz w:val="26"/>
          <w:szCs w:val="26"/>
        </w:rPr>
        <w:t xml:space="preserve">and </w:t>
      </w:r>
      <w:r w:rsidR="00A61D03" w:rsidRPr="00D9179E">
        <w:rPr>
          <w:sz w:val="26"/>
          <w:szCs w:val="26"/>
        </w:rPr>
        <w:t>June 16, 2014</w:t>
      </w:r>
      <w:r w:rsidR="00A61D03">
        <w:rPr>
          <w:sz w:val="26"/>
          <w:szCs w:val="26"/>
        </w:rPr>
        <w:t>.</w:t>
      </w:r>
      <w:r w:rsidR="00D70AB0">
        <w:rPr>
          <w:sz w:val="26"/>
          <w:szCs w:val="26"/>
        </w:rPr>
        <w:t xml:space="preserve">  In his three </w:t>
      </w:r>
      <w:r w:rsidR="00EB3432" w:rsidRPr="00D9179E">
        <w:rPr>
          <w:sz w:val="26"/>
          <w:szCs w:val="26"/>
        </w:rPr>
        <w:t>letters</w:t>
      </w:r>
      <w:r w:rsidR="00D70AB0">
        <w:rPr>
          <w:sz w:val="26"/>
          <w:szCs w:val="26"/>
        </w:rPr>
        <w:t>,</w:t>
      </w:r>
      <w:r w:rsidR="00EB3432" w:rsidRPr="00D9179E">
        <w:rPr>
          <w:sz w:val="26"/>
          <w:szCs w:val="26"/>
        </w:rPr>
        <w:t xml:space="preserve"> </w:t>
      </w:r>
      <w:r w:rsidR="0036344E">
        <w:rPr>
          <w:sz w:val="26"/>
          <w:szCs w:val="26"/>
        </w:rPr>
        <w:t xml:space="preserve">Mr. </w:t>
      </w:r>
      <w:proofErr w:type="spellStart"/>
      <w:r w:rsidR="00EB3432">
        <w:rPr>
          <w:sz w:val="26"/>
          <w:szCs w:val="26"/>
        </w:rPr>
        <w:t>Gillinder</w:t>
      </w:r>
      <w:proofErr w:type="spellEnd"/>
      <w:r w:rsidR="00EB3432">
        <w:rPr>
          <w:sz w:val="26"/>
          <w:szCs w:val="26"/>
        </w:rPr>
        <w:t xml:space="preserve"> </w:t>
      </w:r>
      <w:r w:rsidR="0038425B">
        <w:rPr>
          <w:sz w:val="26"/>
          <w:szCs w:val="26"/>
        </w:rPr>
        <w:t>expressed his general skepticism of Pike County’s stated justifications for the proposed rate increase</w:t>
      </w:r>
      <w:r w:rsidR="00EB3432">
        <w:rPr>
          <w:sz w:val="26"/>
          <w:szCs w:val="26"/>
        </w:rPr>
        <w:t>.</w:t>
      </w:r>
      <w:r w:rsidR="0038425B">
        <w:rPr>
          <w:sz w:val="26"/>
          <w:szCs w:val="26"/>
        </w:rPr>
        <w:t xml:space="preserve">  Each letter is </w:t>
      </w:r>
      <w:r w:rsidR="00C344D5">
        <w:rPr>
          <w:sz w:val="26"/>
          <w:szCs w:val="26"/>
        </w:rPr>
        <w:t>represented</w:t>
      </w:r>
      <w:r w:rsidR="0038425B">
        <w:rPr>
          <w:sz w:val="26"/>
          <w:szCs w:val="26"/>
        </w:rPr>
        <w:t xml:space="preserve"> by Mr. </w:t>
      </w:r>
      <w:proofErr w:type="spellStart"/>
      <w:r w:rsidR="0038425B">
        <w:rPr>
          <w:sz w:val="26"/>
          <w:szCs w:val="26"/>
        </w:rPr>
        <w:t>Gillinder</w:t>
      </w:r>
      <w:proofErr w:type="spellEnd"/>
      <w:r w:rsidR="0038425B">
        <w:rPr>
          <w:sz w:val="26"/>
          <w:szCs w:val="26"/>
        </w:rPr>
        <w:t xml:space="preserve"> as a “response” to the rate filing of Pike County.  Also, there is no indication that the</w:t>
      </w:r>
      <w:r w:rsidR="00C344D5">
        <w:rPr>
          <w:sz w:val="26"/>
          <w:szCs w:val="26"/>
        </w:rPr>
        <w:t>se</w:t>
      </w:r>
      <w:r w:rsidR="0038425B">
        <w:rPr>
          <w:sz w:val="26"/>
          <w:szCs w:val="26"/>
        </w:rPr>
        <w:t xml:space="preserve"> letters were served on the utility. </w:t>
      </w:r>
      <w:r w:rsidR="00EB3432">
        <w:rPr>
          <w:sz w:val="26"/>
          <w:szCs w:val="26"/>
        </w:rPr>
        <w:t xml:space="preserve"> </w:t>
      </w:r>
    </w:p>
    <w:p w:rsidR="0038425B" w:rsidRDefault="0038425B" w:rsidP="00EB3432">
      <w:pPr>
        <w:spacing w:line="360" w:lineRule="auto"/>
        <w:ind w:firstLine="720"/>
        <w:rPr>
          <w:sz w:val="26"/>
          <w:szCs w:val="26"/>
        </w:rPr>
      </w:pPr>
    </w:p>
    <w:p w:rsidR="00EB3432" w:rsidRPr="00D9179E" w:rsidRDefault="00C344D5">
      <w:pPr>
        <w:spacing w:line="360" w:lineRule="auto"/>
        <w:ind w:firstLine="1440"/>
        <w:rPr>
          <w:sz w:val="26"/>
          <w:szCs w:val="26"/>
        </w:rPr>
      </w:pPr>
      <w:r>
        <w:rPr>
          <w:sz w:val="26"/>
          <w:szCs w:val="26"/>
        </w:rPr>
        <w:t>However, t</w:t>
      </w:r>
      <w:r w:rsidR="0038425B">
        <w:rPr>
          <w:sz w:val="26"/>
          <w:szCs w:val="26"/>
        </w:rPr>
        <w:t>he July 24, 2014</w:t>
      </w:r>
      <w:r w:rsidR="00DF2E71">
        <w:rPr>
          <w:sz w:val="26"/>
          <w:szCs w:val="26"/>
        </w:rPr>
        <w:t>,</w:t>
      </w:r>
      <w:r w:rsidR="0038425B">
        <w:rPr>
          <w:sz w:val="26"/>
          <w:szCs w:val="26"/>
        </w:rPr>
        <w:t xml:space="preserve"> letter </w:t>
      </w:r>
      <w:r>
        <w:rPr>
          <w:sz w:val="26"/>
          <w:szCs w:val="26"/>
        </w:rPr>
        <w:t xml:space="preserve">of Mr. </w:t>
      </w:r>
      <w:proofErr w:type="spellStart"/>
      <w:r>
        <w:rPr>
          <w:sz w:val="26"/>
          <w:szCs w:val="26"/>
        </w:rPr>
        <w:t>Gillinder</w:t>
      </w:r>
      <w:proofErr w:type="spellEnd"/>
      <w:r>
        <w:rPr>
          <w:sz w:val="26"/>
          <w:szCs w:val="26"/>
        </w:rPr>
        <w:t xml:space="preserve"> </w:t>
      </w:r>
      <w:r w:rsidR="0038425B">
        <w:rPr>
          <w:sz w:val="26"/>
          <w:szCs w:val="26"/>
        </w:rPr>
        <w:t>categorically represent</w:t>
      </w:r>
      <w:r w:rsidR="006628A9">
        <w:rPr>
          <w:sz w:val="26"/>
          <w:szCs w:val="26"/>
        </w:rPr>
        <w:t>ed</w:t>
      </w:r>
      <w:r w:rsidR="0038425B">
        <w:rPr>
          <w:sz w:val="26"/>
          <w:szCs w:val="26"/>
        </w:rPr>
        <w:t xml:space="preserve"> itself as a </w:t>
      </w:r>
      <w:r w:rsidR="00DF2E71">
        <w:rPr>
          <w:sz w:val="26"/>
          <w:szCs w:val="26"/>
        </w:rPr>
        <w:t>F</w:t>
      </w:r>
      <w:r w:rsidR="0038425B">
        <w:rPr>
          <w:sz w:val="26"/>
          <w:szCs w:val="26"/>
        </w:rPr>
        <w:t xml:space="preserve">ormal </w:t>
      </w:r>
      <w:r w:rsidR="00DF2E71">
        <w:rPr>
          <w:sz w:val="26"/>
          <w:szCs w:val="26"/>
        </w:rPr>
        <w:t>C</w:t>
      </w:r>
      <w:r w:rsidR="0038425B">
        <w:rPr>
          <w:sz w:val="26"/>
          <w:szCs w:val="26"/>
        </w:rPr>
        <w:t xml:space="preserve">omplaint against the Pike County rate filing.  </w:t>
      </w:r>
      <w:r w:rsidR="00EB3432" w:rsidRPr="00D9179E">
        <w:rPr>
          <w:sz w:val="26"/>
          <w:szCs w:val="26"/>
        </w:rPr>
        <w:t xml:space="preserve">This </w:t>
      </w:r>
      <w:r w:rsidR="0038425B">
        <w:rPr>
          <w:sz w:val="26"/>
          <w:szCs w:val="26"/>
        </w:rPr>
        <w:t>letter was docketed as a C</w:t>
      </w:r>
      <w:r w:rsidR="00EB3432" w:rsidRPr="00D9179E">
        <w:rPr>
          <w:sz w:val="26"/>
          <w:szCs w:val="26"/>
        </w:rPr>
        <w:t xml:space="preserve">omplaint at </w:t>
      </w:r>
      <w:r w:rsidR="0038425B">
        <w:rPr>
          <w:sz w:val="26"/>
          <w:szCs w:val="26"/>
        </w:rPr>
        <w:t xml:space="preserve">No. </w:t>
      </w:r>
      <w:r w:rsidR="00EB3432" w:rsidRPr="00D9179E">
        <w:rPr>
          <w:sz w:val="26"/>
          <w:szCs w:val="26"/>
        </w:rPr>
        <w:t xml:space="preserve">C-2014-2438396 and served on Pike County.   </w:t>
      </w:r>
      <w:r w:rsidR="00184F19">
        <w:rPr>
          <w:sz w:val="26"/>
          <w:szCs w:val="26"/>
        </w:rPr>
        <w:t xml:space="preserve">By Secretarial Letter issued August 20, 2014, </w:t>
      </w:r>
      <w:r w:rsidR="0038425B">
        <w:rPr>
          <w:sz w:val="26"/>
          <w:szCs w:val="26"/>
        </w:rPr>
        <w:t>o</w:t>
      </w:r>
      <w:r w:rsidR="00EB3432">
        <w:rPr>
          <w:sz w:val="26"/>
          <w:szCs w:val="26"/>
        </w:rPr>
        <w:t xml:space="preserve">n consideration of the Formal Complaint </w:t>
      </w:r>
      <w:r w:rsidR="0038425B">
        <w:rPr>
          <w:sz w:val="26"/>
          <w:szCs w:val="26"/>
        </w:rPr>
        <w:t xml:space="preserve">of </w:t>
      </w:r>
      <w:r w:rsidR="0038425B">
        <w:rPr>
          <w:sz w:val="26"/>
          <w:szCs w:val="26"/>
        </w:rPr>
        <w:lastRenderedPageBreak/>
        <w:t xml:space="preserve">Mr. </w:t>
      </w:r>
      <w:proofErr w:type="spellStart"/>
      <w:r w:rsidR="0038425B">
        <w:rPr>
          <w:sz w:val="26"/>
          <w:szCs w:val="26"/>
        </w:rPr>
        <w:t>Gillinder</w:t>
      </w:r>
      <w:proofErr w:type="spellEnd"/>
      <w:r w:rsidR="00EB3432">
        <w:rPr>
          <w:sz w:val="26"/>
          <w:szCs w:val="26"/>
        </w:rPr>
        <w:t>, we found</w:t>
      </w:r>
      <w:r w:rsidR="00EB3432" w:rsidRPr="00D9179E">
        <w:rPr>
          <w:sz w:val="26"/>
          <w:szCs w:val="26"/>
        </w:rPr>
        <w:t xml:space="preserve"> g</w:t>
      </w:r>
      <w:r w:rsidR="006628A9">
        <w:rPr>
          <w:sz w:val="26"/>
          <w:szCs w:val="26"/>
        </w:rPr>
        <w:t>oo</w:t>
      </w:r>
      <w:r w:rsidR="00EB3432" w:rsidRPr="00D9179E">
        <w:rPr>
          <w:sz w:val="26"/>
          <w:szCs w:val="26"/>
        </w:rPr>
        <w:t>d</w:t>
      </w:r>
      <w:r>
        <w:rPr>
          <w:sz w:val="26"/>
          <w:szCs w:val="26"/>
        </w:rPr>
        <w:t xml:space="preserve"> cause</w:t>
      </w:r>
      <w:r w:rsidR="00EB3432" w:rsidRPr="00D9179E">
        <w:rPr>
          <w:sz w:val="26"/>
          <w:szCs w:val="26"/>
        </w:rPr>
        <w:t xml:space="preserve"> to extend the </w:t>
      </w:r>
      <w:r w:rsidR="0038425B">
        <w:rPr>
          <w:sz w:val="26"/>
          <w:szCs w:val="26"/>
        </w:rPr>
        <w:t>E</w:t>
      </w:r>
      <w:r w:rsidR="00EB3432" w:rsidRPr="00D9179E">
        <w:rPr>
          <w:sz w:val="26"/>
          <w:szCs w:val="26"/>
        </w:rPr>
        <w:t>xception period in this proceeding</w:t>
      </w:r>
      <w:r w:rsidR="00EB3432">
        <w:rPr>
          <w:sz w:val="26"/>
          <w:szCs w:val="26"/>
        </w:rPr>
        <w:t xml:space="preserve"> in order to provide Mr. </w:t>
      </w:r>
      <w:proofErr w:type="spellStart"/>
      <w:r w:rsidR="00EB3432">
        <w:rPr>
          <w:sz w:val="26"/>
          <w:szCs w:val="26"/>
        </w:rPr>
        <w:t>Gillinder</w:t>
      </w:r>
      <w:proofErr w:type="spellEnd"/>
      <w:r w:rsidR="00EB3432">
        <w:rPr>
          <w:sz w:val="26"/>
          <w:szCs w:val="26"/>
        </w:rPr>
        <w:t xml:space="preserve"> </w:t>
      </w:r>
      <w:r w:rsidR="0038425B">
        <w:rPr>
          <w:sz w:val="26"/>
          <w:szCs w:val="26"/>
        </w:rPr>
        <w:t xml:space="preserve">the </w:t>
      </w:r>
      <w:r w:rsidR="00EB3432">
        <w:rPr>
          <w:sz w:val="26"/>
          <w:szCs w:val="26"/>
        </w:rPr>
        <w:t xml:space="preserve">opportunity to file </w:t>
      </w:r>
      <w:r w:rsidR="00EB3432" w:rsidRPr="00D9179E">
        <w:rPr>
          <w:sz w:val="26"/>
          <w:szCs w:val="26"/>
        </w:rPr>
        <w:t xml:space="preserve">Exceptions to the Recommended Decision, </w:t>
      </w:r>
      <w:r w:rsidR="00EB3432">
        <w:rPr>
          <w:sz w:val="26"/>
          <w:szCs w:val="26"/>
        </w:rPr>
        <w:t xml:space="preserve">indicating whether </w:t>
      </w:r>
      <w:r w:rsidR="00EB3432" w:rsidRPr="00D9179E">
        <w:rPr>
          <w:sz w:val="26"/>
          <w:szCs w:val="26"/>
        </w:rPr>
        <w:t>he oppose</w:t>
      </w:r>
      <w:r w:rsidR="00EB3432">
        <w:rPr>
          <w:sz w:val="26"/>
          <w:szCs w:val="26"/>
        </w:rPr>
        <w:t>d</w:t>
      </w:r>
      <w:r w:rsidR="00EB3432" w:rsidRPr="00D9179E">
        <w:rPr>
          <w:sz w:val="26"/>
          <w:szCs w:val="26"/>
        </w:rPr>
        <w:t>, join</w:t>
      </w:r>
      <w:r w:rsidR="00EB3432">
        <w:rPr>
          <w:sz w:val="26"/>
          <w:szCs w:val="26"/>
        </w:rPr>
        <w:t>ed</w:t>
      </w:r>
      <w:r w:rsidR="00EB3432" w:rsidRPr="00D9179E">
        <w:rPr>
          <w:sz w:val="26"/>
          <w:szCs w:val="26"/>
        </w:rPr>
        <w:t>, or t</w:t>
      </w:r>
      <w:r w:rsidR="006628A9">
        <w:rPr>
          <w:sz w:val="26"/>
          <w:szCs w:val="26"/>
        </w:rPr>
        <w:t>oo</w:t>
      </w:r>
      <w:r w:rsidR="00EB3432" w:rsidRPr="00D9179E">
        <w:rPr>
          <w:sz w:val="26"/>
          <w:szCs w:val="26"/>
        </w:rPr>
        <w:t>k no position on the Settlement.</w:t>
      </w:r>
      <w:r w:rsidR="006628A9">
        <w:rPr>
          <w:sz w:val="26"/>
          <w:szCs w:val="26"/>
        </w:rPr>
        <w:t xml:space="preserve"> </w:t>
      </w:r>
      <w:r w:rsidR="00EB3432" w:rsidRPr="00D9179E">
        <w:rPr>
          <w:sz w:val="26"/>
          <w:szCs w:val="26"/>
        </w:rPr>
        <w:t xml:space="preserve"> </w:t>
      </w:r>
      <w:r w:rsidR="0038425B">
        <w:rPr>
          <w:sz w:val="26"/>
          <w:szCs w:val="26"/>
        </w:rPr>
        <w:t xml:space="preserve"> </w:t>
      </w:r>
      <w:r w:rsidR="00EB3432">
        <w:rPr>
          <w:sz w:val="26"/>
          <w:szCs w:val="26"/>
        </w:rPr>
        <w:t xml:space="preserve">Replies </w:t>
      </w:r>
      <w:r w:rsidR="0038425B">
        <w:rPr>
          <w:sz w:val="26"/>
          <w:szCs w:val="26"/>
        </w:rPr>
        <w:t xml:space="preserve">to Exceptions </w:t>
      </w:r>
      <w:r w:rsidR="00EB3432">
        <w:rPr>
          <w:sz w:val="26"/>
          <w:szCs w:val="26"/>
        </w:rPr>
        <w:t xml:space="preserve">were due on or before September 5, 2014.  </w:t>
      </w:r>
      <w:r w:rsidR="006628A9">
        <w:rPr>
          <w:sz w:val="26"/>
          <w:szCs w:val="26"/>
        </w:rPr>
        <w:t xml:space="preserve">As stated above, Mr. </w:t>
      </w:r>
      <w:proofErr w:type="spellStart"/>
      <w:r w:rsidR="00EB3432">
        <w:rPr>
          <w:sz w:val="26"/>
          <w:szCs w:val="26"/>
        </w:rPr>
        <w:t>Gillinder</w:t>
      </w:r>
      <w:proofErr w:type="spellEnd"/>
      <w:r w:rsidR="00EB3432">
        <w:rPr>
          <w:sz w:val="26"/>
          <w:szCs w:val="26"/>
        </w:rPr>
        <w:t xml:space="preserve"> filed timely Exceptions to the Recommended Decision.  </w:t>
      </w:r>
      <w:r>
        <w:rPr>
          <w:sz w:val="26"/>
          <w:szCs w:val="26"/>
        </w:rPr>
        <w:t>A Letter-</w:t>
      </w:r>
      <w:r w:rsidR="00EB3432">
        <w:rPr>
          <w:sz w:val="26"/>
          <w:szCs w:val="26"/>
        </w:rPr>
        <w:t>Repl</w:t>
      </w:r>
      <w:r>
        <w:rPr>
          <w:sz w:val="26"/>
          <w:szCs w:val="26"/>
        </w:rPr>
        <w:t>y</w:t>
      </w:r>
      <w:r w:rsidR="00EB3432">
        <w:rPr>
          <w:sz w:val="26"/>
          <w:szCs w:val="26"/>
        </w:rPr>
        <w:t xml:space="preserve"> </w:t>
      </w:r>
      <w:r>
        <w:rPr>
          <w:sz w:val="26"/>
          <w:szCs w:val="26"/>
        </w:rPr>
        <w:t xml:space="preserve">to the Exceptions </w:t>
      </w:r>
      <w:r w:rsidR="00EB3432">
        <w:rPr>
          <w:sz w:val="26"/>
          <w:szCs w:val="26"/>
        </w:rPr>
        <w:t>w</w:t>
      </w:r>
      <w:r>
        <w:rPr>
          <w:sz w:val="26"/>
          <w:szCs w:val="26"/>
        </w:rPr>
        <w:t>as</w:t>
      </w:r>
      <w:r w:rsidR="00EB3432">
        <w:rPr>
          <w:sz w:val="26"/>
          <w:szCs w:val="26"/>
        </w:rPr>
        <w:t xml:space="preserve"> filed by </w:t>
      </w:r>
      <w:r w:rsidR="0038425B">
        <w:rPr>
          <w:sz w:val="26"/>
          <w:szCs w:val="26"/>
        </w:rPr>
        <w:t>Pike County.</w:t>
      </w:r>
      <w:r w:rsidR="00EB3432" w:rsidRPr="00D9179E">
        <w:rPr>
          <w:sz w:val="26"/>
          <w:szCs w:val="26"/>
        </w:rPr>
        <w:t xml:space="preserve">  </w:t>
      </w:r>
    </w:p>
    <w:bookmarkEnd w:id="1"/>
    <w:bookmarkEnd w:id="2"/>
    <w:p w:rsidR="00D123D7" w:rsidRDefault="00D123D7" w:rsidP="00D123D7">
      <w:pPr>
        <w:spacing w:line="360" w:lineRule="auto"/>
        <w:rPr>
          <w:b/>
          <w:sz w:val="26"/>
          <w:szCs w:val="26"/>
          <w:u w:val="single"/>
        </w:rPr>
      </w:pPr>
    </w:p>
    <w:p w:rsidR="00CA43A5" w:rsidRPr="00D123D7" w:rsidRDefault="00CA43A5" w:rsidP="00D123D7">
      <w:pPr>
        <w:spacing w:line="360" w:lineRule="auto"/>
        <w:jc w:val="center"/>
        <w:rPr>
          <w:sz w:val="26"/>
          <w:szCs w:val="26"/>
        </w:rPr>
      </w:pPr>
      <w:r w:rsidRPr="00CA43A5">
        <w:rPr>
          <w:b/>
          <w:sz w:val="26"/>
          <w:szCs w:val="26"/>
        </w:rPr>
        <w:t>Discussion</w:t>
      </w:r>
    </w:p>
    <w:p w:rsidR="0043592C" w:rsidRDefault="0043592C" w:rsidP="0043592C">
      <w:pPr>
        <w:spacing w:line="360" w:lineRule="auto"/>
        <w:ind w:firstLine="1440"/>
        <w:rPr>
          <w:sz w:val="26"/>
          <w:szCs w:val="26"/>
        </w:rPr>
      </w:pPr>
    </w:p>
    <w:p w:rsidR="00A144A0" w:rsidRPr="002A6750" w:rsidRDefault="00A144A0" w:rsidP="00A144A0">
      <w:pPr>
        <w:widowControl/>
        <w:spacing w:line="360" w:lineRule="auto"/>
        <w:ind w:firstLine="1440"/>
        <w:rPr>
          <w:sz w:val="26"/>
          <w:szCs w:val="26"/>
        </w:rPr>
      </w:pPr>
      <w:r>
        <w:rPr>
          <w:sz w:val="26"/>
          <w:szCs w:val="26"/>
        </w:rPr>
        <w:t>We</w:t>
      </w:r>
      <w:r w:rsidRPr="002A6750">
        <w:rPr>
          <w:sz w:val="26"/>
          <w:szCs w:val="26"/>
        </w:rPr>
        <w:t xml:space="preserv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2A6750">
          <w:rPr>
            <w:rStyle w:val="Emphasis"/>
            <w:color w:val="000000"/>
            <w:sz w:val="26"/>
            <w:szCs w:val="26"/>
          </w:rPr>
          <w:t xml:space="preserve">Consolidated Rail Corp. v. Pa. PUC, </w:t>
        </w:r>
        <w:r w:rsidRPr="002A6750">
          <w:rPr>
            <w:rStyle w:val="Hyperlink"/>
            <w:color w:val="000000"/>
            <w:sz w:val="26"/>
            <w:szCs w:val="26"/>
            <w:u w:val="none"/>
          </w:rPr>
          <w:t xml:space="preserve">625 A.2d 741 (Pa. </w:t>
        </w:r>
        <w:proofErr w:type="spellStart"/>
        <w:r w:rsidRPr="002A6750">
          <w:rPr>
            <w:rStyle w:val="Hyperlink"/>
            <w:color w:val="000000"/>
            <w:sz w:val="26"/>
            <w:szCs w:val="26"/>
            <w:u w:val="none"/>
          </w:rPr>
          <w:t>Cmwlth</w:t>
        </w:r>
        <w:proofErr w:type="spellEnd"/>
        <w:r w:rsidRPr="002A6750">
          <w:rPr>
            <w:rStyle w:val="Hyperlink"/>
            <w:color w:val="000000"/>
            <w:sz w:val="26"/>
            <w:szCs w:val="26"/>
            <w:u w:val="none"/>
          </w:rPr>
          <w:t>. 1993);</w:t>
        </w:r>
      </w:hyperlink>
      <w:r w:rsidRPr="002A6750">
        <w:rPr>
          <w:color w:val="000000"/>
          <w:sz w:val="26"/>
          <w:szCs w:val="26"/>
        </w:rPr>
        <w:t xml:space="preserve"> </w:t>
      </w:r>
      <w:r w:rsidRPr="002A6750">
        <w:rPr>
          <w:i/>
          <w:color w:val="000000"/>
          <w:sz w:val="26"/>
          <w:szCs w:val="26"/>
        </w:rPr>
        <w:t xml:space="preserve">also </w:t>
      </w:r>
      <w:r w:rsidRPr="002A6750">
        <w:rPr>
          <w:rStyle w:val="Emphasis"/>
          <w:color w:val="000000"/>
          <w:sz w:val="26"/>
          <w:szCs w:val="26"/>
        </w:rPr>
        <w:t xml:space="preserve">see, generally, </w:t>
      </w:r>
      <w:hyperlink r:id="rId10" w:history="1">
        <w:r w:rsidRPr="002A6750">
          <w:rPr>
            <w:rStyle w:val="Emphasis"/>
            <w:color w:val="000000"/>
            <w:sz w:val="26"/>
            <w:szCs w:val="26"/>
          </w:rPr>
          <w:t>University of Pennsylvania v. Pa. PUC</w:t>
        </w:r>
        <w:r w:rsidRPr="002A6750">
          <w:rPr>
            <w:rStyle w:val="Hyperlink"/>
            <w:color w:val="000000"/>
            <w:sz w:val="26"/>
            <w:szCs w:val="26"/>
            <w:u w:val="none"/>
          </w:rPr>
          <w:t xml:space="preserve">, 485 A.2d 1217 (Pa. </w:t>
        </w:r>
        <w:proofErr w:type="spellStart"/>
        <w:r w:rsidRPr="002A6750">
          <w:rPr>
            <w:rStyle w:val="Hyperlink"/>
            <w:color w:val="000000"/>
            <w:sz w:val="26"/>
            <w:szCs w:val="26"/>
            <w:u w:val="none"/>
          </w:rPr>
          <w:t>Cmwlth</w:t>
        </w:r>
        <w:proofErr w:type="spellEnd"/>
        <w:r w:rsidRPr="002A6750">
          <w:rPr>
            <w:rStyle w:val="Hyperlink"/>
            <w:color w:val="000000"/>
            <w:sz w:val="26"/>
            <w:szCs w:val="26"/>
            <w:u w:val="none"/>
          </w:rPr>
          <w:t>. 1984).</w:t>
        </w:r>
      </w:hyperlink>
      <w:r w:rsidRPr="002A6750">
        <w:rPr>
          <w:sz w:val="26"/>
          <w:szCs w:val="26"/>
        </w:rPr>
        <w:t xml:space="preserve"> </w:t>
      </w:r>
    </w:p>
    <w:p w:rsidR="00A144A0" w:rsidRDefault="00A144A0" w:rsidP="0043592C">
      <w:pPr>
        <w:spacing w:line="360" w:lineRule="auto"/>
        <w:ind w:firstLine="1440"/>
        <w:rPr>
          <w:sz w:val="26"/>
          <w:szCs w:val="26"/>
        </w:rPr>
      </w:pPr>
    </w:p>
    <w:p w:rsidR="00697F29" w:rsidRPr="004B500E" w:rsidRDefault="00697F29" w:rsidP="004B500E">
      <w:pPr>
        <w:spacing w:line="360" w:lineRule="auto"/>
        <w:rPr>
          <w:b/>
          <w:sz w:val="26"/>
          <w:szCs w:val="26"/>
        </w:rPr>
      </w:pPr>
      <w:r w:rsidRPr="004B500E">
        <w:rPr>
          <w:b/>
          <w:sz w:val="26"/>
          <w:szCs w:val="26"/>
        </w:rPr>
        <w:t>Legal Standards</w:t>
      </w:r>
    </w:p>
    <w:p w:rsidR="00697F29" w:rsidRDefault="00697F29" w:rsidP="008F244B">
      <w:pPr>
        <w:spacing w:line="360" w:lineRule="auto"/>
        <w:ind w:firstLine="1440"/>
        <w:rPr>
          <w:sz w:val="26"/>
          <w:szCs w:val="26"/>
        </w:rPr>
      </w:pPr>
    </w:p>
    <w:p w:rsidR="00F5093B" w:rsidRDefault="00F5093B" w:rsidP="004B500E">
      <w:pPr>
        <w:spacing w:line="360" w:lineRule="auto"/>
        <w:ind w:firstLine="1440"/>
        <w:rPr>
          <w:sz w:val="26"/>
          <w:szCs w:val="26"/>
        </w:rPr>
      </w:pPr>
      <w:r w:rsidRPr="00674F88">
        <w:rPr>
          <w:sz w:val="26"/>
          <w:szCs w:val="26"/>
        </w:rPr>
        <w:t xml:space="preserve">The purpose of this investigation is to establish rates that are “just and reasonable” pursuant to Section 1301 of the Code, 66 Pa. C.S. § 1301.  A public utility seeking a general rate increase is entitled to an opportunity to earn a fair rate of return on the value of the property dedicated to public service.  </w:t>
      </w:r>
      <w:proofErr w:type="gramStart"/>
      <w:r w:rsidRPr="00674F88">
        <w:rPr>
          <w:i/>
          <w:sz w:val="26"/>
          <w:szCs w:val="26"/>
        </w:rPr>
        <w:t xml:space="preserve">Bluefield Water Works and Improvement Co. v. Public Service </w:t>
      </w:r>
      <w:proofErr w:type="spellStart"/>
      <w:r w:rsidRPr="00674F88">
        <w:rPr>
          <w:i/>
          <w:sz w:val="26"/>
          <w:szCs w:val="26"/>
        </w:rPr>
        <w:t>Comm’n</w:t>
      </w:r>
      <w:proofErr w:type="spellEnd"/>
      <w:r w:rsidRPr="00674F88">
        <w:rPr>
          <w:i/>
          <w:sz w:val="26"/>
          <w:szCs w:val="26"/>
        </w:rPr>
        <w:t xml:space="preserve"> of West Virginia,</w:t>
      </w:r>
      <w:r w:rsidRPr="00674F88">
        <w:rPr>
          <w:sz w:val="26"/>
          <w:szCs w:val="26"/>
        </w:rPr>
        <w:t xml:space="preserve"> 262 U.S. 679 (1923)</w:t>
      </w:r>
      <w:r>
        <w:rPr>
          <w:sz w:val="26"/>
          <w:szCs w:val="26"/>
        </w:rPr>
        <w:t>.</w:t>
      </w:r>
      <w:proofErr w:type="gramEnd"/>
      <w:r>
        <w:rPr>
          <w:sz w:val="26"/>
          <w:szCs w:val="26"/>
        </w:rPr>
        <w:t xml:space="preserve">  </w:t>
      </w:r>
    </w:p>
    <w:p w:rsidR="00F5093B" w:rsidRDefault="00F5093B" w:rsidP="004B500E">
      <w:pPr>
        <w:spacing w:line="360" w:lineRule="auto"/>
        <w:rPr>
          <w:sz w:val="26"/>
          <w:szCs w:val="26"/>
        </w:rPr>
      </w:pPr>
    </w:p>
    <w:p w:rsidR="00F5093B" w:rsidRPr="00674F88" w:rsidRDefault="00F5093B" w:rsidP="004B500E">
      <w:pPr>
        <w:spacing w:line="360" w:lineRule="auto"/>
        <w:ind w:firstLine="1440"/>
        <w:rPr>
          <w:sz w:val="26"/>
          <w:szCs w:val="26"/>
        </w:rPr>
      </w:pPr>
      <w:r w:rsidRPr="00674F88">
        <w:rPr>
          <w:sz w:val="26"/>
          <w:szCs w:val="26"/>
        </w:rPr>
        <w:t xml:space="preserve">In determining what constitutes a fair rate of return, the Commission is guided by the criteria set forth in </w:t>
      </w:r>
      <w:r>
        <w:rPr>
          <w:i/>
          <w:sz w:val="26"/>
          <w:szCs w:val="26"/>
        </w:rPr>
        <w:t xml:space="preserve">Bluefield, supra </w:t>
      </w:r>
      <w:r w:rsidRPr="00674F88">
        <w:rPr>
          <w:sz w:val="26"/>
          <w:szCs w:val="26"/>
        </w:rPr>
        <w:t xml:space="preserve">and </w:t>
      </w:r>
      <w:r w:rsidRPr="00674F88">
        <w:rPr>
          <w:i/>
          <w:sz w:val="26"/>
          <w:szCs w:val="26"/>
        </w:rPr>
        <w:t xml:space="preserve">Federal Power </w:t>
      </w:r>
      <w:proofErr w:type="spellStart"/>
      <w:r w:rsidRPr="00674F88">
        <w:rPr>
          <w:i/>
          <w:sz w:val="26"/>
          <w:szCs w:val="26"/>
        </w:rPr>
        <w:t>Comm’n</w:t>
      </w:r>
      <w:proofErr w:type="spellEnd"/>
      <w:r w:rsidRPr="00674F88">
        <w:rPr>
          <w:i/>
          <w:sz w:val="26"/>
          <w:szCs w:val="26"/>
        </w:rPr>
        <w:t xml:space="preserve"> v. Hope Natural Gas Co.</w:t>
      </w:r>
      <w:r w:rsidRPr="00674F88">
        <w:rPr>
          <w:sz w:val="26"/>
          <w:szCs w:val="26"/>
        </w:rPr>
        <w:t xml:space="preserve">, 320 U.S. 591 (1944).  In </w:t>
      </w:r>
      <w:r w:rsidRPr="00674F88">
        <w:rPr>
          <w:i/>
          <w:sz w:val="26"/>
          <w:szCs w:val="26"/>
        </w:rPr>
        <w:t>Bluefield</w:t>
      </w:r>
      <w:r w:rsidRPr="00674F88">
        <w:rPr>
          <w:sz w:val="26"/>
          <w:szCs w:val="26"/>
        </w:rPr>
        <w:t xml:space="preserve"> the United States Supreme Court stated:</w:t>
      </w:r>
    </w:p>
    <w:p w:rsidR="00F5093B" w:rsidRPr="00674F88" w:rsidRDefault="00F5093B" w:rsidP="00F5093B">
      <w:pPr>
        <w:rPr>
          <w:sz w:val="26"/>
          <w:szCs w:val="26"/>
        </w:rPr>
      </w:pPr>
    </w:p>
    <w:p w:rsidR="00F5093B" w:rsidRPr="00674F88" w:rsidRDefault="00F5093B" w:rsidP="00F5093B">
      <w:pPr>
        <w:ind w:left="1440" w:right="1440"/>
        <w:rPr>
          <w:sz w:val="26"/>
          <w:szCs w:val="26"/>
        </w:rPr>
      </w:pPr>
      <w:r w:rsidRPr="00674F88">
        <w:rPr>
          <w:sz w:val="26"/>
          <w:szCs w:val="26"/>
        </w:rPr>
        <w:lastRenderedPageBreak/>
        <w:tab/>
        <w:t xml:space="preserve">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w:t>
      </w:r>
    </w:p>
    <w:p w:rsidR="00F5093B" w:rsidRPr="00674F88" w:rsidRDefault="00F5093B" w:rsidP="00F5093B">
      <w:pPr>
        <w:keepNext/>
        <w:ind w:left="1440" w:right="1440"/>
        <w:rPr>
          <w:sz w:val="26"/>
          <w:szCs w:val="26"/>
        </w:rPr>
      </w:pPr>
      <w:r w:rsidRPr="00674F88">
        <w:rPr>
          <w:sz w:val="26"/>
          <w:szCs w:val="26"/>
        </w:rPr>
        <w:t>A rate of return may be too high or too low by changes affecting opportunities for investment, the money market and business conditions generally.</w:t>
      </w:r>
    </w:p>
    <w:p w:rsidR="00F5093B" w:rsidRPr="00674F88" w:rsidRDefault="00F5093B" w:rsidP="00F5093B">
      <w:pPr>
        <w:keepNext/>
        <w:ind w:left="1440" w:right="1440"/>
        <w:rPr>
          <w:sz w:val="26"/>
          <w:szCs w:val="26"/>
        </w:rPr>
      </w:pPr>
    </w:p>
    <w:p w:rsidR="00F5093B" w:rsidRPr="00674F88" w:rsidRDefault="00F5093B" w:rsidP="00F5093B">
      <w:pPr>
        <w:pStyle w:val="BodyText0"/>
        <w:keepNext/>
        <w:spacing w:line="240" w:lineRule="auto"/>
        <w:jc w:val="both"/>
        <w:rPr>
          <w:rFonts w:ascii="Times New Roman" w:hAnsi="Times New Roman"/>
          <w:sz w:val="26"/>
          <w:szCs w:val="26"/>
        </w:rPr>
      </w:pPr>
      <w:r w:rsidRPr="00674F88">
        <w:rPr>
          <w:rFonts w:ascii="Times New Roman" w:hAnsi="Times New Roman"/>
          <w:i/>
          <w:sz w:val="26"/>
          <w:szCs w:val="26"/>
        </w:rPr>
        <w:t xml:space="preserve">Bluefield, </w:t>
      </w:r>
      <w:r w:rsidRPr="00674F88">
        <w:rPr>
          <w:rFonts w:ascii="Times New Roman" w:hAnsi="Times New Roman"/>
          <w:sz w:val="26"/>
          <w:szCs w:val="26"/>
        </w:rPr>
        <w:t>262 U.S. at 692-3.</w:t>
      </w:r>
    </w:p>
    <w:p w:rsidR="00F5093B" w:rsidRPr="00674F88" w:rsidRDefault="00F5093B" w:rsidP="00F5093B">
      <w:pPr>
        <w:rPr>
          <w:sz w:val="26"/>
          <w:szCs w:val="26"/>
        </w:rPr>
      </w:pPr>
    </w:p>
    <w:p w:rsidR="00F5093B" w:rsidRPr="00674F88" w:rsidRDefault="00F5093B" w:rsidP="004B500E">
      <w:pPr>
        <w:spacing w:line="360" w:lineRule="auto"/>
        <w:ind w:firstLine="1440"/>
        <w:rPr>
          <w:sz w:val="26"/>
          <w:szCs w:val="26"/>
        </w:rPr>
      </w:pPr>
      <w:r w:rsidRPr="00674F88">
        <w:rPr>
          <w:sz w:val="26"/>
          <w:szCs w:val="26"/>
        </w:rPr>
        <w:t>The policy of the Commission is to encourage settlements</w:t>
      </w:r>
      <w:r>
        <w:rPr>
          <w:sz w:val="26"/>
          <w:szCs w:val="26"/>
        </w:rPr>
        <w:t>,</w:t>
      </w:r>
      <w:r w:rsidRPr="00674F88">
        <w:rPr>
          <w:sz w:val="26"/>
          <w:szCs w:val="26"/>
        </w:rPr>
        <w:t xml:space="preserve"> and the Commission has stated that settlement rates are often preferable to those achieved at the conclusion of a fully litigated proceeding.  </w:t>
      </w:r>
      <w:proofErr w:type="gramStart"/>
      <w:r w:rsidRPr="00674F88">
        <w:rPr>
          <w:sz w:val="26"/>
          <w:szCs w:val="26"/>
        </w:rPr>
        <w:t>52 Pa. Code §§ 5.231, 69.401.</w:t>
      </w:r>
      <w:proofErr w:type="gramEnd"/>
      <w:r w:rsidRPr="00674F88">
        <w:rPr>
          <w:sz w:val="26"/>
          <w:szCs w:val="26"/>
        </w:rPr>
        <w:t xml:space="preserve">  A full settlement of all the issues in a proceeding eliminates the time, effort and expense that otherwise would have been used in litigating the proceeding, while a partial settlement may significantly reduce the time, effort and expense of litigating a case.  A settlement, whether whole or partial, benefits not only the named parties directly, but, indirectly, all customers of the public utility involved in the case.</w:t>
      </w:r>
    </w:p>
    <w:p w:rsidR="00F5093B" w:rsidRPr="00674F88" w:rsidRDefault="00F5093B" w:rsidP="004B500E">
      <w:pPr>
        <w:suppressAutoHyphens/>
        <w:spacing w:line="360" w:lineRule="auto"/>
        <w:jc w:val="both"/>
        <w:rPr>
          <w:sz w:val="26"/>
          <w:szCs w:val="26"/>
        </w:rPr>
      </w:pPr>
    </w:p>
    <w:p w:rsidR="00F5093B" w:rsidRPr="00674F88" w:rsidRDefault="00F5093B" w:rsidP="004B500E">
      <w:pPr>
        <w:widowControl/>
        <w:suppressAutoHyphens/>
        <w:spacing w:line="360" w:lineRule="auto"/>
        <w:ind w:firstLine="1440"/>
        <w:rPr>
          <w:sz w:val="26"/>
          <w:szCs w:val="26"/>
        </w:rPr>
      </w:pPr>
      <w:r w:rsidRPr="00674F88">
        <w:rPr>
          <w:sz w:val="26"/>
          <w:szCs w:val="26"/>
        </w:rPr>
        <w:t>Rate cases are expensive to litigate</w:t>
      </w:r>
      <w:r>
        <w:rPr>
          <w:sz w:val="26"/>
          <w:szCs w:val="26"/>
        </w:rPr>
        <w:t>,</w:t>
      </w:r>
      <w:r w:rsidRPr="00674F88">
        <w:rPr>
          <w:sz w:val="26"/>
          <w:szCs w:val="26"/>
        </w:rPr>
        <w:t xml:space="preserve"> and the reasonable cost of such litigation is an operating expense recovered in the rates approved by the Commission.  Partial or full settlements allow the parties to avoid the substantial costs of preparing and serving testimony and the cross-examination of witnesses in lengthy hearings, the preparation and service of briefs, re</w:t>
      </w:r>
      <w:r>
        <w:rPr>
          <w:sz w:val="26"/>
          <w:szCs w:val="26"/>
        </w:rPr>
        <w:t>ply briefs, exceptions and replies</w:t>
      </w:r>
      <w:r w:rsidRPr="00674F88">
        <w:rPr>
          <w:sz w:val="26"/>
          <w:szCs w:val="26"/>
        </w:rPr>
        <w:t xml:space="preserve"> </w:t>
      </w:r>
      <w:r>
        <w:rPr>
          <w:sz w:val="26"/>
          <w:szCs w:val="26"/>
        </w:rPr>
        <w:t xml:space="preserve">to </w:t>
      </w:r>
      <w:r w:rsidRPr="00674F88">
        <w:rPr>
          <w:sz w:val="26"/>
          <w:szCs w:val="26"/>
        </w:rPr>
        <w:t xml:space="preserve">exceptions, together with the briefs and reply briefs necessitated by any appeal of the Commission’s </w:t>
      </w:r>
      <w:r w:rsidRPr="00674F88">
        <w:rPr>
          <w:sz w:val="26"/>
          <w:szCs w:val="26"/>
        </w:rPr>
        <w:lastRenderedPageBreak/>
        <w:t>decision, yielding significant expense savings for the company’s customers.  For this and other sound reasons, settlements are encouraged by long-standing Commission policy.</w:t>
      </w:r>
    </w:p>
    <w:p w:rsidR="00F5093B" w:rsidRPr="00674F88" w:rsidRDefault="00F5093B" w:rsidP="00F5093B">
      <w:pPr>
        <w:suppressAutoHyphens/>
        <w:ind w:firstLine="1440"/>
        <w:rPr>
          <w:sz w:val="26"/>
          <w:szCs w:val="26"/>
        </w:rPr>
      </w:pPr>
    </w:p>
    <w:p w:rsidR="00F5093B" w:rsidRDefault="00F5093B" w:rsidP="004B500E">
      <w:pPr>
        <w:widowControl/>
        <w:spacing w:line="360" w:lineRule="auto"/>
        <w:ind w:firstLine="1440"/>
        <w:rPr>
          <w:sz w:val="26"/>
          <w:szCs w:val="26"/>
        </w:rPr>
      </w:pPr>
      <w:r w:rsidRPr="00674F88">
        <w:rPr>
          <w:sz w:val="26"/>
          <w:szCs w:val="26"/>
        </w:rPr>
        <w:t xml:space="preserve">Despite the policy favoring settlements, the Commission does not simply rubber stamp settlements without further inquiry.  In order to accept a rate case settlement such as that proposed here, the Commission must determine that the proposed terms and conditions are in the public interest.  </w:t>
      </w:r>
      <w:r w:rsidRPr="00674F88">
        <w:rPr>
          <w:i/>
          <w:sz w:val="26"/>
          <w:szCs w:val="26"/>
        </w:rPr>
        <w:t>Pa. PUC v. York Water Co.</w:t>
      </w:r>
      <w:r w:rsidRPr="00674F88">
        <w:rPr>
          <w:sz w:val="26"/>
          <w:szCs w:val="26"/>
        </w:rPr>
        <w:t xml:space="preserve">, Docket No. </w:t>
      </w:r>
      <w:r w:rsidR="004A5A03">
        <w:rPr>
          <w:sz w:val="26"/>
          <w:szCs w:val="26"/>
        </w:rPr>
        <w:br/>
      </w:r>
      <w:proofErr w:type="gramStart"/>
      <w:r w:rsidRPr="00674F88">
        <w:rPr>
          <w:sz w:val="26"/>
          <w:szCs w:val="26"/>
        </w:rPr>
        <w:t xml:space="preserve">R-00049165 (Order entered October 4, 2004); </w:t>
      </w:r>
      <w:r w:rsidRPr="00674F88">
        <w:rPr>
          <w:i/>
          <w:sz w:val="26"/>
          <w:szCs w:val="26"/>
        </w:rPr>
        <w:t>Pa. PUC v. C. S. Water and Sewer Assoc.</w:t>
      </w:r>
      <w:r w:rsidRPr="00674F88">
        <w:rPr>
          <w:sz w:val="26"/>
          <w:szCs w:val="26"/>
        </w:rPr>
        <w:t>, 74 Pa. P</w:t>
      </w:r>
      <w:r>
        <w:rPr>
          <w:sz w:val="26"/>
          <w:szCs w:val="26"/>
        </w:rPr>
        <w:t>.</w:t>
      </w:r>
      <w:r w:rsidRPr="00674F88">
        <w:rPr>
          <w:sz w:val="26"/>
          <w:szCs w:val="26"/>
        </w:rPr>
        <w:t>U</w:t>
      </w:r>
      <w:r>
        <w:rPr>
          <w:sz w:val="26"/>
          <w:szCs w:val="26"/>
        </w:rPr>
        <w:t>.</w:t>
      </w:r>
      <w:r w:rsidRPr="00674F88">
        <w:rPr>
          <w:sz w:val="26"/>
          <w:szCs w:val="26"/>
        </w:rPr>
        <w:t>C</w:t>
      </w:r>
      <w:r>
        <w:rPr>
          <w:sz w:val="26"/>
          <w:szCs w:val="26"/>
        </w:rPr>
        <w:t>.</w:t>
      </w:r>
      <w:r w:rsidRPr="00674F88">
        <w:rPr>
          <w:sz w:val="26"/>
          <w:szCs w:val="26"/>
        </w:rPr>
        <w:t xml:space="preserve"> 767 (1991).</w:t>
      </w:r>
      <w:proofErr w:type="gramEnd"/>
    </w:p>
    <w:p w:rsidR="00F5093B" w:rsidRPr="00674F88" w:rsidRDefault="00F5093B" w:rsidP="004B500E">
      <w:pPr>
        <w:spacing w:line="360" w:lineRule="auto"/>
        <w:rPr>
          <w:sz w:val="26"/>
          <w:szCs w:val="26"/>
        </w:rPr>
      </w:pPr>
    </w:p>
    <w:p w:rsidR="00F5093B" w:rsidRPr="00674F88" w:rsidRDefault="00F5093B" w:rsidP="004B500E">
      <w:pPr>
        <w:spacing w:line="360" w:lineRule="auto"/>
        <w:ind w:firstLine="1440"/>
        <w:rPr>
          <w:sz w:val="26"/>
          <w:szCs w:val="26"/>
        </w:rPr>
      </w:pPr>
      <w:r w:rsidRPr="00674F88">
        <w:rPr>
          <w:sz w:val="26"/>
          <w:szCs w:val="26"/>
        </w:rPr>
        <w:t>With regard to the burden of proof in this matter, Section 315(a) of the Code provides:</w:t>
      </w:r>
    </w:p>
    <w:p w:rsidR="00F5093B" w:rsidRPr="00674F88" w:rsidRDefault="00F5093B" w:rsidP="00F5093B">
      <w:pPr>
        <w:ind w:firstLine="1440"/>
        <w:rPr>
          <w:sz w:val="26"/>
          <w:szCs w:val="26"/>
        </w:rPr>
      </w:pPr>
    </w:p>
    <w:p w:rsidR="00F5093B" w:rsidRDefault="00F5093B" w:rsidP="00F5093B">
      <w:pPr>
        <w:keepNext/>
        <w:ind w:left="1440"/>
        <w:jc w:val="both"/>
        <w:rPr>
          <w:b/>
          <w:sz w:val="26"/>
          <w:szCs w:val="26"/>
        </w:rPr>
      </w:pPr>
      <w:r w:rsidRPr="00674F88">
        <w:rPr>
          <w:b/>
          <w:sz w:val="26"/>
          <w:szCs w:val="26"/>
        </w:rPr>
        <w:t>§ 315.  Burden of proof</w:t>
      </w:r>
    </w:p>
    <w:p w:rsidR="004A5A03" w:rsidRPr="00674F88" w:rsidRDefault="004A5A03" w:rsidP="00F5093B">
      <w:pPr>
        <w:keepNext/>
        <w:ind w:left="1440"/>
        <w:jc w:val="both"/>
        <w:rPr>
          <w:b/>
          <w:sz w:val="26"/>
          <w:szCs w:val="26"/>
        </w:rPr>
      </w:pPr>
    </w:p>
    <w:p w:rsidR="00F5093B" w:rsidRPr="00674F88" w:rsidRDefault="00F5093B" w:rsidP="00F5093B">
      <w:pPr>
        <w:keepNext/>
        <w:widowControl/>
        <w:numPr>
          <w:ilvl w:val="0"/>
          <w:numId w:val="6"/>
        </w:numPr>
        <w:ind w:left="1440" w:right="1440" w:firstLine="360"/>
        <w:rPr>
          <w:sz w:val="26"/>
          <w:szCs w:val="26"/>
        </w:rPr>
      </w:pPr>
      <w:r w:rsidRPr="00674F88">
        <w:rPr>
          <w:b/>
          <w:sz w:val="26"/>
          <w:szCs w:val="26"/>
        </w:rPr>
        <w:t>Reasonableness of rates.—</w:t>
      </w:r>
      <w:r w:rsidRPr="00674F88">
        <w:rPr>
          <w:sz w:val="26"/>
          <w:szCs w:val="26"/>
        </w:rPr>
        <w:t>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  The commission shall give to the hearing and decision of any such proceeding preference over all other proceedings, and decide the same as speedily as possible.</w:t>
      </w:r>
    </w:p>
    <w:p w:rsidR="00F5093B" w:rsidRPr="00674F88" w:rsidRDefault="00F5093B" w:rsidP="00F5093B">
      <w:pPr>
        <w:ind w:right="1440"/>
        <w:rPr>
          <w:sz w:val="26"/>
          <w:szCs w:val="26"/>
        </w:rPr>
      </w:pPr>
    </w:p>
    <w:p w:rsidR="00F5093B" w:rsidRPr="00674F88" w:rsidRDefault="00F5093B" w:rsidP="004B500E">
      <w:pPr>
        <w:widowControl/>
        <w:spacing w:line="360" w:lineRule="auto"/>
        <w:rPr>
          <w:sz w:val="26"/>
          <w:szCs w:val="26"/>
        </w:rPr>
      </w:pPr>
      <w:proofErr w:type="gramStart"/>
      <w:r w:rsidRPr="00674F88">
        <w:rPr>
          <w:sz w:val="26"/>
          <w:szCs w:val="26"/>
        </w:rPr>
        <w:t>66 Pa. C.S. § 315(a).</w:t>
      </w:r>
      <w:proofErr w:type="gramEnd"/>
      <w:r w:rsidRPr="00674F88">
        <w:rPr>
          <w:sz w:val="26"/>
          <w:szCs w:val="26"/>
        </w:rPr>
        <w:t xml:space="preserve">  Consequently</w:t>
      </w:r>
      <w:r>
        <w:rPr>
          <w:sz w:val="26"/>
          <w:szCs w:val="26"/>
        </w:rPr>
        <w:t>,</w:t>
      </w:r>
      <w:r w:rsidRPr="00674F88">
        <w:rPr>
          <w:sz w:val="26"/>
          <w:szCs w:val="26"/>
        </w:rPr>
        <w:t xml:space="preserve"> in this proceeding, </w:t>
      </w:r>
      <w:r w:rsidR="004A5A03">
        <w:rPr>
          <w:sz w:val="26"/>
          <w:szCs w:val="26"/>
        </w:rPr>
        <w:t>Pike County</w:t>
      </w:r>
      <w:r w:rsidRPr="00674F88">
        <w:rPr>
          <w:sz w:val="26"/>
          <w:szCs w:val="26"/>
        </w:rPr>
        <w:t xml:space="preserve"> has the burden to prove that the rate increase proposed by the Settlement is just and reasonable.  The Petitioners have reached an accord on many of the issues and claims that arose in this proceeding and submitted the Settlement.  The Petitioners have the burden to prove that the Settlement is in the public interest. </w:t>
      </w:r>
    </w:p>
    <w:p w:rsidR="00161669" w:rsidRDefault="00F5093B" w:rsidP="004B500E">
      <w:pPr>
        <w:widowControl/>
        <w:spacing w:line="360" w:lineRule="auto"/>
        <w:rPr>
          <w:sz w:val="26"/>
          <w:szCs w:val="26"/>
        </w:rPr>
      </w:pPr>
      <w:r>
        <w:rPr>
          <w:sz w:val="26"/>
          <w:szCs w:val="26"/>
        </w:rPr>
        <w:tab/>
      </w:r>
      <w:r>
        <w:rPr>
          <w:sz w:val="26"/>
          <w:szCs w:val="26"/>
        </w:rPr>
        <w:tab/>
      </w:r>
    </w:p>
    <w:p w:rsidR="00992EB0" w:rsidRDefault="00992EB0">
      <w:pPr>
        <w:widowControl/>
        <w:spacing w:after="200" w:line="276" w:lineRule="auto"/>
        <w:rPr>
          <w:b/>
          <w:sz w:val="26"/>
          <w:szCs w:val="26"/>
        </w:rPr>
      </w:pPr>
      <w:r>
        <w:rPr>
          <w:b/>
          <w:sz w:val="26"/>
          <w:szCs w:val="26"/>
        </w:rPr>
        <w:br w:type="page"/>
      </w:r>
    </w:p>
    <w:p w:rsidR="00CA43A5" w:rsidRPr="00DA1011" w:rsidRDefault="009728FC" w:rsidP="00CA43A5">
      <w:pPr>
        <w:spacing w:line="360" w:lineRule="auto"/>
        <w:rPr>
          <w:b/>
          <w:sz w:val="26"/>
          <w:szCs w:val="26"/>
        </w:rPr>
      </w:pPr>
      <w:r w:rsidRPr="00DA1011">
        <w:rPr>
          <w:b/>
          <w:sz w:val="26"/>
          <w:szCs w:val="26"/>
        </w:rPr>
        <w:lastRenderedPageBreak/>
        <w:t>ALJ’s Recommendation</w:t>
      </w:r>
    </w:p>
    <w:p w:rsidR="00154CB6" w:rsidRPr="00D14784" w:rsidRDefault="00154CB6" w:rsidP="00CA43A5">
      <w:pPr>
        <w:spacing w:line="360" w:lineRule="auto"/>
        <w:rPr>
          <w:sz w:val="26"/>
          <w:szCs w:val="26"/>
        </w:rPr>
      </w:pPr>
    </w:p>
    <w:p w:rsidR="00F573BD" w:rsidRDefault="00F573BD" w:rsidP="00F34B2F">
      <w:pPr>
        <w:spacing w:line="360" w:lineRule="auto"/>
        <w:ind w:firstLine="1440"/>
        <w:rPr>
          <w:sz w:val="26"/>
          <w:szCs w:val="26"/>
        </w:rPr>
      </w:pPr>
      <w:r>
        <w:rPr>
          <w:sz w:val="26"/>
          <w:szCs w:val="26"/>
        </w:rPr>
        <w:t>ALJ Pell concluded that the proposed settlement of this proceeding, em</w:t>
      </w:r>
      <w:r w:rsidRPr="00F573BD">
        <w:rPr>
          <w:sz w:val="26"/>
          <w:szCs w:val="26"/>
        </w:rPr>
        <w:t>bodied in the Petition</w:t>
      </w:r>
      <w:r>
        <w:rPr>
          <w:sz w:val="26"/>
          <w:szCs w:val="26"/>
        </w:rPr>
        <w:t>, was</w:t>
      </w:r>
      <w:r w:rsidRPr="00F573BD">
        <w:rPr>
          <w:sz w:val="26"/>
          <w:szCs w:val="26"/>
        </w:rPr>
        <w:t xml:space="preserve"> just</w:t>
      </w:r>
      <w:r>
        <w:rPr>
          <w:sz w:val="26"/>
          <w:szCs w:val="26"/>
        </w:rPr>
        <w:t>,</w:t>
      </w:r>
      <w:r w:rsidRPr="00F573BD">
        <w:rPr>
          <w:sz w:val="26"/>
          <w:szCs w:val="26"/>
        </w:rPr>
        <w:t xml:space="preserve"> reasonable</w:t>
      </w:r>
      <w:r>
        <w:rPr>
          <w:sz w:val="26"/>
          <w:szCs w:val="26"/>
        </w:rPr>
        <w:t>,</w:t>
      </w:r>
      <w:r w:rsidRPr="00F573BD">
        <w:rPr>
          <w:sz w:val="26"/>
          <w:szCs w:val="26"/>
        </w:rPr>
        <w:t xml:space="preserve"> and in the public interest.</w:t>
      </w:r>
      <w:r>
        <w:rPr>
          <w:sz w:val="26"/>
          <w:szCs w:val="26"/>
        </w:rPr>
        <w:t xml:space="preserve">  </w:t>
      </w:r>
      <w:proofErr w:type="gramStart"/>
      <w:r>
        <w:rPr>
          <w:sz w:val="26"/>
          <w:szCs w:val="26"/>
        </w:rPr>
        <w:t>R.D.</w:t>
      </w:r>
      <w:r w:rsidR="006B3018">
        <w:rPr>
          <w:sz w:val="26"/>
          <w:szCs w:val="26"/>
        </w:rPr>
        <w:t xml:space="preserve"> at</w:t>
      </w:r>
      <w:r>
        <w:rPr>
          <w:sz w:val="26"/>
          <w:szCs w:val="26"/>
        </w:rPr>
        <w:t xml:space="preserve"> 5</w:t>
      </w:r>
      <w:r w:rsidR="006B3018">
        <w:rPr>
          <w:sz w:val="26"/>
          <w:szCs w:val="26"/>
        </w:rPr>
        <w:t xml:space="preserve">, </w:t>
      </w:r>
      <w:r>
        <w:rPr>
          <w:sz w:val="26"/>
          <w:szCs w:val="26"/>
        </w:rPr>
        <w:t>16.</w:t>
      </w:r>
      <w:proofErr w:type="gramEnd"/>
      <w:r>
        <w:rPr>
          <w:sz w:val="26"/>
          <w:szCs w:val="26"/>
        </w:rPr>
        <w:t xml:space="preserve">  He, therefore,</w:t>
      </w:r>
      <w:r w:rsidRPr="00F573BD">
        <w:rPr>
          <w:sz w:val="26"/>
          <w:szCs w:val="26"/>
        </w:rPr>
        <w:t xml:space="preserve"> recommend</w:t>
      </w:r>
      <w:r>
        <w:rPr>
          <w:sz w:val="26"/>
          <w:szCs w:val="26"/>
        </w:rPr>
        <w:t>ed</w:t>
      </w:r>
      <w:r w:rsidRPr="00F573BD">
        <w:rPr>
          <w:sz w:val="26"/>
          <w:szCs w:val="26"/>
        </w:rPr>
        <w:t xml:space="preserve"> that the Commission approve the Petition, as submitted.</w:t>
      </w:r>
    </w:p>
    <w:p w:rsidR="00F573BD" w:rsidRDefault="00F573BD" w:rsidP="00F34B2F">
      <w:pPr>
        <w:spacing w:line="360" w:lineRule="auto"/>
        <w:ind w:firstLine="1440"/>
        <w:rPr>
          <w:sz w:val="26"/>
          <w:szCs w:val="26"/>
        </w:rPr>
      </w:pPr>
    </w:p>
    <w:p w:rsidR="00E42232" w:rsidRPr="00F573BD" w:rsidRDefault="00CA43A5" w:rsidP="00F34B2F">
      <w:pPr>
        <w:spacing w:line="360" w:lineRule="auto"/>
        <w:ind w:firstLine="1440"/>
        <w:rPr>
          <w:sz w:val="26"/>
          <w:szCs w:val="26"/>
        </w:rPr>
      </w:pPr>
      <w:r w:rsidRPr="00F573BD">
        <w:rPr>
          <w:sz w:val="26"/>
          <w:szCs w:val="26"/>
        </w:rPr>
        <w:t xml:space="preserve">ALJ </w:t>
      </w:r>
      <w:r w:rsidR="00E42232" w:rsidRPr="00F573BD">
        <w:rPr>
          <w:sz w:val="26"/>
          <w:szCs w:val="26"/>
        </w:rPr>
        <w:t xml:space="preserve">Pell summarized the essential components of the Settlement at pages </w:t>
      </w:r>
      <w:r w:rsidR="009728FC" w:rsidRPr="00F573BD">
        <w:rPr>
          <w:sz w:val="26"/>
          <w:szCs w:val="26"/>
        </w:rPr>
        <w:t xml:space="preserve">5-8 </w:t>
      </w:r>
      <w:r w:rsidR="00E42232" w:rsidRPr="00F573BD">
        <w:rPr>
          <w:sz w:val="26"/>
          <w:szCs w:val="26"/>
        </w:rPr>
        <w:t>of the R</w:t>
      </w:r>
      <w:r w:rsidR="006B3018">
        <w:rPr>
          <w:sz w:val="26"/>
          <w:szCs w:val="26"/>
        </w:rPr>
        <w:t xml:space="preserve">ecommended </w:t>
      </w:r>
      <w:r w:rsidR="00E42232" w:rsidRPr="00F573BD">
        <w:rPr>
          <w:sz w:val="26"/>
          <w:szCs w:val="26"/>
        </w:rPr>
        <w:t>D</w:t>
      </w:r>
      <w:r w:rsidR="006B3018">
        <w:rPr>
          <w:sz w:val="26"/>
          <w:szCs w:val="26"/>
        </w:rPr>
        <w:t>ecision</w:t>
      </w:r>
      <w:r w:rsidR="00E42232" w:rsidRPr="00F573BD">
        <w:rPr>
          <w:sz w:val="26"/>
          <w:szCs w:val="26"/>
        </w:rPr>
        <w:t>.  We rep</w:t>
      </w:r>
      <w:r w:rsidR="00832A4C">
        <w:rPr>
          <w:sz w:val="26"/>
          <w:szCs w:val="26"/>
        </w:rPr>
        <w:t>rint</w:t>
      </w:r>
      <w:r w:rsidR="00E42232" w:rsidRPr="00F573BD">
        <w:rPr>
          <w:sz w:val="26"/>
          <w:szCs w:val="26"/>
        </w:rPr>
        <w:t xml:space="preserve"> this summary below:</w:t>
      </w:r>
    </w:p>
    <w:p w:rsidR="009728FC" w:rsidRPr="00D10619" w:rsidRDefault="009728FC" w:rsidP="009728FC">
      <w:pPr>
        <w:ind w:left="720" w:right="720"/>
        <w:rPr>
          <w:sz w:val="26"/>
          <w:szCs w:val="26"/>
          <w:u w:val="single"/>
        </w:rPr>
      </w:pPr>
      <w:r w:rsidRPr="00D10619">
        <w:rPr>
          <w:sz w:val="26"/>
          <w:szCs w:val="26"/>
        </w:rPr>
        <w:t>The principle terms and conditions of the proposed Settlement, contained in Paragraphs 14 through 18 (the original numbering is maintained here for ease of reference) provide that:</w:t>
      </w:r>
    </w:p>
    <w:p w:rsidR="009728FC" w:rsidRPr="00D10619" w:rsidRDefault="009728FC" w:rsidP="009728FC">
      <w:pPr>
        <w:rPr>
          <w:sz w:val="26"/>
          <w:szCs w:val="26"/>
        </w:rPr>
      </w:pPr>
    </w:p>
    <w:p w:rsidR="009728FC" w:rsidRPr="00D10619" w:rsidRDefault="009728FC" w:rsidP="009728FC">
      <w:pPr>
        <w:pStyle w:val="BodyText3"/>
        <w:widowControl/>
        <w:numPr>
          <w:ilvl w:val="0"/>
          <w:numId w:val="3"/>
        </w:numPr>
        <w:shd w:val="clear" w:color="auto" w:fill="auto"/>
        <w:tabs>
          <w:tab w:val="left" w:pos="1359"/>
        </w:tabs>
        <w:spacing w:line="240" w:lineRule="auto"/>
        <w:ind w:left="1440" w:right="1440" w:firstLine="0"/>
        <w:rPr>
          <w:sz w:val="26"/>
          <w:szCs w:val="26"/>
        </w:rPr>
      </w:pPr>
      <w:r w:rsidRPr="00D10619">
        <w:rPr>
          <w:sz w:val="26"/>
          <w:szCs w:val="26"/>
        </w:rPr>
        <w:t xml:space="preserve">Under the terms of the settlement, Pike (Electric) will be permitted to establish rates which will produce an overall increase in annual electric distribution operating revenues of approximately $1,250,000, an increase of 31.1% over current electric distribution revenues.  </w:t>
      </w:r>
    </w:p>
    <w:p w:rsidR="009728FC" w:rsidRPr="00D10619" w:rsidRDefault="009728FC" w:rsidP="009728FC">
      <w:pPr>
        <w:pStyle w:val="BodyText3"/>
        <w:widowControl/>
        <w:shd w:val="clear" w:color="auto" w:fill="auto"/>
        <w:tabs>
          <w:tab w:val="left" w:pos="1359"/>
        </w:tabs>
        <w:spacing w:line="240" w:lineRule="auto"/>
        <w:ind w:left="1440" w:right="1440" w:firstLine="0"/>
        <w:rPr>
          <w:sz w:val="26"/>
          <w:szCs w:val="26"/>
        </w:rPr>
      </w:pPr>
    </w:p>
    <w:p w:rsidR="009728FC" w:rsidRPr="00D10619" w:rsidRDefault="009728FC" w:rsidP="009728FC">
      <w:pPr>
        <w:pStyle w:val="BodyText3"/>
        <w:widowControl/>
        <w:numPr>
          <w:ilvl w:val="0"/>
          <w:numId w:val="3"/>
        </w:numPr>
        <w:shd w:val="clear" w:color="auto" w:fill="auto"/>
        <w:tabs>
          <w:tab w:val="left" w:pos="1359"/>
        </w:tabs>
        <w:spacing w:line="240" w:lineRule="auto"/>
        <w:ind w:left="1440" w:right="1440" w:firstLine="0"/>
        <w:rPr>
          <w:sz w:val="26"/>
          <w:szCs w:val="26"/>
        </w:rPr>
      </w:pPr>
      <w:r w:rsidRPr="00D10619">
        <w:rPr>
          <w:sz w:val="26"/>
          <w:szCs w:val="26"/>
        </w:rPr>
        <w:t xml:space="preserve">These rates, as determined in accordance with the attached proof of revenues </w:t>
      </w:r>
      <w:r w:rsidRPr="00D10619">
        <w:rPr>
          <w:rStyle w:val="BodytextBold"/>
          <w:sz w:val="26"/>
          <w:szCs w:val="26"/>
        </w:rPr>
        <w:t xml:space="preserve">(Appendix B) </w:t>
      </w:r>
      <w:r w:rsidRPr="00D10619">
        <w:rPr>
          <w:sz w:val="26"/>
          <w:szCs w:val="26"/>
        </w:rPr>
        <w:t>and tariff supplement, will be effective on one day’s notice for service rendered no sooner than September 1, 2014.</w:t>
      </w:r>
      <w:r w:rsidR="00F865A9">
        <w:rPr>
          <w:rStyle w:val="FootnoteReference"/>
          <w:sz w:val="26"/>
          <w:szCs w:val="26"/>
        </w:rPr>
        <w:footnoteReference w:id="2"/>
      </w:r>
    </w:p>
    <w:p w:rsidR="009728FC" w:rsidRPr="00D10619" w:rsidRDefault="009728FC" w:rsidP="009728FC">
      <w:pPr>
        <w:pStyle w:val="BodyText3"/>
        <w:widowControl/>
        <w:shd w:val="clear" w:color="auto" w:fill="auto"/>
        <w:tabs>
          <w:tab w:val="left" w:pos="1359"/>
        </w:tabs>
        <w:spacing w:line="240" w:lineRule="auto"/>
        <w:ind w:right="1440" w:firstLine="0"/>
        <w:rPr>
          <w:sz w:val="26"/>
          <w:szCs w:val="26"/>
        </w:rPr>
      </w:pPr>
    </w:p>
    <w:p w:rsidR="009728FC" w:rsidRPr="00D10619" w:rsidRDefault="009728FC" w:rsidP="009728FC">
      <w:pPr>
        <w:pStyle w:val="BodyText3"/>
        <w:widowControl/>
        <w:numPr>
          <w:ilvl w:val="0"/>
          <w:numId w:val="3"/>
        </w:numPr>
        <w:shd w:val="clear" w:color="auto" w:fill="auto"/>
        <w:spacing w:line="240" w:lineRule="auto"/>
        <w:ind w:left="1440" w:right="1440" w:firstLine="0"/>
        <w:jc w:val="both"/>
        <w:rPr>
          <w:sz w:val="26"/>
          <w:szCs w:val="26"/>
        </w:rPr>
      </w:pPr>
      <w:r w:rsidRPr="00D10619">
        <w:rPr>
          <w:sz w:val="26"/>
          <w:szCs w:val="26"/>
        </w:rPr>
        <w:t xml:space="preserve">The increase in overall revenues (including an estimate of electric supply costs for full service and retail access customers) by class from present rates as proposed in this Settlement is as follows: </w:t>
      </w:r>
    </w:p>
    <w:p w:rsidR="009728FC" w:rsidRDefault="009728FC" w:rsidP="009728FC">
      <w:pPr>
        <w:pStyle w:val="BodyText3"/>
        <w:widowControl/>
        <w:shd w:val="clear" w:color="auto" w:fill="auto"/>
        <w:spacing w:line="360" w:lineRule="auto"/>
        <w:ind w:left="1440" w:right="1440" w:firstLine="0"/>
        <w:jc w:val="both"/>
        <w:rPr>
          <w:sz w:val="26"/>
          <w:szCs w:val="26"/>
        </w:rPr>
      </w:pPr>
    </w:p>
    <w:p w:rsidR="0057627B" w:rsidRDefault="0057627B">
      <w:pPr>
        <w:widowControl/>
        <w:spacing w:after="200" w:line="276" w:lineRule="auto"/>
        <w:rPr>
          <w:sz w:val="26"/>
          <w:szCs w:val="26"/>
        </w:rPr>
      </w:pPr>
      <w:r>
        <w:rPr>
          <w:sz w:val="26"/>
          <w:szCs w:val="26"/>
        </w:rPr>
        <w:br w:type="page"/>
      </w:r>
    </w:p>
    <w:p w:rsidR="00773A99" w:rsidRDefault="00773A99" w:rsidP="009728FC">
      <w:pPr>
        <w:pStyle w:val="BodyText3"/>
        <w:widowControl/>
        <w:shd w:val="clear" w:color="auto" w:fill="auto"/>
        <w:spacing w:line="360" w:lineRule="auto"/>
        <w:ind w:left="1440" w:right="1440" w:firstLine="0"/>
        <w:jc w:val="both"/>
        <w:rPr>
          <w:sz w:val="26"/>
          <w:szCs w:val="26"/>
        </w:rPr>
      </w:pPr>
    </w:p>
    <w:tbl>
      <w:tblPr>
        <w:tblW w:w="8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979"/>
        <w:gridCol w:w="1251"/>
        <w:gridCol w:w="1620"/>
        <w:gridCol w:w="1236"/>
        <w:gridCol w:w="1098"/>
      </w:tblGrid>
      <w:tr w:rsidR="00773A99" w:rsidRPr="00C12F27" w:rsidTr="00773A99">
        <w:trPr>
          <w:trHeight w:hRule="exact" w:val="837"/>
        </w:trPr>
        <w:tc>
          <w:tcPr>
            <w:tcW w:w="2979" w:type="dxa"/>
            <w:shd w:val="clear" w:color="auto" w:fill="FFFFFF"/>
          </w:tcPr>
          <w:p w:rsidR="00773A99" w:rsidRPr="00E6204F" w:rsidRDefault="00773A99" w:rsidP="00773A99">
            <w:pPr>
              <w:pStyle w:val="BodyText3"/>
              <w:widowControl/>
              <w:shd w:val="clear" w:color="auto" w:fill="auto"/>
              <w:spacing w:after="60" w:line="220" w:lineRule="exact"/>
              <w:ind w:left="80" w:firstLine="0"/>
              <w:rPr>
                <w:sz w:val="24"/>
                <w:szCs w:val="24"/>
              </w:rPr>
            </w:pPr>
            <w:r w:rsidRPr="00E6204F">
              <w:rPr>
                <w:rStyle w:val="BodytextBold"/>
                <w:sz w:val="24"/>
                <w:szCs w:val="24"/>
              </w:rPr>
              <w:t>Customer</w:t>
            </w:r>
          </w:p>
          <w:p w:rsidR="00773A99" w:rsidRPr="00E6204F" w:rsidRDefault="00773A99" w:rsidP="00773A99">
            <w:pPr>
              <w:pStyle w:val="BodyText3"/>
              <w:widowControl/>
              <w:shd w:val="clear" w:color="auto" w:fill="auto"/>
              <w:spacing w:before="60" w:line="220" w:lineRule="exact"/>
              <w:ind w:left="80" w:firstLine="0"/>
              <w:rPr>
                <w:sz w:val="24"/>
                <w:szCs w:val="24"/>
              </w:rPr>
            </w:pPr>
            <w:r w:rsidRPr="00E6204F">
              <w:rPr>
                <w:rStyle w:val="BodytextBold"/>
                <w:sz w:val="24"/>
                <w:szCs w:val="24"/>
              </w:rPr>
              <w:t>Class</w:t>
            </w:r>
          </w:p>
        </w:tc>
        <w:tc>
          <w:tcPr>
            <w:tcW w:w="1251" w:type="dxa"/>
            <w:shd w:val="clear" w:color="auto" w:fill="FFFFFF"/>
          </w:tcPr>
          <w:p w:rsidR="00773A99" w:rsidRPr="00E6204F" w:rsidRDefault="00773A99" w:rsidP="00773A99">
            <w:pPr>
              <w:pStyle w:val="BodyText3"/>
              <w:widowControl/>
              <w:shd w:val="clear" w:color="auto" w:fill="auto"/>
              <w:spacing w:after="60" w:line="220" w:lineRule="exact"/>
              <w:ind w:left="240" w:firstLine="0"/>
              <w:rPr>
                <w:sz w:val="24"/>
                <w:szCs w:val="24"/>
              </w:rPr>
            </w:pPr>
            <w:r w:rsidRPr="00E6204F">
              <w:rPr>
                <w:rStyle w:val="BodytextBold"/>
                <w:sz w:val="24"/>
                <w:szCs w:val="24"/>
              </w:rPr>
              <w:t>Present</w:t>
            </w:r>
          </w:p>
          <w:p w:rsidR="00773A99" w:rsidRPr="00E6204F" w:rsidRDefault="00773A99" w:rsidP="00773A99">
            <w:pPr>
              <w:pStyle w:val="BodyText3"/>
              <w:widowControl/>
              <w:shd w:val="clear" w:color="auto" w:fill="auto"/>
              <w:spacing w:before="60" w:line="220" w:lineRule="exact"/>
              <w:ind w:left="240" w:firstLine="0"/>
              <w:rPr>
                <w:rStyle w:val="BodytextBold"/>
                <w:sz w:val="24"/>
                <w:szCs w:val="24"/>
              </w:rPr>
            </w:pPr>
            <w:r w:rsidRPr="00E6204F">
              <w:rPr>
                <w:rStyle w:val="BodytextBold"/>
                <w:sz w:val="24"/>
                <w:szCs w:val="24"/>
              </w:rPr>
              <w:t>Revenues</w:t>
            </w:r>
          </w:p>
          <w:p w:rsidR="00773A99" w:rsidRPr="00E6204F" w:rsidRDefault="00773A99" w:rsidP="00773A99">
            <w:pPr>
              <w:pStyle w:val="BodyText3"/>
              <w:widowControl/>
              <w:shd w:val="clear" w:color="auto" w:fill="auto"/>
              <w:spacing w:before="60" w:line="220" w:lineRule="exact"/>
              <w:ind w:left="240" w:firstLine="0"/>
              <w:rPr>
                <w:sz w:val="24"/>
                <w:szCs w:val="24"/>
              </w:rPr>
            </w:pPr>
            <w:r w:rsidRPr="00E6204F">
              <w:rPr>
                <w:rStyle w:val="BodytextBold"/>
                <w:sz w:val="24"/>
                <w:szCs w:val="24"/>
              </w:rPr>
              <w:t>($000)</w:t>
            </w:r>
          </w:p>
        </w:tc>
        <w:tc>
          <w:tcPr>
            <w:tcW w:w="1620" w:type="dxa"/>
            <w:shd w:val="clear" w:color="auto" w:fill="FFFFFF"/>
          </w:tcPr>
          <w:p w:rsidR="00773A99" w:rsidRPr="00E6204F" w:rsidRDefault="00773A99" w:rsidP="00773A99">
            <w:pPr>
              <w:pStyle w:val="BodyText3"/>
              <w:widowControl/>
              <w:shd w:val="clear" w:color="auto" w:fill="auto"/>
              <w:spacing w:line="259" w:lineRule="exact"/>
              <w:ind w:left="192" w:firstLine="0"/>
              <w:rPr>
                <w:rStyle w:val="BodytextBold"/>
                <w:sz w:val="24"/>
                <w:szCs w:val="24"/>
              </w:rPr>
            </w:pPr>
            <w:r w:rsidRPr="00E6204F">
              <w:rPr>
                <w:rStyle w:val="BodytextBold"/>
                <w:sz w:val="24"/>
                <w:szCs w:val="24"/>
              </w:rPr>
              <w:t>Revenues per Settlement</w:t>
            </w:r>
          </w:p>
          <w:p w:rsidR="00773A99" w:rsidRPr="00E6204F" w:rsidRDefault="00773A99" w:rsidP="00773A99">
            <w:pPr>
              <w:pStyle w:val="BodyText3"/>
              <w:widowControl/>
              <w:shd w:val="clear" w:color="auto" w:fill="auto"/>
              <w:spacing w:line="259" w:lineRule="exact"/>
              <w:ind w:left="192" w:firstLine="0"/>
              <w:rPr>
                <w:sz w:val="24"/>
                <w:szCs w:val="24"/>
              </w:rPr>
            </w:pPr>
            <w:r w:rsidRPr="00E6204F">
              <w:rPr>
                <w:rStyle w:val="BodytextBold"/>
                <w:sz w:val="24"/>
                <w:szCs w:val="24"/>
              </w:rPr>
              <w:t>($000)</w:t>
            </w:r>
          </w:p>
        </w:tc>
        <w:tc>
          <w:tcPr>
            <w:tcW w:w="1236" w:type="dxa"/>
            <w:shd w:val="clear" w:color="auto" w:fill="FFFFFF"/>
          </w:tcPr>
          <w:p w:rsidR="00773A99" w:rsidRPr="00E6204F" w:rsidRDefault="00773A99" w:rsidP="00773A99">
            <w:pPr>
              <w:pStyle w:val="BodyText3"/>
              <w:widowControl/>
              <w:shd w:val="clear" w:color="auto" w:fill="auto"/>
              <w:spacing w:after="60" w:line="220" w:lineRule="exact"/>
              <w:ind w:left="180" w:firstLine="0"/>
              <w:rPr>
                <w:sz w:val="24"/>
                <w:szCs w:val="24"/>
              </w:rPr>
            </w:pPr>
            <w:r w:rsidRPr="00E6204F">
              <w:rPr>
                <w:rStyle w:val="BodytextBold"/>
                <w:sz w:val="24"/>
                <w:szCs w:val="24"/>
              </w:rPr>
              <w:t>Revenue</w:t>
            </w:r>
          </w:p>
          <w:p w:rsidR="00773A99" w:rsidRPr="00E6204F" w:rsidRDefault="00773A99" w:rsidP="00773A99">
            <w:pPr>
              <w:pStyle w:val="BodyText3"/>
              <w:widowControl/>
              <w:shd w:val="clear" w:color="auto" w:fill="auto"/>
              <w:spacing w:before="60" w:line="220" w:lineRule="exact"/>
              <w:ind w:left="180" w:firstLine="0"/>
              <w:rPr>
                <w:rStyle w:val="BodytextBold"/>
                <w:sz w:val="24"/>
                <w:szCs w:val="24"/>
              </w:rPr>
            </w:pPr>
            <w:r w:rsidRPr="00E6204F">
              <w:rPr>
                <w:rStyle w:val="BodytextBold"/>
                <w:sz w:val="24"/>
                <w:szCs w:val="24"/>
              </w:rPr>
              <w:t>Increase</w:t>
            </w:r>
          </w:p>
          <w:p w:rsidR="00773A99" w:rsidRPr="00E6204F" w:rsidRDefault="00773A99" w:rsidP="00773A99">
            <w:pPr>
              <w:pStyle w:val="BodyText3"/>
              <w:widowControl/>
              <w:shd w:val="clear" w:color="auto" w:fill="auto"/>
              <w:spacing w:before="60" w:line="220" w:lineRule="exact"/>
              <w:ind w:left="180" w:firstLine="0"/>
              <w:rPr>
                <w:sz w:val="24"/>
                <w:szCs w:val="24"/>
              </w:rPr>
            </w:pPr>
            <w:r w:rsidRPr="00E6204F">
              <w:rPr>
                <w:rStyle w:val="BodytextBold"/>
                <w:sz w:val="24"/>
                <w:szCs w:val="24"/>
              </w:rPr>
              <w:t>($000)</w:t>
            </w:r>
          </w:p>
        </w:tc>
        <w:tc>
          <w:tcPr>
            <w:tcW w:w="1098" w:type="dxa"/>
            <w:shd w:val="clear" w:color="auto" w:fill="FFFFFF"/>
          </w:tcPr>
          <w:p w:rsidR="00773A99" w:rsidRPr="00E6204F" w:rsidRDefault="00773A99" w:rsidP="00773A99">
            <w:pPr>
              <w:pStyle w:val="BodyText3"/>
              <w:widowControl/>
              <w:shd w:val="clear" w:color="auto" w:fill="auto"/>
              <w:spacing w:after="60" w:line="220" w:lineRule="exact"/>
              <w:ind w:left="140" w:firstLine="0"/>
              <w:rPr>
                <w:rStyle w:val="BodytextBold"/>
                <w:sz w:val="24"/>
                <w:szCs w:val="24"/>
              </w:rPr>
            </w:pPr>
          </w:p>
          <w:p w:rsidR="00773A99" w:rsidRPr="00E6204F" w:rsidRDefault="00773A99" w:rsidP="00773A99">
            <w:pPr>
              <w:pStyle w:val="BodyText3"/>
              <w:widowControl/>
              <w:shd w:val="clear" w:color="auto" w:fill="auto"/>
              <w:spacing w:after="60" w:line="220" w:lineRule="exact"/>
              <w:ind w:left="140" w:firstLine="0"/>
              <w:rPr>
                <w:sz w:val="24"/>
                <w:szCs w:val="24"/>
              </w:rPr>
            </w:pPr>
            <w:r w:rsidRPr="00E6204F">
              <w:rPr>
                <w:rStyle w:val="BodytextBold"/>
                <w:sz w:val="24"/>
                <w:szCs w:val="24"/>
              </w:rPr>
              <w:t>Percent</w:t>
            </w:r>
          </w:p>
          <w:p w:rsidR="00773A99" w:rsidRPr="00E6204F" w:rsidRDefault="00773A99" w:rsidP="00773A99">
            <w:pPr>
              <w:pStyle w:val="BodyText3"/>
              <w:widowControl/>
              <w:shd w:val="clear" w:color="auto" w:fill="auto"/>
              <w:spacing w:before="60" w:line="220" w:lineRule="exact"/>
              <w:ind w:left="140" w:firstLine="0"/>
              <w:rPr>
                <w:sz w:val="24"/>
                <w:szCs w:val="24"/>
              </w:rPr>
            </w:pPr>
            <w:r w:rsidRPr="00E6204F">
              <w:rPr>
                <w:rStyle w:val="BodytextBold"/>
                <w:sz w:val="24"/>
                <w:szCs w:val="24"/>
              </w:rPr>
              <w:t>Increase</w:t>
            </w:r>
          </w:p>
        </w:tc>
      </w:tr>
      <w:tr w:rsidR="00773A99" w:rsidRPr="00C12F27" w:rsidTr="00773A99">
        <w:trPr>
          <w:trHeight w:hRule="exact" w:val="408"/>
        </w:trPr>
        <w:tc>
          <w:tcPr>
            <w:tcW w:w="2979" w:type="dxa"/>
            <w:shd w:val="clear" w:color="auto" w:fill="FFFFFF"/>
            <w:vAlign w:val="center"/>
          </w:tcPr>
          <w:p w:rsidR="00773A99" w:rsidRPr="00E6204F" w:rsidRDefault="00773A99" w:rsidP="00773A99">
            <w:pPr>
              <w:pStyle w:val="BodyText3"/>
              <w:widowControl/>
              <w:shd w:val="clear" w:color="auto" w:fill="auto"/>
              <w:spacing w:line="220" w:lineRule="exact"/>
              <w:ind w:left="80" w:firstLine="0"/>
              <w:rPr>
                <w:sz w:val="24"/>
                <w:szCs w:val="24"/>
              </w:rPr>
            </w:pPr>
            <w:r w:rsidRPr="00E6204F">
              <w:rPr>
                <w:rStyle w:val="BodyText1"/>
                <w:sz w:val="24"/>
                <w:szCs w:val="24"/>
              </w:rPr>
              <w:t>SC-1 (Residential)</w:t>
            </w:r>
          </w:p>
        </w:tc>
        <w:tc>
          <w:tcPr>
            <w:tcW w:w="1251" w:type="dxa"/>
            <w:shd w:val="clear" w:color="auto" w:fill="FFFFFF"/>
            <w:vAlign w:val="center"/>
          </w:tcPr>
          <w:p w:rsidR="00773A99" w:rsidRPr="00E6204F" w:rsidRDefault="00773A99" w:rsidP="00773A99">
            <w:pPr>
              <w:pStyle w:val="BodyText3"/>
              <w:widowControl/>
              <w:shd w:val="clear" w:color="auto" w:fill="auto"/>
              <w:spacing w:line="220" w:lineRule="exact"/>
              <w:ind w:right="180" w:firstLine="0"/>
              <w:jc w:val="right"/>
              <w:rPr>
                <w:sz w:val="24"/>
                <w:szCs w:val="24"/>
              </w:rPr>
            </w:pPr>
            <w:r w:rsidRPr="00E6204F">
              <w:rPr>
                <w:rStyle w:val="BodyText1"/>
                <w:sz w:val="24"/>
                <w:szCs w:val="24"/>
              </w:rPr>
              <w:t>$4,276.4</w:t>
            </w:r>
          </w:p>
        </w:tc>
        <w:tc>
          <w:tcPr>
            <w:tcW w:w="1620" w:type="dxa"/>
            <w:shd w:val="clear" w:color="auto" w:fill="FFFFFF"/>
            <w:vAlign w:val="center"/>
          </w:tcPr>
          <w:p w:rsidR="00773A99" w:rsidRPr="00E6204F" w:rsidRDefault="00773A99" w:rsidP="00773A99">
            <w:pPr>
              <w:pStyle w:val="BodyText3"/>
              <w:widowControl/>
              <w:shd w:val="clear" w:color="auto" w:fill="auto"/>
              <w:spacing w:line="220" w:lineRule="exact"/>
              <w:ind w:right="160" w:firstLine="0"/>
              <w:jc w:val="right"/>
              <w:rPr>
                <w:sz w:val="24"/>
                <w:szCs w:val="24"/>
              </w:rPr>
            </w:pPr>
            <w:r w:rsidRPr="00E6204F">
              <w:rPr>
                <w:rStyle w:val="BodyText1"/>
                <w:sz w:val="24"/>
                <w:szCs w:val="24"/>
              </w:rPr>
              <w:t xml:space="preserve">$5,021.8 </w:t>
            </w:r>
          </w:p>
        </w:tc>
        <w:tc>
          <w:tcPr>
            <w:tcW w:w="1236" w:type="dxa"/>
            <w:shd w:val="clear" w:color="auto" w:fill="FFFFFF"/>
            <w:vAlign w:val="center"/>
          </w:tcPr>
          <w:p w:rsidR="00773A99" w:rsidRPr="00E6204F" w:rsidRDefault="00773A99" w:rsidP="00773A99">
            <w:pPr>
              <w:pStyle w:val="BodyText3"/>
              <w:widowControl/>
              <w:shd w:val="clear" w:color="auto" w:fill="auto"/>
              <w:spacing w:line="220" w:lineRule="exact"/>
              <w:ind w:right="140" w:firstLine="0"/>
              <w:jc w:val="right"/>
              <w:rPr>
                <w:sz w:val="24"/>
                <w:szCs w:val="24"/>
              </w:rPr>
            </w:pPr>
            <w:r w:rsidRPr="00E6204F">
              <w:rPr>
                <w:rStyle w:val="BodyText1"/>
                <w:sz w:val="24"/>
                <w:szCs w:val="24"/>
              </w:rPr>
              <w:t>$ 745.4</w:t>
            </w:r>
          </w:p>
        </w:tc>
        <w:tc>
          <w:tcPr>
            <w:tcW w:w="1098" w:type="dxa"/>
            <w:shd w:val="clear" w:color="auto" w:fill="FFFFFF"/>
            <w:vAlign w:val="center"/>
          </w:tcPr>
          <w:p w:rsidR="00773A99" w:rsidRPr="00E6204F" w:rsidRDefault="00773A99" w:rsidP="00773A99">
            <w:pPr>
              <w:pStyle w:val="BodyText3"/>
              <w:widowControl/>
              <w:shd w:val="clear" w:color="auto" w:fill="auto"/>
              <w:spacing w:line="230" w:lineRule="exact"/>
              <w:ind w:right="60" w:firstLine="0"/>
              <w:jc w:val="right"/>
              <w:rPr>
                <w:sz w:val="24"/>
                <w:szCs w:val="24"/>
              </w:rPr>
            </w:pPr>
            <w:r w:rsidRPr="00E6204F">
              <w:rPr>
                <w:rStyle w:val="BodytextFranklinGothicMedium"/>
                <w:sz w:val="24"/>
                <w:szCs w:val="24"/>
              </w:rPr>
              <w:t>17.4%</w:t>
            </w:r>
          </w:p>
        </w:tc>
      </w:tr>
      <w:tr w:rsidR="00773A99" w:rsidRPr="00C12F27" w:rsidTr="00773A99">
        <w:trPr>
          <w:trHeight w:hRule="exact" w:val="519"/>
        </w:trPr>
        <w:tc>
          <w:tcPr>
            <w:tcW w:w="2979" w:type="dxa"/>
            <w:shd w:val="clear" w:color="auto" w:fill="FFFFFF"/>
            <w:vAlign w:val="center"/>
          </w:tcPr>
          <w:p w:rsidR="00773A99" w:rsidRPr="00E6204F" w:rsidRDefault="00773A99" w:rsidP="00773A99">
            <w:pPr>
              <w:pStyle w:val="BodyText3"/>
              <w:widowControl/>
              <w:shd w:val="clear" w:color="auto" w:fill="auto"/>
              <w:spacing w:line="220" w:lineRule="exact"/>
              <w:ind w:left="80" w:firstLine="0"/>
              <w:rPr>
                <w:sz w:val="24"/>
                <w:szCs w:val="24"/>
              </w:rPr>
            </w:pPr>
            <w:r w:rsidRPr="00E6204F">
              <w:rPr>
                <w:rStyle w:val="BodyText1"/>
                <w:sz w:val="24"/>
                <w:szCs w:val="24"/>
              </w:rPr>
              <w:t>SC-2 Secondary Demand Billed (Commercial)</w:t>
            </w:r>
          </w:p>
        </w:tc>
        <w:tc>
          <w:tcPr>
            <w:tcW w:w="1251" w:type="dxa"/>
            <w:shd w:val="clear" w:color="auto" w:fill="FFFFFF"/>
            <w:vAlign w:val="center"/>
          </w:tcPr>
          <w:p w:rsidR="00773A99" w:rsidRPr="00E6204F" w:rsidRDefault="00773A99" w:rsidP="00773A99">
            <w:pPr>
              <w:pStyle w:val="BodyText3"/>
              <w:widowControl/>
              <w:shd w:val="clear" w:color="auto" w:fill="auto"/>
              <w:spacing w:line="220" w:lineRule="exact"/>
              <w:ind w:right="180" w:firstLine="0"/>
              <w:jc w:val="right"/>
              <w:rPr>
                <w:sz w:val="24"/>
                <w:szCs w:val="24"/>
              </w:rPr>
            </w:pPr>
            <w:r w:rsidRPr="00E6204F">
              <w:rPr>
                <w:sz w:val="24"/>
                <w:szCs w:val="24"/>
              </w:rPr>
              <w:t>3,755.9</w:t>
            </w:r>
          </w:p>
        </w:tc>
        <w:tc>
          <w:tcPr>
            <w:tcW w:w="1620" w:type="dxa"/>
            <w:shd w:val="clear" w:color="auto" w:fill="FFFFFF"/>
            <w:vAlign w:val="center"/>
          </w:tcPr>
          <w:p w:rsidR="00773A99" w:rsidRPr="00E6204F" w:rsidRDefault="00773A99" w:rsidP="00773A99">
            <w:pPr>
              <w:pStyle w:val="BodyText3"/>
              <w:widowControl/>
              <w:shd w:val="clear" w:color="auto" w:fill="auto"/>
              <w:spacing w:line="220" w:lineRule="exact"/>
              <w:ind w:right="160" w:firstLine="0"/>
              <w:jc w:val="right"/>
              <w:rPr>
                <w:sz w:val="24"/>
                <w:szCs w:val="24"/>
              </w:rPr>
            </w:pPr>
            <w:r w:rsidRPr="00E6204F">
              <w:rPr>
                <w:sz w:val="24"/>
                <w:szCs w:val="24"/>
              </w:rPr>
              <w:t>4,184.8</w:t>
            </w:r>
          </w:p>
        </w:tc>
        <w:tc>
          <w:tcPr>
            <w:tcW w:w="1236" w:type="dxa"/>
            <w:shd w:val="clear" w:color="auto" w:fill="FFFFFF"/>
            <w:vAlign w:val="center"/>
          </w:tcPr>
          <w:p w:rsidR="00773A99" w:rsidRPr="00E6204F" w:rsidRDefault="00773A99" w:rsidP="00773A99">
            <w:pPr>
              <w:pStyle w:val="BodyText3"/>
              <w:widowControl/>
              <w:shd w:val="clear" w:color="auto" w:fill="auto"/>
              <w:spacing w:line="220" w:lineRule="exact"/>
              <w:ind w:right="140" w:firstLine="0"/>
              <w:jc w:val="right"/>
              <w:rPr>
                <w:sz w:val="24"/>
                <w:szCs w:val="24"/>
              </w:rPr>
            </w:pPr>
            <w:r w:rsidRPr="00E6204F">
              <w:rPr>
                <w:sz w:val="24"/>
                <w:szCs w:val="24"/>
              </w:rPr>
              <w:t>428.9</w:t>
            </w:r>
          </w:p>
        </w:tc>
        <w:tc>
          <w:tcPr>
            <w:tcW w:w="1098" w:type="dxa"/>
            <w:shd w:val="clear" w:color="auto" w:fill="FFFFFF"/>
            <w:vAlign w:val="center"/>
          </w:tcPr>
          <w:p w:rsidR="00773A99" w:rsidRPr="00E6204F" w:rsidRDefault="00773A99" w:rsidP="00773A99">
            <w:pPr>
              <w:pStyle w:val="BodyText3"/>
              <w:widowControl/>
              <w:shd w:val="clear" w:color="auto" w:fill="auto"/>
              <w:spacing w:line="220" w:lineRule="exact"/>
              <w:ind w:right="60" w:firstLine="0"/>
              <w:jc w:val="right"/>
              <w:rPr>
                <w:sz w:val="24"/>
                <w:szCs w:val="24"/>
              </w:rPr>
            </w:pPr>
            <w:r w:rsidRPr="00E6204F">
              <w:rPr>
                <w:rStyle w:val="BodyText1"/>
                <w:sz w:val="24"/>
                <w:szCs w:val="24"/>
              </w:rPr>
              <w:t>11.4%</w:t>
            </w:r>
          </w:p>
        </w:tc>
      </w:tr>
      <w:tr w:rsidR="00773A99" w:rsidRPr="00C12F27" w:rsidTr="00773A99">
        <w:trPr>
          <w:trHeight w:hRule="exact" w:val="519"/>
        </w:trPr>
        <w:tc>
          <w:tcPr>
            <w:tcW w:w="2979" w:type="dxa"/>
            <w:shd w:val="clear" w:color="auto" w:fill="FFFFFF"/>
            <w:vAlign w:val="center"/>
          </w:tcPr>
          <w:p w:rsidR="00773A99" w:rsidRPr="00E6204F" w:rsidRDefault="00773A99" w:rsidP="00773A99">
            <w:pPr>
              <w:pStyle w:val="BodyText3"/>
              <w:widowControl/>
              <w:shd w:val="clear" w:color="auto" w:fill="auto"/>
              <w:spacing w:line="220" w:lineRule="exact"/>
              <w:ind w:left="80" w:firstLine="0"/>
              <w:rPr>
                <w:rStyle w:val="BodyText1"/>
                <w:sz w:val="24"/>
                <w:szCs w:val="24"/>
              </w:rPr>
            </w:pPr>
            <w:r w:rsidRPr="00E6204F">
              <w:rPr>
                <w:rStyle w:val="BodyText1"/>
                <w:sz w:val="24"/>
                <w:szCs w:val="24"/>
              </w:rPr>
              <w:t>SC-2 Secondary Non-Demand Billed (Commercial)</w:t>
            </w:r>
          </w:p>
        </w:tc>
        <w:tc>
          <w:tcPr>
            <w:tcW w:w="1251" w:type="dxa"/>
            <w:shd w:val="clear" w:color="auto" w:fill="FFFFFF"/>
            <w:vAlign w:val="center"/>
          </w:tcPr>
          <w:p w:rsidR="00773A99" w:rsidRPr="00E6204F" w:rsidRDefault="00773A99" w:rsidP="00773A99">
            <w:pPr>
              <w:pStyle w:val="BodyText3"/>
              <w:widowControl/>
              <w:shd w:val="clear" w:color="auto" w:fill="auto"/>
              <w:spacing w:line="220" w:lineRule="exact"/>
              <w:ind w:right="180" w:firstLine="0"/>
              <w:jc w:val="right"/>
              <w:rPr>
                <w:sz w:val="24"/>
                <w:szCs w:val="24"/>
              </w:rPr>
            </w:pPr>
            <w:r w:rsidRPr="00E6204F">
              <w:rPr>
                <w:sz w:val="24"/>
                <w:szCs w:val="24"/>
              </w:rPr>
              <w:t>177.4</w:t>
            </w:r>
          </w:p>
        </w:tc>
        <w:tc>
          <w:tcPr>
            <w:tcW w:w="1620" w:type="dxa"/>
            <w:shd w:val="clear" w:color="auto" w:fill="FFFFFF"/>
            <w:vAlign w:val="center"/>
          </w:tcPr>
          <w:p w:rsidR="00773A99" w:rsidRPr="00E6204F" w:rsidRDefault="00773A99" w:rsidP="00773A99">
            <w:pPr>
              <w:pStyle w:val="BodyText3"/>
              <w:widowControl/>
              <w:shd w:val="clear" w:color="auto" w:fill="auto"/>
              <w:spacing w:line="220" w:lineRule="exact"/>
              <w:ind w:right="160" w:firstLine="0"/>
              <w:jc w:val="right"/>
              <w:rPr>
                <w:sz w:val="24"/>
                <w:szCs w:val="24"/>
              </w:rPr>
            </w:pPr>
            <w:r w:rsidRPr="00E6204F">
              <w:rPr>
                <w:sz w:val="24"/>
                <w:szCs w:val="24"/>
              </w:rPr>
              <w:t>197.6</w:t>
            </w:r>
          </w:p>
        </w:tc>
        <w:tc>
          <w:tcPr>
            <w:tcW w:w="1236" w:type="dxa"/>
            <w:shd w:val="clear" w:color="auto" w:fill="FFFFFF"/>
            <w:vAlign w:val="center"/>
          </w:tcPr>
          <w:p w:rsidR="00773A99" w:rsidRPr="00E6204F" w:rsidRDefault="00773A99" w:rsidP="00773A99">
            <w:pPr>
              <w:pStyle w:val="BodyText3"/>
              <w:widowControl/>
              <w:shd w:val="clear" w:color="auto" w:fill="auto"/>
              <w:spacing w:line="220" w:lineRule="exact"/>
              <w:ind w:right="140" w:firstLine="0"/>
              <w:jc w:val="right"/>
              <w:rPr>
                <w:sz w:val="24"/>
                <w:szCs w:val="24"/>
              </w:rPr>
            </w:pPr>
            <w:r w:rsidRPr="00E6204F">
              <w:rPr>
                <w:sz w:val="24"/>
                <w:szCs w:val="24"/>
              </w:rPr>
              <w:t>20.2</w:t>
            </w:r>
          </w:p>
        </w:tc>
        <w:tc>
          <w:tcPr>
            <w:tcW w:w="1098" w:type="dxa"/>
            <w:shd w:val="clear" w:color="auto" w:fill="FFFFFF"/>
            <w:vAlign w:val="center"/>
          </w:tcPr>
          <w:p w:rsidR="00773A99" w:rsidRPr="00E6204F" w:rsidRDefault="00773A99" w:rsidP="00773A99">
            <w:pPr>
              <w:pStyle w:val="BodyText3"/>
              <w:widowControl/>
              <w:shd w:val="clear" w:color="auto" w:fill="auto"/>
              <w:spacing w:line="220" w:lineRule="exact"/>
              <w:ind w:right="60" w:firstLine="0"/>
              <w:jc w:val="right"/>
              <w:rPr>
                <w:rStyle w:val="BodyText1"/>
                <w:sz w:val="24"/>
                <w:szCs w:val="24"/>
              </w:rPr>
            </w:pPr>
            <w:r w:rsidRPr="00E6204F">
              <w:rPr>
                <w:rStyle w:val="BodyText1"/>
                <w:sz w:val="24"/>
                <w:szCs w:val="24"/>
              </w:rPr>
              <w:t>11.4%</w:t>
            </w:r>
          </w:p>
        </w:tc>
      </w:tr>
      <w:tr w:rsidR="00773A99" w:rsidRPr="00C12F27" w:rsidTr="00773A99">
        <w:trPr>
          <w:trHeight w:hRule="exact" w:val="350"/>
        </w:trPr>
        <w:tc>
          <w:tcPr>
            <w:tcW w:w="2979" w:type="dxa"/>
            <w:shd w:val="clear" w:color="auto" w:fill="FFFFFF"/>
            <w:vAlign w:val="center"/>
          </w:tcPr>
          <w:p w:rsidR="00773A99" w:rsidRPr="00E6204F" w:rsidRDefault="00773A99" w:rsidP="00773A99">
            <w:pPr>
              <w:pStyle w:val="BodyText3"/>
              <w:widowControl/>
              <w:shd w:val="clear" w:color="auto" w:fill="auto"/>
              <w:spacing w:line="220" w:lineRule="exact"/>
              <w:ind w:left="80" w:firstLine="0"/>
              <w:rPr>
                <w:sz w:val="24"/>
                <w:szCs w:val="24"/>
              </w:rPr>
            </w:pPr>
            <w:r w:rsidRPr="00E6204F">
              <w:rPr>
                <w:rStyle w:val="BodyText1"/>
                <w:sz w:val="24"/>
                <w:szCs w:val="24"/>
              </w:rPr>
              <w:t>SC-2 Primary (Commercial)</w:t>
            </w:r>
          </w:p>
        </w:tc>
        <w:tc>
          <w:tcPr>
            <w:tcW w:w="1251" w:type="dxa"/>
            <w:shd w:val="clear" w:color="auto" w:fill="FFFFFF"/>
            <w:vAlign w:val="center"/>
          </w:tcPr>
          <w:p w:rsidR="00773A99" w:rsidRPr="00E6204F" w:rsidRDefault="00773A99" w:rsidP="00773A99">
            <w:pPr>
              <w:pStyle w:val="BodyText3"/>
              <w:widowControl/>
              <w:shd w:val="clear" w:color="auto" w:fill="auto"/>
              <w:spacing w:line="220" w:lineRule="exact"/>
              <w:ind w:right="180" w:firstLine="0"/>
              <w:jc w:val="right"/>
              <w:rPr>
                <w:sz w:val="24"/>
                <w:szCs w:val="24"/>
              </w:rPr>
            </w:pPr>
            <w:r w:rsidRPr="00E6204F">
              <w:rPr>
                <w:sz w:val="24"/>
                <w:szCs w:val="24"/>
              </w:rPr>
              <w:t>1,463.0</w:t>
            </w:r>
          </w:p>
        </w:tc>
        <w:tc>
          <w:tcPr>
            <w:tcW w:w="1620" w:type="dxa"/>
            <w:shd w:val="clear" w:color="auto" w:fill="FFFFFF"/>
            <w:vAlign w:val="center"/>
          </w:tcPr>
          <w:p w:rsidR="00773A99" w:rsidRPr="00E6204F" w:rsidRDefault="00773A99" w:rsidP="00773A99">
            <w:pPr>
              <w:pStyle w:val="BodyText3"/>
              <w:widowControl/>
              <w:shd w:val="clear" w:color="auto" w:fill="auto"/>
              <w:spacing w:line="220" w:lineRule="exact"/>
              <w:ind w:right="160" w:firstLine="0"/>
              <w:jc w:val="right"/>
              <w:rPr>
                <w:sz w:val="24"/>
                <w:szCs w:val="24"/>
              </w:rPr>
            </w:pPr>
            <w:r w:rsidRPr="00E6204F">
              <w:rPr>
                <w:sz w:val="24"/>
                <w:szCs w:val="24"/>
              </w:rPr>
              <w:t>1484.0</w:t>
            </w:r>
          </w:p>
        </w:tc>
        <w:tc>
          <w:tcPr>
            <w:tcW w:w="1236" w:type="dxa"/>
            <w:shd w:val="clear" w:color="auto" w:fill="FFFFFF"/>
            <w:vAlign w:val="center"/>
          </w:tcPr>
          <w:p w:rsidR="00773A99" w:rsidRPr="00E6204F" w:rsidRDefault="00773A99" w:rsidP="00773A99">
            <w:pPr>
              <w:pStyle w:val="BodyText3"/>
              <w:widowControl/>
              <w:shd w:val="clear" w:color="auto" w:fill="auto"/>
              <w:spacing w:line="220" w:lineRule="exact"/>
              <w:ind w:right="140" w:firstLine="0"/>
              <w:jc w:val="right"/>
              <w:rPr>
                <w:sz w:val="24"/>
                <w:szCs w:val="24"/>
              </w:rPr>
            </w:pPr>
            <w:r w:rsidRPr="00E6204F">
              <w:rPr>
                <w:sz w:val="24"/>
                <w:szCs w:val="24"/>
              </w:rPr>
              <w:t>20.5</w:t>
            </w:r>
          </w:p>
        </w:tc>
        <w:tc>
          <w:tcPr>
            <w:tcW w:w="1098" w:type="dxa"/>
            <w:shd w:val="clear" w:color="auto" w:fill="FFFFFF"/>
            <w:vAlign w:val="center"/>
          </w:tcPr>
          <w:p w:rsidR="00773A99" w:rsidRPr="00E6204F" w:rsidRDefault="00773A99" w:rsidP="00773A99">
            <w:pPr>
              <w:pStyle w:val="BodyText3"/>
              <w:widowControl/>
              <w:shd w:val="clear" w:color="auto" w:fill="auto"/>
              <w:spacing w:line="220" w:lineRule="exact"/>
              <w:ind w:right="60" w:firstLine="0"/>
              <w:jc w:val="right"/>
              <w:rPr>
                <w:sz w:val="24"/>
                <w:szCs w:val="24"/>
              </w:rPr>
            </w:pPr>
            <w:r w:rsidRPr="00E6204F">
              <w:rPr>
                <w:rStyle w:val="BodyText1"/>
                <w:sz w:val="24"/>
                <w:szCs w:val="24"/>
              </w:rPr>
              <w:t>1.4%</w:t>
            </w:r>
          </w:p>
        </w:tc>
      </w:tr>
      <w:tr w:rsidR="00773A99" w:rsidRPr="00C12F27" w:rsidTr="00773A99">
        <w:trPr>
          <w:trHeight w:hRule="exact" w:val="381"/>
        </w:trPr>
        <w:tc>
          <w:tcPr>
            <w:tcW w:w="2979" w:type="dxa"/>
            <w:shd w:val="clear" w:color="auto" w:fill="FFFFFF"/>
            <w:vAlign w:val="center"/>
          </w:tcPr>
          <w:p w:rsidR="00773A99" w:rsidRPr="00E6204F" w:rsidRDefault="00773A99" w:rsidP="00773A99">
            <w:pPr>
              <w:pStyle w:val="BodyText3"/>
              <w:widowControl/>
              <w:shd w:val="clear" w:color="auto" w:fill="auto"/>
              <w:spacing w:line="220" w:lineRule="exact"/>
              <w:ind w:left="80" w:firstLine="0"/>
              <w:rPr>
                <w:sz w:val="24"/>
                <w:szCs w:val="24"/>
              </w:rPr>
            </w:pPr>
            <w:r w:rsidRPr="00E6204F">
              <w:rPr>
                <w:rStyle w:val="BodyText1"/>
                <w:sz w:val="24"/>
                <w:szCs w:val="24"/>
              </w:rPr>
              <w:t>SC-3 (Municipal Lighting)</w:t>
            </w:r>
          </w:p>
        </w:tc>
        <w:tc>
          <w:tcPr>
            <w:tcW w:w="1251" w:type="dxa"/>
            <w:shd w:val="clear" w:color="auto" w:fill="FFFFFF"/>
            <w:vAlign w:val="center"/>
          </w:tcPr>
          <w:p w:rsidR="00773A99" w:rsidRPr="00E6204F" w:rsidRDefault="00773A99" w:rsidP="00773A99">
            <w:pPr>
              <w:pStyle w:val="BodyText3"/>
              <w:widowControl/>
              <w:shd w:val="clear" w:color="auto" w:fill="auto"/>
              <w:spacing w:line="220" w:lineRule="exact"/>
              <w:ind w:right="180" w:firstLine="0"/>
              <w:jc w:val="right"/>
              <w:rPr>
                <w:sz w:val="24"/>
                <w:szCs w:val="24"/>
              </w:rPr>
            </w:pPr>
            <w:r w:rsidRPr="00E6204F">
              <w:rPr>
                <w:sz w:val="24"/>
                <w:szCs w:val="24"/>
              </w:rPr>
              <w:t>67.5</w:t>
            </w:r>
          </w:p>
        </w:tc>
        <w:tc>
          <w:tcPr>
            <w:tcW w:w="1620" w:type="dxa"/>
            <w:shd w:val="clear" w:color="auto" w:fill="FFFFFF"/>
            <w:vAlign w:val="center"/>
          </w:tcPr>
          <w:p w:rsidR="00773A99" w:rsidRPr="00E6204F" w:rsidRDefault="00773A99" w:rsidP="00773A99">
            <w:pPr>
              <w:pStyle w:val="BodyText3"/>
              <w:widowControl/>
              <w:shd w:val="clear" w:color="auto" w:fill="auto"/>
              <w:spacing w:line="220" w:lineRule="exact"/>
              <w:ind w:right="160" w:firstLine="0"/>
              <w:jc w:val="right"/>
              <w:rPr>
                <w:sz w:val="24"/>
                <w:szCs w:val="24"/>
              </w:rPr>
            </w:pPr>
            <w:r w:rsidRPr="00E6204F">
              <w:rPr>
                <w:sz w:val="24"/>
                <w:szCs w:val="24"/>
              </w:rPr>
              <w:t>90.7</w:t>
            </w:r>
          </w:p>
        </w:tc>
        <w:tc>
          <w:tcPr>
            <w:tcW w:w="1236" w:type="dxa"/>
            <w:shd w:val="clear" w:color="auto" w:fill="FFFFFF"/>
            <w:vAlign w:val="center"/>
          </w:tcPr>
          <w:p w:rsidR="00773A99" w:rsidRPr="00E6204F" w:rsidRDefault="00773A99" w:rsidP="00773A99">
            <w:pPr>
              <w:pStyle w:val="BodyText3"/>
              <w:widowControl/>
              <w:shd w:val="clear" w:color="auto" w:fill="auto"/>
              <w:spacing w:line="220" w:lineRule="exact"/>
              <w:ind w:right="140" w:firstLine="0"/>
              <w:jc w:val="right"/>
              <w:rPr>
                <w:sz w:val="24"/>
                <w:szCs w:val="24"/>
              </w:rPr>
            </w:pPr>
            <w:r w:rsidRPr="00E6204F">
              <w:rPr>
                <w:sz w:val="24"/>
                <w:szCs w:val="24"/>
              </w:rPr>
              <w:t>23.2</w:t>
            </w:r>
          </w:p>
        </w:tc>
        <w:tc>
          <w:tcPr>
            <w:tcW w:w="1098" w:type="dxa"/>
            <w:shd w:val="clear" w:color="auto" w:fill="FFFFFF"/>
            <w:vAlign w:val="center"/>
          </w:tcPr>
          <w:p w:rsidR="00773A99" w:rsidRPr="00E6204F" w:rsidRDefault="00773A99" w:rsidP="00773A99">
            <w:pPr>
              <w:pStyle w:val="BodyText3"/>
              <w:widowControl/>
              <w:shd w:val="clear" w:color="auto" w:fill="auto"/>
              <w:spacing w:line="220" w:lineRule="exact"/>
              <w:ind w:right="60" w:firstLine="0"/>
              <w:jc w:val="right"/>
              <w:rPr>
                <w:sz w:val="24"/>
                <w:szCs w:val="24"/>
              </w:rPr>
            </w:pPr>
            <w:r w:rsidRPr="00E6204F">
              <w:rPr>
                <w:rStyle w:val="BodyText1"/>
                <w:sz w:val="24"/>
                <w:szCs w:val="24"/>
              </w:rPr>
              <w:t>34.4%</w:t>
            </w:r>
          </w:p>
        </w:tc>
      </w:tr>
      <w:tr w:rsidR="00773A99" w:rsidRPr="00C12F27" w:rsidTr="00773A99">
        <w:trPr>
          <w:trHeight w:hRule="exact" w:val="487"/>
        </w:trPr>
        <w:tc>
          <w:tcPr>
            <w:tcW w:w="2979" w:type="dxa"/>
            <w:shd w:val="clear" w:color="auto" w:fill="FFFFFF"/>
            <w:vAlign w:val="center"/>
          </w:tcPr>
          <w:p w:rsidR="00773A99" w:rsidRPr="00E6204F" w:rsidRDefault="00773A99" w:rsidP="00773A99">
            <w:pPr>
              <w:pStyle w:val="BodyText3"/>
              <w:widowControl/>
              <w:shd w:val="clear" w:color="auto" w:fill="auto"/>
              <w:spacing w:line="220" w:lineRule="exact"/>
              <w:ind w:left="80" w:firstLine="0"/>
              <w:rPr>
                <w:sz w:val="24"/>
                <w:szCs w:val="24"/>
              </w:rPr>
            </w:pPr>
            <w:r w:rsidRPr="00E6204F">
              <w:rPr>
                <w:rStyle w:val="BodyText1"/>
                <w:sz w:val="24"/>
                <w:szCs w:val="24"/>
              </w:rPr>
              <w:t>SC-4 (Private Lighting)</w:t>
            </w:r>
          </w:p>
        </w:tc>
        <w:tc>
          <w:tcPr>
            <w:tcW w:w="1251" w:type="dxa"/>
            <w:shd w:val="clear" w:color="auto" w:fill="FFFFFF"/>
            <w:vAlign w:val="center"/>
          </w:tcPr>
          <w:p w:rsidR="00773A99" w:rsidRPr="00E6204F" w:rsidRDefault="00773A99" w:rsidP="00773A99">
            <w:pPr>
              <w:pStyle w:val="BodyText3"/>
              <w:widowControl/>
              <w:shd w:val="clear" w:color="auto" w:fill="auto"/>
              <w:spacing w:line="220" w:lineRule="exact"/>
              <w:ind w:right="180" w:firstLine="0"/>
              <w:jc w:val="right"/>
              <w:rPr>
                <w:sz w:val="24"/>
                <w:szCs w:val="24"/>
              </w:rPr>
            </w:pPr>
            <w:r w:rsidRPr="00E6204F">
              <w:rPr>
                <w:sz w:val="24"/>
                <w:szCs w:val="24"/>
              </w:rPr>
              <w:t>40.4</w:t>
            </w:r>
          </w:p>
        </w:tc>
        <w:tc>
          <w:tcPr>
            <w:tcW w:w="1620" w:type="dxa"/>
            <w:shd w:val="clear" w:color="auto" w:fill="FFFFFF"/>
            <w:vAlign w:val="center"/>
          </w:tcPr>
          <w:p w:rsidR="00773A99" w:rsidRPr="00E6204F" w:rsidRDefault="00773A99" w:rsidP="00773A99">
            <w:pPr>
              <w:pStyle w:val="BodyText3"/>
              <w:widowControl/>
              <w:shd w:val="clear" w:color="auto" w:fill="auto"/>
              <w:spacing w:line="220" w:lineRule="exact"/>
              <w:ind w:right="160" w:firstLine="0"/>
              <w:jc w:val="right"/>
              <w:rPr>
                <w:sz w:val="24"/>
                <w:szCs w:val="24"/>
              </w:rPr>
            </w:pPr>
            <w:r w:rsidRPr="00E6204F">
              <w:rPr>
                <w:sz w:val="24"/>
                <w:szCs w:val="24"/>
              </w:rPr>
              <w:t>52.3</w:t>
            </w:r>
          </w:p>
        </w:tc>
        <w:tc>
          <w:tcPr>
            <w:tcW w:w="1236" w:type="dxa"/>
            <w:shd w:val="clear" w:color="auto" w:fill="FFFFFF"/>
            <w:vAlign w:val="center"/>
          </w:tcPr>
          <w:p w:rsidR="00773A99" w:rsidRPr="00E6204F" w:rsidRDefault="00773A99" w:rsidP="00773A99">
            <w:pPr>
              <w:pStyle w:val="BodyText3"/>
              <w:widowControl/>
              <w:shd w:val="clear" w:color="auto" w:fill="auto"/>
              <w:spacing w:line="220" w:lineRule="exact"/>
              <w:ind w:right="140" w:firstLine="0"/>
              <w:jc w:val="right"/>
              <w:rPr>
                <w:sz w:val="24"/>
                <w:szCs w:val="24"/>
              </w:rPr>
            </w:pPr>
            <w:r w:rsidRPr="00E6204F">
              <w:rPr>
                <w:sz w:val="24"/>
                <w:szCs w:val="24"/>
              </w:rPr>
              <w:t>11.9</w:t>
            </w:r>
          </w:p>
        </w:tc>
        <w:tc>
          <w:tcPr>
            <w:tcW w:w="1098" w:type="dxa"/>
            <w:shd w:val="clear" w:color="auto" w:fill="FFFFFF"/>
            <w:vAlign w:val="center"/>
          </w:tcPr>
          <w:p w:rsidR="00773A99" w:rsidRPr="00E6204F" w:rsidRDefault="00773A99" w:rsidP="00773A99">
            <w:pPr>
              <w:pStyle w:val="BodyText3"/>
              <w:widowControl/>
              <w:shd w:val="clear" w:color="auto" w:fill="auto"/>
              <w:spacing w:line="220" w:lineRule="exact"/>
              <w:ind w:right="60" w:firstLine="0"/>
              <w:jc w:val="right"/>
              <w:rPr>
                <w:sz w:val="24"/>
                <w:szCs w:val="24"/>
              </w:rPr>
            </w:pPr>
            <w:r w:rsidRPr="00E6204F">
              <w:rPr>
                <w:rStyle w:val="BodyText1"/>
                <w:sz w:val="24"/>
                <w:szCs w:val="24"/>
              </w:rPr>
              <w:t>29.5%</w:t>
            </w:r>
          </w:p>
        </w:tc>
      </w:tr>
      <w:tr w:rsidR="00773A99" w:rsidRPr="00C12F27" w:rsidTr="00773A99">
        <w:trPr>
          <w:trHeight w:hRule="exact" w:val="561"/>
        </w:trPr>
        <w:tc>
          <w:tcPr>
            <w:tcW w:w="2979" w:type="dxa"/>
            <w:shd w:val="clear" w:color="auto" w:fill="FFFFFF"/>
            <w:vAlign w:val="center"/>
          </w:tcPr>
          <w:p w:rsidR="00773A99" w:rsidRPr="00E6204F" w:rsidRDefault="00773A99" w:rsidP="00773A99">
            <w:pPr>
              <w:pStyle w:val="BodyText3"/>
              <w:widowControl/>
              <w:shd w:val="clear" w:color="auto" w:fill="auto"/>
              <w:spacing w:line="220" w:lineRule="exact"/>
              <w:ind w:left="80" w:firstLine="0"/>
              <w:rPr>
                <w:sz w:val="24"/>
                <w:szCs w:val="24"/>
              </w:rPr>
            </w:pPr>
            <w:r w:rsidRPr="00E6204F">
              <w:rPr>
                <w:rStyle w:val="BodytextBold"/>
                <w:sz w:val="24"/>
                <w:szCs w:val="24"/>
              </w:rPr>
              <w:t>TOTAL</w:t>
            </w:r>
          </w:p>
        </w:tc>
        <w:tc>
          <w:tcPr>
            <w:tcW w:w="1251" w:type="dxa"/>
            <w:shd w:val="clear" w:color="auto" w:fill="FFFFFF"/>
            <w:vAlign w:val="center"/>
          </w:tcPr>
          <w:p w:rsidR="00773A99" w:rsidRPr="00E6204F" w:rsidRDefault="00773A99" w:rsidP="00773A99">
            <w:pPr>
              <w:pStyle w:val="BodyText3"/>
              <w:widowControl/>
              <w:shd w:val="clear" w:color="auto" w:fill="auto"/>
              <w:spacing w:line="220" w:lineRule="exact"/>
              <w:ind w:right="180" w:firstLine="0"/>
              <w:jc w:val="right"/>
              <w:rPr>
                <w:sz w:val="24"/>
                <w:szCs w:val="24"/>
              </w:rPr>
            </w:pPr>
            <w:r w:rsidRPr="00E6204F">
              <w:rPr>
                <w:rStyle w:val="BodyText1"/>
                <w:sz w:val="24"/>
                <w:szCs w:val="24"/>
              </w:rPr>
              <w:t>$9,781.1</w:t>
            </w:r>
          </w:p>
        </w:tc>
        <w:tc>
          <w:tcPr>
            <w:tcW w:w="1620" w:type="dxa"/>
            <w:shd w:val="clear" w:color="auto" w:fill="FFFFFF"/>
            <w:vAlign w:val="center"/>
          </w:tcPr>
          <w:p w:rsidR="00773A99" w:rsidRPr="00E6204F" w:rsidRDefault="00773A99" w:rsidP="00773A99">
            <w:pPr>
              <w:pStyle w:val="BodyText3"/>
              <w:widowControl/>
              <w:shd w:val="clear" w:color="auto" w:fill="auto"/>
              <w:spacing w:line="220" w:lineRule="exact"/>
              <w:ind w:right="160" w:firstLine="0"/>
              <w:jc w:val="right"/>
              <w:rPr>
                <w:sz w:val="24"/>
                <w:szCs w:val="24"/>
              </w:rPr>
            </w:pPr>
            <w:r w:rsidRPr="00E6204F">
              <w:rPr>
                <w:rStyle w:val="BodyText1"/>
                <w:sz w:val="24"/>
                <w:szCs w:val="24"/>
              </w:rPr>
              <w:t xml:space="preserve">$11,031.2 </w:t>
            </w:r>
          </w:p>
        </w:tc>
        <w:tc>
          <w:tcPr>
            <w:tcW w:w="1236" w:type="dxa"/>
            <w:shd w:val="clear" w:color="auto" w:fill="FFFFFF"/>
            <w:vAlign w:val="center"/>
          </w:tcPr>
          <w:p w:rsidR="00773A99" w:rsidRPr="00E6204F" w:rsidRDefault="00773A99" w:rsidP="00773A99">
            <w:pPr>
              <w:pStyle w:val="BodyText3"/>
              <w:widowControl/>
              <w:shd w:val="clear" w:color="auto" w:fill="auto"/>
              <w:spacing w:line="220" w:lineRule="exact"/>
              <w:ind w:right="140" w:firstLine="0"/>
              <w:jc w:val="right"/>
              <w:rPr>
                <w:sz w:val="24"/>
                <w:szCs w:val="24"/>
              </w:rPr>
            </w:pPr>
            <w:r w:rsidRPr="00E6204F">
              <w:rPr>
                <w:rStyle w:val="BodyText1"/>
                <w:sz w:val="24"/>
                <w:szCs w:val="24"/>
              </w:rPr>
              <w:t>$ 1,250.1</w:t>
            </w:r>
          </w:p>
        </w:tc>
        <w:tc>
          <w:tcPr>
            <w:tcW w:w="1098" w:type="dxa"/>
            <w:shd w:val="clear" w:color="auto" w:fill="FFFFFF"/>
            <w:vAlign w:val="center"/>
          </w:tcPr>
          <w:p w:rsidR="00773A99" w:rsidRPr="00E6204F" w:rsidRDefault="00773A99" w:rsidP="00773A99">
            <w:pPr>
              <w:pStyle w:val="BodyText3"/>
              <w:widowControl/>
              <w:shd w:val="clear" w:color="auto" w:fill="auto"/>
              <w:spacing w:line="220" w:lineRule="exact"/>
              <w:ind w:right="60" w:firstLine="0"/>
              <w:jc w:val="right"/>
              <w:rPr>
                <w:sz w:val="24"/>
                <w:szCs w:val="24"/>
              </w:rPr>
            </w:pPr>
            <w:r w:rsidRPr="00E6204F">
              <w:rPr>
                <w:rStyle w:val="BodyText1"/>
                <w:sz w:val="24"/>
                <w:szCs w:val="24"/>
              </w:rPr>
              <w:t>12.8%</w:t>
            </w:r>
          </w:p>
        </w:tc>
      </w:tr>
    </w:tbl>
    <w:p w:rsidR="00773A99" w:rsidRDefault="00773A99" w:rsidP="009728FC">
      <w:pPr>
        <w:pStyle w:val="BodyText3"/>
        <w:widowControl/>
        <w:shd w:val="clear" w:color="auto" w:fill="auto"/>
        <w:spacing w:line="360" w:lineRule="auto"/>
        <w:ind w:left="1440" w:right="1440" w:firstLine="0"/>
        <w:jc w:val="both"/>
        <w:rPr>
          <w:sz w:val="26"/>
          <w:szCs w:val="26"/>
        </w:rPr>
      </w:pPr>
    </w:p>
    <w:p w:rsidR="00773A99" w:rsidRPr="00D10619" w:rsidRDefault="00773A99" w:rsidP="00773A99">
      <w:pPr>
        <w:pStyle w:val="BodyText3"/>
        <w:widowControl/>
        <w:shd w:val="clear" w:color="auto" w:fill="auto"/>
        <w:spacing w:line="360" w:lineRule="auto"/>
        <w:ind w:right="1440" w:firstLine="0"/>
        <w:jc w:val="both"/>
        <w:rPr>
          <w:sz w:val="26"/>
          <w:szCs w:val="26"/>
        </w:rPr>
      </w:pPr>
    </w:p>
    <w:p w:rsidR="009728FC" w:rsidRPr="00D10619" w:rsidRDefault="009728FC" w:rsidP="009728FC">
      <w:pPr>
        <w:pStyle w:val="BodyText3"/>
        <w:widowControl/>
        <w:numPr>
          <w:ilvl w:val="0"/>
          <w:numId w:val="3"/>
        </w:numPr>
        <w:shd w:val="clear" w:color="auto" w:fill="auto"/>
        <w:tabs>
          <w:tab w:val="left" w:pos="1359"/>
        </w:tabs>
        <w:spacing w:line="240" w:lineRule="auto"/>
        <w:ind w:left="1440" w:right="1440" w:firstLine="0"/>
        <w:rPr>
          <w:sz w:val="26"/>
          <w:szCs w:val="26"/>
        </w:rPr>
      </w:pPr>
      <w:r w:rsidRPr="00D10619">
        <w:rPr>
          <w:sz w:val="26"/>
          <w:szCs w:val="26"/>
        </w:rPr>
        <w:t>In addition to, and in consideration of, the agreed-upon overall increase in operating revenues, Joint Petitioners agree to various terms and conditions set forth as follows:</w:t>
      </w:r>
    </w:p>
    <w:p w:rsidR="009728FC" w:rsidRPr="00D10619" w:rsidRDefault="009728FC" w:rsidP="009728FC">
      <w:pPr>
        <w:pStyle w:val="BodyText3"/>
        <w:widowControl/>
        <w:shd w:val="clear" w:color="auto" w:fill="auto"/>
        <w:tabs>
          <w:tab w:val="left" w:pos="1359"/>
        </w:tabs>
        <w:spacing w:line="240" w:lineRule="auto"/>
        <w:ind w:left="1440" w:right="1440" w:firstLine="0"/>
        <w:rPr>
          <w:sz w:val="26"/>
          <w:szCs w:val="26"/>
        </w:rPr>
      </w:pPr>
    </w:p>
    <w:p w:rsidR="009728FC" w:rsidRPr="00D10619" w:rsidRDefault="009728FC" w:rsidP="009728FC">
      <w:pPr>
        <w:pStyle w:val="BodyText3"/>
        <w:widowControl/>
        <w:numPr>
          <w:ilvl w:val="0"/>
          <w:numId w:val="2"/>
        </w:numPr>
        <w:shd w:val="clear" w:color="auto" w:fill="auto"/>
        <w:spacing w:line="240" w:lineRule="auto"/>
        <w:ind w:left="2160" w:right="1440" w:firstLine="0"/>
        <w:rPr>
          <w:sz w:val="26"/>
          <w:szCs w:val="26"/>
        </w:rPr>
      </w:pPr>
      <w:r w:rsidRPr="00D10619">
        <w:rPr>
          <w:rStyle w:val="BodytextItalic"/>
          <w:sz w:val="26"/>
          <w:szCs w:val="26"/>
        </w:rPr>
        <w:t xml:space="preserve">Effective Date and Stay-Out – </w:t>
      </w:r>
      <w:r w:rsidRPr="00D10619">
        <w:rPr>
          <w:sz w:val="26"/>
          <w:szCs w:val="26"/>
        </w:rPr>
        <w:t xml:space="preserve">The rates reflecting the increase set forth above will become effective no sooner than September 1, 2014.  Pike (Electric) agrees that it will not file for a new general base rate increase prior to September 1, 2016.  However, if a legislative body or administrative agency, including the Commission, orders or enacts fundamental changes in policy, regulation or statutes which directly and substantially affect Pike (Electric)’s rates, Pike (Electric) may file for a change in rates under Sections 1308(a) and (b) (governing general rate relief) before the expiration of the stay-out period and this Settlement shall not prevent the Company from filing tariff supplements to the extent necessitated by such action.  Notwithstanding the foregoing provision, Pike (Electric) is allowed to file a tariff or tariff supplement proposing changes in its State Tax Adjustment Surcharge, System Benefits Charge, or in its Default Service rates, including the Market Price for Electric Supply, Electric Supply Adjustment Charge, and any successor charges, and for recovery of </w:t>
      </w:r>
      <w:r w:rsidRPr="00D10619">
        <w:rPr>
          <w:sz w:val="26"/>
          <w:szCs w:val="26"/>
        </w:rPr>
        <w:lastRenderedPageBreak/>
        <w:t>costs associated with compliance with the Alternative Energy Portfolio Standards Act.  Nothing in this paragraph is intended to limit Pike (Electric)’s rights under Section 1308(e) (governing extraordinary rate relief).</w:t>
      </w:r>
    </w:p>
    <w:p w:rsidR="009728FC" w:rsidRPr="00D10619" w:rsidRDefault="009728FC" w:rsidP="009728FC">
      <w:pPr>
        <w:pStyle w:val="BodyText3"/>
        <w:widowControl/>
        <w:shd w:val="clear" w:color="auto" w:fill="auto"/>
        <w:tabs>
          <w:tab w:val="left" w:pos="1359"/>
        </w:tabs>
        <w:spacing w:line="240" w:lineRule="auto"/>
        <w:ind w:left="2160" w:firstLine="0"/>
        <w:rPr>
          <w:sz w:val="26"/>
          <w:szCs w:val="26"/>
        </w:rPr>
      </w:pPr>
    </w:p>
    <w:p w:rsidR="009728FC" w:rsidRPr="00D10619" w:rsidRDefault="009728FC" w:rsidP="009728FC">
      <w:pPr>
        <w:pStyle w:val="BodyText3"/>
        <w:widowControl/>
        <w:shd w:val="clear" w:color="auto" w:fill="auto"/>
        <w:tabs>
          <w:tab w:val="left" w:pos="-90"/>
        </w:tabs>
        <w:spacing w:line="240" w:lineRule="auto"/>
        <w:ind w:left="2160" w:right="1440" w:firstLine="0"/>
        <w:rPr>
          <w:sz w:val="26"/>
          <w:szCs w:val="26"/>
        </w:rPr>
      </w:pPr>
      <w:r w:rsidRPr="00D10619">
        <w:rPr>
          <w:rStyle w:val="BodytextItalic"/>
          <w:sz w:val="26"/>
          <w:szCs w:val="26"/>
        </w:rPr>
        <w:t>b.</w:t>
      </w:r>
      <w:r w:rsidRPr="00D10619">
        <w:rPr>
          <w:rStyle w:val="BodytextItalic"/>
          <w:sz w:val="26"/>
          <w:szCs w:val="26"/>
        </w:rPr>
        <w:tab/>
        <w:t xml:space="preserve">Rate Structure/Rate Design – </w:t>
      </w:r>
      <w:r w:rsidRPr="00D10619">
        <w:rPr>
          <w:sz w:val="26"/>
          <w:szCs w:val="26"/>
        </w:rPr>
        <w:t xml:space="preserve">Joint Petitioners agree to the distribution of revenue among customer classes in this Settlement as set forth in the attached Proof of Revenues at </w:t>
      </w:r>
      <w:r w:rsidRPr="00D10619">
        <w:rPr>
          <w:rStyle w:val="BodytextBold"/>
          <w:sz w:val="26"/>
          <w:szCs w:val="26"/>
        </w:rPr>
        <w:t>Appendix B</w:t>
      </w:r>
      <w:r w:rsidRPr="00D10619">
        <w:rPr>
          <w:rStyle w:val="BodytextBold"/>
          <w:b w:val="0"/>
          <w:sz w:val="26"/>
          <w:szCs w:val="26"/>
        </w:rPr>
        <w:t>.</w:t>
      </w:r>
      <w:r w:rsidRPr="00D10619">
        <w:rPr>
          <w:rStyle w:val="BodytextBold"/>
          <w:sz w:val="26"/>
          <w:szCs w:val="26"/>
        </w:rPr>
        <w:t xml:space="preserve">  </w:t>
      </w:r>
      <w:r w:rsidRPr="00D10619">
        <w:rPr>
          <w:sz w:val="26"/>
          <w:szCs w:val="26"/>
        </w:rPr>
        <w:t xml:space="preserve">In addition, the Customer Charges will be set at $8.50 for Service Classification No. 1 (SC- 1), $13.60 for SC-2 Secondary Demand Billed, $13.60 for SC-2 Non-Demand Billed, and $110.90 SC-2 Primary.  Also, Pike (Electric) agrees to eliminate the block rate structures for the SC- 1 (usage), SC- 2 Non-Demand Metered (usage), and SC- 2 Primary (usage and demand) classes while reallocating revenue from usage to demand charges for SC- 2 Primary.  For the SC- 2 Secondary Demand Billed class, Pike (Electric) agrees to move the current five block structure for usage rates to a three block structure (i.e., three block limits at 100 HU of billing demand, 200 HU of billing demand, and 300 HU of billing demand) and to decrease the rate differentials for usage and demand by 33 percent for the class.  In addition, in its next general base rate </w:t>
      </w:r>
      <w:proofErr w:type="spellStart"/>
      <w:r w:rsidRPr="00D10619">
        <w:rPr>
          <w:sz w:val="26"/>
          <w:szCs w:val="26"/>
        </w:rPr>
        <w:t>rate</w:t>
      </w:r>
      <w:proofErr w:type="spellEnd"/>
      <w:r w:rsidR="0015580C">
        <w:rPr>
          <w:sz w:val="26"/>
          <w:szCs w:val="26"/>
        </w:rPr>
        <w:t xml:space="preserve"> [sic]</w:t>
      </w:r>
      <w:r w:rsidRPr="00D10619">
        <w:rPr>
          <w:sz w:val="26"/>
          <w:szCs w:val="26"/>
        </w:rPr>
        <w:t xml:space="preserve"> proceeding, Pike (Electric) will include a proposal for the continued phase out of the SC-2 Secondary Demand billed block rate structure.    </w:t>
      </w:r>
    </w:p>
    <w:p w:rsidR="009728FC" w:rsidRPr="00D10619" w:rsidRDefault="009728FC" w:rsidP="009728FC">
      <w:pPr>
        <w:pStyle w:val="BodyText3"/>
        <w:widowControl/>
        <w:shd w:val="clear" w:color="auto" w:fill="auto"/>
        <w:tabs>
          <w:tab w:val="left" w:pos="1350"/>
        </w:tabs>
        <w:spacing w:line="240" w:lineRule="auto"/>
        <w:ind w:left="2160" w:firstLine="0"/>
        <w:rPr>
          <w:sz w:val="26"/>
          <w:szCs w:val="26"/>
        </w:rPr>
      </w:pPr>
    </w:p>
    <w:p w:rsidR="009728FC" w:rsidRPr="00D10619" w:rsidRDefault="009728FC" w:rsidP="009728FC">
      <w:pPr>
        <w:pStyle w:val="BodyText3"/>
        <w:widowControl/>
        <w:shd w:val="clear" w:color="auto" w:fill="auto"/>
        <w:tabs>
          <w:tab w:val="left" w:pos="-270"/>
        </w:tabs>
        <w:spacing w:line="240" w:lineRule="auto"/>
        <w:ind w:left="2160" w:right="1440" w:firstLine="0"/>
        <w:rPr>
          <w:rStyle w:val="BodytextItalic"/>
          <w:i w:val="0"/>
          <w:sz w:val="26"/>
          <w:szCs w:val="26"/>
        </w:rPr>
      </w:pPr>
      <w:r w:rsidRPr="00D10619">
        <w:rPr>
          <w:rStyle w:val="BodytextItalic"/>
          <w:sz w:val="26"/>
          <w:szCs w:val="26"/>
        </w:rPr>
        <w:t>c.</w:t>
      </w:r>
      <w:r w:rsidRPr="00D10619">
        <w:rPr>
          <w:rStyle w:val="BodytextItalic"/>
          <w:sz w:val="26"/>
          <w:szCs w:val="26"/>
        </w:rPr>
        <w:tab/>
        <w:t xml:space="preserve">Other Tariff Changes – </w:t>
      </w:r>
      <w:r w:rsidRPr="00D10619">
        <w:rPr>
          <w:rStyle w:val="BodytextItalic"/>
          <w:i w:val="0"/>
          <w:sz w:val="26"/>
          <w:szCs w:val="26"/>
        </w:rPr>
        <w:t xml:space="preserve">Pike (Electric) will initiate a charge of $15.00 for requests for historical customer usage information more than 24 months old.  Pike (Electric) agrees to add the term “Legal Rate of Interest” to the tariff and </w:t>
      </w:r>
      <w:r w:rsidRPr="00D10619">
        <w:rPr>
          <w:iCs/>
          <w:color w:val="000000"/>
          <w:sz w:val="26"/>
          <w:szCs w:val="26"/>
          <w:shd w:val="clear" w:color="auto" w:fill="FFFFFF"/>
        </w:rPr>
        <w:t>change the interest rate applicable to non-residential customer deposits to be equal to the Legal Rate of Interest.  In addition, Pike (Electric) agrees to update the tariff to be consistent with the current regulations contained in Pa. Code Title 52, Chapter 56.</w:t>
      </w:r>
      <w:r w:rsidRPr="00D10619">
        <w:rPr>
          <w:rStyle w:val="BodytextItalic"/>
          <w:sz w:val="26"/>
          <w:szCs w:val="26"/>
        </w:rPr>
        <w:t xml:space="preserve">  </w:t>
      </w:r>
      <w:r w:rsidRPr="00D10619">
        <w:rPr>
          <w:rStyle w:val="BodytextItalic"/>
          <w:i w:val="0"/>
          <w:sz w:val="26"/>
          <w:szCs w:val="26"/>
        </w:rPr>
        <w:t>Finally, Pike (Electric) agrees to the introduction of seven new luminaires and associated charges to SC- 3, municipal street lighting.</w:t>
      </w:r>
    </w:p>
    <w:p w:rsidR="009728FC" w:rsidRPr="00D10619" w:rsidRDefault="009728FC" w:rsidP="009728FC">
      <w:pPr>
        <w:pStyle w:val="BodyText3"/>
        <w:widowControl/>
        <w:shd w:val="clear" w:color="auto" w:fill="auto"/>
        <w:tabs>
          <w:tab w:val="left" w:pos="1350"/>
        </w:tabs>
        <w:spacing w:line="240" w:lineRule="auto"/>
        <w:ind w:left="2160" w:firstLine="0"/>
        <w:rPr>
          <w:sz w:val="26"/>
          <w:szCs w:val="26"/>
        </w:rPr>
      </w:pPr>
    </w:p>
    <w:p w:rsidR="009728FC" w:rsidRPr="00D10619" w:rsidRDefault="009728FC" w:rsidP="009728FC">
      <w:pPr>
        <w:pStyle w:val="BodyText3"/>
        <w:widowControl/>
        <w:shd w:val="clear" w:color="auto" w:fill="auto"/>
        <w:tabs>
          <w:tab w:val="left" w:pos="-540"/>
        </w:tabs>
        <w:spacing w:line="240" w:lineRule="auto"/>
        <w:ind w:left="2160" w:right="1440" w:firstLine="0"/>
        <w:rPr>
          <w:sz w:val="26"/>
          <w:szCs w:val="26"/>
        </w:rPr>
      </w:pPr>
      <w:r w:rsidRPr="00D10619">
        <w:rPr>
          <w:sz w:val="26"/>
          <w:szCs w:val="26"/>
        </w:rPr>
        <w:lastRenderedPageBreak/>
        <w:t>d.</w:t>
      </w:r>
      <w:r w:rsidRPr="00D10619">
        <w:rPr>
          <w:sz w:val="26"/>
          <w:szCs w:val="26"/>
        </w:rPr>
        <w:tab/>
      </w:r>
      <w:r w:rsidRPr="00D10619">
        <w:rPr>
          <w:rStyle w:val="BodytextItalic"/>
          <w:sz w:val="26"/>
          <w:szCs w:val="26"/>
        </w:rPr>
        <w:t xml:space="preserve">Storm Expense </w:t>
      </w:r>
      <w:r w:rsidRPr="00D10619">
        <w:rPr>
          <w:sz w:val="26"/>
          <w:szCs w:val="26"/>
        </w:rPr>
        <w:t>– Deferred storm expenses of $723,900 will be amortized over five years at the rate of $144,780 per annum.</w:t>
      </w:r>
    </w:p>
    <w:p w:rsidR="009728FC" w:rsidRPr="00D10619" w:rsidRDefault="009728FC" w:rsidP="009728FC">
      <w:pPr>
        <w:pStyle w:val="BodyText3"/>
        <w:widowControl/>
        <w:shd w:val="clear" w:color="auto" w:fill="auto"/>
        <w:tabs>
          <w:tab w:val="left" w:pos="-540"/>
        </w:tabs>
        <w:spacing w:line="240" w:lineRule="auto"/>
        <w:ind w:left="2160" w:right="1440" w:firstLine="0"/>
        <w:rPr>
          <w:sz w:val="26"/>
          <w:szCs w:val="26"/>
        </w:rPr>
      </w:pPr>
    </w:p>
    <w:p w:rsidR="009728FC" w:rsidRPr="00D10619" w:rsidRDefault="009728FC" w:rsidP="009728FC">
      <w:pPr>
        <w:pStyle w:val="BodyText3"/>
        <w:widowControl/>
        <w:shd w:val="clear" w:color="auto" w:fill="auto"/>
        <w:tabs>
          <w:tab w:val="left" w:pos="-540"/>
        </w:tabs>
        <w:spacing w:line="240" w:lineRule="auto"/>
        <w:ind w:left="2160" w:right="1440" w:firstLine="0"/>
        <w:rPr>
          <w:sz w:val="26"/>
          <w:szCs w:val="26"/>
        </w:rPr>
      </w:pPr>
      <w:r w:rsidRPr="00D10619">
        <w:rPr>
          <w:rStyle w:val="BodytextItalic"/>
          <w:sz w:val="26"/>
          <w:szCs w:val="26"/>
        </w:rPr>
        <w:t>e.</w:t>
      </w:r>
      <w:r w:rsidRPr="00D10619">
        <w:rPr>
          <w:rStyle w:val="BodytextItalic"/>
          <w:sz w:val="26"/>
          <w:szCs w:val="26"/>
        </w:rPr>
        <w:tab/>
        <w:t>Depreciation Rates –</w:t>
      </w:r>
      <w:r w:rsidRPr="00D10619">
        <w:rPr>
          <w:sz w:val="26"/>
          <w:szCs w:val="26"/>
        </w:rPr>
        <w:t xml:space="preserve"> The depreciation rate changes proposed by Pike (Electric) are contained in </w:t>
      </w:r>
      <w:r w:rsidRPr="00D10619">
        <w:rPr>
          <w:b/>
          <w:sz w:val="26"/>
          <w:szCs w:val="26"/>
        </w:rPr>
        <w:t>Appendix C</w:t>
      </w:r>
      <w:r w:rsidRPr="00D10619">
        <w:rPr>
          <w:sz w:val="26"/>
          <w:szCs w:val="26"/>
        </w:rPr>
        <w:t xml:space="preserve"> and will be implemented effective on September 1, 2014.</w:t>
      </w:r>
    </w:p>
    <w:p w:rsidR="009728FC" w:rsidRPr="00D10619" w:rsidRDefault="009728FC" w:rsidP="009728FC">
      <w:pPr>
        <w:pStyle w:val="BodyText3"/>
        <w:widowControl/>
        <w:shd w:val="clear" w:color="auto" w:fill="auto"/>
        <w:tabs>
          <w:tab w:val="left" w:pos="1350"/>
        </w:tabs>
        <w:spacing w:line="240" w:lineRule="auto"/>
        <w:ind w:firstLine="86"/>
        <w:rPr>
          <w:sz w:val="26"/>
          <w:szCs w:val="26"/>
        </w:rPr>
      </w:pPr>
    </w:p>
    <w:p w:rsidR="009728FC" w:rsidRPr="00D10619" w:rsidRDefault="009728FC" w:rsidP="009728FC">
      <w:pPr>
        <w:pStyle w:val="BodyText3"/>
        <w:widowControl/>
        <w:numPr>
          <w:ilvl w:val="0"/>
          <w:numId w:val="3"/>
        </w:numPr>
        <w:shd w:val="clear" w:color="auto" w:fill="auto"/>
        <w:spacing w:line="240" w:lineRule="auto"/>
        <w:ind w:left="1440" w:right="1440" w:firstLine="0"/>
        <w:rPr>
          <w:sz w:val="26"/>
          <w:szCs w:val="26"/>
        </w:rPr>
      </w:pPr>
      <w:r w:rsidRPr="00D10619">
        <w:rPr>
          <w:sz w:val="26"/>
          <w:szCs w:val="26"/>
        </w:rPr>
        <w:t xml:space="preserve">The design and structure of rates for Pike (Electric) customers under this Settlement are developed based upon the customer and usage charges contained within the tariff supplement set forth in </w:t>
      </w:r>
      <w:r w:rsidRPr="00D10619">
        <w:rPr>
          <w:rStyle w:val="BodytextBold"/>
          <w:sz w:val="26"/>
          <w:szCs w:val="26"/>
        </w:rPr>
        <w:t>Appendix A</w:t>
      </w:r>
      <w:r w:rsidRPr="00D10619">
        <w:rPr>
          <w:rStyle w:val="BodytextBold"/>
          <w:b w:val="0"/>
          <w:sz w:val="26"/>
          <w:szCs w:val="26"/>
        </w:rPr>
        <w:t>.</w:t>
      </w:r>
      <w:r w:rsidRPr="00D10619">
        <w:rPr>
          <w:rStyle w:val="BodytextBold"/>
          <w:sz w:val="26"/>
          <w:szCs w:val="26"/>
        </w:rPr>
        <w:t xml:space="preserve">  </w:t>
      </w:r>
      <w:r w:rsidRPr="00D10619">
        <w:rPr>
          <w:sz w:val="26"/>
          <w:szCs w:val="26"/>
        </w:rPr>
        <w:t xml:space="preserve">Joint Petitioners agree that rates and charges set forth in </w:t>
      </w:r>
      <w:r w:rsidRPr="00D10619">
        <w:rPr>
          <w:rStyle w:val="BodytextBold"/>
          <w:sz w:val="26"/>
          <w:szCs w:val="26"/>
        </w:rPr>
        <w:t xml:space="preserve">Appendix </w:t>
      </w:r>
      <w:proofErr w:type="gramStart"/>
      <w:r w:rsidRPr="00D10619">
        <w:rPr>
          <w:rStyle w:val="BodytextBold"/>
          <w:sz w:val="26"/>
          <w:szCs w:val="26"/>
        </w:rPr>
        <w:t>A</w:t>
      </w:r>
      <w:proofErr w:type="gramEnd"/>
      <w:r w:rsidRPr="00D10619">
        <w:rPr>
          <w:rStyle w:val="BodytextBold"/>
          <w:sz w:val="26"/>
          <w:szCs w:val="26"/>
        </w:rPr>
        <w:t xml:space="preserve"> </w:t>
      </w:r>
      <w:r w:rsidRPr="00D10619">
        <w:rPr>
          <w:sz w:val="26"/>
          <w:szCs w:val="26"/>
        </w:rPr>
        <w:t>are just and reasonable and are in the public interest.  Joint Petitioners have agreed to undertake best efforts to provide this Petition and all supporting documentation as promptly as possible with the goal of having the rates become effective by September 1, 2014.</w:t>
      </w:r>
    </w:p>
    <w:p w:rsidR="00D631FB" w:rsidRDefault="00D631FB" w:rsidP="009728FC">
      <w:pPr>
        <w:autoSpaceDE w:val="0"/>
        <w:autoSpaceDN w:val="0"/>
        <w:adjustRightInd w:val="0"/>
        <w:spacing w:line="360" w:lineRule="auto"/>
        <w:rPr>
          <w:rFonts w:eastAsiaTheme="minorHAnsi"/>
          <w:sz w:val="26"/>
          <w:szCs w:val="26"/>
        </w:rPr>
      </w:pPr>
    </w:p>
    <w:p w:rsidR="009728FC" w:rsidRDefault="009728FC" w:rsidP="009728FC">
      <w:pPr>
        <w:autoSpaceDE w:val="0"/>
        <w:autoSpaceDN w:val="0"/>
        <w:adjustRightInd w:val="0"/>
        <w:spacing w:line="360" w:lineRule="auto"/>
        <w:rPr>
          <w:rFonts w:eastAsiaTheme="minorHAnsi"/>
          <w:sz w:val="26"/>
          <w:szCs w:val="26"/>
        </w:rPr>
      </w:pPr>
      <w:r>
        <w:rPr>
          <w:rFonts w:eastAsiaTheme="minorHAnsi"/>
          <w:sz w:val="26"/>
          <w:szCs w:val="26"/>
        </w:rPr>
        <w:t>R.D.</w:t>
      </w:r>
      <w:r w:rsidR="00D631FB">
        <w:rPr>
          <w:rFonts w:eastAsiaTheme="minorHAnsi"/>
          <w:sz w:val="26"/>
          <w:szCs w:val="26"/>
        </w:rPr>
        <w:t xml:space="preserve"> at</w:t>
      </w:r>
      <w:r>
        <w:rPr>
          <w:rFonts w:eastAsiaTheme="minorHAnsi"/>
          <w:sz w:val="26"/>
          <w:szCs w:val="26"/>
        </w:rPr>
        <w:t xml:space="preserve"> 5-8</w:t>
      </w:r>
      <w:r w:rsidR="00D631FB">
        <w:rPr>
          <w:rFonts w:eastAsiaTheme="minorHAnsi"/>
          <w:sz w:val="26"/>
          <w:szCs w:val="26"/>
        </w:rPr>
        <w:t>.</w:t>
      </w:r>
    </w:p>
    <w:p w:rsidR="009728FC" w:rsidRDefault="009728FC" w:rsidP="009728FC">
      <w:pPr>
        <w:autoSpaceDE w:val="0"/>
        <w:autoSpaceDN w:val="0"/>
        <w:adjustRightInd w:val="0"/>
        <w:spacing w:line="360" w:lineRule="auto"/>
        <w:ind w:firstLine="1440"/>
        <w:rPr>
          <w:rFonts w:eastAsiaTheme="minorHAnsi"/>
          <w:sz w:val="26"/>
          <w:szCs w:val="26"/>
        </w:rPr>
      </w:pPr>
    </w:p>
    <w:p w:rsidR="00034A50" w:rsidRDefault="00FC4985" w:rsidP="00F34B2F">
      <w:pPr>
        <w:spacing w:line="360" w:lineRule="auto"/>
        <w:ind w:firstLine="1440"/>
        <w:rPr>
          <w:sz w:val="26"/>
          <w:szCs w:val="26"/>
        </w:rPr>
      </w:pPr>
      <w:r>
        <w:rPr>
          <w:rFonts w:eastAsiaTheme="minorHAnsi"/>
          <w:sz w:val="26"/>
          <w:szCs w:val="26"/>
        </w:rPr>
        <w:t xml:space="preserve">ALJ Pell appropriately analyzed whether the proposed Settlement resulted in rates that </w:t>
      </w:r>
      <w:r w:rsidR="00D95C41">
        <w:rPr>
          <w:rFonts w:eastAsiaTheme="minorHAnsi"/>
          <w:sz w:val="26"/>
          <w:szCs w:val="26"/>
        </w:rPr>
        <w:t>a</w:t>
      </w:r>
      <w:r>
        <w:rPr>
          <w:rFonts w:eastAsiaTheme="minorHAnsi"/>
          <w:sz w:val="26"/>
          <w:szCs w:val="26"/>
        </w:rPr>
        <w:t xml:space="preserve">re just and reasonable, and </w:t>
      </w:r>
      <w:r w:rsidR="00D95C41">
        <w:rPr>
          <w:rFonts w:eastAsiaTheme="minorHAnsi"/>
          <w:sz w:val="26"/>
          <w:szCs w:val="26"/>
        </w:rPr>
        <w:t>i</w:t>
      </w:r>
      <w:r>
        <w:rPr>
          <w:rFonts w:eastAsiaTheme="minorHAnsi"/>
          <w:sz w:val="26"/>
          <w:szCs w:val="26"/>
        </w:rPr>
        <w:t>s</w:t>
      </w:r>
      <w:r w:rsidR="0053186E">
        <w:rPr>
          <w:rFonts w:eastAsiaTheme="minorHAnsi"/>
          <w:sz w:val="26"/>
          <w:szCs w:val="26"/>
        </w:rPr>
        <w:t>, otherwise,</w:t>
      </w:r>
      <w:r>
        <w:rPr>
          <w:rFonts w:eastAsiaTheme="minorHAnsi"/>
          <w:sz w:val="26"/>
          <w:szCs w:val="26"/>
        </w:rPr>
        <w:t xml:space="preserve"> in the public interest.  R.D.</w:t>
      </w:r>
      <w:r w:rsidR="00D95C41">
        <w:rPr>
          <w:rFonts w:eastAsiaTheme="minorHAnsi"/>
          <w:sz w:val="26"/>
          <w:szCs w:val="26"/>
        </w:rPr>
        <w:t xml:space="preserve"> at</w:t>
      </w:r>
      <w:r>
        <w:rPr>
          <w:rFonts w:eastAsiaTheme="minorHAnsi"/>
          <w:sz w:val="26"/>
          <w:szCs w:val="26"/>
        </w:rPr>
        <w:t xml:space="preserve"> 8-10.</w:t>
      </w:r>
      <w:r w:rsidR="00D95C41">
        <w:rPr>
          <w:rFonts w:eastAsiaTheme="minorHAnsi"/>
          <w:sz w:val="26"/>
          <w:szCs w:val="26"/>
        </w:rPr>
        <w:t xml:space="preserve">  We</w:t>
      </w:r>
      <w:r w:rsidR="00034A50">
        <w:rPr>
          <w:sz w:val="26"/>
          <w:szCs w:val="26"/>
        </w:rPr>
        <w:t xml:space="preserve"> shall summarize the general categories of </w:t>
      </w:r>
      <w:r w:rsidR="006C0676">
        <w:rPr>
          <w:sz w:val="26"/>
          <w:szCs w:val="26"/>
        </w:rPr>
        <w:t xml:space="preserve">the </w:t>
      </w:r>
      <w:r w:rsidR="00034A50">
        <w:rPr>
          <w:sz w:val="26"/>
          <w:szCs w:val="26"/>
        </w:rPr>
        <w:t>revenue requirements</w:t>
      </w:r>
      <w:r w:rsidR="006C0676">
        <w:rPr>
          <w:sz w:val="26"/>
          <w:szCs w:val="26"/>
        </w:rPr>
        <w:t xml:space="preserve"> stipulations</w:t>
      </w:r>
      <w:r w:rsidR="00034A50">
        <w:rPr>
          <w:sz w:val="26"/>
          <w:szCs w:val="26"/>
        </w:rPr>
        <w:t xml:space="preserve"> addressed by the Settlement.</w:t>
      </w:r>
    </w:p>
    <w:p w:rsidR="00E042E5" w:rsidRDefault="00E042E5" w:rsidP="00773A99">
      <w:pPr>
        <w:spacing w:line="360" w:lineRule="auto"/>
        <w:rPr>
          <w:sz w:val="26"/>
          <w:szCs w:val="26"/>
        </w:rPr>
      </w:pPr>
    </w:p>
    <w:p w:rsidR="00034A50" w:rsidRPr="00034A50" w:rsidRDefault="00D95C41" w:rsidP="00034A50">
      <w:pPr>
        <w:pStyle w:val="NoSpacing"/>
        <w:spacing w:line="360" w:lineRule="auto"/>
        <w:rPr>
          <w:rFonts w:ascii="Times New Roman" w:hAnsi="Times New Roman"/>
          <w:b/>
          <w:sz w:val="26"/>
          <w:szCs w:val="26"/>
          <w:u w:val="single"/>
        </w:rPr>
      </w:pPr>
      <w:r>
        <w:rPr>
          <w:rFonts w:ascii="Times New Roman" w:hAnsi="Times New Roman"/>
          <w:b/>
          <w:sz w:val="26"/>
          <w:szCs w:val="26"/>
        </w:rPr>
        <w:tab/>
      </w:r>
      <w:r w:rsidR="00034A50" w:rsidRPr="00DA1011">
        <w:rPr>
          <w:rFonts w:ascii="Times New Roman" w:hAnsi="Times New Roman"/>
          <w:b/>
          <w:sz w:val="26"/>
          <w:szCs w:val="26"/>
        </w:rPr>
        <w:t>Revenues</w:t>
      </w:r>
    </w:p>
    <w:p w:rsidR="00D95C41" w:rsidRDefault="00D95C41" w:rsidP="00034A50">
      <w:pPr>
        <w:widowControl/>
        <w:autoSpaceDE w:val="0"/>
        <w:autoSpaceDN w:val="0"/>
        <w:adjustRightInd w:val="0"/>
        <w:spacing w:line="360" w:lineRule="auto"/>
        <w:ind w:firstLine="1440"/>
        <w:rPr>
          <w:rFonts w:eastAsiaTheme="minorHAnsi"/>
          <w:sz w:val="26"/>
          <w:szCs w:val="26"/>
        </w:rPr>
      </w:pPr>
    </w:p>
    <w:p w:rsidR="0062164C" w:rsidRDefault="0053186E" w:rsidP="00034A50">
      <w:pPr>
        <w:widowControl/>
        <w:autoSpaceDE w:val="0"/>
        <w:autoSpaceDN w:val="0"/>
        <w:adjustRightInd w:val="0"/>
        <w:spacing w:line="360" w:lineRule="auto"/>
        <w:ind w:firstLine="1440"/>
        <w:rPr>
          <w:rFonts w:eastAsiaTheme="minorHAnsi"/>
          <w:sz w:val="26"/>
          <w:szCs w:val="26"/>
        </w:rPr>
      </w:pPr>
      <w:r>
        <w:rPr>
          <w:rFonts w:eastAsiaTheme="minorHAnsi"/>
          <w:sz w:val="26"/>
          <w:szCs w:val="26"/>
        </w:rPr>
        <w:t>T</w:t>
      </w:r>
      <w:r w:rsidR="00034A50">
        <w:rPr>
          <w:rFonts w:eastAsiaTheme="minorHAnsi"/>
          <w:sz w:val="26"/>
          <w:szCs w:val="26"/>
        </w:rPr>
        <w:t xml:space="preserve">he Settlement </w:t>
      </w:r>
      <w:r w:rsidR="00034A50" w:rsidRPr="00AD482B">
        <w:rPr>
          <w:rFonts w:eastAsiaTheme="minorHAnsi"/>
          <w:sz w:val="26"/>
          <w:szCs w:val="26"/>
        </w:rPr>
        <w:t>will</w:t>
      </w:r>
      <w:r w:rsidR="00034A50">
        <w:rPr>
          <w:rFonts w:eastAsiaTheme="minorHAnsi"/>
          <w:sz w:val="26"/>
          <w:szCs w:val="26"/>
        </w:rPr>
        <w:t xml:space="preserve"> </w:t>
      </w:r>
      <w:r w:rsidR="00034A50" w:rsidRPr="00AD482B">
        <w:rPr>
          <w:rFonts w:eastAsiaTheme="minorHAnsi"/>
          <w:sz w:val="26"/>
          <w:szCs w:val="26"/>
        </w:rPr>
        <w:t xml:space="preserve">permit Pike </w:t>
      </w:r>
      <w:r>
        <w:rPr>
          <w:rFonts w:eastAsiaTheme="minorHAnsi"/>
          <w:sz w:val="26"/>
          <w:szCs w:val="26"/>
        </w:rPr>
        <w:t xml:space="preserve">County </w:t>
      </w:r>
      <w:r w:rsidR="00034A50" w:rsidRPr="00AD482B">
        <w:rPr>
          <w:rFonts w:eastAsiaTheme="minorHAnsi"/>
          <w:sz w:val="26"/>
          <w:szCs w:val="26"/>
        </w:rPr>
        <w:t>to establish rates for its customers which are designed to produce an overall increase</w:t>
      </w:r>
      <w:r w:rsidR="00034A50">
        <w:rPr>
          <w:rFonts w:eastAsiaTheme="minorHAnsi"/>
          <w:sz w:val="26"/>
          <w:szCs w:val="26"/>
        </w:rPr>
        <w:t xml:space="preserve"> </w:t>
      </w:r>
      <w:r w:rsidR="00034A50" w:rsidRPr="00AD482B">
        <w:rPr>
          <w:rFonts w:eastAsiaTheme="minorHAnsi"/>
          <w:sz w:val="26"/>
          <w:szCs w:val="26"/>
        </w:rPr>
        <w:t>in annual operating revenues of approximately $1</w:t>
      </w:r>
      <w:r w:rsidR="0062164C">
        <w:rPr>
          <w:rFonts w:eastAsiaTheme="minorHAnsi"/>
          <w:sz w:val="26"/>
          <w:szCs w:val="26"/>
        </w:rPr>
        <w:t>.</w:t>
      </w:r>
      <w:r w:rsidR="00034A50" w:rsidRPr="00AD482B">
        <w:rPr>
          <w:rFonts w:eastAsiaTheme="minorHAnsi"/>
          <w:sz w:val="26"/>
          <w:szCs w:val="26"/>
        </w:rPr>
        <w:t>25</w:t>
      </w:r>
      <w:r w:rsidR="0062164C">
        <w:rPr>
          <w:rFonts w:eastAsiaTheme="minorHAnsi"/>
          <w:sz w:val="26"/>
          <w:szCs w:val="26"/>
        </w:rPr>
        <w:t xml:space="preserve"> million</w:t>
      </w:r>
      <w:r w:rsidR="00034A50" w:rsidRPr="00AD482B">
        <w:rPr>
          <w:rFonts w:eastAsiaTheme="minorHAnsi"/>
          <w:sz w:val="26"/>
          <w:szCs w:val="26"/>
        </w:rPr>
        <w:t>, in lieu of the $1.7 million</w:t>
      </w:r>
      <w:r w:rsidR="00034A50">
        <w:rPr>
          <w:rFonts w:eastAsiaTheme="minorHAnsi"/>
          <w:sz w:val="26"/>
          <w:szCs w:val="26"/>
        </w:rPr>
        <w:t xml:space="preserve"> </w:t>
      </w:r>
      <w:r w:rsidR="000250F6">
        <w:rPr>
          <w:rFonts w:eastAsiaTheme="minorHAnsi"/>
          <w:sz w:val="26"/>
          <w:szCs w:val="26"/>
        </w:rPr>
        <w:t xml:space="preserve">additional annual revenue </w:t>
      </w:r>
      <w:r w:rsidR="00034A50" w:rsidRPr="00AD482B">
        <w:rPr>
          <w:rFonts w:eastAsiaTheme="minorHAnsi"/>
          <w:sz w:val="26"/>
          <w:szCs w:val="26"/>
        </w:rPr>
        <w:t>in</w:t>
      </w:r>
      <w:r>
        <w:rPr>
          <w:rFonts w:eastAsiaTheme="minorHAnsi"/>
          <w:sz w:val="26"/>
          <w:szCs w:val="26"/>
        </w:rPr>
        <w:t>crease</w:t>
      </w:r>
      <w:r w:rsidR="00034A50" w:rsidRPr="00AD482B">
        <w:rPr>
          <w:rFonts w:eastAsiaTheme="minorHAnsi"/>
          <w:sz w:val="26"/>
          <w:szCs w:val="26"/>
        </w:rPr>
        <w:t xml:space="preserve"> originally requested.</w:t>
      </w:r>
      <w:r w:rsidR="00034A50">
        <w:rPr>
          <w:rFonts w:eastAsiaTheme="minorHAnsi"/>
          <w:sz w:val="26"/>
          <w:szCs w:val="26"/>
        </w:rPr>
        <w:t xml:space="preserve">  </w:t>
      </w:r>
      <w:r>
        <w:rPr>
          <w:rFonts w:eastAsiaTheme="minorHAnsi"/>
          <w:sz w:val="26"/>
          <w:szCs w:val="26"/>
        </w:rPr>
        <w:t>R.D.</w:t>
      </w:r>
      <w:r w:rsidR="00D95C41">
        <w:rPr>
          <w:rFonts w:eastAsiaTheme="minorHAnsi"/>
          <w:sz w:val="26"/>
          <w:szCs w:val="26"/>
        </w:rPr>
        <w:t xml:space="preserve"> at </w:t>
      </w:r>
      <w:r>
        <w:rPr>
          <w:rFonts w:eastAsiaTheme="minorHAnsi"/>
          <w:sz w:val="26"/>
          <w:szCs w:val="26"/>
        </w:rPr>
        <w:t>10-11</w:t>
      </w:r>
      <w:r w:rsidR="00D95C41">
        <w:rPr>
          <w:rFonts w:eastAsiaTheme="minorHAnsi"/>
          <w:sz w:val="26"/>
          <w:szCs w:val="26"/>
        </w:rPr>
        <w:t xml:space="preserve"> (</w:t>
      </w:r>
      <w:r>
        <w:rPr>
          <w:rFonts w:eastAsiaTheme="minorHAnsi"/>
          <w:sz w:val="26"/>
          <w:szCs w:val="26"/>
        </w:rPr>
        <w:t xml:space="preserve">summarizing Pike County’s </w:t>
      </w:r>
      <w:r w:rsidR="00034A50">
        <w:rPr>
          <w:rFonts w:eastAsiaTheme="minorHAnsi"/>
          <w:sz w:val="26"/>
          <w:szCs w:val="26"/>
        </w:rPr>
        <w:t>Statement</w:t>
      </w:r>
      <w:r>
        <w:rPr>
          <w:rFonts w:eastAsiaTheme="minorHAnsi"/>
          <w:sz w:val="26"/>
          <w:szCs w:val="26"/>
        </w:rPr>
        <w:t xml:space="preserve"> in Support of Settlement</w:t>
      </w:r>
      <w:r w:rsidR="00D95C41">
        <w:rPr>
          <w:rFonts w:eastAsiaTheme="minorHAnsi"/>
          <w:sz w:val="26"/>
          <w:szCs w:val="26"/>
        </w:rPr>
        <w:t xml:space="preserve"> at</w:t>
      </w:r>
      <w:r w:rsidR="00034A50">
        <w:rPr>
          <w:rFonts w:eastAsiaTheme="minorHAnsi"/>
          <w:sz w:val="26"/>
          <w:szCs w:val="26"/>
        </w:rPr>
        <w:t xml:space="preserve"> 1</w:t>
      </w:r>
      <w:r w:rsidR="00D95C41">
        <w:rPr>
          <w:rFonts w:eastAsiaTheme="minorHAnsi"/>
          <w:sz w:val="26"/>
          <w:szCs w:val="26"/>
        </w:rPr>
        <w:t>,</w:t>
      </w:r>
      <w:r w:rsidR="00034A50">
        <w:rPr>
          <w:rFonts w:eastAsiaTheme="minorHAnsi"/>
          <w:sz w:val="26"/>
          <w:szCs w:val="26"/>
        </w:rPr>
        <w:t xml:space="preserve"> 3).</w:t>
      </w:r>
      <w:r w:rsidR="00034A50" w:rsidRPr="00AD482B">
        <w:rPr>
          <w:rFonts w:eastAsiaTheme="minorHAnsi"/>
          <w:sz w:val="26"/>
          <w:szCs w:val="26"/>
        </w:rPr>
        <w:t xml:space="preserve"> </w:t>
      </w:r>
      <w:r w:rsidR="00034A50">
        <w:rPr>
          <w:rFonts w:eastAsiaTheme="minorHAnsi"/>
          <w:sz w:val="26"/>
          <w:szCs w:val="26"/>
        </w:rPr>
        <w:t xml:space="preserve"> </w:t>
      </w:r>
    </w:p>
    <w:p w:rsidR="0062164C" w:rsidRDefault="0062164C" w:rsidP="00034A50">
      <w:pPr>
        <w:widowControl/>
        <w:autoSpaceDE w:val="0"/>
        <w:autoSpaceDN w:val="0"/>
        <w:adjustRightInd w:val="0"/>
        <w:spacing w:line="360" w:lineRule="auto"/>
        <w:ind w:firstLine="1440"/>
        <w:rPr>
          <w:rFonts w:eastAsiaTheme="minorHAnsi"/>
          <w:sz w:val="26"/>
          <w:szCs w:val="26"/>
        </w:rPr>
      </w:pPr>
    </w:p>
    <w:p w:rsidR="00034A50" w:rsidRDefault="0053186E" w:rsidP="00034A50">
      <w:pPr>
        <w:widowControl/>
        <w:autoSpaceDE w:val="0"/>
        <w:autoSpaceDN w:val="0"/>
        <w:adjustRightInd w:val="0"/>
        <w:spacing w:line="360" w:lineRule="auto"/>
        <w:ind w:firstLine="1440"/>
        <w:rPr>
          <w:rFonts w:eastAsiaTheme="minorHAnsi"/>
          <w:sz w:val="26"/>
          <w:szCs w:val="26"/>
        </w:rPr>
      </w:pPr>
      <w:r>
        <w:rPr>
          <w:rFonts w:eastAsiaTheme="minorHAnsi"/>
          <w:sz w:val="26"/>
          <w:szCs w:val="26"/>
        </w:rPr>
        <w:lastRenderedPageBreak/>
        <w:t>U</w:t>
      </w:r>
      <w:r w:rsidR="00034A50" w:rsidRPr="00AD482B">
        <w:rPr>
          <w:rFonts w:eastAsiaTheme="minorHAnsi"/>
          <w:sz w:val="26"/>
          <w:szCs w:val="26"/>
        </w:rPr>
        <w:t>nder the Settlement, Pike</w:t>
      </w:r>
      <w:r w:rsidR="0085780C">
        <w:rPr>
          <w:rFonts w:eastAsiaTheme="minorHAnsi"/>
          <w:sz w:val="26"/>
          <w:szCs w:val="26"/>
        </w:rPr>
        <w:t xml:space="preserve"> County</w:t>
      </w:r>
      <w:r w:rsidR="000250F6">
        <w:rPr>
          <w:rFonts w:eastAsiaTheme="minorHAnsi"/>
          <w:sz w:val="26"/>
          <w:szCs w:val="26"/>
        </w:rPr>
        <w:t>’s</w:t>
      </w:r>
      <w:r w:rsidR="00034A50" w:rsidRPr="00AD482B">
        <w:rPr>
          <w:rFonts w:eastAsiaTheme="minorHAnsi"/>
          <w:sz w:val="26"/>
          <w:szCs w:val="26"/>
        </w:rPr>
        <w:t xml:space="preserve"> present</w:t>
      </w:r>
      <w:r w:rsidR="00034A50">
        <w:rPr>
          <w:rFonts w:eastAsiaTheme="minorHAnsi"/>
          <w:sz w:val="26"/>
          <w:szCs w:val="26"/>
        </w:rPr>
        <w:t xml:space="preserve"> </w:t>
      </w:r>
      <w:r w:rsidR="00034A50" w:rsidRPr="00AD482B">
        <w:rPr>
          <w:rFonts w:eastAsiaTheme="minorHAnsi"/>
          <w:sz w:val="26"/>
          <w:szCs w:val="26"/>
        </w:rPr>
        <w:t>revenue levels of approximately $9.8 million, including an estimated electric supply charge for</w:t>
      </w:r>
      <w:r w:rsidR="00034A50">
        <w:rPr>
          <w:rFonts w:eastAsiaTheme="minorHAnsi"/>
          <w:sz w:val="26"/>
          <w:szCs w:val="26"/>
        </w:rPr>
        <w:t xml:space="preserve"> </w:t>
      </w:r>
      <w:r w:rsidR="00034A50" w:rsidRPr="00AD482B">
        <w:rPr>
          <w:rFonts w:eastAsiaTheme="minorHAnsi"/>
          <w:sz w:val="26"/>
          <w:szCs w:val="26"/>
        </w:rPr>
        <w:t>retail access customers, will increase to an overall total revenue level of $11.0 million,</w:t>
      </w:r>
      <w:r w:rsidR="00034A50">
        <w:rPr>
          <w:rFonts w:eastAsiaTheme="minorHAnsi"/>
          <w:sz w:val="26"/>
          <w:szCs w:val="26"/>
        </w:rPr>
        <w:t xml:space="preserve"> </w:t>
      </w:r>
      <w:r w:rsidR="00034A50" w:rsidRPr="00AD482B">
        <w:rPr>
          <w:rFonts w:eastAsiaTheme="minorHAnsi"/>
          <w:sz w:val="26"/>
          <w:szCs w:val="26"/>
        </w:rPr>
        <w:t>representing an increase of approximately 12.8%.</w:t>
      </w:r>
      <w:r w:rsidR="00034A50">
        <w:rPr>
          <w:rFonts w:eastAsiaTheme="minorHAnsi"/>
          <w:sz w:val="26"/>
          <w:szCs w:val="26"/>
        </w:rPr>
        <w:t xml:space="preserve">  </w:t>
      </w:r>
      <w:proofErr w:type="gramStart"/>
      <w:r>
        <w:rPr>
          <w:rFonts w:eastAsiaTheme="minorHAnsi"/>
          <w:sz w:val="26"/>
          <w:szCs w:val="26"/>
        </w:rPr>
        <w:t>R.D.</w:t>
      </w:r>
      <w:r w:rsidR="0085780C">
        <w:rPr>
          <w:rFonts w:eastAsiaTheme="minorHAnsi"/>
          <w:sz w:val="26"/>
          <w:szCs w:val="26"/>
        </w:rPr>
        <w:t xml:space="preserve"> at</w:t>
      </w:r>
      <w:r>
        <w:rPr>
          <w:rFonts w:eastAsiaTheme="minorHAnsi"/>
          <w:sz w:val="26"/>
          <w:szCs w:val="26"/>
        </w:rPr>
        <w:t xml:space="preserve"> 10.</w:t>
      </w:r>
      <w:proofErr w:type="gramEnd"/>
    </w:p>
    <w:p w:rsidR="0053186E" w:rsidRDefault="0053186E" w:rsidP="00034A50">
      <w:pPr>
        <w:widowControl/>
        <w:autoSpaceDE w:val="0"/>
        <w:autoSpaceDN w:val="0"/>
        <w:adjustRightInd w:val="0"/>
        <w:spacing w:line="360" w:lineRule="auto"/>
        <w:ind w:firstLine="1440"/>
        <w:rPr>
          <w:rFonts w:eastAsiaTheme="minorHAnsi"/>
          <w:sz w:val="26"/>
          <w:szCs w:val="26"/>
        </w:rPr>
      </w:pPr>
    </w:p>
    <w:p w:rsidR="007831C8" w:rsidRPr="00A92BCD" w:rsidRDefault="007831C8" w:rsidP="007831C8">
      <w:pPr>
        <w:pStyle w:val="NoSpacing"/>
        <w:spacing w:line="360" w:lineRule="auto"/>
        <w:ind w:firstLine="1440"/>
        <w:rPr>
          <w:rFonts w:ascii="Times New Roman" w:hAnsi="Times New Roman"/>
          <w:sz w:val="26"/>
          <w:szCs w:val="26"/>
        </w:rPr>
      </w:pPr>
      <w:r>
        <w:rPr>
          <w:rFonts w:ascii="Times New Roman" w:hAnsi="Times New Roman"/>
          <w:sz w:val="26"/>
          <w:szCs w:val="26"/>
        </w:rPr>
        <w:t>Pursuant to the S</w:t>
      </w:r>
      <w:r w:rsidRPr="00A92BCD">
        <w:rPr>
          <w:rFonts w:ascii="Times New Roman" w:hAnsi="Times New Roman"/>
          <w:sz w:val="26"/>
          <w:szCs w:val="26"/>
        </w:rPr>
        <w:t>ettlement, the average monthly distribution bill for a</w:t>
      </w:r>
      <w:r>
        <w:rPr>
          <w:rFonts w:ascii="Times New Roman" w:hAnsi="Times New Roman"/>
          <w:sz w:val="26"/>
          <w:szCs w:val="26"/>
        </w:rPr>
        <w:t xml:space="preserve"> “typical”</w:t>
      </w:r>
      <w:r w:rsidRPr="00A92BCD">
        <w:rPr>
          <w:rFonts w:ascii="Times New Roman" w:hAnsi="Times New Roman"/>
          <w:sz w:val="26"/>
          <w:szCs w:val="26"/>
        </w:rPr>
        <w:t xml:space="preserve"> residential customer using 660 Kilowatt hours (kWh) per month will increase from $42.54 to $57.58, or by 34.4%, rather than the 50% increase originally requested by the </w:t>
      </w:r>
      <w:r w:rsidR="006606D3">
        <w:rPr>
          <w:rFonts w:ascii="Times New Roman" w:hAnsi="Times New Roman"/>
          <w:sz w:val="26"/>
          <w:szCs w:val="26"/>
        </w:rPr>
        <w:t>C</w:t>
      </w:r>
      <w:r w:rsidRPr="00A92BCD">
        <w:rPr>
          <w:rFonts w:ascii="Times New Roman" w:hAnsi="Times New Roman"/>
          <w:sz w:val="26"/>
          <w:szCs w:val="26"/>
        </w:rPr>
        <w:t>ompany.</w:t>
      </w:r>
      <w:r>
        <w:rPr>
          <w:rFonts w:ascii="Times New Roman" w:hAnsi="Times New Roman"/>
          <w:sz w:val="26"/>
          <w:szCs w:val="26"/>
        </w:rPr>
        <w:t xml:space="preserve">  </w:t>
      </w:r>
      <w:proofErr w:type="gramStart"/>
      <w:r>
        <w:rPr>
          <w:rFonts w:ascii="Times New Roman" w:hAnsi="Times New Roman"/>
          <w:sz w:val="26"/>
          <w:szCs w:val="26"/>
        </w:rPr>
        <w:t>R.D.</w:t>
      </w:r>
      <w:r w:rsidR="006606D3">
        <w:rPr>
          <w:rFonts w:ascii="Times New Roman" w:hAnsi="Times New Roman"/>
          <w:sz w:val="26"/>
          <w:szCs w:val="26"/>
        </w:rPr>
        <w:t xml:space="preserve"> at</w:t>
      </w:r>
      <w:r>
        <w:rPr>
          <w:rFonts w:ascii="Times New Roman" w:hAnsi="Times New Roman"/>
          <w:sz w:val="26"/>
          <w:szCs w:val="26"/>
        </w:rPr>
        <w:t xml:space="preserve"> 10.</w:t>
      </w:r>
      <w:proofErr w:type="gramEnd"/>
      <w:r w:rsidRPr="00A92BCD">
        <w:rPr>
          <w:rFonts w:ascii="Times New Roman" w:hAnsi="Times New Roman"/>
          <w:sz w:val="26"/>
          <w:szCs w:val="26"/>
        </w:rPr>
        <w:t xml:space="preserve">  On a total bill basis, the monthly bill of a residential customer using 660 kWh per month will increase from $93.06 to $108.10, or by approximately 16.2%, rather than the 22.8% originally requested.  </w:t>
      </w:r>
      <w:proofErr w:type="gramStart"/>
      <w:r>
        <w:rPr>
          <w:rFonts w:ascii="Times New Roman" w:hAnsi="Times New Roman"/>
          <w:sz w:val="26"/>
          <w:szCs w:val="26"/>
        </w:rPr>
        <w:t>R.D.</w:t>
      </w:r>
      <w:r w:rsidR="006606D3">
        <w:rPr>
          <w:rFonts w:ascii="Times New Roman" w:hAnsi="Times New Roman"/>
          <w:sz w:val="26"/>
          <w:szCs w:val="26"/>
        </w:rPr>
        <w:t xml:space="preserve"> at</w:t>
      </w:r>
      <w:r>
        <w:rPr>
          <w:rFonts w:ascii="Times New Roman" w:hAnsi="Times New Roman"/>
          <w:sz w:val="26"/>
          <w:szCs w:val="26"/>
        </w:rPr>
        <w:t xml:space="preserve"> 10-11 </w:t>
      </w:r>
      <w:r w:rsidR="006606D3">
        <w:rPr>
          <w:rFonts w:ascii="Times New Roman" w:hAnsi="Times New Roman"/>
          <w:sz w:val="26"/>
          <w:szCs w:val="26"/>
        </w:rPr>
        <w:t>(</w:t>
      </w:r>
      <w:r>
        <w:rPr>
          <w:rFonts w:ascii="Times New Roman" w:hAnsi="Times New Roman"/>
          <w:sz w:val="26"/>
          <w:szCs w:val="26"/>
        </w:rPr>
        <w:t xml:space="preserve">citing </w:t>
      </w:r>
      <w:r w:rsidRPr="00A92BCD">
        <w:rPr>
          <w:rFonts w:ascii="Times New Roman" w:hAnsi="Times New Roman"/>
          <w:sz w:val="26"/>
          <w:szCs w:val="26"/>
        </w:rPr>
        <w:t>Pike County Statement in Support at 3; OCA Statement in Support at 3</w:t>
      </w:r>
      <w:r>
        <w:rPr>
          <w:rFonts w:ascii="Times New Roman" w:hAnsi="Times New Roman"/>
          <w:sz w:val="26"/>
          <w:szCs w:val="26"/>
        </w:rPr>
        <w:t>)</w:t>
      </w:r>
      <w:r w:rsidRPr="00A92BCD">
        <w:rPr>
          <w:rFonts w:ascii="Times New Roman" w:hAnsi="Times New Roman"/>
          <w:sz w:val="26"/>
          <w:szCs w:val="26"/>
        </w:rPr>
        <w:t>.</w:t>
      </w:r>
      <w:proofErr w:type="gramEnd"/>
    </w:p>
    <w:p w:rsidR="00034A50" w:rsidRDefault="00034A50" w:rsidP="007831C8">
      <w:pPr>
        <w:widowControl/>
        <w:autoSpaceDE w:val="0"/>
        <w:autoSpaceDN w:val="0"/>
        <w:adjustRightInd w:val="0"/>
        <w:spacing w:line="360" w:lineRule="auto"/>
        <w:rPr>
          <w:rFonts w:eastAsiaTheme="minorHAnsi"/>
          <w:sz w:val="26"/>
          <w:szCs w:val="26"/>
        </w:rPr>
      </w:pPr>
    </w:p>
    <w:p w:rsidR="007831C8" w:rsidRDefault="007831C8" w:rsidP="007831C8">
      <w:pPr>
        <w:pStyle w:val="NoSpacing"/>
        <w:spacing w:line="360" w:lineRule="auto"/>
        <w:ind w:firstLine="1440"/>
        <w:rPr>
          <w:rFonts w:ascii="Times New Roman" w:hAnsi="Times New Roman"/>
          <w:sz w:val="24"/>
          <w:szCs w:val="24"/>
        </w:rPr>
      </w:pPr>
      <w:r w:rsidRPr="00997DE3">
        <w:rPr>
          <w:rFonts w:ascii="Times New Roman" w:hAnsi="Times New Roman"/>
          <w:sz w:val="26"/>
          <w:szCs w:val="26"/>
        </w:rPr>
        <w:t>Pike County maintained that the Petition is in the public interest because the agreed-upon rate and revenue levels provide for the necessary additional funds to meet Pike County’s obligations under the Code to provide safe, adequate and reliable service.</w:t>
      </w:r>
      <w:r>
        <w:rPr>
          <w:rFonts w:ascii="Times New Roman" w:hAnsi="Times New Roman"/>
          <w:sz w:val="26"/>
          <w:szCs w:val="26"/>
        </w:rPr>
        <w:t xml:space="preserve">  </w:t>
      </w:r>
      <w:proofErr w:type="gramStart"/>
      <w:r>
        <w:rPr>
          <w:rFonts w:ascii="Times New Roman" w:hAnsi="Times New Roman"/>
          <w:sz w:val="26"/>
          <w:szCs w:val="26"/>
        </w:rPr>
        <w:t>R.D.</w:t>
      </w:r>
      <w:r w:rsidR="008F244B">
        <w:rPr>
          <w:rFonts w:ascii="Times New Roman" w:hAnsi="Times New Roman"/>
          <w:sz w:val="26"/>
          <w:szCs w:val="26"/>
        </w:rPr>
        <w:t xml:space="preserve"> at</w:t>
      </w:r>
      <w:r>
        <w:rPr>
          <w:rFonts w:ascii="Times New Roman" w:hAnsi="Times New Roman"/>
          <w:sz w:val="26"/>
          <w:szCs w:val="26"/>
        </w:rPr>
        <w:t xml:space="preserve"> 11.</w:t>
      </w:r>
      <w:proofErr w:type="gramEnd"/>
      <w:r>
        <w:rPr>
          <w:rFonts w:ascii="Times New Roman" w:hAnsi="Times New Roman"/>
          <w:sz w:val="26"/>
          <w:szCs w:val="26"/>
        </w:rPr>
        <w:t xml:space="preserve"> </w:t>
      </w:r>
      <w:r w:rsidRPr="00997DE3">
        <w:rPr>
          <w:rFonts w:ascii="Times New Roman" w:hAnsi="Times New Roman"/>
          <w:sz w:val="26"/>
          <w:szCs w:val="26"/>
        </w:rPr>
        <w:t xml:space="preserve"> Pike County further noted that the agreed-upon rate and revenue levels in the </w:t>
      </w:r>
      <w:r>
        <w:rPr>
          <w:rFonts w:ascii="Times New Roman" w:hAnsi="Times New Roman"/>
          <w:sz w:val="26"/>
          <w:szCs w:val="26"/>
        </w:rPr>
        <w:t>Settlement</w:t>
      </w:r>
      <w:r w:rsidRPr="00997DE3">
        <w:rPr>
          <w:rFonts w:ascii="Times New Roman" w:hAnsi="Times New Roman"/>
          <w:sz w:val="26"/>
          <w:szCs w:val="26"/>
        </w:rPr>
        <w:t xml:space="preserve"> will allow it </w:t>
      </w:r>
      <w:r>
        <w:rPr>
          <w:rFonts w:ascii="Times New Roman" w:hAnsi="Times New Roman"/>
          <w:sz w:val="26"/>
          <w:szCs w:val="26"/>
        </w:rPr>
        <w:t xml:space="preserve">the opportunity </w:t>
      </w:r>
      <w:r w:rsidRPr="00997DE3">
        <w:rPr>
          <w:rFonts w:ascii="Times New Roman" w:hAnsi="Times New Roman"/>
          <w:sz w:val="26"/>
          <w:szCs w:val="26"/>
        </w:rPr>
        <w:t>to</w:t>
      </w:r>
      <w:r>
        <w:rPr>
          <w:rFonts w:ascii="Times New Roman" w:hAnsi="Times New Roman"/>
          <w:sz w:val="26"/>
          <w:szCs w:val="26"/>
        </w:rPr>
        <w:t>:</w:t>
      </w:r>
      <w:r w:rsidRPr="00997DE3">
        <w:rPr>
          <w:rFonts w:ascii="Times New Roman" w:hAnsi="Times New Roman"/>
          <w:sz w:val="26"/>
          <w:szCs w:val="26"/>
        </w:rPr>
        <w:t xml:space="preserve"> (a) produce an adequate return on the Company’s invested capital that is dedicated to the service of the </w:t>
      </w:r>
      <w:r w:rsidR="008F244B">
        <w:rPr>
          <w:rFonts w:ascii="Times New Roman" w:hAnsi="Times New Roman"/>
          <w:sz w:val="26"/>
          <w:szCs w:val="26"/>
        </w:rPr>
        <w:t>C</w:t>
      </w:r>
      <w:r w:rsidRPr="00997DE3">
        <w:rPr>
          <w:rFonts w:ascii="Times New Roman" w:hAnsi="Times New Roman"/>
          <w:sz w:val="26"/>
          <w:szCs w:val="26"/>
        </w:rPr>
        <w:t>ompany’s customers</w:t>
      </w:r>
      <w:r>
        <w:rPr>
          <w:rFonts w:ascii="Times New Roman" w:hAnsi="Times New Roman"/>
          <w:sz w:val="26"/>
          <w:szCs w:val="26"/>
        </w:rPr>
        <w:t>;</w:t>
      </w:r>
      <w:r w:rsidRPr="00997DE3">
        <w:rPr>
          <w:rFonts w:ascii="Times New Roman" w:hAnsi="Times New Roman"/>
          <w:sz w:val="26"/>
          <w:szCs w:val="26"/>
        </w:rPr>
        <w:t xml:space="preserve"> (b) provide sufficient operating revenues to meet operating expenses, taxes and other charges</w:t>
      </w:r>
      <w:r>
        <w:rPr>
          <w:rFonts w:ascii="Times New Roman" w:hAnsi="Times New Roman"/>
          <w:sz w:val="26"/>
          <w:szCs w:val="26"/>
        </w:rPr>
        <w:t>;</w:t>
      </w:r>
      <w:r w:rsidRPr="00997DE3">
        <w:rPr>
          <w:rFonts w:ascii="Times New Roman" w:hAnsi="Times New Roman"/>
          <w:sz w:val="26"/>
          <w:szCs w:val="26"/>
        </w:rPr>
        <w:t xml:space="preserve"> (c) enable the </w:t>
      </w:r>
      <w:r w:rsidR="008F244B">
        <w:rPr>
          <w:rFonts w:ascii="Times New Roman" w:hAnsi="Times New Roman"/>
          <w:sz w:val="26"/>
          <w:szCs w:val="26"/>
        </w:rPr>
        <w:t>C</w:t>
      </w:r>
      <w:r w:rsidRPr="00997DE3">
        <w:rPr>
          <w:rFonts w:ascii="Times New Roman" w:hAnsi="Times New Roman"/>
          <w:sz w:val="26"/>
          <w:szCs w:val="26"/>
        </w:rPr>
        <w:t>ompany to maintain its creditworthiness at a level sufficient to raise capital necessary to perform its obligations to provide safe, adequate and proper service to its customers</w:t>
      </w:r>
      <w:r>
        <w:rPr>
          <w:rFonts w:ascii="Times New Roman" w:hAnsi="Times New Roman"/>
          <w:sz w:val="26"/>
          <w:szCs w:val="26"/>
        </w:rPr>
        <w:t>;</w:t>
      </w:r>
      <w:r w:rsidRPr="00997DE3">
        <w:rPr>
          <w:rFonts w:ascii="Times New Roman" w:hAnsi="Times New Roman"/>
          <w:sz w:val="26"/>
          <w:szCs w:val="26"/>
        </w:rPr>
        <w:t xml:space="preserve"> and (d) provide a reasonable rate of return on the </w:t>
      </w:r>
      <w:r w:rsidR="008F244B">
        <w:rPr>
          <w:rFonts w:ascii="Times New Roman" w:hAnsi="Times New Roman"/>
          <w:sz w:val="26"/>
          <w:szCs w:val="26"/>
        </w:rPr>
        <w:t>C</w:t>
      </w:r>
      <w:r w:rsidRPr="00997DE3">
        <w:rPr>
          <w:rFonts w:ascii="Times New Roman" w:hAnsi="Times New Roman"/>
          <w:sz w:val="26"/>
          <w:szCs w:val="26"/>
        </w:rPr>
        <w:t xml:space="preserve">ompany’s investment in electric property.  </w:t>
      </w:r>
      <w:proofErr w:type="gramStart"/>
      <w:r w:rsidRPr="007831C8">
        <w:rPr>
          <w:rFonts w:ascii="Times New Roman" w:hAnsi="Times New Roman"/>
          <w:i/>
          <w:sz w:val="26"/>
          <w:szCs w:val="26"/>
        </w:rPr>
        <w:t>Id</w:t>
      </w:r>
      <w:r>
        <w:rPr>
          <w:rFonts w:ascii="Times New Roman" w:hAnsi="Times New Roman"/>
          <w:sz w:val="26"/>
          <w:szCs w:val="26"/>
        </w:rPr>
        <w:t xml:space="preserve">. </w:t>
      </w:r>
      <w:r w:rsidR="008F244B">
        <w:rPr>
          <w:rFonts w:ascii="Times New Roman" w:hAnsi="Times New Roman"/>
          <w:sz w:val="26"/>
          <w:szCs w:val="26"/>
        </w:rPr>
        <w:t>(</w:t>
      </w:r>
      <w:r>
        <w:rPr>
          <w:rFonts w:ascii="Times New Roman" w:hAnsi="Times New Roman"/>
          <w:sz w:val="26"/>
          <w:szCs w:val="26"/>
        </w:rPr>
        <w:t xml:space="preserve">citing </w:t>
      </w:r>
      <w:r w:rsidRPr="007831C8">
        <w:rPr>
          <w:rFonts w:ascii="Times New Roman" w:hAnsi="Times New Roman"/>
          <w:sz w:val="26"/>
          <w:szCs w:val="26"/>
        </w:rPr>
        <w:t>Pike</w:t>
      </w:r>
      <w:r w:rsidRPr="00997DE3">
        <w:rPr>
          <w:rFonts w:ascii="Times New Roman" w:hAnsi="Times New Roman"/>
          <w:sz w:val="26"/>
          <w:szCs w:val="26"/>
        </w:rPr>
        <w:t xml:space="preserve"> County Statement in Support at</w:t>
      </w:r>
      <w:r w:rsidRPr="00452108">
        <w:rPr>
          <w:rFonts w:ascii="Times New Roman" w:hAnsi="Times New Roman"/>
          <w:sz w:val="24"/>
          <w:szCs w:val="24"/>
        </w:rPr>
        <w:t xml:space="preserve"> 3</w:t>
      </w:r>
      <w:r w:rsidR="008F244B">
        <w:rPr>
          <w:rFonts w:ascii="Times New Roman" w:hAnsi="Times New Roman"/>
          <w:sz w:val="24"/>
          <w:szCs w:val="24"/>
        </w:rPr>
        <w:t>)</w:t>
      </w:r>
      <w:r w:rsidRPr="00452108">
        <w:rPr>
          <w:rFonts w:ascii="Times New Roman" w:hAnsi="Times New Roman"/>
          <w:sz w:val="24"/>
          <w:szCs w:val="24"/>
        </w:rPr>
        <w:t>.</w:t>
      </w:r>
      <w:proofErr w:type="gramEnd"/>
      <w:r w:rsidRPr="00452108">
        <w:rPr>
          <w:rFonts w:ascii="Times New Roman" w:hAnsi="Times New Roman"/>
          <w:sz w:val="24"/>
          <w:szCs w:val="24"/>
        </w:rPr>
        <w:t xml:space="preserve"> </w:t>
      </w:r>
    </w:p>
    <w:p w:rsidR="007831C8" w:rsidRDefault="007831C8" w:rsidP="007831C8">
      <w:pPr>
        <w:widowControl/>
        <w:autoSpaceDE w:val="0"/>
        <w:autoSpaceDN w:val="0"/>
        <w:adjustRightInd w:val="0"/>
        <w:spacing w:line="360" w:lineRule="auto"/>
        <w:ind w:firstLine="1440"/>
        <w:rPr>
          <w:rFonts w:eastAsiaTheme="minorHAnsi"/>
          <w:sz w:val="26"/>
          <w:szCs w:val="26"/>
        </w:rPr>
      </w:pPr>
    </w:p>
    <w:p w:rsidR="007831C8" w:rsidRDefault="00645C07" w:rsidP="007831C8">
      <w:pPr>
        <w:widowControl/>
        <w:autoSpaceDE w:val="0"/>
        <w:autoSpaceDN w:val="0"/>
        <w:adjustRightInd w:val="0"/>
        <w:spacing w:line="360" w:lineRule="auto"/>
        <w:ind w:firstLine="1440"/>
        <w:rPr>
          <w:sz w:val="26"/>
          <w:szCs w:val="26"/>
        </w:rPr>
      </w:pPr>
      <w:r>
        <w:rPr>
          <w:sz w:val="26"/>
          <w:szCs w:val="26"/>
        </w:rPr>
        <w:t xml:space="preserve">The </w:t>
      </w:r>
      <w:r w:rsidR="007831C8" w:rsidRPr="00F82661">
        <w:rPr>
          <w:sz w:val="26"/>
          <w:szCs w:val="26"/>
        </w:rPr>
        <w:t xml:space="preserve">OCA noted that, based on its analysis of </w:t>
      </w:r>
      <w:r w:rsidR="007831C8">
        <w:rPr>
          <w:sz w:val="26"/>
          <w:szCs w:val="26"/>
        </w:rPr>
        <w:t>Pike County’s</w:t>
      </w:r>
      <w:r w:rsidR="007831C8" w:rsidRPr="00F82661">
        <w:rPr>
          <w:sz w:val="26"/>
          <w:szCs w:val="26"/>
        </w:rPr>
        <w:t xml:space="preserve"> filing, the rate increase under the proposed Settlement represent</w:t>
      </w:r>
      <w:r w:rsidR="000250F6">
        <w:rPr>
          <w:sz w:val="26"/>
          <w:szCs w:val="26"/>
        </w:rPr>
        <w:t>s</w:t>
      </w:r>
      <w:r w:rsidR="007831C8" w:rsidRPr="00F82661">
        <w:rPr>
          <w:sz w:val="26"/>
          <w:szCs w:val="26"/>
        </w:rPr>
        <w:t xml:space="preserve"> a result that </w:t>
      </w:r>
      <w:r w:rsidR="000250F6">
        <w:rPr>
          <w:sz w:val="26"/>
          <w:szCs w:val="26"/>
        </w:rPr>
        <w:t>is w</w:t>
      </w:r>
      <w:r w:rsidR="007831C8" w:rsidRPr="00F82661">
        <w:rPr>
          <w:sz w:val="26"/>
          <w:szCs w:val="26"/>
        </w:rPr>
        <w:t>ithin the range of likely outcomes in the event of full litigation of the case</w:t>
      </w:r>
      <w:r w:rsidR="007831C8">
        <w:rPr>
          <w:sz w:val="26"/>
          <w:szCs w:val="26"/>
        </w:rPr>
        <w:t xml:space="preserve">.  </w:t>
      </w:r>
      <w:proofErr w:type="gramStart"/>
      <w:r w:rsidR="007831C8">
        <w:rPr>
          <w:sz w:val="26"/>
          <w:szCs w:val="26"/>
        </w:rPr>
        <w:t>R.D.</w:t>
      </w:r>
      <w:r w:rsidR="008F244B">
        <w:rPr>
          <w:sz w:val="26"/>
          <w:szCs w:val="26"/>
        </w:rPr>
        <w:t xml:space="preserve"> at</w:t>
      </w:r>
      <w:r w:rsidR="007831C8">
        <w:rPr>
          <w:sz w:val="26"/>
          <w:szCs w:val="26"/>
        </w:rPr>
        <w:t xml:space="preserve"> 11.</w:t>
      </w:r>
      <w:proofErr w:type="gramEnd"/>
    </w:p>
    <w:p w:rsidR="007831C8" w:rsidRDefault="007831C8" w:rsidP="007831C8">
      <w:pPr>
        <w:widowControl/>
        <w:autoSpaceDE w:val="0"/>
        <w:autoSpaceDN w:val="0"/>
        <w:adjustRightInd w:val="0"/>
        <w:spacing w:line="360" w:lineRule="auto"/>
        <w:ind w:firstLine="1440"/>
        <w:rPr>
          <w:sz w:val="26"/>
          <w:szCs w:val="26"/>
        </w:rPr>
      </w:pPr>
    </w:p>
    <w:p w:rsidR="007831C8" w:rsidRDefault="007831C8" w:rsidP="007831C8">
      <w:pPr>
        <w:widowControl/>
        <w:autoSpaceDE w:val="0"/>
        <w:autoSpaceDN w:val="0"/>
        <w:adjustRightInd w:val="0"/>
        <w:spacing w:line="360" w:lineRule="auto"/>
        <w:ind w:firstLine="1440"/>
        <w:rPr>
          <w:sz w:val="26"/>
          <w:szCs w:val="26"/>
        </w:rPr>
      </w:pPr>
      <w:r w:rsidRPr="007831C8">
        <w:rPr>
          <w:sz w:val="26"/>
          <w:szCs w:val="26"/>
        </w:rPr>
        <w:t xml:space="preserve">Pike County initially proposed to increase residential rates by $1,032,699.  Pursuant to the terms of the Settlement, residential customers will pay an increase of $745,400 in base rates, thus sharing in the lowered revenue requirement agreed to by the </w:t>
      </w:r>
      <w:r w:rsidR="008F244B">
        <w:rPr>
          <w:sz w:val="26"/>
          <w:szCs w:val="26"/>
        </w:rPr>
        <w:t>P</w:t>
      </w:r>
      <w:r w:rsidRPr="007831C8">
        <w:rPr>
          <w:sz w:val="26"/>
          <w:szCs w:val="26"/>
        </w:rPr>
        <w:t>arties</w:t>
      </w:r>
      <w:r>
        <w:rPr>
          <w:sz w:val="26"/>
          <w:szCs w:val="26"/>
        </w:rPr>
        <w:t xml:space="preserve">.  </w:t>
      </w:r>
      <w:r>
        <w:rPr>
          <w:i/>
          <w:sz w:val="26"/>
          <w:szCs w:val="26"/>
        </w:rPr>
        <w:t>Id</w:t>
      </w:r>
      <w:r>
        <w:rPr>
          <w:sz w:val="26"/>
          <w:szCs w:val="26"/>
        </w:rPr>
        <w:t>.</w:t>
      </w:r>
    </w:p>
    <w:p w:rsidR="007831C8" w:rsidRDefault="007831C8" w:rsidP="007831C8">
      <w:pPr>
        <w:widowControl/>
        <w:autoSpaceDE w:val="0"/>
        <w:autoSpaceDN w:val="0"/>
        <w:adjustRightInd w:val="0"/>
        <w:spacing w:line="360" w:lineRule="auto"/>
        <w:ind w:firstLine="1440"/>
        <w:rPr>
          <w:sz w:val="26"/>
          <w:szCs w:val="26"/>
        </w:rPr>
      </w:pPr>
    </w:p>
    <w:p w:rsidR="000250F6" w:rsidRDefault="009E0913" w:rsidP="007831C8">
      <w:pPr>
        <w:pStyle w:val="NoSpacing"/>
        <w:spacing w:line="360" w:lineRule="auto"/>
        <w:ind w:firstLine="1440"/>
        <w:rPr>
          <w:rFonts w:ascii="Times New Roman" w:hAnsi="Times New Roman"/>
          <w:sz w:val="26"/>
          <w:szCs w:val="26"/>
        </w:rPr>
      </w:pPr>
      <w:r>
        <w:rPr>
          <w:rFonts w:ascii="Times New Roman" w:hAnsi="Times New Roman"/>
          <w:sz w:val="26"/>
          <w:szCs w:val="26"/>
        </w:rPr>
        <w:t xml:space="preserve">The </w:t>
      </w:r>
      <w:r w:rsidR="007831C8" w:rsidRPr="00F82661">
        <w:rPr>
          <w:rFonts w:ascii="Times New Roman" w:hAnsi="Times New Roman"/>
          <w:sz w:val="26"/>
          <w:szCs w:val="26"/>
        </w:rPr>
        <w:t xml:space="preserve">OCA noted that its witness testified that Pike County calculated a revenue deficiency of $1,743,300 based on a future test year ending on September 30, 2014.  </w:t>
      </w:r>
      <w:r w:rsidR="007831C8">
        <w:rPr>
          <w:rFonts w:ascii="Times New Roman" w:hAnsi="Times New Roman"/>
          <w:sz w:val="26"/>
          <w:szCs w:val="26"/>
        </w:rPr>
        <w:t>R.D.</w:t>
      </w:r>
      <w:r w:rsidR="00647155">
        <w:rPr>
          <w:rFonts w:ascii="Times New Roman" w:hAnsi="Times New Roman"/>
          <w:sz w:val="26"/>
          <w:szCs w:val="26"/>
        </w:rPr>
        <w:t xml:space="preserve"> at</w:t>
      </w:r>
      <w:r w:rsidR="007831C8">
        <w:rPr>
          <w:rFonts w:ascii="Times New Roman" w:hAnsi="Times New Roman"/>
          <w:sz w:val="26"/>
          <w:szCs w:val="26"/>
        </w:rPr>
        <w:t xml:space="preserve"> </w:t>
      </w:r>
      <w:r w:rsidR="000250F6">
        <w:rPr>
          <w:rFonts w:ascii="Times New Roman" w:hAnsi="Times New Roman"/>
          <w:sz w:val="26"/>
          <w:szCs w:val="26"/>
        </w:rPr>
        <w:t>11</w:t>
      </w:r>
      <w:r w:rsidR="00647155">
        <w:rPr>
          <w:rFonts w:ascii="Times New Roman" w:hAnsi="Times New Roman"/>
          <w:sz w:val="26"/>
          <w:szCs w:val="26"/>
        </w:rPr>
        <w:t xml:space="preserve"> (</w:t>
      </w:r>
      <w:r w:rsidR="000250F6">
        <w:rPr>
          <w:rFonts w:ascii="Times New Roman" w:hAnsi="Times New Roman"/>
          <w:sz w:val="26"/>
          <w:szCs w:val="26"/>
        </w:rPr>
        <w:t xml:space="preserve">citing </w:t>
      </w:r>
      <w:r w:rsidR="007831C8" w:rsidRPr="00F82661">
        <w:rPr>
          <w:rFonts w:ascii="Times New Roman" w:hAnsi="Times New Roman"/>
          <w:sz w:val="26"/>
          <w:szCs w:val="26"/>
        </w:rPr>
        <w:t>OCA St. 1 at 3</w:t>
      </w:r>
      <w:r w:rsidR="007831C8">
        <w:rPr>
          <w:rFonts w:ascii="Times New Roman" w:hAnsi="Times New Roman"/>
          <w:sz w:val="26"/>
          <w:szCs w:val="26"/>
        </w:rPr>
        <w:t xml:space="preserve"> (Testimony of David </w:t>
      </w:r>
      <w:proofErr w:type="spellStart"/>
      <w:r w:rsidR="007831C8">
        <w:rPr>
          <w:rFonts w:ascii="Times New Roman" w:hAnsi="Times New Roman"/>
          <w:sz w:val="26"/>
          <w:szCs w:val="26"/>
        </w:rPr>
        <w:t>Effron</w:t>
      </w:r>
      <w:proofErr w:type="spellEnd"/>
      <w:r w:rsidR="007831C8">
        <w:rPr>
          <w:rFonts w:ascii="Times New Roman" w:hAnsi="Times New Roman"/>
          <w:sz w:val="26"/>
          <w:szCs w:val="26"/>
        </w:rPr>
        <w:t>)</w:t>
      </w:r>
      <w:r w:rsidR="00647155">
        <w:rPr>
          <w:rFonts w:ascii="Times New Roman" w:hAnsi="Times New Roman"/>
          <w:sz w:val="26"/>
          <w:szCs w:val="26"/>
        </w:rPr>
        <w:t>)</w:t>
      </w:r>
      <w:r w:rsidR="007831C8" w:rsidRPr="00F82661">
        <w:rPr>
          <w:rFonts w:ascii="Times New Roman" w:hAnsi="Times New Roman"/>
          <w:sz w:val="26"/>
          <w:szCs w:val="26"/>
        </w:rPr>
        <w:t>.</w:t>
      </w:r>
      <w:r w:rsidR="007831C8">
        <w:rPr>
          <w:rFonts w:ascii="Times New Roman" w:hAnsi="Times New Roman"/>
          <w:sz w:val="26"/>
          <w:szCs w:val="26"/>
        </w:rPr>
        <w:t xml:space="preserve">  </w:t>
      </w:r>
      <w:r w:rsidR="007831C8" w:rsidRPr="00F82661">
        <w:rPr>
          <w:rFonts w:ascii="Times New Roman" w:hAnsi="Times New Roman"/>
          <w:sz w:val="26"/>
          <w:szCs w:val="26"/>
        </w:rPr>
        <w:t xml:space="preserve">Mr. </w:t>
      </w:r>
      <w:proofErr w:type="spellStart"/>
      <w:r w:rsidR="007831C8" w:rsidRPr="00F82661">
        <w:rPr>
          <w:rFonts w:ascii="Times New Roman" w:hAnsi="Times New Roman"/>
          <w:sz w:val="26"/>
          <w:szCs w:val="26"/>
        </w:rPr>
        <w:t>Effron’s</w:t>
      </w:r>
      <w:proofErr w:type="spellEnd"/>
      <w:r w:rsidR="007831C8" w:rsidRPr="00F82661">
        <w:rPr>
          <w:rFonts w:ascii="Times New Roman" w:hAnsi="Times New Roman"/>
          <w:sz w:val="26"/>
          <w:szCs w:val="26"/>
        </w:rPr>
        <w:t xml:space="preserve"> testimony included adjustments to the </w:t>
      </w:r>
      <w:r w:rsidR="00647155">
        <w:rPr>
          <w:rFonts w:ascii="Times New Roman" w:hAnsi="Times New Roman"/>
          <w:sz w:val="26"/>
          <w:szCs w:val="26"/>
        </w:rPr>
        <w:t>C</w:t>
      </w:r>
      <w:r w:rsidR="007831C8" w:rsidRPr="00F82661">
        <w:rPr>
          <w:rFonts w:ascii="Times New Roman" w:hAnsi="Times New Roman"/>
          <w:sz w:val="26"/>
          <w:szCs w:val="26"/>
        </w:rPr>
        <w:t>ompany’s rate base and operating expenses, and incorporated a lower rate of return.</w:t>
      </w:r>
      <w:r w:rsidR="007831C8">
        <w:rPr>
          <w:rFonts w:ascii="Times New Roman" w:hAnsi="Times New Roman"/>
          <w:sz w:val="26"/>
          <w:szCs w:val="26"/>
        </w:rPr>
        <w:t xml:space="preserve"> </w:t>
      </w:r>
      <w:r w:rsidR="00647155">
        <w:rPr>
          <w:rFonts w:ascii="Times New Roman" w:hAnsi="Times New Roman"/>
          <w:sz w:val="26"/>
          <w:szCs w:val="26"/>
        </w:rPr>
        <w:t xml:space="preserve"> </w:t>
      </w:r>
      <w:proofErr w:type="gramStart"/>
      <w:r w:rsidR="00647155">
        <w:rPr>
          <w:rFonts w:ascii="Times New Roman" w:hAnsi="Times New Roman"/>
          <w:sz w:val="26"/>
          <w:szCs w:val="26"/>
        </w:rPr>
        <w:t>R.D. at 11</w:t>
      </w:r>
      <w:r w:rsidR="007831C8">
        <w:rPr>
          <w:rFonts w:ascii="Times New Roman" w:hAnsi="Times New Roman"/>
          <w:sz w:val="26"/>
          <w:szCs w:val="26"/>
        </w:rPr>
        <w:t xml:space="preserve"> </w:t>
      </w:r>
      <w:r w:rsidR="00647155">
        <w:rPr>
          <w:rFonts w:ascii="Times New Roman" w:hAnsi="Times New Roman"/>
          <w:sz w:val="26"/>
          <w:szCs w:val="26"/>
        </w:rPr>
        <w:t>(</w:t>
      </w:r>
      <w:r w:rsidR="007831C8">
        <w:rPr>
          <w:rFonts w:ascii="Times New Roman" w:hAnsi="Times New Roman"/>
          <w:sz w:val="26"/>
          <w:szCs w:val="26"/>
        </w:rPr>
        <w:t>citing</w:t>
      </w:r>
      <w:r w:rsidR="007831C8" w:rsidRPr="00F82661">
        <w:rPr>
          <w:rFonts w:ascii="Times New Roman" w:hAnsi="Times New Roman"/>
          <w:sz w:val="26"/>
          <w:szCs w:val="26"/>
        </w:rPr>
        <w:t xml:space="preserve"> OCA St. 1 at 3; OCA St. 2 at 2-5</w:t>
      </w:r>
      <w:r w:rsidR="00647155">
        <w:rPr>
          <w:rFonts w:ascii="Times New Roman" w:hAnsi="Times New Roman"/>
          <w:sz w:val="26"/>
          <w:szCs w:val="26"/>
        </w:rPr>
        <w:t>)</w:t>
      </w:r>
      <w:r w:rsidR="007831C8" w:rsidRPr="00F82661">
        <w:rPr>
          <w:rFonts w:ascii="Times New Roman" w:hAnsi="Times New Roman"/>
          <w:sz w:val="26"/>
          <w:szCs w:val="26"/>
        </w:rPr>
        <w:t>.</w:t>
      </w:r>
      <w:proofErr w:type="gramEnd"/>
      <w:r w:rsidR="007831C8" w:rsidRPr="00F82661">
        <w:rPr>
          <w:rFonts w:ascii="Times New Roman" w:hAnsi="Times New Roman"/>
          <w:sz w:val="26"/>
          <w:szCs w:val="26"/>
        </w:rPr>
        <w:t xml:space="preserve">  </w:t>
      </w:r>
    </w:p>
    <w:p w:rsidR="000250F6" w:rsidRDefault="000250F6" w:rsidP="007831C8">
      <w:pPr>
        <w:pStyle w:val="NoSpacing"/>
        <w:spacing w:line="360" w:lineRule="auto"/>
        <w:ind w:firstLine="1440"/>
        <w:rPr>
          <w:rFonts w:ascii="Times New Roman" w:hAnsi="Times New Roman"/>
          <w:sz w:val="26"/>
          <w:szCs w:val="26"/>
        </w:rPr>
      </w:pPr>
    </w:p>
    <w:p w:rsidR="007831C8" w:rsidRDefault="009E0913" w:rsidP="007831C8">
      <w:pPr>
        <w:pStyle w:val="NoSpacing"/>
        <w:spacing w:line="360" w:lineRule="auto"/>
        <w:ind w:firstLine="1440"/>
        <w:rPr>
          <w:rFonts w:ascii="Times New Roman" w:hAnsi="Times New Roman"/>
          <w:sz w:val="24"/>
          <w:szCs w:val="24"/>
        </w:rPr>
      </w:pPr>
      <w:r>
        <w:rPr>
          <w:rFonts w:ascii="Times New Roman" w:hAnsi="Times New Roman"/>
          <w:sz w:val="26"/>
          <w:szCs w:val="26"/>
        </w:rPr>
        <w:t xml:space="preserve">The </w:t>
      </w:r>
      <w:r w:rsidR="007831C8" w:rsidRPr="00F82661">
        <w:rPr>
          <w:rFonts w:ascii="Times New Roman" w:hAnsi="Times New Roman"/>
          <w:sz w:val="26"/>
          <w:szCs w:val="26"/>
        </w:rPr>
        <w:t xml:space="preserve">OCA’s analysis of the </w:t>
      </w:r>
      <w:r w:rsidR="00647155">
        <w:rPr>
          <w:rFonts w:ascii="Times New Roman" w:hAnsi="Times New Roman"/>
          <w:sz w:val="26"/>
          <w:szCs w:val="26"/>
        </w:rPr>
        <w:t>C</w:t>
      </w:r>
      <w:r w:rsidR="007831C8" w:rsidRPr="00F82661">
        <w:rPr>
          <w:rFonts w:ascii="Times New Roman" w:hAnsi="Times New Roman"/>
          <w:sz w:val="26"/>
          <w:szCs w:val="26"/>
        </w:rPr>
        <w:t xml:space="preserve">ompany’s revenue requirement showed a deficiency of $827,600.  The Settlement revenue deficiency of $1,250,000 represents an increase of $422,400 over the OCA’s initial position, and a reduction of $493,300 below the </w:t>
      </w:r>
      <w:r w:rsidR="009A3F27">
        <w:rPr>
          <w:rFonts w:ascii="Times New Roman" w:hAnsi="Times New Roman"/>
          <w:sz w:val="26"/>
          <w:szCs w:val="26"/>
        </w:rPr>
        <w:t>C</w:t>
      </w:r>
      <w:r w:rsidR="007831C8" w:rsidRPr="00F82661">
        <w:rPr>
          <w:rFonts w:ascii="Times New Roman" w:hAnsi="Times New Roman"/>
          <w:sz w:val="26"/>
          <w:szCs w:val="26"/>
        </w:rPr>
        <w:t xml:space="preserve">ompany’s filing.  </w:t>
      </w:r>
      <w:r>
        <w:rPr>
          <w:rFonts w:ascii="Times New Roman" w:hAnsi="Times New Roman"/>
          <w:sz w:val="26"/>
          <w:szCs w:val="26"/>
        </w:rPr>
        <w:t xml:space="preserve">The </w:t>
      </w:r>
      <w:r w:rsidR="007831C8" w:rsidRPr="00F82661">
        <w:rPr>
          <w:rFonts w:ascii="Times New Roman" w:hAnsi="Times New Roman"/>
          <w:sz w:val="26"/>
          <w:szCs w:val="26"/>
        </w:rPr>
        <w:t xml:space="preserve">OCA maintained that the Settlement increase is supported by the record evidence and, when accompanied by other important provisions contained in the Settlement, yields a result that is just and reasonable.  </w:t>
      </w:r>
      <w:proofErr w:type="gramStart"/>
      <w:r w:rsidR="007831C8">
        <w:rPr>
          <w:rFonts w:ascii="Times New Roman" w:hAnsi="Times New Roman"/>
          <w:sz w:val="26"/>
          <w:szCs w:val="26"/>
        </w:rPr>
        <w:t>R.D.</w:t>
      </w:r>
      <w:r w:rsidR="009A3F27">
        <w:rPr>
          <w:rFonts w:ascii="Times New Roman" w:hAnsi="Times New Roman"/>
          <w:sz w:val="26"/>
          <w:szCs w:val="26"/>
        </w:rPr>
        <w:t xml:space="preserve"> at</w:t>
      </w:r>
      <w:r w:rsidR="007831C8">
        <w:rPr>
          <w:rFonts w:ascii="Times New Roman" w:hAnsi="Times New Roman"/>
          <w:sz w:val="26"/>
          <w:szCs w:val="26"/>
        </w:rPr>
        <w:t xml:space="preserve"> 11-12</w:t>
      </w:r>
      <w:r w:rsidR="009A3F27">
        <w:rPr>
          <w:rFonts w:ascii="Times New Roman" w:hAnsi="Times New Roman"/>
          <w:sz w:val="26"/>
          <w:szCs w:val="26"/>
        </w:rPr>
        <w:t xml:space="preserve"> (</w:t>
      </w:r>
      <w:r w:rsidR="007831C8">
        <w:rPr>
          <w:rFonts w:ascii="Times New Roman" w:hAnsi="Times New Roman"/>
          <w:sz w:val="26"/>
          <w:szCs w:val="26"/>
        </w:rPr>
        <w:t xml:space="preserve">citing </w:t>
      </w:r>
      <w:r w:rsidR="007831C8" w:rsidRPr="00F82661">
        <w:rPr>
          <w:rFonts w:ascii="Times New Roman" w:hAnsi="Times New Roman"/>
          <w:sz w:val="26"/>
          <w:szCs w:val="26"/>
        </w:rPr>
        <w:t>OCA Statement in Support at 4</w:t>
      </w:r>
      <w:r w:rsidR="007831C8">
        <w:rPr>
          <w:rFonts w:ascii="Times New Roman" w:hAnsi="Times New Roman"/>
          <w:sz w:val="26"/>
          <w:szCs w:val="26"/>
        </w:rPr>
        <w:t>)</w:t>
      </w:r>
      <w:r w:rsidR="007831C8" w:rsidRPr="00452108">
        <w:rPr>
          <w:rFonts w:ascii="Times New Roman" w:hAnsi="Times New Roman"/>
          <w:sz w:val="24"/>
          <w:szCs w:val="24"/>
        </w:rPr>
        <w:t>.</w:t>
      </w:r>
      <w:proofErr w:type="gramEnd"/>
    </w:p>
    <w:p w:rsidR="007831C8" w:rsidRDefault="007831C8" w:rsidP="007831C8">
      <w:pPr>
        <w:pStyle w:val="NoSpacing"/>
        <w:spacing w:line="360" w:lineRule="auto"/>
        <w:ind w:firstLine="1440"/>
        <w:rPr>
          <w:rFonts w:ascii="Times New Roman" w:hAnsi="Times New Roman"/>
          <w:sz w:val="24"/>
          <w:szCs w:val="24"/>
        </w:rPr>
      </w:pPr>
    </w:p>
    <w:p w:rsidR="00B274AA" w:rsidRDefault="00B274AA" w:rsidP="00B274AA">
      <w:pPr>
        <w:pStyle w:val="NoSpacing"/>
        <w:spacing w:line="360" w:lineRule="auto"/>
        <w:ind w:firstLine="1440"/>
        <w:rPr>
          <w:rFonts w:ascii="Times New Roman" w:hAnsi="Times New Roman"/>
          <w:sz w:val="26"/>
          <w:szCs w:val="26"/>
        </w:rPr>
      </w:pPr>
      <w:r w:rsidRPr="00B274AA">
        <w:rPr>
          <w:rFonts w:ascii="Times New Roman" w:hAnsi="Times New Roman"/>
          <w:sz w:val="26"/>
          <w:szCs w:val="26"/>
        </w:rPr>
        <w:t>I&amp;E agreed that the terms and conditions of the Settlement are in the public interest because</w:t>
      </w:r>
      <w:r w:rsidR="000250F6">
        <w:rPr>
          <w:rFonts w:ascii="Times New Roman" w:hAnsi="Times New Roman"/>
          <w:sz w:val="26"/>
          <w:szCs w:val="26"/>
        </w:rPr>
        <w:t xml:space="preserve">, </w:t>
      </w:r>
      <w:r w:rsidR="000250F6">
        <w:rPr>
          <w:rFonts w:ascii="Times New Roman" w:hAnsi="Times New Roman"/>
          <w:i/>
          <w:sz w:val="26"/>
          <w:szCs w:val="26"/>
        </w:rPr>
        <w:t>inter</w:t>
      </w:r>
      <w:r w:rsidR="000250F6">
        <w:rPr>
          <w:rFonts w:ascii="Times New Roman" w:hAnsi="Times New Roman"/>
          <w:sz w:val="26"/>
          <w:szCs w:val="26"/>
        </w:rPr>
        <w:t xml:space="preserve"> </w:t>
      </w:r>
      <w:r w:rsidR="000250F6">
        <w:rPr>
          <w:rFonts w:ascii="Times New Roman" w:hAnsi="Times New Roman"/>
          <w:i/>
          <w:sz w:val="26"/>
          <w:szCs w:val="26"/>
        </w:rPr>
        <w:t>alia</w:t>
      </w:r>
      <w:r w:rsidR="000250F6">
        <w:rPr>
          <w:rFonts w:ascii="Times New Roman" w:hAnsi="Times New Roman"/>
          <w:sz w:val="26"/>
          <w:szCs w:val="26"/>
        </w:rPr>
        <w:t>,</w:t>
      </w:r>
      <w:r w:rsidRPr="00B274AA">
        <w:rPr>
          <w:rFonts w:ascii="Times New Roman" w:hAnsi="Times New Roman"/>
          <w:sz w:val="26"/>
          <w:szCs w:val="26"/>
        </w:rPr>
        <w:t xml:space="preserve"> it provides for a level of increased annual operating revenues that </w:t>
      </w:r>
      <w:r w:rsidR="00936F8A">
        <w:rPr>
          <w:rFonts w:ascii="Times New Roman" w:hAnsi="Times New Roman"/>
          <w:sz w:val="26"/>
          <w:szCs w:val="26"/>
        </w:rPr>
        <w:t>I&amp;E</w:t>
      </w:r>
      <w:r w:rsidRPr="00B274AA">
        <w:rPr>
          <w:rFonts w:ascii="Times New Roman" w:hAnsi="Times New Roman"/>
          <w:sz w:val="26"/>
          <w:szCs w:val="26"/>
        </w:rPr>
        <w:t xml:space="preserve"> has determined is fair, reasonable and lawful.  </w:t>
      </w:r>
      <w:r>
        <w:rPr>
          <w:rFonts w:ascii="Times New Roman" w:hAnsi="Times New Roman"/>
          <w:sz w:val="26"/>
          <w:szCs w:val="26"/>
        </w:rPr>
        <w:t>R.D.</w:t>
      </w:r>
      <w:r w:rsidR="00936F8A">
        <w:rPr>
          <w:rFonts w:ascii="Times New Roman" w:hAnsi="Times New Roman"/>
          <w:sz w:val="26"/>
          <w:szCs w:val="26"/>
        </w:rPr>
        <w:t xml:space="preserve"> at</w:t>
      </w:r>
      <w:r>
        <w:rPr>
          <w:rFonts w:ascii="Times New Roman" w:hAnsi="Times New Roman"/>
          <w:sz w:val="26"/>
          <w:szCs w:val="26"/>
        </w:rPr>
        <w:t xml:space="preserve"> 12</w:t>
      </w:r>
      <w:r w:rsidR="00936F8A">
        <w:rPr>
          <w:rFonts w:ascii="Times New Roman" w:hAnsi="Times New Roman"/>
          <w:sz w:val="26"/>
          <w:szCs w:val="26"/>
        </w:rPr>
        <w:t xml:space="preserve"> (</w:t>
      </w:r>
      <w:r>
        <w:rPr>
          <w:rFonts w:ascii="Times New Roman" w:hAnsi="Times New Roman"/>
          <w:sz w:val="26"/>
          <w:szCs w:val="26"/>
        </w:rPr>
        <w:t xml:space="preserve">citing </w:t>
      </w:r>
      <w:proofErr w:type="gramStart"/>
      <w:r w:rsidRPr="00B274AA">
        <w:rPr>
          <w:rFonts w:ascii="Times New Roman" w:hAnsi="Times New Roman"/>
          <w:sz w:val="26"/>
          <w:szCs w:val="26"/>
        </w:rPr>
        <w:t>I&amp;E</w:t>
      </w:r>
      <w:proofErr w:type="gramEnd"/>
      <w:r w:rsidRPr="00B274AA">
        <w:rPr>
          <w:rFonts w:ascii="Times New Roman" w:hAnsi="Times New Roman"/>
          <w:sz w:val="26"/>
          <w:szCs w:val="26"/>
        </w:rPr>
        <w:t xml:space="preserve"> Statement in Support at 4</w:t>
      </w:r>
      <w:r>
        <w:rPr>
          <w:rFonts w:ascii="Times New Roman" w:hAnsi="Times New Roman"/>
          <w:sz w:val="26"/>
          <w:szCs w:val="26"/>
        </w:rPr>
        <w:t>)</w:t>
      </w:r>
      <w:r w:rsidRPr="00B274AA">
        <w:rPr>
          <w:rFonts w:ascii="Times New Roman" w:hAnsi="Times New Roman"/>
          <w:sz w:val="26"/>
          <w:szCs w:val="26"/>
        </w:rPr>
        <w:t xml:space="preserve">.  </w:t>
      </w:r>
    </w:p>
    <w:p w:rsidR="00B274AA" w:rsidRDefault="00B274AA" w:rsidP="00B274AA">
      <w:pPr>
        <w:pStyle w:val="NoSpacing"/>
        <w:spacing w:line="360" w:lineRule="auto"/>
        <w:ind w:firstLine="1440"/>
        <w:rPr>
          <w:rFonts w:ascii="Times New Roman" w:hAnsi="Times New Roman"/>
          <w:sz w:val="26"/>
          <w:szCs w:val="26"/>
        </w:rPr>
      </w:pPr>
    </w:p>
    <w:p w:rsidR="00B274AA" w:rsidRPr="00B274AA" w:rsidRDefault="009E0913" w:rsidP="00B274AA">
      <w:pPr>
        <w:pStyle w:val="NoSpacing"/>
        <w:spacing w:line="360" w:lineRule="auto"/>
        <w:ind w:firstLine="1440"/>
        <w:rPr>
          <w:rFonts w:ascii="Times New Roman" w:hAnsi="Times New Roman"/>
          <w:sz w:val="26"/>
          <w:szCs w:val="26"/>
        </w:rPr>
      </w:pPr>
      <w:r>
        <w:rPr>
          <w:rFonts w:ascii="Times New Roman" w:hAnsi="Times New Roman"/>
          <w:sz w:val="26"/>
          <w:szCs w:val="26"/>
        </w:rPr>
        <w:t xml:space="preserve">The </w:t>
      </w:r>
      <w:r w:rsidR="00B274AA" w:rsidRPr="00B274AA">
        <w:rPr>
          <w:rFonts w:ascii="Times New Roman" w:hAnsi="Times New Roman"/>
          <w:sz w:val="26"/>
          <w:szCs w:val="26"/>
        </w:rPr>
        <w:t xml:space="preserve">OSBA </w:t>
      </w:r>
      <w:r w:rsidR="00B274AA">
        <w:rPr>
          <w:rFonts w:ascii="Times New Roman" w:hAnsi="Times New Roman"/>
          <w:sz w:val="26"/>
          <w:szCs w:val="26"/>
        </w:rPr>
        <w:t xml:space="preserve">also </w:t>
      </w:r>
      <w:r w:rsidR="00B274AA" w:rsidRPr="00B274AA">
        <w:rPr>
          <w:rFonts w:ascii="Times New Roman" w:hAnsi="Times New Roman"/>
          <w:sz w:val="26"/>
          <w:szCs w:val="26"/>
        </w:rPr>
        <w:t xml:space="preserve">concurred with the revenue requirement reached in the Settlement.  </w:t>
      </w:r>
      <w:proofErr w:type="gramStart"/>
      <w:r w:rsidR="00B274AA">
        <w:rPr>
          <w:rFonts w:ascii="Times New Roman" w:hAnsi="Times New Roman"/>
          <w:sz w:val="26"/>
          <w:szCs w:val="26"/>
        </w:rPr>
        <w:t>R.D.</w:t>
      </w:r>
      <w:r w:rsidR="00936F8A">
        <w:rPr>
          <w:rFonts w:ascii="Times New Roman" w:hAnsi="Times New Roman"/>
          <w:sz w:val="26"/>
          <w:szCs w:val="26"/>
        </w:rPr>
        <w:t xml:space="preserve"> at</w:t>
      </w:r>
      <w:r w:rsidR="00B274AA">
        <w:rPr>
          <w:rFonts w:ascii="Times New Roman" w:hAnsi="Times New Roman"/>
          <w:sz w:val="26"/>
          <w:szCs w:val="26"/>
        </w:rPr>
        <w:t xml:space="preserve"> 12 </w:t>
      </w:r>
      <w:r w:rsidR="00936F8A">
        <w:rPr>
          <w:rFonts w:ascii="Times New Roman" w:hAnsi="Times New Roman"/>
          <w:sz w:val="26"/>
          <w:szCs w:val="26"/>
        </w:rPr>
        <w:t>(</w:t>
      </w:r>
      <w:r w:rsidR="00B274AA">
        <w:rPr>
          <w:rFonts w:ascii="Times New Roman" w:hAnsi="Times New Roman"/>
          <w:sz w:val="26"/>
          <w:szCs w:val="26"/>
        </w:rPr>
        <w:t xml:space="preserve">citing </w:t>
      </w:r>
      <w:r w:rsidR="00B274AA" w:rsidRPr="00B274AA">
        <w:rPr>
          <w:rFonts w:ascii="Times New Roman" w:hAnsi="Times New Roman"/>
          <w:sz w:val="26"/>
          <w:szCs w:val="26"/>
        </w:rPr>
        <w:t>OSBA Statement in Support at 2</w:t>
      </w:r>
      <w:r w:rsidR="00B274AA">
        <w:rPr>
          <w:rFonts w:ascii="Times New Roman" w:hAnsi="Times New Roman"/>
          <w:sz w:val="26"/>
          <w:szCs w:val="26"/>
        </w:rPr>
        <w:t>)</w:t>
      </w:r>
      <w:r w:rsidR="00B274AA" w:rsidRPr="00B274AA">
        <w:rPr>
          <w:rFonts w:ascii="Times New Roman" w:hAnsi="Times New Roman"/>
          <w:sz w:val="26"/>
          <w:szCs w:val="26"/>
        </w:rPr>
        <w:t>.</w:t>
      </w:r>
      <w:proofErr w:type="gramEnd"/>
      <w:r w:rsidR="00687BB9">
        <w:rPr>
          <w:rFonts w:ascii="Times New Roman" w:hAnsi="Times New Roman"/>
          <w:sz w:val="26"/>
          <w:szCs w:val="26"/>
        </w:rPr>
        <w:t xml:space="preserve">  The concern and testimony of </w:t>
      </w:r>
      <w:r>
        <w:rPr>
          <w:rFonts w:ascii="Times New Roman" w:hAnsi="Times New Roman"/>
          <w:sz w:val="26"/>
          <w:szCs w:val="26"/>
        </w:rPr>
        <w:t xml:space="preserve">the </w:t>
      </w:r>
      <w:r w:rsidR="00687BB9">
        <w:rPr>
          <w:rFonts w:ascii="Times New Roman" w:hAnsi="Times New Roman"/>
          <w:sz w:val="26"/>
          <w:szCs w:val="26"/>
        </w:rPr>
        <w:t xml:space="preserve">OSBA </w:t>
      </w:r>
      <w:r w:rsidR="000250F6">
        <w:rPr>
          <w:rFonts w:ascii="Times New Roman" w:hAnsi="Times New Roman"/>
          <w:sz w:val="26"/>
          <w:szCs w:val="26"/>
        </w:rPr>
        <w:t xml:space="preserve">in this proceeding </w:t>
      </w:r>
      <w:r w:rsidR="00687BB9">
        <w:rPr>
          <w:rFonts w:ascii="Times New Roman" w:hAnsi="Times New Roman"/>
          <w:sz w:val="26"/>
          <w:szCs w:val="26"/>
        </w:rPr>
        <w:t xml:space="preserve">focused on cost allocation and revenue allocation. </w:t>
      </w:r>
    </w:p>
    <w:p w:rsidR="00687BB9" w:rsidRDefault="00687BB9" w:rsidP="007831C8">
      <w:pPr>
        <w:pStyle w:val="NoSpacing"/>
        <w:spacing w:line="360" w:lineRule="auto"/>
        <w:ind w:firstLine="1440"/>
        <w:rPr>
          <w:rFonts w:ascii="Times New Roman" w:hAnsi="Times New Roman"/>
          <w:sz w:val="24"/>
          <w:szCs w:val="24"/>
        </w:rPr>
      </w:pPr>
    </w:p>
    <w:p w:rsidR="007831C8" w:rsidRPr="00687BB9" w:rsidRDefault="00687BB9" w:rsidP="00687BB9">
      <w:pPr>
        <w:pStyle w:val="NoSpacing"/>
        <w:spacing w:line="360" w:lineRule="auto"/>
        <w:rPr>
          <w:rFonts w:ascii="Times New Roman" w:hAnsi="Times New Roman"/>
          <w:sz w:val="26"/>
          <w:szCs w:val="26"/>
        </w:rPr>
      </w:pPr>
      <w:r w:rsidRPr="00687BB9">
        <w:rPr>
          <w:rFonts w:ascii="Times New Roman" w:hAnsi="Times New Roman"/>
          <w:sz w:val="26"/>
          <w:szCs w:val="26"/>
        </w:rPr>
        <w:tab/>
        <w:t>“</w:t>
      </w:r>
      <w:r w:rsidRPr="00687BB9">
        <w:rPr>
          <w:rFonts w:ascii="Times New Roman" w:hAnsi="Times New Roman"/>
          <w:b/>
          <w:sz w:val="26"/>
          <w:szCs w:val="26"/>
        </w:rPr>
        <w:t>Stay Out” Provision</w:t>
      </w:r>
      <w:r w:rsidR="007831C8" w:rsidRPr="00687BB9">
        <w:rPr>
          <w:rFonts w:ascii="Times New Roman" w:hAnsi="Times New Roman"/>
          <w:sz w:val="26"/>
          <w:szCs w:val="26"/>
        </w:rPr>
        <w:t xml:space="preserve"> </w:t>
      </w:r>
    </w:p>
    <w:p w:rsidR="007831C8" w:rsidRPr="007831C8" w:rsidRDefault="007831C8" w:rsidP="007831C8">
      <w:pPr>
        <w:widowControl/>
        <w:autoSpaceDE w:val="0"/>
        <w:autoSpaceDN w:val="0"/>
        <w:adjustRightInd w:val="0"/>
        <w:spacing w:line="360" w:lineRule="auto"/>
        <w:ind w:firstLine="1440"/>
        <w:rPr>
          <w:rFonts w:eastAsiaTheme="minorHAnsi"/>
          <w:sz w:val="26"/>
          <w:szCs w:val="26"/>
        </w:rPr>
      </w:pPr>
      <w:r w:rsidRPr="007831C8">
        <w:rPr>
          <w:sz w:val="26"/>
          <w:szCs w:val="26"/>
        </w:rPr>
        <w:t xml:space="preserve">  </w:t>
      </w:r>
    </w:p>
    <w:p w:rsidR="00192C38" w:rsidRPr="00E6204F" w:rsidRDefault="00034A50" w:rsidP="00192C38">
      <w:pPr>
        <w:spacing w:line="360" w:lineRule="auto"/>
        <w:ind w:firstLine="1440"/>
        <w:rPr>
          <w:sz w:val="24"/>
          <w:szCs w:val="24"/>
        </w:rPr>
      </w:pPr>
      <w:r w:rsidRPr="00192C38">
        <w:rPr>
          <w:rFonts w:eastAsiaTheme="minorHAnsi"/>
          <w:sz w:val="26"/>
          <w:szCs w:val="26"/>
        </w:rPr>
        <w:t xml:space="preserve">In the Settlement, Pike </w:t>
      </w:r>
      <w:r w:rsidR="00192C38">
        <w:rPr>
          <w:rFonts w:eastAsiaTheme="minorHAnsi"/>
          <w:sz w:val="26"/>
          <w:szCs w:val="26"/>
        </w:rPr>
        <w:t xml:space="preserve">County </w:t>
      </w:r>
      <w:r w:rsidRPr="00192C38">
        <w:rPr>
          <w:rFonts w:eastAsiaTheme="minorHAnsi"/>
          <w:sz w:val="26"/>
          <w:szCs w:val="26"/>
        </w:rPr>
        <w:t>has agreed to a “stay-out” provision</w:t>
      </w:r>
      <w:r w:rsidR="00192C38" w:rsidRPr="00192C38">
        <w:rPr>
          <w:rFonts w:eastAsiaTheme="minorHAnsi"/>
          <w:sz w:val="26"/>
          <w:szCs w:val="26"/>
        </w:rPr>
        <w:t>.</w:t>
      </w:r>
      <w:r w:rsidR="00192C38">
        <w:rPr>
          <w:rFonts w:eastAsiaTheme="minorHAnsi"/>
          <w:sz w:val="26"/>
          <w:szCs w:val="26"/>
        </w:rPr>
        <w:t xml:space="preserve">  Consequently,</w:t>
      </w:r>
      <w:r w:rsidR="00192C38" w:rsidRPr="00192C38">
        <w:rPr>
          <w:rFonts w:eastAsiaTheme="minorHAnsi"/>
          <w:sz w:val="26"/>
          <w:szCs w:val="26"/>
        </w:rPr>
        <w:t xml:space="preserve"> unless certain specified contingencies occur, the terms of the Settlement provide that Pike County will not seek another voluntary change in base rates prior to September 1, 2016. </w:t>
      </w:r>
      <w:r w:rsidR="00192C38">
        <w:rPr>
          <w:rFonts w:eastAsiaTheme="minorHAnsi"/>
          <w:sz w:val="26"/>
          <w:szCs w:val="26"/>
        </w:rPr>
        <w:t xml:space="preserve"> </w:t>
      </w:r>
      <w:r w:rsidR="00192C38" w:rsidRPr="00192C38">
        <w:rPr>
          <w:rFonts w:eastAsiaTheme="minorHAnsi"/>
          <w:sz w:val="26"/>
          <w:szCs w:val="26"/>
        </w:rPr>
        <w:t xml:space="preserve">This means that, under normal circumstances, the new rates will </w:t>
      </w:r>
      <w:r w:rsidR="008F2399">
        <w:rPr>
          <w:rFonts w:eastAsiaTheme="minorHAnsi"/>
          <w:sz w:val="26"/>
          <w:szCs w:val="26"/>
        </w:rPr>
        <w:t xml:space="preserve">not </w:t>
      </w:r>
      <w:r w:rsidR="00192C38" w:rsidRPr="00192C38">
        <w:rPr>
          <w:rFonts w:eastAsiaTheme="minorHAnsi"/>
          <w:sz w:val="26"/>
          <w:szCs w:val="26"/>
        </w:rPr>
        <w:t>become effective</w:t>
      </w:r>
      <w:r w:rsidR="008F2399">
        <w:rPr>
          <w:rFonts w:eastAsiaTheme="minorHAnsi"/>
          <w:sz w:val="26"/>
          <w:szCs w:val="26"/>
        </w:rPr>
        <w:t xml:space="preserve"> until on or before,</w:t>
      </w:r>
      <w:r w:rsidR="00192C38" w:rsidRPr="00192C38">
        <w:rPr>
          <w:rFonts w:eastAsiaTheme="minorHAnsi"/>
          <w:sz w:val="26"/>
          <w:szCs w:val="26"/>
        </w:rPr>
        <w:t xml:space="preserve"> June 1,</w:t>
      </w:r>
      <w:r w:rsidR="008F2399">
        <w:rPr>
          <w:rFonts w:eastAsiaTheme="minorHAnsi"/>
          <w:sz w:val="26"/>
          <w:szCs w:val="26"/>
        </w:rPr>
        <w:t xml:space="preserve"> 2017</w:t>
      </w:r>
      <w:r w:rsidR="00192C38" w:rsidRPr="00192C38">
        <w:rPr>
          <w:rFonts w:eastAsiaTheme="minorHAnsi"/>
          <w:sz w:val="26"/>
          <w:szCs w:val="26"/>
        </w:rPr>
        <w:t>.</w:t>
      </w:r>
      <w:r w:rsidR="00192C38">
        <w:rPr>
          <w:rFonts w:eastAsiaTheme="minorHAnsi"/>
          <w:sz w:val="26"/>
          <w:szCs w:val="26"/>
        </w:rPr>
        <w:t xml:space="preserve">  </w:t>
      </w:r>
      <w:r w:rsidR="00192C38" w:rsidRPr="00192C38">
        <w:rPr>
          <w:sz w:val="26"/>
          <w:szCs w:val="26"/>
        </w:rPr>
        <w:t xml:space="preserve">The </w:t>
      </w:r>
      <w:r w:rsidR="00484F0F">
        <w:rPr>
          <w:sz w:val="26"/>
          <w:szCs w:val="26"/>
        </w:rPr>
        <w:t>P</w:t>
      </w:r>
      <w:r w:rsidR="00192C38" w:rsidRPr="00192C38">
        <w:rPr>
          <w:sz w:val="26"/>
          <w:szCs w:val="26"/>
        </w:rPr>
        <w:t xml:space="preserve">arties concur that the </w:t>
      </w:r>
      <w:r w:rsidR="00192C38">
        <w:rPr>
          <w:sz w:val="26"/>
          <w:szCs w:val="26"/>
        </w:rPr>
        <w:t>“</w:t>
      </w:r>
      <w:r w:rsidR="00192C38" w:rsidRPr="00192C38">
        <w:rPr>
          <w:sz w:val="26"/>
          <w:szCs w:val="26"/>
        </w:rPr>
        <w:t>stay-out</w:t>
      </w:r>
      <w:r w:rsidR="00192C38">
        <w:rPr>
          <w:sz w:val="26"/>
          <w:szCs w:val="26"/>
        </w:rPr>
        <w:t>” obligation</w:t>
      </w:r>
      <w:r w:rsidR="00192C38" w:rsidRPr="00192C38">
        <w:rPr>
          <w:sz w:val="26"/>
          <w:szCs w:val="26"/>
        </w:rPr>
        <w:t xml:space="preserve"> contributes significantly to rate stability for Pike County’s customers, and is therefore in the public interest. </w:t>
      </w:r>
      <w:r w:rsidR="000250F6">
        <w:rPr>
          <w:sz w:val="26"/>
          <w:szCs w:val="26"/>
        </w:rPr>
        <w:t xml:space="preserve"> </w:t>
      </w:r>
      <w:proofErr w:type="gramStart"/>
      <w:r w:rsidR="00192C38">
        <w:rPr>
          <w:sz w:val="26"/>
          <w:szCs w:val="26"/>
        </w:rPr>
        <w:t>R.D.</w:t>
      </w:r>
      <w:r w:rsidR="00484F0F">
        <w:rPr>
          <w:sz w:val="26"/>
          <w:szCs w:val="26"/>
        </w:rPr>
        <w:t xml:space="preserve"> at</w:t>
      </w:r>
      <w:r w:rsidR="00192C38">
        <w:rPr>
          <w:sz w:val="26"/>
          <w:szCs w:val="26"/>
        </w:rPr>
        <w:t xml:space="preserve"> 12.</w:t>
      </w:r>
      <w:proofErr w:type="gramEnd"/>
    </w:p>
    <w:p w:rsidR="00D123D7" w:rsidRPr="000250F6" w:rsidRDefault="00D123D7" w:rsidP="000250F6">
      <w:pPr>
        <w:pStyle w:val="NoSpacing"/>
        <w:spacing w:line="360" w:lineRule="auto"/>
        <w:ind w:firstLine="1440"/>
        <w:rPr>
          <w:rFonts w:ascii="Times New Roman" w:hAnsi="Times New Roman"/>
          <w:sz w:val="26"/>
          <w:szCs w:val="26"/>
        </w:rPr>
      </w:pPr>
    </w:p>
    <w:p w:rsidR="00B9598A" w:rsidRPr="00034A50" w:rsidRDefault="00B9598A" w:rsidP="00B9598A">
      <w:pPr>
        <w:pStyle w:val="NoSpacing"/>
        <w:spacing w:line="360" w:lineRule="auto"/>
        <w:rPr>
          <w:rFonts w:ascii="Times New Roman" w:hAnsi="Times New Roman"/>
          <w:b/>
          <w:sz w:val="26"/>
          <w:szCs w:val="26"/>
          <w:u w:val="single"/>
        </w:rPr>
      </w:pPr>
      <w:r w:rsidRPr="00034A50">
        <w:rPr>
          <w:rFonts w:ascii="Times New Roman" w:hAnsi="Times New Roman"/>
          <w:b/>
          <w:sz w:val="26"/>
          <w:szCs w:val="26"/>
        </w:rPr>
        <w:t xml:space="preserve"> </w:t>
      </w:r>
      <w:r w:rsidRPr="00034A50">
        <w:rPr>
          <w:rFonts w:ascii="Times New Roman" w:hAnsi="Times New Roman"/>
          <w:b/>
          <w:sz w:val="26"/>
          <w:szCs w:val="26"/>
        </w:rPr>
        <w:tab/>
      </w:r>
      <w:r w:rsidRPr="00E5642C">
        <w:rPr>
          <w:rFonts w:ascii="Times New Roman" w:hAnsi="Times New Roman"/>
          <w:b/>
          <w:sz w:val="26"/>
          <w:szCs w:val="26"/>
        </w:rPr>
        <w:t>Rate Structure</w:t>
      </w:r>
      <w:r w:rsidR="001E78F8">
        <w:rPr>
          <w:rFonts w:ascii="Times New Roman" w:hAnsi="Times New Roman"/>
          <w:b/>
          <w:sz w:val="26"/>
          <w:szCs w:val="26"/>
        </w:rPr>
        <w:t>/</w:t>
      </w:r>
      <w:r w:rsidRPr="00E5642C">
        <w:rPr>
          <w:rFonts w:ascii="Times New Roman" w:hAnsi="Times New Roman"/>
          <w:b/>
          <w:sz w:val="26"/>
          <w:szCs w:val="26"/>
        </w:rPr>
        <w:t>Rate Design</w:t>
      </w:r>
      <w:r>
        <w:rPr>
          <w:rFonts w:ascii="Times New Roman" w:hAnsi="Times New Roman"/>
          <w:b/>
          <w:sz w:val="26"/>
          <w:szCs w:val="26"/>
          <w:u w:val="single"/>
        </w:rPr>
        <w:t xml:space="preserve">  </w:t>
      </w:r>
    </w:p>
    <w:p w:rsidR="00B9598A" w:rsidRDefault="00034A50" w:rsidP="00B9598A">
      <w:pPr>
        <w:spacing w:line="360" w:lineRule="auto"/>
        <w:rPr>
          <w:sz w:val="26"/>
          <w:szCs w:val="26"/>
        </w:rPr>
      </w:pPr>
      <w:r>
        <w:rPr>
          <w:sz w:val="26"/>
          <w:szCs w:val="26"/>
        </w:rPr>
        <w:t xml:space="preserve"> </w:t>
      </w:r>
    </w:p>
    <w:p w:rsidR="00E42232" w:rsidRDefault="009E0913" w:rsidP="00F34B2F">
      <w:pPr>
        <w:spacing w:line="360" w:lineRule="auto"/>
        <w:ind w:firstLine="1440"/>
        <w:rPr>
          <w:sz w:val="26"/>
          <w:szCs w:val="26"/>
        </w:rPr>
      </w:pPr>
      <w:r>
        <w:rPr>
          <w:sz w:val="26"/>
          <w:szCs w:val="26"/>
        </w:rPr>
        <w:t xml:space="preserve">The </w:t>
      </w:r>
      <w:r w:rsidR="00D123D7">
        <w:rPr>
          <w:sz w:val="26"/>
          <w:szCs w:val="26"/>
        </w:rPr>
        <w:t>OSBA supports the Settlement while noting that</w:t>
      </w:r>
      <w:r w:rsidR="00A87BDB">
        <w:rPr>
          <w:sz w:val="26"/>
          <w:szCs w:val="26"/>
        </w:rPr>
        <w:t>,</w:t>
      </w:r>
      <w:r w:rsidR="00D123D7">
        <w:rPr>
          <w:sz w:val="26"/>
          <w:szCs w:val="26"/>
        </w:rPr>
        <w:t xml:space="preserve"> as part of the settlement of Pike</w:t>
      </w:r>
      <w:r w:rsidR="00E5642C">
        <w:rPr>
          <w:sz w:val="26"/>
          <w:szCs w:val="26"/>
        </w:rPr>
        <w:t xml:space="preserve"> County’</w:t>
      </w:r>
      <w:r w:rsidR="00D123D7">
        <w:rPr>
          <w:sz w:val="26"/>
          <w:szCs w:val="26"/>
        </w:rPr>
        <w:t>s pr</w:t>
      </w:r>
      <w:r w:rsidR="00E5642C">
        <w:rPr>
          <w:sz w:val="26"/>
          <w:szCs w:val="26"/>
        </w:rPr>
        <w:t>ior</w:t>
      </w:r>
      <w:r w:rsidR="00D123D7">
        <w:rPr>
          <w:sz w:val="26"/>
          <w:szCs w:val="26"/>
        </w:rPr>
        <w:t xml:space="preserve"> rate case, filed in 2008, </w:t>
      </w:r>
      <w:r w:rsidR="00E5642C">
        <w:rPr>
          <w:sz w:val="26"/>
          <w:szCs w:val="26"/>
        </w:rPr>
        <w:t xml:space="preserve">the </w:t>
      </w:r>
      <w:r w:rsidR="00A87BDB">
        <w:rPr>
          <w:sz w:val="26"/>
          <w:szCs w:val="26"/>
        </w:rPr>
        <w:t>C</w:t>
      </w:r>
      <w:r w:rsidR="00E5642C">
        <w:rPr>
          <w:sz w:val="26"/>
          <w:szCs w:val="26"/>
        </w:rPr>
        <w:t>ompany</w:t>
      </w:r>
      <w:r w:rsidR="00D123D7">
        <w:rPr>
          <w:sz w:val="26"/>
          <w:szCs w:val="26"/>
        </w:rPr>
        <w:t xml:space="preserve"> agreed to file a cost of service study (COSS)</w:t>
      </w:r>
      <w:r w:rsidR="007438A6">
        <w:rPr>
          <w:sz w:val="26"/>
          <w:szCs w:val="26"/>
        </w:rPr>
        <w:t>,</w:t>
      </w:r>
      <w:r w:rsidR="00D123D7">
        <w:rPr>
          <w:sz w:val="26"/>
          <w:szCs w:val="26"/>
        </w:rPr>
        <w:t xml:space="preserve"> which either incorporated changes proposed by OSBA, or explained why the filing did not incorporate such changes.  </w:t>
      </w:r>
      <w:proofErr w:type="gramStart"/>
      <w:r w:rsidR="00E5642C">
        <w:rPr>
          <w:sz w:val="26"/>
          <w:szCs w:val="26"/>
        </w:rPr>
        <w:t xml:space="preserve">OSBA </w:t>
      </w:r>
      <w:r w:rsidR="00D123D7">
        <w:rPr>
          <w:sz w:val="26"/>
          <w:szCs w:val="26"/>
        </w:rPr>
        <w:t>Statement</w:t>
      </w:r>
      <w:r w:rsidR="00E5642C">
        <w:rPr>
          <w:sz w:val="26"/>
          <w:szCs w:val="26"/>
        </w:rPr>
        <w:t xml:space="preserve"> in Support</w:t>
      </w:r>
      <w:r w:rsidR="00A87BDB">
        <w:rPr>
          <w:sz w:val="26"/>
          <w:szCs w:val="26"/>
        </w:rPr>
        <w:t xml:space="preserve"> at</w:t>
      </w:r>
      <w:r w:rsidR="00D123D7">
        <w:rPr>
          <w:sz w:val="26"/>
          <w:szCs w:val="26"/>
        </w:rPr>
        <w:t xml:space="preserve"> 2.</w:t>
      </w:r>
      <w:proofErr w:type="gramEnd"/>
      <w:r w:rsidR="00D123D7">
        <w:rPr>
          <w:sz w:val="26"/>
          <w:szCs w:val="26"/>
        </w:rPr>
        <w:t xml:space="preserve">  This was not accomplished to </w:t>
      </w:r>
      <w:r w:rsidR="007438A6">
        <w:rPr>
          <w:sz w:val="26"/>
          <w:szCs w:val="26"/>
        </w:rPr>
        <w:t xml:space="preserve">the </w:t>
      </w:r>
      <w:r w:rsidR="00D123D7">
        <w:rPr>
          <w:sz w:val="26"/>
          <w:szCs w:val="26"/>
        </w:rPr>
        <w:t xml:space="preserve">OSBA’s satisfaction in this proceeding.  </w:t>
      </w:r>
      <w:r w:rsidR="007438A6">
        <w:rPr>
          <w:sz w:val="26"/>
          <w:szCs w:val="26"/>
        </w:rPr>
        <w:t xml:space="preserve">The </w:t>
      </w:r>
      <w:r w:rsidR="00D123D7">
        <w:rPr>
          <w:sz w:val="26"/>
          <w:szCs w:val="26"/>
        </w:rPr>
        <w:t xml:space="preserve">OSBA also notes that it experienced difficulty in obtaining updated cost of service information from the </w:t>
      </w:r>
      <w:r w:rsidR="00713940">
        <w:rPr>
          <w:sz w:val="26"/>
          <w:szCs w:val="26"/>
        </w:rPr>
        <w:t>C</w:t>
      </w:r>
      <w:r w:rsidR="00D123D7">
        <w:rPr>
          <w:sz w:val="26"/>
          <w:szCs w:val="26"/>
        </w:rPr>
        <w:t xml:space="preserve">ompany.  </w:t>
      </w:r>
      <w:r w:rsidR="00D123D7">
        <w:rPr>
          <w:i/>
          <w:sz w:val="26"/>
          <w:szCs w:val="26"/>
        </w:rPr>
        <w:t>Id</w:t>
      </w:r>
      <w:r w:rsidR="00D123D7">
        <w:rPr>
          <w:sz w:val="26"/>
          <w:szCs w:val="26"/>
        </w:rPr>
        <w:t xml:space="preserve">.  </w:t>
      </w:r>
      <w:r w:rsidR="007438A6">
        <w:rPr>
          <w:sz w:val="26"/>
          <w:szCs w:val="26"/>
        </w:rPr>
        <w:t xml:space="preserve">The </w:t>
      </w:r>
      <w:r w:rsidR="00D123D7">
        <w:rPr>
          <w:sz w:val="26"/>
          <w:szCs w:val="26"/>
        </w:rPr>
        <w:t>OSBA anticipates that</w:t>
      </w:r>
      <w:r w:rsidR="00713940">
        <w:rPr>
          <w:sz w:val="26"/>
          <w:szCs w:val="26"/>
        </w:rPr>
        <w:t>,</w:t>
      </w:r>
      <w:r w:rsidR="00D123D7">
        <w:rPr>
          <w:sz w:val="26"/>
          <w:szCs w:val="26"/>
        </w:rPr>
        <w:t xml:space="preserve"> in Pike</w:t>
      </w:r>
      <w:r w:rsidR="00E5642C">
        <w:rPr>
          <w:sz w:val="26"/>
          <w:szCs w:val="26"/>
        </w:rPr>
        <w:t xml:space="preserve"> County</w:t>
      </w:r>
      <w:r w:rsidR="00D123D7">
        <w:rPr>
          <w:sz w:val="26"/>
          <w:szCs w:val="26"/>
        </w:rPr>
        <w:t xml:space="preserve">’s next rate filing, a more detailed and complete cost analysis will be provided in support of said filing.  </w:t>
      </w:r>
      <w:r w:rsidR="000250F6">
        <w:rPr>
          <w:sz w:val="26"/>
          <w:szCs w:val="26"/>
        </w:rPr>
        <w:t xml:space="preserve">OSBA </w:t>
      </w:r>
      <w:r w:rsidR="00D123D7">
        <w:rPr>
          <w:sz w:val="26"/>
          <w:szCs w:val="26"/>
        </w:rPr>
        <w:t>Statement</w:t>
      </w:r>
      <w:r w:rsidR="00713940">
        <w:rPr>
          <w:sz w:val="26"/>
          <w:szCs w:val="26"/>
        </w:rPr>
        <w:t xml:space="preserve"> in Support at </w:t>
      </w:r>
      <w:r w:rsidR="00D123D7">
        <w:rPr>
          <w:sz w:val="26"/>
          <w:szCs w:val="26"/>
        </w:rPr>
        <w:t xml:space="preserve">2-3.      </w:t>
      </w:r>
      <w:r w:rsidR="00034A50">
        <w:rPr>
          <w:sz w:val="26"/>
          <w:szCs w:val="26"/>
        </w:rPr>
        <w:t xml:space="preserve">  </w:t>
      </w:r>
    </w:p>
    <w:p w:rsidR="00CA43A5" w:rsidRDefault="00CA43A5" w:rsidP="00CA43A5">
      <w:pPr>
        <w:spacing w:line="360" w:lineRule="auto"/>
        <w:ind w:firstLine="1440"/>
        <w:rPr>
          <w:sz w:val="26"/>
          <w:szCs w:val="26"/>
        </w:rPr>
      </w:pPr>
    </w:p>
    <w:p w:rsidR="00D123D7" w:rsidRDefault="00D123D7" w:rsidP="00E5642C">
      <w:pPr>
        <w:spacing w:line="360" w:lineRule="auto"/>
        <w:ind w:firstLine="1440"/>
        <w:rPr>
          <w:sz w:val="26"/>
          <w:szCs w:val="26"/>
        </w:rPr>
      </w:pPr>
      <w:r>
        <w:rPr>
          <w:sz w:val="26"/>
          <w:szCs w:val="26"/>
        </w:rPr>
        <w:t>Regarding rate design changes, ALJ Pell summarized the pertinent components of the Settlement</w:t>
      </w:r>
      <w:r w:rsidR="000250F6">
        <w:rPr>
          <w:sz w:val="26"/>
          <w:szCs w:val="26"/>
        </w:rPr>
        <w:t xml:space="preserve"> as follows</w:t>
      </w:r>
      <w:r>
        <w:rPr>
          <w:sz w:val="26"/>
          <w:szCs w:val="26"/>
        </w:rPr>
        <w:t>:</w:t>
      </w:r>
    </w:p>
    <w:p w:rsidR="004D7B1A" w:rsidRDefault="004D7B1A" w:rsidP="00D123D7">
      <w:pPr>
        <w:pStyle w:val="NoSpacing"/>
        <w:ind w:left="720" w:right="720"/>
        <w:rPr>
          <w:rFonts w:ascii="Times New Roman" w:hAnsi="Times New Roman"/>
          <w:sz w:val="26"/>
          <w:szCs w:val="26"/>
        </w:rPr>
      </w:pPr>
    </w:p>
    <w:p w:rsidR="00D123D7" w:rsidRDefault="00D123D7" w:rsidP="004B500E">
      <w:pPr>
        <w:pStyle w:val="NoSpacing"/>
        <w:ind w:left="1440" w:right="1440"/>
        <w:rPr>
          <w:rFonts w:ascii="Times New Roman" w:hAnsi="Times New Roman"/>
          <w:sz w:val="26"/>
          <w:szCs w:val="26"/>
        </w:rPr>
      </w:pPr>
      <w:r w:rsidRPr="00D123D7">
        <w:rPr>
          <w:rFonts w:ascii="Times New Roman" w:hAnsi="Times New Roman"/>
          <w:sz w:val="26"/>
          <w:szCs w:val="26"/>
        </w:rPr>
        <w:t>The parties have agreed to customer charges that are lower than those proposed by the company in its original filing.  For Service Classification No. 1 (SC-1), the Customer Charge will be set at $8.50; for SC-2 Secondary Demand and Non-</w:t>
      </w:r>
      <w:r w:rsidRPr="00D123D7">
        <w:rPr>
          <w:rFonts w:ascii="Times New Roman" w:hAnsi="Times New Roman"/>
          <w:sz w:val="26"/>
          <w:szCs w:val="26"/>
        </w:rPr>
        <w:lastRenderedPageBreak/>
        <w:t>Demand Billed, the charge will be $13.60 and for SC-2 Primary, the charge will be $109.90.  Also, the parties agree to eliminate the block rate structures for the SC-1 (usage), SC-2 Non-Demand Metered (usage), and SC-2 Primary (usage and demand) classes while reallocating revenue from usage to demand charges for SC-2 Primary.  For the SC-2 Secondary Demand Billed class, the parties agree to move the current five block structure for usage rates to a three block structure (i.e., three block limits at 100 HU of billing demand, 200 HU of billing demand, and 300 HU of billing demand) and to decrease the rate differentials for usage and demand by 33% for the class.  Pike County maintained that these fixed customer charges and rate structure changes are just and reasonable.  Pike County Statement in Support at 4.</w:t>
      </w:r>
    </w:p>
    <w:p w:rsidR="004D7B1A" w:rsidRPr="00D123D7" w:rsidRDefault="004D7B1A" w:rsidP="00D123D7">
      <w:pPr>
        <w:pStyle w:val="NoSpacing"/>
        <w:ind w:left="720" w:right="720"/>
        <w:rPr>
          <w:rFonts w:ascii="Times New Roman" w:hAnsi="Times New Roman"/>
          <w:sz w:val="26"/>
          <w:szCs w:val="26"/>
        </w:rPr>
      </w:pPr>
    </w:p>
    <w:p w:rsidR="00D123D7" w:rsidRDefault="00D123D7" w:rsidP="004B500E">
      <w:pPr>
        <w:spacing w:line="360" w:lineRule="auto"/>
        <w:rPr>
          <w:sz w:val="26"/>
          <w:szCs w:val="26"/>
        </w:rPr>
      </w:pPr>
      <w:proofErr w:type="gramStart"/>
      <w:r>
        <w:rPr>
          <w:sz w:val="26"/>
          <w:szCs w:val="26"/>
        </w:rPr>
        <w:t>R.D.</w:t>
      </w:r>
      <w:r w:rsidR="004D7B1A">
        <w:rPr>
          <w:sz w:val="26"/>
          <w:szCs w:val="26"/>
        </w:rPr>
        <w:t xml:space="preserve"> at</w:t>
      </w:r>
      <w:r>
        <w:rPr>
          <w:sz w:val="26"/>
          <w:szCs w:val="26"/>
        </w:rPr>
        <w:t xml:space="preserve"> 13.</w:t>
      </w:r>
      <w:proofErr w:type="gramEnd"/>
    </w:p>
    <w:p w:rsidR="00D123D7" w:rsidRDefault="00D123D7" w:rsidP="004B500E">
      <w:pPr>
        <w:spacing w:line="360" w:lineRule="auto"/>
        <w:rPr>
          <w:sz w:val="26"/>
          <w:szCs w:val="26"/>
        </w:rPr>
      </w:pPr>
    </w:p>
    <w:p w:rsidR="0028302E" w:rsidRDefault="00524514" w:rsidP="00524514">
      <w:pPr>
        <w:spacing w:line="360" w:lineRule="auto"/>
        <w:ind w:firstLine="1440"/>
        <w:rPr>
          <w:sz w:val="26"/>
          <w:szCs w:val="26"/>
        </w:rPr>
      </w:pPr>
      <w:r>
        <w:rPr>
          <w:sz w:val="26"/>
          <w:szCs w:val="26"/>
        </w:rPr>
        <w:t>The Settlement further reduced the proposed increases to the Customer Charge</w:t>
      </w:r>
      <w:r w:rsidR="0028302E">
        <w:rPr>
          <w:sz w:val="26"/>
          <w:szCs w:val="26"/>
        </w:rPr>
        <w:t xml:space="preserve"> as explained by ALJ Pell:</w:t>
      </w:r>
    </w:p>
    <w:p w:rsidR="0028302E" w:rsidRDefault="0028302E" w:rsidP="00524514">
      <w:pPr>
        <w:spacing w:line="360" w:lineRule="auto"/>
        <w:ind w:firstLine="1440"/>
        <w:rPr>
          <w:sz w:val="26"/>
          <w:szCs w:val="26"/>
        </w:rPr>
      </w:pPr>
    </w:p>
    <w:p w:rsidR="00CD5F9E" w:rsidRDefault="0028302E" w:rsidP="004B500E">
      <w:pPr>
        <w:ind w:left="1440" w:right="1440"/>
        <w:rPr>
          <w:sz w:val="26"/>
          <w:szCs w:val="26"/>
        </w:rPr>
      </w:pPr>
      <w:r>
        <w:rPr>
          <w:sz w:val="26"/>
          <w:szCs w:val="26"/>
        </w:rPr>
        <w:t xml:space="preserve">. . . </w:t>
      </w:r>
      <w:r w:rsidRPr="0028302E">
        <w:rPr>
          <w:sz w:val="26"/>
          <w:szCs w:val="26"/>
        </w:rPr>
        <w:t xml:space="preserve">Pike County proposed to increase the monthly Customer Charge by $4.10 from its current rate of $6.25 to $10.35 for residential customers, which would have been an increase of 65.6%.  Under the terms of the Settlement, Pike County agreed to limit the increase in its residential Customer Charge to $2.25, bringing the Customer Charge to $8.50 for residential customers.  The settlement would provide for an increase of approximately 36% in the customer charge, as opposed to the company’s original proposal to increase the customer charge by over 65%.  OCA noted that the Settlement adopts the OCA’s methodology for developing customer charges as detailed by its witness Scott Rubin.  </w:t>
      </w:r>
      <w:proofErr w:type="gramStart"/>
      <w:r w:rsidRPr="0028302E">
        <w:rPr>
          <w:sz w:val="26"/>
          <w:szCs w:val="26"/>
        </w:rPr>
        <w:t>OCA St. 3 at 23; OCA Statement in Support at 5.</w:t>
      </w:r>
      <w:proofErr w:type="gramEnd"/>
    </w:p>
    <w:p w:rsidR="00D123D7" w:rsidRPr="0028302E" w:rsidRDefault="00D123D7" w:rsidP="004B500E">
      <w:pPr>
        <w:ind w:left="1440" w:right="1440"/>
        <w:rPr>
          <w:sz w:val="26"/>
          <w:szCs w:val="26"/>
        </w:rPr>
      </w:pPr>
      <w:r w:rsidRPr="0028302E">
        <w:rPr>
          <w:sz w:val="26"/>
          <w:szCs w:val="26"/>
        </w:rPr>
        <w:t xml:space="preserve"> </w:t>
      </w:r>
    </w:p>
    <w:p w:rsidR="00D123D7" w:rsidRDefault="0028302E" w:rsidP="0028302E">
      <w:pPr>
        <w:spacing w:line="360" w:lineRule="auto"/>
        <w:rPr>
          <w:sz w:val="26"/>
          <w:szCs w:val="26"/>
        </w:rPr>
      </w:pPr>
      <w:proofErr w:type="gramStart"/>
      <w:r>
        <w:rPr>
          <w:sz w:val="26"/>
          <w:szCs w:val="26"/>
        </w:rPr>
        <w:t>R.D. at 13.</w:t>
      </w:r>
      <w:proofErr w:type="gramEnd"/>
    </w:p>
    <w:p w:rsidR="0028302E" w:rsidRDefault="0028302E" w:rsidP="0028302E">
      <w:pPr>
        <w:spacing w:line="360" w:lineRule="auto"/>
        <w:ind w:firstLine="1440"/>
        <w:rPr>
          <w:sz w:val="26"/>
          <w:szCs w:val="26"/>
        </w:rPr>
      </w:pPr>
    </w:p>
    <w:p w:rsidR="00A96998" w:rsidRPr="000250F6" w:rsidRDefault="007438A6" w:rsidP="00A96998">
      <w:pPr>
        <w:pStyle w:val="NoSpacing"/>
        <w:spacing w:line="360" w:lineRule="auto"/>
        <w:ind w:firstLine="1440"/>
        <w:rPr>
          <w:rFonts w:ascii="Times New Roman" w:hAnsi="Times New Roman"/>
          <w:sz w:val="26"/>
          <w:szCs w:val="26"/>
        </w:rPr>
      </w:pPr>
      <w:r>
        <w:rPr>
          <w:rFonts w:ascii="Times New Roman" w:hAnsi="Times New Roman"/>
          <w:sz w:val="26"/>
          <w:szCs w:val="26"/>
        </w:rPr>
        <w:t xml:space="preserve">The </w:t>
      </w:r>
      <w:r w:rsidR="00A96998" w:rsidRPr="00A96998">
        <w:rPr>
          <w:rFonts w:ascii="Times New Roman" w:hAnsi="Times New Roman"/>
          <w:sz w:val="26"/>
          <w:szCs w:val="26"/>
        </w:rPr>
        <w:t xml:space="preserve">OCA noted that Pike County proposed to eliminate its current declining block distribution rate structure for residential customers.  Under the existing </w:t>
      </w:r>
      <w:r w:rsidR="00A96998" w:rsidRPr="00A96998">
        <w:rPr>
          <w:rFonts w:ascii="Times New Roman" w:hAnsi="Times New Roman"/>
          <w:sz w:val="26"/>
          <w:szCs w:val="26"/>
        </w:rPr>
        <w:lastRenderedPageBreak/>
        <w:t>structure, all usage over 1,000 kWh was charged a reduced rate.</w:t>
      </w:r>
      <w:r w:rsidR="00A96998">
        <w:rPr>
          <w:rFonts w:ascii="Times New Roman" w:hAnsi="Times New Roman"/>
          <w:sz w:val="26"/>
          <w:szCs w:val="26"/>
        </w:rPr>
        <w:t xml:space="preserve">  </w:t>
      </w:r>
      <w:proofErr w:type="gramStart"/>
      <w:r w:rsidR="00A96998">
        <w:rPr>
          <w:rFonts w:ascii="Times New Roman" w:hAnsi="Times New Roman"/>
          <w:sz w:val="26"/>
          <w:szCs w:val="26"/>
        </w:rPr>
        <w:t>R.D.</w:t>
      </w:r>
      <w:r w:rsidR="006C29F6">
        <w:rPr>
          <w:rFonts w:ascii="Times New Roman" w:hAnsi="Times New Roman"/>
          <w:sz w:val="26"/>
          <w:szCs w:val="26"/>
        </w:rPr>
        <w:t xml:space="preserve"> at</w:t>
      </w:r>
      <w:r w:rsidR="00A96998">
        <w:rPr>
          <w:rFonts w:ascii="Times New Roman" w:hAnsi="Times New Roman"/>
          <w:sz w:val="26"/>
          <w:szCs w:val="26"/>
        </w:rPr>
        <w:t xml:space="preserve"> 13.</w:t>
      </w:r>
      <w:proofErr w:type="gramEnd"/>
      <w:r w:rsidR="00A96998" w:rsidRPr="00A96998">
        <w:rPr>
          <w:rFonts w:ascii="Times New Roman" w:hAnsi="Times New Roman"/>
          <w:sz w:val="26"/>
          <w:szCs w:val="26"/>
        </w:rPr>
        <w:t xml:space="preserve">  </w:t>
      </w:r>
      <w:r w:rsidR="00A96998">
        <w:rPr>
          <w:rFonts w:ascii="Times New Roman" w:hAnsi="Times New Roman"/>
          <w:sz w:val="26"/>
          <w:szCs w:val="26"/>
        </w:rPr>
        <w:t>T</w:t>
      </w:r>
      <w:r w:rsidR="00A96998" w:rsidRPr="00A96998">
        <w:rPr>
          <w:rFonts w:ascii="Times New Roman" w:hAnsi="Times New Roman"/>
          <w:sz w:val="26"/>
          <w:szCs w:val="26"/>
        </w:rPr>
        <w:t xml:space="preserve">he Settlement provides that the </w:t>
      </w:r>
      <w:r w:rsidR="006C29F6">
        <w:rPr>
          <w:rFonts w:ascii="Times New Roman" w:hAnsi="Times New Roman"/>
          <w:sz w:val="26"/>
          <w:szCs w:val="26"/>
        </w:rPr>
        <w:t>C</w:t>
      </w:r>
      <w:r w:rsidR="00A96998" w:rsidRPr="00A96998">
        <w:rPr>
          <w:rFonts w:ascii="Times New Roman" w:hAnsi="Times New Roman"/>
          <w:sz w:val="26"/>
          <w:szCs w:val="26"/>
        </w:rPr>
        <w:t>ompany will eliminate the block rate structures for the residential class as it initially proposed.</w:t>
      </w:r>
      <w:r w:rsidR="00A96998">
        <w:rPr>
          <w:rFonts w:ascii="Times New Roman" w:hAnsi="Times New Roman"/>
          <w:sz w:val="26"/>
          <w:szCs w:val="26"/>
        </w:rPr>
        <w:t xml:space="preserve">  </w:t>
      </w:r>
      <w:r w:rsidR="000250F6">
        <w:rPr>
          <w:rFonts w:ascii="Times New Roman" w:hAnsi="Times New Roman"/>
          <w:i/>
          <w:sz w:val="26"/>
          <w:szCs w:val="26"/>
        </w:rPr>
        <w:t>Id</w:t>
      </w:r>
      <w:r w:rsidR="000250F6">
        <w:rPr>
          <w:rFonts w:ascii="Times New Roman" w:hAnsi="Times New Roman"/>
          <w:sz w:val="26"/>
          <w:szCs w:val="26"/>
        </w:rPr>
        <w:t>.</w:t>
      </w:r>
    </w:p>
    <w:p w:rsidR="00A96998" w:rsidRDefault="00A96998" w:rsidP="00A96998">
      <w:pPr>
        <w:pStyle w:val="NoSpacing"/>
        <w:spacing w:line="360" w:lineRule="auto"/>
        <w:ind w:firstLine="1440"/>
        <w:rPr>
          <w:rFonts w:ascii="Times New Roman" w:hAnsi="Times New Roman"/>
          <w:sz w:val="26"/>
          <w:szCs w:val="26"/>
        </w:rPr>
      </w:pPr>
    </w:p>
    <w:p w:rsidR="00A96998" w:rsidRPr="00A96998" w:rsidRDefault="00A96998" w:rsidP="00A96998">
      <w:pPr>
        <w:pStyle w:val="NoSpacing"/>
        <w:spacing w:line="360" w:lineRule="auto"/>
        <w:ind w:firstLine="1440"/>
        <w:rPr>
          <w:rFonts w:ascii="Times New Roman" w:hAnsi="Times New Roman"/>
          <w:sz w:val="26"/>
          <w:szCs w:val="26"/>
        </w:rPr>
      </w:pPr>
      <w:r w:rsidRPr="00A96998">
        <w:rPr>
          <w:rFonts w:ascii="Times New Roman" w:hAnsi="Times New Roman"/>
          <w:sz w:val="26"/>
          <w:szCs w:val="26"/>
        </w:rPr>
        <w:t xml:space="preserve">  </w:t>
      </w:r>
      <w:r w:rsidR="007438A6">
        <w:rPr>
          <w:rFonts w:ascii="Times New Roman" w:hAnsi="Times New Roman"/>
          <w:sz w:val="26"/>
          <w:szCs w:val="26"/>
        </w:rPr>
        <w:t xml:space="preserve">The </w:t>
      </w:r>
      <w:r w:rsidRPr="00A96998">
        <w:rPr>
          <w:rFonts w:ascii="Times New Roman" w:hAnsi="Times New Roman"/>
          <w:sz w:val="26"/>
          <w:szCs w:val="26"/>
        </w:rPr>
        <w:t xml:space="preserve">OCA </w:t>
      </w:r>
      <w:r w:rsidR="000250F6">
        <w:rPr>
          <w:rFonts w:ascii="Times New Roman" w:hAnsi="Times New Roman"/>
          <w:sz w:val="26"/>
          <w:szCs w:val="26"/>
        </w:rPr>
        <w:t xml:space="preserve">further </w:t>
      </w:r>
      <w:r w:rsidRPr="00A96998">
        <w:rPr>
          <w:rFonts w:ascii="Times New Roman" w:hAnsi="Times New Roman"/>
          <w:sz w:val="26"/>
          <w:szCs w:val="26"/>
        </w:rPr>
        <w:t>acknowledged that, while its witness</w:t>
      </w:r>
      <w:r w:rsidR="000250F6">
        <w:rPr>
          <w:rFonts w:ascii="Times New Roman" w:hAnsi="Times New Roman"/>
          <w:sz w:val="26"/>
          <w:szCs w:val="26"/>
        </w:rPr>
        <w:t>,</w:t>
      </w:r>
      <w:r w:rsidRPr="00A96998">
        <w:rPr>
          <w:rFonts w:ascii="Times New Roman" w:hAnsi="Times New Roman"/>
          <w:sz w:val="26"/>
          <w:szCs w:val="26"/>
        </w:rPr>
        <w:t xml:space="preserve"> Scott Rubin</w:t>
      </w:r>
      <w:r w:rsidR="000250F6">
        <w:rPr>
          <w:rFonts w:ascii="Times New Roman" w:hAnsi="Times New Roman"/>
          <w:sz w:val="26"/>
          <w:szCs w:val="26"/>
        </w:rPr>
        <w:t>,</w:t>
      </w:r>
      <w:r w:rsidRPr="00A96998">
        <w:rPr>
          <w:rFonts w:ascii="Times New Roman" w:hAnsi="Times New Roman"/>
          <w:sz w:val="26"/>
          <w:szCs w:val="26"/>
        </w:rPr>
        <w:t xml:space="preserve"> did not recommend the elimination of the declining block structure in one step, </w:t>
      </w:r>
      <w:r>
        <w:rPr>
          <w:rFonts w:ascii="Times New Roman" w:hAnsi="Times New Roman"/>
          <w:sz w:val="26"/>
          <w:szCs w:val="26"/>
        </w:rPr>
        <w:t>he</w:t>
      </w:r>
      <w:r w:rsidRPr="00A96998">
        <w:rPr>
          <w:rFonts w:ascii="Times New Roman" w:hAnsi="Times New Roman"/>
          <w:sz w:val="26"/>
          <w:szCs w:val="26"/>
        </w:rPr>
        <w:t xml:space="preserve"> testif</w:t>
      </w:r>
      <w:r w:rsidR="000250F6">
        <w:rPr>
          <w:rFonts w:ascii="Times New Roman" w:hAnsi="Times New Roman"/>
          <w:sz w:val="26"/>
          <w:szCs w:val="26"/>
        </w:rPr>
        <w:t>ied</w:t>
      </w:r>
      <w:r w:rsidRPr="00A96998">
        <w:rPr>
          <w:rFonts w:ascii="Times New Roman" w:hAnsi="Times New Roman"/>
          <w:sz w:val="26"/>
          <w:szCs w:val="26"/>
        </w:rPr>
        <w:t xml:space="preserve"> that there are valid reasons to eliminate declining block rates.</w:t>
      </w:r>
      <w:r>
        <w:rPr>
          <w:rFonts w:ascii="Times New Roman" w:hAnsi="Times New Roman"/>
          <w:sz w:val="26"/>
          <w:szCs w:val="26"/>
        </w:rPr>
        <w:t xml:space="preserve">  </w:t>
      </w:r>
      <w:proofErr w:type="gramStart"/>
      <w:r>
        <w:rPr>
          <w:rFonts w:ascii="Times New Roman" w:hAnsi="Times New Roman"/>
          <w:sz w:val="26"/>
          <w:szCs w:val="26"/>
        </w:rPr>
        <w:t>R.D.</w:t>
      </w:r>
      <w:r w:rsidR="006C29F6">
        <w:rPr>
          <w:rFonts w:ascii="Times New Roman" w:hAnsi="Times New Roman"/>
          <w:sz w:val="26"/>
          <w:szCs w:val="26"/>
        </w:rPr>
        <w:t xml:space="preserve"> at</w:t>
      </w:r>
      <w:r>
        <w:rPr>
          <w:rFonts w:ascii="Times New Roman" w:hAnsi="Times New Roman"/>
          <w:sz w:val="26"/>
          <w:szCs w:val="26"/>
        </w:rPr>
        <w:t xml:space="preserve"> 14, n. 2.</w:t>
      </w:r>
      <w:proofErr w:type="gramEnd"/>
      <w:r>
        <w:rPr>
          <w:rFonts w:ascii="Times New Roman" w:hAnsi="Times New Roman"/>
          <w:sz w:val="26"/>
          <w:szCs w:val="26"/>
        </w:rPr>
        <w:t xml:space="preserve">  D</w:t>
      </w:r>
      <w:r w:rsidRPr="00F27D91">
        <w:rPr>
          <w:rFonts w:ascii="Times New Roman" w:hAnsi="Times New Roman"/>
          <w:sz w:val="26"/>
          <w:szCs w:val="26"/>
        </w:rPr>
        <w:t>eclining block rates</w:t>
      </w:r>
      <w:r>
        <w:rPr>
          <w:rFonts w:ascii="Times New Roman" w:hAnsi="Times New Roman"/>
          <w:sz w:val="26"/>
          <w:szCs w:val="26"/>
        </w:rPr>
        <w:t xml:space="preserve">, as observed by witness Rubin, </w:t>
      </w:r>
      <w:r w:rsidRPr="00F27D91">
        <w:rPr>
          <w:rFonts w:ascii="Times New Roman" w:hAnsi="Times New Roman"/>
          <w:sz w:val="26"/>
          <w:szCs w:val="26"/>
        </w:rPr>
        <w:t>are perceived as being contrary to public policies to encourage the efficient use of electricity and to send consumers a proper price signal to reward conservation efforts</w:t>
      </w:r>
      <w:r>
        <w:rPr>
          <w:rFonts w:ascii="Times New Roman" w:hAnsi="Times New Roman"/>
          <w:sz w:val="26"/>
          <w:szCs w:val="26"/>
        </w:rPr>
        <w:t xml:space="preserve">.  </w:t>
      </w:r>
      <w:proofErr w:type="gramStart"/>
      <w:r>
        <w:rPr>
          <w:rFonts w:ascii="Times New Roman" w:hAnsi="Times New Roman"/>
          <w:i/>
          <w:sz w:val="26"/>
          <w:szCs w:val="26"/>
        </w:rPr>
        <w:t>Id.</w:t>
      </w:r>
      <w:r>
        <w:rPr>
          <w:rFonts w:ascii="Times New Roman" w:hAnsi="Times New Roman"/>
          <w:sz w:val="26"/>
          <w:szCs w:val="26"/>
        </w:rPr>
        <w:t xml:space="preserve"> </w:t>
      </w:r>
      <w:r w:rsidR="006C29F6">
        <w:rPr>
          <w:rFonts w:ascii="Times New Roman" w:hAnsi="Times New Roman"/>
          <w:sz w:val="26"/>
          <w:szCs w:val="26"/>
        </w:rPr>
        <w:t>(</w:t>
      </w:r>
      <w:r w:rsidR="000250F6">
        <w:rPr>
          <w:rFonts w:ascii="Times New Roman" w:hAnsi="Times New Roman"/>
          <w:sz w:val="26"/>
          <w:szCs w:val="26"/>
        </w:rPr>
        <w:t>c</w:t>
      </w:r>
      <w:r>
        <w:rPr>
          <w:rFonts w:ascii="Times New Roman" w:hAnsi="Times New Roman"/>
          <w:sz w:val="26"/>
          <w:szCs w:val="26"/>
        </w:rPr>
        <w:t>iting OCA St</w:t>
      </w:r>
      <w:r w:rsidR="000250F6">
        <w:rPr>
          <w:rFonts w:ascii="Times New Roman" w:hAnsi="Times New Roman"/>
          <w:sz w:val="26"/>
          <w:szCs w:val="26"/>
        </w:rPr>
        <w:t>atement</w:t>
      </w:r>
      <w:r>
        <w:rPr>
          <w:rFonts w:ascii="Times New Roman" w:hAnsi="Times New Roman"/>
          <w:sz w:val="26"/>
          <w:szCs w:val="26"/>
        </w:rPr>
        <w:t xml:space="preserve"> 3</w:t>
      </w:r>
      <w:r w:rsidR="006C29F6">
        <w:rPr>
          <w:rFonts w:ascii="Times New Roman" w:hAnsi="Times New Roman"/>
          <w:sz w:val="26"/>
          <w:szCs w:val="26"/>
        </w:rPr>
        <w:t xml:space="preserve"> at</w:t>
      </w:r>
      <w:r>
        <w:rPr>
          <w:rFonts w:ascii="Times New Roman" w:hAnsi="Times New Roman"/>
          <w:sz w:val="26"/>
          <w:szCs w:val="26"/>
        </w:rPr>
        <w:t xml:space="preserve"> 22</w:t>
      </w:r>
      <w:r w:rsidR="006C29F6">
        <w:rPr>
          <w:rFonts w:ascii="Times New Roman" w:hAnsi="Times New Roman"/>
          <w:sz w:val="26"/>
          <w:szCs w:val="26"/>
        </w:rPr>
        <w:t>)</w:t>
      </w:r>
      <w:r>
        <w:rPr>
          <w:rFonts w:ascii="Times New Roman" w:hAnsi="Times New Roman"/>
          <w:sz w:val="26"/>
          <w:szCs w:val="26"/>
        </w:rPr>
        <w:t>.</w:t>
      </w:r>
      <w:proofErr w:type="gramEnd"/>
      <w:r>
        <w:rPr>
          <w:rFonts w:ascii="Times New Roman" w:hAnsi="Times New Roman"/>
          <w:sz w:val="26"/>
          <w:szCs w:val="26"/>
        </w:rPr>
        <w:t xml:space="preserve"> </w:t>
      </w:r>
      <w:r w:rsidRPr="00A96998">
        <w:rPr>
          <w:rFonts w:ascii="Times New Roman" w:hAnsi="Times New Roman"/>
          <w:sz w:val="26"/>
          <w:szCs w:val="26"/>
        </w:rPr>
        <w:t xml:space="preserve"> </w:t>
      </w:r>
      <w:r w:rsidR="007438A6">
        <w:rPr>
          <w:rFonts w:ascii="Times New Roman" w:hAnsi="Times New Roman"/>
          <w:sz w:val="26"/>
          <w:szCs w:val="26"/>
        </w:rPr>
        <w:t xml:space="preserve">The </w:t>
      </w:r>
      <w:r w:rsidRPr="00A96998">
        <w:rPr>
          <w:rFonts w:ascii="Times New Roman" w:hAnsi="Times New Roman"/>
          <w:sz w:val="26"/>
          <w:szCs w:val="26"/>
        </w:rPr>
        <w:t xml:space="preserve">OCA indicated that it supports the rate design contained in the Settlement, which moderates the increase in the Customer Charge for residential customers.  </w:t>
      </w:r>
      <w:r w:rsidR="007438A6">
        <w:rPr>
          <w:rFonts w:ascii="Times New Roman" w:hAnsi="Times New Roman"/>
          <w:sz w:val="26"/>
          <w:szCs w:val="26"/>
        </w:rPr>
        <w:t xml:space="preserve">The </w:t>
      </w:r>
      <w:r w:rsidRPr="00A96998">
        <w:rPr>
          <w:rFonts w:ascii="Times New Roman" w:hAnsi="Times New Roman"/>
          <w:sz w:val="26"/>
          <w:szCs w:val="26"/>
        </w:rPr>
        <w:t xml:space="preserve">OCA submitted that the residential rate design established through the Settlement is reasonable.  </w:t>
      </w:r>
      <w:proofErr w:type="gramStart"/>
      <w:r>
        <w:rPr>
          <w:rFonts w:ascii="Times New Roman" w:hAnsi="Times New Roman"/>
          <w:sz w:val="26"/>
          <w:szCs w:val="26"/>
        </w:rPr>
        <w:t>R.D.</w:t>
      </w:r>
      <w:r w:rsidR="006C29F6">
        <w:rPr>
          <w:rFonts w:ascii="Times New Roman" w:hAnsi="Times New Roman"/>
          <w:sz w:val="26"/>
          <w:szCs w:val="26"/>
        </w:rPr>
        <w:t xml:space="preserve"> at</w:t>
      </w:r>
      <w:r>
        <w:rPr>
          <w:rFonts w:ascii="Times New Roman" w:hAnsi="Times New Roman"/>
          <w:sz w:val="26"/>
          <w:szCs w:val="26"/>
        </w:rPr>
        <w:t xml:space="preserve"> 14</w:t>
      </w:r>
      <w:r w:rsidR="006C29F6">
        <w:rPr>
          <w:rFonts w:ascii="Times New Roman" w:hAnsi="Times New Roman"/>
          <w:sz w:val="26"/>
          <w:szCs w:val="26"/>
        </w:rPr>
        <w:t xml:space="preserve"> (</w:t>
      </w:r>
      <w:r>
        <w:rPr>
          <w:rFonts w:ascii="Times New Roman" w:hAnsi="Times New Roman"/>
          <w:sz w:val="26"/>
          <w:szCs w:val="26"/>
        </w:rPr>
        <w:t xml:space="preserve">citing </w:t>
      </w:r>
      <w:r w:rsidRPr="00A96998">
        <w:rPr>
          <w:rFonts w:ascii="Times New Roman" w:hAnsi="Times New Roman"/>
          <w:sz w:val="26"/>
          <w:szCs w:val="26"/>
        </w:rPr>
        <w:t>OCA Statement in Support at 5</w:t>
      </w:r>
      <w:r>
        <w:rPr>
          <w:rFonts w:ascii="Times New Roman" w:hAnsi="Times New Roman"/>
          <w:sz w:val="26"/>
          <w:szCs w:val="26"/>
        </w:rPr>
        <w:t>)</w:t>
      </w:r>
      <w:r w:rsidRPr="00A96998">
        <w:rPr>
          <w:rFonts w:ascii="Times New Roman" w:hAnsi="Times New Roman"/>
          <w:sz w:val="26"/>
          <w:szCs w:val="26"/>
        </w:rPr>
        <w:t>.</w:t>
      </w:r>
      <w:proofErr w:type="gramEnd"/>
      <w:r w:rsidRPr="00A96998">
        <w:rPr>
          <w:rFonts w:ascii="Times New Roman" w:hAnsi="Times New Roman"/>
          <w:sz w:val="26"/>
          <w:szCs w:val="26"/>
        </w:rPr>
        <w:t xml:space="preserve">  </w:t>
      </w:r>
    </w:p>
    <w:p w:rsidR="00A96998" w:rsidRPr="00A96998" w:rsidRDefault="00A96998" w:rsidP="00A96998">
      <w:pPr>
        <w:pStyle w:val="NoSpacing"/>
        <w:spacing w:line="360" w:lineRule="auto"/>
        <w:rPr>
          <w:rFonts w:ascii="Times New Roman" w:hAnsi="Times New Roman"/>
          <w:sz w:val="26"/>
          <w:szCs w:val="26"/>
        </w:rPr>
      </w:pPr>
    </w:p>
    <w:p w:rsidR="00E5642C" w:rsidRDefault="00A96998" w:rsidP="00A96998">
      <w:pPr>
        <w:pStyle w:val="NoSpacing"/>
        <w:spacing w:line="360" w:lineRule="auto"/>
        <w:rPr>
          <w:rFonts w:ascii="Times New Roman" w:hAnsi="Times New Roman"/>
          <w:sz w:val="26"/>
          <w:szCs w:val="26"/>
        </w:rPr>
      </w:pPr>
      <w:r w:rsidRPr="00A96998">
        <w:rPr>
          <w:rFonts w:ascii="Times New Roman" w:hAnsi="Times New Roman"/>
          <w:sz w:val="26"/>
          <w:szCs w:val="26"/>
        </w:rPr>
        <w:tab/>
      </w:r>
      <w:r w:rsidRPr="00A96998">
        <w:rPr>
          <w:rFonts w:ascii="Times New Roman" w:hAnsi="Times New Roman"/>
          <w:sz w:val="26"/>
          <w:szCs w:val="26"/>
        </w:rPr>
        <w:tab/>
      </w:r>
      <w:r w:rsidR="007438A6">
        <w:rPr>
          <w:rFonts w:ascii="Times New Roman" w:hAnsi="Times New Roman"/>
          <w:sz w:val="26"/>
          <w:szCs w:val="26"/>
        </w:rPr>
        <w:t xml:space="preserve">The </w:t>
      </w:r>
      <w:r w:rsidRPr="00A96998">
        <w:rPr>
          <w:rFonts w:ascii="Times New Roman" w:hAnsi="Times New Roman"/>
          <w:sz w:val="26"/>
          <w:szCs w:val="26"/>
        </w:rPr>
        <w:t xml:space="preserve">OSBA concluded that Pike’s proposed revenue allocation for its rate classes was directionally correct in that it moved customer classes toward cost-based rates as the Commission has directed.  </w:t>
      </w:r>
      <w:proofErr w:type="gramStart"/>
      <w:r w:rsidR="00E8167E">
        <w:rPr>
          <w:rFonts w:ascii="Times New Roman" w:hAnsi="Times New Roman"/>
          <w:sz w:val="26"/>
          <w:szCs w:val="26"/>
        </w:rPr>
        <w:t>R.D. at 14.</w:t>
      </w:r>
      <w:proofErr w:type="gramEnd"/>
      <w:r w:rsidR="00E8167E">
        <w:rPr>
          <w:rFonts w:ascii="Times New Roman" w:hAnsi="Times New Roman"/>
          <w:sz w:val="26"/>
          <w:szCs w:val="26"/>
        </w:rPr>
        <w:t xml:space="preserve"> </w:t>
      </w:r>
      <w:r w:rsidR="00E5642C">
        <w:rPr>
          <w:rFonts w:ascii="Times New Roman" w:hAnsi="Times New Roman"/>
          <w:sz w:val="26"/>
          <w:szCs w:val="26"/>
        </w:rPr>
        <w:t xml:space="preserve"> </w:t>
      </w:r>
    </w:p>
    <w:p w:rsidR="00E5642C" w:rsidRDefault="00E5642C" w:rsidP="00A96998">
      <w:pPr>
        <w:pStyle w:val="NoSpacing"/>
        <w:spacing w:line="360" w:lineRule="auto"/>
        <w:rPr>
          <w:rFonts w:ascii="Times New Roman" w:hAnsi="Times New Roman"/>
          <w:sz w:val="26"/>
          <w:szCs w:val="26"/>
        </w:rPr>
      </w:pPr>
    </w:p>
    <w:p w:rsidR="00FA3764" w:rsidRDefault="00A96998" w:rsidP="00E5642C">
      <w:pPr>
        <w:pStyle w:val="NoSpacing"/>
        <w:spacing w:line="360" w:lineRule="auto"/>
        <w:ind w:firstLine="1440"/>
        <w:rPr>
          <w:rFonts w:ascii="Times New Roman" w:hAnsi="Times New Roman"/>
          <w:sz w:val="26"/>
          <w:szCs w:val="26"/>
        </w:rPr>
      </w:pPr>
      <w:r w:rsidRPr="00A96998">
        <w:rPr>
          <w:rFonts w:ascii="Times New Roman" w:hAnsi="Times New Roman"/>
          <w:sz w:val="26"/>
          <w:szCs w:val="26"/>
        </w:rPr>
        <w:t xml:space="preserve">The final allocation of revenues was negotiated primarily between </w:t>
      </w:r>
      <w:r w:rsidR="007438A6">
        <w:rPr>
          <w:rFonts w:ascii="Times New Roman" w:hAnsi="Times New Roman"/>
          <w:sz w:val="26"/>
          <w:szCs w:val="26"/>
        </w:rPr>
        <w:t xml:space="preserve">the </w:t>
      </w:r>
      <w:r w:rsidRPr="00A96998">
        <w:rPr>
          <w:rFonts w:ascii="Times New Roman" w:hAnsi="Times New Roman"/>
          <w:sz w:val="26"/>
          <w:szCs w:val="26"/>
        </w:rPr>
        <w:t xml:space="preserve">OSBA and </w:t>
      </w:r>
      <w:r w:rsidR="007438A6">
        <w:rPr>
          <w:rFonts w:ascii="Times New Roman" w:hAnsi="Times New Roman"/>
          <w:sz w:val="26"/>
          <w:szCs w:val="26"/>
        </w:rPr>
        <w:t xml:space="preserve">the </w:t>
      </w:r>
      <w:r w:rsidRPr="00A96998">
        <w:rPr>
          <w:rFonts w:ascii="Times New Roman" w:hAnsi="Times New Roman"/>
          <w:sz w:val="26"/>
          <w:szCs w:val="26"/>
        </w:rPr>
        <w:t xml:space="preserve">OCA, and resulted in an allocation </w:t>
      </w:r>
      <w:r w:rsidR="007F722E">
        <w:rPr>
          <w:rFonts w:ascii="Times New Roman" w:hAnsi="Times New Roman"/>
          <w:sz w:val="26"/>
          <w:szCs w:val="26"/>
        </w:rPr>
        <w:t xml:space="preserve">to </w:t>
      </w:r>
      <w:r w:rsidRPr="00A96998">
        <w:rPr>
          <w:rFonts w:ascii="Times New Roman" w:hAnsi="Times New Roman"/>
          <w:sz w:val="26"/>
          <w:szCs w:val="26"/>
        </w:rPr>
        <w:t xml:space="preserve">which all </w:t>
      </w:r>
      <w:r w:rsidR="007F722E">
        <w:rPr>
          <w:rFonts w:ascii="Times New Roman" w:hAnsi="Times New Roman"/>
          <w:sz w:val="26"/>
          <w:szCs w:val="26"/>
        </w:rPr>
        <w:t>P</w:t>
      </w:r>
      <w:r w:rsidRPr="00A96998">
        <w:rPr>
          <w:rFonts w:ascii="Times New Roman" w:hAnsi="Times New Roman"/>
          <w:sz w:val="26"/>
          <w:szCs w:val="26"/>
        </w:rPr>
        <w:t>arties have agreed</w:t>
      </w:r>
      <w:r w:rsidR="000250F6">
        <w:rPr>
          <w:rFonts w:ascii="Times New Roman" w:hAnsi="Times New Roman"/>
          <w:sz w:val="26"/>
          <w:szCs w:val="26"/>
        </w:rPr>
        <w:t>,</w:t>
      </w:r>
      <w:r w:rsidRPr="00A96998">
        <w:rPr>
          <w:rFonts w:ascii="Times New Roman" w:hAnsi="Times New Roman"/>
          <w:sz w:val="26"/>
          <w:szCs w:val="26"/>
        </w:rPr>
        <w:t xml:space="preserve"> </w:t>
      </w:r>
      <w:r w:rsidR="007F722E">
        <w:rPr>
          <w:rFonts w:ascii="Times New Roman" w:hAnsi="Times New Roman"/>
          <w:sz w:val="26"/>
          <w:szCs w:val="26"/>
        </w:rPr>
        <w:t xml:space="preserve">and </w:t>
      </w:r>
      <w:r w:rsidRPr="00A96998">
        <w:rPr>
          <w:rFonts w:ascii="Times New Roman" w:hAnsi="Times New Roman"/>
          <w:sz w:val="26"/>
          <w:szCs w:val="26"/>
        </w:rPr>
        <w:t>that upheld the princip</w:t>
      </w:r>
      <w:r w:rsidR="000250F6">
        <w:rPr>
          <w:rFonts w:ascii="Times New Roman" w:hAnsi="Times New Roman"/>
          <w:sz w:val="26"/>
          <w:szCs w:val="26"/>
        </w:rPr>
        <w:t>le</w:t>
      </w:r>
      <w:r w:rsidRPr="00A96998">
        <w:rPr>
          <w:rFonts w:ascii="Times New Roman" w:hAnsi="Times New Roman"/>
          <w:sz w:val="26"/>
          <w:szCs w:val="26"/>
        </w:rPr>
        <w:t xml:space="preserve"> of cost-based rates while avoiding placing too large a burden on any one class of customers.</w:t>
      </w:r>
      <w:r w:rsidR="00E5642C">
        <w:rPr>
          <w:rFonts w:ascii="Times New Roman" w:hAnsi="Times New Roman"/>
          <w:sz w:val="26"/>
          <w:szCs w:val="26"/>
        </w:rPr>
        <w:t xml:space="preserve">  </w:t>
      </w:r>
      <w:proofErr w:type="gramStart"/>
      <w:r w:rsidR="00E5642C">
        <w:rPr>
          <w:rFonts w:ascii="Times New Roman" w:hAnsi="Times New Roman"/>
          <w:sz w:val="26"/>
          <w:szCs w:val="26"/>
        </w:rPr>
        <w:t>R.D.</w:t>
      </w:r>
      <w:r w:rsidR="007F722E">
        <w:rPr>
          <w:rFonts w:ascii="Times New Roman" w:hAnsi="Times New Roman"/>
          <w:sz w:val="26"/>
          <w:szCs w:val="26"/>
        </w:rPr>
        <w:t xml:space="preserve"> at</w:t>
      </w:r>
      <w:r w:rsidR="00E5642C">
        <w:rPr>
          <w:rFonts w:ascii="Times New Roman" w:hAnsi="Times New Roman"/>
          <w:sz w:val="26"/>
          <w:szCs w:val="26"/>
        </w:rPr>
        <w:t xml:space="preserve"> 14.</w:t>
      </w:r>
      <w:proofErr w:type="gramEnd"/>
      <w:r w:rsidRPr="00A96998">
        <w:rPr>
          <w:rFonts w:ascii="Times New Roman" w:hAnsi="Times New Roman"/>
          <w:sz w:val="26"/>
          <w:szCs w:val="26"/>
        </w:rPr>
        <w:t xml:space="preserve">  In terms of rate structure, Pike County has agreed to continue the phase-out of the SC-2 Secondary Demand billed block rate.  </w:t>
      </w:r>
    </w:p>
    <w:p w:rsidR="00FA3764" w:rsidRDefault="00FA3764" w:rsidP="00E5642C">
      <w:pPr>
        <w:pStyle w:val="NoSpacing"/>
        <w:spacing w:line="360" w:lineRule="auto"/>
        <w:ind w:firstLine="1440"/>
        <w:rPr>
          <w:rFonts w:ascii="Times New Roman" w:hAnsi="Times New Roman"/>
          <w:sz w:val="26"/>
          <w:szCs w:val="26"/>
        </w:rPr>
      </w:pPr>
    </w:p>
    <w:p w:rsidR="00A96998" w:rsidRPr="00A96998" w:rsidRDefault="007438A6" w:rsidP="00E5642C">
      <w:pPr>
        <w:pStyle w:val="NoSpacing"/>
        <w:spacing w:line="360" w:lineRule="auto"/>
        <w:ind w:firstLine="1440"/>
        <w:rPr>
          <w:rFonts w:ascii="Times New Roman" w:hAnsi="Times New Roman"/>
          <w:sz w:val="26"/>
          <w:szCs w:val="26"/>
        </w:rPr>
      </w:pPr>
      <w:r>
        <w:rPr>
          <w:rFonts w:ascii="Times New Roman" w:hAnsi="Times New Roman"/>
          <w:sz w:val="26"/>
          <w:szCs w:val="26"/>
        </w:rPr>
        <w:t xml:space="preserve">The </w:t>
      </w:r>
      <w:r w:rsidR="00A96998" w:rsidRPr="00A96998">
        <w:rPr>
          <w:rFonts w:ascii="Times New Roman" w:hAnsi="Times New Roman"/>
          <w:sz w:val="26"/>
          <w:szCs w:val="26"/>
        </w:rPr>
        <w:t>OSBA indicated that the resolution of th</w:t>
      </w:r>
      <w:r w:rsidR="00FA3764">
        <w:rPr>
          <w:rFonts w:ascii="Times New Roman" w:hAnsi="Times New Roman"/>
          <w:sz w:val="26"/>
          <w:szCs w:val="26"/>
        </w:rPr>
        <w:t>e</w:t>
      </w:r>
      <w:r w:rsidR="00A96998" w:rsidRPr="00A96998">
        <w:rPr>
          <w:rFonts w:ascii="Times New Roman" w:hAnsi="Times New Roman"/>
          <w:sz w:val="26"/>
          <w:szCs w:val="26"/>
        </w:rPr>
        <w:t xml:space="preserve"> </w:t>
      </w:r>
      <w:r w:rsidR="00FA3764">
        <w:rPr>
          <w:rFonts w:ascii="Times New Roman" w:hAnsi="Times New Roman"/>
          <w:sz w:val="26"/>
          <w:szCs w:val="26"/>
        </w:rPr>
        <w:t xml:space="preserve">phase-out </w:t>
      </w:r>
      <w:r w:rsidR="00A96998" w:rsidRPr="00A96998">
        <w:rPr>
          <w:rFonts w:ascii="Times New Roman" w:hAnsi="Times New Roman"/>
          <w:sz w:val="26"/>
          <w:szCs w:val="26"/>
        </w:rPr>
        <w:t xml:space="preserve">issue was of special importance to it when it concluded that the Settlement is in the best interests of Pike County’s small business customers. </w:t>
      </w:r>
      <w:r w:rsidR="007F722E">
        <w:rPr>
          <w:rFonts w:ascii="Times New Roman" w:hAnsi="Times New Roman"/>
          <w:sz w:val="26"/>
          <w:szCs w:val="26"/>
        </w:rPr>
        <w:t xml:space="preserve">  </w:t>
      </w:r>
      <w:proofErr w:type="gramStart"/>
      <w:r w:rsidR="00E8167E" w:rsidRPr="00E8167E">
        <w:rPr>
          <w:rFonts w:ascii="Times New Roman" w:hAnsi="Times New Roman"/>
          <w:i/>
          <w:sz w:val="26"/>
          <w:szCs w:val="26"/>
        </w:rPr>
        <w:t>Id.</w:t>
      </w:r>
      <w:r w:rsidR="00E8167E">
        <w:rPr>
          <w:rFonts w:ascii="Times New Roman" w:hAnsi="Times New Roman"/>
          <w:sz w:val="26"/>
          <w:szCs w:val="26"/>
        </w:rPr>
        <w:t xml:space="preserve"> </w:t>
      </w:r>
      <w:r w:rsidR="007F722E">
        <w:rPr>
          <w:rFonts w:ascii="Times New Roman" w:hAnsi="Times New Roman"/>
          <w:sz w:val="26"/>
          <w:szCs w:val="26"/>
        </w:rPr>
        <w:t>(</w:t>
      </w:r>
      <w:r w:rsidR="00E8167E">
        <w:rPr>
          <w:rFonts w:ascii="Times New Roman" w:hAnsi="Times New Roman"/>
          <w:sz w:val="26"/>
          <w:szCs w:val="26"/>
        </w:rPr>
        <w:t xml:space="preserve">referencing </w:t>
      </w:r>
      <w:r w:rsidR="00A96998" w:rsidRPr="00E8167E">
        <w:rPr>
          <w:rFonts w:ascii="Times New Roman" w:hAnsi="Times New Roman"/>
          <w:sz w:val="26"/>
          <w:szCs w:val="26"/>
        </w:rPr>
        <w:t>OSBA</w:t>
      </w:r>
      <w:r w:rsidR="00A96998" w:rsidRPr="00A96998">
        <w:rPr>
          <w:rFonts w:ascii="Times New Roman" w:hAnsi="Times New Roman"/>
          <w:sz w:val="26"/>
          <w:szCs w:val="26"/>
        </w:rPr>
        <w:t xml:space="preserve"> Statement in Support at 3</w:t>
      </w:r>
      <w:r w:rsidR="00E8167E">
        <w:rPr>
          <w:rFonts w:ascii="Times New Roman" w:hAnsi="Times New Roman"/>
          <w:sz w:val="26"/>
          <w:szCs w:val="26"/>
        </w:rPr>
        <w:t>)</w:t>
      </w:r>
      <w:r w:rsidR="00A96998" w:rsidRPr="00A96998">
        <w:rPr>
          <w:rFonts w:ascii="Times New Roman" w:hAnsi="Times New Roman"/>
          <w:sz w:val="26"/>
          <w:szCs w:val="26"/>
        </w:rPr>
        <w:t>.</w:t>
      </w:r>
      <w:proofErr w:type="gramEnd"/>
      <w:r w:rsidR="00A96998" w:rsidRPr="00A96998">
        <w:rPr>
          <w:rFonts w:ascii="Times New Roman" w:hAnsi="Times New Roman"/>
          <w:sz w:val="26"/>
          <w:szCs w:val="26"/>
        </w:rPr>
        <w:t xml:space="preserve">  </w:t>
      </w:r>
    </w:p>
    <w:p w:rsidR="00A96998" w:rsidRPr="00A96998" w:rsidRDefault="00A96998" w:rsidP="00A96998">
      <w:pPr>
        <w:pStyle w:val="NoSpacing"/>
        <w:spacing w:line="360" w:lineRule="auto"/>
        <w:rPr>
          <w:rFonts w:ascii="Times New Roman" w:hAnsi="Times New Roman"/>
          <w:sz w:val="26"/>
          <w:szCs w:val="26"/>
        </w:rPr>
      </w:pPr>
    </w:p>
    <w:p w:rsidR="00A96998" w:rsidRPr="00A96998" w:rsidRDefault="00A96998" w:rsidP="00A96998">
      <w:pPr>
        <w:pStyle w:val="NoSpacing"/>
        <w:spacing w:line="360" w:lineRule="auto"/>
        <w:rPr>
          <w:rFonts w:ascii="Times New Roman" w:hAnsi="Times New Roman"/>
          <w:sz w:val="26"/>
          <w:szCs w:val="26"/>
        </w:rPr>
      </w:pPr>
      <w:r w:rsidRPr="00A96998">
        <w:rPr>
          <w:rFonts w:ascii="Times New Roman" w:hAnsi="Times New Roman"/>
          <w:sz w:val="26"/>
          <w:szCs w:val="26"/>
        </w:rPr>
        <w:tab/>
      </w:r>
      <w:r w:rsidRPr="00A96998">
        <w:rPr>
          <w:rFonts w:ascii="Times New Roman" w:hAnsi="Times New Roman"/>
          <w:sz w:val="26"/>
          <w:szCs w:val="26"/>
        </w:rPr>
        <w:tab/>
        <w:t xml:space="preserve">I&amp;E agreed that the terms and conditions of the Settlement are in the public interest in part because it provides for a fair and appropriate rate design that has been negotiated and agreed upon by the Petitioners.  </w:t>
      </w:r>
      <w:r w:rsidR="00E8167E">
        <w:rPr>
          <w:rFonts w:ascii="Times New Roman" w:hAnsi="Times New Roman"/>
          <w:sz w:val="26"/>
          <w:szCs w:val="26"/>
        </w:rPr>
        <w:t>R.D.</w:t>
      </w:r>
      <w:r w:rsidR="003B1D5A">
        <w:rPr>
          <w:rFonts w:ascii="Times New Roman" w:hAnsi="Times New Roman"/>
          <w:sz w:val="26"/>
          <w:szCs w:val="26"/>
        </w:rPr>
        <w:t xml:space="preserve"> at</w:t>
      </w:r>
      <w:r w:rsidR="00E8167E">
        <w:rPr>
          <w:rFonts w:ascii="Times New Roman" w:hAnsi="Times New Roman"/>
          <w:sz w:val="26"/>
          <w:szCs w:val="26"/>
        </w:rPr>
        <w:t xml:space="preserve"> 14 </w:t>
      </w:r>
      <w:r w:rsidR="003B1D5A">
        <w:rPr>
          <w:rFonts w:ascii="Times New Roman" w:hAnsi="Times New Roman"/>
          <w:sz w:val="26"/>
          <w:szCs w:val="26"/>
        </w:rPr>
        <w:t>(</w:t>
      </w:r>
      <w:r w:rsidR="00E8167E">
        <w:rPr>
          <w:rFonts w:ascii="Times New Roman" w:hAnsi="Times New Roman"/>
          <w:sz w:val="26"/>
          <w:szCs w:val="26"/>
        </w:rPr>
        <w:t xml:space="preserve">summarizing </w:t>
      </w:r>
      <w:proofErr w:type="gramStart"/>
      <w:r w:rsidRPr="00A96998">
        <w:rPr>
          <w:rFonts w:ascii="Times New Roman" w:hAnsi="Times New Roman"/>
          <w:sz w:val="26"/>
          <w:szCs w:val="26"/>
        </w:rPr>
        <w:t>I&amp;E</w:t>
      </w:r>
      <w:proofErr w:type="gramEnd"/>
      <w:r w:rsidRPr="00A96998">
        <w:rPr>
          <w:rFonts w:ascii="Times New Roman" w:hAnsi="Times New Roman"/>
          <w:sz w:val="26"/>
          <w:szCs w:val="26"/>
        </w:rPr>
        <w:t xml:space="preserve"> Statement in Support at 4-5</w:t>
      </w:r>
      <w:r w:rsidR="00E8167E">
        <w:rPr>
          <w:rFonts w:ascii="Times New Roman" w:hAnsi="Times New Roman"/>
          <w:sz w:val="26"/>
          <w:szCs w:val="26"/>
        </w:rPr>
        <w:t>)</w:t>
      </w:r>
      <w:r w:rsidRPr="00A96998">
        <w:rPr>
          <w:rFonts w:ascii="Times New Roman" w:hAnsi="Times New Roman"/>
          <w:sz w:val="26"/>
          <w:szCs w:val="26"/>
        </w:rPr>
        <w:t>.</w:t>
      </w:r>
    </w:p>
    <w:p w:rsidR="0028302E" w:rsidRDefault="0028302E" w:rsidP="000B36F6">
      <w:pPr>
        <w:spacing w:line="360" w:lineRule="auto"/>
        <w:rPr>
          <w:sz w:val="26"/>
          <w:szCs w:val="26"/>
        </w:rPr>
      </w:pPr>
    </w:p>
    <w:p w:rsidR="000B36F6" w:rsidRPr="00093045" w:rsidRDefault="000B36F6" w:rsidP="000B36F6">
      <w:pPr>
        <w:pStyle w:val="NoSpacing"/>
        <w:spacing w:line="360" w:lineRule="auto"/>
        <w:rPr>
          <w:rFonts w:ascii="Times New Roman" w:hAnsi="Times New Roman"/>
          <w:b/>
          <w:sz w:val="26"/>
          <w:szCs w:val="26"/>
          <w:u w:val="single"/>
        </w:rPr>
      </w:pPr>
      <w:r w:rsidRPr="00093045">
        <w:rPr>
          <w:rFonts w:ascii="Times New Roman" w:hAnsi="Times New Roman"/>
          <w:b/>
          <w:sz w:val="26"/>
          <w:szCs w:val="26"/>
        </w:rPr>
        <w:t xml:space="preserve"> </w:t>
      </w:r>
      <w:r w:rsidRPr="00093045">
        <w:rPr>
          <w:rFonts w:ascii="Times New Roman" w:hAnsi="Times New Roman"/>
          <w:b/>
          <w:sz w:val="26"/>
          <w:szCs w:val="26"/>
        </w:rPr>
        <w:tab/>
      </w:r>
      <w:r w:rsidRPr="00E5642C">
        <w:rPr>
          <w:rFonts w:ascii="Times New Roman" w:hAnsi="Times New Roman"/>
          <w:b/>
          <w:sz w:val="26"/>
          <w:szCs w:val="26"/>
        </w:rPr>
        <w:t>Storm Expense and Depreciation Rates</w:t>
      </w:r>
    </w:p>
    <w:p w:rsidR="000B36F6" w:rsidRDefault="000B36F6" w:rsidP="000B36F6">
      <w:pPr>
        <w:pStyle w:val="NoSpacing"/>
        <w:spacing w:line="360" w:lineRule="auto"/>
        <w:ind w:firstLine="1440"/>
        <w:rPr>
          <w:rFonts w:ascii="Times New Roman" w:hAnsi="Times New Roman"/>
          <w:sz w:val="26"/>
          <w:szCs w:val="26"/>
        </w:rPr>
      </w:pPr>
    </w:p>
    <w:p w:rsidR="000B36F6" w:rsidRDefault="000B36F6" w:rsidP="000B36F6">
      <w:pPr>
        <w:pStyle w:val="NoSpacing"/>
        <w:spacing w:line="360" w:lineRule="auto"/>
        <w:ind w:firstLine="1440"/>
        <w:rPr>
          <w:rFonts w:ascii="Times New Roman" w:hAnsi="Times New Roman"/>
          <w:sz w:val="26"/>
          <w:szCs w:val="26"/>
        </w:rPr>
      </w:pPr>
      <w:r>
        <w:rPr>
          <w:rFonts w:ascii="Times New Roman" w:hAnsi="Times New Roman"/>
          <w:sz w:val="26"/>
          <w:szCs w:val="26"/>
        </w:rPr>
        <w:t>Pursuant to the Settlement, Pike</w:t>
      </w:r>
      <w:r w:rsidRPr="000B36F6">
        <w:rPr>
          <w:rFonts w:ascii="Times New Roman" w:hAnsi="Times New Roman"/>
          <w:sz w:val="26"/>
          <w:szCs w:val="26"/>
        </w:rPr>
        <w:t xml:space="preserve"> will amortize deferred storm expenses over a five year period with no carrying charges.</w:t>
      </w:r>
      <w:r>
        <w:rPr>
          <w:rFonts w:ascii="Times New Roman" w:hAnsi="Times New Roman"/>
          <w:sz w:val="26"/>
          <w:szCs w:val="26"/>
        </w:rPr>
        <w:t xml:space="preserve">  </w:t>
      </w:r>
      <w:proofErr w:type="gramStart"/>
      <w:r>
        <w:rPr>
          <w:rFonts w:ascii="Times New Roman" w:hAnsi="Times New Roman"/>
          <w:sz w:val="26"/>
          <w:szCs w:val="26"/>
        </w:rPr>
        <w:t>R.D.</w:t>
      </w:r>
      <w:r w:rsidR="003B1D5A">
        <w:rPr>
          <w:rFonts w:ascii="Times New Roman" w:hAnsi="Times New Roman"/>
          <w:sz w:val="26"/>
          <w:szCs w:val="26"/>
        </w:rPr>
        <w:t xml:space="preserve"> at</w:t>
      </w:r>
      <w:r>
        <w:rPr>
          <w:rFonts w:ascii="Times New Roman" w:hAnsi="Times New Roman"/>
          <w:sz w:val="26"/>
          <w:szCs w:val="26"/>
        </w:rPr>
        <w:t xml:space="preserve"> 14.</w:t>
      </w:r>
      <w:proofErr w:type="gramEnd"/>
      <w:r w:rsidRPr="000B36F6">
        <w:rPr>
          <w:rFonts w:ascii="Times New Roman" w:hAnsi="Times New Roman"/>
          <w:sz w:val="26"/>
          <w:szCs w:val="26"/>
        </w:rPr>
        <w:t xml:space="preserve">  Pike maintained that this provision will allow it to recover reasonable and prudently incurred costs while mitigating the rate impact on customers.  </w:t>
      </w:r>
      <w:proofErr w:type="gramStart"/>
      <w:r>
        <w:rPr>
          <w:rFonts w:ascii="Times New Roman" w:hAnsi="Times New Roman"/>
          <w:i/>
          <w:sz w:val="26"/>
          <w:szCs w:val="26"/>
        </w:rPr>
        <w:t>Id.</w:t>
      </w:r>
      <w:r>
        <w:rPr>
          <w:rFonts w:ascii="Times New Roman" w:hAnsi="Times New Roman"/>
          <w:sz w:val="26"/>
          <w:szCs w:val="26"/>
        </w:rPr>
        <w:t xml:space="preserve"> </w:t>
      </w:r>
      <w:r w:rsidR="003B1D5A">
        <w:rPr>
          <w:rFonts w:ascii="Times New Roman" w:hAnsi="Times New Roman"/>
          <w:sz w:val="26"/>
          <w:szCs w:val="26"/>
        </w:rPr>
        <w:t>(</w:t>
      </w:r>
      <w:r>
        <w:rPr>
          <w:rFonts w:ascii="Times New Roman" w:hAnsi="Times New Roman"/>
          <w:sz w:val="26"/>
          <w:szCs w:val="26"/>
        </w:rPr>
        <w:t xml:space="preserve">citing </w:t>
      </w:r>
      <w:r w:rsidRPr="000B36F6">
        <w:rPr>
          <w:rFonts w:ascii="Times New Roman" w:hAnsi="Times New Roman"/>
          <w:sz w:val="26"/>
          <w:szCs w:val="26"/>
        </w:rPr>
        <w:t>Pike Statement in Support at 5</w:t>
      </w:r>
      <w:r w:rsidR="003B1D5A">
        <w:rPr>
          <w:rFonts w:ascii="Times New Roman" w:hAnsi="Times New Roman"/>
          <w:sz w:val="26"/>
          <w:szCs w:val="26"/>
        </w:rPr>
        <w:t>)</w:t>
      </w:r>
      <w:r w:rsidRPr="000B36F6">
        <w:rPr>
          <w:rFonts w:ascii="Times New Roman" w:hAnsi="Times New Roman"/>
          <w:sz w:val="26"/>
          <w:szCs w:val="26"/>
        </w:rPr>
        <w:t>.</w:t>
      </w:r>
      <w:proofErr w:type="gramEnd"/>
      <w:r w:rsidRPr="000B36F6">
        <w:rPr>
          <w:rFonts w:ascii="Times New Roman" w:hAnsi="Times New Roman"/>
          <w:sz w:val="26"/>
          <w:szCs w:val="26"/>
        </w:rPr>
        <w:t xml:space="preserve">  </w:t>
      </w:r>
    </w:p>
    <w:p w:rsidR="000B36F6" w:rsidRDefault="000B36F6" w:rsidP="000B36F6">
      <w:pPr>
        <w:pStyle w:val="NoSpacing"/>
        <w:spacing w:line="360" w:lineRule="auto"/>
        <w:ind w:firstLine="1440"/>
        <w:rPr>
          <w:rFonts w:ascii="Times New Roman" w:hAnsi="Times New Roman"/>
          <w:sz w:val="26"/>
          <w:szCs w:val="26"/>
        </w:rPr>
      </w:pPr>
    </w:p>
    <w:p w:rsidR="000B36F6" w:rsidRDefault="000B36F6" w:rsidP="000B36F6">
      <w:pPr>
        <w:pStyle w:val="NoSpacing"/>
        <w:spacing w:line="360" w:lineRule="auto"/>
        <w:ind w:firstLine="1440"/>
        <w:rPr>
          <w:rFonts w:ascii="Times New Roman" w:hAnsi="Times New Roman"/>
          <w:sz w:val="26"/>
          <w:szCs w:val="26"/>
        </w:rPr>
      </w:pPr>
      <w:r w:rsidRPr="000B36F6">
        <w:rPr>
          <w:rFonts w:ascii="Times New Roman" w:hAnsi="Times New Roman"/>
          <w:sz w:val="26"/>
          <w:szCs w:val="26"/>
        </w:rPr>
        <w:t xml:space="preserve">I&amp;E maintained that </w:t>
      </w:r>
      <w:r>
        <w:rPr>
          <w:rFonts w:ascii="Times New Roman" w:hAnsi="Times New Roman"/>
          <w:sz w:val="26"/>
          <w:szCs w:val="26"/>
        </w:rPr>
        <w:t>this</w:t>
      </w:r>
      <w:r w:rsidRPr="000B36F6">
        <w:rPr>
          <w:rFonts w:ascii="Times New Roman" w:hAnsi="Times New Roman"/>
          <w:sz w:val="26"/>
          <w:szCs w:val="26"/>
        </w:rPr>
        <w:t xml:space="preserve"> provision of the Settlement is in the public interest because it provides for the specific and appropriate authorization period for incurred and deferred storm expenses.  I&amp;E further maintained that the Settlement is in the public interest because it defines and authorizes certain important delineated changes to depreciation rates that are to be used by the </w:t>
      </w:r>
      <w:r w:rsidR="00813681">
        <w:rPr>
          <w:rFonts w:ascii="Times New Roman" w:hAnsi="Times New Roman"/>
          <w:sz w:val="26"/>
          <w:szCs w:val="26"/>
        </w:rPr>
        <w:t>C</w:t>
      </w:r>
      <w:r w:rsidRPr="000B36F6">
        <w:rPr>
          <w:rFonts w:ascii="Times New Roman" w:hAnsi="Times New Roman"/>
          <w:sz w:val="26"/>
          <w:szCs w:val="26"/>
        </w:rPr>
        <w:t xml:space="preserve">ompany.  </w:t>
      </w:r>
      <w:r>
        <w:rPr>
          <w:rFonts w:ascii="Times New Roman" w:hAnsi="Times New Roman"/>
          <w:sz w:val="26"/>
          <w:szCs w:val="26"/>
        </w:rPr>
        <w:t>R.D. at 15</w:t>
      </w:r>
      <w:r w:rsidR="00813681">
        <w:rPr>
          <w:rFonts w:ascii="Times New Roman" w:hAnsi="Times New Roman"/>
          <w:sz w:val="26"/>
          <w:szCs w:val="26"/>
        </w:rPr>
        <w:t xml:space="preserve"> (</w:t>
      </w:r>
      <w:r>
        <w:rPr>
          <w:rFonts w:ascii="Times New Roman" w:hAnsi="Times New Roman"/>
          <w:sz w:val="26"/>
          <w:szCs w:val="26"/>
        </w:rPr>
        <w:t>citing</w:t>
      </w:r>
      <w:r w:rsidR="00813681">
        <w:rPr>
          <w:rFonts w:ascii="Times New Roman" w:hAnsi="Times New Roman"/>
          <w:sz w:val="26"/>
          <w:szCs w:val="26"/>
        </w:rPr>
        <w:t xml:space="preserve"> </w:t>
      </w:r>
      <w:proofErr w:type="gramStart"/>
      <w:r w:rsidRPr="000B36F6">
        <w:rPr>
          <w:rFonts w:ascii="Times New Roman" w:hAnsi="Times New Roman"/>
          <w:sz w:val="26"/>
          <w:szCs w:val="26"/>
        </w:rPr>
        <w:t>I&amp;E</w:t>
      </w:r>
      <w:proofErr w:type="gramEnd"/>
      <w:r w:rsidRPr="000B36F6">
        <w:rPr>
          <w:rFonts w:ascii="Times New Roman" w:hAnsi="Times New Roman"/>
          <w:sz w:val="26"/>
          <w:szCs w:val="26"/>
        </w:rPr>
        <w:t xml:space="preserve"> Statement in Support at 4</w:t>
      </w:r>
      <w:r w:rsidRPr="000B36F6">
        <w:rPr>
          <w:rFonts w:ascii="Times New Roman" w:hAnsi="Times New Roman"/>
          <w:sz w:val="26"/>
          <w:szCs w:val="26"/>
        </w:rPr>
        <w:noBreakHyphen/>
        <w:t>5</w:t>
      </w:r>
      <w:r>
        <w:rPr>
          <w:rFonts w:ascii="Times New Roman" w:hAnsi="Times New Roman"/>
          <w:sz w:val="26"/>
          <w:szCs w:val="26"/>
        </w:rPr>
        <w:t>).</w:t>
      </w:r>
    </w:p>
    <w:p w:rsidR="00990C00" w:rsidRPr="000B36F6" w:rsidRDefault="00990C00" w:rsidP="000B36F6">
      <w:pPr>
        <w:pStyle w:val="NoSpacing"/>
        <w:spacing w:line="360" w:lineRule="auto"/>
        <w:ind w:firstLine="1440"/>
        <w:rPr>
          <w:rFonts w:ascii="Times New Roman" w:hAnsi="Times New Roman"/>
          <w:sz w:val="26"/>
          <w:szCs w:val="26"/>
        </w:rPr>
      </w:pPr>
    </w:p>
    <w:p w:rsidR="00610286" w:rsidRDefault="00610286" w:rsidP="00610286">
      <w:pPr>
        <w:pStyle w:val="NoSpacing"/>
        <w:spacing w:line="360" w:lineRule="auto"/>
        <w:rPr>
          <w:rFonts w:ascii="Times New Roman" w:hAnsi="Times New Roman"/>
          <w:b/>
          <w:sz w:val="26"/>
          <w:szCs w:val="26"/>
          <w:u w:val="single"/>
        </w:rPr>
      </w:pPr>
      <w:r w:rsidRPr="00093045">
        <w:rPr>
          <w:rFonts w:ascii="Times New Roman" w:hAnsi="Times New Roman"/>
          <w:b/>
          <w:sz w:val="26"/>
          <w:szCs w:val="26"/>
        </w:rPr>
        <w:t xml:space="preserve"> </w:t>
      </w:r>
      <w:r>
        <w:rPr>
          <w:rFonts w:ascii="Times New Roman" w:hAnsi="Times New Roman"/>
          <w:b/>
          <w:sz w:val="26"/>
          <w:szCs w:val="26"/>
        </w:rPr>
        <w:t xml:space="preserve">Exceptions and </w:t>
      </w:r>
      <w:r w:rsidRPr="00DA1011">
        <w:rPr>
          <w:rFonts w:ascii="Times New Roman" w:hAnsi="Times New Roman"/>
          <w:b/>
          <w:sz w:val="26"/>
          <w:szCs w:val="26"/>
        </w:rPr>
        <w:t xml:space="preserve">Complaint of Charles </w:t>
      </w:r>
      <w:proofErr w:type="spellStart"/>
      <w:r w:rsidRPr="00DA1011">
        <w:rPr>
          <w:rFonts w:ascii="Times New Roman" w:hAnsi="Times New Roman"/>
          <w:b/>
          <w:sz w:val="26"/>
          <w:szCs w:val="26"/>
        </w:rPr>
        <w:t>Gillinder</w:t>
      </w:r>
      <w:proofErr w:type="spellEnd"/>
    </w:p>
    <w:p w:rsidR="00610286" w:rsidRDefault="00610286" w:rsidP="00610286">
      <w:pPr>
        <w:pStyle w:val="NoSpacing"/>
        <w:spacing w:line="360" w:lineRule="auto"/>
        <w:ind w:firstLine="1440"/>
        <w:rPr>
          <w:rFonts w:ascii="Times New Roman" w:hAnsi="Times New Roman"/>
          <w:sz w:val="26"/>
          <w:szCs w:val="26"/>
        </w:rPr>
      </w:pPr>
    </w:p>
    <w:p w:rsidR="00610286" w:rsidRDefault="00610286" w:rsidP="00610286">
      <w:pPr>
        <w:pStyle w:val="NoSpacing"/>
        <w:spacing w:line="360" w:lineRule="auto"/>
        <w:ind w:firstLine="1440"/>
        <w:rPr>
          <w:rFonts w:ascii="Times New Roman" w:hAnsi="Times New Roman"/>
          <w:sz w:val="26"/>
          <w:szCs w:val="26"/>
        </w:rPr>
      </w:pPr>
      <w:r>
        <w:rPr>
          <w:rFonts w:ascii="Times New Roman" w:hAnsi="Times New Roman"/>
          <w:sz w:val="26"/>
          <w:szCs w:val="26"/>
        </w:rPr>
        <w:t xml:space="preserve">As noted, the Formal Complaint of Mr. </w:t>
      </w:r>
      <w:proofErr w:type="spellStart"/>
      <w:r>
        <w:rPr>
          <w:rFonts w:ascii="Times New Roman" w:hAnsi="Times New Roman"/>
          <w:sz w:val="26"/>
          <w:szCs w:val="26"/>
        </w:rPr>
        <w:t>Gillinder</w:t>
      </w:r>
      <w:proofErr w:type="spellEnd"/>
      <w:r>
        <w:rPr>
          <w:rFonts w:ascii="Times New Roman" w:hAnsi="Times New Roman"/>
          <w:sz w:val="26"/>
          <w:szCs w:val="26"/>
        </w:rPr>
        <w:t xml:space="preserve"> incorporates by reference his letters of January 21, 2014, June 16, 2014, and July 24, 2014, in addition to expressing objections to the proposed Settlement.</w:t>
      </w:r>
      <w:r w:rsidR="009E5FE8">
        <w:rPr>
          <w:rFonts w:ascii="Times New Roman" w:hAnsi="Times New Roman"/>
          <w:sz w:val="26"/>
          <w:szCs w:val="26"/>
        </w:rPr>
        <w:t xml:space="preserve">  </w:t>
      </w:r>
      <w:r>
        <w:rPr>
          <w:rFonts w:ascii="Times New Roman" w:hAnsi="Times New Roman"/>
          <w:sz w:val="26"/>
          <w:szCs w:val="26"/>
        </w:rPr>
        <w:t>The issues raised</w:t>
      </w:r>
      <w:r w:rsidR="009E5FE8">
        <w:rPr>
          <w:rFonts w:ascii="Times New Roman" w:hAnsi="Times New Roman"/>
          <w:sz w:val="26"/>
          <w:szCs w:val="26"/>
        </w:rPr>
        <w:t xml:space="preserve"> in Mr. </w:t>
      </w:r>
      <w:proofErr w:type="spellStart"/>
      <w:r w:rsidR="009E5FE8">
        <w:rPr>
          <w:rFonts w:ascii="Times New Roman" w:hAnsi="Times New Roman"/>
          <w:sz w:val="26"/>
          <w:szCs w:val="26"/>
        </w:rPr>
        <w:t>Gillinder’s</w:t>
      </w:r>
      <w:proofErr w:type="spellEnd"/>
      <w:r w:rsidR="009E5FE8">
        <w:rPr>
          <w:rFonts w:ascii="Times New Roman" w:hAnsi="Times New Roman"/>
          <w:sz w:val="26"/>
          <w:szCs w:val="26"/>
        </w:rPr>
        <w:t xml:space="preserve"> letters</w:t>
      </w:r>
      <w:r>
        <w:rPr>
          <w:rFonts w:ascii="Times New Roman" w:hAnsi="Times New Roman"/>
          <w:sz w:val="26"/>
          <w:szCs w:val="26"/>
        </w:rPr>
        <w:t xml:space="preserve">, as summarized, are: (1) </w:t>
      </w:r>
      <w:r w:rsidR="00B15E16">
        <w:rPr>
          <w:rFonts w:ascii="Times New Roman" w:hAnsi="Times New Roman"/>
          <w:sz w:val="26"/>
          <w:szCs w:val="26"/>
        </w:rPr>
        <w:t>p</w:t>
      </w:r>
      <w:r>
        <w:rPr>
          <w:rFonts w:ascii="Times New Roman" w:hAnsi="Times New Roman"/>
          <w:sz w:val="26"/>
          <w:szCs w:val="26"/>
        </w:rPr>
        <w:t xml:space="preserve">ast electric system neglect; (2) </w:t>
      </w:r>
      <w:r w:rsidR="00B15E16">
        <w:rPr>
          <w:rFonts w:ascii="Times New Roman" w:hAnsi="Times New Roman"/>
          <w:sz w:val="26"/>
          <w:szCs w:val="26"/>
        </w:rPr>
        <w:t>p</w:t>
      </w:r>
      <w:r>
        <w:rPr>
          <w:rFonts w:ascii="Times New Roman" w:hAnsi="Times New Roman"/>
          <w:sz w:val="26"/>
          <w:szCs w:val="26"/>
        </w:rPr>
        <w:t>ass</w:t>
      </w:r>
      <w:r w:rsidR="00330ED9">
        <w:rPr>
          <w:rFonts w:ascii="Times New Roman" w:hAnsi="Times New Roman"/>
          <w:sz w:val="26"/>
          <w:szCs w:val="26"/>
        </w:rPr>
        <w:t xml:space="preserve"> </w:t>
      </w:r>
      <w:r>
        <w:rPr>
          <w:rFonts w:ascii="Times New Roman" w:hAnsi="Times New Roman"/>
          <w:sz w:val="26"/>
          <w:szCs w:val="26"/>
        </w:rPr>
        <w:t xml:space="preserve">through costs imposed by New York State such as capacity zone charges, system benefits charges (SBC) and other taxes and fees that do not benefit directly Pennsylvania customers; (3) </w:t>
      </w:r>
      <w:r w:rsidR="00B15E16">
        <w:rPr>
          <w:rFonts w:ascii="Times New Roman" w:hAnsi="Times New Roman"/>
          <w:sz w:val="26"/>
          <w:szCs w:val="26"/>
        </w:rPr>
        <w:t>i</w:t>
      </w:r>
      <w:r>
        <w:rPr>
          <w:rFonts w:ascii="Times New Roman" w:hAnsi="Times New Roman"/>
          <w:sz w:val="26"/>
          <w:szCs w:val="26"/>
        </w:rPr>
        <w:t xml:space="preserve">nfrastructure costs billed to Pennsylvania customers, but used to benefit New York </w:t>
      </w:r>
      <w:r>
        <w:rPr>
          <w:rFonts w:ascii="Times New Roman" w:hAnsi="Times New Roman"/>
          <w:sz w:val="26"/>
          <w:szCs w:val="26"/>
        </w:rPr>
        <w:lastRenderedPageBreak/>
        <w:t xml:space="preserve">customers; and (4) </w:t>
      </w:r>
      <w:r w:rsidR="00330ED9">
        <w:rPr>
          <w:rFonts w:ascii="Times New Roman" w:hAnsi="Times New Roman"/>
          <w:sz w:val="26"/>
          <w:szCs w:val="26"/>
        </w:rPr>
        <w:t>“</w:t>
      </w:r>
      <w:r w:rsidR="00B15E16">
        <w:rPr>
          <w:rFonts w:ascii="Times New Roman" w:hAnsi="Times New Roman"/>
          <w:sz w:val="26"/>
          <w:szCs w:val="26"/>
        </w:rPr>
        <w:t>a</w:t>
      </w:r>
      <w:r>
        <w:rPr>
          <w:rFonts w:ascii="Times New Roman" w:hAnsi="Times New Roman"/>
          <w:sz w:val="26"/>
          <w:szCs w:val="26"/>
        </w:rPr>
        <w:t xml:space="preserve">ctual and potential for total cost per </w:t>
      </w:r>
      <w:r w:rsidR="00330ED9">
        <w:rPr>
          <w:rFonts w:ascii="Times New Roman" w:hAnsi="Times New Roman"/>
          <w:sz w:val="26"/>
          <w:szCs w:val="26"/>
        </w:rPr>
        <w:t>[k</w:t>
      </w:r>
      <w:r>
        <w:rPr>
          <w:rFonts w:ascii="Times New Roman" w:hAnsi="Times New Roman"/>
          <w:sz w:val="26"/>
          <w:szCs w:val="26"/>
        </w:rPr>
        <w:t>W</w:t>
      </w:r>
      <w:r w:rsidR="00330ED9">
        <w:rPr>
          <w:rFonts w:ascii="Times New Roman" w:hAnsi="Times New Roman"/>
          <w:sz w:val="26"/>
          <w:szCs w:val="26"/>
        </w:rPr>
        <w:t>h]</w:t>
      </w:r>
      <w:r>
        <w:rPr>
          <w:rFonts w:ascii="Times New Roman" w:hAnsi="Times New Roman"/>
          <w:sz w:val="26"/>
          <w:szCs w:val="26"/>
        </w:rPr>
        <w:t xml:space="preserve"> increasing by up to 72% over 2013.</w:t>
      </w:r>
      <w:r w:rsidR="00330ED9">
        <w:rPr>
          <w:rFonts w:ascii="Times New Roman" w:hAnsi="Times New Roman"/>
          <w:sz w:val="26"/>
          <w:szCs w:val="26"/>
        </w:rPr>
        <w:t>”</w:t>
      </w:r>
      <w:r>
        <w:rPr>
          <w:rFonts w:ascii="Times New Roman" w:hAnsi="Times New Roman"/>
          <w:sz w:val="26"/>
          <w:szCs w:val="26"/>
        </w:rPr>
        <w:t xml:space="preserve">  </w:t>
      </w:r>
      <w:proofErr w:type="gramStart"/>
      <w:r>
        <w:rPr>
          <w:rFonts w:ascii="Times New Roman" w:hAnsi="Times New Roman"/>
          <w:sz w:val="26"/>
          <w:szCs w:val="26"/>
        </w:rPr>
        <w:t>Formal Complaint</w:t>
      </w:r>
      <w:r w:rsidR="00B15E16">
        <w:rPr>
          <w:rFonts w:ascii="Times New Roman" w:hAnsi="Times New Roman"/>
          <w:sz w:val="26"/>
          <w:szCs w:val="26"/>
        </w:rPr>
        <w:t xml:space="preserve"> at</w:t>
      </w:r>
      <w:r>
        <w:rPr>
          <w:rFonts w:ascii="Times New Roman" w:hAnsi="Times New Roman"/>
          <w:sz w:val="26"/>
          <w:szCs w:val="26"/>
        </w:rPr>
        <w:t xml:space="preserve"> 2.</w:t>
      </w:r>
      <w:proofErr w:type="gramEnd"/>
      <w:r w:rsidR="009E5FE8">
        <w:rPr>
          <w:rFonts w:ascii="Times New Roman" w:hAnsi="Times New Roman"/>
          <w:sz w:val="26"/>
          <w:szCs w:val="26"/>
        </w:rPr>
        <w:t xml:space="preserve">  </w:t>
      </w:r>
    </w:p>
    <w:p w:rsidR="00610286" w:rsidRDefault="00610286" w:rsidP="00610286">
      <w:pPr>
        <w:pStyle w:val="NoSpacing"/>
        <w:spacing w:line="360" w:lineRule="auto"/>
        <w:ind w:firstLine="1440"/>
        <w:rPr>
          <w:rFonts w:ascii="Times New Roman" w:hAnsi="Times New Roman"/>
          <w:sz w:val="26"/>
          <w:szCs w:val="26"/>
        </w:rPr>
      </w:pPr>
    </w:p>
    <w:p w:rsidR="009E5FE8" w:rsidRDefault="00610286" w:rsidP="00610286">
      <w:pPr>
        <w:pStyle w:val="NoSpacing"/>
        <w:spacing w:line="360" w:lineRule="auto"/>
        <w:ind w:firstLine="1440"/>
        <w:rPr>
          <w:rFonts w:ascii="Times New Roman" w:hAnsi="Times New Roman"/>
          <w:sz w:val="26"/>
          <w:szCs w:val="26"/>
        </w:rPr>
      </w:pPr>
      <w:r>
        <w:rPr>
          <w:rFonts w:ascii="Times New Roman" w:hAnsi="Times New Roman"/>
          <w:sz w:val="26"/>
          <w:szCs w:val="26"/>
        </w:rPr>
        <w:t>For relief (solutions), Complainant requests</w:t>
      </w:r>
      <w:r w:rsidR="007438A6">
        <w:rPr>
          <w:rFonts w:ascii="Times New Roman" w:hAnsi="Times New Roman"/>
          <w:sz w:val="26"/>
          <w:szCs w:val="26"/>
        </w:rPr>
        <w:t xml:space="preserve"> that this Commission should</w:t>
      </w:r>
      <w:r>
        <w:rPr>
          <w:rFonts w:ascii="Times New Roman" w:hAnsi="Times New Roman"/>
          <w:sz w:val="26"/>
          <w:szCs w:val="26"/>
        </w:rPr>
        <w:t xml:space="preserve">: (1) not allow past neglect/avoided costs that should have been completed with straight time labor costs to be passed through as emergency/overtime costs; (2) not allow pass through costs imposed by New York State </w:t>
      </w:r>
      <w:r w:rsidR="00330ED9">
        <w:rPr>
          <w:rFonts w:ascii="Times New Roman" w:hAnsi="Times New Roman"/>
          <w:sz w:val="26"/>
          <w:szCs w:val="26"/>
        </w:rPr>
        <w:t xml:space="preserve">( e.g., capacity zone charges and system benefits charges) </w:t>
      </w:r>
      <w:r>
        <w:rPr>
          <w:rFonts w:ascii="Times New Roman" w:hAnsi="Times New Roman"/>
          <w:sz w:val="26"/>
          <w:szCs w:val="26"/>
        </w:rPr>
        <w:t xml:space="preserve">on Pennsylvania customers; (3) </w:t>
      </w:r>
      <w:r w:rsidR="00330ED9">
        <w:rPr>
          <w:rFonts w:ascii="Times New Roman" w:hAnsi="Times New Roman"/>
          <w:sz w:val="26"/>
          <w:szCs w:val="26"/>
        </w:rPr>
        <w:t>i</w:t>
      </w:r>
      <w:r>
        <w:rPr>
          <w:rFonts w:ascii="Times New Roman" w:hAnsi="Times New Roman"/>
          <w:sz w:val="26"/>
          <w:szCs w:val="26"/>
        </w:rPr>
        <w:t>nstruct Pike County to tie to Pennsylvania electric generation sources that will reduce costs; (4) not allow costs for infrastructure that do</w:t>
      </w:r>
      <w:r w:rsidR="00330ED9">
        <w:rPr>
          <w:rFonts w:ascii="Times New Roman" w:hAnsi="Times New Roman"/>
          <w:sz w:val="26"/>
          <w:szCs w:val="26"/>
        </w:rPr>
        <w:t>es</w:t>
      </w:r>
      <w:r>
        <w:rPr>
          <w:rFonts w:ascii="Times New Roman" w:hAnsi="Times New Roman"/>
          <w:sz w:val="26"/>
          <w:szCs w:val="26"/>
        </w:rPr>
        <w:t xml:space="preserve"> not benefit Pennsylvania customers; and (5) </w:t>
      </w:r>
      <w:r w:rsidR="00330ED9">
        <w:rPr>
          <w:rFonts w:ascii="Times New Roman" w:hAnsi="Times New Roman"/>
          <w:sz w:val="26"/>
          <w:szCs w:val="26"/>
        </w:rPr>
        <w:t>c</w:t>
      </w:r>
      <w:r>
        <w:rPr>
          <w:rFonts w:ascii="Times New Roman" w:hAnsi="Times New Roman"/>
          <w:sz w:val="26"/>
          <w:szCs w:val="26"/>
        </w:rPr>
        <w:t xml:space="preserve">ontinue to monitor Pike County closely and on a regular basis.  </w:t>
      </w:r>
      <w:r>
        <w:rPr>
          <w:rFonts w:ascii="Times New Roman" w:hAnsi="Times New Roman"/>
          <w:i/>
          <w:sz w:val="26"/>
          <w:szCs w:val="26"/>
        </w:rPr>
        <w:t>Id</w:t>
      </w:r>
      <w:r>
        <w:rPr>
          <w:rFonts w:ascii="Times New Roman" w:hAnsi="Times New Roman"/>
          <w:sz w:val="26"/>
          <w:szCs w:val="26"/>
        </w:rPr>
        <w:t xml:space="preserve">. </w:t>
      </w:r>
    </w:p>
    <w:p w:rsidR="009E5FE8" w:rsidRDefault="009E5FE8" w:rsidP="00610286">
      <w:pPr>
        <w:pStyle w:val="NoSpacing"/>
        <w:spacing w:line="360" w:lineRule="auto"/>
        <w:ind w:firstLine="1440"/>
        <w:rPr>
          <w:rFonts w:ascii="Times New Roman" w:hAnsi="Times New Roman"/>
          <w:sz w:val="26"/>
          <w:szCs w:val="26"/>
        </w:rPr>
      </w:pPr>
    </w:p>
    <w:p w:rsidR="00610286" w:rsidRPr="00093045" w:rsidRDefault="009E5FE8" w:rsidP="00610286">
      <w:pPr>
        <w:pStyle w:val="NoSpacing"/>
        <w:spacing w:line="360" w:lineRule="auto"/>
        <w:ind w:firstLine="1440"/>
        <w:rPr>
          <w:rFonts w:ascii="Times New Roman" w:hAnsi="Times New Roman"/>
          <w:b/>
          <w:sz w:val="26"/>
          <w:szCs w:val="26"/>
          <w:u w:val="single"/>
        </w:rPr>
      </w:pPr>
      <w:r>
        <w:rPr>
          <w:rFonts w:ascii="Times New Roman" w:hAnsi="Times New Roman"/>
          <w:sz w:val="26"/>
          <w:szCs w:val="26"/>
        </w:rPr>
        <w:t xml:space="preserve">We note, however, that Mr. </w:t>
      </w:r>
      <w:proofErr w:type="spellStart"/>
      <w:r>
        <w:rPr>
          <w:rFonts w:ascii="Times New Roman" w:hAnsi="Times New Roman"/>
          <w:sz w:val="26"/>
          <w:szCs w:val="26"/>
        </w:rPr>
        <w:t>Gillinder’s</w:t>
      </w:r>
      <w:proofErr w:type="spellEnd"/>
      <w:r>
        <w:rPr>
          <w:rFonts w:ascii="Times New Roman" w:hAnsi="Times New Roman"/>
          <w:sz w:val="26"/>
          <w:szCs w:val="26"/>
        </w:rPr>
        <w:t xml:space="preserve"> Formal Complaint, and the letters incorporated therein, concern the rate increase as </w:t>
      </w:r>
      <w:r w:rsidR="00103BB7">
        <w:rPr>
          <w:rFonts w:ascii="Times New Roman" w:hAnsi="Times New Roman"/>
          <w:sz w:val="26"/>
          <w:szCs w:val="26"/>
        </w:rPr>
        <w:t xml:space="preserve">originally </w:t>
      </w:r>
      <w:r>
        <w:rPr>
          <w:rFonts w:ascii="Times New Roman" w:hAnsi="Times New Roman"/>
          <w:sz w:val="26"/>
          <w:szCs w:val="26"/>
        </w:rPr>
        <w:t xml:space="preserve">filed by Pike County.  Mr. </w:t>
      </w:r>
      <w:proofErr w:type="spellStart"/>
      <w:r>
        <w:rPr>
          <w:rFonts w:ascii="Times New Roman" w:hAnsi="Times New Roman"/>
          <w:sz w:val="26"/>
          <w:szCs w:val="26"/>
        </w:rPr>
        <w:t>Gillinder</w:t>
      </w:r>
      <w:proofErr w:type="spellEnd"/>
      <w:r>
        <w:rPr>
          <w:rFonts w:ascii="Times New Roman" w:hAnsi="Times New Roman"/>
          <w:sz w:val="26"/>
          <w:szCs w:val="26"/>
        </w:rPr>
        <w:t xml:space="preserve"> did not have an opportunity to review the Settlement prior to submitting his Exceptions.  We now turn to a discussion of his Exceptions to the Recommended Decision approving the Settlement.    </w:t>
      </w:r>
      <w:r w:rsidR="00610286">
        <w:rPr>
          <w:rFonts w:ascii="Times New Roman" w:hAnsi="Times New Roman"/>
          <w:sz w:val="26"/>
          <w:szCs w:val="26"/>
        </w:rPr>
        <w:t xml:space="preserve">      </w:t>
      </w:r>
      <w:r w:rsidR="00610286">
        <w:rPr>
          <w:rFonts w:ascii="Times New Roman" w:hAnsi="Times New Roman"/>
          <w:b/>
          <w:sz w:val="26"/>
          <w:szCs w:val="26"/>
          <w:u w:val="single"/>
        </w:rPr>
        <w:t xml:space="preserve"> </w:t>
      </w:r>
    </w:p>
    <w:p w:rsidR="00882046" w:rsidRDefault="00882046" w:rsidP="00610286">
      <w:pPr>
        <w:spacing w:line="360" w:lineRule="auto"/>
        <w:rPr>
          <w:sz w:val="26"/>
          <w:szCs w:val="26"/>
        </w:rPr>
      </w:pPr>
    </w:p>
    <w:p w:rsidR="00882046" w:rsidRDefault="00EA16DD" w:rsidP="00882046">
      <w:pPr>
        <w:autoSpaceDE w:val="0"/>
        <w:autoSpaceDN w:val="0"/>
        <w:adjustRightInd w:val="0"/>
        <w:spacing w:line="360" w:lineRule="auto"/>
        <w:rPr>
          <w:b/>
          <w:sz w:val="26"/>
          <w:szCs w:val="26"/>
        </w:rPr>
      </w:pPr>
      <w:r>
        <w:rPr>
          <w:b/>
          <w:sz w:val="26"/>
          <w:szCs w:val="26"/>
        </w:rPr>
        <w:tab/>
      </w:r>
      <w:r w:rsidR="00882046">
        <w:rPr>
          <w:b/>
          <w:sz w:val="26"/>
          <w:szCs w:val="26"/>
        </w:rPr>
        <w:t xml:space="preserve">Exception </w:t>
      </w:r>
      <w:r>
        <w:rPr>
          <w:b/>
          <w:sz w:val="26"/>
          <w:szCs w:val="26"/>
        </w:rPr>
        <w:t xml:space="preserve">No. </w:t>
      </w:r>
      <w:r w:rsidR="00882046">
        <w:rPr>
          <w:b/>
          <w:sz w:val="26"/>
          <w:szCs w:val="26"/>
        </w:rPr>
        <w:t>1</w:t>
      </w:r>
    </w:p>
    <w:p w:rsidR="003E0D9E" w:rsidRPr="00882046" w:rsidRDefault="003E0D9E" w:rsidP="00882046">
      <w:pPr>
        <w:autoSpaceDE w:val="0"/>
        <w:autoSpaceDN w:val="0"/>
        <w:adjustRightInd w:val="0"/>
        <w:spacing w:line="360" w:lineRule="auto"/>
        <w:rPr>
          <w:sz w:val="26"/>
          <w:szCs w:val="26"/>
        </w:rPr>
      </w:pPr>
    </w:p>
    <w:p w:rsidR="007837B9" w:rsidRDefault="00610286" w:rsidP="00610286">
      <w:pPr>
        <w:autoSpaceDE w:val="0"/>
        <w:autoSpaceDN w:val="0"/>
        <w:adjustRightInd w:val="0"/>
        <w:spacing w:line="360" w:lineRule="auto"/>
        <w:ind w:firstLine="1440"/>
        <w:rPr>
          <w:sz w:val="26"/>
          <w:szCs w:val="26"/>
        </w:rPr>
      </w:pPr>
      <w:r>
        <w:rPr>
          <w:sz w:val="26"/>
          <w:szCs w:val="26"/>
        </w:rPr>
        <w:t xml:space="preserve">In his First Exception, Mr. </w:t>
      </w:r>
      <w:proofErr w:type="spellStart"/>
      <w:r>
        <w:rPr>
          <w:sz w:val="26"/>
          <w:szCs w:val="26"/>
        </w:rPr>
        <w:t>Gillinder</w:t>
      </w:r>
      <w:proofErr w:type="spellEnd"/>
      <w:r>
        <w:rPr>
          <w:sz w:val="26"/>
          <w:szCs w:val="26"/>
        </w:rPr>
        <w:t xml:space="preserve"> expresses a generalized criticism of the Settlement, primarily based on his </w:t>
      </w:r>
      <w:r w:rsidR="0040187C">
        <w:rPr>
          <w:sz w:val="26"/>
          <w:szCs w:val="26"/>
        </w:rPr>
        <w:t>views</w:t>
      </w:r>
      <w:r>
        <w:rPr>
          <w:sz w:val="26"/>
          <w:szCs w:val="26"/>
        </w:rPr>
        <w:t xml:space="preserve"> regarding the affiliated corporate structure to which Pike County belongs, and how this structure properly apportions costs to Pike County’s Pennsylvania operations.</w:t>
      </w:r>
      <w:r w:rsidR="00882046">
        <w:rPr>
          <w:sz w:val="26"/>
          <w:szCs w:val="26"/>
        </w:rPr>
        <w:t xml:space="preserve">  Mr. </w:t>
      </w:r>
      <w:proofErr w:type="spellStart"/>
      <w:r w:rsidR="00882046">
        <w:rPr>
          <w:sz w:val="26"/>
          <w:szCs w:val="26"/>
        </w:rPr>
        <w:t>Gillinder</w:t>
      </w:r>
      <w:proofErr w:type="spellEnd"/>
      <w:r w:rsidR="00882046">
        <w:rPr>
          <w:sz w:val="26"/>
          <w:szCs w:val="26"/>
        </w:rPr>
        <w:t xml:space="preserve"> advises that he operates a glass manufacturing plant located in the </w:t>
      </w:r>
      <w:r w:rsidR="007837B9">
        <w:rPr>
          <w:sz w:val="26"/>
          <w:szCs w:val="26"/>
        </w:rPr>
        <w:t xml:space="preserve">service territory of the </w:t>
      </w:r>
      <w:r w:rsidR="00882046">
        <w:rPr>
          <w:sz w:val="26"/>
          <w:szCs w:val="26"/>
        </w:rPr>
        <w:t>parent company of Pike County</w:t>
      </w:r>
      <w:r w:rsidR="007837B9">
        <w:rPr>
          <w:sz w:val="26"/>
          <w:szCs w:val="26"/>
        </w:rPr>
        <w:t xml:space="preserve">.  </w:t>
      </w:r>
      <w:proofErr w:type="gramStart"/>
      <w:r w:rsidR="007837B9">
        <w:rPr>
          <w:sz w:val="26"/>
          <w:szCs w:val="26"/>
        </w:rPr>
        <w:t>Exc.</w:t>
      </w:r>
      <w:r w:rsidR="0040187C">
        <w:rPr>
          <w:sz w:val="26"/>
          <w:szCs w:val="26"/>
        </w:rPr>
        <w:t xml:space="preserve"> at</w:t>
      </w:r>
      <w:r w:rsidR="007837B9">
        <w:rPr>
          <w:sz w:val="26"/>
          <w:szCs w:val="26"/>
        </w:rPr>
        <w:t xml:space="preserve"> 1.</w:t>
      </w:r>
      <w:proofErr w:type="gramEnd"/>
      <w:r w:rsidR="007837B9">
        <w:rPr>
          <w:sz w:val="26"/>
          <w:szCs w:val="26"/>
        </w:rPr>
        <w:t xml:space="preserve">  Notwithstanding the location of his business, Mr. </w:t>
      </w:r>
      <w:proofErr w:type="spellStart"/>
      <w:r w:rsidR="007837B9">
        <w:rPr>
          <w:sz w:val="26"/>
          <w:szCs w:val="26"/>
        </w:rPr>
        <w:t>Gillinder</w:t>
      </w:r>
      <w:proofErr w:type="spellEnd"/>
      <w:r w:rsidR="007837B9">
        <w:rPr>
          <w:sz w:val="26"/>
          <w:szCs w:val="26"/>
        </w:rPr>
        <w:t xml:space="preserve"> lives in Matamoras, Pennsylvania. </w:t>
      </w:r>
    </w:p>
    <w:p w:rsidR="007837B9" w:rsidRDefault="007837B9" w:rsidP="00610286">
      <w:pPr>
        <w:autoSpaceDE w:val="0"/>
        <w:autoSpaceDN w:val="0"/>
        <w:adjustRightInd w:val="0"/>
        <w:spacing w:line="360" w:lineRule="auto"/>
        <w:ind w:firstLine="1440"/>
        <w:rPr>
          <w:sz w:val="26"/>
          <w:szCs w:val="26"/>
        </w:rPr>
      </w:pPr>
    </w:p>
    <w:p w:rsidR="007837B9" w:rsidRDefault="00FF78A4" w:rsidP="004B500E">
      <w:pPr>
        <w:widowControl/>
        <w:autoSpaceDE w:val="0"/>
        <w:autoSpaceDN w:val="0"/>
        <w:adjustRightInd w:val="0"/>
        <w:spacing w:line="360" w:lineRule="auto"/>
        <w:ind w:firstLine="1440"/>
        <w:rPr>
          <w:rFonts w:eastAsiaTheme="minorHAnsi"/>
          <w:sz w:val="26"/>
          <w:szCs w:val="26"/>
        </w:rPr>
      </w:pPr>
      <w:r>
        <w:rPr>
          <w:sz w:val="26"/>
          <w:szCs w:val="26"/>
        </w:rPr>
        <w:lastRenderedPageBreak/>
        <w:t xml:space="preserve">Mr. </w:t>
      </w:r>
      <w:proofErr w:type="spellStart"/>
      <w:r w:rsidR="007837B9">
        <w:rPr>
          <w:sz w:val="26"/>
          <w:szCs w:val="26"/>
        </w:rPr>
        <w:t>Gil</w:t>
      </w:r>
      <w:r w:rsidR="00932623">
        <w:rPr>
          <w:sz w:val="26"/>
          <w:szCs w:val="26"/>
        </w:rPr>
        <w:t>l</w:t>
      </w:r>
      <w:r w:rsidR="007837B9">
        <w:rPr>
          <w:sz w:val="26"/>
          <w:szCs w:val="26"/>
        </w:rPr>
        <w:t>inder</w:t>
      </w:r>
      <w:proofErr w:type="spellEnd"/>
      <w:r w:rsidR="007837B9">
        <w:rPr>
          <w:sz w:val="26"/>
          <w:szCs w:val="26"/>
        </w:rPr>
        <w:t xml:space="preserve"> is extremely outspoken in his position that the ratepayers of Pike County are disadvantaged, financially, by policies emanating from the jurisdiction of New York.  </w:t>
      </w:r>
      <w:proofErr w:type="gramStart"/>
      <w:r w:rsidR="007837B9">
        <w:rPr>
          <w:sz w:val="26"/>
          <w:szCs w:val="26"/>
        </w:rPr>
        <w:t>Exc. at 2.</w:t>
      </w:r>
      <w:proofErr w:type="gramEnd"/>
      <w:r w:rsidR="007837B9">
        <w:rPr>
          <w:sz w:val="26"/>
          <w:szCs w:val="26"/>
        </w:rPr>
        <w:t xml:space="preserve">  </w:t>
      </w:r>
      <w:r w:rsidR="007837B9">
        <w:rPr>
          <w:rFonts w:eastAsiaTheme="minorHAnsi"/>
          <w:sz w:val="26"/>
          <w:szCs w:val="26"/>
        </w:rPr>
        <w:t xml:space="preserve">In his first Exception, Mr. </w:t>
      </w:r>
      <w:proofErr w:type="spellStart"/>
      <w:r w:rsidR="007837B9">
        <w:rPr>
          <w:rFonts w:eastAsiaTheme="minorHAnsi"/>
          <w:sz w:val="26"/>
          <w:szCs w:val="26"/>
        </w:rPr>
        <w:t>Gillinder</w:t>
      </w:r>
      <w:proofErr w:type="spellEnd"/>
      <w:r w:rsidR="007837B9">
        <w:rPr>
          <w:rFonts w:eastAsiaTheme="minorHAnsi"/>
          <w:sz w:val="26"/>
          <w:szCs w:val="26"/>
        </w:rPr>
        <w:t xml:space="preserve"> states, “We take exception to all pass through charges, taxes and fees imposed by NY ISO [Independent System Operator], NYS PSC and pass through to PCLP </w:t>
      </w:r>
      <w:r w:rsidR="0040187C">
        <w:rPr>
          <w:rFonts w:eastAsiaTheme="minorHAnsi"/>
          <w:sz w:val="26"/>
          <w:szCs w:val="26"/>
        </w:rPr>
        <w:t>[</w:t>
      </w:r>
      <w:r w:rsidR="007837B9">
        <w:rPr>
          <w:rFonts w:eastAsiaTheme="minorHAnsi"/>
          <w:sz w:val="26"/>
          <w:szCs w:val="26"/>
        </w:rPr>
        <w:t xml:space="preserve">Pike County] customers.”  </w:t>
      </w:r>
      <w:proofErr w:type="gramStart"/>
      <w:r w:rsidR="007837B9">
        <w:rPr>
          <w:rFonts w:eastAsiaTheme="minorHAnsi"/>
          <w:sz w:val="26"/>
          <w:szCs w:val="26"/>
        </w:rPr>
        <w:t>Exc.</w:t>
      </w:r>
      <w:r w:rsidR="001328BA">
        <w:rPr>
          <w:rFonts w:eastAsiaTheme="minorHAnsi"/>
          <w:sz w:val="26"/>
          <w:szCs w:val="26"/>
        </w:rPr>
        <w:t xml:space="preserve"> at</w:t>
      </w:r>
      <w:r w:rsidR="007837B9">
        <w:rPr>
          <w:rFonts w:eastAsiaTheme="minorHAnsi"/>
          <w:sz w:val="26"/>
          <w:szCs w:val="26"/>
        </w:rPr>
        <w:t xml:space="preserve"> 2.</w:t>
      </w:r>
      <w:proofErr w:type="gramEnd"/>
    </w:p>
    <w:p w:rsidR="00610286" w:rsidRDefault="007837B9" w:rsidP="007837B9">
      <w:pPr>
        <w:autoSpaceDE w:val="0"/>
        <w:autoSpaceDN w:val="0"/>
        <w:adjustRightInd w:val="0"/>
        <w:spacing w:line="360" w:lineRule="auto"/>
        <w:ind w:firstLine="1440"/>
        <w:rPr>
          <w:sz w:val="26"/>
          <w:szCs w:val="26"/>
        </w:rPr>
      </w:pPr>
      <w:r>
        <w:rPr>
          <w:sz w:val="26"/>
          <w:szCs w:val="26"/>
        </w:rPr>
        <w:t xml:space="preserve"> </w:t>
      </w:r>
    </w:p>
    <w:p w:rsidR="00006F35" w:rsidRDefault="00006F35" w:rsidP="00CA43A5">
      <w:pPr>
        <w:spacing w:line="360" w:lineRule="auto"/>
        <w:ind w:firstLine="1440"/>
        <w:rPr>
          <w:b/>
          <w:sz w:val="26"/>
          <w:szCs w:val="26"/>
        </w:rPr>
      </w:pPr>
      <w:r w:rsidRPr="00006F35">
        <w:rPr>
          <w:b/>
          <w:sz w:val="26"/>
          <w:szCs w:val="26"/>
        </w:rPr>
        <w:t>Disposition</w:t>
      </w:r>
    </w:p>
    <w:p w:rsidR="00216DEC" w:rsidRDefault="00216DEC" w:rsidP="00E314E3">
      <w:pPr>
        <w:spacing w:line="360" w:lineRule="auto"/>
        <w:ind w:firstLine="1440"/>
        <w:rPr>
          <w:color w:val="333333"/>
          <w:sz w:val="26"/>
          <w:szCs w:val="26"/>
        </w:rPr>
      </w:pPr>
    </w:p>
    <w:p w:rsidR="00610286" w:rsidRPr="007837B9" w:rsidRDefault="00610286" w:rsidP="007837B9">
      <w:pPr>
        <w:autoSpaceDE w:val="0"/>
        <w:autoSpaceDN w:val="0"/>
        <w:adjustRightInd w:val="0"/>
        <w:spacing w:line="360" w:lineRule="auto"/>
        <w:ind w:firstLine="1440"/>
        <w:rPr>
          <w:rFonts w:eastAsiaTheme="minorHAnsi"/>
          <w:sz w:val="26"/>
          <w:szCs w:val="26"/>
        </w:rPr>
      </w:pPr>
      <w:r>
        <w:rPr>
          <w:rFonts w:eastAsiaTheme="minorHAnsi"/>
          <w:sz w:val="26"/>
          <w:szCs w:val="26"/>
        </w:rPr>
        <w:t xml:space="preserve">The concerns of Mr. </w:t>
      </w:r>
      <w:proofErr w:type="spellStart"/>
      <w:r>
        <w:rPr>
          <w:rFonts w:eastAsiaTheme="minorHAnsi"/>
          <w:sz w:val="26"/>
          <w:szCs w:val="26"/>
        </w:rPr>
        <w:t>Gillinder</w:t>
      </w:r>
      <w:proofErr w:type="spellEnd"/>
      <w:r w:rsidR="007837B9">
        <w:rPr>
          <w:rFonts w:eastAsiaTheme="minorHAnsi"/>
          <w:sz w:val="26"/>
          <w:szCs w:val="26"/>
        </w:rPr>
        <w:t xml:space="preserve">, in Exception </w:t>
      </w:r>
      <w:r w:rsidR="00FF78A4">
        <w:rPr>
          <w:rFonts w:eastAsiaTheme="minorHAnsi"/>
          <w:sz w:val="26"/>
          <w:szCs w:val="26"/>
        </w:rPr>
        <w:t xml:space="preserve"> No. </w:t>
      </w:r>
      <w:r w:rsidR="007837B9">
        <w:rPr>
          <w:rFonts w:eastAsiaTheme="minorHAnsi"/>
          <w:sz w:val="26"/>
          <w:szCs w:val="26"/>
        </w:rPr>
        <w:t>1,</w:t>
      </w:r>
      <w:r>
        <w:rPr>
          <w:rFonts w:eastAsiaTheme="minorHAnsi"/>
          <w:sz w:val="26"/>
          <w:szCs w:val="26"/>
        </w:rPr>
        <w:t xml:space="preserve"> appear based, primarily, on</w:t>
      </w:r>
      <w:r w:rsidR="007837B9">
        <w:rPr>
          <w:rFonts w:eastAsiaTheme="minorHAnsi"/>
          <w:sz w:val="26"/>
          <w:szCs w:val="26"/>
        </w:rPr>
        <w:t xml:space="preserve"> the jurisdictional cost allocation necessitated by the</w:t>
      </w:r>
      <w:r>
        <w:rPr>
          <w:rFonts w:eastAsiaTheme="minorHAnsi"/>
          <w:sz w:val="26"/>
          <w:szCs w:val="26"/>
        </w:rPr>
        <w:t xml:space="preserve"> relationship of Pike County to other regulated companies, </w:t>
      </w:r>
      <w:r>
        <w:rPr>
          <w:rFonts w:eastAsiaTheme="minorHAnsi"/>
          <w:i/>
          <w:sz w:val="26"/>
          <w:szCs w:val="26"/>
        </w:rPr>
        <w:t>inter</w:t>
      </w:r>
      <w:r>
        <w:rPr>
          <w:rFonts w:eastAsiaTheme="minorHAnsi"/>
          <w:sz w:val="26"/>
          <w:szCs w:val="26"/>
        </w:rPr>
        <w:t xml:space="preserve"> </w:t>
      </w:r>
      <w:r>
        <w:rPr>
          <w:rFonts w:eastAsiaTheme="minorHAnsi"/>
          <w:i/>
          <w:sz w:val="26"/>
          <w:szCs w:val="26"/>
        </w:rPr>
        <w:t>alia</w:t>
      </w:r>
      <w:r>
        <w:rPr>
          <w:rFonts w:eastAsiaTheme="minorHAnsi"/>
          <w:sz w:val="26"/>
          <w:szCs w:val="26"/>
        </w:rPr>
        <w:t xml:space="preserve">, under the jurisdiction of the New York Public Service Commission (NYPSC).  </w:t>
      </w:r>
      <w:r w:rsidRPr="002D6066">
        <w:rPr>
          <w:rFonts w:eastAsiaTheme="minorHAnsi"/>
          <w:sz w:val="26"/>
          <w:szCs w:val="26"/>
        </w:rPr>
        <w:t xml:space="preserve">Pike County </w:t>
      </w:r>
      <w:r>
        <w:rPr>
          <w:rFonts w:eastAsiaTheme="minorHAnsi"/>
          <w:sz w:val="26"/>
          <w:szCs w:val="26"/>
        </w:rPr>
        <w:t>is a</w:t>
      </w:r>
      <w:r w:rsidRPr="002D6066">
        <w:rPr>
          <w:rFonts w:eastAsiaTheme="minorHAnsi"/>
          <w:sz w:val="26"/>
          <w:szCs w:val="26"/>
        </w:rPr>
        <w:t xml:space="preserve"> wholly</w:t>
      </w:r>
      <w:r>
        <w:rPr>
          <w:rFonts w:eastAsiaTheme="minorHAnsi"/>
          <w:sz w:val="26"/>
          <w:szCs w:val="26"/>
        </w:rPr>
        <w:t xml:space="preserve"> owned subsidiary of Orange and </w:t>
      </w:r>
      <w:r w:rsidRPr="002D6066">
        <w:rPr>
          <w:rFonts w:eastAsiaTheme="minorHAnsi"/>
          <w:sz w:val="26"/>
          <w:szCs w:val="26"/>
        </w:rPr>
        <w:t>Rockland Utilities, Inc</w:t>
      </w:r>
      <w:r>
        <w:rPr>
          <w:rFonts w:eastAsiaTheme="minorHAnsi"/>
          <w:sz w:val="26"/>
          <w:szCs w:val="26"/>
        </w:rPr>
        <w:t>.</w:t>
      </w:r>
      <w:r w:rsidRPr="002D6066">
        <w:rPr>
          <w:rFonts w:eastAsiaTheme="minorHAnsi"/>
          <w:sz w:val="26"/>
          <w:szCs w:val="26"/>
        </w:rPr>
        <w:t xml:space="preserve"> (O&amp;R)</w:t>
      </w:r>
      <w:r>
        <w:rPr>
          <w:rFonts w:eastAsiaTheme="minorHAnsi"/>
          <w:sz w:val="26"/>
          <w:szCs w:val="26"/>
        </w:rPr>
        <w:t>,</w:t>
      </w:r>
      <w:r w:rsidRPr="002D6066">
        <w:rPr>
          <w:rFonts w:eastAsiaTheme="minorHAnsi"/>
          <w:sz w:val="26"/>
          <w:szCs w:val="26"/>
        </w:rPr>
        <w:t xml:space="preserve"> which is itse</w:t>
      </w:r>
      <w:r>
        <w:rPr>
          <w:rFonts w:eastAsiaTheme="minorHAnsi"/>
          <w:sz w:val="26"/>
          <w:szCs w:val="26"/>
        </w:rPr>
        <w:t xml:space="preserve">lf a wholly owned subsidiary of </w:t>
      </w:r>
      <w:r w:rsidRPr="002D6066">
        <w:rPr>
          <w:rFonts w:eastAsiaTheme="minorHAnsi"/>
          <w:sz w:val="26"/>
          <w:szCs w:val="26"/>
        </w:rPr>
        <w:t>Consolidated Edison, Inc. (CEI).</w:t>
      </w:r>
      <w:r>
        <w:rPr>
          <w:rFonts w:eastAsiaTheme="minorHAnsi"/>
          <w:sz w:val="26"/>
          <w:szCs w:val="26"/>
        </w:rPr>
        <w:t xml:space="preserve">  </w:t>
      </w:r>
      <w:r>
        <w:rPr>
          <w:rFonts w:eastAsiaTheme="minorHAnsi"/>
          <w:i/>
          <w:sz w:val="26"/>
          <w:szCs w:val="26"/>
        </w:rPr>
        <w:t xml:space="preserve">See, e.g., </w:t>
      </w:r>
      <w:r w:rsidR="00103BB7">
        <w:rPr>
          <w:rFonts w:eastAsiaTheme="minorHAnsi"/>
          <w:sz w:val="26"/>
          <w:szCs w:val="26"/>
        </w:rPr>
        <w:t xml:space="preserve">Pike County </w:t>
      </w:r>
      <w:r>
        <w:rPr>
          <w:rFonts w:eastAsiaTheme="minorHAnsi"/>
          <w:sz w:val="26"/>
          <w:szCs w:val="26"/>
        </w:rPr>
        <w:t xml:space="preserve">Direct Testimony of Robert B. </w:t>
      </w:r>
      <w:proofErr w:type="spellStart"/>
      <w:r>
        <w:rPr>
          <w:rFonts w:eastAsiaTheme="minorHAnsi"/>
          <w:sz w:val="26"/>
          <w:szCs w:val="26"/>
        </w:rPr>
        <w:t>Hevert</w:t>
      </w:r>
      <w:proofErr w:type="spellEnd"/>
      <w:r>
        <w:rPr>
          <w:rFonts w:eastAsiaTheme="minorHAnsi"/>
          <w:sz w:val="26"/>
          <w:szCs w:val="26"/>
        </w:rPr>
        <w:t>, “Cost of Equity.</w:t>
      </w:r>
      <w:r w:rsidR="0050676C">
        <w:rPr>
          <w:rFonts w:eastAsiaTheme="minorHAnsi"/>
          <w:sz w:val="26"/>
          <w:szCs w:val="26"/>
        </w:rPr>
        <w:t>”</w:t>
      </w:r>
    </w:p>
    <w:p w:rsidR="00610286" w:rsidRPr="00610286" w:rsidRDefault="00610286" w:rsidP="00610286">
      <w:pPr>
        <w:spacing w:line="360" w:lineRule="auto"/>
        <w:ind w:firstLine="1440"/>
        <w:rPr>
          <w:color w:val="333333"/>
          <w:sz w:val="26"/>
          <w:szCs w:val="26"/>
        </w:rPr>
      </w:pPr>
    </w:p>
    <w:p w:rsidR="007837B9" w:rsidRPr="00201617" w:rsidRDefault="007837B9" w:rsidP="007837B9">
      <w:pPr>
        <w:autoSpaceDE w:val="0"/>
        <w:autoSpaceDN w:val="0"/>
        <w:adjustRightInd w:val="0"/>
        <w:spacing w:line="360" w:lineRule="auto"/>
        <w:ind w:firstLine="1440"/>
        <w:rPr>
          <w:rFonts w:eastAsiaTheme="minorHAnsi"/>
          <w:sz w:val="26"/>
          <w:szCs w:val="26"/>
        </w:rPr>
      </w:pPr>
      <w:r>
        <w:rPr>
          <w:rFonts w:eastAsiaTheme="minorHAnsi"/>
          <w:sz w:val="26"/>
          <w:szCs w:val="26"/>
        </w:rPr>
        <w:t>Pike County, as an electric d</w:t>
      </w:r>
      <w:r w:rsidRPr="00201617">
        <w:rPr>
          <w:rFonts w:eastAsiaTheme="minorHAnsi"/>
          <w:sz w:val="26"/>
          <w:szCs w:val="26"/>
        </w:rPr>
        <w:t>istribution company</w:t>
      </w:r>
      <w:r>
        <w:rPr>
          <w:rFonts w:eastAsiaTheme="minorHAnsi"/>
          <w:sz w:val="26"/>
          <w:szCs w:val="26"/>
        </w:rPr>
        <w:t>,</w:t>
      </w:r>
      <w:r w:rsidRPr="00201617">
        <w:rPr>
          <w:rFonts w:eastAsiaTheme="minorHAnsi"/>
          <w:sz w:val="26"/>
          <w:szCs w:val="26"/>
        </w:rPr>
        <w:t xml:space="preserve"> provides service to</w:t>
      </w:r>
    </w:p>
    <w:p w:rsidR="007837B9" w:rsidRPr="00201617" w:rsidRDefault="007837B9" w:rsidP="007837B9">
      <w:pPr>
        <w:autoSpaceDE w:val="0"/>
        <w:autoSpaceDN w:val="0"/>
        <w:adjustRightInd w:val="0"/>
        <w:spacing w:line="360" w:lineRule="auto"/>
        <w:rPr>
          <w:rFonts w:eastAsiaTheme="minorHAnsi"/>
          <w:sz w:val="26"/>
          <w:szCs w:val="26"/>
        </w:rPr>
      </w:pPr>
      <w:r w:rsidRPr="00201617">
        <w:rPr>
          <w:rFonts w:eastAsiaTheme="minorHAnsi"/>
          <w:sz w:val="26"/>
          <w:szCs w:val="26"/>
        </w:rPr>
        <w:t xml:space="preserve"> </w:t>
      </w:r>
      <w:proofErr w:type="gramStart"/>
      <w:r w:rsidR="00647360">
        <w:rPr>
          <w:rFonts w:eastAsiaTheme="minorHAnsi"/>
          <w:sz w:val="26"/>
          <w:szCs w:val="26"/>
        </w:rPr>
        <w:t>a</w:t>
      </w:r>
      <w:r w:rsidRPr="00201617">
        <w:rPr>
          <w:rFonts w:eastAsiaTheme="minorHAnsi"/>
          <w:sz w:val="26"/>
          <w:szCs w:val="26"/>
        </w:rPr>
        <w:t>pproximately</w:t>
      </w:r>
      <w:proofErr w:type="gramEnd"/>
      <w:r w:rsidRPr="00201617">
        <w:rPr>
          <w:rFonts w:eastAsiaTheme="minorHAnsi"/>
          <w:sz w:val="26"/>
          <w:szCs w:val="26"/>
        </w:rPr>
        <w:t xml:space="preserve"> 4,500 electric customers in a service territory which includes the</w:t>
      </w:r>
    </w:p>
    <w:p w:rsidR="00647360" w:rsidRDefault="007837B9" w:rsidP="007837B9">
      <w:pPr>
        <w:autoSpaceDE w:val="0"/>
        <w:autoSpaceDN w:val="0"/>
        <w:adjustRightInd w:val="0"/>
        <w:spacing w:line="360" w:lineRule="auto"/>
        <w:rPr>
          <w:rFonts w:eastAsiaTheme="minorHAnsi"/>
          <w:sz w:val="26"/>
          <w:szCs w:val="26"/>
        </w:rPr>
      </w:pPr>
      <w:r w:rsidRPr="00201617">
        <w:rPr>
          <w:rFonts w:eastAsiaTheme="minorHAnsi"/>
          <w:sz w:val="26"/>
          <w:szCs w:val="26"/>
        </w:rPr>
        <w:t xml:space="preserve"> </w:t>
      </w:r>
      <w:proofErr w:type="gramStart"/>
      <w:r w:rsidRPr="00201617">
        <w:rPr>
          <w:rFonts w:eastAsiaTheme="minorHAnsi"/>
          <w:sz w:val="26"/>
          <w:szCs w:val="26"/>
        </w:rPr>
        <w:t>Boroughs of Milford and Matamoras</w:t>
      </w:r>
      <w:r>
        <w:rPr>
          <w:rFonts w:eastAsiaTheme="minorHAnsi"/>
          <w:sz w:val="26"/>
          <w:szCs w:val="26"/>
        </w:rPr>
        <w:t xml:space="preserve"> in northeastern Pennsylvania.</w:t>
      </w:r>
      <w:proofErr w:type="gramEnd"/>
      <w:r>
        <w:rPr>
          <w:rFonts w:eastAsiaTheme="minorHAnsi"/>
          <w:sz w:val="26"/>
          <w:szCs w:val="26"/>
        </w:rPr>
        <w:t xml:space="preserve">  However, t</w:t>
      </w:r>
      <w:r w:rsidRPr="00201617">
        <w:rPr>
          <w:rFonts w:eastAsiaTheme="minorHAnsi"/>
          <w:sz w:val="26"/>
          <w:szCs w:val="26"/>
        </w:rPr>
        <w:t xml:space="preserve">he </w:t>
      </w:r>
      <w:r w:rsidR="003D293B">
        <w:rPr>
          <w:rFonts w:eastAsiaTheme="minorHAnsi"/>
          <w:sz w:val="26"/>
          <w:szCs w:val="26"/>
        </w:rPr>
        <w:t>C</w:t>
      </w:r>
      <w:r w:rsidRPr="00201617">
        <w:rPr>
          <w:rFonts w:eastAsiaTheme="minorHAnsi"/>
          <w:sz w:val="26"/>
          <w:szCs w:val="26"/>
        </w:rPr>
        <w:t>ompany serves Pennsylvania customers fr</w:t>
      </w:r>
      <w:r>
        <w:rPr>
          <w:rFonts w:eastAsiaTheme="minorHAnsi"/>
          <w:sz w:val="26"/>
          <w:szCs w:val="26"/>
        </w:rPr>
        <w:t xml:space="preserve">om five circuits that originate </w:t>
      </w:r>
      <w:r w:rsidRPr="00201617">
        <w:rPr>
          <w:rFonts w:eastAsiaTheme="minorHAnsi"/>
          <w:sz w:val="26"/>
          <w:szCs w:val="26"/>
        </w:rPr>
        <w:t>from three substations</w:t>
      </w:r>
      <w:r>
        <w:rPr>
          <w:rFonts w:eastAsiaTheme="minorHAnsi"/>
          <w:sz w:val="26"/>
          <w:szCs w:val="26"/>
        </w:rPr>
        <w:t xml:space="preserve">, </w:t>
      </w:r>
      <w:r w:rsidRPr="00201617">
        <w:rPr>
          <w:rFonts w:eastAsiaTheme="minorHAnsi"/>
          <w:sz w:val="26"/>
          <w:szCs w:val="26"/>
        </w:rPr>
        <w:t xml:space="preserve">two </w:t>
      </w:r>
      <w:r>
        <w:rPr>
          <w:rFonts w:eastAsiaTheme="minorHAnsi"/>
          <w:sz w:val="26"/>
          <w:szCs w:val="26"/>
        </w:rPr>
        <w:t xml:space="preserve">of which are located </w:t>
      </w:r>
      <w:r w:rsidRPr="00201617">
        <w:rPr>
          <w:rFonts w:eastAsiaTheme="minorHAnsi"/>
          <w:sz w:val="26"/>
          <w:szCs w:val="26"/>
        </w:rPr>
        <w:t xml:space="preserve">in New York, </w:t>
      </w:r>
      <w:r>
        <w:rPr>
          <w:rFonts w:eastAsiaTheme="minorHAnsi"/>
          <w:sz w:val="26"/>
          <w:szCs w:val="26"/>
        </w:rPr>
        <w:t xml:space="preserve">and </w:t>
      </w:r>
      <w:r w:rsidRPr="00201617">
        <w:rPr>
          <w:rFonts w:eastAsiaTheme="minorHAnsi"/>
          <w:sz w:val="26"/>
          <w:szCs w:val="26"/>
        </w:rPr>
        <w:t>one in Pennsylvania</w:t>
      </w:r>
      <w:r>
        <w:rPr>
          <w:rFonts w:eastAsiaTheme="minorHAnsi"/>
          <w:sz w:val="26"/>
          <w:szCs w:val="26"/>
        </w:rPr>
        <w:t xml:space="preserve">.  </w:t>
      </w:r>
      <w:r w:rsidRPr="00201617">
        <w:rPr>
          <w:rFonts w:eastAsiaTheme="minorHAnsi"/>
          <w:i/>
          <w:sz w:val="26"/>
          <w:szCs w:val="26"/>
        </w:rPr>
        <w:t>See</w:t>
      </w:r>
      <w:r>
        <w:rPr>
          <w:rFonts w:eastAsiaTheme="minorHAnsi"/>
          <w:sz w:val="26"/>
          <w:szCs w:val="26"/>
        </w:rPr>
        <w:t xml:space="preserve"> Pike County </w:t>
      </w:r>
      <w:r w:rsidR="00103BB7">
        <w:rPr>
          <w:rFonts w:eastAsiaTheme="minorHAnsi"/>
          <w:sz w:val="26"/>
          <w:szCs w:val="26"/>
        </w:rPr>
        <w:t xml:space="preserve">Direct </w:t>
      </w:r>
      <w:r>
        <w:rPr>
          <w:rFonts w:eastAsiaTheme="minorHAnsi"/>
          <w:sz w:val="26"/>
          <w:szCs w:val="26"/>
        </w:rPr>
        <w:t>Testimony of</w:t>
      </w:r>
      <w:r w:rsidR="00103BB7">
        <w:rPr>
          <w:rFonts w:eastAsiaTheme="minorHAnsi"/>
          <w:sz w:val="26"/>
          <w:szCs w:val="26"/>
        </w:rPr>
        <w:t xml:space="preserve"> E. Patrick</w:t>
      </w:r>
      <w:r w:rsidRPr="00201617">
        <w:rPr>
          <w:rFonts w:eastAsiaTheme="minorHAnsi"/>
          <w:sz w:val="26"/>
          <w:szCs w:val="26"/>
        </w:rPr>
        <w:t xml:space="preserve"> Burke</w:t>
      </w:r>
      <w:r w:rsidR="00103BB7">
        <w:rPr>
          <w:rFonts w:eastAsiaTheme="minorHAnsi"/>
          <w:sz w:val="26"/>
          <w:szCs w:val="26"/>
        </w:rPr>
        <w:t>, Director – Control Center and Substation Operations, O&amp;</w:t>
      </w:r>
      <w:proofErr w:type="gramStart"/>
      <w:r w:rsidR="00103BB7">
        <w:rPr>
          <w:rFonts w:eastAsiaTheme="minorHAnsi"/>
          <w:sz w:val="26"/>
          <w:szCs w:val="26"/>
        </w:rPr>
        <w:t xml:space="preserve">R </w:t>
      </w:r>
      <w:r>
        <w:rPr>
          <w:rFonts w:eastAsiaTheme="minorHAnsi"/>
          <w:sz w:val="26"/>
          <w:szCs w:val="26"/>
        </w:rPr>
        <w:t>.</w:t>
      </w:r>
      <w:proofErr w:type="gramEnd"/>
      <w:r>
        <w:rPr>
          <w:rFonts w:eastAsiaTheme="minorHAnsi"/>
          <w:sz w:val="26"/>
          <w:szCs w:val="26"/>
        </w:rPr>
        <w:t xml:space="preserve">  This is one example of the need to </w:t>
      </w:r>
      <w:r w:rsidR="00647360">
        <w:rPr>
          <w:rFonts w:eastAsiaTheme="minorHAnsi"/>
          <w:sz w:val="26"/>
          <w:szCs w:val="26"/>
        </w:rPr>
        <w:t>maintain cost allocations as between Pennsylvania jurisdictional and NYPSC jurisdictional utilities in a manner so as to insure a fair allocation to the ratepayers involved.</w:t>
      </w:r>
    </w:p>
    <w:p w:rsidR="00647360" w:rsidRDefault="00647360" w:rsidP="007837B9">
      <w:pPr>
        <w:autoSpaceDE w:val="0"/>
        <w:autoSpaceDN w:val="0"/>
        <w:adjustRightInd w:val="0"/>
        <w:spacing w:line="360" w:lineRule="auto"/>
        <w:rPr>
          <w:rFonts w:eastAsiaTheme="minorHAnsi"/>
          <w:sz w:val="26"/>
          <w:szCs w:val="26"/>
        </w:rPr>
      </w:pPr>
    </w:p>
    <w:p w:rsidR="007837B9" w:rsidRPr="00201617" w:rsidRDefault="00647360" w:rsidP="00647360">
      <w:pPr>
        <w:autoSpaceDE w:val="0"/>
        <w:autoSpaceDN w:val="0"/>
        <w:adjustRightInd w:val="0"/>
        <w:spacing w:line="360" w:lineRule="auto"/>
        <w:ind w:firstLine="1296"/>
        <w:rPr>
          <w:rFonts w:eastAsiaTheme="minorHAnsi"/>
          <w:sz w:val="26"/>
          <w:szCs w:val="26"/>
        </w:rPr>
      </w:pPr>
      <w:r>
        <w:rPr>
          <w:rFonts w:eastAsiaTheme="minorHAnsi"/>
          <w:sz w:val="26"/>
          <w:szCs w:val="26"/>
        </w:rPr>
        <w:t xml:space="preserve">On review of the record in this proceeding, we find the concerns of </w:t>
      </w:r>
      <w:r w:rsidR="003D293B">
        <w:rPr>
          <w:rFonts w:eastAsiaTheme="minorHAnsi"/>
          <w:sz w:val="26"/>
          <w:szCs w:val="26"/>
        </w:rPr>
        <w:t xml:space="preserve">the </w:t>
      </w:r>
      <w:r>
        <w:rPr>
          <w:rFonts w:eastAsiaTheme="minorHAnsi"/>
          <w:sz w:val="26"/>
          <w:szCs w:val="26"/>
        </w:rPr>
        <w:t xml:space="preserve">OSBA, which were primarily addressed to cost allocation and revenue allocation, represent the appropriate manner in which to address Mr. </w:t>
      </w:r>
      <w:proofErr w:type="spellStart"/>
      <w:r>
        <w:rPr>
          <w:rFonts w:eastAsiaTheme="minorHAnsi"/>
          <w:sz w:val="26"/>
          <w:szCs w:val="26"/>
        </w:rPr>
        <w:t>Gillinder’s</w:t>
      </w:r>
      <w:proofErr w:type="spellEnd"/>
      <w:r>
        <w:rPr>
          <w:rFonts w:eastAsiaTheme="minorHAnsi"/>
          <w:sz w:val="26"/>
          <w:szCs w:val="26"/>
        </w:rPr>
        <w:t xml:space="preserve"> issues.  At present, </w:t>
      </w:r>
      <w:r>
        <w:rPr>
          <w:rFonts w:eastAsiaTheme="minorHAnsi"/>
          <w:sz w:val="26"/>
          <w:szCs w:val="26"/>
        </w:rPr>
        <w:lastRenderedPageBreak/>
        <w:t xml:space="preserve">the record only contains the generalized </w:t>
      </w:r>
      <w:r w:rsidR="00103BB7">
        <w:rPr>
          <w:rFonts w:eastAsiaTheme="minorHAnsi"/>
          <w:sz w:val="26"/>
          <w:szCs w:val="26"/>
        </w:rPr>
        <w:t xml:space="preserve">allegations </w:t>
      </w:r>
      <w:r w:rsidR="003F2462">
        <w:rPr>
          <w:rFonts w:eastAsiaTheme="minorHAnsi"/>
          <w:sz w:val="26"/>
          <w:szCs w:val="26"/>
        </w:rPr>
        <w:t xml:space="preserve">of </w:t>
      </w:r>
      <w:r w:rsidR="00103BB7">
        <w:rPr>
          <w:rFonts w:eastAsiaTheme="minorHAnsi"/>
          <w:sz w:val="26"/>
          <w:szCs w:val="26"/>
        </w:rPr>
        <w:t xml:space="preserve">Mr. </w:t>
      </w:r>
      <w:proofErr w:type="spellStart"/>
      <w:r w:rsidR="003F2462">
        <w:rPr>
          <w:rFonts w:eastAsiaTheme="minorHAnsi"/>
          <w:sz w:val="26"/>
          <w:szCs w:val="26"/>
        </w:rPr>
        <w:t>Gillinder</w:t>
      </w:r>
      <w:proofErr w:type="spellEnd"/>
      <w:r>
        <w:rPr>
          <w:rFonts w:eastAsiaTheme="minorHAnsi"/>
          <w:sz w:val="26"/>
          <w:szCs w:val="26"/>
        </w:rPr>
        <w:t xml:space="preserve">.  We conclude that </w:t>
      </w:r>
      <w:r w:rsidR="003F2462">
        <w:rPr>
          <w:rFonts w:eastAsiaTheme="minorHAnsi"/>
          <w:sz w:val="26"/>
          <w:szCs w:val="26"/>
        </w:rPr>
        <w:t xml:space="preserve">the </w:t>
      </w:r>
      <w:r>
        <w:rPr>
          <w:rFonts w:eastAsiaTheme="minorHAnsi"/>
          <w:sz w:val="26"/>
          <w:szCs w:val="26"/>
        </w:rPr>
        <w:t xml:space="preserve">position of </w:t>
      </w:r>
      <w:r w:rsidR="003D293B">
        <w:rPr>
          <w:rFonts w:eastAsiaTheme="minorHAnsi"/>
          <w:sz w:val="26"/>
          <w:szCs w:val="26"/>
        </w:rPr>
        <w:t xml:space="preserve">the </w:t>
      </w:r>
      <w:r>
        <w:rPr>
          <w:rFonts w:eastAsiaTheme="minorHAnsi"/>
          <w:sz w:val="26"/>
          <w:szCs w:val="26"/>
        </w:rPr>
        <w:t xml:space="preserve">OSBA, </w:t>
      </w:r>
      <w:r w:rsidR="003F2462">
        <w:rPr>
          <w:rFonts w:eastAsiaTheme="minorHAnsi"/>
          <w:sz w:val="26"/>
          <w:szCs w:val="26"/>
        </w:rPr>
        <w:t xml:space="preserve">as expressed in the Settlement, </w:t>
      </w:r>
      <w:r>
        <w:rPr>
          <w:rFonts w:eastAsiaTheme="minorHAnsi"/>
          <w:sz w:val="26"/>
          <w:szCs w:val="26"/>
        </w:rPr>
        <w:t>anticipate</w:t>
      </w:r>
      <w:r w:rsidR="003F2462">
        <w:rPr>
          <w:rFonts w:eastAsiaTheme="minorHAnsi"/>
          <w:sz w:val="26"/>
          <w:szCs w:val="26"/>
        </w:rPr>
        <w:t>s</w:t>
      </w:r>
      <w:r>
        <w:rPr>
          <w:rFonts w:eastAsiaTheme="minorHAnsi"/>
          <w:sz w:val="26"/>
          <w:szCs w:val="26"/>
        </w:rPr>
        <w:t xml:space="preserve"> a cost of service study </w:t>
      </w:r>
      <w:r w:rsidR="003F2462">
        <w:rPr>
          <w:rFonts w:eastAsiaTheme="minorHAnsi"/>
          <w:sz w:val="26"/>
          <w:szCs w:val="26"/>
        </w:rPr>
        <w:t>to be fil</w:t>
      </w:r>
      <w:r w:rsidR="0050676C">
        <w:rPr>
          <w:rFonts w:eastAsiaTheme="minorHAnsi"/>
          <w:sz w:val="26"/>
          <w:szCs w:val="26"/>
        </w:rPr>
        <w:t>e</w:t>
      </w:r>
      <w:r w:rsidR="003F2462">
        <w:rPr>
          <w:rFonts w:eastAsiaTheme="minorHAnsi"/>
          <w:sz w:val="26"/>
          <w:szCs w:val="26"/>
        </w:rPr>
        <w:t>d by Pike County in its next rate case</w:t>
      </w:r>
      <w:r w:rsidR="00103BB7">
        <w:rPr>
          <w:rFonts w:eastAsiaTheme="minorHAnsi"/>
          <w:sz w:val="26"/>
          <w:szCs w:val="26"/>
        </w:rPr>
        <w:t>.  This cost of service study should</w:t>
      </w:r>
      <w:r>
        <w:rPr>
          <w:rFonts w:eastAsiaTheme="minorHAnsi"/>
          <w:sz w:val="26"/>
          <w:szCs w:val="26"/>
        </w:rPr>
        <w:t xml:space="preserve"> address </w:t>
      </w:r>
      <w:r w:rsidR="003D293B">
        <w:rPr>
          <w:rFonts w:eastAsiaTheme="minorHAnsi"/>
          <w:sz w:val="26"/>
          <w:szCs w:val="26"/>
        </w:rPr>
        <w:t xml:space="preserve">the </w:t>
      </w:r>
      <w:r w:rsidR="003F2462">
        <w:rPr>
          <w:rFonts w:eastAsiaTheme="minorHAnsi"/>
          <w:sz w:val="26"/>
          <w:szCs w:val="26"/>
        </w:rPr>
        <w:t xml:space="preserve">OSBA’s proposed </w:t>
      </w:r>
      <w:r>
        <w:rPr>
          <w:rFonts w:eastAsiaTheme="minorHAnsi"/>
          <w:sz w:val="26"/>
          <w:szCs w:val="26"/>
        </w:rPr>
        <w:t xml:space="preserve">revisions </w:t>
      </w:r>
      <w:r w:rsidR="00103BB7">
        <w:rPr>
          <w:rFonts w:eastAsiaTheme="minorHAnsi"/>
          <w:sz w:val="26"/>
          <w:szCs w:val="26"/>
        </w:rPr>
        <w:t xml:space="preserve">for </w:t>
      </w:r>
      <w:r w:rsidR="004B500E">
        <w:rPr>
          <w:rFonts w:eastAsiaTheme="minorHAnsi"/>
          <w:sz w:val="26"/>
          <w:szCs w:val="26"/>
        </w:rPr>
        <w:t xml:space="preserve">more detail.  This is an </w:t>
      </w:r>
      <w:proofErr w:type="spellStart"/>
      <w:proofErr w:type="gramStart"/>
      <w:r w:rsidR="004B500E">
        <w:rPr>
          <w:rFonts w:eastAsiaTheme="minorHAnsi"/>
          <w:sz w:val="26"/>
          <w:szCs w:val="26"/>
        </w:rPr>
        <w:t>OSBAposition</w:t>
      </w:r>
      <w:proofErr w:type="spellEnd"/>
      <w:r w:rsidR="004B500E">
        <w:rPr>
          <w:rFonts w:eastAsiaTheme="minorHAnsi"/>
          <w:sz w:val="26"/>
          <w:szCs w:val="26"/>
        </w:rPr>
        <w:t xml:space="preserve">  </w:t>
      </w:r>
      <w:r>
        <w:rPr>
          <w:rFonts w:eastAsiaTheme="minorHAnsi"/>
          <w:sz w:val="26"/>
          <w:szCs w:val="26"/>
        </w:rPr>
        <w:t>dating</w:t>
      </w:r>
      <w:proofErr w:type="gramEnd"/>
      <w:r>
        <w:rPr>
          <w:rFonts w:eastAsiaTheme="minorHAnsi"/>
          <w:sz w:val="26"/>
          <w:szCs w:val="26"/>
        </w:rPr>
        <w:t xml:space="preserve"> from Pike County’s 2008 rate proceeding</w:t>
      </w:r>
      <w:r w:rsidR="003F2462">
        <w:rPr>
          <w:rFonts w:eastAsiaTheme="minorHAnsi"/>
          <w:sz w:val="26"/>
          <w:szCs w:val="26"/>
        </w:rPr>
        <w:t>,</w:t>
      </w:r>
      <w:r>
        <w:rPr>
          <w:rFonts w:eastAsiaTheme="minorHAnsi"/>
          <w:sz w:val="26"/>
          <w:szCs w:val="26"/>
        </w:rPr>
        <w:t xml:space="preserve"> </w:t>
      </w:r>
      <w:r w:rsidR="004B500E">
        <w:rPr>
          <w:rFonts w:eastAsiaTheme="minorHAnsi"/>
          <w:sz w:val="26"/>
          <w:szCs w:val="26"/>
        </w:rPr>
        <w:t xml:space="preserve">and we conclude that a detailed cost of service study to be made a part of the record </w:t>
      </w:r>
      <w:r>
        <w:rPr>
          <w:rFonts w:eastAsiaTheme="minorHAnsi"/>
          <w:sz w:val="26"/>
          <w:szCs w:val="26"/>
        </w:rPr>
        <w:t>is the proper time to</w:t>
      </w:r>
      <w:r w:rsidR="003F2462">
        <w:rPr>
          <w:rFonts w:eastAsiaTheme="minorHAnsi"/>
          <w:sz w:val="26"/>
          <w:szCs w:val="26"/>
        </w:rPr>
        <w:t xml:space="preserve"> receive the details of those concerns raised by </w:t>
      </w:r>
      <w:proofErr w:type="spellStart"/>
      <w:r w:rsidR="003F2462">
        <w:rPr>
          <w:rFonts w:eastAsiaTheme="minorHAnsi"/>
          <w:sz w:val="26"/>
          <w:szCs w:val="26"/>
        </w:rPr>
        <w:t>Gillinder</w:t>
      </w:r>
      <w:proofErr w:type="spellEnd"/>
      <w:r w:rsidR="003F2462">
        <w:rPr>
          <w:rFonts w:eastAsiaTheme="minorHAnsi"/>
          <w:sz w:val="26"/>
          <w:szCs w:val="26"/>
        </w:rPr>
        <w:t>.</w:t>
      </w:r>
      <w:r>
        <w:rPr>
          <w:rFonts w:eastAsiaTheme="minorHAnsi"/>
          <w:sz w:val="26"/>
          <w:szCs w:val="26"/>
        </w:rPr>
        <w:t xml:space="preserve"> </w:t>
      </w:r>
    </w:p>
    <w:p w:rsidR="00610286" w:rsidRDefault="00610286" w:rsidP="00E314E3">
      <w:pPr>
        <w:spacing w:line="360" w:lineRule="auto"/>
        <w:ind w:firstLine="1440"/>
        <w:rPr>
          <w:color w:val="333333"/>
          <w:sz w:val="26"/>
          <w:szCs w:val="26"/>
        </w:rPr>
      </w:pPr>
    </w:p>
    <w:p w:rsidR="003F2462" w:rsidRDefault="003F2462" w:rsidP="00E314E3">
      <w:pPr>
        <w:spacing w:line="360" w:lineRule="auto"/>
        <w:ind w:firstLine="1440"/>
        <w:rPr>
          <w:color w:val="333333"/>
          <w:sz w:val="26"/>
          <w:szCs w:val="26"/>
        </w:rPr>
      </w:pPr>
      <w:r>
        <w:rPr>
          <w:color w:val="333333"/>
          <w:sz w:val="26"/>
          <w:szCs w:val="26"/>
        </w:rPr>
        <w:t xml:space="preserve">Based on the foregoing, we shall deny </w:t>
      </w:r>
      <w:r w:rsidR="0050676C">
        <w:rPr>
          <w:color w:val="333333"/>
          <w:sz w:val="26"/>
          <w:szCs w:val="26"/>
        </w:rPr>
        <w:t xml:space="preserve">Mr. </w:t>
      </w:r>
      <w:proofErr w:type="spellStart"/>
      <w:r>
        <w:rPr>
          <w:color w:val="333333"/>
          <w:sz w:val="26"/>
          <w:szCs w:val="26"/>
        </w:rPr>
        <w:t>Gillinder</w:t>
      </w:r>
      <w:r w:rsidR="0050676C">
        <w:rPr>
          <w:color w:val="333333"/>
          <w:sz w:val="26"/>
          <w:szCs w:val="26"/>
        </w:rPr>
        <w:t>’s</w:t>
      </w:r>
      <w:proofErr w:type="spellEnd"/>
      <w:r>
        <w:rPr>
          <w:color w:val="333333"/>
          <w:sz w:val="26"/>
          <w:szCs w:val="26"/>
        </w:rPr>
        <w:t xml:space="preserve"> </w:t>
      </w:r>
      <w:proofErr w:type="gramStart"/>
      <w:r>
        <w:rPr>
          <w:color w:val="333333"/>
          <w:sz w:val="26"/>
          <w:szCs w:val="26"/>
        </w:rPr>
        <w:t xml:space="preserve">Exception </w:t>
      </w:r>
      <w:r w:rsidR="0050676C">
        <w:rPr>
          <w:color w:val="333333"/>
          <w:sz w:val="26"/>
          <w:szCs w:val="26"/>
        </w:rPr>
        <w:t xml:space="preserve"> No</w:t>
      </w:r>
      <w:proofErr w:type="gramEnd"/>
      <w:r w:rsidR="0050676C">
        <w:rPr>
          <w:color w:val="333333"/>
          <w:sz w:val="26"/>
          <w:szCs w:val="26"/>
        </w:rPr>
        <w:t xml:space="preserve">. </w:t>
      </w:r>
      <w:r>
        <w:rPr>
          <w:color w:val="333333"/>
          <w:sz w:val="26"/>
          <w:szCs w:val="26"/>
        </w:rPr>
        <w:t>1.</w:t>
      </w:r>
    </w:p>
    <w:p w:rsidR="003F2462" w:rsidRDefault="003F2462" w:rsidP="00E314E3">
      <w:pPr>
        <w:spacing w:line="360" w:lineRule="auto"/>
        <w:ind w:firstLine="1440"/>
        <w:rPr>
          <w:color w:val="333333"/>
          <w:sz w:val="26"/>
          <w:szCs w:val="26"/>
        </w:rPr>
      </w:pPr>
    </w:p>
    <w:p w:rsidR="003F2462" w:rsidRDefault="00C60D79" w:rsidP="003F2462">
      <w:pPr>
        <w:spacing w:line="360" w:lineRule="auto"/>
        <w:rPr>
          <w:b/>
          <w:color w:val="333333"/>
          <w:sz w:val="26"/>
          <w:szCs w:val="26"/>
        </w:rPr>
      </w:pPr>
      <w:r>
        <w:rPr>
          <w:b/>
          <w:color w:val="333333"/>
          <w:sz w:val="26"/>
          <w:szCs w:val="26"/>
        </w:rPr>
        <w:tab/>
      </w:r>
      <w:r w:rsidR="003F2462">
        <w:rPr>
          <w:b/>
          <w:color w:val="333333"/>
          <w:sz w:val="26"/>
          <w:szCs w:val="26"/>
        </w:rPr>
        <w:t xml:space="preserve">Exception </w:t>
      </w:r>
      <w:r>
        <w:rPr>
          <w:b/>
          <w:color w:val="333333"/>
          <w:sz w:val="26"/>
          <w:szCs w:val="26"/>
        </w:rPr>
        <w:t xml:space="preserve">No. </w:t>
      </w:r>
      <w:r w:rsidR="003F2462">
        <w:rPr>
          <w:b/>
          <w:color w:val="333333"/>
          <w:sz w:val="26"/>
          <w:szCs w:val="26"/>
        </w:rPr>
        <w:t>2</w:t>
      </w:r>
    </w:p>
    <w:p w:rsidR="00C60D79" w:rsidRDefault="00C60D79" w:rsidP="003F2462">
      <w:pPr>
        <w:spacing w:line="360" w:lineRule="auto"/>
        <w:rPr>
          <w:color w:val="333333"/>
          <w:sz w:val="26"/>
          <w:szCs w:val="26"/>
        </w:rPr>
      </w:pPr>
    </w:p>
    <w:p w:rsidR="003F2462" w:rsidRDefault="00C60D79" w:rsidP="003F2462">
      <w:pPr>
        <w:spacing w:line="360" w:lineRule="auto"/>
        <w:ind w:firstLine="1440"/>
        <w:rPr>
          <w:color w:val="333333"/>
          <w:sz w:val="26"/>
          <w:szCs w:val="26"/>
        </w:rPr>
      </w:pPr>
      <w:r>
        <w:rPr>
          <w:color w:val="333333"/>
          <w:sz w:val="26"/>
          <w:szCs w:val="26"/>
        </w:rPr>
        <w:t xml:space="preserve">Mr. </w:t>
      </w:r>
      <w:proofErr w:type="spellStart"/>
      <w:r w:rsidR="003F2462">
        <w:rPr>
          <w:color w:val="333333"/>
          <w:sz w:val="26"/>
          <w:szCs w:val="26"/>
        </w:rPr>
        <w:t>Gillinder’s</w:t>
      </w:r>
      <w:proofErr w:type="spellEnd"/>
      <w:r w:rsidR="003F2462">
        <w:rPr>
          <w:color w:val="333333"/>
          <w:sz w:val="26"/>
          <w:szCs w:val="26"/>
        </w:rPr>
        <w:t xml:space="preserve"> Exception </w:t>
      </w:r>
      <w:r>
        <w:rPr>
          <w:color w:val="333333"/>
          <w:sz w:val="26"/>
          <w:szCs w:val="26"/>
        </w:rPr>
        <w:t xml:space="preserve">No. </w:t>
      </w:r>
      <w:r w:rsidR="003F2462">
        <w:rPr>
          <w:color w:val="333333"/>
          <w:sz w:val="26"/>
          <w:szCs w:val="26"/>
        </w:rPr>
        <w:t>2 spec</w:t>
      </w:r>
      <w:r w:rsidR="00B91B6B">
        <w:rPr>
          <w:color w:val="333333"/>
          <w:sz w:val="26"/>
          <w:szCs w:val="26"/>
        </w:rPr>
        <w:t>ifically</w:t>
      </w:r>
      <w:r w:rsidR="003F2462">
        <w:rPr>
          <w:color w:val="333333"/>
          <w:sz w:val="26"/>
          <w:szCs w:val="26"/>
        </w:rPr>
        <w:t xml:space="preserve"> addresses storm recovery costs as agreed to in the Settlement.  </w:t>
      </w:r>
      <w:proofErr w:type="gramStart"/>
      <w:r w:rsidR="003F2462">
        <w:rPr>
          <w:color w:val="333333"/>
          <w:sz w:val="26"/>
          <w:szCs w:val="26"/>
        </w:rPr>
        <w:t>Exc.</w:t>
      </w:r>
      <w:r>
        <w:rPr>
          <w:color w:val="333333"/>
          <w:sz w:val="26"/>
          <w:szCs w:val="26"/>
        </w:rPr>
        <w:t xml:space="preserve"> at</w:t>
      </w:r>
      <w:r w:rsidR="003F2462">
        <w:rPr>
          <w:color w:val="333333"/>
          <w:sz w:val="26"/>
          <w:szCs w:val="26"/>
        </w:rPr>
        <w:t xml:space="preserve"> 3.</w:t>
      </w:r>
      <w:proofErr w:type="gramEnd"/>
      <w:r w:rsidR="003F2462">
        <w:rPr>
          <w:color w:val="333333"/>
          <w:sz w:val="26"/>
          <w:szCs w:val="26"/>
        </w:rPr>
        <w:t xml:space="preserve">  Mr. </w:t>
      </w:r>
      <w:proofErr w:type="spellStart"/>
      <w:r w:rsidR="003F2462">
        <w:rPr>
          <w:color w:val="333333"/>
          <w:sz w:val="26"/>
          <w:szCs w:val="26"/>
        </w:rPr>
        <w:t>Gillinder</w:t>
      </w:r>
      <w:proofErr w:type="spellEnd"/>
      <w:r w:rsidR="003F2462">
        <w:rPr>
          <w:color w:val="333333"/>
          <w:sz w:val="26"/>
          <w:szCs w:val="26"/>
        </w:rPr>
        <w:t xml:space="preserve"> accuses Pike County of deferring maint</w:t>
      </w:r>
      <w:r>
        <w:rPr>
          <w:color w:val="333333"/>
          <w:sz w:val="26"/>
          <w:szCs w:val="26"/>
        </w:rPr>
        <w:t>enance</w:t>
      </w:r>
      <w:r w:rsidR="00B91B6B">
        <w:rPr>
          <w:color w:val="333333"/>
          <w:sz w:val="26"/>
          <w:szCs w:val="26"/>
        </w:rPr>
        <w:t xml:space="preserve"> as</w:t>
      </w:r>
      <w:r w:rsidR="003F2462">
        <w:rPr>
          <w:color w:val="333333"/>
          <w:sz w:val="26"/>
          <w:szCs w:val="26"/>
        </w:rPr>
        <w:t xml:space="preserve"> </w:t>
      </w:r>
      <w:r w:rsidR="00B91B6B">
        <w:rPr>
          <w:color w:val="333333"/>
          <w:sz w:val="26"/>
          <w:szCs w:val="26"/>
        </w:rPr>
        <w:t xml:space="preserve">a </w:t>
      </w:r>
      <w:r w:rsidR="003F2462">
        <w:rPr>
          <w:color w:val="333333"/>
          <w:sz w:val="26"/>
          <w:szCs w:val="26"/>
        </w:rPr>
        <w:t xml:space="preserve">way to increase cash flow and short term profits.  </w:t>
      </w:r>
      <w:r w:rsidR="003F2462">
        <w:rPr>
          <w:i/>
          <w:color w:val="333333"/>
          <w:sz w:val="26"/>
          <w:szCs w:val="26"/>
        </w:rPr>
        <w:t>Id</w:t>
      </w:r>
      <w:r w:rsidR="003F2462">
        <w:rPr>
          <w:color w:val="333333"/>
          <w:sz w:val="26"/>
          <w:szCs w:val="26"/>
        </w:rPr>
        <w:t>.</w:t>
      </w:r>
      <w:r w:rsidR="00B91B6B">
        <w:rPr>
          <w:color w:val="333333"/>
          <w:sz w:val="26"/>
          <w:szCs w:val="26"/>
        </w:rPr>
        <w:t xml:space="preserve"> The implication is that this deferral has increased such maintenance costs later </w:t>
      </w:r>
      <w:r>
        <w:rPr>
          <w:color w:val="333333"/>
          <w:sz w:val="26"/>
          <w:szCs w:val="26"/>
        </w:rPr>
        <w:t>–</w:t>
      </w:r>
      <w:r w:rsidR="00B91B6B">
        <w:rPr>
          <w:color w:val="333333"/>
          <w:sz w:val="26"/>
          <w:szCs w:val="26"/>
        </w:rPr>
        <w:t xml:space="preserve"> </w:t>
      </w:r>
      <w:r w:rsidR="004B500E">
        <w:rPr>
          <w:color w:val="333333"/>
          <w:sz w:val="26"/>
          <w:szCs w:val="26"/>
        </w:rPr>
        <w:t>“[</w:t>
      </w:r>
      <w:r>
        <w:rPr>
          <w:color w:val="333333"/>
          <w:sz w:val="26"/>
          <w:szCs w:val="26"/>
        </w:rPr>
        <w:t>Pike County</w:t>
      </w:r>
      <w:r w:rsidR="004B500E">
        <w:rPr>
          <w:color w:val="333333"/>
          <w:sz w:val="26"/>
          <w:szCs w:val="26"/>
        </w:rPr>
        <w:t>]</w:t>
      </w:r>
      <w:r>
        <w:rPr>
          <w:color w:val="333333"/>
          <w:sz w:val="26"/>
          <w:szCs w:val="26"/>
        </w:rPr>
        <w:t xml:space="preserve"> </w:t>
      </w:r>
      <w:r w:rsidR="00B91B6B">
        <w:rPr>
          <w:color w:val="333333"/>
          <w:sz w:val="26"/>
          <w:szCs w:val="26"/>
        </w:rPr>
        <w:t xml:space="preserve">ignored maintenance for so long that when disaster did strike the costs were far more than they should have been.”  </w:t>
      </w:r>
      <w:r w:rsidR="00B91B6B">
        <w:rPr>
          <w:i/>
          <w:color w:val="333333"/>
          <w:sz w:val="26"/>
          <w:szCs w:val="26"/>
        </w:rPr>
        <w:t>Id</w:t>
      </w:r>
      <w:r w:rsidR="00B91B6B">
        <w:rPr>
          <w:color w:val="333333"/>
          <w:sz w:val="26"/>
          <w:szCs w:val="26"/>
        </w:rPr>
        <w:t xml:space="preserve">.  </w:t>
      </w:r>
      <w:r w:rsidR="003F2462">
        <w:rPr>
          <w:color w:val="333333"/>
          <w:sz w:val="26"/>
          <w:szCs w:val="26"/>
        </w:rPr>
        <w:t xml:space="preserve">Based on this position, Mr. </w:t>
      </w:r>
      <w:proofErr w:type="spellStart"/>
      <w:r w:rsidR="003F2462">
        <w:rPr>
          <w:color w:val="333333"/>
          <w:sz w:val="26"/>
          <w:szCs w:val="26"/>
        </w:rPr>
        <w:t>Gillinder</w:t>
      </w:r>
      <w:proofErr w:type="spellEnd"/>
      <w:r w:rsidR="003F2462">
        <w:rPr>
          <w:color w:val="333333"/>
          <w:sz w:val="26"/>
          <w:szCs w:val="26"/>
        </w:rPr>
        <w:t xml:space="preserve"> requests that “most of the amounts allowed for storm damage be disallowed.” </w:t>
      </w:r>
      <w:r>
        <w:rPr>
          <w:color w:val="333333"/>
          <w:sz w:val="26"/>
          <w:szCs w:val="26"/>
        </w:rPr>
        <w:t xml:space="preserve"> </w:t>
      </w:r>
      <w:proofErr w:type="gramStart"/>
      <w:r w:rsidR="003F2462">
        <w:rPr>
          <w:color w:val="333333"/>
          <w:sz w:val="26"/>
          <w:szCs w:val="26"/>
        </w:rPr>
        <w:t>Exc.</w:t>
      </w:r>
      <w:r>
        <w:rPr>
          <w:color w:val="333333"/>
          <w:sz w:val="26"/>
          <w:szCs w:val="26"/>
        </w:rPr>
        <w:t xml:space="preserve"> at</w:t>
      </w:r>
      <w:r w:rsidR="003F2462">
        <w:rPr>
          <w:color w:val="333333"/>
          <w:sz w:val="26"/>
          <w:szCs w:val="26"/>
        </w:rPr>
        <w:t xml:space="preserve"> 3</w:t>
      </w:r>
      <w:r>
        <w:rPr>
          <w:color w:val="333333"/>
          <w:sz w:val="26"/>
          <w:szCs w:val="26"/>
        </w:rPr>
        <w:t>.</w:t>
      </w:r>
      <w:proofErr w:type="gramEnd"/>
    </w:p>
    <w:p w:rsidR="003F2462" w:rsidRDefault="003F2462" w:rsidP="003F2462">
      <w:pPr>
        <w:spacing w:line="360" w:lineRule="auto"/>
        <w:ind w:firstLine="1440"/>
        <w:rPr>
          <w:color w:val="333333"/>
          <w:sz w:val="26"/>
          <w:szCs w:val="26"/>
        </w:rPr>
      </w:pPr>
    </w:p>
    <w:p w:rsidR="003F2462" w:rsidRDefault="003F2462" w:rsidP="003F2462">
      <w:pPr>
        <w:spacing w:line="360" w:lineRule="auto"/>
        <w:ind w:firstLine="1440"/>
        <w:rPr>
          <w:color w:val="333333"/>
          <w:sz w:val="26"/>
          <w:szCs w:val="26"/>
        </w:rPr>
      </w:pPr>
      <w:r>
        <w:rPr>
          <w:b/>
          <w:color w:val="333333"/>
          <w:sz w:val="26"/>
          <w:szCs w:val="26"/>
        </w:rPr>
        <w:t>Disposition</w:t>
      </w:r>
    </w:p>
    <w:p w:rsidR="00461B31" w:rsidRDefault="00461B31" w:rsidP="003F2462">
      <w:pPr>
        <w:spacing w:line="360" w:lineRule="auto"/>
        <w:ind w:firstLine="1440"/>
        <w:rPr>
          <w:color w:val="333333"/>
          <w:sz w:val="26"/>
          <w:szCs w:val="26"/>
        </w:rPr>
      </w:pPr>
    </w:p>
    <w:p w:rsidR="003F2462" w:rsidRDefault="003F2462" w:rsidP="003F2462">
      <w:pPr>
        <w:spacing w:line="360" w:lineRule="auto"/>
        <w:ind w:firstLine="1440"/>
        <w:rPr>
          <w:color w:val="333333"/>
          <w:sz w:val="26"/>
          <w:szCs w:val="26"/>
        </w:rPr>
      </w:pPr>
      <w:r>
        <w:rPr>
          <w:color w:val="333333"/>
          <w:sz w:val="26"/>
          <w:szCs w:val="26"/>
        </w:rPr>
        <w:t xml:space="preserve">On consideration of </w:t>
      </w:r>
      <w:r w:rsidR="00461B31">
        <w:rPr>
          <w:color w:val="333333"/>
          <w:sz w:val="26"/>
          <w:szCs w:val="26"/>
        </w:rPr>
        <w:t xml:space="preserve">Mr. </w:t>
      </w:r>
      <w:proofErr w:type="spellStart"/>
      <w:r>
        <w:rPr>
          <w:color w:val="333333"/>
          <w:sz w:val="26"/>
          <w:szCs w:val="26"/>
        </w:rPr>
        <w:t>Gillinder</w:t>
      </w:r>
      <w:r w:rsidR="00461B31">
        <w:rPr>
          <w:color w:val="333333"/>
          <w:sz w:val="26"/>
          <w:szCs w:val="26"/>
        </w:rPr>
        <w:t>’s</w:t>
      </w:r>
      <w:proofErr w:type="spellEnd"/>
      <w:r>
        <w:rPr>
          <w:color w:val="333333"/>
          <w:sz w:val="26"/>
          <w:szCs w:val="26"/>
        </w:rPr>
        <w:t xml:space="preserve"> Exc</w:t>
      </w:r>
      <w:r w:rsidR="00B91B6B">
        <w:rPr>
          <w:color w:val="333333"/>
          <w:sz w:val="26"/>
          <w:szCs w:val="26"/>
        </w:rPr>
        <w:t>e</w:t>
      </w:r>
      <w:r>
        <w:rPr>
          <w:color w:val="333333"/>
          <w:sz w:val="26"/>
          <w:szCs w:val="26"/>
        </w:rPr>
        <w:t xml:space="preserve">ption </w:t>
      </w:r>
      <w:r w:rsidR="00461B31">
        <w:rPr>
          <w:color w:val="333333"/>
          <w:sz w:val="26"/>
          <w:szCs w:val="26"/>
        </w:rPr>
        <w:t xml:space="preserve">No. </w:t>
      </w:r>
      <w:r>
        <w:rPr>
          <w:color w:val="333333"/>
          <w:sz w:val="26"/>
          <w:szCs w:val="26"/>
        </w:rPr>
        <w:t xml:space="preserve">2, we shall deny this Exception.  We conclude that the Settlement includes a revenue allocation </w:t>
      </w:r>
      <w:r w:rsidR="00B91B6B">
        <w:rPr>
          <w:color w:val="333333"/>
          <w:sz w:val="26"/>
          <w:szCs w:val="26"/>
        </w:rPr>
        <w:t xml:space="preserve">for storm related costs </w:t>
      </w:r>
      <w:r>
        <w:rPr>
          <w:color w:val="333333"/>
          <w:sz w:val="26"/>
          <w:szCs w:val="26"/>
        </w:rPr>
        <w:t>that is just</w:t>
      </w:r>
      <w:r w:rsidR="00B91B6B">
        <w:rPr>
          <w:color w:val="333333"/>
          <w:sz w:val="26"/>
          <w:szCs w:val="26"/>
        </w:rPr>
        <w:t>,</w:t>
      </w:r>
      <w:r>
        <w:rPr>
          <w:color w:val="333333"/>
          <w:sz w:val="26"/>
          <w:szCs w:val="26"/>
        </w:rPr>
        <w:t xml:space="preserve"> reasonable, and properly supported by the record.</w:t>
      </w:r>
    </w:p>
    <w:p w:rsidR="003F2462" w:rsidRDefault="003F2462" w:rsidP="003F2462">
      <w:pPr>
        <w:spacing w:line="360" w:lineRule="auto"/>
        <w:ind w:firstLine="1440"/>
        <w:rPr>
          <w:color w:val="333333"/>
          <w:sz w:val="26"/>
          <w:szCs w:val="26"/>
        </w:rPr>
      </w:pPr>
    </w:p>
    <w:p w:rsidR="00B91B6B" w:rsidRPr="00E61EE1" w:rsidRDefault="003F2462" w:rsidP="00B91B6B">
      <w:pPr>
        <w:autoSpaceDE w:val="0"/>
        <w:autoSpaceDN w:val="0"/>
        <w:adjustRightInd w:val="0"/>
        <w:spacing w:line="360" w:lineRule="auto"/>
        <w:ind w:firstLine="1440"/>
        <w:rPr>
          <w:rFonts w:eastAsiaTheme="minorHAnsi"/>
          <w:sz w:val="26"/>
          <w:szCs w:val="26"/>
        </w:rPr>
      </w:pPr>
      <w:r w:rsidRPr="00E61EE1">
        <w:rPr>
          <w:rFonts w:eastAsiaTheme="minorHAnsi"/>
          <w:sz w:val="26"/>
          <w:szCs w:val="26"/>
        </w:rPr>
        <w:t>As discussed in the direct testimony of the Company’s Accounting Panel in this proceeding</w:t>
      </w:r>
      <w:r w:rsidR="004B500E">
        <w:rPr>
          <w:rFonts w:eastAsiaTheme="minorHAnsi"/>
          <w:sz w:val="26"/>
          <w:szCs w:val="26"/>
        </w:rPr>
        <w:t>,</w:t>
      </w:r>
      <w:r w:rsidRPr="00E61EE1">
        <w:rPr>
          <w:rFonts w:eastAsiaTheme="minorHAnsi"/>
          <w:sz w:val="26"/>
          <w:szCs w:val="26"/>
        </w:rPr>
        <w:t xml:space="preserve"> </w:t>
      </w:r>
      <w:r w:rsidR="00B91B6B">
        <w:rPr>
          <w:rFonts w:eastAsiaTheme="minorHAnsi"/>
          <w:sz w:val="26"/>
          <w:szCs w:val="26"/>
        </w:rPr>
        <w:t>Pike County sought</w:t>
      </w:r>
      <w:r w:rsidRPr="00E61EE1">
        <w:rPr>
          <w:rFonts w:eastAsiaTheme="minorHAnsi"/>
          <w:sz w:val="26"/>
          <w:szCs w:val="26"/>
        </w:rPr>
        <w:t xml:space="preserve"> recovery in</w:t>
      </w:r>
      <w:r>
        <w:rPr>
          <w:rFonts w:eastAsiaTheme="minorHAnsi"/>
          <w:sz w:val="26"/>
          <w:szCs w:val="26"/>
        </w:rPr>
        <w:t xml:space="preserve"> rates of the costs it incurred </w:t>
      </w:r>
      <w:r w:rsidRPr="00E61EE1">
        <w:rPr>
          <w:rFonts w:eastAsiaTheme="minorHAnsi"/>
          <w:sz w:val="26"/>
          <w:szCs w:val="26"/>
        </w:rPr>
        <w:t xml:space="preserve">relating to </w:t>
      </w:r>
      <w:r w:rsidR="00B91B6B">
        <w:rPr>
          <w:rFonts w:eastAsiaTheme="minorHAnsi"/>
          <w:sz w:val="26"/>
          <w:szCs w:val="26"/>
        </w:rPr>
        <w:t>two</w:t>
      </w:r>
      <w:r w:rsidRPr="00E61EE1">
        <w:rPr>
          <w:rFonts w:eastAsiaTheme="minorHAnsi"/>
          <w:sz w:val="26"/>
          <w:szCs w:val="26"/>
        </w:rPr>
        <w:t xml:space="preserve"> </w:t>
      </w:r>
      <w:r w:rsidR="00B91B6B">
        <w:rPr>
          <w:rFonts w:eastAsiaTheme="minorHAnsi"/>
          <w:sz w:val="26"/>
          <w:szCs w:val="26"/>
        </w:rPr>
        <w:t>m</w:t>
      </w:r>
      <w:r w:rsidRPr="00E61EE1">
        <w:rPr>
          <w:rFonts w:eastAsiaTheme="minorHAnsi"/>
          <w:sz w:val="26"/>
          <w:szCs w:val="26"/>
        </w:rPr>
        <w:t xml:space="preserve">ajor </w:t>
      </w:r>
      <w:r w:rsidR="00B91B6B">
        <w:rPr>
          <w:rFonts w:eastAsiaTheme="minorHAnsi"/>
          <w:sz w:val="26"/>
          <w:szCs w:val="26"/>
        </w:rPr>
        <w:t>s</w:t>
      </w:r>
      <w:r w:rsidRPr="00E61EE1">
        <w:rPr>
          <w:rFonts w:eastAsiaTheme="minorHAnsi"/>
          <w:sz w:val="26"/>
          <w:szCs w:val="26"/>
        </w:rPr>
        <w:t xml:space="preserve">torm </w:t>
      </w:r>
      <w:r w:rsidR="00B91B6B">
        <w:rPr>
          <w:rFonts w:eastAsiaTheme="minorHAnsi"/>
          <w:sz w:val="26"/>
          <w:szCs w:val="26"/>
        </w:rPr>
        <w:t>e</w:t>
      </w:r>
      <w:r w:rsidRPr="00E61EE1">
        <w:rPr>
          <w:rFonts w:eastAsiaTheme="minorHAnsi"/>
          <w:sz w:val="26"/>
          <w:szCs w:val="26"/>
        </w:rPr>
        <w:t>vents</w:t>
      </w:r>
      <w:r w:rsidR="00B91B6B">
        <w:rPr>
          <w:rFonts w:eastAsiaTheme="minorHAnsi"/>
          <w:sz w:val="26"/>
          <w:szCs w:val="26"/>
        </w:rPr>
        <w:t xml:space="preserve">.  Those events related to </w:t>
      </w:r>
      <w:proofErr w:type="spellStart"/>
      <w:r w:rsidR="00B91B6B">
        <w:rPr>
          <w:rFonts w:eastAsiaTheme="minorHAnsi"/>
          <w:sz w:val="26"/>
          <w:szCs w:val="26"/>
        </w:rPr>
        <w:t>Superstorm</w:t>
      </w:r>
      <w:proofErr w:type="spellEnd"/>
      <w:r w:rsidR="00B91B6B">
        <w:rPr>
          <w:rFonts w:eastAsiaTheme="minorHAnsi"/>
          <w:sz w:val="26"/>
          <w:szCs w:val="26"/>
        </w:rPr>
        <w:t xml:space="preserve"> Sandy and Hurricane Irene. </w:t>
      </w:r>
      <w:r w:rsidR="00B91B6B">
        <w:rPr>
          <w:rFonts w:eastAsiaTheme="minorHAnsi"/>
          <w:sz w:val="26"/>
          <w:szCs w:val="26"/>
        </w:rPr>
        <w:lastRenderedPageBreak/>
        <w:t xml:space="preserve">Pike County </w:t>
      </w:r>
      <w:r w:rsidR="00B91B6B" w:rsidRPr="00E61EE1">
        <w:rPr>
          <w:rFonts w:eastAsiaTheme="minorHAnsi"/>
          <w:sz w:val="26"/>
          <w:szCs w:val="26"/>
        </w:rPr>
        <w:t>estimate</w:t>
      </w:r>
      <w:r w:rsidR="00B91B6B">
        <w:rPr>
          <w:rFonts w:eastAsiaTheme="minorHAnsi"/>
          <w:sz w:val="26"/>
          <w:szCs w:val="26"/>
        </w:rPr>
        <w:t>d</w:t>
      </w:r>
      <w:r w:rsidR="00B91B6B" w:rsidRPr="00E61EE1">
        <w:rPr>
          <w:rFonts w:eastAsiaTheme="minorHAnsi"/>
          <w:sz w:val="26"/>
          <w:szCs w:val="26"/>
        </w:rPr>
        <w:t xml:space="preserve"> its total storm damage expenses relating to Hurricane Irene,</w:t>
      </w:r>
      <w:r w:rsidR="00B91B6B">
        <w:rPr>
          <w:rFonts w:eastAsiaTheme="minorHAnsi"/>
          <w:sz w:val="26"/>
          <w:szCs w:val="26"/>
        </w:rPr>
        <w:t xml:space="preserve"> </w:t>
      </w:r>
      <w:r w:rsidR="00B91B6B" w:rsidRPr="00E61EE1">
        <w:rPr>
          <w:rFonts w:eastAsiaTheme="minorHAnsi"/>
          <w:sz w:val="26"/>
          <w:szCs w:val="26"/>
        </w:rPr>
        <w:t>excluding straight time wages and benefits, will be approximately $232,200 of</w:t>
      </w:r>
    </w:p>
    <w:p w:rsidR="00B91B6B" w:rsidRDefault="00461B31" w:rsidP="00B91B6B">
      <w:pPr>
        <w:spacing w:line="360" w:lineRule="auto"/>
        <w:rPr>
          <w:rFonts w:eastAsiaTheme="minorHAnsi"/>
          <w:sz w:val="26"/>
          <w:szCs w:val="26"/>
        </w:rPr>
      </w:pPr>
      <w:proofErr w:type="gramStart"/>
      <w:r>
        <w:rPr>
          <w:rFonts w:eastAsiaTheme="minorHAnsi"/>
          <w:sz w:val="26"/>
          <w:szCs w:val="26"/>
        </w:rPr>
        <w:t>operati</w:t>
      </w:r>
      <w:r w:rsidR="009F648B">
        <w:rPr>
          <w:rFonts w:eastAsiaTheme="minorHAnsi"/>
          <w:sz w:val="26"/>
          <w:szCs w:val="26"/>
        </w:rPr>
        <w:t>o</w:t>
      </w:r>
      <w:r>
        <w:rPr>
          <w:rFonts w:eastAsiaTheme="minorHAnsi"/>
          <w:sz w:val="26"/>
          <w:szCs w:val="26"/>
        </w:rPr>
        <w:t>n</w:t>
      </w:r>
      <w:r w:rsidR="009F648B">
        <w:rPr>
          <w:rFonts w:eastAsiaTheme="minorHAnsi"/>
          <w:sz w:val="26"/>
          <w:szCs w:val="26"/>
        </w:rPr>
        <w:t>s</w:t>
      </w:r>
      <w:proofErr w:type="gramEnd"/>
      <w:r>
        <w:rPr>
          <w:rFonts w:eastAsiaTheme="minorHAnsi"/>
          <w:sz w:val="26"/>
          <w:szCs w:val="26"/>
        </w:rPr>
        <w:t xml:space="preserve"> and maintenance</w:t>
      </w:r>
      <w:r w:rsidR="00B91B6B" w:rsidRPr="00E61EE1">
        <w:rPr>
          <w:rFonts w:eastAsiaTheme="minorHAnsi"/>
          <w:sz w:val="26"/>
          <w:szCs w:val="26"/>
        </w:rPr>
        <w:t xml:space="preserve"> expenses and $120,100 of capital expenditures.</w:t>
      </w:r>
      <w:r w:rsidR="00B91B6B">
        <w:rPr>
          <w:rFonts w:eastAsiaTheme="minorHAnsi"/>
          <w:sz w:val="26"/>
          <w:szCs w:val="26"/>
        </w:rPr>
        <w:t xml:space="preserve"> </w:t>
      </w:r>
    </w:p>
    <w:p w:rsidR="00B91B6B" w:rsidRDefault="00B91B6B" w:rsidP="00B91B6B">
      <w:pPr>
        <w:spacing w:line="360" w:lineRule="auto"/>
        <w:rPr>
          <w:rFonts w:eastAsiaTheme="minorHAnsi"/>
          <w:sz w:val="26"/>
          <w:szCs w:val="26"/>
        </w:rPr>
      </w:pPr>
    </w:p>
    <w:p w:rsidR="008C5BAC" w:rsidRDefault="008C5BAC" w:rsidP="00B91B6B">
      <w:pPr>
        <w:spacing w:line="360" w:lineRule="auto"/>
        <w:ind w:firstLine="1440"/>
        <w:rPr>
          <w:rFonts w:eastAsiaTheme="minorHAnsi"/>
          <w:sz w:val="26"/>
          <w:szCs w:val="26"/>
        </w:rPr>
      </w:pPr>
      <w:r>
        <w:rPr>
          <w:rFonts w:eastAsiaTheme="minorHAnsi"/>
          <w:sz w:val="26"/>
          <w:szCs w:val="26"/>
        </w:rPr>
        <w:t>C</w:t>
      </w:r>
      <w:r w:rsidR="00B91B6B" w:rsidRPr="00E61EE1">
        <w:rPr>
          <w:rFonts w:eastAsiaTheme="minorHAnsi"/>
          <w:sz w:val="26"/>
          <w:szCs w:val="26"/>
        </w:rPr>
        <w:t>o</w:t>
      </w:r>
      <w:r w:rsidR="00B91B6B">
        <w:rPr>
          <w:rFonts w:eastAsiaTheme="minorHAnsi"/>
          <w:sz w:val="26"/>
          <w:szCs w:val="26"/>
        </w:rPr>
        <w:t xml:space="preserve">sts and </w:t>
      </w:r>
      <w:r>
        <w:rPr>
          <w:rFonts w:eastAsiaTheme="minorHAnsi"/>
          <w:sz w:val="26"/>
          <w:szCs w:val="26"/>
        </w:rPr>
        <w:t>e</w:t>
      </w:r>
      <w:r w:rsidR="00B91B6B">
        <w:rPr>
          <w:rFonts w:eastAsiaTheme="minorHAnsi"/>
          <w:sz w:val="26"/>
          <w:szCs w:val="26"/>
        </w:rPr>
        <w:t xml:space="preserve">xpenses due to </w:t>
      </w:r>
      <w:proofErr w:type="spellStart"/>
      <w:r w:rsidR="00B91B6B">
        <w:rPr>
          <w:rFonts w:eastAsiaTheme="minorHAnsi"/>
          <w:sz w:val="26"/>
          <w:szCs w:val="26"/>
        </w:rPr>
        <w:t>Superstorm</w:t>
      </w:r>
      <w:proofErr w:type="spellEnd"/>
      <w:r w:rsidR="00B91B6B">
        <w:rPr>
          <w:rFonts w:eastAsiaTheme="minorHAnsi"/>
          <w:sz w:val="26"/>
          <w:szCs w:val="26"/>
        </w:rPr>
        <w:t xml:space="preserve"> Sandy </w:t>
      </w:r>
      <w:r w:rsidR="009F648B">
        <w:rPr>
          <w:rFonts w:eastAsiaTheme="minorHAnsi"/>
          <w:sz w:val="26"/>
          <w:szCs w:val="26"/>
        </w:rPr>
        <w:t>are</w:t>
      </w:r>
      <w:r w:rsidRPr="00E61EE1">
        <w:rPr>
          <w:rFonts w:eastAsiaTheme="minorHAnsi"/>
          <w:sz w:val="26"/>
          <w:szCs w:val="26"/>
        </w:rPr>
        <w:t xml:space="preserve"> estimat</w:t>
      </w:r>
      <w:r>
        <w:rPr>
          <w:rFonts w:eastAsiaTheme="minorHAnsi"/>
          <w:sz w:val="26"/>
          <w:szCs w:val="26"/>
        </w:rPr>
        <w:t>ed</w:t>
      </w:r>
      <w:r w:rsidRPr="00E61EE1">
        <w:rPr>
          <w:rFonts w:eastAsiaTheme="minorHAnsi"/>
          <w:sz w:val="26"/>
          <w:szCs w:val="26"/>
        </w:rPr>
        <w:t xml:space="preserve"> </w:t>
      </w:r>
      <w:r>
        <w:rPr>
          <w:rFonts w:eastAsiaTheme="minorHAnsi"/>
          <w:sz w:val="26"/>
          <w:szCs w:val="26"/>
        </w:rPr>
        <w:t>to be</w:t>
      </w:r>
      <w:r w:rsidRPr="00E61EE1">
        <w:rPr>
          <w:rFonts w:eastAsiaTheme="minorHAnsi"/>
          <w:sz w:val="26"/>
          <w:szCs w:val="26"/>
        </w:rPr>
        <w:t xml:space="preserve"> approximately $904,000. </w:t>
      </w:r>
      <w:r>
        <w:rPr>
          <w:rFonts w:eastAsiaTheme="minorHAnsi"/>
          <w:sz w:val="26"/>
          <w:szCs w:val="26"/>
        </w:rPr>
        <w:t xml:space="preserve"> Pike County a</w:t>
      </w:r>
      <w:r w:rsidRPr="00E61EE1">
        <w:rPr>
          <w:rFonts w:eastAsiaTheme="minorHAnsi"/>
          <w:sz w:val="26"/>
          <w:szCs w:val="26"/>
        </w:rPr>
        <w:t xml:space="preserve">lso estimates </w:t>
      </w:r>
      <w:r>
        <w:rPr>
          <w:rFonts w:eastAsiaTheme="minorHAnsi"/>
          <w:sz w:val="26"/>
          <w:szCs w:val="26"/>
        </w:rPr>
        <w:t xml:space="preserve">that </w:t>
      </w:r>
      <w:r w:rsidRPr="00E61EE1">
        <w:rPr>
          <w:rFonts w:eastAsiaTheme="minorHAnsi"/>
          <w:sz w:val="26"/>
          <w:szCs w:val="26"/>
        </w:rPr>
        <w:t>it incurred</w:t>
      </w:r>
      <w:r>
        <w:rPr>
          <w:rFonts w:eastAsiaTheme="minorHAnsi"/>
          <w:sz w:val="26"/>
          <w:szCs w:val="26"/>
        </w:rPr>
        <w:t xml:space="preserve"> </w:t>
      </w:r>
      <w:r w:rsidRPr="00E61EE1">
        <w:rPr>
          <w:rFonts w:eastAsiaTheme="minorHAnsi"/>
          <w:sz w:val="26"/>
          <w:szCs w:val="26"/>
        </w:rPr>
        <w:t>approximately $70,500 of capital expenditures as a result of the comprehensive</w:t>
      </w:r>
      <w:r>
        <w:rPr>
          <w:rFonts w:eastAsiaTheme="minorHAnsi"/>
          <w:sz w:val="26"/>
          <w:szCs w:val="26"/>
        </w:rPr>
        <w:t xml:space="preserve"> </w:t>
      </w:r>
      <w:r w:rsidRPr="00E61EE1">
        <w:rPr>
          <w:rFonts w:eastAsiaTheme="minorHAnsi"/>
          <w:sz w:val="26"/>
          <w:szCs w:val="26"/>
        </w:rPr>
        <w:t>physical damage sustained by the electr</w:t>
      </w:r>
      <w:r>
        <w:rPr>
          <w:rFonts w:eastAsiaTheme="minorHAnsi"/>
          <w:sz w:val="26"/>
          <w:szCs w:val="26"/>
        </w:rPr>
        <w:t>ical distribution system.</w:t>
      </w:r>
      <w:r w:rsidR="004B500E">
        <w:rPr>
          <w:rFonts w:eastAsiaTheme="minorHAnsi"/>
          <w:sz w:val="26"/>
          <w:szCs w:val="26"/>
        </w:rPr>
        <w:t xml:space="preserve">  </w:t>
      </w:r>
      <w:r w:rsidR="004B500E">
        <w:rPr>
          <w:rFonts w:eastAsiaTheme="minorHAnsi"/>
          <w:i/>
          <w:sz w:val="26"/>
          <w:szCs w:val="26"/>
        </w:rPr>
        <w:t>Id</w:t>
      </w:r>
      <w:r w:rsidR="004B500E">
        <w:rPr>
          <w:rFonts w:eastAsiaTheme="minorHAnsi"/>
          <w:sz w:val="26"/>
          <w:szCs w:val="26"/>
        </w:rPr>
        <w:t>.</w:t>
      </w:r>
      <w:r>
        <w:rPr>
          <w:rFonts w:eastAsiaTheme="minorHAnsi"/>
          <w:sz w:val="26"/>
          <w:szCs w:val="26"/>
        </w:rPr>
        <w:t xml:space="preserve"> </w:t>
      </w:r>
      <w:r w:rsidR="00B91B6B" w:rsidRPr="00E61EE1">
        <w:rPr>
          <w:rFonts w:eastAsiaTheme="minorHAnsi"/>
          <w:sz w:val="26"/>
          <w:szCs w:val="26"/>
        </w:rPr>
        <w:t xml:space="preserve"> </w:t>
      </w:r>
    </w:p>
    <w:p w:rsidR="008C5BAC" w:rsidRDefault="008C5BAC" w:rsidP="00B91B6B">
      <w:pPr>
        <w:spacing w:line="360" w:lineRule="auto"/>
        <w:ind w:firstLine="1440"/>
        <w:rPr>
          <w:rFonts w:eastAsiaTheme="minorHAnsi"/>
          <w:sz w:val="26"/>
          <w:szCs w:val="26"/>
        </w:rPr>
      </w:pPr>
    </w:p>
    <w:p w:rsidR="00B91B6B" w:rsidRDefault="008C5BAC" w:rsidP="008C5BAC">
      <w:pPr>
        <w:spacing w:line="360" w:lineRule="auto"/>
        <w:ind w:firstLine="1440"/>
        <w:rPr>
          <w:rFonts w:eastAsiaTheme="minorHAnsi"/>
          <w:sz w:val="24"/>
          <w:szCs w:val="24"/>
        </w:rPr>
      </w:pPr>
      <w:r>
        <w:rPr>
          <w:rFonts w:eastAsiaTheme="minorHAnsi"/>
          <w:sz w:val="26"/>
          <w:szCs w:val="26"/>
        </w:rPr>
        <w:t xml:space="preserve">The Commission does not see any basis in this record to conclude that </w:t>
      </w:r>
      <w:r w:rsidR="00B91B6B" w:rsidRPr="00E61EE1">
        <w:rPr>
          <w:rFonts w:eastAsiaTheme="minorHAnsi"/>
          <w:sz w:val="26"/>
          <w:szCs w:val="26"/>
        </w:rPr>
        <w:t xml:space="preserve">the significant </w:t>
      </w:r>
      <w:r>
        <w:rPr>
          <w:rFonts w:eastAsiaTheme="minorHAnsi"/>
          <w:sz w:val="26"/>
          <w:szCs w:val="26"/>
        </w:rPr>
        <w:t xml:space="preserve">and </w:t>
      </w:r>
      <w:r w:rsidR="00B91B6B" w:rsidRPr="00E61EE1">
        <w:rPr>
          <w:rFonts w:eastAsiaTheme="minorHAnsi"/>
          <w:sz w:val="26"/>
          <w:szCs w:val="26"/>
        </w:rPr>
        <w:t xml:space="preserve">widespread damage to the </w:t>
      </w:r>
      <w:r w:rsidR="009F648B">
        <w:rPr>
          <w:rFonts w:eastAsiaTheme="minorHAnsi"/>
          <w:sz w:val="26"/>
          <w:szCs w:val="26"/>
        </w:rPr>
        <w:t>C</w:t>
      </w:r>
      <w:r w:rsidR="00B91B6B" w:rsidRPr="00E61EE1">
        <w:rPr>
          <w:rFonts w:eastAsiaTheme="minorHAnsi"/>
          <w:sz w:val="26"/>
          <w:szCs w:val="26"/>
        </w:rPr>
        <w:t>ompany’s</w:t>
      </w:r>
      <w:r w:rsidR="00B91B6B">
        <w:rPr>
          <w:rFonts w:eastAsiaTheme="minorHAnsi"/>
          <w:sz w:val="26"/>
          <w:szCs w:val="26"/>
        </w:rPr>
        <w:t xml:space="preserve"> </w:t>
      </w:r>
      <w:r w:rsidR="00B91B6B" w:rsidRPr="00E61EE1">
        <w:rPr>
          <w:rFonts w:eastAsiaTheme="minorHAnsi"/>
          <w:sz w:val="26"/>
          <w:szCs w:val="26"/>
        </w:rPr>
        <w:t xml:space="preserve">electric system </w:t>
      </w:r>
      <w:r>
        <w:rPr>
          <w:rFonts w:eastAsiaTheme="minorHAnsi"/>
          <w:sz w:val="26"/>
          <w:szCs w:val="26"/>
        </w:rPr>
        <w:t xml:space="preserve">was exacerbated by Pike County’s conduct.  We agree with Pike County’s characterization that the damage </w:t>
      </w:r>
      <w:r w:rsidR="004B500E">
        <w:rPr>
          <w:rFonts w:eastAsiaTheme="minorHAnsi"/>
          <w:sz w:val="26"/>
          <w:szCs w:val="26"/>
        </w:rPr>
        <w:t xml:space="preserve">from these two major storm events </w:t>
      </w:r>
      <w:r>
        <w:rPr>
          <w:rFonts w:eastAsiaTheme="minorHAnsi"/>
          <w:sz w:val="26"/>
          <w:szCs w:val="26"/>
        </w:rPr>
        <w:t xml:space="preserve">was </w:t>
      </w:r>
      <w:r w:rsidR="00B91B6B" w:rsidRPr="00E61EE1">
        <w:rPr>
          <w:rFonts w:eastAsiaTheme="minorHAnsi"/>
          <w:sz w:val="26"/>
          <w:szCs w:val="26"/>
        </w:rPr>
        <w:t xml:space="preserve">unprecedented </w:t>
      </w:r>
      <w:r>
        <w:rPr>
          <w:rFonts w:eastAsiaTheme="minorHAnsi"/>
          <w:sz w:val="26"/>
          <w:szCs w:val="26"/>
        </w:rPr>
        <w:t xml:space="preserve">and the </w:t>
      </w:r>
      <w:r w:rsidR="00B91B6B" w:rsidRPr="00E61EE1">
        <w:rPr>
          <w:rFonts w:eastAsiaTheme="minorHAnsi"/>
          <w:sz w:val="26"/>
          <w:szCs w:val="26"/>
        </w:rPr>
        <w:t>amount of internal and external resources</w:t>
      </w:r>
      <w:r w:rsidR="00B91B6B">
        <w:rPr>
          <w:rFonts w:eastAsiaTheme="minorHAnsi"/>
          <w:sz w:val="26"/>
          <w:szCs w:val="26"/>
        </w:rPr>
        <w:t xml:space="preserve"> </w:t>
      </w:r>
      <w:r w:rsidR="00B91B6B" w:rsidRPr="00E61EE1">
        <w:rPr>
          <w:rFonts w:eastAsiaTheme="minorHAnsi"/>
          <w:sz w:val="26"/>
          <w:szCs w:val="26"/>
        </w:rPr>
        <w:t>required for rebuilding and restoring of the o</w:t>
      </w:r>
      <w:r w:rsidR="00B91B6B">
        <w:rPr>
          <w:rFonts w:eastAsiaTheme="minorHAnsi"/>
          <w:sz w:val="26"/>
          <w:szCs w:val="26"/>
        </w:rPr>
        <w:t xml:space="preserve">verhead electrical distribution </w:t>
      </w:r>
      <w:r w:rsidR="00B91B6B" w:rsidRPr="00E61EE1">
        <w:rPr>
          <w:rFonts w:eastAsiaTheme="minorHAnsi"/>
          <w:sz w:val="26"/>
          <w:szCs w:val="26"/>
        </w:rPr>
        <w:t>system</w:t>
      </w:r>
      <w:r>
        <w:rPr>
          <w:rFonts w:eastAsiaTheme="minorHAnsi"/>
          <w:sz w:val="26"/>
          <w:szCs w:val="26"/>
        </w:rPr>
        <w:t xml:space="preserve"> was in accord with the </w:t>
      </w:r>
      <w:r w:rsidR="009F648B">
        <w:rPr>
          <w:rFonts w:eastAsiaTheme="minorHAnsi"/>
          <w:sz w:val="26"/>
          <w:szCs w:val="26"/>
        </w:rPr>
        <w:t>C</w:t>
      </w:r>
      <w:r>
        <w:rPr>
          <w:rFonts w:eastAsiaTheme="minorHAnsi"/>
          <w:sz w:val="26"/>
          <w:szCs w:val="26"/>
        </w:rPr>
        <w:t>ompany’s obligation to provide safe and adequate service.</w:t>
      </w:r>
    </w:p>
    <w:p w:rsidR="003F2462" w:rsidRDefault="003F2462" w:rsidP="00B91B6B">
      <w:pPr>
        <w:autoSpaceDE w:val="0"/>
        <w:autoSpaceDN w:val="0"/>
        <w:adjustRightInd w:val="0"/>
        <w:spacing w:line="360" w:lineRule="auto"/>
        <w:ind w:firstLine="1440"/>
        <w:rPr>
          <w:color w:val="333333"/>
          <w:sz w:val="26"/>
          <w:szCs w:val="26"/>
        </w:rPr>
      </w:pPr>
    </w:p>
    <w:p w:rsidR="00E1687C" w:rsidRDefault="00E1687C" w:rsidP="00B91B6B">
      <w:pPr>
        <w:autoSpaceDE w:val="0"/>
        <w:autoSpaceDN w:val="0"/>
        <w:adjustRightInd w:val="0"/>
        <w:spacing w:line="360" w:lineRule="auto"/>
        <w:ind w:firstLine="1440"/>
        <w:rPr>
          <w:b/>
          <w:color w:val="333333"/>
          <w:sz w:val="26"/>
          <w:szCs w:val="26"/>
        </w:rPr>
      </w:pPr>
      <w:r>
        <w:rPr>
          <w:b/>
          <w:color w:val="333333"/>
          <w:sz w:val="26"/>
          <w:szCs w:val="26"/>
        </w:rPr>
        <w:t>Exception No. 3</w:t>
      </w:r>
    </w:p>
    <w:p w:rsidR="00E1687C" w:rsidRDefault="00E1687C" w:rsidP="00B91B6B">
      <w:pPr>
        <w:autoSpaceDE w:val="0"/>
        <w:autoSpaceDN w:val="0"/>
        <w:adjustRightInd w:val="0"/>
        <w:spacing w:line="360" w:lineRule="auto"/>
        <w:ind w:firstLine="1440"/>
        <w:rPr>
          <w:b/>
          <w:color w:val="333333"/>
          <w:sz w:val="26"/>
          <w:szCs w:val="26"/>
        </w:rPr>
      </w:pPr>
    </w:p>
    <w:p w:rsidR="00E1687C" w:rsidRDefault="00E1687C" w:rsidP="00B91B6B">
      <w:pPr>
        <w:autoSpaceDE w:val="0"/>
        <w:autoSpaceDN w:val="0"/>
        <w:adjustRightInd w:val="0"/>
        <w:spacing w:line="360" w:lineRule="auto"/>
        <w:ind w:firstLine="1440"/>
        <w:rPr>
          <w:color w:val="333333"/>
          <w:sz w:val="26"/>
          <w:szCs w:val="26"/>
        </w:rPr>
      </w:pPr>
      <w:r>
        <w:rPr>
          <w:color w:val="333333"/>
          <w:sz w:val="26"/>
          <w:szCs w:val="26"/>
        </w:rPr>
        <w:t xml:space="preserve">In his third Exception, Mr. </w:t>
      </w:r>
      <w:proofErr w:type="spellStart"/>
      <w:r>
        <w:rPr>
          <w:color w:val="333333"/>
          <w:sz w:val="26"/>
          <w:szCs w:val="26"/>
        </w:rPr>
        <w:t>Gillinder</w:t>
      </w:r>
      <w:proofErr w:type="spellEnd"/>
      <w:r>
        <w:rPr>
          <w:color w:val="333333"/>
          <w:sz w:val="26"/>
          <w:szCs w:val="26"/>
        </w:rPr>
        <w:t xml:space="preserve"> engages in a comparison of the cost of electricity distribution service provided by Pike County to the cost of electricity distribution service provided by Metropolitan Edison.  </w:t>
      </w:r>
      <w:proofErr w:type="gramStart"/>
      <w:r>
        <w:rPr>
          <w:color w:val="333333"/>
          <w:sz w:val="26"/>
          <w:szCs w:val="26"/>
        </w:rPr>
        <w:t>Exc. at 3.</w:t>
      </w:r>
      <w:proofErr w:type="gramEnd"/>
      <w:r>
        <w:rPr>
          <w:color w:val="333333"/>
          <w:sz w:val="26"/>
          <w:szCs w:val="26"/>
        </w:rPr>
        <w:t xml:space="preserve">  </w:t>
      </w:r>
      <w:r w:rsidR="00061820">
        <w:rPr>
          <w:color w:val="333333"/>
          <w:sz w:val="26"/>
          <w:szCs w:val="26"/>
        </w:rPr>
        <w:t>B</w:t>
      </w:r>
      <w:r>
        <w:rPr>
          <w:color w:val="333333"/>
          <w:sz w:val="26"/>
          <w:szCs w:val="26"/>
        </w:rPr>
        <w:t xml:space="preserve">ased on the costs for a typical residential user in Pike County’s service territory </w:t>
      </w:r>
      <w:r w:rsidR="00061820">
        <w:rPr>
          <w:color w:val="333333"/>
          <w:sz w:val="26"/>
          <w:szCs w:val="26"/>
        </w:rPr>
        <w:t xml:space="preserve">compared </w:t>
      </w:r>
      <w:r>
        <w:rPr>
          <w:color w:val="333333"/>
          <w:sz w:val="26"/>
          <w:szCs w:val="26"/>
        </w:rPr>
        <w:t xml:space="preserve">with other companies, </w:t>
      </w:r>
      <w:r w:rsidR="00061820">
        <w:rPr>
          <w:color w:val="333333"/>
          <w:sz w:val="26"/>
          <w:szCs w:val="26"/>
        </w:rPr>
        <w:t xml:space="preserve">Mr. </w:t>
      </w:r>
      <w:proofErr w:type="spellStart"/>
      <w:r w:rsidR="00061820">
        <w:rPr>
          <w:color w:val="333333"/>
          <w:sz w:val="26"/>
          <w:szCs w:val="26"/>
        </w:rPr>
        <w:t>Gillinder</w:t>
      </w:r>
      <w:proofErr w:type="spellEnd"/>
      <w:r>
        <w:rPr>
          <w:color w:val="333333"/>
          <w:sz w:val="26"/>
          <w:szCs w:val="26"/>
        </w:rPr>
        <w:t xml:space="preserve"> concludes that Pike County’s rate is 25% more than a neighboring utility.  </w:t>
      </w:r>
      <w:r>
        <w:rPr>
          <w:i/>
          <w:color w:val="333333"/>
          <w:sz w:val="26"/>
          <w:szCs w:val="26"/>
        </w:rPr>
        <w:t>Id</w:t>
      </w:r>
      <w:r>
        <w:rPr>
          <w:color w:val="333333"/>
          <w:sz w:val="26"/>
          <w:szCs w:val="26"/>
        </w:rPr>
        <w:t xml:space="preserve">.  Based on the foregoing, Mr. </w:t>
      </w:r>
      <w:proofErr w:type="spellStart"/>
      <w:r>
        <w:rPr>
          <w:color w:val="333333"/>
          <w:sz w:val="26"/>
          <w:szCs w:val="26"/>
        </w:rPr>
        <w:t>Gillinder</w:t>
      </w:r>
      <w:proofErr w:type="spellEnd"/>
      <w:r>
        <w:rPr>
          <w:color w:val="333333"/>
          <w:sz w:val="26"/>
          <w:szCs w:val="26"/>
        </w:rPr>
        <w:t xml:space="preserve"> states, “[w]e take exception to the amount of the increase, and feel it should be more in line with the underlying and federal government published rate of inflation.”  </w:t>
      </w:r>
      <w:r>
        <w:rPr>
          <w:i/>
          <w:color w:val="333333"/>
          <w:sz w:val="26"/>
          <w:szCs w:val="26"/>
        </w:rPr>
        <w:t>Id</w:t>
      </w:r>
      <w:r>
        <w:rPr>
          <w:color w:val="333333"/>
          <w:sz w:val="26"/>
          <w:szCs w:val="26"/>
        </w:rPr>
        <w:t>.</w:t>
      </w:r>
    </w:p>
    <w:p w:rsidR="00E1687C" w:rsidRDefault="00E1687C" w:rsidP="00B91B6B">
      <w:pPr>
        <w:autoSpaceDE w:val="0"/>
        <w:autoSpaceDN w:val="0"/>
        <w:adjustRightInd w:val="0"/>
        <w:spacing w:line="360" w:lineRule="auto"/>
        <w:ind w:firstLine="1440"/>
        <w:rPr>
          <w:color w:val="333333"/>
          <w:sz w:val="26"/>
          <w:szCs w:val="26"/>
        </w:rPr>
      </w:pPr>
    </w:p>
    <w:p w:rsidR="00E1687C" w:rsidRDefault="00E1687C" w:rsidP="00B91B6B">
      <w:pPr>
        <w:autoSpaceDE w:val="0"/>
        <w:autoSpaceDN w:val="0"/>
        <w:adjustRightInd w:val="0"/>
        <w:spacing w:line="360" w:lineRule="auto"/>
        <w:ind w:firstLine="1440"/>
        <w:rPr>
          <w:b/>
          <w:color w:val="333333"/>
          <w:sz w:val="26"/>
          <w:szCs w:val="26"/>
        </w:rPr>
      </w:pPr>
    </w:p>
    <w:p w:rsidR="00E1687C" w:rsidRDefault="00E1687C" w:rsidP="00B91B6B">
      <w:pPr>
        <w:autoSpaceDE w:val="0"/>
        <w:autoSpaceDN w:val="0"/>
        <w:adjustRightInd w:val="0"/>
        <w:spacing w:line="360" w:lineRule="auto"/>
        <w:ind w:firstLine="1440"/>
        <w:rPr>
          <w:b/>
          <w:color w:val="333333"/>
          <w:sz w:val="26"/>
          <w:szCs w:val="26"/>
        </w:rPr>
      </w:pPr>
      <w:r>
        <w:rPr>
          <w:b/>
          <w:color w:val="333333"/>
          <w:sz w:val="26"/>
          <w:szCs w:val="26"/>
        </w:rPr>
        <w:lastRenderedPageBreak/>
        <w:t>Disposition</w:t>
      </w:r>
    </w:p>
    <w:p w:rsidR="00061820" w:rsidRDefault="00061820" w:rsidP="00B91B6B">
      <w:pPr>
        <w:autoSpaceDE w:val="0"/>
        <w:autoSpaceDN w:val="0"/>
        <w:adjustRightInd w:val="0"/>
        <w:spacing w:line="360" w:lineRule="auto"/>
        <w:ind w:firstLine="1440"/>
        <w:rPr>
          <w:color w:val="333333"/>
          <w:sz w:val="26"/>
          <w:szCs w:val="26"/>
        </w:rPr>
      </w:pPr>
    </w:p>
    <w:p w:rsidR="00DA54DA" w:rsidRDefault="00DB0132" w:rsidP="00B91B6B">
      <w:pPr>
        <w:autoSpaceDE w:val="0"/>
        <w:autoSpaceDN w:val="0"/>
        <w:adjustRightInd w:val="0"/>
        <w:spacing w:line="360" w:lineRule="auto"/>
        <w:ind w:firstLine="1440"/>
        <w:rPr>
          <w:color w:val="333333"/>
          <w:sz w:val="26"/>
          <w:szCs w:val="26"/>
        </w:rPr>
      </w:pPr>
      <w:r>
        <w:rPr>
          <w:color w:val="333333"/>
          <w:sz w:val="26"/>
          <w:szCs w:val="26"/>
        </w:rPr>
        <w:t xml:space="preserve">On consideration of the third Exception of Mr. </w:t>
      </w:r>
      <w:proofErr w:type="spellStart"/>
      <w:r>
        <w:rPr>
          <w:color w:val="333333"/>
          <w:sz w:val="26"/>
          <w:szCs w:val="26"/>
        </w:rPr>
        <w:t>Gillinder</w:t>
      </w:r>
      <w:proofErr w:type="spellEnd"/>
      <w:r>
        <w:rPr>
          <w:color w:val="333333"/>
          <w:sz w:val="26"/>
          <w:szCs w:val="26"/>
        </w:rPr>
        <w:t>, we shall deny it.  We find that the revenue level incorporated into the Settlement represents a just and reasonable result.  This revenue level is one that is within the range of result</w:t>
      </w:r>
      <w:r w:rsidR="00DA54DA">
        <w:rPr>
          <w:color w:val="333333"/>
          <w:sz w:val="26"/>
          <w:szCs w:val="26"/>
        </w:rPr>
        <w:t>s</w:t>
      </w:r>
      <w:r>
        <w:rPr>
          <w:color w:val="333333"/>
          <w:sz w:val="26"/>
          <w:szCs w:val="26"/>
        </w:rPr>
        <w:t xml:space="preserve"> that could be achieved through full litigation.</w:t>
      </w:r>
      <w:r w:rsidR="00DA54DA">
        <w:rPr>
          <w:color w:val="333333"/>
          <w:sz w:val="26"/>
          <w:szCs w:val="26"/>
        </w:rPr>
        <w:t xml:space="preserve">  </w:t>
      </w:r>
    </w:p>
    <w:p w:rsidR="00DA54DA" w:rsidRDefault="00DA54DA" w:rsidP="00B91B6B">
      <w:pPr>
        <w:autoSpaceDE w:val="0"/>
        <w:autoSpaceDN w:val="0"/>
        <w:adjustRightInd w:val="0"/>
        <w:spacing w:line="360" w:lineRule="auto"/>
        <w:ind w:firstLine="1440"/>
        <w:rPr>
          <w:color w:val="333333"/>
          <w:sz w:val="26"/>
          <w:szCs w:val="26"/>
        </w:rPr>
      </w:pPr>
    </w:p>
    <w:p w:rsidR="00DA54DA" w:rsidRDefault="00DA54DA" w:rsidP="00B91B6B">
      <w:pPr>
        <w:autoSpaceDE w:val="0"/>
        <w:autoSpaceDN w:val="0"/>
        <w:adjustRightInd w:val="0"/>
        <w:spacing w:line="360" w:lineRule="auto"/>
        <w:ind w:firstLine="1440"/>
        <w:rPr>
          <w:color w:val="333333"/>
          <w:sz w:val="26"/>
          <w:szCs w:val="26"/>
        </w:rPr>
      </w:pPr>
      <w:r>
        <w:rPr>
          <w:color w:val="333333"/>
          <w:sz w:val="26"/>
          <w:szCs w:val="26"/>
        </w:rPr>
        <w:t xml:space="preserve">The alleged disparity between the rates of Pike County and neighboring utilities is not a valid basis for comparison as the revenue requirements for each regulated entity must be based on a company-specific analysis of the data provided to the Commission in support of a change in rates.  </w:t>
      </w:r>
      <w:r>
        <w:rPr>
          <w:i/>
          <w:color w:val="333333"/>
          <w:sz w:val="26"/>
          <w:szCs w:val="26"/>
        </w:rPr>
        <w:t xml:space="preserve">See, </w:t>
      </w:r>
      <w:r w:rsidRPr="008F2399">
        <w:rPr>
          <w:i/>
          <w:color w:val="333333"/>
          <w:sz w:val="26"/>
          <w:szCs w:val="26"/>
        </w:rPr>
        <w:t>generally</w:t>
      </w:r>
      <w:r w:rsidR="00061820">
        <w:rPr>
          <w:color w:val="333333"/>
          <w:sz w:val="26"/>
          <w:szCs w:val="26"/>
        </w:rPr>
        <w:t>,</w:t>
      </w:r>
      <w:r>
        <w:rPr>
          <w:color w:val="333333"/>
          <w:sz w:val="26"/>
          <w:szCs w:val="26"/>
        </w:rPr>
        <w:t xml:space="preserve"> 66 Pa. C.S. § 1301.  </w:t>
      </w:r>
    </w:p>
    <w:p w:rsidR="00DA54DA" w:rsidRDefault="00DA54DA" w:rsidP="00B91B6B">
      <w:pPr>
        <w:autoSpaceDE w:val="0"/>
        <w:autoSpaceDN w:val="0"/>
        <w:adjustRightInd w:val="0"/>
        <w:spacing w:line="360" w:lineRule="auto"/>
        <w:ind w:firstLine="1440"/>
        <w:rPr>
          <w:color w:val="333333"/>
          <w:sz w:val="26"/>
          <w:szCs w:val="26"/>
        </w:rPr>
      </w:pPr>
    </w:p>
    <w:p w:rsidR="00E1687C" w:rsidRPr="008F2399" w:rsidRDefault="00DA54DA" w:rsidP="008F2399">
      <w:pPr>
        <w:spacing w:line="360" w:lineRule="auto"/>
        <w:ind w:firstLine="1440"/>
        <w:rPr>
          <w:sz w:val="26"/>
          <w:szCs w:val="26"/>
        </w:rPr>
      </w:pPr>
      <w:r w:rsidRPr="00E55856">
        <w:rPr>
          <w:sz w:val="26"/>
          <w:szCs w:val="26"/>
        </w:rPr>
        <w:t xml:space="preserve">The restructuring of the electric utility industry under the Electricity Generation Customer Choice and Competition Act (Competition Act), </w:t>
      </w:r>
      <w:hyperlink r:id="rId11" w:history="1">
        <w:r w:rsidRPr="008F2399">
          <w:rPr>
            <w:rStyle w:val="Hyperlink"/>
            <w:color w:val="auto"/>
            <w:sz w:val="26"/>
            <w:szCs w:val="26"/>
            <w:u w:val="none"/>
          </w:rPr>
          <w:t xml:space="preserve">66 Pa. C.S. </w:t>
        </w:r>
        <w:r w:rsidR="00061820" w:rsidRPr="008F2399">
          <w:rPr>
            <w:rStyle w:val="Hyperlink"/>
            <w:color w:val="auto"/>
            <w:sz w:val="26"/>
            <w:szCs w:val="26"/>
            <w:u w:val="none"/>
          </w:rPr>
          <w:br/>
        </w:r>
        <w:r w:rsidRPr="008F2399">
          <w:rPr>
            <w:rStyle w:val="Hyperlink"/>
            <w:color w:val="auto"/>
            <w:sz w:val="26"/>
            <w:szCs w:val="26"/>
            <w:u w:val="none"/>
          </w:rPr>
          <w:t>§§</w:t>
        </w:r>
        <w:r w:rsidR="00061820" w:rsidRPr="008F2399">
          <w:rPr>
            <w:rStyle w:val="Hyperlink"/>
            <w:color w:val="auto"/>
            <w:sz w:val="26"/>
            <w:szCs w:val="26"/>
            <w:u w:val="none"/>
          </w:rPr>
          <w:t xml:space="preserve"> </w:t>
        </w:r>
        <w:r w:rsidRPr="008F2399">
          <w:rPr>
            <w:rStyle w:val="Hyperlink"/>
            <w:color w:val="auto"/>
            <w:sz w:val="26"/>
            <w:szCs w:val="26"/>
            <w:u w:val="none"/>
          </w:rPr>
          <w:t>2801-2812</w:t>
        </w:r>
      </w:hyperlink>
      <w:r w:rsidRPr="00E55856">
        <w:rPr>
          <w:sz w:val="26"/>
          <w:szCs w:val="26"/>
        </w:rPr>
        <w:t xml:space="preserve">, separated the three traditional functions of electric utilities, </w:t>
      </w:r>
      <w:r w:rsidRPr="00E55856">
        <w:rPr>
          <w:i/>
          <w:sz w:val="26"/>
          <w:szCs w:val="26"/>
        </w:rPr>
        <w:t>i.e</w:t>
      </w:r>
      <w:r w:rsidRPr="00E55856">
        <w:rPr>
          <w:sz w:val="26"/>
          <w:szCs w:val="26"/>
        </w:rPr>
        <w:t>., the generation, transmission and distribution of electricity.</w:t>
      </w:r>
      <w:r>
        <w:rPr>
          <w:sz w:val="26"/>
          <w:szCs w:val="26"/>
        </w:rPr>
        <w:t xml:space="preserve">  </w:t>
      </w:r>
      <w:proofErr w:type="gramStart"/>
      <w:r>
        <w:rPr>
          <w:i/>
          <w:sz w:val="26"/>
          <w:szCs w:val="26"/>
        </w:rPr>
        <w:t>See</w:t>
      </w:r>
      <w:r w:rsidR="00061820">
        <w:rPr>
          <w:i/>
          <w:sz w:val="26"/>
          <w:szCs w:val="26"/>
        </w:rPr>
        <w:t>,</w:t>
      </w:r>
      <w:r>
        <w:rPr>
          <w:sz w:val="26"/>
          <w:szCs w:val="26"/>
        </w:rPr>
        <w:t xml:space="preserve"> </w:t>
      </w:r>
      <w:r w:rsidRPr="00E55856">
        <w:rPr>
          <w:bCs/>
          <w:i/>
          <w:color w:val="333333"/>
          <w:sz w:val="26"/>
          <w:szCs w:val="26"/>
        </w:rPr>
        <w:t xml:space="preserve">Met-Ed Indus. Users Group v. Pa. PUC, </w:t>
      </w:r>
      <w:r w:rsidRPr="00E55856">
        <w:rPr>
          <w:bCs/>
          <w:color w:val="333333"/>
          <w:sz w:val="26"/>
          <w:szCs w:val="26"/>
        </w:rPr>
        <w:t>960 A.2d 189</w:t>
      </w:r>
      <w:r w:rsidRPr="00E55856">
        <w:rPr>
          <w:sz w:val="26"/>
          <w:szCs w:val="26"/>
        </w:rPr>
        <w:t xml:space="preserve"> </w:t>
      </w:r>
      <w:r>
        <w:rPr>
          <w:sz w:val="26"/>
          <w:szCs w:val="26"/>
        </w:rPr>
        <w:t xml:space="preserve">(Pa. </w:t>
      </w:r>
      <w:proofErr w:type="spellStart"/>
      <w:r>
        <w:rPr>
          <w:sz w:val="26"/>
          <w:szCs w:val="26"/>
        </w:rPr>
        <w:t>Cmwlth</w:t>
      </w:r>
      <w:proofErr w:type="spellEnd"/>
      <w:r>
        <w:rPr>
          <w:sz w:val="26"/>
          <w:szCs w:val="26"/>
        </w:rPr>
        <w:t>. 2008).</w:t>
      </w:r>
      <w:proofErr w:type="gramEnd"/>
      <w:r>
        <w:rPr>
          <w:sz w:val="26"/>
          <w:szCs w:val="26"/>
        </w:rPr>
        <w:t xml:space="preserve">  </w:t>
      </w:r>
      <w:r w:rsidRPr="00E55856">
        <w:rPr>
          <w:sz w:val="26"/>
          <w:szCs w:val="26"/>
        </w:rPr>
        <w:t xml:space="preserve">With the separation of these functions, Pennsylvania residents </w:t>
      </w:r>
      <w:r>
        <w:rPr>
          <w:sz w:val="26"/>
          <w:szCs w:val="26"/>
        </w:rPr>
        <w:t>are</w:t>
      </w:r>
      <w:r w:rsidRPr="00E55856">
        <w:rPr>
          <w:sz w:val="26"/>
          <w:szCs w:val="26"/>
        </w:rPr>
        <w:t xml:space="preserve"> able to choose to purchase their electricity from an electric generation supplier other than the local utility. </w:t>
      </w:r>
      <w:r>
        <w:rPr>
          <w:sz w:val="26"/>
          <w:szCs w:val="26"/>
        </w:rPr>
        <w:t xml:space="preserve"> If</w:t>
      </w:r>
      <w:r w:rsidRPr="00E55856">
        <w:rPr>
          <w:sz w:val="26"/>
          <w:szCs w:val="26"/>
        </w:rPr>
        <w:t xml:space="preserve"> consumers d</w:t>
      </w:r>
      <w:r>
        <w:rPr>
          <w:sz w:val="26"/>
          <w:szCs w:val="26"/>
        </w:rPr>
        <w:t xml:space="preserve">o </w:t>
      </w:r>
      <w:r w:rsidRPr="00E55856">
        <w:rPr>
          <w:sz w:val="26"/>
          <w:szCs w:val="26"/>
        </w:rPr>
        <w:t xml:space="preserve">not make a choice, the local utility </w:t>
      </w:r>
      <w:r>
        <w:rPr>
          <w:sz w:val="26"/>
          <w:szCs w:val="26"/>
        </w:rPr>
        <w:t>i</w:t>
      </w:r>
      <w:r w:rsidRPr="00E55856">
        <w:rPr>
          <w:sz w:val="26"/>
          <w:szCs w:val="26"/>
        </w:rPr>
        <w:t xml:space="preserve">s required to provide them with electricity as the Provider of Last Resort </w:t>
      </w:r>
      <w:r w:rsidRPr="006D38E5">
        <w:rPr>
          <w:sz w:val="26"/>
          <w:szCs w:val="26"/>
        </w:rPr>
        <w:t xml:space="preserve">(PLR).  </w:t>
      </w:r>
      <w:r w:rsidRPr="006D38E5">
        <w:rPr>
          <w:i/>
          <w:sz w:val="26"/>
          <w:szCs w:val="26"/>
        </w:rPr>
        <w:t>Id</w:t>
      </w:r>
      <w:r w:rsidRPr="006D38E5">
        <w:rPr>
          <w:sz w:val="26"/>
          <w:szCs w:val="26"/>
        </w:rPr>
        <w:t xml:space="preserve">. </w:t>
      </w:r>
      <w:r w:rsidR="00061820" w:rsidRPr="006D38E5">
        <w:rPr>
          <w:sz w:val="26"/>
          <w:szCs w:val="26"/>
        </w:rPr>
        <w:t>(</w:t>
      </w:r>
      <w:r w:rsidRPr="006D38E5">
        <w:rPr>
          <w:sz w:val="26"/>
          <w:szCs w:val="26"/>
        </w:rPr>
        <w:t xml:space="preserve">citing  </w:t>
      </w:r>
      <w:hyperlink r:id="rId12" w:history="1">
        <w:r w:rsidRPr="008F2399">
          <w:rPr>
            <w:rStyle w:val="Hyperlink"/>
            <w:i/>
            <w:iCs/>
            <w:color w:val="auto"/>
            <w:sz w:val="26"/>
            <w:szCs w:val="26"/>
            <w:u w:val="none"/>
          </w:rPr>
          <w:t>ARIPPA v. P</w:t>
        </w:r>
        <w:r w:rsidR="00061820" w:rsidRPr="008F2399">
          <w:rPr>
            <w:rStyle w:val="Hyperlink"/>
            <w:i/>
            <w:iCs/>
            <w:color w:val="auto"/>
            <w:sz w:val="26"/>
            <w:szCs w:val="26"/>
            <w:u w:val="none"/>
          </w:rPr>
          <w:t>a. PUC</w:t>
        </w:r>
        <w:r w:rsidRPr="008F2399">
          <w:rPr>
            <w:rStyle w:val="Hyperlink"/>
            <w:color w:val="auto"/>
            <w:sz w:val="26"/>
            <w:szCs w:val="26"/>
            <w:u w:val="none"/>
          </w:rPr>
          <w:t xml:space="preserve">, 792 A.2d 636 (Pa. </w:t>
        </w:r>
        <w:proofErr w:type="spellStart"/>
        <w:r w:rsidRPr="008F2399">
          <w:rPr>
            <w:rStyle w:val="Hyperlink"/>
            <w:color w:val="auto"/>
            <w:sz w:val="26"/>
            <w:szCs w:val="26"/>
            <w:u w:val="none"/>
          </w:rPr>
          <w:t>Cmwlth</w:t>
        </w:r>
        <w:proofErr w:type="spellEnd"/>
        <w:r w:rsidRPr="008F2399">
          <w:rPr>
            <w:rStyle w:val="Hyperlink"/>
            <w:color w:val="auto"/>
            <w:sz w:val="26"/>
            <w:szCs w:val="26"/>
            <w:u w:val="none"/>
          </w:rPr>
          <w:t>. 2002)</w:t>
        </w:r>
      </w:hyperlink>
      <w:r w:rsidRPr="006D38E5">
        <w:rPr>
          <w:sz w:val="26"/>
          <w:szCs w:val="26"/>
        </w:rPr>
        <w:t xml:space="preserve">, </w:t>
      </w:r>
      <w:r w:rsidRPr="006D38E5">
        <w:rPr>
          <w:i/>
          <w:iCs/>
          <w:sz w:val="26"/>
          <w:szCs w:val="26"/>
        </w:rPr>
        <w:t>appeal denied</w:t>
      </w:r>
      <w:r w:rsidRPr="006D38E5">
        <w:rPr>
          <w:sz w:val="26"/>
          <w:szCs w:val="26"/>
        </w:rPr>
        <w:t xml:space="preserve">, </w:t>
      </w:r>
      <w:hyperlink r:id="rId13" w:history="1">
        <w:r w:rsidRPr="008F2399">
          <w:rPr>
            <w:rStyle w:val="Hyperlink"/>
            <w:color w:val="auto"/>
            <w:sz w:val="26"/>
            <w:szCs w:val="26"/>
            <w:u w:val="none"/>
          </w:rPr>
          <w:t>572 Pa. 736, 815 A.2d 634 (2003)</w:t>
        </w:r>
      </w:hyperlink>
      <w:r w:rsidR="00061820" w:rsidRPr="006D38E5">
        <w:rPr>
          <w:sz w:val="26"/>
          <w:szCs w:val="26"/>
        </w:rPr>
        <w:t>)</w:t>
      </w:r>
      <w:r w:rsidRPr="006D38E5">
        <w:rPr>
          <w:sz w:val="26"/>
          <w:szCs w:val="26"/>
        </w:rPr>
        <w:t xml:space="preserve">.  Mr. </w:t>
      </w:r>
      <w:proofErr w:type="spellStart"/>
      <w:r w:rsidRPr="006D38E5">
        <w:rPr>
          <w:sz w:val="26"/>
          <w:szCs w:val="26"/>
        </w:rPr>
        <w:t>Gillinder</w:t>
      </w:r>
      <w:proofErr w:type="spellEnd"/>
      <w:r w:rsidRPr="006D38E5">
        <w:rPr>
          <w:sz w:val="26"/>
          <w:szCs w:val="26"/>
        </w:rPr>
        <w:t xml:space="preserve"> is able to “shop” for the best value</w:t>
      </w:r>
      <w:r>
        <w:rPr>
          <w:sz w:val="26"/>
          <w:szCs w:val="26"/>
        </w:rPr>
        <w:t xml:space="preserve"> in electricity generation based on the Competition Act.  </w:t>
      </w:r>
      <w:r>
        <w:rPr>
          <w:color w:val="333333"/>
          <w:sz w:val="26"/>
          <w:szCs w:val="26"/>
        </w:rPr>
        <w:t xml:space="preserve">   </w:t>
      </w:r>
      <w:r w:rsidR="00DB0132">
        <w:rPr>
          <w:color w:val="333333"/>
          <w:sz w:val="26"/>
          <w:szCs w:val="26"/>
        </w:rPr>
        <w:t xml:space="preserve">    </w:t>
      </w:r>
    </w:p>
    <w:p w:rsidR="00E1687C" w:rsidRPr="003F2462" w:rsidRDefault="00E1687C" w:rsidP="00B91B6B">
      <w:pPr>
        <w:autoSpaceDE w:val="0"/>
        <w:autoSpaceDN w:val="0"/>
        <w:adjustRightInd w:val="0"/>
        <w:spacing w:line="360" w:lineRule="auto"/>
        <w:ind w:firstLine="1440"/>
        <w:rPr>
          <w:color w:val="333333"/>
          <w:sz w:val="26"/>
          <w:szCs w:val="26"/>
        </w:rPr>
      </w:pPr>
      <w:r>
        <w:rPr>
          <w:color w:val="333333"/>
          <w:sz w:val="26"/>
          <w:szCs w:val="26"/>
        </w:rPr>
        <w:t xml:space="preserve">  </w:t>
      </w:r>
    </w:p>
    <w:p w:rsidR="00631765" w:rsidRDefault="00061820" w:rsidP="00666544">
      <w:pPr>
        <w:widowControl/>
        <w:autoSpaceDE w:val="0"/>
        <w:autoSpaceDN w:val="0"/>
        <w:adjustRightInd w:val="0"/>
        <w:spacing w:line="360" w:lineRule="auto"/>
        <w:ind w:firstLine="1440"/>
        <w:rPr>
          <w:rFonts w:eastAsiaTheme="minorHAnsi"/>
          <w:sz w:val="24"/>
          <w:szCs w:val="24"/>
        </w:rPr>
      </w:pPr>
      <w:r>
        <w:rPr>
          <w:color w:val="333333"/>
          <w:sz w:val="26"/>
          <w:szCs w:val="26"/>
        </w:rPr>
        <w:t>In summary, b</w:t>
      </w:r>
      <w:r w:rsidR="00DA54DA">
        <w:rPr>
          <w:color w:val="333333"/>
          <w:sz w:val="26"/>
          <w:szCs w:val="26"/>
        </w:rPr>
        <w:t>ased on the record of this proceeding, w</w:t>
      </w:r>
      <w:r w:rsidR="00093045" w:rsidRPr="00666544">
        <w:rPr>
          <w:color w:val="333333"/>
          <w:sz w:val="26"/>
          <w:szCs w:val="26"/>
        </w:rPr>
        <w:t xml:space="preserve">e shall approve the </w:t>
      </w:r>
      <w:r w:rsidR="009F648B">
        <w:rPr>
          <w:color w:val="333333"/>
          <w:sz w:val="26"/>
          <w:szCs w:val="26"/>
        </w:rPr>
        <w:t>S</w:t>
      </w:r>
      <w:r w:rsidR="00093045" w:rsidRPr="00666544">
        <w:rPr>
          <w:color w:val="333333"/>
          <w:sz w:val="26"/>
          <w:szCs w:val="26"/>
        </w:rPr>
        <w:t>ettlement as in the publi</w:t>
      </w:r>
      <w:r w:rsidR="007308DE" w:rsidRPr="00666544">
        <w:rPr>
          <w:color w:val="333333"/>
          <w:sz w:val="26"/>
          <w:szCs w:val="26"/>
        </w:rPr>
        <w:t xml:space="preserve">c interest.  </w:t>
      </w:r>
      <w:r>
        <w:rPr>
          <w:color w:val="333333"/>
          <w:sz w:val="26"/>
          <w:szCs w:val="26"/>
        </w:rPr>
        <w:t>W</w:t>
      </w:r>
      <w:r w:rsidR="007308DE" w:rsidRPr="00666544">
        <w:rPr>
          <w:color w:val="333333"/>
          <w:sz w:val="26"/>
          <w:szCs w:val="26"/>
        </w:rPr>
        <w:t xml:space="preserve">e concur in the analysis of ALJ Pell that </w:t>
      </w:r>
      <w:r w:rsidR="00666544" w:rsidRPr="00666544">
        <w:rPr>
          <w:color w:val="333333"/>
          <w:sz w:val="26"/>
          <w:szCs w:val="26"/>
        </w:rPr>
        <w:t xml:space="preserve">resolution of the overall level of revenues, in conjunction with a stay-out until September, 2016, will provide Pike </w:t>
      </w:r>
      <w:r w:rsidR="009F648B">
        <w:rPr>
          <w:color w:val="333333"/>
          <w:sz w:val="26"/>
          <w:szCs w:val="26"/>
        </w:rPr>
        <w:t xml:space="preserve">County </w:t>
      </w:r>
      <w:r w:rsidR="00666544" w:rsidRPr="00666544">
        <w:rPr>
          <w:color w:val="333333"/>
          <w:sz w:val="26"/>
          <w:szCs w:val="26"/>
        </w:rPr>
        <w:t xml:space="preserve">with sufficient revenues to </w:t>
      </w:r>
      <w:r w:rsidR="009F648B">
        <w:rPr>
          <w:color w:val="333333"/>
          <w:sz w:val="26"/>
          <w:szCs w:val="26"/>
        </w:rPr>
        <w:t>(</w:t>
      </w:r>
      <w:r w:rsidR="00666544" w:rsidRPr="00666544">
        <w:rPr>
          <w:rFonts w:eastAsiaTheme="minorHAnsi"/>
          <w:sz w:val="26"/>
          <w:szCs w:val="26"/>
        </w:rPr>
        <w:t xml:space="preserve">a) produce an adequate return on the </w:t>
      </w:r>
      <w:r w:rsidR="00631765">
        <w:rPr>
          <w:rFonts w:eastAsiaTheme="minorHAnsi"/>
          <w:sz w:val="26"/>
          <w:szCs w:val="26"/>
        </w:rPr>
        <w:t>C</w:t>
      </w:r>
      <w:r w:rsidR="00666544" w:rsidRPr="00666544">
        <w:rPr>
          <w:rFonts w:eastAsiaTheme="minorHAnsi"/>
          <w:sz w:val="26"/>
          <w:szCs w:val="26"/>
        </w:rPr>
        <w:t>ompany</w:t>
      </w:r>
      <w:r w:rsidR="00666544">
        <w:rPr>
          <w:rFonts w:eastAsiaTheme="minorHAnsi"/>
          <w:sz w:val="26"/>
          <w:szCs w:val="26"/>
        </w:rPr>
        <w:t>’s</w:t>
      </w:r>
      <w:r w:rsidR="00666544" w:rsidRPr="00666544">
        <w:rPr>
          <w:rFonts w:eastAsiaTheme="minorHAnsi"/>
          <w:sz w:val="26"/>
          <w:szCs w:val="26"/>
        </w:rPr>
        <w:t xml:space="preserve"> invested capital that is</w:t>
      </w:r>
      <w:r w:rsidR="00666544">
        <w:rPr>
          <w:rFonts w:eastAsiaTheme="minorHAnsi"/>
          <w:sz w:val="26"/>
          <w:szCs w:val="26"/>
        </w:rPr>
        <w:t xml:space="preserve"> </w:t>
      </w:r>
      <w:r w:rsidR="00666544" w:rsidRPr="00666544">
        <w:rPr>
          <w:rFonts w:eastAsiaTheme="minorHAnsi"/>
          <w:sz w:val="26"/>
          <w:szCs w:val="26"/>
        </w:rPr>
        <w:t xml:space="preserve">dedicated to the service of the </w:t>
      </w:r>
      <w:r w:rsidR="00631765">
        <w:rPr>
          <w:rFonts w:eastAsiaTheme="minorHAnsi"/>
          <w:sz w:val="26"/>
          <w:szCs w:val="26"/>
        </w:rPr>
        <w:t>C</w:t>
      </w:r>
      <w:r w:rsidR="00666544" w:rsidRPr="00666544">
        <w:rPr>
          <w:rFonts w:eastAsiaTheme="minorHAnsi"/>
          <w:sz w:val="26"/>
          <w:szCs w:val="26"/>
        </w:rPr>
        <w:t>ompany</w:t>
      </w:r>
      <w:r w:rsidR="00666544">
        <w:rPr>
          <w:rFonts w:eastAsiaTheme="minorHAnsi"/>
          <w:sz w:val="26"/>
          <w:szCs w:val="26"/>
        </w:rPr>
        <w:t>’</w:t>
      </w:r>
      <w:r w:rsidR="00666544" w:rsidRPr="00666544">
        <w:rPr>
          <w:rFonts w:eastAsiaTheme="minorHAnsi"/>
          <w:sz w:val="26"/>
          <w:szCs w:val="26"/>
        </w:rPr>
        <w:t xml:space="preserve">s </w:t>
      </w:r>
      <w:r w:rsidR="00666544" w:rsidRPr="00666544">
        <w:rPr>
          <w:rFonts w:eastAsiaTheme="minorHAnsi"/>
          <w:sz w:val="26"/>
          <w:szCs w:val="26"/>
        </w:rPr>
        <w:lastRenderedPageBreak/>
        <w:t>customers, (b) provide sufficient operating revenues to</w:t>
      </w:r>
      <w:r w:rsidR="00666544">
        <w:rPr>
          <w:rFonts w:eastAsiaTheme="minorHAnsi"/>
          <w:sz w:val="26"/>
          <w:szCs w:val="26"/>
        </w:rPr>
        <w:t xml:space="preserve"> </w:t>
      </w:r>
      <w:r w:rsidR="00666544" w:rsidRPr="00666544">
        <w:rPr>
          <w:rFonts w:eastAsiaTheme="minorHAnsi"/>
          <w:sz w:val="26"/>
          <w:szCs w:val="26"/>
        </w:rPr>
        <w:t xml:space="preserve">meet </w:t>
      </w:r>
      <w:r w:rsidR="00666544">
        <w:rPr>
          <w:rFonts w:eastAsiaTheme="minorHAnsi"/>
          <w:sz w:val="26"/>
          <w:szCs w:val="26"/>
        </w:rPr>
        <w:t xml:space="preserve">reasonable and prudently-incurred </w:t>
      </w:r>
      <w:r w:rsidR="00666544" w:rsidRPr="00666544">
        <w:rPr>
          <w:rFonts w:eastAsiaTheme="minorHAnsi"/>
          <w:sz w:val="26"/>
          <w:szCs w:val="26"/>
        </w:rPr>
        <w:t>operating expenses, taxes and other charges, (c) enable the Company to maintain its</w:t>
      </w:r>
      <w:r w:rsidR="00666544">
        <w:rPr>
          <w:rFonts w:eastAsiaTheme="minorHAnsi"/>
          <w:sz w:val="26"/>
          <w:szCs w:val="26"/>
        </w:rPr>
        <w:t xml:space="preserve"> </w:t>
      </w:r>
      <w:r w:rsidR="00666544" w:rsidRPr="00666544">
        <w:rPr>
          <w:rFonts w:eastAsiaTheme="minorHAnsi"/>
          <w:sz w:val="26"/>
          <w:szCs w:val="26"/>
        </w:rPr>
        <w:t>creditworthiness at a level sufficient to raise capital necessary to perform its obligations to</w:t>
      </w:r>
      <w:r w:rsidR="00666544">
        <w:rPr>
          <w:rFonts w:eastAsiaTheme="minorHAnsi"/>
          <w:sz w:val="26"/>
          <w:szCs w:val="26"/>
        </w:rPr>
        <w:t xml:space="preserve"> </w:t>
      </w:r>
      <w:r w:rsidR="00666544" w:rsidRPr="00666544">
        <w:rPr>
          <w:rFonts w:eastAsiaTheme="minorHAnsi"/>
          <w:sz w:val="26"/>
          <w:szCs w:val="26"/>
        </w:rPr>
        <w:t>provide safe, adequate and proper service to its customers, and (d) provide a reasonable rate of</w:t>
      </w:r>
      <w:r w:rsidR="00666544">
        <w:rPr>
          <w:rFonts w:eastAsiaTheme="minorHAnsi"/>
          <w:sz w:val="26"/>
          <w:szCs w:val="26"/>
        </w:rPr>
        <w:t xml:space="preserve"> </w:t>
      </w:r>
      <w:r w:rsidR="00666544" w:rsidRPr="00666544">
        <w:rPr>
          <w:rFonts w:eastAsiaTheme="minorHAnsi"/>
          <w:sz w:val="26"/>
          <w:szCs w:val="26"/>
        </w:rPr>
        <w:t>return on the Company's investment in electric property</w:t>
      </w:r>
      <w:r w:rsidR="00666544">
        <w:rPr>
          <w:rFonts w:eastAsiaTheme="minorHAnsi"/>
          <w:sz w:val="24"/>
          <w:szCs w:val="24"/>
        </w:rPr>
        <w:t>.</w:t>
      </w:r>
    </w:p>
    <w:p w:rsidR="00631765" w:rsidRPr="004B500E" w:rsidRDefault="00631765" w:rsidP="00666544">
      <w:pPr>
        <w:widowControl/>
        <w:autoSpaceDE w:val="0"/>
        <w:autoSpaceDN w:val="0"/>
        <w:adjustRightInd w:val="0"/>
        <w:spacing w:line="360" w:lineRule="auto"/>
        <w:ind w:firstLine="1440"/>
        <w:rPr>
          <w:rFonts w:eastAsiaTheme="minorHAnsi"/>
          <w:sz w:val="26"/>
          <w:szCs w:val="26"/>
        </w:rPr>
      </w:pPr>
    </w:p>
    <w:p w:rsidR="00093045" w:rsidRPr="004B500E" w:rsidRDefault="00631765" w:rsidP="004B500E">
      <w:pPr>
        <w:widowControl/>
        <w:autoSpaceDE w:val="0"/>
        <w:autoSpaceDN w:val="0"/>
        <w:adjustRightInd w:val="0"/>
        <w:spacing w:line="360" w:lineRule="auto"/>
        <w:jc w:val="center"/>
        <w:rPr>
          <w:b/>
          <w:color w:val="333333"/>
          <w:sz w:val="26"/>
          <w:szCs w:val="26"/>
        </w:rPr>
      </w:pPr>
      <w:r w:rsidRPr="004B500E">
        <w:rPr>
          <w:rFonts w:eastAsiaTheme="minorHAnsi"/>
          <w:b/>
          <w:sz w:val="26"/>
          <w:szCs w:val="26"/>
        </w:rPr>
        <w:t>Conclusion</w:t>
      </w:r>
    </w:p>
    <w:p w:rsidR="00666544" w:rsidRDefault="00666544" w:rsidP="00666544">
      <w:pPr>
        <w:widowControl/>
        <w:autoSpaceDE w:val="0"/>
        <w:autoSpaceDN w:val="0"/>
        <w:adjustRightInd w:val="0"/>
        <w:spacing w:line="360" w:lineRule="auto"/>
        <w:ind w:firstLine="1440"/>
        <w:rPr>
          <w:color w:val="333333"/>
          <w:sz w:val="26"/>
          <w:szCs w:val="26"/>
        </w:rPr>
      </w:pPr>
    </w:p>
    <w:p w:rsidR="00666544" w:rsidRPr="00666544" w:rsidRDefault="006418DC" w:rsidP="00666544">
      <w:pPr>
        <w:widowControl/>
        <w:autoSpaceDE w:val="0"/>
        <w:autoSpaceDN w:val="0"/>
        <w:adjustRightInd w:val="0"/>
        <w:spacing w:line="360" w:lineRule="auto"/>
        <w:ind w:firstLine="1440"/>
        <w:rPr>
          <w:rFonts w:eastAsiaTheme="minorHAnsi"/>
          <w:sz w:val="26"/>
          <w:szCs w:val="26"/>
        </w:rPr>
      </w:pPr>
      <w:r>
        <w:rPr>
          <w:color w:val="333333"/>
          <w:sz w:val="26"/>
          <w:szCs w:val="26"/>
        </w:rPr>
        <w:t xml:space="preserve">Based on our review of the record and the applicable law, we shall </w:t>
      </w:r>
      <w:r w:rsidR="004F0C0A">
        <w:rPr>
          <w:color w:val="333333"/>
          <w:sz w:val="26"/>
          <w:szCs w:val="26"/>
        </w:rPr>
        <w:t xml:space="preserve">deny the Exceptions of Mr. </w:t>
      </w:r>
      <w:proofErr w:type="spellStart"/>
      <w:r w:rsidR="004F0C0A">
        <w:rPr>
          <w:color w:val="333333"/>
          <w:sz w:val="26"/>
          <w:szCs w:val="26"/>
        </w:rPr>
        <w:t>Gillinder</w:t>
      </w:r>
      <w:proofErr w:type="spellEnd"/>
      <w:r w:rsidR="004F0C0A">
        <w:rPr>
          <w:color w:val="333333"/>
          <w:sz w:val="26"/>
          <w:szCs w:val="26"/>
        </w:rPr>
        <w:t xml:space="preserve">, adopt the Recommended Decision of ALJ Pell, </w:t>
      </w:r>
      <w:r w:rsidR="00963F2A">
        <w:rPr>
          <w:color w:val="333333"/>
          <w:sz w:val="26"/>
          <w:szCs w:val="26"/>
        </w:rPr>
        <w:t>and grant the Petition</w:t>
      </w:r>
      <w:r w:rsidR="004F0C0A">
        <w:rPr>
          <w:color w:val="333333"/>
          <w:sz w:val="26"/>
          <w:szCs w:val="26"/>
        </w:rPr>
        <w:t xml:space="preserve">, all consistent with this Opinion and Order; </w:t>
      </w:r>
      <w:r w:rsidR="009D7F85">
        <w:rPr>
          <w:b/>
          <w:color w:val="333333"/>
          <w:sz w:val="26"/>
          <w:szCs w:val="26"/>
        </w:rPr>
        <w:t>THEREFORE,</w:t>
      </w:r>
      <w:r w:rsidR="009D7F85">
        <w:rPr>
          <w:color w:val="333333"/>
          <w:sz w:val="26"/>
          <w:szCs w:val="26"/>
        </w:rPr>
        <w:t xml:space="preserve">  </w:t>
      </w:r>
    </w:p>
    <w:p w:rsidR="00E42232" w:rsidRPr="00006F35" w:rsidRDefault="00E42232" w:rsidP="00E42232">
      <w:pPr>
        <w:spacing w:line="360" w:lineRule="auto"/>
        <w:ind w:firstLine="1440"/>
        <w:rPr>
          <w:b/>
          <w:sz w:val="26"/>
          <w:szCs w:val="26"/>
        </w:rPr>
      </w:pPr>
    </w:p>
    <w:p w:rsidR="00CA43A5" w:rsidRPr="00CA43A5" w:rsidRDefault="00CA43A5" w:rsidP="004B500E">
      <w:pPr>
        <w:spacing w:line="360" w:lineRule="auto"/>
        <w:ind w:firstLine="1440"/>
        <w:rPr>
          <w:b/>
          <w:sz w:val="26"/>
          <w:szCs w:val="26"/>
        </w:rPr>
      </w:pPr>
      <w:r w:rsidRPr="00CA43A5">
        <w:rPr>
          <w:b/>
          <w:sz w:val="26"/>
          <w:szCs w:val="26"/>
        </w:rPr>
        <w:t>IT IS ORDERED:</w:t>
      </w:r>
    </w:p>
    <w:p w:rsidR="00CA43A5" w:rsidRDefault="00CA43A5" w:rsidP="008F2399">
      <w:pPr>
        <w:spacing w:line="360" w:lineRule="auto"/>
        <w:rPr>
          <w:sz w:val="26"/>
          <w:szCs w:val="26"/>
        </w:rPr>
      </w:pPr>
    </w:p>
    <w:p w:rsidR="00ED70EE" w:rsidRDefault="00ED70EE" w:rsidP="004B500E">
      <w:pPr>
        <w:spacing w:line="360" w:lineRule="auto"/>
        <w:ind w:firstLine="1440"/>
        <w:rPr>
          <w:sz w:val="26"/>
          <w:szCs w:val="26"/>
        </w:rPr>
      </w:pPr>
      <w:r>
        <w:rPr>
          <w:sz w:val="26"/>
          <w:szCs w:val="26"/>
        </w:rPr>
        <w:t>1.</w:t>
      </w:r>
      <w:r>
        <w:rPr>
          <w:sz w:val="26"/>
          <w:szCs w:val="26"/>
        </w:rPr>
        <w:tab/>
        <w:t xml:space="preserve">That the Exceptions of Charles </w:t>
      </w:r>
      <w:proofErr w:type="spellStart"/>
      <w:r>
        <w:rPr>
          <w:sz w:val="26"/>
          <w:szCs w:val="26"/>
        </w:rPr>
        <w:t>Gillinder</w:t>
      </w:r>
      <w:proofErr w:type="spellEnd"/>
      <w:r>
        <w:rPr>
          <w:sz w:val="26"/>
          <w:szCs w:val="26"/>
        </w:rPr>
        <w:t xml:space="preserve"> to the Recommended Decision of Administrative Law Judge Christopher P. Pell are denied.  </w:t>
      </w:r>
    </w:p>
    <w:p w:rsidR="00ED70EE" w:rsidRDefault="00ED70EE" w:rsidP="004B500E">
      <w:pPr>
        <w:spacing w:line="360" w:lineRule="auto"/>
        <w:ind w:firstLine="1440"/>
        <w:rPr>
          <w:sz w:val="26"/>
          <w:szCs w:val="26"/>
        </w:rPr>
      </w:pPr>
    </w:p>
    <w:p w:rsidR="00026226" w:rsidRDefault="00ED70EE" w:rsidP="004B500E">
      <w:pPr>
        <w:spacing w:line="360" w:lineRule="auto"/>
        <w:ind w:firstLine="1440"/>
        <w:rPr>
          <w:sz w:val="26"/>
          <w:szCs w:val="26"/>
        </w:rPr>
      </w:pPr>
      <w:r>
        <w:rPr>
          <w:sz w:val="26"/>
          <w:szCs w:val="26"/>
        </w:rPr>
        <w:t>2.</w:t>
      </w:r>
      <w:r>
        <w:rPr>
          <w:sz w:val="26"/>
          <w:szCs w:val="26"/>
        </w:rPr>
        <w:tab/>
        <w:t xml:space="preserve">That </w:t>
      </w:r>
      <w:r w:rsidR="00026226" w:rsidRPr="00026226">
        <w:rPr>
          <w:sz w:val="26"/>
          <w:szCs w:val="26"/>
        </w:rPr>
        <w:t>the Recommended Decision of Administrative Law Judge Christopher P. Pell, dated August 8, 2014</w:t>
      </w:r>
      <w:r>
        <w:rPr>
          <w:sz w:val="26"/>
          <w:szCs w:val="26"/>
        </w:rPr>
        <w:t>, is adopted</w:t>
      </w:r>
      <w:r w:rsidR="00026226">
        <w:rPr>
          <w:sz w:val="26"/>
          <w:szCs w:val="26"/>
        </w:rPr>
        <w:t>.</w:t>
      </w:r>
    </w:p>
    <w:p w:rsidR="00ED70EE" w:rsidRDefault="00ED70EE" w:rsidP="004B500E">
      <w:pPr>
        <w:spacing w:line="360" w:lineRule="auto"/>
        <w:ind w:firstLine="1440"/>
        <w:rPr>
          <w:sz w:val="26"/>
          <w:szCs w:val="26"/>
        </w:rPr>
      </w:pPr>
    </w:p>
    <w:p w:rsidR="00E224AD" w:rsidRDefault="00963F2A" w:rsidP="004F65AB">
      <w:pPr>
        <w:widowControl/>
        <w:spacing w:line="360" w:lineRule="auto"/>
        <w:ind w:firstLine="1440"/>
        <w:rPr>
          <w:sz w:val="26"/>
          <w:szCs w:val="26"/>
        </w:rPr>
      </w:pPr>
      <w:r>
        <w:rPr>
          <w:sz w:val="26"/>
          <w:szCs w:val="26"/>
        </w:rPr>
        <w:t>3.</w:t>
      </w:r>
      <w:r>
        <w:rPr>
          <w:sz w:val="26"/>
          <w:szCs w:val="26"/>
        </w:rPr>
        <w:tab/>
        <w:t xml:space="preserve">That </w:t>
      </w:r>
      <w:r w:rsidR="00026226" w:rsidRPr="00026226">
        <w:rPr>
          <w:sz w:val="26"/>
          <w:szCs w:val="26"/>
        </w:rPr>
        <w:t xml:space="preserve">the </w:t>
      </w:r>
      <w:r w:rsidRPr="004F09E8">
        <w:rPr>
          <w:sz w:val="26"/>
          <w:szCs w:val="26"/>
        </w:rPr>
        <w:t>Joint Petition for Settlement of Rate Proceeding</w:t>
      </w:r>
      <w:r>
        <w:rPr>
          <w:sz w:val="26"/>
          <w:szCs w:val="26"/>
        </w:rPr>
        <w:t>, s</w:t>
      </w:r>
      <w:r w:rsidRPr="004F09E8">
        <w:rPr>
          <w:sz w:val="26"/>
          <w:szCs w:val="26"/>
        </w:rPr>
        <w:t>igned by Pike</w:t>
      </w:r>
      <w:r>
        <w:rPr>
          <w:sz w:val="26"/>
          <w:szCs w:val="26"/>
        </w:rPr>
        <w:t xml:space="preserve"> County</w:t>
      </w:r>
      <w:r w:rsidR="007416AC">
        <w:rPr>
          <w:sz w:val="26"/>
          <w:szCs w:val="26"/>
        </w:rPr>
        <w:t xml:space="preserve"> Light &amp; Power</w:t>
      </w:r>
      <w:r w:rsidRPr="004F09E8">
        <w:rPr>
          <w:sz w:val="26"/>
          <w:szCs w:val="26"/>
        </w:rPr>
        <w:t xml:space="preserve">, </w:t>
      </w:r>
      <w:r>
        <w:rPr>
          <w:sz w:val="26"/>
          <w:szCs w:val="26"/>
        </w:rPr>
        <w:t>the Office of Consumer Advocate</w:t>
      </w:r>
      <w:r w:rsidRPr="004F09E8">
        <w:rPr>
          <w:sz w:val="26"/>
          <w:szCs w:val="26"/>
        </w:rPr>
        <w:t>,</w:t>
      </w:r>
      <w:r>
        <w:rPr>
          <w:sz w:val="26"/>
          <w:szCs w:val="26"/>
        </w:rPr>
        <w:t xml:space="preserve"> the Bureau of Investigation and Enforcement,</w:t>
      </w:r>
      <w:r w:rsidRPr="004F09E8">
        <w:rPr>
          <w:sz w:val="26"/>
          <w:szCs w:val="26"/>
        </w:rPr>
        <w:t xml:space="preserve"> and</w:t>
      </w:r>
      <w:r>
        <w:rPr>
          <w:sz w:val="26"/>
          <w:szCs w:val="26"/>
        </w:rPr>
        <w:t xml:space="preserve"> the Office of Small Business</w:t>
      </w:r>
      <w:r w:rsidRPr="004F09E8">
        <w:rPr>
          <w:sz w:val="26"/>
          <w:szCs w:val="26"/>
        </w:rPr>
        <w:t xml:space="preserve"> </w:t>
      </w:r>
      <w:r>
        <w:rPr>
          <w:sz w:val="26"/>
          <w:szCs w:val="26"/>
        </w:rPr>
        <w:t>Advocate, is approved without modification.</w:t>
      </w:r>
    </w:p>
    <w:p w:rsidR="00E224AD" w:rsidRDefault="00E224AD" w:rsidP="004F65AB">
      <w:pPr>
        <w:spacing w:line="360" w:lineRule="auto"/>
        <w:ind w:firstLine="1440"/>
        <w:rPr>
          <w:sz w:val="26"/>
          <w:szCs w:val="26"/>
        </w:rPr>
      </w:pPr>
    </w:p>
    <w:p w:rsidR="00E224AD" w:rsidRPr="00026226" w:rsidRDefault="00E224AD" w:rsidP="004B500E">
      <w:pPr>
        <w:widowControl/>
        <w:spacing w:line="360" w:lineRule="auto"/>
        <w:ind w:firstLine="1440"/>
        <w:contextualSpacing/>
        <w:rPr>
          <w:sz w:val="26"/>
          <w:szCs w:val="26"/>
        </w:rPr>
      </w:pPr>
      <w:r>
        <w:rPr>
          <w:sz w:val="26"/>
          <w:szCs w:val="26"/>
        </w:rPr>
        <w:t>4.</w:t>
      </w:r>
      <w:r>
        <w:rPr>
          <w:sz w:val="26"/>
          <w:szCs w:val="26"/>
        </w:rPr>
        <w:tab/>
      </w:r>
      <w:r w:rsidRPr="00026226">
        <w:rPr>
          <w:spacing w:val="-3"/>
          <w:sz w:val="26"/>
          <w:szCs w:val="26"/>
        </w:rPr>
        <w:t xml:space="preserve">That the Complaint filed by the Office of Consumer Advocate at Docket No. </w:t>
      </w:r>
      <w:r w:rsidRPr="00026226">
        <w:rPr>
          <w:sz w:val="26"/>
          <w:szCs w:val="26"/>
        </w:rPr>
        <w:t>C-2014-2405317</w:t>
      </w:r>
      <w:r w:rsidRPr="00026226">
        <w:rPr>
          <w:spacing w:val="-3"/>
          <w:sz w:val="26"/>
          <w:szCs w:val="26"/>
        </w:rPr>
        <w:t xml:space="preserve"> be deemed satisfied</w:t>
      </w:r>
      <w:r>
        <w:rPr>
          <w:spacing w:val="-3"/>
          <w:sz w:val="26"/>
          <w:szCs w:val="26"/>
        </w:rPr>
        <w:t>.</w:t>
      </w:r>
    </w:p>
    <w:p w:rsidR="00E224AD" w:rsidRPr="00026226" w:rsidRDefault="00E224AD" w:rsidP="00E224AD">
      <w:pPr>
        <w:spacing w:line="360" w:lineRule="auto"/>
        <w:contextualSpacing/>
        <w:rPr>
          <w:sz w:val="26"/>
          <w:szCs w:val="26"/>
        </w:rPr>
      </w:pPr>
    </w:p>
    <w:p w:rsidR="00E224AD" w:rsidRPr="00026226" w:rsidRDefault="00E224AD" w:rsidP="004B500E">
      <w:pPr>
        <w:widowControl/>
        <w:spacing w:line="360" w:lineRule="auto"/>
        <w:ind w:firstLine="1440"/>
        <w:contextualSpacing/>
        <w:rPr>
          <w:sz w:val="26"/>
          <w:szCs w:val="26"/>
        </w:rPr>
      </w:pPr>
      <w:r>
        <w:rPr>
          <w:sz w:val="26"/>
          <w:szCs w:val="26"/>
        </w:rPr>
        <w:lastRenderedPageBreak/>
        <w:t>5.</w:t>
      </w:r>
      <w:r>
        <w:rPr>
          <w:sz w:val="26"/>
          <w:szCs w:val="26"/>
        </w:rPr>
        <w:tab/>
      </w:r>
      <w:r w:rsidRPr="00026226">
        <w:rPr>
          <w:sz w:val="26"/>
          <w:szCs w:val="26"/>
        </w:rPr>
        <w:t>That the Complaint filed by the Office of Small Business Advocate at Docket No. C-2014</w:t>
      </w:r>
      <w:r w:rsidRPr="00026226">
        <w:rPr>
          <w:color w:val="000000"/>
          <w:sz w:val="26"/>
          <w:szCs w:val="26"/>
        </w:rPr>
        <w:t>-2408729 be deemed satisfied</w:t>
      </w:r>
      <w:r>
        <w:rPr>
          <w:color w:val="000000"/>
          <w:sz w:val="26"/>
          <w:szCs w:val="26"/>
        </w:rPr>
        <w:t>.</w:t>
      </w:r>
    </w:p>
    <w:p w:rsidR="00E224AD" w:rsidRPr="00026226" w:rsidRDefault="00E224AD" w:rsidP="00E224AD">
      <w:pPr>
        <w:spacing w:line="360" w:lineRule="auto"/>
        <w:contextualSpacing/>
        <w:rPr>
          <w:sz w:val="26"/>
          <w:szCs w:val="26"/>
        </w:rPr>
      </w:pPr>
    </w:p>
    <w:p w:rsidR="00E224AD" w:rsidRDefault="00E224AD" w:rsidP="004B500E">
      <w:pPr>
        <w:widowControl/>
        <w:spacing w:line="360" w:lineRule="auto"/>
        <w:ind w:firstLine="1440"/>
        <w:contextualSpacing/>
        <w:rPr>
          <w:sz w:val="26"/>
          <w:szCs w:val="26"/>
        </w:rPr>
      </w:pPr>
      <w:r>
        <w:rPr>
          <w:sz w:val="26"/>
          <w:szCs w:val="26"/>
        </w:rPr>
        <w:t>6.</w:t>
      </w:r>
      <w:r>
        <w:rPr>
          <w:sz w:val="26"/>
          <w:szCs w:val="26"/>
        </w:rPr>
        <w:tab/>
      </w:r>
      <w:r w:rsidRPr="00026226">
        <w:rPr>
          <w:sz w:val="26"/>
          <w:szCs w:val="26"/>
        </w:rPr>
        <w:t xml:space="preserve">That the Complaint filed by </w:t>
      </w:r>
      <w:r w:rsidRPr="00026226">
        <w:rPr>
          <w:color w:val="000000"/>
          <w:sz w:val="26"/>
          <w:szCs w:val="26"/>
        </w:rPr>
        <w:t xml:space="preserve">Milford Township at Docket No. </w:t>
      </w:r>
      <w:r>
        <w:rPr>
          <w:color w:val="000000"/>
          <w:sz w:val="26"/>
          <w:szCs w:val="26"/>
        </w:rPr>
        <w:br/>
      </w:r>
      <w:r w:rsidRPr="00026226">
        <w:rPr>
          <w:sz w:val="26"/>
          <w:szCs w:val="26"/>
        </w:rPr>
        <w:t xml:space="preserve">C-2014-2408736 </w:t>
      </w:r>
      <w:proofErr w:type="gramStart"/>
      <w:r w:rsidRPr="00026226">
        <w:rPr>
          <w:sz w:val="26"/>
          <w:szCs w:val="26"/>
        </w:rPr>
        <w:t>be</w:t>
      </w:r>
      <w:proofErr w:type="gramEnd"/>
      <w:r w:rsidRPr="00026226">
        <w:rPr>
          <w:sz w:val="26"/>
          <w:szCs w:val="26"/>
        </w:rPr>
        <w:t xml:space="preserve"> dismissed</w:t>
      </w:r>
      <w:r>
        <w:rPr>
          <w:sz w:val="26"/>
          <w:szCs w:val="26"/>
        </w:rPr>
        <w:t>.</w:t>
      </w:r>
    </w:p>
    <w:p w:rsidR="00E224AD" w:rsidRDefault="00E224AD" w:rsidP="004B500E">
      <w:pPr>
        <w:widowControl/>
        <w:spacing w:line="360" w:lineRule="auto"/>
        <w:ind w:firstLine="1440"/>
        <w:contextualSpacing/>
        <w:rPr>
          <w:sz w:val="26"/>
          <w:szCs w:val="26"/>
        </w:rPr>
      </w:pPr>
    </w:p>
    <w:p w:rsidR="00E224AD" w:rsidRDefault="00E224AD" w:rsidP="004B500E">
      <w:pPr>
        <w:widowControl/>
        <w:spacing w:line="360" w:lineRule="auto"/>
        <w:ind w:firstLine="1440"/>
        <w:contextualSpacing/>
        <w:rPr>
          <w:sz w:val="26"/>
          <w:szCs w:val="26"/>
        </w:rPr>
      </w:pPr>
      <w:r>
        <w:rPr>
          <w:sz w:val="26"/>
          <w:szCs w:val="26"/>
        </w:rPr>
        <w:t>7.</w:t>
      </w:r>
      <w:r>
        <w:rPr>
          <w:sz w:val="26"/>
          <w:szCs w:val="26"/>
        </w:rPr>
        <w:tab/>
      </w:r>
      <w:r w:rsidRPr="00026226">
        <w:rPr>
          <w:sz w:val="26"/>
          <w:szCs w:val="26"/>
        </w:rPr>
        <w:t xml:space="preserve">That the Complaint filed by </w:t>
      </w:r>
      <w:r>
        <w:rPr>
          <w:sz w:val="26"/>
          <w:szCs w:val="26"/>
        </w:rPr>
        <w:t xml:space="preserve">Charles </w:t>
      </w:r>
      <w:proofErr w:type="spellStart"/>
      <w:r>
        <w:rPr>
          <w:sz w:val="26"/>
          <w:szCs w:val="26"/>
        </w:rPr>
        <w:t>Gillinder</w:t>
      </w:r>
      <w:proofErr w:type="spellEnd"/>
      <w:r>
        <w:rPr>
          <w:sz w:val="26"/>
          <w:szCs w:val="26"/>
        </w:rPr>
        <w:t xml:space="preserve"> </w:t>
      </w:r>
      <w:r w:rsidRPr="00026226">
        <w:rPr>
          <w:color w:val="000000"/>
          <w:sz w:val="26"/>
          <w:szCs w:val="26"/>
        </w:rPr>
        <w:t xml:space="preserve">at Docket No. </w:t>
      </w:r>
      <w:r>
        <w:rPr>
          <w:color w:val="000000"/>
          <w:sz w:val="26"/>
          <w:szCs w:val="26"/>
        </w:rPr>
        <w:br/>
      </w:r>
      <w:r>
        <w:rPr>
          <w:sz w:val="26"/>
          <w:szCs w:val="26"/>
        </w:rPr>
        <w:t>C-2014-</w:t>
      </w:r>
      <w:r w:rsidRPr="0077040D">
        <w:rPr>
          <w:sz w:val="26"/>
          <w:szCs w:val="26"/>
        </w:rPr>
        <w:t>2438396</w:t>
      </w:r>
      <w:r>
        <w:rPr>
          <w:sz w:val="26"/>
          <w:szCs w:val="26"/>
        </w:rPr>
        <w:t xml:space="preserve"> </w:t>
      </w:r>
      <w:proofErr w:type="gramStart"/>
      <w:r w:rsidRPr="00026226">
        <w:rPr>
          <w:sz w:val="26"/>
          <w:szCs w:val="26"/>
        </w:rPr>
        <w:t>be</w:t>
      </w:r>
      <w:proofErr w:type="gramEnd"/>
      <w:r w:rsidRPr="00026226">
        <w:rPr>
          <w:sz w:val="26"/>
          <w:szCs w:val="26"/>
        </w:rPr>
        <w:t xml:space="preserve"> dismissed</w:t>
      </w:r>
      <w:r>
        <w:rPr>
          <w:sz w:val="26"/>
          <w:szCs w:val="26"/>
        </w:rPr>
        <w:t>.</w:t>
      </w:r>
      <w:r w:rsidRPr="00026226">
        <w:rPr>
          <w:sz w:val="26"/>
          <w:szCs w:val="26"/>
        </w:rPr>
        <w:t xml:space="preserve"> </w:t>
      </w:r>
    </w:p>
    <w:p w:rsidR="00E224AD" w:rsidRDefault="00E224AD" w:rsidP="004B500E">
      <w:pPr>
        <w:spacing w:line="360" w:lineRule="auto"/>
        <w:ind w:firstLine="1440"/>
        <w:rPr>
          <w:sz w:val="26"/>
          <w:szCs w:val="26"/>
        </w:rPr>
      </w:pPr>
    </w:p>
    <w:p w:rsidR="007416AC" w:rsidRDefault="00E224AD" w:rsidP="004F65AB">
      <w:pPr>
        <w:spacing w:line="360" w:lineRule="auto"/>
        <w:ind w:firstLine="1440"/>
        <w:rPr>
          <w:sz w:val="26"/>
          <w:szCs w:val="26"/>
        </w:rPr>
      </w:pPr>
      <w:r>
        <w:rPr>
          <w:sz w:val="26"/>
          <w:szCs w:val="26"/>
        </w:rPr>
        <w:t>8.</w:t>
      </w:r>
      <w:r w:rsidR="0074100E">
        <w:rPr>
          <w:sz w:val="26"/>
          <w:szCs w:val="26"/>
        </w:rPr>
        <w:tab/>
      </w:r>
      <w:r w:rsidR="00026226">
        <w:rPr>
          <w:sz w:val="26"/>
          <w:szCs w:val="26"/>
        </w:rPr>
        <w:t xml:space="preserve">That </w:t>
      </w:r>
      <w:r w:rsidR="007416AC">
        <w:rPr>
          <w:sz w:val="26"/>
          <w:szCs w:val="26"/>
        </w:rPr>
        <w:t xml:space="preserve">Pike County Light &amp; Power shall not place into effect the rates, rules and regulations contained in Supplement No. 61 to Electric – PA. </w:t>
      </w:r>
      <w:proofErr w:type="gramStart"/>
      <w:r w:rsidR="007416AC">
        <w:rPr>
          <w:sz w:val="26"/>
          <w:szCs w:val="26"/>
        </w:rPr>
        <w:t>P.U.C. No. 8, the same having been found to be unjust, reasonable and therefore unlawful.</w:t>
      </w:r>
      <w:proofErr w:type="gramEnd"/>
    </w:p>
    <w:p w:rsidR="007416AC" w:rsidRDefault="007416AC" w:rsidP="004F65AB">
      <w:pPr>
        <w:spacing w:line="360" w:lineRule="auto"/>
        <w:ind w:firstLine="1440"/>
        <w:rPr>
          <w:sz w:val="26"/>
          <w:szCs w:val="26"/>
        </w:rPr>
      </w:pPr>
    </w:p>
    <w:p w:rsidR="00026226" w:rsidRPr="00026226" w:rsidRDefault="007416AC" w:rsidP="004F65AB">
      <w:pPr>
        <w:spacing w:line="360" w:lineRule="auto"/>
        <w:ind w:firstLine="1440"/>
        <w:rPr>
          <w:sz w:val="26"/>
          <w:szCs w:val="26"/>
        </w:rPr>
      </w:pPr>
      <w:r>
        <w:rPr>
          <w:sz w:val="26"/>
          <w:szCs w:val="26"/>
        </w:rPr>
        <w:t>9.</w:t>
      </w:r>
      <w:r>
        <w:rPr>
          <w:sz w:val="26"/>
          <w:szCs w:val="26"/>
        </w:rPr>
        <w:tab/>
        <w:t xml:space="preserve">That </w:t>
      </w:r>
      <w:r w:rsidR="00026226">
        <w:rPr>
          <w:sz w:val="26"/>
          <w:szCs w:val="26"/>
        </w:rPr>
        <w:t>the rat</w:t>
      </w:r>
      <w:r w:rsidR="00026226" w:rsidRPr="00026226">
        <w:rPr>
          <w:sz w:val="26"/>
          <w:szCs w:val="26"/>
        </w:rPr>
        <w:t xml:space="preserve">es, terms and conditions contained in the Joint Petition </w:t>
      </w:r>
      <w:r w:rsidR="00E570A2">
        <w:rPr>
          <w:sz w:val="26"/>
          <w:szCs w:val="26"/>
        </w:rPr>
        <w:t>f</w:t>
      </w:r>
      <w:r w:rsidR="00026226" w:rsidRPr="00026226">
        <w:rPr>
          <w:sz w:val="26"/>
          <w:szCs w:val="26"/>
        </w:rPr>
        <w:t xml:space="preserve">or Settlement </w:t>
      </w:r>
      <w:r w:rsidR="0074100E">
        <w:rPr>
          <w:sz w:val="26"/>
          <w:szCs w:val="26"/>
        </w:rPr>
        <w:t>o</w:t>
      </w:r>
      <w:r w:rsidR="00026226" w:rsidRPr="00026226">
        <w:rPr>
          <w:sz w:val="26"/>
          <w:szCs w:val="26"/>
        </w:rPr>
        <w:t xml:space="preserve">f Rate </w:t>
      </w:r>
      <w:r w:rsidR="0074100E">
        <w:rPr>
          <w:sz w:val="26"/>
          <w:szCs w:val="26"/>
        </w:rPr>
        <w:t xml:space="preserve">Proceeding </w:t>
      </w:r>
      <w:r w:rsidR="00026226" w:rsidRPr="00026226">
        <w:rPr>
          <w:sz w:val="26"/>
          <w:szCs w:val="26"/>
        </w:rPr>
        <w:t>at Docket No. R-2013-2397237 submitted by Pike County Light &amp; Power</w:t>
      </w:r>
      <w:r w:rsidR="00026226" w:rsidRPr="00026226">
        <w:rPr>
          <w:spacing w:val="-3"/>
          <w:sz w:val="26"/>
          <w:szCs w:val="26"/>
        </w:rPr>
        <w:t xml:space="preserve">, the Bureau of Investigation and Enforcement, the Office of Consumer Advocate, and the Office of Small </w:t>
      </w:r>
      <w:r w:rsidR="00B54B76">
        <w:rPr>
          <w:spacing w:val="-3"/>
          <w:sz w:val="26"/>
          <w:szCs w:val="26"/>
        </w:rPr>
        <w:t>B</w:t>
      </w:r>
      <w:r w:rsidR="00026226" w:rsidRPr="00026226">
        <w:rPr>
          <w:spacing w:val="-3"/>
          <w:sz w:val="26"/>
          <w:szCs w:val="26"/>
        </w:rPr>
        <w:t>usiness Advocate</w:t>
      </w:r>
      <w:r w:rsidR="00026226" w:rsidRPr="00026226">
        <w:rPr>
          <w:sz w:val="26"/>
          <w:szCs w:val="26"/>
        </w:rPr>
        <w:t xml:space="preserve"> be approved and adopted without modification</w:t>
      </w:r>
      <w:r w:rsidR="00026226">
        <w:rPr>
          <w:sz w:val="26"/>
          <w:szCs w:val="26"/>
        </w:rPr>
        <w:t>.</w:t>
      </w:r>
    </w:p>
    <w:p w:rsidR="00026226" w:rsidRPr="00026226" w:rsidRDefault="00026226" w:rsidP="00026226">
      <w:pPr>
        <w:spacing w:after="200" w:line="276" w:lineRule="auto"/>
        <w:ind w:left="720"/>
        <w:contextualSpacing/>
        <w:jc w:val="both"/>
        <w:rPr>
          <w:sz w:val="26"/>
          <w:szCs w:val="26"/>
        </w:rPr>
      </w:pPr>
    </w:p>
    <w:p w:rsidR="00026226" w:rsidRPr="00026226" w:rsidRDefault="00026226" w:rsidP="004B500E">
      <w:pPr>
        <w:widowControl/>
        <w:spacing w:line="360" w:lineRule="auto"/>
        <w:ind w:firstLine="1440"/>
        <w:contextualSpacing/>
        <w:rPr>
          <w:sz w:val="26"/>
          <w:szCs w:val="26"/>
        </w:rPr>
      </w:pPr>
      <w:r>
        <w:rPr>
          <w:sz w:val="26"/>
          <w:szCs w:val="26"/>
        </w:rPr>
        <w:t xml:space="preserve"> </w:t>
      </w:r>
      <w:r w:rsidR="00E570A2">
        <w:rPr>
          <w:sz w:val="26"/>
          <w:szCs w:val="26"/>
        </w:rPr>
        <w:t>10.</w:t>
      </w:r>
      <w:r w:rsidR="00E570A2">
        <w:rPr>
          <w:sz w:val="26"/>
          <w:szCs w:val="26"/>
        </w:rPr>
        <w:tab/>
      </w:r>
      <w:r w:rsidRPr="00026226">
        <w:rPr>
          <w:sz w:val="26"/>
          <w:szCs w:val="26"/>
        </w:rPr>
        <w:t>That</w:t>
      </w:r>
      <w:r w:rsidR="00E570A2">
        <w:rPr>
          <w:sz w:val="26"/>
          <w:szCs w:val="26"/>
        </w:rPr>
        <w:t>,</w:t>
      </w:r>
      <w:r w:rsidRPr="00026226">
        <w:rPr>
          <w:sz w:val="26"/>
          <w:szCs w:val="26"/>
        </w:rPr>
        <w:t xml:space="preserve"> upon entry of the Order</w:t>
      </w:r>
      <w:r>
        <w:rPr>
          <w:sz w:val="26"/>
          <w:szCs w:val="26"/>
        </w:rPr>
        <w:t xml:space="preserve"> in this docket,</w:t>
      </w:r>
      <w:r w:rsidRPr="00026226">
        <w:rPr>
          <w:sz w:val="26"/>
          <w:szCs w:val="26"/>
        </w:rPr>
        <w:t xml:space="preserve"> Pike County Light &amp; Power </w:t>
      </w:r>
      <w:r>
        <w:rPr>
          <w:sz w:val="26"/>
          <w:szCs w:val="26"/>
        </w:rPr>
        <w:t xml:space="preserve">shall </w:t>
      </w:r>
      <w:r w:rsidRPr="00026226">
        <w:rPr>
          <w:sz w:val="26"/>
          <w:szCs w:val="26"/>
        </w:rPr>
        <w:t xml:space="preserve">be permitted to file a tariff supplement in substantially the same form as that attached to the Joint Petition </w:t>
      </w:r>
      <w:r w:rsidR="00E570A2">
        <w:rPr>
          <w:sz w:val="26"/>
          <w:szCs w:val="26"/>
        </w:rPr>
        <w:t xml:space="preserve">for Settlement of Rate Proceeding </w:t>
      </w:r>
      <w:r w:rsidRPr="00026226">
        <w:rPr>
          <w:sz w:val="26"/>
          <w:szCs w:val="26"/>
        </w:rPr>
        <w:t>as Appendix A</w:t>
      </w:r>
      <w:r>
        <w:rPr>
          <w:sz w:val="26"/>
          <w:szCs w:val="26"/>
        </w:rPr>
        <w:t>,</w:t>
      </w:r>
      <w:r w:rsidRPr="00026226">
        <w:rPr>
          <w:sz w:val="26"/>
          <w:szCs w:val="26"/>
        </w:rPr>
        <w:t xml:space="preserve"> to become effective upon one day’s notice for service rendered on and after </w:t>
      </w:r>
      <w:r w:rsidR="00926986">
        <w:rPr>
          <w:sz w:val="26"/>
          <w:szCs w:val="26"/>
        </w:rPr>
        <w:t>the date this Order is entered</w:t>
      </w:r>
      <w:r w:rsidRPr="00026226">
        <w:rPr>
          <w:sz w:val="26"/>
          <w:szCs w:val="26"/>
        </w:rPr>
        <w:t>, w</w:t>
      </w:r>
      <w:r w:rsidR="00926986">
        <w:rPr>
          <w:sz w:val="26"/>
          <w:szCs w:val="26"/>
        </w:rPr>
        <w:t>hich</w:t>
      </w:r>
      <w:r w:rsidRPr="00026226">
        <w:rPr>
          <w:sz w:val="26"/>
          <w:szCs w:val="26"/>
        </w:rPr>
        <w:t xml:space="preserve"> tariff supplement, </w:t>
      </w:r>
      <w:r w:rsidRPr="00026226">
        <w:rPr>
          <w:i/>
          <w:sz w:val="26"/>
          <w:szCs w:val="26"/>
        </w:rPr>
        <w:t>inter</w:t>
      </w:r>
      <w:r w:rsidRPr="00026226">
        <w:rPr>
          <w:sz w:val="26"/>
          <w:szCs w:val="26"/>
        </w:rPr>
        <w:t xml:space="preserve"> </w:t>
      </w:r>
      <w:r w:rsidRPr="00026226">
        <w:rPr>
          <w:i/>
          <w:sz w:val="26"/>
          <w:szCs w:val="26"/>
        </w:rPr>
        <w:t>alia</w:t>
      </w:r>
      <w:r w:rsidRPr="00026226">
        <w:rPr>
          <w:sz w:val="26"/>
          <w:szCs w:val="26"/>
        </w:rPr>
        <w:t>, increases the Company’s rates so as to produce an increase in annual base rate revenues of $1,250,000</w:t>
      </w:r>
      <w:r w:rsidR="00926986">
        <w:rPr>
          <w:sz w:val="26"/>
          <w:szCs w:val="26"/>
        </w:rPr>
        <w:t>.</w:t>
      </w:r>
    </w:p>
    <w:p w:rsidR="00026226" w:rsidRPr="00026226" w:rsidRDefault="00026226" w:rsidP="00026226">
      <w:pPr>
        <w:spacing w:after="200" w:line="276" w:lineRule="auto"/>
        <w:ind w:left="720"/>
        <w:contextualSpacing/>
        <w:jc w:val="both"/>
        <w:rPr>
          <w:sz w:val="26"/>
          <w:szCs w:val="26"/>
        </w:rPr>
      </w:pPr>
    </w:p>
    <w:p w:rsidR="00026226" w:rsidRPr="00026226" w:rsidRDefault="000469D0" w:rsidP="004B500E">
      <w:pPr>
        <w:widowControl/>
        <w:spacing w:line="360" w:lineRule="auto"/>
        <w:ind w:firstLine="1440"/>
        <w:contextualSpacing/>
        <w:rPr>
          <w:sz w:val="26"/>
          <w:szCs w:val="26"/>
        </w:rPr>
      </w:pPr>
      <w:r>
        <w:rPr>
          <w:spacing w:val="-3"/>
          <w:sz w:val="26"/>
          <w:szCs w:val="26"/>
        </w:rPr>
        <w:t>11.</w:t>
      </w:r>
      <w:r>
        <w:rPr>
          <w:spacing w:val="-3"/>
          <w:sz w:val="26"/>
          <w:szCs w:val="26"/>
        </w:rPr>
        <w:tab/>
      </w:r>
      <w:r w:rsidR="00026226" w:rsidRPr="00026226">
        <w:rPr>
          <w:sz w:val="26"/>
          <w:szCs w:val="26"/>
        </w:rPr>
        <w:t>That</w:t>
      </w:r>
      <w:r w:rsidR="00B54B76">
        <w:rPr>
          <w:sz w:val="26"/>
          <w:szCs w:val="26"/>
        </w:rPr>
        <w:t xml:space="preserve">, upon acceptance and approval by the Commission of the tariff supplement and supporting data filed by Pike County Light &amp; Power as being consistent </w:t>
      </w:r>
      <w:r w:rsidR="00B54B76">
        <w:rPr>
          <w:sz w:val="26"/>
          <w:szCs w:val="26"/>
        </w:rPr>
        <w:lastRenderedPageBreak/>
        <w:t>with the Joint Petition for Settlement of Rate Proceedings, th</w:t>
      </w:r>
      <w:r w:rsidR="00026226" w:rsidRPr="00026226">
        <w:rPr>
          <w:sz w:val="26"/>
          <w:szCs w:val="26"/>
        </w:rPr>
        <w:t>e Commission investigation at Docket No. R-2013-2397237 be terminated and marked closed.</w:t>
      </w:r>
    </w:p>
    <w:p w:rsidR="00026226" w:rsidRDefault="00510674" w:rsidP="00026226">
      <w:pPr>
        <w:spacing w:line="480" w:lineRule="auto"/>
        <w:contextualSpacing/>
        <w:jc w:val="both"/>
        <w:rPr>
          <w:sz w:val="26"/>
          <w:szCs w:val="26"/>
        </w:rPr>
      </w:pPr>
      <w:r>
        <w:rPr>
          <w:noProof/>
        </w:rPr>
        <w:drawing>
          <wp:anchor distT="0" distB="0" distL="114300" distR="114300" simplePos="0" relativeHeight="251658240" behindDoc="1" locked="0" layoutInCell="1" allowOverlap="1" wp14:anchorId="18F6B7C0" wp14:editId="4BF3F9C5">
            <wp:simplePos x="0" y="0"/>
            <wp:positionH relativeFrom="column">
              <wp:posOffset>2762250</wp:posOffset>
            </wp:positionH>
            <wp:positionV relativeFrom="paragraph">
              <wp:posOffset>344805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26226" w:rsidRPr="00026226">
        <w:rPr>
          <w:sz w:val="26"/>
          <w:szCs w:val="26"/>
        </w:rPr>
        <w:t xml:space="preserve"> </w:t>
      </w:r>
      <w:r w:rsidR="00026226" w:rsidRPr="00026226">
        <w:rPr>
          <w:sz w:val="26"/>
          <w:szCs w:val="26"/>
        </w:rPr>
        <w:tab/>
      </w:r>
      <w:r w:rsidR="00026226" w:rsidRPr="00026226">
        <w:rPr>
          <w:sz w:val="26"/>
          <w:szCs w:val="26"/>
        </w:rPr>
        <w:tab/>
      </w:r>
    </w:p>
    <w:p w:rsidR="00026226" w:rsidRPr="00026226" w:rsidRDefault="000469D0" w:rsidP="00026226">
      <w:pPr>
        <w:spacing w:line="480" w:lineRule="auto"/>
        <w:contextualSpacing/>
        <w:jc w:val="both"/>
        <w:rPr>
          <w:sz w:val="26"/>
          <w:szCs w:val="26"/>
        </w:rPr>
      </w:pPr>
      <w:r>
        <w:rPr>
          <w:sz w:val="26"/>
          <w:szCs w:val="26"/>
        </w:rPr>
        <w:tab/>
      </w:r>
      <w:r>
        <w:rPr>
          <w:sz w:val="26"/>
          <w:szCs w:val="26"/>
        </w:rPr>
        <w:tab/>
      </w:r>
      <w:r w:rsidR="00026226" w:rsidRPr="00026226">
        <w:rPr>
          <w:sz w:val="26"/>
          <w:szCs w:val="26"/>
        </w:rPr>
        <w:tab/>
      </w:r>
      <w:r w:rsidR="00026226" w:rsidRPr="00026226">
        <w:rPr>
          <w:sz w:val="26"/>
          <w:szCs w:val="26"/>
        </w:rPr>
        <w:tab/>
      </w:r>
      <w:r w:rsidR="00026226" w:rsidRPr="00026226">
        <w:rPr>
          <w:sz w:val="26"/>
          <w:szCs w:val="26"/>
        </w:rPr>
        <w:tab/>
      </w:r>
      <w:r w:rsidR="00026226" w:rsidRPr="00026226">
        <w:rPr>
          <w:sz w:val="26"/>
          <w:szCs w:val="26"/>
        </w:rPr>
        <w:tab/>
      </w:r>
      <w:r w:rsidR="00026226" w:rsidRPr="00026226">
        <w:rPr>
          <w:sz w:val="26"/>
          <w:szCs w:val="26"/>
        </w:rPr>
        <w:tab/>
        <w:t>BY THE COMMISSION</w:t>
      </w:r>
    </w:p>
    <w:p w:rsidR="00026226" w:rsidRPr="00026226" w:rsidRDefault="00026226" w:rsidP="00026226">
      <w:pPr>
        <w:ind w:left="5040"/>
        <w:rPr>
          <w:sz w:val="26"/>
          <w:szCs w:val="26"/>
        </w:rPr>
      </w:pPr>
    </w:p>
    <w:p w:rsidR="00026226" w:rsidRPr="00026226" w:rsidRDefault="00026226" w:rsidP="00026226">
      <w:pPr>
        <w:ind w:left="5040"/>
        <w:rPr>
          <w:sz w:val="26"/>
          <w:szCs w:val="26"/>
        </w:rPr>
      </w:pPr>
    </w:p>
    <w:p w:rsidR="00026226" w:rsidRPr="00026226" w:rsidRDefault="00026226" w:rsidP="00026226">
      <w:pPr>
        <w:ind w:left="5040"/>
        <w:rPr>
          <w:sz w:val="26"/>
          <w:szCs w:val="26"/>
        </w:rPr>
      </w:pPr>
      <w:r w:rsidRPr="00026226">
        <w:rPr>
          <w:sz w:val="26"/>
          <w:szCs w:val="26"/>
        </w:rPr>
        <w:t>Rosemary Chiavetta</w:t>
      </w:r>
    </w:p>
    <w:p w:rsidR="00026226" w:rsidRPr="00026226" w:rsidRDefault="00026226" w:rsidP="00026226">
      <w:pPr>
        <w:ind w:left="5040"/>
        <w:rPr>
          <w:sz w:val="26"/>
          <w:szCs w:val="26"/>
        </w:rPr>
      </w:pPr>
      <w:r w:rsidRPr="00026226">
        <w:rPr>
          <w:sz w:val="26"/>
          <w:szCs w:val="26"/>
        </w:rPr>
        <w:t>Secretary</w:t>
      </w:r>
    </w:p>
    <w:p w:rsidR="00026226" w:rsidRPr="00026226" w:rsidRDefault="00026226" w:rsidP="00026226">
      <w:pPr>
        <w:rPr>
          <w:sz w:val="26"/>
          <w:szCs w:val="26"/>
        </w:rPr>
      </w:pPr>
      <w:r w:rsidRPr="00026226">
        <w:rPr>
          <w:sz w:val="26"/>
          <w:szCs w:val="26"/>
        </w:rPr>
        <w:t>(SEAL)</w:t>
      </w:r>
    </w:p>
    <w:p w:rsidR="00026226" w:rsidRPr="00026226" w:rsidRDefault="00026226" w:rsidP="00026226">
      <w:pPr>
        <w:rPr>
          <w:sz w:val="26"/>
          <w:szCs w:val="26"/>
        </w:rPr>
      </w:pPr>
    </w:p>
    <w:p w:rsidR="00026226" w:rsidRPr="00026226" w:rsidRDefault="00026226" w:rsidP="00026226">
      <w:pPr>
        <w:rPr>
          <w:sz w:val="26"/>
          <w:szCs w:val="26"/>
        </w:rPr>
      </w:pPr>
      <w:r w:rsidRPr="00026226">
        <w:rPr>
          <w:sz w:val="26"/>
          <w:szCs w:val="26"/>
        </w:rPr>
        <w:t>ORDER ADOPTED:</w:t>
      </w:r>
      <w:r w:rsidRPr="00026226">
        <w:rPr>
          <w:sz w:val="26"/>
          <w:szCs w:val="26"/>
        </w:rPr>
        <w:tab/>
      </w:r>
      <w:r>
        <w:rPr>
          <w:sz w:val="26"/>
          <w:szCs w:val="26"/>
        </w:rPr>
        <w:t>September 1</w:t>
      </w:r>
      <w:r w:rsidRPr="00026226">
        <w:rPr>
          <w:sz w:val="26"/>
          <w:szCs w:val="26"/>
        </w:rPr>
        <w:t>1, 2014</w:t>
      </w:r>
    </w:p>
    <w:p w:rsidR="00026226" w:rsidRPr="00026226" w:rsidRDefault="00026226" w:rsidP="00026226">
      <w:pPr>
        <w:rPr>
          <w:sz w:val="26"/>
          <w:szCs w:val="26"/>
        </w:rPr>
      </w:pPr>
    </w:p>
    <w:p w:rsidR="00026226" w:rsidRPr="00026226" w:rsidRDefault="00026226" w:rsidP="00026226">
      <w:pPr>
        <w:rPr>
          <w:sz w:val="26"/>
          <w:szCs w:val="26"/>
        </w:rPr>
      </w:pPr>
      <w:r w:rsidRPr="00026226">
        <w:rPr>
          <w:sz w:val="26"/>
          <w:szCs w:val="26"/>
        </w:rPr>
        <w:t>ORDER ENTERED:</w:t>
      </w:r>
      <w:r w:rsidRPr="00026226">
        <w:rPr>
          <w:sz w:val="26"/>
          <w:szCs w:val="26"/>
        </w:rPr>
        <w:tab/>
      </w:r>
      <w:r w:rsidR="00510674">
        <w:rPr>
          <w:sz w:val="26"/>
          <w:szCs w:val="26"/>
        </w:rPr>
        <w:t>SEPTEMBER 11, 2014</w:t>
      </w:r>
    </w:p>
    <w:p w:rsidR="009D7F85" w:rsidRPr="00026226" w:rsidRDefault="009D7F85" w:rsidP="00CA43A5">
      <w:pPr>
        <w:rPr>
          <w:sz w:val="26"/>
          <w:szCs w:val="26"/>
        </w:rPr>
      </w:pPr>
    </w:p>
    <w:sectPr w:rsidR="009D7F85" w:rsidRPr="00026226" w:rsidSect="00E705B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0E8" w:rsidRDefault="003210E8" w:rsidP="00A96998">
      <w:r>
        <w:separator/>
      </w:r>
    </w:p>
  </w:endnote>
  <w:endnote w:type="continuationSeparator" w:id="0">
    <w:p w:rsidR="003210E8" w:rsidRDefault="003210E8" w:rsidP="00A9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80282"/>
      <w:docPartObj>
        <w:docPartGallery w:val="Page Numbers (Bottom of Page)"/>
        <w:docPartUnique/>
      </w:docPartObj>
    </w:sdtPr>
    <w:sdtEndPr>
      <w:rPr>
        <w:noProof/>
      </w:rPr>
    </w:sdtEndPr>
    <w:sdtContent>
      <w:p w:rsidR="004B500E" w:rsidRDefault="004B500E">
        <w:pPr>
          <w:pStyle w:val="Footer"/>
          <w:jc w:val="center"/>
        </w:pPr>
        <w:r>
          <w:fldChar w:fldCharType="begin"/>
        </w:r>
        <w:r>
          <w:instrText xml:space="preserve"> PAGE   \* MERGEFORMAT </w:instrText>
        </w:r>
        <w:r>
          <w:fldChar w:fldCharType="separate"/>
        </w:r>
        <w:r w:rsidR="009E5C02">
          <w:rPr>
            <w:noProof/>
          </w:rPr>
          <w:t>27</w:t>
        </w:r>
        <w:r>
          <w:rPr>
            <w:noProof/>
          </w:rPr>
          <w:fldChar w:fldCharType="end"/>
        </w:r>
      </w:p>
    </w:sdtContent>
  </w:sdt>
  <w:p w:rsidR="004B500E" w:rsidRPr="004F65AB" w:rsidRDefault="004B500E" w:rsidP="004F6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0E8" w:rsidRDefault="003210E8" w:rsidP="00A96998">
      <w:r>
        <w:separator/>
      </w:r>
    </w:p>
  </w:footnote>
  <w:footnote w:type="continuationSeparator" w:id="0">
    <w:p w:rsidR="003210E8" w:rsidRDefault="003210E8" w:rsidP="00A96998">
      <w:r>
        <w:continuationSeparator/>
      </w:r>
    </w:p>
  </w:footnote>
  <w:footnote w:id="1">
    <w:p w:rsidR="004B500E" w:rsidRDefault="004B500E" w:rsidP="00832A4C">
      <w:r>
        <w:tab/>
      </w:r>
      <w:r>
        <w:rPr>
          <w:rStyle w:val="FootnoteReference"/>
        </w:rPr>
        <w:footnoteRef/>
      </w:r>
      <w:r>
        <w:t xml:space="preserve">   </w:t>
      </w:r>
      <w:r>
        <w:tab/>
      </w:r>
      <w:r w:rsidRPr="001930A8">
        <w:rPr>
          <w:sz w:val="26"/>
          <w:szCs w:val="26"/>
        </w:rPr>
        <w:t>By</w:t>
      </w:r>
      <w:r w:rsidRPr="001930A8">
        <w:rPr>
          <w:color w:val="000000"/>
          <w:sz w:val="26"/>
          <w:szCs w:val="26"/>
        </w:rPr>
        <w:t xml:space="preserve"> Secretarial Letter issued August 20, 2014, </w:t>
      </w:r>
      <w:r>
        <w:rPr>
          <w:color w:val="000000"/>
          <w:sz w:val="26"/>
          <w:szCs w:val="26"/>
        </w:rPr>
        <w:t xml:space="preserve">the Commission </w:t>
      </w:r>
      <w:r w:rsidRPr="001930A8">
        <w:rPr>
          <w:color w:val="000000"/>
          <w:sz w:val="26"/>
          <w:szCs w:val="26"/>
        </w:rPr>
        <w:t xml:space="preserve">advised the </w:t>
      </w:r>
      <w:r>
        <w:rPr>
          <w:color w:val="000000"/>
          <w:sz w:val="26"/>
          <w:szCs w:val="26"/>
        </w:rPr>
        <w:t>P</w:t>
      </w:r>
      <w:r w:rsidRPr="001930A8">
        <w:rPr>
          <w:color w:val="000000"/>
          <w:sz w:val="26"/>
          <w:szCs w:val="26"/>
        </w:rPr>
        <w:t xml:space="preserve">arties that the </w:t>
      </w:r>
      <w:r>
        <w:rPr>
          <w:color w:val="000000"/>
          <w:sz w:val="26"/>
          <w:szCs w:val="26"/>
        </w:rPr>
        <w:t xml:space="preserve">Exceptions of Mr. </w:t>
      </w:r>
      <w:proofErr w:type="spellStart"/>
      <w:r w:rsidRPr="001930A8">
        <w:rPr>
          <w:color w:val="000000"/>
          <w:sz w:val="26"/>
          <w:szCs w:val="26"/>
        </w:rPr>
        <w:t>Gillinder</w:t>
      </w:r>
      <w:proofErr w:type="spellEnd"/>
      <w:r>
        <w:rPr>
          <w:color w:val="000000"/>
          <w:sz w:val="26"/>
          <w:szCs w:val="26"/>
        </w:rPr>
        <w:t xml:space="preserve"> wer</w:t>
      </w:r>
      <w:r w:rsidRPr="001930A8">
        <w:rPr>
          <w:color w:val="000000"/>
          <w:sz w:val="26"/>
          <w:szCs w:val="26"/>
        </w:rPr>
        <w:t xml:space="preserve">e due </w:t>
      </w:r>
      <w:r>
        <w:rPr>
          <w:color w:val="000000"/>
          <w:sz w:val="26"/>
          <w:szCs w:val="26"/>
        </w:rPr>
        <w:t xml:space="preserve">to be filed </w:t>
      </w:r>
      <w:r w:rsidRPr="001930A8">
        <w:rPr>
          <w:color w:val="000000"/>
          <w:sz w:val="26"/>
          <w:szCs w:val="26"/>
        </w:rPr>
        <w:t>no later than August 29, 2014</w:t>
      </w:r>
      <w:r>
        <w:rPr>
          <w:color w:val="000000"/>
          <w:sz w:val="26"/>
          <w:szCs w:val="26"/>
        </w:rPr>
        <w:t>.  Any forthcoming Replies</w:t>
      </w:r>
      <w:r w:rsidRPr="001930A8">
        <w:rPr>
          <w:color w:val="000000"/>
          <w:sz w:val="26"/>
          <w:szCs w:val="26"/>
        </w:rPr>
        <w:t xml:space="preserve"> thereto would be due no later than September 5, </w:t>
      </w:r>
      <w:r>
        <w:rPr>
          <w:color w:val="000000"/>
          <w:sz w:val="26"/>
          <w:szCs w:val="26"/>
        </w:rPr>
        <w:t>2014</w:t>
      </w:r>
      <w:r w:rsidRPr="001930A8">
        <w:rPr>
          <w:color w:val="000000"/>
          <w:sz w:val="26"/>
          <w:szCs w:val="26"/>
        </w:rPr>
        <w:t xml:space="preserve">.  </w:t>
      </w:r>
      <w:r>
        <w:rPr>
          <w:color w:val="000000"/>
          <w:sz w:val="26"/>
          <w:szCs w:val="26"/>
        </w:rPr>
        <w:t>T</w:t>
      </w:r>
      <w:r w:rsidRPr="001930A8">
        <w:rPr>
          <w:color w:val="000000"/>
          <w:sz w:val="26"/>
          <w:szCs w:val="26"/>
        </w:rPr>
        <w:t xml:space="preserve">he </w:t>
      </w:r>
      <w:r>
        <w:rPr>
          <w:color w:val="000000"/>
          <w:sz w:val="26"/>
          <w:szCs w:val="26"/>
        </w:rPr>
        <w:t>August 25, 2014</w:t>
      </w:r>
      <w:r w:rsidR="00B516FD">
        <w:rPr>
          <w:color w:val="000000"/>
          <w:sz w:val="26"/>
          <w:szCs w:val="26"/>
        </w:rPr>
        <w:t>,</w:t>
      </w:r>
      <w:r>
        <w:rPr>
          <w:color w:val="000000"/>
          <w:sz w:val="26"/>
          <w:szCs w:val="26"/>
        </w:rPr>
        <w:t xml:space="preserve"> E</w:t>
      </w:r>
      <w:r w:rsidRPr="001930A8">
        <w:rPr>
          <w:color w:val="000000"/>
          <w:sz w:val="26"/>
          <w:szCs w:val="26"/>
        </w:rPr>
        <w:t xml:space="preserve">xceptions </w:t>
      </w:r>
      <w:r>
        <w:rPr>
          <w:color w:val="000000"/>
          <w:sz w:val="26"/>
          <w:szCs w:val="26"/>
        </w:rPr>
        <w:t xml:space="preserve">of Mr. </w:t>
      </w:r>
      <w:proofErr w:type="spellStart"/>
      <w:r>
        <w:rPr>
          <w:color w:val="000000"/>
          <w:sz w:val="26"/>
          <w:szCs w:val="26"/>
        </w:rPr>
        <w:t>Gillinder</w:t>
      </w:r>
      <w:proofErr w:type="spellEnd"/>
      <w:r>
        <w:rPr>
          <w:color w:val="000000"/>
          <w:sz w:val="26"/>
          <w:szCs w:val="26"/>
        </w:rPr>
        <w:t xml:space="preserve"> did not have attached a </w:t>
      </w:r>
      <w:r w:rsidRPr="001930A8">
        <w:rPr>
          <w:color w:val="000000"/>
          <w:sz w:val="26"/>
          <w:szCs w:val="26"/>
        </w:rPr>
        <w:t xml:space="preserve">certificate of service, </w:t>
      </w:r>
      <w:r>
        <w:rPr>
          <w:color w:val="000000"/>
          <w:sz w:val="26"/>
          <w:szCs w:val="26"/>
        </w:rPr>
        <w:t>evidencing service upon the Company.  Pike County was served with a copy of the Exceptions by our Secretary’s Bureau on September 2, 2014.  Counsel for Pike County stated that a family emergency prevented him from filing the Replies on Friday, September 5, 2014.  He further indicated that no Party objected to a one business day extension of the period to file Replies to Exceptions.  We conclude that good cause exists for the filing of Replies on Monday, September 8, 2014, and shall, therefore, accept and consider the September 8, 2014</w:t>
      </w:r>
      <w:r w:rsidR="00B516FD">
        <w:rPr>
          <w:color w:val="000000"/>
          <w:sz w:val="26"/>
          <w:szCs w:val="26"/>
        </w:rPr>
        <w:t>,</w:t>
      </w:r>
      <w:r>
        <w:rPr>
          <w:color w:val="000000"/>
          <w:sz w:val="26"/>
          <w:szCs w:val="26"/>
        </w:rPr>
        <w:t xml:space="preserve"> Letter-Reply. </w:t>
      </w:r>
      <w:r>
        <w:rPr>
          <w:color w:val="000000"/>
        </w:rPr>
        <w:t> </w:t>
      </w:r>
    </w:p>
    <w:p w:rsidR="004B500E" w:rsidRPr="001930A8" w:rsidRDefault="004B500E">
      <w:pPr>
        <w:pStyle w:val="FootnoteText"/>
        <w:rPr>
          <w:rFonts w:ascii="Times New Roman" w:hAnsi="Times New Roman" w:cs="Times New Roman"/>
          <w:sz w:val="26"/>
          <w:szCs w:val="26"/>
        </w:rPr>
      </w:pPr>
    </w:p>
  </w:footnote>
  <w:footnote w:id="2">
    <w:p w:rsidR="004B500E" w:rsidRPr="004F65AB" w:rsidRDefault="004B500E">
      <w:pPr>
        <w:pStyle w:val="FootnoteText"/>
        <w:rPr>
          <w:rFonts w:ascii="Times New Roman" w:hAnsi="Times New Roman" w:cs="Times New Roman"/>
          <w:sz w:val="26"/>
          <w:szCs w:val="26"/>
        </w:rPr>
      </w:pPr>
      <w:r w:rsidRPr="004F65AB">
        <w:rPr>
          <w:rFonts w:ascii="Times New Roman" w:hAnsi="Times New Roman" w:cs="Times New Roman"/>
          <w:sz w:val="26"/>
          <w:szCs w:val="26"/>
        </w:rPr>
        <w:tab/>
      </w:r>
      <w:r w:rsidRPr="004F65AB">
        <w:rPr>
          <w:rStyle w:val="FootnoteReference"/>
          <w:rFonts w:ascii="Times New Roman" w:hAnsi="Times New Roman" w:cs="Times New Roman"/>
          <w:sz w:val="26"/>
          <w:szCs w:val="26"/>
        </w:rPr>
        <w:footnoteRef/>
      </w:r>
      <w:r w:rsidRPr="004F65AB">
        <w:rPr>
          <w:rFonts w:ascii="Times New Roman" w:hAnsi="Times New Roman" w:cs="Times New Roman"/>
          <w:sz w:val="26"/>
          <w:szCs w:val="26"/>
        </w:rPr>
        <w:t xml:space="preserve"> </w:t>
      </w:r>
      <w:r w:rsidRPr="004F65AB">
        <w:rPr>
          <w:rFonts w:ascii="Times New Roman" w:hAnsi="Times New Roman" w:cs="Times New Roman"/>
          <w:sz w:val="26"/>
          <w:szCs w:val="26"/>
        </w:rPr>
        <w:tab/>
      </w:r>
      <w:r>
        <w:rPr>
          <w:rFonts w:ascii="Times New Roman" w:hAnsi="Times New Roman" w:cs="Times New Roman"/>
          <w:sz w:val="26"/>
          <w:szCs w:val="26"/>
        </w:rPr>
        <w:t>Although the Settlement and its attachments repeatedly use the phrase “no sooner than September 1, 2014, w</w:t>
      </w:r>
      <w:r w:rsidRPr="004F65AB">
        <w:rPr>
          <w:rFonts w:ascii="Times New Roman" w:hAnsi="Times New Roman" w:cs="Times New Roman"/>
          <w:sz w:val="26"/>
          <w:szCs w:val="26"/>
        </w:rPr>
        <w:t xml:space="preserve">e note that </w:t>
      </w:r>
      <w:r>
        <w:rPr>
          <w:rFonts w:ascii="Times New Roman" w:hAnsi="Times New Roman" w:cs="Times New Roman"/>
          <w:sz w:val="26"/>
          <w:szCs w:val="26"/>
        </w:rPr>
        <w:t xml:space="preserve">the Petition, at page 1 requests “that the Commission permit [Pike County] to file tariff supplements attached hereto at </w:t>
      </w:r>
      <w:r w:rsidRPr="004F65AB">
        <w:rPr>
          <w:rFonts w:ascii="Times New Roman" w:hAnsi="Times New Roman" w:cs="Times New Roman"/>
          <w:b/>
          <w:sz w:val="26"/>
          <w:szCs w:val="26"/>
        </w:rPr>
        <w:t>Appendix A</w:t>
      </w:r>
      <w:r>
        <w:rPr>
          <w:rFonts w:ascii="Times New Roman" w:hAnsi="Times New Roman" w:cs="Times New Roman"/>
          <w:sz w:val="26"/>
          <w:szCs w:val="26"/>
        </w:rPr>
        <w:t xml:space="preserve">, effective on one (1) days’ notice for service rendered on and after the entrance of the Order approving the Settlement, but in any event no sooner than September 1, 2014” (emphasis in original).  Thus, by approving the Settlement effective for service rendered on and after the entered date of this Order, we are not modifying the Settlement.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25DB"/>
    <w:multiLevelType w:val="hybridMultilevel"/>
    <w:tmpl w:val="84BED000"/>
    <w:lvl w:ilvl="0" w:tplc="2D4870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21C7EDA"/>
    <w:multiLevelType w:val="hybridMultilevel"/>
    <w:tmpl w:val="76005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A5FEF"/>
    <w:multiLevelType w:val="multilevel"/>
    <w:tmpl w:val="F7A06F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1B54EE"/>
    <w:multiLevelType w:val="hybridMultilevel"/>
    <w:tmpl w:val="C8DE657A"/>
    <w:lvl w:ilvl="0" w:tplc="663EE006">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07B3C"/>
    <w:rsid w:val="00016D57"/>
    <w:rsid w:val="00017852"/>
    <w:rsid w:val="00021E46"/>
    <w:rsid w:val="00022B74"/>
    <w:rsid w:val="00022C88"/>
    <w:rsid w:val="000239A3"/>
    <w:rsid w:val="000250F6"/>
    <w:rsid w:val="0002524C"/>
    <w:rsid w:val="00025F3F"/>
    <w:rsid w:val="00026226"/>
    <w:rsid w:val="00026CD2"/>
    <w:rsid w:val="00026E30"/>
    <w:rsid w:val="00034A50"/>
    <w:rsid w:val="00040A8E"/>
    <w:rsid w:val="00040AEA"/>
    <w:rsid w:val="000469D0"/>
    <w:rsid w:val="00047874"/>
    <w:rsid w:val="00047F4A"/>
    <w:rsid w:val="000523D1"/>
    <w:rsid w:val="00052B8F"/>
    <w:rsid w:val="00054086"/>
    <w:rsid w:val="00054612"/>
    <w:rsid w:val="0005572E"/>
    <w:rsid w:val="00056286"/>
    <w:rsid w:val="0006095C"/>
    <w:rsid w:val="000612FD"/>
    <w:rsid w:val="00061820"/>
    <w:rsid w:val="000642AA"/>
    <w:rsid w:val="000649EC"/>
    <w:rsid w:val="00066EE5"/>
    <w:rsid w:val="00067260"/>
    <w:rsid w:val="00072808"/>
    <w:rsid w:val="00076F35"/>
    <w:rsid w:val="00084573"/>
    <w:rsid w:val="00084AF9"/>
    <w:rsid w:val="000918D4"/>
    <w:rsid w:val="00093045"/>
    <w:rsid w:val="00093164"/>
    <w:rsid w:val="0009612D"/>
    <w:rsid w:val="00097504"/>
    <w:rsid w:val="000A1C8C"/>
    <w:rsid w:val="000A204D"/>
    <w:rsid w:val="000A27AF"/>
    <w:rsid w:val="000A365D"/>
    <w:rsid w:val="000B216D"/>
    <w:rsid w:val="000B2755"/>
    <w:rsid w:val="000B36F6"/>
    <w:rsid w:val="000B4AF5"/>
    <w:rsid w:val="000B4EAE"/>
    <w:rsid w:val="000B5238"/>
    <w:rsid w:val="000B607A"/>
    <w:rsid w:val="000B6B15"/>
    <w:rsid w:val="000B7691"/>
    <w:rsid w:val="000C2AE3"/>
    <w:rsid w:val="000C501D"/>
    <w:rsid w:val="000C52D1"/>
    <w:rsid w:val="000C5528"/>
    <w:rsid w:val="000C709A"/>
    <w:rsid w:val="000C712B"/>
    <w:rsid w:val="000D5FFA"/>
    <w:rsid w:val="000F179E"/>
    <w:rsid w:val="000F4307"/>
    <w:rsid w:val="0010158F"/>
    <w:rsid w:val="00101F51"/>
    <w:rsid w:val="001026CA"/>
    <w:rsid w:val="00103BB7"/>
    <w:rsid w:val="00104D9B"/>
    <w:rsid w:val="00117CB2"/>
    <w:rsid w:val="00120B39"/>
    <w:rsid w:val="00123349"/>
    <w:rsid w:val="001238E5"/>
    <w:rsid w:val="00123A2E"/>
    <w:rsid w:val="00124071"/>
    <w:rsid w:val="0012497D"/>
    <w:rsid w:val="001267D4"/>
    <w:rsid w:val="001328BA"/>
    <w:rsid w:val="00135972"/>
    <w:rsid w:val="001360FC"/>
    <w:rsid w:val="001447A0"/>
    <w:rsid w:val="0014485C"/>
    <w:rsid w:val="0014497F"/>
    <w:rsid w:val="00146DDD"/>
    <w:rsid w:val="00146E58"/>
    <w:rsid w:val="00147145"/>
    <w:rsid w:val="00150096"/>
    <w:rsid w:val="001508E4"/>
    <w:rsid w:val="0015380A"/>
    <w:rsid w:val="00154CB6"/>
    <w:rsid w:val="0015580C"/>
    <w:rsid w:val="00161669"/>
    <w:rsid w:val="00164DA4"/>
    <w:rsid w:val="00166298"/>
    <w:rsid w:val="001663C8"/>
    <w:rsid w:val="00166C86"/>
    <w:rsid w:val="00174D3D"/>
    <w:rsid w:val="00175DEF"/>
    <w:rsid w:val="00177EF8"/>
    <w:rsid w:val="00182478"/>
    <w:rsid w:val="001834E3"/>
    <w:rsid w:val="00184F19"/>
    <w:rsid w:val="00186A97"/>
    <w:rsid w:val="0019267C"/>
    <w:rsid w:val="00192C38"/>
    <w:rsid w:val="001930A8"/>
    <w:rsid w:val="00193632"/>
    <w:rsid w:val="0019530E"/>
    <w:rsid w:val="00195F2E"/>
    <w:rsid w:val="001A7ECF"/>
    <w:rsid w:val="001B1DB4"/>
    <w:rsid w:val="001C24DA"/>
    <w:rsid w:val="001C4978"/>
    <w:rsid w:val="001D0ED2"/>
    <w:rsid w:val="001E0A4B"/>
    <w:rsid w:val="001E0B61"/>
    <w:rsid w:val="001E1276"/>
    <w:rsid w:val="001E1946"/>
    <w:rsid w:val="001E78F8"/>
    <w:rsid w:val="001F285E"/>
    <w:rsid w:val="00202524"/>
    <w:rsid w:val="00210736"/>
    <w:rsid w:val="00210F81"/>
    <w:rsid w:val="0021126E"/>
    <w:rsid w:val="00211622"/>
    <w:rsid w:val="00214B3E"/>
    <w:rsid w:val="00216DEC"/>
    <w:rsid w:val="00226059"/>
    <w:rsid w:val="0022698E"/>
    <w:rsid w:val="00227912"/>
    <w:rsid w:val="002311EE"/>
    <w:rsid w:val="002370F5"/>
    <w:rsid w:val="00240ACA"/>
    <w:rsid w:val="00240D7B"/>
    <w:rsid w:val="00241299"/>
    <w:rsid w:val="002433E5"/>
    <w:rsid w:val="00255462"/>
    <w:rsid w:val="00260957"/>
    <w:rsid w:val="00264646"/>
    <w:rsid w:val="0027232D"/>
    <w:rsid w:val="00274D0F"/>
    <w:rsid w:val="00277500"/>
    <w:rsid w:val="00281A5F"/>
    <w:rsid w:val="0028302E"/>
    <w:rsid w:val="00291B15"/>
    <w:rsid w:val="00291F68"/>
    <w:rsid w:val="002A060A"/>
    <w:rsid w:val="002A4450"/>
    <w:rsid w:val="002A6750"/>
    <w:rsid w:val="002A6A66"/>
    <w:rsid w:val="002B2296"/>
    <w:rsid w:val="002B231A"/>
    <w:rsid w:val="002B3D25"/>
    <w:rsid w:val="002B4407"/>
    <w:rsid w:val="002B67B7"/>
    <w:rsid w:val="002C0429"/>
    <w:rsid w:val="002C19E4"/>
    <w:rsid w:val="002C1F64"/>
    <w:rsid w:val="002C6CC4"/>
    <w:rsid w:val="002D0C91"/>
    <w:rsid w:val="002D13C4"/>
    <w:rsid w:val="002D275E"/>
    <w:rsid w:val="002D6357"/>
    <w:rsid w:val="002D7584"/>
    <w:rsid w:val="002E0CDE"/>
    <w:rsid w:val="002E3026"/>
    <w:rsid w:val="002E38C2"/>
    <w:rsid w:val="002E3F06"/>
    <w:rsid w:val="002E6FFA"/>
    <w:rsid w:val="002E7F8F"/>
    <w:rsid w:val="002F0171"/>
    <w:rsid w:val="002F3F04"/>
    <w:rsid w:val="002F41BA"/>
    <w:rsid w:val="003018AA"/>
    <w:rsid w:val="00303B99"/>
    <w:rsid w:val="0030714F"/>
    <w:rsid w:val="003073E2"/>
    <w:rsid w:val="00307DDF"/>
    <w:rsid w:val="00314A43"/>
    <w:rsid w:val="003210E8"/>
    <w:rsid w:val="00322040"/>
    <w:rsid w:val="003230DE"/>
    <w:rsid w:val="003240B8"/>
    <w:rsid w:val="00325422"/>
    <w:rsid w:val="00326D35"/>
    <w:rsid w:val="00330ED9"/>
    <w:rsid w:val="00333FDA"/>
    <w:rsid w:val="003340DE"/>
    <w:rsid w:val="00340D19"/>
    <w:rsid w:val="00344804"/>
    <w:rsid w:val="003518C8"/>
    <w:rsid w:val="003533B5"/>
    <w:rsid w:val="00357221"/>
    <w:rsid w:val="00362031"/>
    <w:rsid w:val="003622CA"/>
    <w:rsid w:val="00363030"/>
    <w:rsid w:val="0036344E"/>
    <w:rsid w:val="0036462C"/>
    <w:rsid w:val="00364A42"/>
    <w:rsid w:val="00372071"/>
    <w:rsid w:val="003755FB"/>
    <w:rsid w:val="0037577C"/>
    <w:rsid w:val="00380ADD"/>
    <w:rsid w:val="0038425B"/>
    <w:rsid w:val="00385502"/>
    <w:rsid w:val="00391A43"/>
    <w:rsid w:val="00396096"/>
    <w:rsid w:val="003A7AC2"/>
    <w:rsid w:val="003B0611"/>
    <w:rsid w:val="003B1D5A"/>
    <w:rsid w:val="003B42D9"/>
    <w:rsid w:val="003B4A5D"/>
    <w:rsid w:val="003C162E"/>
    <w:rsid w:val="003C3140"/>
    <w:rsid w:val="003C3E02"/>
    <w:rsid w:val="003C3FE8"/>
    <w:rsid w:val="003C73F9"/>
    <w:rsid w:val="003D293B"/>
    <w:rsid w:val="003D5F07"/>
    <w:rsid w:val="003D6AB5"/>
    <w:rsid w:val="003E0D9E"/>
    <w:rsid w:val="003E3FF5"/>
    <w:rsid w:val="003E5354"/>
    <w:rsid w:val="003F199F"/>
    <w:rsid w:val="003F2462"/>
    <w:rsid w:val="003F4683"/>
    <w:rsid w:val="003F51F4"/>
    <w:rsid w:val="003F52C6"/>
    <w:rsid w:val="003F558E"/>
    <w:rsid w:val="0040187C"/>
    <w:rsid w:val="00403D6E"/>
    <w:rsid w:val="00407AC0"/>
    <w:rsid w:val="00412E30"/>
    <w:rsid w:val="004170AF"/>
    <w:rsid w:val="00427849"/>
    <w:rsid w:val="0043269E"/>
    <w:rsid w:val="00432BB7"/>
    <w:rsid w:val="004331E9"/>
    <w:rsid w:val="00433E8D"/>
    <w:rsid w:val="0043592C"/>
    <w:rsid w:val="00440667"/>
    <w:rsid w:val="004411B9"/>
    <w:rsid w:val="00441207"/>
    <w:rsid w:val="004422CA"/>
    <w:rsid w:val="00443807"/>
    <w:rsid w:val="004462F7"/>
    <w:rsid w:val="004474C4"/>
    <w:rsid w:val="0046019D"/>
    <w:rsid w:val="00461B31"/>
    <w:rsid w:val="00464536"/>
    <w:rsid w:val="0046514E"/>
    <w:rsid w:val="0046623C"/>
    <w:rsid w:val="00467739"/>
    <w:rsid w:val="00470354"/>
    <w:rsid w:val="00470D0C"/>
    <w:rsid w:val="0047360F"/>
    <w:rsid w:val="00474E22"/>
    <w:rsid w:val="0047608F"/>
    <w:rsid w:val="00476554"/>
    <w:rsid w:val="00481073"/>
    <w:rsid w:val="004813D4"/>
    <w:rsid w:val="00484F0F"/>
    <w:rsid w:val="00491D91"/>
    <w:rsid w:val="0049580C"/>
    <w:rsid w:val="00495FE3"/>
    <w:rsid w:val="0049768F"/>
    <w:rsid w:val="004A04E5"/>
    <w:rsid w:val="004A1495"/>
    <w:rsid w:val="004A2165"/>
    <w:rsid w:val="004A5A03"/>
    <w:rsid w:val="004A5F74"/>
    <w:rsid w:val="004B0585"/>
    <w:rsid w:val="004B1052"/>
    <w:rsid w:val="004B500E"/>
    <w:rsid w:val="004B6B14"/>
    <w:rsid w:val="004D7B1A"/>
    <w:rsid w:val="004E47EC"/>
    <w:rsid w:val="004E514F"/>
    <w:rsid w:val="004E737F"/>
    <w:rsid w:val="004F03DE"/>
    <w:rsid w:val="004F09E8"/>
    <w:rsid w:val="004F0C0A"/>
    <w:rsid w:val="004F22DA"/>
    <w:rsid w:val="004F65AB"/>
    <w:rsid w:val="00502165"/>
    <w:rsid w:val="00504834"/>
    <w:rsid w:val="00504C7A"/>
    <w:rsid w:val="00505AEE"/>
    <w:rsid w:val="0050632E"/>
    <w:rsid w:val="0050676C"/>
    <w:rsid w:val="0050752D"/>
    <w:rsid w:val="00510674"/>
    <w:rsid w:val="00511EF3"/>
    <w:rsid w:val="00514507"/>
    <w:rsid w:val="00520E3E"/>
    <w:rsid w:val="00521350"/>
    <w:rsid w:val="00524514"/>
    <w:rsid w:val="005309A4"/>
    <w:rsid w:val="0053186E"/>
    <w:rsid w:val="005318A8"/>
    <w:rsid w:val="005351B9"/>
    <w:rsid w:val="00536011"/>
    <w:rsid w:val="00537C37"/>
    <w:rsid w:val="00537D48"/>
    <w:rsid w:val="00550B79"/>
    <w:rsid w:val="0055150B"/>
    <w:rsid w:val="005532F9"/>
    <w:rsid w:val="0055440B"/>
    <w:rsid w:val="0055708D"/>
    <w:rsid w:val="00561CA6"/>
    <w:rsid w:val="00564565"/>
    <w:rsid w:val="005647BE"/>
    <w:rsid w:val="00566299"/>
    <w:rsid w:val="00571B2F"/>
    <w:rsid w:val="005725F6"/>
    <w:rsid w:val="0057627B"/>
    <w:rsid w:val="00586817"/>
    <w:rsid w:val="00586D92"/>
    <w:rsid w:val="00587507"/>
    <w:rsid w:val="0059301C"/>
    <w:rsid w:val="00596A0B"/>
    <w:rsid w:val="00596E05"/>
    <w:rsid w:val="00596F85"/>
    <w:rsid w:val="005970FA"/>
    <w:rsid w:val="005A0176"/>
    <w:rsid w:val="005A088E"/>
    <w:rsid w:val="005A1454"/>
    <w:rsid w:val="005A2298"/>
    <w:rsid w:val="005A28C1"/>
    <w:rsid w:val="005A72FC"/>
    <w:rsid w:val="005B0388"/>
    <w:rsid w:val="005B109A"/>
    <w:rsid w:val="005B1FCA"/>
    <w:rsid w:val="005C2FD5"/>
    <w:rsid w:val="005C5378"/>
    <w:rsid w:val="005D2AB9"/>
    <w:rsid w:val="005D34E2"/>
    <w:rsid w:val="005D496E"/>
    <w:rsid w:val="005D7C20"/>
    <w:rsid w:val="005E6960"/>
    <w:rsid w:val="005E7EB8"/>
    <w:rsid w:val="005F18D6"/>
    <w:rsid w:val="00600A5E"/>
    <w:rsid w:val="00603024"/>
    <w:rsid w:val="00610286"/>
    <w:rsid w:val="006116E3"/>
    <w:rsid w:val="0062164C"/>
    <w:rsid w:val="00624400"/>
    <w:rsid w:val="00624E51"/>
    <w:rsid w:val="00626162"/>
    <w:rsid w:val="006302BD"/>
    <w:rsid w:val="00631765"/>
    <w:rsid w:val="00634719"/>
    <w:rsid w:val="006418DC"/>
    <w:rsid w:val="00645C07"/>
    <w:rsid w:val="00647155"/>
    <w:rsid w:val="00647360"/>
    <w:rsid w:val="006503E8"/>
    <w:rsid w:val="0065186A"/>
    <w:rsid w:val="00654A4A"/>
    <w:rsid w:val="006553BD"/>
    <w:rsid w:val="0065545A"/>
    <w:rsid w:val="006606D3"/>
    <w:rsid w:val="006628A9"/>
    <w:rsid w:val="006661CF"/>
    <w:rsid w:val="00666544"/>
    <w:rsid w:val="00670BFD"/>
    <w:rsid w:val="00671E4C"/>
    <w:rsid w:val="00674295"/>
    <w:rsid w:val="006818A8"/>
    <w:rsid w:val="00681A51"/>
    <w:rsid w:val="00682469"/>
    <w:rsid w:val="006836BB"/>
    <w:rsid w:val="00683D97"/>
    <w:rsid w:val="00684FCA"/>
    <w:rsid w:val="00686B5C"/>
    <w:rsid w:val="00687BB9"/>
    <w:rsid w:val="00694328"/>
    <w:rsid w:val="00696997"/>
    <w:rsid w:val="00697F29"/>
    <w:rsid w:val="006A3127"/>
    <w:rsid w:val="006A758C"/>
    <w:rsid w:val="006B3018"/>
    <w:rsid w:val="006C0676"/>
    <w:rsid w:val="006C1EEC"/>
    <w:rsid w:val="006C29F6"/>
    <w:rsid w:val="006C3FEA"/>
    <w:rsid w:val="006C69E7"/>
    <w:rsid w:val="006C6A28"/>
    <w:rsid w:val="006D10AE"/>
    <w:rsid w:val="006D29F2"/>
    <w:rsid w:val="006D38E5"/>
    <w:rsid w:val="006D7CA2"/>
    <w:rsid w:val="006E065B"/>
    <w:rsid w:val="006E09D3"/>
    <w:rsid w:val="006E1E6C"/>
    <w:rsid w:val="006E5505"/>
    <w:rsid w:val="006F240A"/>
    <w:rsid w:val="006F2FB3"/>
    <w:rsid w:val="006F531B"/>
    <w:rsid w:val="006F62BC"/>
    <w:rsid w:val="00702493"/>
    <w:rsid w:val="00703C91"/>
    <w:rsid w:val="007128CF"/>
    <w:rsid w:val="00713940"/>
    <w:rsid w:val="00714F3B"/>
    <w:rsid w:val="007166F7"/>
    <w:rsid w:val="00716AEF"/>
    <w:rsid w:val="00717076"/>
    <w:rsid w:val="00717296"/>
    <w:rsid w:val="00727370"/>
    <w:rsid w:val="007308DE"/>
    <w:rsid w:val="00735D9E"/>
    <w:rsid w:val="0074100E"/>
    <w:rsid w:val="0074109C"/>
    <w:rsid w:val="007416AC"/>
    <w:rsid w:val="00742335"/>
    <w:rsid w:val="00742842"/>
    <w:rsid w:val="007438A6"/>
    <w:rsid w:val="00753376"/>
    <w:rsid w:val="00753CD6"/>
    <w:rsid w:val="007543B0"/>
    <w:rsid w:val="007558FE"/>
    <w:rsid w:val="007568A9"/>
    <w:rsid w:val="00761514"/>
    <w:rsid w:val="00763CE7"/>
    <w:rsid w:val="0077040D"/>
    <w:rsid w:val="007711FE"/>
    <w:rsid w:val="00772177"/>
    <w:rsid w:val="00773A99"/>
    <w:rsid w:val="00775C65"/>
    <w:rsid w:val="0077639A"/>
    <w:rsid w:val="00776C85"/>
    <w:rsid w:val="0078100C"/>
    <w:rsid w:val="0078157F"/>
    <w:rsid w:val="007831C8"/>
    <w:rsid w:val="007837B9"/>
    <w:rsid w:val="0078621E"/>
    <w:rsid w:val="00786F48"/>
    <w:rsid w:val="0078772C"/>
    <w:rsid w:val="007878E4"/>
    <w:rsid w:val="007963BD"/>
    <w:rsid w:val="007A4783"/>
    <w:rsid w:val="007A5191"/>
    <w:rsid w:val="007A6D23"/>
    <w:rsid w:val="007B04EF"/>
    <w:rsid w:val="007B0500"/>
    <w:rsid w:val="007B111B"/>
    <w:rsid w:val="007B3433"/>
    <w:rsid w:val="007B3AE8"/>
    <w:rsid w:val="007B415E"/>
    <w:rsid w:val="007B4418"/>
    <w:rsid w:val="007B5F62"/>
    <w:rsid w:val="007B66B3"/>
    <w:rsid w:val="007B7077"/>
    <w:rsid w:val="007B7918"/>
    <w:rsid w:val="007C3003"/>
    <w:rsid w:val="007C6B60"/>
    <w:rsid w:val="007C6F85"/>
    <w:rsid w:val="007D3AA0"/>
    <w:rsid w:val="007D3FE2"/>
    <w:rsid w:val="007D5690"/>
    <w:rsid w:val="007D69FA"/>
    <w:rsid w:val="007E1600"/>
    <w:rsid w:val="007F722E"/>
    <w:rsid w:val="00810603"/>
    <w:rsid w:val="00813681"/>
    <w:rsid w:val="00814283"/>
    <w:rsid w:val="00820209"/>
    <w:rsid w:val="00820F35"/>
    <w:rsid w:val="00820FEC"/>
    <w:rsid w:val="0082393D"/>
    <w:rsid w:val="00827EC8"/>
    <w:rsid w:val="00832A4C"/>
    <w:rsid w:val="0083324D"/>
    <w:rsid w:val="00841733"/>
    <w:rsid w:val="00844D38"/>
    <w:rsid w:val="00844D85"/>
    <w:rsid w:val="008524BE"/>
    <w:rsid w:val="00853BC2"/>
    <w:rsid w:val="00854278"/>
    <w:rsid w:val="00856063"/>
    <w:rsid w:val="00857172"/>
    <w:rsid w:val="0085780C"/>
    <w:rsid w:val="0086236A"/>
    <w:rsid w:val="008701D4"/>
    <w:rsid w:val="0087035A"/>
    <w:rsid w:val="0087347D"/>
    <w:rsid w:val="0087633C"/>
    <w:rsid w:val="00882046"/>
    <w:rsid w:val="00882DAD"/>
    <w:rsid w:val="00883ACE"/>
    <w:rsid w:val="00885263"/>
    <w:rsid w:val="00892DA5"/>
    <w:rsid w:val="008949B1"/>
    <w:rsid w:val="0089713E"/>
    <w:rsid w:val="008A10F3"/>
    <w:rsid w:val="008A5C0F"/>
    <w:rsid w:val="008A6C91"/>
    <w:rsid w:val="008B1596"/>
    <w:rsid w:val="008C09C4"/>
    <w:rsid w:val="008C1F44"/>
    <w:rsid w:val="008C2B91"/>
    <w:rsid w:val="008C5BAC"/>
    <w:rsid w:val="008C646F"/>
    <w:rsid w:val="008C7DE6"/>
    <w:rsid w:val="008D3BEA"/>
    <w:rsid w:val="008D557F"/>
    <w:rsid w:val="008E35BB"/>
    <w:rsid w:val="008E3E4B"/>
    <w:rsid w:val="008E4EF9"/>
    <w:rsid w:val="008E6DFC"/>
    <w:rsid w:val="008E7710"/>
    <w:rsid w:val="008F2399"/>
    <w:rsid w:val="008F244B"/>
    <w:rsid w:val="00900D4D"/>
    <w:rsid w:val="00901BF9"/>
    <w:rsid w:val="00903F34"/>
    <w:rsid w:val="00905C0A"/>
    <w:rsid w:val="009122F8"/>
    <w:rsid w:val="00915520"/>
    <w:rsid w:val="009155F7"/>
    <w:rsid w:val="00921131"/>
    <w:rsid w:val="009242C4"/>
    <w:rsid w:val="009247F5"/>
    <w:rsid w:val="00926986"/>
    <w:rsid w:val="00926AB2"/>
    <w:rsid w:val="00932623"/>
    <w:rsid w:val="00936F8A"/>
    <w:rsid w:val="00940561"/>
    <w:rsid w:val="009407FE"/>
    <w:rsid w:val="00942436"/>
    <w:rsid w:val="00957603"/>
    <w:rsid w:val="0095765C"/>
    <w:rsid w:val="00957A1D"/>
    <w:rsid w:val="00957BC0"/>
    <w:rsid w:val="00963F2A"/>
    <w:rsid w:val="0096487B"/>
    <w:rsid w:val="009728FC"/>
    <w:rsid w:val="009757D1"/>
    <w:rsid w:val="00980754"/>
    <w:rsid w:val="00981535"/>
    <w:rsid w:val="009825C8"/>
    <w:rsid w:val="0098409F"/>
    <w:rsid w:val="00984A1D"/>
    <w:rsid w:val="00985537"/>
    <w:rsid w:val="00990C00"/>
    <w:rsid w:val="00991698"/>
    <w:rsid w:val="00991C17"/>
    <w:rsid w:val="00992D1E"/>
    <w:rsid w:val="00992EB0"/>
    <w:rsid w:val="00997EB2"/>
    <w:rsid w:val="009A06F5"/>
    <w:rsid w:val="009A0788"/>
    <w:rsid w:val="009A0E92"/>
    <w:rsid w:val="009A17EC"/>
    <w:rsid w:val="009A21F0"/>
    <w:rsid w:val="009A3F27"/>
    <w:rsid w:val="009B03DF"/>
    <w:rsid w:val="009B6AF0"/>
    <w:rsid w:val="009C292D"/>
    <w:rsid w:val="009C29C2"/>
    <w:rsid w:val="009C5F0C"/>
    <w:rsid w:val="009C67C0"/>
    <w:rsid w:val="009D1035"/>
    <w:rsid w:val="009D13D0"/>
    <w:rsid w:val="009D2068"/>
    <w:rsid w:val="009D7D33"/>
    <w:rsid w:val="009D7F85"/>
    <w:rsid w:val="009E0913"/>
    <w:rsid w:val="009E292B"/>
    <w:rsid w:val="009E4DD4"/>
    <w:rsid w:val="009E4E3F"/>
    <w:rsid w:val="009E5C02"/>
    <w:rsid w:val="009E5FE8"/>
    <w:rsid w:val="009E698B"/>
    <w:rsid w:val="009E7DAF"/>
    <w:rsid w:val="009F1547"/>
    <w:rsid w:val="009F1CC0"/>
    <w:rsid w:val="009F4ABA"/>
    <w:rsid w:val="009F648B"/>
    <w:rsid w:val="00A066AE"/>
    <w:rsid w:val="00A10DD9"/>
    <w:rsid w:val="00A12C6B"/>
    <w:rsid w:val="00A14117"/>
    <w:rsid w:val="00A144A0"/>
    <w:rsid w:val="00A149FA"/>
    <w:rsid w:val="00A17DF0"/>
    <w:rsid w:val="00A20F78"/>
    <w:rsid w:val="00A218F1"/>
    <w:rsid w:val="00A22AA0"/>
    <w:rsid w:val="00A27DEE"/>
    <w:rsid w:val="00A31B93"/>
    <w:rsid w:val="00A375EF"/>
    <w:rsid w:val="00A37C0C"/>
    <w:rsid w:val="00A40CDB"/>
    <w:rsid w:val="00A4304C"/>
    <w:rsid w:val="00A528C2"/>
    <w:rsid w:val="00A54AFD"/>
    <w:rsid w:val="00A54E69"/>
    <w:rsid w:val="00A61B06"/>
    <w:rsid w:val="00A61D03"/>
    <w:rsid w:val="00A62113"/>
    <w:rsid w:val="00A6759C"/>
    <w:rsid w:val="00A67923"/>
    <w:rsid w:val="00A703D5"/>
    <w:rsid w:val="00A713ED"/>
    <w:rsid w:val="00A714B8"/>
    <w:rsid w:val="00A74901"/>
    <w:rsid w:val="00A75733"/>
    <w:rsid w:val="00A76308"/>
    <w:rsid w:val="00A77C08"/>
    <w:rsid w:val="00A81527"/>
    <w:rsid w:val="00A82058"/>
    <w:rsid w:val="00A84AE7"/>
    <w:rsid w:val="00A8649A"/>
    <w:rsid w:val="00A869B0"/>
    <w:rsid w:val="00A87BDB"/>
    <w:rsid w:val="00A901B2"/>
    <w:rsid w:val="00A9289F"/>
    <w:rsid w:val="00A92C1D"/>
    <w:rsid w:val="00A96998"/>
    <w:rsid w:val="00AA0C77"/>
    <w:rsid w:val="00AA1D27"/>
    <w:rsid w:val="00AA204C"/>
    <w:rsid w:val="00AA2D57"/>
    <w:rsid w:val="00AA3405"/>
    <w:rsid w:val="00AA3941"/>
    <w:rsid w:val="00AA56D0"/>
    <w:rsid w:val="00AB0C9F"/>
    <w:rsid w:val="00AB143A"/>
    <w:rsid w:val="00AC003C"/>
    <w:rsid w:val="00AC0103"/>
    <w:rsid w:val="00AC1404"/>
    <w:rsid w:val="00AD039F"/>
    <w:rsid w:val="00AD3902"/>
    <w:rsid w:val="00AD482B"/>
    <w:rsid w:val="00AD6010"/>
    <w:rsid w:val="00AE33FF"/>
    <w:rsid w:val="00AF06D5"/>
    <w:rsid w:val="00AF09DD"/>
    <w:rsid w:val="00AF518B"/>
    <w:rsid w:val="00B01738"/>
    <w:rsid w:val="00B02655"/>
    <w:rsid w:val="00B05102"/>
    <w:rsid w:val="00B11F56"/>
    <w:rsid w:val="00B15E16"/>
    <w:rsid w:val="00B16A34"/>
    <w:rsid w:val="00B20315"/>
    <w:rsid w:val="00B25453"/>
    <w:rsid w:val="00B2730D"/>
    <w:rsid w:val="00B274AA"/>
    <w:rsid w:val="00B31B9C"/>
    <w:rsid w:val="00B34D6C"/>
    <w:rsid w:val="00B516FD"/>
    <w:rsid w:val="00B54B76"/>
    <w:rsid w:val="00B5544F"/>
    <w:rsid w:val="00B5546D"/>
    <w:rsid w:val="00B55E5D"/>
    <w:rsid w:val="00B60A36"/>
    <w:rsid w:val="00B639AC"/>
    <w:rsid w:val="00B66867"/>
    <w:rsid w:val="00B66994"/>
    <w:rsid w:val="00B713E3"/>
    <w:rsid w:val="00B71AFB"/>
    <w:rsid w:val="00B71F3A"/>
    <w:rsid w:val="00B73C97"/>
    <w:rsid w:val="00B76340"/>
    <w:rsid w:val="00B77979"/>
    <w:rsid w:val="00B80C43"/>
    <w:rsid w:val="00B87617"/>
    <w:rsid w:val="00B91B6B"/>
    <w:rsid w:val="00B94786"/>
    <w:rsid w:val="00B9598A"/>
    <w:rsid w:val="00BA78B6"/>
    <w:rsid w:val="00BB158E"/>
    <w:rsid w:val="00BB26AD"/>
    <w:rsid w:val="00BB79BD"/>
    <w:rsid w:val="00BC7208"/>
    <w:rsid w:val="00BD0B48"/>
    <w:rsid w:val="00BD2A0A"/>
    <w:rsid w:val="00BD5D0F"/>
    <w:rsid w:val="00BD7C68"/>
    <w:rsid w:val="00BE1CBC"/>
    <w:rsid w:val="00BE29DC"/>
    <w:rsid w:val="00BF697A"/>
    <w:rsid w:val="00BF6ADB"/>
    <w:rsid w:val="00BF736B"/>
    <w:rsid w:val="00C00C47"/>
    <w:rsid w:val="00C031B9"/>
    <w:rsid w:val="00C03776"/>
    <w:rsid w:val="00C13821"/>
    <w:rsid w:val="00C14051"/>
    <w:rsid w:val="00C15F73"/>
    <w:rsid w:val="00C2037B"/>
    <w:rsid w:val="00C22FF7"/>
    <w:rsid w:val="00C27F76"/>
    <w:rsid w:val="00C30DA4"/>
    <w:rsid w:val="00C344D5"/>
    <w:rsid w:val="00C44719"/>
    <w:rsid w:val="00C50108"/>
    <w:rsid w:val="00C5451B"/>
    <w:rsid w:val="00C60D79"/>
    <w:rsid w:val="00C655BD"/>
    <w:rsid w:val="00C6572C"/>
    <w:rsid w:val="00C70CFF"/>
    <w:rsid w:val="00C713D8"/>
    <w:rsid w:val="00C74F77"/>
    <w:rsid w:val="00C75655"/>
    <w:rsid w:val="00C837C3"/>
    <w:rsid w:val="00C84497"/>
    <w:rsid w:val="00C868F6"/>
    <w:rsid w:val="00C9137C"/>
    <w:rsid w:val="00C91644"/>
    <w:rsid w:val="00C9663B"/>
    <w:rsid w:val="00CA43A5"/>
    <w:rsid w:val="00CA55A7"/>
    <w:rsid w:val="00CA7C0B"/>
    <w:rsid w:val="00CB5507"/>
    <w:rsid w:val="00CB6E2B"/>
    <w:rsid w:val="00CB6FF7"/>
    <w:rsid w:val="00CB7302"/>
    <w:rsid w:val="00CC1E9F"/>
    <w:rsid w:val="00CC2D9B"/>
    <w:rsid w:val="00CC30E1"/>
    <w:rsid w:val="00CC5896"/>
    <w:rsid w:val="00CD5F9E"/>
    <w:rsid w:val="00CE0C35"/>
    <w:rsid w:val="00CE3810"/>
    <w:rsid w:val="00CE495D"/>
    <w:rsid w:val="00CE52B4"/>
    <w:rsid w:val="00CE5DCD"/>
    <w:rsid w:val="00CE701C"/>
    <w:rsid w:val="00CE7599"/>
    <w:rsid w:val="00CF414A"/>
    <w:rsid w:val="00CF4FF0"/>
    <w:rsid w:val="00CF5B47"/>
    <w:rsid w:val="00D03B32"/>
    <w:rsid w:val="00D104F9"/>
    <w:rsid w:val="00D123D7"/>
    <w:rsid w:val="00D14323"/>
    <w:rsid w:val="00D14784"/>
    <w:rsid w:val="00D16008"/>
    <w:rsid w:val="00D166D4"/>
    <w:rsid w:val="00D2750F"/>
    <w:rsid w:val="00D30254"/>
    <w:rsid w:val="00D323AC"/>
    <w:rsid w:val="00D33768"/>
    <w:rsid w:val="00D33D87"/>
    <w:rsid w:val="00D35077"/>
    <w:rsid w:val="00D35981"/>
    <w:rsid w:val="00D35A6E"/>
    <w:rsid w:val="00D37D53"/>
    <w:rsid w:val="00D408A8"/>
    <w:rsid w:val="00D46DAE"/>
    <w:rsid w:val="00D51C8F"/>
    <w:rsid w:val="00D5204B"/>
    <w:rsid w:val="00D54C10"/>
    <w:rsid w:val="00D55191"/>
    <w:rsid w:val="00D55CD0"/>
    <w:rsid w:val="00D57544"/>
    <w:rsid w:val="00D57973"/>
    <w:rsid w:val="00D60CE2"/>
    <w:rsid w:val="00D612EC"/>
    <w:rsid w:val="00D6153E"/>
    <w:rsid w:val="00D623C4"/>
    <w:rsid w:val="00D631FB"/>
    <w:rsid w:val="00D70AB0"/>
    <w:rsid w:val="00D722DF"/>
    <w:rsid w:val="00D84675"/>
    <w:rsid w:val="00D8526A"/>
    <w:rsid w:val="00D86252"/>
    <w:rsid w:val="00D905BF"/>
    <w:rsid w:val="00D917F3"/>
    <w:rsid w:val="00D95C41"/>
    <w:rsid w:val="00D97BAA"/>
    <w:rsid w:val="00DA1011"/>
    <w:rsid w:val="00DA167C"/>
    <w:rsid w:val="00DA3AF3"/>
    <w:rsid w:val="00DA5455"/>
    <w:rsid w:val="00DA54DA"/>
    <w:rsid w:val="00DA5C2B"/>
    <w:rsid w:val="00DA7482"/>
    <w:rsid w:val="00DB0132"/>
    <w:rsid w:val="00DB5EFB"/>
    <w:rsid w:val="00DB6EF1"/>
    <w:rsid w:val="00DC19BB"/>
    <w:rsid w:val="00DC6404"/>
    <w:rsid w:val="00DD022E"/>
    <w:rsid w:val="00DD7FDF"/>
    <w:rsid w:val="00DE1703"/>
    <w:rsid w:val="00DE25AC"/>
    <w:rsid w:val="00DF2E71"/>
    <w:rsid w:val="00DF568D"/>
    <w:rsid w:val="00E00CCB"/>
    <w:rsid w:val="00E038A9"/>
    <w:rsid w:val="00E042C7"/>
    <w:rsid w:val="00E042E5"/>
    <w:rsid w:val="00E0781A"/>
    <w:rsid w:val="00E11475"/>
    <w:rsid w:val="00E1687C"/>
    <w:rsid w:val="00E175A7"/>
    <w:rsid w:val="00E20168"/>
    <w:rsid w:val="00E20740"/>
    <w:rsid w:val="00E20E92"/>
    <w:rsid w:val="00E224AD"/>
    <w:rsid w:val="00E245DA"/>
    <w:rsid w:val="00E24645"/>
    <w:rsid w:val="00E26B69"/>
    <w:rsid w:val="00E314E3"/>
    <w:rsid w:val="00E31801"/>
    <w:rsid w:val="00E31BCB"/>
    <w:rsid w:val="00E32963"/>
    <w:rsid w:val="00E337BC"/>
    <w:rsid w:val="00E350CD"/>
    <w:rsid w:val="00E372A9"/>
    <w:rsid w:val="00E4001B"/>
    <w:rsid w:val="00E42232"/>
    <w:rsid w:val="00E51FDE"/>
    <w:rsid w:val="00E534B2"/>
    <w:rsid w:val="00E5642C"/>
    <w:rsid w:val="00E56B66"/>
    <w:rsid w:val="00E570A2"/>
    <w:rsid w:val="00E579AF"/>
    <w:rsid w:val="00E67CED"/>
    <w:rsid w:val="00E705B7"/>
    <w:rsid w:val="00E7086E"/>
    <w:rsid w:val="00E70ECC"/>
    <w:rsid w:val="00E71A89"/>
    <w:rsid w:val="00E7304F"/>
    <w:rsid w:val="00E77197"/>
    <w:rsid w:val="00E8167E"/>
    <w:rsid w:val="00E81B1A"/>
    <w:rsid w:val="00E84F36"/>
    <w:rsid w:val="00E84FB3"/>
    <w:rsid w:val="00E87037"/>
    <w:rsid w:val="00EA0F03"/>
    <w:rsid w:val="00EA16DD"/>
    <w:rsid w:val="00EA1EF9"/>
    <w:rsid w:val="00EA2CA0"/>
    <w:rsid w:val="00EA7237"/>
    <w:rsid w:val="00EB055B"/>
    <w:rsid w:val="00EB112A"/>
    <w:rsid w:val="00EB1FC8"/>
    <w:rsid w:val="00EB3432"/>
    <w:rsid w:val="00EB7A4E"/>
    <w:rsid w:val="00EC1212"/>
    <w:rsid w:val="00EC1D3D"/>
    <w:rsid w:val="00EC3331"/>
    <w:rsid w:val="00EC466F"/>
    <w:rsid w:val="00EC677E"/>
    <w:rsid w:val="00EC7E67"/>
    <w:rsid w:val="00ED3CEB"/>
    <w:rsid w:val="00ED5B5C"/>
    <w:rsid w:val="00ED70BD"/>
    <w:rsid w:val="00ED70EE"/>
    <w:rsid w:val="00EE0B3E"/>
    <w:rsid w:val="00EE37BB"/>
    <w:rsid w:val="00EF4099"/>
    <w:rsid w:val="00EF6BDC"/>
    <w:rsid w:val="00F01B57"/>
    <w:rsid w:val="00F01C4C"/>
    <w:rsid w:val="00F02786"/>
    <w:rsid w:val="00F0434F"/>
    <w:rsid w:val="00F0670F"/>
    <w:rsid w:val="00F07FA6"/>
    <w:rsid w:val="00F11BB3"/>
    <w:rsid w:val="00F13036"/>
    <w:rsid w:val="00F21D1A"/>
    <w:rsid w:val="00F22865"/>
    <w:rsid w:val="00F24D75"/>
    <w:rsid w:val="00F25AD9"/>
    <w:rsid w:val="00F261E3"/>
    <w:rsid w:val="00F34B2F"/>
    <w:rsid w:val="00F34F33"/>
    <w:rsid w:val="00F36D1F"/>
    <w:rsid w:val="00F3769E"/>
    <w:rsid w:val="00F40F06"/>
    <w:rsid w:val="00F42669"/>
    <w:rsid w:val="00F4749B"/>
    <w:rsid w:val="00F5093B"/>
    <w:rsid w:val="00F514FB"/>
    <w:rsid w:val="00F56CE9"/>
    <w:rsid w:val="00F573BD"/>
    <w:rsid w:val="00F6094C"/>
    <w:rsid w:val="00F61151"/>
    <w:rsid w:val="00F64ECE"/>
    <w:rsid w:val="00F67B6E"/>
    <w:rsid w:val="00F73818"/>
    <w:rsid w:val="00F77765"/>
    <w:rsid w:val="00F77EC3"/>
    <w:rsid w:val="00F85E98"/>
    <w:rsid w:val="00F865A9"/>
    <w:rsid w:val="00FA3764"/>
    <w:rsid w:val="00FA7C8B"/>
    <w:rsid w:val="00FB0249"/>
    <w:rsid w:val="00FB2D7E"/>
    <w:rsid w:val="00FB793A"/>
    <w:rsid w:val="00FC4985"/>
    <w:rsid w:val="00FC5915"/>
    <w:rsid w:val="00FC5D6D"/>
    <w:rsid w:val="00FD6657"/>
    <w:rsid w:val="00FF1A54"/>
    <w:rsid w:val="00FF78A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NoSpacing">
    <w:name w:val="No Spacing"/>
    <w:uiPriority w:val="1"/>
    <w:qFormat/>
    <w:rsid w:val="00396096"/>
    <w:pPr>
      <w:spacing w:after="0" w:line="240" w:lineRule="auto"/>
    </w:pPr>
    <w:rPr>
      <w:rFonts w:ascii="Calibri" w:eastAsia="Calibri" w:hAnsi="Calibri" w:cs="Times New Roman"/>
    </w:rPr>
  </w:style>
  <w:style w:type="paragraph" w:styleId="Footer">
    <w:name w:val="footer"/>
    <w:basedOn w:val="Normal"/>
    <w:link w:val="FooterChar"/>
    <w:uiPriority w:val="99"/>
    <w:rsid w:val="009A21F0"/>
    <w:pPr>
      <w:widowControl/>
      <w:tabs>
        <w:tab w:val="center" w:pos="4320"/>
        <w:tab w:val="right" w:pos="8640"/>
      </w:tabs>
    </w:pPr>
    <w:rPr>
      <w:sz w:val="24"/>
    </w:rPr>
  </w:style>
  <w:style w:type="character" w:customStyle="1" w:styleId="FooterChar">
    <w:name w:val="Footer Char"/>
    <w:basedOn w:val="DefaultParagraphFont"/>
    <w:link w:val="Footer"/>
    <w:uiPriority w:val="99"/>
    <w:rsid w:val="009A21F0"/>
    <w:rPr>
      <w:rFonts w:ascii="Times New Roman" w:eastAsia="Times New Roman" w:hAnsi="Times New Roman" w:cs="Times New Roman"/>
      <w:sz w:val="24"/>
      <w:szCs w:val="20"/>
    </w:rPr>
  </w:style>
  <w:style w:type="character" w:customStyle="1" w:styleId="Bodytext">
    <w:name w:val="Body text_"/>
    <w:link w:val="BodyText3"/>
    <w:rsid w:val="009728FC"/>
    <w:rPr>
      <w:rFonts w:ascii="Times New Roman" w:eastAsia="Times New Roman" w:hAnsi="Times New Roman" w:cs="Times New Roman"/>
      <w:shd w:val="clear" w:color="auto" w:fill="FFFFFF"/>
    </w:rPr>
  </w:style>
  <w:style w:type="character" w:customStyle="1" w:styleId="BodytextBold">
    <w:name w:val="Body text + Bold"/>
    <w:rsid w:val="009728FC"/>
    <w:rPr>
      <w:rFonts w:ascii="Times New Roman" w:eastAsia="Times New Roman" w:hAnsi="Times New Roman" w:cs="Times New Roman"/>
      <w:b/>
      <w:bCs/>
      <w:color w:val="000000"/>
      <w:spacing w:val="0"/>
      <w:w w:val="100"/>
      <w:position w:val="0"/>
      <w:shd w:val="clear" w:color="auto" w:fill="FFFFFF"/>
      <w:lang w:val="en-US"/>
    </w:rPr>
  </w:style>
  <w:style w:type="character" w:customStyle="1" w:styleId="BodyText1">
    <w:name w:val="Body Text1"/>
    <w:rsid w:val="009728FC"/>
    <w:rPr>
      <w:rFonts w:ascii="Times New Roman" w:eastAsia="Times New Roman" w:hAnsi="Times New Roman" w:cs="Times New Roman"/>
      <w:color w:val="000000"/>
      <w:spacing w:val="0"/>
      <w:w w:val="100"/>
      <w:position w:val="0"/>
      <w:shd w:val="clear" w:color="auto" w:fill="FFFFFF"/>
      <w:lang w:val="en-US"/>
    </w:rPr>
  </w:style>
  <w:style w:type="character" w:customStyle="1" w:styleId="BodytextFranklinGothicMedium">
    <w:name w:val="Body text + Franklin Gothic Medium"/>
    <w:aliases w:val="10.5 pt"/>
    <w:rsid w:val="009728FC"/>
    <w:rPr>
      <w:rFonts w:ascii="Franklin Gothic Medium" w:eastAsia="Franklin Gothic Medium" w:hAnsi="Franklin Gothic Medium" w:cs="Franklin Gothic Medium"/>
      <w:color w:val="000000"/>
      <w:spacing w:val="0"/>
      <w:w w:val="100"/>
      <w:position w:val="0"/>
      <w:sz w:val="21"/>
      <w:szCs w:val="21"/>
      <w:shd w:val="clear" w:color="auto" w:fill="FFFFFF"/>
    </w:rPr>
  </w:style>
  <w:style w:type="paragraph" w:customStyle="1" w:styleId="BodyText3">
    <w:name w:val="Body Text3"/>
    <w:basedOn w:val="Normal"/>
    <w:link w:val="Bodytext"/>
    <w:rsid w:val="009728FC"/>
    <w:pPr>
      <w:shd w:val="clear" w:color="auto" w:fill="FFFFFF"/>
      <w:spacing w:line="518" w:lineRule="exact"/>
      <w:ind w:hanging="680"/>
    </w:pPr>
    <w:rPr>
      <w:sz w:val="22"/>
      <w:szCs w:val="22"/>
    </w:rPr>
  </w:style>
  <w:style w:type="character" w:customStyle="1" w:styleId="BodytextItalic">
    <w:name w:val="Body text + Italic"/>
    <w:rsid w:val="009728FC"/>
    <w:rPr>
      <w:rFonts w:ascii="Times New Roman" w:eastAsia="Times New Roman" w:hAnsi="Times New Roman" w:cs="Times New Roman"/>
      <w:i/>
      <w:iCs/>
      <w:color w:val="000000"/>
      <w:spacing w:val="0"/>
      <w:w w:val="100"/>
      <w:position w:val="0"/>
      <w:shd w:val="clear" w:color="auto" w:fill="FFFFFF"/>
      <w:lang w:val="en-US"/>
    </w:rPr>
  </w:style>
  <w:style w:type="paragraph" w:styleId="FootnoteText">
    <w:name w:val="footnote text"/>
    <w:basedOn w:val="Normal"/>
    <w:link w:val="FootnoteTextChar"/>
    <w:rsid w:val="00A96998"/>
    <w:pPr>
      <w:widowControl/>
      <w:autoSpaceDE w:val="0"/>
      <w:autoSpaceDN w:val="0"/>
    </w:pPr>
    <w:rPr>
      <w:rFonts w:ascii="CG Times" w:hAnsi="CG Times" w:cs="CG Times"/>
      <w:sz w:val="24"/>
      <w:szCs w:val="24"/>
    </w:rPr>
  </w:style>
  <w:style w:type="character" w:customStyle="1" w:styleId="FootnoteTextChar">
    <w:name w:val="Footnote Text Char"/>
    <w:basedOn w:val="DefaultParagraphFont"/>
    <w:link w:val="FootnoteText"/>
    <w:rsid w:val="00A96998"/>
    <w:rPr>
      <w:rFonts w:ascii="CG Times" w:eastAsia="Times New Roman" w:hAnsi="CG Times" w:cs="CG Times"/>
      <w:sz w:val="24"/>
      <w:szCs w:val="24"/>
    </w:rPr>
  </w:style>
  <w:style w:type="paragraph" w:styleId="ListParagraph">
    <w:name w:val="List Paragraph"/>
    <w:basedOn w:val="Normal"/>
    <w:uiPriority w:val="34"/>
    <w:qFormat/>
    <w:rsid w:val="009D7F85"/>
    <w:pPr>
      <w:ind w:left="720"/>
      <w:contextualSpacing/>
    </w:pPr>
  </w:style>
  <w:style w:type="paragraph" w:styleId="EndnoteText">
    <w:name w:val="endnote text"/>
    <w:basedOn w:val="Normal"/>
    <w:link w:val="EndnoteTextChar"/>
    <w:uiPriority w:val="99"/>
    <w:semiHidden/>
    <w:unhideWhenUsed/>
    <w:rsid w:val="00193632"/>
  </w:style>
  <w:style w:type="character" w:customStyle="1" w:styleId="EndnoteTextChar">
    <w:name w:val="Endnote Text Char"/>
    <w:basedOn w:val="DefaultParagraphFont"/>
    <w:link w:val="EndnoteText"/>
    <w:uiPriority w:val="99"/>
    <w:semiHidden/>
    <w:rsid w:val="0019363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93632"/>
    <w:rPr>
      <w:vertAlign w:val="superscript"/>
    </w:rPr>
  </w:style>
  <w:style w:type="paragraph" w:styleId="Header">
    <w:name w:val="header"/>
    <w:basedOn w:val="Normal"/>
    <w:link w:val="HeaderChar"/>
    <w:uiPriority w:val="99"/>
    <w:unhideWhenUsed/>
    <w:rsid w:val="00571B2F"/>
    <w:pPr>
      <w:tabs>
        <w:tab w:val="center" w:pos="4680"/>
        <w:tab w:val="right" w:pos="9360"/>
      </w:tabs>
    </w:pPr>
  </w:style>
  <w:style w:type="character" w:customStyle="1" w:styleId="HeaderChar">
    <w:name w:val="Header Char"/>
    <w:basedOn w:val="DefaultParagraphFont"/>
    <w:link w:val="Header"/>
    <w:uiPriority w:val="99"/>
    <w:rsid w:val="00571B2F"/>
    <w:rPr>
      <w:rFonts w:ascii="Times New Roman" w:eastAsia="Times New Roman" w:hAnsi="Times New Roman" w:cs="Times New Roman"/>
      <w:sz w:val="20"/>
      <w:szCs w:val="20"/>
    </w:rPr>
  </w:style>
  <w:style w:type="paragraph" w:styleId="BodyText0">
    <w:name w:val="Body Text"/>
    <w:basedOn w:val="Normal"/>
    <w:link w:val="BodyTextChar"/>
    <w:rsid w:val="00F5093B"/>
    <w:pPr>
      <w:widowControl/>
      <w:spacing w:after="120" w:line="360" w:lineRule="auto"/>
    </w:pPr>
    <w:rPr>
      <w:rFonts w:ascii="CG Times" w:hAnsi="CG Times"/>
      <w:sz w:val="24"/>
    </w:rPr>
  </w:style>
  <w:style w:type="character" w:customStyle="1" w:styleId="BodyTextChar">
    <w:name w:val="Body Text Char"/>
    <w:basedOn w:val="DefaultParagraphFont"/>
    <w:link w:val="BodyText0"/>
    <w:rsid w:val="00F5093B"/>
    <w:rPr>
      <w:rFonts w:ascii="CG Times" w:eastAsia="Times New Roman" w:hAnsi="CG Times" w:cs="Times New Roman"/>
      <w:sz w:val="24"/>
      <w:szCs w:val="20"/>
    </w:rPr>
  </w:style>
  <w:style w:type="paragraph" w:styleId="Revision">
    <w:name w:val="Revision"/>
    <w:hidden/>
    <w:uiPriority w:val="99"/>
    <w:semiHidden/>
    <w:rsid w:val="009E0913"/>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438A6"/>
    <w:rPr>
      <w:sz w:val="16"/>
      <w:szCs w:val="16"/>
    </w:rPr>
  </w:style>
  <w:style w:type="paragraph" w:styleId="CommentText">
    <w:name w:val="annotation text"/>
    <w:basedOn w:val="Normal"/>
    <w:link w:val="CommentTextChar"/>
    <w:uiPriority w:val="99"/>
    <w:semiHidden/>
    <w:unhideWhenUsed/>
    <w:rsid w:val="007438A6"/>
  </w:style>
  <w:style w:type="character" w:customStyle="1" w:styleId="CommentTextChar">
    <w:name w:val="Comment Text Char"/>
    <w:basedOn w:val="DefaultParagraphFont"/>
    <w:link w:val="CommentText"/>
    <w:uiPriority w:val="99"/>
    <w:semiHidden/>
    <w:rsid w:val="007438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38A6"/>
    <w:rPr>
      <w:b/>
      <w:bCs/>
    </w:rPr>
  </w:style>
  <w:style w:type="character" w:customStyle="1" w:styleId="CommentSubjectChar">
    <w:name w:val="Comment Subject Char"/>
    <w:basedOn w:val="CommentTextChar"/>
    <w:link w:val="CommentSubject"/>
    <w:uiPriority w:val="99"/>
    <w:semiHidden/>
    <w:rsid w:val="007438A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NoSpacing">
    <w:name w:val="No Spacing"/>
    <w:uiPriority w:val="1"/>
    <w:qFormat/>
    <w:rsid w:val="00396096"/>
    <w:pPr>
      <w:spacing w:after="0" w:line="240" w:lineRule="auto"/>
    </w:pPr>
    <w:rPr>
      <w:rFonts w:ascii="Calibri" w:eastAsia="Calibri" w:hAnsi="Calibri" w:cs="Times New Roman"/>
    </w:rPr>
  </w:style>
  <w:style w:type="paragraph" w:styleId="Footer">
    <w:name w:val="footer"/>
    <w:basedOn w:val="Normal"/>
    <w:link w:val="FooterChar"/>
    <w:uiPriority w:val="99"/>
    <w:rsid w:val="009A21F0"/>
    <w:pPr>
      <w:widowControl/>
      <w:tabs>
        <w:tab w:val="center" w:pos="4320"/>
        <w:tab w:val="right" w:pos="8640"/>
      </w:tabs>
    </w:pPr>
    <w:rPr>
      <w:sz w:val="24"/>
    </w:rPr>
  </w:style>
  <w:style w:type="character" w:customStyle="1" w:styleId="FooterChar">
    <w:name w:val="Footer Char"/>
    <w:basedOn w:val="DefaultParagraphFont"/>
    <w:link w:val="Footer"/>
    <w:uiPriority w:val="99"/>
    <w:rsid w:val="009A21F0"/>
    <w:rPr>
      <w:rFonts w:ascii="Times New Roman" w:eastAsia="Times New Roman" w:hAnsi="Times New Roman" w:cs="Times New Roman"/>
      <w:sz w:val="24"/>
      <w:szCs w:val="20"/>
    </w:rPr>
  </w:style>
  <w:style w:type="character" w:customStyle="1" w:styleId="Bodytext">
    <w:name w:val="Body text_"/>
    <w:link w:val="BodyText3"/>
    <w:rsid w:val="009728FC"/>
    <w:rPr>
      <w:rFonts w:ascii="Times New Roman" w:eastAsia="Times New Roman" w:hAnsi="Times New Roman" w:cs="Times New Roman"/>
      <w:shd w:val="clear" w:color="auto" w:fill="FFFFFF"/>
    </w:rPr>
  </w:style>
  <w:style w:type="character" w:customStyle="1" w:styleId="BodytextBold">
    <w:name w:val="Body text + Bold"/>
    <w:rsid w:val="009728FC"/>
    <w:rPr>
      <w:rFonts w:ascii="Times New Roman" w:eastAsia="Times New Roman" w:hAnsi="Times New Roman" w:cs="Times New Roman"/>
      <w:b/>
      <w:bCs/>
      <w:color w:val="000000"/>
      <w:spacing w:val="0"/>
      <w:w w:val="100"/>
      <w:position w:val="0"/>
      <w:shd w:val="clear" w:color="auto" w:fill="FFFFFF"/>
      <w:lang w:val="en-US"/>
    </w:rPr>
  </w:style>
  <w:style w:type="character" w:customStyle="1" w:styleId="BodyText1">
    <w:name w:val="Body Text1"/>
    <w:rsid w:val="009728FC"/>
    <w:rPr>
      <w:rFonts w:ascii="Times New Roman" w:eastAsia="Times New Roman" w:hAnsi="Times New Roman" w:cs="Times New Roman"/>
      <w:color w:val="000000"/>
      <w:spacing w:val="0"/>
      <w:w w:val="100"/>
      <w:position w:val="0"/>
      <w:shd w:val="clear" w:color="auto" w:fill="FFFFFF"/>
      <w:lang w:val="en-US"/>
    </w:rPr>
  </w:style>
  <w:style w:type="character" w:customStyle="1" w:styleId="BodytextFranklinGothicMedium">
    <w:name w:val="Body text + Franklin Gothic Medium"/>
    <w:aliases w:val="10.5 pt"/>
    <w:rsid w:val="009728FC"/>
    <w:rPr>
      <w:rFonts w:ascii="Franklin Gothic Medium" w:eastAsia="Franklin Gothic Medium" w:hAnsi="Franklin Gothic Medium" w:cs="Franklin Gothic Medium"/>
      <w:color w:val="000000"/>
      <w:spacing w:val="0"/>
      <w:w w:val="100"/>
      <w:position w:val="0"/>
      <w:sz w:val="21"/>
      <w:szCs w:val="21"/>
      <w:shd w:val="clear" w:color="auto" w:fill="FFFFFF"/>
    </w:rPr>
  </w:style>
  <w:style w:type="paragraph" w:customStyle="1" w:styleId="BodyText3">
    <w:name w:val="Body Text3"/>
    <w:basedOn w:val="Normal"/>
    <w:link w:val="Bodytext"/>
    <w:rsid w:val="009728FC"/>
    <w:pPr>
      <w:shd w:val="clear" w:color="auto" w:fill="FFFFFF"/>
      <w:spacing w:line="518" w:lineRule="exact"/>
      <w:ind w:hanging="680"/>
    </w:pPr>
    <w:rPr>
      <w:sz w:val="22"/>
      <w:szCs w:val="22"/>
    </w:rPr>
  </w:style>
  <w:style w:type="character" w:customStyle="1" w:styleId="BodytextItalic">
    <w:name w:val="Body text + Italic"/>
    <w:rsid w:val="009728FC"/>
    <w:rPr>
      <w:rFonts w:ascii="Times New Roman" w:eastAsia="Times New Roman" w:hAnsi="Times New Roman" w:cs="Times New Roman"/>
      <w:i/>
      <w:iCs/>
      <w:color w:val="000000"/>
      <w:spacing w:val="0"/>
      <w:w w:val="100"/>
      <w:position w:val="0"/>
      <w:shd w:val="clear" w:color="auto" w:fill="FFFFFF"/>
      <w:lang w:val="en-US"/>
    </w:rPr>
  </w:style>
  <w:style w:type="paragraph" w:styleId="FootnoteText">
    <w:name w:val="footnote text"/>
    <w:basedOn w:val="Normal"/>
    <w:link w:val="FootnoteTextChar"/>
    <w:rsid w:val="00A96998"/>
    <w:pPr>
      <w:widowControl/>
      <w:autoSpaceDE w:val="0"/>
      <w:autoSpaceDN w:val="0"/>
    </w:pPr>
    <w:rPr>
      <w:rFonts w:ascii="CG Times" w:hAnsi="CG Times" w:cs="CG Times"/>
      <w:sz w:val="24"/>
      <w:szCs w:val="24"/>
    </w:rPr>
  </w:style>
  <w:style w:type="character" w:customStyle="1" w:styleId="FootnoteTextChar">
    <w:name w:val="Footnote Text Char"/>
    <w:basedOn w:val="DefaultParagraphFont"/>
    <w:link w:val="FootnoteText"/>
    <w:rsid w:val="00A96998"/>
    <w:rPr>
      <w:rFonts w:ascii="CG Times" w:eastAsia="Times New Roman" w:hAnsi="CG Times" w:cs="CG Times"/>
      <w:sz w:val="24"/>
      <w:szCs w:val="24"/>
    </w:rPr>
  </w:style>
  <w:style w:type="paragraph" w:styleId="ListParagraph">
    <w:name w:val="List Paragraph"/>
    <w:basedOn w:val="Normal"/>
    <w:uiPriority w:val="34"/>
    <w:qFormat/>
    <w:rsid w:val="009D7F85"/>
    <w:pPr>
      <w:ind w:left="720"/>
      <w:contextualSpacing/>
    </w:pPr>
  </w:style>
  <w:style w:type="paragraph" w:styleId="EndnoteText">
    <w:name w:val="endnote text"/>
    <w:basedOn w:val="Normal"/>
    <w:link w:val="EndnoteTextChar"/>
    <w:uiPriority w:val="99"/>
    <w:semiHidden/>
    <w:unhideWhenUsed/>
    <w:rsid w:val="00193632"/>
  </w:style>
  <w:style w:type="character" w:customStyle="1" w:styleId="EndnoteTextChar">
    <w:name w:val="Endnote Text Char"/>
    <w:basedOn w:val="DefaultParagraphFont"/>
    <w:link w:val="EndnoteText"/>
    <w:uiPriority w:val="99"/>
    <w:semiHidden/>
    <w:rsid w:val="0019363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93632"/>
    <w:rPr>
      <w:vertAlign w:val="superscript"/>
    </w:rPr>
  </w:style>
  <w:style w:type="paragraph" w:styleId="Header">
    <w:name w:val="header"/>
    <w:basedOn w:val="Normal"/>
    <w:link w:val="HeaderChar"/>
    <w:uiPriority w:val="99"/>
    <w:unhideWhenUsed/>
    <w:rsid w:val="00571B2F"/>
    <w:pPr>
      <w:tabs>
        <w:tab w:val="center" w:pos="4680"/>
        <w:tab w:val="right" w:pos="9360"/>
      </w:tabs>
    </w:pPr>
  </w:style>
  <w:style w:type="character" w:customStyle="1" w:styleId="HeaderChar">
    <w:name w:val="Header Char"/>
    <w:basedOn w:val="DefaultParagraphFont"/>
    <w:link w:val="Header"/>
    <w:uiPriority w:val="99"/>
    <w:rsid w:val="00571B2F"/>
    <w:rPr>
      <w:rFonts w:ascii="Times New Roman" w:eastAsia="Times New Roman" w:hAnsi="Times New Roman" w:cs="Times New Roman"/>
      <w:sz w:val="20"/>
      <w:szCs w:val="20"/>
    </w:rPr>
  </w:style>
  <w:style w:type="paragraph" w:styleId="BodyText0">
    <w:name w:val="Body Text"/>
    <w:basedOn w:val="Normal"/>
    <w:link w:val="BodyTextChar"/>
    <w:rsid w:val="00F5093B"/>
    <w:pPr>
      <w:widowControl/>
      <w:spacing w:after="120" w:line="360" w:lineRule="auto"/>
    </w:pPr>
    <w:rPr>
      <w:rFonts w:ascii="CG Times" w:hAnsi="CG Times"/>
      <w:sz w:val="24"/>
    </w:rPr>
  </w:style>
  <w:style w:type="character" w:customStyle="1" w:styleId="BodyTextChar">
    <w:name w:val="Body Text Char"/>
    <w:basedOn w:val="DefaultParagraphFont"/>
    <w:link w:val="BodyText0"/>
    <w:rsid w:val="00F5093B"/>
    <w:rPr>
      <w:rFonts w:ascii="CG Times" w:eastAsia="Times New Roman" w:hAnsi="CG Times" w:cs="Times New Roman"/>
      <w:sz w:val="24"/>
      <w:szCs w:val="20"/>
    </w:rPr>
  </w:style>
  <w:style w:type="paragraph" w:styleId="Revision">
    <w:name w:val="Revision"/>
    <w:hidden/>
    <w:uiPriority w:val="99"/>
    <w:semiHidden/>
    <w:rsid w:val="009E0913"/>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438A6"/>
    <w:rPr>
      <w:sz w:val="16"/>
      <w:szCs w:val="16"/>
    </w:rPr>
  </w:style>
  <w:style w:type="paragraph" w:styleId="CommentText">
    <w:name w:val="annotation text"/>
    <w:basedOn w:val="Normal"/>
    <w:link w:val="CommentTextChar"/>
    <w:uiPriority w:val="99"/>
    <w:semiHidden/>
    <w:unhideWhenUsed/>
    <w:rsid w:val="007438A6"/>
  </w:style>
  <w:style w:type="character" w:customStyle="1" w:styleId="CommentTextChar">
    <w:name w:val="Comment Text Char"/>
    <w:basedOn w:val="DefaultParagraphFont"/>
    <w:link w:val="CommentText"/>
    <w:uiPriority w:val="99"/>
    <w:semiHidden/>
    <w:rsid w:val="007438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38A6"/>
    <w:rPr>
      <w:b/>
      <w:bCs/>
    </w:rPr>
  </w:style>
  <w:style w:type="character" w:customStyle="1" w:styleId="CommentSubjectChar">
    <w:name w:val="Comment Subject Char"/>
    <w:basedOn w:val="CommentTextChar"/>
    <w:link w:val="CommentSubject"/>
    <w:uiPriority w:val="99"/>
    <w:semiHidden/>
    <w:rsid w:val="007438A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23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c54e9b8aba5ba60ad7e4239e3640a5d8&amp;_xfercite=%3ccite%20cc%3d%22USA%22%3e%3c%21%5bCDATA%5b960%20A.2d%20189%5d%5d%3e%3c%2fcite%3e&amp;_butType=3&amp;_butStat=2&amp;_butNum=40&amp;_butInline=1&amp;_butinfo=%3ccite%20cc%3d%22USA%22%3e%3c%21%5bCDATA%5b572%20Pa.%20736%5d%5d%3e%3c%2fcite%3e&amp;_fmtstr=FULL&amp;docnum=3&amp;_startdoc=1&amp;wchp=dGLzVzB-zSkAl&amp;_md5=0b7a84d391fbe0fce37d1363ab0882e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xis.com/research/buttonTFLink?_m=c54e9b8aba5ba60ad7e4239e3640a5d8&amp;_xfercite=%3ccite%20cc%3d%22USA%22%3e%3c%21%5bCDATA%5b960%20A.2d%20189%5d%5d%3e%3c%2fcite%3e&amp;_butType=3&amp;_butStat=2&amp;_butNum=39&amp;_butInline=1&amp;_butinfo=%3ccite%20cc%3d%22USA%22%3e%3c%21%5bCDATA%5b792%20A.2d%20636%5d%5d%3e%3c%2fcite%3e&amp;_fmtstr=FULL&amp;docnum=3&amp;_startdoc=1&amp;wchp=dGLzVzB-zSkAl&amp;_md5=df5ffe1bb0d09b401ef45ae8dabe506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c54e9b8aba5ba60ad7e4239e3640a5d8&amp;_xfercite=%3ccite%20cc%3d%22USA%22%3e%3c%21%5bCDATA%5b960%20A.2d%20189%5d%5d%3e%3c%2fcite%3e&amp;_butType=4&amp;_butStat=0&amp;_butNum=38&amp;_butInline=1&amp;_butinfo=66%20PA.C.S.%202801&amp;_fmtstr=FULL&amp;docnum=3&amp;_startdoc=1&amp;wchp=dGLzVzB-zSkAl&amp;_md5=8706706d9ce85f1c1ef49cadc45161e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F46FD-AE7A-48C8-9DD5-74550569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7020</Words>
  <Characters>40018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3</cp:revision>
  <cp:lastPrinted>2014-09-11T11:06:00Z</cp:lastPrinted>
  <dcterms:created xsi:type="dcterms:W3CDTF">2014-09-30T18:47:00Z</dcterms:created>
  <dcterms:modified xsi:type="dcterms:W3CDTF">2014-09-30T19:32:00Z</dcterms:modified>
</cp:coreProperties>
</file>