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CDF" w:rsidRPr="003F7EE6" w:rsidRDefault="001F1CDF" w:rsidP="001F1CDF">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PENNSYLVANIA</w:t>
      </w:r>
    </w:p>
    <w:p w:rsidR="001F1CDF" w:rsidRPr="003F7EE6" w:rsidRDefault="001F1CDF" w:rsidP="001F1CDF">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PUBLIC UTILITY COMMISSION</w:t>
      </w:r>
    </w:p>
    <w:p w:rsidR="001F1CDF" w:rsidRPr="003F7EE6" w:rsidRDefault="001F1CDF" w:rsidP="001F1CDF">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Harrisburg, PA 17105-3265</w:t>
      </w:r>
    </w:p>
    <w:p w:rsidR="001F1CDF" w:rsidRPr="003F7EE6" w:rsidRDefault="001F1CDF" w:rsidP="001F1CDF">
      <w:pPr>
        <w:tabs>
          <w:tab w:val="left" w:pos="-720"/>
        </w:tabs>
        <w:suppressAutoHyphens/>
        <w:spacing w:after="0" w:line="240" w:lineRule="auto"/>
        <w:jc w:val="both"/>
        <w:rPr>
          <w:rFonts w:ascii="Times New Roman" w:eastAsia="Times New Roman" w:hAnsi="Times New Roman" w:cs="Times New Roman"/>
          <w:spacing w:val="-3"/>
          <w:sz w:val="26"/>
          <w:szCs w:val="26"/>
        </w:rPr>
      </w:pPr>
    </w:p>
    <w:p w:rsidR="001F1CDF" w:rsidRPr="003F7EE6" w:rsidRDefault="001F1CDF" w:rsidP="001F1CDF">
      <w:pPr>
        <w:tabs>
          <w:tab w:val="left" w:pos="-720"/>
        </w:tabs>
        <w:suppressAutoHyphens/>
        <w:spacing w:after="0" w:line="240" w:lineRule="auto"/>
        <w:jc w:val="right"/>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Public Meeting held </w:t>
      </w:r>
      <w:r>
        <w:rPr>
          <w:rFonts w:ascii="Times New Roman" w:eastAsia="Times New Roman" w:hAnsi="Times New Roman" w:cs="Times New Roman"/>
          <w:sz w:val="26"/>
          <w:szCs w:val="26"/>
        </w:rPr>
        <w:t>October 2</w:t>
      </w:r>
      <w:r w:rsidRPr="003F7EE6">
        <w:rPr>
          <w:rFonts w:ascii="Times New Roman" w:eastAsia="Times New Roman" w:hAnsi="Times New Roman" w:cs="Times New Roman"/>
          <w:sz w:val="26"/>
          <w:szCs w:val="26"/>
        </w:rPr>
        <w:t xml:space="preserve">, 2014 </w:t>
      </w:r>
    </w:p>
    <w:p w:rsidR="001F1CDF" w:rsidRPr="003F7EE6" w:rsidRDefault="001F1CDF" w:rsidP="001F1CDF">
      <w:pPr>
        <w:tabs>
          <w:tab w:val="left" w:pos="-720"/>
        </w:tabs>
        <w:suppressAutoHyphens/>
        <w:spacing w:after="0" w:line="240" w:lineRule="auto"/>
        <w:rPr>
          <w:rFonts w:ascii="Times New Roman" w:eastAsia="Times New Roman" w:hAnsi="Times New Roman" w:cs="Times New Roman"/>
          <w:sz w:val="26"/>
          <w:szCs w:val="26"/>
        </w:rPr>
      </w:pPr>
    </w:p>
    <w:p w:rsidR="001F1CDF" w:rsidRPr="003F7EE6" w:rsidRDefault="001F1CDF" w:rsidP="001F1CDF">
      <w:pPr>
        <w:tabs>
          <w:tab w:val="left" w:pos="-720"/>
        </w:tabs>
        <w:suppressAutoHyphens/>
        <w:spacing w:after="0" w:line="240" w:lineRule="auto"/>
        <w:rPr>
          <w:rFonts w:ascii="Times New Roman" w:eastAsia="Times New Roman" w:hAnsi="Times New Roman" w:cs="Times New Roman"/>
          <w:sz w:val="26"/>
          <w:szCs w:val="26"/>
        </w:rPr>
      </w:pPr>
    </w:p>
    <w:p w:rsidR="001F1CDF" w:rsidRPr="003F7EE6" w:rsidRDefault="001F1CDF" w:rsidP="001F1CDF">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Commissioners Present: </w:t>
      </w:r>
    </w:p>
    <w:p w:rsidR="001F1CDF" w:rsidRPr="003F7EE6" w:rsidRDefault="001F1CDF" w:rsidP="001F1CDF">
      <w:pPr>
        <w:tabs>
          <w:tab w:val="left" w:pos="-720"/>
        </w:tabs>
        <w:suppressAutoHyphens/>
        <w:spacing w:after="0" w:line="240" w:lineRule="auto"/>
        <w:rPr>
          <w:rFonts w:ascii="Times New Roman" w:eastAsia="Times New Roman" w:hAnsi="Times New Roman" w:cs="Times New Roman"/>
          <w:sz w:val="26"/>
          <w:szCs w:val="26"/>
        </w:rPr>
      </w:pPr>
    </w:p>
    <w:p w:rsidR="001F1CDF" w:rsidRPr="003F7EE6" w:rsidRDefault="001F1CDF" w:rsidP="001F1CDF">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t>Robert F. Powelson, Chairman</w:t>
      </w:r>
    </w:p>
    <w:p w:rsidR="001F1CDF" w:rsidRPr="003F7EE6" w:rsidRDefault="001F1CDF" w:rsidP="001F1CDF">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t>John F. Coleman, Jr., Vice Chairman</w:t>
      </w:r>
    </w:p>
    <w:p w:rsidR="001F1CDF" w:rsidRPr="003F7EE6" w:rsidRDefault="001F1CDF" w:rsidP="001F1CDF">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t>James H. Cawley</w:t>
      </w:r>
    </w:p>
    <w:p w:rsidR="001F1CDF" w:rsidRPr="003F7EE6" w:rsidRDefault="001F1CDF" w:rsidP="001F1CDF">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t>Pamela A. Witmer</w:t>
      </w:r>
    </w:p>
    <w:p w:rsidR="001F1CDF" w:rsidRPr="003F7EE6" w:rsidRDefault="001F1CDF" w:rsidP="001F1CDF">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t>Gladys M. Brown</w:t>
      </w:r>
    </w:p>
    <w:p w:rsidR="001F1CDF" w:rsidRPr="003F7EE6" w:rsidRDefault="001F1CDF" w:rsidP="001F1CDF">
      <w:pPr>
        <w:tabs>
          <w:tab w:val="left" w:pos="-720"/>
        </w:tabs>
        <w:suppressAutoHyphens/>
        <w:spacing w:after="0" w:line="240" w:lineRule="auto"/>
        <w:rPr>
          <w:rFonts w:ascii="Times New Roman" w:eastAsia="Times New Roman" w:hAnsi="Times New Roman" w:cs="Times New Roman"/>
          <w:sz w:val="26"/>
          <w:szCs w:val="26"/>
        </w:rPr>
      </w:pPr>
    </w:p>
    <w:p w:rsidR="001F1CDF" w:rsidRPr="003F7EE6" w:rsidRDefault="001F1CDF" w:rsidP="001F1CDF">
      <w:pPr>
        <w:tabs>
          <w:tab w:val="left" w:pos="-720"/>
        </w:tabs>
        <w:suppressAutoHyphens/>
        <w:spacing w:after="0" w:line="240" w:lineRule="auto"/>
        <w:rPr>
          <w:rFonts w:ascii="Times New Roman" w:eastAsia="Times New Roman" w:hAnsi="Times New Roman" w:cs="Times New Roman"/>
          <w:sz w:val="26"/>
          <w:szCs w:val="26"/>
        </w:rPr>
      </w:pPr>
    </w:p>
    <w:tbl>
      <w:tblPr>
        <w:tblW w:w="9918" w:type="dxa"/>
        <w:tblLayout w:type="fixed"/>
        <w:tblLook w:val="0000" w:firstRow="0" w:lastRow="0" w:firstColumn="0" w:lastColumn="0" w:noHBand="0" w:noVBand="0"/>
      </w:tblPr>
      <w:tblGrid>
        <w:gridCol w:w="5238"/>
        <w:gridCol w:w="1080"/>
        <w:gridCol w:w="3600"/>
      </w:tblGrid>
      <w:tr w:rsidR="001F1CDF" w:rsidRPr="003F7EE6" w:rsidTr="00FF19A8">
        <w:tc>
          <w:tcPr>
            <w:tcW w:w="5238" w:type="dxa"/>
          </w:tcPr>
          <w:p w:rsidR="001F1CDF" w:rsidRPr="003F7EE6" w:rsidRDefault="001F1CDF" w:rsidP="008206D1">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Pennsylvania Public Utility Commission,</w:t>
            </w:r>
          </w:p>
          <w:p w:rsidR="001F1CDF" w:rsidRPr="003F7EE6" w:rsidRDefault="001F1CDF" w:rsidP="008206D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Law </w:t>
            </w:r>
            <w:r w:rsidRPr="003F7EE6">
              <w:rPr>
                <w:rFonts w:ascii="Times New Roman" w:eastAsia="Times New Roman" w:hAnsi="Times New Roman" w:cs="Times New Roman"/>
                <w:sz w:val="26"/>
                <w:szCs w:val="26"/>
              </w:rPr>
              <w:t>Bureau</w:t>
            </w:r>
            <w:r>
              <w:rPr>
                <w:rFonts w:ascii="Times New Roman" w:eastAsia="Times New Roman" w:hAnsi="Times New Roman" w:cs="Times New Roman"/>
                <w:sz w:val="26"/>
                <w:szCs w:val="26"/>
              </w:rPr>
              <w:t xml:space="preserve"> Prosecutory Staff</w:t>
            </w:r>
            <w:r w:rsidRPr="003F7EE6">
              <w:rPr>
                <w:rFonts w:ascii="Times New Roman" w:eastAsia="Times New Roman" w:hAnsi="Times New Roman" w:cs="Times New Roman"/>
                <w:sz w:val="26"/>
                <w:szCs w:val="26"/>
              </w:rPr>
              <w:t xml:space="preserve">  </w:t>
            </w:r>
          </w:p>
          <w:p w:rsidR="001F1CDF" w:rsidRPr="003F7EE6" w:rsidRDefault="001F1CDF" w:rsidP="008206D1">
            <w:pPr>
              <w:spacing w:after="0" w:line="240" w:lineRule="auto"/>
              <w:rPr>
                <w:rFonts w:ascii="Times New Roman" w:eastAsia="Times New Roman" w:hAnsi="Times New Roman" w:cs="Times New Roman"/>
                <w:sz w:val="26"/>
                <w:szCs w:val="26"/>
              </w:rPr>
            </w:pPr>
          </w:p>
          <w:p w:rsidR="001F1CDF" w:rsidRPr="003F7EE6" w:rsidRDefault="001F1CDF" w:rsidP="008206D1">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v.</w:t>
            </w:r>
          </w:p>
          <w:p w:rsidR="001F1CDF" w:rsidRPr="003F7EE6" w:rsidRDefault="001F1CDF" w:rsidP="008206D1">
            <w:pPr>
              <w:spacing w:after="0" w:line="240" w:lineRule="auto"/>
              <w:rPr>
                <w:rFonts w:ascii="Times New Roman" w:eastAsia="Times New Roman" w:hAnsi="Times New Roman" w:cs="Times New Roman"/>
                <w:sz w:val="26"/>
                <w:szCs w:val="26"/>
              </w:rPr>
            </w:pPr>
          </w:p>
          <w:p w:rsidR="001F1CDF" w:rsidRPr="003F7EE6" w:rsidRDefault="001F1CDF" w:rsidP="008206D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Duquesne Light Company</w:t>
            </w:r>
          </w:p>
          <w:p w:rsidR="001F1CDF" w:rsidRPr="003F7EE6" w:rsidRDefault="001F1CDF" w:rsidP="008206D1">
            <w:pPr>
              <w:spacing w:after="0" w:line="240" w:lineRule="auto"/>
              <w:rPr>
                <w:rFonts w:ascii="Times New Roman" w:eastAsia="Times New Roman" w:hAnsi="Times New Roman" w:cs="Times New Roman"/>
                <w:sz w:val="26"/>
                <w:szCs w:val="26"/>
              </w:rPr>
            </w:pPr>
          </w:p>
        </w:tc>
        <w:tc>
          <w:tcPr>
            <w:tcW w:w="1080" w:type="dxa"/>
          </w:tcPr>
          <w:p w:rsidR="001F1CDF" w:rsidRPr="003F7EE6" w:rsidRDefault="001F1CDF" w:rsidP="008206D1">
            <w:pPr>
              <w:suppressAutoHyphens/>
              <w:spacing w:after="0" w:line="240" w:lineRule="auto"/>
              <w:rPr>
                <w:rFonts w:ascii="Times New Roman" w:eastAsia="Times New Roman" w:hAnsi="Times New Roman" w:cs="Times New Roman"/>
                <w:sz w:val="26"/>
                <w:szCs w:val="26"/>
              </w:rPr>
            </w:pPr>
          </w:p>
        </w:tc>
        <w:tc>
          <w:tcPr>
            <w:tcW w:w="3600" w:type="dxa"/>
          </w:tcPr>
          <w:p w:rsidR="001F1CDF" w:rsidRPr="003F7EE6" w:rsidRDefault="001F1CDF" w:rsidP="008206D1">
            <w:pPr>
              <w:suppressAutoHyphens/>
              <w:spacing w:after="0" w:line="240" w:lineRule="auto"/>
              <w:ind w:right="252"/>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D4BA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M-2014</w:t>
            </w:r>
            <w:r w:rsidRPr="003F7EE6">
              <w:rPr>
                <w:rFonts w:ascii="Times New Roman" w:eastAsia="Times New Roman" w:hAnsi="Times New Roman" w:cs="Times New Roman"/>
                <w:sz w:val="26"/>
                <w:szCs w:val="26"/>
              </w:rPr>
              <w:t>-2</w:t>
            </w:r>
            <w:r>
              <w:rPr>
                <w:rFonts w:ascii="Times New Roman" w:eastAsia="Times New Roman" w:hAnsi="Times New Roman" w:cs="Times New Roman"/>
                <w:sz w:val="26"/>
                <w:szCs w:val="26"/>
              </w:rPr>
              <w:t>165364</w:t>
            </w:r>
            <w:r w:rsidR="008D4BA3">
              <w:rPr>
                <w:rFonts w:ascii="Times New Roman" w:eastAsia="Times New Roman" w:hAnsi="Times New Roman" w:cs="Times New Roman"/>
                <w:sz w:val="26"/>
                <w:szCs w:val="26"/>
              </w:rPr>
              <w:t xml:space="preserve">  </w:t>
            </w:r>
          </w:p>
          <w:p w:rsidR="001F1CDF" w:rsidRPr="003F7EE6" w:rsidRDefault="001F1CDF" w:rsidP="00FF19A8">
            <w:pPr>
              <w:suppressAutoHyphens/>
              <w:spacing w:after="0" w:line="240" w:lineRule="auto"/>
              <w:jc w:val="right"/>
              <w:rPr>
                <w:rFonts w:ascii="Times New Roman" w:eastAsia="Times New Roman" w:hAnsi="Times New Roman" w:cs="Times New Roman"/>
                <w:sz w:val="26"/>
                <w:szCs w:val="26"/>
              </w:rPr>
            </w:pPr>
          </w:p>
        </w:tc>
      </w:tr>
    </w:tbl>
    <w:p w:rsidR="001F1CDF" w:rsidRPr="003F7EE6" w:rsidRDefault="001F1CDF" w:rsidP="001F1CDF">
      <w:pPr>
        <w:keepNext/>
        <w:tabs>
          <w:tab w:val="center" w:pos="4680"/>
        </w:tabs>
        <w:suppressAutoHyphens/>
        <w:spacing w:after="0" w:line="360" w:lineRule="auto"/>
        <w:outlineLvl w:val="0"/>
        <w:rPr>
          <w:rFonts w:ascii="CG Times" w:eastAsia="Times New Roman" w:hAnsi="CG Times" w:cs="Times New Roman"/>
          <w:b/>
          <w:sz w:val="26"/>
          <w:szCs w:val="20"/>
        </w:rPr>
      </w:pPr>
      <w:r w:rsidRPr="003F7EE6">
        <w:rPr>
          <w:rFonts w:ascii="CG Times" w:eastAsia="Times New Roman" w:hAnsi="CG Times" w:cs="Times New Roman"/>
          <w:b/>
          <w:sz w:val="26"/>
          <w:szCs w:val="20"/>
        </w:rPr>
        <w:tab/>
      </w:r>
    </w:p>
    <w:p w:rsidR="001F1CDF" w:rsidRPr="003F7EE6" w:rsidRDefault="001F1CDF" w:rsidP="001F1CDF">
      <w:pPr>
        <w:keepNext/>
        <w:tabs>
          <w:tab w:val="center" w:pos="4680"/>
        </w:tabs>
        <w:suppressAutoHyphens/>
        <w:spacing w:after="0" w:line="360" w:lineRule="auto"/>
        <w:jc w:val="center"/>
        <w:outlineLvl w:val="0"/>
        <w:rPr>
          <w:rFonts w:ascii="Times New Roman" w:eastAsia="Times New Roman" w:hAnsi="Times New Roman" w:cs="Times New Roman"/>
          <w:b/>
          <w:caps/>
          <w:sz w:val="26"/>
          <w:szCs w:val="20"/>
        </w:rPr>
      </w:pPr>
      <w:r w:rsidRPr="003F7EE6">
        <w:rPr>
          <w:rFonts w:ascii="Times New Roman" w:eastAsia="Times New Roman" w:hAnsi="Times New Roman" w:cs="Times New Roman"/>
          <w:b/>
          <w:caps/>
          <w:sz w:val="26"/>
          <w:szCs w:val="20"/>
        </w:rPr>
        <w:t>Opinion and Order</w:t>
      </w:r>
    </w:p>
    <w:p w:rsidR="001F1CDF" w:rsidRPr="003F7EE6" w:rsidRDefault="001F1CDF" w:rsidP="001F1CDF">
      <w:pPr>
        <w:tabs>
          <w:tab w:val="left" w:pos="-720"/>
        </w:tabs>
        <w:suppressAutoHyphens/>
        <w:spacing w:after="0" w:line="360" w:lineRule="auto"/>
        <w:rPr>
          <w:rFonts w:ascii="Times New Roman" w:eastAsia="Times New Roman" w:hAnsi="Times New Roman" w:cs="Times New Roman"/>
          <w:b/>
          <w:sz w:val="26"/>
          <w:szCs w:val="26"/>
        </w:rPr>
      </w:pPr>
    </w:p>
    <w:p w:rsidR="001F1CDF" w:rsidRPr="003F7EE6" w:rsidRDefault="001F1CDF" w:rsidP="001F1CDF">
      <w:pPr>
        <w:tabs>
          <w:tab w:val="left"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b/>
          <w:sz w:val="26"/>
          <w:szCs w:val="26"/>
        </w:rPr>
        <w:t>BY THE COMMISSION:</w:t>
      </w:r>
    </w:p>
    <w:p w:rsidR="001F1CDF" w:rsidRPr="003F7EE6" w:rsidRDefault="001F1CDF" w:rsidP="001F1CDF">
      <w:pPr>
        <w:tabs>
          <w:tab w:val="left" w:pos="-720"/>
        </w:tabs>
        <w:suppressAutoHyphens/>
        <w:spacing w:after="0" w:line="360" w:lineRule="auto"/>
        <w:rPr>
          <w:rFonts w:ascii="Times New Roman" w:eastAsia="Times New Roman" w:hAnsi="Times New Roman" w:cs="Times New Roman"/>
          <w:sz w:val="26"/>
          <w:szCs w:val="26"/>
        </w:rPr>
      </w:pPr>
    </w:p>
    <w:p w:rsidR="001F1CDF" w:rsidRPr="003F7EE6" w:rsidRDefault="001F1CDF" w:rsidP="001F1CDF">
      <w:pPr>
        <w:tabs>
          <w:tab w:val="left"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 xml:space="preserve">Before the Pennsylvania Public Utility Commission (Commission) for consideration and disposition is a proposed Settlement Agreement (Settlement) filed on </w:t>
      </w:r>
      <w:r>
        <w:rPr>
          <w:rFonts w:ascii="Times New Roman" w:eastAsia="Times New Roman" w:hAnsi="Times New Roman" w:cs="Times New Roman"/>
          <w:sz w:val="26"/>
          <w:szCs w:val="26"/>
        </w:rPr>
        <w:t>April 1, 2014</w:t>
      </w:r>
      <w:r w:rsidRPr="003F7EE6">
        <w:rPr>
          <w:rFonts w:ascii="Times New Roman" w:eastAsia="Times New Roman" w:hAnsi="Times New Roman" w:cs="Times New Roman"/>
          <w:sz w:val="26"/>
          <w:szCs w:val="26"/>
        </w:rPr>
        <w:t xml:space="preserve">, by the Commission’s </w:t>
      </w:r>
      <w:r>
        <w:rPr>
          <w:rFonts w:ascii="Times New Roman" w:eastAsia="Times New Roman" w:hAnsi="Times New Roman" w:cs="Times New Roman"/>
          <w:sz w:val="26"/>
          <w:szCs w:val="26"/>
        </w:rPr>
        <w:t xml:space="preserve">Law </w:t>
      </w:r>
      <w:r w:rsidRPr="003F7EE6">
        <w:rPr>
          <w:rFonts w:ascii="Times New Roman" w:eastAsia="Times New Roman" w:hAnsi="Times New Roman" w:cs="Times New Roman"/>
          <w:sz w:val="26"/>
          <w:szCs w:val="26"/>
        </w:rPr>
        <w:t xml:space="preserve">Bureau </w:t>
      </w:r>
      <w:r>
        <w:rPr>
          <w:rFonts w:ascii="Times New Roman" w:eastAsia="Times New Roman" w:hAnsi="Times New Roman" w:cs="Times New Roman"/>
          <w:sz w:val="26"/>
          <w:szCs w:val="26"/>
        </w:rPr>
        <w:t>Prosecutory Staff</w:t>
      </w:r>
      <w:r w:rsidRPr="003F7E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LBPS</w:t>
      </w:r>
      <w:r w:rsidRPr="003F7EE6">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Duquesne Light Company</w:t>
      </w:r>
      <w:r w:rsidRPr="003F7E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Duquesne</w:t>
      </w:r>
      <w:r w:rsidRPr="003F7EE6">
        <w:rPr>
          <w:rFonts w:ascii="Times New Roman" w:eastAsia="Times New Roman" w:hAnsi="Times New Roman" w:cs="Times New Roman"/>
          <w:sz w:val="26"/>
          <w:szCs w:val="26"/>
        </w:rPr>
        <w:t xml:space="preserve"> or Company) (collectively, </w:t>
      </w:r>
      <w:r>
        <w:rPr>
          <w:rFonts w:ascii="Times New Roman" w:eastAsia="Times New Roman" w:hAnsi="Times New Roman" w:cs="Times New Roman"/>
          <w:sz w:val="26"/>
          <w:szCs w:val="26"/>
        </w:rPr>
        <w:t>the Parties), with respect to</w:t>
      </w:r>
      <w:r w:rsidRPr="003F7E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an </w:t>
      </w:r>
      <w:r w:rsidRPr="003F7EE6">
        <w:rPr>
          <w:rFonts w:ascii="Times New Roman" w:eastAsia="Times New Roman" w:hAnsi="Times New Roman" w:cs="Times New Roman"/>
          <w:sz w:val="26"/>
          <w:szCs w:val="26"/>
        </w:rPr>
        <w:t xml:space="preserve">Informal Investigation conducted by </w:t>
      </w:r>
      <w:r>
        <w:rPr>
          <w:rFonts w:ascii="Times New Roman" w:eastAsia="Times New Roman" w:hAnsi="Times New Roman" w:cs="Times New Roman"/>
          <w:sz w:val="26"/>
          <w:szCs w:val="26"/>
        </w:rPr>
        <w:t>LBPS</w:t>
      </w:r>
      <w:r w:rsidRPr="003F7E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Contained within the body of the Settlement is a</w:t>
      </w:r>
      <w:r w:rsidRPr="003F7EE6">
        <w:rPr>
          <w:rFonts w:ascii="Times New Roman" w:eastAsia="Times New Roman" w:hAnsi="Times New Roman" w:cs="Times New Roman"/>
          <w:sz w:val="26"/>
          <w:szCs w:val="26"/>
        </w:rPr>
        <w:t xml:space="preserve"> Statement in Support.  </w:t>
      </w:r>
      <w:r>
        <w:rPr>
          <w:rFonts w:ascii="Times New Roman" w:eastAsia="Times New Roman" w:hAnsi="Times New Roman" w:cs="Times New Roman"/>
          <w:sz w:val="26"/>
          <w:szCs w:val="26"/>
        </w:rPr>
        <w:t>The Parties</w:t>
      </w:r>
      <w:r w:rsidRPr="003F7EE6">
        <w:rPr>
          <w:rFonts w:ascii="Times New Roman" w:eastAsia="Times New Roman" w:hAnsi="Times New Roman" w:cs="Times New Roman"/>
          <w:sz w:val="26"/>
          <w:szCs w:val="26"/>
        </w:rPr>
        <w:t xml:space="preserve"> submit that the Settlement is in the public interest and is consistent with the Commission’s Policy Statement at 52 Pa. Code §</w:t>
      </w:r>
      <w:r>
        <w:rPr>
          <w:rFonts w:ascii="Times New Roman" w:eastAsia="Times New Roman" w:hAnsi="Times New Roman" w:cs="Times New Roman"/>
          <w:sz w:val="26"/>
          <w:szCs w:val="26"/>
        </w:rPr>
        <w:t> </w:t>
      </w:r>
      <w:r w:rsidRPr="003F7EE6">
        <w:rPr>
          <w:rFonts w:ascii="Times New Roman" w:eastAsia="Times New Roman" w:hAnsi="Times New Roman" w:cs="Times New Roman"/>
          <w:sz w:val="26"/>
          <w:szCs w:val="26"/>
        </w:rPr>
        <w:t xml:space="preserve">69.1201, </w:t>
      </w:r>
      <w:r w:rsidRPr="003F7EE6">
        <w:rPr>
          <w:rFonts w:ascii="Times New Roman" w:eastAsia="Times New Roman" w:hAnsi="Times New Roman" w:cs="Times New Roman"/>
          <w:i/>
          <w:sz w:val="26"/>
          <w:szCs w:val="26"/>
        </w:rPr>
        <w:t>Factors and standards for evaluating litigated and settled proceedings involving violations of the Public Utility Code and Commission regulations—statement of policy</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lastRenderedPageBreak/>
        <w:t>Settlement at 5-8</w:t>
      </w:r>
      <w:r w:rsidRPr="003F7EE6">
        <w:rPr>
          <w:rFonts w:ascii="Times New Roman" w:eastAsia="Times New Roman" w:hAnsi="Times New Roman" w:cs="Times New Roman"/>
          <w:sz w:val="26"/>
          <w:szCs w:val="26"/>
        </w:rPr>
        <w:t xml:space="preserve">.  </w:t>
      </w:r>
      <w:r w:rsidR="006B6835" w:rsidRPr="00D37D90">
        <w:rPr>
          <w:rFonts w:ascii="Times New Roman" w:hAnsi="Times New Roman"/>
          <w:sz w:val="26"/>
          <w:szCs w:val="26"/>
        </w:rPr>
        <w:t xml:space="preserve">For the reasons set forth herein, we find that the Settlement should be </w:t>
      </w:r>
      <w:r w:rsidR="001722D8">
        <w:rPr>
          <w:rFonts w:ascii="Times New Roman" w:hAnsi="Times New Roman"/>
          <w:sz w:val="26"/>
          <w:szCs w:val="26"/>
        </w:rPr>
        <w:t>approved, as clarified by</w:t>
      </w:r>
      <w:r w:rsidR="006B6835" w:rsidRPr="00D37D90">
        <w:rPr>
          <w:rFonts w:ascii="Times New Roman" w:hAnsi="Times New Roman"/>
          <w:sz w:val="26"/>
          <w:szCs w:val="26"/>
        </w:rPr>
        <w:t xml:space="preserve"> this Opinion and Order.</w:t>
      </w:r>
    </w:p>
    <w:p w:rsidR="001F1CDF" w:rsidRPr="003F7EE6" w:rsidRDefault="001F1CDF" w:rsidP="001F1CDF">
      <w:pPr>
        <w:tabs>
          <w:tab w:val="left" w:pos="-720"/>
        </w:tabs>
        <w:suppressAutoHyphens/>
        <w:spacing w:after="0" w:line="360" w:lineRule="auto"/>
        <w:rPr>
          <w:rFonts w:ascii="Times New Roman" w:eastAsia="Times New Roman" w:hAnsi="Times New Roman" w:cs="Times New Roman"/>
          <w:sz w:val="26"/>
          <w:szCs w:val="26"/>
        </w:rPr>
      </w:pPr>
    </w:p>
    <w:p w:rsidR="001F1CDF" w:rsidRPr="003F7EE6" w:rsidRDefault="001F1CDF" w:rsidP="000B30E4">
      <w:pPr>
        <w:tabs>
          <w:tab w:val="left" w:pos="-720"/>
        </w:tabs>
        <w:suppressAutoHyphens/>
        <w:spacing w:after="0" w:line="360" w:lineRule="auto"/>
        <w:ind w:left="1440" w:hanging="144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History of the Proceeding</w:t>
      </w:r>
    </w:p>
    <w:p w:rsidR="001F1CDF" w:rsidRPr="003F7EE6" w:rsidRDefault="001F1CDF" w:rsidP="001F1CDF">
      <w:pPr>
        <w:tabs>
          <w:tab w:val="center" w:pos="0"/>
        </w:tabs>
        <w:suppressAutoHyphens/>
        <w:spacing w:after="0" w:line="360" w:lineRule="auto"/>
        <w:rPr>
          <w:rFonts w:ascii="Times New Roman" w:eastAsia="Times New Roman" w:hAnsi="Times New Roman" w:cs="Times New Roman"/>
          <w:sz w:val="26"/>
          <w:szCs w:val="26"/>
        </w:rPr>
      </w:pPr>
    </w:p>
    <w:p w:rsidR="001F1CDF" w:rsidRDefault="001F1CDF" w:rsidP="001F1CDF">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On March 19, 2010, LBPS initiated an informal investigation of Duquesne’s real property and disposition practices.  In particular, LBPS investigated the acquisition and disposition of the real property for the “Moon-Sewickley tap project, Moon Township, Allegheny County, Pennsylvania.”  Settlement at 1-2.  During its review, LBPS investigated whether this transaction, and the Company’s practices and procedures for acquiring and disposing of real property and obtaining all necessary regulatory approvals for such transactions, were in compliance with the Public Utility Code (Code), 66 Pa. C.S. §§ 101, </w:t>
      </w:r>
      <w:r>
        <w:rPr>
          <w:rFonts w:ascii="Times New Roman" w:eastAsia="Times New Roman" w:hAnsi="Times New Roman" w:cs="Times New Roman"/>
          <w:i/>
          <w:sz w:val="26"/>
          <w:szCs w:val="26"/>
        </w:rPr>
        <w:t>et seq.</w:t>
      </w:r>
      <w:r>
        <w:rPr>
          <w:rFonts w:ascii="Times New Roman" w:eastAsia="Times New Roman" w:hAnsi="Times New Roman" w:cs="Times New Roman"/>
          <w:sz w:val="26"/>
          <w:szCs w:val="26"/>
        </w:rPr>
        <w:t xml:space="preserve">, and the Commission’s Regulations, 52 Pa. Code §§ 1.1, </w:t>
      </w:r>
      <w:r>
        <w:rPr>
          <w:rFonts w:ascii="Times New Roman" w:eastAsia="Times New Roman" w:hAnsi="Times New Roman" w:cs="Times New Roman"/>
          <w:i/>
          <w:sz w:val="26"/>
          <w:szCs w:val="26"/>
        </w:rPr>
        <w:t>et seq.</w:t>
      </w:r>
    </w:p>
    <w:p w:rsidR="001F1CDF" w:rsidRDefault="001F1CDF" w:rsidP="001F1CDF">
      <w:pPr>
        <w:tabs>
          <w:tab w:val="center" w:pos="0"/>
        </w:tabs>
        <w:suppressAutoHyphens/>
        <w:spacing w:after="0" w:line="360" w:lineRule="auto"/>
        <w:rPr>
          <w:rFonts w:ascii="Times New Roman" w:eastAsia="Times New Roman" w:hAnsi="Times New Roman" w:cs="Times New Roman"/>
          <w:sz w:val="26"/>
          <w:szCs w:val="26"/>
        </w:rPr>
      </w:pPr>
    </w:p>
    <w:p w:rsidR="001F1CDF" w:rsidRPr="00027FBB" w:rsidRDefault="001F1CDF" w:rsidP="001F1CDF">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The Parties entered into negotiations and agreed to resolve this matter in accord with the Commission’s policy to promote settlements at 52 Pa. Code § 5.231.  Settlement at 1.  The Parties filed the instant Settlement on April 1, 2014.  LBPS concurrently filed a Report of Law Bureau Prosecutory Staff’s Informal Investigation of Duquesne Light Company’s Real Property Acquisition and Disposition Practices (Report) on April 1, 2014.  </w:t>
      </w:r>
      <w:r w:rsidR="00027FBB">
        <w:rPr>
          <w:rFonts w:ascii="Times New Roman" w:eastAsia="Times New Roman" w:hAnsi="Times New Roman" w:cs="Times New Roman"/>
          <w:sz w:val="26"/>
          <w:szCs w:val="26"/>
        </w:rPr>
        <w:t>By Order entered May 22, 2014 (</w:t>
      </w:r>
      <w:r w:rsidR="00027FBB">
        <w:rPr>
          <w:rFonts w:ascii="Times New Roman" w:eastAsia="Times New Roman" w:hAnsi="Times New Roman" w:cs="Times New Roman"/>
          <w:i/>
          <w:sz w:val="26"/>
          <w:szCs w:val="26"/>
        </w:rPr>
        <w:t>May 2014 Order</w:t>
      </w:r>
      <w:r w:rsidR="00027FBB">
        <w:rPr>
          <w:rFonts w:ascii="Times New Roman" w:eastAsia="Times New Roman" w:hAnsi="Times New Roman" w:cs="Times New Roman"/>
          <w:sz w:val="26"/>
          <w:szCs w:val="26"/>
        </w:rPr>
        <w:t xml:space="preserve">), the Commission provided interested parties with the opportunity to file comments on the proposed Settlement.  In order to be considered timely, comments were due within twenty days of the date of entry of the </w:t>
      </w:r>
      <w:r w:rsidR="00027FBB">
        <w:rPr>
          <w:rFonts w:ascii="Times New Roman" w:eastAsia="Times New Roman" w:hAnsi="Times New Roman" w:cs="Times New Roman"/>
          <w:i/>
          <w:sz w:val="26"/>
          <w:szCs w:val="26"/>
        </w:rPr>
        <w:t>May 2014 Order</w:t>
      </w:r>
      <w:r w:rsidR="00027FBB">
        <w:rPr>
          <w:rFonts w:ascii="Times New Roman" w:eastAsia="Times New Roman" w:hAnsi="Times New Roman" w:cs="Times New Roman"/>
          <w:sz w:val="26"/>
          <w:szCs w:val="26"/>
        </w:rPr>
        <w:t xml:space="preserve">.  No comments were filed.  </w:t>
      </w:r>
    </w:p>
    <w:p w:rsidR="001F1CDF" w:rsidRDefault="001F1CDF" w:rsidP="001F1CDF">
      <w:pPr>
        <w:tabs>
          <w:tab w:val="center" w:pos="0"/>
        </w:tabs>
        <w:suppressAutoHyphens/>
        <w:spacing w:after="0" w:line="360" w:lineRule="auto"/>
        <w:rPr>
          <w:rFonts w:ascii="Times New Roman" w:eastAsia="Times New Roman" w:hAnsi="Times New Roman" w:cs="Times New Roman"/>
          <w:sz w:val="26"/>
          <w:szCs w:val="26"/>
        </w:rPr>
      </w:pPr>
    </w:p>
    <w:p w:rsidR="0047035C" w:rsidRDefault="0047035C">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1F1CDF" w:rsidRDefault="001F1CDF" w:rsidP="001F1CDF">
      <w:pPr>
        <w:tabs>
          <w:tab w:val="center" w:pos="0"/>
        </w:tabs>
        <w:suppressAutoHyphens/>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Background</w:t>
      </w:r>
    </w:p>
    <w:p w:rsidR="001F1CDF" w:rsidRDefault="001F1CDF" w:rsidP="001F1CDF">
      <w:pPr>
        <w:tabs>
          <w:tab w:val="center" w:pos="0"/>
        </w:tabs>
        <w:suppressAutoHyphens/>
        <w:spacing w:after="0" w:line="360" w:lineRule="auto"/>
        <w:rPr>
          <w:rFonts w:ascii="Times New Roman" w:eastAsia="Times New Roman" w:hAnsi="Times New Roman" w:cs="Times New Roman"/>
          <w:sz w:val="26"/>
          <w:szCs w:val="26"/>
        </w:rPr>
      </w:pPr>
    </w:p>
    <w:p w:rsidR="001F1CDF" w:rsidRDefault="001F1CDF" w:rsidP="001F1CDF">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By letter dated March 19, 2010, LBPS initiated its investigation of Duquesne related to the Company’s acquisition and disposition of real property for the Moon-Sewickley tap project.</w:t>
      </w:r>
      <w:r>
        <w:rPr>
          <w:rStyle w:val="FootnoteReference"/>
          <w:rFonts w:ascii="Times New Roman" w:eastAsia="Times New Roman" w:hAnsi="Times New Roman" w:cs="Times New Roman"/>
          <w:sz w:val="26"/>
          <w:szCs w:val="26"/>
        </w:rPr>
        <w:footnoteReference w:id="1"/>
      </w:r>
      <w:r>
        <w:rPr>
          <w:rFonts w:ascii="Times New Roman" w:eastAsia="Times New Roman" w:hAnsi="Times New Roman" w:cs="Times New Roman"/>
          <w:sz w:val="26"/>
          <w:szCs w:val="26"/>
        </w:rPr>
        <w:t xml:space="preserve">  Additionally, LBPS’ investigation focused on Duquesne’s general practices and procedures pertaining to real property disposition and acquisition to evaluate compliance with the Code and the Commission’s Regulations.  Settlement at 1</w:t>
      </w:r>
      <w:r>
        <w:rPr>
          <w:rFonts w:ascii="Times New Roman" w:eastAsia="Times New Roman" w:hAnsi="Times New Roman" w:cs="Times New Roman"/>
          <w:sz w:val="26"/>
          <w:szCs w:val="26"/>
        </w:rPr>
        <w:noBreakHyphen/>
        <w:t>2.</w:t>
      </w:r>
    </w:p>
    <w:p w:rsidR="001F1CDF" w:rsidRDefault="001F1CDF" w:rsidP="001F1CDF">
      <w:pPr>
        <w:tabs>
          <w:tab w:val="center" w:pos="0"/>
        </w:tabs>
        <w:suppressAutoHyphens/>
        <w:spacing w:after="0" w:line="360" w:lineRule="auto"/>
        <w:rPr>
          <w:rFonts w:ascii="Times New Roman" w:eastAsia="Times New Roman" w:hAnsi="Times New Roman" w:cs="Times New Roman"/>
          <w:sz w:val="26"/>
          <w:szCs w:val="26"/>
        </w:rPr>
      </w:pPr>
    </w:p>
    <w:p w:rsidR="001F1CDF" w:rsidRDefault="001F1CDF" w:rsidP="001F1CDF">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In 1914 and 1915, Duquesne acquired rights-of-way (Easement) across properties located in Moon Township and installed a transmission line and transmission facilities within the Easement in the 1920s.  A portion of the properties was later subdivided into developments with each owner taking title subject to Duquesne’s Easement.  Duquesne’s high tension power line crossed the Property in this proceeding </w:t>
      </w:r>
      <w:r w:rsidR="000D2C32">
        <w:rPr>
          <w:rFonts w:ascii="Times New Roman" w:eastAsia="Times New Roman" w:hAnsi="Times New Roman" w:cs="Times New Roman"/>
          <w:sz w:val="26"/>
          <w:szCs w:val="26"/>
        </w:rPr>
        <w:t xml:space="preserve">which was </w:t>
      </w:r>
      <w:r>
        <w:rPr>
          <w:rFonts w:ascii="Times New Roman" w:eastAsia="Times New Roman" w:hAnsi="Times New Roman" w:cs="Times New Roman"/>
          <w:sz w:val="26"/>
          <w:szCs w:val="26"/>
        </w:rPr>
        <w:t>subject to the Easement.  Report at 1-2.</w:t>
      </w:r>
    </w:p>
    <w:p w:rsidR="001F1CDF" w:rsidRDefault="001F1CDF" w:rsidP="001F1CDF">
      <w:pPr>
        <w:tabs>
          <w:tab w:val="center" w:pos="0"/>
        </w:tabs>
        <w:suppressAutoHyphens/>
        <w:spacing w:after="0" w:line="360" w:lineRule="auto"/>
        <w:rPr>
          <w:rFonts w:ascii="Times New Roman" w:eastAsia="Times New Roman" w:hAnsi="Times New Roman" w:cs="Times New Roman"/>
          <w:sz w:val="26"/>
          <w:szCs w:val="26"/>
        </w:rPr>
      </w:pPr>
    </w:p>
    <w:p w:rsidR="00183021" w:rsidRDefault="001F1CDF" w:rsidP="0047035C">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Beginning around 2007, Duquesne proposed to upgrade its electric transmission lines by building an extension from Moon Township, across the Ohio River, and into Sewickley Borough (Sewickley Loop Project).  The Sewickley Loop Project was designed to connect with the existing transmission line and tower located within the Easement on the Property in Moon Township.  In 2008, Duquesne met with the daughter of the Property owners to discuss the installation of two new towers within the existing Easement on the Property and the connection of the existing transmission line to the </w:t>
      </w:r>
    </w:p>
    <w:p w:rsidR="00183021" w:rsidRDefault="00183021">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47035C" w:rsidRDefault="001F1CDF" w:rsidP="0047035C">
      <w:pPr>
        <w:tabs>
          <w:tab w:val="center" w:pos="0"/>
        </w:tabs>
        <w:suppressAutoHyphens/>
        <w:spacing w:after="0"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lastRenderedPageBreak/>
        <w:t>Company’s new river-crossing towers.</w:t>
      </w:r>
      <w:proofErr w:type="gramEnd"/>
      <w:r>
        <w:rPr>
          <w:rFonts w:ascii="Times New Roman" w:eastAsia="Times New Roman" w:hAnsi="Times New Roman" w:cs="Times New Roman"/>
          <w:sz w:val="26"/>
          <w:szCs w:val="26"/>
        </w:rPr>
        <w:t xml:space="preserve">  Because the existing Easement across the Property was insufficient to properly connect the existing transmission line to the new river-crossing towers, Duquesne proposed acquiring an additional right-of-way from the Property owners.  </w:t>
      </w:r>
      <w:r>
        <w:rPr>
          <w:rFonts w:ascii="Times New Roman" w:eastAsia="Times New Roman" w:hAnsi="Times New Roman" w:cs="Times New Roman"/>
          <w:i/>
          <w:sz w:val="26"/>
          <w:szCs w:val="26"/>
        </w:rPr>
        <w:t xml:space="preserve">Id. </w:t>
      </w:r>
      <w:r>
        <w:rPr>
          <w:rFonts w:ascii="Times New Roman" w:eastAsia="Times New Roman" w:hAnsi="Times New Roman" w:cs="Times New Roman"/>
          <w:sz w:val="26"/>
          <w:szCs w:val="26"/>
        </w:rPr>
        <w:t xml:space="preserve">at 2-3.  </w:t>
      </w:r>
    </w:p>
    <w:p w:rsidR="0047035C" w:rsidRDefault="0047035C" w:rsidP="0047035C">
      <w:pPr>
        <w:tabs>
          <w:tab w:val="center" w:pos="0"/>
        </w:tabs>
        <w:suppressAutoHyphens/>
        <w:spacing w:after="0" w:line="360" w:lineRule="auto"/>
        <w:rPr>
          <w:rFonts w:ascii="Times New Roman" w:eastAsia="Times New Roman" w:hAnsi="Times New Roman" w:cs="Times New Roman"/>
          <w:sz w:val="26"/>
          <w:szCs w:val="26"/>
        </w:rPr>
      </w:pPr>
    </w:p>
    <w:p w:rsidR="001F1CDF" w:rsidRDefault="001F1CDF" w:rsidP="0047035C">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Duquesne successfully obtained a new right-of-way from Sewickley Borough to facilitate the Sewickley Loop Project.  Report at 8.  However, the Company was unable to negotiate the acquisition of an expanded right-of-way from the Property owners in Moon Township.  It later purchased the entire Property outright.</w:t>
      </w:r>
      <w:r>
        <w:rPr>
          <w:rStyle w:val="FootnoteReference"/>
          <w:rFonts w:ascii="Times New Roman" w:eastAsia="Times New Roman" w:hAnsi="Times New Roman" w:cs="Times New Roman"/>
          <w:sz w:val="26"/>
          <w:szCs w:val="26"/>
        </w:rPr>
        <w:footnoteReference w:id="2"/>
      </w:r>
      <w:r>
        <w:rPr>
          <w:rFonts w:ascii="Times New Roman" w:eastAsia="Times New Roman" w:hAnsi="Times New Roman" w:cs="Times New Roman"/>
          <w:sz w:val="26"/>
          <w:szCs w:val="26"/>
        </w:rPr>
        <w:t xml:space="preserve">  On January 25, 2010, Duquesne sold the Property to another party.  In the deed to the new owner, Duquesne reserved its initial Easement rights and an expanded easement of one hundred feet in width for the Sewickley Loop Project.  Duquesne did not seek Commission approval for either the initial acquisition or the later transfer of the Property.  Report at 3</w:t>
      </w:r>
      <w:r>
        <w:rPr>
          <w:rFonts w:ascii="Times New Roman" w:eastAsia="Times New Roman" w:hAnsi="Times New Roman" w:cs="Times New Roman"/>
          <w:sz w:val="26"/>
          <w:szCs w:val="26"/>
        </w:rPr>
        <w:noBreakHyphen/>
        <w:t xml:space="preserve">5.  </w:t>
      </w:r>
    </w:p>
    <w:p w:rsidR="001F1CDF" w:rsidRDefault="001F1CDF" w:rsidP="000B30E4">
      <w:pPr>
        <w:tabs>
          <w:tab w:val="center" w:pos="0"/>
        </w:tabs>
        <w:suppressAutoHyphens/>
        <w:spacing w:after="0" w:line="360" w:lineRule="auto"/>
        <w:rPr>
          <w:rFonts w:ascii="Times New Roman" w:eastAsia="Times New Roman" w:hAnsi="Times New Roman" w:cs="Times New Roman"/>
          <w:sz w:val="26"/>
          <w:szCs w:val="26"/>
        </w:rPr>
      </w:pPr>
    </w:p>
    <w:p w:rsidR="001F1CDF" w:rsidRDefault="001F1CDF" w:rsidP="000B30E4">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LBPS alleged that Duquesne acquired and disposed of the Property without obtaining a Certificate of Public Convenience (Certificate), in violation of Section 1102(a)(3) of the Code, 66 Pa. C.S. § 1102(a)(3).</w:t>
      </w:r>
      <w:r w:rsidR="00460CE6" w:rsidRPr="00460CE6">
        <w:rPr>
          <w:rStyle w:val="FootnoteReference"/>
          <w:rFonts w:ascii="Times New Roman" w:eastAsia="Times New Roman" w:hAnsi="Times New Roman" w:cs="Times New Roman"/>
          <w:sz w:val="26"/>
          <w:szCs w:val="26"/>
        </w:rPr>
        <w:t xml:space="preserve"> </w:t>
      </w:r>
      <w:r w:rsidR="00460CE6">
        <w:rPr>
          <w:rStyle w:val="FootnoteReference"/>
          <w:rFonts w:ascii="Times New Roman" w:eastAsia="Times New Roman" w:hAnsi="Times New Roman" w:cs="Times New Roman"/>
          <w:sz w:val="26"/>
          <w:szCs w:val="26"/>
        </w:rPr>
        <w:footnoteReference w:id="3"/>
      </w:r>
      <w:r>
        <w:rPr>
          <w:rFonts w:ascii="Times New Roman" w:eastAsia="Times New Roman" w:hAnsi="Times New Roman" w:cs="Times New Roman"/>
          <w:sz w:val="26"/>
          <w:szCs w:val="26"/>
        </w:rPr>
        <w:t xml:space="preserve">  In response, the Company averred that a Certificate was not required under the facts and circumstances of this case.  Duquesne further alleged “that its actions with respect to this property were in full accordance with long-standing Commission practice and precedent.”  Settlement at 3.</w:t>
      </w:r>
    </w:p>
    <w:p w:rsidR="00183021" w:rsidRDefault="00183021" w:rsidP="000B30E4">
      <w:pPr>
        <w:tabs>
          <w:tab w:val="center" w:pos="0"/>
        </w:tabs>
        <w:suppressAutoHyphens/>
        <w:spacing w:after="0" w:line="360" w:lineRule="auto"/>
        <w:rPr>
          <w:rFonts w:ascii="Times New Roman" w:eastAsia="Times New Roman" w:hAnsi="Times New Roman" w:cs="Times New Roman"/>
          <w:sz w:val="26"/>
          <w:szCs w:val="26"/>
        </w:rPr>
      </w:pPr>
    </w:p>
    <w:p w:rsidR="00CF0612" w:rsidRDefault="001F1CDF" w:rsidP="000B30E4">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Pr>
          <w:rFonts w:ascii="Times New Roman" w:eastAsia="Times New Roman" w:hAnsi="Times New Roman" w:cs="Times New Roman"/>
          <w:sz w:val="26"/>
          <w:szCs w:val="26"/>
        </w:rPr>
        <w:tab/>
        <w:t xml:space="preserve"> In its Report, LBPS also referenced Section 57.91 of our Regulations, 52 Pa. Code § 57.91, which requires a public utility to provide a specific written notice at least fifteen days before its employees or agents are permitted to communicate in any </w:t>
      </w:r>
    </w:p>
    <w:p w:rsidR="001F1CDF" w:rsidRDefault="001F1CDF" w:rsidP="001F1CDF">
      <w:pPr>
        <w:keepNext/>
        <w:tabs>
          <w:tab w:val="center" w:pos="0"/>
        </w:tabs>
        <w:suppressAutoHyphens/>
        <w:spacing w:after="0" w:line="36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manner</w:t>
      </w:r>
      <w:proofErr w:type="gramEnd"/>
      <w:r>
        <w:rPr>
          <w:rFonts w:ascii="Times New Roman" w:eastAsia="Times New Roman" w:hAnsi="Times New Roman" w:cs="Times New Roman"/>
          <w:sz w:val="26"/>
          <w:szCs w:val="26"/>
        </w:rPr>
        <w:t xml:space="preserve"> with a property owner for the purpose of negotiating the acquisition of a transmission right-of-way.  LBPS alleged that Duquesne failed to provide to the original Property owners in Moon Township or the Borough of Sewickley the written notice required by Section 57.91.  According to LBPS, the Company did not contest this violation.  Report at 8.</w:t>
      </w:r>
    </w:p>
    <w:p w:rsidR="001F1CDF" w:rsidRDefault="001F1CDF" w:rsidP="001F1CDF">
      <w:pPr>
        <w:keepNext/>
        <w:tabs>
          <w:tab w:val="center" w:pos="0"/>
        </w:tabs>
        <w:suppressAutoHyphens/>
        <w:spacing w:after="0" w:line="360" w:lineRule="auto"/>
        <w:rPr>
          <w:rFonts w:ascii="Times New Roman" w:eastAsia="Times New Roman" w:hAnsi="Times New Roman" w:cs="Times New Roman"/>
          <w:sz w:val="26"/>
          <w:szCs w:val="26"/>
        </w:rPr>
      </w:pPr>
    </w:p>
    <w:p w:rsidR="001F1CDF" w:rsidRDefault="001F1CDF" w:rsidP="001F1CDF">
      <w:pPr>
        <w:keepNext/>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Additionally, LBPS alleged in its Report that Duquesne used a “straw person” or “straw man”</w:t>
      </w:r>
      <w:r>
        <w:rPr>
          <w:rStyle w:val="FootnoteReference"/>
          <w:rFonts w:ascii="Times New Roman" w:eastAsia="Times New Roman" w:hAnsi="Times New Roman" w:cs="Times New Roman"/>
          <w:sz w:val="26"/>
          <w:szCs w:val="26"/>
        </w:rPr>
        <w:footnoteReference w:id="4"/>
      </w:r>
      <w:r>
        <w:rPr>
          <w:rFonts w:ascii="Times New Roman" w:eastAsia="Times New Roman" w:hAnsi="Times New Roman" w:cs="Times New Roman"/>
          <w:sz w:val="26"/>
          <w:szCs w:val="26"/>
        </w:rPr>
        <w:t xml:space="preserve"> to purchase real estate and gave as an example the purchase of property on Chadwick Street in Sewickley Borough.</w:t>
      </w:r>
      <w:r>
        <w:rPr>
          <w:rStyle w:val="FootnoteReference"/>
          <w:rFonts w:ascii="Times New Roman" w:eastAsia="Times New Roman" w:hAnsi="Times New Roman" w:cs="Times New Roman"/>
          <w:sz w:val="26"/>
          <w:szCs w:val="26"/>
        </w:rPr>
        <w:footnoteReference w:id="5"/>
      </w:r>
      <w:r>
        <w:rPr>
          <w:rFonts w:ascii="Times New Roman" w:eastAsia="Times New Roman" w:hAnsi="Times New Roman" w:cs="Times New Roman"/>
          <w:sz w:val="26"/>
          <w:szCs w:val="26"/>
        </w:rPr>
        <w:t xml:space="preserve">  Although LBPS did not find that Duquesne’s use of a “straw man” to purchase real estate was illegal </w:t>
      </w:r>
      <w:r w:rsidRPr="004642CF">
        <w:rPr>
          <w:rFonts w:ascii="Times New Roman" w:eastAsia="Times New Roman" w:hAnsi="Times New Roman" w:cs="Times New Roman"/>
          <w:i/>
          <w:sz w:val="26"/>
          <w:szCs w:val="26"/>
        </w:rPr>
        <w:t>per se</w:t>
      </w:r>
      <w:r>
        <w:rPr>
          <w:rFonts w:ascii="Times New Roman" w:eastAsia="Times New Roman" w:hAnsi="Times New Roman" w:cs="Times New Roman"/>
          <w:sz w:val="26"/>
          <w:szCs w:val="26"/>
        </w:rPr>
        <w:t xml:space="preserve">, it concluded that utilities, in the interest of transparency and full disclosure of their dealings, must comply with Section 1102(a) of the Code and 52 Pa. Code § 57.91.  Report at 12-13. </w:t>
      </w:r>
    </w:p>
    <w:p w:rsidR="001F1CDF" w:rsidRDefault="001F1CDF" w:rsidP="001F1CDF">
      <w:pPr>
        <w:keepNext/>
        <w:tabs>
          <w:tab w:val="center" w:pos="0"/>
        </w:tabs>
        <w:suppressAutoHyphens/>
        <w:spacing w:after="0" w:line="360" w:lineRule="auto"/>
        <w:rPr>
          <w:rFonts w:ascii="Times New Roman" w:eastAsia="Times New Roman" w:hAnsi="Times New Roman" w:cs="Times New Roman"/>
          <w:sz w:val="26"/>
          <w:szCs w:val="26"/>
        </w:rPr>
      </w:pPr>
    </w:p>
    <w:p w:rsidR="001F1CDF" w:rsidRPr="003F7EE6" w:rsidRDefault="001F1CDF" w:rsidP="001F1CDF">
      <w:pPr>
        <w:keepNext/>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 xml:space="preserve">As a result of negotiations between </w:t>
      </w:r>
      <w:r>
        <w:rPr>
          <w:rFonts w:ascii="Times New Roman" w:eastAsia="Times New Roman" w:hAnsi="Times New Roman" w:cs="Times New Roman"/>
          <w:sz w:val="26"/>
          <w:szCs w:val="26"/>
        </w:rPr>
        <w:t>LBPS and Duquesne</w:t>
      </w:r>
      <w:r w:rsidRPr="003F7EE6">
        <w:rPr>
          <w:rFonts w:ascii="Times New Roman" w:eastAsia="Times New Roman" w:hAnsi="Times New Roman" w:cs="Times New Roman"/>
          <w:sz w:val="26"/>
          <w:szCs w:val="26"/>
        </w:rPr>
        <w:t>, the Parties have agreed to resolve their differences and urge the Commission to approve the Settlement as being in the p</w:t>
      </w:r>
      <w:r>
        <w:rPr>
          <w:rFonts w:ascii="Times New Roman" w:eastAsia="Times New Roman" w:hAnsi="Times New Roman" w:cs="Times New Roman"/>
          <w:sz w:val="26"/>
          <w:szCs w:val="26"/>
        </w:rPr>
        <w:t>ublic interest.  Settlement at 2, 4.</w:t>
      </w:r>
      <w:r w:rsidRPr="003F7E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In the Settlement, LBPS credits Duquesne with fully cooperating and complying with the LBPS’s investigation and requests for documentation.  </w:t>
      </w:r>
      <w:r>
        <w:rPr>
          <w:rFonts w:ascii="Times New Roman" w:eastAsia="Times New Roman" w:hAnsi="Times New Roman" w:cs="Times New Roman"/>
          <w:i/>
          <w:sz w:val="26"/>
          <w:szCs w:val="26"/>
        </w:rPr>
        <w:t xml:space="preserve">Id. </w:t>
      </w:r>
      <w:r>
        <w:rPr>
          <w:rFonts w:ascii="Times New Roman" w:eastAsia="Times New Roman" w:hAnsi="Times New Roman" w:cs="Times New Roman"/>
          <w:sz w:val="26"/>
          <w:szCs w:val="26"/>
        </w:rPr>
        <w:t>at 2.</w:t>
      </w:r>
      <w:r w:rsidRPr="003F7EE6">
        <w:rPr>
          <w:rFonts w:ascii="Times New Roman" w:eastAsia="Times New Roman" w:hAnsi="Times New Roman" w:cs="Times New Roman"/>
          <w:sz w:val="26"/>
          <w:szCs w:val="26"/>
        </w:rPr>
        <w:t xml:space="preserve">  </w:t>
      </w:r>
    </w:p>
    <w:p w:rsidR="001F1CDF" w:rsidRPr="003F7EE6" w:rsidRDefault="001F1CDF" w:rsidP="001F1CDF">
      <w:pPr>
        <w:tabs>
          <w:tab w:val="center" w:pos="0"/>
        </w:tabs>
        <w:suppressAutoHyphens/>
        <w:spacing w:after="0" w:line="360" w:lineRule="auto"/>
        <w:ind w:firstLine="1440"/>
        <w:rPr>
          <w:rFonts w:ascii="Times New Roman" w:eastAsia="Times New Roman" w:hAnsi="Times New Roman" w:cs="Times New Roman"/>
          <w:sz w:val="26"/>
          <w:szCs w:val="26"/>
        </w:rPr>
      </w:pPr>
    </w:p>
    <w:p w:rsidR="001F1CDF" w:rsidRPr="003F7EE6" w:rsidRDefault="001F1CDF" w:rsidP="001F1CDF">
      <w:pPr>
        <w:keepNext/>
        <w:tabs>
          <w:tab w:val="center" w:pos="0"/>
        </w:tabs>
        <w:suppressAutoHyphens/>
        <w:spacing w:after="0" w:line="360" w:lineRule="auto"/>
        <w:jc w:val="center"/>
        <w:rPr>
          <w:rFonts w:ascii="Times New Roman" w:eastAsia="Times New Roman" w:hAnsi="Times New Roman" w:cs="Times New Roman"/>
          <w:sz w:val="26"/>
          <w:szCs w:val="26"/>
        </w:rPr>
      </w:pPr>
      <w:r w:rsidRPr="003F7EE6">
        <w:rPr>
          <w:rFonts w:ascii="Times New Roman" w:eastAsia="Times New Roman" w:hAnsi="Times New Roman" w:cs="Times New Roman"/>
          <w:b/>
          <w:sz w:val="26"/>
          <w:szCs w:val="26"/>
        </w:rPr>
        <w:lastRenderedPageBreak/>
        <w:t>Terms of the Settlement</w:t>
      </w:r>
    </w:p>
    <w:p w:rsidR="001F1CDF" w:rsidRPr="003F7EE6" w:rsidRDefault="001F1CDF" w:rsidP="001F1CDF">
      <w:pPr>
        <w:keepNext/>
        <w:tabs>
          <w:tab w:val="center" w:pos="0"/>
        </w:tabs>
        <w:suppressAutoHyphens/>
        <w:spacing w:after="0" w:line="360" w:lineRule="auto"/>
        <w:jc w:val="center"/>
        <w:rPr>
          <w:rFonts w:ascii="Times New Roman" w:eastAsia="Times New Roman" w:hAnsi="Times New Roman" w:cs="Times New Roman"/>
          <w:sz w:val="26"/>
          <w:szCs w:val="26"/>
        </w:rPr>
      </w:pPr>
    </w:p>
    <w:p w:rsidR="001F1CDF" w:rsidRDefault="001F1CDF" w:rsidP="001F1CDF">
      <w:pPr>
        <w:tabs>
          <w:tab w:val="center" w:pos="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 xml:space="preserve">Pursuant to the Settlement, </w:t>
      </w:r>
      <w:r>
        <w:rPr>
          <w:rFonts w:ascii="Times New Roman" w:eastAsia="Times New Roman" w:hAnsi="Times New Roman" w:cs="Times New Roman"/>
          <w:sz w:val="26"/>
          <w:szCs w:val="26"/>
        </w:rPr>
        <w:t xml:space="preserve">the Parties agree to settle “without further litigation all matters related to Duquesne’s real property acquisition and disposition for the Moon-Sewickley tap project, and all other Duquesne acquisition and sales of property through December 31, 2012.”  Settlement at 2-3.  </w:t>
      </w:r>
    </w:p>
    <w:p w:rsidR="003B7750" w:rsidRDefault="003B7750" w:rsidP="001F1CDF">
      <w:pPr>
        <w:tabs>
          <w:tab w:val="center" w:pos="0"/>
        </w:tabs>
        <w:suppressAutoHyphens/>
        <w:spacing w:after="0" w:line="360" w:lineRule="auto"/>
        <w:rPr>
          <w:rFonts w:ascii="Times New Roman" w:eastAsia="Times New Roman" w:hAnsi="Times New Roman" w:cs="Times New Roman"/>
          <w:sz w:val="26"/>
          <w:szCs w:val="26"/>
        </w:rPr>
      </w:pPr>
    </w:p>
    <w:p w:rsidR="001F1CDF" w:rsidRDefault="001F1CDF" w:rsidP="001F1CDF">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Under the terms of the Settlement, Duquesne</w:t>
      </w:r>
      <w:r w:rsidRPr="003F7EE6">
        <w:rPr>
          <w:rFonts w:ascii="Times New Roman" w:eastAsia="Times New Roman" w:hAnsi="Times New Roman" w:cs="Times New Roman"/>
          <w:sz w:val="26"/>
          <w:szCs w:val="26"/>
        </w:rPr>
        <w:t xml:space="preserve"> will pay a civil penalty of $</w:t>
      </w:r>
      <w:r>
        <w:rPr>
          <w:rFonts w:ascii="Times New Roman" w:eastAsia="Times New Roman" w:hAnsi="Times New Roman" w:cs="Times New Roman"/>
          <w:sz w:val="26"/>
          <w:szCs w:val="26"/>
        </w:rPr>
        <w:t>2,5</w:t>
      </w:r>
      <w:r w:rsidRPr="003F7EE6">
        <w:rPr>
          <w:rFonts w:ascii="Times New Roman" w:eastAsia="Times New Roman" w:hAnsi="Times New Roman" w:cs="Times New Roman"/>
          <w:sz w:val="26"/>
          <w:szCs w:val="26"/>
        </w:rPr>
        <w:t>00</w:t>
      </w:r>
      <w:r>
        <w:rPr>
          <w:rFonts w:ascii="Times New Roman" w:eastAsia="Times New Roman" w:hAnsi="Times New Roman" w:cs="Times New Roman"/>
          <w:sz w:val="26"/>
          <w:szCs w:val="26"/>
        </w:rPr>
        <w:t>.  In addition, the Company agrees to pay $17,500 to the Dollar Energy Fund.</w:t>
      </w:r>
      <w:r w:rsidR="00690FF5">
        <w:rPr>
          <w:rStyle w:val="FootnoteReference"/>
          <w:rFonts w:ascii="Times New Roman" w:eastAsia="Times New Roman" w:hAnsi="Times New Roman" w:cs="Times New Roman"/>
          <w:sz w:val="26"/>
          <w:szCs w:val="26"/>
        </w:rPr>
        <w:footnoteReference w:id="6"/>
      </w:r>
      <w:r>
        <w:rPr>
          <w:rFonts w:ascii="Times New Roman" w:eastAsia="Times New Roman" w:hAnsi="Times New Roman" w:cs="Times New Roman"/>
          <w:sz w:val="26"/>
          <w:szCs w:val="26"/>
        </w:rPr>
        <w:t xml:space="preserve">  </w:t>
      </w:r>
      <w:r w:rsidRPr="00303007">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at 4. </w:t>
      </w:r>
    </w:p>
    <w:p w:rsidR="001F1CDF" w:rsidRDefault="001F1CDF" w:rsidP="001F1CDF">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1F1CDF" w:rsidRDefault="001F1CDF" w:rsidP="001F1CDF">
      <w:pPr>
        <w:tabs>
          <w:tab w:val="center" w:pos="72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Duquesne will also follow the notification requirements of 52 Pa. Code § 57.91 regardless of whether the property is subject to condemnation.  Additionally, the Company agrees not to employ straw purchasers when acquiring any interest in real property for the siting and construction of overhead transmission lines.  Settlement at 4.  </w:t>
      </w:r>
    </w:p>
    <w:p w:rsidR="001F1CDF" w:rsidRPr="00FC3B9A" w:rsidRDefault="001F1CDF" w:rsidP="001F1CDF">
      <w:pPr>
        <w:tabs>
          <w:tab w:val="center" w:pos="720"/>
        </w:tabs>
        <w:suppressAutoHyphens/>
        <w:spacing w:after="0" w:line="360" w:lineRule="auto"/>
        <w:rPr>
          <w:rFonts w:ascii="Times New Roman" w:eastAsia="Times New Roman" w:hAnsi="Times New Roman" w:cs="Times New Roman"/>
          <w:sz w:val="26"/>
          <w:szCs w:val="26"/>
        </w:rPr>
      </w:pPr>
    </w:p>
    <w:p w:rsidR="001F1CDF" w:rsidRPr="003F7EE6" w:rsidRDefault="001F1CDF" w:rsidP="001F1CDF">
      <w:pPr>
        <w:tabs>
          <w:tab w:val="center"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Pr>
          <w:rFonts w:ascii="Times New Roman" w:eastAsia="Times New Roman" w:hAnsi="Times New Roman" w:cs="Times New Roman"/>
          <w:sz w:val="26"/>
          <w:szCs w:val="26"/>
        </w:rPr>
        <w:t>If the Commission substanti</w:t>
      </w:r>
      <w:r w:rsidR="00407817">
        <w:rPr>
          <w:rFonts w:ascii="Times New Roman" w:eastAsia="Times New Roman" w:hAnsi="Times New Roman" w:cs="Times New Roman"/>
          <w:sz w:val="26"/>
          <w:szCs w:val="26"/>
        </w:rPr>
        <w:t>ve</w:t>
      </w:r>
      <w:r>
        <w:rPr>
          <w:rFonts w:ascii="Times New Roman" w:eastAsia="Times New Roman" w:hAnsi="Times New Roman" w:cs="Times New Roman"/>
          <w:sz w:val="26"/>
          <w:szCs w:val="26"/>
        </w:rPr>
        <w:t xml:space="preserve">ly modifies the terms of the Settlement, the Parties are permitted to petition the Commission for a hearing.  </w:t>
      </w:r>
      <w:r w:rsidRPr="003F7EE6">
        <w:rPr>
          <w:rFonts w:ascii="Times New Roman" w:eastAsia="Times New Roman" w:hAnsi="Times New Roman" w:cs="Times New Roman"/>
          <w:i/>
          <w:sz w:val="26"/>
          <w:szCs w:val="26"/>
        </w:rPr>
        <w:t>Id.</w:t>
      </w:r>
      <w:r>
        <w:rPr>
          <w:rFonts w:ascii="Times New Roman" w:eastAsia="Times New Roman" w:hAnsi="Times New Roman" w:cs="Times New Roman"/>
          <w:sz w:val="26"/>
          <w:szCs w:val="26"/>
        </w:rPr>
        <w:t xml:space="preserve">  In that event, any Party may withdraw from the Settlement within ten business days of any Commission Order making substantive modifications in the Settlement.  </w:t>
      </w:r>
      <w:r w:rsidRPr="00AA3E8E">
        <w:rPr>
          <w:rFonts w:ascii="Times New Roman" w:eastAsia="Times New Roman" w:hAnsi="Times New Roman" w:cs="Times New Roman"/>
          <w:i/>
          <w:sz w:val="26"/>
          <w:szCs w:val="26"/>
        </w:rPr>
        <w:t>Id</w:t>
      </w:r>
      <w:r>
        <w:rPr>
          <w:rFonts w:ascii="Times New Roman" w:eastAsia="Times New Roman" w:hAnsi="Times New Roman" w:cs="Times New Roman"/>
          <w:sz w:val="26"/>
          <w:szCs w:val="26"/>
        </w:rPr>
        <w:t>.</w:t>
      </w:r>
    </w:p>
    <w:p w:rsidR="001F1CDF" w:rsidRPr="003F7EE6" w:rsidRDefault="001F1CDF" w:rsidP="001F1CDF">
      <w:pPr>
        <w:tabs>
          <w:tab w:val="center" w:pos="720"/>
        </w:tabs>
        <w:suppressAutoHyphens/>
        <w:spacing w:after="0" w:line="360" w:lineRule="auto"/>
        <w:rPr>
          <w:rFonts w:ascii="Times New Roman" w:eastAsia="Times New Roman" w:hAnsi="Times New Roman" w:cs="Times New Roman"/>
          <w:sz w:val="26"/>
          <w:szCs w:val="26"/>
        </w:rPr>
      </w:pPr>
    </w:p>
    <w:p w:rsidR="001F1CDF" w:rsidRPr="003F7EE6" w:rsidRDefault="001F1CDF" w:rsidP="001F1CDF">
      <w:pPr>
        <w:keepNext/>
        <w:tabs>
          <w:tab w:val="center" w:pos="720"/>
        </w:tabs>
        <w:suppressAutoHyphens/>
        <w:spacing w:after="0" w:line="360" w:lineRule="auto"/>
        <w:jc w:val="center"/>
        <w:rPr>
          <w:rFonts w:ascii="Times New Roman" w:eastAsia="Times New Roman" w:hAnsi="Times New Roman" w:cs="Times New Roman"/>
          <w:b/>
          <w:sz w:val="26"/>
          <w:szCs w:val="26"/>
        </w:rPr>
      </w:pPr>
      <w:r w:rsidRPr="003F7EE6">
        <w:rPr>
          <w:rFonts w:ascii="Times New Roman" w:eastAsia="Times New Roman" w:hAnsi="Times New Roman" w:cs="Times New Roman"/>
          <w:b/>
          <w:sz w:val="26"/>
          <w:szCs w:val="26"/>
        </w:rPr>
        <w:lastRenderedPageBreak/>
        <w:t>Discussion</w:t>
      </w:r>
    </w:p>
    <w:p w:rsidR="001F1CDF" w:rsidRPr="003F7EE6" w:rsidRDefault="001F1CDF" w:rsidP="001F1CDF">
      <w:pPr>
        <w:keepNext/>
        <w:tabs>
          <w:tab w:val="center" w:pos="720"/>
        </w:tabs>
        <w:suppressAutoHyphens/>
        <w:spacing w:after="0" w:line="360" w:lineRule="auto"/>
        <w:rPr>
          <w:rFonts w:ascii="Times New Roman" w:eastAsia="Times New Roman" w:hAnsi="Times New Roman" w:cs="Times New Roman"/>
          <w:sz w:val="26"/>
          <w:szCs w:val="26"/>
        </w:rPr>
      </w:pPr>
    </w:p>
    <w:p w:rsidR="006B6835" w:rsidRDefault="006B6835" w:rsidP="000B30E4">
      <w:pPr>
        <w:tabs>
          <w:tab w:val="center" w:pos="720"/>
        </w:tabs>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Initially, we note that any issue or argument that we do not specifically address shall be deemed to have been duly considered and denied without further discussion.  The Commission is not required to consider expressly or at length each contention or argument raised by the Parties.  </w:t>
      </w:r>
      <w:proofErr w:type="gramStart"/>
      <w:r w:rsidRPr="006B6835">
        <w:rPr>
          <w:rFonts w:ascii="Times New Roman" w:eastAsia="Times New Roman" w:hAnsi="Times New Roman" w:cs="Times New Roman"/>
          <w:i/>
          <w:sz w:val="26"/>
          <w:szCs w:val="26"/>
        </w:rPr>
        <w:t>Consolidated Rail Corp. v. Pa. PUC</w:t>
      </w:r>
      <w:r w:rsidRPr="006B6835">
        <w:rPr>
          <w:rFonts w:ascii="Times New Roman" w:eastAsia="Times New Roman" w:hAnsi="Times New Roman" w:cs="Times New Roman"/>
          <w:sz w:val="26"/>
          <w:szCs w:val="26"/>
        </w:rPr>
        <w:t xml:space="preserve">, 625 A.2d 741 (Pa. Cmwlth. 1993); </w:t>
      </w:r>
      <w:r w:rsidRPr="006B6835">
        <w:rPr>
          <w:rFonts w:ascii="Times New Roman" w:eastAsia="Times New Roman" w:hAnsi="Times New Roman" w:cs="Times New Roman"/>
          <w:i/>
          <w:sz w:val="26"/>
          <w:szCs w:val="26"/>
        </w:rPr>
        <w:t>also see, generally</w:t>
      </w:r>
      <w:r w:rsidRPr="006B6835">
        <w:rPr>
          <w:rFonts w:ascii="Times New Roman" w:eastAsia="Times New Roman" w:hAnsi="Times New Roman" w:cs="Times New Roman"/>
          <w:sz w:val="26"/>
          <w:szCs w:val="26"/>
        </w:rPr>
        <w:t xml:space="preserve">, </w:t>
      </w:r>
      <w:r w:rsidRPr="006B6835">
        <w:rPr>
          <w:rFonts w:ascii="Times New Roman" w:eastAsia="Times New Roman" w:hAnsi="Times New Roman" w:cs="Times New Roman"/>
          <w:i/>
          <w:sz w:val="26"/>
          <w:szCs w:val="26"/>
        </w:rPr>
        <w:t>University of Pennsylvania v. Pa. PUC</w:t>
      </w:r>
      <w:r w:rsidRPr="006B6835">
        <w:rPr>
          <w:rFonts w:ascii="Times New Roman" w:eastAsia="Times New Roman" w:hAnsi="Times New Roman" w:cs="Times New Roman"/>
          <w:sz w:val="26"/>
          <w:szCs w:val="26"/>
        </w:rPr>
        <w:t>, 485 A.2d 1217 (Pa. Cmwlth. 1984).</w:t>
      </w:r>
      <w:proofErr w:type="gramEnd"/>
      <w:r w:rsidRPr="006B6835">
        <w:rPr>
          <w:rFonts w:ascii="Times New Roman" w:eastAsia="Times New Roman" w:hAnsi="Times New Roman" w:cs="Times New Roman"/>
          <w:sz w:val="26"/>
          <w:szCs w:val="26"/>
        </w:rPr>
        <w:t xml:space="preserve"> </w:t>
      </w:r>
    </w:p>
    <w:p w:rsidR="00C446C5" w:rsidRDefault="00C446C5" w:rsidP="000B30E4">
      <w:pPr>
        <w:tabs>
          <w:tab w:val="center" w:pos="720"/>
        </w:tabs>
        <w:suppressAutoHyphens/>
        <w:spacing w:after="0" w:line="360" w:lineRule="auto"/>
        <w:ind w:firstLine="1440"/>
        <w:rPr>
          <w:rFonts w:ascii="Times New Roman" w:eastAsia="Times New Roman" w:hAnsi="Times New Roman" w:cs="Times New Roman"/>
          <w:sz w:val="26"/>
          <w:szCs w:val="26"/>
        </w:rPr>
      </w:pPr>
    </w:p>
    <w:p w:rsidR="006B6835" w:rsidRPr="006B6835" w:rsidRDefault="006B6835">
      <w:pPr>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Pursuant to our Regulations at 52 Pa. Code § 5.231, it is the Commission’s policy to promote settlements.  The Commission must review proposed settlements to determine whether the terms are in the public interest.  </w:t>
      </w:r>
      <w:r w:rsidRPr="006B6835">
        <w:rPr>
          <w:rFonts w:ascii="Times New Roman" w:eastAsia="Times New Roman" w:hAnsi="Times New Roman" w:cs="Times New Roman"/>
          <w:i/>
          <w:sz w:val="26"/>
          <w:szCs w:val="26"/>
        </w:rPr>
        <w:t>Pa. PUC v. Philadelphia Gas Works</w:t>
      </w:r>
      <w:r w:rsidRPr="006B6835">
        <w:rPr>
          <w:rFonts w:ascii="Times New Roman" w:eastAsia="Times New Roman" w:hAnsi="Times New Roman" w:cs="Times New Roman"/>
          <w:sz w:val="26"/>
          <w:szCs w:val="26"/>
        </w:rPr>
        <w:t xml:space="preserve">, Docket No. M-00031768 (Order entered January 7, 2004).  After a review of the terms of the Settlement, we find that the Settlement is in the public interest.  </w:t>
      </w:r>
    </w:p>
    <w:p w:rsidR="006B6835" w:rsidRPr="006B6835" w:rsidRDefault="006B6835" w:rsidP="006B6835">
      <w:pPr>
        <w:spacing w:after="0" w:line="360" w:lineRule="auto"/>
        <w:ind w:firstLine="1440"/>
        <w:rPr>
          <w:rFonts w:ascii="Times New Roman" w:eastAsia="Times New Roman" w:hAnsi="Times New Roman" w:cs="Times New Roman"/>
          <w:sz w:val="26"/>
          <w:szCs w:val="26"/>
        </w:rPr>
      </w:pPr>
    </w:p>
    <w:p w:rsidR="006B6835" w:rsidRPr="006B6835" w:rsidRDefault="006B6835" w:rsidP="006B6835">
      <w:pPr>
        <w:spacing w:after="0" w:line="360" w:lineRule="auto"/>
        <w:ind w:firstLine="1440"/>
        <w:rPr>
          <w:rFonts w:ascii="Times New Roman" w:eastAsia="Times New Roman" w:hAnsi="Times New Roman" w:cs="Times New Roman"/>
          <w:sz w:val="26"/>
          <w:szCs w:val="26"/>
          <w:u w:color="000000"/>
        </w:rPr>
      </w:pPr>
      <w:r w:rsidRPr="006B6835">
        <w:rPr>
          <w:rFonts w:ascii="Times New Roman" w:eastAsia="Times New Roman" w:hAnsi="Times New Roman" w:cs="Times New Roman"/>
          <w:sz w:val="26"/>
          <w:szCs w:val="26"/>
        </w:rPr>
        <w:t xml:space="preserve">The Commission has promulgated a Policy Statement at 52 Pa. Code </w:t>
      </w:r>
      <w:r w:rsidRPr="006B6835">
        <w:rPr>
          <w:rFonts w:ascii="Times New Roman" w:eastAsia="Times New Roman" w:hAnsi="Times New Roman" w:cs="Times New Roman"/>
          <w:sz w:val="26"/>
          <w:szCs w:val="26"/>
        </w:rPr>
        <w:br/>
        <w:t xml:space="preserve">§ 69.1201 that sets forth ten factors that we may consider in evaluating whether a civil penalty for violating a Commission order, regulation or statute is appropriate, as well as if a proposed settlement for a violation is reasonable and approval of the settlement agreement is in the public interest.  The Policy Statement sets forth the guidelines we use when determining whether, and to what extent, a civil penalty is warranted.  In this case, application of these guidelines supports approval of the Settlement, as </w:t>
      </w:r>
      <w:r w:rsidR="002579C0">
        <w:rPr>
          <w:rFonts w:ascii="Times New Roman" w:eastAsia="Times New Roman" w:hAnsi="Times New Roman" w:cs="Times New Roman"/>
          <w:sz w:val="26"/>
          <w:szCs w:val="26"/>
        </w:rPr>
        <w:t>clarified</w:t>
      </w:r>
      <w:r w:rsidRPr="006B6835">
        <w:rPr>
          <w:rFonts w:ascii="Times New Roman" w:eastAsia="Times New Roman" w:hAnsi="Times New Roman" w:cs="Times New Roman"/>
          <w:sz w:val="26"/>
          <w:szCs w:val="26"/>
        </w:rPr>
        <w:t>.</w:t>
      </w:r>
    </w:p>
    <w:p w:rsidR="006B6835" w:rsidRPr="006B6835" w:rsidRDefault="006B6835" w:rsidP="006B6835">
      <w:pPr>
        <w:spacing w:after="0" w:line="360" w:lineRule="auto"/>
        <w:ind w:firstLine="1440"/>
        <w:rPr>
          <w:rFonts w:ascii="Times New Roman" w:eastAsia="Times New Roman" w:hAnsi="Times New Roman" w:cs="Times New Roman"/>
          <w:sz w:val="26"/>
          <w:szCs w:val="26"/>
          <w:u w:color="000000"/>
        </w:rPr>
      </w:pPr>
    </w:p>
    <w:p w:rsidR="006B6835" w:rsidRPr="006B6835" w:rsidRDefault="006B6835" w:rsidP="00651214">
      <w:pPr>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color w:val="000000"/>
          <w:sz w:val="26"/>
          <w:szCs w:val="26"/>
          <w:u w:color="000000"/>
        </w:rPr>
        <w:t xml:space="preserve">The first factor we may consider is </w:t>
      </w:r>
      <w:r w:rsidRPr="006B6835">
        <w:rPr>
          <w:rFonts w:ascii="Times New Roman" w:eastAsia="Times New Roman" w:hAnsi="Times New Roman" w:cs="Times New Roman"/>
          <w:sz w:val="26"/>
          <w:szCs w:val="26"/>
        </w:rPr>
        <w:t xml:space="preserve">whether the conduct at issue is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6B6835">
        <w:rPr>
          <w:rFonts w:ascii="Times New Roman" w:eastAsia="Times New Roman" w:hAnsi="Times New Roman" w:cs="Times New Roman"/>
          <w:i/>
          <w:sz w:val="26"/>
          <w:szCs w:val="26"/>
        </w:rPr>
        <w:t>Id</w:t>
      </w:r>
      <w:r w:rsidRPr="006B6835">
        <w:rPr>
          <w:rFonts w:ascii="Times New Roman" w:eastAsia="Times New Roman" w:hAnsi="Times New Roman" w:cs="Times New Roman"/>
          <w:sz w:val="26"/>
          <w:szCs w:val="26"/>
        </w:rPr>
        <w:t xml:space="preserve">.  This matter involved </w:t>
      </w:r>
      <w:r w:rsidR="0047035C">
        <w:rPr>
          <w:rFonts w:ascii="Times New Roman" w:eastAsia="Times New Roman" w:hAnsi="Times New Roman" w:cs="Times New Roman"/>
          <w:sz w:val="26"/>
          <w:szCs w:val="26"/>
        </w:rPr>
        <w:t xml:space="preserve">allegations that Duquesne: (1) acquired and disposed of the Property without a Certificate in violation of </w:t>
      </w:r>
      <w:r w:rsidR="0047035C">
        <w:rPr>
          <w:rFonts w:ascii="Times New Roman" w:eastAsia="Times New Roman" w:hAnsi="Times New Roman" w:cs="Times New Roman"/>
          <w:sz w:val="26"/>
          <w:szCs w:val="26"/>
        </w:rPr>
        <w:lastRenderedPageBreak/>
        <w:t xml:space="preserve">Section 1102(a)(3), 66 Pa. C.S. § 1102(a)(3); and (2) failed to provide written notices prior to communicating with property owners about the acquisition of transmission rights-of-way in violation of 52 Pa. Code § 57.91.  In addition, LBPS alleged that Duquesne’s use of a straw purchaser, although not illegal </w:t>
      </w:r>
      <w:r w:rsidR="0047035C">
        <w:rPr>
          <w:rFonts w:ascii="Times New Roman" w:eastAsia="Times New Roman" w:hAnsi="Times New Roman" w:cs="Times New Roman"/>
          <w:i/>
          <w:sz w:val="26"/>
          <w:szCs w:val="26"/>
        </w:rPr>
        <w:t>per se</w:t>
      </w:r>
      <w:r w:rsidR="0047035C">
        <w:rPr>
          <w:rFonts w:ascii="Times New Roman" w:eastAsia="Times New Roman" w:hAnsi="Times New Roman" w:cs="Times New Roman"/>
          <w:sz w:val="26"/>
          <w:szCs w:val="26"/>
        </w:rPr>
        <w:t xml:space="preserve">, </w:t>
      </w:r>
      <w:r w:rsidR="00F8783A">
        <w:rPr>
          <w:rFonts w:ascii="Times New Roman" w:eastAsia="Times New Roman" w:hAnsi="Times New Roman" w:cs="Times New Roman"/>
          <w:sz w:val="26"/>
          <w:szCs w:val="26"/>
        </w:rPr>
        <w:t>was</w:t>
      </w:r>
      <w:r w:rsidR="008613AB">
        <w:rPr>
          <w:rFonts w:ascii="Times New Roman" w:eastAsia="Times New Roman" w:hAnsi="Times New Roman" w:cs="Times New Roman"/>
          <w:sz w:val="26"/>
          <w:szCs w:val="26"/>
        </w:rPr>
        <w:t xml:space="preserve"> inconsistent with</w:t>
      </w:r>
      <w:r w:rsidR="0047035C">
        <w:rPr>
          <w:rFonts w:ascii="Times New Roman" w:eastAsia="Times New Roman" w:hAnsi="Times New Roman" w:cs="Times New Roman"/>
          <w:sz w:val="26"/>
          <w:szCs w:val="26"/>
        </w:rPr>
        <w:t xml:space="preserve"> the requirements of transparency and full disclosure implicit in Section 1102 of the Code and 52 Pa. Code § 57.91.  </w:t>
      </w:r>
      <w:r w:rsidR="00347B4A">
        <w:rPr>
          <w:rFonts w:ascii="Times New Roman" w:eastAsia="Times New Roman" w:hAnsi="Times New Roman" w:cs="Times New Roman"/>
          <w:sz w:val="26"/>
          <w:szCs w:val="26"/>
        </w:rPr>
        <w:t>The Parties acknowledge that this proceeding relates to com</w:t>
      </w:r>
      <w:r w:rsidR="00851ED9">
        <w:rPr>
          <w:rFonts w:ascii="Times New Roman" w:eastAsia="Times New Roman" w:hAnsi="Times New Roman" w:cs="Times New Roman"/>
          <w:sz w:val="26"/>
          <w:szCs w:val="26"/>
        </w:rPr>
        <w:t xml:space="preserve">pliance with the </w:t>
      </w:r>
      <w:r w:rsidR="00347B4A">
        <w:rPr>
          <w:rFonts w:ascii="Times New Roman" w:eastAsia="Times New Roman" w:hAnsi="Times New Roman" w:cs="Times New Roman"/>
          <w:sz w:val="26"/>
          <w:szCs w:val="26"/>
        </w:rPr>
        <w:t xml:space="preserve">Code and Commission Regulations, which is a serious matter.  </w:t>
      </w:r>
      <w:proofErr w:type="gramStart"/>
      <w:r w:rsidR="00347B4A">
        <w:rPr>
          <w:rFonts w:ascii="Times New Roman" w:eastAsia="Times New Roman" w:hAnsi="Times New Roman" w:cs="Times New Roman"/>
          <w:sz w:val="26"/>
          <w:szCs w:val="26"/>
        </w:rPr>
        <w:t>Settlement at 6.</w:t>
      </w:r>
      <w:proofErr w:type="gramEnd"/>
      <w:r w:rsidR="00347B4A">
        <w:rPr>
          <w:rFonts w:ascii="Times New Roman" w:eastAsia="Times New Roman" w:hAnsi="Times New Roman" w:cs="Times New Roman"/>
          <w:sz w:val="26"/>
          <w:szCs w:val="26"/>
        </w:rPr>
        <w:t xml:space="preserve">  We agree.  Nevertheless, </w:t>
      </w:r>
      <w:r w:rsidR="0047035C">
        <w:rPr>
          <w:rFonts w:ascii="Times New Roman" w:eastAsia="Times New Roman" w:hAnsi="Times New Roman" w:cs="Times New Roman"/>
          <w:sz w:val="26"/>
          <w:szCs w:val="26"/>
        </w:rPr>
        <w:t xml:space="preserve">there is no allegation that the Company’s actions </w:t>
      </w:r>
      <w:r w:rsidR="007F297D">
        <w:rPr>
          <w:rFonts w:ascii="Times New Roman" w:eastAsia="Times New Roman" w:hAnsi="Times New Roman" w:cs="Times New Roman"/>
          <w:sz w:val="26"/>
          <w:szCs w:val="26"/>
        </w:rPr>
        <w:t xml:space="preserve">here </w:t>
      </w:r>
      <w:r w:rsidR="0047035C">
        <w:rPr>
          <w:rFonts w:ascii="Times New Roman" w:eastAsia="Times New Roman" w:hAnsi="Times New Roman" w:cs="Times New Roman"/>
          <w:sz w:val="26"/>
          <w:szCs w:val="26"/>
        </w:rPr>
        <w:t>were intentional</w:t>
      </w:r>
      <w:r w:rsidR="00F8783A">
        <w:rPr>
          <w:rFonts w:ascii="Times New Roman" w:eastAsia="Times New Roman" w:hAnsi="Times New Roman" w:cs="Times New Roman"/>
          <w:sz w:val="26"/>
          <w:szCs w:val="26"/>
        </w:rPr>
        <w:t xml:space="preserve"> or involved fraud or misre</w:t>
      </w:r>
      <w:r w:rsidR="003E1138">
        <w:rPr>
          <w:rFonts w:ascii="Times New Roman" w:eastAsia="Times New Roman" w:hAnsi="Times New Roman" w:cs="Times New Roman"/>
          <w:sz w:val="26"/>
          <w:szCs w:val="26"/>
        </w:rPr>
        <w:t>pre</w:t>
      </w:r>
      <w:r w:rsidR="00F8783A">
        <w:rPr>
          <w:rFonts w:ascii="Times New Roman" w:eastAsia="Times New Roman" w:hAnsi="Times New Roman" w:cs="Times New Roman"/>
          <w:sz w:val="26"/>
          <w:szCs w:val="26"/>
        </w:rPr>
        <w:t>sentation</w:t>
      </w:r>
      <w:r w:rsidR="0047035C">
        <w:rPr>
          <w:rFonts w:ascii="Times New Roman" w:eastAsia="Times New Roman" w:hAnsi="Times New Roman" w:cs="Times New Roman"/>
          <w:sz w:val="26"/>
          <w:szCs w:val="26"/>
        </w:rPr>
        <w:t xml:space="preserve">.    </w:t>
      </w:r>
      <w:r w:rsidR="00651214">
        <w:rPr>
          <w:rFonts w:ascii="Times New Roman" w:eastAsia="Times New Roman" w:hAnsi="Times New Roman" w:cs="Times New Roman"/>
          <w:sz w:val="26"/>
          <w:szCs w:val="26"/>
        </w:rPr>
        <w:t>Upon review, we</w:t>
      </w:r>
      <w:r w:rsidRPr="006B6835">
        <w:rPr>
          <w:rFonts w:ascii="Times New Roman" w:eastAsia="Times New Roman" w:hAnsi="Times New Roman" w:cs="Times New Roman"/>
          <w:sz w:val="26"/>
          <w:szCs w:val="26"/>
        </w:rPr>
        <w:t xml:space="preserve"> </w:t>
      </w:r>
      <w:r w:rsidR="00F8783A">
        <w:rPr>
          <w:rFonts w:ascii="Times New Roman" w:eastAsia="Times New Roman" w:hAnsi="Times New Roman" w:cs="Times New Roman"/>
          <w:sz w:val="26"/>
          <w:szCs w:val="26"/>
        </w:rPr>
        <w:t xml:space="preserve">do not believe that </w:t>
      </w:r>
      <w:r w:rsidR="00931476">
        <w:rPr>
          <w:rFonts w:ascii="Times New Roman" w:eastAsia="Times New Roman" w:hAnsi="Times New Roman" w:cs="Times New Roman"/>
          <w:sz w:val="26"/>
          <w:szCs w:val="26"/>
        </w:rPr>
        <w:t>this factor warrants a higher penalty</w:t>
      </w:r>
      <w:r w:rsidRPr="006B6835">
        <w:rPr>
          <w:rFonts w:ascii="Times New Roman" w:eastAsia="Times New Roman" w:hAnsi="Times New Roman" w:cs="Times New Roman"/>
          <w:sz w:val="26"/>
          <w:szCs w:val="26"/>
        </w:rPr>
        <w:t xml:space="preserve">.        </w:t>
      </w:r>
    </w:p>
    <w:p w:rsidR="006B6835" w:rsidRPr="006B6835" w:rsidRDefault="006B6835" w:rsidP="006B6835">
      <w:pPr>
        <w:suppressAutoHyphens/>
        <w:spacing w:after="0" w:line="360" w:lineRule="auto"/>
        <w:ind w:firstLine="1440"/>
        <w:rPr>
          <w:rFonts w:ascii="Times New Roman" w:eastAsia="Times New Roman" w:hAnsi="Times New Roman" w:cs="Times New Roman"/>
          <w:sz w:val="26"/>
          <w:szCs w:val="26"/>
        </w:rPr>
      </w:pPr>
    </w:p>
    <w:p w:rsidR="006B6835" w:rsidRPr="006B6835" w:rsidRDefault="006B6835" w:rsidP="006B6835">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The second factor is whether the resulting consequences of the conduct are of a serious nature.  52 Pa. Code § 69.1201(c)(2).  “When consequences of a serious nature are involved, such as personal injury or property damage, the consequences may warrant a higher penalty.”  </w:t>
      </w:r>
      <w:r w:rsidRPr="006B6835">
        <w:rPr>
          <w:rFonts w:ascii="Times New Roman" w:eastAsia="Times New Roman" w:hAnsi="Times New Roman" w:cs="Times New Roman"/>
          <w:i/>
          <w:sz w:val="26"/>
          <w:szCs w:val="26"/>
        </w:rPr>
        <w:t xml:space="preserve">Id.  </w:t>
      </w:r>
      <w:r w:rsidR="00651214">
        <w:rPr>
          <w:rFonts w:ascii="Times New Roman" w:eastAsia="Times New Roman" w:hAnsi="Times New Roman" w:cs="Times New Roman"/>
          <w:sz w:val="26"/>
          <w:szCs w:val="26"/>
        </w:rPr>
        <w:t xml:space="preserve">There is no indication that the alleged violations resulted in personal injuries or property damage.  </w:t>
      </w:r>
      <w:r w:rsidRPr="006B6835">
        <w:rPr>
          <w:rFonts w:ascii="Times New Roman" w:eastAsia="Times New Roman" w:hAnsi="Times New Roman" w:cs="Times New Roman"/>
          <w:sz w:val="26"/>
          <w:szCs w:val="26"/>
        </w:rPr>
        <w:t xml:space="preserve">Thus, the Company’s actions set forth in the Settlement did not result in consequences of a serious nature which would warrant a higher penalty under this factor.          </w:t>
      </w:r>
    </w:p>
    <w:p w:rsidR="006B6835" w:rsidRPr="006B6835" w:rsidRDefault="006B6835" w:rsidP="006B6835">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        </w:t>
      </w:r>
    </w:p>
    <w:p w:rsidR="006B6835" w:rsidRPr="006B6835" w:rsidRDefault="006B6835" w:rsidP="006B6835">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The third factor pertains to litigated cases only.  52 Pa. Code </w:t>
      </w:r>
      <w:r w:rsidRPr="006B6835">
        <w:rPr>
          <w:rFonts w:ascii="Times New Roman" w:eastAsia="Times New Roman" w:hAnsi="Times New Roman" w:cs="Times New Roman"/>
          <w:sz w:val="26"/>
          <w:szCs w:val="26"/>
        </w:rPr>
        <w:br/>
        <w:t xml:space="preserve">§ 69.1201(c)(3).  Because this proceeding was settled, this factor is not applicable to this Settlement.  </w:t>
      </w:r>
    </w:p>
    <w:p w:rsidR="006B6835" w:rsidRPr="006B6835" w:rsidRDefault="006B6835" w:rsidP="006B6835">
      <w:pPr>
        <w:suppressAutoHyphens/>
        <w:spacing w:after="0" w:line="360" w:lineRule="auto"/>
        <w:ind w:firstLine="1440"/>
        <w:rPr>
          <w:rFonts w:ascii="Times New Roman" w:eastAsia="Times New Roman" w:hAnsi="Times New Roman" w:cs="Times New Roman"/>
          <w:sz w:val="26"/>
          <w:szCs w:val="26"/>
        </w:rPr>
      </w:pPr>
    </w:p>
    <w:p w:rsidR="00195047" w:rsidRDefault="006B6835" w:rsidP="006B6835">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The fourth factor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w:t>
      </w:r>
      <w:r w:rsidR="00651214">
        <w:rPr>
          <w:rFonts w:ascii="Times New Roman" w:eastAsia="Times New Roman" w:hAnsi="Times New Roman" w:cs="Times New Roman"/>
          <w:sz w:val="26"/>
          <w:szCs w:val="26"/>
        </w:rPr>
        <w:t xml:space="preserve">Duquesne has agreed to follow the notification requirements of 52 Pa. Code § 57.91, whether or not the rights-of-way it </w:t>
      </w:r>
      <w:r w:rsidR="00651214">
        <w:rPr>
          <w:rFonts w:ascii="Times New Roman" w:eastAsia="Times New Roman" w:hAnsi="Times New Roman" w:cs="Times New Roman"/>
          <w:sz w:val="26"/>
          <w:szCs w:val="26"/>
        </w:rPr>
        <w:lastRenderedPageBreak/>
        <w:t xml:space="preserve">intends to acquire are subject to eminent domain.  Additionally, the Company agrees it will not employ straw purchasers when acquiring any interest in real property for the siting and construction of overhead transmission lines, subject to any future action by the Commission on this issue.  </w:t>
      </w:r>
      <w:r w:rsidR="00195047">
        <w:rPr>
          <w:rFonts w:ascii="Times New Roman" w:eastAsia="Times New Roman" w:hAnsi="Times New Roman" w:cs="Times New Roman"/>
          <w:sz w:val="26"/>
          <w:szCs w:val="26"/>
        </w:rPr>
        <w:t xml:space="preserve">Settlement at 4.  </w:t>
      </w:r>
    </w:p>
    <w:p w:rsidR="00195047" w:rsidRDefault="00195047" w:rsidP="006B6835">
      <w:pPr>
        <w:suppressAutoHyphens/>
        <w:spacing w:after="0" w:line="360" w:lineRule="auto"/>
        <w:ind w:firstLine="1440"/>
        <w:rPr>
          <w:rFonts w:ascii="Times New Roman" w:eastAsia="Times New Roman" w:hAnsi="Times New Roman" w:cs="Times New Roman"/>
          <w:sz w:val="26"/>
          <w:szCs w:val="26"/>
        </w:rPr>
      </w:pPr>
    </w:p>
    <w:p w:rsidR="00897CD6" w:rsidRDefault="00195047" w:rsidP="006B6835">
      <w:pPr>
        <w:suppressAutoHyphen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Duquesne disagrees that a Certificate </w:t>
      </w:r>
      <w:r w:rsidR="00DD34E3">
        <w:rPr>
          <w:rFonts w:ascii="Times New Roman" w:eastAsia="Times New Roman" w:hAnsi="Times New Roman" w:cs="Times New Roman"/>
          <w:sz w:val="26"/>
          <w:szCs w:val="26"/>
        </w:rPr>
        <w:t xml:space="preserve">was required </w:t>
      </w:r>
      <w:r>
        <w:rPr>
          <w:rFonts w:ascii="Times New Roman" w:eastAsia="Times New Roman" w:hAnsi="Times New Roman" w:cs="Times New Roman"/>
          <w:sz w:val="26"/>
          <w:szCs w:val="26"/>
        </w:rPr>
        <w:t xml:space="preserve">for the acquisition and disposal of real property under the facts and circumstances of this case and believes its actions were in full accordance with long-standing Commission practice and precedent.  Further, the Settlement provides that it is non-precedential on the issue of </w:t>
      </w:r>
      <w:r w:rsidR="004B359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when a </w:t>
      </w:r>
      <w:r w:rsidR="004B3598">
        <w:rPr>
          <w:rFonts w:ascii="Times New Roman" w:eastAsia="Times New Roman" w:hAnsi="Times New Roman" w:cs="Times New Roman"/>
          <w:sz w:val="26"/>
          <w:szCs w:val="26"/>
        </w:rPr>
        <w:t>c</w:t>
      </w:r>
      <w:r>
        <w:rPr>
          <w:rFonts w:ascii="Times New Roman" w:eastAsia="Times New Roman" w:hAnsi="Times New Roman" w:cs="Times New Roman"/>
          <w:sz w:val="26"/>
          <w:szCs w:val="26"/>
        </w:rPr>
        <w:t xml:space="preserve">ertificate </w:t>
      </w:r>
      <w:r w:rsidR="004B3598">
        <w:rPr>
          <w:rFonts w:ascii="Times New Roman" w:eastAsia="Times New Roman" w:hAnsi="Times New Roman" w:cs="Times New Roman"/>
          <w:sz w:val="26"/>
          <w:szCs w:val="26"/>
        </w:rPr>
        <w:t xml:space="preserve">of public convenience </w:t>
      </w:r>
      <w:r>
        <w:rPr>
          <w:rFonts w:ascii="Times New Roman" w:eastAsia="Times New Roman" w:hAnsi="Times New Roman" w:cs="Times New Roman"/>
          <w:sz w:val="26"/>
          <w:szCs w:val="26"/>
        </w:rPr>
        <w:t xml:space="preserve">is required for </w:t>
      </w:r>
      <w:r w:rsidR="004B3598">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future acquisition or sale of future use property.</w:t>
      </w:r>
      <w:r w:rsidR="004B3598">
        <w:rPr>
          <w:rFonts w:ascii="Times New Roman" w:eastAsia="Times New Roman" w:hAnsi="Times New Roman" w:cs="Times New Roman"/>
          <w:sz w:val="26"/>
          <w:szCs w:val="26"/>
        </w:rPr>
        <w:t xml:space="preserve">”  </w:t>
      </w:r>
      <w:proofErr w:type="gramStart"/>
      <w:r w:rsidR="004B3598">
        <w:rPr>
          <w:rFonts w:ascii="Times New Roman" w:eastAsia="Times New Roman" w:hAnsi="Times New Roman" w:cs="Times New Roman"/>
          <w:sz w:val="26"/>
          <w:szCs w:val="26"/>
        </w:rPr>
        <w:t>Settlement at 4.</w:t>
      </w:r>
      <w:proofErr w:type="gramEnd"/>
      <w:r w:rsidR="00897CD6">
        <w:rPr>
          <w:rFonts w:ascii="Times New Roman" w:eastAsia="Times New Roman" w:hAnsi="Times New Roman" w:cs="Times New Roman"/>
          <w:sz w:val="26"/>
          <w:szCs w:val="26"/>
        </w:rPr>
        <w:t xml:space="preserve">  </w:t>
      </w:r>
    </w:p>
    <w:p w:rsidR="006B6835" w:rsidRPr="006B6835" w:rsidRDefault="00897CD6" w:rsidP="006B6835">
      <w:pPr>
        <w:suppressAutoHyphen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B6835" w:rsidRPr="006B6835">
        <w:rPr>
          <w:rFonts w:ascii="Times New Roman" w:eastAsia="Times New Roman" w:hAnsi="Times New Roman" w:cs="Times New Roman"/>
          <w:sz w:val="26"/>
          <w:szCs w:val="26"/>
        </w:rPr>
        <w:t xml:space="preserve">    </w:t>
      </w:r>
    </w:p>
    <w:p w:rsidR="009A0E6D" w:rsidRDefault="009A0E6D" w:rsidP="00734C0A">
      <w:pPr>
        <w:suppressAutoHyphen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Section 1102(a)(3) provides, in pertinent part: </w:t>
      </w:r>
    </w:p>
    <w:p w:rsidR="009A0E6D" w:rsidRDefault="009A0E6D" w:rsidP="000B30E4">
      <w:pPr>
        <w:suppressAutoHyphens/>
        <w:spacing w:after="0" w:line="240" w:lineRule="auto"/>
        <w:ind w:firstLine="1440"/>
        <w:rPr>
          <w:rFonts w:ascii="Times New Roman" w:eastAsia="Times New Roman" w:hAnsi="Times New Roman" w:cs="Times New Roman"/>
          <w:sz w:val="26"/>
          <w:szCs w:val="26"/>
        </w:rPr>
      </w:pPr>
    </w:p>
    <w:p w:rsidR="009A0E6D" w:rsidRPr="000D6619" w:rsidRDefault="002531B9" w:rsidP="00734C0A">
      <w:pPr>
        <w:spacing w:after="0" w:line="240" w:lineRule="auto"/>
        <w:ind w:left="1440" w:right="1440"/>
        <w:rPr>
          <w:rFonts w:ascii="Times New Roman" w:eastAsia="Times New Roman" w:hAnsi="Times New Roman" w:cs="Times New Roman"/>
          <w:sz w:val="26"/>
          <w:szCs w:val="26"/>
        </w:rPr>
      </w:pPr>
      <w:r>
        <w:rPr>
          <w:rFonts w:ascii="Times New Roman" w:eastAsia="Times New Roman" w:hAnsi="Times New Roman" w:cs="Times New Roman"/>
          <w:bCs/>
          <w:sz w:val="26"/>
          <w:szCs w:val="26"/>
        </w:rPr>
        <w:t>(</w:t>
      </w:r>
      <w:r w:rsidR="009A0E6D" w:rsidRPr="000D6619">
        <w:rPr>
          <w:rFonts w:ascii="Times New Roman" w:eastAsia="Times New Roman" w:hAnsi="Times New Roman" w:cs="Times New Roman"/>
          <w:bCs/>
          <w:sz w:val="26"/>
          <w:szCs w:val="26"/>
        </w:rPr>
        <w:t xml:space="preserve">a) General </w:t>
      </w:r>
      <w:proofErr w:type="gramStart"/>
      <w:r w:rsidR="009A0E6D" w:rsidRPr="000D6619">
        <w:rPr>
          <w:rFonts w:ascii="Times New Roman" w:eastAsia="Times New Roman" w:hAnsi="Times New Roman" w:cs="Times New Roman"/>
          <w:bCs/>
          <w:sz w:val="26"/>
          <w:szCs w:val="26"/>
        </w:rPr>
        <w:t>rule</w:t>
      </w:r>
      <w:proofErr w:type="gramEnd"/>
      <w:r w:rsidR="009A0E6D" w:rsidRPr="000D6619">
        <w:rPr>
          <w:rFonts w:ascii="Times New Roman" w:eastAsia="Times New Roman" w:hAnsi="Times New Roman" w:cs="Times New Roman"/>
          <w:bCs/>
          <w:sz w:val="26"/>
          <w:szCs w:val="26"/>
        </w:rPr>
        <w:t>.--</w:t>
      </w:r>
      <w:r w:rsidR="009A0E6D" w:rsidRPr="000D6619">
        <w:rPr>
          <w:rFonts w:ascii="Times New Roman" w:eastAsia="Times New Roman" w:hAnsi="Times New Roman" w:cs="Times New Roman"/>
          <w:sz w:val="26"/>
          <w:szCs w:val="26"/>
        </w:rPr>
        <w:t>Upon the application of any public utility and the approval of such application by the commission, evidenced by its certificate of public convenience first had and obtained, and upon compliance with existing laws, it shall be lawful:</w:t>
      </w:r>
    </w:p>
    <w:p w:rsidR="002531B9" w:rsidRDefault="002531B9" w:rsidP="009A0E6D">
      <w:pPr>
        <w:spacing w:after="0" w:line="240" w:lineRule="auto"/>
        <w:ind w:firstLine="1440"/>
        <w:rPr>
          <w:rFonts w:ascii="Times New Roman" w:eastAsia="Times New Roman" w:hAnsi="Times New Roman" w:cs="Times New Roman"/>
          <w:sz w:val="26"/>
          <w:szCs w:val="26"/>
        </w:rPr>
      </w:pPr>
    </w:p>
    <w:p w:rsidR="009A0E6D" w:rsidRPr="000D6619" w:rsidRDefault="009A0E6D" w:rsidP="009A0E6D">
      <w:pPr>
        <w:spacing w:after="0" w:line="240" w:lineRule="auto"/>
        <w:ind w:firstLine="1440"/>
        <w:rPr>
          <w:rFonts w:ascii="Times New Roman" w:eastAsia="Times New Roman" w:hAnsi="Times New Roman" w:cs="Times New Roman"/>
          <w:sz w:val="26"/>
          <w:szCs w:val="26"/>
        </w:rPr>
      </w:pPr>
      <w:r w:rsidRPr="000D6619">
        <w:rPr>
          <w:rFonts w:ascii="Times New Roman" w:eastAsia="Times New Roman" w:hAnsi="Times New Roman" w:cs="Times New Roman"/>
          <w:sz w:val="26"/>
          <w:szCs w:val="26"/>
        </w:rPr>
        <w:t>…</w:t>
      </w:r>
    </w:p>
    <w:p w:rsidR="002531B9" w:rsidRDefault="002531B9" w:rsidP="009A0E6D">
      <w:pPr>
        <w:spacing w:after="0" w:line="240" w:lineRule="auto"/>
        <w:ind w:left="1440" w:right="1440"/>
        <w:rPr>
          <w:rFonts w:ascii="Times New Roman" w:eastAsia="Times New Roman" w:hAnsi="Times New Roman" w:cs="Times New Roman"/>
          <w:sz w:val="26"/>
          <w:szCs w:val="26"/>
        </w:rPr>
      </w:pPr>
    </w:p>
    <w:p w:rsidR="009A0E6D" w:rsidRPr="000D6619" w:rsidRDefault="002531B9" w:rsidP="009A0E6D">
      <w:pPr>
        <w:spacing w:after="0" w:line="240" w:lineRule="auto"/>
        <w:ind w:left="1440" w:right="144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A0E6D" w:rsidRPr="000D6619">
        <w:rPr>
          <w:rFonts w:ascii="Times New Roman" w:eastAsia="Times New Roman" w:hAnsi="Times New Roman" w:cs="Times New Roman"/>
          <w:sz w:val="26"/>
          <w:szCs w:val="26"/>
        </w:rPr>
        <w:t xml:space="preserve">(3) For any public utility or an affiliated interest of a public utility as defined in section 2101 (relating to definition of affiliated interest), except a common carrier by railroad subject to the Interstate Commerce Act, to acquire from, or to transfer to, any person or corporation, including a municipal corporation, by any method or device whatsoever, including the sale or transfer of stock and including a consolidation, merger, sale or lease, the title to, or the possession or use of, any tangible or intangible property </w:t>
      </w:r>
      <w:r w:rsidR="009A0E6D" w:rsidRPr="000D6619">
        <w:rPr>
          <w:rFonts w:ascii="Times New Roman" w:eastAsia="Times New Roman" w:hAnsi="Times New Roman" w:cs="Times New Roman"/>
          <w:i/>
          <w:sz w:val="26"/>
          <w:szCs w:val="26"/>
        </w:rPr>
        <w:t>used or useful in the public service</w:t>
      </w:r>
      <w:r w:rsidR="009A0E6D" w:rsidRPr="000D6619">
        <w:rPr>
          <w:rFonts w:ascii="Times New Roman" w:eastAsia="Times New Roman" w:hAnsi="Times New Roman" w:cs="Times New Roman"/>
          <w:sz w:val="26"/>
          <w:szCs w:val="26"/>
        </w:rPr>
        <w:t>.</w:t>
      </w:r>
    </w:p>
    <w:p w:rsidR="009A0E6D" w:rsidRPr="000D6619" w:rsidRDefault="009A0E6D" w:rsidP="009A0E6D">
      <w:pPr>
        <w:spacing w:after="0" w:line="240" w:lineRule="auto"/>
        <w:rPr>
          <w:rFonts w:ascii="Times New Roman" w:eastAsia="Times New Roman" w:hAnsi="Times New Roman" w:cs="Times New Roman"/>
          <w:sz w:val="26"/>
          <w:szCs w:val="26"/>
        </w:rPr>
      </w:pPr>
    </w:p>
    <w:p w:rsidR="009A0E6D" w:rsidRPr="000D6619" w:rsidRDefault="009A0E6D">
      <w:pPr>
        <w:spacing w:after="0" w:line="240" w:lineRule="auto"/>
        <w:rPr>
          <w:rFonts w:ascii="Times New Roman" w:eastAsia="Times New Roman" w:hAnsi="Times New Roman" w:cs="Times New Roman"/>
          <w:sz w:val="26"/>
          <w:szCs w:val="26"/>
        </w:rPr>
      </w:pPr>
      <w:r w:rsidRPr="000D6619">
        <w:rPr>
          <w:rFonts w:ascii="Times New Roman" w:eastAsia="Times New Roman" w:hAnsi="Times New Roman" w:cs="Times New Roman"/>
          <w:sz w:val="26"/>
          <w:szCs w:val="26"/>
        </w:rPr>
        <w:t>66 Pa. C.S. § 1102 (emphasis added).</w:t>
      </w:r>
    </w:p>
    <w:p w:rsidR="006B6835" w:rsidRPr="006B6835" w:rsidRDefault="006B6835" w:rsidP="006B6835">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        </w:t>
      </w:r>
    </w:p>
    <w:p w:rsidR="006B6835" w:rsidRPr="00DD34E3" w:rsidRDefault="00DD34E3" w:rsidP="006B6835">
      <w:pPr>
        <w:suppressAutoHyphens/>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During LBPS’s investigation</w:t>
      </w:r>
      <w:r w:rsidR="009A0E6D">
        <w:rPr>
          <w:rFonts w:ascii="Times New Roman" w:hAnsi="Times New Roman" w:cs="Times New Roman"/>
          <w:sz w:val="26"/>
          <w:szCs w:val="26"/>
        </w:rPr>
        <w:t>, Duquesne argued that the Commission’s approval of the sale of property under Section 1102(a)(3) is only required if the subject property is currently being used for purposes of providing electric service to the public.  According to the Company, the Property in this proceeding was not being used for the purpose of providing public utility service at the time it was purchased by Duquesne; likewise, the sale of the Property to the new owner, subject to the right-of-way</w:t>
      </w:r>
      <w:r w:rsidR="000F48DD">
        <w:rPr>
          <w:rFonts w:ascii="Times New Roman" w:hAnsi="Times New Roman" w:cs="Times New Roman"/>
          <w:sz w:val="26"/>
          <w:szCs w:val="26"/>
        </w:rPr>
        <w:t>,</w:t>
      </w:r>
      <w:r w:rsidR="009A0E6D">
        <w:rPr>
          <w:rFonts w:ascii="Times New Roman" w:hAnsi="Times New Roman" w:cs="Times New Roman"/>
          <w:sz w:val="26"/>
          <w:szCs w:val="26"/>
        </w:rPr>
        <w:t xml:space="preserve"> was not being used for the purpose of providing </w:t>
      </w:r>
      <w:r w:rsidR="00581DC0">
        <w:rPr>
          <w:rFonts w:ascii="Times New Roman" w:hAnsi="Times New Roman" w:cs="Times New Roman"/>
          <w:sz w:val="26"/>
          <w:szCs w:val="26"/>
        </w:rPr>
        <w:t xml:space="preserve">public </w:t>
      </w:r>
      <w:r w:rsidR="009A0E6D">
        <w:rPr>
          <w:rFonts w:ascii="Times New Roman" w:hAnsi="Times New Roman" w:cs="Times New Roman"/>
          <w:sz w:val="26"/>
          <w:szCs w:val="26"/>
        </w:rPr>
        <w:t xml:space="preserve">utility service at the time Duquesne sold it.  Report at </w:t>
      </w:r>
      <w:r>
        <w:rPr>
          <w:rFonts w:ascii="Times New Roman" w:hAnsi="Times New Roman" w:cs="Times New Roman"/>
          <w:sz w:val="26"/>
          <w:szCs w:val="26"/>
        </w:rPr>
        <w:t>5-8.  According to LBPS, the Company argue</w:t>
      </w:r>
      <w:r w:rsidR="00CD7872">
        <w:rPr>
          <w:rFonts w:ascii="Times New Roman" w:hAnsi="Times New Roman" w:cs="Times New Roman"/>
          <w:sz w:val="26"/>
          <w:szCs w:val="26"/>
        </w:rPr>
        <w:t>d</w:t>
      </w:r>
      <w:r w:rsidR="00745EFD">
        <w:rPr>
          <w:rFonts w:ascii="Times New Roman" w:hAnsi="Times New Roman" w:cs="Times New Roman"/>
          <w:sz w:val="26"/>
          <w:szCs w:val="26"/>
        </w:rPr>
        <w:t xml:space="preserve"> that Section 1102</w:t>
      </w:r>
      <w:r>
        <w:rPr>
          <w:rFonts w:ascii="Times New Roman" w:hAnsi="Times New Roman" w:cs="Times New Roman"/>
          <w:sz w:val="26"/>
          <w:szCs w:val="26"/>
        </w:rPr>
        <w:t xml:space="preserve">(a)(3) requires property to be used </w:t>
      </w:r>
      <w:r w:rsidRPr="00DD34E3">
        <w:rPr>
          <w:rFonts w:ascii="Times New Roman" w:hAnsi="Times New Roman" w:cs="Times New Roman"/>
          <w:i/>
          <w:sz w:val="26"/>
          <w:szCs w:val="26"/>
        </w:rPr>
        <w:t>and</w:t>
      </w:r>
      <w:r>
        <w:rPr>
          <w:rFonts w:ascii="Times New Roman" w:hAnsi="Times New Roman" w:cs="Times New Roman"/>
          <w:sz w:val="26"/>
          <w:szCs w:val="26"/>
        </w:rPr>
        <w:t xml:space="preserve"> useful in the public service in order to trigger the Certificate requirement prior to purchase, sale or other disposition of property.   </w:t>
      </w:r>
      <w:r>
        <w:rPr>
          <w:rFonts w:ascii="Times New Roman" w:hAnsi="Times New Roman" w:cs="Times New Roman"/>
          <w:i/>
          <w:sz w:val="26"/>
          <w:szCs w:val="26"/>
        </w:rPr>
        <w:t xml:space="preserve">Id. </w:t>
      </w:r>
      <w:r>
        <w:rPr>
          <w:rFonts w:ascii="Times New Roman" w:hAnsi="Times New Roman" w:cs="Times New Roman"/>
          <w:sz w:val="26"/>
          <w:szCs w:val="26"/>
        </w:rPr>
        <w:t>at 11.</w:t>
      </w:r>
    </w:p>
    <w:p w:rsidR="006B6835" w:rsidRPr="006B6835" w:rsidRDefault="006B6835" w:rsidP="006B6835">
      <w:pPr>
        <w:suppressAutoHyphens/>
        <w:spacing w:after="0" w:line="360" w:lineRule="auto"/>
        <w:ind w:firstLine="1440"/>
        <w:rPr>
          <w:rFonts w:ascii="Times New Roman" w:eastAsia="Times New Roman" w:hAnsi="Times New Roman" w:cs="Times New Roman"/>
          <w:sz w:val="26"/>
          <w:szCs w:val="26"/>
        </w:rPr>
      </w:pPr>
      <w:r w:rsidRPr="006B6835">
        <w:rPr>
          <w:rFonts w:ascii="Times New Roman" w:hAnsi="Times New Roman" w:cs="Times New Roman"/>
          <w:sz w:val="26"/>
          <w:szCs w:val="26"/>
        </w:rPr>
        <w:t xml:space="preserve"> </w:t>
      </w:r>
    </w:p>
    <w:p w:rsidR="0067234D" w:rsidRDefault="0067234D" w:rsidP="006B6835">
      <w:pPr>
        <w:suppressAutoHyphens/>
        <w:spacing w:after="0" w:line="360" w:lineRule="auto"/>
        <w:ind w:firstLine="1440"/>
        <w:rPr>
          <w:rFonts w:ascii="Times New Roman" w:eastAsia="Times New Roman" w:hAnsi="Times New Roman" w:cs="Times New Roman"/>
          <w:color w:val="000000"/>
          <w:sz w:val="26"/>
          <w:szCs w:val="26"/>
          <w:u w:color="000000"/>
        </w:rPr>
      </w:pPr>
      <w:r>
        <w:rPr>
          <w:rFonts w:ascii="Times New Roman" w:eastAsia="Times New Roman" w:hAnsi="Times New Roman" w:cs="Times New Roman"/>
          <w:color w:val="000000"/>
          <w:sz w:val="26"/>
          <w:szCs w:val="26"/>
          <w:u w:color="000000"/>
        </w:rPr>
        <w:t>LBPS disagreed with Duquesne’s interpretation of Section 110</w:t>
      </w:r>
      <w:r w:rsidR="00745EFD">
        <w:rPr>
          <w:rFonts w:ascii="Times New Roman" w:eastAsia="Times New Roman" w:hAnsi="Times New Roman" w:cs="Times New Roman"/>
          <w:color w:val="000000"/>
          <w:sz w:val="26"/>
          <w:szCs w:val="26"/>
          <w:u w:color="000000"/>
        </w:rPr>
        <w:t>2</w:t>
      </w:r>
      <w:r>
        <w:rPr>
          <w:rFonts w:ascii="Times New Roman" w:eastAsia="Times New Roman" w:hAnsi="Times New Roman" w:cs="Times New Roman"/>
          <w:color w:val="000000"/>
          <w:sz w:val="26"/>
          <w:szCs w:val="26"/>
          <w:u w:color="000000"/>
        </w:rPr>
        <w:t>(a)(3) arguing, in part, that the term “used or useful” is clear</w:t>
      </w:r>
      <w:r w:rsidR="00CD7872">
        <w:rPr>
          <w:rFonts w:ascii="Times New Roman" w:eastAsia="Times New Roman" w:hAnsi="Times New Roman" w:cs="Times New Roman"/>
          <w:color w:val="000000"/>
          <w:sz w:val="26"/>
          <w:szCs w:val="26"/>
          <w:u w:color="000000"/>
        </w:rPr>
        <w:t xml:space="preserve"> and free from ambiguity.  In addition, LBPS </w:t>
      </w:r>
      <w:r>
        <w:rPr>
          <w:rFonts w:ascii="Times New Roman" w:eastAsia="Times New Roman" w:hAnsi="Times New Roman" w:cs="Times New Roman"/>
          <w:color w:val="000000"/>
          <w:sz w:val="26"/>
          <w:szCs w:val="26"/>
          <w:u w:color="000000"/>
        </w:rPr>
        <w:t xml:space="preserve">argued that the word “useful” imparts a clear intent that the Property did not have to presently provide actual </w:t>
      </w:r>
      <w:r w:rsidR="00581DC0">
        <w:rPr>
          <w:rFonts w:ascii="Times New Roman" w:eastAsia="Times New Roman" w:hAnsi="Times New Roman" w:cs="Times New Roman"/>
          <w:color w:val="000000"/>
          <w:sz w:val="26"/>
          <w:szCs w:val="26"/>
          <w:u w:color="000000"/>
        </w:rPr>
        <w:t xml:space="preserve">public </w:t>
      </w:r>
      <w:r>
        <w:rPr>
          <w:rFonts w:ascii="Times New Roman" w:eastAsia="Times New Roman" w:hAnsi="Times New Roman" w:cs="Times New Roman"/>
          <w:color w:val="000000"/>
          <w:sz w:val="26"/>
          <w:szCs w:val="26"/>
          <w:u w:color="000000"/>
        </w:rPr>
        <w:t>utility service to the public.  LBPS contended that the Company purchased the Property in order to acquire an expanded right-of-way</w:t>
      </w:r>
      <w:r w:rsidR="00A24E42">
        <w:rPr>
          <w:rFonts w:ascii="Times New Roman" w:eastAsia="Times New Roman" w:hAnsi="Times New Roman" w:cs="Times New Roman"/>
          <w:color w:val="000000"/>
          <w:sz w:val="26"/>
          <w:szCs w:val="26"/>
          <w:u w:color="000000"/>
        </w:rPr>
        <w:t xml:space="preserve"> to improve reliability and meet increased demand.   Later, Duquesne sold the Property with an expanded right-of-way in order to accommodate the new transmission facilities.  Accordingly, </w:t>
      </w:r>
      <w:r w:rsidR="00745EFD">
        <w:rPr>
          <w:rFonts w:ascii="Times New Roman" w:eastAsia="Times New Roman" w:hAnsi="Times New Roman" w:cs="Times New Roman"/>
          <w:color w:val="000000"/>
          <w:sz w:val="26"/>
          <w:szCs w:val="26"/>
          <w:u w:color="000000"/>
        </w:rPr>
        <w:t>LBPS concluded that Section 1102</w:t>
      </w:r>
      <w:r w:rsidR="00CD7872">
        <w:rPr>
          <w:rFonts w:ascii="Times New Roman" w:eastAsia="Times New Roman" w:hAnsi="Times New Roman" w:cs="Times New Roman"/>
          <w:color w:val="000000"/>
          <w:sz w:val="26"/>
          <w:szCs w:val="26"/>
          <w:u w:color="000000"/>
        </w:rPr>
        <w:t>(a)(3) required Duquesne to obtain Certificates for both transactions.  Report at 10-12.</w:t>
      </w:r>
    </w:p>
    <w:p w:rsidR="00CD7872" w:rsidRDefault="00CD7872" w:rsidP="006B6835">
      <w:pPr>
        <w:suppressAutoHyphens/>
        <w:spacing w:after="0" w:line="360" w:lineRule="auto"/>
        <w:ind w:firstLine="1440"/>
        <w:rPr>
          <w:rFonts w:ascii="Times New Roman" w:eastAsia="Times New Roman" w:hAnsi="Times New Roman" w:cs="Times New Roman"/>
          <w:color w:val="000000"/>
          <w:sz w:val="26"/>
          <w:szCs w:val="26"/>
          <w:u w:color="000000"/>
        </w:rPr>
      </w:pPr>
    </w:p>
    <w:p w:rsidR="00CD7872" w:rsidRDefault="00CD7872" w:rsidP="006B6835">
      <w:pPr>
        <w:suppressAutoHyphens/>
        <w:spacing w:after="0" w:line="360" w:lineRule="auto"/>
        <w:ind w:firstLine="1440"/>
        <w:rPr>
          <w:rFonts w:ascii="Times New Roman" w:eastAsia="Times New Roman" w:hAnsi="Times New Roman" w:cs="Times New Roman"/>
          <w:color w:val="000000"/>
          <w:sz w:val="26"/>
          <w:szCs w:val="26"/>
          <w:u w:color="000000"/>
        </w:rPr>
      </w:pPr>
      <w:r>
        <w:rPr>
          <w:rFonts w:ascii="Times New Roman" w:eastAsia="Times New Roman" w:hAnsi="Times New Roman" w:cs="Times New Roman"/>
          <w:color w:val="000000"/>
          <w:sz w:val="26"/>
          <w:szCs w:val="26"/>
          <w:u w:color="000000"/>
        </w:rPr>
        <w:t xml:space="preserve">We are mindful that this proceeding involves a Settlement and that there has been no finding </w:t>
      </w:r>
      <w:r w:rsidR="00A42285">
        <w:rPr>
          <w:rFonts w:ascii="Times New Roman" w:eastAsia="Times New Roman" w:hAnsi="Times New Roman" w:cs="Times New Roman"/>
          <w:color w:val="000000"/>
          <w:sz w:val="26"/>
          <w:szCs w:val="26"/>
          <w:u w:color="000000"/>
        </w:rPr>
        <w:t xml:space="preserve">of a violation of the Code or of our Regulations.  </w:t>
      </w:r>
      <w:r w:rsidR="00B33E19">
        <w:rPr>
          <w:rFonts w:ascii="Times New Roman" w:eastAsia="Times New Roman" w:hAnsi="Times New Roman" w:cs="Times New Roman"/>
          <w:color w:val="000000"/>
          <w:sz w:val="26"/>
          <w:szCs w:val="26"/>
          <w:u w:color="000000"/>
        </w:rPr>
        <w:t>Here, the Parties disagree as to the application of the law to the facts in this specific case.  Nonetheless, w</w:t>
      </w:r>
      <w:r w:rsidR="00A42285">
        <w:rPr>
          <w:rFonts w:ascii="Times New Roman" w:eastAsia="Times New Roman" w:hAnsi="Times New Roman" w:cs="Times New Roman"/>
          <w:color w:val="000000"/>
          <w:sz w:val="26"/>
          <w:szCs w:val="26"/>
          <w:u w:color="000000"/>
        </w:rPr>
        <w:t xml:space="preserve">ithout prejudging future cases on this issue, LBPS’s arguments as to its interpretation of </w:t>
      </w:r>
      <w:r w:rsidR="00745EFD">
        <w:rPr>
          <w:rFonts w:ascii="Times New Roman" w:eastAsia="Times New Roman" w:hAnsi="Times New Roman" w:cs="Times New Roman"/>
          <w:color w:val="000000"/>
          <w:sz w:val="26"/>
          <w:szCs w:val="26"/>
          <w:u w:color="000000"/>
        </w:rPr>
        <w:lastRenderedPageBreak/>
        <w:t>Section 1102</w:t>
      </w:r>
      <w:r w:rsidR="00A42285">
        <w:rPr>
          <w:rFonts w:ascii="Times New Roman" w:eastAsia="Times New Roman" w:hAnsi="Times New Roman" w:cs="Times New Roman"/>
          <w:color w:val="000000"/>
          <w:sz w:val="26"/>
          <w:szCs w:val="26"/>
          <w:u w:color="000000"/>
        </w:rPr>
        <w:t>(a</w:t>
      </w:r>
      <w:proofErr w:type="gramStart"/>
      <w:r w:rsidR="00A42285">
        <w:rPr>
          <w:rFonts w:ascii="Times New Roman" w:eastAsia="Times New Roman" w:hAnsi="Times New Roman" w:cs="Times New Roman"/>
          <w:color w:val="000000"/>
          <w:sz w:val="26"/>
          <w:szCs w:val="26"/>
          <w:u w:color="000000"/>
        </w:rPr>
        <w:t>)(</w:t>
      </w:r>
      <w:proofErr w:type="gramEnd"/>
      <w:r w:rsidR="00A42285">
        <w:rPr>
          <w:rFonts w:ascii="Times New Roman" w:eastAsia="Times New Roman" w:hAnsi="Times New Roman" w:cs="Times New Roman"/>
          <w:color w:val="000000"/>
          <w:sz w:val="26"/>
          <w:szCs w:val="26"/>
          <w:u w:color="000000"/>
        </w:rPr>
        <w:t xml:space="preserve">3) </w:t>
      </w:r>
      <w:r w:rsidR="00436FFD">
        <w:rPr>
          <w:rFonts w:ascii="Times New Roman" w:eastAsia="Times New Roman" w:hAnsi="Times New Roman" w:cs="Times New Roman"/>
          <w:color w:val="000000"/>
          <w:sz w:val="26"/>
          <w:szCs w:val="26"/>
          <w:u w:color="000000"/>
        </w:rPr>
        <w:t xml:space="preserve">appear </w:t>
      </w:r>
      <w:r w:rsidR="00A42285">
        <w:rPr>
          <w:rFonts w:ascii="Times New Roman" w:eastAsia="Times New Roman" w:hAnsi="Times New Roman" w:cs="Times New Roman"/>
          <w:color w:val="000000"/>
          <w:sz w:val="26"/>
          <w:szCs w:val="26"/>
          <w:u w:color="000000"/>
        </w:rPr>
        <w:t>to have merit.</w:t>
      </w:r>
      <w:r w:rsidR="000F48DD">
        <w:rPr>
          <w:rStyle w:val="FootnoteReference"/>
          <w:rFonts w:ascii="Times New Roman" w:eastAsia="Times New Roman" w:hAnsi="Times New Roman" w:cs="Times New Roman"/>
          <w:color w:val="000000"/>
          <w:sz w:val="26"/>
          <w:szCs w:val="26"/>
          <w:u w:color="000000"/>
        </w:rPr>
        <w:footnoteReference w:id="7"/>
      </w:r>
      <w:r w:rsidR="00A42285">
        <w:rPr>
          <w:rFonts w:ascii="Times New Roman" w:eastAsia="Times New Roman" w:hAnsi="Times New Roman" w:cs="Times New Roman"/>
          <w:color w:val="000000"/>
          <w:sz w:val="26"/>
          <w:szCs w:val="26"/>
          <w:u w:color="000000"/>
        </w:rPr>
        <w:t xml:space="preserve">  </w:t>
      </w:r>
      <w:r w:rsidR="00F0132B">
        <w:rPr>
          <w:rFonts w:ascii="Times New Roman" w:eastAsia="Times New Roman" w:hAnsi="Times New Roman" w:cs="Times New Roman"/>
          <w:color w:val="000000"/>
          <w:sz w:val="26"/>
          <w:szCs w:val="26"/>
          <w:u w:color="000000"/>
        </w:rPr>
        <w:t xml:space="preserve">However, without a fully-developed factual record, we </w:t>
      </w:r>
      <w:r w:rsidR="00EA70CA">
        <w:rPr>
          <w:rFonts w:ascii="Times New Roman" w:eastAsia="Times New Roman" w:hAnsi="Times New Roman" w:cs="Times New Roman"/>
          <w:color w:val="000000"/>
          <w:sz w:val="26"/>
          <w:szCs w:val="26"/>
          <w:u w:color="000000"/>
        </w:rPr>
        <w:t>decline</w:t>
      </w:r>
      <w:r w:rsidR="00F0132B">
        <w:rPr>
          <w:rFonts w:ascii="Times New Roman" w:eastAsia="Times New Roman" w:hAnsi="Times New Roman" w:cs="Times New Roman"/>
          <w:color w:val="000000"/>
          <w:sz w:val="26"/>
          <w:szCs w:val="26"/>
          <w:u w:color="000000"/>
        </w:rPr>
        <w:t xml:space="preserve"> to conclude that Duquesne’s interpretation of Section 1102(a)(3) warrants a higher penalty under this factor.  </w:t>
      </w:r>
    </w:p>
    <w:p w:rsidR="00A42285" w:rsidRDefault="00A42285" w:rsidP="00A42285">
      <w:pPr>
        <w:suppressAutoHyphens/>
        <w:spacing w:after="0" w:line="360" w:lineRule="auto"/>
        <w:rPr>
          <w:rFonts w:ascii="Times New Roman" w:eastAsia="Times New Roman" w:hAnsi="Times New Roman" w:cs="Times New Roman"/>
          <w:color w:val="000000"/>
          <w:sz w:val="26"/>
          <w:szCs w:val="26"/>
          <w:u w:color="000000"/>
        </w:rPr>
      </w:pPr>
    </w:p>
    <w:p w:rsidR="006B6835" w:rsidRPr="006B6835" w:rsidRDefault="006B6835" w:rsidP="006B6835">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color w:val="000000"/>
          <w:sz w:val="26"/>
          <w:szCs w:val="26"/>
          <w:u w:color="000000"/>
        </w:rPr>
        <w:t xml:space="preserve">The fifth factor is the number of customers affected and the duration of the violations.  </w:t>
      </w:r>
      <w:r w:rsidRPr="006B6835">
        <w:rPr>
          <w:rFonts w:ascii="Times New Roman" w:eastAsia="Times New Roman" w:hAnsi="Times New Roman" w:cs="Times New Roman"/>
          <w:sz w:val="26"/>
          <w:szCs w:val="26"/>
        </w:rPr>
        <w:t xml:space="preserve">52 Pa. Code § 69.1201(c)(5).  </w:t>
      </w:r>
      <w:r w:rsidR="00A72628">
        <w:rPr>
          <w:rFonts w:ascii="Times New Roman" w:eastAsia="Times New Roman" w:hAnsi="Times New Roman" w:cs="Times New Roman"/>
          <w:sz w:val="26"/>
          <w:szCs w:val="26"/>
        </w:rPr>
        <w:t>There is no indication that individual customers were affected by Duquesne’s alleged conduct</w:t>
      </w:r>
      <w:r w:rsidR="00B33E19">
        <w:rPr>
          <w:rFonts w:ascii="Times New Roman" w:eastAsia="Times New Roman" w:hAnsi="Times New Roman" w:cs="Times New Roman"/>
          <w:sz w:val="26"/>
          <w:szCs w:val="26"/>
        </w:rPr>
        <w:t xml:space="preserve"> and the duration of the violations does not support a higher penalty.</w:t>
      </w:r>
      <w:r w:rsidR="00A72628">
        <w:rPr>
          <w:rFonts w:ascii="Times New Roman" w:eastAsia="Times New Roman" w:hAnsi="Times New Roman" w:cs="Times New Roman"/>
          <w:sz w:val="26"/>
          <w:szCs w:val="26"/>
        </w:rPr>
        <w:t xml:space="preserve">  </w:t>
      </w:r>
    </w:p>
    <w:p w:rsidR="006B6835" w:rsidRPr="006B6835" w:rsidRDefault="006B6835" w:rsidP="006B6835">
      <w:pPr>
        <w:suppressAutoHyphens/>
        <w:spacing w:after="0" w:line="360" w:lineRule="auto"/>
        <w:ind w:firstLine="1440"/>
        <w:rPr>
          <w:rFonts w:ascii="Times New Roman" w:eastAsia="Times New Roman" w:hAnsi="Times New Roman" w:cs="Times New Roman"/>
          <w:sz w:val="26"/>
          <w:szCs w:val="26"/>
        </w:rPr>
      </w:pPr>
    </w:p>
    <w:p w:rsidR="006B6835" w:rsidRPr="006B6835" w:rsidRDefault="006B6835" w:rsidP="006B6835">
      <w:pPr>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We may also consider the compliance history of the regulated entity which committed the violation.  52 Pa. Code § 69.1201(c)(6).  </w:t>
      </w:r>
      <w:r w:rsidR="0025563C">
        <w:rPr>
          <w:rFonts w:ascii="Times New Roman" w:eastAsia="Times New Roman" w:hAnsi="Times New Roman" w:cs="Times New Roman"/>
          <w:sz w:val="26"/>
          <w:szCs w:val="26"/>
        </w:rPr>
        <w:t xml:space="preserve">“An isolated incident from an otherwise compliant utility may result in a lower penalty, whereas frequent, recurrent violations by a utility may result in a higher penalty.”  </w:t>
      </w:r>
      <w:r w:rsidR="0025563C">
        <w:rPr>
          <w:rFonts w:ascii="Times New Roman" w:eastAsia="Times New Roman" w:hAnsi="Times New Roman" w:cs="Times New Roman"/>
          <w:i/>
          <w:sz w:val="26"/>
          <w:szCs w:val="26"/>
        </w:rPr>
        <w:t xml:space="preserve">Id.  </w:t>
      </w:r>
      <w:r w:rsidRPr="006B6835">
        <w:rPr>
          <w:rFonts w:ascii="Times New Roman" w:eastAsia="Times New Roman" w:hAnsi="Times New Roman" w:cs="Times New Roman"/>
          <w:sz w:val="26"/>
          <w:szCs w:val="26"/>
        </w:rPr>
        <w:t xml:space="preserve">Upon review of our records, we have found </w:t>
      </w:r>
      <w:r w:rsidR="009D7473">
        <w:rPr>
          <w:rFonts w:ascii="Times New Roman" w:eastAsia="Times New Roman" w:hAnsi="Times New Roman" w:cs="Times New Roman"/>
          <w:sz w:val="26"/>
          <w:szCs w:val="26"/>
        </w:rPr>
        <w:t>that, within the past five years, there have been six</w:t>
      </w:r>
      <w:r w:rsidRPr="006B6835">
        <w:rPr>
          <w:rFonts w:ascii="Times New Roman" w:eastAsia="Times New Roman" w:hAnsi="Times New Roman" w:cs="Times New Roman"/>
          <w:sz w:val="26"/>
          <w:szCs w:val="26"/>
        </w:rPr>
        <w:t xml:space="preserve"> formal complaint</w:t>
      </w:r>
      <w:r w:rsidR="009D7473">
        <w:rPr>
          <w:rFonts w:ascii="Times New Roman" w:eastAsia="Times New Roman" w:hAnsi="Times New Roman" w:cs="Times New Roman"/>
          <w:sz w:val="26"/>
          <w:szCs w:val="26"/>
        </w:rPr>
        <w:t>s</w:t>
      </w:r>
      <w:r w:rsidRPr="006B6835">
        <w:rPr>
          <w:rFonts w:ascii="Times New Roman" w:eastAsia="Times New Roman" w:hAnsi="Times New Roman" w:cs="Times New Roman"/>
          <w:sz w:val="26"/>
          <w:szCs w:val="26"/>
        </w:rPr>
        <w:t xml:space="preserve"> </w:t>
      </w:r>
      <w:r w:rsidR="009D7473">
        <w:rPr>
          <w:rFonts w:ascii="Times New Roman" w:eastAsia="Times New Roman" w:hAnsi="Times New Roman" w:cs="Times New Roman"/>
          <w:sz w:val="26"/>
          <w:szCs w:val="26"/>
        </w:rPr>
        <w:lastRenderedPageBreak/>
        <w:t xml:space="preserve">filed </w:t>
      </w:r>
      <w:r w:rsidRPr="006B6835">
        <w:rPr>
          <w:rFonts w:ascii="Times New Roman" w:eastAsia="Times New Roman" w:hAnsi="Times New Roman" w:cs="Times New Roman"/>
          <w:sz w:val="26"/>
          <w:szCs w:val="26"/>
        </w:rPr>
        <w:t xml:space="preserve">against </w:t>
      </w:r>
      <w:r w:rsidR="009D7473">
        <w:rPr>
          <w:rFonts w:ascii="Times New Roman" w:eastAsia="Times New Roman" w:hAnsi="Times New Roman" w:cs="Times New Roman"/>
          <w:sz w:val="26"/>
          <w:szCs w:val="26"/>
        </w:rPr>
        <w:t>Duquesne, which resulted in findings of liability by the Commission and the imposition of fines ranging from $50 to $10,000.</w:t>
      </w:r>
      <w:r w:rsidR="009D7473">
        <w:rPr>
          <w:rStyle w:val="FootnoteReference"/>
          <w:rFonts w:ascii="Times New Roman" w:eastAsia="Times New Roman" w:hAnsi="Times New Roman" w:cs="Times New Roman"/>
          <w:sz w:val="26"/>
          <w:szCs w:val="26"/>
        </w:rPr>
        <w:footnoteReference w:id="8"/>
      </w:r>
      <w:r w:rsidR="009D7473">
        <w:rPr>
          <w:rFonts w:ascii="Times New Roman" w:eastAsia="Times New Roman" w:hAnsi="Times New Roman" w:cs="Times New Roman"/>
          <w:sz w:val="26"/>
          <w:szCs w:val="26"/>
        </w:rPr>
        <w:t xml:space="preserve">  </w:t>
      </w:r>
      <w:r w:rsidR="0025563C">
        <w:rPr>
          <w:rFonts w:ascii="Times New Roman" w:eastAsia="Times New Roman" w:hAnsi="Times New Roman" w:cs="Times New Roman"/>
          <w:sz w:val="26"/>
          <w:szCs w:val="26"/>
        </w:rPr>
        <w:t>Given the large size of the Company and the number of customers it serves, we do not deem these cases to be indicative of frequent, recurring violations.  Accordingly, w</w:t>
      </w:r>
      <w:r w:rsidRPr="006B6835">
        <w:rPr>
          <w:rFonts w:ascii="Times New Roman" w:eastAsia="Times New Roman" w:hAnsi="Times New Roman" w:cs="Times New Roman"/>
          <w:sz w:val="26"/>
          <w:szCs w:val="26"/>
        </w:rPr>
        <w:t xml:space="preserve">e find that the Company’s compliance history has been satisfactory and poses no barrier to approval of the Settlement between the Parties.      </w:t>
      </w:r>
    </w:p>
    <w:p w:rsidR="006B6835" w:rsidRPr="006B6835" w:rsidRDefault="006B6835" w:rsidP="006B6835">
      <w:pPr>
        <w:spacing w:after="0" w:line="360" w:lineRule="auto"/>
        <w:ind w:firstLine="1440"/>
        <w:rPr>
          <w:rFonts w:ascii="Times New Roman" w:eastAsia="Times New Roman" w:hAnsi="Times New Roman" w:cs="Times New Roman"/>
          <w:sz w:val="26"/>
          <w:szCs w:val="26"/>
        </w:rPr>
      </w:pPr>
    </w:p>
    <w:p w:rsidR="006B6835" w:rsidRPr="006B6835" w:rsidRDefault="006B6835" w:rsidP="006B6835">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Another factor we may consider is whether the regulated entity cooperated with the Commission’s investigation.  52 Pa. Code § 69.1201(c)(7).  </w:t>
      </w:r>
      <w:r w:rsidR="0025563C">
        <w:rPr>
          <w:rFonts w:ascii="Times New Roman" w:eastAsia="Times New Roman" w:hAnsi="Times New Roman" w:cs="Times New Roman"/>
          <w:sz w:val="26"/>
          <w:szCs w:val="26"/>
        </w:rPr>
        <w:t>According to the Settlement, Duquesne fully complied with the Commission’s staff during the investigative phase and settlement discussions.  Settlement at 8</w:t>
      </w:r>
      <w:r w:rsidRPr="006B6835">
        <w:rPr>
          <w:rFonts w:ascii="Times New Roman" w:eastAsia="Times New Roman" w:hAnsi="Times New Roman" w:cs="Times New Roman"/>
          <w:sz w:val="26"/>
          <w:szCs w:val="26"/>
        </w:rPr>
        <w:t xml:space="preserve">.      </w:t>
      </w:r>
    </w:p>
    <w:p w:rsidR="006B6835" w:rsidRPr="006B6835" w:rsidRDefault="006B6835" w:rsidP="006B6835">
      <w:pPr>
        <w:suppressAutoHyphens/>
        <w:spacing w:after="0" w:line="360" w:lineRule="auto"/>
        <w:ind w:firstLine="1440"/>
        <w:rPr>
          <w:rFonts w:ascii="Times New Roman" w:eastAsia="Times New Roman" w:hAnsi="Times New Roman" w:cs="Times New Roman"/>
          <w:sz w:val="26"/>
          <w:szCs w:val="26"/>
        </w:rPr>
      </w:pPr>
    </w:p>
    <w:p w:rsidR="006B6835" w:rsidRDefault="006B6835" w:rsidP="00A01D63">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In addition, we may consider the amount of the civil penalty necessary to deter future violations as well as past Commission decisions in similar situations.  52 Pa. Code § 69.1201(c)(8) and (c)(9).  </w:t>
      </w:r>
      <w:r w:rsidR="00A01D63">
        <w:rPr>
          <w:rFonts w:ascii="Times New Roman" w:eastAsia="Times New Roman" w:hAnsi="Times New Roman" w:cs="Times New Roman"/>
          <w:sz w:val="26"/>
          <w:szCs w:val="26"/>
        </w:rPr>
        <w:t xml:space="preserve">LBPS argues that a civil penalty of $2,500 constitutes a reasonable and appropriate resolution of the dispute in this proceeding.  </w:t>
      </w:r>
      <w:r w:rsidRPr="006B6835">
        <w:rPr>
          <w:rFonts w:ascii="Times New Roman" w:eastAsia="Times New Roman" w:hAnsi="Times New Roman" w:cs="Times New Roman"/>
          <w:sz w:val="26"/>
          <w:szCs w:val="26"/>
        </w:rPr>
        <w:t>We find that this amount</w:t>
      </w:r>
      <w:r w:rsidR="00484011">
        <w:rPr>
          <w:rFonts w:ascii="Times New Roman" w:eastAsia="Times New Roman" w:hAnsi="Times New Roman" w:cs="Times New Roman"/>
          <w:sz w:val="26"/>
          <w:szCs w:val="26"/>
        </w:rPr>
        <w:t>,</w:t>
      </w:r>
      <w:r w:rsidRPr="006B6835">
        <w:rPr>
          <w:rFonts w:ascii="Times New Roman" w:eastAsia="Times New Roman" w:hAnsi="Times New Roman" w:cs="Times New Roman"/>
          <w:sz w:val="26"/>
          <w:szCs w:val="26"/>
        </w:rPr>
        <w:t xml:space="preserve"> </w:t>
      </w:r>
      <w:r w:rsidR="00A01D63">
        <w:rPr>
          <w:rFonts w:ascii="Times New Roman" w:eastAsia="Times New Roman" w:hAnsi="Times New Roman" w:cs="Times New Roman"/>
          <w:sz w:val="26"/>
          <w:szCs w:val="26"/>
        </w:rPr>
        <w:t>coupled with the payment of $17,500 to the Dollar Energy Fund</w:t>
      </w:r>
      <w:r w:rsidR="00484011">
        <w:rPr>
          <w:rFonts w:ascii="Times New Roman" w:eastAsia="Times New Roman" w:hAnsi="Times New Roman" w:cs="Times New Roman"/>
          <w:sz w:val="26"/>
          <w:szCs w:val="26"/>
        </w:rPr>
        <w:t>,</w:t>
      </w:r>
      <w:r w:rsidR="00A01D63">
        <w:rPr>
          <w:rFonts w:ascii="Times New Roman" w:eastAsia="Times New Roman" w:hAnsi="Times New Roman" w:cs="Times New Roman"/>
          <w:sz w:val="26"/>
          <w:szCs w:val="26"/>
        </w:rPr>
        <w:t xml:space="preserve"> </w:t>
      </w:r>
      <w:r w:rsidRPr="006B6835">
        <w:rPr>
          <w:rFonts w:ascii="Times New Roman" w:eastAsia="Times New Roman" w:hAnsi="Times New Roman" w:cs="Times New Roman"/>
          <w:sz w:val="26"/>
          <w:szCs w:val="26"/>
        </w:rPr>
        <w:t>will be sufficient to deter future violations.</w:t>
      </w:r>
      <w:r w:rsidR="00A01D63">
        <w:rPr>
          <w:rStyle w:val="FootnoteReference"/>
          <w:rFonts w:ascii="Times New Roman" w:eastAsia="Times New Roman" w:hAnsi="Times New Roman" w:cs="Times New Roman"/>
          <w:sz w:val="26"/>
          <w:szCs w:val="26"/>
        </w:rPr>
        <w:footnoteReference w:id="9"/>
      </w:r>
      <w:r w:rsidRPr="006B6835">
        <w:rPr>
          <w:rFonts w:ascii="Times New Roman" w:eastAsia="Times New Roman" w:hAnsi="Times New Roman" w:cs="Times New Roman"/>
          <w:sz w:val="26"/>
          <w:szCs w:val="26"/>
        </w:rPr>
        <w:t xml:space="preserve">  </w:t>
      </w:r>
      <w:r w:rsidR="005E51FD">
        <w:rPr>
          <w:rFonts w:ascii="Times New Roman" w:eastAsia="Times New Roman" w:hAnsi="Times New Roman" w:cs="Times New Roman"/>
          <w:sz w:val="26"/>
          <w:szCs w:val="26"/>
        </w:rPr>
        <w:t xml:space="preserve">We note, however, that the Settlement is silent with respect to the procedure for verifying payment to the Dollar Energy Fund.  </w:t>
      </w:r>
      <w:r w:rsidR="005203C5">
        <w:rPr>
          <w:rFonts w:ascii="Times New Roman" w:eastAsia="Times New Roman" w:hAnsi="Times New Roman" w:cs="Times New Roman"/>
          <w:sz w:val="26"/>
          <w:szCs w:val="26"/>
        </w:rPr>
        <w:t xml:space="preserve">Accordingly, we will clarify the </w:t>
      </w:r>
      <w:r w:rsidR="00FF6B6F">
        <w:rPr>
          <w:rFonts w:ascii="Times New Roman" w:eastAsia="Times New Roman" w:hAnsi="Times New Roman" w:cs="Times New Roman"/>
          <w:sz w:val="26"/>
          <w:szCs w:val="26"/>
        </w:rPr>
        <w:t>payment procedure in our Order</w:t>
      </w:r>
      <w:r w:rsidR="005203C5">
        <w:rPr>
          <w:rFonts w:ascii="Times New Roman" w:eastAsia="Times New Roman" w:hAnsi="Times New Roman" w:cs="Times New Roman"/>
          <w:sz w:val="26"/>
          <w:szCs w:val="26"/>
        </w:rPr>
        <w:t xml:space="preserve"> to provide </w:t>
      </w:r>
      <w:r w:rsidR="006E7A65">
        <w:rPr>
          <w:rFonts w:ascii="Times New Roman" w:eastAsia="Times New Roman" w:hAnsi="Times New Roman" w:cs="Times New Roman"/>
          <w:sz w:val="26"/>
          <w:szCs w:val="26"/>
        </w:rPr>
        <w:t xml:space="preserve">a payment deadline and </w:t>
      </w:r>
      <w:r w:rsidR="006E7A65">
        <w:rPr>
          <w:rFonts w:ascii="Times New Roman" w:eastAsia="Times New Roman" w:hAnsi="Times New Roman" w:cs="Times New Roman"/>
          <w:sz w:val="26"/>
          <w:szCs w:val="26"/>
        </w:rPr>
        <w:lastRenderedPageBreak/>
        <w:t xml:space="preserve">notice to the </w:t>
      </w:r>
      <w:r w:rsidR="005203C5">
        <w:rPr>
          <w:rFonts w:ascii="Times New Roman" w:eastAsia="Times New Roman" w:hAnsi="Times New Roman" w:cs="Times New Roman"/>
          <w:sz w:val="26"/>
          <w:szCs w:val="26"/>
        </w:rPr>
        <w:t xml:space="preserve">Commission when the payment has been made to the Dollar Energy Fund.  </w:t>
      </w:r>
      <w:r w:rsidR="007E4812">
        <w:rPr>
          <w:rFonts w:ascii="Times New Roman" w:eastAsia="Times New Roman" w:hAnsi="Times New Roman" w:cs="Times New Roman"/>
          <w:sz w:val="26"/>
          <w:szCs w:val="26"/>
        </w:rPr>
        <w:t>We do not deem this clarification to be a substantive modification to the Settlement.</w:t>
      </w:r>
    </w:p>
    <w:p w:rsidR="00A01D63" w:rsidRPr="006B6835" w:rsidRDefault="00A01D63" w:rsidP="00A01D63">
      <w:pPr>
        <w:suppressAutoHyphens/>
        <w:spacing w:after="0" w:line="360" w:lineRule="auto"/>
        <w:ind w:firstLine="1440"/>
        <w:rPr>
          <w:rFonts w:ascii="Times New Roman" w:eastAsia="Times New Roman" w:hAnsi="Times New Roman" w:cs="Times New Roman"/>
          <w:color w:val="000000"/>
          <w:sz w:val="26"/>
          <w:szCs w:val="26"/>
          <w:u w:color="000000"/>
        </w:rPr>
      </w:pPr>
    </w:p>
    <w:p w:rsidR="006B6835" w:rsidRPr="006B6835" w:rsidRDefault="006B6835" w:rsidP="006B6835">
      <w:pPr>
        <w:suppressAutoHyphens/>
        <w:spacing w:after="0" w:line="360" w:lineRule="auto"/>
        <w:ind w:firstLine="1440"/>
        <w:rPr>
          <w:rFonts w:ascii="Times New Roman" w:eastAsia="Times New Roman" w:hAnsi="Times New Roman" w:cs="Times New Roman"/>
          <w:color w:val="000000"/>
          <w:sz w:val="26"/>
          <w:szCs w:val="26"/>
          <w:u w:color="000000"/>
        </w:rPr>
      </w:pPr>
      <w:r w:rsidRPr="006B6835">
        <w:rPr>
          <w:rFonts w:ascii="Times New Roman" w:eastAsia="Times New Roman" w:hAnsi="Times New Roman" w:cs="Times New Roman"/>
          <w:color w:val="000000"/>
          <w:sz w:val="26"/>
          <w:szCs w:val="26"/>
          <w:u w:color="000000"/>
        </w:rPr>
        <w:t xml:space="preserve">The tenth factor to consider is other “relevant factors.”  </w:t>
      </w:r>
      <w:r w:rsidRPr="006B6835">
        <w:rPr>
          <w:rFonts w:ascii="Times New Roman" w:eastAsia="Times New Roman" w:hAnsi="Times New Roman" w:cs="Times New Roman"/>
          <w:sz w:val="26"/>
          <w:szCs w:val="26"/>
        </w:rPr>
        <w:t xml:space="preserve">52 Pa. Code </w:t>
      </w:r>
      <w:r w:rsidRPr="006B6835">
        <w:rPr>
          <w:rFonts w:ascii="Times New Roman" w:eastAsia="Times New Roman" w:hAnsi="Times New Roman" w:cs="Times New Roman"/>
          <w:sz w:val="26"/>
          <w:szCs w:val="26"/>
        </w:rPr>
        <w:br/>
        <w:t xml:space="preserve">§ 69.1201(c)(10).  We believe that it is in the public interest to settle this matter so as to avoid the expense of litigation.             </w:t>
      </w:r>
    </w:p>
    <w:p w:rsidR="006B6835" w:rsidRPr="006B6835" w:rsidRDefault="006B6835" w:rsidP="006B6835">
      <w:pPr>
        <w:suppressAutoHyphens/>
        <w:spacing w:after="0" w:line="360" w:lineRule="auto"/>
        <w:ind w:firstLine="1440"/>
        <w:jc w:val="both"/>
        <w:rPr>
          <w:rFonts w:ascii="Times New Roman" w:eastAsia="Times New Roman" w:hAnsi="Times New Roman" w:cs="Times New Roman"/>
          <w:color w:val="000000"/>
          <w:sz w:val="26"/>
          <w:szCs w:val="26"/>
          <w:u w:color="000000"/>
        </w:rPr>
      </w:pPr>
    </w:p>
    <w:p w:rsidR="006B6835" w:rsidRPr="006B6835" w:rsidRDefault="006B6835" w:rsidP="006B6835">
      <w:pPr>
        <w:spacing w:after="0" w:line="360" w:lineRule="auto"/>
        <w:ind w:firstLine="1440"/>
        <w:rPr>
          <w:rFonts w:ascii="Times New Roman" w:eastAsia="Times New Roman" w:hAnsi="Times New Roman" w:cs="Times New Roman"/>
          <w:color w:val="000000"/>
          <w:sz w:val="26"/>
          <w:szCs w:val="26"/>
          <w:u w:color="000000"/>
        </w:rPr>
      </w:pPr>
      <w:r w:rsidRPr="006B6835">
        <w:rPr>
          <w:rFonts w:ascii="Times New Roman" w:eastAsia="Times New Roman" w:hAnsi="Times New Roman" w:cs="Times New Roman"/>
          <w:sz w:val="26"/>
          <w:szCs w:val="26"/>
        </w:rPr>
        <w:t>For the reasons set forth above, after reviewing the terms of the Settlement, we find that approval of the Settlement</w:t>
      </w:r>
      <w:r w:rsidR="00A01D63">
        <w:rPr>
          <w:rFonts w:ascii="Times New Roman" w:eastAsia="Times New Roman" w:hAnsi="Times New Roman" w:cs="Times New Roman"/>
          <w:sz w:val="26"/>
          <w:szCs w:val="26"/>
        </w:rPr>
        <w:t xml:space="preserve"> </w:t>
      </w:r>
      <w:r w:rsidRPr="006B6835">
        <w:rPr>
          <w:rFonts w:ascii="Times New Roman" w:eastAsia="Times New Roman" w:hAnsi="Times New Roman" w:cs="Times New Roman"/>
          <w:sz w:val="26"/>
          <w:szCs w:val="26"/>
        </w:rPr>
        <w:t xml:space="preserve">is in the public interest and is consistent with the terms of our Policy Statement and our past decisions.  </w:t>
      </w:r>
    </w:p>
    <w:p w:rsidR="006B6835" w:rsidRPr="006B6835" w:rsidRDefault="006B6835" w:rsidP="006B6835">
      <w:pPr>
        <w:spacing w:after="0" w:line="360" w:lineRule="auto"/>
        <w:ind w:firstLine="1440"/>
        <w:rPr>
          <w:rFonts w:ascii="Times New Roman" w:eastAsia="Times New Roman" w:hAnsi="Times New Roman" w:cs="Times New Roman"/>
          <w:color w:val="000000"/>
          <w:sz w:val="26"/>
          <w:szCs w:val="26"/>
          <w:u w:color="000000"/>
        </w:rPr>
      </w:pPr>
    </w:p>
    <w:p w:rsidR="006B6835" w:rsidRPr="006B6835" w:rsidRDefault="006B6835" w:rsidP="006B6835">
      <w:pPr>
        <w:spacing w:after="0" w:line="360" w:lineRule="auto"/>
        <w:jc w:val="center"/>
        <w:rPr>
          <w:rFonts w:ascii="Times New Roman" w:eastAsia="Times New Roman" w:hAnsi="Times New Roman" w:cs="Times New Roman"/>
          <w:sz w:val="26"/>
          <w:szCs w:val="26"/>
        </w:rPr>
      </w:pPr>
      <w:r w:rsidRPr="006B6835">
        <w:rPr>
          <w:rFonts w:ascii="Times New Roman" w:eastAsia="Times New Roman" w:hAnsi="Times New Roman" w:cs="Times New Roman"/>
          <w:b/>
          <w:sz w:val="26"/>
          <w:szCs w:val="26"/>
        </w:rPr>
        <w:t>Conclusion</w:t>
      </w:r>
    </w:p>
    <w:p w:rsidR="006B6835" w:rsidRPr="006B6835" w:rsidRDefault="006B6835" w:rsidP="006B6835">
      <w:pPr>
        <w:spacing w:after="0" w:line="360" w:lineRule="auto"/>
        <w:ind w:firstLine="1440"/>
        <w:rPr>
          <w:rFonts w:ascii="Times New Roman" w:eastAsia="Times New Roman" w:hAnsi="Times New Roman" w:cs="Times New Roman"/>
          <w:sz w:val="26"/>
          <w:szCs w:val="26"/>
        </w:rPr>
      </w:pPr>
    </w:p>
    <w:p w:rsidR="001F1CDF" w:rsidRDefault="006B6835" w:rsidP="000B30E4">
      <w:pPr>
        <w:tabs>
          <w:tab w:val="center" w:pos="720"/>
        </w:tabs>
        <w:suppressAutoHyphens/>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6B6835">
        <w:rPr>
          <w:rFonts w:ascii="Times New Roman" w:eastAsia="Times New Roman" w:hAnsi="Times New Roman" w:cs="Times New Roman"/>
          <w:sz w:val="26"/>
          <w:szCs w:val="26"/>
        </w:rPr>
        <w:t xml:space="preserve">It is the Commission’s policy to promote settlements.  52 Pa. Code § 5.231.  The Parties herein have provided the Commission with sufficient information upon which to thoroughly consider the terms of the proposed Settlement.  Based on our review of the record in this </w:t>
      </w:r>
      <w:r>
        <w:rPr>
          <w:rFonts w:ascii="Times New Roman" w:eastAsia="Times New Roman" w:hAnsi="Times New Roman" w:cs="Times New Roman"/>
          <w:sz w:val="26"/>
          <w:szCs w:val="26"/>
        </w:rPr>
        <w:t xml:space="preserve">case, including the Settlement and </w:t>
      </w:r>
      <w:r w:rsidRPr="006B6835">
        <w:rPr>
          <w:rFonts w:ascii="Times New Roman" w:eastAsia="Times New Roman" w:hAnsi="Times New Roman" w:cs="Times New Roman"/>
          <w:sz w:val="26"/>
          <w:szCs w:val="26"/>
        </w:rPr>
        <w:t xml:space="preserve">the Statement in Support of the Settlement, we find that the proposed Settlement between </w:t>
      </w:r>
      <w:r w:rsidR="00A01D63">
        <w:rPr>
          <w:rFonts w:ascii="Times New Roman" w:eastAsia="Times New Roman" w:hAnsi="Times New Roman" w:cs="Times New Roman"/>
          <w:sz w:val="26"/>
          <w:szCs w:val="26"/>
        </w:rPr>
        <w:t xml:space="preserve">LBPS and Duquesne </w:t>
      </w:r>
      <w:r w:rsidRPr="006B6835">
        <w:rPr>
          <w:rFonts w:ascii="Times New Roman" w:eastAsia="Times New Roman" w:hAnsi="Times New Roman" w:cs="Times New Roman"/>
          <w:sz w:val="26"/>
          <w:szCs w:val="26"/>
        </w:rPr>
        <w:t>is in the public interest and merits approval</w:t>
      </w:r>
      <w:r w:rsidR="008E6D59">
        <w:rPr>
          <w:rFonts w:ascii="Times New Roman" w:eastAsia="Times New Roman" w:hAnsi="Times New Roman" w:cs="Times New Roman"/>
          <w:sz w:val="26"/>
          <w:szCs w:val="26"/>
        </w:rPr>
        <w:t>, as clarified by this Opinion and Order</w:t>
      </w:r>
      <w:r w:rsidR="009768A4">
        <w:rPr>
          <w:rFonts w:ascii="Times New Roman" w:eastAsia="Times New Roman" w:hAnsi="Times New Roman" w:cs="Times New Roman"/>
          <w:sz w:val="26"/>
          <w:szCs w:val="26"/>
        </w:rPr>
        <w:t xml:space="preserve">; </w:t>
      </w:r>
      <w:r w:rsidR="001F1CDF" w:rsidRPr="003F7EE6">
        <w:rPr>
          <w:rFonts w:ascii="Times New Roman" w:eastAsia="Times New Roman" w:hAnsi="Times New Roman" w:cs="Times New Roman"/>
          <w:b/>
          <w:sz w:val="26"/>
          <w:szCs w:val="26"/>
        </w:rPr>
        <w:t>THEREFORE,</w:t>
      </w:r>
    </w:p>
    <w:p w:rsidR="00931E75" w:rsidRPr="003F7EE6" w:rsidRDefault="00931E75" w:rsidP="000B30E4">
      <w:pPr>
        <w:tabs>
          <w:tab w:val="center" w:pos="720"/>
        </w:tabs>
        <w:suppressAutoHyphens/>
        <w:spacing w:after="0" w:line="360" w:lineRule="auto"/>
        <w:rPr>
          <w:rFonts w:ascii="Times New Roman" w:eastAsia="Times New Roman" w:hAnsi="Times New Roman" w:cs="Times New Roman"/>
          <w:sz w:val="26"/>
          <w:szCs w:val="26"/>
          <w:lang w:bidi="hi-IN"/>
        </w:rPr>
      </w:pPr>
    </w:p>
    <w:p w:rsidR="001F1CDF" w:rsidRPr="003F7EE6" w:rsidRDefault="001F1CDF" w:rsidP="001F1CDF">
      <w:pPr>
        <w:spacing w:after="0" w:line="360" w:lineRule="auto"/>
        <w:ind w:left="720" w:firstLine="720"/>
        <w:rPr>
          <w:rFonts w:ascii="Times New Roman" w:eastAsia="Times New Roman" w:hAnsi="Times New Roman" w:cs="Times New Roman"/>
          <w:b/>
          <w:sz w:val="26"/>
          <w:szCs w:val="26"/>
        </w:rPr>
      </w:pPr>
      <w:r w:rsidRPr="003F7EE6">
        <w:rPr>
          <w:rFonts w:ascii="Times New Roman" w:eastAsia="Times New Roman" w:hAnsi="Times New Roman" w:cs="Times New Roman"/>
          <w:b/>
          <w:sz w:val="26"/>
          <w:szCs w:val="26"/>
        </w:rPr>
        <w:t>IT IS ORDERED:</w:t>
      </w:r>
    </w:p>
    <w:p w:rsidR="001F1CDF" w:rsidRPr="003F7EE6" w:rsidRDefault="001F1CDF" w:rsidP="001F1CDF">
      <w:pPr>
        <w:spacing w:after="0" w:line="360" w:lineRule="auto"/>
        <w:rPr>
          <w:rFonts w:ascii="Times New Roman" w:eastAsia="Times New Roman" w:hAnsi="Times New Roman" w:cs="Times New Roman"/>
          <w:sz w:val="26"/>
          <w:szCs w:val="26"/>
        </w:rPr>
      </w:pPr>
    </w:p>
    <w:p w:rsidR="001F1CDF" w:rsidRPr="003F7EE6" w:rsidRDefault="001F1CDF" w:rsidP="001F1CDF">
      <w:pPr>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1.</w:t>
      </w:r>
      <w:r w:rsidRPr="003F7EE6">
        <w:rPr>
          <w:rFonts w:ascii="Times New Roman" w:eastAsia="Times New Roman" w:hAnsi="Times New Roman" w:cs="Times New Roman"/>
          <w:sz w:val="26"/>
          <w:szCs w:val="26"/>
        </w:rPr>
        <w:tab/>
        <w:t xml:space="preserve">That </w:t>
      </w:r>
      <w:r w:rsidR="002A38BE">
        <w:rPr>
          <w:rFonts w:ascii="Times New Roman" w:eastAsia="Times New Roman" w:hAnsi="Times New Roman" w:cs="Times New Roman"/>
          <w:sz w:val="26"/>
          <w:szCs w:val="26"/>
        </w:rPr>
        <w:t>the Settlement filed on April 1, 2014</w:t>
      </w:r>
      <w:r w:rsidR="002A38BE" w:rsidRPr="003F7EE6">
        <w:rPr>
          <w:rFonts w:ascii="Times New Roman" w:eastAsia="Times New Roman" w:hAnsi="Times New Roman" w:cs="Times New Roman"/>
          <w:sz w:val="26"/>
          <w:szCs w:val="26"/>
        </w:rPr>
        <w:t xml:space="preserve">, by the Commission’s </w:t>
      </w:r>
      <w:r w:rsidR="002A38BE">
        <w:rPr>
          <w:rFonts w:ascii="Times New Roman" w:eastAsia="Times New Roman" w:hAnsi="Times New Roman" w:cs="Times New Roman"/>
          <w:sz w:val="26"/>
          <w:szCs w:val="26"/>
        </w:rPr>
        <w:t xml:space="preserve">Law </w:t>
      </w:r>
      <w:r w:rsidR="002A38BE" w:rsidRPr="003F7EE6">
        <w:rPr>
          <w:rFonts w:ascii="Times New Roman" w:eastAsia="Times New Roman" w:hAnsi="Times New Roman" w:cs="Times New Roman"/>
          <w:sz w:val="26"/>
          <w:szCs w:val="26"/>
        </w:rPr>
        <w:t xml:space="preserve">Bureau </w:t>
      </w:r>
      <w:r w:rsidR="002A38BE">
        <w:rPr>
          <w:rFonts w:ascii="Times New Roman" w:eastAsia="Times New Roman" w:hAnsi="Times New Roman" w:cs="Times New Roman"/>
          <w:sz w:val="26"/>
          <w:szCs w:val="26"/>
        </w:rPr>
        <w:t>Prosecutory Staff</w:t>
      </w:r>
      <w:r w:rsidR="002A38BE" w:rsidRPr="003F7EE6">
        <w:rPr>
          <w:rFonts w:ascii="Times New Roman" w:eastAsia="Times New Roman" w:hAnsi="Times New Roman" w:cs="Times New Roman"/>
          <w:sz w:val="26"/>
          <w:szCs w:val="26"/>
        </w:rPr>
        <w:t xml:space="preserve"> and </w:t>
      </w:r>
      <w:r w:rsidR="002A38BE">
        <w:rPr>
          <w:rFonts w:ascii="Times New Roman" w:eastAsia="Times New Roman" w:hAnsi="Times New Roman" w:cs="Times New Roman"/>
          <w:sz w:val="26"/>
          <w:szCs w:val="26"/>
        </w:rPr>
        <w:t>Duquesne Light Company is approved</w:t>
      </w:r>
      <w:r w:rsidR="008E6D59">
        <w:rPr>
          <w:rFonts w:ascii="Times New Roman" w:eastAsia="Times New Roman" w:hAnsi="Times New Roman" w:cs="Times New Roman"/>
          <w:sz w:val="26"/>
          <w:szCs w:val="26"/>
        </w:rPr>
        <w:t>, as clarified</w:t>
      </w:r>
      <w:r w:rsidRPr="003F7EE6">
        <w:rPr>
          <w:rFonts w:ascii="Times New Roman" w:eastAsia="Times New Roman" w:hAnsi="Times New Roman" w:cs="Times New Roman"/>
          <w:sz w:val="26"/>
          <w:szCs w:val="26"/>
        </w:rPr>
        <w:t>.</w:t>
      </w:r>
    </w:p>
    <w:p w:rsidR="001F1CDF" w:rsidRPr="003F7EE6" w:rsidRDefault="001F1CDF" w:rsidP="001F1CDF">
      <w:pPr>
        <w:spacing w:after="0" w:line="360" w:lineRule="auto"/>
        <w:rPr>
          <w:rFonts w:ascii="Times New Roman" w:eastAsia="Times New Roman" w:hAnsi="Times New Roman" w:cs="Times New Roman"/>
          <w:sz w:val="26"/>
          <w:szCs w:val="26"/>
        </w:rPr>
      </w:pPr>
    </w:p>
    <w:p w:rsidR="00165BAB" w:rsidRPr="00165BAB" w:rsidRDefault="001F1CDF" w:rsidP="00165BAB">
      <w:pPr>
        <w:spacing w:line="360" w:lineRule="auto"/>
        <w:ind w:firstLine="1440"/>
        <w:rPr>
          <w:rFonts w:ascii="Times New Roman" w:eastAsia="Times New Roman" w:hAnsi="Times New Roman" w:cs="Times New Roman"/>
          <w:sz w:val="26"/>
          <w:szCs w:val="20"/>
        </w:rPr>
      </w:pPr>
      <w:r w:rsidRPr="003F7EE6">
        <w:rPr>
          <w:rFonts w:ascii="Times New Roman" w:eastAsia="Times New Roman" w:hAnsi="Times New Roman" w:cs="Times New Roman"/>
          <w:sz w:val="26"/>
          <w:szCs w:val="26"/>
        </w:rPr>
        <w:t>2.</w:t>
      </w:r>
      <w:r w:rsidRPr="003F7EE6">
        <w:rPr>
          <w:rFonts w:ascii="Times New Roman" w:eastAsia="Times New Roman" w:hAnsi="Times New Roman" w:cs="Times New Roman"/>
          <w:sz w:val="26"/>
          <w:szCs w:val="26"/>
        </w:rPr>
        <w:tab/>
      </w:r>
      <w:r w:rsidR="00165BAB" w:rsidRPr="00165BAB">
        <w:rPr>
          <w:rFonts w:ascii="Times New Roman" w:eastAsia="Times New Roman" w:hAnsi="Times New Roman" w:cs="Times New Roman"/>
          <w:sz w:val="26"/>
          <w:szCs w:val="26"/>
        </w:rPr>
        <w:t>That, i</w:t>
      </w:r>
      <w:r w:rsidR="00165BAB" w:rsidRPr="00165BAB">
        <w:rPr>
          <w:rFonts w:ascii="Times New Roman" w:eastAsia="Times New Roman" w:hAnsi="Times New Roman" w:cs="Times New Roman"/>
          <w:sz w:val="26"/>
          <w:szCs w:val="20"/>
        </w:rPr>
        <w:t xml:space="preserve">n accordance with Section 3301 of the Public Utility Code, 66 Pa. C.S. § 3301, within thirty (30) days of the date this Order becomes final, </w:t>
      </w:r>
      <w:r w:rsidR="00165BAB">
        <w:rPr>
          <w:rFonts w:ascii="Times New Roman" w:eastAsia="Times New Roman" w:hAnsi="Times New Roman" w:cs="Times New Roman"/>
          <w:sz w:val="26"/>
          <w:szCs w:val="26"/>
        </w:rPr>
        <w:t>Duquesne Light Company</w:t>
      </w:r>
      <w:r w:rsidR="00165BAB" w:rsidRPr="00165BAB">
        <w:rPr>
          <w:rFonts w:ascii="Times New Roman" w:eastAsia="Times New Roman" w:hAnsi="Times New Roman" w:cs="Times New Roman"/>
          <w:sz w:val="26"/>
          <w:szCs w:val="20"/>
        </w:rPr>
        <w:t xml:space="preserve"> shall pay a civil </w:t>
      </w:r>
      <w:r w:rsidR="00165BAB">
        <w:rPr>
          <w:rFonts w:ascii="Times New Roman" w:eastAsia="Times New Roman" w:hAnsi="Times New Roman" w:cs="Times New Roman"/>
          <w:sz w:val="26"/>
          <w:szCs w:val="20"/>
        </w:rPr>
        <w:t>penalty</w:t>
      </w:r>
      <w:r w:rsidR="00165BAB" w:rsidRPr="00165BAB">
        <w:rPr>
          <w:rFonts w:ascii="Times New Roman" w:eastAsia="Times New Roman" w:hAnsi="Times New Roman" w:cs="Times New Roman"/>
          <w:sz w:val="26"/>
          <w:szCs w:val="20"/>
        </w:rPr>
        <w:t xml:space="preserve"> in the amount of $</w:t>
      </w:r>
      <w:r w:rsidR="00165BAB">
        <w:rPr>
          <w:rFonts w:ascii="Times New Roman" w:eastAsia="Times New Roman" w:hAnsi="Times New Roman" w:cs="Times New Roman"/>
          <w:sz w:val="26"/>
          <w:szCs w:val="20"/>
        </w:rPr>
        <w:t>2,500</w:t>
      </w:r>
      <w:r w:rsidR="00165BAB" w:rsidRPr="00165BAB">
        <w:rPr>
          <w:rFonts w:ascii="Times New Roman" w:eastAsia="Times New Roman" w:hAnsi="Times New Roman" w:cs="Times New Roman"/>
          <w:sz w:val="26"/>
          <w:szCs w:val="20"/>
        </w:rPr>
        <w:t xml:space="preserve">.  Said check </w:t>
      </w:r>
      <w:r w:rsidR="00165BAB" w:rsidRPr="00165BAB">
        <w:rPr>
          <w:rFonts w:ascii="Times New Roman" w:eastAsia="Times New Roman" w:hAnsi="Times New Roman" w:cs="Times New Roman"/>
          <w:sz w:val="26"/>
          <w:szCs w:val="20"/>
        </w:rPr>
        <w:lastRenderedPageBreak/>
        <w:t>or money order shall be made payable to “Commonwealth of Pennsylvania” and shall be sent to:</w:t>
      </w:r>
    </w:p>
    <w:p w:rsidR="00165BAB" w:rsidRPr="00165BAB" w:rsidRDefault="00165BAB" w:rsidP="00165BAB">
      <w:pPr>
        <w:keepNext/>
        <w:spacing w:after="0" w:line="240" w:lineRule="auto"/>
        <w:ind w:firstLine="2160"/>
        <w:rPr>
          <w:rFonts w:ascii="Times New Roman" w:eastAsia="Times New Roman" w:hAnsi="Times New Roman" w:cs="Times New Roman"/>
          <w:sz w:val="26"/>
          <w:szCs w:val="20"/>
        </w:rPr>
      </w:pPr>
      <w:r w:rsidRPr="00165BAB">
        <w:rPr>
          <w:rFonts w:ascii="Times New Roman" w:eastAsia="Times New Roman" w:hAnsi="Times New Roman" w:cs="Times New Roman"/>
          <w:sz w:val="26"/>
          <w:szCs w:val="20"/>
        </w:rPr>
        <w:t>Secretary</w:t>
      </w:r>
    </w:p>
    <w:p w:rsidR="00165BAB" w:rsidRPr="00165BAB" w:rsidRDefault="00165BAB" w:rsidP="00165BAB">
      <w:pPr>
        <w:keepNext/>
        <w:spacing w:after="0" w:line="240" w:lineRule="auto"/>
        <w:ind w:firstLine="2160"/>
        <w:rPr>
          <w:rFonts w:ascii="Times New Roman" w:eastAsia="Times New Roman" w:hAnsi="Times New Roman" w:cs="Times New Roman"/>
          <w:sz w:val="26"/>
          <w:szCs w:val="20"/>
        </w:rPr>
      </w:pPr>
      <w:r w:rsidRPr="00165BAB">
        <w:rPr>
          <w:rFonts w:ascii="Times New Roman" w:eastAsia="Times New Roman" w:hAnsi="Times New Roman" w:cs="Times New Roman"/>
          <w:sz w:val="26"/>
          <w:szCs w:val="20"/>
        </w:rPr>
        <w:t>Pennsylvania Public Utility Commission</w:t>
      </w:r>
    </w:p>
    <w:p w:rsidR="00165BAB" w:rsidRPr="00165BAB" w:rsidRDefault="00165BAB" w:rsidP="00165BAB">
      <w:pPr>
        <w:keepNext/>
        <w:spacing w:after="0" w:line="240" w:lineRule="auto"/>
        <w:ind w:firstLine="2160"/>
        <w:rPr>
          <w:rFonts w:ascii="Times New Roman" w:eastAsia="Times New Roman" w:hAnsi="Times New Roman" w:cs="Times New Roman"/>
          <w:sz w:val="26"/>
          <w:szCs w:val="20"/>
        </w:rPr>
      </w:pPr>
      <w:r w:rsidRPr="00165BAB">
        <w:rPr>
          <w:rFonts w:ascii="Times New Roman" w:eastAsia="Times New Roman" w:hAnsi="Times New Roman" w:cs="Times New Roman"/>
          <w:sz w:val="26"/>
          <w:szCs w:val="20"/>
        </w:rPr>
        <w:t>P.O. Box 3265</w:t>
      </w:r>
    </w:p>
    <w:p w:rsidR="00165BAB" w:rsidRPr="00165BAB" w:rsidRDefault="00165BAB" w:rsidP="00165BAB">
      <w:pPr>
        <w:spacing w:after="0" w:line="240" w:lineRule="auto"/>
        <w:ind w:firstLine="2160"/>
        <w:rPr>
          <w:rFonts w:ascii="Times New Roman" w:eastAsia="Times New Roman" w:hAnsi="Times New Roman" w:cs="Times New Roman"/>
          <w:sz w:val="26"/>
          <w:szCs w:val="20"/>
        </w:rPr>
      </w:pPr>
      <w:r w:rsidRPr="00165BAB">
        <w:rPr>
          <w:rFonts w:ascii="Times New Roman" w:eastAsia="Times New Roman" w:hAnsi="Times New Roman" w:cs="Times New Roman"/>
          <w:sz w:val="26"/>
          <w:szCs w:val="20"/>
        </w:rPr>
        <w:t>Harrisburg, PA  17105-3265</w:t>
      </w:r>
    </w:p>
    <w:p w:rsidR="00165BAB" w:rsidRPr="00165BAB" w:rsidRDefault="00165BAB" w:rsidP="00165BAB">
      <w:pPr>
        <w:spacing w:after="0" w:line="360" w:lineRule="auto"/>
        <w:ind w:firstLine="2160"/>
        <w:rPr>
          <w:rFonts w:ascii="Times New Roman" w:eastAsia="Times New Roman" w:hAnsi="Times New Roman" w:cs="Times New Roman"/>
          <w:sz w:val="26"/>
          <w:szCs w:val="20"/>
        </w:rPr>
      </w:pPr>
    </w:p>
    <w:p w:rsidR="005203C5" w:rsidRDefault="00165BAB" w:rsidP="00165BAB">
      <w:pPr>
        <w:spacing w:after="0" w:line="360" w:lineRule="auto"/>
        <w:ind w:firstLine="1440"/>
        <w:rPr>
          <w:rFonts w:ascii="Times New Roman" w:eastAsia="Times New Roman" w:hAnsi="Times New Roman" w:cs="Times New Roman"/>
          <w:sz w:val="26"/>
          <w:szCs w:val="20"/>
        </w:rPr>
      </w:pPr>
      <w:r>
        <w:rPr>
          <w:rFonts w:ascii="Times New Roman" w:eastAsia="Times New Roman" w:hAnsi="Times New Roman" w:cs="Times New Roman"/>
          <w:sz w:val="26"/>
          <w:szCs w:val="20"/>
        </w:rPr>
        <w:t>3.</w:t>
      </w:r>
      <w:r w:rsidR="005203C5">
        <w:rPr>
          <w:rFonts w:ascii="Times New Roman" w:eastAsia="Times New Roman" w:hAnsi="Times New Roman" w:cs="Times New Roman"/>
          <w:sz w:val="26"/>
          <w:szCs w:val="20"/>
        </w:rPr>
        <w:tab/>
      </w:r>
      <w:r w:rsidR="006E7A65">
        <w:rPr>
          <w:rFonts w:ascii="Times New Roman" w:eastAsia="Times New Roman" w:hAnsi="Times New Roman" w:cs="Times New Roman"/>
          <w:sz w:val="26"/>
          <w:szCs w:val="20"/>
        </w:rPr>
        <w:t xml:space="preserve">That, within </w:t>
      </w:r>
      <w:r w:rsidR="006E7A65" w:rsidRPr="00165BAB">
        <w:rPr>
          <w:rFonts w:ascii="Times New Roman" w:eastAsia="Times New Roman" w:hAnsi="Times New Roman" w:cs="Times New Roman"/>
          <w:sz w:val="26"/>
          <w:szCs w:val="20"/>
        </w:rPr>
        <w:t xml:space="preserve">thirty (30) days of the date this Order becomes final, </w:t>
      </w:r>
      <w:r w:rsidR="006E7A65">
        <w:rPr>
          <w:rFonts w:ascii="Times New Roman" w:eastAsia="Times New Roman" w:hAnsi="Times New Roman" w:cs="Times New Roman"/>
          <w:sz w:val="26"/>
          <w:szCs w:val="26"/>
        </w:rPr>
        <w:t>Duquesne Light Company</w:t>
      </w:r>
      <w:r w:rsidR="006E7A65" w:rsidRPr="00165BAB">
        <w:rPr>
          <w:rFonts w:ascii="Times New Roman" w:eastAsia="Times New Roman" w:hAnsi="Times New Roman" w:cs="Times New Roman"/>
          <w:sz w:val="26"/>
          <w:szCs w:val="20"/>
        </w:rPr>
        <w:t xml:space="preserve"> shall pay</w:t>
      </w:r>
      <w:r w:rsidR="006E7A65">
        <w:rPr>
          <w:rFonts w:ascii="Times New Roman" w:eastAsia="Times New Roman" w:hAnsi="Times New Roman" w:cs="Times New Roman"/>
          <w:sz w:val="26"/>
          <w:szCs w:val="20"/>
        </w:rPr>
        <w:t xml:space="preserve"> $17,500 to the Dollar Energy Fund.  </w:t>
      </w:r>
    </w:p>
    <w:p w:rsidR="006E7A65" w:rsidRDefault="006E7A65" w:rsidP="00165BAB">
      <w:pPr>
        <w:spacing w:after="0" w:line="360" w:lineRule="auto"/>
        <w:ind w:firstLine="1440"/>
        <w:rPr>
          <w:rFonts w:ascii="Times New Roman" w:eastAsia="Times New Roman" w:hAnsi="Times New Roman" w:cs="Times New Roman"/>
          <w:sz w:val="26"/>
          <w:szCs w:val="20"/>
        </w:rPr>
      </w:pPr>
    </w:p>
    <w:p w:rsidR="006E7A65" w:rsidRDefault="006E7A65" w:rsidP="00165BAB">
      <w:pPr>
        <w:spacing w:after="0" w:line="360" w:lineRule="auto"/>
        <w:ind w:firstLine="1440"/>
        <w:rPr>
          <w:rFonts w:ascii="Times New Roman" w:eastAsia="Times New Roman" w:hAnsi="Times New Roman" w:cs="Times New Roman"/>
          <w:sz w:val="26"/>
          <w:szCs w:val="20"/>
        </w:rPr>
      </w:pPr>
      <w:r>
        <w:rPr>
          <w:rFonts w:ascii="Times New Roman" w:eastAsia="Times New Roman" w:hAnsi="Times New Roman" w:cs="Times New Roman"/>
          <w:sz w:val="26"/>
          <w:szCs w:val="20"/>
        </w:rPr>
        <w:t>4.</w:t>
      </w:r>
      <w:r>
        <w:rPr>
          <w:rFonts w:ascii="Times New Roman" w:eastAsia="Times New Roman" w:hAnsi="Times New Roman" w:cs="Times New Roman"/>
          <w:sz w:val="26"/>
          <w:szCs w:val="20"/>
        </w:rPr>
        <w:tab/>
        <w:t xml:space="preserve">That Duquesne Light Company shall notify the Commission that it has made the payment required by Ordering Paragraph No. 3.  Such notice shall be filed with the Secretary’s Bureau, at this docket number, within thirty (30) days after making the payment. </w:t>
      </w:r>
    </w:p>
    <w:p w:rsidR="005203C5" w:rsidRDefault="005203C5" w:rsidP="00165BAB">
      <w:pPr>
        <w:spacing w:after="0" w:line="360" w:lineRule="auto"/>
        <w:ind w:firstLine="1440"/>
        <w:rPr>
          <w:rFonts w:ascii="Times New Roman" w:eastAsia="Times New Roman" w:hAnsi="Times New Roman" w:cs="Times New Roman"/>
          <w:sz w:val="26"/>
          <w:szCs w:val="20"/>
        </w:rPr>
      </w:pPr>
    </w:p>
    <w:p w:rsidR="00165BAB" w:rsidRPr="00165BAB" w:rsidRDefault="006E7A65" w:rsidP="00165BAB">
      <w:pPr>
        <w:spacing w:after="0" w:line="360" w:lineRule="auto"/>
        <w:ind w:firstLine="1440"/>
        <w:rPr>
          <w:rFonts w:ascii="Times New Roman" w:eastAsia="Times New Roman" w:hAnsi="Times New Roman" w:cs="Times New Roman"/>
          <w:sz w:val="26"/>
          <w:szCs w:val="20"/>
        </w:rPr>
      </w:pPr>
      <w:r>
        <w:rPr>
          <w:rFonts w:ascii="Times New Roman" w:eastAsia="Times New Roman" w:hAnsi="Times New Roman" w:cs="Times New Roman"/>
          <w:sz w:val="26"/>
          <w:szCs w:val="20"/>
        </w:rPr>
        <w:t>5</w:t>
      </w:r>
      <w:r w:rsidR="005203C5">
        <w:rPr>
          <w:rFonts w:ascii="Times New Roman" w:eastAsia="Times New Roman" w:hAnsi="Times New Roman" w:cs="Times New Roman"/>
          <w:sz w:val="26"/>
          <w:szCs w:val="20"/>
        </w:rPr>
        <w:t>.</w:t>
      </w:r>
      <w:r w:rsidR="005203C5">
        <w:rPr>
          <w:rFonts w:ascii="Times New Roman" w:eastAsia="Times New Roman" w:hAnsi="Times New Roman" w:cs="Times New Roman"/>
          <w:sz w:val="26"/>
          <w:szCs w:val="20"/>
        </w:rPr>
        <w:tab/>
      </w:r>
      <w:r w:rsidR="008E6D59">
        <w:rPr>
          <w:rFonts w:ascii="Times New Roman" w:eastAsia="Times New Roman" w:hAnsi="Times New Roman" w:cs="Times New Roman"/>
          <w:sz w:val="26"/>
          <w:szCs w:val="20"/>
        </w:rPr>
        <w:t>That a</w:t>
      </w:r>
      <w:r w:rsidR="00165BAB" w:rsidRPr="00165BAB">
        <w:rPr>
          <w:rFonts w:ascii="Times New Roman" w:eastAsia="Times New Roman" w:hAnsi="Times New Roman" w:cs="Times New Roman"/>
          <w:sz w:val="26"/>
          <w:szCs w:val="20"/>
        </w:rPr>
        <w:t xml:space="preserve"> copy of this Opinion and Order shall be served upon the Financial and Assessment Chief, Office of Administrative Services.</w:t>
      </w:r>
    </w:p>
    <w:p w:rsidR="001F1CDF" w:rsidRPr="003F7EE6" w:rsidRDefault="001F1CDF" w:rsidP="001F1CDF">
      <w:pPr>
        <w:spacing w:after="0" w:line="360" w:lineRule="auto"/>
        <w:rPr>
          <w:rFonts w:ascii="Times New Roman" w:eastAsia="Times New Roman" w:hAnsi="Times New Roman" w:cs="Times New Roman"/>
          <w:sz w:val="26"/>
          <w:szCs w:val="26"/>
        </w:rPr>
      </w:pPr>
    </w:p>
    <w:p w:rsidR="001F1CDF" w:rsidRPr="003F7EE6" w:rsidRDefault="005203C5" w:rsidP="001F1CDF">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BE47DD">
        <w:rPr>
          <w:rFonts w:ascii="Times New Roman" w:eastAsia="Times New Roman" w:hAnsi="Times New Roman" w:cs="Times New Roman"/>
          <w:sz w:val="26"/>
          <w:szCs w:val="26"/>
        </w:rPr>
        <w:t>6</w:t>
      </w:r>
      <w:r w:rsidR="001F1CDF" w:rsidRPr="003F7EE6">
        <w:rPr>
          <w:rFonts w:ascii="Times New Roman" w:eastAsia="Times New Roman" w:hAnsi="Times New Roman" w:cs="Times New Roman"/>
          <w:sz w:val="26"/>
          <w:szCs w:val="26"/>
        </w:rPr>
        <w:t>.</w:t>
      </w:r>
      <w:r w:rsidR="001F1CDF" w:rsidRPr="003F7EE6">
        <w:rPr>
          <w:rFonts w:ascii="Times New Roman" w:eastAsia="Times New Roman" w:hAnsi="Times New Roman" w:cs="Times New Roman"/>
          <w:sz w:val="26"/>
          <w:szCs w:val="26"/>
        </w:rPr>
        <w:tab/>
        <w:t>That</w:t>
      </w:r>
      <w:r w:rsidR="006E7A65">
        <w:rPr>
          <w:rFonts w:ascii="Times New Roman" w:eastAsia="Times New Roman" w:hAnsi="Times New Roman" w:cs="Times New Roman"/>
          <w:sz w:val="26"/>
          <w:szCs w:val="26"/>
        </w:rPr>
        <w:t>,</w:t>
      </w:r>
      <w:r w:rsidR="001F1CDF" w:rsidRPr="003F7EE6">
        <w:rPr>
          <w:rFonts w:ascii="Times New Roman" w:eastAsia="Times New Roman" w:hAnsi="Times New Roman" w:cs="Times New Roman"/>
          <w:sz w:val="26"/>
          <w:szCs w:val="26"/>
        </w:rPr>
        <w:t xml:space="preserve"> </w:t>
      </w:r>
      <w:r w:rsidR="00165BAB">
        <w:rPr>
          <w:rFonts w:ascii="Times New Roman" w:eastAsia="Times New Roman" w:hAnsi="Times New Roman" w:cs="Times New Roman"/>
          <w:sz w:val="26"/>
          <w:szCs w:val="26"/>
        </w:rPr>
        <w:t xml:space="preserve">after Duquesne Light Company remits </w:t>
      </w:r>
      <w:r w:rsidR="00746756">
        <w:rPr>
          <w:rFonts w:ascii="Times New Roman" w:eastAsia="Times New Roman" w:hAnsi="Times New Roman" w:cs="Times New Roman"/>
          <w:sz w:val="26"/>
          <w:szCs w:val="26"/>
        </w:rPr>
        <w:t xml:space="preserve">the </w:t>
      </w:r>
      <w:r w:rsidR="00165BAB">
        <w:rPr>
          <w:rFonts w:ascii="Times New Roman" w:eastAsia="Times New Roman" w:hAnsi="Times New Roman" w:cs="Times New Roman"/>
          <w:sz w:val="26"/>
          <w:szCs w:val="26"/>
        </w:rPr>
        <w:t>civil penalty as requir</w:t>
      </w:r>
      <w:r w:rsidR="006E7A65">
        <w:rPr>
          <w:rFonts w:ascii="Times New Roman" w:eastAsia="Times New Roman" w:hAnsi="Times New Roman" w:cs="Times New Roman"/>
          <w:sz w:val="26"/>
          <w:szCs w:val="26"/>
        </w:rPr>
        <w:t xml:space="preserve">ed in Ordering Paragraph No. 2 and files the notice required </w:t>
      </w:r>
      <w:r w:rsidR="008E6D59">
        <w:rPr>
          <w:rFonts w:ascii="Times New Roman" w:eastAsia="Times New Roman" w:hAnsi="Times New Roman" w:cs="Times New Roman"/>
          <w:sz w:val="26"/>
          <w:szCs w:val="26"/>
        </w:rPr>
        <w:t xml:space="preserve">in </w:t>
      </w:r>
      <w:r w:rsidR="006E7A65">
        <w:rPr>
          <w:rFonts w:ascii="Times New Roman" w:eastAsia="Times New Roman" w:hAnsi="Times New Roman" w:cs="Times New Roman"/>
          <w:sz w:val="26"/>
          <w:szCs w:val="26"/>
        </w:rPr>
        <w:t xml:space="preserve">Ordering Paragraph No. 4, </w:t>
      </w:r>
      <w:r w:rsidR="00165BAB">
        <w:rPr>
          <w:rFonts w:ascii="Times New Roman" w:eastAsia="Times New Roman" w:hAnsi="Times New Roman" w:cs="Times New Roman"/>
          <w:sz w:val="26"/>
          <w:szCs w:val="26"/>
        </w:rPr>
        <w:t xml:space="preserve">the Secretary’s Bureau shall mark this proceeding closed. </w:t>
      </w:r>
    </w:p>
    <w:p w:rsidR="001F1CDF" w:rsidRPr="003F7EE6" w:rsidRDefault="00A8231D" w:rsidP="001F1CDF">
      <w:pPr>
        <w:spacing w:after="0" w:line="360" w:lineRule="auto"/>
        <w:rPr>
          <w:rFonts w:ascii="Times New Roman" w:eastAsia="Times New Roman" w:hAnsi="Times New Roman" w:cs="Times New Roman"/>
          <w:sz w:val="26"/>
          <w:szCs w:val="26"/>
        </w:rPr>
      </w:pPr>
      <w:bookmarkStart w:id="0" w:name="_GoBack"/>
      <w:r>
        <w:rPr>
          <w:noProof/>
        </w:rPr>
        <w:drawing>
          <wp:anchor distT="0" distB="0" distL="114300" distR="114300" simplePos="0" relativeHeight="251659264" behindDoc="1" locked="0" layoutInCell="1" allowOverlap="1" wp14:anchorId="5E6002F9" wp14:editId="245EFBFA">
            <wp:simplePos x="0" y="0"/>
            <wp:positionH relativeFrom="column">
              <wp:posOffset>2771140</wp:posOffset>
            </wp:positionH>
            <wp:positionV relativeFrom="paragraph">
              <wp:posOffset>278765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F1CDF" w:rsidRPr="003F7EE6" w:rsidRDefault="001F1CDF" w:rsidP="001F1CDF">
      <w:pPr>
        <w:rPr>
          <w:rFonts w:ascii="Times New Roman" w:eastAsia="Times New Roman" w:hAnsi="Times New Roman" w:cs="Times New Roman"/>
          <w:b/>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b/>
          <w:sz w:val="26"/>
          <w:szCs w:val="26"/>
        </w:rPr>
        <w:t>BY THE COMMISSION,</w:t>
      </w:r>
    </w:p>
    <w:p w:rsidR="001F1CDF" w:rsidRPr="003F7EE6" w:rsidRDefault="001F1CDF" w:rsidP="001F1CDF">
      <w:pPr>
        <w:spacing w:after="0" w:line="240" w:lineRule="auto"/>
        <w:rPr>
          <w:rFonts w:ascii="Times New Roman" w:eastAsia="Times New Roman" w:hAnsi="Times New Roman" w:cs="Times New Roman"/>
          <w:sz w:val="26"/>
          <w:szCs w:val="26"/>
        </w:rPr>
      </w:pPr>
    </w:p>
    <w:p w:rsidR="001F1CDF" w:rsidRPr="003F7EE6" w:rsidRDefault="001F1CDF" w:rsidP="001F1CDF">
      <w:pPr>
        <w:spacing w:after="0" w:line="240" w:lineRule="auto"/>
        <w:rPr>
          <w:rFonts w:ascii="Times New Roman" w:eastAsia="Times New Roman" w:hAnsi="Times New Roman" w:cs="Times New Roman"/>
          <w:sz w:val="26"/>
          <w:szCs w:val="26"/>
        </w:rPr>
      </w:pPr>
    </w:p>
    <w:p w:rsidR="001F1CDF" w:rsidRPr="003F7EE6" w:rsidRDefault="001F1CDF" w:rsidP="001F1CDF">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Rosemary Chiavetta</w:t>
      </w:r>
    </w:p>
    <w:p w:rsidR="001F1CDF" w:rsidRPr="003F7EE6" w:rsidRDefault="001F1CDF" w:rsidP="001F1CDF">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Secretary</w:t>
      </w:r>
    </w:p>
    <w:p w:rsidR="001F1CDF" w:rsidRPr="003F7EE6" w:rsidRDefault="001F1CDF" w:rsidP="001F1CDF">
      <w:pPr>
        <w:tabs>
          <w:tab w:val="left"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(SEAL)</w:t>
      </w:r>
    </w:p>
    <w:p w:rsidR="001F1CDF" w:rsidRDefault="001F1CDF" w:rsidP="001F1CDF">
      <w:pPr>
        <w:tabs>
          <w:tab w:val="left"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ORDER ADOPTED:</w:t>
      </w:r>
      <w:r w:rsidR="00027FBB">
        <w:rPr>
          <w:rFonts w:ascii="Times New Roman" w:eastAsia="Times New Roman" w:hAnsi="Times New Roman" w:cs="Times New Roman"/>
          <w:sz w:val="26"/>
          <w:szCs w:val="26"/>
        </w:rPr>
        <w:tab/>
        <w:t>October 2, 2014</w:t>
      </w:r>
      <w:r w:rsidRPr="003F7EE6">
        <w:rPr>
          <w:rFonts w:ascii="Times New Roman" w:eastAsia="Times New Roman" w:hAnsi="Times New Roman" w:cs="Times New Roman"/>
          <w:sz w:val="26"/>
          <w:szCs w:val="26"/>
        </w:rPr>
        <w:tab/>
      </w:r>
    </w:p>
    <w:p w:rsidR="00E70820" w:rsidRDefault="001F1CDF" w:rsidP="006E7A65">
      <w:pPr>
        <w:tabs>
          <w:tab w:val="left" w:pos="-720"/>
        </w:tabs>
        <w:suppressAutoHyphens/>
        <w:spacing w:after="0" w:line="360" w:lineRule="auto"/>
      </w:pPr>
      <w:r w:rsidRPr="003F7EE6">
        <w:rPr>
          <w:rFonts w:ascii="Times New Roman" w:eastAsia="Times New Roman" w:hAnsi="Times New Roman" w:cs="Times New Roman"/>
          <w:sz w:val="26"/>
          <w:szCs w:val="20"/>
        </w:rPr>
        <w:t>ORDER ENTERED:</w:t>
      </w:r>
      <w:r>
        <w:rPr>
          <w:rFonts w:ascii="Times New Roman" w:eastAsia="Times New Roman" w:hAnsi="Times New Roman" w:cs="Times New Roman"/>
          <w:sz w:val="26"/>
          <w:szCs w:val="20"/>
        </w:rPr>
        <w:t xml:space="preserve">   </w:t>
      </w:r>
      <w:r w:rsidR="00A8231D">
        <w:rPr>
          <w:rFonts w:ascii="Times New Roman" w:eastAsia="Times New Roman" w:hAnsi="Times New Roman" w:cs="Times New Roman"/>
          <w:sz w:val="26"/>
          <w:szCs w:val="20"/>
        </w:rPr>
        <w:t>October 2, 2014</w:t>
      </w:r>
    </w:p>
    <w:sectPr w:rsidR="00E70820" w:rsidSect="00DF57A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A1F" w:rsidRDefault="00293A1F" w:rsidP="001F1CDF">
      <w:pPr>
        <w:spacing w:after="0" w:line="240" w:lineRule="auto"/>
      </w:pPr>
      <w:r>
        <w:separator/>
      </w:r>
    </w:p>
  </w:endnote>
  <w:endnote w:type="continuationSeparator" w:id="0">
    <w:p w:rsidR="00293A1F" w:rsidRDefault="00293A1F" w:rsidP="001F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232060"/>
      <w:docPartObj>
        <w:docPartGallery w:val="Page Numbers (Bottom of Page)"/>
        <w:docPartUnique/>
      </w:docPartObj>
    </w:sdtPr>
    <w:sdtEndPr>
      <w:rPr>
        <w:rFonts w:ascii="Times New Roman" w:hAnsi="Times New Roman" w:cs="Times New Roman"/>
        <w:noProof/>
        <w:sz w:val="26"/>
        <w:szCs w:val="26"/>
      </w:rPr>
    </w:sdtEndPr>
    <w:sdtContent>
      <w:p w:rsidR="00DF57AD" w:rsidRPr="00DF57AD" w:rsidRDefault="00DF57AD">
        <w:pPr>
          <w:pStyle w:val="Footer"/>
          <w:jc w:val="center"/>
          <w:rPr>
            <w:rFonts w:ascii="Times New Roman" w:hAnsi="Times New Roman" w:cs="Times New Roman"/>
            <w:sz w:val="26"/>
            <w:szCs w:val="26"/>
          </w:rPr>
        </w:pPr>
        <w:r w:rsidRPr="00DF57AD">
          <w:rPr>
            <w:rFonts w:ascii="Times New Roman" w:hAnsi="Times New Roman" w:cs="Times New Roman"/>
            <w:sz w:val="26"/>
            <w:szCs w:val="26"/>
          </w:rPr>
          <w:fldChar w:fldCharType="begin"/>
        </w:r>
        <w:r w:rsidRPr="00DF57AD">
          <w:rPr>
            <w:rFonts w:ascii="Times New Roman" w:hAnsi="Times New Roman" w:cs="Times New Roman"/>
            <w:sz w:val="26"/>
            <w:szCs w:val="26"/>
          </w:rPr>
          <w:instrText xml:space="preserve"> PAGE   \* MERGEFORMAT </w:instrText>
        </w:r>
        <w:r w:rsidRPr="00DF57AD">
          <w:rPr>
            <w:rFonts w:ascii="Times New Roman" w:hAnsi="Times New Roman" w:cs="Times New Roman"/>
            <w:sz w:val="26"/>
            <w:szCs w:val="26"/>
          </w:rPr>
          <w:fldChar w:fldCharType="separate"/>
        </w:r>
        <w:r w:rsidR="00A8231D">
          <w:rPr>
            <w:rFonts w:ascii="Times New Roman" w:hAnsi="Times New Roman" w:cs="Times New Roman"/>
            <w:noProof/>
            <w:sz w:val="26"/>
            <w:szCs w:val="26"/>
          </w:rPr>
          <w:t>14</w:t>
        </w:r>
        <w:r w:rsidRPr="00DF57AD">
          <w:rPr>
            <w:rFonts w:ascii="Times New Roman" w:hAnsi="Times New Roman" w:cs="Times New Roman"/>
            <w:noProof/>
            <w:sz w:val="26"/>
            <w:szCs w:val="26"/>
          </w:rPr>
          <w:fldChar w:fldCharType="end"/>
        </w:r>
      </w:p>
    </w:sdtContent>
  </w:sdt>
  <w:p w:rsidR="00DF57AD" w:rsidRDefault="00DF5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A1F" w:rsidRDefault="00293A1F" w:rsidP="001F1CDF">
      <w:pPr>
        <w:spacing w:after="0" w:line="240" w:lineRule="auto"/>
      </w:pPr>
      <w:r>
        <w:separator/>
      </w:r>
    </w:p>
  </w:footnote>
  <w:footnote w:type="continuationSeparator" w:id="0">
    <w:p w:rsidR="00293A1F" w:rsidRDefault="00293A1F" w:rsidP="001F1CDF">
      <w:pPr>
        <w:spacing w:after="0" w:line="240" w:lineRule="auto"/>
      </w:pPr>
      <w:r>
        <w:continuationSeparator/>
      </w:r>
    </w:p>
  </w:footnote>
  <w:footnote w:id="1">
    <w:p w:rsidR="001F1CDF" w:rsidRPr="00DF260E" w:rsidRDefault="001F1CDF" w:rsidP="001F1CDF">
      <w:pPr>
        <w:pStyle w:val="FootnoteText"/>
        <w:keepNext/>
        <w:keepLines/>
        <w:ind w:firstLine="720"/>
        <w:rPr>
          <w:rFonts w:ascii="Times New Roman" w:hAnsi="Times New Roman" w:cs="Times New Roman"/>
          <w:sz w:val="26"/>
          <w:szCs w:val="26"/>
        </w:rPr>
      </w:pPr>
      <w:r w:rsidRPr="00DF260E">
        <w:rPr>
          <w:rStyle w:val="FootnoteReference"/>
          <w:rFonts w:ascii="Times New Roman" w:hAnsi="Times New Roman" w:cs="Times New Roman"/>
          <w:sz w:val="26"/>
          <w:szCs w:val="26"/>
        </w:rPr>
        <w:footnoteRef/>
      </w:r>
      <w:r w:rsidRPr="00DF260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eastAsia="Times New Roman" w:hAnsi="Times New Roman" w:cs="Times New Roman"/>
          <w:sz w:val="26"/>
          <w:szCs w:val="26"/>
        </w:rPr>
        <w:t xml:space="preserve">In its Report, LBPS provides an historical summary of actions and transactions affecting the parcel of real property at issue in this proceeding located at 143 Jarod Street, Coraopolis, Moon Township, Allegheny County (Property).  Report at 1, 9.  The Report also summarizes the additional allegations against Duquesne and the positions of the Parties.  </w:t>
      </w:r>
    </w:p>
  </w:footnote>
  <w:footnote w:id="2">
    <w:p w:rsidR="001F1CDF" w:rsidRPr="00547BF4" w:rsidRDefault="001F1CDF" w:rsidP="001F1CDF">
      <w:pPr>
        <w:pStyle w:val="FootnoteText"/>
        <w:ind w:firstLine="720"/>
      </w:pPr>
      <w:r w:rsidRPr="00547BF4">
        <w:rPr>
          <w:rStyle w:val="FootnoteReference"/>
          <w:rFonts w:ascii="Times New Roman" w:hAnsi="Times New Roman" w:cs="Times New Roman"/>
          <w:sz w:val="26"/>
          <w:szCs w:val="26"/>
        </w:rPr>
        <w:footnoteRef/>
      </w:r>
      <w:r w:rsidRPr="00547BF4">
        <w:rPr>
          <w:rFonts w:ascii="Times New Roman" w:hAnsi="Times New Roman" w:cs="Times New Roman"/>
          <w:sz w:val="26"/>
          <w:szCs w:val="26"/>
        </w:rPr>
        <w:t xml:space="preserve"> </w:t>
      </w:r>
      <w:r>
        <w:rPr>
          <w:rFonts w:ascii="Times New Roman" w:hAnsi="Times New Roman" w:cs="Times New Roman"/>
          <w:sz w:val="26"/>
          <w:szCs w:val="26"/>
        </w:rPr>
        <w:tab/>
        <w:t>Duquesne was apparently precluded from exercising its power of eminent domain to condemn the Property due to the proximity of the new transmission line to the dwelling on the Property.  Report at 3 (citing 15 Pa. C.S. § 1511(b)(1)(i)).</w:t>
      </w:r>
    </w:p>
  </w:footnote>
  <w:footnote w:id="3">
    <w:p w:rsidR="00460CE6" w:rsidRPr="00633F73" w:rsidRDefault="00460CE6" w:rsidP="00460CE6">
      <w:pPr>
        <w:pStyle w:val="FootnoteText"/>
        <w:ind w:firstLine="720"/>
        <w:rPr>
          <w:rFonts w:ascii="Times New Roman" w:hAnsi="Times New Roman" w:cs="Times New Roman"/>
          <w:sz w:val="26"/>
          <w:szCs w:val="26"/>
        </w:rPr>
      </w:pPr>
      <w:r w:rsidRPr="00633F73">
        <w:rPr>
          <w:rStyle w:val="FootnoteReference"/>
          <w:rFonts w:ascii="Times New Roman" w:hAnsi="Times New Roman" w:cs="Times New Roman"/>
          <w:sz w:val="26"/>
          <w:szCs w:val="26"/>
        </w:rPr>
        <w:footnoteRef/>
      </w:r>
      <w:r w:rsidRPr="00633F73">
        <w:rPr>
          <w:rFonts w:ascii="Times New Roman" w:hAnsi="Times New Roman" w:cs="Times New Roman"/>
          <w:sz w:val="26"/>
          <w:szCs w:val="26"/>
        </w:rPr>
        <w:t xml:space="preserve"> </w:t>
      </w:r>
      <w:r>
        <w:rPr>
          <w:rFonts w:ascii="Times New Roman" w:hAnsi="Times New Roman" w:cs="Times New Roman"/>
          <w:sz w:val="26"/>
          <w:szCs w:val="26"/>
        </w:rPr>
        <w:tab/>
        <w:t xml:space="preserve">As discussed further herein, Section 1102(a)(3) requires that a public utility obtain a Commission-approved certificate of public convenience before acquiring or transferring any tangible or intangible property “used or useful” in the public service.  </w:t>
      </w:r>
    </w:p>
  </w:footnote>
  <w:footnote w:id="4">
    <w:p w:rsidR="001F1CDF" w:rsidRPr="001A233D" w:rsidRDefault="001F1CDF" w:rsidP="001F1CDF">
      <w:pPr>
        <w:pStyle w:val="FootnoteText"/>
        <w:ind w:firstLine="720"/>
        <w:rPr>
          <w:rFonts w:ascii="Times New Roman" w:hAnsi="Times New Roman" w:cs="Times New Roman"/>
          <w:sz w:val="26"/>
          <w:szCs w:val="26"/>
        </w:rPr>
      </w:pPr>
      <w:r w:rsidRPr="001A233D">
        <w:rPr>
          <w:rStyle w:val="FootnoteReference"/>
          <w:rFonts w:ascii="Times New Roman" w:hAnsi="Times New Roman" w:cs="Times New Roman"/>
          <w:sz w:val="26"/>
          <w:szCs w:val="26"/>
        </w:rPr>
        <w:footnoteRef/>
      </w:r>
      <w:r w:rsidRPr="001A233D">
        <w:rPr>
          <w:rFonts w:ascii="Times New Roman" w:hAnsi="Times New Roman" w:cs="Times New Roman"/>
          <w:sz w:val="26"/>
          <w:szCs w:val="26"/>
        </w:rPr>
        <w:t xml:space="preserve"> </w:t>
      </w:r>
      <w:r>
        <w:rPr>
          <w:rFonts w:ascii="Times New Roman" w:hAnsi="Times New Roman" w:cs="Times New Roman"/>
          <w:sz w:val="26"/>
          <w:szCs w:val="26"/>
        </w:rPr>
        <w:tab/>
        <w:t xml:space="preserve">According to LBPS, a “straw purchase” involves an “individual who is not intended to have a genuine beneficial interest in a property to whom such property is nevertheless conveyed, in order to facilitate the eventual conveyance to another party.  In many cases and situations, e.g., car purchase, firearms, mortgages, a straw purchase is </w:t>
      </w:r>
      <w:r>
        <w:rPr>
          <w:rFonts w:ascii="Times New Roman" w:hAnsi="Times New Roman" w:cs="Times New Roman"/>
          <w:i/>
          <w:sz w:val="26"/>
          <w:szCs w:val="26"/>
        </w:rPr>
        <w:t>illegal per se</w:t>
      </w:r>
      <w:r>
        <w:rPr>
          <w:rFonts w:ascii="Times New Roman" w:hAnsi="Times New Roman" w:cs="Times New Roman"/>
          <w:sz w:val="26"/>
          <w:szCs w:val="26"/>
        </w:rPr>
        <w:t xml:space="preserve">.”  Report at 12 (emphasis in original).  </w:t>
      </w:r>
    </w:p>
  </w:footnote>
  <w:footnote w:id="5">
    <w:p w:rsidR="001F1CDF" w:rsidRPr="001A233D" w:rsidRDefault="001F1CDF" w:rsidP="001F1CDF">
      <w:pPr>
        <w:pStyle w:val="FootnoteText"/>
        <w:ind w:firstLine="720"/>
        <w:rPr>
          <w:rFonts w:ascii="Times New Roman" w:hAnsi="Times New Roman" w:cs="Times New Roman"/>
          <w:sz w:val="26"/>
          <w:szCs w:val="26"/>
        </w:rPr>
      </w:pPr>
      <w:r w:rsidRPr="001A233D">
        <w:rPr>
          <w:rStyle w:val="FootnoteReference"/>
          <w:rFonts w:ascii="Times New Roman" w:hAnsi="Times New Roman" w:cs="Times New Roman"/>
          <w:sz w:val="26"/>
          <w:szCs w:val="26"/>
        </w:rPr>
        <w:footnoteRef/>
      </w:r>
      <w:r w:rsidRPr="001A233D">
        <w:rPr>
          <w:rFonts w:ascii="Times New Roman" w:hAnsi="Times New Roman" w:cs="Times New Roman"/>
          <w:sz w:val="26"/>
          <w:szCs w:val="26"/>
        </w:rPr>
        <w:t xml:space="preserve"> </w:t>
      </w:r>
      <w:r>
        <w:rPr>
          <w:rFonts w:ascii="Times New Roman" w:hAnsi="Times New Roman" w:cs="Times New Roman"/>
          <w:sz w:val="26"/>
          <w:szCs w:val="26"/>
        </w:rPr>
        <w:tab/>
        <w:t xml:space="preserve">It is not clear from the Report whether the “Chadwick Street” property includes or relates to the right-of-way the Company obtained in Sewickley Borough.  </w:t>
      </w:r>
    </w:p>
  </w:footnote>
  <w:footnote w:id="6">
    <w:p w:rsidR="00690FF5" w:rsidRPr="009B11DD" w:rsidRDefault="00690FF5" w:rsidP="00690FF5">
      <w:pPr>
        <w:pStyle w:val="FootnoteText"/>
        <w:ind w:firstLine="720"/>
        <w:rPr>
          <w:rFonts w:ascii="Times New Roman" w:hAnsi="Times New Roman" w:cs="Times New Roman"/>
          <w:sz w:val="26"/>
          <w:szCs w:val="26"/>
        </w:rPr>
      </w:pPr>
      <w:r w:rsidRPr="00690FF5">
        <w:rPr>
          <w:rStyle w:val="FootnoteReference"/>
          <w:rFonts w:ascii="Times New Roman" w:hAnsi="Times New Roman" w:cs="Times New Roman"/>
          <w:sz w:val="26"/>
          <w:szCs w:val="26"/>
        </w:rPr>
        <w:footnoteRef/>
      </w:r>
      <w:r w:rsidRPr="00690FF5">
        <w:rPr>
          <w:rFonts w:ascii="Times New Roman" w:hAnsi="Times New Roman" w:cs="Times New Roman"/>
          <w:sz w:val="26"/>
          <w:szCs w:val="26"/>
        </w:rPr>
        <w:t xml:space="preserve"> </w:t>
      </w:r>
      <w:r>
        <w:rPr>
          <w:rFonts w:ascii="Times New Roman" w:hAnsi="Times New Roman" w:cs="Times New Roman"/>
          <w:sz w:val="26"/>
          <w:szCs w:val="26"/>
        </w:rPr>
        <w:tab/>
        <w:t xml:space="preserve">Duquesne utilizes the Dollar Energy Fund as its Hardship Fund.  </w:t>
      </w:r>
      <w:r>
        <w:rPr>
          <w:rFonts w:ascii="Times New Roman" w:hAnsi="Times New Roman" w:cs="Times New Roman"/>
          <w:i/>
          <w:sz w:val="26"/>
          <w:szCs w:val="26"/>
        </w:rPr>
        <w:t>Duquesne Light Company Universal Service and Energy Conservation Plan for 2014-2016 Submitted in Compliance with 52 Pa. Code §§ 54.</w:t>
      </w:r>
      <w:r w:rsidRPr="00690FF5">
        <w:rPr>
          <w:rFonts w:ascii="Times New Roman" w:hAnsi="Times New Roman" w:cs="Times New Roman"/>
          <w:i/>
          <w:sz w:val="26"/>
          <w:szCs w:val="26"/>
        </w:rPr>
        <w:t>74</w:t>
      </w:r>
      <w:r>
        <w:rPr>
          <w:rFonts w:ascii="Times New Roman" w:hAnsi="Times New Roman" w:cs="Times New Roman"/>
          <w:sz w:val="26"/>
          <w:szCs w:val="26"/>
        </w:rPr>
        <w:t>, Docket No. M-2013-2350946 (Final Order entered March 6, 2014)</w:t>
      </w:r>
      <w:r w:rsidR="009B11DD">
        <w:rPr>
          <w:rFonts w:ascii="Times New Roman" w:hAnsi="Times New Roman" w:cs="Times New Roman"/>
          <w:sz w:val="26"/>
          <w:szCs w:val="26"/>
        </w:rPr>
        <w:t xml:space="preserve"> at 41</w:t>
      </w:r>
      <w:r>
        <w:rPr>
          <w:rFonts w:ascii="Times New Roman" w:hAnsi="Times New Roman" w:cs="Times New Roman"/>
          <w:sz w:val="26"/>
          <w:szCs w:val="26"/>
        </w:rPr>
        <w:t xml:space="preserve">.  </w:t>
      </w:r>
      <w:r w:rsidRPr="00690FF5">
        <w:rPr>
          <w:rFonts w:ascii="Times New Roman" w:hAnsi="Times New Roman" w:cs="Times New Roman"/>
          <w:sz w:val="26"/>
          <w:szCs w:val="26"/>
        </w:rPr>
        <w:t xml:space="preserve">The </w:t>
      </w:r>
      <w:r>
        <w:rPr>
          <w:rFonts w:ascii="Times New Roman" w:hAnsi="Times New Roman" w:cs="Times New Roman"/>
          <w:sz w:val="26"/>
          <w:szCs w:val="26"/>
        </w:rPr>
        <w:t>Dollar Energy Fund is an organization which provides assistance grants to those in need</w:t>
      </w:r>
      <w:r w:rsidR="005E51FD">
        <w:rPr>
          <w:rFonts w:ascii="Times New Roman" w:hAnsi="Times New Roman" w:cs="Times New Roman"/>
          <w:sz w:val="26"/>
          <w:szCs w:val="26"/>
        </w:rPr>
        <w:t>; grants are</w:t>
      </w:r>
      <w:r>
        <w:rPr>
          <w:rFonts w:ascii="Times New Roman" w:hAnsi="Times New Roman" w:cs="Times New Roman"/>
          <w:sz w:val="26"/>
          <w:szCs w:val="26"/>
        </w:rPr>
        <w:t xml:space="preserve"> administered by</w:t>
      </w:r>
      <w:r w:rsidR="00FF6B6F">
        <w:rPr>
          <w:rFonts w:ascii="Times New Roman" w:hAnsi="Times New Roman" w:cs="Times New Roman"/>
          <w:sz w:val="26"/>
          <w:szCs w:val="26"/>
        </w:rPr>
        <w:t xml:space="preserve"> forty-five different community-</w:t>
      </w:r>
      <w:r>
        <w:rPr>
          <w:rFonts w:ascii="Times New Roman" w:hAnsi="Times New Roman" w:cs="Times New Roman"/>
          <w:sz w:val="26"/>
          <w:szCs w:val="26"/>
        </w:rPr>
        <w:t xml:space="preserve">based </w:t>
      </w:r>
      <w:r w:rsidR="009B11DD">
        <w:rPr>
          <w:rFonts w:ascii="Times New Roman" w:hAnsi="Times New Roman" w:cs="Times New Roman"/>
          <w:sz w:val="26"/>
          <w:szCs w:val="26"/>
        </w:rPr>
        <w:t xml:space="preserve">organizations.  </w:t>
      </w:r>
      <w:r w:rsidR="009B11DD">
        <w:rPr>
          <w:rFonts w:ascii="Times New Roman" w:hAnsi="Times New Roman" w:cs="Times New Roman"/>
          <w:i/>
          <w:sz w:val="26"/>
          <w:szCs w:val="26"/>
        </w:rPr>
        <w:t xml:space="preserve">Id. </w:t>
      </w:r>
      <w:r w:rsidR="009B11DD">
        <w:rPr>
          <w:rFonts w:ascii="Times New Roman" w:hAnsi="Times New Roman" w:cs="Times New Roman"/>
          <w:sz w:val="26"/>
          <w:szCs w:val="26"/>
        </w:rPr>
        <w:t xml:space="preserve">at 41, 53.  </w:t>
      </w:r>
    </w:p>
  </w:footnote>
  <w:footnote w:id="7">
    <w:p w:rsidR="000F48DD" w:rsidRDefault="000F48DD" w:rsidP="00FA415B">
      <w:pPr>
        <w:pStyle w:val="FootnoteText"/>
        <w:keepNext/>
        <w:keepLines/>
        <w:ind w:firstLine="720"/>
        <w:rPr>
          <w:rFonts w:ascii="Times New Roman" w:hAnsi="Times New Roman" w:cs="Times New Roman"/>
          <w:sz w:val="26"/>
          <w:szCs w:val="26"/>
        </w:rPr>
      </w:pPr>
      <w:r w:rsidRPr="000F48DD">
        <w:rPr>
          <w:rStyle w:val="FootnoteReference"/>
          <w:rFonts w:ascii="Times New Roman" w:hAnsi="Times New Roman" w:cs="Times New Roman"/>
          <w:sz w:val="26"/>
          <w:szCs w:val="26"/>
        </w:rPr>
        <w:footnoteRef/>
      </w:r>
      <w:r w:rsidRPr="000F48DD">
        <w:rPr>
          <w:rFonts w:ascii="Times New Roman" w:hAnsi="Times New Roman" w:cs="Times New Roman"/>
          <w:sz w:val="26"/>
          <w:szCs w:val="26"/>
        </w:rPr>
        <w:t xml:space="preserve"> </w:t>
      </w:r>
      <w:r>
        <w:rPr>
          <w:rFonts w:ascii="Times New Roman" w:hAnsi="Times New Roman" w:cs="Times New Roman"/>
          <w:sz w:val="26"/>
          <w:szCs w:val="26"/>
        </w:rPr>
        <w:tab/>
        <w:t>In an investigation proceeding involving base rates following the accident at Three Mile Island, we discussed the legislative intent of the term “used or useful”</w:t>
      </w:r>
      <w:r w:rsidR="00745EFD">
        <w:rPr>
          <w:rFonts w:ascii="Times New Roman" w:hAnsi="Times New Roman" w:cs="Times New Roman"/>
          <w:sz w:val="26"/>
          <w:szCs w:val="26"/>
        </w:rPr>
        <w:t xml:space="preserve"> under Section 1102</w:t>
      </w:r>
      <w:r>
        <w:rPr>
          <w:rFonts w:ascii="Times New Roman" w:hAnsi="Times New Roman" w:cs="Times New Roman"/>
          <w:sz w:val="26"/>
          <w:szCs w:val="26"/>
        </w:rPr>
        <w:t xml:space="preserve">(a)(3) of the Code in contrast with the term “used and useful”  for rate-making purposes.  </w:t>
      </w:r>
      <w:r w:rsidR="002531B9">
        <w:rPr>
          <w:rFonts w:ascii="Times New Roman" w:hAnsi="Times New Roman" w:cs="Times New Roman"/>
          <w:sz w:val="26"/>
          <w:szCs w:val="26"/>
        </w:rPr>
        <w:t xml:space="preserve">In </w:t>
      </w:r>
      <w:r>
        <w:rPr>
          <w:rFonts w:ascii="Times New Roman" w:hAnsi="Times New Roman" w:cs="Times New Roman"/>
          <w:i/>
          <w:sz w:val="26"/>
          <w:szCs w:val="26"/>
        </w:rPr>
        <w:t>Pa. PUC v. Metropolitan Edison Company</w:t>
      </w:r>
      <w:r>
        <w:rPr>
          <w:rFonts w:ascii="Times New Roman" w:hAnsi="Times New Roman" w:cs="Times New Roman"/>
          <w:sz w:val="26"/>
          <w:szCs w:val="26"/>
        </w:rPr>
        <w:t xml:space="preserve">, 54 Pa. P.U.C. </w:t>
      </w:r>
      <w:r w:rsidR="00792F2E">
        <w:rPr>
          <w:rFonts w:ascii="Times New Roman" w:hAnsi="Times New Roman" w:cs="Times New Roman"/>
          <w:sz w:val="26"/>
          <w:szCs w:val="26"/>
        </w:rPr>
        <w:t>276</w:t>
      </w:r>
      <w:r w:rsidR="002531B9">
        <w:rPr>
          <w:rFonts w:ascii="Times New Roman" w:hAnsi="Times New Roman" w:cs="Times New Roman"/>
          <w:sz w:val="26"/>
          <w:szCs w:val="26"/>
        </w:rPr>
        <w:t>, 284</w:t>
      </w:r>
      <w:r>
        <w:rPr>
          <w:rFonts w:ascii="Times New Roman" w:hAnsi="Times New Roman" w:cs="Times New Roman"/>
          <w:sz w:val="26"/>
          <w:szCs w:val="26"/>
        </w:rPr>
        <w:t xml:space="preserve"> (Order entered May 23, 1980)</w:t>
      </w:r>
      <w:r w:rsidR="002531B9">
        <w:rPr>
          <w:rFonts w:ascii="Times New Roman" w:hAnsi="Times New Roman" w:cs="Times New Roman"/>
          <w:sz w:val="26"/>
          <w:szCs w:val="26"/>
        </w:rPr>
        <w:t>, we stated:</w:t>
      </w:r>
      <w:r>
        <w:rPr>
          <w:rFonts w:ascii="Times New Roman" w:hAnsi="Times New Roman" w:cs="Times New Roman"/>
          <w:sz w:val="26"/>
          <w:szCs w:val="26"/>
        </w:rPr>
        <w:t xml:space="preserve">  </w:t>
      </w:r>
    </w:p>
    <w:p w:rsidR="000F48DD" w:rsidRDefault="000F48DD" w:rsidP="00FA415B">
      <w:pPr>
        <w:pStyle w:val="FootnoteText"/>
        <w:keepNext/>
        <w:keepLines/>
        <w:ind w:firstLine="720"/>
        <w:rPr>
          <w:rFonts w:ascii="Times New Roman" w:hAnsi="Times New Roman" w:cs="Times New Roman"/>
          <w:sz w:val="26"/>
          <w:szCs w:val="26"/>
        </w:rPr>
      </w:pPr>
    </w:p>
    <w:p w:rsidR="00FA415B" w:rsidRPr="00FA415B" w:rsidRDefault="000F48DD" w:rsidP="000B30E4">
      <w:pPr>
        <w:pStyle w:val="FootnoteText"/>
        <w:keepNext/>
        <w:keepLines/>
        <w:ind w:left="1440" w:right="1440" w:hanging="720"/>
        <w:rPr>
          <w:rFonts w:ascii="Times New Roman" w:hAnsi="Times New Roman" w:cs="Times New Roman"/>
          <w:sz w:val="26"/>
          <w:szCs w:val="26"/>
        </w:rPr>
      </w:pPr>
      <w:r>
        <w:rPr>
          <w:rFonts w:ascii="Times New Roman" w:hAnsi="Times New Roman" w:cs="Times New Roman"/>
          <w:sz w:val="26"/>
          <w:szCs w:val="26"/>
        </w:rPr>
        <w:tab/>
        <w:t>In our opinion, the legislature anticipat</w:t>
      </w:r>
      <w:r w:rsidR="00FA415B">
        <w:rPr>
          <w:rFonts w:ascii="Times New Roman" w:hAnsi="Times New Roman" w:cs="Times New Roman"/>
          <w:sz w:val="26"/>
          <w:szCs w:val="26"/>
        </w:rPr>
        <w:t xml:space="preserve">ed and intended the difference </w:t>
      </w:r>
      <w:r>
        <w:rPr>
          <w:rFonts w:ascii="Times New Roman" w:hAnsi="Times New Roman" w:cs="Times New Roman"/>
          <w:sz w:val="26"/>
          <w:szCs w:val="26"/>
        </w:rPr>
        <w:t xml:space="preserve">in these phrases.  “Used or useful” has a broader, more inclusive connotation and is employed to </w:t>
      </w:r>
      <w:r w:rsidR="00FA415B">
        <w:rPr>
          <w:rFonts w:ascii="Times New Roman" w:hAnsi="Times New Roman" w:cs="Times New Roman"/>
          <w:sz w:val="26"/>
          <w:szCs w:val="26"/>
        </w:rPr>
        <w:t>define the types of property which are subject to the reporting, accounting, and certification requirements.  See 66 Pa. C.S. §§ 1102(a)(3), 1702, and 1703(a).  Whereas, “used and useful” has a narrower, less inclusive connotation and is employed to define and describe the types of property which are includable in the utility’s rate base for purpose of fixing rates.  See 66 Pa. C.S. §§ 1102(a)(3)(iii), 1307(a), 1310(a), 1310(d), and 1311. … The point here is that the scope of the reporting, accounting, and certification provisions, with respect to utility property, is broader and more inclusive than the class or classes of property which are excludable in the utility’s rate base.</w:t>
      </w:r>
    </w:p>
  </w:footnote>
  <w:footnote w:id="8">
    <w:p w:rsidR="005E51FD" w:rsidRDefault="009D7473" w:rsidP="009D7473">
      <w:pPr>
        <w:pStyle w:val="FootnoteText"/>
        <w:ind w:firstLine="720"/>
        <w:rPr>
          <w:rFonts w:ascii="Times New Roman" w:hAnsi="Times New Roman" w:cs="Times New Roman"/>
          <w:sz w:val="26"/>
          <w:szCs w:val="26"/>
        </w:rPr>
      </w:pPr>
      <w:r w:rsidRPr="009D7473">
        <w:rPr>
          <w:rStyle w:val="FootnoteReference"/>
          <w:rFonts w:ascii="Times New Roman" w:hAnsi="Times New Roman" w:cs="Times New Roman"/>
          <w:sz w:val="26"/>
          <w:szCs w:val="26"/>
        </w:rPr>
        <w:footnoteRef/>
      </w:r>
      <w:r w:rsidRPr="009D7473">
        <w:rPr>
          <w:rFonts w:ascii="Times New Roman" w:hAnsi="Times New Roman" w:cs="Times New Roman"/>
          <w:sz w:val="26"/>
          <w:szCs w:val="26"/>
        </w:rPr>
        <w:t xml:space="preserve"> </w:t>
      </w:r>
      <w:r>
        <w:rPr>
          <w:rFonts w:ascii="Times New Roman" w:hAnsi="Times New Roman" w:cs="Times New Roman"/>
          <w:sz w:val="26"/>
          <w:szCs w:val="26"/>
        </w:rPr>
        <w:tab/>
      </w:r>
      <w:r w:rsidR="0077108D">
        <w:rPr>
          <w:rFonts w:ascii="Times New Roman" w:hAnsi="Times New Roman" w:cs="Times New Roman"/>
          <w:i/>
          <w:sz w:val="26"/>
          <w:szCs w:val="26"/>
        </w:rPr>
        <w:t>See</w:t>
      </w:r>
      <w:r w:rsidR="00A04182">
        <w:rPr>
          <w:rFonts w:ascii="Times New Roman" w:hAnsi="Times New Roman" w:cs="Times New Roman"/>
          <w:i/>
          <w:sz w:val="26"/>
          <w:szCs w:val="26"/>
        </w:rPr>
        <w:t>,</w:t>
      </w:r>
      <w:r w:rsidR="0077108D">
        <w:rPr>
          <w:rFonts w:ascii="Times New Roman" w:hAnsi="Times New Roman" w:cs="Times New Roman"/>
          <w:i/>
          <w:sz w:val="26"/>
          <w:szCs w:val="26"/>
        </w:rPr>
        <w:t xml:space="preserve"> </w:t>
      </w:r>
      <w:r>
        <w:rPr>
          <w:rFonts w:ascii="Times New Roman" w:hAnsi="Times New Roman" w:cs="Times New Roman"/>
          <w:i/>
          <w:sz w:val="26"/>
          <w:szCs w:val="26"/>
        </w:rPr>
        <w:t>Flora Mosaka-Wright v. Duquesne Light Company</w:t>
      </w:r>
      <w:r>
        <w:rPr>
          <w:rFonts w:ascii="Times New Roman" w:hAnsi="Times New Roman" w:cs="Times New Roman"/>
          <w:sz w:val="26"/>
          <w:szCs w:val="26"/>
        </w:rPr>
        <w:t xml:space="preserve">, Docket No. </w:t>
      </w:r>
    </w:p>
    <w:p w:rsidR="005E51FD" w:rsidRDefault="009D7473" w:rsidP="005E51FD">
      <w:pPr>
        <w:pStyle w:val="FootnoteText"/>
        <w:rPr>
          <w:rFonts w:ascii="Times New Roman" w:hAnsi="Times New Roman" w:cs="Times New Roman"/>
          <w:sz w:val="26"/>
          <w:szCs w:val="26"/>
        </w:rPr>
      </w:pPr>
      <w:r>
        <w:rPr>
          <w:rFonts w:ascii="Times New Roman" w:hAnsi="Times New Roman" w:cs="Times New Roman"/>
          <w:sz w:val="26"/>
          <w:szCs w:val="26"/>
        </w:rPr>
        <w:t xml:space="preserve">F-2013-2371635 (Final Order entered April 9, 2014); </w:t>
      </w:r>
      <w:r>
        <w:rPr>
          <w:rFonts w:ascii="Times New Roman" w:hAnsi="Times New Roman" w:cs="Times New Roman"/>
          <w:i/>
          <w:sz w:val="26"/>
          <w:szCs w:val="26"/>
        </w:rPr>
        <w:t>Gary Linder v. Duquesne Light Company</w:t>
      </w:r>
      <w:r>
        <w:rPr>
          <w:rFonts w:ascii="Times New Roman" w:hAnsi="Times New Roman" w:cs="Times New Roman"/>
          <w:sz w:val="26"/>
          <w:szCs w:val="26"/>
        </w:rPr>
        <w:t xml:space="preserve">, Docket No. C-2012-2337274 (Order entered February 20, 2014); </w:t>
      </w:r>
      <w:r>
        <w:rPr>
          <w:rFonts w:ascii="Times New Roman" w:hAnsi="Times New Roman" w:cs="Times New Roman"/>
          <w:i/>
          <w:sz w:val="26"/>
          <w:szCs w:val="26"/>
        </w:rPr>
        <w:t>Rebecca Coger v. Duquesne Light Company</w:t>
      </w:r>
      <w:r>
        <w:rPr>
          <w:rFonts w:ascii="Times New Roman" w:hAnsi="Times New Roman" w:cs="Times New Roman"/>
          <w:sz w:val="26"/>
          <w:szCs w:val="26"/>
        </w:rPr>
        <w:t xml:space="preserve">, Docket No. C-2013-2346953 (Final Order entered January 8, 2014); </w:t>
      </w:r>
      <w:r>
        <w:rPr>
          <w:rFonts w:ascii="Times New Roman" w:hAnsi="Times New Roman" w:cs="Times New Roman"/>
          <w:i/>
          <w:sz w:val="26"/>
          <w:szCs w:val="26"/>
        </w:rPr>
        <w:t>Gary D. Linder v. Duquesne Light Company</w:t>
      </w:r>
      <w:r>
        <w:rPr>
          <w:rFonts w:ascii="Times New Roman" w:hAnsi="Times New Roman" w:cs="Times New Roman"/>
          <w:sz w:val="26"/>
          <w:szCs w:val="26"/>
        </w:rPr>
        <w:t xml:space="preserve">, Docket No. </w:t>
      </w:r>
    </w:p>
    <w:p w:rsidR="009D7473" w:rsidRPr="0077108D" w:rsidRDefault="009D7473" w:rsidP="005E51FD">
      <w:pPr>
        <w:pStyle w:val="FootnoteText"/>
        <w:rPr>
          <w:rFonts w:ascii="Times New Roman" w:hAnsi="Times New Roman" w:cs="Times New Roman"/>
          <w:sz w:val="26"/>
          <w:szCs w:val="26"/>
        </w:rPr>
      </w:pPr>
      <w:r>
        <w:rPr>
          <w:rFonts w:ascii="Times New Roman" w:hAnsi="Times New Roman" w:cs="Times New Roman"/>
          <w:sz w:val="26"/>
          <w:szCs w:val="26"/>
        </w:rPr>
        <w:t xml:space="preserve">C-2011-2237595 (Final Order entered March 16, 2012); </w:t>
      </w:r>
      <w:r w:rsidR="0077108D">
        <w:rPr>
          <w:rFonts w:ascii="Times New Roman" w:hAnsi="Times New Roman" w:cs="Times New Roman"/>
          <w:i/>
          <w:sz w:val="26"/>
          <w:szCs w:val="26"/>
        </w:rPr>
        <w:t>Frank D. Jergons v. Duquesne Light Company</w:t>
      </w:r>
      <w:r w:rsidR="0077108D">
        <w:rPr>
          <w:rFonts w:ascii="Times New Roman" w:hAnsi="Times New Roman" w:cs="Times New Roman"/>
          <w:sz w:val="26"/>
          <w:szCs w:val="26"/>
        </w:rPr>
        <w:t xml:space="preserve">, Docket No. F-2010-2170457 (Final Order entered June 30, 2011); and </w:t>
      </w:r>
      <w:r w:rsidR="0077108D">
        <w:rPr>
          <w:rFonts w:ascii="Times New Roman" w:hAnsi="Times New Roman" w:cs="Times New Roman"/>
          <w:i/>
          <w:sz w:val="26"/>
          <w:szCs w:val="26"/>
        </w:rPr>
        <w:t>Barbara R. Lolly v. Duquesne Light Company</w:t>
      </w:r>
      <w:r w:rsidR="0077108D">
        <w:rPr>
          <w:rFonts w:ascii="Times New Roman" w:hAnsi="Times New Roman" w:cs="Times New Roman"/>
          <w:sz w:val="26"/>
          <w:szCs w:val="26"/>
        </w:rPr>
        <w:t xml:space="preserve">, Docket No. C-2010-2167824 (Order entered May 9, 2011).  </w:t>
      </w:r>
    </w:p>
  </w:footnote>
  <w:footnote w:id="9">
    <w:p w:rsidR="00A01D63" w:rsidRPr="00A01D63" w:rsidRDefault="00A01D63" w:rsidP="00A01D63">
      <w:pPr>
        <w:pStyle w:val="FootnoteText"/>
        <w:ind w:firstLine="720"/>
        <w:rPr>
          <w:rFonts w:ascii="Times New Roman" w:hAnsi="Times New Roman" w:cs="Times New Roman"/>
          <w:sz w:val="26"/>
          <w:szCs w:val="26"/>
        </w:rPr>
      </w:pPr>
      <w:r w:rsidRPr="00A01D63">
        <w:rPr>
          <w:rStyle w:val="FootnoteReference"/>
          <w:rFonts w:ascii="Times New Roman" w:hAnsi="Times New Roman" w:cs="Times New Roman"/>
          <w:sz w:val="26"/>
          <w:szCs w:val="26"/>
        </w:rPr>
        <w:footnoteRef/>
      </w:r>
      <w:r w:rsidRPr="00A01D63">
        <w:rPr>
          <w:rFonts w:ascii="Times New Roman" w:hAnsi="Times New Roman" w:cs="Times New Roman"/>
          <w:sz w:val="26"/>
          <w:szCs w:val="26"/>
        </w:rPr>
        <w:t xml:space="preserve"> </w:t>
      </w:r>
      <w:r>
        <w:rPr>
          <w:rFonts w:ascii="Times New Roman" w:hAnsi="Times New Roman" w:cs="Times New Roman"/>
          <w:sz w:val="26"/>
          <w:szCs w:val="26"/>
        </w:rPr>
        <w:tab/>
        <w:t xml:space="preserve">We are not aware of any </w:t>
      </w:r>
      <w:r w:rsidR="00484011">
        <w:rPr>
          <w:rFonts w:ascii="Times New Roman" w:hAnsi="Times New Roman" w:cs="Times New Roman"/>
          <w:sz w:val="26"/>
          <w:szCs w:val="26"/>
        </w:rPr>
        <w:t xml:space="preserve">recent </w:t>
      </w:r>
      <w:r>
        <w:rPr>
          <w:rFonts w:ascii="Times New Roman" w:hAnsi="Times New Roman" w:cs="Times New Roman"/>
          <w:sz w:val="26"/>
          <w:szCs w:val="26"/>
        </w:rPr>
        <w:t xml:space="preserve">Commission decisions pertaining to allegations similar to this proceeding.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DF"/>
    <w:rsid w:val="000016D1"/>
    <w:rsid w:val="00027FBB"/>
    <w:rsid w:val="000B30E4"/>
    <w:rsid w:val="000B50B0"/>
    <w:rsid w:val="000D2C32"/>
    <w:rsid w:val="000F48DD"/>
    <w:rsid w:val="00121B18"/>
    <w:rsid w:val="00156464"/>
    <w:rsid w:val="00165BAB"/>
    <w:rsid w:val="001722D8"/>
    <w:rsid w:val="00183021"/>
    <w:rsid w:val="00195047"/>
    <w:rsid w:val="001F1CDF"/>
    <w:rsid w:val="00213F97"/>
    <w:rsid w:val="002531B9"/>
    <w:rsid w:val="0025563C"/>
    <w:rsid w:val="002579C0"/>
    <w:rsid w:val="00293A1F"/>
    <w:rsid w:val="002A38BE"/>
    <w:rsid w:val="002B00F6"/>
    <w:rsid w:val="00347B4A"/>
    <w:rsid w:val="003B7750"/>
    <w:rsid w:val="003E1138"/>
    <w:rsid w:val="00407817"/>
    <w:rsid w:val="004330D8"/>
    <w:rsid w:val="00436FFD"/>
    <w:rsid w:val="004500FE"/>
    <w:rsid w:val="00460CE6"/>
    <w:rsid w:val="0047035C"/>
    <w:rsid w:val="00484011"/>
    <w:rsid w:val="004B3598"/>
    <w:rsid w:val="005203C5"/>
    <w:rsid w:val="00581DC0"/>
    <w:rsid w:val="00584A69"/>
    <w:rsid w:val="005A31E2"/>
    <w:rsid w:val="005E51FD"/>
    <w:rsid w:val="005F0B3A"/>
    <w:rsid w:val="0062488C"/>
    <w:rsid w:val="00636080"/>
    <w:rsid w:val="00651214"/>
    <w:rsid w:val="0067234D"/>
    <w:rsid w:val="00690FF5"/>
    <w:rsid w:val="006B6835"/>
    <w:rsid w:val="006E7A65"/>
    <w:rsid w:val="006F642E"/>
    <w:rsid w:val="00734C0A"/>
    <w:rsid w:val="00745EFD"/>
    <w:rsid w:val="00746756"/>
    <w:rsid w:val="007506ED"/>
    <w:rsid w:val="00757599"/>
    <w:rsid w:val="0077108D"/>
    <w:rsid w:val="00792F2E"/>
    <w:rsid w:val="0079512F"/>
    <w:rsid w:val="007A2514"/>
    <w:rsid w:val="007B0368"/>
    <w:rsid w:val="007B4923"/>
    <w:rsid w:val="007E4812"/>
    <w:rsid w:val="007F297D"/>
    <w:rsid w:val="0081146E"/>
    <w:rsid w:val="00831015"/>
    <w:rsid w:val="00851ED9"/>
    <w:rsid w:val="008613AB"/>
    <w:rsid w:val="00897CD6"/>
    <w:rsid w:val="008A145A"/>
    <w:rsid w:val="008C2AE6"/>
    <w:rsid w:val="008C2B2E"/>
    <w:rsid w:val="008D4BA3"/>
    <w:rsid w:val="008E6D59"/>
    <w:rsid w:val="008F5BED"/>
    <w:rsid w:val="00930C90"/>
    <w:rsid w:val="00931476"/>
    <w:rsid w:val="00931E75"/>
    <w:rsid w:val="00967690"/>
    <w:rsid w:val="009768A4"/>
    <w:rsid w:val="009A0E6D"/>
    <w:rsid w:val="009B11DD"/>
    <w:rsid w:val="009D7473"/>
    <w:rsid w:val="009D7D4B"/>
    <w:rsid w:val="00A01D63"/>
    <w:rsid w:val="00A04182"/>
    <w:rsid w:val="00A24E42"/>
    <w:rsid w:val="00A42285"/>
    <w:rsid w:val="00A72628"/>
    <w:rsid w:val="00A8231D"/>
    <w:rsid w:val="00B300C6"/>
    <w:rsid w:val="00B33E19"/>
    <w:rsid w:val="00BD66E3"/>
    <w:rsid w:val="00BE3599"/>
    <w:rsid w:val="00BE47DD"/>
    <w:rsid w:val="00C4318B"/>
    <w:rsid w:val="00C446C5"/>
    <w:rsid w:val="00C748BE"/>
    <w:rsid w:val="00CA6089"/>
    <w:rsid w:val="00CA6587"/>
    <w:rsid w:val="00CB73C5"/>
    <w:rsid w:val="00CC53A6"/>
    <w:rsid w:val="00CD7872"/>
    <w:rsid w:val="00CF0612"/>
    <w:rsid w:val="00D23B0C"/>
    <w:rsid w:val="00D2606C"/>
    <w:rsid w:val="00D63326"/>
    <w:rsid w:val="00D82566"/>
    <w:rsid w:val="00DA1F18"/>
    <w:rsid w:val="00DD34E3"/>
    <w:rsid w:val="00DF57AD"/>
    <w:rsid w:val="00E37CC0"/>
    <w:rsid w:val="00E543F5"/>
    <w:rsid w:val="00E8366C"/>
    <w:rsid w:val="00EA70CA"/>
    <w:rsid w:val="00F0132B"/>
    <w:rsid w:val="00F2289A"/>
    <w:rsid w:val="00F71099"/>
    <w:rsid w:val="00F8783A"/>
    <w:rsid w:val="00FA415B"/>
    <w:rsid w:val="00FA5B55"/>
    <w:rsid w:val="00FC581E"/>
    <w:rsid w:val="00FF0534"/>
    <w:rsid w:val="00FF19A8"/>
    <w:rsid w:val="00FF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1C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CDF"/>
    <w:rPr>
      <w:sz w:val="20"/>
      <w:szCs w:val="20"/>
    </w:rPr>
  </w:style>
  <w:style w:type="character" w:styleId="FootnoteReference">
    <w:name w:val="footnote reference"/>
    <w:aliases w:val="o,fr"/>
    <w:rsid w:val="001F1CDF"/>
    <w:rPr>
      <w:vertAlign w:val="superscript"/>
    </w:rPr>
  </w:style>
  <w:style w:type="paragraph" w:styleId="Header">
    <w:name w:val="header"/>
    <w:basedOn w:val="Normal"/>
    <w:link w:val="HeaderChar"/>
    <w:uiPriority w:val="99"/>
    <w:unhideWhenUsed/>
    <w:rsid w:val="00DF5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7AD"/>
  </w:style>
  <w:style w:type="paragraph" w:styleId="Footer">
    <w:name w:val="footer"/>
    <w:basedOn w:val="Normal"/>
    <w:link w:val="FooterChar"/>
    <w:uiPriority w:val="99"/>
    <w:unhideWhenUsed/>
    <w:rsid w:val="00DF5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7AD"/>
  </w:style>
  <w:style w:type="paragraph" w:styleId="BalloonText">
    <w:name w:val="Balloon Text"/>
    <w:basedOn w:val="Normal"/>
    <w:link w:val="BalloonTextChar"/>
    <w:uiPriority w:val="99"/>
    <w:semiHidden/>
    <w:unhideWhenUsed/>
    <w:rsid w:val="000D2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C32"/>
    <w:rPr>
      <w:rFonts w:ascii="Tahoma" w:hAnsi="Tahoma" w:cs="Tahoma"/>
      <w:sz w:val="16"/>
      <w:szCs w:val="16"/>
    </w:rPr>
  </w:style>
  <w:style w:type="character" w:styleId="CommentReference">
    <w:name w:val="annotation reference"/>
    <w:basedOn w:val="DefaultParagraphFont"/>
    <w:uiPriority w:val="99"/>
    <w:semiHidden/>
    <w:unhideWhenUsed/>
    <w:rsid w:val="004330D8"/>
    <w:rPr>
      <w:sz w:val="16"/>
      <w:szCs w:val="16"/>
    </w:rPr>
  </w:style>
  <w:style w:type="paragraph" w:styleId="CommentText">
    <w:name w:val="annotation text"/>
    <w:basedOn w:val="Normal"/>
    <w:link w:val="CommentTextChar"/>
    <w:uiPriority w:val="99"/>
    <w:semiHidden/>
    <w:unhideWhenUsed/>
    <w:rsid w:val="004330D8"/>
    <w:pPr>
      <w:spacing w:line="240" w:lineRule="auto"/>
    </w:pPr>
    <w:rPr>
      <w:sz w:val="20"/>
      <w:szCs w:val="20"/>
    </w:rPr>
  </w:style>
  <w:style w:type="character" w:customStyle="1" w:styleId="CommentTextChar">
    <w:name w:val="Comment Text Char"/>
    <w:basedOn w:val="DefaultParagraphFont"/>
    <w:link w:val="CommentText"/>
    <w:uiPriority w:val="99"/>
    <w:semiHidden/>
    <w:rsid w:val="004330D8"/>
    <w:rPr>
      <w:sz w:val="20"/>
      <w:szCs w:val="20"/>
    </w:rPr>
  </w:style>
  <w:style w:type="paragraph" w:styleId="CommentSubject">
    <w:name w:val="annotation subject"/>
    <w:basedOn w:val="CommentText"/>
    <w:next w:val="CommentText"/>
    <w:link w:val="CommentSubjectChar"/>
    <w:uiPriority w:val="99"/>
    <w:semiHidden/>
    <w:unhideWhenUsed/>
    <w:rsid w:val="004330D8"/>
    <w:rPr>
      <w:b/>
      <w:bCs/>
    </w:rPr>
  </w:style>
  <w:style w:type="character" w:customStyle="1" w:styleId="CommentSubjectChar">
    <w:name w:val="Comment Subject Char"/>
    <w:basedOn w:val="CommentTextChar"/>
    <w:link w:val="CommentSubject"/>
    <w:uiPriority w:val="99"/>
    <w:semiHidden/>
    <w:rsid w:val="004330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1C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CDF"/>
    <w:rPr>
      <w:sz w:val="20"/>
      <w:szCs w:val="20"/>
    </w:rPr>
  </w:style>
  <w:style w:type="character" w:styleId="FootnoteReference">
    <w:name w:val="footnote reference"/>
    <w:aliases w:val="o,fr"/>
    <w:rsid w:val="001F1CDF"/>
    <w:rPr>
      <w:vertAlign w:val="superscript"/>
    </w:rPr>
  </w:style>
  <w:style w:type="paragraph" w:styleId="Header">
    <w:name w:val="header"/>
    <w:basedOn w:val="Normal"/>
    <w:link w:val="HeaderChar"/>
    <w:uiPriority w:val="99"/>
    <w:unhideWhenUsed/>
    <w:rsid w:val="00DF5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7AD"/>
  </w:style>
  <w:style w:type="paragraph" w:styleId="Footer">
    <w:name w:val="footer"/>
    <w:basedOn w:val="Normal"/>
    <w:link w:val="FooterChar"/>
    <w:uiPriority w:val="99"/>
    <w:unhideWhenUsed/>
    <w:rsid w:val="00DF5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7AD"/>
  </w:style>
  <w:style w:type="paragraph" w:styleId="BalloonText">
    <w:name w:val="Balloon Text"/>
    <w:basedOn w:val="Normal"/>
    <w:link w:val="BalloonTextChar"/>
    <w:uiPriority w:val="99"/>
    <w:semiHidden/>
    <w:unhideWhenUsed/>
    <w:rsid w:val="000D2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C32"/>
    <w:rPr>
      <w:rFonts w:ascii="Tahoma" w:hAnsi="Tahoma" w:cs="Tahoma"/>
      <w:sz w:val="16"/>
      <w:szCs w:val="16"/>
    </w:rPr>
  </w:style>
  <w:style w:type="character" w:styleId="CommentReference">
    <w:name w:val="annotation reference"/>
    <w:basedOn w:val="DefaultParagraphFont"/>
    <w:uiPriority w:val="99"/>
    <w:semiHidden/>
    <w:unhideWhenUsed/>
    <w:rsid w:val="004330D8"/>
    <w:rPr>
      <w:sz w:val="16"/>
      <w:szCs w:val="16"/>
    </w:rPr>
  </w:style>
  <w:style w:type="paragraph" w:styleId="CommentText">
    <w:name w:val="annotation text"/>
    <w:basedOn w:val="Normal"/>
    <w:link w:val="CommentTextChar"/>
    <w:uiPriority w:val="99"/>
    <w:semiHidden/>
    <w:unhideWhenUsed/>
    <w:rsid w:val="004330D8"/>
    <w:pPr>
      <w:spacing w:line="240" w:lineRule="auto"/>
    </w:pPr>
    <w:rPr>
      <w:sz w:val="20"/>
      <w:szCs w:val="20"/>
    </w:rPr>
  </w:style>
  <w:style w:type="character" w:customStyle="1" w:styleId="CommentTextChar">
    <w:name w:val="Comment Text Char"/>
    <w:basedOn w:val="DefaultParagraphFont"/>
    <w:link w:val="CommentText"/>
    <w:uiPriority w:val="99"/>
    <w:semiHidden/>
    <w:rsid w:val="004330D8"/>
    <w:rPr>
      <w:sz w:val="20"/>
      <w:szCs w:val="20"/>
    </w:rPr>
  </w:style>
  <w:style w:type="paragraph" w:styleId="CommentSubject">
    <w:name w:val="annotation subject"/>
    <w:basedOn w:val="CommentText"/>
    <w:next w:val="CommentText"/>
    <w:link w:val="CommentSubjectChar"/>
    <w:uiPriority w:val="99"/>
    <w:semiHidden/>
    <w:unhideWhenUsed/>
    <w:rsid w:val="004330D8"/>
    <w:rPr>
      <w:b/>
      <w:bCs/>
    </w:rPr>
  </w:style>
  <w:style w:type="character" w:customStyle="1" w:styleId="CommentSubjectChar">
    <w:name w:val="Comment Subject Char"/>
    <w:basedOn w:val="CommentTextChar"/>
    <w:link w:val="CommentSubject"/>
    <w:uiPriority w:val="99"/>
    <w:semiHidden/>
    <w:rsid w:val="004330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741FF-9223-4366-AEEC-A5E533EF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Capper, Thomas</dc:creator>
  <cp:lastModifiedBy>Farner, Joyce</cp:lastModifiedBy>
  <cp:revision>4</cp:revision>
  <cp:lastPrinted>2014-10-02T11:58:00Z</cp:lastPrinted>
  <dcterms:created xsi:type="dcterms:W3CDTF">2014-09-22T17:49:00Z</dcterms:created>
  <dcterms:modified xsi:type="dcterms:W3CDTF">2014-10-02T11:59:00Z</dcterms:modified>
</cp:coreProperties>
</file>