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8B455C" w:rsidRDefault="008E4FD6" w:rsidP="008E4FD6">
      <w:pPr>
        <w:jc w:val="center"/>
        <w:rPr>
          <w:b/>
        </w:rPr>
      </w:pPr>
      <w:bookmarkStart w:id="0" w:name="_GoBack"/>
      <w:bookmarkEnd w:id="0"/>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Pr="008B455C" w:rsidRDefault="008E4FD6" w:rsidP="008E4FD6">
      <w:pPr>
        <w:jc w:val="center"/>
        <w:rPr>
          <w:b/>
        </w:rPr>
      </w:pPr>
    </w:p>
    <w:p w:rsidR="008E4FD6" w:rsidRPr="008B455C" w:rsidRDefault="008E4FD6" w:rsidP="008E4FD6">
      <w:pPr>
        <w:jc w:val="center"/>
        <w:rPr>
          <w:b/>
        </w:rPr>
      </w:pPr>
    </w:p>
    <w:p w:rsidR="00F9732A" w:rsidRPr="008B455C" w:rsidRDefault="00E54219" w:rsidP="00F9732A">
      <w:r>
        <w:t xml:space="preserve">Joyce </w:t>
      </w:r>
      <w:proofErr w:type="spellStart"/>
      <w:r>
        <w:t>Mies</w:t>
      </w:r>
      <w:proofErr w:type="spellEnd"/>
      <w:r>
        <w:tab/>
      </w:r>
      <w:r w:rsidR="00CD7291">
        <w:tab/>
      </w:r>
      <w:r w:rsidR="00BC7989">
        <w:tab/>
      </w:r>
      <w:r w:rsidR="00F9732A" w:rsidRPr="008B455C">
        <w:tab/>
      </w:r>
      <w:r w:rsidR="00EF7BB1" w:rsidRPr="008B455C">
        <w:tab/>
      </w:r>
      <w:r w:rsidR="00F9732A" w:rsidRPr="008B455C">
        <w:tab/>
        <w:t>:</w:t>
      </w:r>
      <w:r w:rsidR="00F9732A" w:rsidRPr="008B455C">
        <w:tab/>
      </w:r>
    </w:p>
    <w:p w:rsidR="00F9732A" w:rsidRPr="008B455C" w:rsidRDefault="00F9732A" w:rsidP="00F9732A">
      <w:r w:rsidRPr="008B455C">
        <w:tab/>
      </w:r>
      <w:r w:rsidRPr="008B455C">
        <w:tab/>
      </w:r>
      <w:r w:rsidRPr="008B455C">
        <w:tab/>
      </w:r>
      <w:r w:rsidRPr="008B455C">
        <w:tab/>
      </w:r>
      <w:r w:rsidRPr="008B455C">
        <w:tab/>
      </w:r>
      <w:r w:rsidRPr="008B455C">
        <w:tab/>
      </w:r>
      <w:r w:rsidRPr="008B455C">
        <w:tab/>
        <w:t>:</w:t>
      </w:r>
    </w:p>
    <w:p w:rsidR="00F9732A" w:rsidRPr="008B455C" w:rsidRDefault="00F9732A" w:rsidP="00F6612B">
      <w:pPr>
        <w:numPr>
          <w:ilvl w:val="0"/>
          <w:numId w:val="5"/>
        </w:numPr>
        <w:ind w:hanging="4320"/>
      </w:pPr>
      <w:r w:rsidRPr="008B455C">
        <w:t>:</w:t>
      </w:r>
      <w:r w:rsidRPr="008B455C">
        <w:tab/>
      </w:r>
      <w:r w:rsidR="00F6612B" w:rsidRPr="008B455C">
        <w:tab/>
      </w:r>
      <w:r w:rsidR="00B50BB3">
        <w:t>C-</w:t>
      </w:r>
      <w:r w:rsidR="000D6CFC">
        <w:t>2014-241</w:t>
      </w:r>
      <w:r w:rsidR="00E54219">
        <w:t>7790</w:t>
      </w:r>
    </w:p>
    <w:p w:rsidR="00F9732A" w:rsidRPr="008B455C" w:rsidRDefault="00F9732A" w:rsidP="00F9732A">
      <w:pPr>
        <w:ind w:left="5040"/>
      </w:pPr>
      <w:r w:rsidRPr="008B455C">
        <w:t>:</w:t>
      </w:r>
    </w:p>
    <w:p w:rsidR="00F9732A" w:rsidRPr="008B455C" w:rsidRDefault="00E54219" w:rsidP="00F9732A">
      <w:r>
        <w:t>Duquesne Light</w:t>
      </w:r>
      <w:r w:rsidR="00F9732A" w:rsidRPr="008B455C">
        <w:t xml:space="preserve"> Company</w:t>
      </w:r>
      <w:r w:rsidR="00F9732A" w:rsidRPr="008B455C">
        <w:tab/>
      </w:r>
      <w:r w:rsidR="00F9732A" w:rsidRPr="008B455C">
        <w:tab/>
        <w:t xml:space="preserve"> </w:t>
      </w:r>
      <w:r w:rsidR="00F9732A" w:rsidRPr="008B455C">
        <w:tab/>
      </w:r>
      <w:r w:rsidR="00F9732A" w:rsidRPr="008B455C">
        <w:tab/>
        <w:t>:</w:t>
      </w:r>
    </w:p>
    <w:p w:rsidR="00F9732A" w:rsidRPr="008B455C" w:rsidRDefault="00F9732A" w:rsidP="00F9732A">
      <w:r w:rsidRPr="008B455C">
        <w:tab/>
      </w:r>
      <w:r w:rsidRPr="008B455C">
        <w:tab/>
      </w:r>
      <w:r w:rsidRPr="008B455C">
        <w:tab/>
      </w:r>
      <w:r w:rsidRPr="008B455C">
        <w:tab/>
      </w:r>
      <w:r w:rsidRPr="008B455C">
        <w:tab/>
      </w:r>
      <w:r w:rsidRPr="008B455C">
        <w:tab/>
      </w:r>
      <w:r w:rsidRPr="008B455C">
        <w:tab/>
      </w:r>
    </w:p>
    <w:p w:rsidR="008E4FD6" w:rsidRPr="008B455C" w:rsidRDefault="008E4FD6" w:rsidP="008E4FD6">
      <w:pPr>
        <w:tabs>
          <w:tab w:val="left" w:pos="1076"/>
        </w:tabs>
      </w:pPr>
    </w:p>
    <w:p w:rsidR="008E4FD6" w:rsidRPr="008B455C" w:rsidRDefault="008E4FD6" w:rsidP="008E4FD6">
      <w:pPr>
        <w:tabs>
          <w:tab w:val="left" w:pos="1076"/>
        </w:tabs>
      </w:pPr>
    </w:p>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Default="008E4FD6" w:rsidP="00126B45">
      <w:pPr>
        <w:spacing w:line="360" w:lineRule="auto"/>
        <w:jc w:val="center"/>
      </w:pPr>
    </w:p>
    <w:p w:rsidR="003F3FA0" w:rsidRPr="008B455C" w:rsidRDefault="003F3FA0" w:rsidP="00126B45">
      <w:pPr>
        <w:spacing w:line="360" w:lineRule="auto"/>
        <w:jc w:val="center"/>
      </w:pPr>
    </w:p>
    <w:p w:rsidR="00126B45" w:rsidRPr="000B0551" w:rsidRDefault="00126B45" w:rsidP="00126B45">
      <w:pPr>
        <w:spacing w:line="360" w:lineRule="auto"/>
        <w:jc w:val="center"/>
        <w:rPr>
          <w:u w:val="single"/>
        </w:rPr>
      </w:pPr>
      <w:r w:rsidRPr="000B0551">
        <w:rPr>
          <w:u w:val="single"/>
        </w:rPr>
        <w:t>INTRODUCTION</w:t>
      </w:r>
    </w:p>
    <w:p w:rsidR="00126B45" w:rsidRDefault="00126B45" w:rsidP="00126B45">
      <w:pPr>
        <w:spacing w:line="360" w:lineRule="auto"/>
      </w:pPr>
    </w:p>
    <w:p w:rsidR="00126B45" w:rsidRDefault="00126B45" w:rsidP="00126B45">
      <w:pPr>
        <w:spacing w:line="360" w:lineRule="auto"/>
      </w:pPr>
      <w:r>
        <w:tab/>
      </w:r>
      <w:r>
        <w:tab/>
        <w:t xml:space="preserve">This decision denies the complaint </w:t>
      </w:r>
      <w:r w:rsidR="00DA1ED0">
        <w:t xml:space="preserve">and denies Complainant’s </w:t>
      </w:r>
      <w:r>
        <w:t xml:space="preserve">request for </w:t>
      </w:r>
      <w:r w:rsidR="003937E3">
        <w:t xml:space="preserve">damages.  </w:t>
      </w:r>
    </w:p>
    <w:p w:rsidR="00126B45" w:rsidRDefault="00126B45" w:rsidP="00126B45">
      <w:pPr>
        <w:spacing w:line="360" w:lineRule="auto"/>
      </w:pPr>
    </w:p>
    <w:p w:rsidR="00126B45" w:rsidRPr="00FB448C" w:rsidRDefault="00126B45" w:rsidP="00126B45">
      <w:pPr>
        <w:pStyle w:val="Heading1"/>
        <w:spacing w:line="360" w:lineRule="auto"/>
        <w:rPr>
          <w:sz w:val="24"/>
          <w:szCs w:val="24"/>
          <w:u w:val="none"/>
        </w:rPr>
      </w:pPr>
      <w:r w:rsidRPr="00FB448C">
        <w:rPr>
          <w:sz w:val="24"/>
          <w:szCs w:val="24"/>
        </w:rPr>
        <w:t>HISTORY OF THE PROCEEDING</w:t>
      </w:r>
    </w:p>
    <w:p w:rsidR="00126B45" w:rsidRPr="00B73D10" w:rsidRDefault="00126B45" w:rsidP="00126B45">
      <w:pPr>
        <w:spacing w:line="360" w:lineRule="auto"/>
        <w:ind w:firstLine="1440"/>
      </w:pPr>
    </w:p>
    <w:p w:rsidR="00126B45" w:rsidRPr="00B73D10" w:rsidRDefault="00126B45" w:rsidP="00126B45">
      <w:pPr>
        <w:spacing w:line="360" w:lineRule="auto"/>
        <w:ind w:firstLine="1440"/>
      </w:pPr>
      <w:r w:rsidRPr="00B73D10">
        <w:t xml:space="preserve">On </w:t>
      </w:r>
      <w:r w:rsidR="00E54219">
        <w:t>April 11</w:t>
      </w:r>
      <w:r w:rsidR="004E4203">
        <w:t xml:space="preserve">, 2014, </w:t>
      </w:r>
      <w:r w:rsidR="00E54219">
        <w:t xml:space="preserve">Joyce </w:t>
      </w:r>
      <w:proofErr w:type="spellStart"/>
      <w:r w:rsidR="00E54219">
        <w:t>Mies</w:t>
      </w:r>
      <w:proofErr w:type="spellEnd"/>
      <w:r>
        <w:t xml:space="preserve"> (</w:t>
      </w:r>
      <w:r w:rsidRPr="00B73D10">
        <w:t>Compla</w:t>
      </w:r>
      <w:r>
        <w:t>inant</w:t>
      </w:r>
      <w:r w:rsidR="00E54219">
        <w:t xml:space="preserve"> or Ms. </w:t>
      </w:r>
      <w:proofErr w:type="spellStart"/>
      <w:r w:rsidR="00E54219">
        <w:t>Mies</w:t>
      </w:r>
      <w:proofErr w:type="spellEnd"/>
      <w:r>
        <w:t xml:space="preserve">) filed a formal complaint </w:t>
      </w:r>
      <w:r w:rsidRPr="00B73D10">
        <w:t xml:space="preserve">against </w:t>
      </w:r>
      <w:r w:rsidR="00E54219">
        <w:t>Duquesne Light</w:t>
      </w:r>
      <w:r>
        <w:t xml:space="preserve"> Company (</w:t>
      </w:r>
      <w:r w:rsidRPr="00B73D10">
        <w:t xml:space="preserve">Respondent or </w:t>
      </w:r>
      <w:r w:rsidR="00E54219">
        <w:t>DLC</w:t>
      </w:r>
      <w:r w:rsidRPr="00B73D10">
        <w:t>) alleging</w:t>
      </w:r>
      <w:r>
        <w:t xml:space="preserve"> a reliability, safety or quality problem with </w:t>
      </w:r>
      <w:r w:rsidR="00E54219">
        <w:t>her</w:t>
      </w:r>
      <w:r>
        <w:t xml:space="preserve"> electric service </w:t>
      </w:r>
      <w:r w:rsidR="00E54219">
        <w:t>due to an outage in January 2014, which resulted in massive water damage to personal property in her unoccupied former residence</w:t>
      </w:r>
      <w:r>
        <w:t xml:space="preserve">.  Complainant requested payment for damages caused by the </w:t>
      </w:r>
      <w:r w:rsidR="004E4203">
        <w:t xml:space="preserve">outage and requested the Commission find </w:t>
      </w:r>
      <w:r w:rsidR="00E54219">
        <w:t>DLC</w:t>
      </w:r>
      <w:r w:rsidR="004E4203">
        <w:t xml:space="preserve"> failed to provide reasonable and adequate customer service.  </w:t>
      </w:r>
      <w:r w:rsidRPr="00B73D10">
        <w:t xml:space="preserve">On </w:t>
      </w:r>
      <w:r w:rsidR="00E54219">
        <w:t>June 3</w:t>
      </w:r>
      <w:r w:rsidR="004E4203">
        <w:t>, 2014</w:t>
      </w:r>
      <w:r w:rsidRPr="00B73D10">
        <w:t xml:space="preserve">, Respondent filed an </w:t>
      </w:r>
      <w:r w:rsidR="00101AB8">
        <w:t>A</w:t>
      </w:r>
      <w:r w:rsidRPr="00B73D10">
        <w:t>nswer</w:t>
      </w:r>
      <w:r>
        <w:t xml:space="preserve"> in which R</w:t>
      </w:r>
      <w:r w:rsidRPr="00B73D10">
        <w:t xml:space="preserve">espondent </w:t>
      </w:r>
      <w:r w:rsidR="00A96A71">
        <w:t xml:space="preserve">generally denied the averments and asserted </w:t>
      </w:r>
      <w:r w:rsidR="00E54219">
        <w:t>DLC</w:t>
      </w:r>
      <w:r w:rsidR="00A96A71">
        <w:t xml:space="preserve"> had provided reasonable and adequate service in how it maintained its facilities</w:t>
      </w:r>
      <w:r>
        <w:t xml:space="preserve">.  </w:t>
      </w:r>
    </w:p>
    <w:p w:rsidR="00126B45" w:rsidRPr="00B73D10" w:rsidRDefault="00126B45" w:rsidP="00126B45">
      <w:pPr>
        <w:spacing w:line="360" w:lineRule="auto"/>
      </w:pPr>
    </w:p>
    <w:p w:rsidR="00126B45" w:rsidRDefault="00126B45" w:rsidP="00126B45">
      <w:pPr>
        <w:spacing w:line="360" w:lineRule="auto"/>
      </w:pPr>
      <w:r w:rsidRPr="00B73D10">
        <w:lastRenderedPageBreak/>
        <w:tab/>
      </w:r>
      <w:r w:rsidRPr="00B73D10">
        <w:tab/>
        <w:t xml:space="preserve">On </w:t>
      </w:r>
      <w:r w:rsidR="00E54219">
        <w:t>June 6</w:t>
      </w:r>
      <w:r w:rsidR="004E4203">
        <w:t>, 2014</w:t>
      </w:r>
      <w:r w:rsidRPr="00B73D10">
        <w:t xml:space="preserve">, the Office of Administrative Law Judge issued a Telephone Hearing Notice, which scheduled </w:t>
      </w:r>
      <w:r>
        <w:t xml:space="preserve">a telephonic </w:t>
      </w:r>
      <w:r w:rsidRPr="00B73D10">
        <w:t xml:space="preserve">initial hearing to be conducted on </w:t>
      </w:r>
      <w:r w:rsidR="00E54219">
        <w:t>July 9</w:t>
      </w:r>
      <w:r w:rsidR="004E4203">
        <w:t>, 2014</w:t>
      </w:r>
      <w:r>
        <w:t>.</w:t>
      </w:r>
      <w:r w:rsidR="0080315B">
        <w:t xml:space="preserve">  </w:t>
      </w:r>
      <w:r>
        <w:t xml:space="preserve">On </w:t>
      </w:r>
      <w:r w:rsidR="00E54219">
        <w:t>June 10</w:t>
      </w:r>
      <w:r w:rsidR="004E4203">
        <w:t>, 2014</w:t>
      </w:r>
      <w:r>
        <w:t>, the presiding officer issued</w:t>
      </w:r>
      <w:r w:rsidRPr="00B73D10">
        <w:t xml:space="preserve"> a Prehearing Order.  </w:t>
      </w:r>
      <w:r w:rsidR="00E54219">
        <w:t>The presiding officer</w:t>
      </w:r>
      <w:r w:rsidR="004E4203">
        <w:t xml:space="preserve"> </w:t>
      </w:r>
      <w:r>
        <w:t xml:space="preserve">convened the initial hearing as scheduled on </w:t>
      </w:r>
      <w:r w:rsidR="00E54219">
        <w:t>July 9</w:t>
      </w:r>
      <w:r w:rsidR="004E4203">
        <w:t>, 2014</w:t>
      </w:r>
      <w:r>
        <w:t>.  Complainant</w:t>
      </w:r>
      <w:r w:rsidR="00A96A71">
        <w:t xml:space="preserve"> </w:t>
      </w:r>
      <w:r>
        <w:t xml:space="preserve">appeared </w:t>
      </w:r>
      <w:r w:rsidR="00A96A71" w:rsidRPr="00A96A71">
        <w:rPr>
          <w:i/>
        </w:rPr>
        <w:t>pro se</w:t>
      </w:r>
      <w:r w:rsidR="00A96A71">
        <w:t xml:space="preserve"> and testified </w:t>
      </w:r>
      <w:r>
        <w:t xml:space="preserve">on </w:t>
      </w:r>
      <w:r w:rsidR="00E54219">
        <w:t>her</w:t>
      </w:r>
      <w:r w:rsidR="00A96A71">
        <w:t xml:space="preserve"> own behalf</w:t>
      </w:r>
      <w:r>
        <w:t>.</w:t>
      </w:r>
      <w:r w:rsidR="00A96A71">
        <w:t xml:space="preserve">  Complainant</w:t>
      </w:r>
      <w:r w:rsidR="00E54219">
        <w:t xml:space="preserve"> presented the testimony of one witness but</w:t>
      </w:r>
      <w:r w:rsidR="00A96A71">
        <w:t xml:space="preserve"> offered </w:t>
      </w:r>
      <w:r w:rsidR="00E54219">
        <w:t>no exhibits</w:t>
      </w:r>
      <w:r w:rsidR="00A96A71">
        <w:t>.</w:t>
      </w:r>
      <w:r>
        <w:t xml:space="preserve">  Respondent was represented by </w:t>
      </w:r>
      <w:r w:rsidR="00E54219">
        <w:t>Danielle L. Dietrich</w:t>
      </w:r>
      <w:r>
        <w:t xml:space="preserve">, Esquire.  </w:t>
      </w:r>
      <w:r w:rsidR="00A96A71" w:rsidRPr="00B73D10">
        <w:t xml:space="preserve">Attorney </w:t>
      </w:r>
      <w:r w:rsidR="00E54219">
        <w:t>Dietrich</w:t>
      </w:r>
      <w:r w:rsidR="00A96A71" w:rsidRPr="00B73D10">
        <w:t xml:space="preserve"> presented the testimony of </w:t>
      </w:r>
      <w:r w:rsidR="00E54219">
        <w:t>two</w:t>
      </w:r>
      <w:r w:rsidR="004E4203">
        <w:t xml:space="preserve"> (</w:t>
      </w:r>
      <w:r w:rsidR="00E54219">
        <w:t>2</w:t>
      </w:r>
      <w:r w:rsidR="004E4203">
        <w:t>)</w:t>
      </w:r>
      <w:r w:rsidR="00A96A71">
        <w:t xml:space="preserve"> witnesses</w:t>
      </w:r>
      <w:r w:rsidR="00A96A71" w:rsidRPr="00B73D10">
        <w:t xml:space="preserve">, and offered </w:t>
      </w:r>
      <w:r w:rsidR="00E54219">
        <w:t>three</w:t>
      </w:r>
      <w:r w:rsidR="00A96A71">
        <w:t xml:space="preserve"> (</w:t>
      </w:r>
      <w:r w:rsidR="00E54219">
        <w:t>3</w:t>
      </w:r>
      <w:r w:rsidR="00A96A71">
        <w:t>)</w:t>
      </w:r>
      <w:r w:rsidR="00A96A71" w:rsidRPr="00B73D10">
        <w:t xml:space="preserve"> exhibits, </w:t>
      </w:r>
      <w:r w:rsidR="00A96A71">
        <w:t xml:space="preserve">which were </w:t>
      </w:r>
      <w:r w:rsidR="00A96A71" w:rsidRPr="00B73D10">
        <w:t xml:space="preserve">marked </w:t>
      </w:r>
      <w:r w:rsidR="004E4203">
        <w:t xml:space="preserve">and admitted as </w:t>
      </w:r>
      <w:r w:rsidR="00E54219">
        <w:t>Duquesne Light</w:t>
      </w:r>
      <w:r w:rsidR="00A96A71">
        <w:t xml:space="preserve"> Exhibits</w:t>
      </w:r>
      <w:r w:rsidR="00E54219">
        <w:t xml:space="preserve"> 3, 5 and 9</w:t>
      </w:r>
      <w:r w:rsidR="00A96A71" w:rsidRPr="00B73D10">
        <w:t>.  The transcript of the hearing</w:t>
      </w:r>
      <w:r w:rsidR="00A96A71">
        <w:t>,</w:t>
      </w:r>
      <w:r w:rsidR="00A96A71" w:rsidRPr="00B73D10">
        <w:t xml:space="preserve"> contain</w:t>
      </w:r>
      <w:r w:rsidR="00A96A71">
        <w:t>ing</w:t>
      </w:r>
      <w:r w:rsidR="00A96A71" w:rsidRPr="00B73D10">
        <w:t xml:space="preserve"> </w:t>
      </w:r>
      <w:r w:rsidR="00E54219">
        <w:t>sixty-three (63)</w:t>
      </w:r>
      <w:r w:rsidR="00A96A71">
        <w:t xml:space="preserve"> </w:t>
      </w:r>
      <w:r w:rsidR="00A96A71" w:rsidRPr="00B73D10">
        <w:t>pages</w:t>
      </w:r>
      <w:r w:rsidR="00A96A71">
        <w:t xml:space="preserve">, was received in the Commission’s offices on </w:t>
      </w:r>
      <w:r w:rsidR="00E54219">
        <w:t>July 15</w:t>
      </w:r>
      <w:r w:rsidR="00A96A71">
        <w:t xml:space="preserve">, 2014 and was received in the presiding officer’s office on </w:t>
      </w:r>
      <w:r w:rsidR="00E54219">
        <w:t>July 17</w:t>
      </w:r>
      <w:r w:rsidR="00A96A71">
        <w:t>, 2014.</w:t>
      </w:r>
      <w:r w:rsidR="00A96A71" w:rsidRPr="00B73D10">
        <w:t xml:space="preserve">  Complainant and Respondent issued final statements on the hearing record in lieu of filing briefs.</w:t>
      </w:r>
    </w:p>
    <w:p w:rsidR="00126B45" w:rsidRDefault="00126B45" w:rsidP="00126B45">
      <w:pPr>
        <w:spacing w:line="360" w:lineRule="auto"/>
      </w:pPr>
    </w:p>
    <w:p w:rsidR="00126B45" w:rsidRPr="00B73D10" w:rsidRDefault="00126B45" w:rsidP="00126B45">
      <w:pPr>
        <w:tabs>
          <w:tab w:val="left" w:pos="2160"/>
        </w:tabs>
        <w:spacing w:line="360" w:lineRule="auto"/>
        <w:ind w:firstLine="1440"/>
      </w:pPr>
      <w:r w:rsidRPr="00B73D10">
        <w:t xml:space="preserve">On </w:t>
      </w:r>
      <w:r w:rsidR="00E54219">
        <w:t>July 22</w:t>
      </w:r>
      <w:r w:rsidR="00A96A71">
        <w:t>, 2014</w:t>
      </w:r>
      <w:r>
        <w:t>,</w:t>
      </w:r>
      <w:r w:rsidRPr="00B73D10">
        <w:t xml:space="preserve"> the </w:t>
      </w:r>
      <w:r w:rsidR="00A96A71">
        <w:t xml:space="preserve">presiding officer closed the </w:t>
      </w:r>
      <w:r w:rsidR="002D1E3B">
        <w:t>record</w:t>
      </w:r>
      <w:r w:rsidR="00A96A71">
        <w:t xml:space="preserve"> by </w:t>
      </w:r>
      <w:r w:rsidRPr="00B73D10">
        <w:t>Interim Order Closing the Hearing Record.</w:t>
      </w:r>
    </w:p>
    <w:p w:rsidR="00126B45" w:rsidRPr="00B73D10" w:rsidRDefault="00126B45" w:rsidP="00126B45">
      <w:pPr>
        <w:tabs>
          <w:tab w:val="left" w:pos="2160"/>
        </w:tabs>
        <w:spacing w:line="360" w:lineRule="auto"/>
        <w:ind w:firstLine="1440"/>
      </w:pPr>
    </w:p>
    <w:p w:rsidR="00126B45" w:rsidRPr="00B73D10" w:rsidRDefault="00126B45" w:rsidP="00126B45">
      <w:pPr>
        <w:tabs>
          <w:tab w:val="left" w:pos="2160"/>
        </w:tabs>
        <w:spacing w:line="360" w:lineRule="auto"/>
        <w:jc w:val="center"/>
        <w:rPr>
          <w:u w:val="single"/>
        </w:rPr>
      </w:pPr>
      <w:r w:rsidRPr="00B73D10">
        <w:rPr>
          <w:u w:val="single"/>
        </w:rPr>
        <w:t xml:space="preserve">FINDINGS OF </w:t>
      </w:r>
      <w:smartTag w:uri="urn:schemas-microsoft-com:office:smarttags" w:element="stockticker">
        <w:r w:rsidRPr="00B73D10">
          <w:rPr>
            <w:u w:val="single"/>
          </w:rPr>
          <w:t>FACT</w:t>
        </w:r>
      </w:smartTag>
    </w:p>
    <w:p w:rsidR="00126B45" w:rsidRPr="00B73D10" w:rsidRDefault="00126B45" w:rsidP="00126B45">
      <w:pPr>
        <w:tabs>
          <w:tab w:val="left" w:pos="2160"/>
        </w:tabs>
        <w:spacing w:line="360" w:lineRule="auto"/>
        <w:rPr>
          <w:u w:val="single"/>
        </w:rPr>
      </w:pPr>
    </w:p>
    <w:p w:rsidR="00126B45" w:rsidRPr="00B73D10" w:rsidRDefault="00126B45" w:rsidP="00126B45">
      <w:pPr>
        <w:tabs>
          <w:tab w:val="left" w:pos="2160"/>
        </w:tabs>
        <w:spacing w:line="360" w:lineRule="auto"/>
        <w:ind w:firstLine="1440"/>
      </w:pPr>
      <w:r w:rsidRPr="00B73D10">
        <w:t>1.</w:t>
      </w:r>
      <w:r w:rsidRPr="00B73D10">
        <w:tab/>
        <w:t xml:space="preserve">Complainant, </w:t>
      </w:r>
      <w:r w:rsidR="00E54219">
        <w:t xml:space="preserve">Joyce </w:t>
      </w:r>
      <w:proofErr w:type="spellStart"/>
      <w:r w:rsidR="00E54219">
        <w:t>Mies</w:t>
      </w:r>
      <w:proofErr w:type="spellEnd"/>
      <w:r>
        <w:t xml:space="preserve">, </w:t>
      </w:r>
      <w:r w:rsidR="00EC04BF">
        <w:t>has resided</w:t>
      </w:r>
      <w:r>
        <w:t xml:space="preserve"> </w:t>
      </w:r>
      <w:r w:rsidR="00EC04BF">
        <w:t>in El Paso, Texas for the past three years, and</w:t>
      </w:r>
      <w:r w:rsidR="00E54219">
        <w:t xml:space="preserve"> continues to own h</w:t>
      </w:r>
      <w:r w:rsidR="00EC04BF">
        <w:t xml:space="preserve">er former residence, located at 46 </w:t>
      </w:r>
      <w:proofErr w:type="spellStart"/>
      <w:r w:rsidR="00EC04BF">
        <w:t>Tretow</w:t>
      </w:r>
      <w:proofErr w:type="spellEnd"/>
      <w:r w:rsidR="00EC04BF">
        <w:t xml:space="preserve"> Street, Pittsburgh, </w:t>
      </w:r>
      <w:r>
        <w:t>Pennsylvania (service address)</w:t>
      </w:r>
      <w:r w:rsidR="003C1F6E">
        <w:t>,</w:t>
      </w:r>
      <w:r w:rsidR="004E4203">
        <w:t xml:space="preserve"> where </w:t>
      </w:r>
      <w:r w:rsidR="00E54219">
        <w:t>s</w:t>
      </w:r>
      <w:r w:rsidR="004E4203">
        <w:t xml:space="preserve">he resided </w:t>
      </w:r>
      <w:r w:rsidR="0020146E">
        <w:t xml:space="preserve">for </w:t>
      </w:r>
      <w:r w:rsidR="00EC04BF">
        <w:t>45</w:t>
      </w:r>
      <w:r w:rsidR="0020146E">
        <w:t xml:space="preserve"> years</w:t>
      </w:r>
      <w:r>
        <w:t>.</w:t>
      </w:r>
      <w:r w:rsidR="00EC04BF">
        <w:t xml:space="preserve">  </w:t>
      </w:r>
      <w:proofErr w:type="gramStart"/>
      <w:r w:rsidR="00EC04BF">
        <w:t>(Tr. 8, 9).</w:t>
      </w:r>
      <w:proofErr w:type="gramEnd"/>
      <w:r w:rsidR="00EC04BF">
        <w:t xml:space="preserve">  </w:t>
      </w:r>
    </w:p>
    <w:p w:rsidR="00126B45" w:rsidRDefault="00126B45" w:rsidP="00126B45">
      <w:pPr>
        <w:tabs>
          <w:tab w:val="left" w:pos="2160"/>
        </w:tabs>
        <w:spacing w:line="360" w:lineRule="auto"/>
        <w:ind w:firstLine="1440"/>
      </w:pPr>
    </w:p>
    <w:p w:rsidR="00126B45" w:rsidRDefault="00126B45" w:rsidP="00126B45">
      <w:pPr>
        <w:tabs>
          <w:tab w:val="left" w:pos="2160"/>
        </w:tabs>
        <w:spacing w:line="360" w:lineRule="auto"/>
        <w:ind w:firstLine="1440"/>
      </w:pPr>
      <w:r>
        <w:t>2.</w:t>
      </w:r>
      <w:r>
        <w:tab/>
        <w:t>Respondent provide</w:t>
      </w:r>
      <w:r w:rsidR="0020146E">
        <w:t>s</w:t>
      </w:r>
      <w:r>
        <w:t xml:space="preserve"> electric service to Complainant at the service address.  </w:t>
      </w:r>
      <w:proofErr w:type="gramStart"/>
      <w:r w:rsidR="00EC04BF">
        <w:t>(Tr. 9).</w:t>
      </w:r>
      <w:proofErr w:type="gramEnd"/>
    </w:p>
    <w:p w:rsidR="00126B45" w:rsidRDefault="00126B45" w:rsidP="00126B45">
      <w:pPr>
        <w:tabs>
          <w:tab w:val="left" w:pos="2160"/>
        </w:tabs>
        <w:spacing w:line="360" w:lineRule="auto"/>
        <w:ind w:firstLine="1440"/>
      </w:pPr>
    </w:p>
    <w:p w:rsidR="00126B45" w:rsidRDefault="00126B45" w:rsidP="00126B45">
      <w:pPr>
        <w:tabs>
          <w:tab w:val="left" w:pos="2160"/>
        </w:tabs>
        <w:spacing w:line="360" w:lineRule="auto"/>
        <w:ind w:firstLine="1440"/>
      </w:pPr>
      <w:r>
        <w:t xml:space="preserve">3. </w:t>
      </w:r>
      <w:r>
        <w:tab/>
      </w:r>
      <w:r w:rsidR="00EC04BF">
        <w:t>Sometime prior to</w:t>
      </w:r>
      <w:r w:rsidR="00E54219">
        <w:t xml:space="preserve"> January </w:t>
      </w:r>
      <w:r w:rsidR="00C34AD3">
        <w:t>26</w:t>
      </w:r>
      <w:r w:rsidR="00FB142F">
        <w:t>, 2014</w:t>
      </w:r>
      <w:r w:rsidR="00E941A4">
        <w:t xml:space="preserve">, </w:t>
      </w:r>
      <w:r w:rsidR="00E54219">
        <w:t xml:space="preserve">a power outage occurred at the service </w:t>
      </w:r>
      <w:r w:rsidR="009663E5">
        <w:t xml:space="preserve">address </w:t>
      </w:r>
      <w:r w:rsidR="00EC04BF">
        <w:t>during a cold winter</w:t>
      </w:r>
      <w:r w:rsidR="009663E5">
        <w:t xml:space="preserve">.  </w:t>
      </w:r>
      <w:r w:rsidR="00C34AD3">
        <w:t>(</w:t>
      </w:r>
      <w:r w:rsidR="00EC04BF">
        <w:t>Tr. 8-11</w:t>
      </w:r>
      <w:r w:rsidR="00C34AD3">
        <w:t>).</w:t>
      </w:r>
    </w:p>
    <w:p w:rsidR="002F73D8" w:rsidRDefault="002F73D8" w:rsidP="00126B45">
      <w:pPr>
        <w:tabs>
          <w:tab w:val="left" w:pos="2160"/>
        </w:tabs>
        <w:spacing w:line="360" w:lineRule="auto"/>
        <w:ind w:firstLine="1440"/>
      </w:pPr>
    </w:p>
    <w:p w:rsidR="00B85B7F" w:rsidRDefault="002F73D8" w:rsidP="005534CB">
      <w:pPr>
        <w:tabs>
          <w:tab w:val="left" w:pos="2160"/>
        </w:tabs>
        <w:spacing w:line="360" w:lineRule="auto"/>
        <w:ind w:firstLine="1440"/>
      </w:pPr>
      <w:r>
        <w:t xml:space="preserve">4. </w:t>
      </w:r>
      <w:r>
        <w:tab/>
      </w:r>
      <w:r w:rsidR="00EC04BF">
        <w:t xml:space="preserve">Without electricity, the heating system was inoperative in the service address and the water pipes froze.  </w:t>
      </w:r>
      <w:proofErr w:type="gramStart"/>
      <w:r w:rsidR="00EC04BF">
        <w:t>(Tr. 10).</w:t>
      </w:r>
      <w:proofErr w:type="gramEnd"/>
    </w:p>
    <w:p w:rsidR="00E54219" w:rsidRDefault="00E54219" w:rsidP="005534CB">
      <w:pPr>
        <w:tabs>
          <w:tab w:val="left" w:pos="2160"/>
        </w:tabs>
        <w:spacing w:line="360" w:lineRule="auto"/>
        <w:ind w:firstLine="1440"/>
      </w:pPr>
    </w:p>
    <w:p w:rsidR="00B85B7F" w:rsidRDefault="007976FF" w:rsidP="00126B45">
      <w:pPr>
        <w:tabs>
          <w:tab w:val="left" w:pos="2160"/>
        </w:tabs>
        <w:spacing w:line="360" w:lineRule="auto"/>
        <w:ind w:firstLine="1440"/>
      </w:pPr>
      <w:r>
        <w:t>5</w:t>
      </w:r>
      <w:r w:rsidR="00B85B7F">
        <w:t xml:space="preserve">. </w:t>
      </w:r>
      <w:r w:rsidR="00B85B7F">
        <w:tab/>
      </w:r>
      <w:r w:rsidR="00EC04BF">
        <w:t xml:space="preserve">The broken water pipes resulted in a $2,000 water bill plus approximately $30,000 in damage to the residence.  </w:t>
      </w:r>
      <w:proofErr w:type="gramStart"/>
      <w:r w:rsidR="00EC04BF">
        <w:t>(Tr. 10</w:t>
      </w:r>
      <w:r w:rsidR="003006CD">
        <w:t>, 20, 21</w:t>
      </w:r>
      <w:r w:rsidR="00EC04BF">
        <w:t>).</w:t>
      </w:r>
      <w:proofErr w:type="gramEnd"/>
    </w:p>
    <w:p w:rsidR="00B85B7F" w:rsidRDefault="00B85B7F" w:rsidP="00126B45">
      <w:pPr>
        <w:tabs>
          <w:tab w:val="left" w:pos="2160"/>
        </w:tabs>
        <w:spacing w:line="360" w:lineRule="auto"/>
        <w:ind w:firstLine="1440"/>
      </w:pPr>
    </w:p>
    <w:p w:rsidR="000B1A11" w:rsidRDefault="007976FF" w:rsidP="000B1A11">
      <w:pPr>
        <w:tabs>
          <w:tab w:val="left" w:pos="2160"/>
        </w:tabs>
        <w:spacing w:line="360" w:lineRule="auto"/>
        <w:ind w:firstLine="1440"/>
      </w:pPr>
      <w:r>
        <w:t>6</w:t>
      </w:r>
      <w:r w:rsidR="000B1A11">
        <w:t xml:space="preserve">. </w:t>
      </w:r>
      <w:r w:rsidR="000B1A11">
        <w:tab/>
      </w:r>
      <w:r w:rsidR="00EC04BF">
        <w:t xml:space="preserve">Complainant’s neighbor, Mrs. </w:t>
      </w:r>
      <w:proofErr w:type="spellStart"/>
      <w:r w:rsidR="00D814A0">
        <w:t>Jonasen</w:t>
      </w:r>
      <w:proofErr w:type="spellEnd"/>
      <w:r w:rsidR="00EC04BF">
        <w:t xml:space="preserve">, checks on the service address every two days when Complainant is in Texas.  </w:t>
      </w:r>
      <w:r w:rsidR="002C0BE7">
        <w:t xml:space="preserve">She always left a light on and kept the radio playing inside the service address.  </w:t>
      </w:r>
      <w:proofErr w:type="gramStart"/>
      <w:r w:rsidR="00EC04BF">
        <w:t xml:space="preserve">(Tr. 10, </w:t>
      </w:r>
      <w:r w:rsidR="00D814A0">
        <w:t xml:space="preserve">11, </w:t>
      </w:r>
      <w:r w:rsidR="002C0BE7">
        <w:t>31</w:t>
      </w:r>
      <w:r w:rsidR="00EC04BF">
        <w:t>).</w:t>
      </w:r>
      <w:proofErr w:type="gramEnd"/>
    </w:p>
    <w:p w:rsidR="00392A9B" w:rsidRDefault="00392A9B" w:rsidP="000B1A11">
      <w:pPr>
        <w:tabs>
          <w:tab w:val="left" w:pos="2160"/>
        </w:tabs>
        <w:spacing w:line="360" w:lineRule="auto"/>
        <w:ind w:firstLine="1440"/>
      </w:pPr>
    </w:p>
    <w:p w:rsidR="00392A9B" w:rsidRDefault="007976FF" w:rsidP="000B1A11">
      <w:pPr>
        <w:tabs>
          <w:tab w:val="left" w:pos="2160"/>
        </w:tabs>
        <w:spacing w:line="360" w:lineRule="auto"/>
        <w:ind w:firstLine="1440"/>
      </w:pPr>
      <w:r>
        <w:t>7</w:t>
      </w:r>
      <w:r w:rsidR="00392A9B">
        <w:t>.</w:t>
      </w:r>
      <w:r w:rsidR="00392A9B">
        <w:tab/>
      </w:r>
      <w:r w:rsidR="00EC04BF">
        <w:t xml:space="preserve">On January 26, 2014, Mrs. </w:t>
      </w:r>
      <w:proofErr w:type="spellStart"/>
      <w:r w:rsidR="00D814A0">
        <w:t>Jonasen</w:t>
      </w:r>
      <w:proofErr w:type="spellEnd"/>
      <w:r w:rsidR="00EC04BF">
        <w:t xml:space="preserve"> </w:t>
      </w:r>
      <w:r w:rsidR="00D814A0">
        <w:t>checked on the</w:t>
      </w:r>
      <w:r w:rsidR="002C0BE7">
        <w:t xml:space="preserve"> service address in the evening, </w:t>
      </w:r>
      <w:r w:rsidR="00D814A0">
        <w:t>hea</w:t>
      </w:r>
      <w:r w:rsidR="002C0BE7">
        <w:t xml:space="preserve">rd water running in the kitchen, saw water gushing from the dining room ceiling and </w:t>
      </w:r>
      <w:r w:rsidR="00D814A0">
        <w:t xml:space="preserve">determined there was no electricity inside the service address.  With the help of the </w:t>
      </w:r>
      <w:r w:rsidR="00A9130B">
        <w:t>f</w:t>
      </w:r>
      <w:r w:rsidR="00D814A0">
        <w:t xml:space="preserve">ire </w:t>
      </w:r>
      <w:r w:rsidR="00A9130B">
        <w:t>d</w:t>
      </w:r>
      <w:r w:rsidR="00D814A0">
        <w:t xml:space="preserve">epartment, the water line was shut off.  </w:t>
      </w:r>
      <w:proofErr w:type="gramStart"/>
      <w:r w:rsidR="00D814A0">
        <w:t xml:space="preserve">(Tr. 10-15, </w:t>
      </w:r>
      <w:r w:rsidR="002C0BE7">
        <w:t>33, 34</w:t>
      </w:r>
      <w:r w:rsidR="00D814A0">
        <w:t>).</w:t>
      </w:r>
      <w:proofErr w:type="gramEnd"/>
    </w:p>
    <w:p w:rsidR="000B1A11" w:rsidRDefault="000B1A11" w:rsidP="00126B45">
      <w:pPr>
        <w:tabs>
          <w:tab w:val="left" w:pos="2160"/>
        </w:tabs>
        <w:spacing w:line="360" w:lineRule="auto"/>
        <w:ind w:firstLine="1440"/>
      </w:pPr>
    </w:p>
    <w:p w:rsidR="00B85B7F" w:rsidRDefault="007976FF" w:rsidP="00126B45">
      <w:pPr>
        <w:tabs>
          <w:tab w:val="left" w:pos="2160"/>
        </w:tabs>
        <w:spacing w:line="360" w:lineRule="auto"/>
        <w:ind w:firstLine="1440"/>
      </w:pPr>
      <w:r>
        <w:t>8</w:t>
      </w:r>
      <w:r w:rsidR="00B85B7F">
        <w:t xml:space="preserve">. </w:t>
      </w:r>
      <w:r w:rsidR="00B85B7F">
        <w:tab/>
      </w:r>
      <w:r w:rsidR="00D814A0">
        <w:t>On January 26, 2014, Complainant’s son-in-law contacted DLC to report a loss of electric service at the service address.  (Tr. 13-15).</w:t>
      </w:r>
    </w:p>
    <w:p w:rsidR="00580B6B" w:rsidRDefault="00580B6B" w:rsidP="00126B45">
      <w:pPr>
        <w:tabs>
          <w:tab w:val="left" w:pos="2160"/>
        </w:tabs>
        <w:spacing w:line="360" w:lineRule="auto"/>
        <w:ind w:firstLine="1440"/>
      </w:pPr>
    </w:p>
    <w:p w:rsidR="00580B6B" w:rsidRDefault="00580B6B" w:rsidP="00126B45">
      <w:pPr>
        <w:tabs>
          <w:tab w:val="left" w:pos="2160"/>
        </w:tabs>
        <w:spacing w:line="360" w:lineRule="auto"/>
        <w:ind w:firstLine="1440"/>
      </w:pPr>
      <w:r>
        <w:t xml:space="preserve">9. </w:t>
      </w:r>
      <w:r>
        <w:tab/>
      </w:r>
      <w:r w:rsidR="003006CD">
        <w:t>On January 26, 2014, at approximately 10:00 p.m., DLC contacted Complainant in Texas and advised her that a technician checked her me</w:t>
      </w:r>
      <w:r w:rsidR="00272740">
        <w:t xml:space="preserve">ter </w:t>
      </w:r>
      <w:r w:rsidR="00C02641">
        <w:t>and</w:t>
      </w:r>
      <w:r w:rsidR="00272740">
        <w:t xml:space="preserve"> determined </w:t>
      </w:r>
      <w:r w:rsidR="003006CD">
        <w:t xml:space="preserve">there was </w:t>
      </w:r>
      <w:r w:rsidR="00272740">
        <w:t>good voltage</w:t>
      </w:r>
      <w:r w:rsidR="003006CD">
        <w:t xml:space="preserve"> </w:t>
      </w:r>
      <w:r w:rsidR="00272740">
        <w:t>in</w:t>
      </w:r>
      <w:r w:rsidR="003006CD">
        <w:t xml:space="preserve"> the </w:t>
      </w:r>
      <w:r w:rsidR="00272740">
        <w:t xml:space="preserve">meter at the </w:t>
      </w:r>
      <w:r w:rsidR="003006CD">
        <w:t xml:space="preserve">service address.  </w:t>
      </w:r>
      <w:proofErr w:type="gramStart"/>
      <w:r w:rsidR="003006CD">
        <w:t>(Tr. 17-19</w:t>
      </w:r>
      <w:r w:rsidR="000A641B">
        <w:t>, 44-</w:t>
      </w:r>
      <w:r w:rsidR="00272740">
        <w:t>47; DLC Exhibit 9</w:t>
      </w:r>
      <w:r w:rsidR="003006CD">
        <w:t>).</w:t>
      </w:r>
      <w:proofErr w:type="gramEnd"/>
    </w:p>
    <w:p w:rsidR="004A0254" w:rsidRDefault="004A0254" w:rsidP="00126B45">
      <w:pPr>
        <w:tabs>
          <w:tab w:val="left" w:pos="2160"/>
        </w:tabs>
        <w:spacing w:line="360" w:lineRule="auto"/>
        <w:ind w:firstLine="1440"/>
      </w:pPr>
    </w:p>
    <w:p w:rsidR="009663E5" w:rsidRDefault="00AD7693" w:rsidP="009663E5">
      <w:pPr>
        <w:tabs>
          <w:tab w:val="left" w:pos="2160"/>
        </w:tabs>
        <w:spacing w:line="360" w:lineRule="auto"/>
        <w:ind w:firstLine="1440"/>
      </w:pPr>
      <w:r>
        <w:t>10</w:t>
      </w:r>
      <w:r w:rsidR="00126B45">
        <w:t xml:space="preserve">. </w:t>
      </w:r>
      <w:r w:rsidR="00126B45">
        <w:tab/>
      </w:r>
      <w:r w:rsidR="003006CD">
        <w:t xml:space="preserve">On January 27, 2014, a contractor for the insurance </w:t>
      </w:r>
      <w:r w:rsidR="002C0BE7">
        <w:t xml:space="preserve">company </w:t>
      </w:r>
      <w:r w:rsidR="003006CD">
        <w:t xml:space="preserve">and </w:t>
      </w:r>
      <w:r w:rsidR="002C0BE7">
        <w:t>Ms.</w:t>
      </w:r>
      <w:r w:rsidR="00A9130B">
        <w:t> </w:t>
      </w:r>
      <w:proofErr w:type="spellStart"/>
      <w:r w:rsidR="002C0BE7">
        <w:t>Jonasen</w:t>
      </w:r>
      <w:proofErr w:type="spellEnd"/>
      <w:r w:rsidR="003006CD">
        <w:t xml:space="preserve"> verified there was </w:t>
      </w:r>
      <w:r w:rsidR="000A641B">
        <w:t xml:space="preserve">no </w:t>
      </w:r>
      <w:r w:rsidR="003006CD">
        <w:t xml:space="preserve">electricity at the service address.  </w:t>
      </w:r>
      <w:proofErr w:type="gramStart"/>
      <w:r w:rsidR="003006CD">
        <w:t xml:space="preserve">(Tr. 18-20, </w:t>
      </w:r>
      <w:r w:rsidR="002C0BE7">
        <w:t>35</w:t>
      </w:r>
      <w:r w:rsidR="000A641B">
        <w:t>, 36</w:t>
      </w:r>
      <w:r w:rsidR="003006CD">
        <w:t>).</w:t>
      </w:r>
      <w:proofErr w:type="gramEnd"/>
    </w:p>
    <w:p w:rsidR="006B3D52" w:rsidRDefault="006B3D52" w:rsidP="009663E5">
      <w:pPr>
        <w:tabs>
          <w:tab w:val="left" w:pos="2160"/>
        </w:tabs>
        <w:spacing w:line="360" w:lineRule="auto"/>
        <w:ind w:firstLine="1440"/>
      </w:pPr>
    </w:p>
    <w:p w:rsidR="006B3D52" w:rsidRDefault="00AD7693" w:rsidP="009663E5">
      <w:pPr>
        <w:tabs>
          <w:tab w:val="left" w:pos="2160"/>
        </w:tabs>
        <w:spacing w:line="360" w:lineRule="auto"/>
        <w:ind w:firstLine="1440"/>
      </w:pPr>
      <w:r>
        <w:t>11</w:t>
      </w:r>
      <w:r w:rsidR="007976FF">
        <w:t xml:space="preserve">. </w:t>
      </w:r>
      <w:r w:rsidR="007976FF">
        <w:tab/>
      </w:r>
      <w:r w:rsidR="003006CD">
        <w:t>The service residence currently has electricity but no water service and no heat because the heating system requires water to operate properly.  (Tr. 20-22).</w:t>
      </w:r>
    </w:p>
    <w:p w:rsidR="006B3D52" w:rsidRDefault="006B3D52" w:rsidP="009663E5">
      <w:pPr>
        <w:tabs>
          <w:tab w:val="left" w:pos="2160"/>
        </w:tabs>
        <w:spacing w:line="360" w:lineRule="auto"/>
        <w:ind w:firstLine="1440"/>
      </w:pPr>
    </w:p>
    <w:p w:rsidR="006B3D52" w:rsidRDefault="00AD7693" w:rsidP="009663E5">
      <w:pPr>
        <w:tabs>
          <w:tab w:val="left" w:pos="2160"/>
        </w:tabs>
        <w:spacing w:line="360" w:lineRule="auto"/>
        <w:ind w:firstLine="1440"/>
      </w:pPr>
      <w:r>
        <w:t>12</w:t>
      </w:r>
      <w:r w:rsidR="006B3D52">
        <w:t xml:space="preserve">. </w:t>
      </w:r>
      <w:r w:rsidR="006B3D52">
        <w:tab/>
      </w:r>
      <w:r w:rsidR="003006CD">
        <w:t xml:space="preserve">Complainant had all new electrical wires and equipment installed in the service address approximately fifteen (15) years earlier.  </w:t>
      </w:r>
      <w:r w:rsidR="002C0BE7">
        <w:t xml:space="preserve">Exterior insulation was added to the service address approximately five (5) years earlier.  </w:t>
      </w:r>
      <w:proofErr w:type="gramStart"/>
      <w:r w:rsidR="003006CD">
        <w:t>(Tr. 25</w:t>
      </w:r>
      <w:r w:rsidR="002C0BE7">
        <w:t>, 29</w:t>
      </w:r>
      <w:r w:rsidR="003006CD">
        <w:t>).</w:t>
      </w:r>
      <w:proofErr w:type="gramEnd"/>
    </w:p>
    <w:p w:rsidR="00675E39" w:rsidRDefault="00675E39" w:rsidP="009663E5">
      <w:pPr>
        <w:tabs>
          <w:tab w:val="left" w:pos="2160"/>
        </w:tabs>
        <w:spacing w:line="360" w:lineRule="auto"/>
        <w:ind w:firstLine="1440"/>
      </w:pPr>
    </w:p>
    <w:p w:rsidR="00675E39" w:rsidRDefault="00AD7693" w:rsidP="009663E5">
      <w:pPr>
        <w:tabs>
          <w:tab w:val="left" w:pos="2160"/>
        </w:tabs>
        <w:spacing w:line="360" w:lineRule="auto"/>
        <w:ind w:firstLine="1440"/>
      </w:pPr>
      <w:r>
        <w:t>13</w:t>
      </w:r>
      <w:r w:rsidR="00675E39">
        <w:t xml:space="preserve">. </w:t>
      </w:r>
      <w:r w:rsidR="00675E39">
        <w:tab/>
      </w:r>
      <w:r w:rsidR="002C0BE7">
        <w:t xml:space="preserve">Ms. </w:t>
      </w:r>
      <w:proofErr w:type="spellStart"/>
      <w:r w:rsidR="002C0BE7">
        <w:t>Jonasen</w:t>
      </w:r>
      <w:proofErr w:type="spellEnd"/>
      <w:r w:rsidR="002C0BE7">
        <w:t xml:space="preserve"> kept the thermostat at the service address set at 68 degrees and one week prior to January 26, 2014 Ms. </w:t>
      </w:r>
      <w:proofErr w:type="spellStart"/>
      <w:r w:rsidR="002C0BE7">
        <w:t>Jonasen</w:t>
      </w:r>
      <w:proofErr w:type="spellEnd"/>
      <w:r w:rsidR="002C0BE7">
        <w:t xml:space="preserve"> opened up the water faucets to prevent the water pipes from freezing at the service address.  </w:t>
      </w:r>
      <w:proofErr w:type="gramStart"/>
      <w:r w:rsidR="002C0BE7">
        <w:t xml:space="preserve">(Tr. 28, </w:t>
      </w:r>
      <w:r w:rsidR="000A641B">
        <w:t>32</w:t>
      </w:r>
      <w:r w:rsidR="002C0BE7">
        <w:t>).</w:t>
      </w:r>
      <w:proofErr w:type="gramEnd"/>
      <w:r w:rsidR="002C0BE7">
        <w:t xml:space="preserve">  </w:t>
      </w:r>
    </w:p>
    <w:p w:rsidR="00B85B7F" w:rsidRDefault="00B85B7F" w:rsidP="009663E5">
      <w:pPr>
        <w:tabs>
          <w:tab w:val="left" w:pos="2160"/>
        </w:tabs>
        <w:spacing w:line="360" w:lineRule="auto"/>
        <w:ind w:firstLine="1440"/>
      </w:pPr>
    </w:p>
    <w:p w:rsidR="00B85B7F" w:rsidRDefault="00AD7693" w:rsidP="009663E5">
      <w:pPr>
        <w:tabs>
          <w:tab w:val="left" w:pos="2160"/>
        </w:tabs>
        <w:spacing w:line="360" w:lineRule="auto"/>
        <w:ind w:firstLine="1440"/>
      </w:pPr>
      <w:r>
        <w:t>14</w:t>
      </w:r>
      <w:r w:rsidR="00B85B7F">
        <w:t xml:space="preserve">. </w:t>
      </w:r>
      <w:r w:rsidR="00B85B7F">
        <w:tab/>
      </w:r>
      <w:r w:rsidR="000A641B">
        <w:t xml:space="preserve">Ms. </w:t>
      </w:r>
      <w:proofErr w:type="spellStart"/>
      <w:r w:rsidR="000A641B">
        <w:t>Jonasen</w:t>
      </w:r>
      <w:proofErr w:type="spellEnd"/>
      <w:r w:rsidR="000A641B">
        <w:t xml:space="preserve">, who lives four houses away from the service address, did not lose her electric service on or about January 26, 2014. </w:t>
      </w:r>
      <w:r w:rsidR="00272740">
        <w:t xml:space="preserve"> DLC had no reports of power outages in or near the area around the service address. </w:t>
      </w:r>
      <w:r w:rsidR="000A641B">
        <w:t xml:space="preserve"> </w:t>
      </w:r>
      <w:proofErr w:type="gramStart"/>
      <w:r w:rsidR="000A641B">
        <w:t>(Tr. 39, 40</w:t>
      </w:r>
      <w:r w:rsidR="00272740">
        <w:t>, 47, 50, 51; DLC Exhibit 3</w:t>
      </w:r>
      <w:r w:rsidR="000A641B">
        <w:t>).</w:t>
      </w:r>
      <w:proofErr w:type="gramEnd"/>
    </w:p>
    <w:p w:rsidR="00B85B7F" w:rsidRDefault="00B85B7F" w:rsidP="009663E5">
      <w:pPr>
        <w:tabs>
          <w:tab w:val="left" w:pos="2160"/>
        </w:tabs>
        <w:spacing w:line="360" w:lineRule="auto"/>
        <w:ind w:firstLine="1440"/>
      </w:pPr>
    </w:p>
    <w:p w:rsidR="00126B45" w:rsidRDefault="00AD7693" w:rsidP="00126B45">
      <w:pPr>
        <w:tabs>
          <w:tab w:val="left" w:pos="2160"/>
        </w:tabs>
        <w:spacing w:line="360" w:lineRule="auto"/>
        <w:ind w:firstLine="1440"/>
      </w:pPr>
      <w:r>
        <w:t>15</w:t>
      </w:r>
      <w:r w:rsidR="00B85B7F">
        <w:t xml:space="preserve">. </w:t>
      </w:r>
      <w:r w:rsidR="00B85B7F">
        <w:tab/>
      </w:r>
      <w:r w:rsidR="00C34AD3">
        <w:t>On April 11</w:t>
      </w:r>
      <w:r w:rsidR="007004B3">
        <w:t xml:space="preserve">, 2014, Complainant filed a formal complaint with the Commission alleging a safety and reliability problem with </w:t>
      </w:r>
      <w:r w:rsidR="00C34AD3">
        <w:t>her electric service</w:t>
      </w:r>
      <w:r w:rsidR="007004B3">
        <w:t>.</w:t>
      </w:r>
    </w:p>
    <w:p w:rsidR="007004B3" w:rsidRDefault="007004B3" w:rsidP="00126B45">
      <w:pPr>
        <w:tabs>
          <w:tab w:val="left" w:pos="2160"/>
        </w:tabs>
        <w:spacing w:line="360" w:lineRule="auto"/>
        <w:ind w:firstLine="1440"/>
      </w:pPr>
    </w:p>
    <w:p w:rsidR="00126B45" w:rsidRPr="00FB448C" w:rsidRDefault="00126B45" w:rsidP="00126B45">
      <w:pPr>
        <w:spacing w:line="360" w:lineRule="auto"/>
        <w:jc w:val="center"/>
      </w:pPr>
      <w:r w:rsidRPr="00FB448C">
        <w:rPr>
          <w:u w:val="single"/>
        </w:rPr>
        <w:t>DISCUSSION</w:t>
      </w:r>
    </w:p>
    <w:p w:rsidR="00126B45" w:rsidRDefault="00126B45" w:rsidP="00126B45">
      <w:pPr>
        <w:spacing w:line="360" w:lineRule="auto"/>
      </w:pPr>
    </w:p>
    <w:p w:rsidR="00C34AD3" w:rsidRDefault="004A0254" w:rsidP="006C773F">
      <w:pPr>
        <w:spacing w:line="360" w:lineRule="auto"/>
      </w:pPr>
      <w:r>
        <w:tab/>
      </w:r>
      <w:r>
        <w:tab/>
        <w:t xml:space="preserve">Complainant alleges a reliability, safety or quality problem with </w:t>
      </w:r>
      <w:r w:rsidR="00C34AD3">
        <w:t>her</w:t>
      </w:r>
      <w:r>
        <w:t xml:space="preserve"> electric service provided by </w:t>
      </w:r>
      <w:r w:rsidR="00C34AD3">
        <w:t>DLC</w:t>
      </w:r>
      <w:r w:rsidR="009663E5">
        <w:t xml:space="preserve"> because of </w:t>
      </w:r>
      <w:r w:rsidR="00DC10E8">
        <w:t>a</w:t>
      </w:r>
      <w:r w:rsidR="009663E5">
        <w:t xml:space="preserve"> power outage on </w:t>
      </w:r>
      <w:r w:rsidR="00272740">
        <w:t xml:space="preserve">or about </w:t>
      </w:r>
      <w:r w:rsidR="00C34AD3">
        <w:t>January 26</w:t>
      </w:r>
      <w:r w:rsidR="009663E5">
        <w:t xml:space="preserve">, 2014 and the damages that resulted. </w:t>
      </w:r>
      <w:r>
        <w:t xml:space="preserve"> Complainant requested payment for damages</w:t>
      </w:r>
      <w:r w:rsidR="002432E9">
        <w:rPr>
          <w:rStyle w:val="FootnoteReference"/>
        </w:rPr>
        <w:footnoteReference w:id="1"/>
      </w:r>
      <w:r>
        <w:t xml:space="preserve"> and requested the Commission </w:t>
      </w:r>
      <w:r w:rsidR="00272740">
        <w:t>to find</w:t>
      </w:r>
      <w:r w:rsidR="009663E5">
        <w:t xml:space="preserve"> </w:t>
      </w:r>
      <w:r w:rsidR="00C34AD3">
        <w:t>DLC</w:t>
      </w:r>
      <w:r w:rsidR="00272740">
        <w:t xml:space="preserve"> failed </w:t>
      </w:r>
      <w:r w:rsidR="009663E5">
        <w:t>to provide customer service on a reliability, safety or quality problem</w:t>
      </w:r>
      <w:r w:rsidR="00272740">
        <w:t xml:space="preserve">.  </w:t>
      </w:r>
      <w:r w:rsidR="003006CD">
        <w:t xml:space="preserve">Complainant wants the Commission to order DLC to fix the damages caused by the water pipes that broke when there was no electricity to operate the heating system.  </w:t>
      </w:r>
      <w:r w:rsidR="00272740">
        <w:t xml:space="preserve">Complainant contends the water pipes broke because the heating system lacked electricity to operate and the service address became too cold.  </w:t>
      </w:r>
    </w:p>
    <w:p w:rsidR="003006CD" w:rsidRDefault="003006CD" w:rsidP="00C34AD3">
      <w:pPr>
        <w:spacing w:line="360" w:lineRule="auto"/>
        <w:ind w:firstLine="1440"/>
      </w:pPr>
    </w:p>
    <w:p w:rsidR="006C773F" w:rsidRPr="008B455C" w:rsidRDefault="006C773F" w:rsidP="00C34AD3">
      <w:pPr>
        <w:spacing w:line="360" w:lineRule="auto"/>
        <w:ind w:firstLine="1440"/>
      </w:pPr>
      <w:r w:rsidRPr="00B73D10">
        <w:t xml:space="preserve">Respondent </w:t>
      </w:r>
      <w:r>
        <w:t xml:space="preserve">contends it provided reasonable and adequate service in how it maintained its facilities.  </w:t>
      </w:r>
      <w:r w:rsidRPr="008B455C">
        <w:t>Respondent</w:t>
      </w:r>
      <w:r>
        <w:t xml:space="preserve"> argues its equipment was not defective and it was not negligent in how it maintained its equipment or in how it </w:t>
      </w:r>
      <w:r w:rsidR="00502902">
        <w:t xml:space="preserve">handled </w:t>
      </w:r>
      <w:r w:rsidR="009663E5">
        <w:t xml:space="preserve">the situation which developed on </w:t>
      </w:r>
      <w:r w:rsidR="00C34AD3">
        <w:t>January 26</w:t>
      </w:r>
      <w:r w:rsidR="009663E5">
        <w:t>, 2014</w:t>
      </w:r>
      <w:r w:rsidR="00C34AD3">
        <w:t xml:space="preserve"> and in the days following</w:t>
      </w:r>
      <w:r w:rsidR="00272740">
        <w:t xml:space="preserve">.  DLC avers it did not cause the problem experienced at the service address and Complainant has not met her burden of proving that DLC failed to provide reasonable and adequate service.  </w:t>
      </w:r>
    </w:p>
    <w:p w:rsidR="006C773F" w:rsidRDefault="006C773F" w:rsidP="006C773F">
      <w:pPr>
        <w:pStyle w:val="BodyText"/>
        <w:jc w:val="left"/>
        <w:rPr>
          <w:sz w:val="24"/>
          <w:szCs w:val="24"/>
        </w:rPr>
      </w:pPr>
    </w:p>
    <w:p w:rsidR="00126B45" w:rsidRPr="00A41132" w:rsidRDefault="00126B45" w:rsidP="00126B45">
      <w:pPr>
        <w:spacing w:line="360" w:lineRule="auto"/>
        <w:rPr>
          <w:u w:val="single"/>
        </w:rPr>
      </w:pPr>
      <w:r w:rsidRPr="00A41132">
        <w:rPr>
          <w:u w:val="single"/>
        </w:rPr>
        <w:t>Burden of Proof</w:t>
      </w:r>
    </w:p>
    <w:p w:rsidR="00126B45" w:rsidRPr="00A41132" w:rsidRDefault="00126B45" w:rsidP="00126B45">
      <w:pPr>
        <w:spacing w:line="360" w:lineRule="auto"/>
      </w:pPr>
    </w:p>
    <w:p w:rsidR="004A0254" w:rsidRDefault="00126B45" w:rsidP="004A0254">
      <w:pPr>
        <w:spacing w:line="360" w:lineRule="auto"/>
        <w:ind w:firstLine="1440"/>
      </w:pPr>
      <w:r w:rsidRPr="00A41132">
        <w:t>As the party seeking affirmative relief from the Commission, Complainant bears the burden of provin</w:t>
      </w:r>
      <w:r>
        <w:t xml:space="preserve">g by substantial evidence </w:t>
      </w:r>
      <w:r w:rsidR="00C34AD3">
        <w:t>s</w:t>
      </w:r>
      <w:r w:rsidRPr="00A41132">
        <w:t>he is entitled to the requested relief.  66 Pa.C.S.</w:t>
      </w:r>
      <w:r>
        <w:t>A.</w:t>
      </w:r>
      <w:r w:rsidRPr="00A41132">
        <w:t xml:space="preserve"> § 332(a).  To satisfy this burden, Complainant must show </w:t>
      </w:r>
      <w:r>
        <w:t>Respondent utility</w:t>
      </w:r>
      <w:r w:rsidRPr="00A41132">
        <w:t xml:space="preserve"> is responsible or accountable for the problem described.</w:t>
      </w:r>
      <w:r>
        <w:rPr>
          <w:rStyle w:val="FootnoteReference"/>
        </w:rPr>
        <w:footnoteReference w:id="2"/>
      </w:r>
      <w:r w:rsidRPr="00A41132">
        <w:t xml:space="preserve">  </w:t>
      </w:r>
      <w:r>
        <w:t xml:space="preserve">Complainant must show this fact to be true </w:t>
      </w:r>
      <w:r w:rsidRPr="00A41132">
        <w:t xml:space="preserve">by a preponderance of the evidence, that is, by presenting evidence more convincing, by even the smallest amount, than that </w:t>
      </w:r>
      <w:r>
        <w:t xml:space="preserve">evidence </w:t>
      </w:r>
      <w:r w:rsidRPr="00A41132">
        <w:t>presented by the other party.</w:t>
      </w:r>
      <w:r>
        <w:rPr>
          <w:rStyle w:val="FootnoteReference"/>
        </w:rPr>
        <w:footnoteReference w:id="3"/>
      </w:r>
      <w:r w:rsidRPr="00A41132">
        <w:t xml:space="preserve">  Additionally, any finding of fact necessary to support the Commission’s adjudication must be based upon substantial evidence.</w:t>
      </w:r>
      <w:r>
        <w:rPr>
          <w:rStyle w:val="FootnoteReference"/>
        </w:rPr>
        <w:footnoteReference w:id="4"/>
      </w:r>
      <w:r w:rsidRPr="00A41132">
        <w:t xml:space="preserve">  </w:t>
      </w:r>
      <w:r>
        <w:t xml:space="preserve">Furthermore, more evidence </w:t>
      </w:r>
      <w:r w:rsidRPr="00A41132">
        <w:t>is required than a mere trace of evidence or a suspicion of the existence of a fact sought to be established.</w:t>
      </w:r>
      <w:r>
        <w:rPr>
          <w:rStyle w:val="FootnoteReference"/>
        </w:rPr>
        <w:footnoteReference w:id="5"/>
      </w:r>
      <w:r w:rsidRPr="00A41132">
        <w:t xml:space="preserve">  </w:t>
      </w:r>
    </w:p>
    <w:p w:rsidR="004A0254" w:rsidRDefault="004A0254" w:rsidP="007E48E1">
      <w:pPr>
        <w:pStyle w:val="BodyText"/>
        <w:jc w:val="left"/>
        <w:rPr>
          <w:sz w:val="24"/>
          <w:szCs w:val="24"/>
        </w:rPr>
      </w:pPr>
    </w:p>
    <w:p w:rsidR="007E48E1" w:rsidRDefault="007E48E1" w:rsidP="007E48E1">
      <w:pPr>
        <w:pStyle w:val="BodyText"/>
        <w:ind w:firstLine="1440"/>
        <w:jc w:val="left"/>
        <w:rPr>
          <w:sz w:val="24"/>
          <w:szCs w:val="24"/>
        </w:rPr>
      </w:pPr>
      <w:r>
        <w:rPr>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Pa.C.S.A. §</w:t>
      </w:r>
      <w:r w:rsidR="0093152B">
        <w:rPr>
          <w:sz w:val="24"/>
          <w:szCs w:val="24"/>
        </w:rPr>
        <w:t xml:space="preserve"> </w:t>
      </w:r>
      <w:r>
        <w:rPr>
          <w:sz w:val="24"/>
          <w:szCs w:val="24"/>
        </w:rPr>
        <w:t>1501.</w:t>
      </w:r>
    </w:p>
    <w:p w:rsidR="007E48E1" w:rsidRDefault="007E48E1" w:rsidP="007E48E1">
      <w:pPr>
        <w:pStyle w:val="BodyText"/>
        <w:ind w:firstLine="1440"/>
        <w:jc w:val="left"/>
        <w:rPr>
          <w:sz w:val="24"/>
          <w:szCs w:val="24"/>
        </w:rPr>
      </w:pPr>
    </w:p>
    <w:p w:rsidR="003F3FA0" w:rsidRDefault="003F3FA0" w:rsidP="007E48E1">
      <w:pPr>
        <w:pStyle w:val="BodyText"/>
        <w:ind w:firstLine="1440"/>
        <w:jc w:val="left"/>
        <w:rPr>
          <w:sz w:val="24"/>
          <w:szCs w:val="24"/>
        </w:rPr>
      </w:pPr>
    </w:p>
    <w:p w:rsidR="004A0254" w:rsidRPr="004A0254" w:rsidRDefault="004A0254" w:rsidP="004A0254">
      <w:pPr>
        <w:pStyle w:val="BodyText"/>
        <w:jc w:val="left"/>
        <w:rPr>
          <w:sz w:val="24"/>
          <w:szCs w:val="24"/>
          <w:u w:val="single"/>
        </w:rPr>
      </w:pPr>
      <w:r w:rsidRPr="004A0254">
        <w:rPr>
          <w:sz w:val="24"/>
          <w:szCs w:val="24"/>
          <w:u w:val="single"/>
        </w:rPr>
        <w:t>Analysis</w:t>
      </w:r>
    </w:p>
    <w:p w:rsidR="004A0254" w:rsidRDefault="004A0254" w:rsidP="004A0254">
      <w:pPr>
        <w:pStyle w:val="BodyText"/>
        <w:jc w:val="left"/>
        <w:rPr>
          <w:sz w:val="24"/>
          <w:szCs w:val="24"/>
        </w:rPr>
      </w:pPr>
    </w:p>
    <w:p w:rsidR="007976FF" w:rsidRDefault="00EF28A7" w:rsidP="006C773F">
      <w:pPr>
        <w:pStyle w:val="BodyText"/>
        <w:ind w:firstLine="1440"/>
        <w:jc w:val="left"/>
        <w:rPr>
          <w:sz w:val="24"/>
          <w:szCs w:val="24"/>
        </w:rPr>
      </w:pPr>
      <w:r>
        <w:rPr>
          <w:sz w:val="24"/>
          <w:szCs w:val="24"/>
        </w:rPr>
        <w:t xml:space="preserve">This proceeding involves the proverbial question of which came first:  Did the damage result when the water pipes burst and created a short of the electrical system resulting in no heat in the structure; or did the damage result when a power outage turned off the heating system within the structure which led to the water pipes breaking when it got too cold inside the structure?   </w:t>
      </w:r>
      <w:r w:rsidR="003C2B7F">
        <w:rPr>
          <w:sz w:val="24"/>
          <w:szCs w:val="24"/>
        </w:rPr>
        <w:t xml:space="preserve">Complainant’s </w:t>
      </w:r>
      <w:r w:rsidR="007E48E1">
        <w:rPr>
          <w:sz w:val="24"/>
          <w:szCs w:val="24"/>
        </w:rPr>
        <w:t xml:space="preserve">testimony </w:t>
      </w:r>
      <w:r w:rsidR="003C2B7F">
        <w:rPr>
          <w:sz w:val="24"/>
          <w:szCs w:val="24"/>
        </w:rPr>
        <w:t xml:space="preserve">and evidence </w:t>
      </w:r>
      <w:r w:rsidR="007E48E1">
        <w:rPr>
          <w:sz w:val="24"/>
          <w:szCs w:val="24"/>
        </w:rPr>
        <w:t xml:space="preserve">presented sufficiently proved </w:t>
      </w:r>
      <w:r>
        <w:rPr>
          <w:sz w:val="24"/>
          <w:szCs w:val="24"/>
        </w:rPr>
        <w:t>the service address experienced a catastrophic broken water pipe that created extensive damage inside the service address.  However, Complainant did not meet her burden of proving that the broken water pipe is the result of negligence or a failure of DLC to provide reasonable and adequate customer service</w:t>
      </w:r>
      <w:r w:rsidR="006C773F">
        <w:rPr>
          <w:sz w:val="24"/>
          <w:szCs w:val="24"/>
        </w:rPr>
        <w:t xml:space="preserve">.  </w:t>
      </w:r>
    </w:p>
    <w:p w:rsidR="007976FF" w:rsidRDefault="007976FF" w:rsidP="006C773F">
      <w:pPr>
        <w:pStyle w:val="BodyText"/>
        <w:ind w:firstLine="1440"/>
        <w:jc w:val="left"/>
        <w:rPr>
          <w:sz w:val="24"/>
          <w:szCs w:val="24"/>
        </w:rPr>
      </w:pPr>
    </w:p>
    <w:p w:rsidR="006C773F" w:rsidRDefault="006C773F" w:rsidP="00EF28A7">
      <w:pPr>
        <w:pStyle w:val="BodyText"/>
        <w:ind w:firstLine="1440"/>
        <w:jc w:val="left"/>
        <w:rPr>
          <w:sz w:val="24"/>
          <w:szCs w:val="24"/>
        </w:rPr>
      </w:pPr>
      <w:r>
        <w:rPr>
          <w:sz w:val="24"/>
          <w:szCs w:val="24"/>
        </w:rPr>
        <w:t xml:space="preserve">The existence of damaged </w:t>
      </w:r>
      <w:r w:rsidR="003E136A">
        <w:rPr>
          <w:sz w:val="24"/>
          <w:szCs w:val="24"/>
        </w:rPr>
        <w:t xml:space="preserve">personal property and having an </w:t>
      </w:r>
      <w:r w:rsidR="007976FF">
        <w:rPr>
          <w:sz w:val="24"/>
          <w:szCs w:val="24"/>
        </w:rPr>
        <w:t>un</w:t>
      </w:r>
      <w:r w:rsidR="003E136A">
        <w:rPr>
          <w:sz w:val="24"/>
          <w:szCs w:val="24"/>
        </w:rPr>
        <w:t>inhabitable residence are not sufficient proofs that R</w:t>
      </w:r>
      <w:r>
        <w:rPr>
          <w:sz w:val="24"/>
          <w:szCs w:val="24"/>
        </w:rPr>
        <w:t xml:space="preserve">espondent’s equipment was faulty or that Respondent’s service was unreasonable or inadequate.  </w:t>
      </w:r>
      <w:r w:rsidR="00EF28A7">
        <w:rPr>
          <w:sz w:val="24"/>
          <w:szCs w:val="24"/>
        </w:rPr>
        <w:t xml:space="preserve">Proof was needed from individuals such as an electrician, a contractor and/or an engineer who might have been able to provide information and pictures to document the cause of the broken water pipes.  Complainant did not provide any evidence that DLC </w:t>
      </w:r>
      <w:r w:rsidRPr="00BF51E4">
        <w:rPr>
          <w:sz w:val="24"/>
          <w:szCs w:val="24"/>
        </w:rPr>
        <w:t>violated the Commission’s regulations by failing to provide reasonable and adequate customer service.</w:t>
      </w:r>
      <w:r w:rsidR="00EF28A7">
        <w:rPr>
          <w:sz w:val="24"/>
          <w:szCs w:val="24"/>
        </w:rPr>
        <w:t xml:space="preserve">  Without that proof, Complainant’s formal complaint must be dismissed.  </w:t>
      </w:r>
      <w:r w:rsidRPr="00BF51E4">
        <w:rPr>
          <w:sz w:val="24"/>
          <w:szCs w:val="24"/>
        </w:rPr>
        <w:t xml:space="preserve">  </w:t>
      </w:r>
    </w:p>
    <w:p w:rsidR="006C773F" w:rsidRDefault="006C773F" w:rsidP="00DC090B">
      <w:pPr>
        <w:pStyle w:val="BodyText"/>
        <w:jc w:val="center"/>
        <w:rPr>
          <w:u w:val="single"/>
        </w:rPr>
      </w:pPr>
    </w:p>
    <w:p w:rsidR="007E48E1" w:rsidRPr="008B455C" w:rsidRDefault="007E48E1" w:rsidP="00DC090B">
      <w:pPr>
        <w:pStyle w:val="BodyText"/>
        <w:jc w:val="center"/>
        <w:rPr>
          <w:u w:val="single"/>
        </w:rPr>
      </w:pPr>
      <w:r w:rsidRPr="008B455C">
        <w:rPr>
          <w:u w:val="single"/>
        </w:rPr>
        <w:t>CONCLUSIONS OF LAW</w:t>
      </w:r>
    </w:p>
    <w:p w:rsidR="007E48E1" w:rsidRPr="008B455C" w:rsidRDefault="007E48E1" w:rsidP="007E48E1">
      <w:pPr>
        <w:spacing w:line="360" w:lineRule="auto"/>
        <w:ind w:firstLine="1440"/>
      </w:pPr>
    </w:p>
    <w:p w:rsidR="007E48E1" w:rsidRPr="008B455C" w:rsidRDefault="007E48E1" w:rsidP="007E48E1">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w:t>
      </w:r>
      <w:proofErr w:type="gramStart"/>
      <w:r w:rsidRPr="008B455C">
        <w:t>66 Pa.C.S</w:t>
      </w:r>
      <w:r w:rsidR="004E0A83">
        <w:t>A.</w:t>
      </w:r>
      <w:proofErr w:type="gramEnd"/>
      <w:r w:rsidRPr="008B455C">
        <w:t xml:space="preserve"> §</w:t>
      </w:r>
      <w:r w:rsidR="00E561DC">
        <w:t xml:space="preserve"> </w:t>
      </w:r>
      <w:r w:rsidRPr="008B455C">
        <w:t>701.</w:t>
      </w:r>
    </w:p>
    <w:p w:rsidR="007E48E1" w:rsidRPr="008B455C" w:rsidRDefault="007E48E1" w:rsidP="007E48E1">
      <w:pPr>
        <w:tabs>
          <w:tab w:val="num" w:pos="2160"/>
        </w:tabs>
        <w:spacing w:line="360" w:lineRule="auto"/>
        <w:ind w:firstLine="1260"/>
      </w:pPr>
    </w:p>
    <w:p w:rsidR="007E48E1" w:rsidRPr="00DC10E8" w:rsidRDefault="007E48E1" w:rsidP="007E48E1">
      <w:pPr>
        <w:spacing w:line="360" w:lineRule="auto"/>
      </w:pPr>
      <w:r w:rsidRPr="008B455C">
        <w:tab/>
      </w:r>
      <w:r w:rsidRPr="00DC10E8">
        <w:tab/>
        <w:t>2.</w:t>
      </w:r>
      <w:r w:rsidRPr="00DC10E8">
        <w:tab/>
        <w:t xml:space="preserve">Complainant carries the burden of proving Respondent did not provide reasonable and adequate service.  </w:t>
      </w:r>
      <w:proofErr w:type="gramStart"/>
      <w:r w:rsidRPr="00DC10E8">
        <w:t>66 Pa.C.S.A.</w:t>
      </w:r>
      <w:proofErr w:type="gramEnd"/>
      <w:r w:rsidRPr="00DC10E8">
        <w:t xml:space="preserve"> §</w:t>
      </w:r>
      <w:r w:rsidR="00E561DC" w:rsidRPr="00DC10E8">
        <w:t xml:space="preserve"> </w:t>
      </w:r>
      <w:r w:rsidRPr="00DC10E8">
        <w:t>332(a).</w:t>
      </w:r>
    </w:p>
    <w:p w:rsidR="007E48E1" w:rsidRPr="00DC10E8" w:rsidRDefault="007E48E1" w:rsidP="007E48E1">
      <w:pPr>
        <w:spacing w:line="360" w:lineRule="auto"/>
      </w:pPr>
    </w:p>
    <w:p w:rsidR="007E48E1" w:rsidRPr="003C2B7F" w:rsidRDefault="007E48E1" w:rsidP="00DC10E8">
      <w:pPr>
        <w:pStyle w:val="FootnoteText"/>
        <w:spacing w:line="360" w:lineRule="auto"/>
        <w:rPr>
          <w:sz w:val="24"/>
          <w:szCs w:val="24"/>
        </w:rPr>
      </w:pPr>
      <w:r w:rsidRPr="00DC10E8">
        <w:rPr>
          <w:sz w:val="24"/>
          <w:szCs w:val="24"/>
        </w:rPr>
        <w:tab/>
      </w:r>
      <w:r w:rsidRPr="00DC10E8">
        <w:rPr>
          <w:sz w:val="24"/>
          <w:szCs w:val="24"/>
        </w:rPr>
        <w:tab/>
        <w:t>3.</w:t>
      </w:r>
      <w:r w:rsidRPr="00DC10E8">
        <w:rPr>
          <w:sz w:val="24"/>
          <w:szCs w:val="24"/>
        </w:rPr>
        <w:tab/>
        <w:t xml:space="preserve">Complainant failed to meet the burden of proving Respondent did not provide reasonable and adequate service.   </w:t>
      </w:r>
      <w:proofErr w:type="gramStart"/>
      <w:r w:rsidR="003C2B7F" w:rsidRPr="003C2B7F">
        <w:rPr>
          <w:sz w:val="24"/>
          <w:szCs w:val="24"/>
        </w:rPr>
        <w:t>66 Pa.C.SA.</w:t>
      </w:r>
      <w:proofErr w:type="gramEnd"/>
      <w:r w:rsidR="003C2B7F" w:rsidRPr="003C2B7F">
        <w:rPr>
          <w:sz w:val="24"/>
          <w:szCs w:val="24"/>
        </w:rPr>
        <w:t xml:space="preserve"> § </w:t>
      </w:r>
      <w:r w:rsidR="003C2B7F">
        <w:rPr>
          <w:sz w:val="24"/>
          <w:szCs w:val="24"/>
        </w:rPr>
        <w:t>15</w:t>
      </w:r>
      <w:r w:rsidR="003C2B7F" w:rsidRPr="003C2B7F">
        <w:rPr>
          <w:sz w:val="24"/>
          <w:szCs w:val="24"/>
        </w:rPr>
        <w:t>01.</w:t>
      </w:r>
      <w:r w:rsidRPr="003C2B7F">
        <w:rPr>
          <w:sz w:val="24"/>
          <w:szCs w:val="24"/>
        </w:rPr>
        <w:t xml:space="preserve"> </w:t>
      </w:r>
    </w:p>
    <w:p w:rsidR="007E48E1" w:rsidRPr="00DC10E8" w:rsidRDefault="00DC10E8" w:rsidP="007E48E1">
      <w:pPr>
        <w:spacing w:line="360" w:lineRule="auto"/>
      </w:pPr>
      <w:r w:rsidRPr="00DC10E8">
        <w:tab/>
      </w:r>
      <w:r w:rsidRPr="00DC10E8">
        <w:tab/>
        <w:t>4</w:t>
      </w:r>
      <w:r w:rsidR="007E48E1" w:rsidRPr="00DC10E8">
        <w:t>.</w:t>
      </w:r>
      <w:r w:rsidR="007E48E1" w:rsidRPr="00DC10E8">
        <w:tab/>
        <w:t>The Commission is without jurisdiction to consider negligence issues</w:t>
      </w:r>
      <w:r w:rsidR="003E136A" w:rsidRPr="00DC10E8">
        <w:t xml:space="preserve"> or award damages</w:t>
      </w:r>
      <w:r w:rsidR="007E48E1" w:rsidRPr="00DC10E8">
        <w:t xml:space="preserve">.  </w:t>
      </w:r>
      <w:proofErr w:type="spellStart"/>
      <w:proofErr w:type="gramStart"/>
      <w:r w:rsidR="007E48E1" w:rsidRPr="00DC10E8">
        <w:rPr>
          <w:u w:val="single"/>
        </w:rPr>
        <w:t>Poorbaugh</w:t>
      </w:r>
      <w:proofErr w:type="spellEnd"/>
      <w:r w:rsidR="007E48E1" w:rsidRPr="00DC10E8">
        <w:rPr>
          <w:u w:val="single"/>
        </w:rPr>
        <w:t xml:space="preserve"> v. P</w:t>
      </w:r>
      <w:r w:rsidR="005944A4" w:rsidRPr="00DC10E8">
        <w:rPr>
          <w:u w:val="single"/>
        </w:rPr>
        <w:t>a. Pub.</w:t>
      </w:r>
      <w:proofErr w:type="gramEnd"/>
      <w:r w:rsidR="005944A4" w:rsidRPr="00DC10E8">
        <w:rPr>
          <w:u w:val="single"/>
        </w:rPr>
        <w:t xml:space="preserve"> </w:t>
      </w:r>
      <w:proofErr w:type="gramStart"/>
      <w:r w:rsidR="005944A4" w:rsidRPr="00DC10E8">
        <w:rPr>
          <w:u w:val="single"/>
        </w:rPr>
        <w:t>Util. Comm’n</w:t>
      </w:r>
      <w:r w:rsidR="007E48E1" w:rsidRPr="00DC10E8">
        <w:t>, 666 A.2d 744 (</w:t>
      </w:r>
      <w:proofErr w:type="spellStart"/>
      <w:r w:rsidR="007E48E1" w:rsidRPr="00DC10E8">
        <w:t>Pa.Cmw</w:t>
      </w:r>
      <w:r w:rsidR="005944A4" w:rsidRPr="00DC10E8">
        <w:t>lth</w:t>
      </w:r>
      <w:proofErr w:type="spellEnd"/>
      <w:r w:rsidR="007E48E1" w:rsidRPr="00DC10E8">
        <w:t>. 1995).</w:t>
      </w:r>
      <w:proofErr w:type="gramEnd"/>
      <w:r w:rsidR="007E48E1" w:rsidRPr="00DC10E8">
        <w:tab/>
      </w:r>
    </w:p>
    <w:p w:rsidR="00C34AD3" w:rsidRDefault="00C34AD3" w:rsidP="007E48E1">
      <w:pPr>
        <w:spacing w:line="360" w:lineRule="auto"/>
        <w:jc w:val="center"/>
        <w:rPr>
          <w:u w:val="single"/>
        </w:rPr>
      </w:pPr>
    </w:p>
    <w:p w:rsidR="007E48E1" w:rsidRPr="008B455C" w:rsidRDefault="007E48E1" w:rsidP="007E48E1">
      <w:pPr>
        <w:spacing w:line="360" w:lineRule="auto"/>
        <w:jc w:val="center"/>
        <w:rPr>
          <w:u w:val="single"/>
        </w:rPr>
      </w:pPr>
      <w:r w:rsidRPr="008B455C">
        <w:rPr>
          <w:u w:val="single"/>
        </w:rPr>
        <w:t>ORDER</w:t>
      </w:r>
    </w:p>
    <w:p w:rsidR="007E48E1" w:rsidRDefault="007E48E1" w:rsidP="007E48E1">
      <w:pPr>
        <w:tabs>
          <w:tab w:val="num" w:pos="2160"/>
        </w:tabs>
        <w:spacing w:line="360" w:lineRule="auto"/>
        <w:jc w:val="center"/>
        <w:rPr>
          <w:u w:val="single"/>
        </w:rPr>
      </w:pPr>
    </w:p>
    <w:p w:rsidR="004A7777" w:rsidRPr="008B455C" w:rsidRDefault="004A7777" w:rsidP="007E48E1">
      <w:pPr>
        <w:tabs>
          <w:tab w:val="num" w:pos="2160"/>
        </w:tabs>
        <w:spacing w:line="360" w:lineRule="auto"/>
        <w:jc w:val="center"/>
        <w:rPr>
          <w:u w:val="single"/>
        </w:rPr>
      </w:pPr>
    </w:p>
    <w:p w:rsidR="007E48E1" w:rsidRPr="008B455C" w:rsidRDefault="007E48E1" w:rsidP="007E48E1">
      <w:pPr>
        <w:tabs>
          <w:tab w:val="num" w:pos="2160"/>
        </w:tabs>
        <w:spacing w:line="360" w:lineRule="auto"/>
        <w:ind w:firstLine="1440"/>
      </w:pPr>
      <w:r w:rsidRPr="008B455C">
        <w:t xml:space="preserve">THEREFORE, </w:t>
      </w:r>
    </w:p>
    <w:p w:rsidR="007E48E1" w:rsidRPr="008B455C" w:rsidRDefault="007E48E1" w:rsidP="007E48E1">
      <w:pPr>
        <w:tabs>
          <w:tab w:val="num" w:pos="2160"/>
        </w:tabs>
        <w:spacing w:line="360" w:lineRule="auto"/>
      </w:pPr>
    </w:p>
    <w:p w:rsidR="007E48E1" w:rsidRPr="008B455C" w:rsidRDefault="007E48E1" w:rsidP="007E48E1">
      <w:pPr>
        <w:tabs>
          <w:tab w:val="num" w:pos="2160"/>
        </w:tabs>
        <w:spacing w:line="360" w:lineRule="auto"/>
        <w:ind w:firstLine="1440"/>
      </w:pPr>
      <w:r w:rsidRPr="008B455C">
        <w:t>IT IS ORDERED:</w:t>
      </w:r>
    </w:p>
    <w:p w:rsidR="007E48E1" w:rsidRPr="008B455C" w:rsidRDefault="007E48E1" w:rsidP="007E48E1">
      <w:pPr>
        <w:tabs>
          <w:tab w:val="num" w:pos="2160"/>
        </w:tabs>
        <w:spacing w:line="360" w:lineRule="auto"/>
        <w:rPr>
          <w:b/>
        </w:rPr>
      </w:pPr>
    </w:p>
    <w:p w:rsidR="007E48E1" w:rsidRDefault="007E48E1" w:rsidP="00DE391B">
      <w:pPr>
        <w:pStyle w:val="ListParagraph"/>
        <w:numPr>
          <w:ilvl w:val="0"/>
          <w:numId w:val="8"/>
        </w:numPr>
        <w:tabs>
          <w:tab w:val="num" w:pos="2160"/>
        </w:tabs>
        <w:spacing w:line="360" w:lineRule="auto"/>
        <w:ind w:left="0" w:firstLine="1440"/>
      </w:pPr>
      <w:r w:rsidRPr="008B455C">
        <w:t xml:space="preserve">That the complaint </w:t>
      </w:r>
      <w:r w:rsidRPr="002F64FF">
        <w:t xml:space="preserve">of </w:t>
      </w:r>
      <w:r w:rsidR="00C34AD3">
        <w:t xml:space="preserve">Joyce </w:t>
      </w:r>
      <w:proofErr w:type="spellStart"/>
      <w:r w:rsidR="00C34AD3">
        <w:t>Mies</w:t>
      </w:r>
      <w:proofErr w:type="spellEnd"/>
      <w:r w:rsidR="00C34AD3">
        <w:t xml:space="preserve"> v. Duquesne Light</w:t>
      </w:r>
      <w:r w:rsidRPr="002F64FF">
        <w:t xml:space="preserve"> Company</w:t>
      </w:r>
      <w:r w:rsidRPr="00055267">
        <w:t xml:space="preserve"> </w:t>
      </w:r>
      <w:r w:rsidRPr="008B455C">
        <w:t xml:space="preserve">at </w:t>
      </w:r>
      <w:r>
        <w:t>Docket No. C</w:t>
      </w:r>
      <w:r w:rsidRPr="008B455C">
        <w:noBreakHyphen/>
      </w:r>
      <w:r w:rsidR="003E136A">
        <w:t>2014-24</w:t>
      </w:r>
      <w:r w:rsidR="00C34AD3">
        <w:t xml:space="preserve">17790 </w:t>
      </w:r>
      <w:r>
        <w:t>is</w:t>
      </w:r>
      <w:r w:rsidRPr="00EA1625">
        <w:t xml:space="preserve"> </w:t>
      </w:r>
      <w:r w:rsidR="00EF28A7">
        <w:t>dismissed</w:t>
      </w:r>
      <w:r>
        <w:t xml:space="preserve"> because Complainant failed to prove </w:t>
      </w:r>
      <w:r w:rsidRPr="008B455C">
        <w:t>Respondent</w:t>
      </w:r>
      <w:r>
        <w:t xml:space="preserve"> did not provide reasonable and adequate service in </w:t>
      </w:r>
      <w:r w:rsidR="003E136A">
        <w:t xml:space="preserve">how it handled the power outage on </w:t>
      </w:r>
      <w:r w:rsidR="00C34AD3">
        <w:t>January 26</w:t>
      </w:r>
      <w:r w:rsidR="003E136A">
        <w:t>, 2014</w:t>
      </w:r>
      <w:r w:rsidRPr="008B455C">
        <w:t>.</w:t>
      </w:r>
    </w:p>
    <w:p w:rsidR="00DE391B" w:rsidRDefault="00DE391B" w:rsidP="00DE391B">
      <w:pPr>
        <w:spacing w:line="360" w:lineRule="auto"/>
        <w:ind w:firstLine="1440"/>
      </w:pPr>
    </w:p>
    <w:p w:rsidR="00DE391B" w:rsidRPr="00DE391B" w:rsidRDefault="00DE391B" w:rsidP="00DE391B">
      <w:pPr>
        <w:pStyle w:val="ListParagraph"/>
        <w:numPr>
          <w:ilvl w:val="0"/>
          <w:numId w:val="8"/>
        </w:numPr>
        <w:tabs>
          <w:tab w:val="left" w:pos="-1440"/>
          <w:tab w:val="left" w:pos="-720"/>
        </w:tabs>
        <w:suppressAutoHyphens/>
        <w:ind w:left="0" w:firstLine="1440"/>
        <w:rPr>
          <w:spacing w:val="-3"/>
        </w:rPr>
      </w:pPr>
      <w:r w:rsidRPr="00DE391B">
        <w:rPr>
          <w:spacing w:val="-3"/>
        </w:rPr>
        <w:t>That this docket be marked closed and discontinued.</w:t>
      </w:r>
    </w:p>
    <w:p w:rsidR="00DE391B" w:rsidRDefault="00DE391B" w:rsidP="00DE391B">
      <w:pPr>
        <w:tabs>
          <w:tab w:val="num" w:pos="2160"/>
        </w:tabs>
        <w:spacing w:line="360" w:lineRule="auto"/>
        <w:ind w:firstLine="1440"/>
      </w:pPr>
    </w:p>
    <w:p w:rsidR="007E48E1" w:rsidRPr="008B455C" w:rsidRDefault="007E48E1" w:rsidP="007E48E1">
      <w:pPr>
        <w:tabs>
          <w:tab w:val="num" w:pos="2160"/>
        </w:tabs>
        <w:spacing w:line="360" w:lineRule="auto"/>
      </w:pPr>
      <w:r>
        <w:tab/>
      </w:r>
    </w:p>
    <w:p w:rsidR="007E48E1" w:rsidRPr="008B455C" w:rsidRDefault="007E48E1" w:rsidP="007E48E1">
      <w:pPr>
        <w:tabs>
          <w:tab w:val="num" w:pos="2160"/>
        </w:tabs>
        <w:spacing w:line="360" w:lineRule="auto"/>
        <w:ind w:firstLine="1440"/>
      </w:pPr>
      <w:r w:rsidRPr="008B455C">
        <w:tab/>
        <w:t xml:space="preserve"> </w:t>
      </w:r>
    </w:p>
    <w:p w:rsidR="00C04092" w:rsidRDefault="00B86EF4" w:rsidP="00C04092">
      <w:r>
        <w:t xml:space="preserve"> </w:t>
      </w:r>
      <w:r w:rsidR="00FE5CE7">
        <w:t xml:space="preserve">Date:  </w:t>
      </w:r>
      <w:r w:rsidR="00EF28A7">
        <w:rPr>
          <w:u w:val="single"/>
        </w:rPr>
        <w:t>September 19</w:t>
      </w:r>
      <w:r w:rsidR="00FE5CE7" w:rsidRPr="00FE5CE7">
        <w:rPr>
          <w:u w:val="single"/>
        </w:rPr>
        <w:t>, 2014</w:t>
      </w:r>
      <w:r w:rsidR="00C04092">
        <w:tab/>
      </w:r>
      <w:r w:rsidR="00C04092">
        <w:tab/>
      </w:r>
      <w:r w:rsidR="00C04092">
        <w:tab/>
      </w:r>
      <w:r w:rsidR="00C04092">
        <w:tab/>
      </w:r>
      <w:r w:rsidR="00C04092">
        <w:tab/>
      </w:r>
      <w:r w:rsidR="00C04092">
        <w:rPr>
          <w:u w:val="single"/>
        </w:rPr>
        <w:tab/>
      </w:r>
      <w:r w:rsidR="00C04092">
        <w:rPr>
          <w:u w:val="single"/>
        </w:rPr>
        <w:tab/>
        <w:t>/s/</w:t>
      </w:r>
      <w:r w:rsidR="00C04092">
        <w:rPr>
          <w:u w:val="single"/>
        </w:rPr>
        <w:tab/>
      </w:r>
      <w:r w:rsidR="00C04092">
        <w:rPr>
          <w:u w:val="single"/>
        </w:rPr>
        <w:tab/>
      </w:r>
      <w:r w:rsidR="00C04092">
        <w:rPr>
          <w:u w:val="single"/>
        </w:rPr>
        <w:tab/>
      </w:r>
    </w:p>
    <w:p w:rsidR="007E48E1" w:rsidRPr="008B455C" w:rsidRDefault="007E48E1" w:rsidP="007E48E1">
      <w:pPr>
        <w:tabs>
          <w:tab w:val="num" w:pos="2160"/>
        </w:tabs>
      </w:pPr>
      <w:r w:rsidRPr="008B455C">
        <w:tab/>
      </w:r>
      <w:r w:rsidRPr="008B455C">
        <w:tab/>
      </w:r>
      <w:r w:rsidRPr="008B455C">
        <w:tab/>
      </w:r>
      <w:r w:rsidRPr="008B455C">
        <w:tab/>
      </w:r>
      <w:r w:rsidR="004A7777">
        <w:tab/>
      </w:r>
      <w:r w:rsidR="001D78CA">
        <w:tab/>
      </w:r>
      <w:r w:rsidRPr="008B455C">
        <w:t>Katrina L. Dunderdale</w:t>
      </w:r>
    </w:p>
    <w:p w:rsidR="009A4572" w:rsidRPr="008B455C" w:rsidRDefault="007E48E1" w:rsidP="00EA12C1">
      <w:pPr>
        <w:tabs>
          <w:tab w:val="num" w:pos="2160"/>
        </w:tabs>
      </w:pPr>
      <w:r w:rsidRPr="008B455C">
        <w:tab/>
      </w:r>
      <w:r w:rsidRPr="008B455C">
        <w:tab/>
      </w:r>
      <w:r w:rsidRPr="008B455C">
        <w:tab/>
      </w:r>
      <w:r w:rsidRPr="008B455C">
        <w:tab/>
      </w:r>
      <w:r w:rsidR="004A7777">
        <w:tab/>
      </w:r>
      <w:r w:rsidR="001D78CA">
        <w:tab/>
      </w:r>
      <w:r w:rsidR="009A4572">
        <w:t>Administrative Law Judge</w:t>
      </w:r>
    </w:p>
    <w:sectPr w:rsidR="009A4572" w:rsidRPr="008B455C" w:rsidSect="005F5542">
      <w:footerReference w:type="even" r:id="rId9"/>
      <w:footerReference w:type="default" r:id="rId10"/>
      <w:pgSz w:w="12240" w:h="15840" w:code="1"/>
      <w:pgMar w:top="1440" w:right="1440" w:bottom="1440" w:left="1440" w:header="720" w:footer="720" w:gutter="0"/>
      <w:paperSrc w:first="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1E8" w:rsidRDefault="00D621E8">
      <w:r>
        <w:separator/>
      </w:r>
    </w:p>
  </w:endnote>
  <w:endnote w:type="continuationSeparator" w:id="0">
    <w:p w:rsidR="00D621E8" w:rsidRDefault="00D6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Default="00E52929"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end"/>
    </w:r>
  </w:p>
  <w:p w:rsidR="00F30562" w:rsidRDefault="00F30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Pr="0014242F" w:rsidRDefault="00E52929"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F30562" w:rsidRPr="0014242F">
      <w:rPr>
        <w:rStyle w:val="PageNumber"/>
        <w:sz w:val="20"/>
        <w:szCs w:val="20"/>
      </w:rPr>
      <w:instrText xml:space="preserve">PAGE  </w:instrText>
    </w:r>
    <w:r w:rsidRPr="0014242F">
      <w:rPr>
        <w:rStyle w:val="PageNumber"/>
        <w:sz w:val="20"/>
        <w:szCs w:val="20"/>
      </w:rPr>
      <w:fldChar w:fldCharType="separate"/>
    </w:r>
    <w:r w:rsidR="00F57082">
      <w:rPr>
        <w:rStyle w:val="PageNumber"/>
        <w:noProof/>
        <w:sz w:val="20"/>
        <w:szCs w:val="20"/>
      </w:rPr>
      <w:t>7</w:t>
    </w:r>
    <w:r w:rsidRPr="0014242F">
      <w:rPr>
        <w:rStyle w:val="PageNumber"/>
        <w:sz w:val="20"/>
        <w:szCs w:val="20"/>
      </w:rPr>
      <w:fldChar w:fldCharType="end"/>
    </w:r>
  </w:p>
  <w:p w:rsidR="00F30562" w:rsidRDefault="00F30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1E8" w:rsidRDefault="00D621E8">
      <w:r>
        <w:separator/>
      </w:r>
    </w:p>
  </w:footnote>
  <w:footnote w:type="continuationSeparator" w:id="0">
    <w:p w:rsidR="00D621E8" w:rsidRDefault="00D621E8">
      <w:r>
        <w:continuationSeparator/>
      </w:r>
    </w:p>
  </w:footnote>
  <w:footnote w:id="1">
    <w:p w:rsidR="002432E9" w:rsidRDefault="00E147FA">
      <w:pPr>
        <w:pStyle w:val="FootnoteText"/>
      </w:pPr>
      <w:r>
        <w:tab/>
      </w:r>
      <w:r w:rsidR="002432E9">
        <w:rPr>
          <w:rStyle w:val="FootnoteReference"/>
        </w:rPr>
        <w:footnoteRef/>
      </w:r>
      <w:r w:rsidR="002432E9">
        <w:t xml:space="preserve"> </w:t>
      </w:r>
      <w:r w:rsidR="002432E9">
        <w:tab/>
        <w:t xml:space="preserve">A request for damages must be denied as outside the Commission’s jurisdiction.  See </w:t>
      </w:r>
      <w:proofErr w:type="spellStart"/>
      <w:r w:rsidR="002432E9" w:rsidRPr="002432E9">
        <w:rPr>
          <w:u w:val="single"/>
        </w:rPr>
        <w:t>Poorbaugh</w:t>
      </w:r>
      <w:proofErr w:type="spellEnd"/>
      <w:r>
        <w:rPr>
          <w:u w:val="single"/>
        </w:rPr>
        <w:t> </w:t>
      </w:r>
      <w:r w:rsidR="002432E9" w:rsidRPr="002432E9">
        <w:rPr>
          <w:u w:val="single"/>
        </w:rPr>
        <w:t xml:space="preserve">v. Pa. Pub. </w:t>
      </w:r>
      <w:proofErr w:type="gramStart"/>
      <w:r w:rsidR="002432E9" w:rsidRPr="002432E9">
        <w:rPr>
          <w:u w:val="single"/>
        </w:rPr>
        <w:t>Util. Comm’n</w:t>
      </w:r>
      <w:r w:rsidR="002432E9">
        <w:t>, 666 A</w:t>
      </w:r>
      <w:r w:rsidR="00EA2B83">
        <w:t>.</w:t>
      </w:r>
      <w:r w:rsidR="002432E9">
        <w:t>2d 744 (</w:t>
      </w:r>
      <w:proofErr w:type="spellStart"/>
      <w:r w:rsidR="002432E9">
        <w:t>Pa</w:t>
      </w:r>
      <w:r w:rsidR="00EA2B83">
        <w:t>.</w:t>
      </w:r>
      <w:r w:rsidR="002432E9">
        <w:t>Cmwlth</w:t>
      </w:r>
      <w:proofErr w:type="spellEnd"/>
      <w:r w:rsidR="002432E9">
        <w:t>. 1995).</w:t>
      </w:r>
      <w:proofErr w:type="gramEnd"/>
    </w:p>
    <w:p w:rsidR="00CC60A3" w:rsidRDefault="00CC60A3">
      <w:pPr>
        <w:pStyle w:val="FootnoteText"/>
      </w:pPr>
    </w:p>
  </w:footnote>
  <w:footnote w:id="2">
    <w:p w:rsidR="00126B45" w:rsidRDefault="00126B45" w:rsidP="00126B45">
      <w:pPr>
        <w:pStyle w:val="FootnoteText"/>
        <w:ind w:firstLine="720"/>
      </w:pPr>
      <w:r w:rsidRPr="00A41132">
        <w:rPr>
          <w:rStyle w:val="FootnoteReference"/>
        </w:rPr>
        <w:footnoteRef/>
      </w:r>
      <w:r w:rsidRPr="00A41132">
        <w:t xml:space="preserve"> </w:t>
      </w:r>
      <w:r w:rsidRPr="00A41132">
        <w:tab/>
      </w:r>
      <w:proofErr w:type="gramStart"/>
      <w:r w:rsidRPr="00A41132">
        <w:rPr>
          <w:u w:val="single"/>
        </w:rPr>
        <w:t>Patterson v. Bell Telephone Co. of Pa.</w:t>
      </w:r>
      <w:r>
        <w:t>, 72 Pa. P</w:t>
      </w:r>
      <w:r w:rsidRPr="00A41132">
        <w:t xml:space="preserve">UC 196 (1990); </w:t>
      </w:r>
      <w:r w:rsidRPr="00A41132">
        <w:rPr>
          <w:u w:val="single"/>
        </w:rPr>
        <w:t>Feinstein v. Philadelphia Suburban Water Co.</w:t>
      </w:r>
      <w:r w:rsidRPr="00A41132">
        <w:t>, 50 Pa. PUC 300 (1976).</w:t>
      </w:r>
      <w:proofErr w:type="gramEnd"/>
      <w:r w:rsidRPr="00A41132">
        <w:t xml:space="preserve">  </w:t>
      </w:r>
    </w:p>
    <w:p w:rsidR="00B30601" w:rsidRPr="00A41132" w:rsidRDefault="00B30601" w:rsidP="00126B45">
      <w:pPr>
        <w:pStyle w:val="FootnoteText"/>
        <w:ind w:firstLine="720"/>
      </w:pPr>
    </w:p>
  </w:footnote>
  <w:footnote w:id="3">
    <w:p w:rsidR="00126B45" w:rsidRDefault="00126B45" w:rsidP="00126B45">
      <w:pPr>
        <w:pStyle w:val="FootnoteText"/>
        <w:ind w:firstLine="720"/>
      </w:pPr>
      <w:r w:rsidRPr="00A41132">
        <w:rPr>
          <w:rStyle w:val="FootnoteReference"/>
        </w:rPr>
        <w:footnoteRef/>
      </w:r>
      <w:r w:rsidRPr="00A41132">
        <w:t xml:space="preserve"> </w:t>
      </w:r>
      <w:r w:rsidRPr="00A41132">
        <w:tab/>
      </w:r>
      <w:proofErr w:type="gramStart"/>
      <w:r w:rsidRPr="00A41132">
        <w:rPr>
          <w:u w:val="single"/>
        </w:rPr>
        <w:t>Samuel J. Lansberry, Inc. v. Pa. Pub</w:t>
      </w:r>
      <w:r>
        <w:rPr>
          <w:u w:val="single"/>
        </w:rPr>
        <w:t>.</w:t>
      </w:r>
      <w:proofErr w:type="gramEnd"/>
      <w:r>
        <w:rPr>
          <w:u w:val="single"/>
        </w:rPr>
        <w:t xml:space="preserve"> </w:t>
      </w:r>
      <w:proofErr w:type="gramStart"/>
      <w:r w:rsidRPr="00A41132">
        <w:rPr>
          <w:u w:val="single"/>
        </w:rPr>
        <w:t>Util</w:t>
      </w:r>
      <w:r>
        <w:rPr>
          <w:u w:val="single"/>
        </w:rPr>
        <w:t xml:space="preserve">. </w:t>
      </w:r>
      <w:r w:rsidRPr="00A41132">
        <w:rPr>
          <w:u w:val="single"/>
        </w:rPr>
        <w:t>Comm</w:t>
      </w:r>
      <w:r>
        <w:rPr>
          <w:u w:val="single"/>
        </w:rPr>
        <w:t>’n</w:t>
      </w:r>
      <w:r w:rsidRPr="00A41132">
        <w:t>, 578 A.2d 600 (</w:t>
      </w:r>
      <w:proofErr w:type="spellStart"/>
      <w:r w:rsidRPr="00A41132">
        <w:t>Pa.Cmwlth</w:t>
      </w:r>
      <w:proofErr w:type="spellEnd"/>
      <w:r w:rsidRPr="00A41132">
        <w:t xml:space="preserve">. 1990), </w:t>
      </w:r>
      <w:r w:rsidRPr="00A41132">
        <w:rPr>
          <w:u w:val="single"/>
        </w:rPr>
        <w:t>alloc.</w:t>
      </w:r>
      <w:proofErr w:type="gramEnd"/>
      <w:r w:rsidRPr="00A41132">
        <w:rPr>
          <w:u w:val="single"/>
        </w:rPr>
        <w:t xml:space="preserve"> </w:t>
      </w:r>
      <w:proofErr w:type="gramStart"/>
      <w:r w:rsidRPr="00A41132">
        <w:rPr>
          <w:u w:val="single"/>
        </w:rPr>
        <w:t>den.</w:t>
      </w:r>
      <w:r w:rsidRPr="00A41132">
        <w:t xml:space="preserve">, 602 A.2d 863 (Pa. 1992); </w:t>
      </w:r>
      <w:r w:rsidRPr="00A41132">
        <w:rPr>
          <w:u w:val="single"/>
        </w:rPr>
        <w:t xml:space="preserve">Se-Ling Hosiery v. </w:t>
      </w:r>
      <w:r w:rsidRPr="00A41132">
        <w:rPr>
          <w:spacing w:val="-3"/>
          <w:u w:val="single"/>
        </w:rPr>
        <w:t>Margulies</w:t>
      </w:r>
      <w:r w:rsidRPr="00A41132">
        <w:t>, 70 A.2d 854 (Pa. 1950).</w:t>
      </w:r>
      <w:proofErr w:type="gramEnd"/>
      <w:r w:rsidRPr="00A41132">
        <w:t xml:space="preserve">  </w:t>
      </w:r>
    </w:p>
    <w:p w:rsidR="003F3FA0" w:rsidRPr="00A41132" w:rsidRDefault="003F3FA0" w:rsidP="00126B45">
      <w:pPr>
        <w:pStyle w:val="FootnoteText"/>
        <w:ind w:firstLine="720"/>
      </w:pPr>
    </w:p>
  </w:footnote>
  <w:footnote w:id="4">
    <w:p w:rsidR="00126B45" w:rsidRPr="00A41132" w:rsidRDefault="00126B45" w:rsidP="00126B45">
      <w:pPr>
        <w:pStyle w:val="FootnoteText"/>
        <w:ind w:firstLine="720"/>
      </w:pPr>
      <w:r w:rsidRPr="00A41132">
        <w:rPr>
          <w:rStyle w:val="FootnoteReference"/>
        </w:rPr>
        <w:footnoteRef/>
      </w:r>
      <w:r w:rsidRPr="00A41132">
        <w:t xml:space="preserve"> </w:t>
      </w:r>
      <w:r w:rsidRPr="00A41132">
        <w:tab/>
      </w:r>
      <w:proofErr w:type="gramStart"/>
      <w:r w:rsidRPr="00A41132">
        <w:rPr>
          <w:u w:val="single"/>
        </w:rPr>
        <w:t>Mill v. Pa. Pub</w:t>
      </w:r>
      <w:r>
        <w:rPr>
          <w:u w:val="single"/>
        </w:rPr>
        <w:t>.</w:t>
      </w:r>
      <w:proofErr w:type="gramEnd"/>
      <w:r w:rsidRPr="00A41132">
        <w:rPr>
          <w:u w:val="single"/>
        </w:rPr>
        <w:t xml:space="preserve"> </w:t>
      </w:r>
      <w:proofErr w:type="gramStart"/>
      <w:r w:rsidRPr="00A41132">
        <w:rPr>
          <w:u w:val="single"/>
        </w:rPr>
        <w:t>Util</w:t>
      </w:r>
      <w:r>
        <w:rPr>
          <w:u w:val="single"/>
        </w:rPr>
        <w:t xml:space="preserve">. </w:t>
      </w:r>
      <w:r w:rsidRPr="00A41132">
        <w:rPr>
          <w:u w:val="single"/>
        </w:rPr>
        <w:t>Comm</w:t>
      </w:r>
      <w:r>
        <w:rPr>
          <w:u w:val="single"/>
        </w:rPr>
        <w:t>’n</w:t>
      </w:r>
      <w:r w:rsidRPr="00A41132">
        <w:t>, 447 A.2d 1100 (</w:t>
      </w:r>
      <w:proofErr w:type="spellStart"/>
      <w:r w:rsidRPr="00A41132">
        <w:t>Pa.Cmwlth</w:t>
      </w:r>
      <w:proofErr w:type="spellEnd"/>
      <w:r w:rsidRPr="00A41132">
        <w:t xml:space="preserve">. 1982); </w:t>
      </w:r>
      <w:r w:rsidRPr="00A41132">
        <w:rPr>
          <w:u w:val="single"/>
        </w:rPr>
        <w:t>Edan Transportation Corp. v. Pa. Pub</w:t>
      </w:r>
      <w:r>
        <w:rPr>
          <w:u w:val="single"/>
        </w:rPr>
        <w:t>.</w:t>
      </w:r>
      <w:proofErr w:type="gramEnd"/>
      <w:r w:rsidRPr="00A41132">
        <w:rPr>
          <w:u w:val="single"/>
        </w:rPr>
        <w:t xml:space="preserve"> </w:t>
      </w:r>
      <w:proofErr w:type="gramStart"/>
      <w:r w:rsidRPr="00A41132">
        <w:rPr>
          <w:u w:val="single"/>
        </w:rPr>
        <w:t>Util</w:t>
      </w:r>
      <w:r>
        <w:rPr>
          <w:u w:val="single"/>
        </w:rPr>
        <w:t>.</w:t>
      </w:r>
      <w:r w:rsidRPr="00A41132">
        <w:rPr>
          <w:u w:val="single"/>
        </w:rPr>
        <w:t xml:space="preserve"> Comm</w:t>
      </w:r>
      <w:r>
        <w:rPr>
          <w:u w:val="single"/>
        </w:rPr>
        <w:t>’n</w:t>
      </w:r>
      <w:r w:rsidRPr="00A41132">
        <w:t>, 623 A</w:t>
      </w:r>
      <w:r>
        <w:t>.2d 6 (</w:t>
      </w:r>
      <w:proofErr w:type="spellStart"/>
      <w:r>
        <w:t>Pa.Cmwlth</w:t>
      </w:r>
      <w:proofErr w:type="spellEnd"/>
      <w:r>
        <w:t>. 1993); 2 Pa.</w:t>
      </w:r>
      <w:r w:rsidRPr="00A41132">
        <w:t>C.S.A.</w:t>
      </w:r>
      <w:proofErr w:type="gramEnd"/>
      <w:r w:rsidRPr="00A41132">
        <w:t xml:space="preserve"> § 704.  </w:t>
      </w:r>
    </w:p>
  </w:footnote>
  <w:footnote w:id="5">
    <w:p w:rsidR="00126B45" w:rsidRPr="00A41132" w:rsidRDefault="00126B45" w:rsidP="00126B45">
      <w:pPr>
        <w:pStyle w:val="FootnoteText"/>
      </w:pPr>
    </w:p>
    <w:p w:rsidR="00126B45" w:rsidRPr="00A41132" w:rsidRDefault="00126B45" w:rsidP="00126B45">
      <w:pPr>
        <w:ind w:firstLine="720"/>
        <w:rPr>
          <w:sz w:val="20"/>
        </w:rPr>
      </w:pPr>
      <w:r w:rsidRPr="00A41132">
        <w:rPr>
          <w:rStyle w:val="FootnoteReference"/>
          <w:sz w:val="20"/>
        </w:rPr>
        <w:footnoteRef/>
      </w:r>
      <w:r w:rsidRPr="00A41132">
        <w:rPr>
          <w:sz w:val="20"/>
        </w:rPr>
        <w:t xml:space="preserve"> </w:t>
      </w:r>
      <w:r w:rsidRPr="00A41132">
        <w:rPr>
          <w:sz w:val="20"/>
        </w:rPr>
        <w:tab/>
      </w:r>
      <w:proofErr w:type="gramStart"/>
      <w:r w:rsidRPr="00A41132">
        <w:rPr>
          <w:sz w:val="20"/>
          <w:u w:val="single"/>
        </w:rPr>
        <w:t>Norfolk and Western Ry. v. Pa. Pub</w:t>
      </w:r>
      <w:r>
        <w:rPr>
          <w:sz w:val="20"/>
          <w:u w:val="single"/>
        </w:rPr>
        <w:t>.</w:t>
      </w:r>
      <w:proofErr w:type="gramEnd"/>
      <w:r w:rsidR="00D925D7">
        <w:rPr>
          <w:sz w:val="20"/>
          <w:u w:val="single"/>
        </w:rPr>
        <w:t xml:space="preserve"> </w:t>
      </w:r>
      <w:proofErr w:type="gramStart"/>
      <w:r w:rsidRPr="00A41132">
        <w:rPr>
          <w:sz w:val="20"/>
          <w:u w:val="single"/>
        </w:rPr>
        <w:t>Util</w:t>
      </w:r>
      <w:r>
        <w:rPr>
          <w:sz w:val="20"/>
          <w:u w:val="single"/>
        </w:rPr>
        <w:t xml:space="preserve">. </w:t>
      </w:r>
      <w:r w:rsidRPr="00A41132">
        <w:rPr>
          <w:sz w:val="20"/>
          <w:u w:val="single"/>
        </w:rPr>
        <w:t>Comm</w:t>
      </w:r>
      <w:r>
        <w:rPr>
          <w:sz w:val="20"/>
          <w:u w:val="single"/>
        </w:rPr>
        <w:t>’n</w:t>
      </w:r>
      <w:r w:rsidRPr="00A41132">
        <w:rPr>
          <w:sz w:val="20"/>
        </w:rPr>
        <w:t xml:space="preserve">, 413 A.2d 1037 (Pa. 1980); </w:t>
      </w:r>
      <w:r w:rsidRPr="00A41132">
        <w:rPr>
          <w:sz w:val="20"/>
          <w:u w:val="single"/>
        </w:rPr>
        <w:t>Erie Resistor Corp.</w:t>
      </w:r>
      <w:r>
        <w:rPr>
          <w:sz w:val="20"/>
          <w:u w:val="single"/>
        </w:rPr>
        <w:t> </w:t>
      </w:r>
      <w:r w:rsidRPr="00A41132">
        <w:rPr>
          <w:sz w:val="20"/>
          <w:u w:val="single"/>
        </w:rPr>
        <w:t>v. Unemployment Compensation Bd. of Review</w:t>
      </w:r>
      <w:r w:rsidRPr="00A41132">
        <w:rPr>
          <w:sz w:val="20"/>
        </w:rPr>
        <w:t xml:space="preserve">, 166 A.2d 96 (Pa. Super. 1960); </w:t>
      </w:r>
      <w:r w:rsidRPr="00A41132">
        <w:rPr>
          <w:sz w:val="20"/>
          <w:u w:val="single"/>
        </w:rPr>
        <w:t>Murphy v. Dep’t.</w:t>
      </w:r>
      <w:proofErr w:type="gramEnd"/>
      <w:r w:rsidRPr="00A41132">
        <w:rPr>
          <w:sz w:val="20"/>
          <w:u w:val="single"/>
        </w:rPr>
        <w:t xml:space="preserve"> </w:t>
      </w:r>
      <w:proofErr w:type="gramStart"/>
      <w:r w:rsidRPr="00A41132">
        <w:rPr>
          <w:sz w:val="20"/>
          <w:u w:val="single"/>
        </w:rPr>
        <w:t>of</w:t>
      </w:r>
      <w:proofErr w:type="gramEnd"/>
      <w:r w:rsidRPr="00A41132">
        <w:rPr>
          <w:sz w:val="20"/>
          <w:u w:val="single"/>
        </w:rPr>
        <w:t xml:space="preserve"> Public Welfare, White Haven Center</w:t>
      </w:r>
      <w:r w:rsidRPr="00A41132">
        <w:rPr>
          <w:sz w:val="20"/>
        </w:rPr>
        <w:t>, 480 A.2d 382 (</w:t>
      </w:r>
      <w:proofErr w:type="spellStart"/>
      <w:r w:rsidRPr="00A41132">
        <w:rPr>
          <w:sz w:val="20"/>
        </w:rPr>
        <w:t>Pa.Cmwlth</w:t>
      </w:r>
      <w:proofErr w:type="spellEnd"/>
      <w:r w:rsidRPr="00A41132">
        <w:rPr>
          <w:sz w:val="20"/>
        </w:rPr>
        <w:t>. 1984).</w:t>
      </w:r>
    </w:p>
    <w:p w:rsidR="00126B45" w:rsidRPr="00A41132" w:rsidRDefault="00126B45" w:rsidP="00126B45">
      <w:pPr>
        <w:pStyle w:val="FootnoteText"/>
        <w:ind w:firstLine="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24579C3"/>
    <w:multiLevelType w:val="hybridMultilevel"/>
    <w:tmpl w:val="E7D8CD02"/>
    <w:lvl w:ilvl="0" w:tplc="78AE25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3"/>
  </w:num>
  <w:num w:numId="4">
    <w:abstractNumId w:val="6"/>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0E5F"/>
    <w:rsid w:val="00002933"/>
    <w:rsid w:val="00004CAB"/>
    <w:rsid w:val="00010C1B"/>
    <w:rsid w:val="00014CD9"/>
    <w:rsid w:val="00015B93"/>
    <w:rsid w:val="00015E77"/>
    <w:rsid w:val="000218E1"/>
    <w:rsid w:val="0002562B"/>
    <w:rsid w:val="0002677E"/>
    <w:rsid w:val="00027DAB"/>
    <w:rsid w:val="00030A0C"/>
    <w:rsid w:val="00032447"/>
    <w:rsid w:val="0003254A"/>
    <w:rsid w:val="0003345F"/>
    <w:rsid w:val="00034688"/>
    <w:rsid w:val="00034D3C"/>
    <w:rsid w:val="0003750C"/>
    <w:rsid w:val="00042684"/>
    <w:rsid w:val="00051FFD"/>
    <w:rsid w:val="000539E5"/>
    <w:rsid w:val="00055267"/>
    <w:rsid w:val="00060974"/>
    <w:rsid w:val="00065B67"/>
    <w:rsid w:val="00066099"/>
    <w:rsid w:val="00067DC6"/>
    <w:rsid w:val="00081933"/>
    <w:rsid w:val="0008418F"/>
    <w:rsid w:val="000841E3"/>
    <w:rsid w:val="00091995"/>
    <w:rsid w:val="000919E3"/>
    <w:rsid w:val="000920B0"/>
    <w:rsid w:val="000943A5"/>
    <w:rsid w:val="00094EC4"/>
    <w:rsid w:val="00095A48"/>
    <w:rsid w:val="000A641B"/>
    <w:rsid w:val="000A7A4C"/>
    <w:rsid w:val="000A7A7E"/>
    <w:rsid w:val="000A7DE2"/>
    <w:rsid w:val="000B0443"/>
    <w:rsid w:val="000B1450"/>
    <w:rsid w:val="000B1A11"/>
    <w:rsid w:val="000B4044"/>
    <w:rsid w:val="000B575F"/>
    <w:rsid w:val="000B7C98"/>
    <w:rsid w:val="000C0380"/>
    <w:rsid w:val="000C22D0"/>
    <w:rsid w:val="000C39FB"/>
    <w:rsid w:val="000C639E"/>
    <w:rsid w:val="000C6633"/>
    <w:rsid w:val="000C736C"/>
    <w:rsid w:val="000D4E83"/>
    <w:rsid w:val="000D6424"/>
    <w:rsid w:val="000D6CFC"/>
    <w:rsid w:val="000D7D68"/>
    <w:rsid w:val="000E0DDA"/>
    <w:rsid w:val="000E33AA"/>
    <w:rsid w:val="000E4C15"/>
    <w:rsid w:val="000E4D29"/>
    <w:rsid w:val="000F0F3C"/>
    <w:rsid w:val="000F45A3"/>
    <w:rsid w:val="000F4D6B"/>
    <w:rsid w:val="0010040A"/>
    <w:rsid w:val="00101AB8"/>
    <w:rsid w:val="00103B9D"/>
    <w:rsid w:val="0010437D"/>
    <w:rsid w:val="00106746"/>
    <w:rsid w:val="001130C8"/>
    <w:rsid w:val="001140BC"/>
    <w:rsid w:val="001161AA"/>
    <w:rsid w:val="00116E78"/>
    <w:rsid w:val="0011788E"/>
    <w:rsid w:val="0012001F"/>
    <w:rsid w:val="0012141F"/>
    <w:rsid w:val="00121AE5"/>
    <w:rsid w:val="0012478B"/>
    <w:rsid w:val="00125CCD"/>
    <w:rsid w:val="00126B45"/>
    <w:rsid w:val="00130E27"/>
    <w:rsid w:val="001339E0"/>
    <w:rsid w:val="00133A47"/>
    <w:rsid w:val="00133B41"/>
    <w:rsid w:val="001354D6"/>
    <w:rsid w:val="00137307"/>
    <w:rsid w:val="001375AA"/>
    <w:rsid w:val="001406D8"/>
    <w:rsid w:val="00142A80"/>
    <w:rsid w:val="00143FA7"/>
    <w:rsid w:val="00144748"/>
    <w:rsid w:val="00144BDA"/>
    <w:rsid w:val="00145EBF"/>
    <w:rsid w:val="001509CF"/>
    <w:rsid w:val="001513EC"/>
    <w:rsid w:val="00152853"/>
    <w:rsid w:val="00153C2A"/>
    <w:rsid w:val="00153E19"/>
    <w:rsid w:val="00156938"/>
    <w:rsid w:val="00156A90"/>
    <w:rsid w:val="0016133D"/>
    <w:rsid w:val="00165400"/>
    <w:rsid w:val="001659AA"/>
    <w:rsid w:val="00165B98"/>
    <w:rsid w:val="00166F22"/>
    <w:rsid w:val="00167534"/>
    <w:rsid w:val="0017741E"/>
    <w:rsid w:val="00182EDA"/>
    <w:rsid w:val="0018379D"/>
    <w:rsid w:val="00183AE1"/>
    <w:rsid w:val="00185EF9"/>
    <w:rsid w:val="00190788"/>
    <w:rsid w:val="00195561"/>
    <w:rsid w:val="00196E40"/>
    <w:rsid w:val="001B283D"/>
    <w:rsid w:val="001B3B0D"/>
    <w:rsid w:val="001B436F"/>
    <w:rsid w:val="001B5AF2"/>
    <w:rsid w:val="001C0836"/>
    <w:rsid w:val="001C3008"/>
    <w:rsid w:val="001C5F76"/>
    <w:rsid w:val="001D1195"/>
    <w:rsid w:val="001D1DC6"/>
    <w:rsid w:val="001D5E87"/>
    <w:rsid w:val="001D67F3"/>
    <w:rsid w:val="001D6F49"/>
    <w:rsid w:val="001D7070"/>
    <w:rsid w:val="001D78CA"/>
    <w:rsid w:val="001D79FF"/>
    <w:rsid w:val="001E2C24"/>
    <w:rsid w:val="001E2CD6"/>
    <w:rsid w:val="001F030C"/>
    <w:rsid w:val="001F2B65"/>
    <w:rsid w:val="001F758E"/>
    <w:rsid w:val="00200D48"/>
    <w:rsid w:val="00200ED0"/>
    <w:rsid w:val="0020146E"/>
    <w:rsid w:val="00203C61"/>
    <w:rsid w:val="00206B04"/>
    <w:rsid w:val="002075E6"/>
    <w:rsid w:val="00210334"/>
    <w:rsid w:val="00210460"/>
    <w:rsid w:val="002132C0"/>
    <w:rsid w:val="00214A19"/>
    <w:rsid w:val="002154B5"/>
    <w:rsid w:val="002165A2"/>
    <w:rsid w:val="00216A05"/>
    <w:rsid w:val="00230C81"/>
    <w:rsid w:val="0023169E"/>
    <w:rsid w:val="00234C5A"/>
    <w:rsid w:val="00237756"/>
    <w:rsid w:val="002432E9"/>
    <w:rsid w:val="00244AD1"/>
    <w:rsid w:val="002520A5"/>
    <w:rsid w:val="00254BFC"/>
    <w:rsid w:val="00254FD1"/>
    <w:rsid w:val="0025557F"/>
    <w:rsid w:val="00263EFE"/>
    <w:rsid w:val="00264C6D"/>
    <w:rsid w:val="00265108"/>
    <w:rsid w:val="0026526F"/>
    <w:rsid w:val="002659FC"/>
    <w:rsid w:val="00271E72"/>
    <w:rsid w:val="00271FF1"/>
    <w:rsid w:val="00272740"/>
    <w:rsid w:val="00274E57"/>
    <w:rsid w:val="002755B5"/>
    <w:rsid w:val="00280380"/>
    <w:rsid w:val="00280AF0"/>
    <w:rsid w:val="0028164C"/>
    <w:rsid w:val="00283A3F"/>
    <w:rsid w:val="00284FA9"/>
    <w:rsid w:val="00286074"/>
    <w:rsid w:val="002867AD"/>
    <w:rsid w:val="002904BB"/>
    <w:rsid w:val="00291917"/>
    <w:rsid w:val="00293E92"/>
    <w:rsid w:val="00295403"/>
    <w:rsid w:val="002A625C"/>
    <w:rsid w:val="002A78AC"/>
    <w:rsid w:val="002B433A"/>
    <w:rsid w:val="002B4996"/>
    <w:rsid w:val="002B4DFA"/>
    <w:rsid w:val="002C0BE7"/>
    <w:rsid w:val="002C703F"/>
    <w:rsid w:val="002C7AB0"/>
    <w:rsid w:val="002D04F8"/>
    <w:rsid w:val="002D1E3B"/>
    <w:rsid w:val="002D29E7"/>
    <w:rsid w:val="002E2B6E"/>
    <w:rsid w:val="002E597B"/>
    <w:rsid w:val="002E5A74"/>
    <w:rsid w:val="002E6B15"/>
    <w:rsid w:val="002F15F6"/>
    <w:rsid w:val="002F1743"/>
    <w:rsid w:val="002F2109"/>
    <w:rsid w:val="002F36B3"/>
    <w:rsid w:val="002F4F6F"/>
    <w:rsid w:val="002F6CA8"/>
    <w:rsid w:val="002F6DFB"/>
    <w:rsid w:val="002F73D8"/>
    <w:rsid w:val="002F7ADF"/>
    <w:rsid w:val="003006CD"/>
    <w:rsid w:val="00302C62"/>
    <w:rsid w:val="00302D41"/>
    <w:rsid w:val="00307FF8"/>
    <w:rsid w:val="00311588"/>
    <w:rsid w:val="003121E7"/>
    <w:rsid w:val="00324C80"/>
    <w:rsid w:val="00324D48"/>
    <w:rsid w:val="00326059"/>
    <w:rsid w:val="00330B01"/>
    <w:rsid w:val="0033183D"/>
    <w:rsid w:val="00334639"/>
    <w:rsid w:val="00334D84"/>
    <w:rsid w:val="0034231B"/>
    <w:rsid w:val="00342B49"/>
    <w:rsid w:val="0034410D"/>
    <w:rsid w:val="0034692A"/>
    <w:rsid w:val="003540A7"/>
    <w:rsid w:val="0035629D"/>
    <w:rsid w:val="003603C7"/>
    <w:rsid w:val="00360442"/>
    <w:rsid w:val="00360EB9"/>
    <w:rsid w:val="00361EAC"/>
    <w:rsid w:val="003649AC"/>
    <w:rsid w:val="00365F7C"/>
    <w:rsid w:val="00370128"/>
    <w:rsid w:val="0037050A"/>
    <w:rsid w:val="00373245"/>
    <w:rsid w:val="00373E26"/>
    <w:rsid w:val="00373ECC"/>
    <w:rsid w:val="0037694C"/>
    <w:rsid w:val="00380F4B"/>
    <w:rsid w:val="00383822"/>
    <w:rsid w:val="00386C1C"/>
    <w:rsid w:val="00387E50"/>
    <w:rsid w:val="003908EE"/>
    <w:rsid w:val="00391096"/>
    <w:rsid w:val="00392A9B"/>
    <w:rsid w:val="003937E3"/>
    <w:rsid w:val="00394A82"/>
    <w:rsid w:val="00396353"/>
    <w:rsid w:val="00396518"/>
    <w:rsid w:val="003B045F"/>
    <w:rsid w:val="003B3294"/>
    <w:rsid w:val="003B3FB0"/>
    <w:rsid w:val="003B4F65"/>
    <w:rsid w:val="003B7783"/>
    <w:rsid w:val="003C1053"/>
    <w:rsid w:val="003C13E7"/>
    <w:rsid w:val="003C1F6E"/>
    <w:rsid w:val="003C2777"/>
    <w:rsid w:val="003C2B7F"/>
    <w:rsid w:val="003C417D"/>
    <w:rsid w:val="003C4E1D"/>
    <w:rsid w:val="003C7776"/>
    <w:rsid w:val="003D0DEF"/>
    <w:rsid w:val="003D374F"/>
    <w:rsid w:val="003D500A"/>
    <w:rsid w:val="003D5173"/>
    <w:rsid w:val="003D67D8"/>
    <w:rsid w:val="003E136A"/>
    <w:rsid w:val="003E1EE5"/>
    <w:rsid w:val="003E2BB0"/>
    <w:rsid w:val="003E2D32"/>
    <w:rsid w:val="003E5E0F"/>
    <w:rsid w:val="003E60E7"/>
    <w:rsid w:val="003F17A1"/>
    <w:rsid w:val="003F1BC1"/>
    <w:rsid w:val="003F3FA0"/>
    <w:rsid w:val="003F56DB"/>
    <w:rsid w:val="003F64C7"/>
    <w:rsid w:val="003F6E27"/>
    <w:rsid w:val="0040104B"/>
    <w:rsid w:val="0040125C"/>
    <w:rsid w:val="004035B1"/>
    <w:rsid w:val="00411416"/>
    <w:rsid w:val="0041637D"/>
    <w:rsid w:val="00421585"/>
    <w:rsid w:val="004219BD"/>
    <w:rsid w:val="00422705"/>
    <w:rsid w:val="00424E72"/>
    <w:rsid w:val="00430437"/>
    <w:rsid w:val="00431883"/>
    <w:rsid w:val="004322BD"/>
    <w:rsid w:val="00440B6B"/>
    <w:rsid w:val="00440E23"/>
    <w:rsid w:val="004455C4"/>
    <w:rsid w:val="00446EE8"/>
    <w:rsid w:val="004564BF"/>
    <w:rsid w:val="00462770"/>
    <w:rsid w:val="0046290B"/>
    <w:rsid w:val="004635FD"/>
    <w:rsid w:val="00465878"/>
    <w:rsid w:val="0046652F"/>
    <w:rsid w:val="00470AFC"/>
    <w:rsid w:val="00472A21"/>
    <w:rsid w:val="00474C53"/>
    <w:rsid w:val="00475980"/>
    <w:rsid w:val="0047665F"/>
    <w:rsid w:val="00477B44"/>
    <w:rsid w:val="004819B5"/>
    <w:rsid w:val="00483A4C"/>
    <w:rsid w:val="004859D0"/>
    <w:rsid w:val="00487AE0"/>
    <w:rsid w:val="00493BBB"/>
    <w:rsid w:val="004970DA"/>
    <w:rsid w:val="004A0254"/>
    <w:rsid w:val="004A209D"/>
    <w:rsid w:val="004A26B6"/>
    <w:rsid w:val="004A47A6"/>
    <w:rsid w:val="004A6673"/>
    <w:rsid w:val="004A7777"/>
    <w:rsid w:val="004B34C6"/>
    <w:rsid w:val="004B3D7A"/>
    <w:rsid w:val="004B422F"/>
    <w:rsid w:val="004B4B53"/>
    <w:rsid w:val="004B6A2B"/>
    <w:rsid w:val="004B7FA4"/>
    <w:rsid w:val="004C32C0"/>
    <w:rsid w:val="004C5FA9"/>
    <w:rsid w:val="004C6202"/>
    <w:rsid w:val="004D0CBE"/>
    <w:rsid w:val="004D2634"/>
    <w:rsid w:val="004D3826"/>
    <w:rsid w:val="004D3A14"/>
    <w:rsid w:val="004D454A"/>
    <w:rsid w:val="004D477D"/>
    <w:rsid w:val="004D75D5"/>
    <w:rsid w:val="004E01BD"/>
    <w:rsid w:val="004E0A83"/>
    <w:rsid w:val="004E0DDF"/>
    <w:rsid w:val="004E3B20"/>
    <w:rsid w:val="004E4203"/>
    <w:rsid w:val="004E4252"/>
    <w:rsid w:val="004E605F"/>
    <w:rsid w:val="004E6F44"/>
    <w:rsid w:val="004E7B43"/>
    <w:rsid w:val="0050181E"/>
    <w:rsid w:val="00502902"/>
    <w:rsid w:val="0050497A"/>
    <w:rsid w:val="00504A1A"/>
    <w:rsid w:val="00507ECF"/>
    <w:rsid w:val="005102C0"/>
    <w:rsid w:val="00515DD0"/>
    <w:rsid w:val="00517217"/>
    <w:rsid w:val="00522985"/>
    <w:rsid w:val="00522E64"/>
    <w:rsid w:val="00525A4E"/>
    <w:rsid w:val="00531E4E"/>
    <w:rsid w:val="00537506"/>
    <w:rsid w:val="005375AF"/>
    <w:rsid w:val="0053772F"/>
    <w:rsid w:val="00540E3A"/>
    <w:rsid w:val="00543B7C"/>
    <w:rsid w:val="00543F98"/>
    <w:rsid w:val="005447FE"/>
    <w:rsid w:val="00544F7E"/>
    <w:rsid w:val="00545043"/>
    <w:rsid w:val="005451B0"/>
    <w:rsid w:val="005461EE"/>
    <w:rsid w:val="00547948"/>
    <w:rsid w:val="00550F87"/>
    <w:rsid w:val="00552C73"/>
    <w:rsid w:val="005534CB"/>
    <w:rsid w:val="00553E91"/>
    <w:rsid w:val="00557326"/>
    <w:rsid w:val="00560A07"/>
    <w:rsid w:val="00563142"/>
    <w:rsid w:val="00563254"/>
    <w:rsid w:val="005637DF"/>
    <w:rsid w:val="00563FC3"/>
    <w:rsid w:val="005647C7"/>
    <w:rsid w:val="00573AE9"/>
    <w:rsid w:val="005763CB"/>
    <w:rsid w:val="00577567"/>
    <w:rsid w:val="00580981"/>
    <w:rsid w:val="00580B6B"/>
    <w:rsid w:val="00580D5E"/>
    <w:rsid w:val="0058201B"/>
    <w:rsid w:val="005900D4"/>
    <w:rsid w:val="0059029B"/>
    <w:rsid w:val="00592DDB"/>
    <w:rsid w:val="005944A4"/>
    <w:rsid w:val="00595806"/>
    <w:rsid w:val="00596262"/>
    <w:rsid w:val="0059631D"/>
    <w:rsid w:val="005A3E08"/>
    <w:rsid w:val="005A77D0"/>
    <w:rsid w:val="005B32E5"/>
    <w:rsid w:val="005B64BD"/>
    <w:rsid w:val="005C050D"/>
    <w:rsid w:val="005C6D4A"/>
    <w:rsid w:val="005D03F4"/>
    <w:rsid w:val="005D4345"/>
    <w:rsid w:val="005E1CC5"/>
    <w:rsid w:val="005E2935"/>
    <w:rsid w:val="005E636D"/>
    <w:rsid w:val="005E6DB5"/>
    <w:rsid w:val="005F4120"/>
    <w:rsid w:val="005F5542"/>
    <w:rsid w:val="00600AE4"/>
    <w:rsid w:val="00600EE9"/>
    <w:rsid w:val="0060359F"/>
    <w:rsid w:val="00607B04"/>
    <w:rsid w:val="00613AE9"/>
    <w:rsid w:val="00616E73"/>
    <w:rsid w:val="00616FE9"/>
    <w:rsid w:val="00617C29"/>
    <w:rsid w:val="006220FF"/>
    <w:rsid w:val="006228C5"/>
    <w:rsid w:val="00623177"/>
    <w:rsid w:val="00632562"/>
    <w:rsid w:val="00633976"/>
    <w:rsid w:val="00633E89"/>
    <w:rsid w:val="0063487E"/>
    <w:rsid w:val="006354D3"/>
    <w:rsid w:val="00636459"/>
    <w:rsid w:val="0063794E"/>
    <w:rsid w:val="00641052"/>
    <w:rsid w:val="00644349"/>
    <w:rsid w:val="00645FE8"/>
    <w:rsid w:val="0065019D"/>
    <w:rsid w:val="006515DB"/>
    <w:rsid w:val="00651AB0"/>
    <w:rsid w:val="0065346D"/>
    <w:rsid w:val="00653FDE"/>
    <w:rsid w:val="006552C8"/>
    <w:rsid w:val="00655B18"/>
    <w:rsid w:val="0066212D"/>
    <w:rsid w:val="00664032"/>
    <w:rsid w:val="006663CA"/>
    <w:rsid w:val="0066791C"/>
    <w:rsid w:val="0066793C"/>
    <w:rsid w:val="00674B93"/>
    <w:rsid w:val="00675E39"/>
    <w:rsid w:val="006771E3"/>
    <w:rsid w:val="006772A2"/>
    <w:rsid w:val="00680930"/>
    <w:rsid w:val="00682B76"/>
    <w:rsid w:val="006869B5"/>
    <w:rsid w:val="00687C7C"/>
    <w:rsid w:val="00691FDA"/>
    <w:rsid w:val="00692E3E"/>
    <w:rsid w:val="00694153"/>
    <w:rsid w:val="0069460C"/>
    <w:rsid w:val="006954BC"/>
    <w:rsid w:val="006A005D"/>
    <w:rsid w:val="006A0714"/>
    <w:rsid w:val="006A311B"/>
    <w:rsid w:val="006A7864"/>
    <w:rsid w:val="006B0612"/>
    <w:rsid w:val="006B2DFE"/>
    <w:rsid w:val="006B3D52"/>
    <w:rsid w:val="006B50E8"/>
    <w:rsid w:val="006B629F"/>
    <w:rsid w:val="006B7DE7"/>
    <w:rsid w:val="006C13BF"/>
    <w:rsid w:val="006C63C2"/>
    <w:rsid w:val="006C773F"/>
    <w:rsid w:val="006C7D49"/>
    <w:rsid w:val="006D2CFC"/>
    <w:rsid w:val="006D2E25"/>
    <w:rsid w:val="006D2F3E"/>
    <w:rsid w:val="006D3697"/>
    <w:rsid w:val="006D384B"/>
    <w:rsid w:val="006D38B1"/>
    <w:rsid w:val="006D68C8"/>
    <w:rsid w:val="006E0E78"/>
    <w:rsid w:val="006E12A1"/>
    <w:rsid w:val="006E175B"/>
    <w:rsid w:val="006E59A8"/>
    <w:rsid w:val="006F0249"/>
    <w:rsid w:val="006F10EA"/>
    <w:rsid w:val="006F2B77"/>
    <w:rsid w:val="006F324E"/>
    <w:rsid w:val="006F5FE7"/>
    <w:rsid w:val="006F60DA"/>
    <w:rsid w:val="006F6520"/>
    <w:rsid w:val="006F7393"/>
    <w:rsid w:val="007004B3"/>
    <w:rsid w:val="00700704"/>
    <w:rsid w:val="00700E85"/>
    <w:rsid w:val="00701501"/>
    <w:rsid w:val="00710B17"/>
    <w:rsid w:val="00710CE3"/>
    <w:rsid w:val="0071171E"/>
    <w:rsid w:val="007121EF"/>
    <w:rsid w:val="0071586C"/>
    <w:rsid w:val="0071656A"/>
    <w:rsid w:val="007172D2"/>
    <w:rsid w:val="00720A51"/>
    <w:rsid w:val="00720C39"/>
    <w:rsid w:val="0072396F"/>
    <w:rsid w:val="007272A7"/>
    <w:rsid w:val="00732CDD"/>
    <w:rsid w:val="00735DAB"/>
    <w:rsid w:val="00736DBA"/>
    <w:rsid w:val="00740BC6"/>
    <w:rsid w:val="007454F2"/>
    <w:rsid w:val="00751148"/>
    <w:rsid w:val="007516D0"/>
    <w:rsid w:val="00751CE0"/>
    <w:rsid w:val="007535C9"/>
    <w:rsid w:val="00753A3F"/>
    <w:rsid w:val="0075421A"/>
    <w:rsid w:val="00754FD3"/>
    <w:rsid w:val="00757A01"/>
    <w:rsid w:val="00762CDE"/>
    <w:rsid w:val="00766B36"/>
    <w:rsid w:val="0077246E"/>
    <w:rsid w:val="00772949"/>
    <w:rsid w:val="00772CFC"/>
    <w:rsid w:val="00776CD8"/>
    <w:rsid w:val="0078110D"/>
    <w:rsid w:val="00781A81"/>
    <w:rsid w:val="00783095"/>
    <w:rsid w:val="00785AF3"/>
    <w:rsid w:val="00787193"/>
    <w:rsid w:val="007923F1"/>
    <w:rsid w:val="0079328F"/>
    <w:rsid w:val="007939B6"/>
    <w:rsid w:val="00794EFF"/>
    <w:rsid w:val="00794F1B"/>
    <w:rsid w:val="007976FF"/>
    <w:rsid w:val="007A32D3"/>
    <w:rsid w:val="007A40D1"/>
    <w:rsid w:val="007A5552"/>
    <w:rsid w:val="007A5EEF"/>
    <w:rsid w:val="007B6775"/>
    <w:rsid w:val="007C06FD"/>
    <w:rsid w:val="007C404E"/>
    <w:rsid w:val="007D2958"/>
    <w:rsid w:val="007D2DA0"/>
    <w:rsid w:val="007D79D2"/>
    <w:rsid w:val="007E48E1"/>
    <w:rsid w:val="007E7B4E"/>
    <w:rsid w:val="007F02A4"/>
    <w:rsid w:val="007F479E"/>
    <w:rsid w:val="0080315B"/>
    <w:rsid w:val="00806E0D"/>
    <w:rsid w:val="00823FCA"/>
    <w:rsid w:val="00824890"/>
    <w:rsid w:val="008251D8"/>
    <w:rsid w:val="00836D5A"/>
    <w:rsid w:val="00836E65"/>
    <w:rsid w:val="008418E5"/>
    <w:rsid w:val="008418FC"/>
    <w:rsid w:val="0084410C"/>
    <w:rsid w:val="00851E2B"/>
    <w:rsid w:val="0085780E"/>
    <w:rsid w:val="008618BE"/>
    <w:rsid w:val="00861DA4"/>
    <w:rsid w:val="00861DF9"/>
    <w:rsid w:val="00862D6B"/>
    <w:rsid w:val="0086399B"/>
    <w:rsid w:val="00863BD5"/>
    <w:rsid w:val="00863CD4"/>
    <w:rsid w:val="00864EB7"/>
    <w:rsid w:val="0086657E"/>
    <w:rsid w:val="00867F55"/>
    <w:rsid w:val="008733E6"/>
    <w:rsid w:val="00873D8A"/>
    <w:rsid w:val="00874177"/>
    <w:rsid w:val="00874953"/>
    <w:rsid w:val="008855EF"/>
    <w:rsid w:val="00890D5E"/>
    <w:rsid w:val="00891035"/>
    <w:rsid w:val="00891B51"/>
    <w:rsid w:val="008927B5"/>
    <w:rsid w:val="00892EA3"/>
    <w:rsid w:val="00894816"/>
    <w:rsid w:val="008A28F8"/>
    <w:rsid w:val="008A63E2"/>
    <w:rsid w:val="008B3879"/>
    <w:rsid w:val="008B445B"/>
    <w:rsid w:val="008B455C"/>
    <w:rsid w:val="008B6587"/>
    <w:rsid w:val="008B6F28"/>
    <w:rsid w:val="008C17E6"/>
    <w:rsid w:val="008C36F2"/>
    <w:rsid w:val="008C666D"/>
    <w:rsid w:val="008C7936"/>
    <w:rsid w:val="008D0326"/>
    <w:rsid w:val="008D0D31"/>
    <w:rsid w:val="008D6CA9"/>
    <w:rsid w:val="008D6E2C"/>
    <w:rsid w:val="008D7DC6"/>
    <w:rsid w:val="008E09C6"/>
    <w:rsid w:val="008E0B49"/>
    <w:rsid w:val="008E0E89"/>
    <w:rsid w:val="008E10FA"/>
    <w:rsid w:val="008E450B"/>
    <w:rsid w:val="008E4FD6"/>
    <w:rsid w:val="008E5C99"/>
    <w:rsid w:val="008F4EF2"/>
    <w:rsid w:val="008F7C99"/>
    <w:rsid w:val="009001C9"/>
    <w:rsid w:val="00906D50"/>
    <w:rsid w:val="00906FD4"/>
    <w:rsid w:val="009101FF"/>
    <w:rsid w:val="00910A53"/>
    <w:rsid w:val="00917283"/>
    <w:rsid w:val="0092068A"/>
    <w:rsid w:val="00921285"/>
    <w:rsid w:val="009252B2"/>
    <w:rsid w:val="009310EE"/>
    <w:rsid w:val="0093152B"/>
    <w:rsid w:val="00933485"/>
    <w:rsid w:val="0094142D"/>
    <w:rsid w:val="00943CC8"/>
    <w:rsid w:val="00943E53"/>
    <w:rsid w:val="009445CA"/>
    <w:rsid w:val="00944A1C"/>
    <w:rsid w:val="00952FEB"/>
    <w:rsid w:val="00957F48"/>
    <w:rsid w:val="00960580"/>
    <w:rsid w:val="00962EE7"/>
    <w:rsid w:val="009663E5"/>
    <w:rsid w:val="00966C36"/>
    <w:rsid w:val="00970027"/>
    <w:rsid w:val="009760CB"/>
    <w:rsid w:val="00985303"/>
    <w:rsid w:val="009901A1"/>
    <w:rsid w:val="009A3FA2"/>
    <w:rsid w:val="009A4572"/>
    <w:rsid w:val="009A5AF8"/>
    <w:rsid w:val="009A6585"/>
    <w:rsid w:val="009A6CC7"/>
    <w:rsid w:val="009B446B"/>
    <w:rsid w:val="009C05E9"/>
    <w:rsid w:val="009C27D2"/>
    <w:rsid w:val="009C3132"/>
    <w:rsid w:val="009C4526"/>
    <w:rsid w:val="009C5EB5"/>
    <w:rsid w:val="009D0A13"/>
    <w:rsid w:val="009D227B"/>
    <w:rsid w:val="009D2B67"/>
    <w:rsid w:val="009D47A5"/>
    <w:rsid w:val="009D69B6"/>
    <w:rsid w:val="009E17C2"/>
    <w:rsid w:val="009E5767"/>
    <w:rsid w:val="009E6876"/>
    <w:rsid w:val="009F38D7"/>
    <w:rsid w:val="009F407A"/>
    <w:rsid w:val="009F579E"/>
    <w:rsid w:val="009F6130"/>
    <w:rsid w:val="00A00793"/>
    <w:rsid w:val="00A02454"/>
    <w:rsid w:val="00A04076"/>
    <w:rsid w:val="00A10010"/>
    <w:rsid w:val="00A10E1F"/>
    <w:rsid w:val="00A114B1"/>
    <w:rsid w:val="00A128E0"/>
    <w:rsid w:val="00A15866"/>
    <w:rsid w:val="00A16D50"/>
    <w:rsid w:val="00A23CCA"/>
    <w:rsid w:val="00A248FB"/>
    <w:rsid w:val="00A2609D"/>
    <w:rsid w:val="00A2772F"/>
    <w:rsid w:val="00A334E4"/>
    <w:rsid w:val="00A33661"/>
    <w:rsid w:val="00A33DF5"/>
    <w:rsid w:val="00A40462"/>
    <w:rsid w:val="00A4355E"/>
    <w:rsid w:val="00A469B4"/>
    <w:rsid w:val="00A46AA1"/>
    <w:rsid w:val="00A511AD"/>
    <w:rsid w:val="00A52673"/>
    <w:rsid w:val="00A55F7C"/>
    <w:rsid w:val="00A6043D"/>
    <w:rsid w:val="00A61835"/>
    <w:rsid w:val="00A64AC5"/>
    <w:rsid w:val="00A65139"/>
    <w:rsid w:val="00A705C1"/>
    <w:rsid w:val="00A70C75"/>
    <w:rsid w:val="00A712D2"/>
    <w:rsid w:val="00A733A2"/>
    <w:rsid w:val="00A7499F"/>
    <w:rsid w:val="00A801E7"/>
    <w:rsid w:val="00A806BC"/>
    <w:rsid w:val="00A80E4E"/>
    <w:rsid w:val="00A831C5"/>
    <w:rsid w:val="00A848BA"/>
    <w:rsid w:val="00A86E3D"/>
    <w:rsid w:val="00A90619"/>
    <w:rsid w:val="00A9130B"/>
    <w:rsid w:val="00A914E9"/>
    <w:rsid w:val="00A93EC0"/>
    <w:rsid w:val="00A94A48"/>
    <w:rsid w:val="00A94E36"/>
    <w:rsid w:val="00A96447"/>
    <w:rsid w:val="00A96A71"/>
    <w:rsid w:val="00AA70E2"/>
    <w:rsid w:val="00AB30CF"/>
    <w:rsid w:val="00AB3904"/>
    <w:rsid w:val="00AB40A9"/>
    <w:rsid w:val="00AC1113"/>
    <w:rsid w:val="00AC1F4C"/>
    <w:rsid w:val="00AC3C83"/>
    <w:rsid w:val="00AC6067"/>
    <w:rsid w:val="00AC6745"/>
    <w:rsid w:val="00AC6E5D"/>
    <w:rsid w:val="00AC7C5A"/>
    <w:rsid w:val="00AD40B2"/>
    <w:rsid w:val="00AD7693"/>
    <w:rsid w:val="00AE20FB"/>
    <w:rsid w:val="00AE290D"/>
    <w:rsid w:val="00AE3923"/>
    <w:rsid w:val="00AF4238"/>
    <w:rsid w:val="00AF5FC0"/>
    <w:rsid w:val="00AF63EA"/>
    <w:rsid w:val="00B010E8"/>
    <w:rsid w:val="00B0371B"/>
    <w:rsid w:val="00B051A8"/>
    <w:rsid w:val="00B16875"/>
    <w:rsid w:val="00B219F2"/>
    <w:rsid w:val="00B23445"/>
    <w:rsid w:val="00B241DE"/>
    <w:rsid w:val="00B30601"/>
    <w:rsid w:val="00B32996"/>
    <w:rsid w:val="00B33E15"/>
    <w:rsid w:val="00B371BC"/>
    <w:rsid w:val="00B37A46"/>
    <w:rsid w:val="00B406E2"/>
    <w:rsid w:val="00B40E5D"/>
    <w:rsid w:val="00B41507"/>
    <w:rsid w:val="00B428F4"/>
    <w:rsid w:val="00B44FB1"/>
    <w:rsid w:val="00B46636"/>
    <w:rsid w:val="00B50814"/>
    <w:rsid w:val="00B50BB3"/>
    <w:rsid w:val="00B5162C"/>
    <w:rsid w:val="00B524A4"/>
    <w:rsid w:val="00B55DDC"/>
    <w:rsid w:val="00B62C86"/>
    <w:rsid w:val="00B66DDD"/>
    <w:rsid w:val="00B67B97"/>
    <w:rsid w:val="00B7377B"/>
    <w:rsid w:val="00B77E42"/>
    <w:rsid w:val="00B81FED"/>
    <w:rsid w:val="00B845F6"/>
    <w:rsid w:val="00B85B7F"/>
    <w:rsid w:val="00B85EE4"/>
    <w:rsid w:val="00B86EF4"/>
    <w:rsid w:val="00B90061"/>
    <w:rsid w:val="00B91AD9"/>
    <w:rsid w:val="00B93A4F"/>
    <w:rsid w:val="00B946B2"/>
    <w:rsid w:val="00B94FFF"/>
    <w:rsid w:val="00B97032"/>
    <w:rsid w:val="00BA1C5C"/>
    <w:rsid w:val="00BA3DE1"/>
    <w:rsid w:val="00BA45E7"/>
    <w:rsid w:val="00BA4C2A"/>
    <w:rsid w:val="00BA5695"/>
    <w:rsid w:val="00BB036D"/>
    <w:rsid w:val="00BB1AB4"/>
    <w:rsid w:val="00BB1FC4"/>
    <w:rsid w:val="00BB4907"/>
    <w:rsid w:val="00BB6201"/>
    <w:rsid w:val="00BB70B3"/>
    <w:rsid w:val="00BB7D46"/>
    <w:rsid w:val="00BC1B4F"/>
    <w:rsid w:val="00BC1FD7"/>
    <w:rsid w:val="00BC360E"/>
    <w:rsid w:val="00BC6CA5"/>
    <w:rsid w:val="00BC7989"/>
    <w:rsid w:val="00BD11FD"/>
    <w:rsid w:val="00BD3085"/>
    <w:rsid w:val="00BD6511"/>
    <w:rsid w:val="00BD76C8"/>
    <w:rsid w:val="00BD7A50"/>
    <w:rsid w:val="00BE36AA"/>
    <w:rsid w:val="00BE55BE"/>
    <w:rsid w:val="00BE5FCB"/>
    <w:rsid w:val="00BE723C"/>
    <w:rsid w:val="00BF28AB"/>
    <w:rsid w:val="00C01EA5"/>
    <w:rsid w:val="00C02641"/>
    <w:rsid w:val="00C03561"/>
    <w:rsid w:val="00C0376D"/>
    <w:rsid w:val="00C03919"/>
    <w:rsid w:val="00C04092"/>
    <w:rsid w:val="00C04B60"/>
    <w:rsid w:val="00C0572F"/>
    <w:rsid w:val="00C058F6"/>
    <w:rsid w:val="00C12C25"/>
    <w:rsid w:val="00C13DF0"/>
    <w:rsid w:val="00C14193"/>
    <w:rsid w:val="00C14FBB"/>
    <w:rsid w:val="00C17738"/>
    <w:rsid w:val="00C17AD8"/>
    <w:rsid w:val="00C2330B"/>
    <w:rsid w:val="00C23A79"/>
    <w:rsid w:val="00C23DE7"/>
    <w:rsid w:val="00C26323"/>
    <w:rsid w:val="00C3358D"/>
    <w:rsid w:val="00C34AD3"/>
    <w:rsid w:val="00C378D0"/>
    <w:rsid w:val="00C37FDB"/>
    <w:rsid w:val="00C40364"/>
    <w:rsid w:val="00C4390C"/>
    <w:rsid w:val="00C44AC9"/>
    <w:rsid w:val="00C45F56"/>
    <w:rsid w:val="00C518D5"/>
    <w:rsid w:val="00C61317"/>
    <w:rsid w:val="00C63894"/>
    <w:rsid w:val="00C655E8"/>
    <w:rsid w:val="00C7117A"/>
    <w:rsid w:val="00C74183"/>
    <w:rsid w:val="00C800CB"/>
    <w:rsid w:val="00C803A5"/>
    <w:rsid w:val="00C82C14"/>
    <w:rsid w:val="00C85078"/>
    <w:rsid w:val="00C862F8"/>
    <w:rsid w:val="00C908DB"/>
    <w:rsid w:val="00C931B6"/>
    <w:rsid w:val="00C93B23"/>
    <w:rsid w:val="00CA0FA9"/>
    <w:rsid w:val="00CA1D85"/>
    <w:rsid w:val="00CA262F"/>
    <w:rsid w:val="00CA57BA"/>
    <w:rsid w:val="00CB54CC"/>
    <w:rsid w:val="00CB7EF0"/>
    <w:rsid w:val="00CC069F"/>
    <w:rsid w:val="00CC4851"/>
    <w:rsid w:val="00CC60A3"/>
    <w:rsid w:val="00CD28F0"/>
    <w:rsid w:val="00CD4ED5"/>
    <w:rsid w:val="00CD53CA"/>
    <w:rsid w:val="00CD5A0F"/>
    <w:rsid w:val="00CD7291"/>
    <w:rsid w:val="00CE02D2"/>
    <w:rsid w:val="00CE1628"/>
    <w:rsid w:val="00CE3A66"/>
    <w:rsid w:val="00CE3AFA"/>
    <w:rsid w:val="00CF2BAB"/>
    <w:rsid w:val="00CF54D1"/>
    <w:rsid w:val="00D010F1"/>
    <w:rsid w:val="00D01109"/>
    <w:rsid w:val="00D02CF4"/>
    <w:rsid w:val="00D06971"/>
    <w:rsid w:val="00D06B34"/>
    <w:rsid w:val="00D07E03"/>
    <w:rsid w:val="00D13BDB"/>
    <w:rsid w:val="00D2288B"/>
    <w:rsid w:val="00D27A8A"/>
    <w:rsid w:val="00D30F60"/>
    <w:rsid w:val="00D354FD"/>
    <w:rsid w:val="00D3570E"/>
    <w:rsid w:val="00D41A38"/>
    <w:rsid w:val="00D422B1"/>
    <w:rsid w:val="00D45250"/>
    <w:rsid w:val="00D45488"/>
    <w:rsid w:val="00D467C6"/>
    <w:rsid w:val="00D477A8"/>
    <w:rsid w:val="00D50006"/>
    <w:rsid w:val="00D51E05"/>
    <w:rsid w:val="00D52029"/>
    <w:rsid w:val="00D57B37"/>
    <w:rsid w:val="00D621E8"/>
    <w:rsid w:val="00D63F09"/>
    <w:rsid w:val="00D654B3"/>
    <w:rsid w:val="00D65923"/>
    <w:rsid w:val="00D65D16"/>
    <w:rsid w:val="00D66AFA"/>
    <w:rsid w:val="00D74CB8"/>
    <w:rsid w:val="00D761B6"/>
    <w:rsid w:val="00D76D1C"/>
    <w:rsid w:val="00D76DB8"/>
    <w:rsid w:val="00D814A0"/>
    <w:rsid w:val="00D838A7"/>
    <w:rsid w:val="00D85A3F"/>
    <w:rsid w:val="00D868FB"/>
    <w:rsid w:val="00D86C43"/>
    <w:rsid w:val="00D86FEA"/>
    <w:rsid w:val="00D90360"/>
    <w:rsid w:val="00D925D7"/>
    <w:rsid w:val="00D94038"/>
    <w:rsid w:val="00DA094B"/>
    <w:rsid w:val="00DA1ED0"/>
    <w:rsid w:val="00DA3335"/>
    <w:rsid w:val="00DA3D69"/>
    <w:rsid w:val="00DA430D"/>
    <w:rsid w:val="00DA5163"/>
    <w:rsid w:val="00DA66D7"/>
    <w:rsid w:val="00DA72B7"/>
    <w:rsid w:val="00DB1053"/>
    <w:rsid w:val="00DB192A"/>
    <w:rsid w:val="00DB40BF"/>
    <w:rsid w:val="00DB7463"/>
    <w:rsid w:val="00DC090B"/>
    <w:rsid w:val="00DC10E8"/>
    <w:rsid w:val="00DC297D"/>
    <w:rsid w:val="00DC3243"/>
    <w:rsid w:val="00DC5620"/>
    <w:rsid w:val="00DC6EA0"/>
    <w:rsid w:val="00DD020B"/>
    <w:rsid w:val="00DD2547"/>
    <w:rsid w:val="00DD2649"/>
    <w:rsid w:val="00DD6D12"/>
    <w:rsid w:val="00DD7859"/>
    <w:rsid w:val="00DE391B"/>
    <w:rsid w:val="00DE608E"/>
    <w:rsid w:val="00DE775F"/>
    <w:rsid w:val="00DF08BA"/>
    <w:rsid w:val="00DF0974"/>
    <w:rsid w:val="00DF2688"/>
    <w:rsid w:val="00DF26E1"/>
    <w:rsid w:val="00DF3972"/>
    <w:rsid w:val="00DF39F5"/>
    <w:rsid w:val="00DF4B76"/>
    <w:rsid w:val="00DF4D13"/>
    <w:rsid w:val="00DF518F"/>
    <w:rsid w:val="00E05B69"/>
    <w:rsid w:val="00E05C97"/>
    <w:rsid w:val="00E109B6"/>
    <w:rsid w:val="00E11F39"/>
    <w:rsid w:val="00E14394"/>
    <w:rsid w:val="00E14693"/>
    <w:rsid w:val="00E147FA"/>
    <w:rsid w:val="00E14AE5"/>
    <w:rsid w:val="00E16E1F"/>
    <w:rsid w:val="00E16E9D"/>
    <w:rsid w:val="00E305D1"/>
    <w:rsid w:val="00E31B73"/>
    <w:rsid w:val="00E323A1"/>
    <w:rsid w:val="00E34A6F"/>
    <w:rsid w:val="00E3691B"/>
    <w:rsid w:val="00E36F96"/>
    <w:rsid w:val="00E41DD8"/>
    <w:rsid w:val="00E47B98"/>
    <w:rsid w:val="00E52929"/>
    <w:rsid w:val="00E52B61"/>
    <w:rsid w:val="00E52BA8"/>
    <w:rsid w:val="00E54219"/>
    <w:rsid w:val="00E561DC"/>
    <w:rsid w:val="00E56F54"/>
    <w:rsid w:val="00E57675"/>
    <w:rsid w:val="00E645B5"/>
    <w:rsid w:val="00E65950"/>
    <w:rsid w:val="00E73280"/>
    <w:rsid w:val="00E75181"/>
    <w:rsid w:val="00E75573"/>
    <w:rsid w:val="00E7573A"/>
    <w:rsid w:val="00E76081"/>
    <w:rsid w:val="00E7797A"/>
    <w:rsid w:val="00E8182E"/>
    <w:rsid w:val="00E86BB6"/>
    <w:rsid w:val="00E87654"/>
    <w:rsid w:val="00E9039A"/>
    <w:rsid w:val="00E906EF"/>
    <w:rsid w:val="00E90BC9"/>
    <w:rsid w:val="00E9204D"/>
    <w:rsid w:val="00E941A4"/>
    <w:rsid w:val="00E95158"/>
    <w:rsid w:val="00E96CE7"/>
    <w:rsid w:val="00EA075C"/>
    <w:rsid w:val="00EA12C1"/>
    <w:rsid w:val="00EA1752"/>
    <w:rsid w:val="00EA1EDF"/>
    <w:rsid w:val="00EA2B83"/>
    <w:rsid w:val="00EA5CC6"/>
    <w:rsid w:val="00EB08F3"/>
    <w:rsid w:val="00EB0E90"/>
    <w:rsid w:val="00EB2F3A"/>
    <w:rsid w:val="00EB5786"/>
    <w:rsid w:val="00EB6518"/>
    <w:rsid w:val="00EB7303"/>
    <w:rsid w:val="00EC04BF"/>
    <w:rsid w:val="00EC1213"/>
    <w:rsid w:val="00EC1C81"/>
    <w:rsid w:val="00EC6DA3"/>
    <w:rsid w:val="00ED0A26"/>
    <w:rsid w:val="00ED13BB"/>
    <w:rsid w:val="00ED6AF6"/>
    <w:rsid w:val="00ED7A75"/>
    <w:rsid w:val="00EE2926"/>
    <w:rsid w:val="00EF0B42"/>
    <w:rsid w:val="00EF0F65"/>
    <w:rsid w:val="00EF28A7"/>
    <w:rsid w:val="00EF2B87"/>
    <w:rsid w:val="00EF49DF"/>
    <w:rsid w:val="00EF5386"/>
    <w:rsid w:val="00EF6B54"/>
    <w:rsid w:val="00EF6D7D"/>
    <w:rsid w:val="00EF7458"/>
    <w:rsid w:val="00EF7BB1"/>
    <w:rsid w:val="00F06B97"/>
    <w:rsid w:val="00F12CBF"/>
    <w:rsid w:val="00F153B2"/>
    <w:rsid w:val="00F1611B"/>
    <w:rsid w:val="00F17004"/>
    <w:rsid w:val="00F17080"/>
    <w:rsid w:val="00F205AD"/>
    <w:rsid w:val="00F21839"/>
    <w:rsid w:val="00F24DEF"/>
    <w:rsid w:val="00F2639D"/>
    <w:rsid w:val="00F2792A"/>
    <w:rsid w:val="00F27D7F"/>
    <w:rsid w:val="00F27E5E"/>
    <w:rsid w:val="00F30562"/>
    <w:rsid w:val="00F31764"/>
    <w:rsid w:val="00F31BDE"/>
    <w:rsid w:val="00F328CD"/>
    <w:rsid w:val="00F332BD"/>
    <w:rsid w:val="00F3411A"/>
    <w:rsid w:val="00F35726"/>
    <w:rsid w:val="00F35B71"/>
    <w:rsid w:val="00F40F30"/>
    <w:rsid w:val="00F42A12"/>
    <w:rsid w:val="00F43B6C"/>
    <w:rsid w:val="00F556B2"/>
    <w:rsid w:val="00F55C9E"/>
    <w:rsid w:val="00F57082"/>
    <w:rsid w:val="00F606DA"/>
    <w:rsid w:val="00F60AB1"/>
    <w:rsid w:val="00F650AC"/>
    <w:rsid w:val="00F6612B"/>
    <w:rsid w:val="00F668A8"/>
    <w:rsid w:val="00F67901"/>
    <w:rsid w:val="00F7034A"/>
    <w:rsid w:val="00F73AC5"/>
    <w:rsid w:val="00F7580A"/>
    <w:rsid w:val="00F768B3"/>
    <w:rsid w:val="00F76C9B"/>
    <w:rsid w:val="00F81937"/>
    <w:rsid w:val="00F82A4B"/>
    <w:rsid w:val="00F83DE6"/>
    <w:rsid w:val="00F8480C"/>
    <w:rsid w:val="00F84B51"/>
    <w:rsid w:val="00F85392"/>
    <w:rsid w:val="00F863BA"/>
    <w:rsid w:val="00F866E9"/>
    <w:rsid w:val="00F86FB9"/>
    <w:rsid w:val="00F872F3"/>
    <w:rsid w:val="00F9451C"/>
    <w:rsid w:val="00F9542E"/>
    <w:rsid w:val="00F95F05"/>
    <w:rsid w:val="00F9732A"/>
    <w:rsid w:val="00FA2D82"/>
    <w:rsid w:val="00FA766D"/>
    <w:rsid w:val="00FA7693"/>
    <w:rsid w:val="00FB12D4"/>
    <w:rsid w:val="00FB13F3"/>
    <w:rsid w:val="00FB142F"/>
    <w:rsid w:val="00FB6200"/>
    <w:rsid w:val="00FC0796"/>
    <w:rsid w:val="00FC23D6"/>
    <w:rsid w:val="00FC4468"/>
    <w:rsid w:val="00FC53AC"/>
    <w:rsid w:val="00FD73AA"/>
    <w:rsid w:val="00FE3E04"/>
    <w:rsid w:val="00FE558E"/>
    <w:rsid w:val="00FE5CE7"/>
    <w:rsid w:val="00FF021A"/>
    <w:rsid w:val="00FF0E78"/>
    <w:rsid w:val="00FF31A7"/>
    <w:rsid w:val="00FF467D"/>
    <w:rsid w:val="00FF46A9"/>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1">
    <w:name w:val="heading 1"/>
    <w:basedOn w:val="Normal"/>
    <w:next w:val="Normal"/>
    <w:link w:val="Heading1Char"/>
    <w:qFormat/>
    <w:rsid w:val="00126B45"/>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character" w:customStyle="1" w:styleId="Heading1Char">
    <w:name w:val="Heading 1 Char"/>
    <w:basedOn w:val="DefaultParagraphFont"/>
    <w:link w:val="Heading1"/>
    <w:rsid w:val="00126B45"/>
    <w:rPr>
      <w:sz w:val="26"/>
      <w:u w:val="single"/>
    </w:rPr>
  </w:style>
  <w:style w:type="character" w:customStyle="1" w:styleId="FootnoteTextChar">
    <w:name w:val="Footnote Text Char"/>
    <w:basedOn w:val="DefaultParagraphFont"/>
    <w:link w:val="FootnoteText"/>
    <w:semiHidden/>
    <w:rsid w:val="00126B45"/>
  </w:style>
  <w:style w:type="paragraph" w:styleId="BalloonText">
    <w:name w:val="Balloon Text"/>
    <w:basedOn w:val="Normal"/>
    <w:link w:val="BalloonTextChar"/>
    <w:rsid w:val="0080315B"/>
    <w:rPr>
      <w:rFonts w:ascii="Tahoma" w:hAnsi="Tahoma" w:cs="Tahoma"/>
      <w:sz w:val="16"/>
      <w:szCs w:val="16"/>
    </w:rPr>
  </w:style>
  <w:style w:type="character" w:customStyle="1" w:styleId="BalloonTextChar">
    <w:name w:val="Balloon Text Char"/>
    <w:basedOn w:val="DefaultParagraphFont"/>
    <w:link w:val="BalloonText"/>
    <w:rsid w:val="0080315B"/>
    <w:rPr>
      <w:rFonts w:ascii="Tahoma" w:hAnsi="Tahoma" w:cs="Tahoma"/>
      <w:sz w:val="16"/>
      <w:szCs w:val="16"/>
    </w:rPr>
  </w:style>
  <w:style w:type="paragraph" w:styleId="PlainText">
    <w:name w:val="Plain Text"/>
    <w:basedOn w:val="Normal"/>
    <w:link w:val="PlainTextChar"/>
    <w:uiPriority w:val="99"/>
    <w:unhideWhenUsed/>
    <w:rsid w:val="00D63F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3F09"/>
    <w:rPr>
      <w:rFonts w:ascii="Calibri" w:eastAsiaTheme="minorHAnsi" w:hAnsi="Calibri" w:cstheme="minorBidi"/>
      <w:sz w:val="22"/>
      <w:szCs w:val="21"/>
    </w:rPr>
  </w:style>
  <w:style w:type="paragraph" w:styleId="ListParagraph">
    <w:name w:val="List Paragraph"/>
    <w:basedOn w:val="Normal"/>
    <w:uiPriority w:val="34"/>
    <w:qFormat/>
    <w:rsid w:val="00DE39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paragraph" w:styleId="Heading1">
    <w:name w:val="heading 1"/>
    <w:basedOn w:val="Normal"/>
    <w:next w:val="Normal"/>
    <w:link w:val="Heading1Char"/>
    <w:qFormat/>
    <w:rsid w:val="00126B45"/>
    <w:pPr>
      <w:keepNext/>
      <w:jc w:val="center"/>
      <w:outlineLvl w:val="0"/>
    </w:pPr>
    <w:rPr>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7A5EEF"/>
    <w:pPr>
      <w:tabs>
        <w:tab w:val="center" w:pos="4680"/>
        <w:tab w:val="right" w:pos="9360"/>
      </w:tabs>
    </w:pPr>
  </w:style>
  <w:style w:type="character" w:customStyle="1" w:styleId="HeaderChar">
    <w:name w:val="Header Char"/>
    <w:basedOn w:val="DefaultParagraphFont"/>
    <w:link w:val="Header"/>
    <w:rsid w:val="007A5EEF"/>
    <w:rPr>
      <w:sz w:val="24"/>
      <w:szCs w:val="24"/>
    </w:rPr>
  </w:style>
  <w:style w:type="character" w:customStyle="1" w:styleId="Heading1Char">
    <w:name w:val="Heading 1 Char"/>
    <w:basedOn w:val="DefaultParagraphFont"/>
    <w:link w:val="Heading1"/>
    <w:rsid w:val="00126B45"/>
    <w:rPr>
      <w:sz w:val="26"/>
      <w:u w:val="single"/>
    </w:rPr>
  </w:style>
  <w:style w:type="character" w:customStyle="1" w:styleId="FootnoteTextChar">
    <w:name w:val="Footnote Text Char"/>
    <w:basedOn w:val="DefaultParagraphFont"/>
    <w:link w:val="FootnoteText"/>
    <w:semiHidden/>
    <w:rsid w:val="00126B45"/>
  </w:style>
  <w:style w:type="paragraph" w:styleId="BalloonText">
    <w:name w:val="Balloon Text"/>
    <w:basedOn w:val="Normal"/>
    <w:link w:val="BalloonTextChar"/>
    <w:rsid w:val="0080315B"/>
    <w:rPr>
      <w:rFonts w:ascii="Tahoma" w:hAnsi="Tahoma" w:cs="Tahoma"/>
      <w:sz w:val="16"/>
      <w:szCs w:val="16"/>
    </w:rPr>
  </w:style>
  <w:style w:type="character" w:customStyle="1" w:styleId="BalloonTextChar">
    <w:name w:val="Balloon Text Char"/>
    <w:basedOn w:val="DefaultParagraphFont"/>
    <w:link w:val="BalloonText"/>
    <w:rsid w:val="0080315B"/>
    <w:rPr>
      <w:rFonts w:ascii="Tahoma" w:hAnsi="Tahoma" w:cs="Tahoma"/>
      <w:sz w:val="16"/>
      <w:szCs w:val="16"/>
    </w:rPr>
  </w:style>
  <w:style w:type="paragraph" w:styleId="PlainText">
    <w:name w:val="Plain Text"/>
    <w:basedOn w:val="Normal"/>
    <w:link w:val="PlainTextChar"/>
    <w:uiPriority w:val="99"/>
    <w:unhideWhenUsed/>
    <w:rsid w:val="00D63F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3F09"/>
    <w:rPr>
      <w:rFonts w:ascii="Calibri" w:eastAsiaTheme="minorHAnsi" w:hAnsi="Calibri" w:cstheme="minorBidi"/>
      <w:sz w:val="22"/>
      <w:szCs w:val="21"/>
    </w:rPr>
  </w:style>
  <w:style w:type="paragraph" w:styleId="ListParagraph">
    <w:name w:val="List Paragraph"/>
    <w:basedOn w:val="Normal"/>
    <w:uiPriority w:val="34"/>
    <w:qFormat/>
    <w:rsid w:val="00DE3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90775">
      <w:bodyDiv w:val="1"/>
      <w:marLeft w:val="0"/>
      <w:marRight w:val="0"/>
      <w:marTop w:val="0"/>
      <w:marBottom w:val="0"/>
      <w:divBdr>
        <w:top w:val="none" w:sz="0" w:space="0" w:color="auto"/>
        <w:left w:val="none" w:sz="0" w:space="0" w:color="auto"/>
        <w:bottom w:val="none" w:sz="0" w:space="0" w:color="auto"/>
        <w:right w:val="none" w:sz="0" w:space="0" w:color="auto"/>
      </w:divBdr>
    </w:div>
    <w:div w:id="527137889">
      <w:bodyDiv w:val="1"/>
      <w:marLeft w:val="0"/>
      <w:marRight w:val="0"/>
      <w:marTop w:val="0"/>
      <w:marBottom w:val="0"/>
      <w:divBdr>
        <w:top w:val="none" w:sz="0" w:space="0" w:color="auto"/>
        <w:left w:val="none" w:sz="0" w:space="0" w:color="auto"/>
        <w:bottom w:val="none" w:sz="0" w:space="0" w:color="auto"/>
        <w:right w:val="none" w:sz="0" w:space="0" w:color="auto"/>
      </w:divBdr>
    </w:div>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3358F-0DF9-439C-A0E6-62E71FE2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1595</Words>
  <Characters>8664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shoffner</cp:lastModifiedBy>
  <cp:revision>2</cp:revision>
  <cp:lastPrinted>2014-10-08T19:13:00Z</cp:lastPrinted>
  <dcterms:created xsi:type="dcterms:W3CDTF">2014-10-09T19:46:00Z</dcterms:created>
  <dcterms:modified xsi:type="dcterms:W3CDTF">2014-10-09T19:46:00Z</dcterms:modified>
</cp:coreProperties>
</file>