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8B455C" w:rsidRDefault="008E4FD6" w:rsidP="008E4FD6">
      <w:pPr>
        <w:jc w:val="center"/>
        <w:rPr>
          <w:b/>
        </w:rPr>
      </w:pPr>
      <w:bookmarkStart w:id="0" w:name="_GoBack"/>
      <w:bookmarkEnd w:id="0"/>
      <w:r w:rsidRPr="008B455C">
        <w:rPr>
          <w:b/>
        </w:rPr>
        <w:t>BEFORE THE</w:t>
      </w:r>
    </w:p>
    <w:p w:rsidR="008E4FD6" w:rsidRPr="008B455C" w:rsidRDefault="008E4FD6" w:rsidP="008E4FD6">
      <w:pPr>
        <w:jc w:val="center"/>
        <w:rPr>
          <w:b/>
        </w:rPr>
      </w:pPr>
      <w:smartTag w:uri="urn:schemas-microsoft-com:office:smarttags" w:element="State">
        <w:smartTag w:uri="urn:schemas-microsoft-com:office:smarttags" w:element="place">
          <w:r w:rsidRPr="008B455C">
            <w:rPr>
              <w:b/>
            </w:rPr>
            <w:t>PENNSYLVANIA</w:t>
          </w:r>
        </w:smartTag>
      </w:smartTag>
      <w:r w:rsidRPr="008B455C">
        <w:rPr>
          <w:b/>
        </w:rPr>
        <w:t xml:space="preserve"> PUBLIC UTILITY COMMISSION</w:t>
      </w:r>
    </w:p>
    <w:p w:rsidR="008E4FD6" w:rsidRPr="008B455C" w:rsidRDefault="008E4FD6" w:rsidP="008E4FD6">
      <w:pPr>
        <w:jc w:val="center"/>
        <w:rPr>
          <w:b/>
        </w:rPr>
      </w:pPr>
    </w:p>
    <w:p w:rsidR="008E4FD6" w:rsidRPr="008B455C" w:rsidRDefault="008E4FD6" w:rsidP="008E4FD6">
      <w:pPr>
        <w:jc w:val="center"/>
        <w:rPr>
          <w:b/>
        </w:rPr>
      </w:pPr>
    </w:p>
    <w:p w:rsidR="008E4FD6" w:rsidRPr="008B455C" w:rsidRDefault="008E4FD6" w:rsidP="008E4FD6">
      <w:pPr>
        <w:jc w:val="center"/>
        <w:rPr>
          <w:b/>
        </w:rPr>
      </w:pPr>
    </w:p>
    <w:p w:rsidR="00F9732A" w:rsidRPr="008B455C" w:rsidRDefault="000D6CFC" w:rsidP="00F9732A">
      <w:r>
        <w:t>Michael Robinson</w:t>
      </w:r>
      <w:r w:rsidR="00CD7291">
        <w:tab/>
      </w:r>
      <w:r w:rsidR="00BC7989">
        <w:tab/>
      </w:r>
      <w:r w:rsidR="00F9732A" w:rsidRPr="008B455C">
        <w:tab/>
      </w:r>
      <w:r w:rsidR="00EF7BB1" w:rsidRPr="008B455C">
        <w:tab/>
      </w:r>
      <w:r w:rsidR="00F9732A" w:rsidRPr="008B455C">
        <w:tab/>
        <w:t>:</w:t>
      </w:r>
      <w:r w:rsidR="00F9732A" w:rsidRPr="008B455C">
        <w:tab/>
      </w:r>
    </w:p>
    <w:p w:rsidR="00F9732A" w:rsidRPr="008B455C" w:rsidRDefault="00F9732A" w:rsidP="00F9732A">
      <w:r w:rsidRPr="008B455C">
        <w:tab/>
      </w:r>
      <w:r w:rsidRPr="008B455C">
        <w:tab/>
      </w:r>
      <w:r w:rsidRPr="008B455C">
        <w:tab/>
      </w:r>
      <w:r w:rsidRPr="008B455C">
        <w:tab/>
      </w:r>
      <w:r w:rsidRPr="008B455C">
        <w:tab/>
      </w:r>
      <w:r w:rsidRPr="008B455C">
        <w:tab/>
      </w:r>
      <w:r w:rsidRPr="008B455C">
        <w:tab/>
        <w:t>:</w:t>
      </w:r>
    </w:p>
    <w:p w:rsidR="00F9732A" w:rsidRPr="008B455C" w:rsidRDefault="00F9732A" w:rsidP="00F6612B">
      <w:pPr>
        <w:numPr>
          <w:ilvl w:val="0"/>
          <w:numId w:val="5"/>
        </w:numPr>
        <w:ind w:hanging="4320"/>
      </w:pPr>
      <w:r w:rsidRPr="008B455C">
        <w:t>:</w:t>
      </w:r>
      <w:r w:rsidRPr="008B455C">
        <w:tab/>
      </w:r>
      <w:r w:rsidR="00F6612B" w:rsidRPr="008B455C">
        <w:tab/>
      </w:r>
      <w:r w:rsidR="00B50BB3">
        <w:t>C-</w:t>
      </w:r>
      <w:r w:rsidR="000D6CFC">
        <w:t>2014-2413368</w:t>
      </w:r>
    </w:p>
    <w:p w:rsidR="00F9732A" w:rsidRPr="008B455C" w:rsidRDefault="00F9732A" w:rsidP="00F9732A">
      <w:pPr>
        <w:ind w:left="5040"/>
      </w:pPr>
      <w:r w:rsidRPr="008B455C">
        <w:t>:</w:t>
      </w:r>
    </w:p>
    <w:p w:rsidR="00F9732A" w:rsidRPr="008B455C" w:rsidRDefault="000D6CFC" w:rsidP="00F9732A">
      <w:r>
        <w:t>PECO Energy</w:t>
      </w:r>
      <w:r w:rsidR="00F9732A" w:rsidRPr="008B455C">
        <w:t xml:space="preserve"> Company</w:t>
      </w:r>
      <w:r w:rsidR="00F9732A" w:rsidRPr="008B455C">
        <w:tab/>
      </w:r>
      <w:r w:rsidR="00F9732A" w:rsidRPr="008B455C">
        <w:tab/>
        <w:t xml:space="preserve"> </w:t>
      </w:r>
      <w:r w:rsidR="00F9732A" w:rsidRPr="008B455C">
        <w:tab/>
      </w:r>
      <w:r w:rsidR="00F9732A" w:rsidRPr="008B455C">
        <w:tab/>
        <w:t>:</w:t>
      </w:r>
    </w:p>
    <w:p w:rsidR="00F9732A" w:rsidRPr="008B455C" w:rsidRDefault="00F9732A" w:rsidP="00F9732A">
      <w:r w:rsidRPr="008B455C">
        <w:tab/>
      </w:r>
      <w:r w:rsidRPr="008B455C">
        <w:tab/>
      </w:r>
      <w:r w:rsidRPr="008B455C">
        <w:tab/>
      </w:r>
      <w:r w:rsidRPr="008B455C">
        <w:tab/>
      </w:r>
      <w:r w:rsidRPr="008B455C">
        <w:tab/>
      </w:r>
      <w:r w:rsidRPr="008B455C">
        <w:tab/>
      </w:r>
      <w:r w:rsidRPr="008B455C">
        <w:tab/>
      </w:r>
    </w:p>
    <w:p w:rsidR="008E4FD6" w:rsidRPr="008B455C" w:rsidRDefault="008E4FD6" w:rsidP="008E4FD6">
      <w:pPr>
        <w:tabs>
          <w:tab w:val="left" w:pos="1076"/>
        </w:tabs>
      </w:pPr>
    </w:p>
    <w:p w:rsidR="008E4FD6" w:rsidRPr="008B455C" w:rsidRDefault="008E4FD6" w:rsidP="008E4FD6">
      <w:pPr>
        <w:tabs>
          <w:tab w:val="left" w:pos="1076"/>
        </w:tabs>
      </w:pPr>
    </w:p>
    <w:p w:rsidR="008E4FD6" w:rsidRPr="008B455C" w:rsidRDefault="008E4FD6" w:rsidP="008E4FD6">
      <w:pPr>
        <w:jc w:val="center"/>
        <w:rPr>
          <w:b/>
          <w:u w:val="single"/>
        </w:rPr>
      </w:pPr>
      <w:r w:rsidRPr="008B455C">
        <w:rPr>
          <w:b/>
          <w:u w:val="single"/>
        </w:rPr>
        <w:t>INITIAL DECISION</w:t>
      </w:r>
    </w:p>
    <w:p w:rsidR="008E4FD6" w:rsidRPr="008B455C" w:rsidRDefault="008E4FD6" w:rsidP="008E4FD6">
      <w:pPr>
        <w:jc w:val="center"/>
      </w:pPr>
    </w:p>
    <w:p w:rsidR="009D47A5" w:rsidRPr="008B455C" w:rsidRDefault="009D47A5" w:rsidP="008E4FD6">
      <w:pPr>
        <w:jc w:val="center"/>
      </w:pPr>
    </w:p>
    <w:p w:rsidR="008E4FD6" w:rsidRPr="008B455C" w:rsidRDefault="008E4FD6" w:rsidP="008E4FD6">
      <w:pPr>
        <w:jc w:val="center"/>
      </w:pPr>
      <w:r w:rsidRPr="008B455C">
        <w:t>Before</w:t>
      </w:r>
    </w:p>
    <w:p w:rsidR="008E4FD6" w:rsidRPr="008B455C" w:rsidRDefault="00DF0974" w:rsidP="008E4FD6">
      <w:pPr>
        <w:jc w:val="center"/>
      </w:pPr>
      <w:r w:rsidRPr="008B455C">
        <w:t>Katrina L. Dunderdale</w:t>
      </w:r>
    </w:p>
    <w:p w:rsidR="008E4FD6" w:rsidRPr="008B455C" w:rsidRDefault="008E4FD6" w:rsidP="008E4FD6">
      <w:pPr>
        <w:jc w:val="center"/>
      </w:pPr>
      <w:r w:rsidRPr="008B455C">
        <w:t>Administrative Law Judge</w:t>
      </w:r>
    </w:p>
    <w:p w:rsidR="008E4FD6" w:rsidRPr="008B455C" w:rsidRDefault="008E4FD6" w:rsidP="00126B45">
      <w:pPr>
        <w:spacing w:line="360" w:lineRule="auto"/>
        <w:jc w:val="center"/>
      </w:pPr>
    </w:p>
    <w:p w:rsidR="00126B45" w:rsidRPr="000B0551" w:rsidRDefault="00126B45" w:rsidP="00126B45">
      <w:pPr>
        <w:spacing w:line="360" w:lineRule="auto"/>
        <w:jc w:val="center"/>
        <w:rPr>
          <w:u w:val="single"/>
        </w:rPr>
      </w:pPr>
      <w:r w:rsidRPr="000B0551">
        <w:rPr>
          <w:u w:val="single"/>
        </w:rPr>
        <w:t>INTRODUCTION</w:t>
      </w:r>
    </w:p>
    <w:p w:rsidR="00126B45" w:rsidRDefault="00126B45" w:rsidP="00126B45">
      <w:pPr>
        <w:spacing w:line="360" w:lineRule="auto"/>
      </w:pPr>
    </w:p>
    <w:p w:rsidR="00126B45" w:rsidRDefault="00126B45" w:rsidP="00126B45">
      <w:pPr>
        <w:spacing w:line="360" w:lineRule="auto"/>
      </w:pPr>
      <w:r>
        <w:tab/>
      </w:r>
      <w:r>
        <w:tab/>
        <w:t xml:space="preserve">This decision denies the complaint </w:t>
      </w:r>
      <w:r w:rsidR="00DA1ED0">
        <w:t xml:space="preserve">and denies Complainant’s </w:t>
      </w:r>
      <w:r>
        <w:t xml:space="preserve">request for </w:t>
      </w:r>
      <w:r w:rsidR="003937E3">
        <w:t xml:space="preserve">damages.  </w:t>
      </w:r>
    </w:p>
    <w:p w:rsidR="00126B45" w:rsidRDefault="00126B45" w:rsidP="00126B45">
      <w:pPr>
        <w:spacing w:line="360" w:lineRule="auto"/>
      </w:pPr>
    </w:p>
    <w:p w:rsidR="00126B45" w:rsidRPr="00FB448C" w:rsidRDefault="00126B45" w:rsidP="00126B45">
      <w:pPr>
        <w:pStyle w:val="Heading1"/>
        <w:spacing w:line="360" w:lineRule="auto"/>
        <w:rPr>
          <w:sz w:val="24"/>
          <w:szCs w:val="24"/>
          <w:u w:val="none"/>
        </w:rPr>
      </w:pPr>
      <w:r w:rsidRPr="00FB448C">
        <w:rPr>
          <w:sz w:val="24"/>
          <w:szCs w:val="24"/>
        </w:rPr>
        <w:t>HISTORY OF THE PROCEEDING</w:t>
      </w:r>
    </w:p>
    <w:p w:rsidR="00126B45" w:rsidRPr="00B73D10" w:rsidRDefault="00126B45" w:rsidP="00126B45">
      <w:pPr>
        <w:spacing w:line="360" w:lineRule="auto"/>
        <w:ind w:firstLine="1440"/>
      </w:pPr>
    </w:p>
    <w:p w:rsidR="00126B45" w:rsidRPr="00B73D10" w:rsidRDefault="00126B45" w:rsidP="00126B45">
      <w:pPr>
        <w:spacing w:line="360" w:lineRule="auto"/>
        <w:ind w:firstLine="1440"/>
      </w:pPr>
      <w:r w:rsidRPr="00B73D10">
        <w:t xml:space="preserve">On </w:t>
      </w:r>
      <w:r w:rsidR="004E4203">
        <w:t>March 17, 2014, Michael Robinson</w:t>
      </w:r>
      <w:r>
        <w:t xml:space="preserve"> (</w:t>
      </w:r>
      <w:r w:rsidRPr="00B73D10">
        <w:t>Compla</w:t>
      </w:r>
      <w:r>
        <w:t xml:space="preserve">inant) filed a formal complaint </w:t>
      </w:r>
      <w:r w:rsidRPr="00B73D10">
        <w:t xml:space="preserve">against </w:t>
      </w:r>
      <w:r w:rsidR="004E4203">
        <w:t>PECO Energy</w:t>
      </w:r>
      <w:r>
        <w:t xml:space="preserve"> Company (</w:t>
      </w:r>
      <w:r w:rsidRPr="00B73D10">
        <w:t xml:space="preserve">Respondent or </w:t>
      </w:r>
      <w:r w:rsidR="004E4203">
        <w:t>PECO</w:t>
      </w:r>
      <w:r w:rsidRPr="00B73D10">
        <w:t>) alleging</w:t>
      </w:r>
      <w:r>
        <w:t xml:space="preserve"> a reliability, safety or quality problem with his electric service provided by </w:t>
      </w:r>
      <w:r w:rsidR="004E4203">
        <w:t>PECO</w:t>
      </w:r>
      <w:r>
        <w:t>.  Complainant alleged</w:t>
      </w:r>
      <w:r w:rsidR="004E4203">
        <w:t xml:space="preserve"> a long-term outage beginning on February 4, 2014 which resulted in Complainant being forced out of his residence for one month</w:t>
      </w:r>
      <w:r>
        <w:t xml:space="preserve">.  Complainant requested payment for damages caused by the </w:t>
      </w:r>
      <w:r w:rsidR="004E4203">
        <w:t xml:space="preserve">outage and requested the Commission find PECO failed to provide reasonable and adequate customer service.  </w:t>
      </w:r>
      <w:r w:rsidRPr="00B73D10">
        <w:t xml:space="preserve">On </w:t>
      </w:r>
      <w:r w:rsidR="004E4203">
        <w:t>April 15, 2014</w:t>
      </w:r>
      <w:r w:rsidRPr="00B73D10">
        <w:t xml:space="preserve">, Respondent filed an </w:t>
      </w:r>
      <w:r w:rsidR="00101AB8">
        <w:t>A</w:t>
      </w:r>
      <w:r w:rsidRPr="00B73D10">
        <w:t>nswer</w:t>
      </w:r>
      <w:r>
        <w:t xml:space="preserve"> in which R</w:t>
      </w:r>
      <w:r w:rsidRPr="00B73D10">
        <w:t xml:space="preserve">espondent </w:t>
      </w:r>
      <w:r w:rsidR="00A96A71">
        <w:t xml:space="preserve">generally denied the averments and asserted </w:t>
      </w:r>
      <w:r w:rsidR="004E4203">
        <w:t>PECO</w:t>
      </w:r>
      <w:r w:rsidR="00A96A71">
        <w:t xml:space="preserve"> had provided reasonable and adequate service in how it maintained its facilities</w:t>
      </w:r>
      <w:r w:rsidR="004E4203">
        <w:t xml:space="preserve"> and managed the emergency causing the outage</w:t>
      </w:r>
      <w:r>
        <w:t xml:space="preserve">.  </w:t>
      </w:r>
    </w:p>
    <w:p w:rsidR="00126B45" w:rsidRPr="00B73D10" w:rsidRDefault="00126B45" w:rsidP="00126B45">
      <w:pPr>
        <w:spacing w:line="360" w:lineRule="auto"/>
      </w:pPr>
    </w:p>
    <w:p w:rsidR="00126B45" w:rsidRDefault="00126B45" w:rsidP="00126B45">
      <w:pPr>
        <w:spacing w:line="360" w:lineRule="auto"/>
      </w:pPr>
      <w:r w:rsidRPr="00B73D10">
        <w:lastRenderedPageBreak/>
        <w:tab/>
      </w:r>
      <w:r w:rsidRPr="00B73D10">
        <w:tab/>
        <w:t xml:space="preserve">On </w:t>
      </w:r>
      <w:r w:rsidR="004E4203">
        <w:t>May 7, 2014</w:t>
      </w:r>
      <w:r w:rsidRPr="00B73D10">
        <w:t xml:space="preserve">, the Office of Administrative Law Judge issued a Telephone Hearing Notice, which scheduled </w:t>
      </w:r>
      <w:r>
        <w:t xml:space="preserve">a telephonic </w:t>
      </w:r>
      <w:r w:rsidRPr="00B73D10">
        <w:t xml:space="preserve">initial hearing to be conducted on </w:t>
      </w:r>
      <w:r w:rsidR="004E4203">
        <w:t>June 5, 2014 by Administrative Law Judge Mark A. Hoyer</w:t>
      </w:r>
      <w:r>
        <w:t>.</w:t>
      </w:r>
      <w:r w:rsidR="0080315B">
        <w:t xml:space="preserve">  </w:t>
      </w:r>
      <w:r>
        <w:t xml:space="preserve">On </w:t>
      </w:r>
      <w:r w:rsidR="004E4203">
        <w:t>May 13, 2014</w:t>
      </w:r>
      <w:r>
        <w:t>, the presiding officer issued</w:t>
      </w:r>
      <w:r w:rsidRPr="00B73D10">
        <w:t xml:space="preserve"> a Prehearing Order.  </w:t>
      </w:r>
      <w:r w:rsidR="004E4203">
        <w:t xml:space="preserve">The proceeding was reassigned to Administrative Law Judge Katrina L. Dunderdale, who </w:t>
      </w:r>
      <w:r>
        <w:t xml:space="preserve">convened the initial hearing as scheduled on </w:t>
      </w:r>
      <w:r w:rsidR="004E4203">
        <w:t>June 5, 2014</w:t>
      </w:r>
      <w:r>
        <w:t>.  Complainant</w:t>
      </w:r>
      <w:r w:rsidR="00A96A71">
        <w:t xml:space="preserve"> </w:t>
      </w:r>
      <w:r>
        <w:t xml:space="preserve">appeared </w:t>
      </w:r>
      <w:r w:rsidR="00A96A71" w:rsidRPr="00A96A71">
        <w:rPr>
          <w:i/>
        </w:rPr>
        <w:t>pro se</w:t>
      </w:r>
      <w:r w:rsidR="00A96A71">
        <w:t xml:space="preserve"> and testified </w:t>
      </w:r>
      <w:r>
        <w:t xml:space="preserve">on </w:t>
      </w:r>
      <w:r w:rsidR="00A96A71">
        <w:t>his own behalf</w:t>
      </w:r>
      <w:r>
        <w:t>.</w:t>
      </w:r>
      <w:r w:rsidR="00A96A71">
        <w:t xml:space="preserve">  Complainant offered </w:t>
      </w:r>
      <w:r w:rsidR="004E4203">
        <w:t>five</w:t>
      </w:r>
      <w:r w:rsidR="00E65950">
        <w:t> </w:t>
      </w:r>
      <w:r w:rsidR="00A96A71">
        <w:t>(</w:t>
      </w:r>
      <w:r w:rsidR="004E4203">
        <w:t>5</w:t>
      </w:r>
      <w:r w:rsidR="00A96A71">
        <w:t xml:space="preserve">) exhibits, which were marked </w:t>
      </w:r>
      <w:r w:rsidR="004E4203">
        <w:t xml:space="preserve">and admitted as </w:t>
      </w:r>
      <w:r w:rsidR="00A96A71">
        <w:t xml:space="preserve">Complainant Exhibits </w:t>
      </w:r>
      <w:r w:rsidR="004E4203">
        <w:t>1 through 5</w:t>
      </w:r>
      <w:r w:rsidR="00A96A71">
        <w:t>.</w:t>
      </w:r>
      <w:r>
        <w:t xml:space="preserve">  Respondent was represented by </w:t>
      </w:r>
      <w:proofErr w:type="spellStart"/>
      <w:r w:rsidR="004E4203">
        <w:t>Shawane</w:t>
      </w:r>
      <w:proofErr w:type="spellEnd"/>
      <w:r w:rsidR="004E4203">
        <w:t xml:space="preserve"> L. Lee</w:t>
      </w:r>
      <w:r>
        <w:t xml:space="preserve">, Esquire.  </w:t>
      </w:r>
      <w:r w:rsidR="00A96A71" w:rsidRPr="00B73D10">
        <w:t xml:space="preserve">Attorney </w:t>
      </w:r>
      <w:r w:rsidR="004E4203">
        <w:t>Lee</w:t>
      </w:r>
      <w:r w:rsidR="00A96A71" w:rsidRPr="00B73D10">
        <w:t xml:space="preserve"> presented the testimony of </w:t>
      </w:r>
      <w:r w:rsidR="004E4203">
        <w:t>three (3)</w:t>
      </w:r>
      <w:r w:rsidR="00A96A71">
        <w:t xml:space="preserve"> witnesses</w:t>
      </w:r>
      <w:r w:rsidR="00A96A71" w:rsidRPr="00B73D10">
        <w:t xml:space="preserve">, and offered </w:t>
      </w:r>
      <w:r w:rsidR="004E4203">
        <w:t>five</w:t>
      </w:r>
      <w:r w:rsidR="00A96A71">
        <w:t xml:space="preserve"> (</w:t>
      </w:r>
      <w:r w:rsidR="004E4203">
        <w:t>5</w:t>
      </w:r>
      <w:r w:rsidR="00A96A71">
        <w:t>)</w:t>
      </w:r>
      <w:r w:rsidR="00A96A71" w:rsidRPr="00B73D10">
        <w:t xml:space="preserve"> exhibits, </w:t>
      </w:r>
      <w:r w:rsidR="00A96A71">
        <w:t xml:space="preserve">which were </w:t>
      </w:r>
      <w:r w:rsidR="00A96A71" w:rsidRPr="00B73D10">
        <w:t xml:space="preserve">marked </w:t>
      </w:r>
      <w:r w:rsidR="004E4203">
        <w:t>and admitted as PECO</w:t>
      </w:r>
      <w:r w:rsidR="00A96A71">
        <w:t xml:space="preserve"> Exhibits </w:t>
      </w:r>
      <w:r w:rsidR="004E4203">
        <w:t>1 through 5</w:t>
      </w:r>
      <w:r w:rsidR="00A96A71" w:rsidRPr="00B73D10">
        <w:t>.  The transcript of the hearing</w:t>
      </w:r>
      <w:r w:rsidR="00A96A71">
        <w:t>,</w:t>
      </w:r>
      <w:r w:rsidR="00A96A71" w:rsidRPr="00B73D10">
        <w:t xml:space="preserve"> contain</w:t>
      </w:r>
      <w:r w:rsidR="00A96A71">
        <w:t>ing</w:t>
      </w:r>
      <w:r w:rsidR="00A96A71" w:rsidRPr="00B73D10">
        <w:t xml:space="preserve"> </w:t>
      </w:r>
      <w:r w:rsidR="004E4203">
        <w:t>179</w:t>
      </w:r>
      <w:r w:rsidR="00A96A71">
        <w:t xml:space="preserve"> </w:t>
      </w:r>
      <w:r w:rsidR="00A96A71" w:rsidRPr="00B73D10">
        <w:t>pages</w:t>
      </w:r>
      <w:r w:rsidR="00A96A71">
        <w:t xml:space="preserve">, was received in the Commission’s offices on </w:t>
      </w:r>
      <w:r w:rsidR="004E4203">
        <w:t>June 20</w:t>
      </w:r>
      <w:r w:rsidR="00A96A71">
        <w:t xml:space="preserve">, 2014 and was received in the presiding officer’s office on </w:t>
      </w:r>
      <w:r w:rsidR="004E4203">
        <w:t>June 25</w:t>
      </w:r>
      <w:r w:rsidR="00A96A71">
        <w:t>, 2014.</w:t>
      </w:r>
      <w:r w:rsidR="00A96A71" w:rsidRPr="00B73D10">
        <w:t xml:space="preserve">  Complainant and Respondent issued final statements on the hearing record in lieu of filing briefs.</w:t>
      </w:r>
    </w:p>
    <w:p w:rsidR="00126B45" w:rsidRDefault="00126B45" w:rsidP="00126B45">
      <w:pPr>
        <w:spacing w:line="360" w:lineRule="auto"/>
      </w:pPr>
    </w:p>
    <w:p w:rsidR="00126B45" w:rsidRPr="00B73D10" w:rsidRDefault="00126B45" w:rsidP="00126B45">
      <w:pPr>
        <w:tabs>
          <w:tab w:val="left" w:pos="2160"/>
        </w:tabs>
        <w:spacing w:line="360" w:lineRule="auto"/>
        <w:ind w:firstLine="1440"/>
      </w:pPr>
      <w:r w:rsidRPr="00B73D10">
        <w:t xml:space="preserve">On </w:t>
      </w:r>
      <w:r w:rsidR="004E4203">
        <w:t>June 27</w:t>
      </w:r>
      <w:r w:rsidR="00A96A71">
        <w:t>, 2014</w:t>
      </w:r>
      <w:r>
        <w:t>,</w:t>
      </w:r>
      <w:r w:rsidRPr="00B73D10">
        <w:t xml:space="preserve"> the </w:t>
      </w:r>
      <w:r w:rsidR="00A96A71">
        <w:t xml:space="preserve">presiding officer closed the </w:t>
      </w:r>
      <w:r w:rsidR="0062778F">
        <w:t>record</w:t>
      </w:r>
      <w:r w:rsidR="00A96A71">
        <w:t xml:space="preserve"> by </w:t>
      </w:r>
      <w:r w:rsidRPr="00B73D10">
        <w:t>Interim Order Closing the Hearing Record.</w:t>
      </w:r>
    </w:p>
    <w:p w:rsidR="00126B45" w:rsidRPr="00B73D10" w:rsidRDefault="00126B45" w:rsidP="00126B45">
      <w:pPr>
        <w:tabs>
          <w:tab w:val="left" w:pos="2160"/>
        </w:tabs>
        <w:spacing w:line="360" w:lineRule="auto"/>
        <w:ind w:firstLine="1440"/>
      </w:pPr>
    </w:p>
    <w:p w:rsidR="00126B45" w:rsidRPr="00B73D10" w:rsidRDefault="00126B45" w:rsidP="00126B45">
      <w:pPr>
        <w:tabs>
          <w:tab w:val="left" w:pos="2160"/>
        </w:tabs>
        <w:spacing w:line="360" w:lineRule="auto"/>
        <w:jc w:val="center"/>
        <w:rPr>
          <w:u w:val="single"/>
        </w:rPr>
      </w:pPr>
      <w:r w:rsidRPr="00B73D10">
        <w:rPr>
          <w:u w:val="single"/>
        </w:rPr>
        <w:t xml:space="preserve">FINDINGS OF </w:t>
      </w:r>
      <w:smartTag w:uri="urn:schemas-microsoft-com:office:smarttags" w:element="stockticker">
        <w:r w:rsidRPr="00B73D10">
          <w:rPr>
            <w:u w:val="single"/>
          </w:rPr>
          <w:t>FACT</w:t>
        </w:r>
      </w:smartTag>
    </w:p>
    <w:p w:rsidR="00126B45" w:rsidRPr="00B73D10" w:rsidRDefault="00126B45" w:rsidP="00126B45">
      <w:pPr>
        <w:tabs>
          <w:tab w:val="left" w:pos="2160"/>
        </w:tabs>
        <w:spacing w:line="360" w:lineRule="auto"/>
        <w:rPr>
          <w:u w:val="single"/>
        </w:rPr>
      </w:pPr>
    </w:p>
    <w:p w:rsidR="00126B45" w:rsidRPr="00B73D10" w:rsidRDefault="00126B45" w:rsidP="00126B45">
      <w:pPr>
        <w:tabs>
          <w:tab w:val="left" w:pos="2160"/>
        </w:tabs>
        <w:spacing w:line="360" w:lineRule="auto"/>
        <w:ind w:firstLine="1440"/>
      </w:pPr>
      <w:r w:rsidRPr="00B73D10">
        <w:t>1.</w:t>
      </w:r>
      <w:r w:rsidRPr="00B73D10">
        <w:tab/>
        <w:t xml:space="preserve">Complainant, </w:t>
      </w:r>
      <w:r w:rsidR="004E4203">
        <w:t>Michael Robinson</w:t>
      </w:r>
      <w:r>
        <w:t xml:space="preserve">, resides at </w:t>
      </w:r>
      <w:r w:rsidR="004E4203">
        <w:t xml:space="preserve">909 </w:t>
      </w:r>
      <w:proofErr w:type="spellStart"/>
      <w:r w:rsidR="004E4203">
        <w:t>Wagontown</w:t>
      </w:r>
      <w:proofErr w:type="spellEnd"/>
      <w:r w:rsidR="004A0254">
        <w:t xml:space="preserve"> Road, </w:t>
      </w:r>
      <w:r w:rsidR="004E4203">
        <w:t>Coatesville</w:t>
      </w:r>
      <w:r>
        <w:t>, Pennsylvania (service address)</w:t>
      </w:r>
      <w:r w:rsidR="003C1F6E">
        <w:t>,</w:t>
      </w:r>
      <w:r w:rsidR="004E4203">
        <w:t xml:space="preserve"> where he has resided </w:t>
      </w:r>
      <w:r w:rsidR="0020146E">
        <w:t>for 30 years</w:t>
      </w:r>
      <w:r w:rsidR="006C63C2">
        <w:t xml:space="preserve"> and where he currently resides with his wife and son</w:t>
      </w:r>
      <w:r>
        <w:t>.</w:t>
      </w:r>
      <w:r w:rsidR="00F332BD">
        <w:t xml:space="preserve">  </w:t>
      </w:r>
      <w:proofErr w:type="gramStart"/>
      <w:r w:rsidR="0020146E">
        <w:t>(Tr.</w:t>
      </w:r>
      <w:r w:rsidR="005461EE">
        <w:t xml:space="preserve"> </w:t>
      </w:r>
      <w:r w:rsidR="0020146E">
        <w:t>7, 8</w:t>
      </w:r>
      <w:r w:rsidR="00F332BD">
        <w:t>, 38</w:t>
      </w:r>
      <w:r w:rsidR="006C63C2">
        <w:t>, 45</w:t>
      </w:r>
      <w:r w:rsidR="0020146E">
        <w:t>).</w:t>
      </w:r>
      <w:proofErr w:type="gramEnd"/>
      <w:r>
        <w:t xml:space="preserve">  </w:t>
      </w:r>
      <w:r w:rsidRPr="00B73D10">
        <w:t xml:space="preserve"> </w:t>
      </w:r>
    </w:p>
    <w:p w:rsidR="00126B45" w:rsidRDefault="00126B45" w:rsidP="00126B45">
      <w:pPr>
        <w:tabs>
          <w:tab w:val="left" w:pos="2160"/>
        </w:tabs>
        <w:spacing w:line="360" w:lineRule="auto"/>
        <w:ind w:firstLine="1440"/>
      </w:pPr>
    </w:p>
    <w:p w:rsidR="00126B45" w:rsidRDefault="00126B45" w:rsidP="00126B45">
      <w:pPr>
        <w:tabs>
          <w:tab w:val="left" w:pos="2160"/>
        </w:tabs>
        <w:spacing w:line="360" w:lineRule="auto"/>
        <w:ind w:firstLine="1440"/>
      </w:pPr>
      <w:r>
        <w:t>2.</w:t>
      </w:r>
      <w:r>
        <w:tab/>
        <w:t>Respondent provide</w:t>
      </w:r>
      <w:r w:rsidR="0020146E">
        <w:t>s</w:t>
      </w:r>
      <w:r>
        <w:t xml:space="preserve"> electric service to Complainant at the service address.  </w:t>
      </w:r>
      <w:proofErr w:type="gramStart"/>
      <w:r>
        <w:t xml:space="preserve">(Tr. </w:t>
      </w:r>
      <w:r w:rsidR="0020146E">
        <w:t>7</w:t>
      </w:r>
      <w:r>
        <w:t>).</w:t>
      </w:r>
      <w:proofErr w:type="gramEnd"/>
    </w:p>
    <w:p w:rsidR="00126B45" w:rsidRDefault="00126B45" w:rsidP="00126B45">
      <w:pPr>
        <w:tabs>
          <w:tab w:val="left" w:pos="2160"/>
        </w:tabs>
        <w:spacing w:line="360" w:lineRule="auto"/>
        <w:ind w:firstLine="1440"/>
      </w:pPr>
    </w:p>
    <w:p w:rsidR="00126B45" w:rsidRDefault="00126B45" w:rsidP="00126B45">
      <w:pPr>
        <w:tabs>
          <w:tab w:val="left" w:pos="2160"/>
        </w:tabs>
        <w:spacing w:line="360" w:lineRule="auto"/>
        <w:ind w:firstLine="1440"/>
      </w:pPr>
      <w:r>
        <w:t xml:space="preserve">3. </w:t>
      </w:r>
      <w:r>
        <w:tab/>
      </w:r>
      <w:r w:rsidR="00FB142F">
        <w:t>From</w:t>
      </w:r>
      <w:r w:rsidR="00CE3A66">
        <w:t xml:space="preserve"> </w:t>
      </w:r>
      <w:r w:rsidR="004E4203">
        <w:t>February 4, 2014</w:t>
      </w:r>
      <w:r w:rsidR="00FB142F">
        <w:t xml:space="preserve"> to February 7, 2014</w:t>
      </w:r>
      <w:r w:rsidR="00E941A4">
        <w:t xml:space="preserve">, Complainant experienced </w:t>
      </w:r>
      <w:r w:rsidR="009663E5">
        <w:t xml:space="preserve">a power outage at the service address </w:t>
      </w:r>
      <w:r w:rsidR="00FB142F">
        <w:t>due to a snow storm.  The intermittent outage lasted</w:t>
      </w:r>
      <w:r w:rsidR="009663E5">
        <w:t xml:space="preserve"> </w:t>
      </w:r>
      <w:r w:rsidR="002F73D8">
        <w:t xml:space="preserve">a total of </w:t>
      </w:r>
      <w:r w:rsidR="00A712D2">
        <w:t>40 h</w:t>
      </w:r>
      <w:r w:rsidR="00274E57">
        <w:t>ours 35 minutes and affected 2968</w:t>
      </w:r>
      <w:r w:rsidR="00A712D2">
        <w:t xml:space="preserve"> customers</w:t>
      </w:r>
      <w:r w:rsidR="009663E5">
        <w:t xml:space="preserve">.  </w:t>
      </w:r>
      <w:proofErr w:type="gramStart"/>
      <w:r w:rsidR="00A712D2">
        <w:t xml:space="preserve">(Tr. </w:t>
      </w:r>
      <w:r w:rsidR="00FB142F">
        <w:t>16, 17</w:t>
      </w:r>
      <w:r w:rsidR="00274E57">
        <w:t>, 96</w:t>
      </w:r>
      <w:r w:rsidR="00A712D2">
        <w:t>; PECO Exhibit 1).</w:t>
      </w:r>
      <w:proofErr w:type="gramEnd"/>
    </w:p>
    <w:p w:rsidR="002F73D8" w:rsidRDefault="002F73D8" w:rsidP="00126B45">
      <w:pPr>
        <w:tabs>
          <w:tab w:val="left" w:pos="2160"/>
        </w:tabs>
        <w:spacing w:line="360" w:lineRule="auto"/>
        <w:ind w:firstLine="1440"/>
      </w:pPr>
    </w:p>
    <w:p w:rsidR="00B85B7F" w:rsidRDefault="002F73D8" w:rsidP="005534CB">
      <w:pPr>
        <w:tabs>
          <w:tab w:val="left" w:pos="2160"/>
        </w:tabs>
        <w:spacing w:line="360" w:lineRule="auto"/>
        <w:ind w:firstLine="1440"/>
      </w:pPr>
      <w:r>
        <w:t xml:space="preserve">4. </w:t>
      </w:r>
      <w:r>
        <w:tab/>
      </w:r>
      <w:r w:rsidR="005534CB">
        <w:t xml:space="preserve">On February 5, 2014 and again on February 6, 2014, </w:t>
      </w:r>
      <w:r>
        <w:t>Complainant contacted PECO to report outage</w:t>
      </w:r>
      <w:r w:rsidR="005534CB">
        <w:t>s</w:t>
      </w:r>
      <w:r>
        <w:t xml:space="preserve">.  </w:t>
      </w:r>
      <w:proofErr w:type="gramStart"/>
      <w:r w:rsidR="005534CB">
        <w:t>(Tr. 63, 64, 97; PECO Exhibits 1 &amp; 3).</w:t>
      </w:r>
      <w:proofErr w:type="gramEnd"/>
    </w:p>
    <w:p w:rsidR="00B85B7F" w:rsidRDefault="007976FF" w:rsidP="00126B45">
      <w:pPr>
        <w:tabs>
          <w:tab w:val="left" w:pos="2160"/>
        </w:tabs>
        <w:spacing w:line="360" w:lineRule="auto"/>
        <w:ind w:firstLine="1440"/>
      </w:pPr>
      <w:r>
        <w:t>5</w:t>
      </w:r>
      <w:r w:rsidR="00B85B7F">
        <w:t xml:space="preserve">. </w:t>
      </w:r>
      <w:r w:rsidR="00B85B7F">
        <w:tab/>
        <w:t>On February 7, 2014 at appro</w:t>
      </w:r>
      <w:r w:rsidR="00392A9B">
        <w:t xml:space="preserve">ximately 10:15 a.m., a computer and computer desk </w:t>
      </w:r>
      <w:r w:rsidR="00B85B7F">
        <w:t xml:space="preserve">at the service address caught fire and </w:t>
      </w:r>
      <w:r w:rsidR="00392A9B">
        <w:t xml:space="preserve">electrical outlets on all three floors </w:t>
      </w:r>
      <w:r w:rsidR="00B85B7F">
        <w:t xml:space="preserve">began smoking.  </w:t>
      </w:r>
      <w:r w:rsidR="00A712D2">
        <w:t xml:space="preserve">At 12:31 p.m. on February 7, 2014, Complainant called PECO to complain high voltage </w:t>
      </w:r>
      <w:r w:rsidR="005534CB">
        <w:t xml:space="preserve">was </w:t>
      </w:r>
      <w:r w:rsidR="00A712D2">
        <w:t xml:space="preserve">coming from the hot lead to the neutral bar in the meter and </w:t>
      </w:r>
      <w:r w:rsidR="005534CB">
        <w:t xml:space="preserve">to </w:t>
      </w:r>
      <w:r w:rsidR="00A712D2">
        <w:t xml:space="preserve">report the smell of smoke.  </w:t>
      </w:r>
      <w:r w:rsidR="000B1A11">
        <w:t xml:space="preserve">At </w:t>
      </w:r>
      <w:r w:rsidR="00AD7693">
        <w:t xml:space="preserve">2:35 p.m. and again at </w:t>
      </w:r>
      <w:r w:rsidR="000B1A11">
        <w:t xml:space="preserve">5:10 p.m. on February 7, 2014, Complainant called to report </w:t>
      </w:r>
      <w:r w:rsidR="005534CB">
        <w:t xml:space="preserve">there was </w:t>
      </w:r>
      <w:r w:rsidR="000B1A11">
        <w:t xml:space="preserve">no electric service at the service address.  </w:t>
      </w:r>
      <w:proofErr w:type="gramStart"/>
      <w:r w:rsidR="00B85B7F">
        <w:t>(Tr.</w:t>
      </w:r>
      <w:r w:rsidR="00FB142F">
        <w:t xml:space="preserve"> 18</w:t>
      </w:r>
      <w:r w:rsidR="00392A9B">
        <w:t>-20</w:t>
      </w:r>
      <w:r w:rsidR="002F73D8">
        <w:t>, 65</w:t>
      </w:r>
      <w:r w:rsidR="00AD7693">
        <w:t>-68</w:t>
      </w:r>
      <w:r w:rsidR="00B85B7F">
        <w:t>; Complainant Exhibit 3</w:t>
      </w:r>
      <w:r w:rsidR="00A712D2">
        <w:t xml:space="preserve"> and PECO Exhibit 1</w:t>
      </w:r>
      <w:r w:rsidR="00B85B7F">
        <w:t>).</w:t>
      </w:r>
      <w:proofErr w:type="gramEnd"/>
    </w:p>
    <w:p w:rsidR="00B85B7F" w:rsidRDefault="00B85B7F" w:rsidP="00126B45">
      <w:pPr>
        <w:tabs>
          <w:tab w:val="left" w:pos="2160"/>
        </w:tabs>
        <w:spacing w:line="360" w:lineRule="auto"/>
        <w:ind w:firstLine="1440"/>
      </w:pPr>
    </w:p>
    <w:p w:rsidR="000B1A11" w:rsidRDefault="007976FF" w:rsidP="000B1A11">
      <w:pPr>
        <w:tabs>
          <w:tab w:val="left" w:pos="2160"/>
        </w:tabs>
        <w:spacing w:line="360" w:lineRule="auto"/>
        <w:ind w:firstLine="1440"/>
      </w:pPr>
      <w:r>
        <w:t>6</w:t>
      </w:r>
      <w:r w:rsidR="000B1A11">
        <w:t xml:space="preserve">. </w:t>
      </w:r>
      <w:r w:rsidR="000B1A11">
        <w:tab/>
        <w:t>On February 7, 2014, Complainant experienced a power outage at the service address that lasted</w:t>
      </w:r>
      <w:r w:rsidR="005534CB">
        <w:t xml:space="preserve"> a total of</w:t>
      </w:r>
      <w:r w:rsidR="000B1A11">
        <w:t xml:space="preserve"> 23 hours 45 minutes and affected 188 customers.  </w:t>
      </w:r>
      <w:proofErr w:type="gramStart"/>
      <w:r w:rsidR="000B1A11">
        <w:t>(PECO Exhibit 1).</w:t>
      </w:r>
      <w:proofErr w:type="gramEnd"/>
    </w:p>
    <w:p w:rsidR="00392A9B" w:rsidRDefault="00392A9B" w:rsidP="000B1A11">
      <w:pPr>
        <w:tabs>
          <w:tab w:val="left" w:pos="2160"/>
        </w:tabs>
        <w:spacing w:line="360" w:lineRule="auto"/>
        <w:ind w:firstLine="1440"/>
      </w:pPr>
    </w:p>
    <w:p w:rsidR="00392A9B" w:rsidRDefault="007976FF" w:rsidP="000B1A11">
      <w:pPr>
        <w:tabs>
          <w:tab w:val="left" w:pos="2160"/>
        </w:tabs>
        <w:spacing w:line="360" w:lineRule="auto"/>
        <w:ind w:firstLine="1440"/>
      </w:pPr>
      <w:r>
        <w:t>7</w:t>
      </w:r>
      <w:r w:rsidR="00392A9B">
        <w:t>.</w:t>
      </w:r>
      <w:r w:rsidR="00392A9B">
        <w:tab/>
        <w:t>On February 8, 2014, Complainant’s electrician c</w:t>
      </w:r>
      <w:r w:rsidR="005534CB">
        <w:t xml:space="preserve">ame to the service address and </w:t>
      </w:r>
      <w:r w:rsidR="00392A9B">
        <w:t xml:space="preserve">tested all the outlets using an outlet tester.  The outlet tester registered 220 volts in each outlet.  Complainant </w:t>
      </w:r>
      <w:r w:rsidR="00B90061">
        <w:t>observed that</w:t>
      </w:r>
      <w:r w:rsidR="005534CB">
        <w:t xml:space="preserve"> the triplex line</w:t>
      </w:r>
      <w:r w:rsidR="00392A9B">
        <w:t xml:space="preserve"> attached to his house up by the roofline was touching the main</w:t>
      </w:r>
      <w:r w:rsidR="005534CB">
        <w:t xml:space="preserve"> </w:t>
      </w:r>
      <w:r w:rsidR="00392A9B">
        <w:t>line which provided power to the service address.  (Tr. 20-22).</w:t>
      </w:r>
    </w:p>
    <w:p w:rsidR="000B1A11" w:rsidRDefault="000B1A11" w:rsidP="00126B45">
      <w:pPr>
        <w:tabs>
          <w:tab w:val="left" w:pos="2160"/>
        </w:tabs>
        <w:spacing w:line="360" w:lineRule="auto"/>
        <w:ind w:firstLine="1440"/>
      </w:pPr>
    </w:p>
    <w:p w:rsidR="00B85B7F" w:rsidRDefault="007976FF" w:rsidP="00126B45">
      <w:pPr>
        <w:tabs>
          <w:tab w:val="left" w:pos="2160"/>
        </w:tabs>
        <w:spacing w:line="360" w:lineRule="auto"/>
        <w:ind w:firstLine="1440"/>
      </w:pPr>
      <w:r>
        <w:t>8</w:t>
      </w:r>
      <w:r w:rsidR="00B85B7F">
        <w:t xml:space="preserve">. </w:t>
      </w:r>
      <w:r w:rsidR="00B85B7F">
        <w:tab/>
      </w:r>
      <w:r w:rsidR="000B1A11">
        <w:t xml:space="preserve">On February 8, 2014, Complainant called PECO </w:t>
      </w:r>
      <w:r w:rsidR="00B0371B">
        <w:t xml:space="preserve">five times </w:t>
      </w:r>
      <w:r w:rsidR="000B1A11">
        <w:t xml:space="preserve">to complain there was high voltage coming from the hot lead to the neutral bar in the meter and </w:t>
      </w:r>
      <w:r w:rsidR="005534CB">
        <w:t xml:space="preserve">to </w:t>
      </w:r>
      <w:r w:rsidR="000B1A11">
        <w:t xml:space="preserve">report the smell of smoke.  </w:t>
      </w:r>
      <w:r w:rsidR="00B85B7F">
        <w:t xml:space="preserve">On February </w:t>
      </w:r>
      <w:r w:rsidR="00A712D2">
        <w:t>8</w:t>
      </w:r>
      <w:r w:rsidR="00B85B7F">
        <w:t xml:space="preserve">, 2014 at approximately </w:t>
      </w:r>
      <w:r w:rsidR="00B0371B">
        <w:t>1:00 p.m., Complainant called to report a service outage and</w:t>
      </w:r>
      <w:r w:rsidR="005534CB">
        <w:t>, when service was restored five hours later, all electrical appliances or any items plugged into a wall outlet</w:t>
      </w:r>
      <w:r w:rsidR="00B0371B">
        <w:t xml:space="preserve"> </w:t>
      </w:r>
      <w:r w:rsidR="005534CB">
        <w:t>started</w:t>
      </w:r>
      <w:r w:rsidR="00B0371B">
        <w:t xml:space="preserve"> </w:t>
      </w:r>
      <w:r w:rsidR="005534CB">
        <w:t>“</w:t>
      </w:r>
      <w:r w:rsidR="00B0371B">
        <w:t>exploding</w:t>
      </w:r>
      <w:r w:rsidR="005534CB">
        <w:t>”</w:t>
      </w:r>
      <w:r w:rsidR="00B0371B">
        <w:t xml:space="preserve">.  </w:t>
      </w:r>
      <w:r w:rsidR="005534CB">
        <w:t>A</w:t>
      </w:r>
      <w:r w:rsidR="00B0371B">
        <w:t xml:space="preserve">nother outage occurred one hour </w:t>
      </w:r>
      <w:r w:rsidR="005534CB">
        <w:t>after service was restored</w:t>
      </w:r>
      <w:r w:rsidR="00B0371B">
        <w:t xml:space="preserve">.  </w:t>
      </w:r>
      <w:proofErr w:type="gramStart"/>
      <w:r w:rsidR="00B0371B">
        <w:t>(</w:t>
      </w:r>
      <w:r w:rsidR="00B85B7F">
        <w:t xml:space="preserve">Tr. </w:t>
      </w:r>
      <w:r w:rsidR="00AD7693">
        <w:t>68-75</w:t>
      </w:r>
      <w:r w:rsidR="00B85B7F">
        <w:t>; Complainant Exhibit 4</w:t>
      </w:r>
      <w:r w:rsidR="000B1A11">
        <w:t xml:space="preserve"> and PECO Exhibit 1</w:t>
      </w:r>
      <w:r w:rsidR="00B85B7F">
        <w:t>).</w:t>
      </w:r>
      <w:proofErr w:type="gramEnd"/>
    </w:p>
    <w:p w:rsidR="00580B6B" w:rsidRDefault="00580B6B" w:rsidP="00126B45">
      <w:pPr>
        <w:tabs>
          <w:tab w:val="left" w:pos="2160"/>
        </w:tabs>
        <w:spacing w:line="360" w:lineRule="auto"/>
        <w:ind w:firstLine="1440"/>
      </w:pPr>
    </w:p>
    <w:p w:rsidR="00580B6B" w:rsidRDefault="00580B6B" w:rsidP="00126B45">
      <w:pPr>
        <w:tabs>
          <w:tab w:val="left" w:pos="2160"/>
        </w:tabs>
        <w:spacing w:line="360" w:lineRule="auto"/>
        <w:ind w:firstLine="1440"/>
      </w:pPr>
      <w:r>
        <w:t xml:space="preserve">9. </w:t>
      </w:r>
      <w:r>
        <w:tab/>
        <w:t xml:space="preserve">PECO’s representatives visited the service address on February </w:t>
      </w:r>
      <w:r w:rsidR="005534CB">
        <w:t>8</w:t>
      </w:r>
      <w:r>
        <w:t>, 2014 and measure</w:t>
      </w:r>
      <w:r w:rsidR="007976FF">
        <w:t>d</w:t>
      </w:r>
      <w:r>
        <w:t xml:space="preserve"> 122 volts from one polarity to neutral, 122 volts from the other polarity to neutral, and 224 volts between the polarities.  </w:t>
      </w:r>
      <w:proofErr w:type="gramStart"/>
      <w:r>
        <w:t>(Tr. 105; PECO Exhibit 3).</w:t>
      </w:r>
      <w:proofErr w:type="gramEnd"/>
    </w:p>
    <w:p w:rsidR="004A0254" w:rsidRDefault="004A0254" w:rsidP="00126B45">
      <w:pPr>
        <w:tabs>
          <w:tab w:val="left" w:pos="2160"/>
        </w:tabs>
        <w:spacing w:line="360" w:lineRule="auto"/>
        <w:ind w:firstLine="1440"/>
      </w:pPr>
    </w:p>
    <w:p w:rsidR="009663E5" w:rsidRDefault="00AD7693" w:rsidP="009663E5">
      <w:pPr>
        <w:tabs>
          <w:tab w:val="left" w:pos="2160"/>
        </w:tabs>
        <w:spacing w:line="360" w:lineRule="auto"/>
        <w:ind w:firstLine="1440"/>
      </w:pPr>
      <w:r>
        <w:t>10</w:t>
      </w:r>
      <w:r w:rsidR="00126B45">
        <w:t xml:space="preserve">. </w:t>
      </w:r>
      <w:r w:rsidR="00126B45">
        <w:tab/>
      </w:r>
      <w:r w:rsidR="006B3D52">
        <w:t>On February 9, 2014</w:t>
      </w:r>
      <w:r w:rsidR="00B0371B">
        <w:t xml:space="preserve">, Complainant experienced an outage in the morning and was told </w:t>
      </w:r>
      <w:r w:rsidR="007976FF">
        <w:t xml:space="preserve">by the </w:t>
      </w:r>
      <w:r w:rsidR="005461EE">
        <w:t>p</w:t>
      </w:r>
      <w:r w:rsidR="007976FF">
        <w:t xml:space="preserve">olice </w:t>
      </w:r>
      <w:r w:rsidR="00B0371B">
        <w:t xml:space="preserve">not to return to the service address until called by </w:t>
      </w:r>
      <w:r w:rsidR="005461EE">
        <w:t>p</w:t>
      </w:r>
      <w:r w:rsidR="00B0371B">
        <w:t>olice.  At 1:11</w:t>
      </w:r>
      <w:r w:rsidR="002F2109">
        <w:t> </w:t>
      </w:r>
      <w:r w:rsidR="006B3D52">
        <w:t xml:space="preserve">p.m., PECO visited the service address while Complainant was not present and left a doorknob notice indicating the voltage at the meter was good.  </w:t>
      </w:r>
      <w:r w:rsidR="00B0371B">
        <w:t>PECO restored service at 2:18</w:t>
      </w:r>
      <w:r w:rsidR="002F2109">
        <w:t> </w:t>
      </w:r>
      <w:r w:rsidR="00B0371B">
        <w:t>p.m. but</w:t>
      </w:r>
      <w:r>
        <w:t xml:space="preserve"> an </w:t>
      </w:r>
      <w:r w:rsidR="00B0371B">
        <w:t xml:space="preserve">outage occurred again at 4:49 p.m.  </w:t>
      </w:r>
      <w:proofErr w:type="gramStart"/>
      <w:r w:rsidR="006B3D52">
        <w:t xml:space="preserve">(Tr. </w:t>
      </w:r>
      <w:r>
        <w:t>74-77, 80</w:t>
      </w:r>
      <w:r w:rsidR="006B3D52">
        <w:t>; Complainant Exhibit 1</w:t>
      </w:r>
      <w:r w:rsidR="00B0371B">
        <w:t xml:space="preserve"> and PECO Exhibit 1</w:t>
      </w:r>
      <w:r w:rsidR="006B3D52">
        <w:t>).</w:t>
      </w:r>
      <w:proofErr w:type="gramEnd"/>
    </w:p>
    <w:p w:rsidR="006B3D52" w:rsidRDefault="006B3D52" w:rsidP="009663E5">
      <w:pPr>
        <w:tabs>
          <w:tab w:val="left" w:pos="2160"/>
        </w:tabs>
        <w:spacing w:line="360" w:lineRule="auto"/>
        <w:ind w:firstLine="1440"/>
      </w:pPr>
    </w:p>
    <w:p w:rsidR="006B3D52" w:rsidRDefault="00AD7693" w:rsidP="009663E5">
      <w:pPr>
        <w:tabs>
          <w:tab w:val="left" w:pos="2160"/>
        </w:tabs>
        <w:spacing w:line="360" w:lineRule="auto"/>
        <w:ind w:firstLine="1440"/>
      </w:pPr>
      <w:r>
        <w:t>11</w:t>
      </w:r>
      <w:r w:rsidR="007976FF">
        <w:t xml:space="preserve">. </w:t>
      </w:r>
      <w:r w:rsidR="007976FF">
        <w:tab/>
        <w:t>On February 10, 2014</w:t>
      </w:r>
      <w:r w:rsidR="006B3D52">
        <w:t xml:space="preserve">, PECO visited the service address while Complainant was not present and left a doorknob notice indicating </w:t>
      </w:r>
      <w:r>
        <w:t xml:space="preserve">PECO determined </w:t>
      </w:r>
      <w:r w:rsidR="006B3D52">
        <w:t>the voltage at the meter was 240 volts overall with 122 volts to th</w:t>
      </w:r>
      <w:r>
        <w:t xml:space="preserve">e neutral on both legs.  </w:t>
      </w:r>
      <w:proofErr w:type="gramStart"/>
      <w:r>
        <w:t>(Tr. 76</w:t>
      </w:r>
      <w:r w:rsidR="006B3D52">
        <w:t>; Complainant Exhibit 1</w:t>
      </w:r>
      <w:r>
        <w:t xml:space="preserve"> and PECO Exhibit 1</w:t>
      </w:r>
      <w:r w:rsidR="006B3D52">
        <w:t>).</w:t>
      </w:r>
      <w:proofErr w:type="gramEnd"/>
    </w:p>
    <w:p w:rsidR="006B3D52" w:rsidRDefault="006B3D52" w:rsidP="009663E5">
      <w:pPr>
        <w:tabs>
          <w:tab w:val="left" w:pos="2160"/>
        </w:tabs>
        <w:spacing w:line="360" w:lineRule="auto"/>
        <w:ind w:firstLine="1440"/>
      </w:pPr>
    </w:p>
    <w:p w:rsidR="006B3D52" w:rsidRDefault="00AD7693" w:rsidP="009663E5">
      <w:pPr>
        <w:tabs>
          <w:tab w:val="left" w:pos="2160"/>
        </w:tabs>
        <w:spacing w:line="360" w:lineRule="auto"/>
        <w:ind w:firstLine="1440"/>
      </w:pPr>
      <w:r>
        <w:t>12</w:t>
      </w:r>
      <w:r w:rsidR="006B3D52">
        <w:t xml:space="preserve">. </w:t>
      </w:r>
      <w:r w:rsidR="006B3D52">
        <w:tab/>
      </w:r>
      <w:r w:rsidR="007976FF">
        <w:t>Later on the same day (</w:t>
      </w:r>
      <w:r w:rsidR="006B3D52">
        <w:t>February 10, 2014</w:t>
      </w:r>
      <w:r w:rsidR="007976FF">
        <w:t>)</w:t>
      </w:r>
      <w:r w:rsidR="006B3D52">
        <w:t xml:space="preserve">, PECO </w:t>
      </w:r>
      <w:r w:rsidR="007976FF">
        <w:t>returned to</w:t>
      </w:r>
      <w:r w:rsidR="006B3D52">
        <w:t xml:space="preserve"> the service address while Complainant was not present and left a doorknob notice indicating Complainant should leave his meter in a bag at the meter board</w:t>
      </w:r>
      <w:r w:rsidR="00B85B7F">
        <w:t xml:space="preserve"> and advising Complainant to get an electrician to inspect the wiring</w:t>
      </w:r>
      <w:r>
        <w:t xml:space="preserve">.  </w:t>
      </w:r>
      <w:proofErr w:type="gramStart"/>
      <w:r>
        <w:t>(Tr. 76</w:t>
      </w:r>
      <w:r w:rsidR="006B3D52">
        <w:t>; Complainant Exhibit 1).</w:t>
      </w:r>
      <w:proofErr w:type="gramEnd"/>
    </w:p>
    <w:p w:rsidR="00675E39" w:rsidRDefault="00675E39" w:rsidP="009663E5">
      <w:pPr>
        <w:tabs>
          <w:tab w:val="left" w:pos="2160"/>
        </w:tabs>
        <w:spacing w:line="360" w:lineRule="auto"/>
        <w:ind w:firstLine="1440"/>
      </w:pPr>
    </w:p>
    <w:p w:rsidR="00675E39" w:rsidRDefault="00AD7693" w:rsidP="009663E5">
      <w:pPr>
        <w:tabs>
          <w:tab w:val="left" w:pos="2160"/>
        </w:tabs>
        <w:spacing w:line="360" w:lineRule="auto"/>
        <w:ind w:firstLine="1440"/>
      </w:pPr>
      <w:r>
        <w:t>13</w:t>
      </w:r>
      <w:r w:rsidR="00675E39">
        <w:t xml:space="preserve">. </w:t>
      </w:r>
      <w:r w:rsidR="00675E39">
        <w:tab/>
        <w:t xml:space="preserve">On February 11, 2014, PECO replaced sixty (60) feet of triplex line from the street to the house and left </w:t>
      </w:r>
      <w:r w:rsidR="007976FF">
        <w:t xml:space="preserve">a </w:t>
      </w:r>
      <w:r w:rsidR="00675E39">
        <w:t xml:space="preserve">new meter for Complainant’s electrician to install.  </w:t>
      </w:r>
      <w:proofErr w:type="gramStart"/>
      <w:r w:rsidR="00675E39">
        <w:t xml:space="preserve">(Tr. </w:t>
      </w:r>
      <w:r>
        <w:t>78, 80</w:t>
      </w:r>
      <w:r w:rsidR="00675E39">
        <w:t>; PECO Exhibit 1).</w:t>
      </w:r>
      <w:proofErr w:type="gramEnd"/>
    </w:p>
    <w:p w:rsidR="00B85B7F" w:rsidRDefault="00B85B7F" w:rsidP="009663E5">
      <w:pPr>
        <w:tabs>
          <w:tab w:val="left" w:pos="2160"/>
        </w:tabs>
        <w:spacing w:line="360" w:lineRule="auto"/>
        <w:ind w:firstLine="1440"/>
      </w:pPr>
    </w:p>
    <w:p w:rsidR="00B85B7F" w:rsidRDefault="00AD7693" w:rsidP="009663E5">
      <w:pPr>
        <w:tabs>
          <w:tab w:val="left" w:pos="2160"/>
        </w:tabs>
        <w:spacing w:line="360" w:lineRule="auto"/>
        <w:ind w:firstLine="1440"/>
      </w:pPr>
      <w:r>
        <w:t>14</w:t>
      </w:r>
      <w:r w:rsidR="00B85B7F">
        <w:t xml:space="preserve">. </w:t>
      </w:r>
      <w:r w:rsidR="00B85B7F">
        <w:tab/>
        <w:t xml:space="preserve">On February 14, 2014, </w:t>
      </w:r>
      <w:r w:rsidR="00675E39">
        <w:t xml:space="preserve">Complainant reported an outage in the morning.  Later that day, </w:t>
      </w:r>
      <w:r w:rsidR="00B85B7F">
        <w:t xml:space="preserve">PECO visited the service address while Complainant was not present and left a doorknob notice indicating PECO could not set the meter without someone present.  </w:t>
      </w:r>
      <w:proofErr w:type="gramStart"/>
      <w:r w:rsidR="00B85B7F">
        <w:t xml:space="preserve">(Tr. </w:t>
      </w:r>
      <w:r w:rsidR="00A65139">
        <w:t>80-82</w:t>
      </w:r>
      <w:r w:rsidR="00B85B7F">
        <w:t>; Complainant Exhibit 1</w:t>
      </w:r>
      <w:r w:rsidR="00675E39">
        <w:t xml:space="preserve"> and PECO Exhibit 1</w:t>
      </w:r>
      <w:r w:rsidR="00B85B7F">
        <w:t>).</w:t>
      </w:r>
      <w:proofErr w:type="gramEnd"/>
    </w:p>
    <w:p w:rsidR="00B85B7F" w:rsidRDefault="00B85B7F" w:rsidP="009663E5">
      <w:pPr>
        <w:tabs>
          <w:tab w:val="left" w:pos="2160"/>
        </w:tabs>
        <w:spacing w:line="360" w:lineRule="auto"/>
        <w:ind w:firstLine="1440"/>
      </w:pPr>
    </w:p>
    <w:p w:rsidR="00B85B7F" w:rsidRDefault="00AD7693" w:rsidP="009663E5">
      <w:pPr>
        <w:tabs>
          <w:tab w:val="left" w:pos="2160"/>
        </w:tabs>
        <w:spacing w:line="360" w:lineRule="auto"/>
        <w:ind w:firstLine="1440"/>
      </w:pPr>
      <w:r>
        <w:t>15</w:t>
      </w:r>
      <w:r w:rsidR="00B85B7F">
        <w:t xml:space="preserve">. </w:t>
      </w:r>
      <w:r w:rsidR="00B85B7F">
        <w:tab/>
        <w:t xml:space="preserve">On February 18, 2014, Complainant filed a Claim Registration Form with PECO which requested payment for damages to the service address on February 5, 2014.  </w:t>
      </w:r>
      <w:proofErr w:type="gramStart"/>
      <w:r w:rsidR="00B85B7F">
        <w:t>(Complainant Exhibit 5).</w:t>
      </w:r>
      <w:proofErr w:type="gramEnd"/>
    </w:p>
    <w:p w:rsidR="00675E39" w:rsidRDefault="00675E39" w:rsidP="009663E5">
      <w:pPr>
        <w:tabs>
          <w:tab w:val="left" w:pos="2160"/>
        </w:tabs>
        <w:spacing w:line="360" w:lineRule="auto"/>
        <w:ind w:firstLine="1440"/>
      </w:pPr>
    </w:p>
    <w:p w:rsidR="00675E39" w:rsidRDefault="007004B3" w:rsidP="009663E5">
      <w:pPr>
        <w:tabs>
          <w:tab w:val="left" w:pos="2160"/>
        </w:tabs>
        <w:spacing w:line="360" w:lineRule="auto"/>
        <w:ind w:firstLine="1440"/>
      </w:pPr>
      <w:r>
        <w:t>16</w:t>
      </w:r>
      <w:r w:rsidR="00675E39">
        <w:t xml:space="preserve">. </w:t>
      </w:r>
      <w:r w:rsidR="00675E39">
        <w:tab/>
      </w:r>
      <w:r w:rsidR="00FB142F">
        <w:t xml:space="preserve">Complainant was without electric service </w:t>
      </w:r>
      <w:r w:rsidR="00AD7693">
        <w:t>from February 11, 2014</w:t>
      </w:r>
      <w:r w:rsidR="007976FF">
        <w:t xml:space="preserve">, when PECO pulled the old meter, </w:t>
      </w:r>
      <w:r w:rsidR="00AD7693">
        <w:t>until</w:t>
      </w:r>
      <w:r w:rsidR="00FB142F">
        <w:t xml:space="preserve"> February 22, 2014</w:t>
      </w:r>
      <w:r w:rsidR="007976FF">
        <w:t>,</w:t>
      </w:r>
      <w:r w:rsidR="00FB142F">
        <w:t xml:space="preserve"> </w:t>
      </w:r>
      <w:r w:rsidR="00E737CA">
        <w:t>after Complainant’s electrician install</w:t>
      </w:r>
      <w:r w:rsidR="00675E39">
        <w:t xml:space="preserve">ed </w:t>
      </w:r>
      <w:r w:rsidR="00FB142F">
        <w:t>a</w:t>
      </w:r>
      <w:r w:rsidR="00675E39">
        <w:t xml:space="preserve"> new meter</w:t>
      </w:r>
      <w:r w:rsidR="007976FF">
        <w:t xml:space="preserve"> and </w:t>
      </w:r>
      <w:r w:rsidR="009427BE">
        <w:t xml:space="preserve">PECO installed a </w:t>
      </w:r>
      <w:r w:rsidR="007976FF">
        <w:t>remote reader</w:t>
      </w:r>
      <w:r w:rsidR="00675E39">
        <w:t xml:space="preserve"> at the service address.  </w:t>
      </w:r>
      <w:r w:rsidR="00B90061">
        <w:t xml:space="preserve">From February 7, 2014 to February 22, 2014, Complainant and his family stayed with family or in a motel because the service residence lacked heat.  </w:t>
      </w:r>
      <w:proofErr w:type="gramStart"/>
      <w:r w:rsidR="00675E39">
        <w:t>(Tr.</w:t>
      </w:r>
      <w:r w:rsidR="008855EF">
        <w:t> </w:t>
      </w:r>
      <w:r w:rsidR="00FB142F">
        <w:t>14</w:t>
      </w:r>
      <w:r w:rsidR="00B90061">
        <w:t>, 29</w:t>
      </w:r>
      <w:r w:rsidR="00AD7693">
        <w:t>, 79, 80</w:t>
      </w:r>
      <w:r w:rsidR="00675E39">
        <w:t>; PECO Exhibit 1).</w:t>
      </w:r>
      <w:proofErr w:type="gramEnd"/>
    </w:p>
    <w:p w:rsidR="00675E39" w:rsidRDefault="00675E39" w:rsidP="009663E5">
      <w:pPr>
        <w:tabs>
          <w:tab w:val="left" w:pos="2160"/>
        </w:tabs>
        <w:spacing w:line="360" w:lineRule="auto"/>
        <w:ind w:firstLine="1440"/>
      </w:pPr>
    </w:p>
    <w:p w:rsidR="00675E39" w:rsidRDefault="007004B3" w:rsidP="009663E5">
      <w:pPr>
        <w:tabs>
          <w:tab w:val="left" w:pos="2160"/>
        </w:tabs>
        <w:spacing w:line="360" w:lineRule="auto"/>
        <w:ind w:firstLine="1440"/>
      </w:pPr>
      <w:r>
        <w:t>17</w:t>
      </w:r>
      <w:r w:rsidR="00675E39">
        <w:t xml:space="preserve">. </w:t>
      </w:r>
      <w:r w:rsidR="00675E39">
        <w:tab/>
        <w:t xml:space="preserve">From February 4, 2014 through February 14, 2014, Complainant lost electric service five (5) times for a total outage equaling 117 hours 35 minutes.  </w:t>
      </w:r>
      <w:proofErr w:type="gramStart"/>
      <w:r w:rsidR="00675E39">
        <w:t>(PECO Exhibit</w:t>
      </w:r>
      <w:r w:rsidR="008855EF">
        <w:t> </w:t>
      </w:r>
      <w:r w:rsidR="00675E39">
        <w:t>2).</w:t>
      </w:r>
      <w:proofErr w:type="gramEnd"/>
    </w:p>
    <w:p w:rsidR="00A65139" w:rsidRDefault="00A65139" w:rsidP="009663E5">
      <w:pPr>
        <w:tabs>
          <w:tab w:val="left" w:pos="2160"/>
        </w:tabs>
        <w:spacing w:line="360" w:lineRule="auto"/>
        <w:ind w:firstLine="1440"/>
      </w:pPr>
    </w:p>
    <w:p w:rsidR="00A65139" w:rsidRDefault="00A65139" w:rsidP="009663E5">
      <w:pPr>
        <w:tabs>
          <w:tab w:val="left" w:pos="2160"/>
        </w:tabs>
        <w:spacing w:line="360" w:lineRule="auto"/>
        <w:ind w:firstLine="1440"/>
      </w:pPr>
      <w:r>
        <w:t xml:space="preserve">18. </w:t>
      </w:r>
      <w:r>
        <w:tab/>
        <w:t xml:space="preserve">From February 4, 2014 to February 11, 2014, PECO issued six press releases which indicated its service territory was impacted negatively by a winter ice storm.  The ice storm created </w:t>
      </w:r>
      <w:proofErr w:type="gramStart"/>
      <w:r>
        <w:t>3,885 total police/fire</w:t>
      </w:r>
      <w:proofErr w:type="gramEnd"/>
      <w:r>
        <w:t xml:space="preserve"> and wire jobs for PECO’s service territory, 884 road closure jobs needing PECO’s assistance, and 1.1 million customer calls</w:t>
      </w:r>
      <w:r w:rsidR="00274E57">
        <w:t>, and at some point 42</w:t>
      </w:r>
      <w:r w:rsidR="00735DAB">
        <w:t> </w:t>
      </w:r>
      <w:r w:rsidR="00274E57">
        <w:t>percent (42%) of PECO’s customers experienced an outage</w:t>
      </w:r>
      <w:r>
        <w:t xml:space="preserve">.  </w:t>
      </w:r>
      <w:proofErr w:type="gramStart"/>
      <w:r>
        <w:t>(Tr. 86, 87</w:t>
      </w:r>
      <w:r w:rsidR="00274E57">
        <w:t>, 100</w:t>
      </w:r>
      <w:r>
        <w:t>; PECO Exhibit</w:t>
      </w:r>
      <w:r w:rsidR="00274E57">
        <w:t>s</w:t>
      </w:r>
      <w:r w:rsidR="00735DAB">
        <w:t> </w:t>
      </w:r>
      <w:r w:rsidR="00274E57">
        <w:t>2 &amp;</w:t>
      </w:r>
      <w:r>
        <w:t xml:space="preserve"> 5).</w:t>
      </w:r>
      <w:proofErr w:type="gramEnd"/>
    </w:p>
    <w:p w:rsidR="00A65139" w:rsidRDefault="00A65139" w:rsidP="00E941A4">
      <w:pPr>
        <w:tabs>
          <w:tab w:val="left" w:pos="2160"/>
        </w:tabs>
        <w:spacing w:line="360" w:lineRule="auto"/>
      </w:pPr>
    </w:p>
    <w:p w:rsidR="00126B45" w:rsidRDefault="0020146E" w:rsidP="00126B45">
      <w:pPr>
        <w:tabs>
          <w:tab w:val="left" w:pos="2160"/>
        </w:tabs>
        <w:spacing w:line="360" w:lineRule="auto"/>
        <w:ind w:firstLine="1440"/>
      </w:pPr>
      <w:r>
        <w:t>1</w:t>
      </w:r>
      <w:r w:rsidR="002755B5">
        <w:t>9</w:t>
      </w:r>
      <w:r w:rsidR="00126B45">
        <w:t>.</w:t>
      </w:r>
      <w:r w:rsidR="00126B45">
        <w:tab/>
      </w:r>
      <w:r w:rsidR="007976FF">
        <w:t>I</w:t>
      </w:r>
      <w:r w:rsidR="00F332BD">
        <w:t>n</w:t>
      </w:r>
      <w:r w:rsidR="00CE3A66">
        <w:t xml:space="preserve"> </w:t>
      </w:r>
      <w:r w:rsidR="00F332BD">
        <w:t xml:space="preserve">February </w:t>
      </w:r>
      <w:r w:rsidR="009663E5">
        <w:t>2014</w:t>
      </w:r>
      <w:r w:rsidR="00CE3A66">
        <w:t xml:space="preserve"> </w:t>
      </w:r>
      <w:r w:rsidR="00F332BD">
        <w:t xml:space="preserve">Complainant had to replace </w:t>
      </w:r>
      <w:r w:rsidR="00237756">
        <w:t xml:space="preserve">the stove, refrigerator, range, dishwasher, hot water tank, washer, dryer, </w:t>
      </w:r>
      <w:r w:rsidR="00F332BD">
        <w:t xml:space="preserve">four </w:t>
      </w:r>
      <w:r w:rsidR="00237756">
        <w:t xml:space="preserve">televisions, </w:t>
      </w:r>
      <w:r w:rsidR="00F332BD">
        <w:t xml:space="preserve">three </w:t>
      </w:r>
      <w:r w:rsidR="00237756">
        <w:t>stereos, computer</w:t>
      </w:r>
      <w:r w:rsidR="00F332BD">
        <w:t>, printer, four electric furnace heaters, three electric baseboard heaters, and approximately 64</w:t>
      </w:r>
      <w:r w:rsidR="004A209D">
        <w:t> </w:t>
      </w:r>
      <w:r w:rsidR="00F332BD">
        <w:t xml:space="preserve">outlets and switches.  In addition, Complainant had to remove drywall from </w:t>
      </w:r>
      <w:r w:rsidR="00735DAB">
        <w:t>12</w:t>
      </w:r>
      <w:r w:rsidR="00F332BD">
        <w:t xml:space="preserve"> rooms because the wiring at the service address had to be replaced.  (Tr. 34-38)</w:t>
      </w:r>
      <w:r w:rsidR="009663E5">
        <w:t xml:space="preserve">.  </w:t>
      </w:r>
    </w:p>
    <w:p w:rsidR="00126B45" w:rsidRDefault="00126B45" w:rsidP="00126B45">
      <w:pPr>
        <w:tabs>
          <w:tab w:val="left" w:pos="2160"/>
        </w:tabs>
        <w:spacing w:line="360" w:lineRule="auto"/>
        <w:ind w:firstLine="1440"/>
      </w:pPr>
    </w:p>
    <w:p w:rsidR="00126B45" w:rsidRDefault="002755B5" w:rsidP="00126B45">
      <w:pPr>
        <w:tabs>
          <w:tab w:val="left" w:pos="2160"/>
        </w:tabs>
        <w:spacing w:line="360" w:lineRule="auto"/>
        <w:ind w:firstLine="1440"/>
      </w:pPr>
      <w:r>
        <w:t>20</w:t>
      </w:r>
      <w:r w:rsidR="006C63C2">
        <w:t>.</w:t>
      </w:r>
      <w:r w:rsidR="006C63C2">
        <w:tab/>
      </w:r>
      <w:r w:rsidR="00274E57">
        <w:t>From February 5, 2014 u</w:t>
      </w:r>
      <w:r w:rsidR="002F73D8">
        <w:t>ntil February 22, 2014, Complainant was not at the service address when PECO’s representatives visited because Complainant had to live somewhere else due to the lack of heat</w:t>
      </w:r>
      <w:r w:rsidR="007976FF">
        <w:t xml:space="preserve"> in winter</w:t>
      </w:r>
      <w:r w:rsidR="002F73D8">
        <w:t xml:space="preserve">.  PECO did not tell Complainant when to expect a visit </w:t>
      </w:r>
      <w:r w:rsidR="007976FF">
        <w:t>except the last time when</w:t>
      </w:r>
      <w:r w:rsidR="002F73D8">
        <w:t xml:space="preserve"> Complainant called to schedule an appointment for February 22, 2014.  (Tr. 55-58). </w:t>
      </w:r>
    </w:p>
    <w:p w:rsidR="00126B45" w:rsidRDefault="00126B45" w:rsidP="00126B45">
      <w:pPr>
        <w:tabs>
          <w:tab w:val="left" w:pos="2160"/>
        </w:tabs>
        <w:spacing w:line="360" w:lineRule="auto"/>
        <w:ind w:firstLine="1440"/>
      </w:pPr>
    </w:p>
    <w:p w:rsidR="00126B45" w:rsidRDefault="002755B5" w:rsidP="00126B45">
      <w:pPr>
        <w:tabs>
          <w:tab w:val="left" w:pos="2160"/>
        </w:tabs>
        <w:spacing w:line="360" w:lineRule="auto"/>
        <w:ind w:firstLine="1440"/>
      </w:pPr>
      <w:r>
        <w:t>21</w:t>
      </w:r>
      <w:r w:rsidR="00126B45">
        <w:t xml:space="preserve">. </w:t>
      </w:r>
      <w:r w:rsidR="00126B45">
        <w:tab/>
      </w:r>
      <w:r w:rsidR="00CE3A66">
        <w:t>Complainant’s homeowners</w:t>
      </w:r>
      <w:r w:rsidR="00334639">
        <w:t>’</w:t>
      </w:r>
      <w:r w:rsidR="00CE3A66">
        <w:t xml:space="preserve"> insurance company paid </w:t>
      </w:r>
      <w:r w:rsidR="00F332BD">
        <w:t>most of the costs of replacement but did not pay the entire</w:t>
      </w:r>
      <w:r w:rsidR="009663E5">
        <w:t xml:space="preserve"> claim</w:t>
      </w:r>
      <w:r w:rsidR="00CE3A66">
        <w:t xml:space="preserve"> </w:t>
      </w:r>
      <w:r w:rsidR="00F332BD">
        <w:t xml:space="preserve">he </w:t>
      </w:r>
      <w:r w:rsidR="00CE3A66">
        <w:t xml:space="preserve">submitted for damages </w:t>
      </w:r>
      <w:r w:rsidR="007976FF">
        <w:t>experienced during</w:t>
      </w:r>
      <w:r w:rsidR="00CE3A66">
        <w:t xml:space="preserve"> the power </w:t>
      </w:r>
      <w:r w:rsidR="009663E5">
        <w:t>outage</w:t>
      </w:r>
      <w:r w:rsidR="00F332BD">
        <w:t>s and surges</w:t>
      </w:r>
      <w:r w:rsidR="009663E5">
        <w:t xml:space="preserve"> </w:t>
      </w:r>
      <w:r w:rsidR="00F332BD">
        <w:t>in February</w:t>
      </w:r>
      <w:r w:rsidR="009663E5">
        <w:t xml:space="preserve"> 2014</w:t>
      </w:r>
      <w:r w:rsidR="00334639">
        <w:t xml:space="preserve">.  </w:t>
      </w:r>
      <w:r w:rsidR="00F332BD">
        <w:t xml:space="preserve">Complainant spent almost $4,000 to cover the entire cost of replacing electrical appliances, equipment and wiring at the service address.  </w:t>
      </w:r>
      <w:proofErr w:type="gramStart"/>
      <w:r w:rsidR="00F332BD">
        <w:t>(Tr.</w:t>
      </w:r>
      <w:r w:rsidR="00D52029">
        <w:t> </w:t>
      </w:r>
      <w:r w:rsidR="00F332BD">
        <w:t>34).</w:t>
      </w:r>
      <w:proofErr w:type="gramEnd"/>
    </w:p>
    <w:p w:rsidR="00126B45" w:rsidRDefault="0020146E" w:rsidP="00126B45">
      <w:pPr>
        <w:tabs>
          <w:tab w:val="left" w:pos="2160"/>
        </w:tabs>
        <w:spacing w:line="360" w:lineRule="auto"/>
        <w:ind w:firstLine="1440"/>
      </w:pPr>
      <w:r>
        <w:t>2</w:t>
      </w:r>
      <w:r w:rsidR="002755B5">
        <w:t>2</w:t>
      </w:r>
      <w:r w:rsidR="00126B45">
        <w:t xml:space="preserve">. </w:t>
      </w:r>
      <w:r w:rsidR="00126B45">
        <w:tab/>
      </w:r>
      <w:r w:rsidR="007004B3">
        <w:t>On March 17, 2014, Complainant filed a formal complaint with the Commission alleging a safety and reliability problem with his electric service by PECO.</w:t>
      </w:r>
    </w:p>
    <w:p w:rsidR="007004B3" w:rsidRDefault="007004B3" w:rsidP="00126B45">
      <w:pPr>
        <w:tabs>
          <w:tab w:val="left" w:pos="2160"/>
        </w:tabs>
        <w:spacing w:line="360" w:lineRule="auto"/>
        <w:ind w:firstLine="1440"/>
      </w:pPr>
    </w:p>
    <w:p w:rsidR="00126B45" w:rsidRPr="00FB448C" w:rsidRDefault="00126B45" w:rsidP="00126B45">
      <w:pPr>
        <w:spacing w:line="360" w:lineRule="auto"/>
        <w:jc w:val="center"/>
      </w:pPr>
      <w:r w:rsidRPr="00FB448C">
        <w:rPr>
          <w:u w:val="single"/>
        </w:rPr>
        <w:t>DISCUSSION</w:t>
      </w:r>
    </w:p>
    <w:p w:rsidR="00126B45" w:rsidRDefault="00126B45" w:rsidP="00126B45">
      <w:pPr>
        <w:spacing w:line="360" w:lineRule="auto"/>
      </w:pPr>
    </w:p>
    <w:p w:rsidR="006C773F" w:rsidRPr="008B455C" w:rsidRDefault="004A0254" w:rsidP="006C773F">
      <w:pPr>
        <w:spacing w:line="360" w:lineRule="auto"/>
      </w:pPr>
      <w:r>
        <w:tab/>
      </w:r>
      <w:r>
        <w:tab/>
        <w:t xml:space="preserve">Complainant alleges a reliability, safety or quality problem with his electric service provided by </w:t>
      </w:r>
      <w:r w:rsidR="009663E5">
        <w:t xml:space="preserve">PECO because of </w:t>
      </w:r>
      <w:r w:rsidR="00DC10E8">
        <w:t>a</w:t>
      </w:r>
      <w:r w:rsidR="009663E5">
        <w:t xml:space="preserve"> long-term power outage that began on February 4, 2014 and the damages that resulted due to PECO’s delay in re-establishing service, which caused </w:t>
      </w:r>
      <w:r w:rsidR="00DC10E8">
        <w:t xml:space="preserve">damage to his appliances and electrical system at the service address and forced </w:t>
      </w:r>
      <w:r w:rsidR="009663E5">
        <w:t xml:space="preserve">him to vacate the premises at great expense to himself. </w:t>
      </w:r>
      <w:r>
        <w:t xml:space="preserve"> Complainant requested payment for damages</w:t>
      </w:r>
      <w:r w:rsidR="002432E9">
        <w:rPr>
          <w:rStyle w:val="FootnoteReference"/>
        </w:rPr>
        <w:footnoteReference w:id="1"/>
      </w:r>
      <w:r>
        <w:t xml:space="preserve"> and requested the Commission </w:t>
      </w:r>
      <w:r w:rsidR="009663E5">
        <w:t>address PECO’s failure to provide customer service on a reliability, safety or quality problem</w:t>
      </w:r>
      <w:r>
        <w:t xml:space="preserve">.  </w:t>
      </w:r>
      <w:r w:rsidR="006C773F" w:rsidRPr="00B73D10">
        <w:t xml:space="preserve">Respondent </w:t>
      </w:r>
      <w:r w:rsidR="006C773F">
        <w:t xml:space="preserve">contends it provided reasonable and adequate service in how it maintained its facilities.  </w:t>
      </w:r>
      <w:r w:rsidR="006C773F" w:rsidRPr="008B455C">
        <w:t>Respondent</w:t>
      </w:r>
      <w:r w:rsidR="006C773F">
        <w:t xml:space="preserve"> argues its equipment was not defective and it was not negligent in how it maintained its equipment or in how it </w:t>
      </w:r>
      <w:r w:rsidR="00502902">
        <w:t xml:space="preserve">handled </w:t>
      </w:r>
      <w:r w:rsidR="009663E5">
        <w:t>the emergency situation which developed on February 4, 2014</w:t>
      </w:r>
      <w:r w:rsidR="006C773F">
        <w:t xml:space="preserve">.    </w:t>
      </w:r>
    </w:p>
    <w:p w:rsidR="006C773F" w:rsidRDefault="006C773F" w:rsidP="006C773F">
      <w:pPr>
        <w:pStyle w:val="BodyText"/>
        <w:jc w:val="left"/>
        <w:rPr>
          <w:sz w:val="24"/>
          <w:szCs w:val="24"/>
        </w:rPr>
      </w:pPr>
    </w:p>
    <w:p w:rsidR="00126B45" w:rsidRPr="00A41132" w:rsidRDefault="00126B45" w:rsidP="00126B45">
      <w:pPr>
        <w:spacing w:line="360" w:lineRule="auto"/>
        <w:rPr>
          <w:u w:val="single"/>
        </w:rPr>
      </w:pPr>
      <w:r w:rsidRPr="00A41132">
        <w:rPr>
          <w:u w:val="single"/>
        </w:rPr>
        <w:t>Burden of Proof</w:t>
      </w:r>
    </w:p>
    <w:p w:rsidR="00126B45" w:rsidRPr="00A41132" w:rsidRDefault="00126B45" w:rsidP="00126B45">
      <w:pPr>
        <w:spacing w:line="360" w:lineRule="auto"/>
      </w:pPr>
    </w:p>
    <w:p w:rsidR="004A0254" w:rsidRDefault="00126B45" w:rsidP="004A0254">
      <w:pPr>
        <w:spacing w:line="360" w:lineRule="auto"/>
        <w:ind w:firstLine="1440"/>
      </w:pPr>
      <w:r w:rsidRPr="00A41132">
        <w:t>As the party seeking affirmative relief from the Commission, Complainant bears the burden of provin</w:t>
      </w:r>
      <w:r>
        <w:t xml:space="preserve">g by substantial evidence </w:t>
      </w:r>
      <w:r w:rsidRPr="00A41132">
        <w:t>he is entitled to the requested relief.  66 Pa.C.S.</w:t>
      </w:r>
      <w:r>
        <w:t>A.</w:t>
      </w:r>
      <w:r w:rsidRPr="00A41132">
        <w:t xml:space="preserve"> § 332(a).  To satisfy this burden, Complainant must show </w:t>
      </w:r>
      <w:r>
        <w:t>Respondent utility</w:t>
      </w:r>
      <w:r w:rsidRPr="00A41132">
        <w:t xml:space="preserve"> is responsible or accountable for the problem described.</w:t>
      </w:r>
      <w:r>
        <w:rPr>
          <w:rStyle w:val="FootnoteReference"/>
        </w:rPr>
        <w:footnoteReference w:id="2"/>
      </w:r>
      <w:r w:rsidRPr="00A41132">
        <w:t xml:space="preserve">  </w:t>
      </w:r>
      <w:r>
        <w:t xml:space="preserve">Complainant must show this fact to be true </w:t>
      </w:r>
      <w:r w:rsidRPr="00A41132">
        <w:t xml:space="preserve">by a preponderance of the evidence, that is, by presenting evidence more convincing, by even the smallest amount, than that </w:t>
      </w:r>
      <w:r>
        <w:t xml:space="preserve">evidence </w:t>
      </w:r>
      <w:r w:rsidRPr="00A41132">
        <w:t>presented by the other party.</w:t>
      </w:r>
      <w:r>
        <w:rPr>
          <w:rStyle w:val="FootnoteReference"/>
        </w:rPr>
        <w:footnoteReference w:id="3"/>
      </w:r>
      <w:r w:rsidRPr="00A41132">
        <w:t xml:space="preserve">  Additionally, any finding of fact necessary to support the Commission’s adjudication must be based upon substantial evidence.</w:t>
      </w:r>
      <w:r>
        <w:rPr>
          <w:rStyle w:val="FootnoteReference"/>
        </w:rPr>
        <w:footnoteReference w:id="4"/>
      </w:r>
      <w:r w:rsidRPr="00A41132">
        <w:t xml:space="preserve">  </w:t>
      </w:r>
      <w:r>
        <w:t xml:space="preserve">Furthermore, more evidence </w:t>
      </w:r>
      <w:r w:rsidRPr="00A41132">
        <w:t>is required than a mere trace of evidence or a suspicion of the existence of a fact sought to be established.</w:t>
      </w:r>
      <w:r>
        <w:rPr>
          <w:rStyle w:val="FootnoteReference"/>
        </w:rPr>
        <w:footnoteReference w:id="5"/>
      </w:r>
      <w:r w:rsidRPr="00A41132">
        <w:t xml:space="preserve">  </w:t>
      </w:r>
    </w:p>
    <w:p w:rsidR="004A0254" w:rsidRDefault="004A0254" w:rsidP="007E48E1">
      <w:pPr>
        <w:pStyle w:val="BodyText"/>
        <w:jc w:val="left"/>
        <w:rPr>
          <w:sz w:val="24"/>
          <w:szCs w:val="24"/>
        </w:rPr>
      </w:pPr>
    </w:p>
    <w:p w:rsidR="007E48E1" w:rsidRDefault="007E48E1" w:rsidP="007E48E1">
      <w:pPr>
        <w:pStyle w:val="BodyText"/>
        <w:ind w:firstLine="1440"/>
        <w:jc w:val="left"/>
        <w:rPr>
          <w:sz w:val="24"/>
          <w:szCs w:val="24"/>
        </w:rPr>
      </w:pPr>
      <w:r>
        <w:rPr>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66 Pa.C.S.A. §</w:t>
      </w:r>
      <w:r w:rsidR="0093152B">
        <w:rPr>
          <w:sz w:val="24"/>
          <w:szCs w:val="24"/>
        </w:rPr>
        <w:t xml:space="preserve"> </w:t>
      </w:r>
      <w:r>
        <w:rPr>
          <w:sz w:val="24"/>
          <w:szCs w:val="24"/>
        </w:rPr>
        <w:t>1501.</w:t>
      </w:r>
    </w:p>
    <w:p w:rsidR="007E48E1" w:rsidRDefault="007E48E1" w:rsidP="007E48E1">
      <w:pPr>
        <w:pStyle w:val="BodyText"/>
        <w:ind w:firstLine="1440"/>
        <w:jc w:val="left"/>
        <w:rPr>
          <w:sz w:val="24"/>
          <w:szCs w:val="24"/>
        </w:rPr>
      </w:pPr>
    </w:p>
    <w:p w:rsidR="00E9204D" w:rsidRDefault="007E48E1" w:rsidP="00E9204D">
      <w:pPr>
        <w:pStyle w:val="BodyText"/>
        <w:ind w:firstLine="1440"/>
        <w:jc w:val="left"/>
        <w:rPr>
          <w:sz w:val="24"/>
          <w:szCs w:val="24"/>
        </w:rPr>
      </w:pPr>
      <w:r>
        <w:rPr>
          <w:sz w:val="24"/>
          <w:szCs w:val="24"/>
        </w:rPr>
        <w:t>T</w:t>
      </w:r>
      <w:r w:rsidRPr="00BF51E4">
        <w:rPr>
          <w:sz w:val="24"/>
          <w:szCs w:val="24"/>
        </w:rPr>
        <w:t xml:space="preserve">he Commission </w:t>
      </w:r>
      <w:r>
        <w:rPr>
          <w:sz w:val="24"/>
          <w:szCs w:val="24"/>
        </w:rPr>
        <w:t>has</w:t>
      </w:r>
      <w:r w:rsidRPr="00BF51E4">
        <w:rPr>
          <w:sz w:val="24"/>
          <w:szCs w:val="24"/>
        </w:rPr>
        <w:t xml:space="preserve"> the authority and responsibility to define reasonable service.  66 Pa.C.S.</w:t>
      </w:r>
      <w:r>
        <w:rPr>
          <w:sz w:val="24"/>
          <w:szCs w:val="24"/>
        </w:rPr>
        <w:t>A.</w:t>
      </w:r>
      <w:r w:rsidRPr="00BF51E4">
        <w:rPr>
          <w:sz w:val="24"/>
          <w:szCs w:val="24"/>
        </w:rPr>
        <w:t xml:space="preserve"> §</w:t>
      </w:r>
      <w:r w:rsidR="0093152B">
        <w:rPr>
          <w:sz w:val="24"/>
          <w:szCs w:val="24"/>
        </w:rPr>
        <w:t xml:space="preserve"> </w:t>
      </w:r>
      <w:r w:rsidRPr="00BF51E4">
        <w:rPr>
          <w:sz w:val="24"/>
          <w:szCs w:val="24"/>
        </w:rPr>
        <w:t>1501</w:t>
      </w:r>
      <w:r>
        <w:rPr>
          <w:sz w:val="24"/>
          <w:szCs w:val="24"/>
        </w:rPr>
        <w:t xml:space="preserve"> and §</w:t>
      </w:r>
      <w:r w:rsidR="0093152B">
        <w:rPr>
          <w:sz w:val="24"/>
          <w:szCs w:val="24"/>
        </w:rPr>
        <w:t xml:space="preserve"> </w:t>
      </w:r>
      <w:r w:rsidRPr="00BF51E4">
        <w:rPr>
          <w:sz w:val="24"/>
          <w:szCs w:val="24"/>
        </w:rPr>
        <w:t xml:space="preserve">1502.  The Commission approves the cost of providing a utility system that is designed to provide reasonable service at reasonable rates </w:t>
      </w:r>
      <w:r w:rsidR="0093152B">
        <w:rPr>
          <w:sz w:val="24"/>
          <w:szCs w:val="24"/>
        </w:rPr>
        <w:t>–</w:t>
      </w:r>
      <w:r w:rsidRPr="00BF51E4">
        <w:rPr>
          <w:sz w:val="24"/>
          <w:szCs w:val="24"/>
        </w:rPr>
        <w:t xml:space="preserve"> not perfect service without regard to cost.  Since reasonable service may result in occasional loss of service or property damage, the Commission </w:t>
      </w:r>
      <w:r>
        <w:rPr>
          <w:sz w:val="24"/>
          <w:szCs w:val="24"/>
        </w:rPr>
        <w:t xml:space="preserve">is permitted </w:t>
      </w:r>
      <w:r w:rsidRPr="00BF51E4">
        <w:rPr>
          <w:sz w:val="24"/>
          <w:szCs w:val="24"/>
        </w:rPr>
        <w:t>to limit liability.</w:t>
      </w:r>
      <w:r w:rsidR="00A6043D">
        <w:rPr>
          <w:rStyle w:val="FootnoteReference"/>
          <w:sz w:val="24"/>
          <w:szCs w:val="24"/>
        </w:rPr>
        <w:footnoteReference w:id="6"/>
      </w:r>
      <w:r w:rsidRPr="00BF51E4">
        <w:rPr>
          <w:sz w:val="24"/>
          <w:szCs w:val="24"/>
        </w:rPr>
        <w:t xml:space="preserve">  </w:t>
      </w:r>
      <w:r>
        <w:rPr>
          <w:sz w:val="24"/>
          <w:szCs w:val="24"/>
        </w:rPr>
        <w:t xml:space="preserve">  </w:t>
      </w:r>
    </w:p>
    <w:p w:rsidR="004A0254" w:rsidRDefault="004A0254" w:rsidP="004A0254">
      <w:pPr>
        <w:pStyle w:val="BodyText"/>
        <w:jc w:val="left"/>
        <w:rPr>
          <w:sz w:val="24"/>
          <w:szCs w:val="24"/>
        </w:rPr>
      </w:pPr>
    </w:p>
    <w:p w:rsidR="004A0254" w:rsidRPr="004A0254" w:rsidRDefault="004A0254" w:rsidP="004A0254">
      <w:pPr>
        <w:pStyle w:val="BodyText"/>
        <w:jc w:val="left"/>
        <w:rPr>
          <w:sz w:val="24"/>
          <w:szCs w:val="24"/>
          <w:u w:val="single"/>
        </w:rPr>
      </w:pPr>
      <w:r w:rsidRPr="004A0254">
        <w:rPr>
          <w:sz w:val="24"/>
          <w:szCs w:val="24"/>
          <w:u w:val="single"/>
        </w:rPr>
        <w:t>Analysis</w:t>
      </w:r>
    </w:p>
    <w:p w:rsidR="004A0254" w:rsidRDefault="004A0254" w:rsidP="004A0254">
      <w:pPr>
        <w:pStyle w:val="BodyText"/>
        <w:jc w:val="left"/>
        <w:rPr>
          <w:sz w:val="24"/>
          <w:szCs w:val="24"/>
        </w:rPr>
      </w:pPr>
    </w:p>
    <w:p w:rsidR="007976FF" w:rsidRDefault="007E48E1" w:rsidP="006C773F">
      <w:pPr>
        <w:pStyle w:val="BodyText"/>
        <w:ind w:firstLine="1440"/>
        <w:jc w:val="left"/>
        <w:rPr>
          <w:sz w:val="24"/>
          <w:szCs w:val="24"/>
        </w:rPr>
      </w:pPr>
      <w:r>
        <w:rPr>
          <w:sz w:val="24"/>
          <w:szCs w:val="24"/>
        </w:rPr>
        <w:t xml:space="preserve">The testimony presented </w:t>
      </w:r>
      <w:r w:rsidR="00352F5A">
        <w:rPr>
          <w:sz w:val="24"/>
          <w:szCs w:val="24"/>
        </w:rPr>
        <w:t xml:space="preserve">by both parties </w:t>
      </w:r>
      <w:r>
        <w:rPr>
          <w:sz w:val="24"/>
          <w:szCs w:val="24"/>
        </w:rPr>
        <w:t xml:space="preserve">sufficiently proved </w:t>
      </w:r>
      <w:r w:rsidR="006C773F">
        <w:rPr>
          <w:sz w:val="24"/>
          <w:szCs w:val="24"/>
        </w:rPr>
        <w:t xml:space="preserve">Complainant experienced </w:t>
      </w:r>
      <w:r w:rsidR="003E136A">
        <w:rPr>
          <w:sz w:val="24"/>
          <w:szCs w:val="24"/>
        </w:rPr>
        <w:t xml:space="preserve">a long-term power outage that forced him out of the service address for an extended period of time </w:t>
      </w:r>
      <w:r w:rsidR="00DC10E8">
        <w:rPr>
          <w:sz w:val="24"/>
          <w:szCs w:val="24"/>
        </w:rPr>
        <w:t xml:space="preserve">because, without electricity, there was no heat at </w:t>
      </w:r>
      <w:r w:rsidR="003E136A">
        <w:rPr>
          <w:sz w:val="24"/>
          <w:szCs w:val="24"/>
        </w:rPr>
        <w:t xml:space="preserve">the service address </w:t>
      </w:r>
      <w:r w:rsidR="00DC10E8">
        <w:rPr>
          <w:sz w:val="24"/>
          <w:szCs w:val="24"/>
        </w:rPr>
        <w:t>during a cold winter</w:t>
      </w:r>
      <w:r w:rsidR="006C773F">
        <w:rPr>
          <w:sz w:val="24"/>
          <w:szCs w:val="24"/>
        </w:rPr>
        <w:t xml:space="preserve">.  The testimony also sufficiently proved the power </w:t>
      </w:r>
      <w:r w:rsidR="003E136A">
        <w:rPr>
          <w:sz w:val="24"/>
          <w:szCs w:val="24"/>
        </w:rPr>
        <w:t>outage was</w:t>
      </w:r>
      <w:r w:rsidR="006C773F">
        <w:rPr>
          <w:sz w:val="24"/>
          <w:szCs w:val="24"/>
        </w:rPr>
        <w:t xml:space="preserve"> caused by forces beyond the control of the electric utility company.  Complainant has not provided more evidence than Respondent did to prove that the power </w:t>
      </w:r>
      <w:r w:rsidR="003E136A">
        <w:rPr>
          <w:sz w:val="24"/>
          <w:szCs w:val="24"/>
        </w:rPr>
        <w:t>outage</w:t>
      </w:r>
      <w:r w:rsidR="006C773F">
        <w:rPr>
          <w:sz w:val="24"/>
          <w:szCs w:val="24"/>
        </w:rPr>
        <w:t xml:space="preserve"> was the direct result of a</w:t>
      </w:r>
      <w:r w:rsidR="00DC10E8">
        <w:rPr>
          <w:sz w:val="24"/>
          <w:szCs w:val="24"/>
        </w:rPr>
        <w:t>ny</w:t>
      </w:r>
      <w:r w:rsidR="006C773F">
        <w:rPr>
          <w:sz w:val="24"/>
          <w:szCs w:val="24"/>
        </w:rPr>
        <w:t xml:space="preserve"> failure by Respondent to provide reasonable and adequate service.  </w:t>
      </w:r>
    </w:p>
    <w:p w:rsidR="007976FF" w:rsidRDefault="007976FF" w:rsidP="006C773F">
      <w:pPr>
        <w:pStyle w:val="BodyText"/>
        <w:ind w:firstLine="1440"/>
        <w:jc w:val="left"/>
        <w:rPr>
          <w:sz w:val="24"/>
          <w:szCs w:val="24"/>
        </w:rPr>
      </w:pPr>
    </w:p>
    <w:p w:rsidR="007976FF" w:rsidRDefault="006C773F" w:rsidP="006C773F">
      <w:pPr>
        <w:pStyle w:val="BodyText"/>
        <w:ind w:firstLine="1440"/>
        <w:jc w:val="left"/>
        <w:rPr>
          <w:sz w:val="24"/>
          <w:szCs w:val="24"/>
        </w:rPr>
      </w:pPr>
      <w:r>
        <w:rPr>
          <w:sz w:val="24"/>
          <w:szCs w:val="24"/>
        </w:rPr>
        <w:t xml:space="preserve">The existence of damaged </w:t>
      </w:r>
      <w:r w:rsidR="003E136A">
        <w:rPr>
          <w:sz w:val="24"/>
          <w:szCs w:val="24"/>
        </w:rPr>
        <w:t xml:space="preserve">personal property and having an </w:t>
      </w:r>
      <w:r w:rsidR="007976FF">
        <w:rPr>
          <w:sz w:val="24"/>
          <w:szCs w:val="24"/>
        </w:rPr>
        <w:t>un</w:t>
      </w:r>
      <w:r w:rsidR="003E136A">
        <w:rPr>
          <w:sz w:val="24"/>
          <w:szCs w:val="24"/>
        </w:rPr>
        <w:t>inhabitable residence are not sufficient proofs that R</w:t>
      </w:r>
      <w:r>
        <w:rPr>
          <w:sz w:val="24"/>
          <w:szCs w:val="24"/>
        </w:rPr>
        <w:t xml:space="preserve">espondent’s equipment was faulty or that Respondent’s service was unreasonable or inadequate.  </w:t>
      </w:r>
      <w:r w:rsidR="00DC10E8">
        <w:rPr>
          <w:sz w:val="24"/>
          <w:szCs w:val="24"/>
        </w:rPr>
        <w:t>When advised by Complainant that electricity service was lost, Respondent sent field technicians out during a severe winter storm to the service address on multiple occasions.  On some of those occasions, Complainant was not at home (due to the weather and the lack of heat) and it would have been more helpful if PECO had notified Complainant when crews were planning to visit the service address</w:t>
      </w:r>
      <w:r w:rsidR="007976FF">
        <w:rPr>
          <w:sz w:val="24"/>
          <w:szCs w:val="24"/>
        </w:rPr>
        <w:t xml:space="preserve"> and/or the area where the service address was located</w:t>
      </w:r>
      <w:r w:rsidR="00DC10E8">
        <w:rPr>
          <w:sz w:val="24"/>
          <w:szCs w:val="24"/>
        </w:rPr>
        <w:t xml:space="preserve">.  </w:t>
      </w:r>
    </w:p>
    <w:p w:rsidR="007976FF" w:rsidRDefault="007976FF" w:rsidP="006C773F">
      <w:pPr>
        <w:pStyle w:val="BodyText"/>
        <w:ind w:firstLine="1440"/>
        <w:jc w:val="left"/>
        <w:rPr>
          <w:sz w:val="24"/>
          <w:szCs w:val="24"/>
        </w:rPr>
      </w:pPr>
    </w:p>
    <w:p w:rsidR="006C773F" w:rsidRDefault="00DC10E8" w:rsidP="006C773F">
      <w:pPr>
        <w:pStyle w:val="BodyText"/>
        <w:ind w:firstLine="1440"/>
        <w:jc w:val="left"/>
        <w:rPr>
          <w:sz w:val="24"/>
          <w:szCs w:val="24"/>
        </w:rPr>
      </w:pPr>
      <w:r>
        <w:rPr>
          <w:sz w:val="24"/>
          <w:szCs w:val="24"/>
        </w:rPr>
        <w:t xml:space="preserve">However, PECO did respond to Complainant’s calls and did the best it could at the time of the outages to return Complainant to service.  </w:t>
      </w:r>
      <w:r w:rsidR="006C773F" w:rsidRPr="00BF51E4">
        <w:rPr>
          <w:sz w:val="24"/>
          <w:szCs w:val="24"/>
        </w:rPr>
        <w:t xml:space="preserve">Therefore, Complainant has not met </w:t>
      </w:r>
      <w:r w:rsidR="006C773F">
        <w:rPr>
          <w:sz w:val="24"/>
          <w:szCs w:val="24"/>
        </w:rPr>
        <w:t>his</w:t>
      </w:r>
      <w:r w:rsidR="006C773F" w:rsidRPr="00BF51E4">
        <w:rPr>
          <w:sz w:val="24"/>
          <w:szCs w:val="24"/>
        </w:rPr>
        <w:t xml:space="preserve"> burden of proving Respondent violated the Commission’s regulations by failing to provide reasonable and adequate customer service when the power </w:t>
      </w:r>
      <w:r w:rsidR="003E136A">
        <w:rPr>
          <w:sz w:val="24"/>
          <w:szCs w:val="24"/>
        </w:rPr>
        <w:t>outage</w:t>
      </w:r>
      <w:r w:rsidR="006C773F" w:rsidRPr="00BF51E4">
        <w:rPr>
          <w:sz w:val="24"/>
          <w:szCs w:val="24"/>
        </w:rPr>
        <w:t xml:space="preserve"> occurred.  </w:t>
      </w:r>
    </w:p>
    <w:p w:rsidR="006C773F" w:rsidRDefault="006C773F" w:rsidP="00DC090B">
      <w:pPr>
        <w:pStyle w:val="BodyText"/>
        <w:jc w:val="center"/>
        <w:rPr>
          <w:u w:val="single"/>
        </w:rPr>
      </w:pPr>
    </w:p>
    <w:p w:rsidR="007E48E1" w:rsidRPr="008B455C" w:rsidRDefault="007E48E1" w:rsidP="00DC090B">
      <w:pPr>
        <w:pStyle w:val="BodyText"/>
        <w:jc w:val="center"/>
        <w:rPr>
          <w:u w:val="single"/>
        </w:rPr>
      </w:pPr>
      <w:r w:rsidRPr="008B455C">
        <w:rPr>
          <w:u w:val="single"/>
        </w:rPr>
        <w:t>CONCLUSIONS OF LAW</w:t>
      </w:r>
    </w:p>
    <w:p w:rsidR="007E48E1" w:rsidRPr="008B455C" w:rsidRDefault="007E48E1" w:rsidP="007E48E1">
      <w:pPr>
        <w:spacing w:line="360" w:lineRule="auto"/>
        <w:ind w:firstLine="1440"/>
      </w:pPr>
    </w:p>
    <w:p w:rsidR="007E48E1" w:rsidRPr="008B455C" w:rsidRDefault="007E48E1" w:rsidP="007E48E1">
      <w:pPr>
        <w:numPr>
          <w:ilvl w:val="0"/>
          <w:numId w:val="1"/>
        </w:numPr>
        <w:tabs>
          <w:tab w:val="clear" w:pos="900"/>
          <w:tab w:val="num" w:pos="2160"/>
        </w:tabs>
        <w:spacing w:line="360" w:lineRule="auto"/>
        <w:ind w:left="0" w:firstLine="1440"/>
      </w:pPr>
      <w:r w:rsidRPr="008B455C">
        <w:t xml:space="preserve">The Commission has jurisdiction over the parties and the subject matter of this proceeding.  </w:t>
      </w:r>
      <w:proofErr w:type="gramStart"/>
      <w:r w:rsidRPr="008B455C">
        <w:t>66 Pa.C.S</w:t>
      </w:r>
      <w:r w:rsidR="00B2383E">
        <w:t>.</w:t>
      </w:r>
      <w:r w:rsidR="004E0A83">
        <w:t>A.</w:t>
      </w:r>
      <w:proofErr w:type="gramEnd"/>
      <w:r w:rsidRPr="008B455C">
        <w:t xml:space="preserve"> §</w:t>
      </w:r>
      <w:r w:rsidR="00E561DC">
        <w:t xml:space="preserve"> </w:t>
      </w:r>
      <w:r w:rsidRPr="008B455C">
        <w:t>701.</w:t>
      </w:r>
    </w:p>
    <w:p w:rsidR="007E48E1" w:rsidRPr="008B455C" w:rsidRDefault="007E48E1" w:rsidP="007E48E1">
      <w:pPr>
        <w:tabs>
          <w:tab w:val="num" w:pos="2160"/>
        </w:tabs>
        <w:spacing w:line="360" w:lineRule="auto"/>
        <w:ind w:firstLine="1260"/>
      </w:pPr>
    </w:p>
    <w:p w:rsidR="007E48E1" w:rsidRPr="00DC10E8" w:rsidRDefault="007E48E1" w:rsidP="007E48E1">
      <w:pPr>
        <w:spacing w:line="360" w:lineRule="auto"/>
      </w:pPr>
      <w:r w:rsidRPr="008B455C">
        <w:tab/>
      </w:r>
      <w:r w:rsidRPr="00DC10E8">
        <w:tab/>
        <w:t>2.</w:t>
      </w:r>
      <w:r w:rsidRPr="00DC10E8">
        <w:tab/>
        <w:t xml:space="preserve">Complainant carries the burden of proving Respondent did not provide reasonable and adequate service.  </w:t>
      </w:r>
      <w:proofErr w:type="gramStart"/>
      <w:r w:rsidRPr="00DC10E8">
        <w:t>66 Pa.C.S.A.</w:t>
      </w:r>
      <w:proofErr w:type="gramEnd"/>
      <w:r w:rsidRPr="00DC10E8">
        <w:t xml:space="preserve"> §</w:t>
      </w:r>
      <w:r w:rsidR="00E561DC" w:rsidRPr="00DC10E8">
        <w:t xml:space="preserve"> </w:t>
      </w:r>
      <w:r w:rsidRPr="00DC10E8">
        <w:t>332(a).</w:t>
      </w:r>
    </w:p>
    <w:p w:rsidR="007E48E1" w:rsidRPr="00DC10E8" w:rsidRDefault="007E48E1" w:rsidP="007E48E1">
      <w:pPr>
        <w:spacing w:line="360" w:lineRule="auto"/>
      </w:pPr>
    </w:p>
    <w:p w:rsidR="007E48E1" w:rsidRPr="00DC10E8" w:rsidRDefault="007E48E1" w:rsidP="00DC10E8">
      <w:pPr>
        <w:pStyle w:val="FootnoteText"/>
        <w:spacing w:line="360" w:lineRule="auto"/>
        <w:rPr>
          <w:sz w:val="24"/>
          <w:szCs w:val="24"/>
        </w:rPr>
      </w:pPr>
      <w:r w:rsidRPr="00DC10E8">
        <w:rPr>
          <w:sz w:val="24"/>
          <w:szCs w:val="24"/>
        </w:rPr>
        <w:tab/>
      </w:r>
      <w:r w:rsidRPr="00DC10E8">
        <w:rPr>
          <w:sz w:val="24"/>
          <w:szCs w:val="24"/>
        </w:rPr>
        <w:tab/>
        <w:t>3.</w:t>
      </w:r>
      <w:r w:rsidRPr="00DC10E8">
        <w:rPr>
          <w:sz w:val="24"/>
          <w:szCs w:val="24"/>
        </w:rPr>
        <w:tab/>
        <w:t xml:space="preserve">Complainant failed to meet the burden of proving Respondent did not provide reasonable and adequate service.  </w:t>
      </w:r>
      <w:r w:rsidR="00B2383E">
        <w:rPr>
          <w:sz w:val="24"/>
          <w:szCs w:val="24"/>
        </w:rPr>
        <w:t>66 Pa.C.S.A. § 1501.</w:t>
      </w:r>
      <w:r w:rsidRPr="00DC10E8">
        <w:rPr>
          <w:sz w:val="24"/>
          <w:szCs w:val="24"/>
        </w:rPr>
        <w:t xml:space="preserve">  </w:t>
      </w:r>
    </w:p>
    <w:p w:rsidR="007E48E1" w:rsidRPr="00DC10E8" w:rsidRDefault="007E48E1" w:rsidP="007E48E1">
      <w:pPr>
        <w:spacing w:line="360" w:lineRule="auto"/>
      </w:pPr>
    </w:p>
    <w:p w:rsidR="007E48E1" w:rsidRPr="00DC10E8" w:rsidRDefault="00DC10E8" w:rsidP="007E48E1">
      <w:pPr>
        <w:spacing w:line="360" w:lineRule="auto"/>
      </w:pPr>
      <w:r w:rsidRPr="00DC10E8">
        <w:tab/>
      </w:r>
      <w:r w:rsidRPr="00DC10E8">
        <w:tab/>
        <w:t>4</w:t>
      </w:r>
      <w:r w:rsidR="007E48E1" w:rsidRPr="00DC10E8">
        <w:t>.</w:t>
      </w:r>
      <w:r w:rsidR="007E48E1" w:rsidRPr="00DC10E8">
        <w:tab/>
        <w:t>The Commission is without jurisdiction to consider negligence issues</w:t>
      </w:r>
      <w:r w:rsidR="003E136A" w:rsidRPr="00DC10E8">
        <w:t xml:space="preserve"> or award damages</w:t>
      </w:r>
      <w:r w:rsidR="007E48E1" w:rsidRPr="00DC10E8">
        <w:t xml:space="preserve">.  </w:t>
      </w:r>
      <w:proofErr w:type="spellStart"/>
      <w:proofErr w:type="gramStart"/>
      <w:r w:rsidR="007E48E1" w:rsidRPr="00DC10E8">
        <w:rPr>
          <w:u w:val="single"/>
        </w:rPr>
        <w:t>Poorbaugh</w:t>
      </w:r>
      <w:proofErr w:type="spellEnd"/>
      <w:r w:rsidR="007E48E1" w:rsidRPr="00DC10E8">
        <w:rPr>
          <w:u w:val="single"/>
        </w:rPr>
        <w:t xml:space="preserve"> v. P</w:t>
      </w:r>
      <w:r w:rsidR="005944A4" w:rsidRPr="00DC10E8">
        <w:rPr>
          <w:u w:val="single"/>
        </w:rPr>
        <w:t>a. Pub.</w:t>
      </w:r>
      <w:proofErr w:type="gramEnd"/>
      <w:r w:rsidR="005944A4" w:rsidRPr="00DC10E8">
        <w:rPr>
          <w:u w:val="single"/>
        </w:rPr>
        <w:t xml:space="preserve"> </w:t>
      </w:r>
      <w:proofErr w:type="gramStart"/>
      <w:r w:rsidR="005944A4" w:rsidRPr="00DC10E8">
        <w:rPr>
          <w:u w:val="single"/>
        </w:rPr>
        <w:t>Util. Comm’n</w:t>
      </w:r>
      <w:r w:rsidR="007E48E1" w:rsidRPr="00DC10E8">
        <w:t>, 666 A.2d 744 (</w:t>
      </w:r>
      <w:proofErr w:type="spellStart"/>
      <w:r w:rsidR="007E48E1" w:rsidRPr="00DC10E8">
        <w:t>Pa.Cmw</w:t>
      </w:r>
      <w:r w:rsidR="005944A4" w:rsidRPr="00DC10E8">
        <w:t>lth</w:t>
      </w:r>
      <w:proofErr w:type="spellEnd"/>
      <w:r w:rsidR="007E48E1" w:rsidRPr="00DC10E8">
        <w:t>. 1995).</w:t>
      </w:r>
      <w:proofErr w:type="gramEnd"/>
      <w:r w:rsidR="007E48E1" w:rsidRPr="00DC10E8">
        <w:tab/>
      </w:r>
    </w:p>
    <w:p w:rsidR="007E48E1" w:rsidRPr="008B455C" w:rsidRDefault="007E48E1" w:rsidP="007E48E1">
      <w:pPr>
        <w:spacing w:line="360" w:lineRule="auto"/>
        <w:jc w:val="center"/>
        <w:rPr>
          <w:u w:val="single"/>
        </w:rPr>
      </w:pPr>
      <w:r w:rsidRPr="008B455C">
        <w:rPr>
          <w:u w:val="single"/>
        </w:rPr>
        <w:t>ORDER</w:t>
      </w:r>
    </w:p>
    <w:p w:rsidR="007E48E1" w:rsidRDefault="007E48E1" w:rsidP="007E48E1">
      <w:pPr>
        <w:tabs>
          <w:tab w:val="num" w:pos="2160"/>
        </w:tabs>
        <w:spacing w:line="360" w:lineRule="auto"/>
        <w:jc w:val="center"/>
        <w:rPr>
          <w:u w:val="single"/>
        </w:rPr>
      </w:pPr>
    </w:p>
    <w:p w:rsidR="004A7777" w:rsidRPr="008B455C" w:rsidRDefault="004A7777" w:rsidP="007E48E1">
      <w:pPr>
        <w:tabs>
          <w:tab w:val="num" w:pos="2160"/>
        </w:tabs>
        <w:spacing w:line="360" w:lineRule="auto"/>
        <w:jc w:val="center"/>
        <w:rPr>
          <w:u w:val="single"/>
        </w:rPr>
      </w:pPr>
    </w:p>
    <w:p w:rsidR="007E48E1" w:rsidRPr="008B455C" w:rsidRDefault="007E48E1" w:rsidP="007E48E1">
      <w:pPr>
        <w:tabs>
          <w:tab w:val="num" w:pos="2160"/>
        </w:tabs>
        <w:spacing w:line="360" w:lineRule="auto"/>
        <w:ind w:firstLine="1440"/>
      </w:pPr>
      <w:r w:rsidRPr="008B455C">
        <w:t xml:space="preserve">THEREFORE, </w:t>
      </w:r>
    </w:p>
    <w:p w:rsidR="007E48E1" w:rsidRPr="008B455C" w:rsidRDefault="007E48E1" w:rsidP="007E48E1">
      <w:pPr>
        <w:tabs>
          <w:tab w:val="num" w:pos="2160"/>
        </w:tabs>
        <w:spacing w:line="360" w:lineRule="auto"/>
      </w:pPr>
    </w:p>
    <w:p w:rsidR="007E48E1" w:rsidRPr="008B455C" w:rsidRDefault="007E48E1" w:rsidP="007E48E1">
      <w:pPr>
        <w:tabs>
          <w:tab w:val="num" w:pos="2160"/>
        </w:tabs>
        <w:spacing w:line="360" w:lineRule="auto"/>
        <w:ind w:firstLine="1440"/>
      </w:pPr>
      <w:r w:rsidRPr="008B455C">
        <w:t>IT IS ORDERED:</w:t>
      </w:r>
    </w:p>
    <w:p w:rsidR="007E48E1" w:rsidRPr="008B455C" w:rsidRDefault="007E48E1" w:rsidP="007E48E1">
      <w:pPr>
        <w:tabs>
          <w:tab w:val="num" w:pos="2160"/>
        </w:tabs>
        <w:spacing w:line="360" w:lineRule="auto"/>
        <w:rPr>
          <w:b/>
        </w:rPr>
      </w:pPr>
    </w:p>
    <w:p w:rsidR="007E48E1" w:rsidRDefault="007E48E1" w:rsidP="00DE391B">
      <w:pPr>
        <w:pStyle w:val="ListParagraph"/>
        <w:numPr>
          <w:ilvl w:val="0"/>
          <w:numId w:val="8"/>
        </w:numPr>
        <w:tabs>
          <w:tab w:val="num" w:pos="2160"/>
        </w:tabs>
        <w:spacing w:line="360" w:lineRule="auto"/>
        <w:ind w:left="0" w:firstLine="1440"/>
      </w:pPr>
      <w:r w:rsidRPr="008B455C">
        <w:t xml:space="preserve">That the complaint </w:t>
      </w:r>
      <w:r w:rsidRPr="002F64FF">
        <w:t xml:space="preserve">of </w:t>
      </w:r>
      <w:r w:rsidR="003E136A">
        <w:t>Michael Robinson</w:t>
      </w:r>
      <w:r w:rsidRPr="002F64FF">
        <w:t xml:space="preserve"> v</w:t>
      </w:r>
      <w:r w:rsidR="00F60AB1">
        <w:t xml:space="preserve">. </w:t>
      </w:r>
      <w:r w:rsidR="003E136A">
        <w:t>PECO Energy</w:t>
      </w:r>
      <w:r w:rsidRPr="002F64FF">
        <w:t xml:space="preserve"> Company</w:t>
      </w:r>
      <w:r w:rsidRPr="00055267">
        <w:t xml:space="preserve"> </w:t>
      </w:r>
      <w:r w:rsidRPr="008B455C">
        <w:t xml:space="preserve">at </w:t>
      </w:r>
      <w:r>
        <w:t>Docket No. C</w:t>
      </w:r>
      <w:r w:rsidRPr="008B455C">
        <w:noBreakHyphen/>
      </w:r>
      <w:r w:rsidR="003E136A">
        <w:t>2014-2413368</w:t>
      </w:r>
      <w:r>
        <w:t xml:space="preserve"> is</w:t>
      </w:r>
      <w:r w:rsidRPr="00EA1625">
        <w:t xml:space="preserve"> </w:t>
      </w:r>
      <w:r>
        <w:t xml:space="preserve">denied because Complainant failed to prove </w:t>
      </w:r>
      <w:r w:rsidRPr="008B455C">
        <w:t>Respondent</w:t>
      </w:r>
      <w:r>
        <w:t xml:space="preserve"> did not provide reasonable and adequate service in </w:t>
      </w:r>
      <w:r w:rsidR="003E136A">
        <w:t>how it handled the power outage on February 4, 2014</w:t>
      </w:r>
      <w:r w:rsidRPr="008B455C">
        <w:t>.</w:t>
      </w:r>
    </w:p>
    <w:p w:rsidR="00DE391B" w:rsidRDefault="00DE391B" w:rsidP="00DE391B">
      <w:pPr>
        <w:spacing w:line="360" w:lineRule="auto"/>
        <w:ind w:firstLine="1440"/>
      </w:pPr>
    </w:p>
    <w:p w:rsidR="00DE391B" w:rsidRPr="00DE391B" w:rsidRDefault="00DE391B" w:rsidP="00DE391B">
      <w:pPr>
        <w:pStyle w:val="ListParagraph"/>
        <w:numPr>
          <w:ilvl w:val="0"/>
          <w:numId w:val="8"/>
        </w:numPr>
        <w:tabs>
          <w:tab w:val="left" w:pos="-1440"/>
          <w:tab w:val="left" w:pos="-720"/>
        </w:tabs>
        <w:suppressAutoHyphens/>
        <w:ind w:left="0" w:firstLine="1440"/>
        <w:rPr>
          <w:spacing w:val="-3"/>
        </w:rPr>
      </w:pPr>
      <w:r w:rsidRPr="00DE391B">
        <w:rPr>
          <w:spacing w:val="-3"/>
        </w:rPr>
        <w:t>That this docket be marked closed and discontinued.</w:t>
      </w:r>
    </w:p>
    <w:p w:rsidR="00DE391B" w:rsidRDefault="00DE391B" w:rsidP="00DE391B">
      <w:pPr>
        <w:tabs>
          <w:tab w:val="num" w:pos="2160"/>
        </w:tabs>
        <w:spacing w:line="360" w:lineRule="auto"/>
        <w:ind w:firstLine="1440"/>
      </w:pPr>
    </w:p>
    <w:p w:rsidR="007E48E1" w:rsidRPr="008B455C" w:rsidRDefault="007E48E1" w:rsidP="007E48E1">
      <w:pPr>
        <w:tabs>
          <w:tab w:val="num" w:pos="2160"/>
        </w:tabs>
        <w:spacing w:line="360" w:lineRule="auto"/>
      </w:pPr>
      <w:r>
        <w:tab/>
      </w:r>
    </w:p>
    <w:p w:rsidR="007E48E1" w:rsidRPr="008B455C" w:rsidRDefault="007E48E1" w:rsidP="007E48E1">
      <w:pPr>
        <w:tabs>
          <w:tab w:val="num" w:pos="2160"/>
        </w:tabs>
        <w:spacing w:line="360" w:lineRule="auto"/>
        <w:ind w:firstLine="1440"/>
      </w:pPr>
      <w:r w:rsidRPr="008B455C">
        <w:tab/>
        <w:t xml:space="preserve"> </w:t>
      </w:r>
    </w:p>
    <w:p w:rsidR="00C04092" w:rsidRDefault="00B86EF4" w:rsidP="00C04092">
      <w:r>
        <w:t xml:space="preserve"> </w:t>
      </w:r>
      <w:r w:rsidR="00FE5CE7">
        <w:t xml:space="preserve">Date:  </w:t>
      </w:r>
      <w:r w:rsidR="00440E23">
        <w:rPr>
          <w:u w:val="single"/>
        </w:rPr>
        <w:t>September 15</w:t>
      </w:r>
      <w:r w:rsidR="00FE5CE7" w:rsidRPr="00FE5CE7">
        <w:rPr>
          <w:u w:val="single"/>
        </w:rPr>
        <w:t>, 2014</w:t>
      </w:r>
      <w:r w:rsidR="00C04092">
        <w:tab/>
      </w:r>
      <w:r w:rsidR="00C04092">
        <w:tab/>
      </w:r>
      <w:r w:rsidR="00C04092">
        <w:tab/>
      </w:r>
      <w:r w:rsidR="00C04092">
        <w:tab/>
      </w:r>
      <w:r w:rsidR="00C04092">
        <w:tab/>
      </w:r>
      <w:r w:rsidR="00C04092">
        <w:rPr>
          <w:u w:val="single"/>
        </w:rPr>
        <w:tab/>
      </w:r>
      <w:r w:rsidR="00C04092">
        <w:rPr>
          <w:u w:val="single"/>
        </w:rPr>
        <w:tab/>
        <w:t>/s/</w:t>
      </w:r>
      <w:r w:rsidR="00C04092">
        <w:rPr>
          <w:u w:val="single"/>
        </w:rPr>
        <w:tab/>
      </w:r>
      <w:r w:rsidR="00C04092">
        <w:rPr>
          <w:u w:val="single"/>
        </w:rPr>
        <w:tab/>
      </w:r>
      <w:r w:rsidR="00C04092">
        <w:rPr>
          <w:u w:val="single"/>
        </w:rPr>
        <w:tab/>
      </w:r>
    </w:p>
    <w:p w:rsidR="007E48E1" w:rsidRPr="008B455C" w:rsidRDefault="007E48E1" w:rsidP="007E48E1">
      <w:pPr>
        <w:tabs>
          <w:tab w:val="num" w:pos="2160"/>
        </w:tabs>
      </w:pPr>
      <w:r w:rsidRPr="008B455C">
        <w:tab/>
      </w:r>
      <w:r w:rsidRPr="008B455C">
        <w:tab/>
      </w:r>
      <w:r w:rsidRPr="008B455C">
        <w:tab/>
      </w:r>
      <w:r w:rsidRPr="008B455C">
        <w:tab/>
      </w:r>
      <w:r w:rsidR="004A7777">
        <w:tab/>
      </w:r>
      <w:r w:rsidR="001D78CA">
        <w:tab/>
      </w:r>
      <w:r w:rsidRPr="008B455C">
        <w:t>Katrina L. Dunderdale</w:t>
      </w:r>
    </w:p>
    <w:p w:rsidR="009A4572" w:rsidRPr="008B455C" w:rsidRDefault="007E48E1" w:rsidP="00EA12C1">
      <w:pPr>
        <w:tabs>
          <w:tab w:val="num" w:pos="2160"/>
        </w:tabs>
      </w:pPr>
      <w:r w:rsidRPr="008B455C">
        <w:tab/>
      </w:r>
      <w:r w:rsidRPr="008B455C">
        <w:tab/>
      </w:r>
      <w:r w:rsidRPr="008B455C">
        <w:tab/>
      </w:r>
      <w:r w:rsidRPr="008B455C">
        <w:tab/>
      </w:r>
      <w:r w:rsidR="004A7777">
        <w:tab/>
      </w:r>
      <w:r w:rsidR="001D78CA">
        <w:tab/>
      </w:r>
      <w:r w:rsidR="009A4572">
        <w:t>Administrative Law Judge</w:t>
      </w:r>
    </w:p>
    <w:sectPr w:rsidR="009A4572" w:rsidRPr="008B455C" w:rsidSect="005F5542">
      <w:footerReference w:type="even" r:id="rId9"/>
      <w:footerReference w:type="default" r:id="rId10"/>
      <w:pgSz w:w="12240" w:h="15840" w:code="1"/>
      <w:pgMar w:top="1440" w:right="1440" w:bottom="1440" w:left="1440" w:header="720" w:footer="720" w:gutter="0"/>
      <w:paperSrc w:first="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D0F" w:rsidRDefault="00E13D0F">
      <w:r>
        <w:separator/>
      </w:r>
    </w:p>
  </w:endnote>
  <w:endnote w:type="continuationSeparator" w:id="0">
    <w:p w:rsidR="00E13D0F" w:rsidRDefault="00E1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Default="00E52929"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end"/>
    </w:r>
  </w:p>
  <w:p w:rsidR="00F30562" w:rsidRDefault="00F30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Pr="0014242F" w:rsidRDefault="00E52929"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F30562" w:rsidRPr="0014242F">
      <w:rPr>
        <w:rStyle w:val="PageNumber"/>
        <w:sz w:val="20"/>
        <w:szCs w:val="20"/>
      </w:rPr>
      <w:instrText xml:space="preserve">PAGE  </w:instrText>
    </w:r>
    <w:r w:rsidRPr="0014242F">
      <w:rPr>
        <w:rStyle w:val="PageNumber"/>
        <w:sz w:val="20"/>
        <w:szCs w:val="20"/>
      </w:rPr>
      <w:fldChar w:fldCharType="separate"/>
    </w:r>
    <w:r w:rsidR="00116D0F">
      <w:rPr>
        <w:rStyle w:val="PageNumber"/>
        <w:noProof/>
        <w:sz w:val="20"/>
        <w:szCs w:val="20"/>
      </w:rPr>
      <w:t>9</w:t>
    </w:r>
    <w:r w:rsidRPr="0014242F">
      <w:rPr>
        <w:rStyle w:val="PageNumber"/>
        <w:sz w:val="20"/>
        <w:szCs w:val="20"/>
      </w:rPr>
      <w:fldChar w:fldCharType="end"/>
    </w:r>
  </w:p>
  <w:p w:rsidR="00F30562" w:rsidRDefault="00F30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D0F" w:rsidRDefault="00E13D0F">
      <w:r>
        <w:separator/>
      </w:r>
    </w:p>
  </w:footnote>
  <w:footnote w:type="continuationSeparator" w:id="0">
    <w:p w:rsidR="00E13D0F" w:rsidRDefault="00E13D0F">
      <w:r>
        <w:continuationSeparator/>
      </w:r>
    </w:p>
  </w:footnote>
  <w:footnote w:id="1">
    <w:p w:rsidR="002432E9" w:rsidRDefault="00E147FA">
      <w:pPr>
        <w:pStyle w:val="FootnoteText"/>
      </w:pPr>
      <w:r>
        <w:tab/>
      </w:r>
      <w:r w:rsidR="002432E9">
        <w:rPr>
          <w:rStyle w:val="FootnoteReference"/>
        </w:rPr>
        <w:footnoteRef/>
      </w:r>
      <w:r w:rsidR="002432E9">
        <w:t xml:space="preserve"> </w:t>
      </w:r>
      <w:r w:rsidR="002432E9">
        <w:tab/>
        <w:t xml:space="preserve">A request for damages must be denied as outside the Commission’s jurisdiction.  See </w:t>
      </w:r>
      <w:proofErr w:type="spellStart"/>
      <w:r w:rsidR="002432E9" w:rsidRPr="002432E9">
        <w:rPr>
          <w:u w:val="single"/>
        </w:rPr>
        <w:t>Poorbaugh</w:t>
      </w:r>
      <w:proofErr w:type="spellEnd"/>
      <w:r>
        <w:rPr>
          <w:u w:val="single"/>
        </w:rPr>
        <w:t> </w:t>
      </w:r>
      <w:r w:rsidR="002432E9" w:rsidRPr="002432E9">
        <w:rPr>
          <w:u w:val="single"/>
        </w:rPr>
        <w:t xml:space="preserve">v. Pa. Pub. </w:t>
      </w:r>
      <w:proofErr w:type="gramStart"/>
      <w:r w:rsidR="002432E9" w:rsidRPr="002432E9">
        <w:rPr>
          <w:u w:val="single"/>
        </w:rPr>
        <w:t>Util. Comm’n</w:t>
      </w:r>
      <w:r w:rsidR="002432E9">
        <w:t>, 666 A</w:t>
      </w:r>
      <w:r w:rsidR="00EA2B83">
        <w:t>.</w:t>
      </w:r>
      <w:r w:rsidR="002432E9">
        <w:t>2d 744 (</w:t>
      </w:r>
      <w:proofErr w:type="spellStart"/>
      <w:r w:rsidR="002432E9">
        <w:t>Pa</w:t>
      </w:r>
      <w:r w:rsidR="00EA2B83">
        <w:t>.</w:t>
      </w:r>
      <w:r w:rsidR="002432E9">
        <w:t>Cmwlth</w:t>
      </w:r>
      <w:proofErr w:type="spellEnd"/>
      <w:r w:rsidR="002432E9">
        <w:t>. 1995).</w:t>
      </w:r>
      <w:proofErr w:type="gramEnd"/>
    </w:p>
    <w:p w:rsidR="00CC60A3" w:rsidRDefault="00CC60A3">
      <w:pPr>
        <w:pStyle w:val="FootnoteText"/>
      </w:pPr>
    </w:p>
  </w:footnote>
  <w:footnote w:id="2">
    <w:p w:rsidR="00126B45" w:rsidRDefault="00126B45" w:rsidP="00126B45">
      <w:pPr>
        <w:pStyle w:val="FootnoteText"/>
        <w:ind w:firstLine="720"/>
      </w:pPr>
      <w:r w:rsidRPr="00A41132">
        <w:rPr>
          <w:rStyle w:val="FootnoteReference"/>
        </w:rPr>
        <w:footnoteRef/>
      </w:r>
      <w:r w:rsidRPr="00A41132">
        <w:t xml:space="preserve"> </w:t>
      </w:r>
      <w:r w:rsidRPr="00A41132">
        <w:tab/>
      </w:r>
      <w:proofErr w:type="gramStart"/>
      <w:r w:rsidRPr="00A41132">
        <w:rPr>
          <w:u w:val="single"/>
        </w:rPr>
        <w:t>Patterson v. Bell Telephone Co. of Pa.</w:t>
      </w:r>
      <w:r>
        <w:t>, 72 Pa. P</w:t>
      </w:r>
      <w:r w:rsidRPr="00A41132">
        <w:t xml:space="preserve">UC 196 (1990); </w:t>
      </w:r>
      <w:r w:rsidRPr="00A41132">
        <w:rPr>
          <w:u w:val="single"/>
        </w:rPr>
        <w:t>Feinstein v. Philadelphia Suburban Water Co.</w:t>
      </w:r>
      <w:r w:rsidRPr="00A41132">
        <w:t>, 50 Pa. PUC 300 (1976).</w:t>
      </w:r>
      <w:proofErr w:type="gramEnd"/>
      <w:r w:rsidRPr="00A41132">
        <w:t xml:space="preserve">  </w:t>
      </w:r>
    </w:p>
    <w:p w:rsidR="00B30601" w:rsidRPr="00A41132" w:rsidRDefault="00B30601" w:rsidP="00126B45">
      <w:pPr>
        <w:pStyle w:val="FootnoteText"/>
        <w:ind w:firstLine="720"/>
      </w:pPr>
    </w:p>
  </w:footnote>
  <w:footnote w:id="3">
    <w:p w:rsidR="00126B45" w:rsidRPr="00A41132" w:rsidRDefault="00126B45" w:rsidP="00126B45">
      <w:pPr>
        <w:pStyle w:val="FootnoteText"/>
        <w:ind w:firstLine="720"/>
      </w:pPr>
      <w:r w:rsidRPr="00A41132">
        <w:rPr>
          <w:rStyle w:val="FootnoteReference"/>
        </w:rPr>
        <w:footnoteRef/>
      </w:r>
      <w:r w:rsidRPr="00A41132">
        <w:t xml:space="preserve"> </w:t>
      </w:r>
      <w:r w:rsidRPr="00A41132">
        <w:tab/>
      </w:r>
      <w:proofErr w:type="gramStart"/>
      <w:r w:rsidRPr="00A41132">
        <w:rPr>
          <w:u w:val="single"/>
        </w:rPr>
        <w:t>Samuel J. Lansberry, Inc. v. Pa. Pub</w:t>
      </w:r>
      <w:r>
        <w:rPr>
          <w:u w:val="single"/>
        </w:rPr>
        <w:t>.</w:t>
      </w:r>
      <w:proofErr w:type="gramEnd"/>
      <w:r>
        <w:rPr>
          <w:u w:val="single"/>
        </w:rPr>
        <w:t xml:space="preserve"> </w:t>
      </w:r>
      <w:proofErr w:type="gramStart"/>
      <w:r w:rsidRPr="00A41132">
        <w:rPr>
          <w:u w:val="single"/>
        </w:rPr>
        <w:t>Util</w:t>
      </w:r>
      <w:r>
        <w:rPr>
          <w:u w:val="single"/>
        </w:rPr>
        <w:t xml:space="preserve">. </w:t>
      </w:r>
      <w:r w:rsidRPr="00A41132">
        <w:rPr>
          <w:u w:val="single"/>
        </w:rPr>
        <w:t>Comm</w:t>
      </w:r>
      <w:r>
        <w:rPr>
          <w:u w:val="single"/>
        </w:rPr>
        <w:t>’n</w:t>
      </w:r>
      <w:r w:rsidRPr="00A41132">
        <w:t>, 578 A.2d 600 (</w:t>
      </w:r>
      <w:proofErr w:type="spellStart"/>
      <w:r w:rsidRPr="00A41132">
        <w:t>Pa.Cmwlth</w:t>
      </w:r>
      <w:proofErr w:type="spellEnd"/>
      <w:r w:rsidRPr="00A41132">
        <w:t xml:space="preserve">. 1990), </w:t>
      </w:r>
      <w:r w:rsidRPr="00A41132">
        <w:rPr>
          <w:u w:val="single"/>
        </w:rPr>
        <w:t>alloc.</w:t>
      </w:r>
      <w:proofErr w:type="gramEnd"/>
      <w:r w:rsidRPr="00A41132">
        <w:rPr>
          <w:u w:val="single"/>
        </w:rPr>
        <w:t xml:space="preserve"> </w:t>
      </w:r>
      <w:proofErr w:type="gramStart"/>
      <w:r w:rsidRPr="00A41132">
        <w:rPr>
          <w:u w:val="single"/>
        </w:rPr>
        <w:t>den.</w:t>
      </w:r>
      <w:r w:rsidRPr="00A41132">
        <w:t xml:space="preserve">, 602 A.2d 863 (Pa. 1992); </w:t>
      </w:r>
      <w:r w:rsidRPr="00A41132">
        <w:rPr>
          <w:u w:val="single"/>
        </w:rPr>
        <w:t xml:space="preserve">Se-Ling Hosiery v. </w:t>
      </w:r>
      <w:r w:rsidRPr="00A41132">
        <w:rPr>
          <w:spacing w:val="-3"/>
          <w:u w:val="single"/>
        </w:rPr>
        <w:t>Margulies</w:t>
      </w:r>
      <w:r w:rsidRPr="00A41132">
        <w:t>, 70 A.2d 854 (Pa. 1950).</w:t>
      </w:r>
      <w:proofErr w:type="gramEnd"/>
      <w:r w:rsidRPr="00A41132">
        <w:t xml:space="preserve">  </w:t>
      </w:r>
    </w:p>
  </w:footnote>
  <w:footnote w:id="4">
    <w:p w:rsidR="00126B45" w:rsidRPr="00A41132" w:rsidRDefault="00126B45" w:rsidP="00126B45">
      <w:pPr>
        <w:pStyle w:val="FootnoteText"/>
        <w:ind w:firstLine="720"/>
      </w:pPr>
      <w:r w:rsidRPr="00A41132">
        <w:rPr>
          <w:rStyle w:val="FootnoteReference"/>
        </w:rPr>
        <w:footnoteRef/>
      </w:r>
      <w:r w:rsidRPr="00A41132">
        <w:t xml:space="preserve"> </w:t>
      </w:r>
      <w:r w:rsidRPr="00A41132">
        <w:tab/>
      </w:r>
      <w:proofErr w:type="gramStart"/>
      <w:r w:rsidRPr="00A41132">
        <w:rPr>
          <w:u w:val="single"/>
        </w:rPr>
        <w:t>Mill v. Pa. Pub</w:t>
      </w:r>
      <w:r>
        <w:rPr>
          <w:u w:val="single"/>
        </w:rPr>
        <w:t>.</w:t>
      </w:r>
      <w:proofErr w:type="gramEnd"/>
      <w:r w:rsidRPr="00A41132">
        <w:rPr>
          <w:u w:val="single"/>
        </w:rPr>
        <w:t xml:space="preserve"> </w:t>
      </w:r>
      <w:proofErr w:type="gramStart"/>
      <w:r w:rsidRPr="00A41132">
        <w:rPr>
          <w:u w:val="single"/>
        </w:rPr>
        <w:t>Util</w:t>
      </w:r>
      <w:r>
        <w:rPr>
          <w:u w:val="single"/>
        </w:rPr>
        <w:t xml:space="preserve">. </w:t>
      </w:r>
      <w:r w:rsidRPr="00A41132">
        <w:rPr>
          <w:u w:val="single"/>
        </w:rPr>
        <w:t>Comm</w:t>
      </w:r>
      <w:r>
        <w:rPr>
          <w:u w:val="single"/>
        </w:rPr>
        <w:t>’n</w:t>
      </w:r>
      <w:r w:rsidRPr="00A41132">
        <w:t>, 447 A.2d 1100 (</w:t>
      </w:r>
      <w:proofErr w:type="spellStart"/>
      <w:r w:rsidRPr="00A41132">
        <w:t>Pa.Cmwlth</w:t>
      </w:r>
      <w:proofErr w:type="spellEnd"/>
      <w:r w:rsidRPr="00A41132">
        <w:t xml:space="preserve">. 1982); </w:t>
      </w:r>
      <w:r w:rsidRPr="00A41132">
        <w:rPr>
          <w:u w:val="single"/>
        </w:rPr>
        <w:t>Edan Transportation Corp. v. Pa. Pub</w:t>
      </w:r>
      <w:r>
        <w:rPr>
          <w:u w:val="single"/>
        </w:rPr>
        <w:t>.</w:t>
      </w:r>
      <w:proofErr w:type="gramEnd"/>
      <w:r w:rsidRPr="00A41132">
        <w:rPr>
          <w:u w:val="single"/>
        </w:rPr>
        <w:t xml:space="preserve"> </w:t>
      </w:r>
      <w:proofErr w:type="gramStart"/>
      <w:r w:rsidRPr="00A41132">
        <w:rPr>
          <w:u w:val="single"/>
        </w:rPr>
        <w:t>Util</w:t>
      </w:r>
      <w:r>
        <w:rPr>
          <w:u w:val="single"/>
        </w:rPr>
        <w:t>.</w:t>
      </w:r>
      <w:r w:rsidRPr="00A41132">
        <w:rPr>
          <w:u w:val="single"/>
        </w:rPr>
        <w:t xml:space="preserve"> Comm</w:t>
      </w:r>
      <w:r>
        <w:rPr>
          <w:u w:val="single"/>
        </w:rPr>
        <w:t>’n</w:t>
      </w:r>
      <w:r w:rsidRPr="00A41132">
        <w:t>, 623 A</w:t>
      </w:r>
      <w:r>
        <w:t>.2d 6 (</w:t>
      </w:r>
      <w:proofErr w:type="spellStart"/>
      <w:r>
        <w:t>Pa.Cmwlth</w:t>
      </w:r>
      <w:proofErr w:type="spellEnd"/>
      <w:r>
        <w:t>. 1993); 2 Pa.</w:t>
      </w:r>
      <w:r w:rsidRPr="00A41132">
        <w:t>C.S.A.</w:t>
      </w:r>
      <w:proofErr w:type="gramEnd"/>
      <w:r w:rsidRPr="00A41132">
        <w:t xml:space="preserve"> § 704.  </w:t>
      </w:r>
    </w:p>
  </w:footnote>
  <w:footnote w:id="5">
    <w:p w:rsidR="00126B45" w:rsidRPr="00A41132" w:rsidRDefault="00126B45" w:rsidP="00126B45">
      <w:pPr>
        <w:pStyle w:val="FootnoteText"/>
      </w:pPr>
    </w:p>
    <w:p w:rsidR="00126B45" w:rsidRPr="00A41132" w:rsidRDefault="00126B45" w:rsidP="00126B45">
      <w:pPr>
        <w:ind w:firstLine="720"/>
        <w:rPr>
          <w:sz w:val="20"/>
        </w:rPr>
      </w:pPr>
      <w:r w:rsidRPr="00A41132">
        <w:rPr>
          <w:rStyle w:val="FootnoteReference"/>
          <w:sz w:val="20"/>
        </w:rPr>
        <w:footnoteRef/>
      </w:r>
      <w:r w:rsidRPr="00A41132">
        <w:rPr>
          <w:sz w:val="20"/>
        </w:rPr>
        <w:t xml:space="preserve"> </w:t>
      </w:r>
      <w:r w:rsidRPr="00A41132">
        <w:rPr>
          <w:sz w:val="20"/>
        </w:rPr>
        <w:tab/>
      </w:r>
      <w:proofErr w:type="gramStart"/>
      <w:r w:rsidRPr="00A41132">
        <w:rPr>
          <w:sz w:val="20"/>
          <w:u w:val="single"/>
        </w:rPr>
        <w:t>Norfolk and Western Ry. v. Pa. Pub</w:t>
      </w:r>
      <w:r>
        <w:rPr>
          <w:sz w:val="20"/>
          <w:u w:val="single"/>
        </w:rPr>
        <w:t>.</w:t>
      </w:r>
      <w:proofErr w:type="gramEnd"/>
      <w:r w:rsidR="00D925D7">
        <w:rPr>
          <w:sz w:val="20"/>
          <w:u w:val="single"/>
        </w:rPr>
        <w:t xml:space="preserve"> </w:t>
      </w:r>
      <w:proofErr w:type="gramStart"/>
      <w:r w:rsidRPr="00A41132">
        <w:rPr>
          <w:sz w:val="20"/>
          <w:u w:val="single"/>
        </w:rPr>
        <w:t>Util</w:t>
      </w:r>
      <w:r>
        <w:rPr>
          <w:sz w:val="20"/>
          <w:u w:val="single"/>
        </w:rPr>
        <w:t xml:space="preserve">. </w:t>
      </w:r>
      <w:r w:rsidRPr="00A41132">
        <w:rPr>
          <w:sz w:val="20"/>
          <w:u w:val="single"/>
        </w:rPr>
        <w:t>Comm</w:t>
      </w:r>
      <w:r>
        <w:rPr>
          <w:sz w:val="20"/>
          <w:u w:val="single"/>
        </w:rPr>
        <w:t>’n</w:t>
      </w:r>
      <w:r w:rsidRPr="00A41132">
        <w:rPr>
          <w:sz w:val="20"/>
        </w:rPr>
        <w:t xml:space="preserve">, 413 A.2d 1037 (Pa. 1980); </w:t>
      </w:r>
      <w:r w:rsidRPr="00A41132">
        <w:rPr>
          <w:sz w:val="20"/>
          <w:u w:val="single"/>
        </w:rPr>
        <w:t>Erie Resistor Corp.</w:t>
      </w:r>
      <w:r>
        <w:rPr>
          <w:sz w:val="20"/>
          <w:u w:val="single"/>
        </w:rPr>
        <w:t> </w:t>
      </w:r>
      <w:r w:rsidRPr="00A41132">
        <w:rPr>
          <w:sz w:val="20"/>
          <w:u w:val="single"/>
        </w:rPr>
        <w:t>v. Unemployment Compensation Bd. of Review</w:t>
      </w:r>
      <w:r w:rsidRPr="00A41132">
        <w:rPr>
          <w:sz w:val="20"/>
        </w:rPr>
        <w:t xml:space="preserve">, 166 A.2d 96 (Pa. Super. 1960); </w:t>
      </w:r>
      <w:r w:rsidRPr="00A41132">
        <w:rPr>
          <w:sz w:val="20"/>
          <w:u w:val="single"/>
        </w:rPr>
        <w:t>Murphy v. Dep’t.</w:t>
      </w:r>
      <w:proofErr w:type="gramEnd"/>
      <w:r w:rsidRPr="00A41132">
        <w:rPr>
          <w:sz w:val="20"/>
          <w:u w:val="single"/>
        </w:rPr>
        <w:t xml:space="preserve"> </w:t>
      </w:r>
      <w:proofErr w:type="gramStart"/>
      <w:r w:rsidRPr="00A41132">
        <w:rPr>
          <w:sz w:val="20"/>
          <w:u w:val="single"/>
        </w:rPr>
        <w:t>of</w:t>
      </w:r>
      <w:proofErr w:type="gramEnd"/>
      <w:r w:rsidRPr="00A41132">
        <w:rPr>
          <w:sz w:val="20"/>
          <w:u w:val="single"/>
        </w:rPr>
        <w:t xml:space="preserve"> Public Welfare, White Haven Center</w:t>
      </w:r>
      <w:r w:rsidRPr="00A41132">
        <w:rPr>
          <w:sz w:val="20"/>
        </w:rPr>
        <w:t>, 480 A.2d 382 (</w:t>
      </w:r>
      <w:proofErr w:type="spellStart"/>
      <w:r w:rsidRPr="00A41132">
        <w:rPr>
          <w:sz w:val="20"/>
        </w:rPr>
        <w:t>Pa.Cmwlth</w:t>
      </w:r>
      <w:proofErr w:type="spellEnd"/>
      <w:r w:rsidRPr="00A41132">
        <w:rPr>
          <w:sz w:val="20"/>
        </w:rPr>
        <w:t>. 1984).</w:t>
      </w:r>
    </w:p>
    <w:p w:rsidR="00126B45" w:rsidRPr="00A41132" w:rsidRDefault="00126B45" w:rsidP="00126B45">
      <w:pPr>
        <w:pStyle w:val="FootnoteText"/>
        <w:ind w:firstLine="720"/>
      </w:pPr>
    </w:p>
  </w:footnote>
  <w:footnote w:id="6">
    <w:p w:rsidR="00A6043D" w:rsidRDefault="00A6043D" w:rsidP="00A6043D">
      <w:pPr>
        <w:pStyle w:val="FootnoteText"/>
        <w:ind w:firstLine="720"/>
      </w:pPr>
      <w:r>
        <w:rPr>
          <w:rStyle w:val="FootnoteReference"/>
        </w:rPr>
        <w:footnoteRef/>
      </w:r>
      <w:r w:rsidR="00C058F6">
        <w:tab/>
      </w:r>
      <w:r w:rsidRPr="00A6043D">
        <w:t xml:space="preserve">See </w:t>
      </w:r>
      <w:proofErr w:type="spellStart"/>
      <w:r w:rsidRPr="00A6043D">
        <w:rPr>
          <w:u w:val="single"/>
        </w:rPr>
        <w:t>DeFranscesco</w:t>
      </w:r>
      <w:proofErr w:type="spellEnd"/>
      <w:r w:rsidRPr="00A6043D">
        <w:rPr>
          <w:u w:val="single"/>
        </w:rPr>
        <w:t xml:space="preserve"> v. West Penn Power Company</w:t>
      </w:r>
      <w:r w:rsidRPr="00A6043D">
        <w:t>, 329 Pa. Superior Ct. 508, 478 A.2d 1295 (1984).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24579C3"/>
    <w:multiLevelType w:val="hybridMultilevel"/>
    <w:tmpl w:val="E7D8CD02"/>
    <w:lvl w:ilvl="0" w:tplc="78AE25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3"/>
  </w:num>
  <w:num w:numId="4">
    <w:abstractNumId w:val="6"/>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0E5F"/>
    <w:rsid w:val="00002933"/>
    <w:rsid w:val="00004CAB"/>
    <w:rsid w:val="00010C1B"/>
    <w:rsid w:val="00014CD9"/>
    <w:rsid w:val="00015B93"/>
    <w:rsid w:val="00015E77"/>
    <w:rsid w:val="000218E1"/>
    <w:rsid w:val="0002562B"/>
    <w:rsid w:val="0002677E"/>
    <w:rsid w:val="00027DAB"/>
    <w:rsid w:val="00030A0C"/>
    <w:rsid w:val="00032447"/>
    <w:rsid w:val="0003254A"/>
    <w:rsid w:val="0003345F"/>
    <w:rsid w:val="00034688"/>
    <w:rsid w:val="00034D3C"/>
    <w:rsid w:val="0003750C"/>
    <w:rsid w:val="00042684"/>
    <w:rsid w:val="00051FFD"/>
    <w:rsid w:val="000539E5"/>
    <w:rsid w:val="00055267"/>
    <w:rsid w:val="00060974"/>
    <w:rsid w:val="00065B67"/>
    <w:rsid w:val="00066099"/>
    <w:rsid w:val="00067DC6"/>
    <w:rsid w:val="00081933"/>
    <w:rsid w:val="0008418F"/>
    <w:rsid w:val="000841E3"/>
    <w:rsid w:val="00091995"/>
    <w:rsid w:val="000919E3"/>
    <w:rsid w:val="000920B0"/>
    <w:rsid w:val="000943A5"/>
    <w:rsid w:val="00094EC4"/>
    <w:rsid w:val="00095A48"/>
    <w:rsid w:val="000A7A4C"/>
    <w:rsid w:val="000A7A7E"/>
    <w:rsid w:val="000A7DE2"/>
    <w:rsid w:val="000B0443"/>
    <w:rsid w:val="000B1450"/>
    <w:rsid w:val="000B1A11"/>
    <w:rsid w:val="000B4044"/>
    <w:rsid w:val="000B575F"/>
    <w:rsid w:val="000B7C98"/>
    <w:rsid w:val="000C0380"/>
    <w:rsid w:val="000C22D0"/>
    <w:rsid w:val="000C39FB"/>
    <w:rsid w:val="000C639E"/>
    <w:rsid w:val="000C6633"/>
    <w:rsid w:val="000C736C"/>
    <w:rsid w:val="000D4E83"/>
    <w:rsid w:val="000D6424"/>
    <w:rsid w:val="000D6CFC"/>
    <w:rsid w:val="000D7D68"/>
    <w:rsid w:val="000E0DDA"/>
    <w:rsid w:val="000E33AA"/>
    <w:rsid w:val="000E4C15"/>
    <w:rsid w:val="000E4D29"/>
    <w:rsid w:val="000F0F3C"/>
    <w:rsid w:val="000F45A3"/>
    <w:rsid w:val="000F4D6B"/>
    <w:rsid w:val="0010040A"/>
    <w:rsid w:val="00101AB8"/>
    <w:rsid w:val="00103B9D"/>
    <w:rsid w:val="0010437D"/>
    <w:rsid w:val="00106746"/>
    <w:rsid w:val="001130C8"/>
    <w:rsid w:val="001140BC"/>
    <w:rsid w:val="001161AA"/>
    <w:rsid w:val="00116D0F"/>
    <w:rsid w:val="00116E78"/>
    <w:rsid w:val="0011788E"/>
    <w:rsid w:val="0012001F"/>
    <w:rsid w:val="0012141F"/>
    <w:rsid w:val="00121AE5"/>
    <w:rsid w:val="0012478B"/>
    <w:rsid w:val="00125CCD"/>
    <w:rsid w:val="00126B45"/>
    <w:rsid w:val="00130E27"/>
    <w:rsid w:val="001339E0"/>
    <w:rsid w:val="00133A47"/>
    <w:rsid w:val="00133B41"/>
    <w:rsid w:val="001354D6"/>
    <w:rsid w:val="00137307"/>
    <w:rsid w:val="001375AA"/>
    <w:rsid w:val="001406D8"/>
    <w:rsid w:val="00142A80"/>
    <w:rsid w:val="00143FA7"/>
    <w:rsid w:val="00144748"/>
    <w:rsid w:val="00144BDA"/>
    <w:rsid w:val="00145EBF"/>
    <w:rsid w:val="001509CF"/>
    <w:rsid w:val="001513EC"/>
    <w:rsid w:val="00152853"/>
    <w:rsid w:val="00153C2A"/>
    <w:rsid w:val="00153E19"/>
    <w:rsid w:val="00156938"/>
    <w:rsid w:val="00156A90"/>
    <w:rsid w:val="0016133D"/>
    <w:rsid w:val="00165400"/>
    <w:rsid w:val="001659AA"/>
    <w:rsid w:val="00165B98"/>
    <w:rsid w:val="00166F22"/>
    <w:rsid w:val="00167534"/>
    <w:rsid w:val="0017741E"/>
    <w:rsid w:val="00182EDA"/>
    <w:rsid w:val="0018379D"/>
    <w:rsid w:val="00183AE1"/>
    <w:rsid w:val="00185EF9"/>
    <w:rsid w:val="00190788"/>
    <w:rsid w:val="00195561"/>
    <w:rsid w:val="00196E40"/>
    <w:rsid w:val="001B283D"/>
    <w:rsid w:val="001B3B0D"/>
    <w:rsid w:val="001B436F"/>
    <w:rsid w:val="001B5AF2"/>
    <w:rsid w:val="001C0836"/>
    <w:rsid w:val="001C3008"/>
    <w:rsid w:val="001C5F76"/>
    <w:rsid w:val="001D1195"/>
    <w:rsid w:val="001D1DC6"/>
    <w:rsid w:val="001D5E87"/>
    <w:rsid w:val="001D67F3"/>
    <w:rsid w:val="001D6F49"/>
    <w:rsid w:val="001D7070"/>
    <w:rsid w:val="001D78CA"/>
    <w:rsid w:val="001D79FF"/>
    <w:rsid w:val="001E2C24"/>
    <w:rsid w:val="001E2CD6"/>
    <w:rsid w:val="001F030C"/>
    <w:rsid w:val="001F2B65"/>
    <w:rsid w:val="001F758E"/>
    <w:rsid w:val="00200D48"/>
    <w:rsid w:val="00200ED0"/>
    <w:rsid w:val="0020146E"/>
    <w:rsid w:val="00203C61"/>
    <w:rsid w:val="00206B04"/>
    <w:rsid w:val="002075E6"/>
    <w:rsid w:val="00210334"/>
    <w:rsid w:val="00210460"/>
    <w:rsid w:val="002132C0"/>
    <w:rsid w:val="00214A19"/>
    <w:rsid w:val="002154B5"/>
    <w:rsid w:val="002165A2"/>
    <w:rsid w:val="00216A05"/>
    <w:rsid w:val="00230C81"/>
    <w:rsid w:val="0023169E"/>
    <w:rsid w:val="00234C5A"/>
    <w:rsid w:val="00237756"/>
    <w:rsid w:val="002432E9"/>
    <w:rsid w:val="00244AD1"/>
    <w:rsid w:val="002520A5"/>
    <w:rsid w:val="00254BFC"/>
    <w:rsid w:val="00254FD1"/>
    <w:rsid w:val="0025557F"/>
    <w:rsid w:val="00263EFE"/>
    <w:rsid w:val="00264C6D"/>
    <w:rsid w:val="00265108"/>
    <w:rsid w:val="0026526F"/>
    <w:rsid w:val="002659FC"/>
    <w:rsid w:val="00271E72"/>
    <w:rsid w:val="00271FF1"/>
    <w:rsid w:val="00274E57"/>
    <w:rsid w:val="002755B5"/>
    <w:rsid w:val="00280380"/>
    <w:rsid w:val="00280AF0"/>
    <w:rsid w:val="0028164C"/>
    <w:rsid w:val="00283A3F"/>
    <w:rsid w:val="00284FA9"/>
    <w:rsid w:val="00286074"/>
    <w:rsid w:val="002867AD"/>
    <w:rsid w:val="002904BB"/>
    <w:rsid w:val="00291917"/>
    <w:rsid w:val="00293E92"/>
    <w:rsid w:val="00295403"/>
    <w:rsid w:val="002A625C"/>
    <w:rsid w:val="002A78AC"/>
    <w:rsid w:val="002B433A"/>
    <w:rsid w:val="002B4996"/>
    <w:rsid w:val="002B4DFA"/>
    <w:rsid w:val="002C703F"/>
    <w:rsid w:val="002C7AB0"/>
    <w:rsid w:val="002D04F8"/>
    <w:rsid w:val="002D29E7"/>
    <w:rsid w:val="002E2B6E"/>
    <w:rsid w:val="002E597B"/>
    <w:rsid w:val="002E5A74"/>
    <w:rsid w:val="002E6B15"/>
    <w:rsid w:val="002F15F6"/>
    <w:rsid w:val="002F1743"/>
    <w:rsid w:val="002F2109"/>
    <w:rsid w:val="002F36B3"/>
    <w:rsid w:val="002F4F6F"/>
    <w:rsid w:val="002F6CA8"/>
    <w:rsid w:val="002F6DFB"/>
    <w:rsid w:val="002F73D8"/>
    <w:rsid w:val="002F7ADF"/>
    <w:rsid w:val="00302C62"/>
    <w:rsid w:val="00302D41"/>
    <w:rsid w:val="00307FF8"/>
    <w:rsid w:val="00311588"/>
    <w:rsid w:val="003121E7"/>
    <w:rsid w:val="00324C80"/>
    <w:rsid w:val="00324D48"/>
    <w:rsid w:val="00326059"/>
    <w:rsid w:val="00330B01"/>
    <w:rsid w:val="0033183D"/>
    <w:rsid w:val="00334639"/>
    <w:rsid w:val="00334D84"/>
    <w:rsid w:val="0034231B"/>
    <w:rsid w:val="00342B49"/>
    <w:rsid w:val="0034410D"/>
    <w:rsid w:val="0034692A"/>
    <w:rsid w:val="00352F5A"/>
    <w:rsid w:val="003540A7"/>
    <w:rsid w:val="0035629D"/>
    <w:rsid w:val="003603C7"/>
    <w:rsid w:val="00360442"/>
    <w:rsid w:val="00360EB9"/>
    <w:rsid w:val="00361EAC"/>
    <w:rsid w:val="003649AC"/>
    <w:rsid w:val="00365F7C"/>
    <w:rsid w:val="00370128"/>
    <w:rsid w:val="0037050A"/>
    <w:rsid w:val="00373245"/>
    <w:rsid w:val="00373E26"/>
    <w:rsid w:val="00373ECC"/>
    <w:rsid w:val="0037694C"/>
    <w:rsid w:val="00380F4B"/>
    <w:rsid w:val="00383822"/>
    <w:rsid w:val="00386C1C"/>
    <w:rsid w:val="00387E50"/>
    <w:rsid w:val="003908EE"/>
    <w:rsid w:val="00391096"/>
    <w:rsid w:val="00392A9B"/>
    <w:rsid w:val="003937E3"/>
    <w:rsid w:val="00394A82"/>
    <w:rsid w:val="00396353"/>
    <w:rsid w:val="00396518"/>
    <w:rsid w:val="003B045F"/>
    <w:rsid w:val="003B3294"/>
    <w:rsid w:val="003B3FB0"/>
    <w:rsid w:val="003B4F65"/>
    <w:rsid w:val="003B7783"/>
    <w:rsid w:val="003C1053"/>
    <w:rsid w:val="003C13E7"/>
    <w:rsid w:val="003C1F6E"/>
    <w:rsid w:val="003C2777"/>
    <w:rsid w:val="003C417D"/>
    <w:rsid w:val="003C4E1D"/>
    <w:rsid w:val="003C7776"/>
    <w:rsid w:val="003D0DEF"/>
    <w:rsid w:val="003D374F"/>
    <w:rsid w:val="003D500A"/>
    <w:rsid w:val="003D5173"/>
    <w:rsid w:val="003D67D8"/>
    <w:rsid w:val="003E136A"/>
    <w:rsid w:val="003E1EE5"/>
    <w:rsid w:val="003E2BB0"/>
    <w:rsid w:val="003E2D32"/>
    <w:rsid w:val="003E5E0F"/>
    <w:rsid w:val="003E60E7"/>
    <w:rsid w:val="003F17A1"/>
    <w:rsid w:val="003F1BC1"/>
    <w:rsid w:val="003F56DB"/>
    <w:rsid w:val="003F64C7"/>
    <w:rsid w:val="003F6E27"/>
    <w:rsid w:val="0040104B"/>
    <w:rsid w:val="0040125C"/>
    <w:rsid w:val="004035B1"/>
    <w:rsid w:val="00411416"/>
    <w:rsid w:val="0041637D"/>
    <w:rsid w:val="00421585"/>
    <w:rsid w:val="004219BD"/>
    <w:rsid w:val="00422705"/>
    <w:rsid w:val="00424E72"/>
    <w:rsid w:val="00430437"/>
    <w:rsid w:val="00431883"/>
    <w:rsid w:val="004322BD"/>
    <w:rsid w:val="00440B6B"/>
    <w:rsid w:val="00440E23"/>
    <w:rsid w:val="004455C4"/>
    <w:rsid w:val="00446EE8"/>
    <w:rsid w:val="004564BF"/>
    <w:rsid w:val="00462770"/>
    <w:rsid w:val="0046290B"/>
    <w:rsid w:val="004635FD"/>
    <w:rsid w:val="00465878"/>
    <w:rsid w:val="0046652F"/>
    <w:rsid w:val="00470AFC"/>
    <w:rsid w:val="00472A21"/>
    <w:rsid w:val="00474C53"/>
    <w:rsid w:val="00475980"/>
    <w:rsid w:val="0047665F"/>
    <w:rsid w:val="00477B44"/>
    <w:rsid w:val="004819B5"/>
    <w:rsid w:val="00483A4C"/>
    <w:rsid w:val="004859D0"/>
    <w:rsid w:val="00487AE0"/>
    <w:rsid w:val="00493BBB"/>
    <w:rsid w:val="004970DA"/>
    <w:rsid w:val="004A0254"/>
    <w:rsid w:val="004A209D"/>
    <w:rsid w:val="004A26B6"/>
    <w:rsid w:val="004A47A6"/>
    <w:rsid w:val="004A6673"/>
    <w:rsid w:val="004A7777"/>
    <w:rsid w:val="004B34C6"/>
    <w:rsid w:val="004B3D7A"/>
    <w:rsid w:val="004B422F"/>
    <w:rsid w:val="004B4B53"/>
    <w:rsid w:val="004B6A2B"/>
    <w:rsid w:val="004B7FA4"/>
    <w:rsid w:val="004C32C0"/>
    <w:rsid w:val="004C5FA9"/>
    <w:rsid w:val="004C6202"/>
    <w:rsid w:val="004D0CBE"/>
    <w:rsid w:val="004D2634"/>
    <w:rsid w:val="004D3826"/>
    <w:rsid w:val="004D3A14"/>
    <w:rsid w:val="004D454A"/>
    <w:rsid w:val="004D477D"/>
    <w:rsid w:val="004D75D5"/>
    <w:rsid w:val="004E01BD"/>
    <w:rsid w:val="004E0A83"/>
    <w:rsid w:val="004E3B20"/>
    <w:rsid w:val="004E4203"/>
    <w:rsid w:val="004E4252"/>
    <w:rsid w:val="004E605F"/>
    <w:rsid w:val="004E6F44"/>
    <w:rsid w:val="004E7B43"/>
    <w:rsid w:val="0050181E"/>
    <w:rsid w:val="00502902"/>
    <w:rsid w:val="0050497A"/>
    <w:rsid w:val="00504A1A"/>
    <w:rsid w:val="00507ECF"/>
    <w:rsid w:val="005102C0"/>
    <w:rsid w:val="00515DD0"/>
    <w:rsid w:val="00517217"/>
    <w:rsid w:val="00522985"/>
    <w:rsid w:val="00522E64"/>
    <w:rsid w:val="00525A4E"/>
    <w:rsid w:val="00531E4E"/>
    <w:rsid w:val="00537506"/>
    <w:rsid w:val="005375AF"/>
    <w:rsid w:val="0053772F"/>
    <w:rsid w:val="00540E3A"/>
    <w:rsid w:val="00543B7C"/>
    <w:rsid w:val="00543F98"/>
    <w:rsid w:val="005447FE"/>
    <w:rsid w:val="00544F7E"/>
    <w:rsid w:val="00545043"/>
    <w:rsid w:val="005451B0"/>
    <w:rsid w:val="005461EE"/>
    <w:rsid w:val="00547948"/>
    <w:rsid w:val="00550F87"/>
    <w:rsid w:val="00552C73"/>
    <w:rsid w:val="005534CB"/>
    <w:rsid w:val="00553E91"/>
    <w:rsid w:val="00557326"/>
    <w:rsid w:val="00560A07"/>
    <w:rsid w:val="00563142"/>
    <w:rsid w:val="00563254"/>
    <w:rsid w:val="005637DF"/>
    <w:rsid w:val="00563FC3"/>
    <w:rsid w:val="005647C7"/>
    <w:rsid w:val="005763CB"/>
    <w:rsid w:val="00577567"/>
    <w:rsid w:val="00580981"/>
    <w:rsid w:val="00580B6B"/>
    <w:rsid w:val="00580D5E"/>
    <w:rsid w:val="0058201B"/>
    <w:rsid w:val="005900D4"/>
    <w:rsid w:val="0059029B"/>
    <w:rsid w:val="00592DDB"/>
    <w:rsid w:val="005944A4"/>
    <w:rsid w:val="00595806"/>
    <w:rsid w:val="00596262"/>
    <w:rsid w:val="0059631D"/>
    <w:rsid w:val="005A3E08"/>
    <w:rsid w:val="005A77D0"/>
    <w:rsid w:val="005B32E5"/>
    <w:rsid w:val="005B64BD"/>
    <w:rsid w:val="005C050D"/>
    <w:rsid w:val="005C6D4A"/>
    <w:rsid w:val="005D03F4"/>
    <w:rsid w:val="005D4345"/>
    <w:rsid w:val="005E1CC5"/>
    <w:rsid w:val="005E2935"/>
    <w:rsid w:val="005E636D"/>
    <w:rsid w:val="005E6DB5"/>
    <w:rsid w:val="005F4120"/>
    <w:rsid w:val="005F5542"/>
    <w:rsid w:val="00600AE4"/>
    <w:rsid w:val="00600EE9"/>
    <w:rsid w:val="0060359F"/>
    <w:rsid w:val="00607B04"/>
    <w:rsid w:val="00613AE9"/>
    <w:rsid w:val="00616E73"/>
    <w:rsid w:val="00616FE9"/>
    <w:rsid w:val="00617C29"/>
    <w:rsid w:val="006220FF"/>
    <w:rsid w:val="006228C5"/>
    <w:rsid w:val="00623177"/>
    <w:rsid w:val="0062778F"/>
    <w:rsid w:val="00632562"/>
    <w:rsid w:val="00633976"/>
    <w:rsid w:val="00633E89"/>
    <w:rsid w:val="0063487E"/>
    <w:rsid w:val="006354D3"/>
    <w:rsid w:val="00636459"/>
    <w:rsid w:val="00641052"/>
    <w:rsid w:val="00644349"/>
    <w:rsid w:val="00645FE8"/>
    <w:rsid w:val="0065019D"/>
    <w:rsid w:val="006515DB"/>
    <w:rsid w:val="00651AB0"/>
    <w:rsid w:val="0065346D"/>
    <w:rsid w:val="00653FDE"/>
    <w:rsid w:val="006552C8"/>
    <w:rsid w:val="00655B18"/>
    <w:rsid w:val="0066212D"/>
    <w:rsid w:val="00664032"/>
    <w:rsid w:val="006663CA"/>
    <w:rsid w:val="0066791C"/>
    <w:rsid w:val="0066793C"/>
    <w:rsid w:val="00674B93"/>
    <w:rsid w:val="00675E39"/>
    <w:rsid w:val="006771E3"/>
    <w:rsid w:val="006772A2"/>
    <w:rsid w:val="00680930"/>
    <w:rsid w:val="00682B76"/>
    <w:rsid w:val="006869B5"/>
    <w:rsid w:val="00687C7C"/>
    <w:rsid w:val="00691FDA"/>
    <w:rsid w:val="00692E3E"/>
    <w:rsid w:val="00694153"/>
    <w:rsid w:val="0069460C"/>
    <w:rsid w:val="006954BC"/>
    <w:rsid w:val="006A005D"/>
    <w:rsid w:val="006A0714"/>
    <w:rsid w:val="006A311B"/>
    <w:rsid w:val="006A7864"/>
    <w:rsid w:val="006B0612"/>
    <w:rsid w:val="006B2DFE"/>
    <w:rsid w:val="006B3D52"/>
    <w:rsid w:val="006B50E8"/>
    <w:rsid w:val="006B629F"/>
    <w:rsid w:val="006B7DE7"/>
    <w:rsid w:val="006C13BF"/>
    <w:rsid w:val="006C63C2"/>
    <w:rsid w:val="006C773F"/>
    <w:rsid w:val="006C7D49"/>
    <w:rsid w:val="006D2CFC"/>
    <w:rsid w:val="006D2E25"/>
    <w:rsid w:val="006D2F3E"/>
    <w:rsid w:val="006D3697"/>
    <w:rsid w:val="006D384B"/>
    <w:rsid w:val="006D38B1"/>
    <w:rsid w:val="006D68C8"/>
    <w:rsid w:val="006E0E78"/>
    <w:rsid w:val="006E12A1"/>
    <w:rsid w:val="006E175B"/>
    <w:rsid w:val="006E59A8"/>
    <w:rsid w:val="006F0249"/>
    <w:rsid w:val="006F10EA"/>
    <w:rsid w:val="006F2B77"/>
    <w:rsid w:val="006F324E"/>
    <w:rsid w:val="006F5FE7"/>
    <w:rsid w:val="006F60DA"/>
    <w:rsid w:val="006F6520"/>
    <w:rsid w:val="006F7393"/>
    <w:rsid w:val="007004B3"/>
    <w:rsid w:val="00700704"/>
    <w:rsid w:val="00700E85"/>
    <w:rsid w:val="00701501"/>
    <w:rsid w:val="00710B17"/>
    <w:rsid w:val="00710CE3"/>
    <w:rsid w:val="0071171E"/>
    <w:rsid w:val="007121EF"/>
    <w:rsid w:val="0071586C"/>
    <w:rsid w:val="0071656A"/>
    <w:rsid w:val="007172D2"/>
    <w:rsid w:val="00720A51"/>
    <w:rsid w:val="00720C39"/>
    <w:rsid w:val="007272A7"/>
    <w:rsid w:val="00732CDD"/>
    <w:rsid w:val="00735DAB"/>
    <w:rsid w:val="00736DBA"/>
    <w:rsid w:val="00740BC6"/>
    <w:rsid w:val="007454F2"/>
    <w:rsid w:val="007516D0"/>
    <w:rsid w:val="00751CE0"/>
    <w:rsid w:val="007535C9"/>
    <w:rsid w:val="00753A3F"/>
    <w:rsid w:val="0075421A"/>
    <w:rsid w:val="00754FD3"/>
    <w:rsid w:val="00757A01"/>
    <w:rsid w:val="00762CDE"/>
    <w:rsid w:val="00766B36"/>
    <w:rsid w:val="0077246E"/>
    <w:rsid w:val="00772949"/>
    <w:rsid w:val="00772CFC"/>
    <w:rsid w:val="00776CD8"/>
    <w:rsid w:val="0078110D"/>
    <w:rsid w:val="00781A81"/>
    <w:rsid w:val="00783095"/>
    <w:rsid w:val="00785AF3"/>
    <w:rsid w:val="00787193"/>
    <w:rsid w:val="007923F1"/>
    <w:rsid w:val="0079328F"/>
    <w:rsid w:val="007939B6"/>
    <w:rsid w:val="00794EFF"/>
    <w:rsid w:val="00794F1B"/>
    <w:rsid w:val="007976FF"/>
    <w:rsid w:val="007A32D3"/>
    <w:rsid w:val="007A40D1"/>
    <w:rsid w:val="007A5552"/>
    <w:rsid w:val="007A5EEF"/>
    <w:rsid w:val="007B6775"/>
    <w:rsid w:val="007C06FD"/>
    <w:rsid w:val="007C404E"/>
    <w:rsid w:val="007D2958"/>
    <w:rsid w:val="007D2DA0"/>
    <w:rsid w:val="007D79D2"/>
    <w:rsid w:val="007E48E1"/>
    <w:rsid w:val="007E7B4E"/>
    <w:rsid w:val="007F02A4"/>
    <w:rsid w:val="007F479E"/>
    <w:rsid w:val="0080315B"/>
    <w:rsid w:val="00806E0D"/>
    <w:rsid w:val="00823FCA"/>
    <w:rsid w:val="00824890"/>
    <w:rsid w:val="008251D8"/>
    <w:rsid w:val="00836D5A"/>
    <w:rsid w:val="00836E65"/>
    <w:rsid w:val="008418E5"/>
    <w:rsid w:val="008418FC"/>
    <w:rsid w:val="0084410C"/>
    <w:rsid w:val="00851E2B"/>
    <w:rsid w:val="0085780E"/>
    <w:rsid w:val="008618BE"/>
    <w:rsid w:val="00861DA4"/>
    <w:rsid w:val="00861DF9"/>
    <w:rsid w:val="00862D6B"/>
    <w:rsid w:val="0086399B"/>
    <w:rsid w:val="00863BD5"/>
    <w:rsid w:val="00863CD4"/>
    <w:rsid w:val="00864EB7"/>
    <w:rsid w:val="0086657E"/>
    <w:rsid w:val="00867F55"/>
    <w:rsid w:val="008733E6"/>
    <w:rsid w:val="00873D8A"/>
    <w:rsid w:val="00874177"/>
    <w:rsid w:val="00874953"/>
    <w:rsid w:val="008855EF"/>
    <w:rsid w:val="00890D5E"/>
    <w:rsid w:val="00891035"/>
    <w:rsid w:val="008927B5"/>
    <w:rsid w:val="00892EA3"/>
    <w:rsid w:val="00894816"/>
    <w:rsid w:val="008A28F8"/>
    <w:rsid w:val="008A63E2"/>
    <w:rsid w:val="008B3879"/>
    <w:rsid w:val="008B445B"/>
    <w:rsid w:val="008B455C"/>
    <w:rsid w:val="008B6587"/>
    <w:rsid w:val="008B6F28"/>
    <w:rsid w:val="008C17E6"/>
    <w:rsid w:val="008C36F2"/>
    <w:rsid w:val="008C666D"/>
    <w:rsid w:val="008C7936"/>
    <w:rsid w:val="008D0326"/>
    <w:rsid w:val="008D0D31"/>
    <w:rsid w:val="008D6CA9"/>
    <w:rsid w:val="008D6E2C"/>
    <w:rsid w:val="008D7DC6"/>
    <w:rsid w:val="008E09C6"/>
    <w:rsid w:val="008E0B49"/>
    <w:rsid w:val="008E0E89"/>
    <w:rsid w:val="008E10FA"/>
    <w:rsid w:val="008E450B"/>
    <w:rsid w:val="008E4FD6"/>
    <w:rsid w:val="008E5C99"/>
    <w:rsid w:val="008F4EF2"/>
    <w:rsid w:val="008F7C99"/>
    <w:rsid w:val="009001C9"/>
    <w:rsid w:val="00906D50"/>
    <w:rsid w:val="00906FD4"/>
    <w:rsid w:val="009101FF"/>
    <w:rsid w:val="00910A53"/>
    <w:rsid w:val="00917283"/>
    <w:rsid w:val="0092068A"/>
    <w:rsid w:val="00921285"/>
    <w:rsid w:val="009252B2"/>
    <w:rsid w:val="009310EE"/>
    <w:rsid w:val="0093152B"/>
    <w:rsid w:val="00933485"/>
    <w:rsid w:val="0094142D"/>
    <w:rsid w:val="009427BE"/>
    <w:rsid w:val="00943CC8"/>
    <w:rsid w:val="00943E53"/>
    <w:rsid w:val="009445CA"/>
    <w:rsid w:val="00944A1C"/>
    <w:rsid w:val="00952FEB"/>
    <w:rsid w:val="00957F48"/>
    <w:rsid w:val="00960580"/>
    <w:rsid w:val="00962EE7"/>
    <w:rsid w:val="009663E5"/>
    <w:rsid w:val="00966C36"/>
    <w:rsid w:val="00970027"/>
    <w:rsid w:val="009760CB"/>
    <w:rsid w:val="009901A1"/>
    <w:rsid w:val="009A3FA2"/>
    <w:rsid w:val="009A4572"/>
    <w:rsid w:val="009A5AF8"/>
    <w:rsid w:val="009A6585"/>
    <w:rsid w:val="009A6CC7"/>
    <w:rsid w:val="009B446B"/>
    <w:rsid w:val="009C05E9"/>
    <w:rsid w:val="009C27D2"/>
    <w:rsid w:val="009C3132"/>
    <w:rsid w:val="009C4526"/>
    <w:rsid w:val="009C5EB5"/>
    <w:rsid w:val="009D0A13"/>
    <w:rsid w:val="009D227B"/>
    <w:rsid w:val="009D2B67"/>
    <w:rsid w:val="009D47A5"/>
    <w:rsid w:val="009D69B6"/>
    <w:rsid w:val="009E17C2"/>
    <w:rsid w:val="009E5767"/>
    <w:rsid w:val="009E6876"/>
    <w:rsid w:val="009F38D7"/>
    <w:rsid w:val="009F579E"/>
    <w:rsid w:val="009F6130"/>
    <w:rsid w:val="00A00793"/>
    <w:rsid w:val="00A02454"/>
    <w:rsid w:val="00A04076"/>
    <w:rsid w:val="00A10010"/>
    <w:rsid w:val="00A10E1F"/>
    <w:rsid w:val="00A114B1"/>
    <w:rsid w:val="00A128E0"/>
    <w:rsid w:val="00A15866"/>
    <w:rsid w:val="00A16D50"/>
    <w:rsid w:val="00A23CCA"/>
    <w:rsid w:val="00A248FB"/>
    <w:rsid w:val="00A2609D"/>
    <w:rsid w:val="00A2772F"/>
    <w:rsid w:val="00A334E4"/>
    <w:rsid w:val="00A33661"/>
    <w:rsid w:val="00A33DF5"/>
    <w:rsid w:val="00A40462"/>
    <w:rsid w:val="00A4355E"/>
    <w:rsid w:val="00A469B4"/>
    <w:rsid w:val="00A46AA1"/>
    <w:rsid w:val="00A511AD"/>
    <w:rsid w:val="00A52673"/>
    <w:rsid w:val="00A55F7C"/>
    <w:rsid w:val="00A6043D"/>
    <w:rsid w:val="00A61835"/>
    <w:rsid w:val="00A64AC5"/>
    <w:rsid w:val="00A65139"/>
    <w:rsid w:val="00A705C1"/>
    <w:rsid w:val="00A70C75"/>
    <w:rsid w:val="00A712D2"/>
    <w:rsid w:val="00A733A2"/>
    <w:rsid w:val="00A7499F"/>
    <w:rsid w:val="00A801E7"/>
    <w:rsid w:val="00A806BC"/>
    <w:rsid w:val="00A80E4E"/>
    <w:rsid w:val="00A831C5"/>
    <w:rsid w:val="00A848BA"/>
    <w:rsid w:val="00A86E3D"/>
    <w:rsid w:val="00A90619"/>
    <w:rsid w:val="00A914E9"/>
    <w:rsid w:val="00A93EC0"/>
    <w:rsid w:val="00A94A48"/>
    <w:rsid w:val="00A94E36"/>
    <w:rsid w:val="00A96447"/>
    <w:rsid w:val="00A96A71"/>
    <w:rsid w:val="00AA70E2"/>
    <w:rsid w:val="00AB30CF"/>
    <w:rsid w:val="00AB40A9"/>
    <w:rsid w:val="00AC1113"/>
    <w:rsid w:val="00AC1F4C"/>
    <w:rsid w:val="00AC28C8"/>
    <w:rsid w:val="00AC3C83"/>
    <w:rsid w:val="00AC6067"/>
    <w:rsid w:val="00AC6745"/>
    <w:rsid w:val="00AC6E5D"/>
    <w:rsid w:val="00AC7C5A"/>
    <w:rsid w:val="00AD40B2"/>
    <w:rsid w:val="00AD7693"/>
    <w:rsid w:val="00AE20FB"/>
    <w:rsid w:val="00AE290D"/>
    <w:rsid w:val="00AE3923"/>
    <w:rsid w:val="00AF4238"/>
    <w:rsid w:val="00AF5FC0"/>
    <w:rsid w:val="00AF63EA"/>
    <w:rsid w:val="00B010E8"/>
    <w:rsid w:val="00B0371B"/>
    <w:rsid w:val="00B051A8"/>
    <w:rsid w:val="00B16875"/>
    <w:rsid w:val="00B219F2"/>
    <w:rsid w:val="00B23445"/>
    <w:rsid w:val="00B2383E"/>
    <w:rsid w:val="00B241DE"/>
    <w:rsid w:val="00B30601"/>
    <w:rsid w:val="00B32996"/>
    <w:rsid w:val="00B33E15"/>
    <w:rsid w:val="00B371BC"/>
    <w:rsid w:val="00B37A46"/>
    <w:rsid w:val="00B406E2"/>
    <w:rsid w:val="00B40E5D"/>
    <w:rsid w:val="00B41507"/>
    <w:rsid w:val="00B428F4"/>
    <w:rsid w:val="00B44FB1"/>
    <w:rsid w:val="00B46636"/>
    <w:rsid w:val="00B50814"/>
    <w:rsid w:val="00B50BB3"/>
    <w:rsid w:val="00B5162C"/>
    <w:rsid w:val="00B524A4"/>
    <w:rsid w:val="00B55DDC"/>
    <w:rsid w:val="00B62C86"/>
    <w:rsid w:val="00B66DDD"/>
    <w:rsid w:val="00B67B97"/>
    <w:rsid w:val="00B7377B"/>
    <w:rsid w:val="00B77E42"/>
    <w:rsid w:val="00B81FED"/>
    <w:rsid w:val="00B845F6"/>
    <w:rsid w:val="00B85B7F"/>
    <w:rsid w:val="00B85EE4"/>
    <w:rsid w:val="00B86EF4"/>
    <w:rsid w:val="00B90061"/>
    <w:rsid w:val="00B91AD9"/>
    <w:rsid w:val="00B93A4F"/>
    <w:rsid w:val="00B946B2"/>
    <w:rsid w:val="00B94FFF"/>
    <w:rsid w:val="00B97032"/>
    <w:rsid w:val="00BA1C5C"/>
    <w:rsid w:val="00BA3DE1"/>
    <w:rsid w:val="00BA45E7"/>
    <w:rsid w:val="00BA4C2A"/>
    <w:rsid w:val="00BA5695"/>
    <w:rsid w:val="00BB036D"/>
    <w:rsid w:val="00BB1AB4"/>
    <w:rsid w:val="00BB1FC4"/>
    <w:rsid w:val="00BB4907"/>
    <w:rsid w:val="00BB6201"/>
    <w:rsid w:val="00BB70B3"/>
    <w:rsid w:val="00BB7D46"/>
    <w:rsid w:val="00BC1B4F"/>
    <w:rsid w:val="00BC1FD7"/>
    <w:rsid w:val="00BC360E"/>
    <w:rsid w:val="00BC6CA5"/>
    <w:rsid w:val="00BC7989"/>
    <w:rsid w:val="00BD11FD"/>
    <w:rsid w:val="00BD3085"/>
    <w:rsid w:val="00BD6511"/>
    <w:rsid w:val="00BD76C8"/>
    <w:rsid w:val="00BD7A50"/>
    <w:rsid w:val="00BE36AA"/>
    <w:rsid w:val="00BE55BE"/>
    <w:rsid w:val="00BE5FCB"/>
    <w:rsid w:val="00BE723C"/>
    <w:rsid w:val="00BF28AB"/>
    <w:rsid w:val="00C01EA5"/>
    <w:rsid w:val="00C03561"/>
    <w:rsid w:val="00C0376D"/>
    <w:rsid w:val="00C03919"/>
    <w:rsid w:val="00C04092"/>
    <w:rsid w:val="00C04B60"/>
    <w:rsid w:val="00C0572F"/>
    <w:rsid w:val="00C058F6"/>
    <w:rsid w:val="00C12C25"/>
    <w:rsid w:val="00C13DF0"/>
    <w:rsid w:val="00C14193"/>
    <w:rsid w:val="00C14FBB"/>
    <w:rsid w:val="00C17738"/>
    <w:rsid w:val="00C17AD8"/>
    <w:rsid w:val="00C2330B"/>
    <w:rsid w:val="00C23A79"/>
    <w:rsid w:val="00C23DE7"/>
    <w:rsid w:val="00C26323"/>
    <w:rsid w:val="00C3358D"/>
    <w:rsid w:val="00C378D0"/>
    <w:rsid w:val="00C37FDB"/>
    <w:rsid w:val="00C40364"/>
    <w:rsid w:val="00C4390C"/>
    <w:rsid w:val="00C44AC9"/>
    <w:rsid w:val="00C45F56"/>
    <w:rsid w:val="00C518D5"/>
    <w:rsid w:val="00C61317"/>
    <w:rsid w:val="00C63894"/>
    <w:rsid w:val="00C655E8"/>
    <w:rsid w:val="00C7117A"/>
    <w:rsid w:val="00C74183"/>
    <w:rsid w:val="00C800CB"/>
    <w:rsid w:val="00C803A5"/>
    <w:rsid w:val="00C82C14"/>
    <w:rsid w:val="00C85078"/>
    <w:rsid w:val="00C862F8"/>
    <w:rsid w:val="00C908DB"/>
    <w:rsid w:val="00C931B6"/>
    <w:rsid w:val="00C93B23"/>
    <w:rsid w:val="00CA0FA9"/>
    <w:rsid w:val="00CA1D85"/>
    <w:rsid w:val="00CA262F"/>
    <w:rsid w:val="00CA57BA"/>
    <w:rsid w:val="00CB54CC"/>
    <w:rsid w:val="00CB7EF0"/>
    <w:rsid w:val="00CC069F"/>
    <w:rsid w:val="00CC4851"/>
    <w:rsid w:val="00CC60A3"/>
    <w:rsid w:val="00CD28F0"/>
    <w:rsid w:val="00CD4ED5"/>
    <w:rsid w:val="00CD53CA"/>
    <w:rsid w:val="00CD5A0F"/>
    <w:rsid w:val="00CD7291"/>
    <w:rsid w:val="00CE02D2"/>
    <w:rsid w:val="00CE1628"/>
    <w:rsid w:val="00CE3A66"/>
    <w:rsid w:val="00CE3AFA"/>
    <w:rsid w:val="00CF2BAB"/>
    <w:rsid w:val="00CF54D1"/>
    <w:rsid w:val="00D010F1"/>
    <w:rsid w:val="00D01109"/>
    <w:rsid w:val="00D02CF4"/>
    <w:rsid w:val="00D06971"/>
    <w:rsid w:val="00D06B34"/>
    <w:rsid w:val="00D07E03"/>
    <w:rsid w:val="00D13BDB"/>
    <w:rsid w:val="00D2288B"/>
    <w:rsid w:val="00D27A8A"/>
    <w:rsid w:val="00D30F60"/>
    <w:rsid w:val="00D354FD"/>
    <w:rsid w:val="00D3570E"/>
    <w:rsid w:val="00D41A38"/>
    <w:rsid w:val="00D422B1"/>
    <w:rsid w:val="00D45250"/>
    <w:rsid w:val="00D45488"/>
    <w:rsid w:val="00D467C6"/>
    <w:rsid w:val="00D477A8"/>
    <w:rsid w:val="00D50006"/>
    <w:rsid w:val="00D51E05"/>
    <w:rsid w:val="00D52029"/>
    <w:rsid w:val="00D57B37"/>
    <w:rsid w:val="00D63F09"/>
    <w:rsid w:val="00D654B3"/>
    <w:rsid w:val="00D65923"/>
    <w:rsid w:val="00D65D16"/>
    <w:rsid w:val="00D66AFA"/>
    <w:rsid w:val="00D74CB8"/>
    <w:rsid w:val="00D761B6"/>
    <w:rsid w:val="00D76D1C"/>
    <w:rsid w:val="00D76DB8"/>
    <w:rsid w:val="00D838A7"/>
    <w:rsid w:val="00D85A3F"/>
    <w:rsid w:val="00D868FB"/>
    <w:rsid w:val="00D86C43"/>
    <w:rsid w:val="00D86FEA"/>
    <w:rsid w:val="00D90360"/>
    <w:rsid w:val="00D925D7"/>
    <w:rsid w:val="00D94038"/>
    <w:rsid w:val="00DA094B"/>
    <w:rsid w:val="00DA1ED0"/>
    <w:rsid w:val="00DA3335"/>
    <w:rsid w:val="00DA3D69"/>
    <w:rsid w:val="00DA430D"/>
    <w:rsid w:val="00DA5163"/>
    <w:rsid w:val="00DA66D7"/>
    <w:rsid w:val="00DA72B7"/>
    <w:rsid w:val="00DB1053"/>
    <w:rsid w:val="00DB192A"/>
    <w:rsid w:val="00DB40BF"/>
    <w:rsid w:val="00DB7463"/>
    <w:rsid w:val="00DC090B"/>
    <w:rsid w:val="00DC10E8"/>
    <w:rsid w:val="00DC297D"/>
    <w:rsid w:val="00DC3243"/>
    <w:rsid w:val="00DC5620"/>
    <w:rsid w:val="00DC6EA0"/>
    <w:rsid w:val="00DD020B"/>
    <w:rsid w:val="00DD2547"/>
    <w:rsid w:val="00DD6D12"/>
    <w:rsid w:val="00DD7859"/>
    <w:rsid w:val="00DE391B"/>
    <w:rsid w:val="00DE608E"/>
    <w:rsid w:val="00DE775F"/>
    <w:rsid w:val="00DF08BA"/>
    <w:rsid w:val="00DF0974"/>
    <w:rsid w:val="00DF2688"/>
    <w:rsid w:val="00DF26E1"/>
    <w:rsid w:val="00DF3972"/>
    <w:rsid w:val="00DF39F5"/>
    <w:rsid w:val="00DF4B76"/>
    <w:rsid w:val="00DF4D13"/>
    <w:rsid w:val="00DF518F"/>
    <w:rsid w:val="00E05C97"/>
    <w:rsid w:val="00E109B6"/>
    <w:rsid w:val="00E11F39"/>
    <w:rsid w:val="00E13D0F"/>
    <w:rsid w:val="00E14394"/>
    <w:rsid w:val="00E14693"/>
    <w:rsid w:val="00E147FA"/>
    <w:rsid w:val="00E14AE5"/>
    <w:rsid w:val="00E16E1F"/>
    <w:rsid w:val="00E16E9D"/>
    <w:rsid w:val="00E305D1"/>
    <w:rsid w:val="00E31B73"/>
    <w:rsid w:val="00E323A1"/>
    <w:rsid w:val="00E34A6F"/>
    <w:rsid w:val="00E3691B"/>
    <w:rsid w:val="00E36F96"/>
    <w:rsid w:val="00E41DD8"/>
    <w:rsid w:val="00E47B98"/>
    <w:rsid w:val="00E52929"/>
    <w:rsid w:val="00E52B61"/>
    <w:rsid w:val="00E52BA8"/>
    <w:rsid w:val="00E561DC"/>
    <w:rsid w:val="00E56F54"/>
    <w:rsid w:val="00E57675"/>
    <w:rsid w:val="00E645B5"/>
    <w:rsid w:val="00E65950"/>
    <w:rsid w:val="00E73280"/>
    <w:rsid w:val="00E737CA"/>
    <w:rsid w:val="00E75181"/>
    <w:rsid w:val="00E75573"/>
    <w:rsid w:val="00E7573A"/>
    <w:rsid w:val="00E76081"/>
    <w:rsid w:val="00E7797A"/>
    <w:rsid w:val="00E8182E"/>
    <w:rsid w:val="00E86BB6"/>
    <w:rsid w:val="00E87654"/>
    <w:rsid w:val="00E9039A"/>
    <w:rsid w:val="00E906EF"/>
    <w:rsid w:val="00E90BC9"/>
    <w:rsid w:val="00E9204D"/>
    <w:rsid w:val="00E941A4"/>
    <w:rsid w:val="00E95158"/>
    <w:rsid w:val="00E96CE7"/>
    <w:rsid w:val="00EA075C"/>
    <w:rsid w:val="00EA12C1"/>
    <w:rsid w:val="00EA1752"/>
    <w:rsid w:val="00EA1EDF"/>
    <w:rsid w:val="00EA2B83"/>
    <w:rsid w:val="00EA5CC6"/>
    <w:rsid w:val="00EB08F3"/>
    <w:rsid w:val="00EB0E90"/>
    <w:rsid w:val="00EB2F3A"/>
    <w:rsid w:val="00EB5786"/>
    <w:rsid w:val="00EB6518"/>
    <w:rsid w:val="00EB7303"/>
    <w:rsid w:val="00EC1213"/>
    <w:rsid w:val="00EC1C81"/>
    <w:rsid w:val="00EC6DA3"/>
    <w:rsid w:val="00ED0A26"/>
    <w:rsid w:val="00ED13BB"/>
    <w:rsid w:val="00ED6AF6"/>
    <w:rsid w:val="00ED7A75"/>
    <w:rsid w:val="00EE2926"/>
    <w:rsid w:val="00EF0B42"/>
    <w:rsid w:val="00EF0F65"/>
    <w:rsid w:val="00EF2B87"/>
    <w:rsid w:val="00EF49DF"/>
    <w:rsid w:val="00EF5386"/>
    <w:rsid w:val="00EF6B54"/>
    <w:rsid w:val="00EF6D7D"/>
    <w:rsid w:val="00EF7458"/>
    <w:rsid w:val="00EF7BB1"/>
    <w:rsid w:val="00F06B97"/>
    <w:rsid w:val="00F12CBF"/>
    <w:rsid w:val="00F153B2"/>
    <w:rsid w:val="00F1611B"/>
    <w:rsid w:val="00F17004"/>
    <w:rsid w:val="00F17080"/>
    <w:rsid w:val="00F205AD"/>
    <w:rsid w:val="00F21839"/>
    <w:rsid w:val="00F24DEF"/>
    <w:rsid w:val="00F2639D"/>
    <w:rsid w:val="00F2792A"/>
    <w:rsid w:val="00F27D7F"/>
    <w:rsid w:val="00F27E5E"/>
    <w:rsid w:val="00F30562"/>
    <w:rsid w:val="00F31764"/>
    <w:rsid w:val="00F31BDE"/>
    <w:rsid w:val="00F328CD"/>
    <w:rsid w:val="00F332BD"/>
    <w:rsid w:val="00F3411A"/>
    <w:rsid w:val="00F35726"/>
    <w:rsid w:val="00F35B71"/>
    <w:rsid w:val="00F40F30"/>
    <w:rsid w:val="00F42A12"/>
    <w:rsid w:val="00F556B2"/>
    <w:rsid w:val="00F55C9E"/>
    <w:rsid w:val="00F606DA"/>
    <w:rsid w:val="00F60AB1"/>
    <w:rsid w:val="00F650AC"/>
    <w:rsid w:val="00F6612B"/>
    <w:rsid w:val="00F668A8"/>
    <w:rsid w:val="00F67901"/>
    <w:rsid w:val="00F7034A"/>
    <w:rsid w:val="00F73AC5"/>
    <w:rsid w:val="00F7580A"/>
    <w:rsid w:val="00F768B3"/>
    <w:rsid w:val="00F76C9B"/>
    <w:rsid w:val="00F81937"/>
    <w:rsid w:val="00F82A4B"/>
    <w:rsid w:val="00F83DE6"/>
    <w:rsid w:val="00F8480C"/>
    <w:rsid w:val="00F84B51"/>
    <w:rsid w:val="00F85392"/>
    <w:rsid w:val="00F863BA"/>
    <w:rsid w:val="00F866E9"/>
    <w:rsid w:val="00F86FB9"/>
    <w:rsid w:val="00F872F3"/>
    <w:rsid w:val="00F9451C"/>
    <w:rsid w:val="00F9542E"/>
    <w:rsid w:val="00F95F05"/>
    <w:rsid w:val="00F9732A"/>
    <w:rsid w:val="00FA2D82"/>
    <w:rsid w:val="00FA766D"/>
    <w:rsid w:val="00FA7693"/>
    <w:rsid w:val="00FB12D4"/>
    <w:rsid w:val="00FB13F3"/>
    <w:rsid w:val="00FB142F"/>
    <w:rsid w:val="00FB6200"/>
    <w:rsid w:val="00FC0796"/>
    <w:rsid w:val="00FC23D6"/>
    <w:rsid w:val="00FC4468"/>
    <w:rsid w:val="00FC53AC"/>
    <w:rsid w:val="00FD73AA"/>
    <w:rsid w:val="00FE3E04"/>
    <w:rsid w:val="00FE558E"/>
    <w:rsid w:val="00FE5CE7"/>
    <w:rsid w:val="00FF021A"/>
    <w:rsid w:val="00FF0E78"/>
    <w:rsid w:val="00FF31A7"/>
    <w:rsid w:val="00FF467D"/>
    <w:rsid w:val="00FF46A9"/>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paragraph" w:styleId="Heading1">
    <w:name w:val="heading 1"/>
    <w:basedOn w:val="Normal"/>
    <w:next w:val="Normal"/>
    <w:link w:val="Heading1Char"/>
    <w:qFormat/>
    <w:rsid w:val="00126B45"/>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character" w:customStyle="1" w:styleId="Heading1Char">
    <w:name w:val="Heading 1 Char"/>
    <w:basedOn w:val="DefaultParagraphFont"/>
    <w:link w:val="Heading1"/>
    <w:rsid w:val="00126B45"/>
    <w:rPr>
      <w:sz w:val="26"/>
      <w:u w:val="single"/>
    </w:rPr>
  </w:style>
  <w:style w:type="character" w:customStyle="1" w:styleId="FootnoteTextChar">
    <w:name w:val="Footnote Text Char"/>
    <w:basedOn w:val="DefaultParagraphFont"/>
    <w:link w:val="FootnoteText"/>
    <w:semiHidden/>
    <w:rsid w:val="00126B45"/>
  </w:style>
  <w:style w:type="paragraph" w:styleId="BalloonText">
    <w:name w:val="Balloon Text"/>
    <w:basedOn w:val="Normal"/>
    <w:link w:val="BalloonTextChar"/>
    <w:rsid w:val="0080315B"/>
    <w:rPr>
      <w:rFonts w:ascii="Tahoma" w:hAnsi="Tahoma" w:cs="Tahoma"/>
      <w:sz w:val="16"/>
      <w:szCs w:val="16"/>
    </w:rPr>
  </w:style>
  <w:style w:type="character" w:customStyle="1" w:styleId="BalloonTextChar">
    <w:name w:val="Balloon Text Char"/>
    <w:basedOn w:val="DefaultParagraphFont"/>
    <w:link w:val="BalloonText"/>
    <w:rsid w:val="0080315B"/>
    <w:rPr>
      <w:rFonts w:ascii="Tahoma" w:hAnsi="Tahoma" w:cs="Tahoma"/>
      <w:sz w:val="16"/>
      <w:szCs w:val="16"/>
    </w:rPr>
  </w:style>
  <w:style w:type="paragraph" w:styleId="PlainText">
    <w:name w:val="Plain Text"/>
    <w:basedOn w:val="Normal"/>
    <w:link w:val="PlainTextChar"/>
    <w:uiPriority w:val="99"/>
    <w:unhideWhenUsed/>
    <w:rsid w:val="00D63F0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63F09"/>
    <w:rPr>
      <w:rFonts w:ascii="Calibri" w:eastAsiaTheme="minorHAnsi" w:hAnsi="Calibri" w:cstheme="minorBidi"/>
      <w:sz w:val="22"/>
      <w:szCs w:val="21"/>
    </w:rPr>
  </w:style>
  <w:style w:type="paragraph" w:styleId="ListParagraph">
    <w:name w:val="List Paragraph"/>
    <w:basedOn w:val="Normal"/>
    <w:uiPriority w:val="34"/>
    <w:qFormat/>
    <w:rsid w:val="00DE39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paragraph" w:styleId="Heading1">
    <w:name w:val="heading 1"/>
    <w:basedOn w:val="Normal"/>
    <w:next w:val="Normal"/>
    <w:link w:val="Heading1Char"/>
    <w:qFormat/>
    <w:rsid w:val="00126B45"/>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character" w:customStyle="1" w:styleId="Heading1Char">
    <w:name w:val="Heading 1 Char"/>
    <w:basedOn w:val="DefaultParagraphFont"/>
    <w:link w:val="Heading1"/>
    <w:rsid w:val="00126B45"/>
    <w:rPr>
      <w:sz w:val="26"/>
      <w:u w:val="single"/>
    </w:rPr>
  </w:style>
  <w:style w:type="character" w:customStyle="1" w:styleId="FootnoteTextChar">
    <w:name w:val="Footnote Text Char"/>
    <w:basedOn w:val="DefaultParagraphFont"/>
    <w:link w:val="FootnoteText"/>
    <w:semiHidden/>
    <w:rsid w:val="00126B45"/>
  </w:style>
  <w:style w:type="paragraph" w:styleId="BalloonText">
    <w:name w:val="Balloon Text"/>
    <w:basedOn w:val="Normal"/>
    <w:link w:val="BalloonTextChar"/>
    <w:rsid w:val="0080315B"/>
    <w:rPr>
      <w:rFonts w:ascii="Tahoma" w:hAnsi="Tahoma" w:cs="Tahoma"/>
      <w:sz w:val="16"/>
      <w:szCs w:val="16"/>
    </w:rPr>
  </w:style>
  <w:style w:type="character" w:customStyle="1" w:styleId="BalloonTextChar">
    <w:name w:val="Balloon Text Char"/>
    <w:basedOn w:val="DefaultParagraphFont"/>
    <w:link w:val="BalloonText"/>
    <w:rsid w:val="0080315B"/>
    <w:rPr>
      <w:rFonts w:ascii="Tahoma" w:hAnsi="Tahoma" w:cs="Tahoma"/>
      <w:sz w:val="16"/>
      <w:szCs w:val="16"/>
    </w:rPr>
  </w:style>
  <w:style w:type="paragraph" w:styleId="PlainText">
    <w:name w:val="Plain Text"/>
    <w:basedOn w:val="Normal"/>
    <w:link w:val="PlainTextChar"/>
    <w:uiPriority w:val="99"/>
    <w:unhideWhenUsed/>
    <w:rsid w:val="00D63F0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63F09"/>
    <w:rPr>
      <w:rFonts w:ascii="Calibri" w:eastAsiaTheme="minorHAnsi" w:hAnsi="Calibri" w:cstheme="minorBidi"/>
      <w:sz w:val="22"/>
      <w:szCs w:val="21"/>
    </w:rPr>
  </w:style>
  <w:style w:type="paragraph" w:styleId="ListParagraph">
    <w:name w:val="List Paragraph"/>
    <w:basedOn w:val="Normal"/>
    <w:uiPriority w:val="34"/>
    <w:qFormat/>
    <w:rsid w:val="00DE3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90775">
      <w:bodyDiv w:val="1"/>
      <w:marLeft w:val="0"/>
      <w:marRight w:val="0"/>
      <w:marTop w:val="0"/>
      <w:marBottom w:val="0"/>
      <w:divBdr>
        <w:top w:val="none" w:sz="0" w:space="0" w:color="auto"/>
        <w:left w:val="none" w:sz="0" w:space="0" w:color="auto"/>
        <w:bottom w:val="none" w:sz="0" w:space="0" w:color="auto"/>
        <w:right w:val="none" w:sz="0" w:space="0" w:color="auto"/>
      </w:divBdr>
    </w:div>
    <w:div w:id="527137889">
      <w:bodyDiv w:val="1"/>
      <w:marLeft w:val="0"/>
      <w:marRight w:val="0"/>
      <w:marTop w:val="0"/>
      <w:marBottom w:val="0"/>
      <w:divBdr>
        <w:top w:val="none" w:sz="0" w:space="0" w:color="auto"/>
        <w:left w:val="none" w:sz="0" w:space="0" w:color="auto"/>
        <w:bottom w:val="none" w:sz="0" w:space="0" w:color="auto"/>
        <w:right w:val="none" w:sz="0" w:space="0" w:color="auto"/>
      </w:divBdr>
    </w:div>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BB4FD-D363-4390-AFE2-A871DBDF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2301</Words>
  <Characters>12336</Characters>
  <Application>Microsoft Office Word</Application>
  <DocSecurity>4</DocSecurity>
  <Lines>102</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shoffner</cp:lastModifiedBy>
  <cp:revision>2</cp:revision>
  <cp:lastPrinted>2014-04-08T13:13:00Z</cp:lastPrinted>
  <dcterms:created xsi:type="dcterms:W3CDTF">2014-10-09T18:38:00Z</dcterms:created>
  <dcterms:modified xsi:type="dcterms:W3CDTF">2014-10-09T18:38:00Z</dcterms:modified>
</cp:coreProperties>
</file>