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49" w:rsidRPr="00FB448C" w:rsidRDefault="00DE2949" w:rsidP="00E126F9">
      <w:pPr>
        <w:spacing w:line="240" w:lineRule="auto"/>
        <w:jc w:val="center"/>
        <w:rPr>
          <w:b/>
          <w:sz w:val="24"/>
          <w:szCs w:val="24"/>
        </w:rPr>
      </w:pPr>
      <w:r w:rsidRPr="00FB448C">
        <w:rPr>
          <w:b/>
          <w:sz w:val="24"/>
          <w:szCs w:val="24"/>
        </w:rPr>
        <w:t>BEFORE THE</w:t>
      </w:r>
    </w:p>
    <w:p w:rsidR="00DE2949" w:rsidRPr="00FB448C" w:rsidRDefault="00DE2949" w:rsidP="00E126F9">
      <w:pPr>
        <w:spacing w:line="240" w:lineRule="auto"/>
        <w:jc w:val="center"/>
        <w:rPr>
          <w:b/>
          <w:sz w:val="24"/>
          <w:szCs w:val="24"/>
        </w:rPr>
      </w:pPr>
      <w:r w:rsidRPr="00FB448C">
        <w:rPr>
          <w:b/>
          <w:sz w:val="24"/>
          <w:szCs w:val="24"/>
        </w:rPr>
        <w:t>PENNSYLVANIA PUBLIC UTILITY COMMISSION</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E126F9" w:rsidRPr="00FB448C" w:rsidRDefault="00E126F9" w:rsidP="00E126F9">
      <w:pPr>
        <w:spacing w:line="240" w:lineRule="auto"/>
        <w:rPr>
          <w:sz w:val="24"/>
          <w:szCs w:val="24"/>
        </w:rPr>
      </w:pPr>
    </w:p>
    <w:p w:rsidR="00DE2949" w:rsidRPr="00FB448C" w:rsidRDefault="00550C26" w:rsidP="00E126F9">
      <w:pPr>
        <w:spacing w:line="240" w:lineRule="auto"/>
        <w:rPr>
          <w:sz w:val="24"/>
          <w:szCs w:val="24"/>
        </w:rPr>
      </w:pPr>
      <w:r>
        <w:rPr>
          <w:sz w:val="24"/>
          <w:szCs w:val="24"/>
        </w:rPr>
        <w:t xml:space="preserve">Angela </w:t>
      </w:r>
      <w:proofErr w:type="spellStart"/>
      <w:r>
        <w:rPr>
          <w:sz w:val="24"/>
          <w:szCs w:val="24"/>
        </w:rPr>
        <w:t>Tobusto</w:t>
      </w:r>
      <w:proofErr w:type="spellEnd"/>
      <w:r w:rsidR="00E04BE4">
        <w:rPr>
          <w:sz w:val="24"/>
          <w:szCs w:val="24"/>
        </w:rPr>
        <w:tab/>
      </w:r>
      <w:r w:rsidR="00DE2949" w:rsidRPr="00FB448C">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r w:rsidRPr="00FB448C">
        <w:rPr>
          <w:sz w:val="24"/>
          <w:szCs w:val="24"/>
        </w:rPr>
        <w:tab/>
        <w:t>v.</w:t>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r w:rsidRPr="00FB448C">
        <w:rPr>
          <w:sz w:val="24"/>
          <w:szCs w:val="24"/>
        </w:rPr>
        <w:tab/>
      </w:r>
      <w:r w:rsidRPr="00FB448C">
        <w:rPr>
          <w:sz w:val="24"/>
          <w:szCs w:val="24"/>
        </w:rPr>
        <w:tab/>
      </w:r>
      <w:r w:rsidR="00550C26">
        <w:rPr>
          <w:sz w:val="24"/>
          <w:szCs w:val="24"/>
        </w:rPr>
        <w:t>C-2014-2409856</w:t>
      </w:r>
    </w:p>
    <w:p w:rsidR="00DE2949" w:rsidRPr="00FB448C" w:rsidRDefault="00DE2949" w:rsidP="00E126F9">
      <w:pPr>
        <w:spacing w:line="240" w:lineRule="auto"/>
        <w:ind w:left="4320" w:firstLine="720"/>
        <w:rPr>
          <w:sz w:val="24"/>
          <w:szCs w:val="24"/>
        </w:rPr>
      </w:pPr>
      <w:r w:rsidRPr="00FB448C">
        <w:rPr>
          <w:sz w:val="24"/>
          <w:szCs w:val="24"/>
        </w:rPr>
        <w:t>:</w:t>
      </w:r>
    </w:p>
    <w:p w:rsidR="00DE2949" w:rsidRPr="00FB448C" w:rsidRDefault="008325DF" w:rsidP="00E126F9">
      <w:pPr>
        <w:spacing w:line="240" w:lineRule="auto"/>
        <w:rPr>
          <w:sz w:val="24"/>
          <w:szCs w:val="24"/>
        </w:rPr>
      </w:pPr>
      <w:r>
        <w:rPr>
          <w:sz w:val="24"/>
          <w:szCs w:val="24"/>
        </w:rPr>
        <w:t>Duquesne Light</w:t>
      </w:r>
      <w:r w:rsidR="00DE2949" w:rsidRPr="00FB448C">
        <w:rPr>
          <w:sz w:val="24"/>
          <w:szCs w:val="24"/>
        </w:rPr>
        <w:t xml:space="preserve"> Company</w:t>
      </w:r>
      <w:r w:rsidR="008B5083">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pStyle w:val="Heading1"/>
        <w:rPr>
          <w:b/>
          <w:caps/>
          <w:sz w:val="24"/>
          <w:szCs w:val="24"/>
        </w:rPr>
      </w:pPr>
      <w:r w:rsidRPr="00FB448C">
        <w:rPr>
          <w:b/>
          <w:caps/>
          <w:sz w:val="24"/>
          <w:szCs w:val="24"/>
        </w:rPr>
        <w:t>Initial Decision</w:t>
      </w: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rPr>
      </w:pPr>
      <w:r w:rsidRPr="00FB448C">
        <w:rPr>
          <w:sz w:val="24"/>
          <w:szCs w:val="24"/>
        </w:rPr>
        <w:t>Before</w:t>
      </w:r>
    </w:p>
    <w:p w:rsidR="00DE2949" w:rsidRPr="00FB448C" w:rsidRDefault="00DE2949" w:rsidP="00E126F9">
      <w:pPr>
        <w:spacing w:line="240" w:lineRule="auto"/>
        <w:jc w:val="center"/>
        <w:rPr>
          <w:sz w:val="24"/>
          <w:szCs w:val="24"/>
        </w:rPr>
      </w:pPr>
      <w:r w:rsidRPr="00FB448C">
        <w:rPr>
          <w:sz w:val="24"/>
          <w:szCs w:val="24"/>
        </w:rPr>
        <w:t>Katrina L. Dunderdale</w:t>
      </w:r>
    </w:p>
    <w:p w:rsidR="00DE2949" w:rsidRPr="00FB448C" w:rsidRDefault="00DE2949" w:rsidP="00E126F9">
      <w:pPr>
        <w:spacing w:line="240" w:lineRule="auto"/>
        <w:jc w:val="center"/>
        <w:rPr>
          <w:sz w:val="24"/>
          <w:szCs w:val="24"/>
        </w:rPr>
      </w:pPr>
      <w:r w:rsidRPr="00FB448C">
        <w:rPr>
          <w:sz w:val="24"/>
          <w:szCs w:val="24"/>
        </w:rPr>
        <w:t>Administrative Law Judge</w:t>
      </w:r>
    </w:p>
    <w:p w:rsidR="000226A7" w:rsidRDefault="000226A7" w:rsidP="000226A7">
      <w:pPr>
        <w:spacing w:line="240" w:lineRule="auto"/>
        <w:jc w:val="center"/>
        <w:rPr>
          <w:sz w:val="24"/>
          <w:szCs w:val="24"/>
        </w:rPr>
      </w:pPr>
    </w:p>
    <w:p w:rsidR="000226A7" w:rsidRDefault="000226A7" w:rsidP="000226A7">
      <w:pPr>
        <w:spacing w:line="240" w:lineRule="auto"/>
        <w:jc w:val="center"/>
        <w:rPr>
          <w:sz w:val="24"/>
          <w:szCs w:val="24"/>
        </w:rPr>
      </w:pPr>
    </w:p>
    <w:p w:rsidR="000226A7" w:rsidRPr="00FF29E1" w:rsidRDefault="000226A7" w:rsidP="000226A7">
      <w:pPr>
        <w:jc w:val="center"/>
        <w:rPr>
          <w:sz w:val="24"/>
          <w:szCs w:val="24"/>
          <w:u w:val="single"/>
        </w:rPr>
      </w:pPr>
      <w:r w:rsidRPr="00FF29E1">
        <w:rPr>
          <w:sz w:val="24"/>
          <w:szCs w:val="24"/>
          <w:u w:val="single"/>
        </w:rPr>
        <w:t>INTRODUCTION</w:t>
      </w:r>
    </w:p>
    <w:p w:rsidR="000226A7" w:rsidRPr="000226A7" w:rsidRDefault="000226A7" w:rsidP="000226A7">
      <w:pPr>
        <w:rPr>
          <w:sz w:val="24"/>
          <w:szCs w:val="24"/>
        </w:rPr>
      </w:pPr>
    </w:p>
    <w:p w:rsidR="000226A7" w:rsidRPr="000226A7" w:rsidRDefault="000226A7" w:rsidP="000226A7">
      <w:pPr>
        <w:rPr>
          <w:sz w:val="24"/>
          <w:szCs w:val="24"/>
        </w:rPr>
      </w:pPr>
      <w:r w:rsidRPr="000226A7">
        <w:rPr>
          <w:sz w:val="24"/>
          <w:szCs w:val="24"/>
        </w:rPr>
        <w:tab/>
      </w:r>
      <w:r w:rsidRPr="000226A7">
        <w:rPr>
          <w:sz w:val="24"/>
          <w:szCs w:val="24"/>
        </w:rPr>
        <w:tab/>
        <w:t xml:space="preserve">This decision dismisses the </w:t>
      </w:r>
      <w:r w:rsidR="00810B84">
        <w:rPr>
          <w:sz w:val="24"/>
          <w:szCs w:val="24"/>
        </w:rPr>
        <w:t xml:space="preserve">formal </w:t>
      </w:r>
      <w:r w:rsidRPr="000226A7">
        <w:rPr>
          <w:sz w:val="24"/>
          <w:szCs w:val="24"/>
        </w:rPr>
        <w:t xml:space="preserve">complaint.  </w:t>
      </w:r>
    </w:p>
    <w:p w:rsidR="00DE2949" w:rsidRPr="000226A7" w:rsidRDefault="00DE2949" w:rsidP="000226A7">
      <w:pPr>
        <w:rPr>
          <w:sz w:val="24"/>
          <w:szCs w:val="24"/>
        </w:rPr>
      </w:pPr>
    </w:p>
    <w:p w:rsidR="00DE2949" w:rsidRPr="00FB448C" w:rsidRDefault="00DE2949" w:rsidP="00E126F9">
      <w:pPr>
        <w:pStyle w:val="Heading1"/>
        <w:rPr>
          <w:sz w:val="24"/>
          <w:szCs w:val="24"/>
          <w:u w:val="none"/>
        </w:rPr>
      </w:pPr>
      <w:r w:rsidRPr="00FB448C">
        <w:rPr>
          <w:sz w:val="24"/>
          <w:szCs w:val="24"/>
        </w:rPr>
        <w:t>HISTORY OF THE PROCEEDING</w:t>
      </w:r>
    </w:p>
    <w:p w:rsidR="00DE2949" w:rsidRPr="00FB448C" w:rsidRDefault="00DE2949" w:rsidP="00E126F9">
      <w:pPr>
        <w:spacing w:line="240" w:lineRule="auto"/>
        <w:ind w:firstLine="1440"/>
        <w:rPr>
          <w:sz w:val="24"/>
          <w:szCs w:val="24"/>
        </w:rPr>
      </w:pPr>
    </w:p>
    <w:p w:rsidR="00C44296" w:rsidRPr="00B73D10" w:rsidRDefault="00C44296" w:rsidP="00C44296">
      <w:pPr>
        <w:spacing w:line="240" w:lineRule="auto"/>
        <w:ind w:firstLine="1440"/>
        <w:rPr>
          <w:sz w:val="24"/>
          <w:szCs w:val="24"/>
        </w:rPr>
      </w:pPr>
    </w:p>
    <w:p w:rsidR="00C44296" w:rsidRPr="00B73D10" w:rsidRDefault="00C44296" w:rsidP="00FB2F18">
      <w:pPr>
        <w:ind w:firstLine="1440"/>
        <w:rPr>
          <w:sz w:val="24"/>
          <w:szCs w:val="24"/>
        </w:rPr>
      </w:pPr>
      <w:r w:rsidRPr="00B73D10">
        <w:rPr>
          <w:sz w:val="24"/>
          <w:szCs w:val="24"/>
        </w:rPr>
        <w:t xml:space="preserve">On </w:t>
      </w:r>
      <w:r w:rsidR="000226A7">
        <w:rPr>
          <w:sz w:val="24"/>
          <w:szCs w:val="24"/>
        </w:rPr>
        <w:t>February 26, 2014</w:t>
      </w:r>
      <w:r w:rsidRPr="00B73D10">
        <w:rPr>
          <w:sz w:val="24"/>
          <w:szCs w:val="24"/>
        </w:rPr>
        <w:t xml:space="preserve">, </w:t>
      </w:r>
      <w:r w:rsidR="000226A7">
        <w:rPr>
          <w:sz w:val="24"/>
          <w:szCs w:val="24"/>
        </w:rPr>
        <w:t xml:space="preserve">Angela </w:t>
      </w:r>
      <w:proofErr w:type="spellStart"/>
      <w:r w:rsidR="000226A7">
        <w:rPr>
          <w:sz w:val="24"/>
          <w:szCs w:val="24"/>
        </w:rPr>
        <w:t>Tobusto</w:t>
      </w:r>
      <w:proofErr w:type="spellEnd"/>
      <w:r w:rsidR="008325DF">
        <w:rPr>
          <w:sz w:val="24"/>
          <w:szCs w:val="24"/>
        </w:rPr>
        <w:t xml:space="preserve"> (</w:t>
      </w:r>
      <w:r w:rsidRPr="00B73D10">
        <w:rPr>
          <w:sz w:val="24"/>
          <w:szCs w:val="24"/>
        </w:rPr>
        <w:t xml:space="preserve">Complainant) filed a formal complaint against </w:t>
      </w:r>
      <w:r w:rsidR="008325DF">
        <w:rPr>
          <w:sz w:val="24"/>
          <w:szCs w:val="24"/>
        </w:rPr>
        <w:t>Duquesne Light Company (</w:t>
      </w:r>
      <w:r w:rsidRPr="00B73D10">
        <w:rPr>
          <w:sz w:val="24"/>
          <w:szCs w:val="24"/>
        </w:rPr>
        <w:t xml:space="preserve">Respondent or </w:t>
      </w:r>
      <w:r w:rsidR="008325DF">
        <w:rPr>
          <w:sz w:val="24"/>
          <w:szCs w:val="24"/>
        </w:rPr>
        <w:t>DLC</w:t>
      </w:r>
      <w:r w:rsidRPr="00B73D10">
        <w:rPr>
          <w:sz w:val="24"/>
          <w:szCs w:val="24"/>
        </w:rPr>
        <w:t xml:space="preserve">) alleging </w:t>
      </w:r>
      <w:r w:rsidR="00AB6666">
        <w:rPr>
          <w:sz w:val="24"/>
          <w:szCs w:val="24"/>
        </w:rPr>
        <w:t>Respondent was threatening to shut off electric service and there were incorrect charges on her bills</w:t>
      </w:r>
      <w:r w:rsidRPr="00B73D10">
        <w:rPr>
          <w:sz w:val="24"/>
          <w:szCs w:val="24"/>
        </w:rPr>
        <w:t xml:space="preserve">.  On </w:t>
      </w:r>
      <w:r w:rsidR="00AB6666">
        <w:rPr>
          <w:sz w:val="24"/>
          <w:szCs w:val="24"/>
        </w:rPr>
        <w:t>March 26, 2014</w:t>
      </w:r>
      <w:r w:rsidRPr="00B73D10">
        <w:rPr>
          <w:sz w:val="24"/>
          <w:szCs w:val="24"/>
        </w:rPr>
        <w:t>, Respondent filed an Answer in response to Complainant’s formal complaint</w:t>
      </w:r>
      <w:r w:rsidR="008325DF">
        <w:rPr>
          <w:sz w:val="24"/>
          <w:szCs w:val="24"/>
        </w:rPr>
        <w:t>, in which R</w:t>
      </w:r>
      <w:r w:rsidRPr="00B73D10">
        <w:rPr>
          <w:sz w:val="24"/>
          <w:szCs w:val="24"/>
        </w:rPr>
        <w:t xml:space="preserve">espondent averred there </w:t>
      </w:r>
      <w:r w:rsidR="00FB2F18">
        <w:rPr>
          <w:sz w:val="24"/>
          <w:szCs w:val="24"/>
        </w:rPr>
        <w:t xml:space="preserve">were no errors in its </w:t>
      </w:r>
      <w:r w:rsidR="008325DF">
        <w:rPr>
          <w:sz w:val="24"/>
          <w:szCs w:val="24"/>
        </w:rPr>
        <w:t>bil</w:t>
      </w:r>
      <w:r w:rsidR="00FB2F18">
        <w:rPr>
          <w:sz w:val="24"/>
          <w:szCs w:val="24"/>
        </w:rPr>
        <w:t>ling statements to Complainant</w:t>
      </w:r>
      <w:r w:rsidR="008325DF">
        <w:rPr>
          <w:sz w:val="24"/>
          <w:szCs w:val="24"/>
        </w:rPr>
        <w:t xml:space="preserve"> </w:t>
      </w:r>
      <w:r w:rsidR="00AB6666">
        <w:rPr>
          <w:sz w:val="24"/>
          <w:szCs w:val="24"/>
        </w:rPr>
        <w:t xml:space="preserve">and </w:t>
      </w:r>
      <w:r w:rsidR="005D1E58">
        <w:rPr>
          <w:sz w:val="24"/>
          <w:szCs w:val="24"/>
        </w:rPr>
        <w:t xml:space="preserve">further averred </w:t>
      </w:r>
      <w:r w:rsidR="00AB6666">
        <w:rPr>
          <w:sz w:val="24"/>
          <w:szCs w:val="24"/>
        </w:rPr>
        <w:t>a recent CRISIS grant brought Complainant’s account up to date, eliminating the threat of a termination</w:t>
      </w:r>
      <w:r w:rsidR="00FB2F18">
        <w:rPr>
          <w:sz w:val="24"/>
          <w:szCs w:val="24"/>
        </w:rPr>
        <w:t xml:space="preserve">.  </w:t>
      </w:r>
    </w:p>
    <w:p w:rsidR="00C44296" w:rsidRDefault="00C44296" w:rsidP="00C44296">
      <w:pPr>
        <w:rPr>
          <w:sz w:val="24"/>
          <w:szCs w:val="24"/>
        </w:rPr>
      </w:pPr>
    </w:p>
    <w:p w:rsidR="005D1E58" w:rsidRDefault="005D1E58" w:rsidP="005D1E58">
      <w:pPr>
        <w:rPr>
          <w:sz w:val="24"/>
          <w:szCs w:val="24"/>
        </w:rPr>
      </w:pPr>
      <w:r w:rsidRPr="00B73D10">
        <w:rPr>
          <w:sz w:val="24"/>
          <w:szCs w:val="24"/>
        </w:rPr>
        <w:tab/>
      </w:r>
      <w:r w:rsidRPr="00B73D10">
        <w:rPr>
          <w:sz w:val="24"/>
          <w:szCs w:val="24"/>
        </w:rPr>
        <w:tab/>
        <w:t xml:space="preserve">On </w:t>
      </w:r>
      <w:r>
        <w:rPr>
          <w:sz w:val="24"/>
          <w:szCs w:val="24"/>
        </w:rPr>
        <w:t>April 2, 2014</w:t>
      </w:r>
      <w:r w:rsidRPr="00B73D10">
        <w:rPr>
          <w:sz w:val="24"/>
          <w:szCs w:val="24"/>
        </w:rPr>
        <w:t>, the Office of Administrative Law Judge issued a</w:t>
      </w:r>
      <w:r>
        <w:rPr>
          <w:sz w:val="24"/>
          <w:szCs w:val="24"/>
        </w:rPr>
        <w:t>n Initial Hearing</w:t>
      </w:r>
      <w:r w:rsidRPr="00B73D10">
        <w:rPr>
          <w:sz w:val="24"/>
          <w:szCs w:val="24"/>
        </w:rPr>
        <w:t xml:space="preserve"> Notice, which scheduled an initial hearing to be conducted on </w:t>
      </w:r>
      <w:r>
        <w:rPr>
          <w:sz w:val="24"/>
          <w:szCs w:val="24"/>
        </w:rPr>
        <w:t>May 6, 2014</w:t>
      </w:r>
      <w:r w:rsidRPr="00B73D10">
        <w:rPr>
          <w:sz w:val="24"/>
          <w:szCs w:val="24"/>
        </w:rPr>
        <w:t xml:space="preserve">.  On </w:t>
      </w:r>
      <w:r>
        <w:rPr>
          <w:sz w:val="24"/>
          <w:szCs w:val="24"/>
        </w:rPr>
        <w:t>April 4, 2014, the presiding officer issued</w:t>
      </w:r>
      <w:r w:rsidRPr="00B73D10">
        <w:rPr>
          <w:sz w:val="24"/>
          <w:szCs w:val="24"/>
        </w:rPr>
        <w:t xml:space="preserve"> a Prehearing Order.  </w:t>
      </w:r>
    </w:p>
    <w:p w:rsidR="00FB2F18" w:rsidRDefault="005D1E58" w:rsidP="005D1E58">
      <w:pPr>
        <w:ind w:firstLine="1440"/>
        <w:rPr>
          <w:sz w:val="24"/>
          <w:szCs w:val="24"/>
        </w:rPr>
      </w:pPr>
      <w:r>
        <w:rPr>
          <w:sz w:val="24"/>
          <w:szCs w:val="24"/>
        </w:rPr>
        <w:lastRenderedPageBreak/>
        <w:t>On April 16, 2014, Respondent’s counsel requested a continuance because she received a summons to appear for jury service in the Court of Common Pleas of Allegheny County.  On April 22, 2014, the presiding officer issued the First Interim Order which granted the continuance request for good cause shown.  Thereafter, on</w:t>
      </w:r>
      <w:r w:rsidR="00C44296" w:rsidRPr="00B73D10">
        <w:rPr>
          <w:sz w:val="24"/>
          <w:szCs w:val="24"/>
        </w:rPr>
        <w:t xml:space="preserve"> </w:t>
      </w:r>
      <w:r>
        <w:rPr>
          <w:sz w:val="24"/>
          <w:szCs w:val="24"/>
        </w:rPr>
        <w:t>April 22, 2014</w:t>
      </w:r>
      <w:r w:rsidR="00C44296" w:rsidRPr="00B73D10">
        <w:rPr>
          <w:sz w:val="24"/>
          <w:szCs w:val="24"/>
        </w:rPr>
        <w:t>, the Office of Administrative Law Judge issued a</w:t>
      </w:r>
      <w:r>
        <w:rPr>
          <w:sz w:val="24"/>
          <w:szCs w:val="24"/>
        </w:rPr>
        <w:t>n Initial Call-In Telephonic Hearing</w:t>
      </w:r>
      <w:r w:rsidR="00C44296" w:rsidRPr="00B73D10">
        <w:rPr>
          <w:sz w:val="24"/>
          <w:szCs w:val="24"/>
        </w:rPr>
        <w:t xml:space="preserve"> Notice, which scheduled an initial hearing to be conducted on </w:t>
      </w:r>
      <w:r>
        <w:rPr>
          <w:sz w:val="24"/>
          <w:szCs w:val="24"/>
        </w:rPr>
        <w:t>May 22, 2014</w:t>
      </w:r>
      <w:r w:rsidR="00C44296" w:rsidRPr="00B73D10">
        <w:rPr>
          <w:sz w:val="24"/>
          <w:szCs w:val="24"/>
        </w:rPr>
        <w:t xml:space="preserve">.  </w:t>
      </w:r>
    </w:p>
    <w:p w:rsidR="00FB2F18" w:rsidRDefault="00FB2F18" w:rsidP="00FB2F18">
      <w:pPr>
        <w:ind w:firstLine="1440"/>
        <w:rPr>
          <w:sz w:val="24"/>
          <w:szCs w:val="24"/>
        </w:rPr>
      </w:pPr>
    </w:p>
    <w:p w:rsidR="00C44296" w:rsidRPr="00B73D10" w:rsidRDefault="00C44296" w:rsidP="00FB2F18">
      <w:pPr>
        <w:ind w:firstLine="1440"/>
        <w:rPr>
          <w:sz w:val="24"/>
          <w:szCs w:val="24"/>
        </w:rPr>
      </w:pPr>
      <w:r w:rsidRPr="00B73D10">
        <w:rPr>
          <w:sz w:val="24"/>
          <w:szCs w:val="24"/>
        </w:rPr>
        <w:t xml:space="preserve">The presiding officer convened the initial hearing as scheduled on </w:t>
      </w:r>
      <w:r w:rsidR="005D1E58">
        <w:rPr>
          <w:sz w:val="24"/>
          <w:szCs w:val="24"/>
        </w:rPr>
        <w:t>May 22, 2014</w:t>
      </w:r>
      <w:r w:rsidR="00FD00D0">
        <w:rPr>
          <w:sz w:val="24"/>
          <w:szCs w:val="24"/>
        </w:rPr>
        <w:t>.  Ms</w:t>
      </w:r>
      <w:r w:rsidRPr="00B73D10">
        <w:rPr>
          <w:sz w:val="24"/>
          <w:szCs w:val="24"/>
        </w:rPr>
        <w:t xml:space="preserve">. </w:t>
      </w:r>
      <w:proofErr w:type="spellStart"/>
      <w:r w:rsidR="005D1E58">
        <w:rPr>
          <w:sz w:val="24"/>
          <w:szCs w:val="24"/>
        </w:rPr>
        <w:t>Tobusto</w:t>
      </w:r>
      <w:proofErr w:type="spellEnd"/>
      <w:r w:rsidRPr="00B73D10">
        <w:rPr>
          <w:sz w:val="24"/>
          <w:szCs w:val="24"/>
        </w:rPr>
        <w:t xml:space="preserve"> appeared </w:t>
      </w:r>
      <w:r w:rsidRPr="00B73D10">
        <w:rPr>
          <w:i/>
          <w:sz w:val="24"/>
          <w:szCs w:val="24"/>
        </w:rPr>
        <w:t>pro se</w:t>
      </w:r>
      <w:r w:rsidRPr="00B73D10">
        <w:rPr>
          <w:sz w:val="24"/>
          <w:szCs w:val="24"/>
        </w:rPr>
        <w:t xml:space="preserve"> </w:t>
      </w:r>
      <w:r>
        <w:rPr>
          <w:sz w:val="24"/>
          <w:szCs w:val="24"/>
        </w:rPr>
        <w:t xml:space="preserve">and testified </w:t>
      </w:r>
      <w:r w:rsidRPr="00B73D10">
        <w:rPr>
          <w:sz w:val="24"/>
          <w:szCs w:val="24"/>
        </w:rPr>
        <w:t xml:space="preserve">on </w:t>
      </w:r>
      <w:r w:rsidR="00FD00D0">
        <w:rPr>
          <w:sz w:val="24"/>
          <w:szCs w:val="24"/>
        </w:rPr>
        <w:t>her</w:t>
      </w:r>
      <w:r w:rsidRPr="00B73D10">
        <w:rPr>
          <w:sz w:val="24"/>
          <w:szCs w:val="24"/>
        </w:rPr>
        <w:t xml:space="preserve"> own behalf.  Respondent was represented by </w:t>
      </w:r>
      <w:r w:rsidR="005D1E58">
        <w:rPr>
          <w:sz w:val="24"/>
          <w:szCs w:val="24"/>
        </w:rPr>
        <w:t>Danielle L. Dietrich</w:t>
      </w:r>
      <w:r w:rsidRPr="00B73D10">
        <w:rPr>
          <w:sz w:val="24"/>
          <w:szCs w:val="24"/>
        </w:rPr>
        <w:t xml:space="preserve">, Esquire.  Attorney </w:t>
      </w:r>
      <w:r w:rsidR="005D1E58">
        <w:rPr>
          <w:sz w:val="24"/>
          <w:szCs w:val="24"/>
        </w:rPr>
        <w:t>Dietrich</w:t>
      </w:r>
      <w:r w:rsidRPr="00B73D10">
        <w:rPr>
          <w:sz w:val="24"/>
          <w:szCs w:val="24"/>
        </w:rPr>
        <w:t xml:space="preserve"> presented the testimony of </w:t>
      </w:r>
      <w:r w:rsidR="005D1E58">
        <w:rPr>
          <w:sz w:val="24"/>
          <w:szCs w:val="24"/>
        </w:rPr>
        <w:t>one</w:t>
      </w:r>
      <w:r w:rsidR="00FD00D0">
        <w:rPr>
          <w:sz w:val="24"/>
          <w:szCs w:val="24"/>
        </w:rPr>
        <w:t xml:space="preserve"> witness</w:t>
      </w:r>
      <w:r w:rsidRPr="00B73D10">
        <w:rPr>
          <w:sz w:val="24"/>
          <w:szCs w:val="24"/>
        </w:rPr>
        <w:t xml:space="preserve">, and offered </w:t>
      </w:r>
      <w:r w:rsidR="005D1E58">
        <w:rPr>
          <w:sz w:val="24"/>
          <w:szCs w:val="24"/>
        </w:rPr>
        <w:t>four</w:t>
      </w:r>
      <w:r w:rsidRPr="00B73D10">
        <w:rPr>
          <w:sz w:val="24"/>
          <w:szCs w:val="24"/>
        </w:rPr>
        <w:t xml:space="preserve"> exhibits, marked </w:t>
      </w:r>
      <w:r w:rsidR="008325DF">
        <w:rPr>
          <w:sz w:val="24"/>
          <w:szCs w:val="24"/>
        </w:rPr>
        <w:t>Duquesne Light</w:t>
      </w:r>
      <w:r w:rsidRPr="00B73D10">
        <w:rPr>
          <w:sz w:val="24"/>
          <w:szCs w:val="24"/>
        </w:rPr>
        <w:t xml:space="preserve"> Exhibit</w:t>
      </w:r>
      <w:r w:rsidR="005D1E58">
        <w:rPr>
          <w:sz w:val="24"/>
          <w:szCs w:val="24"/>
        </w:rPr>
        <w:t>s 3, 5, 6 and 7</w:t>
      </w:r>
      <w:r w:rsidR="00FD00D0">
        <w:rPr>
          <w:sz w:val="24"/>
          <w:szCs w:val="24"/>
        </w:rPr>
        <w:t>,</w:t>
      </w:r>
      <w:r w:rsidRPr="00B73D10">
        <w:rPr>
          <w:sz w:val="24"/>
          <w:szCs w:val="24"/>
        </w:rPr>
        <w:t xml:space="preserve"> which exhibits were admitted into evidence.  The transcript of the hearing contains </w:t>
      </w:r>
      <w:r w:rsidR="005D1E58">
        <w:rPr>
          <w:sz w:val="24"/>
          <w:szCs w:val="24"/>
        </w:rPr>
        <w:t>139</w:t>
      </w:r>
      <w:r w:rsidR="00FB2F18">
        <w:rPr>
          <w:sz w:val="24"/>
          <w:szCs w:val="24"/>
        </w:rPr>
        <w:t xml:space="preserve"> </w:t>
      </w:r>
      <w:r w:rsidRPr="00B73D10">
        <w:rPr>
          <w:sz w:val="24"/>
          <w:szCs w:val="24"/>
        </w:rPr>
        <w:t>pages</w:t>
      </w:r>
      <w:r w:rsidR="00FB2F18">
        <w:rPr>
          <w:sz w:val="24"/>
          <w:szCs w:val="24"/>
        </w:rPr>
        <w:t xml:space="preserve"> and was received in the presiding officer’s office on </w:t>
      </w:r>
      <w:r w:rsidR="005D1E58">
        <w:rPr>
          <w:sz w:val="24"/>
          <w:szCs w:val="24"/>
        </w:rPr>
        <w:t>June 27, 2014</w:t>
      </w:r>
      <w:r w:rsidR="00065149">
        <w:rPr>
          <w:sz w:val="24"/>
          <w:szCs w:val="24"/>
        </w:rPr>
        <w:t>.</w:t>
      </w:r>
      <w:r w:rsidRPr="00B73D10">
        <w:rPr>
          <w:sz w:val="24"/>
          <w:szCs w:val="24"/>
        </w:rPr>
        <w:t xml:space="preserve">  Complainant and Respondent issued final statements on the hearing record in lieu of filing briefs.  </w:t>
      </w:r>
    </w:p>
    <w:p w:rsidR="00C44296" w:rsidRPr="00B73D10" w:rsidRDefault="00C44296" w:rsidP="00C44296">
      <w:pPr>
        <w:tabs>
          <w:tab w:val="left" w:pos="2160"/>
        </w:tabs>
        <w:ind w:firstLine="1440"/>
        <w:rPr>
          <w:sz w:val="24"/>
          <w:szCs w:val="24"/>
        </w:rPr>
      </w:pPr>
    </w:p>
    <w:p w:rsidR="00C44296" w:rsidRPr="00B73D10" w:rsidRDefault="00C44296" w:rsidP="00C44296">
      <w:pPr>
        <w:tabs>
          <w:tab w:val="left" w:pos="2160"/>
        </w:tabs>
        <w:ind w:firstLine="1440"/>
        <w:rPr>
          <w:sz w:val="24"/>
          <w:szCs w:val="24"/>
        </w:rPr>
      </w:pPr>
      <w:r w:rsidRPr="00B73D10">
        <w:rPr>
          <w:sz w:val="24"/>
          <w:szCs w:val="24"/>
        </w:rPr>
        <w:t xml:space="preserve">On </w:t>
      </w:r>
      <w:r w:rsidR="005D1E58">
        <w:rPr>
          <w:sz w:val="24"/>
          <w:szCs w:val="24"/>
        </w:rPr>
        <w:t>June 30, 2014,</w:t>
      </w:r>
      <w:r w:rsidRPr="00B73D10">
        <w:rPr>
          <w:sz w:val="24"/>
          <w:szCs w:val="24"/>
        </w:rPr>
        <w:t xml:space="preserve"> the record was closed by Interim Order Closing the Hearing Record.</w:t>
      </w:r>
    </w:p>
    <w:p w:rsidR="00C44296" w:rsidRPr="00B73D10" w:rsidRDefault="00C44296" w:rsidP="00C44296">
      <w:pPr>
        <w:tabs>
          <w:tab w:val="left" w:pos="2160"/>
        </w:tabs>
        <w:ind w:firstLine="1440"/>
        <w:rPr>
          <w:sz w:val="24"/>
          <w:szCs w:val="24"/>
        </w:rPr>
      </w:pPr>
    </w:p>
    <w:p w:rsidR="00C44296" w:rsidRPr="00B73D10" w:rsidRDefault="00C44296" w:rsidP="00C44296">
      <w:pPr>
        <w:tabs>
          <w:tab w:val="left" w:pos="2160"/>
        </w:tabs>
        <w:jc w:val="center"/>
        <w:rPr>
          <w:sz w:val="24"/>
          <w:szCs w:val="24"/>
          <w:u w:val="single"/>
        </w:rPr>
      </w:pPr>
      <w:r w:rsidRPr="00B73D10">
        <w:rPr>
          <w:sz w:val="24"/>
          <w:szCs w:val="24"/>
          <w:u w:val="single"/>
        </w:rPr>
        <w:t xml:space="preserve">FINDINGS OF </w:t>
      </w:r>
      <w:smartTag w:uri="urn:schemas-microsoft-com:office:smarttags" w:element="stockticker">
        <w:r w:rsidRPr="00B73D10">
          <w:rPr>
            <w:sz w:val="24"/>
            <w:szCs w:val="24"/>
            <w:u w:val="single"/>
          </w:rPr>
          <w:t>FACT</w:t>
        </w:r>
      </w:smartTag>
    </w:p>
    <w:p w:rsidR="00C44296" w:rsidRPr="00B73D10" w:rsidRDefault="00C44296" w:rsidP="00C44296">
      <w:pPr>
        <w:tabs>
          <w:tab w:val="left" w:pos="2160"/>
        </w:tabs>
        <w:rPr>
          <w:sz w:val="24"/>
          <w:szCs w:val="24"/>
          <w:u w:val="single"/>
        </w:rPr>
      </w:pPr>
    </w:p>
    <w:p w:rsidR="00C44296" w:rsidRPr="00B73D10" w:rsidRDefault="00C44296" w:rsidP="00C44296">
      <w:pPr>
        <w:tabs>
          <w:tab w:val="left" w:pos="2160"/>
        </w:tabs>
        <w:ind w:firstLine="1440"/>
        <w:rPr>
          <w:sz w:val="24"/>
          <w:szCs w:val="24"/>
        </w:rPr>
      </w:pPr>
      <w:r w:rsidRPr="00B73D10">
        <w:rPr>
          <w:sz w:val="24"/>
          <w:szCs w:val="24"/>
        </w:rPr>
        <w:t>1.</w:t>
      </w:r>
      <w:r w:rsidRPr="00B73D10">
        <w:rPr>
          <w:sz w:val="24"/>
          <w:szCs w:val="24"/>
        </w:rPr>
        <w:tab/>
        <w:t xml:space="preserve">Complainant, </w:t>
      </w:r>
      <w:r w:rsidR="005D1E58">
        <w:rPr>
          <w:sz w:val="24"/>
          <w:szCs w:val="24"/>
        </w:rPr>
        <w:t xml:space="preserve">Angela </w:t>
      </w:r>
      <w:proofErr w:type="spellStart"/>
      <w:r w:rsidR="005D1E58">
        <w:rPr>
          <w:sz w:val="24"/>
          <w:szCs w:val="24"/>
        </w:rPr>
        <w:t>Tobusto</w:t>
      </w:r>
      <w:proofErr w:type="spellEnd"/>
      <w:r w:rsidR="00FB2F18">
        <w:rPr>
          <w:sz w:val="24"/>
          <w:szCs w:val="24"/>
        </w:rPr>
        <w:t xml:space="preserve">, resides </w:t>
      </w:r>
      <w:r w:rsidR="00846253">
        <w:rPr>
          <w:sz w:val="24"/>
          <w:szCs w:val="24"/>
        </w:rPr>
        <w:t xml:space="preserve">in a duplex located </w:t>
      </w:r>
      <w:r w:rsidR="00E74CDD">
        <w:rPr>
          <w:sz w:val="24"/>
          <w:szCs w:val="24"/>
        </w:rPr>
        <w:t xml:space="preserve">at </w:t>
      </w:r>
      <w:r w:rsidR="005D1E58">
        <w:rPr>
          <w:sz w:val="24"/>
          <w:szCs w:val="24"/>
        </w:rPr>
        <w:t>227 North Fourth</w:t>
      </w:r>
      <w:r w:rsidR="008325DF">
        <w:rPr>
          <w:sz w:val="24"/>
          <w:szCs w:val="24"/>
        </w:rPr>
        <w:t xml:space="preserve"> Street, </w:t>
      </w:r>
      <w:r w:rsidR="005D1E58">
        <w:rPr>
          <w:sz w:val="24"/>
          <w:szCs w:val="24"/>
        </w:rPr>
        <w:t>Clairton</w:t>
      </w:r>
      <w:r w:rsidR="00065149">
        <w:rPr>
          <w:sz w:val="24"/>
          <w:szCs w:val="24"/>
        </w:rPr>
        <w:t>, Pennsylvania</w:t>
      </w:r>
      <w:r w:rsidR="00FB2F18">
        <w:rPr>
          <w:sz w:val="24"/>
          <w:szCs w:val="24"/>
        </w:rPr>
        <w:t>,</w:t>
      </w:r>
      <w:r w:rsidR="00E74CDD">
        <w:rPr>
          <w:sz w:val="24"/>
          <w:szCs w:val="24"/>
        </w:rPr>
        <w:t xml:space="preserve"> </w:t>
      </w:r>
      <w:r w:rsidR="00846253">
        <w:rPr>
          <w:sz w:val="24"/>
          <w:szCs w:val="24"/>
        </w:rPr>
        <w:t xml:space="preserve">where she has been a residential customer of DLC </w:t>
      </w:r>
      <w:r w:rsidR="00FB2F18">
        <w:rPr>
          <w:sz w:val="24"/>
          <w:szCs w:val="24"/>
        </w:rPr>
        <w:t xml:space="preserve">since </w:t>
      </w:r>
      <w:r w:rsidR="00846253">
        <w:rPr>
          <w:sz w:val="24"/>
          <w:szCs w:val="24"/>
        </w:rPr>
        <w:t>2007</w:t>
      </w:r>
      <w:r w:rsidR="00E74CDD">
        <w:rPr>
          <w:sz w:val="24"/>
          <w:szCs w:val="24"/>
        </w:rPr>
        <w:t>.</w:t>
      </w:r>
      <w:r w:rsidRPr="00B73D10">
        <w:rPr>
          <w:sz w:val="24"/>
          <w:szCs w:val="24"/>
        </w:rPr>
        <w:t xml:space="preserve">  </w:t>
      </w:r>
      <w:proofErr w:type="gramStart"/>
      <w:r w:rsidRPr="00B73D10">
        <w:rPr>
          <w:sz w:val="24"/>
          <w:szCs w:val="24"/>
        </w:rPr>
        <w:t>(Tr.</w:t>
      </w:r>
      <w:r w:rsidR="00846253">
        <w:rPr>
          <w:sz w:val="24"/>
          <w:szCs w:val="24"/>
        </w:rPr>
        <w:t xml:space="preserve"> 14, 15</w:t>
      </w:r>
      <w:r w:rsidR="007B0BC7">
        <w:rPr>
          <w:sz w:val="24"/>
          <w:szCs w:val="24"/>
        </w:rPr>
        <w:t>, 49</w:t>
      </w:r>
      <w:r w:rsidRPr="00B73D10">
        <w:rPr>
          <w:sz w:val="24"/>
          <w:szCs w:val="24"/>
        </w:rPr>
        <w:t>).</w:t>
      </w:r>
      <w:proofErr w:type="gramEnd"/>
      <w:r w:rsidRPr="00B73D10">
        <w:rPr>
          <w:sz w:val="24"/>
          <w:szCs w:val="24"/>
        </w:rPr>
        <w:t xml:space="preserve"> </w:t>
      </w:r>
    </w:p>
    <w:p w:rsidR="00044B8E" w:rsidRDefault="00044B8E" w:rsidP="00C44296">
      <w:pPr>
        <w:tabs>
          <w:tab w:val="left" w:pos="2160"/>
        </w:tabs>
        <w:ind w:firstLine="1440"/>
        <w:rPr>
          <w:sz w:val="24"/>
          <w:szCs w:val="24"/>
        </w:rPr>
      </w:pPr>
    </w:p>
    <w:p w:rsidR="00044B8E" w:rsidRDefault="008C756D" w:rsidP="00C44296">
      <w:pPr>
        <w:tabs>
          <w:tab w:val="left" w:pos="2160"/>
        </w:tabs>
        <w:ind w:firstLine="1440"/>
        <w:rPr>
          <w:sz w:val="24"/>
          <w:szCs w:val="24"/>
        </w:rPr>
      </w:pPr>
      <w:r>
        <w:rPr>
          <w:sz w:val="24"/>
          <w:szCs w:val="24"/>
        </w:rPr>
        <w:t>2</w:t>
      </w:r>
      <w:r w:rsidR="00044B8E">
        <w:rPr>
          <w:sz w:val="24"/>
          <w:szCs w:val="24"/>
        </w:rPr>
        <w:t>.</w:t>
      </w:r>
      <w:r w:rsidR="00044B8E">
        <w:rPr>
          <w:sz w:val="24"/>
          <w:szCs w:val="24"/>
        </w:rPr>
        <w:tab/>
      </w:r>
      <w:r w:rsidR="001E7805">
        <w:rPr>
          <w:sz w:val="24"/>
          <w:szCs w:val="24"/>
        </w:rPr>
        <w:t xml:space="preserve">To reduce electric consumption, and reduce her monthly billing statements, Complainant changed her consumption habits starting in December 2012, including unplugging appliances, television, stereo, toaster and any electrical device when not in use.  </w:t>
      </w:r>
      <w:r w:rsidR="00193064">
        <w:rPr>
          <w:sz w:val="24"/>
          <w:szCs w:val="24"/>
        </w:rPr>
        <w:t xml:space="preserve">   </w:t>
      </w:r>
      <w:proofErr w:type="gramStart"/>
      <w:r w:rsidR="001E7805">
        <w:rPr>
          <w:sz w:val="24"/>
          <w:szCs w:val="24"/>
        </w:rPr>
        <w:t>(Tr. 24</w:t>
      </w:r>
      <w:r w:rsidR="007B0BC7">
        <w:rPr>
          <w:sz w:val="24"/>
          <w:szCs w:val="24"/>
        </w:rPr>
        <w:t xml:space="preserve">-37; DLC Exhibit </w:t>
      </w:r>
      <w:r w:rsidR="00810B84">
        <w:rPr>
          <w:sz w:val="24"/>
          <w:szCs w:val="24"/>
        </w:rPr>
        <w:t>3</w:t>
      </w:r>
      <w:r w:rsidR="001E7805">
        <w:rPr>
          <w:sz w:val="24"/>
          <w:szCs w:val="24"/>
        </w:rPr>
        <w:t>).</w:t>
      </w:r>
      <w:proofErr w:type="gramEnd"/>
    </w:p>
    <w:p w:rsidR="00044B8E" w:rsidRDefault="00044B8E" w:rsidP="00C44296">
      <w:pPr>
        <w:tabs>
          <w:tab w:val="left" w:pos="2160"/>
        </w:tabs>
        <w:ind w:firstLine="1440"/>
        <w:rPr>
          <w:sz w:val="24"/>
          <w:szCs w:val="24"/>
        </w:rPr>
      </w:pPr>
    </w:p>
    <w:p w:rsidR="00044B8E" w:rsidRDefault="008C756D" w:rsidP="00C44296">
      <w:pPr>
        <w:tabs>
          <w:tab w:val="left" w:pos="2160"/>
        </w:tabs>
        <w:ind w:firstLine="1440"/>
        <w:rPr>
          <w:sz w:val="24"/>
          <w:szCs w:val="24"/>
        </w:rPr>
      </w:pPr>
      <w:r>
        <w:rPr>
          <w:sz w:val="24"/>
          <w:szCs w:val="24"/>
        </w:rPr>
        <w:lastRenderedPageBreak/>
        <w:t>3.</w:t>
      </w:r>
      <w:r>
        <w:rPr>
          <w:sz w:val="24"/>
          <w:szCs w:val="24"/>
        </w:rPr>
        <w:tab/>
      </w:r>
      <w:r w:rsidR="001E7805">
        <w:rPr>
          <w:sz w:val="24"/>
          <w:szCs w:val="24"/>
        </w:rPr>
        <w:t xml:space="preserve">Complainant’s recorded consumption dropped starting in December 2012 but the charges listed on DLC’s billing statements increased starting in December 2012.  </w:t>
      </w:r>
      <w:proofErr w:type="gramStart"/>
      <w:r w:rsidR="001E7805">
        <w:rPr>
          <w:sz w:val="24"/>
          <w:szCs w:val="24"/>
        </w:rPr>
        <w:t xml:space="preserve">(Tr. </w:t>
      </w:r>
      <w:r w:rsidR="007B0BC7">
        <w:rPr>
          <w:sz w:val="24"/>
          <w:szCs w:val="24"/>
        </w:rPr>
        <w:t xml:space="preserve">24, 25; DLC Exhibit </w:t>
      </w:r>
      <w:r w:rsidR="009B4A87">
        <w:rPr>
          <w:sz w:val="24"/>
          <w:szCs w:val="24"/>
        </w:rPr>
        <w:t>3</w:t>
      </w:r>
      <w:r w:rsidR="007B0BC7">
        <w:rPr>
          <w:sz w:val="24"/>
          <w:szCs w:val="24"/>
        </w:rPr>
        <w:t>).</w:t>
      </w:r>
      <w:proofErr w:type="gramEnd"/>
    </w:p>
    <w:p w:rsidR="00AB2D65" w:rsidRDefault="00AB2D65" w:rsidP="00C44296">
      <w:pPr>
        <w:tabs>
          <w:tab w:val="left" w:pos="2160"/>
        </w:tabs>
        <w:ind w:firstLine="1440"/>
        <w:rPr>
          <w:sz w:val="24"/>
          <w:szCs w:val="24"/>
        </w:rPr>
      </w:pPr>
    </w:p>
    <w:p w:rsidR="00AB2D65" w:rsidRDefault="008C756D" w:rsidP="00C44296">
      <w:pPr>
        <w:tabs>
          <w:tab w:val="left" w:pos="2160"/>
        </w:tabs>
        <w:ind w:firstLine="1440"/>
        <w:rPr>
          <w:sz w:val="24"/>
          <w:szCs w:val="24"/>
        </w:rPr>
      </w:pPr>
      <w:r>
        <w:rPr>
          <w:sz w:val="24"/>
          <w:szCs w:val="24"/>
        </w:rPr>
        <w:t>4</w:t>
      </w:r>
      <w:r w:rsidR="00AB2D65">
        <w:rPr>
          <w:sz w:val="24"/>
          <w:szCs w:val="24"/>
        </w:rPr>
        <w:t>.</w:t>
      </w:r>
      <w:r w:rsidR="00AB2D65">
        <w:rPr>
          <w:sz w:val="24"/>
          <w:szCs w:val="24"/>
        </w:rPr>
        <w:tab/>
      </w:r>
      <w:r w:rsidR="00065149">
        <w:rPr>
          <w:sz w:val="24"/>
          <w:szCs w:val="24"/>
        </w:rPr>
        <w:t xml:space="preserve"> </w:t>
      </w:r>
      <w:r w:rsidR="007B0BC7">
        <w:rPr>
          <w:sz w:val="24"/>
          <w:szCs w:val="24"/>
        </w:rPr>
        <w:t xml:space="preserve">Complainant became a Customer Assistance Program (CAP) customer in 2011.  </w:t>
      </w:r>
      <w:proofErr w:type="gramStart"/>
      <w:r w:rsidR="007B0BC7">
        <w:rPr>
          <w:sz w:val="24"/>
          <w:szCs w:val="24"/>
        </w:rPr>
        <w:t>(Tr. 48).</w:t>
      </w:r>
      <w:proofErr w:type="gramEnd"/>
    </w:p>
    <w:p w:rsidR="00AB2D65" w:rsidRDefault="00AB2D65" w:rsidP="00C44296">
      <w:pPr>
        <w:tabs>
          <w:tab w:val="left" w:pos="2160"/>
        </w:tabs>
        <w:ind w:firstLine="1440"/>
        <w:rPr>
          <w:sz w:val="24"/>
          <w:szCs w:val="24"/>
        </w:rPr>
      </w:pPr>
    </w:p>
    <w:p w:rsidR="00AB2D65" w:rsidRDefault="008C756D" w:rsidP="00C44296">
      <w:pPr>
        <w:tabs>
          <w:tab w:val="left" w:pos="2160"/>
        </w:tabs>
        <w:ind w:firstLine="1440"/>
        <w:rPr>
          <w:sz w:val="24"/>
          <w:szCs w:val="24"/>
        </w:rPr>
      </w:pPr>
      <w:r>
        <w:rPr>
          <w:sz w:val="24"/>
          <w:szCs w:val="24"/>
        </w:rPr>
        <w:t>5</w:t>
      </w:r>
      <w:r w:rsidR="00AB2D65">
        <w:rPr>
          <w:sz w:val="24"/>
          <w:szCs w:val="24"/>
        </w:rPr>
        <w:t>.</w:t>
      </w:r>
      <w:r w:rsidR="00AB2D65">
        <w:rPr>
          <w:sz w:val="24"/>
          <w:szCs w:val="24"/>
        </w:rPr>
        <w:tab/>
        <w:t xml:space="preserve"> </w:t>
      </w:r>
      <w:r w:rsidR="007B0BC7">
        <w:rPr>
          <w:sz w:val="24"/>
          <w:szCs w:val="24"/>
        </w:rPr>
        <w:t>Initially, Complainant was to pay 30 percent (30%) of h</w:t>
      </w:r>
      <w:r w:rsidR="00F4197A">
        <w:rPr>
          <w:sz w:val="24"/>
          <w:szCs w:val="24"/>
        </w:rPr>
        <w:t>er monthly electric bill but starting in 2013</w:t>
      </w:r>
      <w:r w:rsidR="009C3281">
        <w:rPr>
          <w:sz w:val="24"/>
          <w:szCs w:val="24"/>
        </w:rPr>
        <w:t>,</w:t>
      </w:r>
      <w:r w:rsidR="00F4197A">
        <w:rPr>
          <w:sz w:val="24"/>
          <w:szCs w:val="24"/>
        </w:rPr>
        <w:t xml:space="preserve"> </w:t>
      </w:r>
      <w:r w:rsidR="007B0BC7">
        <w:rPr>
          <w:sz w:val="24"/>
          <w:szCs w:val="24"/>
        </w:rPr>
        <w:t>DLC required Complainant to pay 60 percent (60%) of her monthly electric bill after her monthly Supplemental Security Income (SSI) increased</w:t>
      </w:r>
      <w:r w:rsidR="00F4197A">
        <w:rPr>
          <w:sz w:val="24"/>
          <w:szCs w:val="24"/>
        </w:rPr>
        <w:t xml:space="preserve">.  </w:t>
      </w:r>
      <w:proofErr w:type="gramStart"/>
      <w:r w:rsidR="00F4197A">
        <w:rPr>
          <w:sz w:val="24"/>
          <w:szCs w:val="24"/>
        </w:rPr>
        <w:t>(Tr. 51-53, 65</w:t>
      </w:r>
      <w:r w:rsidR="007B0BC7">
        <w:rPr>
          <w:sz w:val="24"/>
          <w:szCs w:val="24"/>
        </w:rPr>
        <w:t>).</w:t>
      </w:r>
      <w:proofErr w:type="gramEnd"/>
    </w:p>
    <w:p w:rsidR="00E176E7" w:rsidRPr="00B73D10" w:rsidRDefault="00E176E7" w:rsidP="00C44296">
      <w:pPr>
        <w:tabs>
          <w:tab w:val="left" w:pos="2160"/>
        </w:tabs>
        <w:ind w:firstLine="1440"/>
        <w:rPr>
          <w:sz w:val="24"/>
          <w:szCs w:val="24"/>
        </w:rPr>
      </w:pPr>
    </w:p>
    <w:p w:rsidR="00AB2D65" w:rsidRDefault="008C756D" w:rsidP="00AB2D65">
      <w:pPr>
        <w:tabs>
          <w:tab w:val="left" w:pos="2160"/>
        </w:tabs>
        <w:ind w:firstLine="1440"/>
        <w:rPr>
          <w:sz w:val="24"/>
          <w:szCs w:val="24"/>
        </w:rPr>
      </w:pPr>
      <w:r>
        <w:rPr>
          <w:sz w:val="24"/>
          <w:szCs w:val="24"/>
        </w:rPr>
        <w:t>6</w:t>
      </w:r>
      <w:r w:rsidR="00AB2D65">
        <w:rPr>
          <w:sz w:val="24"/>
          <w:szCs w:val="24"/>
        </w:rPr>
        <w:t>.</w:t>
      </w:r>
      <w:r w:rsidR="00AB2D65">
        <w:rPr>
          <w:sz w:val="24"/>
          <w:szCs w:val="24"/>
        </w:rPr>
        <w:tab/>
      </w:r>
      <w:r w:rsidR="00F4197A">
        <w:rPr>
          <w:sz w:val="24"/>
          <w:szCs w:val="24"/>
        </w:rPr>
        <w:t xml:space="preserve">Complainant noticed the problem with her monthly billing statements doubling, despite her energy conservation efforts in 2013.  </w:t>
      </w:r>
      <w:proofErr w:type="gramStart"/>
      <w:r w:rsidR="00F4197A">
        <w:rPr>
          <w:sz w:val="24"/>
          <w:szCs w:val="24"/>
        </w:rPr>
        <w:t>(Tr. 24, 25, 53, 54).</w:t>
      </w:r>
      <w:proofErr w:type="gramEnd"/>
    </w:p>
    <w:p w:rsidR="00AB2D65" w:rsidRDefault="00AB2D65" w:rsidP="00AB2D65">
      <w:pPr>
        <w:tabs>
          <w:tab w:val="left" w:pos="2160"/>
        </w:tabs>
        <w:ind w:firstLine="1440"/>
        <w:rPr>
          <w:sz w:val="24"/>
          <w:szCs w:val="24"/>
        </w:rPr>
      </w:pPr>
    </w:p>
    <w:p w:rsidR="00AB2D65" w:rsidRDefault="008C756D" w:rsidP="00AB2D65">
      <w:pPr>
        <w:tabs>
          <w:tab w:val="left" w:pos="2160"/>
        </w:tabs>
        <w:ind w:firstLine="1440"/>
        <w:rPr>
          <w:sz w:val="24"/>
          <w:szCs w:val="24"/>
        </w:rPr>
      </w:pPr>
      <w:r>
        <w:rPr>
          <w:sz w:val="24"/>
          <w:szCs w:val="24"/>
        </w:rPr>
        <w:t>7</w:t>
      </w:r>
      <w:r w:rsidR="00AB2D65">
        <w:rPr>
          <w:sz w:val="24"/>
          <w:szCs w:val="24"/>
        </w:rPr>
        <w:t>.</w:t>
      </w:r>
      <w:r w:rsidR="00AB2D65">
        <w:rPr>
          <w:sz w:val="24"/>
          <w:szCs w:val="24"/>
        </w:rPr>
        <w:tab/>
      </w:r>
      <w:r w:rsidR="00F4197A">
        <w:rPr>
          <w:sz w:val="24"/>
          <w:szCs w:val="24"/>
        </w:rPr>
        <w:t>Currently, Complainant receives $743 in monthly SSI payments</w:t>
      </w:r>
      <w:r w:rsidR="009C3281">
        <w:rPr>
          <w:sz w:val="24"/>
          <w:szCs w:val="24"/>
        </w:rPr>
        <w:t>.</w:t>
      </w:r>
      <w:r w:rsidR="00F4197A">
        <w:rPr>
          <w:sz w:val="24"/>
          <w:szCs w:val="24"/>
        </w:rPr>
        <w:t xml:space="preserve"> </w:t>
      </w:r>
      <w:r w:rsidR="009C3281">
        <w:rPr>
          <w:sz w:val="24"/>
          <w:szCs w:val="24"/>
        </w:rPr>
        <w:t xml:space="preserve"> </w:t>
      </w:r>
      <w:proofErr w:type="gramStart"/>
      <w:r w:rsidR="00F4197A">
        <w:rPr>
          <w:sz w:val="24"/>
          <w:szCs w:val="24"/>
        </w:rPr>
        <w:t>(Tr. 52).</w:t>
      </w:r>
      <w:proofErr w:type="gramEnd"/>
    </w:p>
    <w:p w:rsidR="00AB2D65" w:rsidRDefault="00AB2D65" w:rsidP="00AB2D65">
      <w:pPr>
        <w:tabs>
          <w:tab w:val="left" w:pos="2160"/>
        </w:tabs>
        <w:ind w:firstLine="1440"/>
        <w:rPr>
          <w:sz w:val="24"/>
          <w:szCs w:val="24"/>
        </w:rPr>
      </w:pPr>
    </w:p>
    <w:p w:rsidR="00AB2D65" w:rsidRDefault="00850505" w:rsidP="00AB2D65">
      <w:pPr>
        <w:tabs>
          <w:tab w:val="left" w:pos="2160"/>
        </w:tabs>
        <w:ind w:firstLine="1440"/>
        <w:rPr>
          <w:sz w:val="24"/>
          <w:szCs w:val="24"/>
        </w:rPr>
      </w:pPr>
      <w:r>
        <w:rPr>
          <w:sz w:val="24"/>
          <w:szCs w:val="24"/>
        </w:rPr>
        <w:t>8</w:t>
      </w:r>
      <w:r w:rsidR="00AB2D65">
        <w:rPr>
          <w:sz w:val="24"/>
          <w:szCs w:val="24"/>
        </w:rPr>
        <w:t>.</w:t>
      </w:r>
      <w:r w:rsidR="00AB2D65">
        <w:rPr>
          <w:sz w:val="24"/>
          <w:szCs w:val="24"/>
        </w:rPr>
        <w:tab/>
      </w:r>
      <w:r w:rsidR="006D53B0">
        <w:rPr>
          <w:sz w:val="24"/>
          <w:szCs w:val="24"/>
        </w:rPr>
        <w:t xml:space="preserve">Since December 2012, Complainant has paid only $20 or $22 each month because that was the amount she was accustomed to paying and was the amount she thought she should have to pay, although the billing statements listed higher </w:t>
      </w:r>
      <w:r w:rsidR="00894A11">
        <w:rPr>
          <w:sz w:val="24"/>
          <w:szCs w:val="24"/>
        </w:rPr>
        <w:t xml:space="preserve">amounts to be paid.  </w:t>
      </w:r>
      <w:proofErr w:type="gramStart"/>
      <w:r w:rsidR="00894A11">
        <w:rPr>
          <w:sz w:val="24"/>
          <w:szCs w:val="24"/>
        </w:rPr>
        <w:t>(Tr. 65</w:t>
      </w:r>
      <w:r w:rsidR="006D53B0">
        <w:rPr>
          <w:sz w:val="24"/>
          <w:szCs w:val="24"/>
        </w:rPr>
        <w:t>-69</w:t>
      </w:r>
      <w:r w:rsidR="00894A11">
        <w:rPr>
          <w:sz w:val="24"/>
          <w:szCs w:val="24"/>
        </w:rPr>
        <w:t>; DLC Exhibit 5</w:t>
      </w:r>
      <w:r w:rsidR="006D53B0">
        <w:rPr>
          <w:sz w:val="24"/>
          <w:szCs w:val="24"/>
        </w:rPr>
        <w:t>).</w:t>
      </w:r>
      <w:proofErr w:type="gramEnd"/>
    </w:p>
    <w:p w:rsidR="00AB2D65" w:rsidRDefault="00AB2D65" w:rsidP="00AB2D65">
      <w:pPr>
        <w:tabs>
          <w:tab w:val="left" w:pos="2160"/>
        </w:tabs>
        <w:ind w:firstLine="1440"/>
        <w:rPr>
          <w:sz w:val="24"/>
          <w:szCs w:val="24"/>
        </w:rPr>
      </w:pPr>
    </w:p>
    <w:p w:rsidR="00AB2D65" w:rsidRDefault="00850505" w:rsidP="00AB2D65">
      <w:pPr>
        <w:tabs>
          <w:tab w:val="left" w:pos="2160"/>
        </w:tabs>
        <w:ind w:firstLine="1440"/>
        <w:rPr>
          <w:sz w:val="24"/>
          <w:szCs w:val="24"/>
        </w:rPr>
      </w:pPr>
      <w:r>
        <w:rPr>
          <w:sz w:val="24"/>
          <w:szCs w:val="24"/>
        </w:rPr>
        <w:t>9</w:t>
      </w:r>
      <w:r w:rsidR="00AB2D65">
        <w:rPr>
          <w:sz w:val="24"/>
          <w:szCs w:val="24"/>
        </w:rPr>
        <w:t>.</w:t>
      </w:r>
      <w:r w:rsidR="00AB2D65">
        <w:rPr>
          <w:sz w:val="24"/>
          <w:szCs w:val="24"/>
        </w:rPr>
        <w:tab/>
      </w:r>
      <w:r w:rsidR="00F6546D">
        <w:rPr>
          <w:sz w:val="24"/>
          <w:szCs w:val="24"/>
        </w:rPr>
        <w:t>DLC determines the CAP payment a CAP customer must pay each month based on a twelve-month average of electric usage.  Each month, DLC determines the average usage over the last twelve months.  (Tr. 79</w:t>
      </w:r>
      <w:r w:rsidR="00AE23FD">
        <w:rPr>
          <w:sz w:val="24"/>
          <w:szCs w:val="24"/>
        </w:rPr>
        <w:t>, 85-89</w:t>
      </w:r>
      <w:r w:rsidR="00F6546D">
        <w:rPr>
          <w:sz w:val="24"/>
          <w:szCs w:val="24"/>
        </w:rPr>
        <w:t>).</w:t>
      </w:r>
    </w:p>
    <w:p w:rsidR="00AB2D65" w:rsidRDefault="00AB2D65" w:rsidP="00AB2D65">
      <w:pPr>
        <w:tabs>
          <w:tab w:val="left" w:pos="2160"/>
        </w:tabs>
        <w:ind w:firstLine="1440"/>
        <w:rPr>
          <w:sz w:val="24"/>
          <w:szCs w:val="24"/>
        </w:rPr>
      </w:pPr>
    </w:p>
    <w:p w:rsidR="001056A1" w:rsidRPr="00B73D10" w:rsidRDefault="008C756D" w:rsidP="00AB2D65">
      <w:pPr>
        <w:tabs>
          <w:tab w:val="left" w:pos="2160"/>
        </w:tabs>
        <w:ind w:firstLine="1440"/>
        <w:rPr>
          <w:sz w:val="24"/>
          <w:szCs w:val="24"/>
        </w:rPr>
      </w:pPr>
      <w:r>
        <w:rPr>
          <w:sz w:val="24"/>
          <w:szCs w:val="24"/>
        </w:rPr>
        <w:t>1</w:t>
      </w:r>
      <w:r w:rsidR="00850505">
        <w:rPr>
          <w:sz w:val="24"/>
          <w:szCs w:val="24"/>
        </w:rPr>
        <w:t>0</w:t>
      </w:r>
      <w:r w:rsidR="00AB2D65">
        <w:rPr>
          <w:sz w:val="24"/>
          <w:szCs w:val="24"/>
        </w:rPr>
        <w:t>.</w:t>
      </w:r>
      <w:r w:rsidR="00AB2D65">
        <w:rPr>
          <w:sz w:val="24"/>
          <w:szCs w:val="24"/>
        </w:rPr>
        <w:tab/>
      </w:r>
      <w:r w:rsidR="00F6546D">
        <w:rPr>
          <w:sz w:val="24"/>
          <w:szCs w:val="24"/>
        </w:rPr>
        <w:t xml:space="preserve">Complainant generally pays DLC monthly but, since December 2012, Complainant has paid less than the amount listed to pay on her monthly billing statements.  </w:t>
      </w:r>
      <w:r w:rsidR="00193064">
        <w:rPr>
          <w:sz w:val="24"/>
          <w:szCs w:val="24"/>
        </w:rPr>
        <w:t xml:space="preserve">   </w:t>
      </w:r>
      <w:proofErr w:type="gramStart"/>
      <w:r w:rsidR="00F6546D">
        <w:rPr>
          <w:sz w:val="24"/>
          <w:szCs w:val="24"/>
        </w:rPr>
        <w:t>(Tr. 65, 82</w:t>
      </w:r>
      <w:r w:rsidR="00C27B5E">
        <w:rPr>
          <w:sz w:val="24"/>
          <w:szCs w:val="24"/>
        </w:rPr>
        <w:t>, 83</w:t>
      </w:r>
      <w:r w:rsidR="00894A11">
        <w:rPr>
          <w:sz w:val="24"/>
          <w:szCs w:val="24"/>
        </w:rPr>
        <w:t>; DLC Exhibit 5</w:t>
      </w:r>
      <w:r w:rsidR="00F6546D">
        <w:rPr>
          <w:sz w:val="24"/>
          <w:szCs w:val="24"/>
        </w:rPr>
        <w:t>).</w:t>
      </w:r>
      <w:proofErr w:type="gramEnd"/>
    </w:p>
    <w:p w:rsidR="001056A1" w:rsidRDefault="001056A1" w:rsidP="001056A1">
      <w:pPr>
        <w:tabs>
          <w:tab w:val="left" w:pos="2160"/>
        </w:tabs>
        <w:ind w:firstLine="1440"/>
        <w:rPr>
          <w:sz w:val="24"/>
          <w:szCs w:val="24"/>
        </w:rPr>
      </w:pPr>
    </w:p>
    <w:p w:rsidR="00B51F32" w:rsidRDefault="00850505" w:rsidP="00B51F32">
      <w:pPr>
        <w:tabs>
          <w:tab w:val="left" w:pos="2160"/>
        </w:tabs>
        <w:ind w:firstLine="1440"/>
        <w:rPr>
          <w:sz w:val="24"/>
          <w:szCs w:val="24"/>
        </w:rPr>
      </w:pPr>
      <w:r>
        <w:rPr>
          <w:sz w:val="24"/>
          <w:szCs w:val="24"/>
        </w:rPr>
        <w:lastRenderedPageBreak/>
        <w:t>11</w:t>
      </w:r>
      <w:r w:rsidR="001056A1">
        <w:rPr>
          <w:sz w:val="24"/>
          <w:szCs w:val="24"/>
        </w:rPr>
        <w:t>.</w:t>
      </w:r>
      <w:r w:rsidR="001056A1">
        <w:rPr>
          <w:sz w:val="24"/>
          <w:szCs w:val="24"/>
        </w:rPr>
        <w:tab/>
      </w:r>
      <w:r w:rsidR="00C27B5E">
        <w:rPr>
          <w:sz w:val="24"/>
          <w:szCs w:val="24"/>
        </w:rPr>
        <w:t xml:space="preserve">Because Complainant has only paid a portion of her monthly bills since December 2012 and because her CAP percentage increased in 2013, her current CAP arrears total $238.39 as of the date of the administrative hearing.  </w:t>
      </w:r>
      <w:proofErr w:type="gramStart"/>
      <w:r w:rsidR="00C27B5E">
        <w:rPr>
          <w:sz w:val="24"/>
          <w:szCs w:val="24"/>
        </w:rPr>
        <w:t>(Tr. 83; DLC Exhibit 5).</w:t>
      </w:r>
      <w:proofErr w:type="gramEnd"/>
    </w:p>
    <w:p w:rsidR="001056A1" w:rsidRDefault="001056A1" w:rsidP="001056A1">
      <w:pPr>
        <w:tabs>
          <w:tab w:val="left" w:pos="2160"/>
        </w:tabs>
        <w:ind w:firstLine="1440"/>
        <w:rPr>
          <w:sz w:val="24"/>
          <w:szCs w:val="24"/>
        </w:rPr>
      </w:pPr>
    </w:p>
    <w:p w:rsidR="00C44296" w:rsidRPr="00B73D10" w:rsidRDefault="008C756D" w:rsidP="00253ECF">
      <w:pPr>
        <w:tabs>
          <w:tab w:val="left" w:pos="2160"/>
        </w:tabs>
        <w:ind w:firstLine="1440"/>
        <w:rPr>
          <w:sz w:val="24"/>
          <w:szCs w:val="24"/>
        </w:rPr>
      </w:pPr>
      <w:r>
        <w:rPr>
          <w:sz w:val="24"/>
          <w:szCs w:val="24"/>
        </w:rPr>
        <w:t>1</w:t>
      </w:r>
      <w:r w:rsidR="00850505">
        <w:rPr>
          <w:sz w:val="24"/>
          <w:szCs w:val="24"/>
        </w:rPr>
        <w:t>2</w:t>
      </w:r>
      <w:r w:rsidR="001056A1">
        <w:rPr>
          <w:sz w:val="24"/>
          <w:szCs w:val="24"/>
        </w:rPr>
        <w:t>.</w:t>
      </w:r>
      <w:r w:rsidR="001056A1">
        <w:rPr>
          <w:sz w:val="24"/>
          <w:szCs w:val="24"/>
        </w:rPr>
        <w:tab/>
      </w:r>
      <w:r w:rsidR="00C44296" w:rsidRPr="00B73D10">
        <w:rPr>
          <w:sz w:val="24"/>
          <w:szCs w:val="24"/>
        </w:rPr>
        <w:t xml:space="preserve">On </w:t>
      </w:r>
      <w:r w:rsidR="005D1E58">
        <w:rPr>
          <w:sz w:val="24"/>
          <w:szCs w:val="24"/>
        </w:rPr>
        <w:t>February 26, 2014</w:t>
      </w:r>
      <w:r w:rsidR="00C44296" w:rsidRPr="00B73D10">
        <w:rPr>
          <w:sz w:val="24"/>
          <w:szCs w:val="24"/>
        </w:rPr>
        <w:t xml:space="preserve">, </w:t>
      </w:r>
      <w:r w:rsidR="00FF4A00">
        <w:rPr>
          <w:sz w:val="24"/>
          <w:szCs w:val="24"/>
        </w:rPr>
        <w:t>Complainant</w:t>
      </w:r>
      <w:r w:rsidR="00C44296" w:rsidRPr="00B73D10">
        <w:rPr>
          <w:sz w:val="24"/>
          <w:szCs w:val="24"/>
        </w:rPr>
        <w:t xml:space="preserve"> filed a formal complaint </w:t>
      </w:r>
      <w:r w:rsidR="005D1E58">
        <w:rPr>
          <w:sz w:val="24"/>
          <w:szCs w:val="24"/>
        </w:rPr>
        <w:t>with the Commission against DLC</w:t>
      </w:r>
      <w:r w:rsidR="001E6855">
        <w:rPr>
          <w:sz w:val="24"/>
          <w:szCs w:val="24"/>
        </w:rPr>
        <w:t xml:space="preserve">.  </w:t>
      </w:r>
      <w:r w:rsidR="00AB68B6">
        <w:rPr>
          <w:sz w:val="24"/>
          <w:szCs w:val="24"/>
        </w:rPr>
        <w:t xml:space="preserve">  </w:t>
      </w:r>
    </w:p>
    <w:p w:rsidR="00B45783" w:rsidRDefault="00B45783">
      <w:pPr>
        <w:rPr>
          <w:sz w:val="24"/>
          <w:szCs w:val="24"/>
        </w:rPr>
      </w:pPr>
    </w:p>
    <w:p w:rsidR="00DE2949" w:rsidRPr="00FB448C" w:rsidRDefault="00DE2949">
      <w:pPr>
        <w:jc w:val="center"/>
        <w:rPr>
          <w:sz w:val="24"/>
          <w:szCs w:val="24"/>
        </w:rPr>
      </w:pPr>
      <w:r w:rsidRPr="00FB448C">
        <w:rPr>
          <w:sz w:val="24"/>
          <w:szCs w:val="24"/>
          <w:u w:val="single"/>
        </w:rPr>
        <w:t>DISCUSSION</w:t>
      </w:r>
    </w:p>
    <w:p w:rsidR="00DE2949" w:rsidRPr="00FB448C" w:rsidRDefault="00DE2949">
      <w:pPr>
        <w:jc w:val="center"/>
        <w:rPr>
          <w:sz w:val="24"/>
          <w:szCs w:val="24"/>
        </w:rPr>
      </w:pPr>
    </w:p>
    <w:p w:rsidR="00C354E5" w:rsidRPr="00FB448C" w:rsidRDefault="00C354E5" w:rsidP="00C354E5">
      <w:pPr>
        <w:tabs>
          <w:tab w:val="left" w:pos="-1440"/>
          <w:tab w:val="left" w:pos="-720"/>
        </w:tabs>
        <w:suppressAutoHyphens/>
        <w:rPr>
          <w:spacing w:val="-3"/>
          <w:sz w:val="24"/>
          <w:szCs w:val="24"/>
        </w:rPr>
      </w:pPr>
      <w:r w:rsidRPr="00FB448C">
        <w:rPr>
          <w:sz w:val="24"/>
          <w:szCs w:val="24"/>
        </w:rPr>
        <w:tab/>
      </w:r>
      <w:r w:rsidRPr="00FB448C">
        <w:rPr>
          <w:sz w:val="24"/>
          <w:szCs w:val="24"/>
        </w:rPr>
        <w:tab/>
      </w:r>
      <w:r w:rsidR="00A40F64" w:rsidRPr="00FB448C">
        <w:rPr>
          <w:sz w:val="24"/>
          <w:szCs w:val="24"/>
        </w:rPr>
        <w:t xml:space="preserve">In this matter, </w:t>
      </w:r>
      <w:r w:rsidRPr="00FB448C">
        <w:rPr>
          <w:sz w:val="24"/>
          <w:szCs w:val="24"/>
        </w:rPr>
        <w:t xml:space="preserve">Complainant </w:t>
      </w:r>
      <w:r w:rsidR="00846253">
        <w:rPr>
          <w:sz w:val="24"/>
          <w:szCs w:val="24"/>
        </w:rPr>
        <w:t xml:space="preserve">originally </w:t>
      </w:r>
      <w:r w:rsidRPr="00FB448C">
        <w:rPr>
          <w:sz w:val="24"/>
          <w:szCs w:val="24"/>
        </w:rPr>
        <w:t>allege</w:t>
      </w:r>
      <w:r w:rsidR="00846253">
        <w:rPr>
          <w:sz w:val="24"/>
          <w:szCs w:val="24"/>
        </w:rPr>
        <w:t>d</w:t>
      </w:r>
      <w:r w:rsidRPr="00FB448C">
        <w:rPr>
          <w:sz w:val="24"/>
          <w:szCs w:val="24"/>
        </w:rPr>
        <w:t xml:space="preserve"> </w:t>
      </w:r>
      <w:r w:rsidR="00E176E7">
        <w:rPr>
          <w:sz w:val="24"/>
          <w:szCs w:val="24"/>
        </w:rPr>
        <w:t>DLC</w:t>
      </w:r>
      <w:r w:rsidR="00AB68B6">
        <w:rPr>
          <w:sz w:val="24"/>
          <w:szCs w:val="24"/>
        </w:rPr>
        <w:t xml:space="preserve"> issued </w:t>
      </w:r>
      <w:r w:rsidR="00846253">
        <w:rPr>
          <w:sz w:val="24"/>
          <w:szCs w:val="24"/>
        </w:rPr>
        <w:t xml:space="preserve">billing statements that </w:t>
      </w:r>
      <w:r w:rsidR="005B3461">
        <w:rPr>
          <w:sz w:val="24"/>
          <w:szCs w:val="24"/>
        </w:rPr>
        <w:t xml:space="preserve">contained incorrect information, </w:t>
      </w:r>
      <w:r w:rsidR="00846253">
        <w:rPr>
          <w:sz w:val="24"/>
          <w:szCs w:val="24"/>
        </w:rPr>
        <w:t xml:space="preserve">required her to make payments </w:t>
      </w:r>
      <w:r w:rsidR="00AB68B6">
        <w:rPr>
          <w:sz w:val="24"/>
          <w:szCs w:val="24"/>
        </w:rPr>
        <w:t>that exceed</w:t>
      </w:r>
      <w:r w:rsidR="00846253">
        <w:rPr>
          <w:sz w:val="24"/>
          <w:szCs w:val="24"/>
        </w:rPr>
        <w:t>ed</w:t>
      </w:r>
      <w:r w:rsidR="00AB68B6">
        <w:rPr>
          <w:sz w:val="24"/>
          <w:szCs w:val="24"/>
        </w:rPr>
        <w:t xml:space="preserve"> her ability to pay</w:t>
      </w:r>
      <w:r w:rsidR="005B3461">
        <w:rPr>
          <w:sz w:val="24"/>
          <w:szCs w:val="24"/>
        </w:rPr>
        <w:t xml:space="preserve"> and DLC was threatening to terminate service</w:t>
      </w:r>
      <w:r w:rsidRPr="00FB448C">
        <w:rPr>
          <w:spacing w:val="-3"/>
          <w:sz w:val="24"/>
          <w:szCs w:val="24"/>
        </w:rPr>
        <w:t xml:space="preserve">.  </w:t>
      </w:r>
      <w:r w:rsidR="005B3461">
        <w:rPr>
          <w:spacing w:val="-3"/>
          <w:sz w:val="24"/>
          <w:szCs w:val="24"/>
        </w:rPr>
        <w:t xml:space="preserve">Prior to the start of the hearing, the parties discussed the issues and agreed DLC no longer wished to pursue termination of service.  </w:t>
      </w:r>
      <w:r w:rsidR="00846253">
        <w:rPr>
          <w:spacing w:val="-3"/>
          <w:sz w:val="24"/>
          <w:szCs w:val="24"/>
        </w:rPr>
        <w:t xml:space="preserve">Complainant </w:t>
      </w:r>
      <w:r w:rsidR="005B3461">
        <w:rPr>
          <w:spacing w:val="-3"/>
          <w:sz w:val="24"/>
          <w:szCs w:val="24"/>
        </w:rPr>
        <w:t>continues to allege</w:t>
      </w:r>
      <w:r w:rsidR="00846253">
        <w:rPr>
          <w:spacing w:val="-3"/>
          <w:sz w:val="24"/>
          <w:szCs w:val="24"/>
        </w:rPr>
        <w:t xml:space="preserve"> the billing statements are incorrect and confusing.  </w:t>
      </w:r>
      <w:r w:rsidR="001E7805">
        <w:rPr>
          <w:spacing w:val="-3"/>
          <w:sz w:val="24"/>
          <w:szCs w:val="24"/>
        </w:rPr>
        <w:t xml:space="preserve">She argued she reduced her consumption but DLC’s monthly bills kept increasing.  </w:t>
      </w:r>
      <w:r w:rsidR="00A40F64" w:rsidRPr="00FB448C">
        <w:rPr>
          <w:sz w:val="24"/>
          <w:szCs w:val="24"/>
        </w:rPr>
        <w:t>Complainant request</w:t>
      </w:r>
      <w:r w:rsidR="00C44296">
        <w:rPr>
          <w:sz w:val="24"/>
          <w:szCs w:val="24"/>
        </w:rPr>
        <w:t>s the Commission</w:t>
      </w:r>
      <w:r w:rsidR="00846253">
        <w:rPr>
          <w:sz w:val="24"/>
          <w:szCs w:val="24"/>
        </w:rPr>
        <w:t xml:space="preserve"> </w:t>
      </w:r>
      <w:r w:rsidR="00F4197A">
        <w:rPr>
          <w:sz w:val="24"/>
          <w:szCs w:val="24"/>
        </w:rPr>
        <w:t xml:space="preserve">be fair and require DLC to lower the amount she owes because she is doing what the Commission </w:t>
      </w:r>
      <w:r w:rsidR="00810B84">
        <w:rPr>
          <w:sz w:val="24"/>
          <w:szCs w:val="24"/>
        </w:rPr>
        <w:t>wants her to do as a consumer which is t</w:t>
      </w:r>
      <w:r w:rsidR="00F4197A">
        <w:rPr>
          <w:sz w:val="24"/>
          <w:szCs w:val="24"/>
        </w:rPr>
        <w:t>o lower her consumption</w:t>
      </w:r>
      <w:r w:rsidR="00E176E7">
        <w:rPr>
          <w:sz w:val="24"/>
          <w:szCs w:val="24"/>
        </w:rPr>
        <w:t>.</w:t>
      </w:r>
    </w:p>
    <w:p w:rsidR="00C354E5" w:rsidRPr="00FB448C" w:rsidRDefault="00C354E5" w:rsidP="00DE2949">
      <w:pPr>
        <w:tabs>
          <w:tab w:val="left" w:pos="-1440"/>
          <w:tab w:val="left" w:pos="-720"/>
        </w:tabs>
        <w:suppressAutoHyphens/>
        <w:rPr>
          <w:sz w:val="24"/>
          <w:szCs w:val="24"/>
        </w:rPr>
      </w:pPr>
    </w:p>
    <w:p w:rsidR="00DE2949" w:rsidRDefault="001760E3" w:rsidP="00DE2949">
      <w:pPr>
        <w:tabs>
          <w:tab w:val="left" w:pos="-1440"/>
          <w:tab w:val="left" w:pos="-720"/>
        </w:tabs>
        <w:suppressAutoHyphens/>
        <w:rPr>
          <w:spacing w:val="-3"/>
          <w:sz w:val="24"/>
          <w:szCs w:val="24"/>
        </w:rPr>
      </w:pPr>
      <w:r w:rsidRPr="00FB448C">
        <w:rPr>
          <w:spacing w:val="-3"/>
          <w:sz w:val="24"/>
          <w:szCs w:val="24"/>
        </w:rPr>
        <w:tab/>
      </w:r>
      <w:r w:rsidRPr="00FB448C">
        <w:rPr>
          <w:spacing w:val="-3"/>
          <w:sz w:val="24"/>
          <w:szCs w:val="24"/>
        </w:rPr>
        <w:tab/>
      </w:r>
      <w:r w:rsidR="00AA3795" w:rsidRPr="00FB448C">
        <w:rPr>
          <w:spacing w:val="-3"/>
          <w:sz w:val="24"/>
          <w:szCs w:val="24"/>
        </w:rPr>
        <w:t>Complainant</w:t>
      </w:r>
      <w:r w:rsidR="00C44296">
        <w:rPr>
          <w:spacing w:val="-3"/>
          <w:sz w:val="24"/>
          <w:szCs w:val="24"/>
        </w:rPr>
        <w:t xml:space="preserve">, who appeared </w:t>
      </w:r>
      <w:r w:rsidR="00C44296" w:rsidRPr="00C44296">
        <w:rPr>
          <w:i/>
          <w:spacing w:val="-3"/>
          <w:sz w:val="24"/>
          <w:szCs w:val="24"/>
        </w:rPr>
        <w:t>pro se</w:t>
      </w:r>
      <w:r w:rsidR="00C44296">
        <w:rPr>
          <w:spacing w:val="-3"/>
          <w:sz w:val="24"/>
          <w:szCs w:val="24"/>
        </w:rPr>
        <w:t xml:space="preserve">, did not move to </w:t>
      </w:r>
      <w:r w:rsidR="00A75695" w:rsidRPr="00FB448C">
        <w:rPr>
          <w:spacing w:val="-3"/>
          <w:sz w:val="24"/>
          <w:szCs w:val="24"/>
        </w:rPr>
        <w:t>admit</w:t>
      </w:r>
      <w:r w:rsidR="00C44296">
        <w:rPr>
          <w:spacing w:val="-3"/>
          <w:sz w:val="24"/>
          <w:szCs w:val="24"/>
        </w:rPr>
        <w:t xml:space="preserve"> any</w:t>
      </w:r>
      <w:r w:rsidR="00AA3795" w:rsidRPr="00FB448C">
        <w:rPr>
          <w:spacing w:val="-3"/>
          <w:sz w:val="24"/>
          <w:szCs w:val="24"/>
        </w:rPr>
        <w:t xml:space="preserve"> exhibits</w:t>
      </w:r>
      <w:r w:rsidR="00881239" w:rsidRPr="00FB448C">
        <w:rPr>
          <w:spacing w:val="-3"/>
          <w:sz w:val="24"/>
          <w:szCs w:val="24"/>
        </w:rPr>
        <w:t xml:space="preserve">.  </w:t>
      </w:r>
      <w:r w:rsidR="00C44296">
        <w:rPr>
          <w:spacing w:val="-3"/>
          <w:sz w:val="24"/>
          <w:szCs w:val="24"/>
        </w:rPr>
        <w:t xml:space="preserve">Respondent presented </w:t>
      </w:r>
      <w:r w:rsidR="006C0841">
        <w:rPr>
          <w:spacing w:val="-3"/>
          <w:sz w:val="24"/>
          <w:szCs w:val="24"/>
        </w:rPr>
        <w:t>one</w:t>
      </w:r>
      <w:r w:rsidR="00065149">
        <w:rPr>
          <w:spacing w:val="-3"/>
          <w:sz w:val="24"/>
          <w:szCs w:val="24"/>
        </w:rPr>
        <w:t xml:space="preserve"> witness</w:t>
      </w:r>
      <w:r w:rsidR="00C44296">
        <w:rPr>
          <w:spacing w:val="-3"/>
          <w:sz w:val="24"/>
          <w:szCs w:val="24"/>
        </w:rPr>
        <w:t xml:space="preserve"> in support of its position</w:t>
      </w:r>
      <w:r w:rsidR="00850505">
        <w:rPr>
          <w:spacing w:val="-3"/>
          <w:sz w:val="24"/>
          <w:szCs w:val="24"/>
        </w:rPr>
        <w:t xml:space="preserve"> and m</w:t>
      </w:r>
      <w:r w:rsidR="00C44296">
        <w:rPr>
          <w:spacing w:val="-3"/>
          <w:sz w:val="24"/>
          <w:szCs w:val="24"/>
        </w:rPr>
        <w:t xml:space="preserve">oved to admit </w:t>
      </w:r>
      <w:r w:rsidR="006C0841">
        <w:rPr>
          <w:spacing w:val="-3"/>
          <w:sz w:val="24"/>
          <w:szCs w:val="24"/>
        </w:rPr>
        <w:t>four</w:t>
      </w:r>
      <w:r w:rsidR="00C44296">
        <w:rPr>
          <w:spacing w:val="-3"/>
          <w:sz w:val="24"/>
          <w:szCs w:val="24"/>
        </w:rPr>
        <w:t xml:space="preserve"> exhibits</w:t>
      </w:r>
      <w:r w:rsidR="00065149">
        <w:rPr>
          <w:spacing w:val="-3"/>
          <w:sz w:val="24"/>
          <w:szCs w:val="24"/>
        </w:rPr>
        <w:t xml:space="preserve">, </w:t>
      </w:r>
      <w:r w:rsidR="00C44296">
        <w:rPr>
          <w:spacing w:val="-3"/>
          <w:sz w:val="24"/>
          <w:szCs w:val="24"/>
        </w:rPr>
        <w:t>which exhibits were admitted without objection.</w:t>
      </w:r>
    </w:p>
    <w:p w:rsidR="00C44296" w:rsidRDefault="00C44296" w:rsidP="00DE2949">
      <w:pPr>
        <w:tabs>
          <w:tab w:val="left" w:pos="-1440"/>
          <w:tab w:val="left" w:pos="-720"/>
        </w:tabs>
        <w:suppressAutoHyphens/>
        <w:rPr>
          <w:spacing w:val="-3"/>
          <w:sz w:val="24"/>
          <w:szCs w:val="24"/>
        </w:rPr>
      </w:pPr>
    </w:p>
    <w:p w:rsidR="00C44296" w:rsidRDefault="00C44296" w:rsidP="00DE2949">
      <w:pPr>
        <w:tabs>
          <w:tab w:val="left" w:pos="-1440"/>
          <w:tab w:val="left" w:pos="-720"/>
        </w:tabs>
        <w:suppressAutoHyphens/>
        <w:rPr>
          <w:spacing w:val="-3"/>
          <w:sz w:val="24"/>
          <w:szCs w:val="24"/>
        </w:rPr>
      </w:pPr>
      <w:r>
        <w:rPr>
          <w:spacing w:val="-3"/>
          <w:sz w:val="24"/>
          <w:szCs w:val="24"/>
        </w:rPr>
        <w:tab/>
      </w:r>
      <w:r>
        <w:rPr>
          <w:spacing w:val="-3"/>
          <w:sz w:val="24"/>
          <w:szCs w:val="24"/>
        </w:rPr>
        <w:tab/>
        <w:t>Complainant testified</w:t>
      </w:r>
      <w:r w:rsidR="00AB68B6">
        <w:rPr>
          <w:spacing w:val="-3"/>
          <w:sz w:val="24"/>
          <w:szCs w:val="24"/>
        </w:rPr>
        <w:t xml:space="preserve"> </w:t>
      </w:r>
      <w:r w:rsidR="006D53B0">
        <w:rPr>
          <w:spacing w:val="-3"/>
          <w:sz w:val="24"/>
          <w:szCs w:val="24"/>
        </w:rPr>
        <w:t>she would “like to know if they’re [the Commission] telling me to reduce [my] energy usage, and I’m doing that in the household and the graphs reflect that, showing me that whatever it is I’m doing is working, that the charge should show the same.  And I’d just like the charge to match my efforts to try to reduce the energy usage.”</w:t>
      </w:r>
      <w:r w:rsidR="006D53B0">
        <w:rPr>
          <w:rStyle w:val="FootnoteReference"/>
          <w:spacing w:val="-3"/>
          <w:sz w:val="24"/>
          <w:szCs w:val="24"/>
        </w:rPr>
        <w:footnoteReference w:id="1"/>
      </w:r>
      <w:r w:rsidR="006D53B0">
        <w:rPr>
          <w:spacing w:val="-3"/>
          <w:sz w:val="24"/>
          <w:szCs w:val="24"/>
        </w:rPr>
        <w:t xml:space="preserve">  </w:t>
      </w:r>
      <w:r w:rsidR="00253ECF">
        <w:rPr>
          <w:spacing w:val="-3"/>
          <w:sz w:val="24"/>
          <w:szCs w:val="24"/>
        </w:rPr>
        <w:t xml:space="preserve">In her final statement at the conclusion of the hearing, Complainant admitted she understood the billing statements having had them explained during the hearing, but she continued to maintain the amount </w:t>
      </w:r>
      <w:r w:rsidR="00253ECF">
        <w:rPr>
          <w:spacing w:val="-3"/>
          <w:sz w:val="24"/>
          <w:szCs w:val="24"/>
        </w:rPr>
        <w:lastRenderedPageBreak/>
        <w:t>she must pay each month seems in excess of what it should be, given the sharp decrease in her consumption.</w:t>
      </w:r>
    </w:p>
    <w:p w:rsidR="00065149" w:rsidRDefault="00065149" w:rsidP="00DE2949">
      <w:pPr>
        <w:tabs>
          <w:tab w:val="left" w:pos="-1440"/>
          <w:tab w:val="left" w:pos="-720"/>
        </w:tabs>
        <w:suppressAutoHyphens/>
        <w:rPr>
          <w:spacing w:val="-3"/>
          <w:sz w:val="24"/>
          <w:szCs w:val="24"/>
        </w:rPr>
      </w:pPr>
    </w:p>
    <w:p w:rsidR="00065149" w:rsidRDefault="00253ECF" w:rsidP="00386F30">
      <w:pPr>
        <w:tabs>
          <w:tab w:val="left" w:pos="-1440"/>
          <w:tab w:val="left" w:pos="-720"/>
        </w:tabs>
        <w:suppressAutoHyphens/>
        <w:rPr>
          <w:spacing w:val="-3"/>
          <w:sz w:val="24"/>
          <w:szCs w:val="24"/>
        </w:rPr>
      </w:pPr>
      <w:r>
        <w:rPr>
          <w:spacing w:val="-3"/>
          <w:sz w:val="24"/>
          <w:szCs w:val="24"/>
        </w:rPr>
        <w:tab/>
      </w:r>
      <w:r>
        <w:rPr>
          <w:spacing w:val="-3"/>
          <w:sz w:val="24"/>
          <w:szCs w:val="24"/>
        </w:rPr>
        <w:tab/>
        <w:t xml:space="preserve">Respondent contends the billing statements it issued are correct but Complainant does not understand the information provided in the billing statements.  Respondent points out Complainant learned a lot </w:t>
      </w:r>
      <w:r w:rsidR="00810B84">
        <w:rPr>
          <w:spacing w:val="-3"/>
          <w:sz w:val="24"/>
          <w:szCs w:val="24"/>
        </w:rPr>
        <w:t xml:space="preserve">during the hearing </w:t>
      </w:r>
      <w:r>
        <w:rPr>
          <w:spacing w:val="-3"/>
          <w:sz w:val="24"/>
          <w:szCs w:val="24"/>
        </w:rPr>
        <w:t>about how her billing statements are created and from where DLC derives the numbers listed in her billing statements.  Respondent argues it complied with the Commission’s regulations and the complaint should be dismissed.</w:t>
      </w:r>
    </w:p>
    <w:p w:rsidR="00065149" w:rsidRDefault="00065149" w:rsidP="00386F30">
      <w:pPr>
        <w:tabs>
          <w:tab w:val="left" w:pos="-1440"/>
          <w:tab w:val="left" w:pos="-720"/>
        </w:tabs>
        <w:suppressAutoHyphens/>
        <w:rPr>
          <w:spacing w:val="-3"/>
          <w:sz w:val="24"/>
          <w:szCs w:val="24"/>
        </w:rPr>
      </w:pPr>
    </w:p>
    <w:p w:rsidR="00B21A12" w:rsidRPr="00005552" w:rsidRDefault="00810B84" w:rsidP="00DE2949">
      <w:pPr>
        <w:tabs>
          <w:tab w:val="left" w:pos="-1440"/>
          <w:tab w:val="left" w:pos="-720"/>
        </w:tabs>
        <w:suppressAutoHyphens/>
        <w:rPr>
          <w:sz w:val="24"/>
          <w:szCs w:val="24"/>
          <w:u w:val="single"/>
        </w:rPr>
      </w:pPr>
      <w:r>
        <w:rPr>
          <w:spacing w:val="-3"/>
          <w:sz w:val="24"/>
          <w:szCs w:val="24"/>
          <w:u w:val="single"/>
        </w:rPr>
        <w:t>Analysis</w:t>
      </w:r>
    </w:p>
    <w:p w:rsidR="000A34DF" w:rsidRDefault="000A34DF" w:rsidP="000A34DF">
      <w:pPr>
        <w:tabs>
          <w:tab w:val="left" w:pos="-1440"/>
          <w:tab w:val="left" w:pos="-720"/>
        </w:tabs>
        <w:suppressAutoHyphens/>
        <w:rPr>
          <w:sz w:val="24"/>
          <w:szCs w:val="24"/>
        </w:rPr>
      </w:pPr>
    </w:p>
    <w:p w:rsidR="000A34DF" w:rsidRPr="001E6855" w:rsidRDefault="000A34DF" w:rsidP="000A34DF">
      <w:pPr>
        <w:tabs>
          <w:tab w:val="left" w:pos="-1440"/>
          <w:tab w:val="left" w:pos="-720"/>
        </w:tabs>
        <w:suppressAutoHyphens/>
        <w:rPr>
          <w:spacing w:val="-3"/>
          <w:sz w:val="24"/>
          <w:szCs w:val="24"/>
        </w:rPr>
      </w:pPr>
      <w:r w:rsidRPr="00FB448C">
        <w:rPr>
          <w:sz w:val="24"/>
          <w:szCs w:val="24"/>
        </w:rPr>
        <w:tab/>
      </w:r>
      <w:r w:rsidRPr="00FB448C">
        <w:rPr>
          <w:sz w:val="24"/>
          <w:szCs w:val="24"/>
        </w:rPr>
        <w:tab/>
      </w:r>
      <w:r w:rsidR="00B33004">
        <w:rPr>
          <w:sz w:val="24"/>
          <w:szCs w:val="24"/>
        </w:rPr>
        <w:t>Complainant seeks the Commission’s</w:t>
      </w:r>
      <w:r w:rsidRPr="00FB448C">
        <w:rPr>
          <w:sz w:val="24"/>
          <w:szCs w:val="24"/>
        </w:rPr>
        <w:t xml:space="preserve"> intervention </w:t>
      </w:r>
      <w:r w:rsidR="00F4197A">
        <w:rPr>
          <w:sz w:val="24"/>
          <w:szCs w:val="24"/>
        </w:rPr>
        <w:t xml:space="preserve">because </w:t>
      </w:r>
      <w:r w:rsidR="004777CB">
        <w:rPr>
          <w:sz w:val="24"/>
          <w:szCs w:val="24"/>
        </w:rPr>
        <w:t xml:space="preserve">her monthly bills increased, instead of decreasing, after she dramatically reduced her electric consumption and DLC has sent </w:t>
      </w:r>
      <w:r w:rsidR="00F4197A">
        <w:rPr>
          <w:sz w:val="24"/>
          <w:szCs w:val="24"/>
        </w:rPr>
        <w:t>incorrect</w:t>
      </w:r>
      <w:r w:rsidR="004777CB">
        <w:rPr>
          <w:sz w:val="24"/>
          <w:szCs w:val="24"/>
        </w:rPr>
        <w:t xml:space="preserve"> and/or inconsistent</w:t>
      </w:r>
      <w:r w:rsidR="00F4197A">
        <w:rPr>
          <w:sz w:val="24"/>
          <w:szCs w:val="24"/>
        </w:rPr>
        <w:t xml:space="preserve"> price signals </w:t>
      </w:r>
      <w:r w:rsidR="004777CB">
        <w:rPr>
          <w:sz w:val="24"/>
          <w:szCs w:val="24"/>
        </w:rPr>
        <w:t>which increased her monthly bills despite lowered consumption, instead of reducing them</w:t>
      </w:r>
      <w:r w:rsidR="006D53B0">
        <w:rPr>
          <w:sz w:val="24"/>
          <w:szCs w:val="24"/>
        </w:rPr>
        <w:t>.  Complainant asserts that if she is supposed to decrease her consumption, then her bills should decrease.  Because Complainant seeks the Commission’s assistance, she</w:t>
      </w:r>
      <w:r w:rsidRPr="00FB448C">
        <w:rPr>
          <w:sz w:val="24"/>
          <w:szCs w:val="24"/>
        </w:rPr>
        <w:t xml:space="preserve"> bear</w:t>
      </w:r>
      <w:r w:rsidR="00C44296">
        <w:rPr>
          <w:sz w:val="24"/>
          <w:szCs w:val="24"/>
        </w:rPr>
        <w:t>s</w:t>
      </w:r>
      <w:r w:rsidRPr="00FB448C">
        <w:rPr>
          <w:sz w:val="24"/>
          <w:szCs w:val="24"/>
        </w:rPr>
        <w:t xml:space="preserve"> </w:t>
      </w:r>
      <w:r w:rsidRPr="001E6855">
        <w:rPr>
          <w:sz w:val="24"/>
          <w:szCs w:val="24"/>
        </w:rPr>
        <w:t>the burden of proving Respondent violated provisions of the Public Utility Code or the regulations in some fashion.</w:t>
      </w:r>
      <w:r w:rsidRPr="001E6855">
        <w:rPr>
          <w:rStyle w:val="FootnoteReference"/>
          <w:sz w:val="24"/>
          <w:szCs w:val="24"/>
        </w:rPr>
        <w:footnoteReference w:id="2"/>
      </w:r>
      <w:r w:rsidRPr="001E6855">
        <w:rPr>
          <w:sz w:val="24"/>
          <w:szCs w:val="24"/>
        </w:rPr>
        <w:t xml:space="preserve">  </w:t>
      </w:r>
      <w:r w:rsidR="00B33004">
        <w:rPr>
          <w:spacing w:val="-3"/>
          <w:sz w:val="24"/>
          <w:szCs w:val="24"/>
        </w:rPr>
        <w:t>Thus</w:t>
      </w:r>
      <w:r w:rsidR="00C44296" w:rsidRPr="001E6855">
        <w:rPr>
          <w:spacing w:val="-3"/>
          <w:sz w:val="24"/>
          <w:szCs w:val="24"/>
        </w:rPr>
        <w:t>, Complainant</w:t>
      </w:r>
      <w:r w:rsidRPr="001E6855">
        <w:rPr>
          <w:spacing w:val="-3"/>
          <w:sz w:val="24"/>
          <w:szCs w:val="24"/>
        </w:rPr>
        <w:t xml:space="preserve"> must show</w:t>
      </w:r>
      <w:r w:rsidR="00B33004">
        <w:rPr>
          <w:spacing w:val="-3"/>
          <w:sz w:val="24"/>
          <w:szCs w:val="24"/>
        </w:rPr>
        <w:t>, by a preponderance of the evidence</w:t>
      </w:r>
      <w:r w:rsidRPr="001E6855">
        <w:rPr>
          <w:rStyle w:val="FootnoteReference"/>
          <w:spacing w:val="-3"/>
          <w:sz w:val="24"/>
          <w:szCs w:val="24"/>
        </w:rPr>
        <w:footnoteReference w:id="3"/>
      </w:r>
      <w:r w:rsidR="00B33004">
        <w:rPr>
          <w:spacing w:val="-3"/>
          <w:sz w:val="24"/>
          <w:szCs w:val="24"/>
        </w:rPr>
        <w:t xml:space="preserve">, </w:t>
      </w:r>
      <w:r w:rsidR="00E176E7">
        <w:rPr>
          <w:spacing w:val="-3"/>
          <w:sz w:val="24"/>
          <w:szCs w:val="24"/>
        </w:rPr>
        <w:t>Duquesne Light Company</w:t>
      </w:r>
      <w:r w:rsidR="00B33004" w:rsidRPr="001E6855">
        <w:rPr>
          <w:spacing w:val="-3"/>
          <w:sz w:val="24"/>
          <w:szCs w:val="24"/>
        </w:rPr>
        <w:t xml:space="preserve"> is responsible for the problem described in the Complaint, and she is entitled to the relief requested.</w:t>
      </w:r>
      <w:r w:rsidR="00B33004" w:rsidRPr="001E6855">
        <w:rPr>
          <w:rStyle w:val="FootnoteReference"/>
          <w:spacing w:val="-3"/>
          <w:sz w:val="24"/>
          <w:szCs w:val="24"/>
        </w:rPr>
        <w:footnoteReference w:id="4"/>
      </w:r>
      <w:r w:rsidR="00B33004" w:rsidRPr="001E6855">
        <w:rPr>
          <w:spacing w:val="-3"/>
          <w:sz w:val="24"/>
          <w:szCs w:val="24"/>
        </w:rPr>
        <w:t xml:space="preserve">  </w:t>
      </w:r>
      <w:r w:rsidR="00C44296" w:rsidRPr="001E6855">
        <w:rPr>
          <w:spacing w:val="-3"/>
          <w:sz w:val="24"/>
          <w:szCs w:val="24"/>
        </w:rPr>
        <w:t xml:space="preserve">  </w:t>
      </w:r>
    </w:p>
    <w:p w:rsidR="006C2C49" w:rsidRDefault="006C2C49" w:rsidP="006C2C49">
      <w:pPr>
        <w:ind w:firstLine="720"/>
        <w:rPr>
          <w:sz w:val="24"/>
          <w:szCs w:val="24"/>
        </w:rPr>
      </w:pPr>
    </w:p>
    <w:p w:rsidR="006C2C49" w:rsidRPr="00B73D10" w:rsidRDefault="00810B84" w:rsidP="00810B84">
      <w:pPr>
        <w:ind w:firstLine="720"/>
        <w:rPr>
          <w:sz w:val="24"/>
          <w:szCs w:val="24"/>
        </w:rPr>
      </w:pPr>
      <w:r>
        <w:rPr>
          <w:sz w:val="24"/>
          <w:szCs w:val="24"/>
        </w:rPr>
        <w:tab/>
        <w:t xml:space="preserve">In this proceeding, </w:t>
      </w:r>
      <w:r w:rsidR="006C2C49" w:rsidRPr="00B73D10">
        <w:rPr>
          <w:sz w:val="24"/>
          <w:szCs w:val="24"/>
        </w:rPr>
        <w:t xml:space="preserve">Complainant </w:t>
      </w:r>
      <w:r w:rsidR="00065149">
        <w:rPr>
          <w:sz w:val="24"/>
          <w:szCs w:val="24"/>
        </w:rPr>
        <w:t>did not meet her</w:t>
      </w:r>
      <w:r>
        <w:rPr>
          <w:sz w:val="24"/>
          <w:szCs w:val="24"/>
        </w:rPr>
        <w:t xml:space="preserve"> burden of proof, pursuant to </w:t>
      </w:r>
      <w:r w:rsidR="006C2C49" w:rsidRPr="00B73D10">
        <w:rPr>
          <w:sz w:val="24"/>
          <w:szCs w:val="24"/>
        </w:rPr>
        <w:t>66 Pa. C.S.</w:t>
      </w:r>
      <w:r w:rsidR="00976B8E">
        <w:rPr>
          <w:sz w:val="24"/>
          <w:szCs w:val="24"/>
        </w:rPr>
        <w:t>A.</w:t>
      </w:r>
      <w:r w:rsidR="006C2C49" w:rsidRPr="00B73D10">
        <w:rPr>
          <w:sz w:val="24"/>
          <w:szCs w:val="24"/>
        </w:rPr>
        <w:t xml:space="preserve"> §</w:t>
      </w:r>
      <w:r w:rsidR="00193064">
        <w:rPr>
          <w:sz w:val="24"/>
          <w:szCs w:val="24"/>
        </w:rPr>
        <w:t xml:space="preserve"> </w:t>
      </w:r>
      <w:r w:rsidR="006C2C49" w:rsidRPr="00B73D10">
        <w:rPr>
          <w:sz w:val="24"/>
          <w:szCs w:val="24"/>
        </w:rPr>
        <w:t xml:space="preserve">332(a).  </w:t>
      </w:r>
      <w:r>
        <w:rPr>
          <w:sz w:val="24"/>
          <w:szCs w:val="24"/>
        </w:rPr>
        <w:t xml:space="preserve">Complainant acknowledged by the conclusion of the hearing that she did understand why her monthly bills would increase if her monthly consumption decreased.  Once DLC explained it averages consumption over the previous twelve months prior to calculating the amount of monthly charges to issue, Complainant understood that her payments should not </w:t>
      </w:r>
      <w:r>
        <w:rPr>
          <w:sz w:val="24"/>
          <w:szCs w:val="24"/>
        </w:rPr>
        <w:lastRenderedPageBreak/>
        <w:t xml:space="preserve">fluctuate downward until after several months elapse.  Therefore, Complainant has not shown </w:t>
      </w:r>
      <w:r w:rsidR="00F31899">
        <w:rPr>
          <w:sz w:val="24"/>
          <w:szCs w:val="24"/>
        </w:rPr>
        <w:t xml:space="preserve">and agreed </w:t>
      </w:r>
      <w:r>
        <w:rPr>
          <w:sz w:val="24"/>
          <w:szCs w:val="24"/>
        </w:rPr>
        <w:t>that DLC violated any statute, regulation or provision of the Commission.</w:t>
      </w:r>
    </w:p>
    <w:p w:rsidR="006C2C49" w:rsidRPr="00B73D10" w:rsidRDefault="006C2C49" w:rsidP="006C2C49">
      <w:pPr>
        <w:ind w:firstLine="720"/>
        <w:rPr>
          <w:sz w:val="24"/>
          <w:szCs w:val="24"/>
        </w:rPr>
      </w:pPr>
    </w:p>
    <w:p w:rsidR="006C2C49" w:rsidRPr="00B73D10" w:rsidRDefault="006C2C49" w:rsidP="006C2C49">
      <w:pPr>
        <w:pStyle w:val="Heading1"/>
        <w:spacing w:line="360" w:lineRule="auto"/>
        <w:rPr>
          <w:sz w:val="24"/>
          <w:szCs w:val="24"/>
        </w:rPr>
      </w:pPr>
      <w:r w:rsidRPr="00B73D10">
        <w:rPr>
          <w:sz w:val="24"/>
          <w:szCs w:val="24"/>
        </w:rPr>
        <w:t>CONCLUSIONS OF LAW</w:t>
      </w:r>
    </w:p>
    <w:p w:rsidR="006C2C49" w:rsidRPr="00B73D10" w:rsidRDefault="006C2C49" w:rsidP="006C2C49">
      <w:pPr>
        <w:rPr>
          <w:sz w:val="24"/>
          <w:szCs w:val="24"/>
        </w:rPr>
      </w:pPr>
    </w:p>
    <w:p w:rsidR="006C2C49" w:rsidRPr="00B73D10" w:rsidRDefault="006C2C49" w:rsidP="006C2C49">
      <w:pPr>
        <w:numPr>
          <w:ilvl w:val="0"/>
          <w:numId w:val="2"/>
        </w:numPr>
        <w:tabs>
          <w:tab w:val="clear" w:pos="1440"/>
          <w:tab w:val="num" w:pos="2160"/>
        </w:tabs>
        <w:ind w:left="0" w:firstLine="1440"/>
        <w:rPr>
          <w:sz w:val="24"/>
          <w:szCs w:val="24"/>
        </w:rPr>
      </w:pPr>
      <w:r w:rsidRPr="00B73D10">
        <w:rPr>
          <w:sz w:val="24"/>
          <w:szCs w:val="24"/>
        </w:rPr>
        <w:t xml:space="preserve">This Commission has jurisdiction over the parties to and subject matter of this case.  </w:t>
      </w:r>
      <w:proofErr w:type="gramStart"/>
      <w:r w:rsidRPr="00B73D10">
        <w:rPr>
          <w:sz w:val="24"/>
          <w:szCs w:val="24"/>
        </w:rPr>
        <w:t xml:space="preserve">66 </w:t>
      </w:r>
      <w:proofErr w:type="spellStart"/>
      <w:r w:rsidRPr="00B73D10">
        <w:rPr>
          <w:sz w:val="24"/>
          <w:szCs w:val="24"/>
        </w:rPr>
        <w:t>Pa.C.S.</w:t>
      </w:r>
      <w:r w:rsidR="00FF0BD9">
        <w:rPr>
          <w:sz w:val="24"/>
          <w:szCs w:val="24"/>
        </w:rPr>
        <w:t>A</w:t>
      </w:r>
      <w:proofErr w:type="spellEnd"/>
      <w:r w:rsidR="00FF0BD9">
        <w:rPr>
          <w:sz w:val="24"/>
          <w:szCs w:val="24"/>
        </w:rPr>
        <w:t>.</w:t>
      </w:r>
      <w:proofErr w:type="gramEnd"/>
      <w:r w:rsidR="00FF0BD9">
        <w:rPr>
          <w:sz w:val="24"/>
          <w:szCs w:val="24"/>
        </w:rPr>
        <w:t xml:space="preserve"> </w:t>
      </w:r>
      <w:r w:rsidRPr="00B73D10">
        <w:rPr>
          <w:sz w:val="24"/>
          <w:szCs w:val="24"/>
        </w:rPr>
        <w:t>§</w:t>
      </w:r>
      <w:r w:rsidR="00193064">
        <w:rPr>
          <w:sz w:val="24"/>
          <w:szCs w:val="24"/>
        </w:rPr>
        <w:t xml:space="preserve"> </w:t>
      </w:r>
      <w:r w:rsidRPr="00B73D10">
        <w:rPr>
          <w:sz w:val="24"/>
          <w:szCs w:val="24"/>
        </w:rPr>
        <w:t>701.</w:t>
      </w:r>
    </w:p>
    <w:p w:rsidR="006C2C49" w:rsidRPr="00B73D10" w:rsidRDefault="006C2C49" w:rsidP="006C2C49">
      <w:pPr>
        <w:rPr>
          <w:sz w:val="24"/>
          <w:szCs w:val="24"/>
        </w:rPr>
      </w:pPr>
    </w:p>
    <w:p w:rsidR="006C2C49" w:rsidRDefault="006C2C49" w:rsidP="006C2C49">
      <w:pPr>
        <w:numPr>
          <w:ilvl w:val="0"/>
          <w:numId w:val="2"/>
        </w:numPr>
        <w:tabs>
          <w:tab w:val="clear" w:pos="1440"/>
          <w:tab w:val="left" w:pos="0"/>
        </w:tabs>
        <w:ind w:left="0" w:firstLine="1440"/>
        <w:rPr>
          <w:sz w:val="24"/>
          <w:szCs w:val="24"/>
        </w:rPr>
      </w:pPr>
      <w:r w:rsidRPr="00B73D10">
        <w:rPr>
          <w:sz w:val="24"/>
          <w:szCs w:val="24"/>
        </w:rPr>
        <w:t>Complainant has the burden of proving Respondent is not providing reasonable and adequate service</w:t>
      </w:r>
      <w:r w:rsidR="00810B84">
        <w:rPr>
          <w:sz w:val="24"/>
          <w:szCs w:val="24"/>
        </w:rPr>
        <w:t xml:space="preserve"> by providing her with correct billing statements</w:t>
      </w:r>
      <w:r w:rsidRPr="00B73D10">
        <w:rPr>
          <w:sz w:val="24"/>
          <w:szCs w:val="24"/>
        </w:rPr>
        <w:t xml:space="preserve">.  </w:t>
      </w:r>
      <w:proofErr w:type="gramStart"/>
      <w:r w:rsidRPr="00B73D10">
        <w:rPr>
          <w:sz w:val="24"/>
          <w:szCs w:val="24"/>
        </w:rPr>
        <w:t xml:space="preserve">66 </w:t>
      </w:r>
      <w:proofErr w:type="spellStart"/>
      <w:r w:rsidRPr="00B73D10">
        <w:rPr>
          <w:sz w:val="24"/>
          <w:szCs w:val="24"/>
        </w:rPr>
        <w:t>Pa.C.S.A</w:t>
      </w:r>
      <w:proofErr w:type="spellEnd"/>
      <w:r w:rsidRPr="00B73D10">
        <w:rPr>
          <w:sz w:val="24"/>
          <w:szCs w:val="24"/>
        </w:rPr>
        <w:t>.</w:t>
      </w:r>
      <w:proofErr w:type="gramEnd"/>
      <w:r w:rsidRPr="00B73D10">
        <w:rPr>
          <w:sz w:val="24"/>
          <w:szCs w:val="24"/>
        </w:rPr>
        <w:t xml:space="preserve"> §</w:t>
      </w:r>
      <w:r w:rsidR="00CF7BA0">
        <w:rPr>
          <w:sz w:val="24"/>
          <w:szCs w:val="24"/>
        </w:rPr>
        <w:t> </w:t>
      </w:r>
      <w:r w:rsidRPr="00B73D10">
        <w:rPr>
          <w:sz w:val="24"/>
          <w:szCs w:val="24"/>
        </w:rPr>
        <w:t>332(a).</w:t>
      </w:r>
    </w:p>
    <w:p w:rsidR="006C2C49" w:rsidRDefault="006C2C49" w:rsidP="006C2C49">
      <w:pPr>
        <w:pStyle w:val="ListParagraph"/>
        <w:rPr>
          <w:sz w:val="24"/>
          <w:szCs w:val="24"/>
        </w:rPr>
      </w:pPr>
    </w:p>
    <w:p w:rsidR="006C2C49" w:rsidRPr="00B73D10" w:rsidRDefault="006C2C49" w:rsidP="006C2C49">
      <w:pPr>
        <w:tabs>
          <w:tab w:val="left" w:pos="0"/>
        </w:tabs>
        <w:rPr>
          <w:sz w:val="24"/>
          <w:szCs w:val="24"/>
        </w:rPr>
      </w:pPr>
      <w:r w:rsidRPr="00B73D10">
        <w:rPr>
          <w:sz w:val="24"/>
          <w:szCs w:val="24"/>
        </w:rPr>
        <w:tab/>
      </w:r>
      <w:r w:rsidRPr="00B73D10">
        <w:rPr>
          <w:sz w:val="24"/>
          <w:szCs w:val="24"/>
        </w:rPr>
        <w:tab/>
        <w:t>3.</w:t>
      </w:r>
      <w:r w:rsidRPr="00B73D10">
        <w:rPr>
          <w:sz w:val="24"/>
          <w:szCs w:val="24"/>
        </w:rPr>
        <w:tab/>
      </w:r>
      <w:r w:rsidR="00B33004">
        <w:rPr>
          <w:sz w:val="24"/>
          <w:szCs w:val="24"/>
        </w:rPr>
        <w:t>Respondent</w:t>
      </w:r>
      <w:r w:rsidR="00810B84">
        <w:rPr>
          <w:sz w:val="24"/>
          <w:szCs w:val="24"/>
        </w:rPr>
        <w:t xml:space="preserve"> provided Complainant with</w:t>
      </w:r>
      <w:r w:rsidR="00B33004">
        <w:rPr>
          <w:sz w:val="24"/>
          <w:szCs w:val="24"/>
        </w:rPr>
        <w:t xml:space="preserve"> reasonable and adequate service</w:t>
      </w:r>
      <w:r w:rsidR="00810B84">
        <w:rPr>
          <w:sz w:val="24"/>
          <w:szCs w:val="24"/>
        </w:rPr>
        <w:t xml:space="preserve"> in how it prepared its billing statements</w:t>
      </w:r>
      <w:r w:rsidR="00B33004">
        <w:rPr>
          <w:sz w:val="24"/>
          <w:szCs w:val="24"/>
        </w:rPr>
        <w:t xml:space="preserve">.  </w:t>
      </w:r>
    </w:p>
    <w:p w:rsidR="006C2C49" w:rsidRPr="00B73D10" w:rsidRDefault="006C2C49" w:rsidP="006C2C49">
      <w:pPr>
        <w:tabs>
          <w:tab w:val="left" w:pos="0"/>
        </w:tabs>
        <w:rPr>
          <w:sz w:val="24"/>
          <w:szCs w:val="24"/>
        </w:rPr>
      </w:pPr>
    </w:p>
    <w:p w:rsidR="006C2C49" w:rsidRPr="00B73D10" w:rsidRDefault="006C2C49" w:rsidP="006C2C49">
      <w:pPr>
        <w:jc w:val="center"/>
        <w:rPr>
          <w:sz w:val="24"/>
          <w:szCs w:val="24"/>
          <w:u w:val="single"/>
        </w:rPr>
      </w:pPr>
      <w:r w:rsidRPr="00B73D10">
        <w:rPr>
          <w:sz w:val="24"/>
          <w:szCs w:val="24"/>
          <w:u w:val="single"/>
        </w:rPr>
        <w:t>ORDER</w:t>
      </w:r>
    </w:p>
    <w:p w:rsidR="006C2C49" w:rsidRPr="00B73D10" w:rsidRDefault="006C2C49" w:rsidP="006C2C49">
      <w:pPr>
        <w:jc w:val="center"/>
        <w:rPr>
          <w:sz w:val="24"/>
          <w:szCs w:val="24"/>
        </w:rPr>
      </w:pPr>
    </w:p>
    <w:p w:rsidR="006C2C49" w:rsidRDefault="006C2C49" w:rsidP="006C2C49">
      <w:pPr>
        <w:rPr>
          <w:sz w:val="24"/>
          <w:szCs w:val="24"/>
        </w:rPr>
      </w:pPr>
    </w:p>
    <w:p w:rsidR="006C2C49" w:rsidRPr="00B73D10" w:rsidRDefault="006C2C49" w:rsidP="006C2C49">
      <w:pPr>
        <w:rPr>
          <w:sz w:val="24"/>
          <w:szCs w:val="24"/>
        </w:rPr>
      </w:pPr>
      <w:r w:rsidRPr="00B73D10">
        <w:rPr>
          <w:sz w:val="24"/>
          <w:szCs w:val="24"/>
        </w:rPr>
        <w:tab/>
      </w:r>
      <w:r w:rsidRPr="00B73D10">
        <w:rPr>
          <w:sz w:val="24"/>
          <w:szCs w:val="24"/>
        </w:rPr>
        <w:tab/>
        <w:t>THEREFORE,</w:t>
      </w:r>
    </w:p>
    <w:p w:rsidR="006C2C49" w:rsidRPr="00B73D10" w:rsidRDefault="006C2C49" w:rsidP="006C2C49">
      <w:pPr>
        <w:rPr>
          <w:sz w:val="24"/>
          <w:szCs w:val="24"/>
        </w:rPr>
      </w:pPr>
    </w:p>
    <w:p w:rsidR="006C2C49" w:rsidRPr="00B73D10" w:rsidRDefault="006C2C49" w:rsidP="006C2C49">
      <w:pPr>
        <w:rPr>
          <w:sz w:val="24"/>
          <w:szCs w:val="24"/>
        </w:rPr>
      </w:pPr>
      <w:r w:rsidRPr="00B73D10">
        <w:rPr>
          <w:sz w:val="24"/>
          <w:szCs w:val="24"/>
        </w:rPr>
        <w:tab/>
      </w:r>
      <w:r w:rsidRPr="00B73D10">
        <w:rPr>
          <w:sz w:val="24"/>
          <w:szCs w:val="24"/>
        </w:rPr>
        <w:tab/>
        <w:t>IT IS ORDERED:</w:t>
      </w:r>
    </w:p>
    <w:p w:rsidR="006C2C49" w:rsidRPr="00B73D10" w:rsidRDefault="006C2C49" w:rsidP="006C2C49">
      <w:pPr>
        <w:rPr>
          <w:sz w:val="24"/>
          <w:szCs w:val="24"/>
        </w:rPr>
      </w:pPr>
    </w:p>
    <w:p w:rsidR="006C2C49" w:rsidRPr="00B73D10" w:rsidRDefault="006C2C49" w:rsidP="006C2C49">
      <w:pPr>
        <w:rPr>
          <w:sz w:val="24"/>
          <w:szCs w:val="24"/>
        </w:rPr>
      </w:pPr>
      <w:r w:rsidRPr="00B73D10">
        <w:rPr>
          <w:sz w:val="24"/>
          <w:szCs w:val="24"/>
        </w:rPr>
        <w:tab/>
      </w:r>
      <w:r w:rsidRPr="00B73D10">
        <w:rPr>
          <w:sz w:val="24"/>
          <w:szCs w:val="24"/>
        </w:rPr>
        <w:tab/>
      </w:r>
      <w:r w:rsidR="006C0841">
        <w:rPr>
          <w:sz w:val="24"/>
          <w:szCs w:val="24"/>
        </w:rPr>
        <w:t xml:space="preserve">1. </w:t>
      </w:r>
      <w:r w:rsidR="006C0841">
        <w:rPr>
          <w:sz w:val="24"/>
          <w:szCs w:val="24"/>
        </w:rPr>
        <w:tab/>
      </w:r>
      <w:r w:rsidRPr="00B73D10">
        <w:rPr>
          <w:sz w:val="24"/>
          <w:szCs w:val="24"/>
        </w:rPr>
        <w:t xml:space="preserve">That the complaint of </w:t>
      </w:r>
      <w:r w:rsidR="006C0841">
        <w:rPr>
          <w:sz w:val="24"/>
          <w:szCs w:val="24"/>
        </w:rPr>
        <w:t xml:space="preserve">Angela </w:t>
      </w:r>
      <w:proofErr w:type="spellStart"/>
      <w:r w:rsidR="006C0841">
        <w:rPr>
          <w:sz w:val="24"/>
          <w:szCs w:val="24"/>
        </w:rPr>
        <w:t>Tobusto</w:t>
      </w:r>
      <w:proofErr w:type="spellEnd"/>
      <w:r w:rsidR="006C0841">
        <w:rPr>
          <w:sz w:val="24"/>
          <w:szCs w:val="24"/>
        </w:rPr>
        <w:t xml:space="preserve"> v.</w:t>
      </w:r>
      <w:r w:rsidRPr="00E329DC">
        <w:rPr>
          <w:sz w:val="24"/>
          <w:szCs w:val="24"/>
        </w:rPr>
        <w:t xml:space="preserve"> </w:t>
      </w:r>
      <w:r w:rsidR="00E176E7">
        <w:rPr>
          <w:sz w:val="24"/>
          <w:szCs w:val="24"/>
        </w:rPr>
        <w:t>Duquesne Light</w:t>
      </w:r>
      <w:r w:rsidRPr="00E329DC">
        <w:rPr>
          <w:sz w:val="24"/>
          <w:szCs w:val="24"/>
        </w:rPr>
        <w:t xml:space="preserve"> Company </w:t>
      </w:r>
      <w:r w:rsidRPr="00B73D10">
        <w:rPr>
          <w:sz w:val="24"/>
          <w:szCs w:val="24"/>
        </w:rPr>
        <w:t xml:space="preserve">at Docket No. </w:t>
      </w:r>
      <w:r w:rsidR="006C0841">
        <w:rPr>
          <w:sz w:val="24"/>
          <w:szCs w:val="24"/>
        </w:rPr>
        <w:t>C-2014-2409856</w:t>
      </w:r>
      <w:r w:rsidRPr="00B73D10">
        <w:rPr>
          <w:sz w:val="24"/>
          <w:szCs w:val="24"/>
        </w:rPr>
        <w:t xml:space="preserve"> is hereby </w:t>
      </w:r>
      <w:r w:rsidR="00065149">
        <w:rPr>
          <w:sz w:val="24"/>
          <w:szCs w:val="24"/>
        </w:rPr>
        <w:t>dismissed</w:t>
      </w:r>
      <w:r w:rsidRPr="00B73D10">
        <w:rPr>
          <w:sz w:val="24"/>
          <w:szCs w:val="24"/>
        </w:rPr>
        <w:t>.</w:t>
      </w:r>
    </w:p>
    <w:p w:rsidR="000226A7" w:rsidRPr="000E4D0E" w:rsidRDefault="000226A7" w:rsidP="000226A7">
      <w:pPr>
        <w:tabs>
          <w:tab w:val="num" w:pos="2160"/>
        </w:tabs>
        <w:rPr>
          <w:sz w:val="24"/>
          <w:szCs w:val="24"/>
        </w:rPr>
      </w:pPr>
    </w:p>
    <w:p w:rsidR="000226A7" w:rsidRPr="000E4D0E" w:rsidRDefault="000226A7" w:rsidP="000226A7">
      <w:pPr>
        <w:rPr>
          <w:sz w:val="24"/>
          <w:szCs w:val="24"/>
        </w:rPr>
      </w:pPr>
      <w:r w:rsidRPr="000E4D0E">
        <w:rPr>
          <w:sz w:val="24"/>
          <w:szCs w:val="24"/>
        </w:rPr>
        <w:tab/>
      </w:r>
      <w:r w:rsidRPr="000E4D0E">
        <w:rPr>
          <w:sz w:val="24"/>
          <w:szCs w:val="24"/>
        </w:rPr>
        <w:tab/>
      </w:r>
      <w:r w:rsidR="006C0841">
        <w:rPr>
          <w:sz w:val="24"/>
          <w:szCs w:val="24"/>
        </w:rPr>
        <w:t>2</w:t>
      </w:r>
      <w:r>
        <w:rPr>
          <w:sz w:val="24"/>
          <w:szCs w:val="24"/>
        </w:rPr>
        <w:t>.</w:t>
      </w:r>
      <w:r w:rsidRPr="000E4D0E">
        <w:rPr>
          <w:sz w:val="24"/>
          <w:szCs w:val="24"/>
        </w:rPr>
        <w:t xml:space="preserve"> </w:t>
      </w:r>
      <w:r w:rsidRPr="000E4D0E">
        <w:rPr>
          <w:sz w:val="24"/>
          <w:szCs w:val="24"/>
        </w:rPr>
        <w:tab/>
        <w:t xml:space="preserve">That </w:t>
      </w:r>
      <w:r w:rsidRPr="000E4D0E">
        <w:rPr>
          <w:spacing w:val="-3"/>
          <w:sz w:val="24"/>
          <w:szCs w:val="24"/>
        </w:rPr>
        <w:t>this docket be marked closed and discontinued.</w:t>
      </w:r>
    </w:p>
    <w:p w:rsidR="006C2C49" w:rsidRDefault="006C2C49" w:rsidP="006C2C49">
      <w:pPr>
        <w:spacing w:line="240" w:lineRule="auto"/>
        <w:rPr>
          <w:sz w:val="24"/>
          <w:szCs w:val="24"/>
        </w:rPr>
      </w:pPr>
    </w:p>
    <w:p w:rsidR="00BD0AF8" w:rsidRDefault="00BD0AF8" w:rsidP="006C2C49">
      <w:pPr>
        <w:spacing w:line="240" w:lineRule="auto"/>
        <w:rPr>
          <w:sz w:val="24"/>
          <w:szCs w:val="24"/>
        </w:rPr>
      </w:pPr>
    </w:p>
    <w:p w:rsidR="00BD0AF8" w:rsidRDefault="00BD0AF8" w:rsidP="006C2C49">
      <w:pPr>
        <w:spacing w:line="240" w:lineRule="auto"/>
        <w:rPr>
          <w:sz w:val="24"/>
          <w:szCs w:val="24"/>
        </w:rPr>
      </w:pPr>
    </w:p>
    <w:p w:rsidR="006C2C49" w:rsidRPr="00B73D10" w:rsidRDefault="006C2C49" w:rsidP="006C2C49">
      <w:pPr>
        <w:spacing w:line="240" w:lineRule="auto"/>
        <w:rPr>
          <w:sz w:val="24"/>
          <w:szCs w:val="24"/>
          <w:u w:val="single"/>
        </w:rPr>
      </w:pPr>
      <w:r w:rsidRPr="00B73D10">
        <w:rPr>
          <w:sz w:val="24"/>
          <w:szCs w:val="24"/>
        </w:rPr>
        <w:t xml:space="preserve">Date:  </w:t>
      </w:r>
      <w:r w:rsidR="00810B84">
        <w:rPr>
          <w:sz w:val="24"/>
          <w:szCs w:val="24"/>
          <w:u w:val="single"/>
        </w:rPr>
        <w:t>September 17</w:t>
      </w:r>
      <w:r w:rsidR="006C0841">
        <w:rPr>
          <w:sz w:val="24"/>
          <w:szCs w:val="24"/>
          <w:u w:val="single"/>
        </w:rPr>
        <w:t>, 2014</w:t>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u w:val="single"/>
        </w:rPr>
        <w:t xml:space="preserve">                    </w:t>
      </w:r>
      <w:r w:rsidR="00286172">
        <w:rPr>
          <w:sz w:val="24"/>
          <w:szCs w:val="24"/>
          <w:u w:val="single"/>
        </w:rPr>
        <w:t xml:space="preserve">    /s/</w:t>
      </w:r>
      <w:r w:rsidRPr="00B73D10">
        <w:rPr>
          <w:sz w:val="24"/>
          <w:szCs w:val="24"/>
          <w:u w:val="single"/>
        </w:rPr>
        <w:t xml:space="preserve">                                   </w:t>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t>Katrina L. Dunderdale</w:t>
      </w:r>
    </w:p>
    <w:p w:rsidR="00DE2949" w:rsidRPr="00FB448C" w:rsidRDefault="006C2C49" w:rsidP="005B7205">
      <w:pPr>
        <w:spacing w:line="240" w:lineRule="auto"/>
        <w:rPr>
          <w:sz w:val="24"/>
          <w:szCs w:val="24"/>
        </w:rPr>
      </w:pP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t>Administrative Law Judge</w:t>
      </w:r>
    </w:p>
    <w:sectPr w:rsidR="00DE2949" w:rsidRPr="00FB448C" w:rsidSect="00DE294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A43" w:rsidRDefault="00CA5A43">
      <w:r>
        <w:separator/>
      </w:r>
    </w:p>
  </w:endnote>
  <w:endnote w:type="continuationSeparator" w:id="0">
    <w:p w:rsidR="00CA5A43" w:rsidRDefault="00CA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Default="00BF7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7A4B" w:rsidRDefault="00BF7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Pr="002730A4" w:rsidRDefault="00BF7A4B">
    <w:pPr>
      <w:pStyle w:val="Footer"/>
      <w:framePr w:wrap="around" w:vAnchor="text" w:hAnchor="margin" w:xAlign="center" w:y="1"/>
      <w:rPr>
        <w:rStyle w:val="PageNumber"/>
        <w:sz w:val="24"/>
        <w:szCs w:val="24"/>
      </w:rPr>
    </w:pPr>
    <w:r w:rsidRPr="002730A4">
      <w:rPr>
        <w:rStyle w:val="PageNumber"/>
        <w:sz w:val="24"/>
        <w:szCs w:val="24"/>
      </w:rPr>
      <w:fldChar w:fldCharType="begin"/>
    </w:r>
    <w:r w:rsidRPr="002730A4">
      <w:rPr>
        <w:rStyle w:val="PageNumber"/>
        <w:sz w:val="24"/>
        <w:szCs w:val="24"/>
      </w:rPr>
      <w:instrText xml:space="preserve">PAGE  </w:instrText>
    </w:r>
    <w:r w:rsidRPr="002730A4">
      <w:rPr>
        <w:rStyle w:val="PageNumber"/>
        <w:sz w:val="24"/>
        <w:szCs w:val="24"/>
      </w:rPr>
      <w:fldChar w:fldCharType="separate"/>
    </w:r>
    <w:r w:rsidR="000A74C8">
      <w:rPr>
        <w:rStyle w:val="PageNumber"/>
        <w:noProof/>
        <w:sz w:val="24"/>
        <w:szCs w:val="24"/>
      </w:rPr>
      <w:t>5</w:t>
    </w:r>
    <w:r w:rsidRPr="002730A4">
      <w:rPr>
        <w:rStyle w:val="PageNumber"/>
        <w:sz w:val="24"/>
        <w:szCs w:val="24"/>
      </w:rPr>
      <w:fldChar w:fldCharType="end"/>
    </w:r>
  </w:p>
  <w:p w:rsidR="00BF7A4B" w:rsidRDefault="00BF7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A43" w:rsidRDefault="00CA5A43">
      <w:r>
        <w:separator/>
      </w:r>
    </w:p>
  </w:footnote>
  <w:footnote w:type="continuationSeparator" w:id="0">
    <w:p w:rsidR="00CA5A43" w:rsidRDefault="00CA5A43">
      <w:r>
        <w:continuationSeparator/>
      </w:r>
    </w:p>
  </w:footnote>
  <w:footnote w:id="1">
    <w:p w:rsidR="006D53B0" w:rsidRDefault="006D53B0" w:rsidP="006D53B0">
      <w:pPr>
        <w:pStyle w:val="FootnoteText"/>
        <w:ind w:firstLine="720"/>
      </w:pPr>
      <w:r>
        <w:rPr>
          <w:rStyle w:val="FootnoteReference"/>
        </w:rPr>
        <w:footnoteRef/>
      </w:r>
      <w:r>
        <w:t xml:space="preserve"> </w:t>
      </w:r>
      <w:r>
        <w:tab/>
        <w:t>See Transcript at 65.</w:t>
      </w:r>
    </w:p>
    <w:p w:rsidR="00F6546D" w:rsidRDefault="00F6546D" w:rsidP="006D53B0">
      <w:pPr>
        <w:pStyle w:val="FootnoteText"/>
        <w:ind w:firstLine="720"/>
      </w:pPr>
    </w:p>
  </w:footnote>
  <w:footnote w:id="2">
    <w:p w:rsidR="00BF7A4B" w:rsidRDefault="00BF7A4B" w:rsidP="000A34DF">
      <w:pPr>
        <w:pStyle w:val="FootnoteText"/>
        <w:ind w:firstLine="720"/>
      </w:pPr>
      <w:r>
        <w:rPr>
          <w:rStyle w:val="FootnoteReference"/>
        </w:rPr>
        <w:footnoteRef/>
      </w:r>
      <w:r>
        <w:t xml:space="preserve"> </w:t>
      </w:r>
      <w:r>
        <w:tab/>
      </w:r>
      <w:r w:rsidRPr="00EC0D25">
        <w:t xml:space="preserve">Section 332(a) of the Public Utility Code, </w:t>
      </w:r>
      <w:proofErr w:type="gramStart"/>
      <w:r w:rsidRPr="00EC0D25">
        <w:t xml:space="preserve">66 </w:t>
      </w:r>
      <w:proofErr w:type="spellStart"/>
      <w:r w:rsidRPr="00EC0D25">
        <w:t>Pa.C.S</w:t>
      </w:r>
      <w:proofErr w:type="spellEnd"/>
      <w:proofErr w:type="gramEnd"/>
      <w:r w:rsidRPr="00EC0D25">
        <w:t>. §</w:t>
      </w:r>
      <w:r w:rsidR="00193064">
        <w:t xml:space="preserve"> </w:t>
      </w:r>
      <w:r w:rsidRPr="00EC0D25">
        <w:t>332(a).</w:t>
      </w:r>
    </w:p>
    <w:p w:rsidR="00BF7A4B" w:rsidRPr="00EC0D25" w:rsidRDefault="00BF7A4B" w:rsidP="000A34DF">
      <w:pPr>
        <w:pStyle w:val="FootnoteText"/>
        <w:ind w:firstLine="720"/>
      </w:pPr>
    </w:p>
  </w:footnote>
  <w:footnote w:id="3">
    <w:p w:rsidR="00BF7A4B" w:rsidRDefault="00BF7A4B" w:rsidP="000A34DF">
      <w:pPr>
        <w:pStyle w:val="FootnoteText"/>
        <w:ind w:firstLine="720"/>
        <w:rPr>
          <w:spacing w:val="-3"/>
        </w:rPr>
      </w:pPr>
      <w:r>
        <w:rPr>
          <w:rStyle w:val="FootnoteReference"/>
        </w:rPr>
        <w:footnoteRef/>
      </w:r>
      <w:r>
        <w:t xml:space="preserve"> </w:t>
      </w:r>
      <w:r>
        <w:tab/>
      </w:r>
      <w:proofErr w:type="gramStart"/>
      <w:r w:rsidRPr="00EC0D25">
        <w:rPr>
          <w:spacing w:val="-3"/>
          <w:u w:val="single"/>
        </w:rPr>
        <w:t xml:space="preserve">Samuel J. </w:t>
      </w:r>
      <w:proofErr w:type="spellStart"/>
      <w:r w:rsidRPr="00EC0D25">
        <w:rPr>
          <w:spacing w:val="-3"/>
          <w:u w:val="single"/>
        </w:rPr>
        <w:t>Lansberry</w:t>
      </w:r>
      <w:proofErr w:type="spellEnd"/>
      <w:r w:rsidRPr="00EC0D25">
        <w:rPr>
          <w:spacing w:val="-3"/>
          <w:u w:val="single"/>
        </w:rPr>
        <w:t>, Inc. v. Pa. Pub</w:t>
      </w:r>
      <w:r w:rsidR="00C878DD">
        <w:rPr>
          <w:spacing w:val="-3"/>
          <w:u w:val="single"/>
        </w:rPr>
        <w:t>.</w:t>
      </w:r>
      <w:proofErr w:type="gramEnd"/>
      <w:r w:rsidR="000A74C8">
        <w:rPr>
          <w:spacing w:val="-3"/>
          <w:u w:val="single"/>
        </w:rPr>
        <w:t xml:space="preserve"> </w:t>
      </w:r>
      <w:bookmarkStart w:id="0" w:name="_GoBack"/>
      <w:bookmarkEnd w:id="0"/>
      <w:r w:rsidRPr="00EC0D25">
        <w:rPr>
          <w:spacing w:val="-3"/>
          <w:u w:val="single"/>
        </w:rPr>
        <w:t>Util</w:t>
      </w:r>
      <w:r w:rsidR="00C878DD">
        <w:rPr>
          <w:spacing w:val="-3"/>
          <w:u w:val="single"/>
        </w:rPr>
        <w:t>.</w:t>
      </w:r>
      <w:r w:rsidRPr="00EC0D25">
        <w:rPr>
          <w:spacing w:val="-3"/>
          <w:u w:val="single"/>
        </w:rPr>
        <w:t xml:space="preserve"> </w:t>
      </w:r>
      <w:proofErr w:type="spellStart"/>
      <w:r w:rsidRPr="00EC0D25">
        <w:rPr>
          <w:spacing w:val="-3"/>
          <w:u w:val="single"/>
        </w:rPr>
        <w:t>Comm’n</w:t>
      </w:r>
      <w:proofErr w:type="spellEnd"/>
      <w:r w:rsidRPr="00EC0D25">
        <w:rPr>
          <w:spacing w:val="-3"/>
        </w:rPr>
        <w:t xml:space="preserve">, </w:t>
      </w:r>
      <w:proofErr w:type="gramStart"/>
      <w:r w:rsidRPr="00EC0D25">
        <w:rPr>
          <w:spacing w:val="-3"/>
        </w:rPr>
        <w:t xml:space="preserve">134 </w:t>
      </w:r>
      <w:proofErr w:type="spellStart"/>
      <w:r w:rsidRPr="00EC0D25">
        <w:rPr>
          <w:spacing w:val="-3"/>
        </w:rPr>
        <w:t>Pa.C</w:t>
      </w:r>
      <w:r w:rsidR="00C878DD">
        <w:rPr>
          <w:spacing w:val="-3"/>
        </w:rPr>
        <w:t>mwlth</w:t>
      </w:r>
      <w:proofErr w:type="spellEnd"/>
      <w:proofErr w:type="gramEnd"/>
      <w:r w:rsidR="00C878DD">
        <w:rPr>
          <w:spacing w:val="-3"/>
        </w:rPr>
        <w:t>.</w:t>
      </w:r>
      <w:r w:rsidRPr="00EC0D25">
        <w:rPr>
          <w:spacing w:val="-3"/>
        </w:rPr>
        <w:t xml:space="preserve"> </w:t>
      </w:r>
      <w:proofErr w:type="gramStart"/>
      <w:r w:rsidRPr="00EC0D25">
        <w:rPr>
          <w:spacing w:val="-3"/>
        </w:rPr>
        <w:t xml:space="preserve">218; 221-222, 578 A.2d 600; 602 (1990), </w:t>
      </w:r>
      <w:proofErr w:type="spellStart"/>
      <w:r w:rsidRPr="00EC0D25">
        <w:rPr>
          <w:i/>
          <w:iCs/>
          <w:spacing w:val="-3"/>
        </w:rPr>
        <w:t>alloc</w:t>
      </w:r>
      <w:proofErr w:type="spellEnd"/>
      <w:r w:rsidRPr="00EC0D25">
        <w:rPr>
          <w:i/>
          <w:iCs/>
          <w:spacing w:val="-3"/>
        </w:rPr>
        <w:t>.</w:t>
      </w:r>
      <w:proofErr w:type="gramEnd"/>
      <w:r w:rsidRPr="00EC0D25">
        <w:rPr>
          <w:i/>
          <w:iCs/>
          <w:spacing w:val="-3"/>
        </w:rPr>
        <w:t xml:space="preserve"> </w:t>
      </w:r>
      <w:proofErr w:type="gramStart"/>
      <w:r w:rsidRPr="00EC0D25">
        <w:rPr>
          <w:i/>
          <w:iCs/>
          <w:spacing w:val="-3"/>
        </w:rPr>
        <w:t>den</w:t>
      </w:r>
      <w:proofErr w:type="gramEnd"/>
      <w:r w:rsidRPr="00EC0D25">
        <w:rPr>
          <w:spacing w:val="-3"/>
        </w:rPr>
        <w:t xml:space="preserve">. </w:t>
      </w:r>
      <w:proofErr w:type="gramStart"/>
      <w:r w:rsidRPr="00EC0D25">
        <w:rPr>
          <w:spacing w:val="-3"/>
        </w:rPr>
        <w:t>in</w:t>
      </w:r>
      <w:proofErr w:type="gramEnd"/>
      <w:r w:rsidRPr="00EC0D25">
        <w:rPr>
          <w:spacing w:val="-3"/>
        </w:rPr>
        <w:t xml:space="preserve"> 602 A.2d 863 (1992)</w:t>
      </w:r>
      <w:r>
        <w:rPr>
          <w:spacing w:val="-3"/>
        </w:rPr>
        <w:t>.</w:t>
      </w:r>
    </w:p>
    <w:p w:rsidR="00BF7A4B" w:rsidRPr="00EC0D25" w:rsidRDefault="00BF7A4B" w:rsidP="000A34DF">
      <w:pPr>
        <w:pStyle w:val="FootnoteText"/>
        <w:ind w:firstLine="720"/>
      </w:pPr>
    </w:p>
  </w:footnote>
  <w:footnote w:id="4">
    <w:p w:rsidR="00B33004" w:rsidRDefault="00B33004" w:rsidP="00B33004">
      <w:pPr>
        <w:pStyle w:val="FootnoteText"/>
        <w:ind w:firstLine="720"/>
      </w:pPr>
      <w:r>
        <w:rPr>
          <w:rStyle w:val="FootnoteReference"/>
        </w:rPr>
        <w:footnoteRef/>
      </w:r>
      <w:r>
        <w:t xml:space="preserve"> </w:t>
      </w:r>
      <w:r>
        <w:tab/>
      </w:r>
      <w:proofErr w:type="gramStart"/>
      <w:r w:rsidRPr="0058651A">
        <w:rPr>
          <w:spacing w:val="-3"/>
          <w:u w:val="single"/>
        </w:rPr>
        <w:t>Patterson v. Bell Telephone Company of Pennsylvania</w:t>
      </w:r>
      <w:r w:rsidRPr="0058651A">
        <w:rPr>
          <w:spacing w:val="-3"/>
        </w:rPr>
        <w:t>, 72 P</w:t>
      </w:r>
      <w:r w:rsidR="00C878DD">
        <w:rPr>
          <w:spacing w:val="-3"/>
        </w:rPr>
        <w:t>a.</w:t>
      </w:r>
      <w:r w:rsidRPr="0058651A">
        <w:rPr>
          <w:spacing w:val="-3"/>
        </w:rPr>
        <w:t xml:space="preserve"> PUC 196 (1990), </w:t>
      </w:r>
      <w:r w:rsidRPr="0058651A">
        <w:rPr>
          <w:spacing w:val="-3"/>
          <w:u w:val="single"/>
        </w:rPr>
        <w:t>Feinstein v. Philadelphia Suburban Water Company</w:t>
      </w:r>
      <w:r w:rsidRPr="0058651A">
        <w:rPr>
          <w:spacing w:val="-3"/>
        </w:rPr>
        <w:t>, 50 P</w:t>
      </w:r>
      <w:r w:rsidR="00C878DD">
        <w:rPr>
          <w:spacing w:val="-3"/>
        </w:rPr>
        <w:t>a.</w:t>
      </w:r>
      <w:r w:rsidRPr="0058651A">
        <w:rPr>
          <w:spacing w:val="-3"/>
        </w:rPr>
        <w:t xml:space="preserve"> PUC 300 (1976).</w:t>
      </w:r>
      <w:proofErr w:type="gramEnd"/>
      <w:r w:rsidRPr="00D27E1B">
        <w:rPr>
          <w:spacing w:val="-3"/>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CE16C58"/>
    <w:multiLevelType w:val="hybridMultilevel"/>
    <w:tmpl w:val="78188B60"/>
    <w:lvl w:ilvl="0" w:tplc="C4A68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9">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6"/>
  </w:num>
  <w:num w:numId="3">
    <w:abstractNumId w:val="2"/>
  </w:num>
  <w:num w:numId="4">
    <w:abstractNumId w:val="3"/>
  </w:num>
  <w:num w:numId="5">
    <w:abstractNumId w:val="8"/>
  </w:num>
  <w:num w:numId="6">
    <w:abstractNumId w:val="6"/>
    <w:lvlOverride w:ilvl="0">
      <w:startOverride w:val="1"/>
    </w:lvlOverride>
  </w:num>
  <w:num w:numId="7">
    <w:abstractNumId w:val="2"/>
    <w:lvlOverride w:ilvl="0">
      <w:startOverride w:val="1"/>
    </w:lvlOverride>
  </w:num>
  <w:num w:numId="8">
    <w:abstractNumId w:val="8"/>
    <w:lvlOverride w:ilvl="0">
      <w:startOverride w:val="2"/>
    </w:lvlOverride>
  </w:num>
  <w:num w:numId="9">
    <w:abstractNumId w:val="1"/>
  </w:num>
  <w:num w:numId="10">
    <w:abstractNumId w:val="9"/>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D8E"/>
    <w:rsid w:val="000024B6"/>
    <w:rsid w:val="00005552"/>
    <w:rsid w:val="000226A7"/>
    <w:rsid w:val="000268F4"/>
    <w:rsid w:val="0003169F"/>
    <w:rsid w:val="00044200"/>
    <w:rsid w:val="00044B8E"/>
    <w:rsid w:val="00065149"/>
    <w:rsid w:val="000755DB"/>
    <w:rsid w:val="00083078"/>
    <w:rsid w:val="000961CD"/>
    <w:rsid w:val="000A1439"/>
    <w:rsid w:val="000A34DF"/>
    <w:rsid w:val="000A74C8"/>
    <w:rsid w:val="000C50A8"/>
    <w:rsid w:val="000C55C5"/>
    <w:rsid w:val="000D6D9C"/>
    <w:rsid w:val="001056A1"/>
    <w:rsid w:val="00113941"/>
    <w:rsid w:val="0011768F"/>
    <w:rsid w:val="001339A3"/>
    <w:rsid w:val="0014638B"/>
    <w:rsid w:val="001635F9"/>
    <w:rsid w:val="00166694"/>
    <w:rsid w:val="00174631"/>
    <w:rsid w:val="001760E3"/>
    <w:rsid w:val="00187E50"/>
    <w:rsid w:val="001908AF"/>
    <w:rsid w:val="00192CF9"/>
    <w:rsid w:val="00193064"/>
    <w:rsid w:val="00195CBA"/>
    <w:rsid w:val="00195D67"/>
    <w:rsid w:val="001B2A30"/>
    <w:rsid w:val="001B55FD"/>
    <w:rsid w:val="001D457F"/>
    <w:rsid w:val="001E2C0B"/>
    <w:rsid w:val="001E6855"/>
    <w:rsid w:val="001E7805"/>
    <w:rsid w:val="001E7EE2"/>
    <w:rsid w:val="001F16E2"/>
    <w:rsid w:val="0021278D"/>
    <w:rsid w:val="002135C1"/>
    <w:rsid w:val="00213C20"/>
    <w:rsid w:val="00242348"/>
    <w:rsid w:val="0024448A"/>
    <w:rsid w:val="00253ECF"/>
    <w:rsid w:val="00256203"/>
    <w:rsid w:val="0025693E"/>
    <w:rsid w:val="0026056B"/>
    <w:rsid w:val="00273706"/>
    <w:rsid w:val="00286172"/>
    <w:rsid w:val="002A0805"/>
    <w:rsid w:val="002A1305"/>
    <w:rsid w:val="002A59BF"/>
    <w:rsid w:val="002E25F3"/>
    <w:rsid w:val="002E2700"/>
    <w:rsid w:val="00305F0D"/>
    <w:rsid w:val="00307CB3"/>
    <w:rsid w:val="00341B79"/>
    <w:rsid w:val="003420E6"/>
    <w:rsid w:val="003460CC"/>
    <w:rsid w:val="00355E33"/>
    <w:rsid w:val="003611E4"/>
    <w:rsid w:val="003759A4"/>
    <w:rsid w:val="00382023"/>
    <w:rsid w:val="00383A25"/>
    <w:rsid w:val="00386F30"/>
    <w:rsid w:val="003948AF"/>
    <w:rsid w:val="003962EA"/>
    <w:rsid w:val="003A2086"/>
    <w:rsid w:val="003A2C39"/>
    <w:rsid w:val="003A31A9"/>
    <w:rsid w:val="003A33F5"/>
    <w:rsid w:val="003C7183"/>
    <w:rsid w:val="003D3AA4"/>
    <w:rsid w:val="003E19DA"/>
    <w:rsid w:val="003F0927"/>
    <w:rsid w:val="003F68A9"/>
    <w:rsid w:val="004012A8"/>
    <w:rsid w:val="0041141D"/>
    <w:rsid w:val="00412886"/>
    <w:rsid w:val="0042086F"/>
    <w:rsid w:val="004222C6"/>
    <w:rsid w:val="004232E8"/>
    <w:rsid w:val="0043056E"/>
    <w:rsid w:val="00433CEC"/>
    <w:rsid w:val="0043514B"/>
    <w:rsid w:val="00437CE0"/>
    <w:rsid w:val="004415A2"/>
    <w:rsid w:val="00451160"/>
    <w:rsid w:val="00452A48"/>
    <w:rsid w:val="004768C7"/>
    <w:rsid w:val="004777CB"/>
    <w:rsid w:val="004A287A"/>
    <w:rsid w:val="004A4AC4"/>
    <w:rsid w:val="004A5400"/>
    <w:rsid w:val="004B3490"/>
    <w:rsid w:val="004B418C"/>
    <w:rsid w:val="004C0960"/>
    <w:rsid w:val="004D0D4F"/>
    <w:rsid w:val="004D6317"/>
    <w:rsid w:val="004D63DC"/>
    <w:rsid w:val="004E3DB9"/>
    <w:rsid w:val="004F4E74"/>
    <w:rsid w:val="004F511D"/>
    <w:rsid w:val="004F6DF0"/>
    <w:rsid w:val="00507A2B"/>
    <w:rsid w:val="00521060"/>
    <w:rsid w:val="00530A02"/>
    <w:rsid w:val="0053722A"/>
    <w:rsid w:val="00540947"/>
    <w:rsid w:val="00550C26"/>
    <w:rsid w:val="00556E9A"/>
    <w:rsid w:val="005609B8"/>
    <w:rsid w:val="00560FDD"/>
    <w:rsid w:val="00567C6F"/>
    <w:rsid w:val="005745EB"/>
    <w:rsid w:val="00574E22"/>
    <w:rsid w:val="00576E65"/>
    <w:rsid w:val="0058651A"/>
    <w:rsid w:val="00593D95"/>
    <w:rsid w:val="005B3461"/>
    <w:rsid w:val="005B4757"/>
    <w:rsid w:val="005B5748"/>
    <w:rsid w:val="005B7205"/>
    <w:rsid w:val="005D1E58"/>
    <w:rsid w:val="005D3D7F"/>
    <w:rsid w:val="005E12B1"/>
    <w:rsid w:val="005F38C3"/>
    <w:rsid w:val="005F5C9E"/>
    <w:rsid w:val="00601B51"/>
    <w:rsid w:val="00606BD0"/>
    <w:rsid w:val="00620C7B"/>
    <w:rsid w:val="00655AE4"/>
    <w:rsid w:val="006647CC"/>
    <w:rsid w:val="00674464"/>
    <w:rsid w:val="00676D32"/>
    <w:rsid w:val="006837EE"/>
    <w:rsid w:val="006930B8"/>
    <w:rsid w:val="006B3FEA"/>
    <w:rsid w:val="006C0841"/>
    <w:rsid w:val="006C2C49"/>
    <w:rsid w:val="006D0E2D"/>
    <w:rsid w:val="006D252C"/>
    <w:rsid w:val="006D53B0"/>
    <w:rsid w:val="006D7DE2"/>
    <w:rsid w:val="006E1F15"/>
    <w:rsid w:val="006F0985"/>
    <w:rsid w:val="006F4A53"/>
    <w:rsid w:val="006F5CB0"/>
    <w:rsid w:val="006F6BB8"/>
    <w:rsid w:val="00720264"/>
    <w:rsid w:val="00723D2E"/>
    <w:rsid w:val="0072437C"/>
    <w:rsid w:val="00747019"/>
    <w:rsid w:val="00757BEB"/>
    <w:rsid w:val="007618E6"/>
    <w:rsid w:val="00777AD8"/>
    <w:rsid w:val="00791F9B"/>
    <w:rsid w:val="007A01A8"/>
    <w:rsid w:val="007B0BC7"/>
    <w:rsid w:val="007B7D06"/>
    <w:rsid w:val="007C4CD8"/>
    <w:rsid w:val="007D5F4A"/>
    <w:rsid w:val="007E4657"/>
    <w:rsid w:val="007F46D2"/>
    <w:rsid w:val="00803E31"/>
    <w:rsid w:val="00804DAB"/>
    <w:rsid w:val="00805247"/>
    <w:rsid w:val="00806C9B"/>
    <w:rsid w:val="00810B84"/>
    <w:rsid w:val="00822088"/>
    <w:rsid w:val="008325DF"/>
    <w:rsid w:val="0083441D"/>
    <w:rsid w:val="00846253"/>
    <w:rsid w:val="00850505"/>
    <w:rsid w:val="00850A24"/>
    <w:rsid w:val="00862A3E"/>
    <w:rsid w:val="008648D6"/>
    <w:rsid w:val="00867FD3"/>
    <w:rsid w:val="00877C75"/>
    <w:rsid w:val="00881239"/>
    <w:rsid w:val="00881CA9"/>
    <w:rsid w:val="0088541A"/>
    <w:rsid w:val="00894A11"/>
    <w:rsid w:val="008A7257"/>
    <w:rsid w:val="008B5083"/>
    <w:rsid w:val="008C21DB"/>
    <w:rsid w:val="008C2C84"/>
    <w:rsid w:val="008C756D"/>
    <w:rsid w:val="008D478C"/>
    <w:rsid w:val="008E759A"/>
    <w:rsid w:val="008F030B"/>
    <w:rsid w:val="008F118E"/>
    <w:rsid w:val="008F558D"/>
    <w:rsid w:val="0091247C"/>
    <w:rsid w:val="00946C11"/>
    <w:rsid w:val="009504A6"/>
    <w:rsid w:val="00951CFC"/>
    <w:rsid w:val="009578D1"/>
    <w:rsid w:val="0096189E"/>
    <w:rsid w:val="009753B7"/>
    <w:rsid w:val="00976B8E"/>
    <w:rsid w:val="00977B94"/>
    <w:rsid w:val="00977BB6"/>
    <w:rsid w:val="009828D3"/>
    <w:rsid w:val="00992A72"/>
    <w:rsid w:val="00994613"/>
    <w:rsid w:val="00996FB5"/>
    <w:rsid w:val="00997FD4"/>
    <w:rsid w:val="009A3D9F"/>
    <w:rsid w:val="009B4A87"/>
    <w:rsid w:val="009C3281"/>
    <w:rsid w:val="009D6921"/>
    <w:rsid w:val="009D7777"/>
    <w:rsid w:val="009E1902"/>
    <w:rsid w:val="009F5506"/>
    <w:rsid w:val="00A0630D"/>
    <w:rsid w:val="00A23A1A"/>
    <w:rsid w:val="00A40F64"/>
    <w:rsid w:val="00A450CB"/>
    <w:rsid w:val="00A5362D"/>
    <w:rsid w:val="00A54C14"/>
    <w:rsid w:val="00A60625"/>
    <w:rsid w:val="00A648CB"/>
    <w:rsid w:val="00A66258"/>
    <w:rsid w:val="00A75695"/>
    <w:rsid w:val="00A75B63"/>
    <w:rsid w:val="00A75EB0"/>
    <w:rsid w:val="00A8667C"/>
    <w:rsid w:val="00A964A8"/>
    <w:rsid w:val="00AA22B4"/>
    <w:rsid w:val="00AA3795"/>
    <w:rsid w:val="00AA3A21"/>
    <w:rsid w:val="00AB0456"/>
    <w:rsid w:val="00AB2D65"/>
    <w:rsid w:val="00AB6666"/>
    <w:rsid w:val="00AB68B6"/>
    <w:rsid w:val="00AB73D1"/>
    <w:rsid w:val="00AC1F69"/>
    <w:rsid w:val="00AC5192"/>
    <w:rsid w:val="00AD16D1"/>
    <w:rsid w:val="00AD671E"/>
    <w:rsid w:val="00AE0EA3"/>
    <w:rsid w:val="00AE23FD"/>
    <w:rsid w:val="00AF4043"/>
    <w:rsid w:val="00AF7930"/>
    <w:rsid w:val="00B07ED7"/>
    <w:rsid w:val="00B20BB1"/>
    <w:rsid w:val="00B21A12"/>
    <w:rsid w:val="00B33004"/>
    <w:rsid w:val="00B45783"/>
    <w:rsid w:val="00B51F32"/>
    <w:rsid w:val="00B67D11"/>
    <w:rsid w:val="00B839E8"/>
    <w:rsid w:val="00B93AED"/>
    <w:rsid w:val="00B96704"/>
    <w:rsid w:val="00BB279F"/>
    <w:rsid w:val="00BC6609"/>
    <w:rsid w:val="00BC67D2"/>
    <w:rsid w:val="00BD0AF8"/>
    <w:rsid w:val="00BD1626"/>
    <w:rsid w:val="00BD656E"/>
    <w:rsid w:val="00BE0C66"/>
    <w:rsid w:val="00BF7A4B"/>
    <w:rsid w:val="00C1408A"/>
    <w:rsid w:val="00C146D5"/>
    <w:rsid w:val="00C1597F"/>
    <w:rsid w:val="00C27B5E"/>
    <w:rsid w:val="00C354E5"/>
    <w:rsid w:val="00C42683"/>
    <w:rsid w:val="00C44296"/>
    <w:rsid w:val="00C50F60"/>
    <w:rsid w:val="00C72198"/>
    <w:rsid w:val="00C7317C"/>
    <w:rsid w:val="00C878DD"/>
    <w:rsid w:val="00C90991"/>
    <w:rsid w:val="00C9371A"/>
    <w:rsid w:val="00C97273"/>
    <w:rsid w:val="00CA4DF4"/>
    <w:rsid w:val="00CA5A43"/>
    <w:rsid w:val="00CA5FBB"/>
    <w:rsid w:val="00CC11CD"/>
    <w:rsid w:val="00CC7273"/>
    <w:rsid w:val="00CC7EAF"/>
    <w:rsid w:val="00CE7E68"/>
    <w:rsid w:val="00CF340C"/>
    <w:rsid w:val="00CF6039"/>
    <w:rsid w:val="00CF7BA0"/>
    <w:rsid w:val="00D0052C"/>
    <w:rsid w:val="00D02672"/>
    <w:rsid w:val="00D04E2C"/>
    <w:rsid w:val="00D160E6"/>
    <w:rsid w:val="00D236A3"/>
    <w:rsid w:val="00D30C6D"/>
    <w:rsid w:val="00D44704"/>
    <w:rsid w:val="00D51AE8"/>
    <w:rsid w:val="00D64DCB"/>
    <w:rsid w:val="00D66FE4"/>
    <w:rsid w:val="00D7007A"/>
    <w:rsid w:val="00D82C44"/>
    <w:rsid w:val="00D86982"/>
    <w:rsid w:val="00D95DB1"/>
    <w:rsid w:val="00DA16D1"/>
    <w:rsid w:val="00DA6365"/>
    <w:rsid w:val="00DE2170"/>
    <w:rsid w:val="00DE2266"/>
    <w:rsid w:val="00DE2949"/>
    <w:rsid w:val="00DE7F93"/>
    <w:rsid w:val="00DF04BF"/>
    <w:rsid w:val="00E02815"/>
    <w:rsid w:val="00E03BB5"/>
    <w:rsid w:val="00E04BE4"/>
    <w:rsid w:val="00E0580F"/>
    <w:rsid w:val="00E1062D"/>
    <w:rsid w:val="00E126F9"/>
    <w:rsid w:val="00E176E7"/>
    <w:rsid w:val="00E323D7"/>
    <w:rsid w:val="00E329DC"/>
    <w:rsid w:val="00E33BA9"/>
    <w:rsid w:val="00E45AE4"/>
    <w:rsid w:val="00E500AF"/>
    <w:rsid w:val="00E5034B"/>
    <w:rsid w:val="00E74CDD"/>
    <w:rsid w:val="00E77421"/>
    <w:rsid w:val="00E80B68"/>
    <w:rsid w:val="00E85864"/>
    <w:rsid w:val="00E91CE3"/>
    <w:rsid w:val="00E941D2"/>
    <w:rsid w:val="00EA7153"/>
    <w:rsid w:val="00EC0D25"/>
    <w:rsid w:val="00EC46E0"/>
    <w:rsid w:val="00EC4BF1"/>
    <w:rsid w:val="00EC6BFE"/>
    <w:rsid w:val="00ED652F"/>
    <w:rsid w:val="00ED6B35"/>
    <w:rsid w:val="00EE0FF3"/>
    <w:rsid w:val="00EE480E"/>
    <w:rsid w:val="00EF3B1E"/>
    <w:rsid w:val="00F01C8E"/>
    <w:rsid w:val="00F220CF"/>
    <w:rsid w:val="00F31899"/>
    <w:rsid w:val="00F4197A"/>
    <w:rsid w:val="00F43B77"/>
    <w:rsid w:val="00F6546D"/>
    <w:rsid w:val="00F72B2B"/>
    <w:rsid w:val="00F73C62"/>
    <w:rsid w:val="00F825B0"/>
    <w:rsid w:val="00FA2CDB"/>
    <w:rsid w:val="00FA367A"/>
    <w:rsid w:val="00FA47B6"/>
    <w:rsid w:val="00FA60CF"/>
    <w:rsid w:val="00FB2F18"/>
    <w:rsid w:val="00FB3BB1"/>
    <w:rsid w:val="00FB448C"/>
    <w:rsid w:val="00FB7AFF"/>
    <w:rsid w:val="00FC42F5"/>
    <w:rsid w:val="00FC524D"/>
    <w:rsid w:val="00FD00D0"/>
    <w:rsid w:val="00FF0BD9"/>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paragraph" w:styleId="BalloonText">
    <w:name w:val="Balloon Text"/>
    <w:basedOn w:val="Normal"/>
    <w:link w:val="BalloonTextChar"/>
    <w:rsid w:val="0053722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372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paragraph" w:styleId="BalloonText">
    <w:name w:val="Balloon Text"/>
    <w:basedOn w:val="Normal"/>
    <w:link w:val="BalloonTextChar"/>
    <w:rsid w:val="0053722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372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3E5F3-7F6E-4D59-9F1B-B57C93F8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sandra elizabeth oldynski</cp:lastModifiedBy>
  <cp:revision>13</cp:revision>
  <cp:lastPrinted>2014-10-08T18:56:00Z</cp:lastPrinted>
  <dcterms:created xsi:type="dcterms:W3CDTF">2014-09-18T13:01:00Z</dcterms:created>
  <dcterms:modified xsi:type="dcterms:W3CDTF">2014-10-08T19:00:00Z</dcterms:modified>
</cp:coreProperties>
</file>