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E2" w:rsidRPr="00496847" w:rsidRDefault="00AF6AE2" w:rsidP="00AF6AE2">
      <w:pPr>
        <w:jc w:val="center"/>
        <w:rPr>
          <w:b/>
        </w:rPr>
      </w:pPr>
      <w:bookmarkStart w:id="0" w:name="_GoBack"/>
      <w:bookmarkEnd w:id="0"/>
      <w:r w:rsidRPr="00496847">
        <w:rPr>
          <w:b/>
        </w:rPr>
        <w:t>BEFORE THE</w:t>
      </w:r>
    </w:p>
    <w:p w:rsidR="00AF6AE2" w:rsidRDefault="00AF6AE2" w:rsidP="00AF6AE2">
      <w:pPr>
        <w:jc w:val="center"/>
        <w:rPr>
          <w:b/>
        </w:rPr>
      </w:pPr>
      <w:r w:rsidRPr="00496847">
        <w:rPr>
          <w:b/>
        </w:rPr>
        <w:t>PENNSYLVANIA PUBLIC UTILITY COMMISSION</w:t>
      </w:r>
    </w:p>
    <w:p w:rsidR="00B272DA" w:rsidRDefault="00B272DA" w:rsidP="00AF6AE2">
      <w:pPr>
        <w:jc w:val="center"/>
        <w:rPr>
          <w:b/>
        </w:rPr>
      </w:pPr>
    </w:p>
    <w:p w:rsidR="00B272DA" w:rsidRPr="00496847" w:rsidRDefault="00B272DA" w:rsidP="00AF6AE2">
      <w:pPr>
        <w:jc w:val="center"/>
        <w:rPr>
          <w:b/>
        </w:rPr>
      </w:pPr>
    </w:p>
    <w:p w:rsidR="00AF6AE2" w:rsidRPr="00496847" w:rsidRDefault="00AF6AE2" w:rsidP="00AF6AE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
        <w:gridCol w:w="4608"/>
      </w:tblGrid>
      <w:tr w:rsidR="00AF6AE2" w:rsidRPr="00496847" w:rsidTr="00720762">
        <w:tc>
          <w:tcPr>
            <w:tcW w:w="4428" w:type="dxa"/>
            <w:tcBorders>
              <w:top w:val="nil"/>
              <w:left w:val="nil"/>
              <w:bottom w:val="nil"/>
              <w:right w:val="nil"/>
            </w:tcBorders>
            <w:shd w:val="clear" w:color="auto" w:fill="auto"/>
          </w:tcPr>
          <w:p w:rsidR="00AF6AE2" w:rsidRPr="00496847" w:rsidRDefault="00AF6AE2" w:rsidP="00720762">
            <w:r w:rsidRPr="00496847">
              <w:t>Pennsylvania Public Utility Commission</w:t>
            </w:r>
          </w:p>
          <w:p w:rsidR="00AF6AE2" w:rsidRPr="00496847" w:rsidRDefault="00AF6AE2" w:rsidP="00720762">
            <w:r w:rsidRPr="00496847">
              <w:t>Office of Consumer Advocate</w:t>
            </w:r>
          </w:p>
          <w:p w:rsidR="00AF6AE2" w:rsidRPr="00496847" w:rsidRDefault="00AF6AE2" w:rsidP="00720762">
            <w:r w:rsidRPr="00496847">
              <w:t>Office of Small Business Advocate</w:t>
            </w:r>
          </w:p>
          <w:p w:rsidR="00AF6AE2" w:rsidRPr="00496847" w:rsidRDefault="00AF6AE2" w:rsidP="00720762">
            <w:r w:rsidRPr="00496847">
              <w:t>Columbia Industrial Intervenors</w:t>
            </w:r>
          </w:p>
          <w:p w:rsidR="00AF6AE2" w:rsidRPr="00496847" w:rsidRDefault="00AF6AE2" w:rsidP="00720762">
            <w:r w:rsidRPr="00496847">
              <w:t xml:space="preserve">Ronald </w:t>
            </w:r>
            <w:proofErr w:type="spellStart"/>
            <w:r w:rsidRPr="00496847">
              <w:t>Vanetta</w:t>
            </w:r>
            <w:proofErr w:type="spellEnd"/>
          </w:p>
          <w:p w:rsidR="00AF6AE2" w:rsidRPr="00496847" w:rsidRDefault="00AF6AE2" w:rsidP="00720762">
            <w:r w:rsidRPr="00496847">
              <w:t>John S. Smith</w:t>
            </w:r>
          </w:p>
          <w:p w:rsidR="00AF6AE2" w:rsidRPr="00496847" w:rsidRDefault="00AF6AE2" w:rsidP="00720762">
            <w:r w:rsidRPr="00496847">
              <w:t xml:space="preserve">Peter </w:t>
            </w:r>
            <w:proofErr w:type="spellStart"/>
            <w:r w:rsidRPr="00496847">
              <w:t>Kaczmarek</w:t>
            </w:r>
            <w:proofErr w:type="spellEnd"/>
          </w:p>
          <w:p w:rsidR="00AF6AE2" w:rsidRPr="00496847" w:rsidRDefault="00AF6AE2" w:rsidP="00720762">
            <w:r w:rsidRPr="00496847">
              <w:t>James G. Reedy</w:t>
            </w:r>
          </w:p>
          <w:p w:rsidR="00AF6AE2" w:rsidRPr="00496847" w:rsidRDefault="00AF6AE2" w:rsidP="00720762">
            <w:r w:rsidRPr="00496847">
              <w:t>G. Thomas Smeltzer</w:t>
            </w:r>
          </w:p>
          <w:p w:rsidR="00AF6AE2" w:rsidRPr="00496847" w:rsidRDefault="00AF6AE2" w:rsidP="00720762"/>
          <w:p w:rsidR="00AF6AE2" w:rsidRPr="00496847" w:rsidRDefault="00AF6AE2" w:rsidP="00720762">
            <w:r w:rsidRPr="00496847">
              <w:tab/>
              <w:t xml:space="preserve">v. </w:t>
            </w:r>
          </w:p>
          <w:p w:rsidR="00AF6AE2" w:rsidRPr="00496847" w:rsidRDefault="00AF6AE2" w:rsidP="00720762"/>
          <w:p w:rsidR="00AF6AE2" w:rsidRPr="00496847" w:rsidRDefault="00AF6AE2" w:rsidP="00720762">
            <w:r w:rsidRPr="00496847">
              <w:t>Columbia Gas of Pennsylvania, Inc.</w:t>
            </w:r>
          </w:p>
        </w:tc>
        <w:tc>
          <w:tcPr>
            <w:tcW w:w="540" w:type="dxa"/>
            <w:tcBorders>
              <w:top w:val="nil"/>
              <w:left w:val="nil"/>
              <w:bottom w:val="nil"/>
              <w:right w:val="nil"/>
            </w:tcBorders>
            <w:shd w:val="clear" w:color="auto" w:fill="auto"/>
          </w:tcPr>
          <w:p w:rsidR="00AF6AE2" w:rsidRPr="00FA1E16" w:rsidRDefault="00AF6AE2" w:rsidP="00720762">
            <w:pPr>
              <w:jc w:val="center"/>
              <w:rPr>
                <w:b/>
              </w:rPr>
            </w:pPr>
            <w:r w:rsidRPr="00FA1E16">
              <w:rPr>
                <w:b/>
              </w:rPr>
              <w:t>:</w:t>
            </w:r>
            <w:r w:rsidRPr="00FA1E16">
              <w:rPr>
                <w:b/>
              </w:rPr>
              <w:br/>
              <w:t>:</w:t>
            </w:r>
            <w:r w:rsidRPr="00FA1E16">
              <w:rPr>
                <w:b/>
              </w:rPr>
              <w:br/>
              <w:t>:</w:t>
            </w:r>
            <w:r w:rsidRPr="00FA1E16">
              <w:rPr>
                <w:b/>
              </w:rPr>
              <w:br/>
              <w:t>:</w:t>
            </w:r>
            <w:r w:rsidRPr="00FA1E16">
              <w:rPr>
                <w:b/>
              </w:rPr>
              <w:b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rPr>
                <w:b/>
              </w:rPr>
            </w:pPr>
          </w:p>
        </w:tc>
        <w:tc>
          <w:tcPr>
            <w:tcW w:w="4608" w:type="dxa"/>
            <w:tcBorders>
              <w:top w:val="nil"/>
              <w:left w:val="nil"/>
              <w:bottom w:val="nil"/>
              <w:right w:val="nil"/>
            </w:tcBorders>
            <w:shd w:val="clear" w:color="auto" w:fill="auto"/>
          </w:tcPr>
          <w:p w:rsidR="00AF6AE2" w:rsidRPr="00496847" w:rsidRDefault="00AF6AE2" w:rsidP="00FB7DE5">
            <w:pPr>
              <w:ind w:firstLine="1422"/>
            </w:pPr>
            <w:r w:rsidRPr="00496847">
              <w:tab/>
              <w:t>R-2014-2406274</w:t>
            </w:r>
          </w:p>
          <w:p w:rsidR="00AF6AE2" w:rsidRPr="00496847" w:rsidRDefault="00AF6AE2" w:rsidP="00720762">
            <w:r w:rsidRPr="00496847">
              <w:tab/>
            </w:r>
            <w:r w:rsidRPr="00496847">
              <w:tab/>
              <w:t>C-2014-2413419</w:t>
            </w:r>
          </w:p>
          <w:p w:rsidR="00AF6AE2" w:rsidRPr="00496847" w:rsidRDefault="00AF6AE2" w:rsidP="00720762">
            <w:r w:rsidRPr="00496847">
              <w:tab/>
            </w:r>
            <w:r w:rsidRPr="00496847">
              <w:tab/>
              <w:t>C-2014-2417238</w:t>
            </w:r>
          </w:p>
          <w:p w:rsidR="00AF6AE2" w:rsidRPr="00496847" w:rsidRDefault="00AF6AE2" w:rsidP="00720762">
            <w:r w:rsidRPr="00496847">
              <w:tab/>
            </w:r>
            <w:r w:rsidRPr="00496847">
              <w:tab/>
              <w:t>C-2014-2418801</w:t>
            </w:r>
          </w:p>
          <w:p w:rsidR="00AF6AE2" w:rsidRPr="00496847" w:rsidRDefault="00AF6AE2" w:rsidP="00720762">
            <w:r w:rsidRPr="00496847">
              <w:tab/>
            </w:r>
            <w:r w:rsidRPr="00496847">
              <w:tab/>
              <w:t>C-2014-2416868</w:t>
            </w:r>
          </w:p>
          <w:p w:rsidR="00AF6AE2" w:rsidRPr="00496847" w:rsidRDefault="00AF6AE2" w:rsidP="00720762">
            <w:r w:rsidRPr="00496847">
              <w:tab/>
            </w:r>
            <w:r w:rsidRPr="00496847">
              <w:tab/>
              <w:t>C-2014-2416873</w:t>
            </w:r>
          </w:p>
          <w:p w:rsidR="00AF6AE2" w:rsidRPr="00496847" w:rsidRDefault="00AF6AE2" w:rsidP="00720762">
            <w:r w:rsidRPr="00496847">
              <w:tab/>
            </w:r>
            <w:r w:rsidRPr="00496847">
              <w:tab/>
              <w:t>C-2014-2422692</w:t>
            </w:r>
          </w:p>
          <w:p w:rsidR="00AF6AE2" w:rsidRPr="00496847" w:rsidRDefault="00AF6AE2" w:rsidP="00720762">
            <w:r w:rsidRPr="00496847">
              <w:tab/>
            </w:r>
            <w:r w:rsidRPr="00496847">
              <w:tab/>
              <w:t>C-2014-2422693</w:t>
            </w:r>
          </w:p>
          <w:p w:rsidR="00AF6AE2" w:rsidRPr="00496847" w:rsidRDefault="00AF6AE2" w:rsidP="00720762">
            <w:r w:rsidRPr="00496847">
              <w:tab/>
            </w:r>
            <w:r w:rsidRPr="00496847">
              <w:tab/>
              <w:t>C-2014-2429053</w:t>
            </w:r>
          </w:p>
        </w:tc>
      </w:tr>
      <w:tr w:rsidR="00FB7DE5" w:rsidRPr="00496847" w:rsidTr="00720762">
        <w:tc>
          <w:tcPr>
            <w:tcW w:w="4428" w:type="dxa"/>
            <w:tcBorders>
              <w:top w:val="nil"/>
              <w:left w:val="nil"/>
              <w:bottom w:val="nil"/>
              <w:right w:val="nil"/>
            </w:tcBorders>
            <w:shd w:val="clear" w:color="auto" w:fill="auto"/>
          </w:tcPr>
          <w:p w:rsidR="00FB7DE5" w:rsidRPr="00496847" w:rsidRDefault="00FB7DE5" w:rsidP="00720762"/>
        </w:tc>
        <w:tc>
          <w:tcPr>
            <w:tcW w:w="540" w:type="dxa"/>
            <w:tcBorders>
              <w:top w:val="nil"/>
              <w:left w:val="nil"/>
              <w:bottom w:val="nil"/>
              <w:right w:val="nil"/>
            </w:tcBorders>
            <w:shd w:val="clear" w:color="auto" w:fill="auto"/>
          </w:tcPr>
          <w:p w:rsidR="00FB7DE5" w:rsidRPr="00FA1E16" w:rsidRDefault="00FB7DE5" w:rsidP="00720762">
            <w:pPr>
              <w:jc w:val="center"/>
              <w:rPr>
                <w:b/>
              </w:rPr>
            </w:pPr>
          </w:p>
        </w:tc>
        <w:tc>
          <w:tcPr>
            <w:tcW w:w="4608" w:type="dxa"/>
            <w:tcBorders>
              <w:top w:val="nil"/>
              <w:left w:val="nil"/>
              <w:bottom w:val="nil"/>
              <w:right w:val="nil"/>
            </w:tcBorders>
            <w:shd w:val="clear" w:color="auto" w:fill="auto"/>
          </w:tcPr>
          <w:p w:rsidR="00FB7DE5" w:rsidRPr="00496847" w:rsidRDefault="00FB7DE5" w:rsidP="00720762"/>
        </w:tc>
      </w:tr>
    </w:tbl>
    <w:p w:rsidR="00AF6AE2" w:rsidRPr="009C6D70" w:rsidRDefault="00AF6AE2" w:rsidP="006163AA">
      <w:pPr>
        <w:jc w:val="center"/>
        <w:rPr>
          <w:b/>
          <w:u w:val="single"/>
        </w:rPr>
      </w:pPr>
    </w:p>
    <w:p w:rsidR="006163AA" w:rsidRPr="009C6D70" w:rsidRDefault="006163AA" w:rsidP="006163AA">
      <w:pPr>
        <w:jc w:val="center"/>
        <w:rPr>
          <w:b/>
          <w:u w:val="single"/>
        </w:rPr>
      </w:pPr>
    </w:p>
    <w:p w:rsidR="006163AA" w:rsidRPr="009C6D70" w:rsidRDefault="006163AA" w:rsidP="006163AA">
      <w:pPr>
        <w:jc w:val="center"/>
        <w:rPr>
          <w:b/>
          <w:u w:val="single"/>
        </w:rPr>
      </w:pPr>
    </w:p>
    <w:p w:rsidR="006163AA" w:rsidRPr="009C6D70" w:rsidRDefault="006163AA" w:rsidP="006163AA">
      <w:pPr>
        <w:jc w:val="center"/>
      </w:pPr>
      <w:r w:rsidRPr="009C6D70">
        <w:rPr>
          <w:b/>
          <w:u w:val="single"/>
        </w:rPr>
        <w:t>RECOMMENDED DECISION</w:t>
      </w:r>
    </w:p>
    <w:p w:rsidR="006163AA" w:rsidRPr="009C6D70" w:rsidRDefault="006163AA" w:rsidP="006163AA">
      <w:pPr>
        <w:jc w:val="center"/>
      </w:pPr>
    </w:p>
    <w:p w:rsidR="006163AA" w:rsidRPr="009C6D70" w:rsidRDefault="006163AA" w:rsidP="006163AA">
      <w:pPr>
        <w:jc w:val="center"/>
      </w:pPr>
    </w:p>
    <w:p w:rsidR="006163AA" w:rsidRPr="009C6D70" w:rsidRDefault="006163AA" w:rsidP="006163AA">
      <w:pPr>
        <w:jc w:val="center"/>
      </w:pPr>
      <w:r w:rsidRPr="009C6D70">
        <w:t>Before</w:t>
      </w:r>
    </w:p>
    <w:p w:rsidR="006163AA" w:rsidRPr="009C6D70" w:rsidRDefault="006163AA" w:rsidP="006163AA">
      <w:pPr>
        <w:jc w:val="center"/>
      </w:pPr>
      <w:r w:rsidRPr="009C6D70">
        <w:t xml:space="preserve">Mark A. Hoyer </w:t>
      </w:r>
    </w:p>
    <w:p w:rsidR="00AE21E5" w:rsidRDefault="006163AA" w:rsidP="006163AA">
      <w:pPr>
        <w:jc w:val="center"/>
        <w:sectPr w:rsidR="00AE21E5" w:rsidSect="008A53F1">
          <w:footerReference w:type="even" r:id="rId9"/>
          <w:footerReference w:type="default" r:id="rId10"/>
          <w:footerReference w:type="first" r:id="rId11"/>
          <w:pgSz w:w="12240" w:h="15840" w:code="1"/>
          <w:pgMar w:top="1440" w:right="1440" w:bottom="1440" w:left="1440" w:header="1440" w:footer="1440" w:gutter="0"/>
          <w:cols w:space="720"/>
          <w:titlePg/>
          <w:docGrid w:linePitch="360"/>
        </w:sectPr>
      </w:pPr>
      <w:r w:rsidRPr="009C6D70">
        <w:t>A</w:t>
      </w:r>
      <w:r w:rsidR="00AF6AE2">
        <w:t>dministrative Law Judge</w:t>
      </w:r>
    </w:p>
    <w:p w:rsidR="00E32F41" w:rsidRDefault="00E32F41" w:rsidP="00E32F41">
      <w:pPr>
        <w:tabs>
          <w:tab w:val="left" w:pos="720"/>
          <w:tab w:val="left" w:pos="1440"/>
          <w:tab w:val="left" w:pos="2160"/>
          <w:tab w:val="center" w:pos="4680"/>
        </w:tabs>
        <w:jc w:val="center"/>
        <w:rPr>
          <w:b/>
          <w:u w:val="single"/>
        </w:rPr>
      </w:pPr>
      <w:r w:rsidRPr="009C0B03">
        <w:rPr>
          <w:b/>
          <w:u w:val="single"/>
        </w:rPr>
        <w:lastRenderedPageBreak/>
        <w:t>TABLE OF CONTENTS</w:t>
      </w:r>
    </w:p>
    <w:p w:rsidR="00E32F41" w:rsidRPr="009C0B03" w:rsidRDefault="00E32F41" w:rsidP="00E32F41">
      <w:pPr>
        <w:tabs>
          <w:tab w:val="left" w:pos="720"/>
          <w:tab w:val="left" w:pos="1440"/>
          <w:tab w:val="left" w:pos="2160"/>
          <w:tab w:val="center" w:pos="4680"/>
        </w:tabs>
        <w:jc w:val="center"/>
        <w:rPr>
          <w:b/>
          <w:u w:val="single"/>
        </w:rPr>
      </w:pPr>
    </w:p>
    <w:p w:rsidR="00E32F41" w:rsidRPr="009C0B03" w:rsidRDefault="00E32F41" w:rsidP="00E32F41">
      <w:pPr>
        <w:tabs>
          <w:tab w:val="left" w:pos="720"/>
          <w:tab w:val="left" w:pos="1440"/>
          <w:tab w:val="left" w:pos="2160"/>
        </w:tabs>
      </w:pPr>
    </w:p>
    <w:p w:rsidR="00E32F41" w:rsidRDefault="00E32F41" w:rsidP="005F5585">
      <w:pPr>
        <w:tabs>
          <w:tab w:val="left" w:pos="720"/>
          <w:tab w:val="left" w:pos="1440"/>
          <w:tab w:val="left" w:pos="2160"/>
          <w:tab w:val="right" w:leader="dot" w:pos="9360"/>
        </w:tabs>
        <w:spacing w:line="360" w:lineRule="auto"/>
      </w:pPr>
      <w:r w:rsidRPr="009C0B03">
        <w:t>I.</w:t>
      </w:r>
      <w:r w:rsidRPr="009C0B03">
        <w:tab/>
      </w:r>
      <w:r w:rsidRPr="003607F2">
        <w:rPr>
          <w:caps/>
        </w:rPr>
        <w:t>History of the Proceeding</w:t>
      </w:r>
      <w:r w:rsidRPr="009C0B03">
        <w:tab/>
        <w:t>1</w:t>
      </w:r>
    </w:p>
    <w:p w:rsidR="00E32F41" w:rsidRPr="009C0B03"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rsidRPr="009C0B03">
        <w:t>I</w:t>
      </w:r>
      <w:r>
        <w:t>I</w:t>
      </w:r>
      <w:r w:rsidRPr="009C0B03">
        <w:t>.</w:t>
      </w:r>
      <w:r w:rsidRPr="009C0B03">
        <w:tab/>
      </w:r>
      <w:r>
        <w:t>DESCRIPTION AND TERMS OF SETTLEMENT</w:t>
      </w:r>
      <w:r>
        <w:tab/>
        <w:t>3</w:t>
      </w:r>
    </w:p>
    <w:p w:rsidR="00E32F41" w:rsidRPr="009C0B03"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right" w:leader="dot" w:pos="9360"/>
        </w:tabs>
      </w:pPr>
      <w:r w:rsidRPr="009C0B03">
        <w:tab/>
        <w:t>A.</w:t>
      </w:r>
      <w:r w:rsidRPr="009C0B03">
        <w:tab/>
      </w:r>
      <w:r w:rsidR="00753406">
        <w:t>Revenue Requirement</w:t>
      </w:r>
      <w:r w:rsidRPr="009C0B03">
        <w:tab/>
      </w:r>
      <w:r w:rsidR="00753406">
        <w:t>5</w:t>
      </w:r>
    </w:p>
    <w:p w:rsidR="00E32F41" w:rsidRPr="009C0B03" w:rsidRDefault="00E32F41" w:rsidP="00E32F41">
      <w:pPr>
        <w:tabs>
          <w:tab w:val="left" w:pos="720"/>
          <w:tab w:val="left" w:pos="1440"/>
          <w:tab w:val="right" w:leader="dot" w:pos="9360"/>
        </w:tabs>
      </w:pPr>
    </w:p>
    <w:p w:rsidR="00E32F41" w:rsidRDefault="00E32F41" w:rsidP="00E32F41">
      <w:pPr>
        <w:tabs>
          <w:tab w:val="left" w:pos="720"/>
          <w:tab w:val="left" w:pos="1440"/>
          <w:tab w:val="left" w:pos="2160"/>
          <w:tab w:val="right" w:leader="dot" w:pos="9360"/>
        </w:tabs>
      </w:pPr>
      <w:r w:rsidRPr="009C0B03">
        <w:tab/>
        <w:t>B.</w:t>
      </w:r>
      <w:r w:rsidRPr="009C0B03">
        <w:tab/>
      </w:r>
      <w:r w:rsidR="00753406">
        <w:t>Revenue Allocation and Rate Design</w:t>
      </w:r>
      <w:r w:rsidRPr="009C0B03">
        <w:tab/>
      </w:r>
      <w:r w:rsidR="00753406">
        <w:t>8</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t>C.</w:t>
      </w:r>
      <w:r>
        <w:tab/>
      </w:r>
      <w:r w:rsidR="00753406">
        <w:t>Tariff Rule 8-2 Main Extension Model</w:t>
      </w:r>
      <w:r>
        <w:tab/>
      </w:r>
      <w:r w:rsidR="00753406">
        <w:t>9</w:t>
      </w:r>
    </w:p>
    <w:p w:rsidR="00E32F41" w:rsidRDefault="00E32F41" w:rsidP="00E32F41">
      <w:pPr>
        <w:tabs>
          <w:tab w:val="left" w:pos="720"/>
          <w:tab w:val="left" w:pos="1440"/>
          <w:tab w:val="left" w:pos="2160"/>
          <w:tab w:val="right" w:leader="dot" w:pos="9360"/>
        </w:tabs>
      </w:pPr>
    </w:p>
    <w:p w:rsidR="00E32F41" w:rsidRDefault="00E32F41" w:rsidP="00753406">
      <w:pPr>
        <w:tabs>
          <w:tab w:val="left" w:pos="720"/>
          <w:tab w:val="left" w:pos="1440"/>
          <w:tab w:val="left" w:pos="1980"/>
          <w:tab w:val="right" w:leader="dot" w:pos="9360"/>
        </w:tabs>
      </w:pPr>
      <w:r>
        <w:tab/>
        <w:t>D.</w:t>
      </w:r>
      <w:r>
        <w:tab/>
      </w:r>
      <w:r w:rsidR="00753406">
        <w:t>Other</w:t>
      </w:r>
      <w:r w:rsidR="00753406">
        <w:tab/>
      </w:r>
      <w:r w:rsidR="002B6BF1">
        <w:t>9</w:t>
      </w:r>
    </w:p>
    <w:p w:rsidR="00E32F41" w:rsidRDefault="00E32F41" w:rsidP="00E32F41">
      <w:pPr>
        <w:tabs>
          <w:tab w:val="left" w:pos="720"/>
          <w:tab w:val="left" w:pos="1440"/>
          <w:tab w:val="left" w:pos="2160"/>
          <w:tab w:val="right" w:leader="dot" w:pos="9360"/>
        </w:tabs>
      </w:pPr>
    </w:p>
    <w:p w:rsidR="005115B0" w:rsidRDefault="005115B0" w:rsidP="005115B0">
      <w:pPr>
        <w:tabs>
          <w:tab w:val="left" w:pos="720"/>
          <w:tab w:val="left" w:pos="1440"/>
          <w:tab w:val="left" w:pos="2160"/>
          <w:tab w:val="right" w:leader="dot" w:pos="9360"/>
        </w:tabs>
        <w:spacing w:line="360" w:lineRule="auto"/>
      </w:pPr>
      <w:r>
        <w:t>III.</w:t>
      </w:r>
      <w:r>
        <w:tab/>
        <w:t>DISCUSSION</w:t>
      </w:r>
      <w:r>
        <w:tab/>
      </w:r>
      <w:r>
        <w:tab/>
        <w:t>11</w:t>
      </w:r>
    </w:p>
    <w:p w:rsidR="005115B0" w:rsidRDefault="005115B0" w:rsidP="005115B0">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rsidR="005115B0">
        <w:t>A</w:t>
      </w:r>
      <w:r>
        <w:t>.</w:t>
      </w:r>
      <w:r>
        <w:tab/>
      </w:r>
      <w:r w:rsidR="005115B0">
        <w:t xml:space="preserve">Columbia’s Position </w:t>
      </w:r>
      <w:r w:rsidR="005115B0">
        <w:tab/>
        <w:t>12</w:t>
      </w:r>
    </w:p>
    <w:p w:rsidR="005115B0" w:rsidRDefault="005115B0" w:rsidP="00E32F41">
      <w:pPr>
        <w:tabs>
          <w:tab w:val="left" w:pos="720"/>
          <w:tab w:val="left" w:pos="1440"/>
          <w:tab w:val="left" w:pos="2160"/>
          <w:tab w:val="right" w:leader="dot" w:pos="9360"/>
        </w:tabs>
      </w:pPr>
    </w:p>
    <w:p w:rsidR="005115B0" w:rsidRPr="005115B0" w:rsidRDefault="005115B0" w:rsidP="005115B0">
      <w:pPr>
        <w:pStyle w:val="ListParagraph"/>
        <w:numPr>
          <w:ilvl w:val="0"/>
          <w:numId w:val="25"/>
        </w:numPr>
        <w:tabs>
          <w:tab w:val="left" w:pos="720"/>
          <w:tab w:val="left" w:pos="1440"/>
          <w:tab w:val="left" w:pos="2160"/>
          <w:tab w:val="right" w:leader="dot" w:pos="9360"/>
        </w:tabs>
        <w:ind w:left="2160" w:hanging="720"/>
      </w:pPr>
      <w:r>
        <w:rPr>
          <w:sz w:val="24"/>
          <w:szCs w:val="24"/>
        </w:rPr>
        <w:t>Revenue Requirement</w:t>
      </w:r>
      <w:r>
        <w:rPr>
          <w:sz w:val="24"/>
          <w:szCs w:val="24"/>
        </w:rPr>
        <w:tab/>
        <w:t>13</w:t>
      </w:r>
    </w:p>
    <w:p w:rsidR="005115B0" w:rsidRDefault="005115B0" w:rsidP="005115B0">
      <w:pPr>
        <w:tabs>
          <w:tab w:val="left" w:pos="720"/>
          <w:tab w:val="left" w:pos="1440"/>
          <w:tab w:val="left" w:pos="2160"/>
          <w:tab w:val="right" w:leader="dot" w:pos="9360"/>
        </w:tabs>
      </w:pPr>
    </w:p>
    <w:p w:rsidR="005115B0" w:rsidRDefault="005115B0" w:rsidP="005115B0">
      <w:pPr>
        <w:pStyle w:val="ListParagraph"/>
        <w:numPr>
          <w:ilvl w:val="0"/>
          <w:numId w:val="25"/>
        </w:numPr>
        <w:tabs>
          <w:tab w:val="left" w:pos="720"/>
          <w:tab w:val="left" w:pos="1440"/>
          <w:tab w:val="left" w:pos="2160"/>
          <w:tab w:val="right" w:leader="dot" w:pos="9360"/>
        </w:tabs>
        <w:ind w:left="2160" w:hanging="720"/>
        <w:rPr>
          <w:sz w:val="24"/>
          <w:szCs w:val="24"/>
        </w:rPr>
      </w:pPr>
      <w:r w:rsidRPr="005115B0">
        <w:rPr>
          <w:sz w:val="24"/>
          <w:szCs w:val="24"/>
        </w:rPr>
        <w:t>Distr</w:t>
      </w:r>
      <w:r>
        <w:rPr>
          <w:sz w:val="24"/>
          <w:szCs w:val="24"/>
        </w:rPr>
        <w:t>ibution System Improvement Charge (“DSIC”)</w:t>
      </w:r>
      <w:r>
        <w:rPr>
          <w:sz w:val="24"/>
          <w:szCs w:val="24"/>
        </w:rPr>
        <w:tab/>
        <w:t>16</w:t>
      </w:r>
    </w:p>
    <w:p w:rsidR="009B3324" w:rsidRPr="009B3324" w:rsidRDefault="009B3324" w:rsidP="009B3324">
      <w:pPr>
        <w:pStyle w:val="ListParagraph"/>
        <w:rPr>
          <w:sz w:val="24"/>
          <w:szCs w:val="24"/>
        </w:rPr>
      </w:pPr>
    </w:p>
    <w:p w:rsidR="009B3324" w:rsidRPr="009B3324" w:rsidRDefault="009B3324" w:rsidP="009B3324">
      <w:pPr>
        <w:pStyle w:val="ListParagraph"/>
        <w:numPr>
          <w:ilvl w:val="0"/>
          <w:numId w:val="25"/>
        </w:numPr>
        <w:tabs>
          <w:tab w:val="left" w:pos="720"/>
          <w:tab w:val="left" w:pos="1440"/>
          <w:tab w:val="left" w:pos="2160"/>
          <w:tab w:val="right" w:leader="dot" w:pos="9360"/>
        </w:tabs>
        <w:ind w:left="2160" w:hanging="720"/>
        <w:rPr>
          <w:sz w:val="24"/>
          <w:szCs w:val="24"/>
        </w:rPr>
      </w:pPr>
      <w:r w:rsidRPr="009B3324">
        <w:rPr>
          <w:sz w:val="24"/>
          <w:szCs w:val="24"/>
        </w:rPr>
        <w:t>Tax Repair Allowance and Mixed Service Cost Normalization</w:t>
      </w:r>
    </w:p>
    <w:p w:rsidR="009B3324" w:rsidRDefault="009B3324" w:rsidP="009B3324">
      <w:pPr>
        <w:pStyle w:val="ListParagraph"/>
        <w:tabs>
          <w:tab w:val="left" w:pos="720"/>
          <w:tab w:val="left" w:pos="1440"/>
          <w:tab w:val="left" w:pos="2160"/>
          <w:tab w:val="right" w:leader="dot" w:pos="9360"/>
        </w:tabs>
        <w:ind w:left="2160"/>
        <w:rPr>
          <w:sz w:val="24"/>
          <w:szCs w:val="24"/>
        </w:rPr>
      </w:pPr>
      <w:r>
        <w:rPr>
          <w:sz w:val="24"/>
          <w:szCs w:val="24"/>
        </w:rPr>
        <w:t>Treatment</w:t>
      </w:r>
      <w:r>
        <w:rPr>
          <w:sz w:val="24"/>
          <w:szCs w:val="24"/>
        </w:rPr>
        <w:tab/>
        <w:t>16</w:t>
      </w:r>
    </w:p>
    <w:p w:rsidR="00976B27" w:rsidRDefault="00976B27" w:rsidP="009B3324">
      <w:pPr>
        <w:pStyle w:val="ListParagraph"/>
        <w:tabs>
          <w:tab w:val="left" w:pos="720"/>
          <w:tab w:val="left" w:pos="1440"/>
          <w:tab w:val="left" w:pos="2160"/>
          <w:tab w:val="right" w:leader="dot" w:pos="9360"/>
        </w:tabs>
        <w:ind w:left="2160"/>
        <w:rPr>
          <w:sz w:val="24"/>
          <w:szCs w:val="24"/>
        </w:rPr>
      </w:pPr>
    </w:p>
    <w:p w:rsidR="00976B27" w:rsidRDefault="00976B27" w:rsidP="00976B27">
      <w:pPr>
        <w:pStyle w:val="ListParagraph"/>
        <w:numPr>
          <w:ilvl w:val="0"/>
          <w:numId w:val="25"/>
        </w:numPr>
        <w:tabs>
          <w:tab w:val="left" w:pos="720"/>
          <w:tab w:val="left" w:pos="1440"/>
          <w:tab w:val="left" w:pos="2160"/>
          <w:tab w:val="right" w:leader="dot" w:pos="9360"/>
        </w:tabs>
        <w:ind w:left="2160" w:hanging="720"/>
        <w:rPr>
          <w:sz w:val="24"/>
          <w:szCs w:val="24"/>
        </w:rPr>
      </w:pPr>
      <w:r>
        <w:rPr>
          <w:sz w:val="24"/>
          <w:szCs w:val="24"/>
        </w:rPr>
        <w:t>Amortizations</w:t>
      </w:r>
      <w:r>
        <w:rPr>
          <w:sz w:val="24"/>
          <w:szCs w:val="24"/>
        </w:rPr>
        <w:tab/>
        <w:t>17</w:t>
      </w:r>
    </w:p>
    <w:p w:rsidR="002557DF" w:rsidRDefault="002557DF" w:rsidP="002557DF">
      <w:pPr>
        <w:tabs>
          <w:tab w:val="left" w:pos="720"/>
          <w:tab w:val="left" w:pos="1440"/>
          <w:tab w:val="left" w:pos="2160"/>
          <w:tab w:val="right" w:leader="dot" w:pos="9360"/>
        </w:tabs>
      </w:pPr>
    </w:p>
    <w:p w:rsidR="002557DF" w:rsidRPr="000A11EB" w:rsidRDefault="002557DF" w:rsidP="002557DF">
      <w:pPr>
        <w:pStyle w:val="ListParagraph"/>
        <w:numPr>
          <w:ilvl w:val="0"/>
          <w:numId w:val="25"/>
        </w:numPr>
        <w:tabs>
          <w:tab w:val="left" w:pos="720"/>
          <w:tab w:val="left" w:pos="1440"/>
          <w:tab w:val="left" w:pos="2160"/>
          <w:tab w:val="right" w:leader="dot" w:pos="9360"/>
        </w:tabs>
        <w:ind w:left="2160" w:hanging="720"/>
      </w:pPr>
      <w:r>
        <w:rPr>
          <w:sz w:val="24"/>
          <w:szCs w:val="24"/>
        </w:rPr>
        <w:t>Other Post-Employment Benefits (“OPEB”) Expense</w:t>
      </w:r>
      <w:r>
        <w:rPr>
          <w:sz w:val="24"/>
          <w:szCs w:val="24"/>
        </w:rPr>
        <w:tab/>
        <w:t>18</w:t>
      </w:r>
    </w:p>
    <w:p w:rsidR="000A11EB" w:rsidRDefault="000A11EB" w:rsidP="000A11EB">
      <w:pPr>
        <w:pStyle w:val="ListParagraph"/>
      </w:pPr>
    </w:p>
    <w:p w:rsidR="000A11EB" w:rsidRPr="00232870" w:rsidRDefault="000A11EB" w:rsidP="002557DF">
      <w:pPr>
        <w:pStyle w:val="ListParagraph"/>
        <w:numPr>
          <w:ilvl w:val="0"/>
          <w:numId w:val="25"/>
        </w:numPr>
        <w:tabs>
          <w:tab w:val="left" w:pos="720"/>
          <w:tab w:val="left" w:pos="1440"/>
          <w:tab w:val="left" w:pos="2160"/>
          <w:tab w:val="right" w:leader="dot" w:pos="9360"/>
        </w:tabs>
        <w:ind w:left="2160" w:hanging="720"/>
      </w:pPr>
      <w:r>
        <w:rPr>
          <w:sz w:val="24"/>
          <w:szCs w:val="24"/>
        </w:rPr>
        <w:t>Revenue Allocation and Rate Design</w:t>
      </w:r>
      <w:r>
        <w:rPr>
          <w:sz w:val="24"/>
          <w:szCs w:val="24"/>
        </w:rPr>
        <w:tab/>
      </w:r>
      <w:r w:rsidRPr="00232870">
        <w:rPr>
          <w:sz w:val="24"/>
          <w:szCs w:val="24"/>
        </w:rPr>
        <w:t>19</w:t>
      </w:r>
    </w:p>
    <w:p w:rsidR="00232870" w:rsidRPr="00232870" w:rsidRDefault="00232870" w:rsidP="00232870">
      <w:pPr>
        <w:pStyle w:val="ListParagraph"/>
        <w:tabs>
          <w:tab w:val="left" w:pos="720"/>
          <w:tab w:val="left" w:pos="1440"/>
          <w:tab w:val="left" w:pos="2160"/>
          <w:tab w:val="right" w:leader="dot" w:pos="9360"/>
        </w:tabs>
        <w:ind w:left="2160"/>
      </w:pPr>
    </w:p>
    <w:p w:rsidR="00232870" w:rsidRDefault="00232870" w:rsidP="00232870">
      <w:pPr>
        <w:pStyle w:val="ListParagraph"/>
        <w:numPr>
          <w:ilvl w:val="0"/>
          <w:numId w:val="26"/>
        </w:numPr>
        <w:tabs>
          <w:tab w:val="left" w:pos="720"/>
          <w:tab w:val="left" w:pos="1440"/>
          <w:tab w:val="left" w:pos="2160"/>
          <w:tab w:val="right" w:leader="dot" w:pos="9360"/>
        </w:tabs>
        <w:ind w:left="2880" w:hanging="720"/>
        <w:rPr>
          <w:sz w:val="24"/>
          <w:szCs w:val="24"/>
        </w:rPr>
      </w:pPr>
      <w:r>
        <w:rPr>
          <w:sz w:val="24"/>
          <w:szCs w:val="24"/>
        </w:rPr>
        <w:t>Revenue Allocation</w:t>
      </w:r>
      <w:r>
        <w:rPr>
          <w:sz w:val="24"/>
          <w:szCs w:val="24"/>
        </w:rPr>
        <w:tab/>
        <w:t>19</w:t>
      </w:r>
    </w:p>
    <w:p w:rsidR="00232870" w:rsidRDefault="00232870" w:rsidP="00232870">
      <w:pPr>
        <w:pStyle w:val="ListParagraph"/>
        <w:tabs>
          <w:tab w:val="left" w:pos="720"/>
          <w:tab w:val="left" w:pos="1440"/>
          <w:tab w:val="left" w:pos="2160"/>
          <w:tab w:val="right" w:leader="dot" w:pos="9360"/>
        </w:tabs>
        <w:ind w:left="2520"/>
        <w:rPr>
          <w:sz w:val="24"/>
          <w:szCs w:val="24"/>
        </w:rPr>
      </w:pPr>
    </w:p>
    <w:p w:rsidR="00232870" w:rsidRDefault="00232870" w:rsidP="00232870">
      <w:pPr>
        <w:pStyle w:val="ListParagraph"/>
        <w:numPr>
          <w:ilvl w:val="0"/>
          <w:numId w:val="26"/>
        </w:numPr>
        <w:tabs>
          <w:tab w:val="left" w:pos="720"/>
          <w:tab w:val="left" w:pos="1440"/>
          <w:tab w:val="left" w:pos="2160"/>
          <w:tab w:val="right" w:leader="dot" w:pos="9360"/>
        </w:tabs>
        <w:ind w:left="2880" w:hanging="720"/>
        <w:rPr>
          <w:sz w:val="24"/>
          <w:szCs w:val="24"/>
        </w:rPr>
      </w:pPr>
      <w:r>
        <w:rPr>
          <w:sz w:val="24"/>
          <w:szCs w:val="24"/>
        </w:rPr>
        <w:t>Rate Design</w:t>
      </w:r>
      <w:r>
        <w:rPr>
          <w:sz w:val="24"/>
          <w:szCs w:val="24"/>
        </w:rPr>
        <w:tab/>
        <w:t>21</w:t>
      </w:r>
    </w:p>
    <w:p w:rsidR="00850F7F" w:rsidRPr="00850F7F" w:rsidRDefault="00850F7F" w:rsidP="00850F7F">
      <w:pPr>
        <w:pStyle w:val="ListParagraph"/>
        <w:rPr>
          <w:sz w:val="24"/>
          <w:szCs w:val="24"/>
        </w:rPr>
      </w:pPr>
    </w:p>
    <w:p w:rsidR="00850F7F" w:rsidRDefault="00850F7F" w:rsidP="00850F7F">
      <w:pPr>
        <w:pStyle w:val="ListParagraph"/>
        <w:numPr>
          <w:ilvl w:val="0"/>
          <w:numId w:val="27"/>
        </w:numPr>
        <w:tabs>
          <w:tab w:val="left" w:pos="720"/>
          <w:tab w:val="left" w:pos="1440"/>
          <w:tab w:val="left" w:pos="2160"/>
          <w:tab w:val="right" w:leader="dot" w:pos="9360"/>
        </w:tabs>
        <w:rPr>
          <w:sz w:val="24"/>
          <w:szCs w:val="24"/>
        </w:rPr>
      </w:pPr>
      <w:r>
        <w:rPr>
          <w:sz w:val="24"/>
          <w:szCs w:val="24"/>
        </w:rPr>
        <w:t>Residential Rate Design</w:t>
      </w:r>
      <w:r>
        <w:rPr>
          <w:sz w:val="24"/>
          <w:szCs w:val="24"/>
        </w:rPr>
        <w:tab/>
        <w:t>21</w:t>
      </w:r>
    </w:p>
    <w:p w:rsidR="00850F7F" w:rsidRDefault="00850F7F" w:rsidP="00850F7F">
      <w:pPr>
        <w:pStyle w:val="ListParagraph"/>
        <w:tabs>
          <w:tab w:val="left" w:pos="720"/>
          <w:tab w:val="left" w:pos="1440"/>
          <w:tab w:val="left" w:pos="2160"/>
          <w:tab w:val="right" w:leader="dot" w:pos="9360"/>
        </w:tabs>
        <w:ind w:left="3600"/>
        <w:rPr>
          <w:sz w:val="24"/>
          <w:szCs w:val="24"/>
        </w:rPr>
      </w:pPr>
    </w:p>
    <w:p w:rsidR="00850F7F" w:rsidRDefault="00850F7F" w:rsidP="00850F7F">
      <w:pPr>
        <w:pStyle w:val="ListParagraph"/>
        <w:numPr>
          <w:ilvl w:val="0"/>
          <w:numId w:val="27"/>
        </w:numPr>
        <w:tabs>
          <w:tab w:val="left" w:pos="720"/>
          <w:tab w:val="left" w:pos="1440"/>
          <w:tab w:val="left" w:pos="2160"/>
          <w:tab w:val="right" w:leader="dot" w:pos="9360"/>
        </w:tabs>
        <w:rPr>
          <w:sz w:val="24"/>
          <w:szCs w:val="24"/>
        </w:rPr>
      </w:pPr>
      <w:r>
        <w:rPr>
          <w:sz w:val="24"/>
          <w:szCs w:val="24"/>
        </w:rPr>
        <w:t>Commercial and Industrial Rate Design</w:t>
      </w:r>
      <w:r>
        <w:rPr>
          <w:sz w:val="24"/>
          <w:szCs w:val="24"/>
        </w:rPr>
        <w:tab/>
        <w:t>22</w:t>
      </w:r>
    </w:p>
    <w:p w:rsidR="00850F7F" w:rsidRPr="00850F7F" w:rsidRDefault="00850F7F" w:rsidP="00850F7F">
      <w:pPr>
        <w:tabs>
          <w:tab w:val="left" w:pos="720"/>
          <w:tab w:val="left" w:pos="1440"/>
          <w:tab w:val="left" w:pos="2160"/>
          <w:tab w:val="right" w:leader="dot" w:pos="9360"/>
        </w:tabs>
      </w:pPr>
    </w:p>
    <w:p w:rsidR="00E32F41" w:rsidRDefault="001E6679" w:rsidP="00E32F41">
      <w:pPr>
        <w:tabs>
          <w:tab w:val="left" w:pos="720"/>
          <w:tab w:val="left" w:pos="1440"/>
          <w:tab w:val="left" w:pos="2160"/>
          <w:tab w:val="right" w:leader="dot" w:pos="9360"/>
        </w:tabs>
      </w:pPr>
      <w:r>
        <w:tab/>
      </w:r>
      <w:r w:rsidR="00E32F41">
        <w:tab/>
      </w:r>
      <w:r>
        <w:t>7</w:t>
      </w:r>
      <w:r w:rsidR="00E32F41">
        <w:t>.</w:t>
      </w:r>
      <w:r w:rsidR="00E32F41">
        <w:tab/>
      </w:r>
      <w:r>
        <w:t>Other Charges and Riders</w:t>
      </w:r>
      <w:r w:rsidR="00E32F41">
        <w:tab/>
      </w:r>
      <w:r>
        <w:t>23</w:t>
      </w:r>
    </w:p>
    <w:p w:rsidR="009A3BF3" w:rsidRDefault="009A3BF3" w:rsidP="009A3BF3">
      <w:pPr>
        <w:pStyle w:val="ListParagraph"/>
        <w:tabs>
          <w:tab w:val="left" w:pos="720"/>
          <w:tab w:val="left" w:pos="1440"/>
          <w:tab w:val="left" w:pos="2160"/>
          <w:tab w:val="right" w:leader="dot" w:pos="9360"/>
        </w:tabs>
        <w:ind w:left="1800"/>
        <w:rPr>
          <w:color w:val="auto"/>
          <w:sz w:val="24"/>
          <w:szCs w:val="24"/>
        </w:rPr>
      </w:pPr>
    </w:p>
    <w:p w:rsidR="009A3BF3" w:rsidRDefault="009A3BF3" w:rsidP="009A3BF3">
      <w:pPr>
        <w:pStyle w:val="ListParagraph"/>
        <w:tabs>
          <w:tab w:val="left" w:pos="720"/>
          <w:tab w:val="left" w:pos="1440"/>
          <w:tab w:val="left" w:pos="2160"/>
          <w:tab w:val="right" w:leader="dot" w:pos="9360"/>
        </w:tabs>
        <w:ind w:left="2160" w:hanging="720"/>
      </w:pPr>
      <w:r>
        <w:rPr>
          <w:color w:val="auto"/>
          <w:sz w:val="24"/>
          <w:szCs w:val="24"/>
        </w:rPr>
        <w:t>8.</w:t>
      </w:r>
      <w:r>
        <w:rPr>
          <w:color w:val="auto"/>
          <w:sz w:val="24"/>
          <w:szCs w:val="24"/>
        </w:rPr>
        <w:tab/>
        <w:t>Conclusions as to Rate Design</w:t>
      </w:r>
      <w:r>
        <w:rPr>
          <w:color w:val="auto"/>
          <w:sz w:val="24"/>
          <w:szCs w:val="24"/>
        </w:rPr>
        <w:tab/>
        <w:t>25</w:t>
      </w:r>
    </w:p>
    <w:p w:rsidR="00E32F41" w:rsidRDefault="00E32F41" w:rsidP="00E32F41">
      <w:pPr>
        <w:tabs>
          <w:tab w:val="left" w:pos="720"/>
          <w:tab w:val="left" w:pos="1440"/>
          <w:tab w:val="left" w:pos="2160"/>
          <w:tab w:val="right" w:leader="dot" w:pos="9360"/>
        </w:tabs>
      </w:pPr>
    </w:p>
    <w:p w:rsidR="005F274A" w:rsidRDefault="005F274A" w:rsidP="00E32F41">
      <w:pPr>
        <w:tabs>
          <w:tab w:val="left" w:pos="720"/>
          <w:tab w:val="left" w:pos="1440"/>
          <w:tab w:val="left" w:pos="2160"/>
          <w:tab w:val="right" w:leader="dot" w:pos="9360"/>
        </w:tabs>
        <w:sectPr w:rsidR="005F274A" w:rsidSect="008A53F1">
          <w:pgSz w:w="12240" w:h="15840" w:code="1"/>
          <w:pgMar w:top="1440" w:right="1440" w:bottom="1440" w:left="1440" w:header="1440" w:footer="1440" w:gutter="0"/>
          <w:cols w:space="720"/>
          <w:titlePg/>
          <w:docGrid w:linePitch="360"/>
        </w:sectPr>
      </w:pPr>
    </w:p>
    <w:p w:rsidR="00E32F41" w:rsidRDefault="007D58E6" w:rsidP="00E32F41">
      <w:pPr>
        <w:tabs>
          <w:tab w:val="left" w:pos="720"/>
          <w:tab w:val="left" w:pos="1440"/>
          <w:tab w:val="left" w:pos="2160"/>
          <w:tab w:val="right" w:leader="dot" w:pos="9360"/>
        </w:tabs>
      </w:pPr>
      <w:r>
        <w:tab/>
      </w:r>
      <w:r>
        <w:tab/>
      </w:r>
      <w:r w:rsidR="009A3BF3">
        <w:t>9</w:t>
      </w:r>
      <w:r w:rsidR="00E32F41">
        <w:t>.</w:t>
      </w:r>
      <w:r w:rsidR="00E32F41">
        <w:tab/>
      </w:r>
      <w:r w:rsidR="009A3BF3">
        <w:t>Tariff Rule 8.2.1-Main Extension Model</w:t>
      </w:r>
      <w:r w:rsidR="009A3BF3">
        <w:tab/>
        <w:t>25</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rsidR="00D06F41">
        <w:tab/>
        <w:t>10</w:t>
      </w:r>
      <w:r>
        <w:t>.</w:t>
      </w:r>
      <w:r>
        <w:tab/>
      </w:r>
      <w:r w:rsidR="00D06F41">
        <w:t>Universal Service and Conservation</w:t>
      </w:r>
      <w:r>
        <w:tab/>
      </w:r>
      <w:r w:rsidR="00D06F41">
        <w:t>26</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rsidR="00D06F41">
        <w:tab/>
        <w:t>11</w:t>
      </w:r>
      <w:r>
        <w:t>.</w:t>
      </w:r>
      <w:r>
        <w:tab/>
      </w:r>
      <w:r w:rsidR="00D06F41">
        <w:t>Other Issues</w:t>
      </w:r>
      <w:r>
        <w:tab/>
      </w:r>
      <w:r w:rsidR="00D06F41">
        <w:t>27</w:t>
      </w:r>
    </w:p>
    <w:p w:rsidR="00E32F41" w:rsidRDefault="00E32F41" w:rsidP="00E32F41">
      <w:pPr>
        <w:tabs>
          <w:tab w:val="left" w:pos="720"/>
          <w:tab w:val="left" w:pos="1440"/>
          <w:tab w:val="left" w:pos="2160"/>
          <w:tab w:val="right" w:leader="dot" w:pos="9360"/>
        </w:tabs>
      </w:pPr>
    </w:p>
    <w:p w:rsidR="00E32F41" w:rsidRPr="00066663" w:rsidRDefault="00D06F41" w:rsidP="00D06F41">
      <w:pPr>
        <w:pStyle w:val="ListParagraph"/>
        <w:numPr>
          <w:ilvl w:val="0"/>
          <w:numId w:val="28"/>
        </w:numPr>
        <w:tabs>
          <w:tab w:val="left" w:pos="720"/>
          <w:tab w:val="left" w:pos="1440"/>
          <w:tab w:val="left" w:pos="2160"/>
          <w:tab w:val="right" w:leader="dot" w:pos="9360"/>
        </w:tabs>
        <w:ind w:left="2880" w:hanging="720"/>
      </w:pPr>
      <w:r>
        <w:rPr>
          <w:sz w:val="24"/>
          <w:szCs w:val="24"/>
        </w:rPr>
        <w:t>Future Case Presentation</w:t>
      </w:r>
      <w:r>
        <w:t>.</w:t>
      </w:r>
      <w:r w:rsidR="00E32F41">
        <w:tab/>
      </w:r>
      <w:r>
        <w:rPr>
          <w:sz w:val="24"/>
          <w:szCs w:val="24"/>
        </w:rPr>
        <w:t>2</w:t>
      </w:r>
      <w:r w:rsidR="00651517">
        <w:rPr>
          <w:sz w:val="24"/>
          <w:szCs w:val="24"/>
        </w:rPr>
        <w:t>7</w:t>
      </w:r>
    </w:p>
    <w:p w:rsidR="00066663" w:rsidRPr="00066663" w:rsidRDefault="00066663" w:rsidP="00066663">
      <w:pPr>
        <w:tabs>
          <w:tab w:val="left" w:pos="720"/>
          <w:tab w:val="left" w:pos="1440"/>
          <w:tab w:val="left" w:pos="2160"/>
          <w:tab w:val="right" w:leader="dot" w:pos="9360"/>
        </w:tabs>
      </w:pPr>
    </w:p>
    <w:p w:rsidR="00066663" w:rsidRDefault="00066663" w:rsidP="00066663">
      <w:pPr>
        <w:pStyle w:val="ListParagraph"/>
        <w:numPr>
          <w:ilvl w:val="0"/>
          <w:numId w:val="28"/>
        </w:numPr>
        <w:tabs>
          <w:tab w:val="left" w:pos="720"/>
          <w:tab w:val="left" w:pos="1440"/>
          <w:tab w:val="left" w:pos="2160"/>
          <w:tab w:val="right" w:leader="dot" w:pos="9360"/>
        </w:tabs>
        <w:ind w:left="2880" w:hanging="720"/>
        <w:rPr>
          <w:sz w:val="24"/>
          <w:szCs w:val="24"/>
        </w:rPr>
      </w:pPr>
      <w:r>
        <w:rPr>
          <w:sz w:val="24"/>
          <w:szCs w:val="24"/>
        </w:rPr>
        <w:t>Restoration Costs</w:t>
      </w:r>
      <w:r>
        <w:rPr>
          <w:sz w:val="24"/>
          <w:szCs w:val="24"/>
        </w:rPr>
        <w:tab/>
        <w:t>28</w:t>
      </w:r>
    </w:p>
    <w:p w:rsidR="00066663" w:rsidRPr="00066663" w:rsidRDefault="00066663" w:rsidP="00066663">
      <w:pPr>
        <w:pStyle w:val="ListParagraph"/>
        <w:rPr>
          <w:sz w:val="24"/>
          <w:szCs w:val="24"/>
        </w:rPr>
      </w:pPr>
    </w:p>
    <w:p w:rsidR="00066663" w:rsidRDefault="00066663" w:rsidP="00066663">
      <w:pPr>
        <w:pStyle w:val="ListParagraph"/>
        <w:numPr>
          <w:ilvl w:val="0"/>
          <w:numId w:val="28"/>
        </w:numPr>
        <w:tabs>
          <w:tab w:val="left" w:pos="720"/>
          <w:tab w:val="left" w:pos="1440"/>
          <w:tab w:val="left" w:pos="2160"/>
          <w:tab w:val="right" w:leader="dot" w:pos="9360"/>
        </w:tabs>
        <w:ind w:left="2880" w:hanging="720"/>
        <w:rPr>
          <w:sz w:val="24"/>
          <w:szCs w:val="24"/>
        </w:rPr>
      </w:pPr>
      <w:r>
        <w:rPr>
          <w:sz w:val="24"/>
          <w:szCs w:val="24"/>
        </w:rPr>
        <w:t>Rules Applicable to Distribution Service (“RADS”) 2.6.1</w:t>
      </w:r>
      <w:r>
        <w:rPr>
          <w:sz w:val="24"/>
          <w:szCs w:val="24"/>
        </w:rPr>
        <w:tab/>
        <w:t>30</w:t>
      </w:r>
    </w:p>
    <w:p w:rsidR="009F11E1" w:rsidRPr="009F11E1" w:rsidRDefault="009F11E1" w:rsidP="009F11E1">
      <w:pPr>
        <w:pStyle w:val="ListParagraph"/>
        <w:rPr>
          <w:sz w:val="24"/>
          <w:szCs w:val="24"/>
        </w:rPr>
      </w:pPr>
    </w:p>
    <w:p w:rsidR="009F11E1" w:rsidRPr="00066663" w:rsidRDefault="009F11E1" w:rsidP="00E83755">
      <w:pPr>
        <w:pStyle w:val="ListParagraph"/>
        <w:numPr>
          <w:ilvl w:val="0"/>
          <w:numId w:val="28"/>
        </w:numPr>
        <w:tabs>
          <w:tab w:val="left" w:pos="720"/>
          <w:tab w:val="left" w:pos="1440"/>
          <w:tab w:val="left" w:pos="2160"/>
          <w:tab w:val="right" w:leader="dot" w:pos="9360"/>
        </w:tabs>
        <w:spacing w:line="360" w:lineRule="auto"/>
        <w:ind w:left="2880" w:hanging="720"/>
        <w:rPr>
          <w:sz w:val="24"/>
          <w:szCs w:val="24"/>
        </w:rPr>
      </w:pPr>
      <w:r>
        <w:rPr>
          <w:sz w:val="24"/>
          <w:szCs w:val="24"/>
        </w:rPr>
        <w:t>Future Debt Issuances</w:t>
      </w:r>
      <w:r>
        <w:rPr>
          <w:sz w:val="24"/>
          <w:szCs w:val="24"/>
        </w:rPr>
        <w:tab/>
        <w:t>30</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rsidR="009F11E1">
        <w:t>B</w:t>
      </w:r>
      <w:r>
        <w:t>.</w:t>
      </w:r>
      <w:r>
        <w:tab/>
      </w:r>
      <w:r w:rsidR="009F11E1">
        <w:t xml:space="preserve">BI&amp;E’s Position </w:t>
      </w:r>
      <w:r>
        <w:tab/>
      </w:r>
      <w:r w:rsidR="009F11E1">
        <w:t>31</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tab/>
        <w:t>1.</w:t>
      </w:r>
      <w:r>
        <w:tab/>
      </w:r>
      <w:r w:rsidR="009F11E1">
        <w:t>Revenue Requirement</w:t>
      </w:r>
      <w:r>
        <w:tab/>
      </w:r>
      <w:r w:rsidR="009F11E1">
        <w:t>32</w:t>
      </w:r>
    </w:p>
    <w:p w:rsidR="009F11E1" w:rsidRDefault="009F11E1" w:rsidP="009F11E1">
      <w:pPr>
        <w:tabs>
          <w:tab w:val="left" w:pos="720"/>
          <w:tab w:val="left" w:pos="1440"/>
          <w:tab w:val="left" w:pos="2160"/>
          <w:tab w:val="right" w:leader="dot" w:pos="9360"/>
        </w:tabs>
      </w:pPr>
      <w:r>
        <w:tab/>
      </w:r>
    </w:p>
    <w:p w:rsidR="009F11E1" w:rsidRDefault="009F11E1" w:rsidP="009F11E1">
      <w:pPr>
        <w:pStyle w:val="ListParagraph"/>
        <w:numPr>
          <w:ilvl w:val="0"/>
          <w:numId w:val="30"/>
        </w:numPr>
        <w:tabs>
          <w:tab w:val="left" w:pos="720"/>
          <w:tab w:val="left" w:pos="1440"/>
          <w:tab w:val="left" w:pos="2160"/>
          <w:tab w:val="right" w:leader="dot" w:pos="9360"/>
        </w:tabs>
        <w:ind w:left="2880" w:hanging="720"/>
        <w:rPr>
          <w:sz w:val="24"/>
          <w:szCs w:val="24"/>
        </w:rPr>
      </w:pPr>
      <w:r w:rsidRPr="009F11E1">
        <w:rPr>
          <w:sz w:val="24"/>
          <w:szCs w:val="24"/>
        </w:rPr>
        <w:t>Rate</w:t>
      </w:r>
      <w:r>
        <w:rPr>
          <w:sz w:val="24"/>
          <w:szCs w:val="24"/>
        </w:rPr>
        <w:t xml:space="preserve"> Increase</w:t>
      </w:r>
      <w:r w:rsidRPr="009F11E1">
        <w:rPr>
          <w:sz w:val="24"/>
          <w:szCs w:val="24"/>
        </w:rPr>
        <w:tab/>
      </w:r>
      <w:r>
        <w:rPr>
          <w:sz w:val="24"/>
          <w:szCs w:val="24"/>
        </w:rPr>
        <w:t>32</w:t>
      </w:r>
    </w:p>
    <w:p w:rsidR="009F11E1" w:rsidRPr="009F11E1" w:rsidRDefault="009F11E1" w:rsidP="009F11E1">
      <w:pPr>
        <w:tabs>
          <w:tab w:val="left" w:pos="720"/>
          <w:tab w:val="left" w:pos="1440"/>
          <w:tab w:val="left" w:pos="2160"/>
          <w:tab w:val="right" w:leader="dot" w:pos="9360"/>
        </w:tabs>
      </w:pPr>
    </w:p>
    <w:p w:rsidR="009F11E1" w:rsidRDefault="009F11E1" w:rsidP="009F11E1">
      <w:pPr>
        <w:pStyle w:val="ListParagraph"/>
        <w:numPr>
          <w:ilvl w:val="0"/>
          <w:numId w:val="30"/>
        </w:numPr>
        <w:tabs>
          <w:tab w:val="left" w:pos="720"/>
          <w:tab w:val="left" w:pos="1440"/>
          <w:tab w:val="left" w:pos="2160"/>
          <w:tab w:val="right" w:leader="dot" w:pos="9360"/>
        </w:tabs>
        <w:ind w:left="2880" w:hanging="720"/>
        <w:rPr>
          <w:sz w:val="24"/>
          <w:szCs w:val="24"/>
        </w:rPr>
      </w:pPr>
      <w:r>
        <w:rPr>
          <w:sz w:val="24"/>
          <w:szCs w:val="24"/>
        </w:rPr>
        <w:t>Settlement Terms Related to Use of Fully Projected Future</w:t>
      </w:r>
    </w:p>
    <w:p w:rsidR="009F11E1" w:rsidRPr="009F11E1" w:rsidRDefault="009F11E1" w:rsidP="009F11E1">
      <w:pPr>
        <w:pStyle w:val="ListParagraph"/>
        <w:tabs>
          <w:tab w:val="left" w:pos="720"/>
          <w:tab w:val="left" w:pos="1440"/>
          <w:tab w:val="left" w:pos="2160"/>
          <w:tab w:val="right" w:leader="dot" w:pos="9360"/>
        </w:tabs>
        <w:ind w:left="2880"/>
        <w:rPr>
          <w:sz w:val="24"/>
          <w:szCs w:val="24"/>
        </w:rPr>
      </w:pPr>
      <w:r>
        <w:rPr>
          <w:sz w:val="24"/>
          <w:szCs w:val="24"/>
        </w:rPr>
        <w:t>Test Year (“FPFTY”)</w:t>
      </w:r>
      <w:r>
        <w:rPr>
          <w:sz w:val="24"/>
          <w:szCs w:val="24"/>
        </w:rPr>
        <w:tab/>
        <w:t>34</w:t>
      </w:r>
    </w:p>
    <w:p w:rsidR="00E32F41" w:rsidRPr="009F11E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tab/>
        <w:t>2.</w:t>
      </w:r>
      <w:r>
        <w:tab/>
      </w:r>
      <w:r w:rsidR="00ED08CD">
        <w:t>Rate Base</w:t>
      </w:r>
      <w:r>
        <w:tab/>
      </w:r>
      <w:r w:rsidR="00ED08CD">
        <w:t>35</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tab/>
      </w:r>
      <w:r w:rsidR="00ED08CD">
        <w:t>3</w:t>
      </w:r>
      <w:r>
        <w:t>.</w:t>
      </w:r>
      <w:r>
        <w:tab/>
      </w:r>
      <w:r w:rsidR="00ED08CD">
        <w:t>Debt Issuances</w:t>
      </w:r>
      <w:r>
        <w:tab/>
      </w:r>
      <w:r w:rsidR="00ED08CD">
        <w:t>36</w:t>
      </w:r>
    </w:p>
    <w:p w:rsidR="00ED08CD" w:rsidRDefault="00ED08CD" w:rsidP="00E32F41">
      <w:pPr>
        <w:tabs>
          <w:tab w:val="left" w:pos="720"/>
          <w:tab w:val="left" w:pos="1440"/>
          <w:tab w:val="left" w:pos="2160"/>
          <w:tab w:val="right" w:leader="dot" w:pos="9360"/>
        </w:tabs>
      </w:pPr>
    </w:p>
    <w:p w:rsidR="00ED08CD" w:rsidRDefault="00ED08CD" w:rsidP="00E32F41">
      <w:pPr>
        <w:tabs>
          <w:tab w:val="left" w:pos="720"/>
          <w:tab w:val="left" w:pos="1440"/>
          <w:tab w:val="left" w:pos="2160"/>
          <w:tab w:val="right" w:leader="dot" w:pos="9360"/>
        </w:tabs>
      </w:pPr>
      <w:r>
        <w:tab/>
      </w:r>
      <w:r>
        <w:tab/>
        <w:t>4.</w:t>
      </w:r>
      <w:r>
        <w:tab/>
        <w:t>Revenue Allocation and Rate Design</w:t>
      </w:r>
      <w:r>
        <w:tab/>
        <w:t>37</w:t>
      </w:r>
    </w:p>
    <w:p w:rsidR="00ED08CD" w:rsidRPr="00ED08CD" w:rsidRDefault="00ED08CD" w:rsidP="00E32F41">
      <w:pPr>
        <w:tabs>
          <w:tab w:val="left" w:pos="720"/>
          <w:tab w:val="left" w:pos="1440"/>
          <w:tab w:val="left" w:pos="2160"/>
          <w:tab w:val="right" w:leader="dot" w:pos="9360"/>
        </w:tabs>
      </w:pPr>
    </w:p>
    <w:p w:rsidR="00ED08CD" w:rsidRDefault="00ED08CD" w:rsidP="00ED08CD">
      <w:pPr>
        <w:pStyle w:val="ListParagraph"/>
        <w:numPr>
          <w:ilvl w:val="0"/>
          <w:numId w:val="31"/>
        </w:numPr>
        <w:tabs>
          <w:tab w:val="left" w:pos="720"/>
          <w:tab w:val="left" w:pos="1440"/>
          <w:tab w:val="left" w:pos="2160"/>
          <w:tab w:val="right" w:leader="dot" w:pos="9360"/>
        </w:tabs>
        <w:ind w:left="2880" w:hanging="720"/>
        <w:rPr>
          <w:sz w:val="24"/>
          <w:szCs w:val="24"/>
        </w:rPr>
      </w:pPr>
      <w:r>
        <w:rPr>
          <w:sz w:val="24"/>
          <w:szCs w:val="24"/>
        </w:rPr>
        <w:t>Revenue Allocation</w:t>
      </w:r>
      <w:r>
        <w:rPr>
          <w:sz w:val="24"/>
          <w:szCs w:val="24"/>
        </w:rPr>
        <w:tab/>
        <w:t>37</w:t>
      </w:r>
    </w:p>
    <w:p w:rsidR="00ED08CD" w:rsidRDefault="00ED08CD" w:rsidP="00ED08CD">
      <w:pPr>
        <w:tabs>
          <w:tab w:val="left" w:pos="720"/>
          <w:tab w:val="left" w:pos="1440"/>
          <w:tab w:val="left" w:pos="2160"/>
          <w:tab w:val="right" w:leader="dot" w:pos="9360"/>
        </w:tabs>
      </w:pPr>
    </w:p>
    <w:p w:rsidR="00ED08CD" w:rsidRPr="00ED08CD" w:rsidRDefault="00ED08CD" w:rsidP="00ED08CD">
      <w:pPr>
        <w:pStyle w:val="ListParagraph"/>
        <w:numPr>
          <w:ilvl w:val="0"/>
          <w:numId w:val="31"/>
        </w:numPr>
        <w:tabs>
          <w:tab w:val="left" w:pos="720"/>
          <w:tab w:val="left" w:pos="1440"/>
          <w:tab w:val="left" w:pos="2160"/>
          <w:tab w:val="right" w:leader="dot" w:pos="9360"/>
        </w:tabs>
        <w:ind w:left="2880" w:hanging="720"/>
        <w:rPr>
          <w:sz w:val="24"/>
          <w:szCs w:val="24"/>
        </w:rPr>
      </w:pPr>
      <w:r>
        <w:rPr>
          <w:sz w:val="24"/>
          <w:szCs w:val="24"/>
        </w:rPr>
        <w:t>Residential Rate Design</w:t>
      </w:r>
      <w:r>
        <w:rPr>
          <w:sz w:val="24"/>
          <w:szCs w:val="24"/>
        </w:rPr>
        <w:tab/>
        <w:t>37</w:t>
      </w:r>
    </w:p>
    <w:p w:rsidR="00E32F41" w:rsidRPr="00ED08CD"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r>
        <w:tab/>
      </w:r>
      <w:r w:rsidR="00ED08CD">
        <w:tab/>
        <w:t>5</w:t>
      </w:r>
      <w:r>
        <w:t>.</w:t>
      </w:r>
      <w:r>
        <w:tab/>
      </w:r>
      <w:r w:rsidR="00ED08CD">
        <w:t>Tariff Rule 8.2.1-Main Extension Model</w:t>
      </w:r>
      <w:r>
        <w:tab/>
      </w:r>
      <w:r w:rsidR="00ED08CD">
        <w:t>38</w:t>
      </w:r>
    </w:p>
    <w:p w:rsidR="00AD78F0" w:rsidRDefault="00AD78F0" w:rsidP="00AD78F0">
      <w:pPr>
        <w:pStyle w:val="ListParagraph"/>
        <w:tabs>
          <w:tab w:val="left" w:pos="720"/>
          <w:tab w:val="left" w:pos="1440"/>
          <w:tab w:val="left" w:pos="2160"/>
          <w:tab w:val="right" w:leader="dot" w:pos="9360"/>
        </w:tabs>
        <w:ind w:left="1800"/>
        <w:rPr>
          <w:color w:val="auto"/>
          <w:sz w:val="24"/>
          <w:szCs w:val="24"/>
        </w:rPr>
      </w:pPr>
    </w:p>
    <w:p w:rsidR="00AD78F0" w:rsidRDefault="00AD78F0" w:rsidP="00AD78F0">
      <w:pPr>
        <w:pStyle w:val="ListParagraph"/>
        <w:tabs>
          <w:tab w:val="left" w:pos="720"/>
          <w:tab w:val="left" w:pos="1440"/>
          <w:tab w:val="left" w:pos="2160"/>
          <w:tab w:val="right" w:leader="dot" w:pos="9360"/>
        </w:tabs>
        <w:ind w:left="2160" w:hanging="720"/>
        <w:rPr>
          <w:color w:val="auto"/>
          <w:sz w:val="24"/>
          <w:szCs w:val="24"/>
        </w:rPr>
      </w:pPr>
      <w:r>
        <w:rPr>
          <w:color w:val="auto"/>
          <w:sz w:val="24"/>
          <w:szCs w:val="24"/>
        </w:rPr>
        <w:t>6.</w:t>
      </w:r>
      <w:r>
        <w:rPr>
          <w:color w:val="auto"/>
          <w:sz w:val="24"/>
          <w:szCs w:val="24"/>
        </w:rPr>
        <w:tab/>
        <w:t>Other</w:t>
      </w:r>
      <w:r>
        <w:rPr>
          <w:color w:val="auto"/>
          <w:sz w:val="24"/>
          <w:szCs w:val="24"/>
        </w:rPr>
        <w:tab/>
        <w:t>39</w:t>
      </w:r>
    </w:p>
    <w:p w:rsidR="00E913E3" w:rsidRDefault="00E913E3" w:rsidP="00AD78F0">
      <w:pPr>
        <w:pStyle w:val="ListParagraph"/>
        <w:tabs>
          <w:tab w:val="left" w:pos="720"/>
          <w:tab w:val="left" w:pos="1440"/>
          <w:tab w:val="left" w:pos="2160"/>
          <w:tab w:val="right" w:leader="dot" w:pos="9360"/>
        </w:tabs>
        <w:ind w:left="2160" w:hanging="720"/>
        <w:rPr>
          <w:color w:val="auto"/>
          <w:sz w:val="24"/>
          <w:szCs w:val="24"/>
        </w:rPr>
      </w:pPr>
    </w:p>
    <w:p w:rsidR="00E913E3" w:rsidRPr="00E913E3" w:rsidRDefault="00E913E3" w:rsidP="00E913E3">
      <w:pPr>
        <w:pStyle w:val="ListParagraph"/>
        <w:numPr>
          <w:ilvl w:val="0"/>
          <w:numId w:val="32"/>
        </w:numPr>
        <w:tabs>
          <w:tab w:val="left" w:pos="720"/>
          <w:tab w:val="left" w:pos="1440"/>
          <w:tab w:val="left" w:pos="2160"/>
          <w:tab w:val="right" w:leader="dot" w:pos="9360"/>
        </w:tabs>
        <w:ind w:left="2880" w:hanging="720"/>
        <w:rPr>
          <w:sz w:val="24"/>
          <w:szCs w:val="24"/>
        </w:rPr>
      </w:pPr>
      <w:r w:rsidRPr="00E913E3">
        <w:rPr>
          <w:color w:val="auto"/>
          <w:sz w:val="24"/>
          <w:szCs w:val="24"/>
        </w:rPr>
        <w:t>Rate Case Filing</w:t>
      </w:r>
      <w:r w:rsidRPr="00E913E3">
        <w:rPr>
          <w:color w:val="auto"/>
          <w:sz w:val="24"/>
          <w:szCs w:val="24"/>
        </w:rPr>
        <w:tab/>
        <w:t>39</w:t>
      </w:r>
    </w:p>
    <w:p w:rsidR="00E913E3" w:rsidRPr="00E913E3" w:rsidRDefault="00E913E3" w:rsidP="00E913E3">
      <w:pPr>
        <w:tabs>
          <w:tab w:val="left" w:pos="720"/>
          <w:tab w:val="left" w:pos="1440"/>
          <w:tab w:val="left" w:pos="2160"/>
          <w:tab w:val="right" w:leader="dot" w:pos="9360"/>
        </w:tabs>
      </w:pPr>
    </w:p>
    <w:p w:rsidR="00E913E3" w:rsidRDefault="00E913E3" w:rsidP="00E913E3">
      <w:pPr>
        <w:pStyle w:val="ListParagraph"/>
        <w:numPr>
          <w:ilvl w:val="0"/>
          <w:numId w:val="32"/>
        </w:numPr>
        <w:tabs>
          <w:tab w:val="left" w:pos="720"/>
          <w:tab w:val="left" w:pos="1440"/>
          <w:tab w:val="left" w:pos="2160"/>
          <w:tab w:val="right" w:leader="dot" w:pos="9360"/>
        </w:tabs>
        <w:ind w:left="2880" w:hanging="720"/>
        <w:rPr>
          <w:sz w:val="24"/>
          <w:szCs w:val="24"/>
        </w:rPr>
      </w:pPr>
      <w:r>
        <w:rPr>
          <w:sz w:val="24"/>
          <w:szCs w:val="24"/>
        </w:rPr>
        <w:t>Municipal Restoration Costs</w:t>
      </w:r>
      <w:r>
        <w:rPr>
          <w:sz w:val="24"/>
          <w:szCs w:val="24"/>
        </w:rPr>
        <w:tab/>
        <w:t>39</w:t>
      </w:r>
    </w:p>
    <w:p w:rsidR="0028373F" w:rsidRPr="0028373F" w:rsidRDefault="0028373F" w:rsidP="0028373F">
      <w:pPr>
        <w:pStyle w:val="ListParagraph"/>
        <w:rPr>
          <w:sz w:val="24"/>
          <w:szCs w:val="24"/>
        </w:rPr>
      </w:pPr>
    </w:p>
    <w:p w:rsidR="0028373F" w:rsidRDefault="0028373F" w:rsidP="00E913E3">
      <w:pPr>
        <w:pStyle w:val="ListParagraph"/>
        <w:numPr>
          <w:ilvl w:val="0"/>
          <w:numId w:val="32"/>
        </w:numPr>
        <w:tabs>
          <w:tab w:val="left" w:pos="720"/>
          <w:tab w:val="left" w:pos="1440"/>
          <w:tab w:val="left" w:pos="2160"/>
          <w:tab w:val="right" w:leader="dot" w:pos="9360"/>
        </w:tabs>
        <w:ind w:left="2880" w:hanging="720"/>
        <w:rPr>
          <w:sz w:val="24"/>
          <w:szCs w:val="24"/>
        </w:rPr>
      </w:pPr>
      <w:r>
        <w:rPr>
          <w:sz w:val="24"/>
          <w:szCs w:val="24"/>
        </w:rPr>
        <w:t>Warm Wise® LIURP Funding</w:t>
      </w:r>
      <w:r>
        <w:rPr>
          <w:sz w:val="24"/>
          <w:szCs w:val="24"/>
        </w:rPr>
        <w:tab/>
        <w:t>41</w:t>
      </w:r>
    </w:p>
    <w:p w:rsidR="00AB20B4" w:rsidRDefault="00AB20B4" w:rsidP="00AB20B4">
      <w:pPr>
        <w:pStyle w:val="ListParagraph"/>
        <w:rPr>
          <w:sz w:val="24"/>
          <w:szCs w:val="24"/>
        </w:rPr>
      </w:pPr>
    </w:p>
    <w:p w:rsidR="00AB20B4" w:rsidRPr="00AB20B4" w:rsidRDefault="00AB20B4" w:rsidP="00AB20B4">
      <w:pPr>
        <w:pStyle w:val="ListParagraph"/>
        <w:rPr>
          <w:sz w:val="24"/>
          <w:szCs w:val="24"/>
        </w:rPr>
      </w:pPr>
    </w:p>
    <w:p w:rsidR="005F274A" w:rsidRDefault="005F274A" w:rsidP="00AB20B4">
      <w:pPr>
        <w:tabs>
          <w:tab w:val="left" w:pos="720"/>
          <w:tab w:val="left" w:pos="1440"/>
          <w:tab w:val="left" w:pos="2160"/>
          <w:tab w:val="right" w:leader="dot" w:pos="9360"/>
        </w:tabs>
        <w:sectPr w:rsidR="005F274A" w:rsidSect="008A53F1">
          <w:pgSz w:w="12240" w:h="15840" w:code="1"/>
          <w:pgMar w:top="1440" w:right="1440" w:bottom="1440" w:left="1440" w:header="1440" w:footer="1440" w:gutter="0"/>
          <w:cols w:space="720"/>
          <w:titlePg/>
          <w:docGrid w:linePitch="360"/>
        </w:sectPr>
      </w:pPr>
    </w:p>
    <w:p w:rsidR="00AB20B4" w:rsidRDefault="005F274A" w:rsidP="00AB20B4">
      <w:pPr>
        <w:tabs>
          <w:tab w:val="left" w:pos="720"/>
          <w:tab w:val="left" w:pos="1440"/>
          <w:tab w:val="left" w:pos="2160"/>
          <w:tab w:val="right" w:leader="dot" w:pos="9360"/>
        </w:tabs>
      </w:pPr>
      <w:r>
        <w:tab/>
      </w:r>
      <w:r w:rsidR="00AB20B4">
        <w:t>C.</w:t>
      </w:r>
      <w:r w:rsidR="00AB20B4">
        <w:tab/>
        <w:t>OCA’s Position</w:t>
      </w:r>
      <w:r w:rsidR="00AB20B4">
        <w:tab/>
        <w:t>42</w:t>
      </w:r>
    </w:p>
    <w:p w:rsidR="00AB20B4" w:rsidRPr="00AB20B4" w:rsidRDefault="00AB20B4" w:rsidP="00AB20B4">
      <w:pPr>
        <w:tabs>
          <w:tab w:val="left" w:pos="720"/>
          <w:tab w:val="left" w:pos="1440"/>
          <w:tab w:val="left" w:pos="2160"/>
          <w:tab w:val="right" w:leader="dot" w:pos="9360"/>
        </w:tabs>
      </w:pPr>
    </w:p>
    <w:p w:rsidR="00AB20B4" w:rsidRDefault="00AB20B4"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Revenue Requirement</w:t>
      </w:r>
      <w:r>
        <w:rPr>
          <w:sz w:val="24"/>
          <w:szCs w:val="24"/>
        </w:rPr>
        <w:tab/>
        <w:t>42</w:t>
      </w:r>
    </w:p>
    <w:p w:rsidR="00AB20B4" w:rsidRPr="00AB20B4" w:rsidRDefault="00AB20B4" w:rsidP="00AB20B4">
      <w:pPr>
        <w:tabs>
          <w:tab w:val="left" w:pos="720"/>
          <w:tab w:val="left" w:pos="1440"/>
          <w:tab w:val="left" w:pos="2160"/>
          <w:tab w:val="right" w:leader="dot" w:pos="9360"/>
        </w:tabs>
      </w:pPr>
    </w:p>
    <w:p w:rsidR="00AB20B4" w:rsidRDefault="00AB20B4"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Residential Customer Charge</w:t>
      </w:r>
      <w:r>
        <w:rPr>
          <w:sz w:val="24"/>
          <w:szCs w:val="24"/>
        </w:rPr>
        <w:tab/>
        <w:t>42</w:t>
      </w:r>
    </w:p>
    <w:p w:rsidR="0009584A" w:rsidRPr="0009584A" w:rsidRDefault="0009584A" w:rsidP="0009584A">
      <w:pPr>
        <w:pStyle w:val="ListParagraph"/>
        <w:rPr>
          <w:sz w:val="24"/>
          <w:szCs w:val="24"/>
        </w:rPr>
      </w:pPr>
    </w:p>
    <w:p w:rsidR="0009584A" w:rsidRDefault="0009584A"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Revenue Allocation</w:t>
      </w:r>
      <w:r>
        <w:rPr>
          <w:sz w:val="24"/>
          <w:szCs w:val="24"/>
        </w:rPr>
        <w:tab/>
        <w:t>43</w:t>
      </w:r>
    </w:p>
    <w:p w:rsidR="0009584A" w:rsidRPr="0009584A" w:rsidRDefault="0009584A" w:rsidP="0009584A">
      <w:pPr>
        <w:pStyle w:val="ListParagraph"/>
        <w:rPr>
          <w:sz w:val="24"/>
          <w:szCs w:val="24"/>
        </w:rPr>
      </w:pPr>
    </w:p>
    <w:p w:rsidR="0009584A" w:rsidRDefault="0009584A"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Distribution System Improvement Charge (DSIC)</w:t>
      </w:r>
      <w:r>
        <w:rPr>
          <w:sz w:val="24"/>
          <w:szCs w:val="24"/>
        </w:rPr>
        <w:tab/>
        <w:t>44</w:t>
      </w:r>
    </w:p>
    <w:p w:rsidR="0009584A" w:rsidRPr="0009584A" w:rsidRDefault="0009584A" w:rsidP="0009584A">
      <w:pPr>
        <w:pStyle w:val="ListParagraph"/>
        <w:rPr>
          <w:sz w:val="24"/>
          <w:szCs w:val="24"/>
        </w:rPr>
      </w:pPr>
    </w:p>
    <w:p w:rsidR="0009584A" w:rsidRDefault="0009584A"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Normalization Period for Tax Repairs Deduction</w:t>
      </w:r>
      <w:r>
        <w:rPr>
          <w:sz w:val="24"/>
          <w:szCs w:val="24"/>
        </w:rPr>
        <w:tab/>
        <w:t>44</w:t>
      </w:r>
    </w:p>
    <w:p w:rsidR="0009584A" w:rsidRPr="0009584A" w:rsidRDefault="0009584A" w:rsidP="0009584A">
      <w:pPr>
        <w:pStyle w:val="ListParagraph"/>
        <w:rPr>
          <w:sz w:val="24"/>
          <w:szCs w:val="24"/>
        </w:rPr>
      </w:pPr>
    </w:p>
    <w:p w:rsidR="0009584A" w:rsidRDefault="0009584A" w:rsidP="00AB20B4">
      <w:pPr>
        <w:pStyle w:val="ListParagraph"/>
        <w:numPr>
          <w:ilvl w:val="0"/>
          <w:numId w:val="33"/>
        </w:numPr>
        <w:tabs>
          <w:tab w:val="left" w:pos="720"/>
          <w:tab w:val="left" w:pos="1440"/>
          <w:tab w:val="left" w:pos="2160"/>
          <w:tab w:val="right" w:leader="dot" w:pos="9360"/>
        </w:tabs>
        <w:ind w:left="2160" w:hanging="720"/>
        <w:rPr>
          <w:sz w:val="24"/>
          <w:szCs w:val="24"/>
        </w:rPr>
      </w:pPr>
      <w:r>
        <w:rPr>
          <w:sz w:val="24"/>
          <w:szCs w:val="24"/>
        </w:rPr>
        <w:t>Warm Wise® Audits and Rebates (A&amp;R) Program</w:t>
      </w:r>
      <w:r>
        <w:rPr>
          <w:sz w:val="24"/>
          <w:szCs w:val="24"/>
        </w:rPr>
        <w:tab/>
        <w:t>44</w:t>
      </w:r>
    </w:p>
    <w:p w:rsidR="008F213F" w:rsidRPr="008F213F" w:rsidRDefault="008F213F" w:rsidP="008F213F">
      <w:pPr>
        <w:pStyle w:val="ListParagraph"/>
        <w:rPr>
          <w:sz w:val="24"/>
          <w:szCs w:val="24"/>
        </w:rPr>
      </w:pPr>
    </w:p>
    <w:p w:rsidR="008F213F" w:rsidRDefault="008F213F" w:rsidP="008F213F">
      <w:pPr>
        <w:pStyle w:val="ListParagraph"/>
        <w:numPr>
          <w:ilvl w:val="0"/>
          <w:numId w:val="33"/>
        </w:numPr>
        <w:tabs>
          <w:tab w:val="left" w:pos="720"/>
          <w:tab w:val="left" w:pos="1440"/>
          <w:tab w:val="left" w:pos="2160"/>
          <w:tab w:val="right" w:leader="dot" w:pos="9360"/>
        </w:tabs>
        <w:spacing w:line="360" w:lineRule="auto"/>
        <w:ind w:left="2160" w:hanging="720"/>
        <w:rPr>
          <w:sz w:val="24"/>
          <w:szCs w:val="24"/>
        </w:rPr>
      </w:pPr>
      <w:r>
        <w:rPr>
          <w:sz w:val="24"/>
          <w:szCs w:val="24"/>
        </w:rPr>
        <w:t>New Area Service (NAS) Rider</w:t>
      </w:r>
      <w:r>
        <w:rPr>
          <w:sz w:val="24"/>
          <w:szCs w:val="24"/>
        </w:rPr>
        <w:tab/>
        <w:t>45</w:t>
      </w:r>
    </w:p>
    <w:p w:rsidR="008F213F" w:rsidRPr="008F213F" w:rsidRDefault="008F213F" w:rsidP="008F213F">
      <w:pPr>
        <w:pStyle w:val="ListParagraph"/>
        <w:rPr>
          <w:sz w:val="24"/>
          <w:szCs w:val="24"/>
        </w:rPr>
      </w:pPr>
    </w:p>
    <w:p w:rsidR="008F213F" w:rsidRDefault="008F213F" w:rsidP="008F213F">
      <w:pPr>
        <w:tabs>
          <w:tab w:val="left" w:pos="720"/>
          <w:tab w:val="left" w:pos="1440"/>
          <w:tab w:val="left" w:pos="2160"/>
          <w:tab w:val="right" w:leader="dot" w:pos="9360"/>
        </w:tabs>
      </w:pPr>
      <w:r>
        <w:tab/>
        <w:t>D.</w:t>
      </w:r>
      <w:r>
        <w:tab/>
        <w:t>OSBA’s Position</w:t>
      </w:r>
      <w:r>
        <w:tab/>
        <w:t>46</w:t>
      </w:r>
    </w:p>
    <w:p w:rsidR="008F213F" w:rsidRDefault="008F213F" w:rsidP="008F213F">
      <w:pPr>
        <w:tabs>
          <w:tab w:val="left" w:pos="720"/>
          <w:tab w:val="left" w:pos="1440"/>
          <w:tab w:val="left" w:pos="2160"/>
          <w:tab w:val="right" w:leader="dot" w:pos="9360"/>
        </w:tabs>
      </w:pPr>
    </w:p>
    <w:p w:rsidR="008F213F" w:rsidRDefault="008F213F" w:rsidP="008F213F">
      <w:pPr>
        <w:tabs>
          <w:tab w:val="left" w:pos="720"/>
          <w:tab w:val="left" w:pos="1440"/>
          <w:tab w:val="left" w:pos="2160"/>
          <w:tab w:val="right" w:leader="dot" w:pos="9360"/>
        </w:tabs>
      </w:pPr>
      <w:r>
        <w:tab/>
        <w:t>E.</w:t>
      </w:r>
      <w:r>
        <w:tab/>
        <w:t>Columbia Industrial Intervenors’ Position</w:t>
      </w:r>
      <w:r>
        <w:tab/>
        <w:t>47</w:t>
      </w:r>
    </w:p>
    <w:p w:rsidR="005F2A35" w:rsidRDefault="005F2A35" w:rsidP="008F213F">
      <w:pPr>
        <w:tabs>
          <w:tab w:val="left" w:pos="720"/>
          <w:tab w:val="left" w:pos="1440"/>
          <w:tab w:val="left" w:pos="2160"/>
          <w:tab w:val="right" w:leader="dot" w:pos="9360"/>
        </w:tabs>
      </w:pPr>
    </w:p>
    <w:p w:rsidR="005F2A35" w:rsidRDefault="005F2A35" w:rsidP="008F213F">
      <w:pPr>
        <w:tabs>
          <w:tab w:val="left" w:pos="720"/>
          <w:tab w:val="left" w:pos="1440"/>
          <w:tab w:val="left" w:pos="2160"/>
          <w:tab w:val="right" w:leader="dot" w:pos="9360"/>
        </w:tabs>
      </w:pPr>
      <w:r>
        <w:tab/>
        <w:t>F.</w:t>
      </w:r>
      <w:r>
        <w:tab/>
        <w:t>NGS Parties’ Position</w:t>
      </w:r>
      <w:r>
        <w:tab/>
        <w:t>48</w:t>
      </w:r>
    </w:p>
    <w:p w:rsidR="005F2A35" w:rsidRDefault="005F2A35" w:rsidP="008F213F">
      <w:pPr>
        <w:tabs>
          <w:tab w:val="left" w:pos="720"/>
          <w:tab w:val="left" w:pos="1440"/>
          <w:tab w:val="left" w:pos="2160"/>
          <w:tab w:val="right" w:leader="dot" w:pos="9360"/>
        </w:tabs>
      </w:pPr>
    </w:p>
    <w:p w:rsidR="005F2A35" w:rsidRDefault="005F2A35" w:rsidP="008F213F">
      <w:pPr>
        <w:tabs>
          <w:tab w:val="left" w:pos="720"/>
          <w:tab w:val="left" w:pos="1440"/>
          <w:tab w:val="left" w:pos="2160"/>
          <w:tab w:val="right" w:leader="dot" w:pos="9360"/>
        </w:tabs>
      </w:pPr>
      <w:r>
        <w:tab/>
        <w:t>G.</w:t>
      </w:r>
      <w:r>
        <w:tab/>
        <w:t>PSU’s Position</w:t>
      </w:r>
      <w:r>
        <w:tab/>
        <w:t>49</w:t>
      </w:r>
    </w:p>
    <w:p w:rsidR="005F2A35" w:rsidRDefault="005F2A35" w:rsidP="008F213F">
      <w:pPr>
        <w:tabs>
          <w:tab w:val="left" w:pos="720"/>
          <w:tab w:val="left" w:pos="1440"/>
          <w:tab w:val="left" w:pos="2160"/>
          <w:tab w:val="right" w:leader="dot" w:pos="9360"/>
        </w:tabs>
      </w:pPr>
    </w:p>
    <w:p w:rsidR="005F2A35" w:rsidRDefault="005F2A35" w:rsidP="008F213F">
      <w:pPr>
        <w:tabs>
          <w:tab w:val="left" w:pos="720"/>
          <w:tab w:val="left" w:pos="1440"/>
          <w:tab w:val="left" w:pos="2160"/>
          <w:tab w:val="right" w:leader="dot" w:pos="9360"/>
        </w:tabs>
      </w:pPr>
      <w:r>
        <w:tab/>
        <w:t>H.</w:t>
      </w:r>
      <w:r>
        <w:tab/>
        <w:t>CAUSE-PA’s Position</w:t>
      </w:r>
      <w:r>
        <w:tab/>
        <w:t>50</w:t>
      </w:r>
    </w:p>
    <w:p w:rsidR="005F2A35" w:rsidRPr="005F2A35" w:rsidRDefault="005F2A35" w:rsidP="008F213F">
      <w:pPr>
        <w:tabs>
          <w:tab w:val="left" w:pos="720"/>
          <w:tab w:val="left" w:pos="1440"/>
          <w:tab w:val="left" w:pos="2160"/>
          <w:tab w:val="right" w:leader="dot" w:pos="9360"/>
        </w:tabs>
      </w:pPr>
    </w:p>
    <w:p w:rsidR="005F2A35" w:rsidRPr="005F2A35" w:rsidRDefault="005F2A35" w:rsidP="005F2A35">
      <w:pPr>
        <w:pStyle w:val="ListParagraph"/>
        <w:numPr>
          <w:ilvl w:val="0"/>
          <w:numId w:val="34"/>
        </w:numPr>
        <w:tabs>
          <w:tab w:val="left" w:pos="720"/>
          <w:tab w:val="left" w:pos="1440"/>
          <w:tab w:val="left" w:pos="2160"/>
          <w:tab w:val="right" w:leader="dot" w:pos="9360"/>
        </w:tabs>
        <w:rPr>
          <w:sz w:val="24"/>
          <w:szCs w:val="24"/>
        </w:rPr>
      </w:pPr>
      <w:r>
        <w:rPr>
          <w:sz w:val="24"/>
          <w:szCs w:val="24"/>
        </w:rPr>
        <w:t>Recommendation</w:t>
      </w:r>
      <w:r>
        <w:rPr>
          <w:sz w:val="24"/>
          <w:szCs w:val="24"/>
        </w:rPr>
        <w:tab/>
        <w:t>53</w:t>
      </w:r>
    </w:p>
    <w:p w:rsidR="00AB20B4" w:rsidRPr="00AB20B4" w:rsidRDefault="00AB20B4" w:rsidP="00AB20B4">
      <w:pPr>
        <w:tabs>
          <w:tab w:val="left" w:pos="720"/>
          <w:tab w:val="left" w:pos="1440"/>
          <w:tab w:val="left" w:pos="2160"/>
          <w:tab w:val="right" w:leader="dot" w:pos="9360"/>
        </w:tabs>
      </w:pPr>
    </w:p>
    <w:p w:rsidR="00E32F41" w:rsidRPr="00AD78F0" w:rsidRDefault="00E32F41" w:rsidP="00E32F41">
      <w:pPr>
        <w:tabs>
          <w:tab w:val="left" w:pos="720"/>
          <w:tab w:val="left" w:pos="1440"/>
          <w:tab w:val="left" w:pos="2160"/>
          <w:tab w:val="right" w:leader="dot" w:pos="9360"/>
        </w:tabs>
      </w:pPr>
    </w:p>
    <w:p w:rsidR="00755150" w:rsidRDefault="000E4184" w:rsidP="00E32F41">
      <w:pPr>
        <w:tabs>
          <w:tab w:val="left" w:pos="720"/>
          <w:tab w:val="left" w:pos="1440"/>
          <w:tab w:val="left" w:pos="2160"/>
          <w:tab w:val="right" w:leader="dot" w:pos="9360"/>
        </w:tabs>
      </w:pPr>
      <w:r>
        <w:t>I</w:t>
      </w:r>
      <w:r w:rsidR="00E32F41">
        <w:t>V.</w:t>
      </w:r>
      <w:r w:rsidR="00E32F41">
        <w:tab/>
        <w:t>CONCLUSIONS OF LAW</w:t>
      </w:r>
      <w:r>
        <w:tab/>
        <w:t>54</w:t>
      </w:r>
    </w:p>
    <w:p w:rsidR="00E32F41" w:rsidRDefault="00E32F41" w:rsidP="00E32F41">
      <w:pPr>
        <w:tabs>
          <w:tab w:val="left" w:pos="720"/>
          <w:tab w:val="left" w:pos="1440"/>
          <w:tab w:val="left" w:pos="2160"/>
          <w:tab w:val="right" w:leader="dot" w:pos="9360"/>
        </w:tabs>
      </w:pPr>
    </w:p>
    <w:p w:rsidR="00E32F41" w:rsidRDefault="00E32F41" w:rsidP="00E32F41">
      <w:pPr>
        <w:tabs>
          <w:tab w:val="left" w:pos="720"/>
          <w:tab w:val="left" w:pos="1440"/>
          <w:tab w:val="left" w:pos="2160"/>
          <w:tab w:val="right" w:leader="dot" w:pos="9360"/>
        </w:tabs>
      </w:pPr>
    </w:p>
    <w:p w:rsidR="00E32F41" w:rsidRDefault="00E32F41" w:rsidP="000E4184">
      <w:pPr>
        <w:tabs>
          <w:tab w:val="left" w:pos="720"/>
          <w:tab w:val="left" w:pos="1440"/>
          <w:tab w:val="right" w:leader="dot" w:pos="9360"/>
        </w:tabs>
      </w:pPr>
      <w:r>
        <w:t>V</w:t>
      </w:r>
      <w:r w:rsidR="000E4184">
        <w:t>.</w:t>
      </w:r>
      <w:r>
        <w:tab/>
        <w:t>ORDER</w:t>
      </w:r>
      <w:r>
        <w:tab/>
      </w:r>
      <w:r w:rsidR="00650F88">
        <w:t>5</w:t>
      </w:r>
      <w:r w:rsidR="00FB7DE5">
        <w:t>4</w:t>
      </w:r>
    </w:p>
    <w:p w:rsidR="006163AA" w:rsidRPr="009C6D70" w:rsidRDefault="006163AA" w:rsidP="006163AA">
      <w:pPr>
        <w:jc w:val="center"/>
      </w:pPr>
    </w:p>
    <w:p w:rsidR="007D58E6" w:rsidRDefault="007D58E6">
      <w:r>
        <w:br w:type="page"/>
      </w:r>
    </w:p>
    <w:p w:rsidR="002C4CE4" w:rsidRDefault="002C4CE4" w:rsidP="006163AA">
      <w:pPr>
        <w:spacing w:line="360" w:lineRule="auto"/>
        <w:jc w:val="center"/>
        <w:sectPr w:rsidR="002C4CE4" w:rsidSect="007D58E6">
          <w:footerReference w:type="first" r:id="rId12"/>
          <w:pgSz w:w="12240" w:h="15840" w:code="1"/>
          <w:pgMar w:top="1440" w:right="1440" w:bottom="1440" w:left="1440" w:header="1440" w:footer="1440" w:gutter="0"/>
          <w:pgNumType w:start="1"/>
          <w:cols w:space="720"/>
          <w:titlePg/>
          <w:docGrid w:linePitch="360"/>
        </w:sectPr>
      </w:pPr>
    </w:p>
    <w:p w:rsidR="006163AA" w:rsidRPr="009C6D70" w:rsidRDefault="000F7CE1" w:rsidP="006163AA">
      <w:pPr>
        <w:spacing w:line="360" w:lineRule="auto"/>
        <w:jc w:val="center"/>
      </w:pPr>
      <w:r>
        <w:t>I</w:t>
      </w:r>
      <w:r w:rsidR="006163AA" w:rsidRPr="009C6D70">
        <w:t>.</w:t>
      </w:r>
      <w:r w:rsidR="006163AA" w:rsidRPr="009C6D70">
        <w:tab/>
      </w:r>
      <w:r w:rsidR="006163AA" w:rsidRPr="009C6D70">
        <w:rPr>
          <w:u w:val="single"/>
        </w:rPr>
        <w:t>HISTORY OF THE PROCEEDING</w:t>
      </w:r>
    </w:p>
    <w:p w:rsidR="006163AA" w:rsidRPr="009C6D70" w:rsidRDefault="006163AA" w:rsidP="006163AA">
      <w:pPr>
        <w:spacing w:line="360" w:lineRule="auto"/>
      </w:pPr>
    </w:p>
    <w:p w:rsidR="006163AA" w:rsidRDefault="006163AA" w:rsidP="006163AA">
      <w:pPr>
        <w:spacing w:line="360" w:lineRule="auto"/>
      </w:pPr>
      <w:r w:rsidRPr="009C6D70">
        <w:tab/>
      </w:r>
      <w:r w:rsidRPr="009C6D70">
        <w:tab/>
        <w:t xml:space="preserve">This Recommended Decision approves, without modification, the Joint Petition for Settlement </w:t>
      </w:r>
      <w:r w:rsidR="00D56EED">
        <w:t>(“Joint Petition” or “Settlement”)</w:t>
      </w:r>
      <w:r w:rsidRPr="009C6D70">
        <w:t xml:space="preserve">, which the parties joining therein filed on </w:t>
      </w:r>
      <w:r w:rsidR="00720762">
        <w:t xml:space="preserve">September 5, 2014.  </w:t>
      </w:r>
    </w:p>
    <w:p w:rsidR="00720762" w:rsidRDefault="00720762" w:rsidP="006163AA">
      <w:pPr>
        <w:spacing w:line="360" w:lineRule="auto"/>
      </w:pPr>
    </w:p>
    <w:p w:rsidR="00720762" w:rsidRDefault="00720762" w:rsidP="00720762">
      <w:pPr>
        <w:spacing w:line="360" w:lineRule="auto"/>
        <w:ind w:firstLine="1440"/>
      </w:pPr>
      <w:r w:rsidRPr="005E5A6D">
        <w:t>On March 21, 2014, Columbia Gas of Pennsylvania, Inc. (Columbia or the Company) filed Supplement No. 211 to Tariff Gas - Pa. P.U.C. No. 9 at Docket No. R-2014-2406274 (Supplement No. 211).  The Company propose</w:t>
      </w:r>
      <w:r w:rsidR="001C0646">
        <w:t>d</w:t>
      </w:r>
      <w:r w:rsidRPr="005E5A6D">
        <w:t xml:space="preserve"> to increase rates to produce additional annual operating revenues of $54.1 million, or 11.09%, over present revenues. </w:t>
      </w:r>
      <w:r>
        <w:t xml:space="preserve"> </w:t>
      </w:r>
      <w:r w:rsidRPr="005E5A6D">
        <w:t>The Company propose</w:t>
      </w:r>
      <w:r>
        <w:t>d</w:t>
      </w:r>
      <w:r w:rsidRPr="005E5A6D">
        <w:t xml:space="preserve"> that the rate increase become effective on May 20, 2014. </w:t>
      </w:r>
    </w:p>
    <w:p w:rsidR="00720762" w:rsidRPr="005E5A6D" w:rsidRDefault="00720762" w:rsidP="00720762">
      <w:pPr>
        <w:spacing w:line="360" w:lineRule="auto"/>
        <w:ind w:firstLine="1440"/>
      </w:pPr>
    </w:p>
    <w:p w:rsidR="00720762" w:rsidRPr="00F54816" w:rsidRDefault="00720762" w:rsidP="00720762">
      <w:pPr>
        <w:spacing w:line="360" w:lineRule="auto"/>
      </w:pPr>
      <w:r>
        <w:rPr>
          <w:b/>
        </w:rPr>
        <w:tab/>
      </w:r>
      <w:r>
        <w:rPr>
          <w:b/>
        </w:rPr>
        <w:tab/>
      </w:r>
      <w:r>
        <w:t>On April 23, 2014, the Commission issued an Order suspending Columbia’s Supplement No. 211 until December 20, 2014, unless otherwise directed by Order of the Commission.</w:t>
      </w:r>
      <w:r w:rsidR="00933C18">
        <w:t xml:space="preserve">  The last public meeting of the Commission prior to the suspension date is Thursday, December 18, 2014.  </w:t>
      </w:r>
      <w:r>
        <w:t xml:space="preserve">  </w:t>
      </w:r>
    </w:p>
    <w:p w:rsidR="00720762" w:rsidRPr="007C2688" w:rsidRDefault="00720762" w:rsidP="00720762">
      <w:pPr>
        <w:spacing w:line="360" w:lineRule="auto"/>
        <w:ind w:firstLine="720"/>
      </w:pPr>
      <w:r w:rsidRPr="007C2688">
        <w:tab/>
      </w:r>
      <w:r w:rsidRPr="007C2688">
        <w:tab/>
      </w:r>
    </w:p>
    <w:p w:rsidR="00720762" w:rsidRDefault="00720762" w:rsidP="00720762">
      <w:pPr>
        <w:spacing w:line="360" w:lineRule="auto"/>
      </w:pPr>
      <w:r w:rsidRPr="00C055EF">
        <w:tab/>
      </w:r>
      <w:r w:rsidRPr="00C055EF">
        <w:tab/>
        <w:t xml:space="preserve">To date, the Commission’s </w:t>
      </w:r>
      <w:r>
        <w:t xml:space="preserve">Bureau of Investigation and Enforcement (“BI&amp;E”) </w:t>
      </w:r>
      <w:r w:rsidRPr="00C055EF">
        <w:t>entered its appearance in this proceeding, while the Office of Consumer Advocate (“OCA”)</w:t>
      </w:r>
      <w:r>
        <w:t>,</w:t>
      </w:r>
      <w:r w:rsidRPr="00C055EF">
        <w:t xml:space="preserve"> the Office of Small Business Advocate (“OSBA”)</w:t>
      </w:r>
      <w:r>
        <w:t xml:space="preserve"> and Columbia Industrial Intervenors (“CII”)</w:t>
      </w:r>
      <w:r>
        <w:rPr>
          <w:rStyle w:val="FootnoteReference"/>
        </w:rPr>
        <w:footnoteReference w:id="1"/>
      </w:r>
      <w:r w:rsidRPr="00C055EF">
        <w:t xml:space="preserve"> filed complaints.  </w:t>
      </w:r>
      <w:r>
        <w:t xml:space="preserve">The OCA complaint is filed at Docket No. </w:t>
      </w:r>
      <w:proofErr w:type="gramStart"/>
      <w:r>
        <w:t>C</w:t>
      </w:r>
      <w:r>
        <w:noBreakHyphen/>
        <w:t>2014-2413419.</w:t>
      </w:r>
      <w:proofErr w:type="gramEnd"/>
      <w:r>
        <w:t xml:space="preserve">  The OSBA complaint is filed at Docket No. </w:t>
      </w:r>
      <w:proofErr w:type="gramStart"/>
      <w:r>
        <w:t>C-2014-2417238.</w:t>
      </w:r>
      <w:proofErr w:type="gramEnd"/>
      <w:r>
        <w:t xml:space="preserve">  CII’s complaint is filed at Docket No. </w:t>
      </w:r>
      <w:proofErr w:type="gramStart"/>
      <w:r>
        <w:t>C-2014-2418801.</w:t>
      </w:r>
      <w:proofErr w:type="gramEnd"/>
      <w:r>
        <w:t xml:space="preserve">  In addition, the following individuals filed formal complaints:  Ronald </w:t>
      </w:r>
      <w:proofErr w:type="spellStart"/>
      <w:r>
        <w:t>Vanetta</w:t>
      </w:r>
      <w:proofErr w:type="spellEnd"/>
      <w:r>
        <w:t xml:space="preserve"> at Docket No. </w:t>
      </w:r>
      <w:proofErr w:type="gramStart"/>
      <w:r>
        <w:t>C</w:t>
      </w:r>
      <w:r>
        <w:noBreakHyphen/>
        <w:t>2014-2416868, John S. Smith at Docket No.</w:t>
      </w:r>
      <w:proofErr w:type="gramEnd"/>
      <w:r>
        <w:t xml:space="preserve"> </w:t>
      </w:r>
      <w:proofErr w:type="gramStart"/>
      <w:r>
        <w:t>C</w:t>
      </w:r>
      <w:r>
        <w:noBreakHyphen/>
        <w:t xml:space="preserve">2014-2416873, Peter </w:t>
      </w:r>
      <w:proofErr w:type="spellStart"/>
      <w:r>
        <w:t>Kaczmarek</w:t>
      </w:r>
      <w:proofErr w:type="spellEnd"/>
      <w:r>
        <w:t xml:space="preserve"> at Docket No.</w:t>
      </w:r>
      <w:proofErr w:type="gramEnd"/>
      <w:r>
        <w:t xml:space="preserve"> </w:t>
      </w:r>
      <w:proofErr w:type="gramStart"/>
      <w:r>
        <w:t>C-2014-2422692</w:t>
      </w:r>
      <w:r w:rsidR="00933C18">
        <w:t>, James G. Reedy at Docket No.</w:t>
      </w:r>
      <w:proofErr w:type="gramEnd"/>
      <w:r w:rsidR="00933C18">
        <w:t xml:space="preserve"> </w:t>
      </w:r>
      <w:proofErr w:type="gramStart"/>
      <w:r w:rsidR="00933C18">
        <w:t>C-2014-2422693,</w:t>
      </w:r>
      <w:proofErr w:type="gramEnd"/>
      <w:r w:rsidR="00933C18">
        <w:t xml:space="preserve"> and G. Thomas Smeltzer at Docket No. </w:t>
      </w:r>
      <w:proofErr w:type="gramStart"/>
      <w:r w:rsidR="00933C18">
        <w:t>C-2014-2429053.</w:t>
      </w:r>
      <w:proofErr w:type="gramEnd"/>
      <w:r w:rsidR="00933C18">
        <w:t xml:space="preserve">  </w:t>
      </w:r>
      <w:r>
        <w:t xml:space="preserve">All of the </w:t>
      </w:r>
      <w:r w:rsidR="00933C18">
        <w:t xml:space="preserve">aforementioned </w:t>
      </w:r>
      <w:r>
        <w:t xml:space="preserve">complaints are consolidated in this rate proceeding for hearing and disposition.  </w:t>
      </w:r>
    </w:p>
    <w:p w:rsidR="00933C18" w:rsidRDefault="00933C18" w:rsidP="00720762">
      <w:pPr>
        <w:spacing w:line="360" w:lineRule="auto"/>
      </w:pPr>
    </w:p>
    <w:p w:rsidR="002C4CE4" w:rsidRDefault="002C4CE4" w:rsidP="00720762">
      <w:pPr>
        <w:spacing w:line="360" w:lineRule="auto"/>
        <w:ind w:firstLine="1440"/>
        <w:sectPr w:rsidR="002C4CE4" w:rsidSect="004917AB">
          <w:pgSz w:w="12240" w:h="15840" w:code="1"/>
          <w:pgMar w:top="1440" w:right="1440" w:bottom="1440" w:left="1440" w:header="1440" w:footer="1440" w:gutter="0"/>
          <w:pgNumType w:start="1"/>
          <w:cols w:space="720"/>
          <w:titlePg/>
          <w:docGrid w:linePitch="360"/>
        </w:sectPr>
      </w:pPr>
    </w:p>
    <w:p w:rsidR="00720762" w:rsidRDefault="00720762" w:rsidP="00720762">
      <w:pPr>
        <w:spacing w:line="360" w:lineRule="auto"/>
        <w:ind w:firstLine="1440"/>
      </w:pPr>
      <w:r>
        <w:t xml:space="preserve">Petitions to Intervene were filed by the Coalition for Affordable Utility Services and Energy Efficiency in Pennsylvania (“CAUSE-PA”), </w:t>
      </w:r>
      <w:r w:rsidRPr="00775FB7">
        <w:t>The Pennsylvania State University</w:t>
      </w:r>
      <w:r>
        <w:t xml:space="preserve"> (“PSU”)</w:t>
      </w:r>
      <w:r w:rsidR="005B7B0C">
        <w:t>,</w:t>
      </w:r>
      <w:r>
        <w:t xml:space="preserve"> and</w:t>
      </w:r>
      <w:r w:rsidRPr="00775FB7">
        <w:t xml:space="preserve"> </w:t>
      </w:r>
      <w:r>
        <w:t>Interstate Gas Supply, Inc. d/b/a IGS Energy, Shipley Energy</w:t>
      </w:r>
      <w:r w:rsidR="005B7B0C">
        <w:t xml:space="preserve"> Company</w:t>
      </w:r>
      <w:r>
        <w:t xml:space="preserve"> and Dominion Retail, Inc. d/b/a Dominion Energy Solutions (“NGS </w:t>
      </w:r>
      <w:r w:rsidR="005B7B0C">
        <w:t>Parties</w:t>
      </w:r>
      <w:r>
        <w:t>”).</w:t>
      </w:r>
    </w:p>
    <w:p w:rsidR="00720762" w:rsidRDefault="00720762" w:rsidP="00720762">
      <w:pPr>
        <w:spacing w:line="360" w:lineRule="auto"/>
      </w:pPr>
      <w:r>
        <w:t xml:space="preserve">     </w:t>
      </w:r>
    </w:p>
    <w:p w:rsidR="006163AA" w:rsidRDefault="00720762" w:rsidP="004D52C8">
      <w:pPr>
        <w:spacing w:line="360" w:lineRule="auto"/>
        <w:ind w:firstLine="720"/>
      </w:pPr>
      <w:r>
        <w:t xml:space="preserve">            </w:t>
      </w:r>
      <w:r w:rsidR="004D52C8">
        <w:t xml:space="preserve">A Prehearing Conference Order was issued on April 24, 2014.  </w:t>
      </w:r>
      <w:r w:rsidRPr="00C055EF">
        <w:t xml:space="preserve">A prehearing conference was held on </w:t>
      </w:r>
      <w:r>
        <w:t xml:space="preserve">Friday, May 9, 2014.  </w:t>
      </w:r>
      <w:r w:rsidRPr="00C055EF">
        <w:t xml:space="preserve">Counsel for </w:t>
      </w:r>
      <w:r>
        <w:t xml:space="preserve">Columbia, BI&amp;E, OCA, OSBA, CII, CAUSE-PA, NGS Parties, and PSU attended the conference.  No individual Complainants attended the prehearing conference.  </w:t>
      </w:r>
      <w:r w:rsidR="004D52C8">
        <w:t xml:space="preserve">A Prehearing Order was issued on May 23, 2014 setting forth the matters decided and agreed upon by the parties attending the conference, establishing the litigation schedule and granting the aforementioned petitions to intervene.  </w:t>
      </w:r>
      <w:r w:rsidR="006163AA">
        <w:t>No public input hearings were scheduled and no such hearings were requested by any party.</w:t>
      </w:r>
    </w:p>
    <w:p w:rsidR="00DF1AE0" w:rsidRDefault="00DF1AE0" w:rsidP="004D52C8">
      <w:pPr>
        <w:spacing w:line="360" w:lineRule="auto"/>
        <w:ind w:firstLine="720"/>
      </w:pPr>
    </w:p>
    <w:p w:rsidR="006163AA" w:rsidRDefault="00DF1AE0" w:rsidP="00DF1AE0">
      <w:pPr>
        <w:spacing w:line="360" w:lineRule="auto"/>
        <w:ind w:firstLine="1440"/>
      </w:pPr>
      <w:r>
        <w:t xml:space="preserve">On July 31, 2014, a Protective Order was issued.  </w:t>
      </w:r>
      <w:r w:rsidR="006163AA" w:rsidRPr="00BE1C2D">
        <w:t xml:space="preserve">Prior to commencing the technical evidentiary hearings scheduled to begin on </w:t>
      </w:r>
      <w:r w:rsidR="000860A1">
        <w:t xml:space="preserve">August 1, 2014, </w:t>
      </w:r>
      <w:r w:rsidR="006163AA" w:rsidRPr="00BE1C2D">
        <w:t>the</w:t>
      </w:r>
      <w:r w:rsidR="000860A1">
        <w:t xml:space="preserve"> Full Service List </w:t>
      </w:r>
      <w:r w:rsidR="006163AA" w:rsidRPr="00BE1C2D">
        <w:t xml:space="preserve">parties informed the undersigned </w:t>
      </w:r>
      <w:r>
        <w:t>Administrative Law Judge (“</w:t>
      </w:r>
      <w:r w:rsidR="006163AA" w:rsidRPr="00BE1C2D">
        <w:t>ALJ</w:t>
      </w:r>
      <w:r>
        <w:t>”)</w:t>
      </w:r>
      <w:r w:rsidR="0092220D">
        <w:t xml:space="preserve"> </w:t>
      </w:r>
      <w:r w:rsidR="006163AA" w:rsidRPr="00BE1C2D">
        <w:t xml:space="preserve">that they had reached a settlement on all issues.  </w:t>
      </w:r>
      <w:r w:rsidR="007E004A">
        <w:t xml:space="preserve">The first day of hearing, August 1, 2014, was cancelled.  The first day of hearing began </w:t>
      </w:r>
      <w:r w:rsidR="007E004A" w:rsidRPr="009C6D70">
        <w:t xml:space="preserve">on </w:t>
      </w:r>
      <w:r w:rsidR="007E004A">
        <w:t>Monday, August 4, 2014</w:t>
      </w:r>
      <w:r w:rsidR="0092220D">
        <w:t xml:space="preserve"> instead</w:t>
      </w:r>
      <w:r w:rsidR="007E004A">
        <w:t>.  Testimony and exhibits were formally introduced and admitted into the evidentiary record by stipulation of the parties attending the hearing.</w:t>
      </w:r>
      <w:r>
        <w:t xml:space="preserve">  T</w:t>
      </w:r>
      <w:r w:rsidR="006163AA" w:rsidRPr="009C6D70">
        <w:t xml:space="preserve">he undersigned ALJ canceled the hearing scheduled for </w:t>
      </w:r>
      <w:r>
        <w:t xml:space="preserve">August 5, 2014.  </w:t>
      </w:r>
    </w:p>
    <w:p w:rsidR="006163AA" w:rsidRPr="009C6D70" w:rsidRDefault="006163AA" w:rsidP="006163AA">
      <w:pPr>
        <w:spacing w:line="360" w:lineRule="auto"/>
        <w:ind w:firstLine="720"/>
      </w:pPr>
    </w:p>
    <w:p w:rsidR="006163AA" w:rsidRDefault="006163AA" w:rsidP="006163AA">
      <w:pPr>
        <w:spacing w:line="360" w:lineRule="auto"/>
        <w:ind w:firstLine="720"/>
      </w:pPr>
      <w:r w:rsidRPr="009C6D70">
        <w:tab/>
        <w:t xml:space="preserve">On </w:t>
      </w:r>
      <w:r w:rsidR="00FC27B4">
        <w:t xml:space="preserve">September 5, 2014, </w:t>
      </w:r>
      <w:r w:rsidR="00B14CCC">
        <w:t xml:space="preserve">the aforementioned </w:t>
      </w:r>
      <w:r w:rsidRPr="009C6D70">
        <w:t>Joint Petition</w:t>
      </w:r>
      <w:r w:rsidRPr="009C6D70">
        <w:rPr>
          <w:rStyle w:val="FootnoteReference"/>
        </w:rPr>
        <w:footnoteReference w:id="2"/>
      </w:r>
      <w:r w:rsidRPr="009C6D70">
        <w:t xml:space="preserve"> was filed with the Commission’s Secretary’s Bureau along with a certificate of service of the same on all parties.  The Joint Petition includes Appendices A through </w:t>
      </w:r>
      <w:r w:rsidR="00FC27B4">
        <w:t>K</w:t>
      </w:r>
      <w:r w:rsidRPr="009C6D70">
        <w:t>.</w:t>
      </w:r>
      <w:r w:rsidRPr="009C6D70">
        <w:rPr>
          <w:rStyle w:val="FootnoteReference"/>
        </w:rPr>
        <w:footnoteReference w:id="3"/>
      </w:r>
      <w:r w:rsidRPr="009C6D70">
        <w:t xml:space="preserve">  </w:t>
      </w:r>
      <w:r>
        <w:t>The Joint Petition</w:t>
      </w:r>
      <w:r w:rsidR="00B14CCC">
        <w:t xml:space="preserve"> </w:t>
      </w:r>
      <w:r>
        <w:t xml:space="preserve">includes Statements in Support of the Joint Petition from Columbia, </w:t>
      </w:r>
      <w:r w:rsidR="00FC27B4">
        <w:t>B</w:t>
      </w:r>
      <w:r>
        <w:t>I&amp;E, OCA, OSBA, CII, NGS</w:t>
      </w:r>
      <w:r w:rsidR="00FC27B4">
        <w:t xml:space="preserve"> Parties</w:t>
      </w:r>
      <w:r>
        <w:t xml:space="preserve">, PSU, and CAUSE-PA.  The individual Complainants </w:t>
      </w:r>
      <w:r w:rsidRPr="009C6D70">
        <w:t>were not signatory parties to the Joint Petition</w:t>
      </w:r>
      <w:r w:rsidR="00B14CCC">
        <w:t xml:space="preserve">, </w:t>
      </w:r>
      <w:r>
        <w:t>however</w:t>
      </w:r>
      <w:r w:rsidR="00B14CCC">
        <w:t>,</w:t>
      </w:r>
      <w:r w:rsidR="00F15C41">
        <w:t xml:space="preserve"> </w:t>
      </w:r>
      <w:r>
        <w:t xml:space="preserve">on </w:t>
      </w:r>
      <w:r w:rsidR="00F15C41">
        <w:t xml:space="preserve">September 9, </w:t>
      </w:r>
      <w:proofErr w:type="gramStart"/>
      <w:r w:rsidR="00F15C41">
        <w:t>2014,</w:t>
      </w:r>
      <w:proofErr w:type="gramEnd"/>
      <w:r w:rsidR="00F15C41">
        <w:t xml:space="preserve"> </w:t>
      </w:r>
      <w:r w:rsidRPr="009C6D70">
        <w:t xml:space="preserve">the undersigned ALJ sent a letter to the parties regarding the filing of written objections to the Joint Petition by non-signatory parties.  Written objections were to be filed by 4:30 p.m. on </w:t>
      </w:r>
      <w:r w:rsidR="00F15C41">
        <w:t xml:space="preserve">Tuesday, September 23, 2014.  </w:t>
      </w:r>
      <w:r w:rsidRPr="00B14CCC">
        <w:t>No written objections were filed.</w:t>
      </w:r>
    </w:p>
    <w:p w:rsidR="006163AA" w:rsidRDefault="006163AA" w:rsidP="006163AA">
      <w:pPr>
        <w:spacing w:line="360" w:lineRule="auto"/>
        <w:ind w:firstLine="720"/>
      </w:pPr>
    </w:p>
    <w:p w:rsidR="006163AA" w:rsidRDefault="006163AA" w:rsidP="00F15C41">
      <w:pPr>
        <w:spacing w:line="360" w:lineRule="auto"/>
        <w:ind w:firstLine="720"/>
      </w:pPr>
      <w:r w:rsidRPr="009C6D70">
        <w:tab/>
      </w:r>
      <w:r w:rsidRPr="00B14CCC">
        <w:t xml:space="preserve">On </w:t>
      </w:r>
      <w:r w:rsidR="00F15C41">
        <w:t>September 2</w:t>
      </w:r>
      <w:r w:rsidR="00713DCE">
        <w:t>9</w:t>
      </w:r>
      <w:r w:rsidR="00F15C41">
        <w:t xml:space="preserve">, 2014, </w:t>
      </w:r>
      <w:r w:rsidRPr="00B14CCC">
        <w:t xml:space="preserve">an Interim Order Closing the Hearing Record was issued. </w:t>
      </w:r>
    </w:p>
    <w:p w:rsidR="006163AA" w:rsidRDefault="006163AA" w:rsidP="00642AB1">
      <w:pPr>
        <w:spacing w:line="360" w:lineRule="auto"/>
        <w:jc w:val="center"/>
      </w:pPr>
    </w:p>
    <w:p w:rsidR="00A4523E" w:rsidRPr="009C6D70" w:rsidRDefault="00A4523E" w:rsidP="00642AB1">
      <w:pPr>
        <w:spacing w:line="360" w:lineRule="auto"/>
        <w:jc w:val="center"/>
      </w:pPr>
      <w:r w:rsidRPr="009C6D70">
        <w:t>II.</w:t>
      </w:r>
      <w:r w:rsidRPr="009C6D70">
        <w:tab/>
      </w:r>
      <w:r w:rsidRPr="009C6D70">
        <w:rPr>
          <w:u w:val="single"/>
        </w:rPr>
        <w:t>DESCRIPTION AND TERMS OF SETTLEMENT</w:t>
      </w:r>
    </w:p>
    <w:p w:rsidR="00A4523E" w:rsidRPr="009C6D70" w:rsidRDefault="00A4523E" w:rsidP="00642AB1">
      <w:pPr>
        <w:spacing w:line="360" w:lineRule="auto"/>
        <w:jc w:val="center"/>
      </w:pPr>
    </w:p>
    <w:p w:rsidR="000C4FD8" w:rsidRDefault="00A4523E" w:rsidP="000C4FD8">
      <w:pPr>
        <w:spacing w:line="360" w:lineRule="auto"/>
      </w:pPr>
      <w:r w:rsidRPr="009C6D70">
        <w:tab/>
      </w:r>
      <w:r w:rsidRPr="009C6D70">
        <w:tab/>
        <w:t xml:space="preserve">The </w:t>
      </w:r>
      <w:r w:rsidR="00F15C41">
        <w:t>17</w:t>
      </w:r>
      <w:r w:rsidRPr="009C6D70">
        <w:t>-page Joint Petition for Settlement</w:t>
      </w:r>
      <w:r w:rsidR="00652277">
        <w:t xml:space="preserve"> includes 1</w:t>
      </w:r>
      <w:r w:rsidR="00F15C41">
        <w:t>1</w:t>
      </w:r>
      <w:r w:rsidRPr="009C6D70">
        <w:t xml:space="preserve"> appendices</w:t>
      </w:r>
      <w:r w:rsidR="00B17E85">
        <w:t xml:space="preserve"> </w:t>
      </w:r>
      <w:r w:rsidR="00652277">
        <w:t xml:space="preserve">attached </w:t>
      </w:r>
      <w:r w:rsidR="00B17E85">
        <w:t xml:space="preserve">as </w:t>
      </w:r>
      <w:r w:rsidR="00652277">
        <w:t xml:space="preserve">Appendix A through and including </w:t>
      </w:r>
      <w:r w:rsidR="00C4210E">
        <w:t xml:space="preserve">Appendix </w:t>
      </w:r>
      <w:r w:rsidR="00E25CC2">
        <w:t>K</w:t>
      </w:r>
      <w:r w:rsidRPr="009C6D70">
        <w:t>.  Appendix A</w:t>
      </w:r>
      <w:r w:rsidR="00652277">
        <w:t xml:space="preserve"> </w:t>
      </w:r>
      <w:r w:rsidRPr="009C6D70">
        <w:t xml:space="preserve">is </w:t>
      </w:r>
      <w:r w:rsidR="00652277">
        <w:t xml:space="preserve">a one-page table of </w:t>
      </w:r>
      <w:r w:rsidRPr="009C6D70">
        <w:t xml:space="preserve">the proposed </w:t>
      </w:r>
      <w:r w:rsidR="00652277">
        <w:t xml:space="preserve">revenue allocation among the </w:t>
      </w:r>
      <w:r w:rsidR="00BF2208">
        <w:t>rate classes</w:t>
      </w:r>
      <w:r w:rsidR="00F15C41">
        <w:t xml:space="preserve">.  </w:t>
      </w:r>
      <w:r w:rsidR="00BF2208">
        <w:t>Appendix B is a</w:t>
      </w:r>
      <w:r w:rsidR="00F15C41">
        <w:t>n 8</w:t>
      </w:r>
      <w:r w:rsidR="00BF2208">
        <w:t>-page schedule of revenue at proposed rates based on forecast adjusted bills and volumes for the 12 months end</w:t>
      </w:r>
      <w:r w:rsidR="00F15C41">
        <w:t>ing December</w:t>
      </w:r>
      <w:r w:rsidR="00674F22">
        <w:t> </w:t>
      </w:r>
      <w:r w:rsidR="00F15C41">
        <w:t xml:space="preserve">31, 2015.  </w:t>
      </w:r>
      <w:r w:rsidR="00BF2208">
        <w:t xml:space="preserve">Appendix C is Columbia’s Supplement to Tariff Gas-Pa. P.U.C. No. 9, which includes rate increases and changes to the existing tariff.  Appendices D through and including </w:t>
      </w:r>
      <w:r w:rsidR="00C4210E">
        <w:t xml:space="preserve">Appendix </w:t>
      </w:r>
      <w:r w:rsidR="00F15C41">
        <w:t>K</w:t>
      </w:r>
      <w:r w:rsidR="00BF2208">
        <w:t xml:space="preserve"> are the Joint Petitioners</w:t>
      </w:r>
      <w:r w:rsidR="00C4210E">
        <w:t>’</w:t>
      </w:r>
      <w:r w:rsidR="00BF2208">
        <w:t xml:space="preserve"> Statements in Support of the Settlement.</w:t>
      </w:r>
      <w:r w:rsidR="000C4FD8">
        <w:t xml:space="preserve">  </w:t>
      </w:r>
    </w:p>
    <w:p w:rsidR="000C4FD8" w:rsidRDefault="000C4FD8" w:rsidP="000C4FD8">
      <w:pPr>
        <w:spacing w:line="360" w:lineRule="auto"/>
      </w:pPr>
    </w:p>
    <w:p w:rsidR="000C4FD8" w:rsidRPr="002362FB" w:rsidRDefault="000C4FD8" w:rsidP="000C4FD8">
      <w:pPr>
        <w:spacing w:line="360" w:lineRule="auto"/>
        <w:ind w:firstLine="1440"/>
      </w:pPr>
      <w:r w:rsidRPr="002362FB">
        <w:t xml:space="preserve">In the </w:t>
      </w:r>
      <w:r>
        <w:t>Settlement</w:t>
      </w:r>
      <w:r w:rsidRPr="002362FB">
        <w:t>, the Joint Petitioners have proposed that</w:t>
      </w:r>
      <w:r>
        <w:t xml:space="preserve"> </w:t>
      </w:r>
      <w:r w:rsidRPr="00F53F4F">
        <w:t>rates be designed to produce an additional $</w:t>
      </w:r>
      <w:r>
        <w:t>32.</w:t>
      </w:r>
      <w:r w:rsidRPr="00F53F4F">
        <w:t>5 million in annual base rate operating revenues instead of the Company’s filed increase request of approximately $</w:t>
      </w:r>
      <w:r w:rsidRPr="00582D10">
        <w:t>54.</w:t>
      </w:r>
      <w:r>
        <w:t>1</w:t>
      </w:r>
      <w:r w:rsidRPr="00F53F4F">
        <w:t xml:space="preserve"> million.  Upon approval of the Settlement, Columbia </w:t>
      </w:r>
      <w:r>
        <w:t>would</w:t>
      </w:r>
      <w:r w:rsidRPr="00F53F4F">
        <w:t xml:space="preserve"> receive an increase in existing overall </w:t>
      </w:r>
      <w:r>
        <w:t xml:space="preserve">base </w:t>
      </w:r>
      <w:r w:rsidRPr="00F53F4F">
        <w:t xml:space="preserve">rates of approximately </w:t>
      </w:r>
      <w:r>
        <w:t>6.65</w:t>
      </w:r>
      <w:r w:rsidRPr="00F53F4F">
        <w:t xml:space="preserve">%, instead of the </w:t>
      </w:r>
      <w:r>
        <w:t>11.09</w:t>
      </w:r>
      <w:r w:rsidRPr="00F53F4F">
        <w:t>% increase proposed in Columbia’s filing.  A typical residential customer using 7</w:t>
      </w:r>
      <w:r>
        <w:t xml:space="preserve">2 </w:t>
      </w:r>
      <w:proofErr w:type="spellStart"/>
      <w:r>
        <w:t>therms</w:t>
      </w:r>
      <w:proofErr w:type="spellEnd"/>
      <w:r>
        <w:t xml:space="preserve"> of gas per month would</w:t>
      </w:r>
      <w:r w:rsidRPr="00F53F4F">
        <w:t xml:space="preserve"> see an increase in </w:t>
      </w:r>
      <w:r>
        <w:t>his</w:t>
      </w:r>
      <w:r w:rsidRPr="00F53F4F">
        <w:t xml:space="preserve"> monthly bill from </w:t>
      </w:r>
      <w:r>
        <w:t>$87.12 to $92.71</w:t>
      </w:r>
      <w:r w:rsidRPr="00F53F4F">
        <w:t xml:space="preserve">, or by </w:t>
      </w:r>
      <w:r>
        <w:t>6.45</w:t>
      </w:r>
      <w:r w:rsidRPr="00F53F4F">
        <w:t>%, instead of the monthly increase to $</w:t>
      </w:r>
      <w:r>
        <w:t>96.20,</w:t>
      </w:r>
      <w:r w:rsidRPr="00F53F4F">
        <w:t xml:space="preserve"> or </w:t>
      </w:r>
      <w:r>
        <w:t>10.42</w:t>
      </w:r>
      <w:r w:rsidRPr="00F53F4F">
        <w:t>%</w:t>
      </w:r>
      <w:r>
        <w:t>,</w:t>
      </w:r>
      <w:r w:rsidRPr="00F53F4F">
        <w:t xml:space="preserve"> that was originally proposed in the filing.</w:t>
      </w:r>
      <w:r>
        <w:rPr>
          <w:rStyle w:val="FootnoteReference"/>
        </w:rPr>
        <w:footnoteReference w:id="4"/>
      </w:r>
      <w:r w:rsidRPr="002362FB">
        <w:t xml:space="preserve"> </w:t>
      </w:r>
      <w:r>
        <w:t xml:space="preserve"> Joint Petition, p. 4.</w:t>
      </w:r>
    </w:p>
    <w:p w:rsidR="007653B8" w:rsidRDefault="007653B8" w:rsidP="00C4210E">
      <w:pPr>
        <w:pStyle w:val="ListNumber"/>
        <w:numPr>
          <w:ilvl w:val="0"/>
          <w:numId w:val="0"/>
        </w:numPr>
        <w:spacing w:line="360" w:lineRule="auto"/>
        <w:ind w:firstLine="1440"/>
      </w:pPr>
    </w:p>
    <w:p w:rsidR="008F39E0" w:rsidRDefault="0019010C" w:rsidP="002A12FA">
      <w:pPr>
        <w:pStyle w:val="ListNumber"/>
        <w:numPr>
          <w:ilvl w:val="0"/>
          <w:numId w:val="0"/>
        </w:numPr>
        <w:spacing w:line="360" w:lineRule="auto"/>
        <w:ind w:firstLine="1440"/>
      </w:pPr>
      <w:r>
        <w:t>According</w:t>
      </w:r>
      <w:r w:rsidR="002A12FA">
        <w:t xml:space="preserve"> to the Joint Petitioners, the </w:t>
      </w:r>
      <w:r w:rsidR="00B83B3D">
        <w:t>S</w:t>
      </w:r>
      <w:r w:rsidR="002A12FA">
        <w:t>ettlement</w:t>
      </w:r>
      <w:r>
        <w:t xml:space="preserve"> </w:t>
      </w:r>
      <w:r w:rsidR="000C4FD8">
        <w:t xml:space="preserve">was achieved after extensive investigation of Columbia’s filing, including formal and informal discovery and the submission of direct, rebuttal, surrebuttal and rejoinder testimony that was admitted into the hearing record.  </w:t>
      </w:r>
      <w:r>
        <w:t>The Joint Petition</w:t>
      </w:r>
      <w:r w:rsidR="00B83B3D">
        <w:t>ers unanimously agree that the S</w:t>
      </w:r>
      <w:r>
        <w:t xml:space="preserve">ettlement is </w:t>
      </w:r>
      <w:r w:rsidR="008F39E0">
        <w:t xml:space="preserve">fair, just and reasonable, and therefore </w:t>
      </w:r>
      <w:r>
        <w:t>in the public interest.</w:t>
      </w:r>
      <w:r w:rsidR="002A12FA">
        <w:t xml:space="preserve">  The Joint Petitioners claim that acceptance of the </w:t>
      </w:r>
      <w:r w:rsidR="008F39E0">
        <w:t>S</w:t>
      </w:r>
      <w:r w:rsidR="002A12FA">
        <w:t>ettlement will avoid the necessity of further administrative and possibly appellate proceedings regarding the settled issues at what would have been a substantial cost to the Joint Petitioners and Columbia’s customers.  Joint Petition, p</w:t>
      </w:r>
      <w:r w:rsidR="008F39E0">
        <w:t xml:space="preserve">. 12.  </w:t>
      </w:r>
      <w:r w:rsidR="002A12FA">
        <w:t xml:space="preserve">  </w:t>
      </w:r>
      <w:r>
        <w:t xml:space="preserve">  </w:t>
      </w:r>
    </w:p>
    <w:p w:rsidR="00E348CA" w:rsidRDefault="00E348CA" w:rsidP="002A12FA">
      <w:pPr>
        <w:pStyle w:val="ListNumber"/>
        <w:numPr>
          <w:ilvl w:val="0"/>
          <w:numId w:val="0"/>
        </w:numPr>
        <w:spacing w:line="360" w:lineRule="auto"/>
        <w:ind w:firstLine="1440"/>
      </w:pPr>
    </w:p>
    <w:p w:rsidR="00E348CA" w:rsidRDefault="00E348CA" w:rsidP="007D2E70">
      <w:pPr>
        <w:pStyle w:val="ListNumber"/>
        <w:numPr>
          <w:ilvl w:val="0"/>
          <w:numId w:val="0"/>
        </w:numPr>
        <w:spacing w:line="360" w:lineRule="auto"/>
        <w:ind w:firstLine="1440"/>
      </w:pPr>
      <w:r>
        <w:t>The Joint Petition is conditioned upon the Commission’s approval of the terms and conditions contained therein without modification.  The Joint Petitioners agree that if the Commission modifies the Joint Petition, then any Joint Petitioner may elect to withdraw from the Joint Petition and may proceed with litigation and, in such event, the Joint Petition shall be void and of no effect.  The Joint Petitioners acknowledge and agree that t</w:t>
      </w:r>
      <w:r w:rsidR="007D2E70">
        <w:t>he Joint Petition</w:t>
      </w:r>
      <w:r>
        <w:t>, if approved, shall have the same force and effect as if the Joint Petitioners had fully litigated these proceedings resulting in the establishment of rates that are Commission-made, just and reasonable rates.</w:t>
      </w:r>
      <w:r w:rsidR="007D2E70">
        <w:t xml:space="preserve">  </w:t>
      </w:r>
      <w:r>
        <w:t>If the C</w:t>
      </w:r>
      <w:r w:rsidR="007D2E70">
        <w:t>ommission d</w:t>
      </w:r>
      <w:r w:rsidR="00B83B3D">
        <w:t>oes not approve the S</w:t>
      </w:r>
      <w:r>
        <w:t xml:space="preserve">ettlement and the proceedings continue to further hearings, the Joint Petitioners reserve their respective rights to present additional testimony and to conduct full cross-examination, briefing and argument.  </w:t>
      </w:r>
      <w:r w:rsidR="007D2E70">
        <w:t>The Joint Petitioners furt</w:t>
      </w:r>
      <w:r w:rsidR="00B83B3D">
        <w:t>her agree that their S</w:t>
      </w:r>
      <w:r w:rsidR="007D2E70">
        <w:t xml:space="preserve">ettlement </w:t>
      </w:r>
      <w:r>
        <w:t>is made without any admission against, or prejudice to, any position that any Joint Petitioner may adopt in the event of any further litigation in these proceedings.</w:t>
      </w:r>
      <w:r w:rsidR="007D2E70">
        <w:t xml:space="preserve">  Joint Petition, pp. 1</w:t>
      </w:r>
      <w:r w:rsidR="008F39E0">
        <w:t xml:space="preserve">2-13.  </w:t>
      </w:r>
    </w:p>
    <w:p w:rsidR="00E348CA" w:rsidRDefault="00E348CA" w:rsidP="00E348CA">
      <w:pPr>
        <w:pStyle w:val="ListNumber"/>
        <w:numPr>
          <w:ilvl w:val="0"/>
          <w:numId w:val="0"/>
        </w:numPr>
        <w:jc w:val="both"/>
      </w:pPr>
    </w:p>
    <w:p w:rsidR="00E348CA" w:rsidRDefault="007D2E70" w:rsidP="00CC5944">
      <w:pPr>
        <w:pStyle w:val="ListNumber"/>
        <w:numPr>
          <w:ilvl w:val="0"/>
          <w:numId w:val="0"/>
        </w:numPr>
        <w:spacing w:line="360" w:lineRule="auto"/>
        <w:ind w:firstLine="1440"/>
      </w:pPr>
      <w:r>
        <w:t>The Joint Petitioners agree that th</w:t>
      </w:r>
      <w:r w:rsidR="00E71C74">
        <w:t>e</w:t>
      </w:r>
      <w:r>
        <w:t xml:space="preserve"> </w:t>
      </w:r>
      <w:r w:rsidR="008F39E0">
        <w:t>Settlement</w:t>
      </w:r>
      <w:r w:rsidR="00E348CA">
        <w:t xml:space="preserve"> and its terms and conditions may not be cited as precedent in any future proceeding, except to the extent required </w:t>
      </w:r>
      <w:proofErr w:type="gramStart"/>
      <w:r w:rsidR="00E348CA">
        <w:t>to</w:t>
      </w:r>
      <w:r w:rsidR="00CB2F62">
        <w:t xml:space="preserve"> </w:t>
      </w:r>
      <w:r w:rsidR="00E348CA">
        <w:t>implement</w:t>
      </w:r>
      <w:proofErr w:type="gramEnd"/>
      <w:r w:rsidR="00E348CA">
        <w:t xml:space="preserve"> th</w:t>
      </w:r>
      <w:r w:rsidR="008F39E0">
        <w:t xml:space="preserve">e Settlement.  </w:t>
      </w:r>
      <w:r w:rsidR="00CC5944">
        <w:t>The Joint Petitioners further agree that t</w:t>
      </w:r>
      <w:r w:rsidR="00E348CA">
        <w:t>h</w:t>
      </w:r>
      <w:r w:rsidR="00CC5944">
        <w:t xml:space="preserve">e Commission’s approval of the </w:t>
      </w:r>
      <w:r w:rsidR="008F39E0">
        <w:t>S</w:t>
      </w:r>
      <w:r w:rsidR="00E348CA">
        <w:t xml:space="preserve">ettlement shall not be construed to represent approval of any Joint Petitioner’s position on any issue, except to the extent required to effectuate the terms and agreements of the </w:t>
      </w:r>
      <w:r w:rsidR="00B83B3D">
        <w:t>S</w:t>
      </w:r>
      <w:r w:rsidR="00E348CA">
        <w:t>ettlement in these and future proceedings involving Columbia.</w:t>
      </w:r>
      <w:r w:rsidR="00CC5944">
        <w:t xml:space="preserve">  The Joint Pe</w:t>
      </w:r>
      <w:r w:rsidR="00B83B3D">
        <w:t>tition provides that the S</w:t>
      </w:r>
      <w:r w:rsidR="00CC5944">
        <w:t>e</w:t>
      </w:r>
      <w:r w:rsidR="00E348CA">
        <w:t>ttlement is the result of compromise, and does not necessarily represent the position</w:t>
      </w:r>
      <w:r w:rsidR="00422E70">
        <w:t>s</w:t>
      </w:r>
      <w:r w:rsidR="00E348CA">
        <w:t xml:space="preserve"> that would be advanced by any Joint Petitioner in these proceedings if they were fully litigated.</w:t>
      </w:r>
      <w:r w:rsidR="00422E70">
        <w:t xml:space="preserve">  Joint Petition, p. 1</w:t>
      </w:r>
      <w:r w:rsidR="008F39E0">
        <w:t>3</w:t>
      </w:r>
      <w:r w:rsidR="00422E70">
        <w:t>.</w:t>
      </w:r>
    </w:p>
    <w:p w:rsidR="00E348CA" w:rsidRDefault="00E348CA" w:rsidP="00E348CA">
      <w:pPr>
        <w:pStyle w:val="ListNumber"/>
        <w:numPr>
          <w:ilvl w:val="0"/>
          <w:numId w:val="0"/>
        </w:numPr>
        <w:jc w:val="both"/>
      </w:pPr>
    </w:p>
    <w:p w:rsidR="00E348CA" w:rsidRDefault="00422E70" w:rsidP="002A12FA">
      <w:pPr>
        <w:pStyle w:val="ListNumber"/>
        <w:numPr>
          <w:ilvl w:val="0"/>
          <w:numId w:val="0"/>
        </w:numPr>
        <w:spacing w:line="360" w:lineRule="auto"/>
        <w:ind w:firstLine="1440"/>
      </w:pPr>
      <w:r>
        <w:t xml:space="preserve">Joint Petitioners agree that the </w:t>
      </w:r>
      <w:r w:rsidR="008F39E0">
        <w:t>Settlement</w:t>
      </w:r>
      <w:r>
        <w:t xml:space="preserve"> </w:t>
      </w:r>
      <w:r w:rsidR="00E348CA">
        <w:t>is presented without prejudice to any position that any of the Joint Petitioners may have advanced and without prejudice to the position any of the Joint Petitioners may advance in the future on the merits of the issues in future proceedings</w:t>
      </w:r>
      <w:r>
        <w:t>,</w:t>
      </w:r>
      <w:r w:rsidR="00E348CA">
        <w:t xml:space="preserve"> except to the extent necessary to effectuate the terms and conditions of this </w:t>
      </w:r>
      <w:r w:rsidR="008F39E0">
        <w:t>S</w:t>
      </w:r>
      <w:r w:rsidR="00E348CA">
        <w:t>ettlement.  Th</w:t>
      </w:r>
      <w:r>
        <w:t>e Joint Peti</w:t>
      </w:r>
      <w:r w:rsidR="00B83B3D">
        <w:t>tioners further agree that the S</w:t>
      </w:r>
      <w:r>
        <w:t>ettlement</w:t>
      </w:r>
      <w:r w:rsidR="00E348CA">
        <w:t xml:space="preserve"> does not preclude the Joint Petitioners from taking other positions in proceedings involving other public utilities under Section 1308 of the Public Utility Code, 66 Pa.C.S. </w:t>
      </w:r>
      <w:proofErr w:type="gramStart"/>
      <w:r w:rsidR="00E348CA">
        <w:t>§ 1308, or any</w:t>
      </w:r>
      <w:proofErr w:type="gramEnd"/>
      <w:r w:rsidR="00E348CA">
        <w:t xml:space="preserve"> other proceeding.</w:t>
      </w:r>
      <w:r>
        <w:t xml:space="preserve">  Lastly, t</w:t>
      </w:r>
      <w:r w:rsidR="00E348CA">
        <w:t xml:space="preserve">he Joint Petitioners </w:t>
      </w:r>
      <w:r>
        <w:t xml:space="preserve">agree to </w:t>
      </w:r>
      <w:r w:rsidR="00E348CA">
        <w:t xml:space="preserve">waive their individual rights to file </w:t>
      </w:r>
      <w:r w:rsidR="00295BB9">
        <w:t>e</w:t>
      </w:r>
      <w:r w:rsidR="00E348CA">
        <w:t xml:space="preserve">xceptions with regard to the </w:t>
      </w:r>
      <w:r w:rsidR="008F39E0">
        <w:t>S</w:t>
      </w:r>
      <w:r w:rsidR="00E348CA">
        <w:t>ettlement</w:t>
      </w:r>
      <w:r w:rsidR="008F39E0">
        <w:t xml:space="preserve"> if the Settlement</w:t>
      </w:r>
      <w:r>
        <w:t xml:space="preserve"> is adopted without modification.  Joint Petition, p</w:t>
      </w:r>
      <w:r w:rsidR="008F39E0">
        <w:t>p. 13-14</w:t>
      </w:r>
      <w:r w:rsidR="00E348CA">
        <w:t>.</w:t>
      </w:r>
    </w:p>
    <w:p w:rsidR="006E73E3" w:rsidRDefault="006E73E3" w:rsidP="002A12FA">
      <w:pPr>
        <w:pStyle w:val="ListNumber"/>
        <w:numPr>
          <w:ilvl w:val="0"/>
          <w:numId w:val="0"/>
        </w:numPr>
        <w:spacing w:line="360" w:lineRule="auto"/>
        <w:ind w:firstLine="1440"/>
      </w:pPr>
    </w:p>
    <w:p w:rsidR="006E73E3" w:rsidRDefault="00B83B3D" w:rsidP="002A12FA">
      <w:pPr>
        <w:pStyle w:val="ListNumber"/>
        <w:numPr>
          <w:ilvl w:val="0"/>
          <w:numId w:val="0"/>
        </w:numPr>
        <w:spacing w:line="360" w:lineRule="auto"/>
        <w:ind w:firstLine="1440"/>
      </w:pPr>
      <w:r>
        <w:t>The S</w:t>
      </w:r>
      <w:r w:rsidR="006E73E3">
        <w:t xml:space="preserve">ettlement terms are set forth on pages </w:t>
      </w:r>
      <w:r w:rsidR="008F39E0">
        <w:t>5-12</w:t>
      </w:r>
      <w:r w:rsidR="006E73E3">
        <w:t xml:space="preserve"> of the Joint Petition.  The terms are discussed under the following four subheadings:  Revenue Requirement, Revenue Allocation and Rate Design, </w:t>
      </w:r>
      <w:r w:rsidR="00F53D10">
        <w:t xml:space="preserve">Tariff Rule 8.2.1-Main Extension Model, and </w:t>
      </w:r>
      <w:r w:rsidR="006E73E3">
        <w:t>Other.</w:t>
      </w:r>
      <w:r w:rsidR="00422E70">
        <w:t xml:space="preserve">  These four subheadin</w:t>
      </w:r>
      <w:r>
        <w:t>gs will be used to present the S</w:t>
      </w:r>
      <w:r w:rsidR="00422E70">
        <w:t xml:space="preserve">ettlement terms here in this Recommended Decision as well.  </w:t>
      </w:r>
      <w:r w:rsidR="006E73E3">
        <w:t xml:space="preserve">  </w:t>
      </w:r>
    </w:p>
    <w:p w:rsidR="00422E70" w:rsidRPr="0071638A" w:rsidRDefault="00422E70" w:rsidP="00422E70">
      <w:pPr>
        <w:pStyle w:val="ListNumber"/>
        <w:numPr>
          <w:ilvl w:val="0"/>
          <w:numId w:val="0"/>
        </w:numPr>
        <w:spacing w:line="360" w:lineRule="auto"/>
        <w:rPr>
          <w:u w:val="single"/>
        </w:rPr>
      </w:pPr>
    </w:p>
    <w:p w:rsidR="00422E70" w:rsidRPr="0071638A" w:rsidRDefault="00422E70" w:rsidP="0071638A">
      <w:pPr>
        <w:pStyle w:val="ListNumber"/>
        <w:numPr>
          <w:ilvl w:val="0"/>
          <w:numId w:val="21"/>
        </w:numPr>
        <w:spacing w:line="360" w:lineRule="auto"/>
        <w:ind w:hanging="720"/>
        <w:rPr>
          <w:u w:val="single"/>
        </w:rPr>
      </w:pPr>
      <w:r w:rsidRPr="0071638A">
        <w:rPr>
          <w:u w:val="single"/>
        </w:rPr>
        <w:t>Revenue Requirement</w:t>
      </w:r>
    </w:p>
    <w:p w:rsidR="00422E70" w:rsidRDefault="00422E70" w:rsidP="00422E70">
      <w:pPr>
        <w:pStyle w:val="ListNumber"/>
        <w:numPr>
          <w:ilvl w:val="0"/>
          <w:numId w:val="0"/>
        </w:numPr>
        <w:spacing w:line="360" w:lineRule="auto"/>
      </w:pPr>
    </w:p>
    <w:p w:rsidR="00A653DC" w:rsidRDefault="00D61E41" w:rsidP="00A653DC">
      <w:pPr>
        <w:pStyle w:val="ListNumber"/>
        <w:numPr>
          <w:ilvl w:val="0"/>
          <w:numId w:val="0"/>
        </w:numPr>
        <w:spacing w:line="360" w:lineRule="auto"/>
        <w:ind w:firstLine="1440"/>
      </w:pPr>
      <w:r>
        <w:t>Pursuant to the Settlement, r</w:t>
      </w:r>
      <w:r w:rsidRPr="00D61E41">
        <w:t>ates will be designed to produce an increase in operating revenues of $32.5 million based upon the pro forma throughput of 80,000,000</w:t>
      </w:r>
      <w:r w:rsidRPr="00D61E41">
        <w:rPr>
          <w:color w:val="1F497D"/>
        </w:rPr>
        <w:t xml:space="preserve"> </w:t>
      </w:r>
      <w:proofErr w:type="spellStart"/>
      <w:r w:rsidRPr="00D61E41">
        <w:t>Dth</w:t>
      </w:r>
      <w:proofErr w:type="spellEnd"/>
      <w:r w:rsidRPr="00D61E41">
        <w:t xml:space="preserve"> for the twelve months ended December 31, 2015.</w:t>
      </w:r>
      <w:r>
        <w:t xml:space="preserve">  </w:t>
      </w:r>
      <w:r w:rsidRPr="00D61E41">
        <w:t xml:space="preserve">As of the effective date of rates in this proceeding, Columbia will be eligible to include plant additions in the Distribution System Improvement Charge (“DSIC”) once eligible account balances exceed the levels projected by Columbia at December 31, 2015.  </w:t>
      </w:r>
      <w:r>
        <w:t xml:space="preserve">The </w:t>
      </w:r>
      <w:r w:rsidR="00A653DC">
        <w:t xml:space="preserve">Settlement provides that the </w:t>
      </w:r>
      <w:r w:rsidRPr="00D61E41">
        <w:t xml:space="preserve">foregoing provision is included solely for purposes of calculating the DSIC, and is not determinative for future ratemaking purposes of the projected additions to be included in rate base in a </w:t>
      </w:r>
      <w:r w:rsidR="006C3B29">
        <w:t>fully projected future test year (“</w:t>
      </w:r>
      <w:r w:rsidRPr="00D61E41">
        <w:t>FPFTY</w:t>
      </w:r>
      <w:r w:rsidR="006C3B29">
        <w:t>”)</w:t>
      </w:r>
      <w:r w:rsidRPr="00D61E41">
        <w:t xml:space="preserve"> filing.</w:t>
      </w:r>
      <w:r w:rsidR="00A653DC">
        <w:t xml:space="preserve">  Joint Petition, p. 5.</w:t>
      </w:r>
    </w:p>
    <w:p w:rsidR="00A653DC" w:rsidRDefault="00A653DC" w:rsidP="00A653DC">
      <w:pPr>
        <w:pStyle w:val="ListNumber"/>
        <w:numPr>
          <w:ilvl w:val="0"/>
          <w:numId w:val="0"/>
        </w:numPr>
        <w:spacing w:line="360" w:lineRule="auto"/>
        <w:ind w:firstLine="1440"/>
      </w:pPr>
    </w:p>
    <w:p w:rsidR="00C43D56" w:rsidRDefault="00D61E41" w:rsidP="00C43D56">
      <w:pPr>
        <w:pStyle w:val="ListNumber"/>
        <w:numPr>
          <w:ilvl w:val="0"/>
          <w:numId w:val="0"/>
        </w:numPr>
        <w:spacing w:line="360" w:lineRule="auto"/>
        <w:ind w:firstLine="1440"/>
      </w:pPr>
      <w:r w:rsidRPr="00D61E41">
        <w:t xml:space="preserve">Columbia will continue to use normalization accounting with respect to the benefits of the tax repairs deduction.  In addition, with regard to the $37.4 million tax refund previously received by Columbia that is attributable to the change in method for the repairs deduction, the remaining amount of $2,044,714 million shall be amortized over 18 months commencing January 1, 2015.  </w:t>
      </w:r>
      <w:r w:rsidR="00C43D56">
        <w:t>According to the Settlement, t</w:t>
      </w:r>
      <w:r w:rsidRPr="00D61E41">
        <w:t>he amortization shall continue to be without interest and without a deduction of the unamortized balance from rate base.  Changes in the refund amount, above or below the $37.4 million, shall be reflected in accumulated deferred income taxes to be created under the normalization method of accounting.</w:t>
      </w:r>
      <w:r w:rsidR="00C43D56">
        <w:t xml:space="preserve">  Joint Petition, pp.</w:t>
      </w:r>
      <w:r w:rsidR="000D42AC">
        <w:t> </w:t>
      </w:r>
      <w:r w:rsidR="00C43D56">
        <w:t>5</w:t>
      </w:r>
      <w:r w:rsidR="000D42AC">
        <w:noBreakHyphen/>
      </w:r>
      <w:r w:rsidR="00C43D56">
        <w:t>6.</w:t>
      </w:r>
    </w:p>
    <w:p w:rsidR="00C43D56" w:rsidRDefault="00C43D56" w:rsidP="00C43D56">
      <w:pPr>
        <w:pStyle w:val="ListNumber"/>
        <w:numPr>
          <w:ilvl w:val="0"/>
          <w:numId w:val="0"/>
        </w:numPr>
        <w:spacing w:line="360" w:lineRule="auto"/>
        <w:ind w:firstLine="1440"/>
      </w:pPr>
    </w:p>
    <w:p w:rsidR="00D61E41" w:rsidRDefault="00C43D56" w:rsidP="00C43D56">
      <w:pPr>
        <w:pStyle w:val="ListNumber"/>
        <w:numPr>
          <w:ilvl w:val="0"/>
          <w:numId w:val="0"/>
        </w:numPr>
        <w:spacing w:line="360" w:lineRule="auto"/>
        <w:ind w:firstLine="1440"/>
      </w:pPr>
      <w:r>
        <w:t xml:space="preserve">The Settlement provides that </w:t>
      </w:r>
      <w:r w:rsidR="00D61E41" w:rsidRPr="00D61E41">
        <w:t>Columbia will be permitted to continue to use normalization accounting with respect to the tax treatment of Section 263A mixed service costs.</w:t>
      </w:r>
      <w:r>
        <w:t xml:space="preserve">  </w:t>
      </w:r>
      <w:r w:rsidR="00D61E41" w:rsidRPr="00D61E41">
        <w:t>Columbia will be permitted to recover the amortization of costs related to the following:</w:t>
      </w:r>
    </w:p>
    <w:p w:rsidR="00C43D56" w:rsidRPr="00D61E41" w:rsidRDefault="00C43D56" w:rsidP="009A17C6">
      <w:pPr>
        <w:pStyle w:val="ListNumber"/>
        <w:numPr>
          <w:ilvl w:val="0"/>
          <w:numId w:val="0"/>
        </w:numPr>
        <w:spacing w:line="240" w:lineRule="auto"/>
        <w:ind w:firstLine="1440"/>
      </w:pPr>
    </w:p>
    <w:p w:rsidR="00D61E41" w:rsidRDefault="00D61E41" w:rsidP="00C43D56">
      <w:pPr>
        <w:pStyle w:val="BodyText"/>
        <w:spacing w:after="0"/>
        <w:ind w:left="1440" w:right="1440"/>
      </w:pPr>
      <w:r w:rsidRPr="00D61E41">
        <w:t>(i)</w:t>
      </w:r>
      <w:r w:rsidRPr="00D61E41">
        <w:tab/>
        <w:t>NIFIT – Amortization of non-Company labor start-up costs of the new financial software of $2,029,202, over a five-year period commencing January 1, 2015.</w:t>
      </w:r>
    </w:p>
    <w:p w:rsidR="00937D7C" w:rsidRPr="00D61E41" w:rsidRDefault="00937D7C" w:rsidP="00C43D56">
      <w:pPr>
        <w:pStyle w:val="BodyText"/>
        <w:spacing w:after="0"/>
        <w:ind w:left="1440" w:right="1440"/>
      </w:pPr>
    </w:p>
    <w:p w:rsidR="00937D7C" w:rsidRDefault="00D61E41" w:rsidP="00C43D56">
      <w:pPr>
        <w:pStyle w:val="BodyText"/>
        <w:spacing w:after="0"/>
        <w:ind w:left="1440" w:right="1440"/>
      </w:pPr>
      <w:r w:rsidRPr="00D61E41">
        <w:t>(ii)</w:t>
      </w:r>
      <w:r w:rsidRPr="00D61E41">
        <w:tab/>
        <w:t>Blackhawk Storage – Continuation of the previously-approved 24.5 year amortization of the total amount of $398,865 to be included on books and in rate base as a regulatory asset to reflect the total original cost that began on October 28, 2008.</w:t>
      </w:r>
    </w:p>
    <w:p w:rsidR="00937D7C" w:rsidRPr="00D61E41" w:rsidRDefault="00937D7C" w:rsidP="00C43D56">
      <w:pPr>
        <w:pStyle w:val="BodyText"/>
        <w:spacing w:after="0"/>
        <w:ind w:left="1440" w:right="1440"/>
      </w:pPr>
    </w:p>
    <w:p w:rsidR="00D61E41" w:rsidRDefault="00D61E41" w:rsidP="00C43D56">
      <w:pPr>
        <w:pStyle w:val="BodyText"/>
        <w:spacing w:after="0"/>
        <w:ind w:left="1440" w:right="1440"/>
      </w:pPr>
      <w:r w:rsidRPr="00D61E41">
        <w:t>(iii)</w:t>
      </w:r>
      <w:r w:rsidRPr="00D61E41">
        <w:tab/>
        <w:t>Tax Credit – Amortization of the unamortized portion of the $37,487,634 total tax credit of $2,044,714 over 18 months commencing January 1, 2015.</w:t>
      </w:r>
    </w:p>
    <w:p w:rsidR="00937D7C" w:rsidRPr="00D61E41" w:rsidRDefault="00937D7C" w:rsidP="00C43D56">
      <w:pPr>
        <w:pStyle w:val="BodyText"/>
        <w:spacing w:after="0"/>
        <w:ind w:left="1440" w:right="1440"/>
      </w:pPr>
    </w:p>
    <w:p w:rsidR="00D61E41" w:rsidRDefault="00D61E41" w:rsidP="00C43D56">
      <w:pPr>
        <w:pStyle w:val="BodyText"/>
        <w:spacing w:after="0"/>
        <w:ind w:left="1440" w:right="1440"/>
      </w:pPr>
      <w:proofErr w:type="gramStart"/>
      <w:r w:rsidRPr="00D61E41">
        <w:t>(iv)</w:t>
      </w:r>
      <w:r w:rsidRPr="00D61E41">
        <w:tab/>
        <w:t>Corporate</w:t>
      </w:r>
      <w:proofErr w:type="gramEnd"/>
      <w:r w:rsidRPr="00D61E41">
        <w:t xml:space="preserve"> Services OPEB-Related Costs – Continuation of the previously-approved amortization of the regulatory asset of $903,131 associated with the transition of NiSource Corporate Services Company from a cash to accrual basis for OPEBs, over a ten-year period that began July 1, 2013.</w:t>
      </w:r>
    </w:p>
    <w:p w:rsidR="00937D7C" w:rsidRPr="00D61E41" w:rsidRDefault="00937D7C" w:rsidP="00C43D56">
      <w:pPr>
        <w:pStyle w:val="BodyText"/>
        <w:spacing w:after="0"/>
        <w:ind w:left="1440" w:right="1440"/>
      </w:pPr>
    </w:p>
    <w:p w:rsidR="00D61E41" w:rsidRDefault="00D61E41" w:rsidP="00C43D56">
      <w:pPr>
        <w:pStyle w:val="BodyText"/>
        <w:spacing w:after="0"/>
        <w:ind w:left="1440" w:right="1440"/>
      </w:pPr>
      <w:r w:rsidRPr="00D61E41">
        <w:t>(v)</w:t>
      </w:r>
      <w:r w:rsidRPr="00D61E41">
        <w:tab/>
        <w:t xml:space="preserve">CPA OPEB Deferral </w:t>
      </w:r>
      <w:proofErr w:type="spellStart"/>
      <w:r w:rsidRPr="00D61E41">
        <w:t>Passback</w:t>
      </w:r>
      <w:proofErr w:type="spellEnd"/>
      <w:r w:rsidRPr="00D61E41">
        <w:t xml:space="preserve"> – Rates reflect the 18 month amortization of the deferred OPEB balance of $(343,925) at January 1, 2015.</w:t>
      </w:r>
    </w:p>
    <w:p w:rsidR="00C43D56" w:rsidRDefault="00C43D56" w:rsidP="00C43D56">
      <w:pPr>
        <w:pStyle w:val="BodyText"/>
        <w:spacing w:after="0" w:line="360" w:lineRule="auto"/>
      </w:pPr>
    </w:p>
    <w:p w:rsidR="00C43D56" w:rsidRDefault="00C43D56" w:rsidP="00C43D56">
      <w:pPr>
        <w:pStyle w:val="BodyText"/>
        <w:spacing w:after="0" w:line="360" w:lineRule="auto"/>
      </w:pPr>
      <w:r>
        <w:t>Joint Petition, pp. 6-7.</w:t>
      </w:r>
    </w:p>
    <w:p w:rsidR="00C43D56" w:rsidRDefault="00C43D56" w:rsidP="00C43D56">
      <w:pPr>
        <w:pStyle w:val="BodyText"/>
        <w:spacing w:after="0" w:line="360" w:lineRule="auto"/>
      </w:pPr>
    </w:p>
    <w:p w:rsidR="00C43D56" w:rsidRDefault="00C43D56" w:rsidP="00C43D56">
      <w:pPr>
        <w:pStyle w:val="BodyText"/>
        <w:spacing w:after="0" w:line="360" w:lineRule="auto"/>
        <w:ind w:firstLine="1440"/>
      </w:pPr>
      <w:r>
        <w:t>As established in the s</w:t>
      </w:r>
      <w:r w:rsidR="00D61E41" w:rsidRPr="00D61E41">
        <w:t xml:space="preserve">ettlement of Columbia’s base rate proceeding at R-2012-2321748, </w:t>
      </w:r>
      <w:r>
        <w:t xml:space="preserve">the Settlement in this proceeding permits </w:t>
      </w:r>
      <w:r w:rsidR="00D61E41" w:rsidRPr="00D61E41">
        <w:t xml:space="preserve">Columbia to continue to defer the difference between the annual OPEB expense calculated pursuant to FASB Accounting Standards Codification (“ASC”) 715, Compensation – Retirement Benefits (SFAS No. 106) and the annual </w:t>
      </w:r>
      <w:r w:rsidR="00982B72">
        <w:t>Other</w:t>
      </w:r>
      <w:r w:rsidR="00CB6FCC">
        <w:t xml:space="preserve"> </w:t>
      </w:r>
      <w:r w:rsidR="00982B72">
        <w:t>Post-Employment Benefits (“</w:t>
      </w:r>
      <w:r w:rsidR="00D61E41" w:rsidRPr="00D61E41">
        <w:t>OPEB</w:t>
      </w:r>
      <w:r w:rsidR="00982B72">
        <w:t>”)</w:t>
      </w:r>
      <w:r w:rsidR="00D61E41" w:rsidRPr="00D61E41">
        <w:t xml:space="preserve"> expense allowance in rates of $0.  Only those amounts attributable to operation and maintenance would be deferred and recognized as a regulatory asset or liability.  To the extent the cumulative balance recorded reflects a regulatory asset, such amount will be collected from customers in the next rate proceeding over a period to be determined in that rate proceeding.  To the extent the cumulative balance recorded reflects a regulatory liability, there will be no amortization of the (non-cash) negative expense, and the cumulative balance will continue to be maintained.</w:t>
      </w:r>
      <w:r>
        <w:t xml:space="preserve">  Joint Petition, p. 7.  </w:t>
      </w:r>
    </w:p>
    <w:p w:rsidR="00C43D56" w:rsidRDefault="00C43D56" w:rsidP="00C43D56">
      <w:pPr>
        <w:pStyle w:val="BodyText"/>
        <w:spacing w:after="0" w:line="360" w:lineRule="auto"/>
        <w:ind w:firstLine="1440"/>
      </w:pPr>
    </w:p>
    <w:p w:rsidR="00757E9D" w:rsidRDefault="00D61E41" w:rsidP="00757E9D">
      <w:pPr>
        <w:pStyle w:val="BodyText"/>
        <w:spacing w:after="0" w:line="360" w:lineRule="auto"/>
        <w:ind w:firstLine="1440"/>
      </w:pPr>
      <w:r w:rsidRPr="00D61E41">
        <w:t xml:space="preserve">Commencing with the effective date of rates, Columbia </w:t>
      </w:r>
      <w:r w:rsidR="00C43D56">
        <w:t>agrees to</w:t>
      </w:r>
      <w:r w:rsidRPr="00D61E41">
        <w:t xml:space="preserve">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w:t>
      </w:r>
      <w:r w:rsidR="00757E9D">
        <w:t xml:space="preserve">  Joint Petition, p. 7.  </w:t>
      </w:r>
    </w:p>
    <w:p w:rsidR="00757E9D" w:rsidRDefault="00757E9D" w:rsidP="00757E9D">
      <w:pPr>
        <w:pStyle w:val="BodyText"/>
        <w:spacing w:after="0" w:line="360" w:lineRule="auto"/>
        <w:ind w:firstLine="1440"/>
      </w:pPr>
    </w:p>
    <w:p w:rsidR="00F96C07" w:rsidRDefault="00D61E41" w:rsidP="00F96C07">
      <w:pPr>
        <w:pStyle w:val="BodyText"/>
        <w:spacing w:after="0" w:line="360" w:lineRule="auto"/>
        <w:ind w:firstLine="1440"/>
      </w:pPr>
      <w:r w:rsidRPr="00D61E41">
        <w:t xml:space="preserve">On or before April 1, 2015, Columbia </w:t>
      </w:r>
      <w:r w:rsidR="00757E9D">
        <w:t xml:space="preserve">agrees to </w:t>
      </w:r>
      <w:r w:rsidRPr="00D61E41">
        <w:t xml:space="preserve">provide the Commission’s Bureau of Technical Utility Services (“TUS”), </w:t>
      </w:r>
      <w:r w:rsidR="00F96C07">
        <w:t>B</w:t>
      </w:r>
      <w:r w:rsidRPr="00D61E41">
        <w:t xml:space="preserve">I&amp;E, OCA and OSBA an update to Columbia Exhibit No. 108, Schedule 1, which will include actual capital expenditures, plant additions, and retirements by month for the twelve months ending December 31, 2014.  On or before April 1, 2016, Columbia </w:t>
      </w:r>
      <w:r w:rsidR="00F96C07">
        <w:t>agrees to</w:t>
      </w:r>
      <w:r w:rsidRPr="00D61E41">
        <w:t xml:space="preserve"> update Exhibit No. 108, Schedule 1 filed in this proceeding for the twelve months ending December 31, 2015.  In Columbia’s next base rate proceeding, the Company will prepare a comparison of its actual expenses and rate base additions for the twelve months ended December 31, 2015 to its projections in this case.  However, it is recognized by the Joint Petitioners that this is a black box settlement that is a compromise of Joint Petitioners’ positions on various issues.</w:t>
      </w:r>
      <w:r w:rsidR="00F96C07">
        <w:t xml:space="preserve">  Joint Petition, pp. 7-8.</w:t>
      </w:r>
    </w:p>
    <w:p w:rsidR="00F96C07" w:rsidRDefault="00F96C07" w:rsidP="00F96C07">
      <w:pPr>
        <w:pStyle w:val="BodyText"/>
        <w:spacing w:after="0" w:line="360" w:lineRule="auto"/>
        <w:ind w:firstLine="1440"/>
      </w:pPr>
    </w:p>
    <w:p w:rsidR="00F77F1B" w:rsidRDefault="00F96C07" w:rsidP="00F77F1B">
      <w:pPr>
        <w:pStyle w:val="BodyText"/>
        <w:spacing w:after="0" w:line="360" w:lineRule="auto"/>
        <w:ind w:firstLine="1440"/>
      </w:pPr>
      <w:r>
        <w:t>F</w:t>
      </w:r>
      <w:r w:rsidR="00D61E41" w:rsidRPr="00D61E41">
        <w:t>or all future debt issuances during the twelve</w:t>
      </w:r>
      <w:r>
        <w:t>-</w:t>
      </w:r>
      <w:r w:rsidR="00D61E41" w:rsidRPr="00D61E41">
        <w:t>month periods ending December</w:t>
      </w:r>
      <w:r w:rsidR="00A1618D">
        <w:t> </w:t>
      </w:r>
      <w:r w:rsidR="00D61E41" w:rsidRPr="00D61E41">
        <w:t xml:space="preserve">31, 2014 and December 31, 2015, Columbia </w:t>
      </w:r>
      <w:r w:rsidR="00F77F1B">
        <w:t>agrees to</w:t>
      </w:r>
      <w:r w:rsidR="00D61E41" w:rsidRPr="00D61E41">
        <w:t xml:space="preserve"> provide to TUS, </w:t>
      </w:r>
      <w:r w:rsidR="00F77F1B">
        <w:t>B</w:t>
      </w:r>
      <w:r w:rsidR="00D61E41" w:rsidRPr="00D61E41">
        <w:t xml:space="preserve">I&amp;E, OCA and OSBA, within 60 days of issuance, all loan documentation filed with the Commission in compliance with orders in filings submitted by Columbia pursuant to Chapter 19 of the Pennsylvania Public Utility Code.  In addition, Columbia </w:t>
      </w:r>
      <w:r w:rsidR="00F77F1B">
        <w:t xml:space="preserve">agrees to </w:t>
      </w:r>
      <w:r w:rsidR="00D61E41" w:rsidRPr="00D61E41">
        <w:t xml:space="preserve">preserve and provide to </w:t>
      </w:r>
      <w:r w:rsidR="00F77F1B">
        <w:t>B</w:t>
      </w:r>
      <w:r w:rsidR="00D61E41" w:rsidRPr="00D61E41">
        <w:t>I&amp;E, OCA and OSBA as a part of its next base rate case the following:  (1) all documentation, including term sheets or estimates from financial institutions, if any,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w:t>
      </w:r>
      <w:r w:rsidR="00F77F1B">
        <w:t xml:space="preserve">  Joint Petition, p. 8.  </w:t>
      </w:r>
    </w:p>
    <w:p w:rsidR="00F77F1B" w:rsidRDefault="00F77F1B" w:rsidP="00F77F1B">
      <w:pPr>
        <w:pStyle w:val="BodyText"/>
        <w:spacing w:after="0" w:line="360" w:lineRule="auto"/>
        <w:ind w:firstLine="1440"/>
      </w:pPr>
    </w:p>
    <w:p w:rsidR="00D61E41" w:rsidRDefault="00F77F1B" w:rsidP="00F77F1B">
      <w:pPr>
        <w:pStyle w:val="BodyText"/>
        <w:spacing w:after="0" w:line="360" w:lineRule="auto"/>
        <w:ind w:firstLine="1440"/>
      </w:pPr>
      <w:r>
        <w:t>The Joint Petitioners agree that the t</w:t>
      </w:r>
      <w:r w:rsidR="00D61E41" w:rsidRPr="00D61E41">
        <w:t>ariff rates will go into effect on December 20, 2014.</w:t>
      </w:r>
      <w:r>
        <w:t xml:space="preserve">  Joint Petition, p. 8.</w:t>
      </w:r>
    </w:p>
    <w:p w:rsidR="00F77F1B" w:rsidRDefault="00F77F1B" w:rsidP="00F77F1B">
      <w:pPr>
        <w:pStyle w:val="BodyText"/>
        <w:spacing w:after="0" w:line="360" w:lineRule="auto"/>
      </w:pPr>
    </w:p>
    <w:p w:rsidR="00F77F1B" w:rsidRDefault="00F77F1B" w:rsidP="002509C3">
      <w:pPr>
        <w:pStyle w:val="BodyText"/>
        <w:numPr>
          <w:ilvl w:val="0"/>
          <w:numId w:val="21"/>
        </w:numPr>
        <w:spacing w:after="0" w:line="360" w:lineRule="auto"/>
        <w:ind w:hanging="720"/>
      </w:pPr>
      <w:r>
        <w:rPr>
          <w:u w:val="single"/>
        </w:rPr>
        <w:t>Revenue Allocation and Rate Design</w:t>
      </w:r>
    </w:p>
    <w:p w:rsidR="00F77F1B" w:rsidRDefault="00F77F1B" w:rsidP="00F77F1B">
      <w:pPr>
        <w:pStyle w:val="BodyText"/>
        <w:spacing w:after="0" w:line="360" w:lineRule="auto"/>
      </w:pPr>
    </w:p>
    <w:p w:rsidR="00F77F1B" w:rsidRDefault="00F77F1B" w:rsidP="00F77F1B">
      <w:pPr>
        <w:pStyle w:val="ListNumber"/>
        <w:numPr>
          <w:ilvl w:val="0"/>
          <w:numId w:val="0"/>
        </w:numPr>
        <w:spacing w:line="360" w:lineRule="auto"/>
        <w:ind w:firstLine="1440"/>
      </w:pPr>
      <w:r>
        <w:t>The Joint Petitioners agree that t</w:t>
      </w:r>
      <w:r w:rsidRPr="00F77F1B">
        <w:t>he residential customer charge will remain at the current rate of $16.75/month.</w:t>
      </w:r>
      <w:r>
        <w:t xml:space="preserve">  </w:t>
      </w:r>
      <w:r w:rsidRPr="00F77F1B">
        <w:t xml:space="preserve">The customer charges for Rate Schedules SGSS/SCD/SGDS shall be $21.25 per month for customers from 0-6,400 </w:t>
      </w:r>
      <w:proofErr w:type="spellStart"/>
      <w:r w:rsidRPr="00F77F1B">
        <w:t>therms</w:t>
      </w:r>
      <w:proofErr w:type="spellEnd"/>
      <w:r w:rsidRPr="00F77F1B">
        <w:t xml:space="preserve"> and $48 per month for customers from 6,400-64,400 </w:t>
      </w:r>
      <w:proofErr w:type="spellStart"/>
      <w:r w:rsidRPr="00F77F1B">
        <w:t>therms</w:t>
      </w:r>
      <w:proofErr w:type="spellEnd"/>
      <w:r>
        <w:t xml:space="preserve">, according to the Settlement.  </w:t>
      </w:r>
      <w:r w:rsidRPr="00F77F1B">
        <w:t>The revenue allocation to the classes is set forth in Appendix “A</w:t>
      </w:r>
      <w:r>
        <w:t>,</w:t>
      </w:r>
      <w:r w:rsidRPr="00F77F1B">
        <w:t>”</w:t>
      </w:r>
      <w:r>
        <w:t xml:space="preserve"> attached to the Joint Petition.  The agreed to r</w:t>
      </w:r>
      <w:r w:rsidRPr="00F77F1B">
        <w:t xml:space="preserve">ate design for all classes </w:t>
      </w:r>
      <w:proofErr w:type="gramStart"/>
      <w:r>
        <w:t>is</w:t>
      </w:r>
      <w:r w:rsidRPr="00F77F1B">
        <w:t xml:space="preserve">  set</w:t>
      </w:r>
      <w:proofErr w:type="gramEnd"/>
      <w:r w:rsidRPr="00F77F1B">
        <w:t xml:space="preserve"> forth in Appendix “B”</w:t>
      </w:r>
      <w:r>
        <w:t xml:space="preserve"> of the Joint Petition.  According to the Joint Petitioners, r</w:t>
      </w:r>
      <w:r w:rsidRPr="00F77F1B">
        <w:t>evenue allocation and rate design reflect a compromise, and do not endorse any particular cost of service study result.</w:t>
      </w:r>
      <w:r>
        <w:t xml:space="preserve">  Joint Petition, pp. 8-9.  </w:t>
      </w:r>
    </w:p>
    <w:p w:rsidR="00F77F1B" w:rsidRDefault="00F77F1B" w:rsidP="00F77F1B">
      <w:pPr>
        <w:pStyle w:val="ListNumber"/>
        <w:numPr>
          <w:ilvl w:val="0"/>
          <w:numId w:val="0"/>
        </w:numPr>
        <w:spacing w:line="360" w:lineRule="auto"/>
        <w:ind w:firstLine="1440"/>
      </w:pPr>
    </w:p>
    <w:p w:rsidR="003063FE" w:rsidRDefault="00F77F1B" w:rsidP="003063FE">
      <w:pPr>
        <w:pStyle w:val="ListNumber"/>
        <w:numPr>
          <w:ilvl w:val="0"/>
          <w:numId w:val="0"/>
        </w:numPr>
        <w:spacing w:line="360" w:lineRule="auto"/>
        <w:ind w:firstLine="1440"/>
      </w:pPr>
      <w:r>
        <w:t>The Joint Petitioners did not adopt a</w:t>
      </w:r>
      <w:r w:rsidRPr="00F77F1B">
        <w:t xml:space="preserve"> Choice Administrative Charge (“CAC”) in this proceeding.</w:t>
      </w:r>
      <w:r>
        <w:t xml:space="preserve">  </w:t>
      </w:r>
      <w:r w:rsidRPr="00F77F1B">
        <w:t xml:space="preserve">A Merchant Function Charge (“MFC”) of 1.5% for residential customers and a MFC of 0.51% for non-residential customers </w:t>
      </w:r>
      <w:r w:rsidR="003063FE">
        <w:t>was</w:t>
      </w:r>
      <w:r w:rsidRPr="00F77F1B">
        <w:t xml:space="preserve"> adopted</w:t>
      </w:r>
      <w:r w:rsidR="003063FE">
        <w:t xml:space="preserve"> in the Joint Petition</w:t>
      </w:r>
      <w:r w:rsidRPr="00F77F1B">
        <w:t xml:space="preserve">. </w:t>
      </w:r>
      <w:r w:rsidR="00DC46E5">
        <w:t xml:space="preserve"> </w:t>
      </w:r>
      <w:r w:rsidRPr="00F77F1B">
        <w:t xml:space="preserve">These are the charges as filed by the Company.  </w:t>
      </w:r>
      <w:r w:rsidR="003063FE">
        <w:t>According to the Joint Petition, t</w:t>
      </w:r>
      <w:r w:rsidRPr="00F77F1B">
        <w:t>he revised MFC rates shall be reflected in the Purchase of Receivables (“POR”) discount rates.</w:t>
      </w:r>
      <w:r w:rsidR="003063FE">
        <w:t xml:space="preserve">  Joint Petition, p. 9. </w:t>
      </w:r>
    </w:p>
    <w:p w:rsidR="003063FE" w:rsidRDefault="003063FE" w:rsidP="003063FE">
      <w:pPr>
        <w:pStyle w:val="ListNumber"/>
        <w:numPr>
          <w:ilvl w:val="0"/>
          <w:numId w:val="0"/>
        </w:numPr>
        <w:spacing w:line="360" w:lineRule="auto"/>
        <w:ind w:firstLine="1440"/>
      </w:pPr>
    </w:p>
    <w:p w:rsidR="00F77F1B" w:rsidRDefault="00E94752" w:rsidP="00403B49">
      <w:pPr>
        <w:pStyle w:val="ListNumber"/>
        <w:numPr>
          <w:ilvl w:val="0"/>
          <w:numId w:val="0"/>
        </w:numPr>
        <w:spacing w:line="360" w:lineRule="auto"/>
        <w:ind w:firstLine="1440"/>
      </w:pPr>
      <w:r>
        <w:t>According to the Settlement, the Joint Petitioners agree that t</w:t>
      </w:r>
      <w:r w:rsidR="00F77F1B" w:rsidRPr="00F77F1B">
        <w:t xml:space="preserve">he Company’s Gas Procurement Charge (“GPC”) </w:t>
      </w:r>
      <w:r>
        <w:t xml:space="preserve">will </w:t>
      </w:r>
      <w:r w:rsidR="00F77F1B" w:rsidRPr="00F77F1B">
        <w:t>be set at $0.00695 per therm.  The increase in the GPC charge is included in the settlement increase in operating revenues and is accounted for in the design of base rates by removing such amount from the applicable classes on a throughput basis.</w:t>
      </w:r>
      <w:r w:rsidR="00403B49">
        <w:t xml:space="preserve">  The Settlement provides that C</w:t>
      </w:r>
      <w:r w:rsidR="00F77F1B" w:rsidRPr="00F77F1B">
        <w:t>olumbia’s penalty charges to Shippers for non-delivery shall remain unchanged.</w:t>
      </w:r>
      <w:r w:rsidR="00403B49">
        <w:t xml:space="preserve">  Joint Petition, p. 9.  </w:t>
      </w:r>
    </w:p>
    <w:p w:rsidR="00403B49" w:rsidRDefault="00403B49" w:rsidP="00403B49">
      <w:pPr>
        <w:pStyle w:val="ListNumber"/>
        <w:numPr>
          <w:ilvl w:val="0"/>
          <w:numId w:val="0"/>
        </w:numPr>
        <w:spacing w:line="360" w:lineRule="auto"/>
      </w:pPr>
    </w:p>
    <w:p w:rsidR="00403B49" w:rsidRDefault="00403B49" w:rsidP="00532AF4">
      <w:pPr>
        <w:pStyle w:val="ListNumber"/>
        <w:numPr>
          <w:ilvl w:val="0"/>
          <w:numId w:val="21"/>
        </w:numPr>
        <w:spacing w:line="360" w:lineRule="auto"/>
        <w:ind w:hanging="720"/>
      </w:pPr>
      <w:r>
        <w:rPr>
          <w:u w:val="single"/>
        </w:rPr>
        <w:t>Tariff Rule 8.2-Main Extension Model</w:t>
      </w:r>
    </w:p>
    <w:p w:rsidR="00403B49" w:rsidRDefault="00403B49" w:rsidP="00403B49">
      <w:pPr>
        <w:pStyle w:val="ListNumber"/>
        <w:numPr>
          <w:ilvl w:val="0"/>
          <w:numId w:val="0"/>
        </w:numPr>
        <w:spacing w:line="360" w:lineRule="auto"/>
      </w:pPr>
    </w:p>
    <w:p w:rsidR="00403B49" w:rsidRDefault="00403B49" w:rsidP="00403B49">
      <w:pPr>
        <w:pStyle w:val="ListNumber"/>
        <w:numPr>
          <w:ilvl w:val="0"/>
          <w:numId w:val="0"/>
        </w:numPr>
        <w:spacing w:line="360" w:lineRule="auto"/>
        <w:ind w:firstLine="1440"/>
      </w:pPr>
      <w:r>
        <w:t>The Joint Petitioners agree that t</w:t>
      </w:r>
      <w:r w:rsidRPr="00403B49">
        <w:t>he discounted cash flow (“DCF”) model used by Columbia for main extensions will continue to incorporate a tax deductible provision for interest expense with the determination of expected future discounted cash flows.</w:t>
      </w:r>
      <w:r>
        <w:t xml:space="preserve">  </w:t>
      </w:r>
      <w:r w:rsidRPr="00403B49">
        <w:t xml:space="preserve">The parties agree that the DCF model </w:t>
      </w:r>
      <w:proofErr w:type="gramStart"/>
      <w:r w:rsidRPr="00403B49">
        <w:t>that results</w:t>
      </w:r>
      <w:proofErr w:type="gramEnd"/>
      <w:r w:rsidRPr="00403B49">
        <w:t xml:space="preserve"> from the Rider NAS proceeding, at Docket No.</w:t>
      </w:r>
      <w:r w:rsidR="00B26BBE">
        <w:t xml:space="preserve"> </w:t>
      </w:r>
      <w:r w:rsidRPr="00403B49">
        <w:t>R-2014-</w:t>
      </w:r>
      <w:proofErr w:type="gramStart"/>
      <w:r w:rsidRPr="00403B49">
        <w:t>2407345,</w:t>
      </w:r>
      <w:proofErr w:type="gramEnd"/>
      <w:r w:rsidRPr="00403B49">
        <w:t xml:space="preserve"> will be used by Columbia for all residential main extensions until the next base rate proceeding.  In the next base rate proceeding, all parties reserve their right to propose changes to the DCF model.</w:t>
      </w:r>
      <w:r>
        <w:t xml:space="preserve">  Joint Petition, p. 9.  </w:t>
      </w:r>
    </w:p>
    <w:p w:rsidR="00403B49" w:rsidRDefault="00403B49" w:rsidP="00403B49">
      <w:pPr>
        <w:pStyle w:val="ListNumber"/>
        <w:numPr>
          <w:ilvl w:val="0"/>
          <w:numId w:val="0"/>
        </w:numPr>
        <w:spacing w:line="360" w:lineRule="auto"/>
      </w:pPr>
    </w:p>
    <w:p w:rsidR="00403B49" w:rsidRDefault="00403B49" w:rsidP="00CF3126">
      <w:pPr>
        <w:pStyle w:val="ListNumber"/>
        <w:numPr>
          <w:ilvl w:val="0"/>
          <w:numId w:val="21"/>
        </w:numPr>
        <w:spacing w:line="360" w:lineRule="auto"/>
        <w:ind w:hanging="720"/>
      </w:pPr>
      <w:r>
        <w:rPr>
          <w:u w:val="single"/>
        </w:rPr>
        <w:t>Other</w:t>
      </w:r>
    </w:p>
    <w:p w:rsidR="00403B49" w:rsidRDefault="00403B49" w:rsidP="00403B49">
      <w:pPr>
        <w:pStyle w:val="ListNumber"/>
        <w:numPr>
          <w:ilvl w:val="0"/>
          <w:numId w:val="0"/>
        </w:numPr>
        <w:spacing w:line="360" w:lineRule="auto"/>
      </w:pPr>
    </w:p>
    <w:p w:rsidR="00403B49" w:rsidRDefault="00403B49" w:rsidP="00403B49">
      <w:pPr>
        <w:pStyle w:val="ListNumber"/>
        <w:numPr>
          <w:ilvl w:val="0"/>
          <w:numId w:val="0"/>
        </w:numPr>
        <w:spacing w:line="360" w:lineRule="auto"/>
        <w:ind w:firstLine="1440"/>
      </w:pPr>
      <w:r>
        <w:t>The parties agree that i</w:t>
      </w:r>
      <w:r w:rsidRPr="00403B49">
        <w:t xml:space="preserve">n all future base rate cases, whether the Company uses a “build-up” or “budget-based” filing format, the schedules for O&amp;M as detailed on Columbia Exhibit No. 104 shall display differences between the pro forma Historic Test Year (“HTY”) and Future Test Year (“FTY”) amounts, as well as the differences between the FTY and FPFTY amounts.  The schedules should support the total FPFTY claim amounts, rather than supporting only differences between FTY budget and claim amounts and FPFTY budget and claim amounts.  </w:t>
      </w:r>
      <w:r w:rsidR="008F190D">
        <w:t xml:space="preserve">In the Settlement, </w:t>
      </w:r>
      <w:r w:rsidRPr="00403B49">
        <w:t xml:space="preserve">Columbia </w:t>
      </w:r>
      <w:r w:rsidR="008F190D">
        <w:t xml:space="preserve">agrees to </w:t>
      </w:r>
      <w:r w:rsidRPr="00403B49">
        <w:t>provide further details in future filings explaining increases in budget categories between test periods in whatever form the Company has available or can reasonably produce.</w:t>
      </w:r>
      <w:r w:rsidR="008F190D">
        <w:t xml:space="preserve">  Joint Petition, p. 10.</w:t>
      </w:r>
    </w:p>
    <w:p w:rsidR="00403B49" w:rsidRDefault="00403B49" w:rsidP="00403B49">
      <w:pPr>
        <w:pStyle w:val="ListNumber"/>
        <w:numPr>
          <w:ilvl w:val="0"/>
          <w:numId w:val="0"/>
        </w:numPr>
        <w:spacing w:line="360" w:lineRule="auto"/>
        <w:ind w:firstLine="1440"/>
      </w:pPr>
    </w:p>
    <w:p w:rsidR="006051A4" w:rsidRDefault="008F190D" w:rsidP="006051A4">
      <w:pPr>
        <w:pStyle w:val="ListNumber"/>
        <w:numPr>
          <w:ilvl w:val="0"/>
          <w:numId w:val="0"/>
        </w:numPr>
        <w:spacing w:line="360" w:lineRule="auto"/>
        <w:ind w:firstLine="1440"/>
      </w:pPr>
      <w:r>
        <w:t xml:space="preserve">The Settlement requires </w:t>
      </w:r>
      <w:r w:rsidR="00403B49" w:rsidRPr="00403B49">
        <w:t xml:space="preserve">Columbia </w:t>
      </w:r>
      <w:r>
        <w:t>to</w:t>
      </w:r>
      <w:r w:rsidR="00403B49" w:rsidRPr="00403B49">
        <w:t xml:space="preserve"> meet with the Commission’s Gas Safety Division and other parties to identify increasing state, county and municipal requirements that exceed the Pennsylvania Department of Transportation restoration standards and add to the cost of pipeline replacements in an effort to develop coordinated potential responses to such requirements.  In furtherance of such meetings, Columbia </w:t>
      </w:r>
      <w:r>
        <w:t xml:space="preserve">agrees to </w:t>
      </w:r>
      <w:r w:rsidR="00403B49" w:rsidRPr="00403B49">
        <w:t xml:space="preserve">undertake audits of the restoration costs for its 10 largest projects in the prior year, identifying costs incurred in excess of the Pennsylvania Department of Transportation restoration standards for paving, sidewalk repair and permitting fees. </w:t>
      </w:r>
      <w:r>
        <w:t xml:space="preserve"> </w:t>
      </w:r>
      <w:r w:rsidR="006051A4" w:rsidRPr="00403B49">
        <w:t xml:space="preserve">Columbia </w:t>
      </w:r>
      <w:r w:rsidR="006051A4">
        <w:t>agrees to</w:t>
      </w:r>
      <w:r w:rsidR="006051A4" w:rsidRPr="00403B49">
        <w:t xml:space="preserve"> continue its efforts to reduce restoration costs, through efforts including, but not limited to, coordinating pipe replacement projects with other street projects, and replacing pipe using trenchless construction techniques where technically and economically feasible.</w:t>
      </w:r>
      <w:r w:rsidR="006051A4">
        <w:t xml:space="preserve">  Joint Petition, p. 10.  </w:t>
      </w:r>
    </w:p>
    <w:p w:rsidR="006051A4" w:rsidRDefault="006051A4" w:rsidP="006051A4">
      <w:pPr>
        <w:pStyle w:val="ListNumber"/>
        <w:numPr>
          <w:ilvl w:val="0"/>
          <w:numId w:val="0"/>
        </w:numPr>
        <w:spacing w:line="360" w:lineRule="auto"/>
        <w:ind w:firstLine="1440"/>
      </w:pPr>
    </w:p>
    <w:p w:rsidR="0040535D" w:rsidRDefault="006051A4" w:rsidP="0040535D">
      <w:pPr>
        <w:pStyle w:val="ListNumber"/>
        <w:numPr>
          <w:ilvl w:val="0"/>
          <w:numId w:val="0"/>
        </w:numPr>
        <w:spacing w:line="360" w:lineRule="auto"/>
        <w:ind w:firstLine="1440"/>
      </w:pPr>
      <w:r>
        <w:t xml:space="preserve">The Settlement provides for an </w:t>
      </w:r>
      <w:r w:rsidR="00403B49" w:rsidRPr="00403B49">
        <w:t>increase in annual Warm Wise® LIURP</w:t>
      </w:r>
      <w:r>
        <w:t xml:space="preserve"> (“Low Income Usage Reduction Program”)</w:t>
      </w:r>
      <w:r w:rsidR="00403B49" w:rsidRPr="00403B49">
        <w:t xml:space="preserve"> funding from $4.5 million to $4.75 million, commencing with the effective date of rates in this proceeding.  This increase is incremental to the increase in operating revenues shown in Paragraph 18</w:t>
      </w:r>
      <w:r>
        <w:t xml:space="preserve"> of the Settlement.  Joint Petition, p. 5.  According to the Settlement, </w:t>
      </w:r>
      <w:r w:rsidR="00403B49" w:rsidRPr="00403B49">
        <w:t>Warm Wise® LIURP funding will continue to be recovered under Rider USP.  Any resulting unspent balance in the designated Warm Wise® LIURP funding account shall carry over and shall remain in that account.  The parties agree to not propose any further change to LIURP funding for a period of three years commencing with the effective date of the rates in this proceeding.</w:t>
      </w:r>
      <w:r w:rsidR="0040535D">
        <w:t xml:space="preserve">  Joint Petition, pp. 10-11.  </w:t>
      </w:r>
    </w:p>
    <w:p w:rsidR="0040535D" w:rsidRDefault="0040535D" w:rsidP="0040535D">
      <w:pPr>
        <w:pStyle w:val="ListNumber"/>
        <w:numPr>
          <w:ilvl w:val="0"/>
          <w:numId w:val="0"/>
        </w:numPr>
        <w:spacing w:line="360" w:lineRule="auto"/>
        <w:ind w:firstLine="1440"/>
      </w:pPr>
    </w:p>
    <w:p w:rsidR="0040535D" w:rsidRDefault="00403B49" w:rsidP="0040535D">
      <w:pPr>
        <w:pStyle w:val="ListNumber"/>
        <w:numPr>
          <w:ilvl w:val="0"/>
          <w:numId w:val="0"/>
        </w:numPr>
        <w:spacing w:line="360" w:lineRule="auto"/>
        <w:ind w:firstLine="1440"/>
      </w:pPr>
      <w:r w:rsidRPr="00403B49">
        <w:t xml:space="preserve">With regard to the Company’s Warm Wise® Audits and Rebate program, </w:t>
      </w:r>
      <w:r w:rsidR="0040535D">
        <w:t xml:space="preserve">the Settlement provides that </w:t>
      </w:r>
      <w:r w:rsidRPr="00403B49">
        <w:t xml:space="preserve">the income eligibility threshold floor of 151% of Federal Poverty Level will be eliminated.  Within six months of the effective date of the rates in this proceeding, the Company </w:t>
      </w:r>
      <w:r w:rsidR="0040535D">
        <w:t xml:space="preserve">is required to </w:t>
      </w:r>
      <w:r w:rsidRPr="00403B49">
        <w:t>convene a stakeholder meeting, inviting representatives from the electric distribution companies with overlapping service territories who have multi</w:t>
      </w:r>
      <w:r w:rsidR="00783061">
        <w:t>-</w:t>
      </w:r>
      <w:r w:rsidRPr="00403B49">
        <w:t>family programs as a part of their Act 129 portfolio, and interested parties to this proceeding, to examine how its Warm Wise® Audits and Rebates program can be utilized to serve multi</w:t>
      </w:r>
      <w:r w:rsidR="00783061">
        <w:t>-</w:t>
      </w:r>
      <w:r w:rsidRPr="00403B49">
        <w:t>family housing units.   For the purposes of this examination, any efficiency measures undertaken in multi</w:t>
      </w:r>
      <w:r w:rsidR="00783061">
        <w:t>-</w:t>
      </w:r>
      <w:r w:rsidRPr="00403B49">
        <w:t>family housing units as part of Columbia’s Warm Wise® Audits and Rebate program shall be exclusively in individually-metered units.</w:t>
      </w:r>
      <w:r w:rsidR="0040535D">
        <w:t xml:space="preserve">  Joint Petition, p. 11.  </w:t>
      </w:r>
    </w:p>
    <w:p w:rsidR="0040535D" w:rsidRDefault="0040535D" w:rsidP="0040535D">
      <w:pPr>
        <w:pStyle w:val="ListNumber"/>
        <w:numPr>
          <w:ilvl w:val="0"/>
          <w:numId w:val="0"/>
        </w:numPr>
        <w:spacing w:line="360" w:lineRule="auto"/>
        <w:ind w:firstLine="1440"/>
      </w:pPr>
    </w:p>
    <w:p w:rsidR="00200C7A" w:rsidRDefault="00200C7A" w:rsidP="00200C7A">
      <w:pPr>
        <w:pStyle w:val="ListNumber"/>
        <w:numPr>
          <w:ilvl w:val="0"/>
          <w:numId w:val="0"/>
        </w:numPr>
        <w:spacing w:line="360" w:lineRule="auto"/>
        <w:ind w:firstLine="1440"/>
      </w:pPr>
      <w:r>
        <w:t>The Settlement provides that t</w:t>
      </w:r>
      <w:r w:rsidR="00403B49" w:rsidRPr="00403B49">
        <w:t xml:space="preserve">he proposed changes to Columbia’s Rules Applicable to Distribution Service (“RADS”) 2.6.1 </w:t>
      </w:r>
      <w:r>
        <w:t>will</w:t>
      </w:r>
      <w:r w:rsidR="00403B49" w:rsidRPr="00403B49">
        <w:t xml:space="preserve"> be replaced by the changes set forth on Tariff Pages 30 and 189 as contained in Appendix “C”</w:t>
      </w:r>
      <w:r w:rsidR="004104D7">
        <w:t xml:space="preserve"> attached to the Settlement.  </w:t>
      </w:r>
      <w:r>
        <w:t>The Settlement provides further that i</w:t>
      </w:r>
      <w:r w:rsidR="00403B49" w:rsidRPr="00403B49">
        <w:t xml:space="preserve">n the event an Operational Flow Order (“OFO”) would apply to a </w:t>
      </w:r>
      <w:r w:rsidR="00CC32DD">
        <w:t>c</w:t>
      </w:r>
      <w:r w:rsidR="00403B49" w:rsidRPr="00403B49">
        <w:t xml:space="preserve">ustomer curtailed under the Gas Emergency Rule set forth on Tariff Pages 30 through 35, then the Company would correspondingly adjust the curtailed </w:t>
      </w:r>
      <w:r w:rsidR="00CC32DD">
        <w:t>c</w:t>
      </w:r>
      <w:r w:rsidR="00403B49" w:rsidRPr="00403B49">
        <w:t xml:space="preserve">ustomer’s OFO level.  In addition, in the event of a curtailment under the Gas Emergency Rules, Columbia </w:t>
      </w:r>
      <w:r>
        <w:t xml:space="preserve">is required by the Settlement to </w:t>
      </w:r>
      <w:r w:rsidR="00403B49" w:rsidRPr="00403B49">
        <w:t>notify affected Shippers as soon as possible of customers and quantities curtailed.</w:t>
      </w:r>
      <w:r>
        <w:t xml:space="preserve">  Joint Petition, p. 11.  </w:t>
      </w:r>
    </w:p>
    <w:p w:rsidR="00200C7A" w:rsidRDefault="00200C7A" w:rsidP="00200C7A">
      <w:pPr>
        <w:pStyle w:val="ListNumber"/>
        <w:numPr>
          <w:ilvl w:val="0"/>
          <w:numId w:val="0"/>
        </w:numPr>
        <w:spacing w:line="360" w:lineRule="auto"/>
        <w:ind w:firstLine="1440"/>
      </w:pPr>
    </w:p>
    <w:p w:rsidR="00403B49" w:rsidRPr="00403B49" w:rsidRDefault="00200C7A" w:rsidP="00B37A3F">
      <w:pPr>
        <w:pStyle w:val="ListNumber"/>
        <w:numPr>
          <w:ilvl w:val="0"/>
          <w:numId w:val="0"/>
        </w:numPr>
        <w:spacing w:line="360" w:lineRule="auto"/>
        <w:ind w:firstLine="1440"/>
      </w:pPr>
      <w:r>
        <w:t>According to the Settlement, a</w:t>
      </w:r>
      <w:r w:rsidR="00403B49" w:rsidRPr="00403B49">
        <w:t>ll other tariff modifications proposed by Columbia, not otherwise addressed by th</w:t>
      </w:r>
      <w:r>
        <w:t>e</w:t>
      </w:r>
      <w:r w:rsidR="00403B49" w:rsidRPr="00403B49">
        <w:t xml:space="preserve"> Settlement, are approved, and are reflected in the pro forma </w:t>
      </w:r>
      <w:r w:rsidR="00262108">
        <w:t>T</w:t>
      </w:r>
      <w:r w:rsidR="00403B49" w:rsidRPr="00403B49">
        <w:t>arif</w:t>
      </w:r>
      <w:r>
        <w:t xml:space="preserve">f </w:t>
      </w:r>
      <w:r w:rsidR="00262108">
        <w:t>P</w:t>
      </w:r>
      <w:r>
        <w:t>ages attached as Appendix “C” to the Settlement.  Joint Petition, p. 12.</w:t>
      </w:r>
    </w:p>
    <w:p w:rsidR="00A77698" w:rsidRDefault="00A77698" w:rsidP="00AE236B">
      <w:pPr>
        <w:pStyle w:val="ListNumber"/>
        <w:numPr>
          <w:ilvl w:val="0"/>
          <w:numId w:val="0"/>
        </w:numPr>
        <w:spacing w:line="360" w:lineRule="auto"/>
        <w:ind w:firstLine="1440"/>
      </w:pPr>
    </w:p>
    <w:p w:rsidR="00A77698" w:rsidRDefault="00A77698" w:rsidP="00A77698">
      <w:pPr>
        <w:spacing w:line="360" w:lineRule="auto"/>
        <w:jc w:val="center"/>
      </w:pPr>
      <w:r>
        <w:t>III.</w:t>
      </w:r>
      <w:r>
        <w:tab/>
      </w:r>
      <w:r>
        <w:rPr>
          <w:u w:val="single"/>
        </w:rPr>
        <w:t>DISCUSSION</w:t>
      </w:r>
    </w:p>
    <w:p w:rsidR="00A77698" w:rsidRDefault="00A77698" w:rsidP="00A77698">
      <w:pPr>
        <w:spacing w:line="360" w:lineRule="auto"/>
      </w:pPr>
    </w:p>
    <w:p w:rsidR="00A77698" w:rsidRDefault="00A77698" w:rsidP="00A77698">
      <w:pPr>
        <w:spacing w:line="360" w:lineRule="auto"/>
        <w:ind w:firstLine="1440"/>
      </w:pPr>
      <w:r>
        <w:t xml:space="preserve">The Commission encourages parties in contested on-the-record proceedings to settle cases.  </w:t>
      </w:r>
      <w:r>
        <w:rPr>
          <w:i/>
        </w:rPr>
        <w:t>See</w:t>
      </w:r>
      <w:r>
        <w:t>, 52 Pa.Code §</w:t>
      </w:r>
      <w:r w:rsidR="009D4E15">
        <w:t xml:space="preserve"> </w:t>
      </w:r>
      <w:r>
        <w:t>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77698" w:rsidRDefault="00A77698" w:rsidP="00A77698">
      <w:pPr>
        <w:spacing w:line="360" w:lineRule="auto"/>
      </w:pPr>
    </w:p>
    <w:p w:rsidR="00A77698" w:rsidRDefault="00A77698" w:rsidP="00B042A9">
      <w:pPr>
        <w:pStyle w:val="ListNumber"/>
        <w:numPr>
          <w:ilvl w:val="0"/>
          <w:numId w:val="0"/>
        </w:numPr>
        <w:spacing w:line="360" w:lineRule="auto"/>
        <w:ind w:firstLine="720"/>
      </w:pPr>
      <w:r>
        <w:tab/>
        <w:t xml:space="preserve">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  </w:t>
      </w:r>
      <w:r>
        <w:rPr>
          <w:i/>
        </w:rPr>
        <w:t>Pa. P</w:t>
      </w:r>
      <w:r w:rsidR="00947187">
        <w:rPr>
          <w:i/>
        </w:rPr>
        <w:t>ub. Util. Comm’n</w:t>
      </w:r>
      <w:r>
        <w:rPr>
          <w:i/>
        </w:rPr>
        <w:t xml:space="preserve">. </w:t>
      </w:r>
      <w:proofErr w:type="gramStart"/>
      <w:r>
        <w:rPr>
          <w:i/>
        </w:rPr>
        <w:t>v</w:t>
      </w:r>
      <w:proofErr w:type="gramEnd"/>
      <w:r>
        <w:rPr>
          <w:i/>
        </w:rPr>
        <w:t>. CS Water and Sewer Associates</w:t>
      </w:r>
      <w:r>
        <w:t xml:space="preserve">, 74 Pa. PUC 767, 771 (1991).  In their supporting statements, </w:t>
      </w:r>
      <w:r w:rsidR="00B042A9">
        <w:t xml:space="preserve">Columbia, </w:t>
      </w:r>
      <w:r w:rsidR="00B37A3F">
        <w:t>B</w:t>
      </w:r>
      <w:r w:rsidR="00B042A9">
        <w:t xml:space="preserve">I&amp;E, </w:t>
      </w:r>
      <w:r>
        <w:t xml:space="preserve">OCA, OSBA, </w:t>
      </w:r>
      <w:r w:rsidR="00B042A9">
        <w:t>C</w:t>
      </w:r>
      <w:r>
        <w:t>II</w:t>
      </w:r>
      <w:r w:rsidR="00B37A3F">
        <w:t xml:space="preserve">, </w:t>
      </w:r>
      <w:r w:rsidR="00B042A9">
        <w:t>CAUSE-PA, NGS</w:t>
      </w:r>
      <w:r w:rsidR="00B37A3F">
        <w:t xml:space="preserve"> Parties </w:t>
      </w:r>
      <w:r w:rsidR="00B042A9">
        <w:t>and PSU</w:t>
      </w:r>
      <w:r>
        <w:t xml:space="preserve"> conclude, after extensive discovery, the filing of testimony, and discussion, that this Settlement resolves all contested issues in this case</w:t>
      </w:r>
      <w:r w:rsidR="00B042A9">
        <w:t xml:space="preserve"> and unanimously agree that the </w:t>
      </w:r>
      <w:r w:rsidR="00F64092">
        <w:t>S</w:t>
      </w:r>
      <w:r w:rsidR="00B042A9">
        <w:t>ettlement is in the public interest.  The Joint Petitioner</w:t>
      </w:r>
      <w:r w:rsidR="007F3DB6">
        <w:t>s claim that acceptance of the S</w:t>
      </w:r>
      <w:r w:rsidR="00B042A9">
        <w:t>ettlement will avoid the necessity of further administrative and possibly appellate proceedings regarding the settled issues at what would have been a substantial cost to the Joint Petitioners and Columbia’s customers.  Joint Petition, p. 1</w:t>
      </w:r>
      <w:r w:rsidR="007F3DB6">
        <w:t>2.</w:t>
      </w:r>
      <w:r>
        <w:t xml:space="preserve"> </w:t>
      </w:r>
    </w:p>
    <w:p w:rsidR="00A77698" w:rsidRDefault="00A77698" w:rsidP="00A77698">
      <w:pPr>
        <w:pStyle w:val="ListNumber"/>
        <w:numPr>
          <w:ilvl w:val="0"/>
          <w:numId w:val="0"/>
        </w:numPr>
        <w:spacing w:line="360" w:lineRule="auto"/>
      </w:pPr>
    </w:p>
    <w:p w:rsidR="00A77698" w:rsidRDefault="00B042A9" w:rsidP="00B042A9">
      <w:pPr>
        <w:pStyle w:val="BodyText2"/>
        <w:spacing w:line="360" w:lineRule="auto"/>
        <w:ind w:firstLine="0"/>
        <w:jc w:val="left"/>
      </w:pPr>
      <w:r>
        <w:t>A.</w:t>
      </w:r>
      <w:r>
        <w:tab/>
      </w:r>
      <w:r w:rsidR="00A77698" w:rsidRPr="008E4EB5">
        <w:rPr>
          <w:u w:val="single"/>
        </w:rPr>
        <w:t>Columbia’s Position</w:t>
      </w:r>
    </w:p>
    <w:p w:rsidR="00B042A9" w:rsidRDefault="00B042A9" w:rsidP="00B042A9">
      <w:pPr>
        <w:pStyle w:val="BodyText2"/>
        <w:spacing w:line="360" w:lineRule="auto"/>
        <w:ind w:firstLine="0"/>
        <w:jc w:val="left"/>
      </w:pPr>
    </w:p>
    <w:p w:rsidR="00A77698" w:rsidRDefault="00A77698" w:rsidP="00B042A9">
      <w:pPr>
        <w:pStyle w:val="BodyText2"/>
        <w:spacing w:line="360" w:lineRule="auto"/>
        <w:ind w:firstLine="1440"/>
        <w:jc w:val="left"/>
      </w:pPr>
      <w:r>
        <w:t xml:space="preserve">Columbia believes the Settlement achieved in this proceeding is in the best interests of the Company, its customers and the parties.  Initially, Columbia asserts that the complete Settlement among all active parties </w:t>
      </w:r>
      <w:r w:rsidR="007F3DB6">
        <w:t>w</w:t>
      </w:r>
      <w:r>
        <w:t>ill resolve all issues raised by the Joint Petitioners</w:t>
      </w:r>
      <w:r w:rsidR="00B042A9">
        <w:t>.</w:t>
      </w:r>
      <w:r>
        <w:t xml:space="preserve">  According to Columbia, the settled issues include revenue requirement, revenue allocation, rate design, </w:t>
      </w:r>
      <w:r w:rsidR="007F3DB6">
        <w:t xml:space="preserve">the </w:t>
      </w:r>
      <w:r>
        <w:t xml:space="preserve">universal service program and </w:t>
      </w:r>
      <w:r w:rsidR="007F3DB6">
        <w:t xml:space="preserve">natural gas supplier issues.  </w:t>
      </w:r>
      <w:r>
        <w:t xml:space="preserve">Columbia St. in Support, p. 2. </w:t>
      </w:r>
    </w:p>
    <w:p w:rsidR="001B5278" w:rsidRDefault="001B5278" w:rsidP="00B042A9">
      <w:pPr>
        <w:pStyle w:val="BodyText2"/>
        <w:spacing w:line="360" w:lineRule="auto"/>
        <w:ind w:firstLine="1440"/>
        <w:jc w:val="left"/>
      </w:pPr>
    </w:p>
    <w:p w:rsidR="00A77698" w:rsidRDefault="001B5278" w:rsidP="001B5278">
      <w:pPr>
        <w:pStyle w:val="BodyText2"/>
        <w:spacing w:line="360" w:lineRule="auto"/>
        <w:ind w:firstLine="1440"/>
        <w:jc w:val="left"/>
      </w:pPr>
      <w:r>
        <w:t>A</w:t>
      </w:r>
      <w:r w:rsidR="00A77698">
        <w:t xml:space="preserve">ccording to Columbia, the Settlement was achieved only after a comprehensive investigation of Columbia’s claims and operations.  In addition to informal discovery, Columbia claims it responded to over </w:t>
      </w:r>
      <w:r w:rsidR="007F3DB6">
        <w:t>430</w:t>
      </w:r>
      <w:r w:rsidR="00A77698">
        <w:t xml:space="preserve"> formal discovery requests (many of which had multiple subparts).  Columbia asserts the active parties filed multiple rounds of testimony and accompanying exhibits, including Columbia’s direct, rebuttal and surrebuttal testimony, and other parties’ direct, rebuttal and surrebuttal testimony.  Moreover, Columbia asserts the active parties participated in numerous settlement discussions and formal negotiations, which ultimately led to the Settlement.  Columbia St. in Support, p</w:t>
      </w:r>
      <w:r w:rsidR="007F3DB6">
        <w:t>. 2</w:t>
      </w:r>
      <w:r w:rsidR="00A77698">
        <w:t>.</w:t>
      </w:r>
    </w:p>
    <w:p w:rsidR="001B5278" w:rsidRDefault="001B5278" w:rsidP="001B5278">
      <w:pPr>
        <w:pStyle w:val="BodyText2"/>
        <w:spacing w:line="360" w:lineRule="auto"/>
        <w:ind w:firstLine="1440"/>
        <w:jc w:val="left"/>
      </w:pPr>
    </w:p>
    <w:p w:rsidR="00A77698" w:rsidRDefault="00A77698" w:rsidP="001B5278">
      <w:pPr>
        <w:pStyle w:val="BodyText2"/>
        <w:spacing w:line="360" w:lineRule="auto"/>
        <w:ind w:firstLine="1440"/>
        <w:jc w:val="left"/>
      </w:pPr>
      <w:r>
        <w:t>Columbia claims the active parties in this proceeding, and their counsel and experts, have considerable experience in rate proceedings.  According to Columbia, their knowledge, experience, and ability to evaluate the strengths and weaknesses of their litigation positions provided a strong foundation upon which to build a consensus on the settled issues.</w:t>
      </w:r>
      <w:r w:rsidR="007F3DB6">
        <w:t xml:space="preserve">  All of the active parties to this proceeding were active parties in Columbia’s last base rate proceeding, and were therefore familiar with many of the issues that are addressed in this case.  </w:t>
      </w:r>
      <w:r>
        <w:t>Columbia St. in Support, p.</w:t>
      </w:r>
      <w:r w:rsidR="001F6D5C">
        <w:t xml:space="preserve"> </w:t>
      </w:r>
      <w:r w:rsidR="007F3DB6">
        <w:t>2</w:t>
      </w:r>
      <w:r>
        <w:t>.</w:t>
      </w:r>
    </w:p>
    <w:p w:rsidR="00A34CA4" w:rsidRDefault="00A34CA4" w:rsidP="001B5278">
      <w:pPr>
        <w:pStyle w:val="BodyText2"/>
        <w:spacing w:line="360" w:lineRule="auto"/>
        <w:ind w:firstLine="1440"/>
        <w:jc w:val="left"/>
      </w:pPr>
    </w:p>
    <w:p w:rsidR="00A77698" w:rsidRDefault="00A77698" w:rsidP="00A34CA4">
      <w:pPr>
        <w:pStyle w:val="Heading3"/>
        <w:numPr>
          <w:ilvl w:val="0"/>
          <w:numId w:val="7"/>
        </w:numPr>
        <w:spacing w:line="360" w:lineRule="auto"/>
        <w:ind w:left="1350" w:hanging="630"/>
        <w:jc w:val="left"/>
        <w:rPr>
          <w:b w:val="0"/>
          <w:u w:val="single"/>
        </w:rPr>
      </w:pPr>
      <w:r w:rsidRPr="00F44D59">
        <w:rPr>
          <w:b w:val="0"/>
          <w:u w:val="single"/>
        </w:rPr>
        <w:t>Revenue Requirement</w:t>
      </w:r>
    </w:p>
    <w:p w:rsidR="00242787" w:rsidRDefault="00242787" w:rsidP="00242787">
      <w:pPr>
        <w:pStyle w:val="BodyText2"/>
        <w:spacing w:line="360" w:lineRule="auto"/>
        <w:ind w:firstLine="1440"/>
        <w:jc w:val="left"/>
      </w:pPr>
      <w:r w:rsidRPr="00242787">
        <w:t xml:space="preserve">The Settlement provides for rates to be designed to produce an increase in operating revenues of $32.5 million, exclusive of an additional amount of $250,000 to be recovered under Columbia’s Rider Universal Service Plan (“Rider USP”), based upon a pro forma throughput level of 80,000,000 </w:t>
      </w:r>
      <w:proofErr w:type="spellStart"/>
      <w:r w:rsidRPr="00242787">
        <w:t>Dth</w:t>
      </w:r>
      <w:proofErr w:type="spellEnd"/>
      <w:r w:rsidRPr="00242787">
        <w:t xml:space="preserve"> for the twelve months ended December 31, 2015.  </w:t>
      </w:r>
      <w:proofErr w:type="gramStart"/>
      <w:r w:rsidRPr="00242787">
        <w:t>(Settlement ¶ 18.)</w:t>
      </w:r>
      <w:proofErr w:type="gramEnd"/>
      <w:r w:rsidRPr="00242787">
        <w:t xml:space="preserve">  The $32.5 million increase in tariff rates will go into effect on December 20, 2014, which is the effective date of rates under the Commission’s April 23, 2014 suspension order.  </w:t>
      </w:r>
      <w:proofErr w:type="gramStart"/>
      <w:r w:rsidRPr="00242787">
        <w:t>(Settlement ¶ 27.)</w:t>
      </w:r>
      <w:proofErr w:type="gramEnd"/>
      <w:r w:rsidRPr="00242787">
        <w:t xml:space="preserve">  The Settlement increase is approximately 60% of Columbia’s original request of $54.1 million.  </w:t>
      </w:r>
      <w:proofErr w:type="gramStart"/>
      <w:r w:rsidRPr="00242787">
        <w:t>(Columbia Exhibit 102, Sch. 3, p. 5.)</w:t>
      </w:r>
      <w:proofErr w:type="gramEnd"/>
      <w:r w:rsidRPr="00242787">
        <w:t xml:space="preserve">  </w:t>
      </w:r>
      <w:r>
        <w:t>According to Columbia, t</w:t>
      </w:r>
      <w:r w:rsidRPr="00242787">
        <w:t xml:space="preserve">he $32.5 million increase, although less than that requested by the </w:t>
      </w:r>
      <w:proofErr w:type="gramStart"/>
      <w:r w:rsidRPr="00242787">
        <w:t>Company,</w:t>
      </w:r>
      <w:proofErr w:type="gramEnd"/>
      <w:r w:rsidRPr="00242787">
        <w:t xml:space="preserve"> will enable the Company to continue to provide safe and reliable service to its customers.</w:t>
      </w:r>
      <w:r>
        <w:t xml:space="preserve">  Columbia St. in Support, p. 3.  </w:t>
      </w:r>
    </w:p>
    <w:p w:rsidR="00242787" w:rsidRDefault="00242787" w:rsidP="00242787">
      <w:pPr>
        <w:pStyle w:val="BodyText2"/>
        <w:spacing w:line="360" w:lineRule="auto"/>
        <w:ind w:firstLine="1440"/>
        <w:jc w:val="left"/>
      </w:pPr>
    </w:p>
    <w:p w:rsidR="00691F89" w:rsidRDefault="00242787" w:rsidP="00691F89">
      <w:pPr>
        <w:pStyle w:val="BodyText2"/>
        <w:spacing w:line="360" w:lineRule="auto"/>
        <w:ind w:firstLine="1440"/>
        <w:jc w:val="left"/>
      </w:pPr>
      <w:r>
        <w:t xml:space="preserve">According to </w:t>
      </w:r>
      <w:r w:rsidRPr="00242787">
        <w:t xml:space="preserve">Mark R. </w:t>
      </w:r>
      <w:proofErr w:type="spellStart"/>
      <w:r w:rsidRPr="00242787">
        <w:t>Kempic</w:t>
      </w:r>
      <w:proofErr w:type="spellEnd"/>
      <w:r w:rsidRPr="00242787">
        <w:t>, President of Columbia, one primary reason in support of the revenue increase is to provide the Company with an opportunity to earn a return on the significant capital investments made to its distribution system.</w:t>
      </w:r>
      <w:r w:rsidR="00E13119">
        <w:t xml:space="preserve"> </w:t>
      </w:r>
      <w:r w:rsidRPr="00242787">
        <w:t xml:space="preserve"> </w:t>
      </w:r>
      <w:proofErr w:type="gramStart"/>
      <w:r w:rsidRPr="00242787">
        <w:t>(Columbia Statement No.</w:t>
      </w:r>
      <w:r w:rsidR="00882478">
        <w:t> </w:t>
      </w:r>
      <w:r w:rsidRPr="00242787">
        <w:t>1, pp. 5-7.)</w:t>
      </w:r>
      <w:proofErr w:type="gramEnd"/>
      <w:r w:rsidRPr="00242787">
        <w:t xml:space="preserve">  </w:t>
      </w:r>
      <w:r w:rsidR="00691F89">
        <w:t xml:space="preserve">According to Mr. </w:t>
      </w:r>
      <w:proofErr w:type="spellStart"/>
      <w:r w:rsidR="00691F89">
        <w:t>Kempic</w:t>
      </w:r>
      <w:proofErr w:type="spellEnd"/>
      <w:r w:rsidR="00691F89">
        <w:t xml:space="preserve">, </w:t>
      </w:r>
      <w:r w:rsidRPr="00242787">
        <w:t xml:space="preserve">Columbia has made, and continues to make, unprecedented and substantial capital investments in its system.  </w:t>
      </w:r>
      <w:proofErr w:type="gramStart"/>
      <w:r w:rsidRPr="00242787">
        <w:t>(Columbia Statement No. 1, pp.</w:t>
      </w:r>
      <w:r w:rsidR="008F257B">
        <w:t> </w:t>
      </w:r>
      <w:r w:rsidRPr="00242787">
        <w:t>6-9.)</w:t>
      </w:r>
      <w:proofErr w:type="gramEnd"/>
      <w:r w:rsidRPr="00242787">
        <w:t xml:space="preserve">  </w:t>
      </w:r>
      <w:r w:rsidR="00691F89">
        <w:t>S</w:t>
      </w:r>
      <w:r w:rsidRPr="00242787">
        <w:t xml:space="preserve">ince Columbia started its accelerated pipeline replacement program in 2007, Columbia has replaced nearly 570 miles of cast iron and bare steel (“CIBS”) pipe.  </w:t>
      </w:r>
      <w:proofErr w:type="gramStart"/>
      <w:r w:rsidRPr="00242787">
        <w:t>(Columbia Statement No. 1, pp. 6-9.)</w:t>
      </w:r>
      <w:proofErr w:type="gramEnd"/>
      <w:r w:rsidRPr="00242787">
        <w:t xml:space="preserve">  As detailed in the direct testimony of Columbia witness Danny G. Cote, Columbia’s capital budgets for age and condition replacement of CIBS are $141 million in 2013, $145 million in 2014, and $104 million in 2015, plus an additional $45.5 million in capital spending in 2015 targeting the replacement of pre-1971 transmission facilities.  </w:t>
      </w:r>
      <w:proofErr w:type="gramStart"/>
      <w:r w:rsidRPr="00242787">
        <w:t>(Columbia Statement No. 7, pp. 19-20.)</w:t>
      </w:r>
      <w:proofErr w:type="gramEnd"/>
      <w:r w:rsidRPr="00242787">
        <w:t xml:space="preserve">  Based on these expenditures, Columbia expects to eliminate approximately 464,000 feet of CIBS pipe in 2014, and approximately 485,000 feet in 2015.  </w:t>
      </w:r>
      <w:proofErr w:type="gramStart"/>
      <w:r w:rsidRPr="00242787">
        <w:t>(Columbia Statement No. 7, p. 14.)</w:t>
      </w:r>
      <w:proofErr w:type="gramEnd"/>
      <w:r w:rsidRPr="00242787">
        <w:t xml:space="preserve">  </w:t>
      </w:r>
      <w:r w:rsidR="00691F89">
        <w:t>Columbia asserts that t</w:t>
      </w:r>
      <w:r w:rsidRPr="00242787">
        <w:t>hese amounts reflect a substantial increase to actual investments in cast iron and bare steel replacement over Columbia’s historic experience between 2002 and 2005.  (Columbia Statement No. 7, p. 14.)</w:t>
      </w:r>
      <w:r w:rsidR="00691F89">
        <w:t xml:space="preserve">; Columbia St. in Support, pp. 3-4.  </w:t>
      </w:r>
    </w:p>
    <w:p w:rsidR="00691F89" w:rsidRDefault="00691F89" w:rsidP="00691F89">
      <w:pPr>
        <w:pStyle w:val="BodyText2"/>
        <w:spacing w:line="360" w:lineRule="auto"/>
        <w:ind w:firstLine="1440"/>
        <w:jc w:val="left"/>
      </w:pPr>
    </w:p>
    <w:p w:rsidR="00691F89" w:rsidRDefault="00691F89" w:rsidP="00691F89">
      <w:pPr>
        <w:pStyle w:val="BodyText2"/>
        <w:spacing w:line="360" w:lineRule="auto"/>
        <w:ind w:firstLine="1440"/>
        <w:jc w:val="left"/>
      </w:pPr>
      <w:r>
        <w:t>Columbia claims that, i</w:t>
      </w:r>
      <w:r w:rsidR="00242787" w:rsidRPr="00242787">
        <w:t xml:space="preserve">n addition to capital costs associated with Columbia’s accelerated pipeline replacement effort, the Company is incurring operating and maintenance costs associated with enhancing pipeline safety on its system.  </w:t>
      </w:r>
      <w:r>
        <w:t>According to Columbia, t</w:t>
      </w:r>
      <w:r w:rsidR="00242787" w:rsidRPr="00242787">
        <w:t xml:space="preserve">hese costs further contribute to the level of the revenue increase in this case.  </w:t>
      </w:r>
      <w:proofErr w:type="gramStart"/>
      <w:r w:rsidR="00242787" w:rsidRPr="00242787">
        <w:t>(Columbia Statement No. 7, pp. 32-39.)</w:t>
      </w:r>
      <w:proofErr w:type="gramEnd"/>
      <w:r w:rsidR="00242787" w:rsidRPr="00242787">
        <w:t xml:space="preserve">  These programs include:</w:t>
      </w:r>
      <w:r w:rsidR="00D16631">
        <w:t xml:space="preserve"> </w:t>
      </w:r>
      <w:r w:rsidR="00242787" w:rsidRPr="00242787">
        <w:t xml:space="preserve"> the continued acceleration for the repair rate of open Type-2 leaks; increasing damage prevention measures; increasing the use of camera-based technology to identify any cross-bore conflicts; deploying GPS technology to identify the location of all facilities on Columbia’s system, as well as developing bar-code scanning technology to identify facilities; and developing a formal and robust employee training and qualification program to address distribution integrity management plan (“DIMP”) and system risks, which will include more classroom time and, where appropriate, require hands on demonstrations of necessary skills to ensure employee and contractor competency.  (Columbia Statement No. 7, pp. 33-35.)</w:t>
      </w:r>
      <w:r>
        <w:t xml:space="preserve">; Columbia St. in Support, p. 4.  </w:t>
      </w:r>
    </w:p>
    <w:p w:rsidR="00691F89" w:rsidRDefault="00691F89" w:rsidP="00691F89">
      <w:pPr>
        <w:pStyle w:val="BodyText2"/>
        <w:spacing w:line="360" w:lineRule="auto"/>
        <w:ind w:firstLine="1440"/>
        <w:jc w:val="left"/>
      </w:pPr>
    </w:p>
    <w:p w:rsidR="00691F89" w:rsidRDefault="00242787" w:rsidP="00691F89">
      <w:pPr>
        <w:pStyle w:val="BodyText2"/>
        <w:spacing w:line="360" w:lineRule="auto"/>
        <w:ind w:firstLine="1440"/>
        <w:jc w:val="left"/>
      </w:pPr>
      <w:r w:rsidRPr="00242787">
        <w:t xml:space="preserve">In addition, in order to provide ongoing information concerning Columbia’s capital investments, Columbia has agreed that it will provide the Commission’s Bureau of Technical Utility Services (“TUS”), </w:t>
      </w:r>
      <w:r w:rsidR="00691F89">
        <w:t>B</w:t>
      </w:r>
      <w:r w:rsidRPr="00242787">
        <w:t xml:space="preserve">I&amp;E, OCA and OSBA with an update to Columbia Exhibit No. 108, Schedule 1, which will include actual capital expenditures, plant additions, and retirements by month for the twelve months ending December 31, 2014.  </w:t>
      </w:r>
      <w:proofErr w:type="gramStart"/>
      <w:r w:rsidRPr="00242787">
        <w:t>(Settlement ¶ 25.)</w:t>
      </w:r>
      <w:proofErr w:type="gramEnd"/>
      <w:r w:rsidRPr="00242787">
        <w:t xml:space="preserve">  On or before April 1, 2016, Columbia will update Exhibit No. 108, Schedule 1 for the twelve months ending December 31, 2015.  </w:t>
      </w:r>
      <w:proofErr w:type="gramStart"/>
      <w:r w:rsidRPr="00242787">
        <w:t>(Settlement ¶ 25.)</w:t>
      </w:r>
      <w:proofErr w:type="gramEnd"/>
      <w:r w:rsidRPr="00242787">
        <w:t xml:space="preserve">  Also, as part of the Company’s next base rate proceeding, the Company will prepare a comparison of its actual expenses and rate base additions for the twelve months ended December 31, 2015 to its projections in this case.  However,</w:t>
      </w:r>
      <w:r w:rsidR="00691F89">
        <w:t xml:space="preserve"> </w:t>
      </w:r>
      <w:r w:rsidRPr="00242787">
        <w:t>it is recognized by the Joint Petitioners that this is a black box settlement that is a compromise of Joint Petitioners’ positions on various issues.</w:t>
      </w:r>
      <w:r w:rsidR="00691F89">
        <w:t xml:space="preserve">  Columbia St. in Support, pp. 4-5.  </w:t>
      </w:r>
    </w:p>
    <w:p w:rsidR="00691F89" w:rsidRDefault="00691F89" w:rsidP="00691F89">
      <w:pPr>
        <w:pStyle w:val="BodyText2"/>
        <w:spacing w:line="360" w:lineRule="auto"/>
        <w:ind w:firstLine="1440"/>
        <w:jc w:val="left"/>
      </w:pPr>
    </w:p>
    <w:p w:rsidR="0040046D" w:rsidRDefault="0040046D" w:rsidP="0040046D">
      <w:pPr>
        <w:pStyle w:val="BodyText2"/>
        <w:spacing w:line="360" w:lineRule="auto"/>
        <w:ind w:firstLine="1440"/>
        <w:jc w:val="left"/>
      </w:pPr>
      <w:r>
        <w:t>Columbia points out that, i</w:t>
      </w:r>
      <w:r w:rsidR="00242787" w:rsidRPr="00242787">
        <w:t xml:space="preserve">n this proceeding, </w:t>
      </w:r>
      <w:r>
        <w:t xml:space="preserve">the Company, </w:t>
      </w:r>
      <w:r w:rsidR="00691F89">
        <w:t>B</w:t>
      </w:r>
      <w:r w:rsidR="00242787" w:rsidRPr="00242787">
        <w:t>I&amp;E and OCA presented testimony on Columbia’s overall revenue requirement and related issues.  The Settlement revenue increase of $32.5 million reflects a reasonable compromise of Joint Petitioners’ positions in this proceeding.  The amount of the increase falls within the range of outcomes bounded by Columbia’s proposed increase and the revenue requirements contained in the direct testimonies of</w:t>
      </w:r>
      <w:r w:rsidR="009E232E">
        <w:t xml:space="preserve"> B</w:t>
      </w:r>
      <w:r w:rsidR="00242787" w:rsidRPr="00242787">
        <w:t xml:space="preserve">I&amp;E and OCA.  Columbia notes that in its rebuttal testimony, it took issue with virtually all of the proposed adjustments advanced by </w:t>
      </w:r>
      <w:r>
        <w:t>B</w:t>
      </w:r>
      <w:r w:rsidR="00242787" w:rsidRPr="00242787">
        <w:t>I&amp;E and OCA.  The Joint Petitioners, while supporting their revenue requirement positions for litigation purposes, recognized that the Commission likely would have accepted certain adjustments proposed by Joint Petitioners, but would not have accepted all of the adjustments.</w:t>
      </w:r>
      <w:r>
        <w:t xml:space="preserve">  Columbia St. in Support, p.</w:t>
      </w:r>
      <w:r w:rsidR="00694954">
        <w:t> </w:t>
      </w:r>
      <w:r>
        <w:t xml:space="preserve">5.  </w:t>
      </w:r>
    </w:p>
    <w:p w:rsidR="0040046D" w:rsidRDefault="0040046D" w:rsidP="0040046D">
      <w:pPr>
        <w:pStyle w:val="BodyText2"/>
        <w:spacing w:line="360" w:lineRule="auto"/>
        <w:ind w:firstLine="1440"/>
        <w:jc w:val="left"/>
      </w:pPr>
    </w:p>
    <w:p w:rsidR="003B7FB4" w:rsidRDefault="003B7FB4" w:rsidP="003B7FB4">
      <w:pPr>
        <w:pStyle w:val="BodyText2"/>
        <w:spacing w:line="360" w:lineRule="auto"/>
        <w:ind w:firstLine="1440"/>
        <w:jc w:val="left"/>
      </w:pPr>
      <w:r>
        <w:t>W</w:t>
      </w:r>
      <w:r w:rsidR="00242787" w:rsidRPr="00242787">
        <w:t>ith only a few select exceptions</w:t>
      </w:r>
      <w:r>
        <w:t>, the S</w:t>
      </w:r>
      <w:r w:rsidR="00242787" w:rsidRPr="00242787">
        <w:t>ettlement revenue requirement is a “black box” amount.  Under a “black box” settlement, parties do not specifically identify revenues and expenses that are allowed or disallowed.  Columbia believes that “black box” settlements facilitate agreements, as parties are not required to identify a specific return on equity or identify specific revenues and/or expenses that are allowed or disallowed.</w:t>
      </w:r>
      <w:r>
        <w:t xml:space="preserve">  Columbia St. in Support, pp.</w:t>
      </w:r>
      <w:r w:rsidR="00C6750A">
        <w:t> </w:t>
      </w:r>
      <w:r>
        <w:t xml:space="preserve">5-6.  </w:t>
      </w:r>
    </w:p>
    <w:p w:rsidR="003B7FB4" w:rsidRDefault="003B7FB4" w:rsidP="003B7FB4">
      <w:pPr>
        <w:pStyle w:val="BodyText2"/>
        <w:spacing w:line="360" w:lineRule="auto"/>
        <w:ind w:firstLine="1440"/>
        <w:jc w:val="left"/>
      </w:pPr>
    </w:p>
    <w:p w:rsidR="00242787" w:rsidRPr="00242787" w:rsidRDefault="00242787" w:rsidP="003B7FB4">
      <w:pPr>
        <w:pStyle w:val="BodyText2"/>
        <w:spacing w:line="360" w:lineRule="auto"/>
        <w:ind w:firstLine="1440"/>
        <w:jc w:val="left"/>
      </w:pPr>
      <w:r w:rsidRPr="00242787">
        <w:t>Given the entire Settlement, Columbia believes that the revenue requirement is reasonable and will provide the Company with the additional revenues that are necessary to provide reliable service to customers.  In addition, Columbia believes that the Settlement appropriately balances the need of the Company to have an opportunity to earn a reasonable rate of return with its customers’ need for reasonable rates.</w:t>
      </w:r>
      <w:r w:rsidR="003B7FB4">
        <w:t xml:space="preserve">  Columbia St. in Support, p. 6. </w:t>
      </w:r>
    </w:p>
    <w:p w:rsidR="00242787" w:rsidRDefault="00242787" w:rsidP="0018232A">
      <w:pPr>
        <w:pStyle w:val="BodyText2"/>
        <w:spacing w:line="360" w:lineRule="auto"/>
        <w:ind w:firstLine="1440"/>
        <w:jc w:val="left"/>
      </w:pPr>
    </w:p>
    <w:p w:rsidR="006D72FC" w:rsidRDefault="006D72FC" w:rsidP="0018232A">
      <w:pPr>
        <w:pStyle w:val="BodyText2"/>
        <w:spacing w:line="360" w:lineRule="auto"/>
        <w:ind w:firstLine="1440"/>
        <w:jc w:val="left"/>
      </w:pPr>
    </w:p>
    <w:p w:rsidR="006D72FC" w:rsidRDefault="006D72FC" w:rsidP="0018232A">
      <w:pPr>
        <w:pStyle w:val="BodyText2"/>
        <w:spacing w:line="360" w:lineRule="auto"/>
        <w:ind w:firstLine="1440"/>
        <w:jc w:val="left"/>
      </w:pPr>
    </w:p>
    <w:p w:rsidR="00A77698" w:rsidRDefault="00BD2038" w:rsidP="00A870B8">
      <w:pPr>
        <w:pStyle w:val="Heading3"/>
        <w:numPr>
          <w:ilvl w:val="0"/>
          <w:numId w:val="7"/>
        </w:numPr>
        <w:ind w:left="1440" w:hanging="720"/>
        <w:rPr>
          <w:b w:val="0"/>
        </w:rPr>
      </w:pPr>
      <w:r>
        <w:rPr>
          <w:b w:val="0"/>
          <w:u w:val="single"/>
        </w:rPr>
        <w:t>Distribution System Improvement Charge (</w:t>
      </w:r>
      <w:r w:rsidR="00C9582E">
        <w:rPr>
          <w:b w:val="0"/>
          <w:u w:val="single"/>
        </w:rPr>
        <w:t>“</w:t>
      </w:r>
      <w:r>
        <w:rPr>
          <w:b w:val="0"/>
          <w:u w:val="single"/>
        </w:rPr>
        <w:t>DSIC”)</w:t>
      </w:r>
    </w:p>
    <w:p w:rsidR="00BD2038" w:rsidRDefault="00BD2038" w:rsidP="00DA487D">
      <w:pPr>
        <w:pStyle w:val="BodyText2"/>
        <w:spacing w:line="240" w:lineRule="auto"/>
        <w:ind w:firstLine="1440"/>
        <w:jc w:val="left"/>
      </w:pPr>
    </w:p>
    <w:p w:rsidR="00BD2038" w:rsidRPr="00BD2038" w:rsidRDefault="00BD2038" w:rsidP="00BD2038">
      <w:pPr>
        <w:pStyle w:val="BodyText2"/>
        <w:spacing w:line="360" w:lineRule="auto"/>
        <w:ind w:firstLine="1440"/>
        <w:jc w:val="left"/>
      </w:pPr>
      <w:r w:rsidRPr="00BD2038">
        <w:t xml:space="preserve">The Commission approved Columbia’s DSIC by Order entered May 22, 2014, at Docket No. </w:t>
      </w:r>
      <w:proofErr w:type="gramStart"/>
      <w:r w:rsidRPr="00BD2038">
        <w:t>P-2012-2338282.</w:t>
      </w:r>
      <w:proofErr w:type="gramEnd"/>
      <w:r w:rsidRPr="00BD2038">
        <w:rPr>
          <w:rStyle w:val="FootnoteReference"/>
        </w:rPr>
        <w:footnoteReference w:id="5"/>
      </w:r>
      <w:r w:rsidRPr="00BD2038">
        <w:t xml:space="preserve">  With the DSIC, plant additions not included in base rates may be reflected in the DSIC calculation.  Therefore, for future DSIC purposes, it is necessary to establish relevant plant balances for the Company out of this proceeding.  The Settlement provides that following the effective date of rates in this proceeding, Columbia will be eligible to include plant additions in the DSIC once eligible account balances exceed the levels projected by Columbia at December 31, 2015.  </w:t>
      </w:r>
      <w:proofErr w:type="gramStart"/>
      <w:r w:rsidRPr="00BD2038">
        <w:t>(Settlement ¶ 19.)</w:t>
      </w:r>
      <w:proofErr w:type="gramEnd"/>
      <w:r w:rsidRPr="00BD2038">
        <w:t xml:space="preserve">  The Joint Petitioners agree that this provision is included solely for purposes of calculating the DSIC, and is not determinative for future ratemaking purposes of the projected additions to be included in rate base in a fully-projected future test year filing.</w:t>
      </w:r>
      <w:r>
        <w:t xml:space="preserve">  Columbia St. in Support, p. 6.</w:t>
      </w:r>
    </w:p>
    <w:p w:rsidR="00BD2038" w:rsidRDefault="00BD2038" w:rsidP="00910329">
      <w:pPr>
        <w:pStyle w:val="BodyText2"/>
        <w:spacing w:line="360" w:lineRule="auto"/>
        <w:ind w:firstLine="1440"/>
        <w:jc w:val="left"/>
      </w:pPr>
    </w:p>
    <w:p w:rsidR="0072729B" w:rsidRDefault="00BD2038" w:rsidP="00A870B8">
      <w:pPr>
        <w:pStyle w:val="Heading3"/>
        <w:numPr>
          <w:ilvl w:val="0"/>
          <w:numId w:val="7"/>
        </w:numPr>
        <w:spacing w:after="0"/>
        <w:ind w:left="1440" w:hanging="720"/>
        <w:jc w:val="left"/>
        <w:rPr>
          <w:b w:val="0"/>
          <w:u w:val="single"/>
        </w:rPr>
      </w:pPr>
      <w:r>
        <w:rPr>
          <w:b w:val="0"/>
          <w:u w:val="single"/>
        </w:rPr>
        <w:t>Tax Repair Allowance and Mixed Service Cost Normalization Treatment</w:t>
      </w:r>
    </w:p>
    <w:p w:rsidR="00DA487D" w:rsidRPr="00DA487D" w:rsidRDefault="00DA487D" w:rsidP="00DA487D">
      <w:pPr>
        <w:pStyle w:val="BodyText2"/>
      </w:pPr>
    </w:p>
    <w:p w:rsidR="00C5492F" w:rsidRDefault="00BD2038" w:rsidP="00C5492F">
      <w:pPr>
        <w:pStyle w:val="BodyText2"/>
        <w:keepNext/>
        <w:spacing w:line="360" w:lineRule="auto"/>
        <w:ind w:firstLine="1440"/>
        <w:jc w:val="left"/>
      </w:pPr>
      <w:r w:rsidRPr="00BD2038">
        <w:t xml:space="preserve">In 2008, Columbia sought and obtained permission from the Internal Revenue Service to change its definition of “unit of property” for tax purposes.  This enabled Columbia to deduct certain expenditures on its tax return rather than capitalize them and resulted in a tax refund of $37,487,634 for Columbia’s customers.  As agreed in the settlement of Columbia’s 2010 rate case at Docket No. R-2009-2149262, a refund of the $37,487,634 is being made to customers, which reflects the cash benefit received in 2009 for the tax year 2008 method change.  </w:t>
      </w:r>
      <w:proofErr w:type="gramStart"/>
      <w:r w:rsidRPr="00BD2038">
        <w:t>(Columbia Statement No. 10, p. 4.)</w:t>
      </w:r>
      <w:proofErr w:type="gramEnd"/>
      <w:r w:rsidRPr="00BD2038">
        <w:t xml:space="preserve">  As of November 30, 2013, a total of $31,012,712 was amortized and an additional $4,430,208 is being amortized through the period ended December</w:t>
      </w:r>
      <w:r w:rsidR="001375AC">
        <w:t> </w:t>
      </w:r>
      <w:r w:rsidRPr="00BD2038">
        <w:t xml:space="preserve">31, 2014.  </w:t>
      </w:r>
      <w:proofErr w:type="gramStart"/>
      <w:r w:rsidRPr="00BD2038">
        <w:t>(Columbia Statement No. 10, p. 4.)</w:t>
      </w:r>
      <w:proofErr w:type="gramEnd"/>
      <w:r w:rsidRPr="00BD2038">
        <w:t xml:space="preserve">  As explained by Columbia </w:t>
      </w:r>
      <w:r w:rsidR="00E6703E">
        <w:t>w</w:t>
      </w:r>
      <w:r w:rsidRPr="00BD2038">
        <w:t xml:space="preserve">itness </w:t>
      </w:r>
      <w:proofErr w:type="spellStart"/>
      <w:r w:rsidR="00E6703E">
        <w:t>Panpilas</w:t>
      </w:r>
      <w:proofErr w:type="spellEnd"/>
      <w:r w:rsidR="00E6703E">
        <w:t xml:space="preserve"> W. </w:t>
      </w:r>
      <w:r w:rsidRPr="00BD2038">
        <w:t>Fischer, beginning on January 1, 2015, this case reflects the remaining $2,044,714.  (Columbia Statement No. 10, p. 4.)</w:t>
      </w:r>
      <w:r>
        <w:t>; Columbia St. in Support, pp. 6-7.</w:t>
      </w:r>
      <w:r w:rsidRPr="00BD2038">
        <w:t xml:space="preserve"> </w:t>
      </w:r>
      <w:r w:rsidR="00C5492F">
        <w:t xml:space="preserve"> </w:t>
      </w:r>
    </w:p>
    <w:p w:rsidR="00C5492F" w:rsidRDefault="00C5492F" w:rsidP="00C5492F">
      <w:pPr>
        <w:pStyle w:val="BodyText2"/>
        <w:keepNext/>
        <w:spacing w:line="360" w:lineRule="auto"/>
        <w:ind w:firstLine="1440"/>
        <w:jc w:val="left"/>
      </w:pPr>
    </w:p>
    <w:p w:rsidR="00C5492F" w:rsidRDefault="00BD2038" w:rsidP="00C5492F">
      <w:pPr>
        <w:pStyle w:val="BodyText2"/>
        <w:keepNext/>
        <w:spacing w:line="360" w:lineRule="auto"/>
        <w:ind w:firstLine="1440"/>
        <w:jc w:val="left"/>
      </w:pPr>
      <w:r w:rsidRPr="00BD2038">
        <w:t>Under the Settlement, Columbia will continue to use normalization accounting with respect to the benefits of the tax repairs deduction.  In addition, with regard to the $37.4</w:t>
      </w:r>
      <w:r w:rsidR="006A422B">
        <w:t> </w:t>
      </w:r>
      <w:r w:rsidRPr="00BD2038">
        <w:t xml:space="preserve">million tax refund previously received by Columbia that is attributable to the change in method for the repairs deduction, the remaining amount of $2,044,714 million </w:t>
      </w:r>
      <w:r w:rsidR="00C5492F">
        <w:t>will</w:t>
      </w:r>
      <w:r w:rsidRPr="00BD2038">
        <w:t xml:space="preserve"> be amortized over 18 months commencing January 1, 2015.  </w:t>
      </w:r>
      <w:proofErr w:type="gramStart"/>
      <w:r w:rsidRPr="00BD2038">
        <w:t>(Settlement ¶ 20.)</w:t>
      </w:r>
      <w:proofErr w:type="gramEnd"/>
      <w:r w:rsidRPr="00BD2038">
        <w:t xml:space="preserve">  Consistent with prior settlements, the amortization will be without interest and without a deduction of the unamortized balance from rate base.  The Settlement also continues prior agreements that subsequent changes in the refund amount, above or below the $37.4 million, shall be reflected in accumulated deferred income taxes to be created under the normalization method of accounting. </w:t>
      </w:r>
      <w:r w:rsidR="00763224">
        <w:t xml:space="preserve"> </w:t>
      </w:r>
      <w:r w:rsidRPr="00BD2038">
        <w:t>(Settlement ¶ 20.)</w:t>
      </w:r>
      <w:r w:rsidR="00C5492F">
        <w:t xml:space="preserve">; Columbia St. in Support, p. 7.  </w:t>
      </w:r>
    </w:p>
    <w:p w:rsidR="00C5492F" w:rsidRDefault="00C5492F" w:rsidP="00C5492F">
      <w:pPr>
        <w:pStyle w:val="BodyText2"/>
        <w:keepNext/>
        <w:spacing w:line="360" w:lineRule="auto"/>
        <w:ind w:firstLine="1440"/>
        <w:jc w:val="left"/>
      </w:pPr>
    </w:p>
    <w:p w:rsidR="00BD2038" w:rsidRDefault="00BD2038" w:rsidP="00C5492F">
      <w:pPr>
        <w:pStyle w:val="BodyText2"/>
        <w:keepNext/>
        <w:spacing w:line="360" w:lineRule="auto"/>
        <w:ind w:firstLine="1440"/>
        <w:jc w:val="left"/>
      </w:pPr>
      <w:r w:rsidRPr="00BD2038">
        <w:t xml:space="preserve">The Joint Petitioners have also agreed that Columbia will continue to use normalization accounting with respect to the tax treatment of Internal Revenue Code Section 263A mixed service costs (“MSC”).  </w:t>
      </w:r>
      <w:proofErr w:type="gramStart"/>
      <w:r w:rsidRPr="00BD2038">
        <w:t>(Settlement ¶ 21.)</w:t>
      </w:r>
      <w:proofErr w:type="gramEnd"/>
      <w:r w:rsidRPr="00BD2038">
        <w:t xml:space="preserve">  </w:t>
      </w:r>
      <w:r w:rsidR="00C5492F">
        <w:t>According to Columbia, t</w:t>
      </w:r>
      <w:r w:rsidRPr="00BD2038">
        <w:t xml:space="preserve">his is similar to the treatment of book versus tax time differences for the repairs deduction.  </w:t>
      </w:r>
      <w:proofErr w:type="gramStart"/>
      <w:r w:rsidRPr="00BD2038">
        <w:t>(Columbia Statement No. 10, p. 4.)</w:t>
      </w:r>
      <w:proofErr w:type="gramEnd"/>
      <w:r w:rsidRPr="00BD2038">
        <w:t xml:space="preserve">  This treatment was established in the settlement of Columbia’s 2012 rate case at Docket No. </w:t>
      </w:r>
      <w:proofErr w:type="gramStart"/>
      <w:r w:rsidRPr="00BD2038">
        <w:t>R-2012-2321748,</w:t>
      </w:r>
      <w:proofErr w:type="gramEnd"/>
      <w:r w:rsidRPr="00BD2038">
        <w:t xml:space="preserve"> and the </w:t>
      </w:r>
      <w:r w:rsidR="00C5492F">
        <w:t>Joint Petitioners</w:t>
      </w:r>
      <w:r w:rsidRPr="00BD2038">
        <w:t xml:space="preserve"> have agreed to allow such treatment to continue.</w:t>
      </w:r>
      <w:r w:rsidR="00C5492F">
        <w:t xml:space="preserve">  Columbia St. in Support, pp. 7-8.  </w:t>
      </w:r>
    </w:p>
    <w:p w:rsidR="00C5492F" w:rsidRDefault="00C5492F" w:rsidP="00C5492F">
      <w:pPr>
        <w:pStyle w:val="BodyText2"/>
        <w:keepNext/>
        <w:spacing w:line="360" w:lineRule="auto"/>
        <w:ind w:firstLine="1440"/>
        <w:jc w:val="left"/>
      </w:pPr>
    </w:p>
    <w:p w:rsidR="00C5492F" w:rsidRPr="00C5492F" w:rsidRDefault="00887BD6" w:rsidP="00887BD6">
      <w:pPr>
        <w:pStyle w:val="BodyText2"/>
        <w:keepNext/>
        <w:spacing w:line="360" w:lineRule="auto"/>
        <w:jc w:val="left"/>
        <w:rPr>
          <w:highlight w:val="yellow"/>
        </w:rPr>
      </w:pPr>
      <w:r>
        <w:t>4</w:t>
      </w:r>
      <w:r w:rsidR="00C5492F">
        <w:t>.</w:t>
      </w:r>
      <w:r w:rsidR="00C5492F">
        <w:tab/>
      </w:r>
      <w:r w:rsidR="00C5492F">
        <w:rPr>
          <w:u w:val="single"/>
        </w:rPr>
        <w:t>Amortizations</w:t>
      </w:r>
    </w:p>
    <w:p w:rsidR="00C5492F" w:rsidRDefault="00C5492F" w:rsidP="009F3398">
      <w:pPr>
        <w:pStyle w:val="BodyText2"/>
        <w:keepNext/>
        <w:spacing w:line="240" w:lineRule="auto"/>
        <w:ind w:firstLine="0"/>
      </w:pPr>
    </w:p>
    <w:p w:rsidR="00BD17F8" w:rsidRDefault="00C5492F" w:rsidP="00BD17F8">
      <w:pPr>
        <w:pStyle w:val="BodyText2"/>
        <w:keepNext/>
        <w:spacing w:line="360" w:lineRule="auto"/>
        <w:ind w:firstLine="1440"/>
        <w:jc w:val="left"/>
      </w:pPr>
      <w:r w:rsidRPr="00C5492F">
        <w:t xml:space="preserve">The </w:t>
      </w:r>
      <w:r w:rsidR="00BD17F8">
        <w:t>s</w:t>
      </w:r>
      <w:r w:rsidRPr="00C5492F">
        <w:t xml:space="preserve">ettlement in Columbia’s 2012 rate case established an amortization for costs associated with the NiSource </w:t>
      </w:r>
      <w:proofErr w:type="spellStart"/>
      <w:r w:rsidRPr="00C5492F">
        <w:t>NiFiT</w:t>
      </w:r>
      <w:proofErr w:type="spellEnd"/>
      <w:r w:rsidRPr="00C5492F">
        <w:t xml:space="preserve"> project.</w:t>
      </w:r>
      <w:r w:rsidRPr="00C5492F">
        <w:rPr>
          <w:rStyle w:val="FootnoteReference"/>
        </w:rPr>
        <w:footnoteReference w:id="6"/>
      </w:r>
      <w:r w:rsidRPr="00C5492F">
        <w:t xml:space="preserve">  The Company was permitted to defer, over a four year period, non-company labor start-up costs of new financial software totaling $1,738,714.  </w:t>
      </w:r>
      <w:proofErr w:type="gramStart"/>
      <w:r w:rsidRPr="00C5492F">
        <w:t>(Columbia Statement No. 4, p. 23.)</w:t>
      </w:r>
      <w:proofErr w:type="gramEnd"/>
      <w:r w:rsidRPr="00C5492F">
        <w:t xml:space="preserve">  Since the last base rate proceeding, the total amount for non-labor O&amp;M increased to $2,681,220.  In order to address the increase in the total amount identified by Columbia, the Company proposed that a new unamortized amount of $2,029,202 be amortized over five years.  </w:t>
      </w:r>
      <w:proofErr w:type="gramStart"/>
      <w:r w:rsidRPr="00C5492F">
        <w:t>(Columbia Statement No. 4, p. 43.)</w:t>
      </w:r>
      <w:proofErr w:type="gramEnd"/>
      <w:r w:rsidRPr="00C5492F">
        <w:t xml:space="preserve">  No party disputed the Company’s inclusion of this amortization amount in its rate filing.  As a result, the Settlement includes amortization of $2,029,202 for </w:t>
      </w:r>
      <w:proofErr w:type="spellStart"/>
      <w:r w:rsidRPr="00C5492F">
        <w:t>NiFit</w:t>
      </w:r>
      <w:proofErr w:type="spellEnd"/>
      <w:r w:rsidRPr="00C5492F">
        <w:t xml:space="preserve"> costs over a five-year period commencing January</w:t>
      </w:r>
      <w:r w:rsidR="00135CF2">
        <w:t> </w:t>
      </w:r>
      <w:r w:rsidRPr="00C5492F">
        <w:t>1, 2015.  (Settlement ¶ 22(i).)</w:t>
      </w:r>
      <w:r>
        <w:t>; Columbia St. in Support, p. 8.</w:t>
      </w:r>
      <w:r w:rsidR="00BD17F8">
        <w:t xml:space="preserve">  </w:t>
      </w:r>
    </w:p>
    <w:p w:rsidR="00BD17F8" w:rsidRDefault="00BD17F8" w:rsidP="00BD17F8">
      <w:pPr>
        <w:pStyle w:val="BodyText2"/>
        <w:keepNext/>
        <w:spacing w:line="360" w:lineRule="auto"/>
        <w:ind w:firstLine="1440"/>
        <w:jc w:val="left"/>
      </w:pPr>
    </w:p>
    <w:p w:rsidR="00BD17F8" w:rsidRDefault="00C5492F" w:rsidP="00BD17F8">
      <w:pPr>
        <w:pStyle w:val="BodyText2"/>
        <w:keepNext/>
        <w:spacing w:line="360" w:lineRule="auto"/>
        <w:ind w:firstLine="1440"/>
        <w:jc w:val="left"/>
      </w:pPr>
      <w:r w:rsidRPr="00C5492F">
        <w:t xml:space="preserve">The Settlement specifies the continued amortization of costs related to Blackhawk Storage.  This amortization was established in Columbia’s 2008 rate case settlement at Docket No. R-2008-2011621 and will continue.  </w:t>
      </w:r>
      <w:proofErr w:type="gramStart"/>
      <w:r w:rsidRPr="00C5492F">
        <w:t>(Settlement ¶ 22(ii).)</w:t>
      </w:r>
      <w:proofErr w:type="gramEnd"/>
      <w:r w:rsidRPr="00C5492F">
        <w:t xml:space="preserve">  No party objected to the Company’s inclusion of this amortization amount in its rate filing.</w:t>
      </w:r>
      <w:r w:rsidR="00BD17F8">
        <w:t xml:space="preserve">  Columbia St. in Support, p. 8.  </w:t>
      </w:r>
    </w:p>
    <w:p w:rsidR="00BD17F8" w:rsidRDefault="00BD17F8" w:rsidP="00BD17F8">
      <w:pPr>
        <w:pStyle w:val="BodyText2"/>
        <w:keepNext/>
        <w:spacing w:line="360" w:lineRule="auto"/>
        <w:ind w:firstLine="1440"/>
        <w:jc w:val="left"/>
      </w:pPr>
    </w:p>
    <w:p w:rsidR="00C5492F" w:rsidRPr="0072729B" w:rsidRDefault="00C5492F" w:rsidP="00BD17F8">
      <w:pPr>
        <w:pStyle w:val="BodyText2"/>
        <w:keepNext/>
        <w:spacing w:line="360" w:lineRule="auto"/>
        <w:ind w:firstLine="1440"/>
        <w:jc w:val="left"/>
      </w:pPr>
      <w:r w:rsidRPr="00C5492F">
        <w:t xml:space="preserve">Columbia is currently amortizing a $37.4 million tax refund received as a result of the tax repair allowance change.  The Joint Petitioners have agreed to amortize the remaining refund in the amount of $2,044,714 over eighteen months commencing on January 1, 2015.  </w:t>
      </w:r>
      <w:proofErr w:type="gramStart"/>
      <w:r w:rsidRPr="00C5492F">
        <w:t>(Settlement ¶ 22(iii).)</w:t>
      </w:r>
      <w:r w:rsidR="00BD17F8">
        <w:t>; Columbia St. in Support, p. 8.</w:t>
      </w:r>
      <w:proofErr w:type="gramEnd"/>
      <w:r w:rsidR="00BD17F8">
        <w:t xml:space="preserve">  </w:t>
      </w:r>
    </w:p>
    <w:p w:rsidR="005E5064" w:rsidRDefault="005E5064" w:rsidP="00910329">
      <w:pPr>
        <w:pStyle w:val="BodyText2"/>
        <w:spacing w:line="360" w:lineRule="auto"/>
        <w:ind w:firstLine="1440"/>
        <w:jc w:val="left"/>
      </w:pPr>
    </w:p>
    <w:p w:rsidR="009F3F30" w:rsidRDefault="00887BD6" w:rsidP="00887BD6">
      <w:pPr>
        <w:pStyle w:val="Heading3"/>
        <w:numPr>
          <w:ilvl w:val="0"/>
          <w:numId w:val="0"/>
        </w:numPr>
        <w:tabs>
          <w:tab w:val="left" w:pos="720"/>
        </w:tabs>
        <w:spacing w:after="0"/>
        <w:ind w:left="1440" w:hanging="720"/>
        <w:rPr>
          <w:b w:val="0"/>
          <w:u w:val="single"/>
        </w:rPr>
      </w:pPr>
      <w:r w:rsidRPr="00887BD6">
        <w:rPr>
          <w:b w:val="0"/>
        </w:rPr>
        <w:t>5.</w:t>
      </w:r>
      <w:r w:rsidRPr="00887BD6">
        <w:rPr>
          <w:b w:val="0"/>
        </w:rPr>
        <w:tab/>
      </w:r>
      <w:r w:rsidR="00A77698" w:rsidRPr="001D7D45">
        <w:rPr>
          <w:b w:val="0"/>
          <w:u w:val="single"/>
        </w:rPr>
        <w:t>Other Post-Employment Benefits (“OPEB”) Expense</w:t>
      </w:r>
    </w:p>
    <w:p w:rsidR="00A537F8" w:rsidRPr="00A537F8" w:rsidRDefault="00A537F8" w:rsidP="00A537F8">
      <w:pPr>
        <w:pStyle w:val="BodyText2"/>
        <w:ind w:left="1800" w:firstLine="0"/>
      </w:pPr>
    </w:p>
    <w:p w:rsidR="009F3F30" w:rsidRDefault="009F3F30" w:rsidP="009F3F30">
      <w:pPr>
        <w:pStyle w:val="BodyText2"/>
        <w:spacing w:line="360" w:lineRule="auto"/>
        <w:ind w:firstLine="1440"/>
        <w:jc w:val="left"/>
      </w:pPr>
      <w:r w:rsidRPr="009F3F30">
        <w:t xml:space="preserve">The Settlement includes provisions concerning accounting for Columbia’s ongoing contributions to trusts for OPEBs which were established in the settlement of Columbia’s 2012 base rate case at Docket No. </w:t>
      </w:r>
      <w:proofErr w:type="gramStart"/>
      <w:r w:rsidRPr="009F3F30">
        <w:t>R-2012-2321748.</w:t>
      </w:r>
      <w:proofErr w:type="gramEnd"/>
      <w:r w:rsidRPr="009F3F30">
        <w:t xml:space="preserve">  </w:t>
      </w:r>
      <w:proofErr w:type="gramStart"/>
      <w:r w:rsidRPr="009F3F30">
        <w:t>(Columbia Statement No. 4, pp. 37-38.)</w:t>
      </w:r>
      <w:proofErr w:type="gramEnd"/>
      <w:r w:rsidRPr="009F3F30">
        <w:t xml:space="preserve">  </w:t>
      </w:r>
      <w:r>
        <w:t xml:space="preserve">Pursuant to the Settlement, </w:t>
      </w:r>
      <w:r w:rsidRPr="009F3F30">
        <w:t xml:space="preserve">Columbia will continue to defer the difference between the annual OPEB expense calculated pursuant to FASB Accounting Standards Codification (“ASC”) 715, “Compensation – Retirement Benefits” (SFAS No. 106) and the annual OPEB expense allowance in rates of $0.  Only those amounts attributable to operation and maintenance would be deferred and recognized as a regulatory asset or liability.  To the extent the cumulative balance recorded commencing with the effective date of rates reflects a regulatory asset, such amount will be collected from customers in the next rate proceeding over a period to be determined in that rate proceeding.  In addition, to the extent the cumulative balance recorded commencing with the effective date of rates reflects a regulatory liability, there will be no amortization of the (non-cash) negative expense, and the cumulative balance will continue to be maintained.  </w:t>
      </w:r>
      <w:proofErr w:type="gramStart"/>
      <w:r w:rsidRPr="009F3F30">
        <w:t>(Settlement ¶ 23.)</w:t>
      </w:r>
      <w:proofErr w:type="gramEnd"/>
      <w:r w:rsidRPr="009F3F30">
        <w:t xml:space="preserve">  The Settlement provides that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 (Settlement ¶ 24.)</w:t>
      </w:r>
      <w:r>
        <w:t xml:space="preserve">; Columbia St. in Support, p. 9.  </w:t>
      </w:r>
    </w:p>
    <w:p w:rsidR="009F3F30" w:rsidRDefault="009F3F30" w:rsidP="009F3F30">
      <w:pPr>
        <w:pStyle w:val="BodyText2"/>
        <w:spacing w:line="360" w:lineRule="auto"/>
        <w:ind w:firstLine="1440"/>
        <w:jc w:val="left"/>
      </w:pPr>
    </w:p>
    <w:p w:rsidR="005F2B4C" w:rsidRDefault="009F3F30" w:rsidP="005F2B4C">
      <w:pPr>
        <w:pStyle w:val="BodyText2"/>
        <w:spacing w:line="360" w:lineRule="auto"/>
        <w:ind w:firstLine="1440"/>
        <w:jc w:val="left"/>
      </w:pPr>
      <w:r w:rsidRPr="009F3F30">
        <w:t>Pursuant to the Opinion and Order entered on May 24, 2012, at Docket No. P</w:t>
      </w:r>
      <w:r w:rsidR="000C6B18">
        <w:noBreakHyphen/>
      </w:r>
      <w:r w:rsidRPr="009F3F30">
        <w:t>2011-2275383, Columbia deferred, for accounting and financial reporting purposes, the one-time expense of $903,131 associated with its allocated share of NiSource Corporate Services Company’s (“NCSC”) OPEB regulatory asset resulting from NCSC’s transition from cash basis to accrual.  In the settlement of the last Columbia base rate case at Docket No. R-2012-2321748, Columbia was allowed to recover the total deferred amount of $903,131 over a ten-year period.  This Settlement continues the ten-year amortization established in the prior rate proceeding.  (Settlement ¶ 22 (</w:t>
      </w:r>
      <w:proofErr w:type="gramStart"/>
      <w:r w:rsidRPr="009F3F30">
        <w:t>iv</w:t>
      </w:r>
      <w:proofErr w:type="gramEnd"/>
      <w:r w:rsidRPr="009F3F30">
        <w:t>).)</w:t>
      </w:r>
      <w:r w:rsidR="005F2B4C">
        <w:t xml:space="preserve">; Columbia St. in Support, pp. 9-10.  </w:t>
      </w:r>
    </w:p>
    <w:p w:rsidR="005F2B4C" w:rsidRDefault="005F2B4C" w:rsidP="005F2B4C">
      <w:pPr>
        <w:pStyle w:val="BodyText2"/>
        <w:spacing w:line="360" w:lineRule="auto"/>
        <w:ind w:firstLine="1440"/>
        <w:jc w:val="left"/>
      </w:pPr>
    </w:p>
    <w:p w:rsidR="005F2B4C" w:rsidRDefault="009F3F30" w:rsidP="005F2B4C">
      <w:pPr>
        <w:pStyle w:val="BodyText2"/>
        <w:spacing w:line="360" w:lineRule="auto"/>
        <w:ind w:firstLine="1440"/>
        <w:jc w:val="left"/>
      </w:pPr>
      <w:r w:rsidRPr="009F3F30">
        <w:t xml:space="preserve">In the settlement of Columbia’s 2012 rate case, Columbia agreed to an amortization of a deferred OPEB refund in the total amount of $607,393.  The estimated remaining balance of that refund amount at January 1, 2015 is $(343,925).  </w:t>
      </w:r>
      <w:proofErr w:type="gramStart"/>
      <w:r w:rsidRPr="009F3F30">
        <w:t>(Columbia Statement No. 4, pp. 21, 41.)</w:t>
      </w:r>
      <w:proofErr w:type="gramEnd"/>
      <w:r w:rsidRPr="009F3F30">
        <w:t xml:space="preserve">  Under the Settlement, the Joint Petitioners have agreed that rates will reflect the eighteen month amortization of the deferred OPEB balance of $(343,925).  </w:t>
      </w:r>
      <w:proofErr w:type="gramStart"/>
      <w:r w:rsidRPr="009F3F30">
        <w:t>(Settlement ¶ 22(v).)</w:t>
      </w:r>
      <w:r w:rsidR="005F2B4C">
        <w:t>; Columbia St. in Support, p. 10.</w:t>
      </w:r>
      <w:proofErr w:type="gramEnd"/>
    </w:p>
    <w:p w:rsidR="005F2B4C" w:rsidRDefault="005F2B4C" w:rsidP="005F2B4C">
      <w:pPr>
        <w:pStyle w:val="BodyText2"/>
        <w:spacing w:line="360" w:lineRule="auto"/>
        <w:ind w:firstLine="0"/>
        <w:jc w:val="left"/>
      </w:pPr>
    </w:p>
    <w:p w:rsidR="005F2B4C" w:rsidRDefault="005F2B4C" w:rsidP="005F2B4C">
      <w:pPr>
        <w:pStyle w:val="BodyText2"/>
        <w:spacing w:line="360" w:lineRule="auto"/>
        <w:ind w:firstLine="0"/>
        <w:jc w:val="left"/>
      </w:pPr>
      <w:r>
        <w:tab/>
      </w:r>
      <w:r w:rsidR="00E107AD">
        <w:t>6</w:t>
      </w:r>
      <w:r>
        <w:t>.</w:t>
      </w:r>
      <w:r>
        <w:tab/>
      </w:r>
      <w:r>
        <w:rPr>
          <w:u w:val="single"/>
        </w:rPr>
        <w:t>Revenue Allocation and Rate Design</w:t>
      </w:r>
    </w:p>
    <w:p w:rsidR="005F2B4C" w:rsidRDefault="005F2B4C" w:rsidP="005F2B4C">
      <w:pPr>
        <w:pStyle w:val="BodyText2"/>
        <w:spacing w:line="360" w:lineRule="auto"/>
        <w:ind w:firstLine="0"/>
        <w:jc w:val="left"/>
      </w:pPr>
    </w:p>
    <w:p w:rsidR="005F2B4C" w:rsidRDefault="005F2B4C" w:rsidP="005F2B4C">
      <w:pPr>
        <w:pStyle w:val="BodyText2"/>
        <w:spacing w:line="360" w:lineRule="auto"/>
        <w:ind w:firstLine="0"/>
        <w:jc w:val="left"/>
      </w:pPr>
      <w:r>
        <w:tab/>
      </w:r>
      <w:r>
        <w:tab/>
        <w:t xml:space="preserve">Appendices “A” and “B” attached to the Settlement set forth the revenue allocation and rate design agreed to by the Joint Petitioners.  </w:t>
      </w:r>
    </w:p>
    <w:p w:rsidR="005F2B4C" w:rsidRDefault="005F2B4C" w:rsidP="005F2B4C">
      <w:pPr>
        <w:pStyle w:val="BodyText2"/>
        <w:spacing w:line="360" w:lineRule="auto"/>
        <w:ind w:firstLine="0"/>
        <w:jc w:val="left"/>
      </w:pPr>
    </w:p>
    <w:p w:rsidR="005F2B4C" w:rsidRDefault="005F2B4C" w:rsidP="005F2B4C">
      <w:pPr>
        <w:pStyle w:val="BodyText2"/>
        <w:spacing w:line="360" w:lineRule="auto"/>
        <w:ind w:firstLine="0"/>
        <w:jc w:val="left"/>
      </w:pPr>
      <w:r>
        <w:tab/>
      </w:r>
      <w:r>
        <w:tab/>
        <w:t>a.</w:t>
      </w:r>
      <w:r>
        <w:tab/>
      </w:r>
      <w:r>
        <w:rPr>
          <w:u w:val="single"/>
        </w:rPr>
        <w:t>Revenue Allocation</w:t>
      </w:r>
    </w:p>
    <w:p w:rsidR="005F2B4C" w:rsidRDefault="005F2B4C" w:rsidP="005F2B4C">
      <w:pPr>
        <w:pStyle w:val="BodyText2"/>
        <w:spacing w:line="360" w:lineRule="auto"/>
        <w:ind w:firstLine="0"/>
        <w:jc w:val="left"/>
      </w:pPr>
    </w:p>
    <w:p w:rsidR="00880F9D" w:rsidRDefault="00880F9D" w:rsidP="00880F9D">
      <w:pPr>
        <w:pStyle w:val="BodyText2"/>
        <w:keepNext/>
        <w:spacing w:line="360" w:lineRule="auto"/>
        <w:ind w:firstLine="1440"/>
        <w:jc w:val="left"/>
      </w:pPr>
      <w:r w:rsidRPr="00880F9D">
        <w:t>As in many base rate cases, the revenue allocation issues were among the most contentious issues in this proceeding</w:t>
      </w:r>
      <w:r>
        <w:t>, according to Columbia</w:t>
      </w:r>
      <w:r w:rsidRPr="00880F9D">
        <w:t xml:space="preserve">.  The Joint Petitioners proposed a variety of class cost of service studies and cost allocation methodologies.  Moreover, even to the extent certain Joint Petitioners agreed on the basic overall methodology, </w:t>
      </w:r>
      <w:r w:rsidRPr="00880F9D">
        <w:rPr>
          <w:i/>
        </w:rPr>
        <w:t>i.e.</w:t>
      </w:r>
      <w:r w:rsidRPr="00880F9D">
        <w:t xml:space="preserve"> the Design Day demand allocation versus the Peak &amp; Average methodology, these Joint Petitioners still disagreed on how to allocate certain other costs to the different rate classes, as well as how much movement toward cost of service was appropriate.  Despite the fact that the Joint Petitioners were not able to agree on a specific class “cost of service” in the Settlement, they were able to agree to a revenue allocation that is within the range of revenue allocations proposed by the Joint Petitioners in this proceeding, and Columbia believes that this revenue allocation meets the “cost of service” standards adopted by the Courts and the Commission.</w:t>
      </w:r>
      <w:r>
        <w:t xml:space="preserve">  Columbia St. in Support, pp.</w:t>
      </w:r>
      <w:r w:rsidR="00A63BFC">
        <w:t> </w:t>
      </w:r>
      <w:r>
        <w:t xml:space="preserve">10-11.  </w:t>
      </w:r>
    </w:p>
    <w:p w:rsidR="00880F9D" w:rsidRDefault="00880F9D" w:rsidP="00880F9D">
      <w:pPr>
        <w:pStyle w:val="BodyText2"/>
        <w:keepNext/>
        <w:spacing w:line="360" w:lineRule="auto"/>
        <w:ind w:firstLine="1440"/>
        <w:jc w:val="left"/>
      </w:pPr>
    </w:p>
    <w:p w:rsidR="00880F9D" w:rsidRPr="00880F9D" w:rsidRDefault="00880F9D" w:rsidP="00880F9D">
      <w:pPr>
        <w:pStyle w:val="BodyText2"/>
        <w:keepNext/>
        <w:spacing w:line="360" w:lineRule="auto"/>
        <w:ind w:firstLine="1440"/>
        <w:jc w:val="left"/>
      </w:pPr>
      <w:r w:rsidRPr="00880F9D">
        <w:t xml:space="preserve">All </w:t>
      </w:r>
      <w:r>
        <w:t>Joint Petitioners</w:t>
      </w:r>
      <w:r w:rsidRPr="00880F9D">
        <w:t xml:space="preserve"> supported their respective cost of service studies for litigation purposes.  However, the </w:t>
      </w:r>
      <w:r>
        <w:t xml:space="preserve">Joint Petitioners </w:t>
      </w:r>
      <w:r w:rsidRPr="00880F9D">
        <w:t xml:space="preserve">were willing to compromise in order to achieve a settlement of the revenue allocation issues.  </w:t>
      </w:r>
      <w:r>
        <w:t>T</w:t>
      </w:r>
      <w:r w:rsidRPr="00880F9D">
        <w:t xml:space="preserve">he revenue allocation set forth in the Settlement is not based upon a specific agreed to formulaic approach.  Moreover, the Settlement rates are not based upon any specific cost of service study results.  Instead, the Settlement reflects a compromise of the </w:t>
      </w:r>
      <w:r>
        <w:t>Joint Petitioners</w:t>
      </w:r>
      <w:r w:rsidRPr="00880F9D">
        <w:t>’ revenue allocation and rate design proposals.</w:t>
      </w:r>
      <w:r w:rsidR="00E263EE">
        <w:t xml:space="preserve"> </w:t>
      </w:r>
      <w:r w:rsidRPr="00880F9D">
        <w:t xml:space="preserve"> </w:t>
      </w:r>
      <w:proofErr w:type="gramStart"/>
      <w:r w:rsidRPr="00880F9D">
        <w:t>(Settlement Appendix “A”.)</w:t>
      </w:r>
      <w:proofErr w:type="gramEnd"/>
      <w:r w:rsidRPr="00880F9D">
        <w:t xml:space="preserve">  The resulting class increases, as compared to the Company’s as-filed increases, are as follows:</w:t>
      </w:r>
    </w:p>
    <w:p w:rsidR="00880F9D" w:rsidRDefault="00880F9D" w:rsidP="00880F9D">
      <w:pPr>
        <w:rPr>
          <w:rFonts w:ascii="Georgia" w:hAnsi="Georgia"/>
        </w:rPr>
      </w:pPr>
      <w:r>
        <w:rPr>
          <w:rFonts w:ascii="Georgia" w:hAnsi="Georgia"/>
        </w:rPr>
        <w:br w:type="page"/>
      </w:r>
    </w:p>
    <w:tbl>
      <w:tblPr>
        <w:tblStyle w:val="TableGrid"/>
        <w:tblW w:w="9618" w:type="dxa"/>
        <w:tblInd w:w="108" w:type="dxa"/>
        <w:tblLayout w:type="fixed"/>
        <w:tblLook w:val="01E0" w:firstRow="1" w:lastRow="1" w:firstColumn="1" w:lastColumn="1" w:noHBand="0" w:noVBand="0"/>
      </w:tblPr>
      <w:tblGrid>
        <w:gridCol w:w="2700"/>
        <w:gridCol w:w="1620"/>
        <w:gridCol w:w="1994"/>
        <w:gridCol w:w="1424"/>
        <w:gridCol w:w="1880"/>
      </w:tblGrid>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b/>
              </w:rPr>
            </w:pPr>
            <w:r w:rsidRPr="00880F9D">
              <w:rPr>
                <w:b/>
              </w:rPr>
              <w:t>Customer Group</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b/>
              </w:rPr>
            </w:pPr>
            <w:r w:rsidRPr="00880F9D">
              <w:rPr>
                <w:b/>
              </w:rPr>
              <w:t>As Filed</w:t>
            </w:r>
            <w:r w:rsidRPr="00880F9D">
              <w:rPr>
                <w:rStyle w:val="FootnoteReference"/>
                <w:b/>
              </w:rPr>
              <w:footnoteReference w:id="7"/>
            </w:r>
          </w:p>
          <w:p w:rsidR="00880F9D" w:rsidRPr="00880F9D" w:rsidRDefault="00880F9D" w:rsidP="00880F9D">
            <w:pPr>
              <w:pStyle w:val="BodyText2"/>
              <w:spacing w:before="120" w:after="120" w:line="240" w:lineRule="auto"/>
              <w:ind w:firstLine="0"/>
              <w:jc w:val="center"/>
              <w:rPr>
                <w:b/>
              </w:rPr>
            </w:pPr>
            <w:r w:rsidRPr="00880F9D">
              <w:rPr>
                <w:b/>
              </w:rPr>
              <w:t>(000s)</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b/>
              </w:rPr>
            </w:pPr>
            <w:r w:rsidRPr="00880F9D">
              <w:rPr>
                <w:b/>
              </w:rPr>
              <w:t>Percentage of Proposed Increase</w:t>
            </w:r>
            <w:r w:rsidRPr="00880F9D">
              <w:rPr>
                <w:rStyle w:val="FootnoteReference"/>
                <w:b/>
              </w:rPr>
              <w:footnoteReference w:id="8"/>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b/>
              </w:rPr>
            </w:pPr>
            <w:r w:rsidRPr="00880F9D">
              <w:rPr>
                <w:b/>
              </w:rPr>
              <w:t>As Settled</w:t>
            </w:r>
          </w:p>
          <w:p w:rsidR="00880F9D" w:rsidRPr="00880F9D" w:rsidRDefault="00880F9D" w:rsidP="00880F9D">
            <w:pPr>
              <w:pStyle w:val="BodyText2"/>
              <w:spacing w:before="120" w:after="120" w:line="240" w:lineRule="auto"/>
              <w:ind w:firstLine="0"/>
              <w:jc w:val="center"/>
              <w:rPr>
                <w:b/>
              </w:rPr>
            </w:pPr>
            <w:r w:rsidRPr="00880F9D">
              <w:rPr>
                <w:b/>
              </w:rPr>
              <w:t>(000s)</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b/>
              </w:rPr>
            </w:pPr>
            <w:r w:rsidRPr="00880F9D">
              <w:rPr>
                <w:b/>
              </w:rPr>
              <w:t>Percentage of Settled Increase</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rPr>
                <w:highlight w:val="yellow"/>
              </w:rPr>
            </w:pPr>
            <w:r w:rsidRPr="00880F9D">
              <w:t>Residential</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$41,012</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74.98%</w:t>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$24,410</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75.11%</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363113">
            <w:pPr>
              <w:pStyle w:val="BodyText2"/>
              <w:spacing w:before="120" w:after="120" w:line="240" w:lineRule="auto"/>
              <w:ind w:firstLine="0"/>
              <w:jc w:val="left"/>
              <w:rPr>
                <w:highlight w:val="yellow"/>
              </w:rPr>
            </w:pPr>
            <w:r w:rsidRPr="00880F9D">
              <w:t xml:space="preserve">Small General </w:t>
            </w:r>
            <w:r w:rsidR="00363113">
              <w:t xml:space="preserve">Service </w:t>
            </w:r>
            <w:r w:rsidRPr="00880F9D">
              <w:t>(SGS/SGDS/SCD)</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$9,880</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18.26%</w:t>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$5,200</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16.00%</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tcPr>
          <w:p w:rsidR="00880F9D" w:rsidRPr="00880F9D" w:rsidRDefault="00880F9D" w:rsidP="00363113">
            <w:pPr>
              <w:pStyle w:val="BodyText2"/>
              <w:spacing w:before="120" w:after="120" w:line="240" w:lineRule="auto"/>
              <w:ind w:firstLine="0"/>
              <w:jc w:val="left"/>
              <w:rPr>
                <w:highlight w:val="yellow"/>
              </w:rPr>
            </w:pPr>
            <w:r w:rsidRPr="00880F9D">
              <w:t>Medium Sales Service (SDS)</w:t>
            </w:r>
          </w:p>
        </w:tc>
        <w:tc>
          <w:tcPr>
            <w:tcW w:w="1620" w:type="dxa"/>
            <w:tcBorders>
              <w:top w:val="single" w:sz="4" w:space="0" w:color="auto"/>
              <w:left w:val="single" w:sz="4" w:space="0" w:color="auto"/>
              <w:bottom w:val="single" w:sz="4" w:space="0" w:color="auto"/>
              <w:right w:val="single" w:sz="4" w:space="0" w:color="auto"/>
            </w:tcBorders>
          </w:tcPr>
          <w:p w:rsidR="00880F9D" w:rsidRPr="00880F9D" w:rsidRDefault="00880F9D" w:rsidP="00880F9D">
            <w:pPr>
              <w:pStyle w:val="BodyText2"/>
              <w:spacing w:before="120" w:after="120" w:line="240" w:lineRule="auto"/>
              <w:ind w:firstLine="0"/>
              <w:jc w:val="center"/>
              <w:rPr>
                <w:highlight w:val="yellow"/>
              </w:rPr>
            </w:pPr>
            <w:r w:rsidRPr="00880F9D">
              <w:t>$511</w:t>
            </w:r>
          </w:p>
        </w:tc>
        <w:tc>
          <w:tcPr>
            <w:tcW w:w="1994" w:type="dxa"/>
            <w:tcBorders>
              <w:top w:val="single" w:sz="4" w:space="0" w:color="auto"/>
              <w:left w:val="single" w:sz="4" w:space="0" w:color="auto"/>
              <w:bottom w:val="single" w:sz="4" w:space="0" w:color="auto"/>
              <w:right w:val="single" w:sz="4" w:space="0" w:color="auto"/>
            </w:tcBorders>
          </w:tcPr>
          <w:p w:rsidR="00880F9D" w:rsidRPr="00880F9D" w:rsidRDefault="00880F9D" w:rsidP="00880F9D">
            <w:pPr>
              <w:pStyle w:val="BodyText2"/>
              <w:spacing w:before="120" w:after="120" w:line="240" w:lineRule="auto"/>
              <w:ind w:firstLine="0"/>
              <w:jc w:val="center"/>
              <w:rPr>
                <w:highlight w:val="yellow"/>
              </w:rPr>
            </w:pPr>
            <w:r w:rsidRPr="00880F9D">
              <w:t>0.93%</w:t>
            </w:r>
          </w:p>
        </w:tc>
        <w:tc>
          <w:tcPr>
            <w:tcW w:w="1424" w:type="dxa"/>
            <w:tcBorders>
              <w:top w:val="single" w:sz="4" w:space="0" w:color="auto"/>
              <w:left w:val="single" w:sz="4" w:space="0" w:color="auto"/>
              <w:bottom w:val="single" w:sz="4" w:space="0" w:color="auto"/>
              <w:right w:val="single" w:sz="4" w:space="0" w:color="auto"/>
            </w:tcBorders>
          </w:tcPr>
          <w:p w:rsidR="00880F9D" w:rsidRPr="00880F9D" w:rsidRDefault="00880F9D" w:rsidP="00880F9D">
            <w:pPr>
              <w:pStyle w:val="BodyText2"/>
              <w:spacing w:before="120" w:after="120" w:line="240" w:lineRule="auto"/>
              <w:ind w:firstLine="0"/>
              <w:jc w:val="center"/>
            </w:pPr>
            <w:r w:rsidRPr="00880F9D">
              <w:t>$1,174</w:t>
            </w:r>
          </w:p>
        </w:tc>
        <w:tc>
          <w:tcPr>
            <w:tcW w:w="1880" w:type="dxa"/>
            <w:tcBorders>
              <w:top w:val="single" w:sz="4" w:space="0" w:color="auto"/>
              <w:left w:val="single" w:sz="4" w:space="0" w:color="auto"/>
              <w:bottom w:val="single" w:sz="4" w:space="0" w:color="auto"/>
              <w:right w:val="single" w:sz="4" w:space="0" w:color="auto"/>
            </w:tcBorders>
          </w:tcPr>
          <w:p w:rsidR="00880F9D" w:rsidRPr="00880F9D" w:rsidRDefault="00880F9D" w:rsidP="00880F9D">
            <w:pPr>
              <w:pStyle w:val="BodyText2"/>
              <w:spacing w:before="120" w:after="120" w:line="240" w:lineRule="auto"/>
              <w:ind w:firstLine="0"/>
              <w:jc w:val="center"/>
              <w:rPr>
                <w:highlight w:val="yellow"/>
              </w:rPr>
            </w:pPr>
            <w:r w:rsidRPr="00880F9D">
              <w:t>3.61%</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363113">
            <w:pPr>
              <w:pStyle w:val="BodyText2"/>
              <w:spacing w:before="120" w:after="120" w:line="240" w:lineRule="auto"/>
              <w:ind w:firstLine="0"/>
              <w:jc w:val="left"/>
              <w:rPr>
                <w:highlight w:val="yellow"/>
              </w:rPr>
            </w:pPr>
            <w:r w:rsidRPr="00880F9D">
              <w:t>Large Sales Service (LGS)</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$299</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0.55%</w:t>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$215</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0.66%</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4F55F3">
            <w:pPr>
              <w:pStyle w:val="BodyText2"/>
              <w:spacing w:line="240" w:lineRule="auto"/>
              <w:ind w:firstLine="0"/>
              <w:jc w:val="left"/>
            </w:pPr>
            <w:r w:rsidRPr="00880F9D">
              <w:t>Large Transportation</w:t>
            </w:r>
          </w:p>
          <w:p w:rsidR="00880F9D" w:rsidRPr="00880F9D" w:rsidRDefault="00880F9D" w:rsidP="00363113">
            <w:pPr>
              <w:pStyle w:val="BodyText2"/>
              <w:spacing w:line="240" w:lineRule="auto"/>
              <w:ind w:firstLine="0"/>
              <w:rPr>
                <w:highlight w:val="yellow"/>
              </w:rPr>
            </w:pPr>
            <w:r w:rsidRPr="00880F9D">
              <w:t>Service (LDS)</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$2,885</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5.28%</w:t>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$1,500</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4.62%</w:t>
            </w:r>
          </w:p>
        </w:tc>
      </w:tr>
      <w:tr w:rsidR="00880F9D" w:rsidRPr="008F78D6" w:rsidTr="00745EDE">
        <w:tc>
          <w:tcPr>
            <w:tcW w:w="270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rPr>
                <w:highlight w:val="yellow"/>
              </w:rPr>
            </w:pPr>
            <w:r w:rsidRPr="00880F9D">
              <w:t>Total</w:t>
            </w:r>
          </w:p>
        </w:tc>
        <w:tc>
          <w:tcPr>
            <w:tcW w:w="162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$54,100</w:t>
            </w:r>
          </w:p>
        </w:tc>
        <w:tc>
          <w:tcPr>
            <w:tcW w:w="199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100%</w:t>
            </w:r>
          </w:p>
        </w:tc>
        <w:tc>
          <w:tcPr>
            <w:tcW w:w="1424"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$32,500</w:t>
            </w:r>
          </w:p>
        </w:tc>
        <w:tc>
          <w:tcPr>
            <w:tcW w:w="1880" w:type="dxa"/>
            <w:tcBorders>
              <w:top w:val="single" w:sz="4" w:space="0" w:color="auto"/>
              <w:left w:val="single" w:sz="4" w:space="0" w:color="auto"/>
              <w:bottom w:val="single" w:sz="4" w:space="0" w:color="auto"/>
              <w:right w:val="single" w:sz="4" w:space="0" w:color="auto"/>
            </w:tcBorders>
            <w:hideMark/>
          </w:tcPr>
          <w:p w:rsidR="00880F9D" w:rsidRPr="00880F9D" w:rsidRDefault="00880F9D" w:rsidP="00880F9D">
            <w:pPr>
              <w:pStyle w:val="BodyText2"/>
              <w:spacing w:before="120" w:after="120" w:line="240" w:lineRule="auto"/>
              <w:ind w:firstLine="0"/>
              <w:jc w:val="center"/>
              <w:rPr>
                <w:highlight w:val="yellow"/>
              </w:rPr>
            </w:pPr>
            <w:r w:rsidRPr="00880F9D">
              <w:t>100%</w:t>
            </w:r>
          </w:p>
        </w:tc>
      </w:tr>
    </w:tbl>
    <w:p w:rsidR="00880F9D" w:rsidRPr="008F78D6" w:rsidRDefault="00880F9D" w:rsidP="00880F9D">
      <w:pPr>
        <w:pStyle w:val="BodyText2"/>
        <w:rPr>
          <w:rFonts w:ascii="Georgia" w:hAnsi="Georgia"/>
        </w:rPr>
      </w:pPr>
    </w:p>
    <w:p w:rsidR="00880F9D" w:rsidRDefault="00880F9D" w:rsidP="00880F9D">
      <w:pPr>
        <w:pStyle w:val="BodyText2"/>
        <w:spacing w:line="360" w:lineRule="auto"/>
        <w:ind w:firstLine="1440"/>
        <w:jc w:val="left"/>
      </w:pPr>
      <w:r w:rsidRPr="00880F9D">
        <w:t xml:space="preserve">As noted above, the revenue allocation under the Settlement represents a compromise and falls within the litigation positions of the Joint Petitioners.  Columbia notes that because of the disagreement over cost allocation studies and the “black box” nature of the Settlement, it is not possible to precisely calculate the extent to which the Settlement moves rates closer to cost of service for all Joint Petitioners.  However, Columbia believes that the </w:t>
      </w:r>
      <w:r w:rsidRPr="00880F9D">
        <w:rPr>
          <w:color w:val="000000"/>
        </w:rPr>
        <w:t>Settlement achieves progress in the movement toward cost-based rates.</w:t>
      </w:r>
      <w:r>
        <w:rPr>
          <w:color w:val="000000"/>
        </w:rPr>
        <w:t xml:space="preserve">  Columbia St. in Support, pp. 11-12.</w:t>
      </w:r>
      <w:r w:rsidRPr="00880F9D">
        <w:t xml:space="preserve">   </w:t>
      </w:r>
    </w:p>
    <w:p w:rsidR="00880F9D" w:rsidRDefault="00880F9D" w:rsidP="00880F9D">
      <w:pPr>
        <w:pStyle w:val="BodyText2"/>
        <w:spacing w:line="360" w:lineRule="auto"/>
        <w:ind w:firstLine="1440"/>
        <w:jc w:val="left"/>
      </w:pPr>
    </w:p>
    <w:p w:rsidR="00880F9D" w:rsidRDefault="00880F9D" w:rsidP="00880F9D">
      <w:pPr>
        <w:pStyle w:val="BodyText2"/>
        <w:spacing w:line="360" w:lineRule="auto"/>
        <w:ind w:firstLine="1440"/>
        <w:jc w:val="left"/>
      </w:pPr>
      <w:r>
        <w:t>b.</w:t>
      </w:r>
      <w:r>
        <w:tab/>
      </w:r>
      <w:r>
        <w:rPr>
          <w:u w:val="single"/>
        </w:rPr>
        <w:t>Rate Design</w:t>
      </w:r>
    </w:p>
    <w:p w:rsidR="00880F9D" w:rsidRDefault="00880F9D" w:rsidP="00880F9D">
      <w:pPr>
        <w:pStyle w:val="BodyText2"/>
        <w:spacing w:line="360" w:lineRule="auto"/>
        <w:ind w:firstLine="1440"/>
        <w:jc w:val="left"/>
      </w:pPr>
    </w:p>
    <w:p w:rsidR="00880F9D" w:rsidRDefault="00880F9D" w:rsidP="00880F9D">
      <w:pPr>
        <w:pStyle w:val="BodyText2"/>
        <w:spacing w:line="360" w:lineRule="auto"/>
        <w:ind w:firstLine="1440"/>
        <w:jc w:val="left"/>
      </w:pPr>
      <w:r>
        <w:tab/>
      </w:r>
      <w:r w:rsidR="00CE5B10">
        <w:t>i</w:t>
      </w:r>
      <w:r>
        <w:t>.</w:t>
      </w:r>
      <w:r>
        <w:tab/>
      </w:r>
      <w:r>
        <w:rPr>
          <w:u w:val="single"/>
        </w:rPr>
        <w:t>Residential Rate Design</w:t>
      </w:r>
    </w:p>
    <w:p w:rsidR="00880F9D" w:rsidRDefault="00880F9D" w:rsidP="00880F9D">
      <w:pPr>
        <w:pStyle w:val="BodyText2"/>
        <w:spacing w:line="360" w:lineRule="auto"/>
        <w:ind w:firstLine="1440"/>
        <w:jc w:val="left"/>
      </w:pPr>
    </w:p>
    <w:p w:rsidR="00880F9D" w:rsidRDefault="00880F9D" w:rsidP="00880F9D">
      <w:pPr>
        <w:pStyle w:val="BodyText2"/>
        <w:spacing w:line="360" w:lineRule="auto"/>
        <w:ind w:firstLine="1440"/>
        <w:jc w:val="left"/>
      </w:pPr>
      <w:r w:rsidRPr="00880F9D">
        <w:t xml:space="preserve">One issue in this proceeding concerned the pro forma throughput volume to be reflected for the residential class. </w:t>
      </w:r>
      <w:r w:rsidR="007A1BB1">
        <w:t xml:space="preserve"> </w:t>
      </w:r>
      <w:r>
        <w:t>B</w:t>
      </w:r>
      <w:r w:rsidRPr="00880F9D">
        <w:t xml:space="preserve">I&amp;E and OCA proposed a higher level of average use per residential customer than proposed by Columbia.  </w:t>
      </w:r>
      <w:proofErr w:type="gramStart"/>
      <w:r w:rsidRPr="00880F9D">
        <w:t>(</w:t>
      </w:r>
      <w:r>
        <w:t>B</w:t>
      </w:r>
      <w:r w:rsidRPr="00880F9D">
        <w:t>I&amp;E Statement No. 3, p. 30; OCA Statement No. 1, pp. 11-14; Columbia Statement No. 102-R, pp. 2-9.)</w:t>
      </w:r>
      <w:proofErr w:type="gramEnd"/>
      <w:r w:rsidRPr="00880F9D">
        <w:t xml:space="preserve">  The Settlement reflects a compromise of the issue, and rates are designed to reflect total pro forma throughput of 80,000,000 </w:t>
      </w:r>
      <w:proofErr w:type="spellStart"/>
      <w:r w:rsidRPr="00880F9D">
        <w:t>Dth</w:t>
      </w:r>
      <w:proofErr w:type="spellEnd"/>
      <w:r w:rsidRPr="00880F9D">
        <w:t xml:space="preserve"> for the Fully Projected Future Test Year (“FPFTY”).  (Settlement ¶ 18; Settlement Appendix “B”.)</w:t>
      </w:r>
      <w:r>
        <w:t>; Columbia St. in Support, p. 13.</w:t>
      </w:r>
      <w:r w:rsidRPr="00880F9D">
        <w:t xml:space="preserve"> </w:t>
      </w:r>
    </w:p>
    <w:p w:rsidR="00880F9D" w:rsidRPr="00880F9D" w:rsidRDefault="00880F9D" w:rsidP="00880F9D">
      <w:pPr>
        <w:pStyle w:val="BodyText2"/>
        <w:spacing w:line="360" w:lineRule="auto"/>
        <w:jc w:val="left"/>
      </w:pPr>
    </w:p>
    <w:p w:rsidR="0093626D" w:rsidRDefault="00880F9D" w:rsidP="00880F9D">
      <w:pPr>
        <w:pStyle w:val="BodyText2"/>
        <w:spacing w:line="360" w:lineRule="auto"/>
        <w:ind w:firstLine="1440"/>
        <w:jc w:val="left"/>
      </w:pPr>
      <w:r w:rsidRPr="00880F9D">
        <w:t xml:space="preserve">In this proceeding, Columbia proposed to increase the customer charges for residential customers from $16.75 to $22.50.  </w:t>
      </w:r>
      <w:proofErr w:type="gramStart"/>
      <w:r w:rsidRPr="00880F9D">
        <w:t>(Columbia Statement No. 3, p. 23.)</w:t>
      </w:r>
      <w:proofErr w:type="gramEnd"/>
      <w:r w:rsidRPr="00880F9D">
        <w:t xml:space="preserve">  This increase was opposed by OCA and </w:t>
      </w:r>
      <w:r w:rsidR="0093626D">
        <w:t>B</w:t>
      </w:r>
      <w:r w:rsidRPr="00880F9D">
        <w:t xml:space="preserve">I&amp;E.  </w:t>
      </w:r>
      <w:proofErr w:type="gramStart"/>
      <w:r w:rsidRPr="00880F9D">
        <w:t xml:space="preserve">(OCA Statement No. 3, pp. 30-32; </w:t>
      </w:r>
      <w:r w:rsidR="0093626D">
        <w:t>B</w:t>
      </w:r>
      <w:r w:rsidRPr="00880F9D">
        <w:t>I&amp;E Statement No. 3, p.</w:t>
      </w:r>
      <w:r w:rsidR="00665577">
        <w:t> </w:t>
      </w:r>
      <w:r w:rsidRPr="00880F9D">
        <w:t>46.)</w:t>
      </w:r>
      <w:proofErr w:type="gramEnd"/>
      <w:r w:rsidRPr="00880F9D">
        <w:t xml:space="preserve">  As part of the Settlement, the Joint Petitioners have agreed that the </w:t>
      </w:r>
      <w:r w:rsidR="00954A70">
        <w:t>r</w:t>
      </w:r>
      <w:r w:rsidRPr="00880F9D">
        <w:t>esidential customer charge will remain at the current rate of $16.75/month. (Settlement ¶ 28.)</w:t>
      </w:r>
      <w:r w:rsidR="0093626D">
        <w:t xml:space="preserve">; Columbia St. in Support, p. 13. </w:t>
      </w:r>
    </w:p>
    <w:p w:rsidR="0093626D" w:rsidRDefault="0093626D" w:rsidP="00880F9D">
      <w:pPr>
        <w:pStyle w:val="BodyText2"/>
        <w:spacing w:line="360" w:lineRule="auto"/>
        <w:ind w:firstLine="1440"/>
        <w:jc w:val="left"/>
      </w:pPr>
    </w:p>
    <w:p w:rsidR="00745EDE" w:rsidRDefault="008C1EEA" w:rsidP="004262C8">
      <w:pPr>
        <w:pStyle w:val="BodyText2"/>
        <w:spacing w:line="360" w:lineRule="auto"/>
        <w:jc w:val="left"/>
      </w:pPr>
      <w:r>
        <w:tab/>
      </w:r>
      <w:r>
        <w:tab/>
        <w:t>ii</w:t>
      </w:r>
      <w:r w:rsidR="000B3322">
        <w:t>.</w:t>
      </w:r>
      <w:r w:rsidR="000B3322">
        <w:tab/>
      </w:r>
      <w:r w:rsidR="000B3322">
        <w:rPr>
          <w:u w:val="single"/>
        </w:rPr>
        <w:t xml:space="preserve">Commercial and Industrial Rate </w:t>
      </w:r>
      <w:r w:rsidR="000B3322" w:rsidRPr="00745EDE">
        <w:rPr>
          <w:u w:val="single"/>
        </w:rPr>
        <w:t>Design</w:t>
      </w:r>
    </w:p>
    <w:p w:rsidR="00745EDE" w:rsidRDefault="00745EDE" w:rsidP="00745EDE">
      <w:pPr>
        <w:pStyle w:val="BodyText2"/>
        <w:spacing w:line="360" w:lineRule="auto"/>
        <w:ind w:firstLine="1440"/>
        <w:jc w:val="left"/>
      </w:pPr>
    </w:p>
    <w:p w:rsidR="00745EDE" w:rsidRDefault="000B3322" w:rsidP="00745EDE">
      <w:pPr>
        <w:pStyle w:val="BodyText2"/>
        <w:spacing w:line="360" w:lineRule="auto"/>
        <w:ind w:firstLine="1440"/>
        <w:jc w:val="left"/>
      </w:pPr>
      <w:r w:rsidRPr="00745EDE">
        <w:t xml:space="preserve">In this proceeding Columbia proposed to increase the customer charges for small commercial and industrial customers.  Specifically, Columbia proposed to increase the customer charge for customers under Rates Small General Sales Service (“SGSS”), Small Commercial Distribution (“SCD”), and Small General Distribution Service (“SGDS”) using up to 6,440 </w:t>
      </w:r>
      <w:proofErr w:type="spellStart"/>
      <w:r w:rsidRPr="00745EDE">
        <w:t>therms</w:t>
      </w:r>
      <w:proofErr w:type="spellEnd"/>
      <w:r w:rsidRPr="00745EDE">
        <w:t xml:space="preserve"> annually to $27.75.  </w:t>
      </w:r>
      <w:proofErr w:type="gramStart"/>
      <w:r w:rsidRPr="00745EDE">
        <w:t>(Columbia Statement No. 3, p. 27.)</w:t>
      </w:r>
      <w:proofErr w:type="gramEnd"/>
      <w:r w:rsidRPr="00745EDE">
        <w:t xml:space="preserve">  In addition, the Company proposed that the customer charge for customers under these rate schedules that use more than 6,440 </w:t>
      </w:r>
      <w:proofErr w:type="spellStart"/>
      <w:r w:rsidRPr="00745EDE">
        <w:t>therms</w:t>
      </w:r>
      <w:proofErr w:type="spellEnd"/>
      <w:r w:rsidRPr="00745EDE">
        <w:t xml:space="preserve"> annually be increased to $42.  </w:t>
      </w:r>
      <w:proofErr w:type="gramStart"/>
      <w:r w:rsidRPr="00745EDE">
        <w:t>(Columbia Statement No. 3, p. 27.)</w:t>
      </w:r>
      <w:proofErr w:type="gramEnd"/>
      <w:r w:rsidRPr="00745EDE">
        <w:t xml:space="preserve">  The OSBA objected to the proposed increase to the customer charge for customers under Rates SGSS, SCD, and SGDS using up to 6,440 </w:t>
      </w:r>
      <w:proofErr w:type="spellStart"/>
      <w:r w:rsidRPr="00745EDE">
        <w:t>therms</w:t>
      </w:r>
      <w:proofErr w:type="spellEnd"/>
      <w:r w:rsidRPr="00745EDE">
        <w:t xml:space="preserve"> annually.  </w:t>
      </w:r>
      <w:proofErr w:type="gramStart"/>
      <w:r w:rsidRPr="00745EDE">
        <w:t>(OSBA Statement No. 1, pp. 19-20.)</w:t>
      </w:r>
      <w:proofErr w:type="gramEnd"/>
      <w:r w:rsidRPr="00745EDE">
        <w:t xml:space="preserve">  Instead, the OSBA recommended that the customer charge for these customers be adjusted to $21.25.  </w:t>
      </w:r>
      <w:proofErr w:type="gramStart"/>
      <w:r w:rsidRPr="00745EDE">
        <w:t>(OSBA Statement No. 1, p. 20.)</w:t>
      </w:r>
      <w:proofErr w:type="gramEnd"/>
      <w:r w:rsidRPr="00745EDE">
        <w:t xml:space="preserve">  Under the Settlement, the Joint Petitioners agreed that the customer charge shall be $21.25 per month for customers under Rates SGSS, SCD, and SGDS using up to 6,440 </w:t>
      </w:r>
      <w:proofErr w:type="spellStart"/>
      <w:r w:rsidRPr="00745EDE">
        <w:t>therms</w:t>
      </w:r>
      <w:proofErr w:type="spellEnd"/>
      <w:r w:rsidRPr="00745EDE">
        <w:t xml:space="preserve"> annually.  (Settlement ¶ 29.)</w:t>
      </w:r>
      <w:r w:rsidR="00745EDE">
        <w:t>; Columbia St. in Support, pp. 13-14.</w:t>
      </w:r>
    </w:p>
    <w:p w:rsidR="00B10501" w:rsidRDefault="00B10501" w:rsidP="00745EDE">
      <w:pPr>
        <w:pStyle w:val="BodyText2"/>
        <w:spacing w:line="360" w:lineRule="auto"/>
        <w:ind w:firstLine="1440"/>
        <w:jc w:val="left"/>
      </w:pPr>
    </w:p>
    <w:p w:rsidR="00BA74E5" w:rsidRDefault="000B3322" w:rsidP="00745EDE">
      <w:pPr>
        <w:pStyle w:val="BodyText2"/>
        <w:keepNext/>
        <w:spacing w:line="360" w:lineRule="auto"/>
        <w:ind w:firstLine="1440"/>
        <w:jc w:val="left"/>
      </w:pPr>
      <w:r w:rsidRPr="00745EDE">
        <w:t xml:space="preserve">In addition, under the Settlement, the Joint Petitioners agreed that the customer charge for customers under Rates SGSS, SCD, and SGDS using over 6,440 </w:t>
      </w:r>
      <w:proofErr w:type="spellStart"/>
      <w:r w:rsidRPr="00745EDE">
        <w:t>therms</w:t>
      </w:r>
      <w:proofErr w:type="spellEnd"/>
      <w:r w:rsidRPr="00745EDE">
        <w:t xml:space="preserve"> up to 64,400 </w:t>
      </w:r>
      <w:proofErr w:type="spellStart"/>
      <w:r w:rsidRPr="00745EDE">
        <w:t>therms</w:t>
      </w:r>
      <w:proofErr w:type="spellEnd"/>
      <w:r w:rsidRPr="00745EDE">
        <w:t xml:space="preserve"> annually shall be $48 per month.  </w:t>
      </w:r>
      <w:proofErr w:type="gramStart"/>
      <w:r w:rsidRPr="00745EDE">
        <w:t>(Settlement ¶ 29.)</w:t>
      </w:r>
      <w:proofErr w:type="gramEnd"/>
      <w:r w:rsidRPr="00745EDE">
        <w:t xml:space="preserve">  </w:t>
      </w:r>
      <w:r w:rsidR="00745EDE">
        <w:t>According to Columbia, t</w:t>
      </w:r>
      <w:r w:rsidRPr="00745EDE">
        <w:t xml:space="preserve">his is consistent with the OSBA’s proposal in its direct testimony.  </w:t>
      </w:r>
      <w:proofErr w:type="gramStart"/>
      <w:r w:rsidRPr="00745EDE">
        <w:t>(OSBA Statement No. 1, p. 20.)</w:t>
      </w:r>
      <w:proofErr w:type="gramEnd"/>
      <w:r w:rsidRPr="00745EDE">
        <w:t xml:space="preserve">  This reflects a reduction from Columbia’s original proposal, which is associated with the Settlement reached relative to the Company’s revenue requirement.</w:t>
      </w:r>
      <w:r w:rsidR="00112325">
        <w:t xml:space="preserve">  Columbia St. in Support, p.</w:t>
      </w:r>
      <w:r w:rsidR="001C614D">
        <w:t> </w:t>
      </w:r>
      <w:r w:rsidR="00112325">
        <w:t>14.</w:t>
      </w:r>
      <w:r w:rsidR="00745EDE" w:rsidRPr="00745EDE">
        <w:t xml:space="preserve">  </w:t>
      </w:r>
    </w:p>
    <w:p w:rsidR="00BA74E5" w:rsidRDefault="00BA74E5" w:rsidP="00745EDE">
      <w:pPr>
        <w:pStyle w:val="BodyText2"/>
        <w:keepNext/>
        <w:spacing w:line="360" w:lineRule="auto"/>
        <w:ind w:firstLine="1440"/>
        <w:jc w:val="left"/>
      </w:pPr>
    </w:p>
    <w:p w:rsidR="00112325" w:rsidRDefault="000B3322" w:rsidP="00112325">
      <w:pPr>
        <w:pStyle w:val="BodyText2"/>
        <w:keepNext/>
        <w:spacing w:line="360" w:lineRule="auto"/>
        <w:ind w:firstLine="1440"/>
        <w:jc w:val="left"/>
      </w:pPr>
      <w:r w:rsidRPr="00745EDE">
        <w:t>In this proceeding, Columbia initially proposed a 5.28% rate increase for Large Distribution Service (“LDS”)</w:t>
      </w:r>
      <w:r w:rsidR="00112325">
        <w:t xml:space="preserve">, </w:t>
      </w:r>
      <w:r w:rsidR="00BA74E5">
        <w:t xml:space="preserve">commercial and industrial customers using greater than 540,000 </w:t>
      </w:r>
      <w:proofErr w:type="spellStart"/>
      <w:r w:rsidR="00BA74E5">
        <w:t>therms</w:t>
      </w:r>
      <w:proofErr w:type="spellEnd"/>
      <w:r w:rsidR="00BA74E5">
        <w:t xml:space="preserve"> annually.  </w:t>
      </w:r>
      <w:proofErr w:type="gramStart"/>
      <w:r w:rsidRPr="00745EDE">
        <w:t>(Columbia Statement No. 3, p. 27.)</w:t>
      </w:r>
      <w:proofErr w:type="gramEnd"/>
      <w:r w:rsidRPr="00745EDE">
        <w:t xml:space="preserve">  Columbia’s proposed customer charges for the LGS</w:t>
      </w:r>
      <w:r w:rsidR="00BA74E5">
        <w:t xml:space="preserve"> (commercial and industrial sales customers using more than 64,400 </w:t>
      </w:r>
      <w:proofErr w:type="spellStart"/>
      <w:r w:rsidR="00BA74E5">
        <w:t>therms</w:t>
      </w:r>
      <w:proofErr w:type="spellEnd"/>
      <w:r w:rsidR="00BA74E5">
        <w:t xml:space="preserve"> annually, “LGSS”)</w:t>
      </w:r>
      <w:r w:rsidRPr="00745EDE">
        <w:t xml:space="preserve"> and SDS</w:t>
      </w:r>
      <w:r w:rsidR="00BA74E5">
        <w:t xml:space="preserve"> (commercial and industrial distribution customers using between 64,400 and 540,000 </w:t>
      </w:r>
      <w:proofErr w:type="spellStart"/>
      <w:r w:rsidR="00BA74E5">
        <w:t>therms</w:t>
      </w:r>
      <w:proofErr w:type="spellEnd"/>
      <w:r w:rsidR="00BA74E5">
        <w:t xml:space="preserve"> annually)</w:t>
      </w:r>
      <w:r w:rsidRPr="00745EDE">
        <w:t xml:space="preserve"> customers in this proceeding made them consistent with the LDS rate schedule.  </w:t>
      </w:r>
      <w:proofErr w:type="gramStart"/>
      <w:r w:rsidRPr="00745EDE">
        <w:t>(Columbia Statement No. 3, p. 21.)</w:t>
      </w:r>
      <w:proofErr w:type="gramEnd"/>
      <w:r w:rsidRPr="00745EDE">
        <w:t xml:space="preserve">  Witnesses for CII and PSU testified that the LDS rate increase, as proposed, was burdensome, in part because the LDS rate class includes customers who are on flex rates, and therefore are not subject to the increase.  </w:t>
      </w:r>
      <w:proofErr w:type="gramStart"/>
      <w:r w:rsidRPr="00745EDE">
        <w:t>(CII Statement No.</w:t>
      </w:r>
      <w:r w:rsidR="00665577">
        <w:t> </w:t>
      </w:r>
      <w:r w:rsidRPr="00745EDE">
        <w:t>1, p. 14; PSU Statement No. 1-SR, pp. 11-13.)</w:t>
      </w:r>
      <w:proofErr w:type="gramEnd"/>
      <w:r w:rsidRPr="00745EDE">
        <w:t xml:space="preserve">  As a result of negotiations, the </w:t>
      </w:r>
      <w:r w:rsidR="00745EDE">
        <w:t>Joint Petitioners</w:t>
      </w:r>
      <w:r w:rsidRPr="00745EDE">
        <w:t xml:space="preserve"> agreed to reduce the total increase to the LDS class from the Company’s proposal of $2,885,000 to $1,500,000.</w:t>
      </w:r>
      <w:r w:rsidR="00112325">
        <w:t xml:space="preserve">  Columbia St. in Support, p. 14.</w:t>
      </w:r>
      <w:r w:rsidR="00112325" w:rsidRPr="00745EDE">
        <w:t xml:space="preserve">  </w:t>
      </w:r>
    </w:p>
    <w:p w:rsidR="007261CF" w:rsidRDefault="007261CF" w:rsidP="00112325">
      <w:pPr>
        <w:pStyle w:val="BodyText2"/>
        <w:keepNext/>
        <w:spacing w:line="360" w:lineRule="auto"/>
        <w:ind w:firstLine="1440"/>
        <w:jc w:val="left"/>
      </w:pPr>
    </w:p>
    <w:p w:rsidR="00112325" w:rsidRDefault="008C1EEA" w:rsidP="007261CF">
      <w:pPr>
        <w:pStyle w:val="BodyText2"/>
        <w:keepNext/>
        <w:spacing w:line="360" w:lineRule="auto"/>
        <w:jc w:val="left"/>
      </w:pPr>
      <w:r>
        <w:t>7</w:t>
      </w:r>
      <w:r w:rsidR="00112325">
        <w:t>.</w:t>
      </w:r>
      <w:r w:rsidR="00112325">
        <w:tab/>
      </w:r>
      <w:r w:rsidR="00112325">
        <w:rPr>
          <w:u w:val="single"/>
        </w:rPr>
        <w:t>Other Charges and Riders</w:t>
      </w:r>
    </w:p>
    <w:p w:rsidR="00112325" w:rsidRDefault="00112325" w:rsidP="00112325">
      <w:pPr>
        <w:pStyle w:val="BodyText2"/>
        <w:keepNext/>
        <w:spacing w:line="360" w:lineRule="auto"/>
        <w:ind w:firstLine="0"/>
        <w:jc w:val="left"/>
      </w:pPr>
    </w:p>
    <w:p w:rsidR="00112325" w:rsidRDefault="00112325" w:rsidP="00112325">
      <w:pPr>
        <w:pStyle w:val="BodyText2"/>
        <w:spacing w:line="360" w:lineRule="auto"/>
        <w:ind w:firstLine="1440"/>
        <w:jc w:val="left"/>
      </w:pPr>
      <w:r w:rsidRPr="00112325">
        <w:t xml:space="preserve">Consistent with the Commission’s June 23, 2011 Final Rulemaking Order at Docket No. L-2008-2069114, Columbia designed a gas procurement charge (“GPC”) in order to remove natural gas procurement costs from base rates and to recover those fuel acquisition costs as part of the “price to compare,” on a revenue neutral basis via an automatic adjustment charge only to be recalculated in a base rate case.  As proposed by Columbia, the GPC included the labor and benefits costs associated with gas procurement activities, including external legal costs.  </w:t>
      </w:r>
      <w:proofErr w:type="gramStart"/>
      <w:r w:rsidRPr="00112325">
        <w:t>(Columbia Statement No. 3, p. 29.)</w:t>
      </w:r>
      <w:proofErr w:type="gramEnd"/>
      <w:r w:rsidRPr="00112325">
        <w:t xml:space="preserve">  Columbia proposed a GPC of $0.00162 per </w:t>
      </w:r>
      <w:proofErr w:type="spellStart"/>
      <w:r w:rsidRPr="00112325">
        <w:t>therm</w:t>
      </w:r>
      <w:proofErr w:type="spellEnd"/>
      <w:r w:rsidRPr="00112325">
        <w:t>, later revised to $0.00149 per therm.  (Columbia Statement No. 3, p. 29; Columbia Ex. MJB-3; Columbia Statement No. 103-R, p. 18; Columbia Ex. MJB-2R.)</w:t>
      </w:r>
      <w:r>
        <w:t>; Columbia St. in Support, pp.</w:t>
      </w:r>
      <w:r w:rsidR="00DE27F3">
        <w:t> </w:t>
      </w:r>
      <w:r>
        <w:t xml:space="preserve">14-15.  </w:t>
      </w:r>
    </w:p>
    <w:p w:rsidR="00112325" w:rsidRDefault="00112325" w:rsidP="00112325">
      <w:pPr>
        <w:pStyle w:val="BodyText2"/>
        <w:spacing w:line="360" w:lineRule="auto"/>
        <w:ind w:firstLine="1440"/>
        <w:jc w:val="left"/>
      </w:pPr>
    </w:p>
    <w:p w:rsidR="00BF4D9C" w:rsidRDefault="00112325" w:rsidP="00BF4D9C">
      <w:pPr>
        <w:pStyle w:val="BodyText2"/>
        <w:spacing w:line="360" w:lineRule="auto"/>
        <w:ind w:firstLine="1440"/>
        <w:jc w:val="left"/>
      </w:pPr>
      <w:r w:rsidRPr="00112325">
        <w:t xml:space="preserve">The NGS </w:t>
      </w:r>
      <w:r>
        <w:t xml:space="preserve">Parties </w:t>
      </w:r>
      <w:r w:rsidRPr="00112325">
        <w:t xml:space="preserve">presented testimony in support of a higher GPC that included additional costs.  </w:t>
      </w:r>
      <w:proofErr w:type="gramStart"/>
      <w:r w:rsidRPr="00112325">
        <w:t xml:space="preserve">(NGS </w:t>
      </w:r>
      <w:r>
        <w:t>Parties</w:t>
      </w:r>
      <w:r w:rsidRPr="00112325">
        <w:t xml:space="preserve"> Statement No. 1, pp. 13-22.)</w:t>
      </w:r>
      <w:proofErr w:type="gramEnd"/>
      <w:r w:rsidRPr="00112325">
        <w:t xml:space="preserve">  Under the Settlement, the Joint Petitioners were able to reach an amicable resolution relative to the level of the GPC that reflects an amount between the proposals of Columbia and the NGS</w:t>
      </w:r>
      <w:r>
        <w:t xml:space="preserve"> Parties.  </w:t>
      </w:r>
      <w:r w:rsidRPr="00112325">
        <w:t xml:space="preserve">Specifically, the Joint Petitioners have agreed that the Company’s GPC shall be set at $0.00695 per therm.  </w:t>
      </w:r>
      <w:proofErr w:type="gramStart"/>
      <w:r w:rsidRPr="00112325">
        <w:t>(Settlement ¶ 33.)</w:t>
      </w:r>
      <w:proofErr w:type="gramEnd"/>
      <w:r w:rsidRPr="00112325">
        <w:t xml:space="preserve">  The GPC is included in the increase in operating revenues and has been accounted for in the design of base rates by removing such amount from the RS</w:t>
      </w:r>
      <w:r w:rsidR="00BF4D9C">
        <w:t xml:space="preserve"> (residential sales)</w:t>
      </w:r>
      <w:r w:rsidRPr="00112325">
        <w:t>, SG and LG classes on a throughput basis.  (Settlement ¶ 33.)</w:t>
      </w:r>
      <w:r w:rsidR="00BF4D9C">
        <w:t xml:space="preserve">; Columbia St. in Support, p. 15.  </w:t>
      </w:r>
    </w:p>
    <w:p w:rsidR="00BF4D9C" w:rsidRDefault="00BF4D9C" w:rsidP="00BF4D9C">
      <w:pPr>
        <w:pStyle w:val="BodyText2"/>
        <w:spacing w:line="360" w:lineRule="auto"/>
        <w:ind w:firstLine="1440"/>
        <w:jc w:val="left"/>
      </w:pPr>
    </w:p>
    <w:p w:rsidR="00BF4D9C" w:rsidRDefault="00112325" w:rsidP="00BF4D9C">
      <w:pPr>
        <w:pStyle w:val="BodyText2"/>
        <w:spacing w:line="360" w:lineRule="auto"/>
        <w:ind w:firstLine="1440"/>
        <w:jc w:val="left"/>
      </w:pPr>
      <w:r w:rsidRPr="00112325">
        <w:t xml:space="preserve">The Joint Petitioners have also agreed and the Settlement reflects a change to the Company’s Merchant Function Charge (“MFC”), based upon the uncollectible accounts percentage rate used for ratemaking purposes in this proceeding.  </w:t>
      </w:r>
      <w:proofErr w:type="gramStart"/>
      <w:r w:rsidRPr="00112325">
        <w:t>(Columbia Statement No.</w:t>
      </w:r>
      <w:r w:rsidR="00F50A8A">
        <w:t> </w:t>
      </w:r>
      <w:r w:rsidRPr="00112325">
        <w:t>106</w:t>
      </w:r>
      <w:r w:rsidR="00F50A8A">
        <w:noBreakHyphen/>
      </w:r>
      <w:r w:rsidRPr="00112325">
        <w:t>R, p. 25; Columbia Ex. MJB-1.)</w:t>
      </w:r>
      <w:proofErr w:type="gramEnd"/>
      <w:r w:rsidRPr="00112325">
        <w:t xml:space="preserve">  Specifically, the Settlement provides for a MFC of 1.5% for residential customers and a MFC of 0.51% for non-residential customers.  </w:t>
      </w:r>
      <w:r w:rsidR="00BF4D9C">
        <w:t>T</w:t>
      </w:r>
      <w:r w:rsidRPr="00112325">
        <w:t>he updated MFC rates shall be reflected in the Company’s Purchase of Receivables discount rates.  (Settlement ¶ 32.)</w:t>
      </w:r>
      <w:r w:rsidR="00BF4D9C">
        <w:t xml:space="preserve">; Columbia St. in Support, p. 15.  </w:t>
      </w:r>
    </w:p>
    <w:p w:rsidR="00BF4D9C" w:rsidRDefault="00BF4D9C" w:rsidP="00BF4D9C">
      <w:pPr>
        <w:pStyle w:val="BodyText2"/>
        <w:spacing w:line="360" w:lineRule="auto"/>
        <w:ind w:firstLine="1440"/>
        <w:jc w:val="left"/>
      </w:pPr>
    </w:p>
    <w:p w:rsidR="00B02278" w:rsidRDefault="00112325" w:rsidP="00B02278">
      <w:pPr>
        <w:pStyle w:val="BodyText2"/>
        <w:spacing w:line="360" w:lineRule="auto"/>
        <w:ind w:firstLine="1440"/>
        <w:jc w:val="left"/>
      </w:pPr>
      <w:r w:rsidRPr="00112325">
        <w:t xml:space="preserve">The Joint Petitioners have also agreed that one of Columbia’s proposed charges, the Choice Administrative Charge (“CAC”) will not be adopted in this proceeding.  </w:t>
      </w:r>
      <w:proofErr w:type="gramStart"/>
      <w:r w:rsidRPr="00112325">
        <w:t>(Settlement ¶ 31.)</w:t>
      </w:r>
      <w:proofErr w:type="gramEnd"/>
      <w:r w:rsidRPr="00112325">
        <w:t xml:space="preserve">  Columbia had proposed the CAC to recover costs incurred to administer and maintain the Choice Program and Gas Distribution Service Program on Columbia’s system.  </w:t>
      </w:r>
      <w:proofErr w:type="gramStart"/>
      <w:r w:rsidRPr="00112325">
        <w:t>(Columbia Statement No. 12, p. 19.)</w:t>
      </w:r>
      <w:proofErr w:type="gramEnd"/>
      <w:r w:rsidRPr="00112325">
        <w:t xml:space="preserve">  Columbia proposed to recover these costs on a volumetric basis. </w:t>
      </w:r>
      <w:proofErr w:type="gramStart"/>
      <w:r w:rsidRPr="00112325">
        <w:t>(Columbia Statement No. 3, p. 29.)</w:t>
      </w:r>
      <w:proofErr w:type="gramEnd"/>
      <w:r w:rsidRPr="00112325">
        <w:t xml:space="preserve">  The NGS </w:t>
      </w:r>
      <w:r w:rsidR="00B02278">
        <w:t>Parties</w:t>
      </w:r>
      <w:r w:rsidRPr="00112325">
        <w:t xml:space="preserve"> and PSU opposed the charge.  </w:t>
      </w:r>
      <w:proofErr w:type="gramStart"/>
      <w:r w:rsidRPr="00112325">
        <w:t xml:space="preserve">(NGS </w:t>
      </w:r>
      <w:r w:rsidR="00B02278">
        <w:t>Parties</w:t>
      </w:r>
      <w:r w:rsidRPr="00112325">
        <w:t xml:space="preserve"> Statement No. 1, pp. 9-13; PSU Statement No. 1, pp. 6-10.)</w:t>
      </w:r>
      <w:proofErr w:type="gramEnd"/>
      <w:r w:rsidRPr="00112325">
        <w:t xml:space="preserve">  In order to reach a settlement in this proceeding, Columbia agreed to not adopt the charge at this time.</w:t>
      </w:r>
      <w:r w:rsidR="00B02278">
        <w:t xml:space="preserve">  Columbia St. in Support, p. 16.  </w:t>
      </w:r>
    </w:p>
    <w:p w:rsidR="007C611C" w:rsidRDefault="00112325" w:rsidP="007C611C">
      <w:pPr>
        <w:pStyle w:val="BodyText2"/>
        <w:spacing w:line="360" w:lineRule="auto"/>
        <w:ind w:firstLine="1440"/>
        <w:jc w:val="left"/>
      </w:pPr>
      <w:r w:rsidRPr="00112325">
        <w:t xml:space="preserve">The NGS </w:t>
      </w:r>
      <w:r w:rsidR="00B02278">
        <w:t>Parties</w:t>
      </w:r>
      <w:r w:rsidRPr="00112325">
        <w:t xml:space="preserve"> proposed in their direct testimony that Columbia would adjust its penalty charges to Shippers for delivery failure.  </w:t>
      </w:r>
      <w:proofErr w:type="gramStart"/>
      <w:r w:rsidRPr="00112325">
        <w:t xml:space="preserve">(NGS </w:t>
      </w:r>
      <w:r w:rsidR="00B02278">
        <w:t xml:space="preserve">Parties </w:t>
      </w:r>
      <w:r w:rsidRPr="00112325">
        <w:t>Statement No. 2, p. 4.)</w:t>
      </w:r>
      <w:proofErr w:type="gramEnd"/>
      <w:r w:rsidRPr="00112325">
        <w:t xml:space="preserve">  The NGS </w:t>
      </w:r>
      <w:r w:rsidR="00B02278">
        <w:t>Parties</w:t>
      </w:r>
      <w:r w:rsidRPr="00112325">
        <w:t xml:space="preserve"> argued that Columbia’s penalty charges were excessive.  </w:t>
      </w:r>
      <w:proofErr w:type="gramStart"/>
      <w:r w:rsidRPr="00112325">
        <w:t xml:space="preserve">(NGS </w:t>
      </w:r>
      <w:r w:rsidR="00B02278">
        <w:t xml:space="preserve">Parties </w:t>
      </w:r>
      <w:r w:rsidRPr="00112325">
        <w:t>Statement No. 2, p. 4.)</w:t>
      </w:r>
      <w:proofErr w:type="gramEnd"/>
      <w:r w:rsidRPr="00112325">
        <w:t xml:space="preserve">  Columbia’s Witness </w:t>
      </w:r>
      <w:r w:rsidR="00CB291F">
        <w:t xml:space="preserve">Nancy J.D. </w:t>
      </w:r>
      <w:proofErr w:type="spellStart"/>
      <w:r w:rsidRPr="00112325">
        <w:t>Krajovic</w:t>
      </w:r>
      <w:proofErr w:type="spellEnd"/>
      <w:r w:rsidRPr="00112325">
        <w:t xml:space="preserve"> testified that Columbia’s penalties were appropriately priced to ensure consistency of supply by Choice Suppliers and to create a disincentive for pricing arbitrage.  </w:t>
      </w:r>
      <w:proofErr w:type="gramStart"/>
      <w:r w:rsidRPr="00112325">
        <w:t>(Columbia Statement No. 106-R, pp. 26-32.)</w:t>
      </w:r>
      <w:proofErr w:type="gramEnd"/>
      <w:r w:rsidRPr="00112325">
        <w:t xml:space="preserve">  </w:t>
      </w:r>
      <w:r w:rsidR="000D587E">
        <w:t>According to Columbia, a</w:t>
      </w:r>
      <w:r w:rsidRPr="00112325">
        <w:t xml:space="preserve">fter negotiations and in order to reach a full settlement in this proceeding, the NGS </w:t>
      </w:r>
      <w:r w:rsidR="000D587E">
        <w:t>Parties</w:t>
      </w:r>
      <w:r w:rsidRPr="00112325">
        <w:t xml:space="preserve"> agreed that Columbia should not adjust its penalty charges at this time.  (Settlement ¶ 34.)</w:t>
      </w:r>
      <w:r w:rsidR="007C611C">
        <w:t xml:space="preserve">; Columbia St. in Support, p. 16.  </w:t>
      </w:r>
    </w:p>
    <w:p w:rsidR="007C611C" w:rsidRDefault="007C611C" w:rsidP="007C611C">
      <w:pPr>
        <w:pStyle w:val="BodyText2"/>
        <w:spacing w:line="360" w:lineRule="auto"/>
        <w:ind w:firstLine="1440"/>
        <w:jc w:val="left"/>
      </w:pPr>
    </w:p>
    <w:p w:rsidR="007C611C" w:rsidRDefault="008C1EEA" w:rsidP="00780F82">
      <w:pPr>
        <w:pStyle w:val="BodyText2"/>
        <w:spacing w:line="360" w:lineRule="auto"/>
        <w:jc w:val="left"/>
      </w:pPr>
      <w:r>
        <w:t>8</w:t>
      </w:r>
      <w:r w:rsidR="007C611C">
        <w:t>.</w:t>
      </w:r>
      <w:r w:rsidR="007C611C">
        <w:tab/>
      </w:r>
      <w:r w:rsidR="007C611C">
        <w:rPr>
          <w:u w:val="single"/>
        </w:rPr>
        <w:t>Conclusions as to Rate Design</w:t>
      </w:r>
    </w:p>
    <w:p w:rsidR="007C611C" w:rsidRDefault="007C611C" w:rsidP="007C611C">
      <w:pPr>
        <w:pStyle w:val="BodyText2"/>
        <w:spacing w:line="360" w:lineRule="auto"/>
        <w:ind w:firstLine="0"/>
        <w:jc w:val="left"/>
      </w:pPr>
    </w:p>
    <w:p w:rsidR="007C611C" w:rsidRDefault="007C611C" w:rsidP="007C611C">
      <w:pPr>
        <w:pStyle w:val="BodyText2"/>
        <w:spacing w:line="360" w:lineRule="auto"/>
        <w:ind w:firstLine="1440"/>
        <w:jc w:val="left"/>
        <w:rPr>
          <w:color w:val="000000"/>
        </w:rPr>
      </w:pPr>
      <w:r>
        <w:t>Columbia concludes that t</w:t>
      </w:r>
      <w:r w:rsidRPr="007C611C">
        <w:t xml:space="preserve">he proposed changes to the rate design for all customer classes, as set forth in Appendix “B” to the Settlement, reflect an accord reached between the Joint Petitioners as to the rate design to be used to recover the rate increases allocated under the Settlement to the Company’s customers.  Columbia submits that </w:t>
      </w:r>
      <w:r w:rsidRPr="007C611C">
        <w:rPr>
          <w:color w:val="000000"/>
        </w:rPr>
        <w:t>the Settlement reflects an acceptable compromise of the competing litigation positions of the Joint Petitioners relative to rate design.</w:t>
      </w:r>
      <w:r w:rsidR="00A2091A">
        <w:rPr>
          <w:color w:val="000000"/>
        </w:rPr>
        <w:t xml:space="preserve">  Columbia St. in Support, pp. 16-17.</w:t>
      </w:r>
    </w:p>
    <w:p w:rsidR="006C103F" w:rsidRDefault="006C103F" w:rsidP="006C103F">
      <w:pPr>
        <w:pStyle w:val="BodyText2"/>
        <w:spacing w:line="360" w:lineRule="auto"/>
        <w:ind w:firstLine="0"/>
        <w:jc w:val="left"/>
        <w:rPr>
          <w:color w:val="000000"/>
        </w:rPr>
      </w:pPr>
    </w:p>
    <w:p w:rsidR="006C103F" w:rsidRDefault="006C103F" w:rsidP="006C103F">
      <w:pPr>
        <w:pStyle w:val="BodyText2"/>
        <w:spacing w:line="360" w:lineRule="auto"/>
        <w:ind w:firstLine="0"/>
        <w:jc w:val="left"/>
        <w:rPr>
          <w:color w:val="000000"/>
        </w:rPr>
      </w:pPr>
      <w:r>
        <w:rPr>
          <w:color w:val="000000"/>
        </w:rPr>
        <w:tab/>
      </w:r>
      <w:r w:rsidR="00130995">
        <w:rPr>
          <w:color w:val="000000"/>
        </w:rPr>
        <w:t>9</w:t>
      </w:r>
      <w:r>
        <w:rPr>
          <w:color w:val="000000"/>
        </w:rPr>
        <w:t>.</w:t>
      </w:r>
      <w:r>
        <w:rPr>
          <w:color w:val="000000"/>
        </w:rPr>
        <w:tab/>
      </w:r>
      <w:r>
        <w:rPr>
          <w:color w:val="000000"/>
          <w:u w:val="single"/>
        </w:rPr>
        <w:t>Tariff Rule 8.2.1-Main Extension Model</w:t>
      </w:r>
    </w:p>
    <w:p w:rsidR="006C103F" w:rsidRDefault="006C103F" w:rsidP="006C103F">
      <w:pPr>
        <w:pStyle w:val="BodyText2"/>
        <w:spacing w:line="360" w:lineRule="auto"/>
        <w:ind w:firstLine="0"/>
        <w:jc w:val="left"/>
        <w:rPr>
          <w:color w:val="000000"/>
        </w:rPr>
      </w:pPr>
    </w:p>
    <w:p w:rsidR="006C103F" w:rsidRDefault="006C103F" w:rsidP="006C103F">
      <w:pPr>
        <w:pStyle w:val="ListNumber"/>
        <w:numPr>
          <w:ilvl w:val="0"/>
          <w:numId w:val="0"/>
        </w:numPr>
        <w:spacing w:line="360" w:lineRule="auto"/>
        <w:ind w:firstLine="1440"/>
      </w:pPr>
      <w:r w:rsidRPr="006C103F">
        <w:t xml:space="preserve">In direct testimony, OCA Witness </w:t>
      </w:r>
      <w:r>
        <w:t xml:space="preserve">Glenn A. </w:t>
      </w:r>
      <w:r w:rsidRPr="006C103F">
        <w:t xml:space="preserve">Watkins proposed that Tariff Rule 8.2.1 be modified.  Tariff Rule 8.2.1 relates to the policy for residential capital expenditure for main extensions.  Mr. Watkins proposed that the Discounted Cash Flow (“DCF”) analysis used to determine the amount of any residential customer Contributions in Aid of Construction (“CIAC”) continue to incorporate a tax deductible provision for interest expense.  (OCA Statement No. 3, p. 33.) </w:t>
      </w:r>
      <w:r w:rsidR="00567DE1">
        <w:t xml:space="preserve"> </w:t>
      </w:r>
      <w:r w:rsidRPr="006C103F">
        <w:t xml:space="preserve">Columbia agreed that the tax deductible provision should be included.  (Columbia Statement No. 106-R, p. 15).   Therefore, the Settlement provides that the DCF model used by Columbia for main extensions will continue to incorporate a tax deductible provision for interest expense with the determination of expected future discounted cash flows.  (Settlement ¶ 35.)  Further, the </w:t>
      </w:r>
      <w:r>
        <w:t>Joint Petitioners</w:t>
      </w:r>
      <w:r w:rsidRPr="006C103F">
        <w:t xml:space="preserve"> agree</w:t>
      </w:r>
      <w:r>
        <w:t>d</w:t>
      </w:r>
      <w:r w:rsidRPr="006C103F">
        <w:t xml:space="preserve"> that the DCF model that results from the Rider New Area Service (“NAS”) proceeding, at Docket No. R-2014-</w:t>
      </w:r>
      <w:proofErr w:type="gramStart"/>
      <w:r w:rsidRPr="006C103F">
        <w:t>2407345,</w:t>
      </w:r>
      <w:proofErr w:type="gramEnd"/>
      <w:r w:rsidRPr="006C103F">
        <w:t xml:space="preserve"> will be used by Columbia for all residential main extensions until the next base rate proceeding.  In the next base rate proceeding, all </w:t>
      </w:r>
      <w:r>
        <w:t>Joint Petitioners</w:t>
      </w:r>
      <w:r w:rsidRPr="006C103F">
        <w:t xml:space="preserve"> reserve their right to propose changes to the DCF model.  (Settlement ¶ 36.)</w:t>
      </w:r>
      <w:r>
        <w:t>; Columbia St. in Support, p. 17.</w:t>
      </w:r>
    </w:p>
    <w:p w:rsidR="006C103F" w:rsidRDefault="006C103F" w:rsidP="006C103F">
      <w:pPr>
        <w:pStyle w:val="ListNumber"/>
        <w:numPr>
          <w:ilvl w:val="0"/>
          <w:numId w:val="0"/>
        </w:numPr>
        <w:spacing w:line="360" w:lineRule="auto"/>
      </w:pPr>
    </w:p>
    <w:p w:rsidR="006C103F" w:rsidRDefault="006C103F" w:rsidP="006C103F">
      <w:pPr>
        <w:pStyle w:val="ListNumber"/>
        <w:numPr>
          <w:ilvl w:val="0"/>
          <w:numId w:val="0"/>
        </w:numPr>
        <w:spacing w:line="360" w:lineRule="auto"/>
      </w:pPr>
      <w:r>
        <w:tab/>
      </w:r>
      <w:r w:rsidR="00130995">
        <w:t>10</w:t>
      </w:r>
      <w:r>
        <w:t>.</w:t>
      </w:r>
      <w:r>
        <w:tab/>
      </w:r>
      <w:r>
        <w:rPr>
          <w:u w:val="single"/>
        </w:rPr>
        <w:t>Universal Service and Conservation</w:t>
      </w:r>
    </w:p>
    <w:p w:rsidR="006C103F" w:rsidRDefault="006C103F" w:rsidP="006C103F">
      <w:pPr>
        <w:pStyle w:val="ListNumber"/>
        <w:numPr>
          <w:ilvl w:val="0"/>
          <w:numId w:val="0"/>
        </w:numPr>
        <w:spacing w:line="360" w:lineRule="auto"/>
      </w:pPr>
    </w:p>
    <w:p w:rsidR="00030CA2" w:rsidRDefault="006C103F" w:rsidP="00030CA2">
      <w:pPr>
        <w:pStyle w:val="BodyText2"/>
        <w:spacing w:line="360" w:lineRule="auto"/>
        <w:ind w:firstLine="1440"/>
        <w:jc w:val="left"/>
      </w:pPr>
      <w:r w:rsidRPr="006C103F">
        <w:t xml:space="preserve">The Settlement includes several provisions related to Columbia’s Universal Service Programs.  The Settlement provides that funding for the Company’s </w:t>
      </w:r>
      <w:proofErr w:type="spellStart"/>
      <w:r w:rsidRPr="006C103F">
        <w:t>WarmWise</w:t>
      </w:r>
      <w:proofErr w:type="spellEnd"/>
      <w:r w:rsidRPr="006C103F">
        <w:t xml:space="preserve">® Low Income Usage Reduction Program (“LIURP”) will be increased from $4.5 million to $4.75 million, commencing with the effective date of rates in this proceeding.  This increase </w:t>
      </w:r>
      <w:r w:rsidR="00983C51">
        <w:t xml:space="preserve">would be </w:t>
      </w:r>
      <w:r w:rsidRPr="006C103F">
        <w:t xml:space="preserve">incremental to the $32.5 million increase in operating revenue discussed above.  </w:t>
      </w:r>
      <w:proofErr w:type="gramStart"/>
      <w:r w:rsidRPr="006C103F">
        <w:t>(Settlement ¶ 40.)</w:t>
      </w:r>
      <w:proofErr w:type="gramEnd"/>
      <w:r w:rsidRPr="006C103F">
        <w:t xml:space="preserve">  In addition, </w:t>
      </w:r>
      <w:r w:rsidR="00030CA2">
        <w:t xml:space="preserve">the Settlement provides that </w:t>
      </w:r>
      <w:r w:rsidRPr="006C103F">
        <w:t xml:space="preserve">the </w:t>
      </w:r>
      <w:proofErr w:type="spellStart"/>
      <w:r w:rsidRPr="006C103F">
        <w:t>WarmWise</w:t>
      </w:r>
      <w:proofErr w:type="spellEnd"/>
      <w:r w:rsidRPr="006C103F">
        <w:t xml:space="preserve">® LIURP funding will continue to be recovered under the Company’s existing Rider USP – Universal Service Plan and any resulting unspent balance in the designated </w:t>
      </w:r>
      <w:proofErr w:type="spellStart"/>
      <w:r w:rsidRPr="006C103F">
        <w:t>WarmWise</w:t>
      </w:r>
      <w:proofErr w:type="spellEnd"/>
      <w:r w:rsidRPr="006C103F">
        <w:t>® LIURP funding account</w:t>
      </w:r>
      <w:r w:rsidR="00030CA2">
        <w:t xml:space="preserve"> will carry over and </w:t>
      </w:r>
      <w:r w:rsidRPr="006C103F">
        <w:t xml:space="preserve">remain in that account.  </w:t>
      </w:r>
      <w:proofErr w:type="gramStart"/>
      <w:r w:rsidRPr="006C103F">
        <w:t>(Settlement ¶ 40.)</w:t>
      </w:r>
      <w:proofErr w:type="gramEnd"/>
      <w:r w:rsidRPr="006C103F">
        <w:t xml:space="preserve">  Further, the Settlement provides that the </w:t>
      </w:r>
      <w:r w:rsidR="00030CA2">
        <w:t>Joint Petitioners</w:t>
      </w:r>
      <w:r w:rsidRPr="006C103F">
        <w:t xml:space="preserve"> agree to not propose any further change to LIURP funding for a period of three years commencing with the effective date of the rates in this proceeding.  (Settlement ¶ 40.)</w:t>
      </w:r>
      <w:r>
        <w:t>; Columbia St. in Support, pp. 17-18.</w:t>
      </w:r>
      <w:r w:rsidR="00030CA2">
        <w:t xml:space="preserve">  </w:t>
      </w:r>
    </w:p>
    <w:p w:rsidR="00030CA2" w:rsidRDefault="00030CA2" w:rsidP="00030CA2">
      <w:pPr>
        <w:pStyle w:val="BodyText2"/>
        <w:spacing w:line="360" w:lineRule="auto"/>
        <w:ind w:firstLine="1440"/>
        <w:jc w:val="left"/>
      </w:pPr>
    </w:p>
    <w:p w:rsidR="005C68BD" w:rsidRDefault="005C68BD" w:rsidP="005C68BD">
      <w:pPr>
        <w:pStyle w:val="BodyText2"/>
        <w:spacing w:line="360" w:lineRule="auto"/>
        <w:ind w:firstLine="1440"/>
        <w:jc w:val="left"/>
      </w:pPr>
      <w:r>
        <w:t>Columbia points out that its</w:t>
      </w:r>
      <w:r w:rsidR="006C103F" w:rsidRPr="006C103F">
        <w:t xml:space="preserve"> current LIURP funding, on a per customer basis, is second only to Philadelphia Gas Works, and is substantially greater than the funding of other gas utilities.  </w:t>
      </w:r>
      <w:proofErr w:type="gramStart"/>
      <w:r w:rsidR="006C103F" w:rsidRPr="006C103F">
        <w:t>(Columbia Statement No. 114-R, p. 3.)</w:t>
      </w:r>
      <w:proofErr w:type="gramEnd"/>
      <w:r w:rsidR="006C103F" w:rsidRPr="006C103F">
        <w:t xml:space="preserve">  Since 2005, Columbia has weatherized over 3,400 homes but has deferred weatherizing over 3,000 residences due to structural issues.  </w:t>
      </w:r>
      <w:proofErr w:type="gramStart"/>
      <w:r w:rsidR="006C103F" w:rsidRPr="006C103F">
        <w:t>(Columbia Statement No. 114-R, p. 4.)</w:t>
      </w:r>
      <w:proofErr w:type="gramEnd"/>
      <w:r w:rsidR="006C103F" w:rsidRPr="006C103F">
        <w:t xml:space="preserve">  In addition to requiring that homes be structurally sound, these programs depend upon willing and cooperative participants.  Over the years, the more accessible homes have been weatherized, leaving a higher percentage of the harder to reach homes and rental units.  As these homes are more difficult and costly to reach, there becomes a diminishing return on additional investment of ratepayer dollars.  </w:t>
      </w:r>
      <w:proofErr w:type="gramStart"/>
      <w:r w:rsidR="006C103F" w:rsidRPr="006C103F">
        <w:t>(Columbia Statement No.</w:t>
      </w:r>
      <w:r w:rsidR="00843D72">
        <w:t> </w:t>
      </w:r>
      <w:r w:rsidR="006C103F" w:rsidRPr="006C103F">
        <w:t>114</w:t>
      </w:r>
      <w:r w:rsidR="00843D72">
        <w:t> </w:t>
      </w:r>
      <w:r w:rsidR="006C103F" w:rsidRPr="006C103F">
        <w:t>R, p. 4.)</w:t>
      </w:r>
      <w:proofErr w:type="gramEnd"/>
      <w:r w:rsidR="006C103F" w:rsidRPr="006C103F">
        <w:t xml:space="preserve">  Columbia supports the modest increase to its LIURP funding provided for in the Settlement and </w:t>
      </w:r>
      <w:r>
        <w:t xml:space="preserve">agrees to </w:t>
      </w:r>
      <w:r w:rsidR="006C103F" w:rsidRPr="006C103F">
        <w:t xml:space="preserve">continue its efforts to weatherize eligible homes in its service territory.  However, </w:t>
      </w:r>
      <w:r>
        <w:t xml:space="preserve">according to Columbia, </w:t>
      </w:r>
      <w:r w:rsidR="006C103F" w:rsidRPr="006C103F">
        <w:t xml:space="preserve">the difficulty in finding enough homes to weatherize is a reason why the </w:t>
      </w:r>
      <w:r>
        <w:t>Joint Petitioners</w:t>
      </w:r>
      <w:r w:rsidR="006C103F" w:rsidRPr="006C103F">
        <w:t xml:space="preserve"> have agreed not to propose further changes in funding for a three-year period.</w:t>
      </w:r>
      <w:r>
        <w:t xml:space="preserve">  Columbia St. in Support, p. 18.  </w:t>
      </w:r>
    </w:p>
    <w:p w:rsidR="005C68BD" w:rsidRDefault="005C68BD" w:rsidP="005C68BD">
      <w:pPr>
        <w:pStyle w:val="BodyText2"/>
        <w:spacing w:line="360" w:lineRule="auto"/>
        <w:ind w:firstLine="1440"/>
        <w:jc w:val="left"/>
      </w:pPr>
    </w:p>
    <w:p w:rsidR="005C68BD" w:rsidRDefault="005C68BD" w:rsidP="005C68BD">
      <w:pPr>
        <w:pStyle w:val="BodyText2"/>
        <w:spacing w:line="360" w:lineRule="auto"/>
        <w:ind w:firstLine="1440"/>
        <w:jc w:val="left"/>
      </w:pPr>
      <w:r>
        <w:t>I</w:t>
      </w:r>
      <w:r w:rsidR="006C103F" w:rsidRPr="006C103F">
        <w:t xml:space="preserve">n addition, the Settlement includes provisions related to Columbia’s </w:t>
      </w:r>
      <w:proofErr w:type="spellStart"/>
      <w:r w:rsidR="006C103F" w:rsidRPr="006C103F">
        <w:t>WarmWise</w:t>
      </w:r>
      <w:proofErr w:type="spellEnd"/>
      <w:r w:rsidR="006C103F" w:rsidRPr="006C103F">
        <w:t xml:space="preserve">® Audits and Rebates (“WWA&amp;R”) program.  The WWA&amp;R program is an energy efficiency program that provides audits and rebates for qualifying Columbia customers who may not be eligible for other low income weatherization programs.  The authorized budget for WWA&amp;R is $750,000.  </w:t>
      </w:r>
      <w:proofErr w:type="gramStart"/>
      <w:r w:rsidR="006C103F" w:rsidRPr="006C103F">
        <w:t>(Columbia Statement No. 115-R, pp. 2-4.)</w:t>
      </w:r>
      <w:proofErr w:type="gramEnd"/>
      <w:r w:rsidR="006C103F" w:rsidRPr="006C103F">
        <w:t xml:space="preserve">  First, under the Settlement, the income eligibility threshold floor of 151% of the Federal Poverty Level is eliminated.  </w:t>
      </w:r>
      <w:proofErr w:type="gramStart"/>
      <w:r w:rsidR="006C103F" w:rsidRPr="006C103F">
        <w:t>(Settlement ¶ 41.)</w:t>
      </w:r>
      <w:proofErr w:type="gramEnd"/>
      <w:r w:rsidR="006C103F" w:rsidRPr="006C103F">
        <w:t xml:space="preserve">  This will expand the eligibility for WWA&amp;R benefits.  Second, within six months of the effective date of rates in this proceeding, the Company </w:t>
      </w:r>
      <w:r>
        <w:t>agrees to</w:t>
      </w:r>
      <w:r w:rsidR="006C103F" w:rsidRPr="006C103F">
        <w:t xml:space="preserve"> convene a stakeholder meeting to investigate whether the program can be utilized to serve multi</w:t>
      </w:r>
      <w:r w:rsidR="00783061">
        <w:t>-</w:t>
      </w:r>
      <w:r w:rsidR="006C103F" w:rsidRPr="006C103F">
        <w:t xml:space="preserve">family housing units.  </w:t>
      </w:r>
      <w:proofErr w:type="gramStart"/>
      <w:r w:rsidR="006C103F" w:rsidRPr="006C103F">
        <w:t>(Settlement ¶ 41.)</w:t>
      </w:r>
      <w:proofErr w:type="gramEnd"/>
      <w:r w:rsidR="006C103F" w:rsidRPr="006C103F">
        <w:t xml:space="preserve">  Such a program was proposed by CAUSE-PA, but was not supported by Columbia because the Company believes additional investigation into the effectiveness of such a program is necessary prior to the commitment of ratepayer funds.  </w:t>
      </w:r>
      <w:proofErr w:type="gramStart"/>
      <w:r w:rsidR="006C103F" w:rsidRPr="006C103F">
        <w:t>(CAUSE-PA Statement No. 1, pp. 13-16; Columbia Statement No. 115-R, pp. 5-6.)</w:t>
      </w:r>
      <w:proofErr w:type="gramEnd"/>
      <w:r w:rsidR="006C103F" w:rsidRPr="006C103F">
        <w:t xml:space="preserve">  </w:t>
      </w:r>
      <w:r>
        <w:t>According to Columbia, t</w:t>
      </w:r>
      <w:r w:rsidR="006C103F" w:rsidRPr="006C103F">
        <w:t>he program would be limited to multi</w:t>
      </w:r>
      <w:r w:rsidR="00783061">
        <w:t>-</w:t>
      </w:r>
      <w:r w:rsidR="006C103F" w:rsidRPr="006C103F">
        <w:t xml:space="preserve">family housing units that are individually metered.  </w:t>
      </w:r>
      <w:proofErr w:type="gramStart"/>
      <w:r w:rsidR="006C103F" w:rsidRPr="006C103F">
        <w:t>(Settlement ¶ 41.)</w:t>
      </w:r>
      <w:proofErr w:type="gramEnd"/>
      <w:r w:rsidR="006C103F" w:rsidRPr="006C103F">
        <w:t xml:space="preserve">  This condition was proposed by the OCA.  (OCA Statement No. 4-R, p. 5.)</w:t>
      </w:r>
      <w:r>
        <w:t>; Columbia St. in Support, pp. 18-19.</w:t>
      </w:r>
      <w:r w:rsidR="006C103F" w:rsidRPr="006C103F">
        <w:t xml:space="preserve">  </w:t>
      </w:r>
    </w:p>
    <w:p w:rsidR="008A5CC6" w:rsidRDefault="008A5CC6" w:rsidP="005C68BD">
      <w:pPr>
        <w:pStyle w:val="BodyText2"/>
        <w:spacing w:line="360" w:lineRule="auto"/>
        <w:ind w:firstLine="0"/>
        <w:jc w:val="left"/>
      </w:pPr>
    </w:p>
    <w:p w:rsidR="005C68BD" w:rsidRDefault="005C68BD" w:rsidP="005C68BD">
      <w:pPr>
        <w:pStyle w:val="BodyText2"/>
        <w:spacing w:line="360" w:lineRule="auto"/>
        <w:ind w:firstLine="0"/>
        <w:jc w:val="left"/>
      </w:pPr>
      <w:r>
        <w:tab/>
      </w:r>
      <w:r w:rsidR="008C1EEA">
        <w:t>1</w:t>
      </w:r>
      <w:r w:rsidR="0045436C">
        <w:t>1</w:t>
      </w:r>
      <w:r>
        <w:t>.</w:t>
      </w:r>
      <w:r>
        <w:tab/>
      </w:r>
      <w:r>
        <w:rPr>
          <w:u w:val="single"/>
        </w:rPr>
        <w:t>Other Issues</w:t>
      </w:r>
    </w:p>
    <w:p w:rsidR="005C68BD" w:rsidRDefault="005C68BD" w:rsidP="005C68BD">
      <w:pPr>
        <w:pStyle w:val="BodyText2"/>
        <w:spacing w:line="360" w:lineRule="auto"/>
        <w:ind w:firstLine="0"/>
        <w:jc w:val="left"/>
      </w:pPr>
    </w:p>
    <w:p w:rsidR="005C68BD" w:rsidRDefault="005C68BD" w:rsidP="005C68BD">
      <w:pPr>
        <w:pStyle w:val="BodyText2"/>
        <w:spacing w:line="360" w:lineRule="auto"/>
        <w:ind w:firstLine="0"/>
        <w:jc w:val="left"/>
      </w:pPr>
      <w:r>
        <w:tab/>
      </w:r>
      <w:r>
        <w:tab/>
        <w:t>a.</w:t>
      </w:r>
      <w:r>
        <w:tab/>
      </w:r>
      <w:r>
        <w:rPr>
          <w:u w:val="single"/>
        </w:rPr>
        <w:t>Future Case Presentation</w:t>
      </w:r>
    </w:p>
    <w:p w:rsidR="005C68BD" w:rsidRDefault="005C68BD" w:rsidP="005C68BD">
      <w:pPr>
        <w:pStyle w:val="BodyText2"/>
        <w:spacing w:line="360" w:lineRule="auto"/>
        <w:ind w:firstLine="0"/>
        <w:jc w:val="left"/>
      </w:pPr>
    </w:p>
    <w:p w:rsidR="00491485" w:rsidRDefault="005C68BD" w:rsidP="005C68BD">
      <w:pPr>
        <w:pStyle w:val="BodyText2"/>
        <w:spacing w:line="360" w:lineRule="auto"/>
        <w:ind w:firstLine="1440"/>
        <w:jc w:val="left"/>
      </w:pPr>
      <w:r w:rsidRPr="00491485">
        <w:t xml:space="preserve">In this proceeding, Columbia utilized a budget methodology to support its operations and maintenance (“O&amp;M”) costs.  This process was described in detail in the testimony of Columbia Witness </w:t>
      </w:r>
      <w:r w:rsidR="0022082F">
        <w:t xml:space="preserve">Matthew T. </w:t>
      </w:r>
      <w:r w:rsidRPr="00491485">
        <w:t xml:space="preserve">Hanson.  </w:t>
      </w:r>
      <w:proofErr w:type="gramStart"/>
      <w:r w:rsidRPr="00491485">
        <w:t>(Columbia Statement No. 9, pp. 2-11.)</w:t>
      </w:r>
      <w:proofErr w:type="gramEnd"/>
      <w:r w:rsidRPr="00491485">
        <w:t xml:space="preserve"> </w:t>
      </w:r>
      <w:r w:rsidR="000B67E1">
        <w:t xml:space="preserve"> B</w:t>
      </w:r>
      <w:r w:rsidRPr="00491485">
        <w:t xml:space="preserve">I&amp;E Witness </w:t>
      </w:r>
      <w:r w:rsidR="00B313C8">
        <w:t xml:space="preserve">Christine </w:t>
      </w:r>
      <w:r w:rsidRPr="00491485">
        <w:t xml:space="preserve">Wilson identified concerns that </w:t>
      </w:r>
      <w:r w:rsidR="000B4290">
        <w:t>B</w:t>
      </w:r>
      <w:r w:rsidRPr="00491485">
        <w:t xml:space="preserve">I&amp;E had with Columbia’s presentation using the budget methodology.  </w:t>
      </w:r>
      <w:proofErr w:type="gramStart"/>
      <w:r w:rsidRPr="00491485">
        <w:t>(</w:t>
      </w:r>
      <w:r w:rsidR="000B4290">
        <w:t>B</w:t>
      </w:r>
      <w:r w:rsidRPr="00491485">
        <w:t>I&amp;E Statement No. 2, pp. 3-7.)</w:t>
      </w:r>
      <w:proofErr w:type="gramEnd"/>
      <w:r w:rsidRPr="00491485">
        <w:t xml:space="preserve">  The issues identified in Witness Wilson’s direct testimony were addressed by the Company in its rebuttal testimony relating to disputed O&amp;M expenses.  </w:t>
      </w:r>
      <w:proofErr w:type="gramStart"/>
      <w:r w:rsidRPr="00491485">
        <w:t>(Columbia Statement No. 109-R, pp. 2-10.)</w:t>
      </w:r>
      <w:r w:rsidR="00491485">
        <w:t>; Columbia St. in Support, pp.</w:t>
      </w:r>
      <w:r w:rsidR="00D82B6F">
        <w:t> </w:t>
      </w:r>
      <w:r w:rsidR="00491485">
        <w:t>19</w:t>
      </w:r>
      <w:r w:rsidR="00D82B6F">
        <w:noBreakHyphen/>
      </w:r>
      <w:r w:rsidR="00491485">
        <w:t>20.</w:t>
      </w:r>
      <w:proofErr w:type="gramEnd"/>
      <w:r w:rsidR="00491485">
        <w:t xml:space="preserve">  </w:t>
      </w:r>
    </w:p>
    <w:p w:rsidR="00491485" w:rsidRDefault="00491485" w:rsidP="005C68BD">
      <w:pPr>
        <w:pStyle w:val="BodyText2"/>
        <w:spacing w:line="360" w:lineRule="auto"/>
        <w:ind w:firstLine="1440"/>
        <w:jc w:val="left"/>
      </w:pPr>
    </w:p>
    <w:p w:rsidR="005C68BD" w:rsidRDefault="005C68BD" w:rsidP="005C68BD">
      <w:pPr>
        <w:pStyle w:val="BodyText2"/>
        <w:spacing w:line="360" w:lineRule="auto"/>
        <w:ind w:firstLine="1440"/>
        <w:jc w:val="left"/>
      </w:pPr>
      <w:r w:rsidRPr="005C68BD">
        <w:t xml:space="preserve">As a result of discussions between the </w:t>
      </w:r>
      <w:r>
        <w:t>Joint Petitioners</w:t>
      </w:r>
      <w:r w:rsidRPr="005C68BD">
        <w:t xml:space="preserve"> on the proper presentation of its O&amp;M information, Columbia has agreed that in all future base rate cases, whether the Company uses a “build-up” or “budget-based” filing format, the schedules for O&amp;M as detailed on Columbia Exhibit No. 104 shall display differences between the pro forma Historic Test Year (“HTY”) and Future Test Year (“FTY”) amounts, as well as the differences between the FTY and FPFTY amounts.  </w:t>
      </w:r>
      <w:proofErr w:type="gramStart"/>
      <w:r w:rsidRPr="005C68BD">
        <w:t>(Settlement ¶ 37.)</w:t>
      </w:r>
      <w:proofErr w:type="gramEnd"/>
      <w:r w:rsidRPr="005C68BD">
        <w:t xml:space="preserve">  The schedules will support the total FPFTY claim amounts, rather than supporting only differences between FTY budget and claim amounts and FPFTY budget and claim amounts.  </w:t>
      </w:r>
      <w:proofErr w:type="gramStart"/>
      <w:r w:rsidRPr="005C68BD">
        <w:t>(Settlement ¶ 37.)</w:t>
      </w:r>
      <w:proofErr w:type="gramEnd"/>
      <w:r w:rsidRPr="005C68BD">
        <w:t xml:space="preserve">  Columbia </w:t>
      </w:r>
      <w:r>
        <w:t>agrees to</w:t>
      </w:r>
      <w:r w:rsidRPr="005C68BD">
        <w:t xml:space="preserve"> provide further details in future filings explaining increases in budget categories between test periods in whatever form the Company has available or can reasonably produce.  </w:t>
      </w:r>
      <w:proofErr w:type="gramStart"/>
      <w:r w:rsidRPr="005C68BD">
        <w:t>(Settlement ¶ 37.)</w:t>
      </w:r>
      <w:proofErr w:type="gramEnd"/>
      <w:r w:rsidRPr="005C68BD">
        <w:t xml:space="preserve">  </w:t>
      </w:r>
      <w:r>
        <w:t>Columbia asserts that t</w:t>
      </w:r>
      <w:r w:rsidRPr="005C68BD">
        <w:t>his Settlement provision will improve the analysis process associated with O&amp;M expenses, and serve to reduce controversy regarding future O&amp;M claims and the administrative burden on all parties.</w:t>
      </w:r>
      <w:r>
        <w:t xml:space="preserve">  Columbia St. in Support, p</w:t>
      </w:r>
      <w:r w:rsidR="00491485">
        <w:t xml:space="preserve">. </w:t>
      </w:r>
      <w:r>
        <w:t>20.</w:t>
      </w:r>
    </w:p>
    <w:p w:rsidR="005C68BD" w:rsidRDefault="005C68BD" w:rsidP="005C68BD">
      <w:pPr>
        <w:pStyle w:val="BodyText2"/>
        <w:spacing w:line="360" w:lineRule="auto"/>
        <w:ind w:firstLine="1440"/>
        <w:jc w:val="left"/>
      </w:pPr>
    </w:p>
    <w:p w:rsidR="005C68BD" w:rsidRDefault="005C68BD" w:rsidP="005C68BD">
      <w:pPr>
        <w:pStyle w:val="BodyText2"/>
        <w:spacing w:line="360" w:lineRule="auto"/>
        <w:ind w:firstLine="1440"/>
        <w:jc w:val="left"/>
      </w:pPr>
      <w:r>
        <w:t>b.</w:t>
      </w:r>
      <w:r>
        <w:tab/>
      </w:r>
      <w:r>
        <w:rPr>
          <w:u w:val="single"/>
        </w:rPr>
        <w:t>Restoration Costs</w:t>
      </w:r>
    </w:p>
    <w:p w:rsidR="005C68BD" w:rsidRDefault="005C68BD" w:rsidP="005C68BD">
      <w:pPr>
        <w:pStyle w:val="BodyText2"/>
        <w:spacing w:line="360" w:lineRule="auto"/>
        <w:ind w:firstLine="0"/>
        <w:jc w:val="left"/>
      </w:pPr>
    </w:p>
    <w:p w:rsidR="00976AD3" w:rsidRDefault="00976AD3" w:rsidP="00976AD3">
      <w:pPr>
        <w:pStyle w:val="ListNumber"/>
        <w:numPr>
          <w:ilvl w:val="0"/>
          <w:numId w:val="0"/>
        </w:numPr>
        <w:spacing w:line="360" w:lineRule="auto"/>
        <w:ind w:firstLine="1440"/>
      </w:pPr>
      <w:r>
        <w:t>B</w:t>
      </w:r>
      <w:r w:rsidR="005C68BD" w:rsidRPr="005C68BD">
        <w:t xml:space="preserve">I&amp;E Witness </w:t>
      </w:r>
      <w:r>
        <w:t xml:space="preserve">Paul </w:t>
      </w:r>
      <w:r w:rsidR="005C68BD" w:rsidRPr="005C68BD">
        <w:t>Metro identified in direct testimony that Columbia’s main replacement program included significant costs imposed upon the Company by municipalities.  (</w:t>
      </w:r>
      <w:r>
        <w:t>B</w:t>
      </w:r>
      <w:r w:rsidR="005C68BD" w:rsidRPr="005C68BD">
        <w:t>I&amp;E Statement No. 6, pp. 4-5.)  Principal among these are costs associated with paving and restoration.  (</w:t>
      </w:r>
      <w:r>
        <w:t>B</w:t>
      </w:r>
      <w:r w:rsidR="005C68BD" w:rsidRPr="005C68BD">
        <w:t xml:space="preserve">I&amp;E Statement No. 6, p. 5-6.)  As Columbia indicated in its rebuttal testimony responding to Witness Metro, unlike other states, Pennsylvania has not adopted any law that gives a single state agency authority to set common standards.  Instead, municipalities have substantial authority to establish their own street opening and restoration standards.  (Columbia Statement No. 107-R, p. 2.) </w:t>
      </w:r>
      <w:r w:rsidR="00C96DE4">
        <w:t xml:space="preserve"> </w:t>
      </w:r>
      <w:r w:rsidR="005C68BD" w:rsidRPr="005C68BD">
        <w:t xml:space="preserve">Therefore, </w:t>
      </w:r>
      <w:r>
        <w:t xml:space="preserve">according to Columbia, </w:t>
      </w:r>
      <w:r w:rsidR="005C68BD" w:rsidRPr="005C68BD">
        <w:t>Pennsylvania utilities</w:t>
      </w:r>
      <w:r>
        <w:t xml:space="preserve"> </w:t>
      </w:r>
      <w:r w:rsidR="005C68BD" w:rsidRPr="005C68BD">
        <w:t xml:space="preserve">have limited options to oppose the kinds of restoration demands that have been adopted by an increasing number of municipalities.  (Columbia Statement No. 107-R, pp. 3, 5-7.)  However, as addressed by Columbia Witness </w:t>
      </w:r>
      <w:r>
        <w:t xml:space="preserve">Danny G. </w:t>
      </w:r>
      <w:r w:rsidR="005C68BD" w:rsidRPr="005C68BD">
        <w:t xml:space="preserve">Cote, the Company attempts to work with municipalities and other utilities to reduce municipal requirements, including paving </w:t>
      </w:r>
      <w:proofErr w:type="gramStart"/>
      <w:r w:rsidR="005C68BD" w:rsidRPr="005C68BD">
        <w:t>requirements,</w:t>
      </w:r>
      <w:proofErr w:type="gramEnd"/>
      <w:r w:rsidR="005C68BD" w:rsidRPr="005C68BD">
        <w:t xml:space="preserve"> and the Company pushes back where possible.  (Columbia Statement No. 107-R, pp. 7-8.)  In addition, the Company employs several other measures to mitigate the cost of restoration, including locating facilities along the side of the road, using directional boring technology to avoid the need for trenching, and partnering with other utilities that need to do work in the same area, allowing both parties to reduce restoration costs.  (Columbia Statement No. 107-R, pp. 8-9.)  However, Columbia remains subject to the regulations adopted by the jurisdictions in which it operates.  Therefore, in many instances Columbia must undertake the projects that it has identified, and must comply with the street opening regulations of the municipalities.  (Columbia Statement No. 107-R, pp. 9-10.)</w:t>
      </w:r>
      <w:r>
        <w:t xml:space="preserve">; Columbia St. in Support, pp. 20-21.  </w:t>
      </w:r>
    </w:p>
    <w:p w:rsidR="00976AD3" w:rsidRDefault="00976AD3" w:rsidP="00976AD3">
      <w:pPr>
        <w:pStyle w:val="ListNumber"/>
        <w:numPr>
          <w:ilvl w:val="0"/>
          <w:numId w:val="0"/>
        </w:numPr>
        <w:spacing w:line="360" w:lineRule="auto"/>
        <w:ind w:firstLine="1440"/>
      </w:pPr>
    </w:p>
    <w:p w:rsidR="00874963" w:rsidRDefault="005C68BD" w:rsidP="00874963">
      <w:pPr>
        <w:pStyle w:val="ListNumber"/>
        <w:numPr>
          <w:ilvl w:val="0"/>
          <w:numId w:val="0"/>
        </w:numPr>
        <w:spacing w:line="360" w:lineRule="auto"/>
        <w:ind w:firstLine="1440"/>
      </w:pPr>
      <w:r w:rsidRPr="005C68BD">
        <w:t xml:space="preserve">In an effort to address the concern of costs being imposed by municipalities, particularly in light of Columbia’s ongoing main replacement program, the </w:t>
      </w:r>
      <w:r w:rsidR="00976AD3">
        <w:t xml:space="preserve">Joint Petitioners </w:t>
      </w:r>
      <w:r w:rsidRPr="005C68BD">
        <w:t>agreed that Columbia will meet with the Commission’s Gas Safety Division and other interested parties to identify increasing state, county and municipal requirements that exceed the Pennsylvania Department of Transportation restoration standards and add to the cost of pipeline replacements, in an effort to develop coordinated potential responses to such requirements.  (Settlement ¶ 38.)  Columbia also</w:t>
      </w:r>
      <w:r w:rsidR="00874963">
        <w:t xml:space="preserve"> agrees to</w:t>
      </w:r>
      <w:r w:rsidRPr="005C68BD">
        <w:t xml:space="preserve"> undertake audits of the restoration costs for its ten largest projects in the prior year, identifying costs incurred in excess of the Pennsylvania Department of Transportation restoration standards for paving, sidewalk repair and permitting fees.  (Settlement ¶ 38.)  Finally, Columbia </w:t>
      </w:r>
      <w:r w:rsidR="00874963">
        <w:t>agrees to</w:t>
      </w:r>
      <w:r w:rsidRPr="005C68BD">
        <w:t xml:space="preserve"> continue its efforts to reduce restoration costs, including, but not limited to, coordinating pipe replacement projects with other street projects, and replacing pipe using trenchless construction techniques where technically and economically feasible. </w:t>
      </w:r>
      <w:r w:rsidR="0021205C">
        <w:t xml:space="preserve"> </w:t>
      </w:r>
      <w:r w:rsidRPr="005C68BD">
        <w:t>(Settlement ¶ 39.)</w:t>
      </w:r>
      <w:r w:rsidR="00874963">
        <w:t xml:space="preserve">; Columbia St. in Support, pp. 21-22.  </w:t>
      </w:r>
    </w:p>
    <w:p w:rsidR="00874963" w:rsidRDefault="00874963" w:rsidP="00874963">
      <w:pPr>
        <w:pStyle w:val="ListNumber"/>
        <w:numPr>
          <w:ilvl w:val="0"/>
          <w:numId w:val="0"/>
        </w:numPr>
        <w:spacing w:line="360" w:lineRule="auto"/>
        <w:ind w:firstLine="1440"/>
      </w:pPr>
    </w:p>
    <w:p w:rsidR="00874963" w:rsidRDefault="00874963" w:rsidP="00874963">
      <w:pPr>
        <w:pStyle w:val="ListNumber"/>
        <w:numPr>
          <w:ilvl w:val="0"/>
          <w:numId w:val="0"/>
        </w:numPr>
        <w:spacing w:line="360" w:lineRule="auto"/>
        <w:ind w:firstLine="1440"/>
      </w:pPr>
      <w:r>
        <w:t>Columbia concludes that this</w:t>
      </w:r>
      <w:r w:rsidR="005C68BD" w:rsidRPr="005C68BD">
        <w:t xml:space="preserve"> Settlement provision will provide Columbia, </w:t>
      </w:r>
      <w:r>
        <w:t>B</w:t>
      </w:r>
      <w:r w:rsidR="005C68BD" w:rsidRPr="005C68BD">
        <w:t>I&amp;E and other interested parties with the opportunity to more closely examine the factors resulting in increased restoration costs associated with the Company’s main replacement program.</w:t>
      </w:r>
      <w:r>
        <w:t xml:space="preserve">  Columbia St. in Support, p. 22.</w:t>
      </w:r>
    </w:p>
    <w:p w:rsidR="00874963" w:rsidRDefault="00874963" w:rsidP="00874963">
      <w:pPr>
        <w:pStyle w:val="ListNumber"/>
        <w:numPr>
          <w:ilvl w:val="0"/>
          <w:numId w:val="0"/>
        </w:numPr>
        <w:spacing w:line="360" w:lineRule="auto"/>
      </w:pPr>
    </w:p>
    <w:p w:rsidR="00874963" w:rsidRDefault="00874963" w:rsidP="00874963">
      <w:pPr>
        <w:pStyle w:val="ListNumber"/>
        <w:numPr>
          <w:ilvl w:val="0"/>
          <w:numId w:val="0"/>
        </w:numPr>
        <w:spacing w:line="360" w:lineRule="auto"/>
      </w:pPr>
      <w:r>
        <w:tab/>
      </w:r>
      <w:r w:rsidR="00640136">
        <w:tab/>
      </w:r>
      <w:r>
        <w:t>c.</w:t>
      </w:r>
      <w:r>
        <w:tab/>
      </w:r>
      <w:r>
        <w:rPr>
          <w:u w:val="single"/>
        </w:rPr>
        <w:t>Rules Applicable to Distribution Service (“RADS”) 2.6.1</w:t>
      </w:r>
    </w:p>
    <w:p w:rsidR="00874963" w:rsidRDefault="00874963" w:rsidP="00874963">
      <w:pPr>
        <w:pStyle w:val="ListNumber"/>
        <w:numPr>
          <w:ilvl w:val="0"/>
          <w:numId w:val="0"/>
        </w:numPr>
        <w:spacing w:line="360" w:lineRule="auto"/>
      </w:pPr>
    </w:p>
    <w:p w:rsidR="00874963" w:rsidRDefault="00874963" w:rsidP="00874963">
      <w:pPr>
        <w:pStyle w:val="BodyText2"/>
        <w:spacing w:line="360" w:lineRule="auto"/>
        <w:ind w:firstLine="1440"/>
        <w:jc w:val="left"/>
      </w:pPr>
      <w:r w:rsidRPr="00874963">
        <w:t xml:space="preserve">In its direct testimony, Columbia proposed to add language to RADS 2.6.1 to address concerns associated with the order of priority for deliveries in the event of emergency situations, particularly focused on priority of delivery into a Local Market Area where a Shipper does not hold firm pipeline capacity that is deliverable to such Local Market Area and has not elected Standby Service.  </w:t>
      </w:r>
      <w:proofErr w:type="gramStart"/>
      <w:r w:rsidRPr="00874963">
        <w:t>(Columbia Statement No. 12, p. 17.)</w:t>
      </w:r>
      <w:proofErr w:type="gramEnd"/>
      <w:r w:rsidRPr="00874963">
        <w:t xml:space="preserve">  Columbia proposed this language as a result of a specific operational concern that occurred in the 2013-2014 winter, where customer demand exceeded the firm pipeline capacity deliverable into the Hanover area.  </w:t>
      </w:r>
      <w:proofErr w:type="gramStart"/>
      <w:r w:rsidRPr="00874963">
        <w:t>(Columbia Statement No. 106-R, pp. 20-23.)</w:t>
      </w:r>
      <w:proofErr w:type="gramEnd"/>
      <w:r w:rsidRPr="00874963">
        <w:t xml:space="preserve">  After working with the NGS</w:t>
      </w:r>
      <w:r>
        <w:t xml:space="preserve"> Parties</w:t>
      </w:r>
      <w:r w:rsidRPr="00874963">
        <w:t xml:space="preserve">, the </w:t>
      </w:r>
      <w:r>
        <w:t>Joint Petitioners</w:t>
      </w:r>
      <w:r w:rsidRPr="00874963">
        <w:t xml:space="preserve"> agree</w:t>
      </w:r>
      <w:r>
        <w:t>d</w:t>
      </w:r>
      <w:r w:rsidRPr="00874963">
        <w:t xml:space="preserve"> to the language proposed in the Settlement, which is set forth on Tariff Pages 30 and 189 as contained in A</w:t>
      </w:r>
      <w:r>
        <w:t>ppendix “C</w:t>
      </w:r>
      <w:r w:rsidRPr="00874963">
        <w:t>”</w:t>
      </w:r>
      <w:r>
        <w:t xml:space="preserve"> attached to the Settlement.</w:t>
      </w:r>
      <w:r w:rsidRPr="00874963">
        <w:t xml:space="preserve">  </w:t>
      </w:r>
      <w:proofErr w:type="gramStart"/>
      <w:r w:rsidRPr="00874963">
        <w:t>(Settlement ¶ 42.)</w:t>
      </w:r>
      <w:proofErr w:type="gramEnd"/>
      <w:r w:rsidRPr="00874963">
        <w:t xml:space="preserve"> </w:t>
      </w:r>
      <w:r w:rsidR="006252B8">
        <w:t xml:space="preserve"> </w:t>
      </w:r>
      <w:r w:rsidRPr="00874963">
        <w:t xml:space="preserve">For a </w:t>
      </w:r>
      <w:r w:rsidR="00570EC9">
        <w:t>c</w:t>
      </w:r>
      <w:r w:rsidRPr="00874963">
        <w:t xml:space="preserve">ustomer curtailed under the Company’s Gas Emergency Rules, as revised pursuant to the Settlement, in the event of an Operational Flow Order (“OFO”) the Company </w:t>
      </w:r>
      <w:r>
        <w:t>is required to</w:t>
      </w:r>
      <w:r w:rsidRPr="00874963">
        <w:t xml:space="preserve"> correspondingly adjust the curtailed </w:t>
      </w:r>
      <w:r w:rsidR="00570EC9">
        <w:t>c</w:t>
      </w:r>
      <w:r w:rsidRPr="00874963">
        <w:t xml:space="preserve">ustomer’s OFO level.  </w:t>
      </w:r>
      <w:proofErr w:type="gramStart"/>
      <w:r w:rsidRPr="00874963">
        <w:t>(Settlement ¶ 42.)</w:t>
      </w:r>
      <w:proofErr w:type="gramEnd"/>
      <w:r w:rsidRPr="00874963">
        <w:t xml:space="preserve"> </w:t>
      </w:r>
      <w:r w:rsidR="00E14ED6">
        <w:t xml:space="preserve"> </w:t>
      </w:r>
      <w:r w:rsidRPr="00874963">
        <w:t xml:space="preserve">In addition, in the event of a curtailment under the Gas Emergency Rules, Columbia </w:t>
      </w:r>
      <w:r>
        <w:t>must</w:t>
      </w:r>
      <w:r w:rsidRPr="00874963">
        <w:t xml:space="preserve"> notify affected </w:t>
      </w:r>
      <w:r w:rsidR="00570EC9">
        <w:t>s</w:t>
      </w:r>
      <w:r w:rsidRPr="00874963">
        <w:t xml:space="preserve">hippers as soon as possible of customers and quantities curtailed.  </w:t>
      </w:r>
      <w:proofErr w:type="gramStart"/>
      <w:r w:rsidRPr="00874963">
        <w:t>(Settlement ¶ 42.)</w:t>
      </w:r>
      <w:proofErr w:type="gramEnd"/>
      <w:r w:rsidRPr="00874963">
        <w:t xml:space="preserve">  </w:t>
      </w:r>
      <w:r>
        <w:t>According to Columbia, t</w:t>
      </w:r>
      <w:r w:rsidRPr="00874963">
        <w:t>his resolution provides Columbia with the ability to protect the Company’s distribution system and its operational integrity during an emergency situation.</w:t>
      </w:r>
      <w:r>
        <w:t xml:space="preserve">  Columbia St. in Support, pp. 22-23.</w:t>
      </w:r>
      <w:r w:rsidRPr="00874963">
        <w:t xml:space="preserve"> </w:t>
      </w:r>
    </w:p>
    <w:p w:rsidR="00E023C4" w:rsidRDefault="00E023C4" w:rsidP="00E023C4">
      <w:pPr>
        <w:pStyle w:val="BodyText2"/>
        <w:spacing w:line="360" w:lineRule="auto"/>
        <w:ind w:firstLine="0"/>
        <w:jc w:val="left"/>
      </w:pPr>
    </w:p>
    <w:p w:rsidR="00E023C4" w:rsidRDefault="00E023C4" w:rsidP="00E023C4">
      <w:pPr>
        <w:pStyle w:val="BodyText2"/>
        <w:spacing w:line="360" w:lineRule="auto"/>
        <w:ind w:firstLine="0"/>
        <w:jc w:val="left"/>
      </w:pPr>
      <w:r>
        <w:tab/>
      </w:r>
      <w:r w:rsidR="00640136">
        <w:tab/>
      </w:r>
      <w:r>
        <w:t>d.</w:t>
      </w:r>
      <w:r>
        <w:tab/>
      </w:r>
      <w:r>
        <w:rPr>
          <w:u w:val="single"/>
        </w:rPr>
        <w:t>Future Debt Issuances</w:t>
      </w:r>
    </w:p>
    <w:p w:rsidR="00E023C4" w:rsidRDefault="00E023C4" w:rsidP="00E023C4">
      <w:pPr>
        <w:pStyle w:val="BodyText2"/>
        <w:spacing w:line="360" w:lineRule="auto"/>
        <w:ind w:firstLine="0"/>
        <w:jc w:val="left"/>
      </w:pPr>
    </w:p>
    <w:p w:rsidR="00E023C4" w:rsidRDefault="00E023C4" w:rsidP="00E023C4">
      <w:pPr>
        <w:pStyle w:val="BodyText2"/>
        <w:keepNext/>
        <w:spacing w:line="360" w:lineRule="auto"/>
        <w:ind w:firstLine="1440"/>
        <w:jc w:val="left"/>
      </w:pPr>
      <w:r w:rsidRPr="00E023C4">
        <w:t>Under the Settlement, Columbia agrees that, for all future debt issuances during the twelve</w:t>
      </w:r>
      <w:r w:rsidR="00570EC9">
        <w:t>-</w:t>
      </w:r>
      <w:r w:rsidRPr="00E023C4">
        <w:t xml:space="preserve">month periods ending December 31, 2014 and December 31, 2015, it will provide to TUS, </w:t>
      </w:r>
      <w:r w:rsidR="00491485">
        <w:t>B</w:t>
      </w:r>
      <w:r w:rsidRPr="00E023C4">
        <w:t xml:space="preserve">I&amp;E, OCA and OSBA, within 60 days of issuance, all loan documentation filed with the Commission in compliance with orders in filings submitted by Columbia pursuant to Chapter 19 of the Pennsylvania Public Utility Code.  In addition, Columbia </w:t>
      </w:r>
      <w:r w:rsidR="00491485">
        <w:t>agrees to</w:t>
      </w:r>
      <w:r w:rsidRPr="00E023C4">
        <w:t xml:space="preserve"> preserve and provide to </w:t>
      </w:r>
      <w:r w:rsidR="00491485">
        <w:t>B</w:t>
      </w:r>
      <w:r w:rsidRPr="00E023C4">
        <w:t>I&amp;E, OCA and OSBA as a part of its next base rate case the following:  (1) all documentation, including term sheets or estimates from financial institutions, if any,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  (Settlement ¶ 26.)</w:t>
      </w:r>
      <w:r w:rsidR="00491485">
        <w:t>; Columbia St. in Support, p. 23.</w:t>
      </w:r>
    </w:p>
    <w:p w:rsidR="00491485" w:rsidRDefault="00491485" w:rsidP="00491485">
      <w:pPr>
        <w:pStyle w:val="BodyText2"/>
        <w:keepNext/>
        <w:spacing w:line="360" w:lineRule="auto"/>
        <w:ind w:firstLine="0"/>
        <w:jc w:val="left"/>
      </w:pPr>
    </w:p>
    <w:p w:rsidR="00491485" w:rsidRDefault="00491485" w:rsidP="00491485">
      <w:pPr>
        <w:pStyle w:val="BodyText2"/>
        <w:keepNext/>
        <w:spacing w:line="360" w:lineRule="auto"/>
        <w:ind w:firstLine="0"/>
        <w:jc w:val="left"/>
      </w:pPr>
      <w:r>
        <w:t>B.</w:t>
      </w:r>
      <w:r>
        <w:tab/>
      </w:r>
      <w:r>
        <w:rPr>
          <w:u w:val="single"/>
        </w:rPr>
        <w:t>BI&amp;E’s Position</w:t>
      </w:r>
    </w:p>
    <w:p w:rsidR="00491485" w:rsidRDefault="00491485" w:rsidP="00491485">
      <w:pPr>
        <w:pStyle w:val="BodyText2"/>
        <w:keepNext/>
        <w:spacing w:line="360" w:lineRule="auto"/>
        <w:ind w:firstLine="0"/>
        <w:jc w:val="left"/>
      </w:pPr>
    </w:p>
    <w:p w:rsidR="007B139F" w:rsidRDefault="002129B2" w:rsidP="007B139F">
      <w:pPr>
        <w:tabs>
          <w:tab w:val="left" w:pos="720"/>
        </w:tabs>
        <w:autoSpaceDE w:val="0"/>
        <w:autoSpaceDN w:val="0"/>
        <w:adjustRightInd w:val="0"/>
        <w:spacing w:line="360" w:lineRule="auto"/>
        <w:ind w:firstLine="1440"/>
        <w:contextualSpacing/>
        <w:rPr>
          <w:spacing w:val="-3"/>
        </w:rPr>
      </w:pPr>
      <w:r>
        <w:t>B</w:t>
      </w:r>
      <w:r w:rsidR="00263DBC" w:rsidRPr="002129B2">
        <w:t xml:space="preserve">I&amp;E represents that all issues raised in testimony have been satisfactorily resolved through discovery and discussions with the Company or are incorporated or considered in the resolution proposed in the Settlement.  </w:t>
      </w:r>
      <w:r>
        <w:t>According to BI&amp;E, t</w:t>
      </w:r>
      <w:r w:rsidR="00263DBC" w:rsidRPr="002129B2">
        <w:t xml:space="preserve">he very nature of a settlement requires compromise on the part of all parties.  </w:t>
      </w:r>
      <w:r>
        <w:t>BI&amp;E asserts that t</w:t>
      </w:r>
      <w:r w:rsidR="00263DBC" w:rsidRPr="002129B2">
        <w:t xml:space="preserve">his Settlement exemplifies the benefits to be derived from a negotiated approach to resolving what can appear at first blush to be irreconcilable regulatory differences.  </w:t>
      </w:r>
      <w:r>
        <w:t xml:space="preserve">BI&amp;E further asserts that the </w:t>
      </w:r>
      <w:r w:rsidR="00263DBC" w:rsidRPr="002129B2">
        <w:t xml:space="preserve">Joint Petitioners have carefully discussed and negotiated all issues raised in this proceeding, and specifically those addressed and resolved in this Settlement.  Further line-by-line identification of the ultimate resolution of the disputed issues beyond those presented in the Settlement is not necessary as </w:t>
      </w:r>
      <w:r>
        <w:t>B</w:t>
      </w:r>
      <w:r w:rsidR="00263DBC" w:rsidRPr="002129B2">
        <w:t xml:space="preserve">I&amp;E represents that the Settlement maintains the proper balance of the interests of all parties. </w:t>
      </w:r>
      <w:r>
        <w:t>B</w:t>
      </w:r>
      <w:r w:rsidR="00263DBC" w:rsidRPr="002129B2">
        <w:rPr>
          <w:spacing w:val="-3"/>
        </w:rPr>
        <w:t xml:space="preserve">I&amp;E </w:t>
      </w:r>
      <w:proofErr w:type="gramStart"/>
      <w:r w:rsidR="00263DBC" w:rsidRPr="002129B2">
        <w:rPr>
          <w:spacing w:val="-3"/>
        </w:rPr>
        <w:t>is</w:t>
      </w:r>
      <w:proofErr w:type="gramEnd"/>
      <w:r w:rsidR="00263DBC" w:rsidRPr="002129B2">
        <w:rPr>
          <w:spacing w:val="-3"/>
        </w:rPr>
        <w:t xml:space="preserve"> satisfied that no further action is necessary and considers its investigation of this rate filing complete.</w:t>
      </w:r>
      <w:r>
        <w:rPr>
          <w:spacing w:val="-3"/>
        </w:rPr>
        <w:t xml:space="preserve">  BI&amp;E St. in Support, pp. 16-17.</w:t>
      </w:r>
      <w:r w:rsidR="007B139F">
        <w:rPr>
          <w:spacing w:val="-3"/>
        </w:rPr>
        <w:t xml:space="preserve">  </w:t>
      </w:r>
    </w:p>
    <w:p w:rsidR="007B139F" w:rsidRDefault="007B139F" w:rsidP="007B139F">
      <w:pPr>
        <w:tabs>
          <w:tab w:val="left" w:pos="720"/>
        </w:tabs>
        <w:autoSpaceDE w:val="0"/>
        <w:autoSpaceDN w:val="0"/>
        <w:adjustRightInd w:val="0"/>
        <w:spacing w:line="360" w:lineRule="auto"/>
        <w:ind w:firstLine="1440"/>
        <w:contextualSpacing/>
        <w:rPr>
          <w:spacing w:val="-3"/>
        </w:rPr>
      </w:pPr>
    </w:p>
    <w:p w:rsidR="007B139F" w:rsidRDefault="00263DBC" w:rsidP="007B139F">
      <w:pPr>
        <w:tabs>
          <w:tab w:val="left" w:pos="720"/>
        </w:tabs>
        <w:autoSpaceDE w:val="0"/>
        <w:autoSpaceDN w:val="0"/>
        <w:adjustRightInd w:val="0"/>
        <w:spacing w:line="360" w:lineRule="auto"/>
        <w:ind w:firstLine="1440"/>
        <w:contextualSpacing/>
      </w:pPr>
      <w:r w:rsidRPr="002129B2">
        <w:t xml:space="preserve">Based upon </w:t>
      </w:r>
      <w:r w:rsidR="007B139F">
        <w:t>B</w:t>
      </w:r>
      <w:r w:rsidRPr="002129B2">
        <w:t xml:space="preserve">I&amp;E’s analysis of the filing, </w:t>
      </w:r>
      <w:r w:rsidR="007B139F">
        <w:t xml:space="preserve">BI&amp;E concludes that </w:t>
      </w:r>
      <w:r w:rsidRPr="002129B2">
        <w:t xml:space="preserve">acceptance of this proposed Settlement is in the public interest.  </w:t>
      </w:r>
      <w:r w:rsidR="007B139F">
        <w:t>According to BI&amp;E, r</w:t>
      </w:r>
      <w:r w:rsidRPr="002129B2">
        <w:t>esolution of this case by settlement rather than litigation will avoid the substantial time and effort involved in continuing to formally pursue all issues in this proceeding at the risk of accumulating excessive expense.</w:t>
      </w:r>
      <w:r w:rsidR="007B139F">
        <w:t xml:space="preserve">  BI&amp;E St. in Support, p. 17.  </w:t>
      </w:r>
    </w:p>
    <w:p w:rsidR="007B139F" w:rsidRDefault="007B139F" w:rsidP="007B139F">
      <w:pPr>
        <w:tabs>
          <w:tab w:val="left" w:pos="720"/>
        </w:tabs>
        <w:autoSpaceDE w:val="0"/>
        <w:autoSpaceDN w:val="0"/>
        <w:adjustRightInd w:val="0"/>
        <w:spacing w:line="360" w:lineRule="auto"/>
        <w:ind w:firstLine="1440"/>
        <w:contextualSpacing/>
      </w:pPr>
    </w:p>
    <w:p w:rsidR="00491485" w:rsidRDefault="007B139F" w:rsidP="007B139F">
      <w:pPr>
        <w:tabs>
          <w:tab w:val="left" w:pos="720"/>
        </w:tabs>
        <w:autoSpaceDE w:val="0"/>
        <w:autoSpaceDN w:val="0"/>
        <w:adjustRightInd w:val="0"/>
        <w:spacing w:line="360" w:lineRule="auto"/>
        <w:ind w:firstLine="1440"/>
        <w:contextualSpacing/>
      </w:pPr>
      <w:r>
        <w:t>B</w:t>
      </w:r>
      <w:r w:rsidR="00263DBC" w:rsidRPr="002129B2">
        <w:t xml:space="preserve">I&amp;E further submits that the acceptance of this Settlement will negate the need for evidentiary hearings, which would compel the extensive devotion of time and expense for the preparation, presentation, and cross-examination of multiple witnesses, the preparation of </w:t>
      </w:r>
      <w:r w:rsidR="00295BB9">
        <w:t>m</w:t>
      </w:r>
      <w:r w:rsidR="00263DBC" w:rsidRPr="002129B2">
        <w:t xml:space="preserve">ain and </w:t>
      </w:r>
      <w:r w:rsidR="00295BB9">
        <w:t>r</w:t>
      </w:r>
      <w:r w:rsidR="00263DBC" w:rsidRPr="002129B2">
        <w:t xml:space="preserve">eply </w:t>
      </w:r>
      <w:r w:rsidR="00295BB9">
        <w:t>b</w:t>
      </w:r>
      <w:r w:rsidR="00263DBC" w:rsidRPr="002129B2">
        <w:t xml:space="preserve">riefs, the preparation of </w:t>
      </w:r>
      <w:r w:rsidR="00295BB9">
        <w:t>e</w:t>
      </w:r>
      <w:r w:rsidR="00263DBC" w:rsidRPr="002129B2">
        <w:t xml:space="preserve">xceptions and </w:t>
      </w:r>
      <w:r w:rsidR="00295BB9">
        <w:t>r</w:t>
      </w:r>
      <w:r w:rsidR="00263DBC" w:rsidRPr="002129B2">
        <w:t>eplies, and the potential of filed appeals, all yielding substantial savings for all parties, and ultimately all customers, as well as certainty on the regulatory disposition of issues.</w:t>
      </w:r>
      <w:r>
        <w:t xml:space="preserve">  BI&amp;E St. in Support, p. 17.  </w:t>
      </w:r>
    </w:p>
    <w:p w:rsidR="007B139F" w:rsidRDefault="007B139F" w:rsidP="007B139F">
      <w:pPr>
        <w:tabs>
          <w:tab w:val="left" w:pos="720"/>
        </w:tabs>
        <w:autoSpaceDE w:val="0"/>
        <w:autoSpaceDN w:val="0"/>
        <w:adjustRightInd w:val="0"/>
        <w:spacing w:line="360" w:lineRule="auto"/>
        <w:contextualSpacing/>
      </w:pPr>
    </w:p>
    <w:p w:rsidR="007B139F" w:rsidRDefault="007B139F" w:rsidP="007B139F">
      <w:pPr>
        <w:tabs>
          <w:tab w:val="left" w:pos="720"/>
        </w:tabs>
        <w:autoSpaceDE w:val="0"/>
        <w:autoSpaceDN w:val="0"/>
        <w:adjustRightInd w:val="0"/>
        <w:spacing w:line="360" w:lineRule="auto"/>
        <w:contextualSpacing/>
        <w:rPr>
          <w:u w:val="single"/>
        </w:rPr>
      </w:pPr>
      <w:r>
        <w:tab/>
        <w:t>1.</w:t>
      </w:r>
      <w:r>
        <w:tab/>
      </w:r>
      <w:r>
        <w:rPr>
          <w:u w:val="single"/>
        </w:rPr>
        <w:t>Revenue Requirement</w:t>
      </w:r>
    </w:p>
    <w:p w:rsidR="00337596" w:rsidRDefault="00337596" w:rsidP="007B139F">
      <w:pPr>
        <w:tabs>
          <w:tab w:val="left" w:pos="720"/>
        </w:tabs>
        <w:autoSpaceDE w:val="0"/>
        <w:autoSpaceDN w:val="0"/>
        <w:adjustRightInd w:val="0"/>
        <w:spacing w:line="360" w:lineRule="auto"/>
        <w:contextualSpacing/>
      </w:pPr>
    </w:p>
    <w:p w:rsidR="007B139F" w:rsidRDefault="007B139F" w:rsidP="007B139F">
      <w:pPr>
        <w:tabs>
          <w:tab w:val="left" w:pos="720"/>
        </w:tabs>
        <w:autoSpaceDE w:val="0"/>
        <w:autoSpaceDN w:val="0"/>
        <w:adjustRightInd w:val="0"/>
        <w:spacing w:line="360" w:lineRule="auto"/>
        <w:contextualSpacing/>
      </w:pPr>
      <w:r>
        <w:tab/>
      </w:r>
      <w:r>
        <w:tab/>
        <w:t>a.</w:t>
      </w:r>
      <w:r>
        <w:tab/>
      </w:r>
      <w:r>
        <w:rPr>
          <w:u w:val="single"/>
        </w:rPr>
        <w:t>Rate Increase</w:t>
      </w:r>
    </w:p>
    <w:p w:rsidR="007B139F" w:rsidRDefault="007B139F" w:rsidP="007B139F">
      <w:pPr>
        <w:tabs>
          <w:tab w:val="left" w:pos="720"/>
        </w:tabs>
        <w:autoSpaceDE w:val="0"/>
        <w:autoSpaceDN w:val="0"/>
        <w:adjustRightInd w:val="0"/>
        <w:spacing w:line="360" w:lineRule="auto"/>
        <w:contextualSpacing/>
      </w:pPr>
    </w:p>
    <w:p w:rsidR="00830A0A" w:rsidRDefault="00830A0A" w:rsidP="00830A0A">
      <w:pPr>
        <w:tabs>
          <w:tab w:val="num" w:pos="720"/>
          <w:tab w:val="left" w:pos="1440"/>
          <w:tab w:val="num" w:pos="2520"/>
        </w:tabs>
        <w:spacing w:line="360" w:lineRule="auto"/>
        <w:ind w:firstLine="1440"/>
        <w:contextualSpacing/>
      </w:pPr>
      <w:r w:rsidRPr="00830A0A">
        <w:t xml:space="preserve">As proposed, Columbia requested a revenue increase of $54.1 million.  </w:t>
      </w:r>
      <w:r>
        <w:t>B</w:t>
      </w:r>
      <w:r w:rsidRPr="00830A0A">
        <w:t xml:space="preserve">I&amp;E analyzed the ratemaking claims contained in the Company’s filing including, but not limited to, operating and maintenance expenses, rate base, and the cost of common equity.  In its direct case, </w:t>
      </w:r>
      <w:r>
        <w:t>B</w:t>
      </w:r>
      <w:r w:rsidRPr="00830A0A">
        <w:t xml:space="preserve">I&amp;E recommended a revenue increase of </w:t>
      </w:r>
      <w:r w:rsidRPr="00830A0A">
        <w:rPr>
          <w:kern w:val="24"/>
        </w:rPr>
        <w:t>$12,620,782</w:t>
      </w:r>
      <w:r w:rsidRPr="00830A0A">
        <w:t>.</w:t>
      </w:r>
      <w:r>
        <w:t xml:space="preserve">  BI&amp;E St. in Support, p. 5.  </w:t>
      </w:r>
    </w:p>
    <w:p w:rsidR="00830A0A" w:rsidRDefault="00830A0A" w:rsidP="00830A0A">
      <w:pPr>
        <w:tabs>
          <w:tab w:val="num" w:pos="720"/>
          <w:tab w:val="left" w:pos="1440"/>
          <w:tab w:val="num" w:pos="2520"/>
        </w:tabs>
        <w:spacing w:line="360" w:lineRule="auto"/>
        <w:ind w:firstLine="1440"/>
        <w:contextualSpacing/>
      </w:pPr>
    </w:p>
    <w:p w:rsidR="00830A0A" w:rsidRDefault="00830A0A" w:rsidP="00830A0A">
      <w:pPr>
        <w:tabs>
          <w:tab w:val="num" w:pos="720"/>
          <w:tab w:val="left" w:pos="1440"/>
          <w:tab w:val="num" w:pos="2520"/>
        </w:tabs>
        <w:spacing w:line="360" w:lineRule="auto"/>
        <w:ind w:firstLine="1440"/>
        <w:contextualSpacing/>
      </w:pPr>
      <w:r w:rsidRPr="00830A0A">
        <w:t>In the Settlement, Joint Petitioners agree</w:t>
      </w:r>
      <w:r>
        <w:t>d</w:t>
      </w:r>
      <w:r w:rsidRPr="00830A0A">
        <w:t xml:space="preserve"> to an increase in base rates to allow the Company the opportunity to recover an increase to annual intrastate operating revenues of $32.5</w:t>
      </w:r>
      <w:r w:rsidR="00D4291E">
        <w:t> </w:t>
      </w:r>
      <w:r w:rsidRPr="00830A0A">
        <w:t>million in lieu of the $54.1 million originally requested</w:t>
      </w:r>
      <w:r>
        <w:t xml:space="preserve">, which, according to BI&amp;E, </w:t>
      </w:r>
      <w:r w:rsidRPr="00830A0A">
        <w:t xml:space="preserve">represents a $21.6 million savings for customers.  In addition, the rates are designed based upon a pro forma throughput level of 80,000,000 </w:t>
      </w:r>
      <w:proofErr w:type="spellStart"/>
      <w:r w:rsidRPr="00830A0A">
        <w:t>Dth</w:t>
      </w:r>
      <w:proofErr w:type="spellEnd"/>
      <w:r w:rsidRPr="00830A0A">
        <w:t xml:space="preserve"> for the 12 months ended December 31, 2015.</w:t>
      </w:r>
      <w:r>
        <w:t xml:space="preserve">  BI&amp;E St. in Support, p. 5.  </w:t>
      </w:r>
    </w:p>
    <w:p w:rsidR="00830A0A" w:rsidRDefault="00830A0A" w:rsidP="00830A0A">
      <w:pPr>
        <w:tabs>
          <w:tab w:val="num" w:pos="720"/>
          <w:tab w:val="left" w:pos="1440"/>
          <w:tab w:val="num" w:pos="2520"/>
        </w:tabs>
        <w:spacing w:line="360" w:lineRule="auto"/>
        <w:ind w:firstLine="1440"/>
        <w:contextualSpacing/>
      </w:pPr>
    </w:p>
    <w:p w:rsidR="00830A0A" w:rsidRDefault="00830A0A" w:rsidP="00830A0A">
      <w:pPr>
        <w:tabs>
          <w:tab w:val="num" w:pos="720"/>
          <w:tab w:val="left" w:pos="1440"/>
          <w:tab w:val="num" w:pos="2520"/>
        </w:tabs>
        <w:spacing w:line="360" w:lineRule="auto"/>
        <w:ind w:firstLine="1440"/>
        <w:contextualSpacing/>
      </w:pPr>
      <w:r>
        <w:t>B</w:t>
      </w:r>
      <w:r w:rsidRPr="00830A0A">
        <w:t xml:space="preserve">I&amp;E analyzed the ratemaking claims contained in the Company’s filing including operating and maintenance expenses, rate base, projected revenues, rate structure, capital structure, and the cost of common equity and long-term debt.  After this review and engaging in extensive discovery and settlement discussions, </w:t>
      </w:r>
      <w:r>
        <w:t>B</w:t>
      </w:r>
      <w:r w:rsidRPr="00830A0A">
        <w:t xml:space="preserve">I&amp;E fully supports the revenue level compromised upon in the Settlement.  </w:t>
      </w:r>
      <w:r>
        <w:t>BI&amp;E points out that, d</w:t>
      </w:r>
      <w:r w:rsidRPr="00830A0A">
        <w:t xml:space="preserve">ue to the “black box” nature of the Settlement, the Settlement does not reflect agreement upon individual issues; rather, the </w:t>
      </w:r>
      <w:r>
        <w:t>Joint Petitioners</w:t>
      </w:r>
      <w:r w:rsidRPr="00830A0A">
        <w:t xml:space="preserve"> have agreed to an overall increase to base rates that is substantially less than what was requested by the Company.  </w:t>
      </w:r>
      <w:r>
        <w:t>According to BI&amp;E, l</w:t>
      </w:r>
      <w:r w:rsidRPr="00830A0A">
        <w:t xml:space="preserve">ine-by-line identification and ultimate resolution of every issue raised in the proceeding is not necessary to find that the Settlement </w:t>
      </w:r>
      <w:proofErr w:type="gramStart"/>
      <w:r w:rsidRPr="00830A0A">
        <w:t>is in</w:t>
      </w:r>
      <w:proofErr w:type="gramEnd"/>
      <w:r w:rsidRPr="00830A0A">
        <w:t xml:space="preserve"> the public interest nor could such a result be achieved as part of a settlement.  </w:t>
      </w:r>
      <w:r>
        <w:t>BI&amp;E contends that b</w:t>
      </w:r>
      <w:r w:rsidRPr="00830A0A">
        <w:t>lack box settlements benefit ratepayers because they allow for the resolution of a contested proceeding at a level of increase that is below the amount requested by the regulated entity and in a manner that avoids the significant expenditure of time and resources related to further litigation.</w:t>
      </w:r>
      <w:r>
        <w:t xml:space="preserve">  BI&amp;E St. in Support, pp. 5-6.  </w:t>
      </w:r>
    </w:p>
    <w:p w:rsidR="00830A0A" w:rsidRDefault="00830A0A" w:rsidP="00830A0A">
      <w:pPr>
        <w:tabs>
          <w:tab w:val="num" w:pos="720"/>
          <w:tab w:val="left" w:pos="1440"/>
          <w:tab w:val="num" w:pos="2520"/>
        </w:tabs>
        <w:spacing w:line="360" w:lineRule="auto"/>
        <w:ind w:firstLine="1440"/>
        <w:contextualSpacing/>
      </w:pPr>
    </w:p>
    <w:p w:rsidR="00830A0A" w:rsidRPr="00830A0A" w:rsidRDefault="00830A0A" w:rsidP="00830A0A">
      <w:pPr>
        <w:tabs>
          <w:tab w:val="num" w:pos="720"/>
          <w:tab w:val="left" w:pos="1440"/>
          <w:tab w:val="num" w:pos="2520"/>
        </w:tabs>
        <w:spacing w:line="360" w:lineRule="auto"/>
        <w:ind w:firstLine="1440"/>
        <w:contextualSpacing/>
      </w:pPr>
      <w:r>
        <w:t>BI&amp;E submits that b</w:t>
      </w:r>
      <w:r w:rsidRPr="00830A0A">
        <w:t xml:space="preserve">lack box settlements are not uncommon in Commission practice.  Indeed, </w:t>
      </w:r>
      <w:r>
        <w:t xml:space="preserve">according to BI&amp;E, </w:t>
      </w:r>
      <w:r w:rsidRPr="00830A0A">
        <w:t>the Commission has endorsed the use of black box settlements, as discussed in a recent Order approving such a settlement:</w:t>
      </w:r>
    </w:p>
    <w:p w:rsidR="00180B41" w:rsidRDefault="00180B41" w:rsidP="00830A0A">
      <w:pPr>
        <w:ind w:left="1440" w:right="1440"/>
      </w:pPr>
    </w:p>
    <w:p w:rsidR="00830A0A" w:rsidRPr="00830A0A" w:rsidRDefault="00830A0A" w:rsidP="00830A0A">
      <w:pPr>
        <w:ind w:left="1440" w:right="1440"/>
      </w:pPr>
      <w:r w:rsidRPr="00830A0A">
        <w:t xml:space="preserve">We have historically permitted the use of “black box” settlements as a means of promoting settlement among the parties in contentious base rate proceedings.  </w:t>
      </w:r>
      <w:r w:rsidRPr="00830A0A">
        <w:rPr>
          <w:i/>
        </w:rPr>
        <w:t>See</w:t>
      </w:r>
      <w:r w:rsidRPr="00830A0A">
        <w:t xml:space="preserve">, </w:t>
      </w:r>
      <w:r w:rsidRPr="00830A0A">
        <w:rPr>
          <w:i/>
        </w:rPr>
        <w:t>Pa. PUC v. Wellsboro Electric Co</w:t>
      </w:r>
      <w:r w:rsidRPr="00830A0A">
        <w:t xml:space="preserve">., Docket No. R-2010-2172662 (Final Order entered January 13, 2011); </w:t>
      </w:r>
      <w:r w:rsidRPr="00830A0A">
        <w:rPr>
          <w:i/>
        </w:rPr>
        <w:t>Pa. PUC v. Citizens’ Electric Co. of Lewisburg, PA</w:t>
      </w:r>
      <w:r w:rsidRPr="00830A0A">
        <w:t>, Docket No. R-2010-2172665 (Final Order entered January 13, 2011).  Settlement of rate cases saves a significant amount of time and expense for customers, companies, and the Commission and often results in alternatives that may not have been realized during the litigation process.  Determining a company’s revenue requirement is a calculation involving many complex and interrelated adjustments that affect expenses, depreciation, rate base, taxes and the company’s cost of capital.  Reaching an agreement between various parties on each component of a rate increase can be difficult and impractical in many cases.  For these reasons, we support the use of a “black box” settlement in this proceeding and, accordingly, deny this Exception.</w:t>
      </w:r>
      <w:r w:rsidRPr="00830A0A">
        <w:rPr>
          <w:rStyle w:val="FootnoteReference"/>
        </w:rPr>
        <w:footnoteReference w:id="9"/>
      </w:r>
      <w:r w:rsidRPr="00830A0A">
        <w:t xml:space="preserve">  </w:t>
      </w:r>
    </w:p>
    <w:p w:rsidR="00830A0A" w:rsidRPr="00830A0A" w:rsidRDefault="00830A0A" w:rsidP="00830A0A">
      <w:pPr>
        <w:ind w:left="1440" w:right="1440"/>
      </w:pPr>
    </w:p>
    <w:p w:rsidR="00830A0A" w:rsidRDefault="00484BB5" w:rsidP="00484BB5">
      <w:pPr>
        <w:ind w:right="1440"/>
      </w:pPr>
      <w:r>
        <w:t>BI&amp;E St. in Support, p. 6.</w:t>
      </w:r>
    </w:p>
    <w:p w:rsidR="00484BB5" w:rsidRPr="00830A0A" w:rsidRDefault="00484BB5" w:rsidP="00D42D30">
      <w:pPr>
        <w:spacing w:line="360" w:lineRule="auto"/>
        <w:ind w:right="1440"/>
      </w:pPr>
    </w:p>
    <w:p w:rsidR="00484BB5" w:rsidRDefault="00830A0A" w:rsidP="00484BB5">
      <w:pPr>
        <w:tabs>
          <w:tab w:val="num" w:pos="720"/>
          <w:tab w:val="left" w:pos="1440"/>
          <w:tab w:val="num" w:pos="2520"/>
        </w:tabs>
        <w:spacing w:line="360" w:lineRule="auto"/>
        <w:ind w:firstLine="1440"/>
        <w:contextualSpacing/>
      </w:pPr>
      <w:r>
        <w:t xml:space="preserve">According to BI&amp;E, the Joint Petitioners, individually and collectively, </w:t>
      </w:r>
      <w:r w:rsidR="00484BB5">
        <w:t>c</w:t>
      </w:r>
      <w:r w:rsidRPr="00830A0A">
        <w:t>onsidered, discussed, and negotiated all issues of import in th</w:t>
      </w:r>
      <w:r w:rsidR="00484BB5">
        <w:t>e</w:t>
      </w:r>
      <w:r w:rsidRPr="00830A0A">
        <w:t xml:space="preserve"> Settlement.  From a holistic perspective, </w:t>
      </w:r>
      <w:r w:rsidR="00484BB5">
        <w:t xml:space="preserve">BI&amp;E contends that </w:t>
      </w:r>
      <w:r w:rsidRPr="00830A0A">
        <w:t>each party has agreed that the Settlement benefits its particular interest.  The Commission has recognized that a settlement “reflects a compromise of the positions held by the parties of interest, which, arguably fosters and promotes the public interest.”</w:t>
      </w:r>
      <w:r w:rsidRPr="00830A0A">
        <w:rPr>
          <w:rStyle w:val="FootnoteReference"/>
        </w:rPr>
        <w:footnoteReference w:id="10"/>
      </w:r>
      <w:r w:rsidRPr="00830A0A">
        <w:t xml:space="preserve">  </w:t>
      </w:r>
      <w:r w:rsidR="00484BB5">
        <w:t>BI&amp;E further contends that t</w:t>
      </w:r>
      <w:r w:rsidRPr="00830A0A">
        <w:t xml:space="preserve">he Settlement in this proceeding promotes the public interest because a review of the testimony submitted by all parties demonstrates that the Joint Petition reflects a compromise of the litigated positions held by those parties.  Therefore, </w:t>
      </w:r>
      <w:r w:rsidR="00484BB5">
        <w:t>B</w:t>
      </w:r>
      <w:r w:rsidRPr="00830A0A">
        <w:t xml:space="preserve">I&amp;E submits that the Settlement balances the interests of Columbia and its customers in a fair and equitable manner and presents a resolution for the Commission’s adoption that best serves the public interest. </w:t>
      </w:r>
      <w:r w:rsidR="00484BB5">
        <w:t xml:space="preserve"> BI&amp;E St. in Support, p. 7.  </w:t>
      </w:r>
    </w:p>
    <w:p w:rsidR="00484BB5" w:rsidRDefault="00484BB5" w:rsidP="00484BB5">
      <w:pPr>
        <w:tabs>
          <w:tab w:val="num" w:pos="720"/>
          <w:tab w:val="left" w:pos="1440"/>
          <w:tab w:val="num" w:pos="2520"/>
        </w:tabs>
        <w:spacing w:line="360" w:lineRule="auto"/>
        <w:ind w:firstLine="1440"/>
        <w:contextualSpacing/>
      </w:pPr>
    </w:p>
    <w:p w:rsidR="00396920" w:rsidRDefault="00830A0A" w:rsidP="00396920">
      <w:pPr>
        <w:tabs>
          <w:tab w:val="num" w:pos="720"/>
          <w:tab w:val="left" w:pos="1440"/>
          <w:tab w:val="num" w:pos="2520"/>
        </w:tabs>
        <w:spacing w:line="360" w:lineRule="auto"/>
        <w:ind w:firstLine="1440"/>
        <w:contextualSpacing/>
      </w:pPr>
      <w:r w:rsidRPr="00830A0A">
        <w:t xml:space="preserve">Public utility regulation allows for the recovery of prudently incurred expenses as well as the opportunity to earn a reasonable return on the value of assets used and useful in public service.  </w:t>
      </w:r>
      <w:r w:rsidR="00396920">
        <w:t>According to BI&amp;E, t</w:t>
      </w:r>
      <w:r w:rsidRPr="00830A0A">
        <w:t>he increase proposed in th</w:t>
      </w:r>
      <w:r w:rsidR="00396920">
        <w:t>e</w:t>
      </w:r>
      <w:r w:rsidRPr="00830A0A">
        <w:t xml:space="preserve"> Settlement respects this principle.  Ratepayers will continue to receive safe and reliable service at just and reasonable rates while allowing the Company sufficient additional revenues to meet its operating and capital expenses and providing the opportunity to earn a reasonable return on its investment.  </w:t>
      </w:r>
      <w:r w:rsidR="00396920">
        <w:t xml:space="preserve">BI&amp;E concludes that </w:t>
      </w:r>
      <w:r w:rsidRPr="00830A0A">
        <w:t xml:space="preserve">the Settlement rates significantly moderate the increase initially proposed by the Company and, </w:t>
      </w:r>
      <w:r w:rsidR="00396920">
        <w:t>B</w:t>
      </w:r>
      <w:r w:rsidRPr="00830A0A">
        <w:t xml:space="preserve">I&amp;E believes, properly balances the interests of all parties.  Accordingly, </w:t>
      </w:r>
      <w:r w:rsidR="00396920">
        <w:t>B</w:t>
      </w:r>
      <w:r w:rsidRPr="00830A0A">
        <w:t xml:space="preserve">I&amp;E submits that the proposed Settlement is in the public interest and requests that it be approved by the </w:t>
      </w:r>
      <w:r w:rsidR="00396920">
        <w:t>Administrative Law Judge (“</w:t>
      </w:r>
      <w:r w:rsidRPr="00830A0A">
        <w:t>ALJ</w:t>
      </w:r>
      <w:r w:rsidR="00396920">
        <w:t>”)</w:t>
      </w:r>
      <w:r w:rsidRPr="00830A0A">
        <w:t xml:space="preserve"> and the Commission without modification. </w:t>
      </w:r>
      <w:r w:rsidR="00396920">
        <w:t xml:space="preserve"> BI&amp;E St. in Support, pp. 7-8.                   </w:t>
      </w:r>
    </w:p>
    <w:p w:rsidR="00396920" w:rsidRDefault="00396920" w:rsidP="00396920">
      <w:pPr>
        <w:tabs>
          <w:tab w:val="num" w:pos="720"/>
          <w:tab w:val="left" w:pos="1440"/>
          <w:tab w:val="num" w:pos="2520"/>
        </w:tabs>
        <w:spacing w:line="360" w:lineRule="auto"/>
        <w:ind w:firstLine="1440"/>
        <w:contextualSpacing/>
      </w:pPr>
    </w:p>
    <w:p w:rsidR="003855D3" w:rsidRDefault="00396920" w:rsidP="004B66CC">
      <w:pPr>
        <w:ind w:left="2160" w:hanging="720"/>
        <w:contextualSpacing/>
      </w:pPr>
      <w:r>
        <w:t>b.</w:t>
      </w:r>
      <w:r>
        <w:tab/>
      </w:r>
      <w:r w:rsidR="003855D3">
        <w:rPr>
          <w:u w:val="single"/>
        </w:rPr>
        <w:t>Settlement Terms Related to Use of Fully Projected Future Test Year (FPFTY)</w:t>
      </w:r>
    </w:p>
    <w:p w:rsidR="003855D3" w:rsidRDefault="003855D3" w:rsidP="003855D3">
      <w:pPr>
        <w:spacing w:line="360" w:lineRule="auto"/>
        <w:ind w:left="2160" w:hanging="720"/>
        <w:contextualSpacing/>
      </w:pPr>
    </w:p>
    <w:p w:rsidR="003855D3" w:rsidRDefault="003855D3" w:rsidP="003855D3">
      <w:pPr>
        <w:tabs>
          <w:tab w:val="left" w:pos="720"/>
          <w:tab w:val="left" w:pos="1440"/>
          <w:tab w:val="num" w:pos="2160"/>
        </w:tabs>
        <w:spacing w:line="360" w:lineRule="auto"/>
        <w:ind w:firstLine="1440"/>
      </w:pPr>
      <w:r w:rsidRPr="003855D3">
        <w:t>In its 2012 base rate filing, Columbia was the first utility to employ the concept of a Fully Projected Future Test Year (FPFTY) under Act 11 of 2012.</w:t>
      </w:r>
      <w:r w:rsidRPr="003855D3">
        <w:rPr>
          <w:vertAlign w:val="superscript"/>
        </w:rPr>
        <w:footnoteReference w:id="11"/>
      </w:r>
      <w:r w:rsidRPr="003855D3">
        <w:t xml:space="preserve">  The FPFTY marked a dramatic change from the standard ratemaking process.  Although previously allowing for use of a Future Test Year (FTY), Section 315 of the Public Utility Code</w:t>
      </w:r>
      <w:r w:rsidR="002971C2">
        <w:t>, 66 Pa.C.S. §</w:t>
      </w:r>
      <w:r w:rsidR="00362D3B">
        <w:t xml:space="preserve"> </w:t>
      </w:r>
      <w:proofErr w:type="gramStart"/>
      <w:r w:rsidR="002971C2">
        <w:t>315,</w:t>
      </w:r>
      <w:proofErr w:type="gramEnd"/>
      <w:r w:rsidRPr="003855D3">
        <w:t xml:space="preserve"> traditionally required that utility investment be used and useful in the provision of service before the investment was reflected in rates.</w:t>
      </w:r>
      <w:r w:rsidRPr="003855D3">
        <w:rPr>
          <w:rStyle w:val="FootnoteReference"/>
        </w:rPr>
        <w:footnoteReference w:id="12"/>
      </w:r>
      <w:r w:rsidRPr="003855D3">
        <w:t xml:space="preserve">  As amended under Act 11, however, Section 315 of the Public Utility Code now allows a utility to project investment, and correspondingly include it in the utility’s claimed revenue requirement, through the twelve-month period beginning with the first month that the new rates will be placed in effect.  In light of that extended time period beyond which utilities are now permitted to project rate base investment, </w:t>
      </w:r>
      <w:r w:rsidR="002971C2">
        <w:t>B</w:t>
      </w:r>
      <w:r w:rsidRPr="003855D3">
        <w:t>I&amp;E’s recommended reporting requirement intended to allow interested Commission bureaus the ability to timely review and verify the accuracy of the estimates Columbia used in its FPFTY.</w:t>
      </w:r>
      <w:r w:rsidR="002971C2">
        <w:t xml:space="preserve">  BI&amp;E St. in Support, p. 8.</w:t>
      </w:r>
    </w:p>
    <w:p w:rsidR="00E41B63" w:rsidRDefault="00E41B63" w:rsidP="003855D3">
      <w:pPr>
        <w:tabs>
          <w:tab w:val="left" w:pos="720"/>
          <w:tab w:val="left" w:pos="1440"/>
          <w:tab w:val="num" w:pos="2160"/>
        </w:tabs>
        <w:spacing w:line="360" w:lineRule="auto"/>
        <w:ind w:firstLine="1440"/>
      </w:pPr>
    </w:p>
    <w:p w:rsidR="002971C2" w:rsidRDefault="00E41B63" w:rsidP="00E41B63">
      <w:pPr>
        <w:tabs>
          <w:tab w:val="left" w:pos="720"/>
          <w:tab w:val="left" w:pos="1440"/>
          <w:tab w:val="num" w:pos="2160"/>
        </w:tabs>
        <w:spacing w:line="360" w:lineRule="auto"/>
        <w:ind w:firstLine="720"/>
        <w:rPr>
          <w:u w:val="single"/>
        </w:rPr>
      </w:pPr>
      <w:r>
        <w:t>2</w:t>
      </w:r>
      <w:r w:rsidR="002971C2">
        <w:t>.</w:t>
      </w:r>
      <w:r w:rsidR="002971C2">
        <w:tab/>
      </w:r>
      <w:r w:rsidR="002971C2">
        <w:rPr>
          <w:u w:val="single"/>
        </w:rPr>
        <w:t>Rate Base</w:t>
      </w:r>
    </w:p>
    <w:p w:rsidR="002971C2" w:rsidRDefault="002971C2" w:rsidP="002971C2">
      <w:pPr>
        <w:tabs>
          <w:tab w:val="left" w:pos="720"/>
          <w:tab w:val="left" w:pos="1440"/>
          <w:tab w:val="num" w:pos="2160"/>
        </w:tabs>
        <w:spacing w:line="360" w:lineRule="auto"/>
        <w:rPr>
          <w:u w:val="single"/>
        </w:rPr>
      </w:pPr>
    </w:p>
    <w:p w:rsidR="00A236B7" w:rsidRDefault="00A236B7" w:rsidP="00A236B7">
      <w:pPr>
        <w:tabs>
          <w:tab w:val="left" w:pos="720"/>
          <w:tab w:val="left" w:pos="1440"/>
          <w:tab w:val="num" w:pos="2160"/>
        </w:tabs>
        <w:spacing w:line="360" w:lineRule="auto"/>
        <w:ind w:firstLine="1440"/>
      </w:pPr>
      <w:r>
        <w:t>BI&amp;E asserts that, b</w:t>
      </w:r>
      <w:r w:rsidR="002971C2" w:rsidRPr="00A236B7">
        <w:t>y allowing a utility to include within its calculated revenue claim projections of rate base additions, the FPFTY essentially allows a utility to require ratepayers in effect to pay a return on a utility’s projected investment in future facilities that are not only not in place and providing service at the time the new rates take effect, but also that are not subject to any guarantee of being completed and placed into service.  The additional level of revenue deficiency claimed by Columbia that was associated solely with the inclusion of the FPFTY was $26,000,000.</w:t>
      </w:r>
      <w:r w:rsidR="002971C2" w:rsidRPr="00A236B7">
        <w:rPr>
          <w:vertAlign w:val="superscript"/>
        </w:rPr>
        <w:footnoteReference w:id="13"/>
      </w:r>
      <w:r>
        <w:t xml:space="preserve">  BI&amp;E St. in Support, p. 9.  </w:t>
      </w:r>
    </w:p>
    <w:p w:rsidR="00A236B7" w:rsidRDefault="00A236B7" w:rsidP="00A236B7">
      <w:pPr>
        <w:tabs>
          <w:tab w:val="left" w:pos="720"/>
          <w:tab w:val="left" w:pos="1440"/>
          <w:tab w:val="num" w:pos="2160"/>
        </w:tabs>
        <w:spacing w:line="360" w:lineRule="auto"/>
        <w:ind w:firstLine="1440"/>
      </w:pPr>
    </w:p>
    <w:p w:rsidR="00A236B7" w:rsidRDefault="002971C2" w:rsidP="00A236B7">
      <w:pPr>
        <w:tabs>
          <w:tab w:val="left" w:pos="720"/>
          <w:tab w:val="left" w:pos="1440"/>
          <w:tab w:val="num" w:pos="2160"/>
        </w:tabs>
        <w:spacing w:line="360" w:lineRule="auto"/>
        <w:ind w:firstLine="1440"/>
      </w:pPr>
      <w:r w:rsidRPr="00A236B7">
        <w:t xml:space="preserve">While the FPFTY authorizes the use of such projections, </w:t>
      </w:r>
      <w:r w:rsidR="00A236B7">
        <w:t>B</w:t>
      </w:r>
      <w:r w:rsidRPr="00A236B7">
        <w:t xml:space="preserve">I&amp;E maintains that it is important to have Columbia provide interim reports until the filing of its next anticipated base rate case in order to be able to timely review and verify the status of the Company’s rate base projections.  </w:t>
      </w:r>
      <w:r w:rsidR="00A236B7">
        <w:t>B</w:t>
      </w:r>
      <w:r w:rsidRPr="00A236B7">
        <w:t xml:space="preserve">I&amp;E requested that the updates be provided in the same format as the Company’s Exhibit No. 108, Schedule 1, which included actual capital expenditures, plant additions, and </w:t>
      </w:r>
      <w:proofErr w:type="gramStart"/>
      <w:r w:rsidRPr="00A236B7">
        <w:t>retirements</w:t>
      </w:r>
      <w:proofErr w:type="gramEnd"/>
      <w:r w:rsidRPr="00A236B7">
        <w:t xml:space="preserve"> by month in order to provide interim comparisons of the Company’s actual investment to its base rate projections used in setting rates using the FPFTY.</w:t>
      </w:r>
      <w:r w:rsidRPr="00A236B7">
        <w:rPr>
          <w:vertAlign w:val="superscript"/>
        </w:rPr>
        <w:footnoteReference w:id="14"/>
      </w:r>
      <w:r w:rsidR="00A236B7">
        <w:t xml:space="preserve">  BI&amp;E St. in Support, p. 9.  </w:t>
      </w:r>
    </w:p>
    <w:p w:rsidR="00A236B7" w:rsidRDefault="00A236B7" w:rsidP="00A236B7">
      <w:pPr>
        <w:tabs>
          <w:tab w:val="left" w:pos="720"/>
          <w:tab w:val="left" w:pos="1440"/>
          <w:tab w:val="num" w:pos="2160"/>
        </w:tabs>
        <w:spacing w:line="360" w:lineRule="auto"/>
        <w:ind w:firstLine="1440"/>
      </w:pPr>
    </w:p>
    <w:p w:rsidR="00A236B7" w:rsidRDefault="002971C2" w:rsidP="00A236B7">
      <w:pPr>
        <w:tabs>
          <w:tab w:val="left" w:pos="720"/>
          <w:tab w:val="left" w:pos="1440"/>
          <w:tab w:val="num" w:pos="2160"/>
        </w:tabs>
        <w:spacing w:line="360" w:lineRule="auto"/>
        <w:ind w:firstLine="1440"/>
      </w:pPr>
      <w:r w:rsidRPr="00A236B7">
        <w:t xml:space="preserve">In paragraph 25 of the Settlement, Columbia agreed to provide to </w:t>
      </w:r>
      <w:r w:rsidR="00A236B7">
        <w:t>B</w:t>
      </w:r>
      <w:r w:rsidRPr="00A236B7">
        <w:t xml:space="preserve">I&amp;E, OCA, and OSBA, as well as to </w:t>
      </w:r>
      <w:r w:rsidR="00CD00F4">
        <w:t xml:space="preserve">the </w:t>
      </w:r>
      <w:r w:rsidRPr="00A236B7">
        <w:t xml:space="preserve">Commission’s Bureau of Technical Utility Services (TUS), updates to Columbia’s Exhibit No. 108, Schedule 1, on or before April 1, 2015, for the twelve months ending December 31, 2014, and on or before April 1, 2016, for the twelve months ending December 31, 2015.  In addition, Columbia agreed to provide as a part of the Company’s next base rate case a comparison of its actual expenses and rate base additions for the twelve months ended December 31, 2015 to the projections in this case. </w:t>
      </w:r>
      <w:r w:rsidR="00CD00F4">
        <w:t xml:space="preserve"> </w:t>
      </w:r>
      <w:r w:rsidRPr="00A236B7">
        <w:t xml:space="preserve">As the first utility to employ a FPFTY under Act 11 and the first utility to file a subsequent rate case utilizing a FPFTY, </w:t>
      </w:r>
      <w:r w:rsidR="00A236B7">
        <w:t>B</w:t>
      </w:r>
      <w:r w:rsidRPr="00A236B7">
        <w:t xml:space="preserve">I&amp;E fully supports this term because it achieves </w:t>
      </w:r>
      <w:r w:rsidR="00A236B7">
        <w:t>B</w:t>
      </w:r>
      <w:r w:rsidRPr="00A236B7">
        <w:t>I&amp;E’s goal of timely receiving data sufficient to allow for the evaluation and confirmation of the accuracy of Columbia’s projections in advance of its next base rate case filing.</w:t>
      </w:r>
      <w:r w:rsidR="00A236B7">
        <w:t xml:space="preserve">  BI&amp;E St. in Support, pp. 9-10.  </w:t>
      </w:r>
    </w:p>
    <w:p w:rsidR="00A236B7" w:rsidRDefault="00A236B7" w:rsidP="00A236B7">
      <w:pPr>
        <w:tabs>
          <w:tab w:val="left" w:pos="720"/>
          <w:tab w:val="left" w:pos="1440"/>
          <w:tab w:val="num" w:pos="2160"/>
        </w:tabs>
        <w:spacing w:line="360" w:lineRule="auto"/>
        <w:ind w:firstLine="1440"/>
      </w:pPr>
    </w:p>
    <w:p w:rsidR="00A236B7" w:rsidRDefault="00051B0F" w:rsidP="00051B0F">
      <w:pPr>
        <w:tabs>
          <w:tab w:val="left" w:pos="720"/>
          <w:tab w:val="left" w:pos="1440"/>
          <w:tab w:val="num" w:pos="2160"/>
        </w:tabs>
        <w:spacing w:line="360" w:lineRule="auto"/>
        <w:ind w:firstLine="720"/>
      </w:pPr>
      <w:r>
        <w:t>3</w:t>
      </w:r>
      <w:r w:rsidR="00A236B7">
        <w:t>.</w:t>
      </w:r>
      <w:r w:rsidR="00A236B7">
        <w:tab/>
      </w:r>
      <w:r w:rsidR="00A236B7">
        <w:rPr>
          <w:u w:val="single"/>
        </w:rPr>
        <w:t>Debt Issuances</w:t>
      </w:r>
    </w:p>
    <w:p w:rsidR="00A236B7" w:rsidRDefault="00A236B7" w:rsidP="00A236B7">
      <w:pPr>
        <w:tabs>
          <w:tab w:val="left" w:pos="720"/>
          <w:tab w:val="left" w:pos="1440"/>
          <w:tab w:val="num" w:pos="2160"/>
        </w:tabs>
        <w:spacing w:line="360" w:lineRule="auto"/>
      </w:pPr>
    </w:p>
    <w:p w:rsidR="002D765E" w:rsidRDefault="00A236B7" w:rsidP="002D765E">
      <w:pPr>
        <w:tabs>
          <w:tab w:val="left" w:pos="720"/>
          <w:tab w:val="left" w:pos="1440"/>
          <w:tab w:val="num" w:pos="2160"/>
        </w:tabs>
        <w:spacing w:line="360" w:lineRule="auto"/>
        <w:ind w:firstLine="1440"/>
      </w:pPr>
      <w:r w:rsidRPr="00A236B7">
        <w:t xml:space="preserve">By using a FPFTY in this case, the Company included both historic and future debt issuances in the filing.  The future debt cost rates filed by Columbia are estimates of the future and can change as interest rates change.  In paragraph 26 of the Settlement, Columbia agreed to provide to </w:t>
      </w:r>
      <w:r w:rsidR="002D765E">
        <w:t>B</w:t>
      </w:r>
      <w:r w:rsidRPr="00A236B7">
        <w:t xml:space="preserve">I&amp;E, OCA, OSBA, and TUS all loan documentation filed with the Commission in compliance with Commission’s Orders issued under authority of Chapter 19 of the Public Utility Code addressing Columbia’s debt issuances.  The documentation shall be for all future debt issuances during the twelve-month periods ending December 31, 2014, and December 31, 2015.  As was the case with respect to projections related to capital investment, this term provides for timely review and confirmation of Columbia’s projected debt rate issuances given the relative novelty of the FPFTY in the ratemaking process.  By submitting all documentation supporting the issuances of all future debts within 60 days of issuance, </w:t>
      </w:r>
      <w:r w:rsidR="002D765E">
        <w:t>B</w:t>
      </w:r>
      <w:r w:rsidRPr="00A236B7">
        <w:t xml:space="preserve">I&amp;E </w:t>
      </w:r>
      <w:r w:rsidR="002D765E">
        <w:t xml:space="preserve">believes it </w:t>
      </w:r>
      <w:r w:rsidRPr="00A236B7">
        <w:t>will be able to determine the effect use of a FPFTY has on the Company’s debt costs and to ensure the future cost rate estimates remain reasonable.</w:t>
      </w:r>
      <w:r w:rsidRPr="00A236B7">
        <w:rPr>
          <w:rStyle w:val="FootnoteReference"/>
        </w:rPr>
        <w:footnoteReference w:id="15"/>
      </w:r>
      <w:r w:rsidRPr="00A236B7">
        <w:t xml:space="preserve"> </w:t>
      </w:r>
      <w:r>
        <w:t xml:space="preserve"> BI&amp;E St. in Support, pp. 10-11.</w:t>
      </w:r>
      <w:r w:rsidR="002D765E">
        <w:t xml:space="preserve">  </w:t>
      </w:r>
    </w:p>
    <w:p w:rsidR="002D765E" w:rsidRDefault="002D765E" w:rsidP="002D765E">
      <w:pPr>
        <w:tabs>
          <w:tab w:val="left" w:pos="720"/>
          <w:tab w:val="left" w:pos="1440"/>
          <w:tab w:val="num" w:pos="2160"/>
        </w:tabs>
        <w:spacing w:line="360" w:lineRule="auto"/>
        <w:ind w:firstLine="1440"/>
      </w:pPr>
    </w:p>
    <w:p w:rsidR="002D765E" w:rsidRDefault="00A236B7" w:rsidP="002D765E">
      <w:pPr>
        <w:tabs>
          <w:tab w:val="left" w:pos="720"/>
          <w:tab w:val="left" w:pos="1440"/>
          <w:tab w:val="num" w:pos="2160"/>
        </w:tabs>
        <w:spacing w:line="360" w:lineRule="auto"/>
        <w:ind w:firstLine="1440"/>
      </w:pPr>
      <w:r w:rsidRPr="00A236B7">
        <w:t xml:space="preserve">In addition, Columbia agreed to preserve and provide to </w:t>
      </w:r>
      <w:r w:rsidR="002D765E">
        <w:t>B</w:t>
      </w:r>
      <w:r w:rsidRPr="00A236B7">
        <w:t xml:space="preserve">I&amp;E, OCA, and OSBA as part of its next base rate case all documentation supporting debt issued between this case and the next, and the Treasury yield as reported in the Federal Reserve Statistical Release, H.15 Selected Interest Rates and the yield spread as reported by Reuters Corporate spreads as of the dates of each issuance.  Through such information </w:t>
      </w:r>
      <w:r w:rsidR="002D765E">
        <w:t>B</w:t>
      </w:r>
      <w:r w:rsidRPr="00A236B7">
        <w:t xml:space="preserve">I&amp;E </w:t>
      </w:r>
      <w:r w:rsidR="002D765E">
        <w:t xml:space="preserve">believes it </w:t>
      </w:r>
      <w:r w:rsidRPr="00A236B7">
        <w:t>will be better able to review Columbia’s long-term debt issuances and not only confirm Columbia’s projections but also determine whether the Company secured such debt at reasonable costs.</w:t>
      </w:r>
      <w:r w:rsidR="002D765E">
        <w:t xml:space="preserve">  BI&amp;E St. in Support, p.</w:t>
      </w:r>
      <w:r w:rsidR="0013517D">
        <w:t> </w:t>
      </w:r>
      <w:r w:rsidR="002D765E">
        <w:t>11.</w:t>
      </w:r>
    </w:p>
    <w:p w:rsidR="002D765E" w:rsidRDefault="002D765E" w:rsidP="002D765E">
      <w:pPr>
        <w:tabs>
          <w:tab w:val="left" w:pos="720"/>
          <w:tab w:val="left" w:pos="1440"/>
          <w:tab w:val="num" w:pos="2160"/>
        </w:tabs>
        <w:spacing w:line="360" w:lineRule="auto"/>
      </w:pPr>
    </w:p>
    <w:p w:rsidR="002D765E" w:rsidRDefault="002D765E" w:rsidP="002D765E">
      <w:pPr>
        <w:tabs>
          <w:tab w:val="left" w:pos="720"/>
          <w:tab w:val="left" w:pos="1440"/>
          <w:tab w:val="num" w:pos="2160"/>
        </w:tabs>
        <w:spacing w:line="360" w:lineRule="auto"/>
        <w:rPr>
          <w:u w:val="single"/>
        </w:rPr>
      </w:pPr>
      <w:r>
        <w:tab/>
      </w:r>
      <w:r w:rsidR="0032476D">
        <w:t>4</w:t>
      </w:r>
      <w:r>
        <w:t>.</w:t>
      </w:r>
      <w:r>
        <w:tab/>
      </w:r>
      <w:r>
        <w:rPr>
          <w:u w:val="single"/>
        </w:rPr>
        <w:t>Revenue Allocation and Rate Design</w:t>
      </w:r>
    </w:p>
    <w:p w:rsidR="0013517D" w:rsidRDefault="0013517D" w:rsidP="002D765E">
      <w:pPr>
        <w:tabs>
          <w:tab w:val="left" w:pos="720"/>
          <w:tab w:val="left" w:pos="1440"/>
          <w:tab w:val="num" w:pos="2160"/>
        </w:tabs>
        <w:spacing w:line="360" w:lineRule="auto"/>
        <w:rPr>
          <w:u w:val="single"/>
        </w:rPr>
      </w:pPr>
    </w:p>
    <w:p w:rsidR="002D765E" w:rsidRDefault="002D765E" w:rsidP="002D765E">
      <w:pPr>
        <w:tabs>
          <w:tab w:val="left" w:pos="720"/>
          <w:tab w:val="left" w:pos="1440"/>
          <w:tab w:val="num" w:pos="2160"/>
        </w:tabs>
        <w:spacing w:line="360" w:lineRule="auto"/>
      </w:pPr>
      <w:r>
        <w:tab/>
      </w:r>
      <w:r>
        <w:tab/>
        <w:t>a.</w:t>
      </w:r>
      <w:r>
        <w:tab/>
      </w:r>
      <w:r>
        <w:rPr>
          <w:u w:val="single"/>
        </w:rPr>
        <w:t>Revenue Allocation</w:t>
      </w:r>
    </w:p>
    <w:p w:rsidR="002D765E" w:rsidRDefault="002D765E" w:rsidP="002D765E">
      <w:pPr>
        <w:tabs>
          <w:tab w:val="left" w:pos="720"/>
          <w:tab w:val="left" w:pos="1440"/>
          <w:tab w:val="num" w:pos="2160"/>
        </w:tabs>
        <w:spacing w:line="360" w:lineRule="auto"/>
      </w:pPr>
    </w:p>
    <w:p w:rsidR="002D765E" w:rsidRDefault="002D765E" w:rsidP="002D765E">
      <w:pPr>
        <w:spacing w:line="360" w:lineRule="auto"/>
        <w:ind w:firstLine="1440"/>
        <w:contextualSpacing/>
      </w:pPr>
      <w:r w:rsidRPr="002D765E">
        <w:t xml:space="preserve">Revenue allocation under the Settlement is set forth in Appendix </w:t>
      </w:r>
      <w:proofErr w:type="gramStart"/>
      <w:r w:rsidRPr="002D765E">
        <w:t>A</w:t>
      </w:r>
      <w:proofErr w:type="gramEnd"/>
      <w:r>
        <w:t xml:space="preserve"> attached to the Settlement</w:t>
      </w:r>
      <w:r w:rsidRPr="002D765E">
        <w:t xml:space="preserve">.  The distribution of revenue among the customer classes was a matter of interest to all parties in the proceeding and was the subject of numerous settlement discussions.  </w:t>
      </w:r>
      <w:r>
        <w:t>The Joint Petitioners</w:t>
      </w:r>
      <w:r w:rsidRPr="002D765E">
        <w:t xml:space="preserve"> agree</w:t>
      </w:r>
      <w:r>
        <w:t>d</w:t>
      </w:r>
      <w:r w:rsidRPr="002D765E">
        <w:t xml:space="preserve"> to the settled-upon allocation of the proposed increase among the classes.  </w:t>
      </w:r>
      <w:r>
        <w:t>B</w:t>
      </w:r>
      <w:r w:rsidRPr="002D765E">
        <w:t>I&amp;E maintains that the Settlement allocation is just, reasonable, and non-discriminatory.</w:t>
      </w:r>
      <w:r w:rsidR="00BA68C6">
        <w:t xml:space="preserve"> </w:t>
      </w:r>
      <w:r w:rsidRPr="002D765E">
        <w:t xml:space="preserve"> </w:t>
      </w:r>
      <w:r>
        <w:t>BI&amp;E concludes t</w:t>
      </w:r>
      <w:r w:rsidRPr="002D765E">
        <w:t xml:space="preserve">he allocation is in the public interest and should be approved. </w:t>
      </w:r>
      <w:r>
        <w:t xml:space="preserve"> BI&amp;E St. in Support, p.</w:t>
      </w:r>
      <w:r w:rsidR="007333D4">
        <w:t> </w:t>
      </w:r>
      <w:r>
        <w:t>11.</w:t>
      </w:r>
    </w:p>
    <w:p w:rsidR="002D765E" w:rsidRDefault="002D765E" w:rsidP="002D765E">
      <w:pPr>
        <w:spacing w:line="360" w:lineRule="auto"/>
        <w:contextualSpacing/>
      </w:pPr>
    </w:p>
    <w:p w:rsidR="002D765E" w:rsidRDefault="002D765E" w:rsidP="002D765E">
      <w:pPr>
        <w:spacing w:line="360" w:lineRule="auto"/>
        <w:contextualSpacing/>
      </w:pPr>
      <w:r>
        <w:tab/>
      </w:r>
      <w:r>
        <w:tab/>
        <w:t>b.</w:t>
      </w:r>
      <w:r>
        <w:tab/>
      </w:r>
      <w:r>
        <w:rPr>
          <w:u w:val="single"/>
        </w:rPr>
        <w:t>Residential Rate Design</w:t>
      </w:r>
    </w:p>
    <w:p w:rsidR="002D765E" w:rsidRDefault="002D765E" w:rsidP="00267123">
      <w:pPr>
        <w:contextualSpacing/>
      </w:pPr>
    </w:p>
    <w:p w:rsidR="000F4E4B" w:rsidRDefault="002D765E" w:rsidP="002D765E">
      <w:pPr>
        <w:pStyle w:val="ListNumber"/>
        <w:numPr>
          <w:ilvl w:val="0"/>
          <w:numId w:val="0"/>
        </w:numPr>
        <w:spacing w:line="360" w:lineRule="auto"/>
        <w:ind w:firstLine="1440"/>
      </w:pPr>
      <w:r w:rsidRPr="002D765E">
        <w:t>Rate design under the Settlement for all classes is set forth in Appendix B</w:t>
      </w:r>
      <w:r>
        <w:t xml:space="preserve"> attached to the Settlement</w:t>
      </w:r>
      <w:r w:rsidRPr="002D765E">
        <w:t xml:space="preserve">.  Columbia’s current residential rate design consists of a $16.75 per month customer charge and a single </w:t>
      </w:r>
      <w:bookmarkStart w:id="1" w:name="OLE_LINK1"/>
      <w:bookmarkStart w:id="2" w:name="OLE_LINK2"/>
      <w:r w:rsidRPr="002D765E">
        <w:t xml:space="preserve">delivery rate of $3.5017 for each </w:t>
      </w:r>
      <w:proofErr w:type="spellStart"/>
      <w:r w:rsidRPr="002D765E">
        <w:t>Dth</w:t>
      </w:r>
      <w:bookmarkEnd w:id="1"/>
      <w:bookmarkEnd w:id="2"/>
      <w:proofErr w:type="spellEnd"/>
      <w:r w:rsidRPr="002D765E">
        <w:t xml:space="preserve"> of gas delivered.</w:t>
      </w:r>
      <w:r w:rsidRPr="002D765E">
        <w:rPr>
          <w:rStyle w:val="FootnoteReference"/>
        </w:rPr>
        <w:footnoteReference w:id="16"/>
      </w:r>
      <w:r w:rsidRPr="002D765E">
        <w:t xml:space="preserve">  In the filing, the Company proposed to increase the residential customer charge to $22.50 per month and proposed a usage rate of $3.9239 per </w:t>
      </w:r>
      <w:proofErr w:type="spellStart"/>
      <w:r w:rsidRPr="002D765E">
        <w:t>Dth</w:t>
      </w:r>
      <w:proofErr w:type="spellEnd"/>
      <w:r w:rsidRPr="002D765E">
        <w:t xml:space="preserve">.  </w:t>
      </w:r>
      <w:r w:rsidR="000F4E4B">
        <w:t>B</w:t>
      </w:r>
      <w:r w:rsidRPr="002D765E">
        <w:t xml:space="preserve">I&amp;E’s customer cost analysis showed that the Company incurs $15.70 per month of direct and indirect costs to serve residential customers; therefore, </w:t>
      </w:r>
      <w:r w:rsidR="000F4E4B">
        <w:t>B</w:t>
      </w:r>
      <w:r w:rsidRPr="002D765E">
        <w:t>I&amp;E opposed the Company’s proposed $22.50 per month customer charge and recommended that the residential customer charge not be increased because there was no cost basis for doing so.</w:t>
      </w:r>
      <w:r w:rsidRPr="002D765E">
        <w:rPr>
          <w:rStyle w:val="FootnoteReference"/>
        </w:rPr>
        <w:footnoteReference w:id="17"/>
      </w:r>
      <w:r w:rsidRPr="002D765E">
        <w:t xml:space="preserve">  Under the terms of the Settlement, the</w:t>
      </w:r>
      <w:r w:rsidR="000F4E4B">
        <w:t xml:space="preserve"> Joint Petitioners </w:t>
      </w:r>
      <w:r w:rsidRPr="002D765E">
        <w:t>agree</w:t>
      </w:r>
      <w:r w:rsidR="000F4E4B">
        <w:t>d</w:t>
      </w:r>
      <w:r w:rsidRPr="002D765E">
        <w:t xml:space="preserve"> that</w:t>
      </w:r>
      <w:r w:rsidR="000F4E4B">
        <w:t xml:space="preserve"> the </w:t>
      </w:r>
      <w:r w:rsidRPr="002D765E">
        <w:t xml:space="preserve">residential customer charge will remain at the current rate of $16.75 per month.  </w:t>
      </w:r>
      <w:r w:rsidR="000F4E4B">
        <w:t>According to BI&amp;E, t</w:t>
      </w:r>
      <w:r w:rsidRPr="002D765E">
        <w:t>his agreement to keep the residential customer charge at its current level is in the public interest because it ensures that customers will continue to pay an appropriate amount of direct and indirect costs through the monthly customer charge.</w:t>
      </w:r>
      <w:r w:rsidR="000F4E4B">
        <w:t xml:space="preserve">  BI&amp;E St. in Support, p. 12.</w:t>
      </w:r>
    </w:p>
    <w:p w:rsidR="000F4E4B" w:rsidRDefault="000F4E4B" w:rsidP="000F4E4B">
      <w:pPr>
        <w:pStyle w:val="ListNumber"/>
        <w:numPr>
          <w:ilvl w:val="0"/>
          <w:numId w:val="0"/>
        </w:numPr>
        <w:spacing w:line="360" w:lineRule="auto"/>
      </w:pPr>
    </w:p>
    <w:p w:rsidR="000F4E4B" w:rsidRDefault="000F4E4B" w:rsidP="000F4E4B">
      <w:pPr>
        <w:pStyle w:val="ListNumber"/>
        <w:numPr>
          <w:ilvl w:val="0"/>
          <w:numId w:val="0"/>
        </w:numPr>
        <w:spacing w:line="360" w:lineRule="auto"/>
      </w:pPr>
      <w:r>
        <w:tab/>
      </w:r>
      <w:r w:rsidR="00296A30">
        <w:t>5</w:t>
      </w:r>
      <w:r>
        <w:t>.</w:t>
      </w:r>
      <w:r>
        <w:tab/>
      </w:r>
      <w:r>
        <w:rPr>
          <w:u w:val="single"/>
        </w:rPr>
        <w:t>Tariff Rule 8.2.1-Main Extension Model</w:t>
      </w:r>
    </w:p>
    <w:p w:rsidR="000F4E4B" w:rsidRDefault="000F4E4B" w:rsidP="000F4E4B">
      <w:pPr>
        <w:pStyle w:val="ListNumber"/>
        <w:numPr>
          <w:ilvl w:val="0"/>
          <w:numId w:val="0"/>
        </w:numPr>
        <w:spacing w:line="360" w:lineRule="auto"/>
      </w:pPr>
    </w:p>
    <w:p w:rsidR="000F4E4B" w:rsidRDefault="000F4E4B" w:rsidP="000F4E4B">
      <w:pPr>
        <w:pStyle w:val="ListNumber"/>
        <w:numPr>
          <w:ilvl w:val="0"/>
          <w:numId w:val="0"/>
        </w:numPr>
        <w:spacing w:line="360" w:lineRule="auto"/>
        <w:ind w:firstLine="1440"/>
      </w:pPr>
      <w:r w:rsidRPr="000F4E4B">
        <w:t xml:space="preserve">Issues related to the Company’s main extension model are currently being litigated in the Rider NAS proceeding at Docket No. R-2014-2407345.  Therefore, </w:t>
      </w:r>
      <w:r>
        <w:t xml:space="preserve">according to BI&amp;E, </w:t>
      </w:r>
      <w:r w:rsidRPr="000F4E4B">
        <w:t xml:space="preserve">the </w:t>
      </w:r>
      <w:r>
        <w:t>Joint Petitioners</w:t>
      </w:r>
      <w:r w:rsidRPr="000F4E4B">
        <w:t xml:space="preserve"> agree</w:t>
      </w:r>
      <w:r>
        <w:t>d</w:t>
      </w:r>
      <w:r w:rsidRPr="000F4E4B">
        <w:t xml:space="preserve"> that the </w:t>
      </w:r>
      <w:r>
        <w:t>discounted cash flow (“</w:t>
      </w:r>
      <w:r w:rsidRPr="000F4E4B">
        <w:t>DCF</w:t>
      </w:r>
      <w:r>
        <w:t>”)</w:t>
      </w:r>
      <w:r w:rsidRPr="000F4E4B">
        <w:t xml:space="preserve"> model that results from the Rider NAS proceeding will be used by Columbia for all residential main extensions until its next base rate proceeding.  </w:t>
      </w:r>
      <w:r>
        <w:t xml:space="preserve">The Joint Petitioners </w:t>
      </w:r>
      <w:r w:rsidRPr="000F4E4B">
        <w:t xml:space="preserve">reserve their right to propose changes to the DCF model in the Company’s next base rate proceeding.  </w:t>
      </w:r>
      <w:r>
        <w:t>BI&amp;E concludes t</w:t>
      </w:r>
      <w:r w:rsidRPr="000F4E4B">
        <w:t>his provision is in the public interest because it ensures that there will be one main extension model used for both NAS and non-NAS extensions.</w:t>
      </w:r>
      <w:r>
        <w:t xml:space="preserve">  BI&amp;E St. in Support, pp. 12-13.</w:t>
      </w:r>
      <w:r w:rsidRPr="000F4E4B">
        <w:t xml:space="preserve"> </w:t>
      </w:r>
    </w:p>
    <w:p w:rsidR="000F4E4B" w:rsidRDefault="000F4E4B" w:rsidP="000F4E4B">
      <w:pPr>
        <w:pStyle w:val="ListNumber"/>
        <w:numPr>
          <w:ilvl w:val="0"/>
          <w:numId w:val="0"/>
        </w:numPr>
        <w:spacing w:line="360" w:lineRule="auto"/>
      </w:pPr>
    </w:p>
    <w:p w:rsidR="00900048" w:rsidRDefault="00900048" w:rsidP="000F4E4B">
      <w:pPr>
        <w:pStyle w:val="ListNumber"/>
        <w:numPr>
          <w:ilvl w:val="0"/>
          <w:numId w:val="0"/>
        </w:numPr>
        <w:spacing w:line="360" w:lineRule="auto"/>
      </w:pPr>
    </w:p>
    <w:p w:rsidR="00900048" w:rsidRDefault="00900048" w:rsidP="000F4E4B">
      <w:pPr>
        <w:pStyle w:val="ListNumber"/>
        <w:numPr>
          <w:ilvl w:val="0"/>
          <w:numId w:val="0"/>
        </w:numPr>
        <w:spacing w:line="360" w:lineRule="auto"/>
      </w:pPr>
    </w:p>
    <w:p w:rsidR="00900048" w:rsidRDefault="00900048" w:rsidP="000F4E4B">
      <w:pPr>
        <w:pStyle w:val="ListNumber"/>
        <w:numPr>
          <w:ilvl w:val="0"/>
          <w:numId w:val="0"/>
        </w:numPr>
        <w:spacing w:line="360" w:lineRule="auto"/>
      </w:pPr>
    </w:p>
    <w:p w:rsidR="00900048" w:rsidRDefault="00900048" w:rsidP="000F4E4B">
      <w:pPr>
        <w:pStyle w:val="ListNumber"/>
        <w:numPr>
          <w:ilvl w:val="0"/>
          <w:numId w:val="0"/>
        </w:numPr>
        <w:spacing w:line="360" w:lineRule="auto"/>
      </w:pPr>
    </w:p>
    <w:p w:rsidR="00900048" w:rsidRDefault="00900048" w:rsidP="000F4E4B">
      <w:pPr>
        <w:pStyle w:val="ListNumber"/>
        <w:numPr>
          <w:ilvl w:val="0"/>
          <w:numId w:val="0"/>
        </w:numPr>
        <w:spacing w:line="360" w:lineRule="auto"/>
      </w:pPr>
    </w:p>
    <w:p w:rsidR="000F4E4B" w:rsidRDefault="000F4E4B" w:rsidP="000F4E4B">
      <w:pPr>
        <w:pStyle w:val="ListNumber"/>
        <w:numPr>
          <w:ilvl w:val="0"/>
          <w:numId w:val="0"/>
        </w:numPr>
        <w:spacing w:line="360" w:lineRule="auto"/>
        <w:rPr>
          <w:u w:val="single"/>
        </w:rPr>
      </w:pPr>
      <w:r>
        <w:tab/>
      </w:r>
      <w:r w:rsidR="00391A4D">
        <w:t>6</w:t>
      </w:r>
      <w:r>
        <w:t>.</w:t>
      </w:r>
      <w:r>
        <w:tab/>
      </w:r>
      <w:r>
        <w:rPr>
          <w:u w:val="single"/>
        </w:rPr>
        <w:t>Other</w:t>
      </w:r>
    </w:p>
    <w:p w:rsidR="00900048" w:rsidRDefault="00900048" w:rsidP="000F4E4B">
      <w:pPr>
        <w:pStyle w:val="ListNumber"/>
        <w:numPr>
          <w:ilvl w:val="0"/>
          <w:numId w:val="0"/>
        </w:numPr>
        <w:spacing w:line="360" w:lineRule="auto"/>
      </w:pPr>
    </w:p>
    <w:p w:rsidR="000F4E4B" w:rsidRDefault="000F4E4B" w:rsidP="000F4E4B">
      <w:pPr>
        <w:pStyle w:val="ListNumber"/>
        <w:numPr>
          <w:ilvl w:val="0"/>
          <w:numId w:val="0"/>
        </w:numPr>
        <w:spacing w:line="360" w:lineRule="auto"/>
      </w:pPr>
      <w:r>
        <w:tab/>
      </w:r>
      <w:r>
        <w:tab/>
        <w:t>a.</w:t>
      </w:r>
      <w:r>
        <w:tab/>
      </w:r>
      <w:r>
        <w:rPr>
          <w:u w:val="single"/>
        </w:rPr>
        <w:t>Rate Case Filing</w:t>
      </w:r>
    </w:p>
    <w:p w:rsidR="000F4E4B" w:rsidRDefault="000F4E4B" w:rsidP="000F4E4B">
      <w:pPr>
        <w:pStyle w:val="ListNumber"/>
        <w:numPr>
          <w:ilvl w:val="0"/>
          <w:numId w:val="0"/>
        </w:numPr>
        <w:spacing w:line="360" w:lineRule="auto"/>
      </w:pPr>
    </w:p>
    <w:p w:rsidR="00924EC0" w:rsidRDefault="00924EC0" w:rsidP="00924EC0">
      <w:pPr>
        <w:pStyle w:val="ListNumber"/>
        <w:numPr>
          <w:ilvl w:val="0"/>
          <w:numId w:val="0"/>
        </w:numPr>
        <w:spacing w:line="360" w:lineRule="auto"/>
        <w:ind w:firstLine="1440"/>
      </w:pPr>
      <w:r>
        <w:rPr>
          <w:kern w:val="24"/>
        </w:rPr>
        <w:t>B</w:t>
      </w:r>
      <w:r w:rsidRPr="00924EC0">
        <w:rPr>
          <w:kern w:val="24"/>
        </w:rPr>
        <w:t>I&amp;E was concerned that the Company’s work papers for ratemaking adjustments contained in its filing only supported the changes between its budget and actual numbers for each individual twelve month period ended November 30, 2014 and December 31, 2015, rather than supporting the total adjustments made between</w:t>
      </w:r>
      <w:r w:rsidRPr="00924EC0">
        <w:rPr>
          <w:i/>
          <w:kern w:val="24"/>
        </w:rPr>
        <w:t xml:space="preserve"> </w:t>
      </w:r>
      <w:r w:rsidRPr="00924EC0">
        <w:rPr>
          <w:kern w:val="24"/>
        </w:rPr>
        <w:t xml:space="preserve">the </w:t>
      </w:r>
      <w:r>
        <w:rPr>
          <w:kern w:val="24"/>
        </w:rPr>
        <w:t>historic test year (“</w:t>
      </w:r>
      <w:r w:rsidRPr="00924EC0">
        <w:rPr>
          <w:kern w:val="24"/>
        </w:rPr>
        <w:t>HTY</w:t>
      </w:r>
      <w:r>
        <w:rPr>
          <w:kern w:val="24"/>
        </w:rPr>
        <w:t xml:space="preserve">”) </w:t>
      </w:r>
      <w:r w:rsidRPr="00924EC0">
        <w:rPr>
          <w:kern w:val="24"/>
        </w:rPr>
        <w:t xml:space="preserve"> and </w:t>
      </w:r>
      <w:r>
        <w:rPr>
          <w:kern w:val="24"/>
        </w:rPr>
        <w:t>future test year (“</w:t>
      </w:r>
      <w:r w:rsidRPr="00924EC0">
        <w:rPr>
          <w:kern w:val="24"/>
        </w:rPr>
        <w:t>FTY</w:t>
      </w:r>
      <w:r>
        <w:rPr>
          <w:kern w:val="24"/>
        </w:rPr>
        <w:t>”)</w:t>
      </w:r>
      <w:r w:rsidRPr="00924EC0">
        <w:rPr>
          <w:kern w:val="24"/>
        </w:rPr>
        <w:t xml:space="preserve"> (i.e., the FTY claim amount minus the HTY claim amount), and the adjustments made between the FTY and FPFTY (i.e., the FPFTY claim amount minus the FTY claim amount).</w:t>
      </w:r>
      <w:r w:rsidRPr="00924EC0">
        <w:rPr>
          <w:rStyle w:val="FootnoteReference"/>
          <w:kern w:val="24"/>
        </w:rPr>
        <w:footnoteReference w:id="18"/>
      </w:r>
      <w:r w:rsidRPr="00924EC0">
        <w:rPr>
          <w:kern w:val="24"/>
        </w:rPr>
        <w:t xml:space="preserve">  Therefore, </w:t>
      </w:r>
      <w:r w:rsidRPr="00924EC0">
        <w:t xml:space="preserve">in all future base rate cases, whether the Company uses a “build-up” or “budget-based” filing format, Columbia agrees that the schedules for operating expenses as detailed on CPA Exhibit No. 104 shall display differences between the pro forma HTY and FTY amounts, as well as the differences between the FTY and FPFTY amounts.  The schedules will support the total FPFTY claim amounts, rather than supporting only differences between FTY budget and claim amounts and FPFTY budget and claim amounts.  </w:t>
      </w:r>
      <w:r>
        <w:t>According to BI&amp;E, t</w:t>
      </w:r>
      <w:r w:rsidRPr="00924EC0">
        <w:t xml:space="preserve">his term is in the public interest because it ensures that the Company’s filing will contain information that is necessary for </w:t>
      </w:r>
      <w:r>
        <w:t>B</w:t>
      </w:r>
      <w:r w:rsidRPr="00924EC0">
        <w:t>I&amp;E expert witnesses to analyze the justness and reasonableness of the Company’s ratemaking claims.</w:t>
      </w:r>
      <w:r>
        <w:t xml:space="preserve">  BI&amp;E St. in Support, p. 13.</w:t>
      </w:r>
    </w:p>
    <w:p w:rsidR="00924EC0" w:rsidRDefault="00924EC0" w:rsidP="00924EC0">
      <w:pPr>
        <w:pStyle w:val="ListNumber"/>
        <w:numPr>
          <w:ilvl w:val="0"/>
          <w:numId w:val="0"/>
        </w:numPr>
        <w:spacing w:line="360" w:lineRule="auto"/>
      </w:pPr>
    </w:p>
    <w:p w:rsidR="00924EC0" w:rsidRDefault="00924EC0" w:rsidP="00924EC0">
      <w:pPr>
        <w:pStyle w:val="ListNumber"/>
        <w:numPr>
          <w:ilvl w:val="0"/>
          <w:numId w:val="0"/>
        </w:numPr>
        <w:spacing w:line="360" w:lineRule="auto"/>
      </w:pPr>
      <w:r>
        <w:tab/>
      </w:r>
      <w:r>
        <w:tab/>
        <w:t>b.</w:t>
      </w:r>
      <w:r>
        <w:tab/>
      </w:r>
      <w:r>
        <w:rPr>
          <w:u w:val="single"/>
        </w:rPr>
        <w:t>Municipal Restoration Costs</w:t>
      </w:r>
    </w:p>
    <w:p w:rsidR="00924EC0" w:rsidRDefault="00924EC0" w:rsidP="00924EC0">
      <w:pPr>
        <w:pStyle w:val="ListNumber"/>
        <w:numPr>
          <w:ilvl w:val="0"/>
          <w:numId w:val="0"/>
        </w:numPr>
        <w:spacing w:line="360" w:lineRule="auto"/>
      </w:pPr>
    </w:p>
    <w:p w:rsidR="00924EC0" w:rsidRDefault="00924EC0" w:rsidP="00924EC0">
      <w:pPr>
        <w:pStyle w:val="ListNumber"/>
        <w:numPr>
          <w:ilvl w:val="0"/>
          <w:numId w:val="0"/>
        </w:numPr>
        <w:spacing w:line="360" w:lineRule="auto"/>
        <w:ind w:firstLine="1440"/>
      </w:pPr>
      <w:r>
        <w:t>B</w:t>
      </w:r>
      <w:r w:rsidRPr="00924EC0">
        <w:t>I&amp;E presented the testimony of David Cline and Paul Metro from the Commission’s Gas Safety Division to address Columbia’s increased main replacement construction costs.  The average cost of main replacement in 2008 of $81.25 per foot increased to $135.67 per foot in 2012, representing an approximate 67%, increase.</w:t>
      </w:r>
      <w:r w:rsidRPr="00924EC0">
        <w:rPr>
          <w:rStyle w:val="FootnoteReference"/>
        </w:rPr>
        <w:footnoteReference w:id="19"/>
      </w:r>
      <w:r w:rsidRPr="00924EC0">
        <w:t xml:space="preserve">  One of the reasons for the increase is that municipalities are requiring larger restoration areas and </w:t>
      </w:r>
      <w:r w:rsidR="00315F13">
        <w:t xml:space="preserve">a </w:t>
      </w:r>
      <w:r w:rsidRPr="00924EC0">
        <w:t>more rigorous process than historically required, which has increased Columbia’s contractor and paving costs.</w:t>
      </w:r>
      <w:r w:rsidRPr="00924EC0">
        <w:rPr>
          <w:rStyle w:val="FootnoteReference"/>
        </w:rPr>
        <w:footnoteReference w:id="20"/>
      </w:r>
      <w:r w:rsidRPr="00924EC0">
        <w:t xml:space="preserve">  While </w:t>
      </w:r>
      <w:r>
        <w:t>B</w:t>
      </w:r>
      <w:r w:rsidRPr="00924EC0">
        <w:t xml:space="preserve">I&amp;E understands that municipalities have the ability to regulate the price and conditions on the issuance of a permit before Columbia can proceed with construction related to pipeline replacement, </w:t>
      </w:r>
      <w:r>
        <w:t>B</w:t>
      </w:r>
      <w:r w:rsidRPr="00924EC0">
        <w:t>I&amp;E is concerned that these costs are not reasonably connected to the Company’s main replacement projects and are simply an opportunity for municipalities to recover the cost of public works projects from Columbia ratepayers rather than through taxpayers.</w:t>
      </w:r>
      <w:r w:rsidRPr="00924EC0">
        <w:rPr>
          <w:rStyle w:val="FootnoteReference"/>
        </w:rPr>
        <w:footnoteReference w:id="21"/>
      </w:r>
      <w:r>
        <w:t xml:space="preserve">  BI&amp;E St. in Support, p. 14.  </w:t>
      </w:r>
    </w:p>
    <w:p w:rsidR="00924EC0" w:rsidRDefault="00924EC0" w:rsidP="00924EC0">
      <w:pPr>
        <w:pStyle w:val="ListNumber"/>
        <w:numPr>
          <w:ilvl w:val="0"/>
          <w:numId w:val="0"/>
        </w:numPr>
        <w:spacing w:line="360" w:lineRule="auto"/>
        <w:ind w:firstLine="1440"/>
      </w:pPr>
    </w:p>
    <w:p w:rsidR="007748FA" w:rsidRDefault="00924EC0" w:rsidP="007748FA">
      <w:pPr>
        <w:pStyle w:val="ListNumber"/>
        <w:numPr>
          <w:ilvl w:val="0"/>
          <w:numId w:val="0"/>
        </w:numPr>
        <w:spacing w:line="360" w:lineRule="auto"/>
        <w:ind w:firstLine="1440"/>
      </w:pPr>
      <w:r w:rsidRPr="00924EC0">
        <w:t xml:space="preserve">In </w:t>
      </w:r>
      <w:r>
        <w:t xml:space="preserve">the </w:t>
      </w:r>
      <w:r w:rsidRPr="00924EC0">
        <w:t xml:space="preserve">Settlement, the </w:t>
      </w:r>
      <w:r>
        <w:t xml:space="preserve">Joint Petitioners </w:t>
      </w:r>
      <w:r w:rsidRPr="00924EC0">
        <w:t>agree</w:t>
      </w:r>
      <w:r>
        <w:t>d</w:t>
      </w:r>
      <w:r w:rsidRPr="00924EC0">
        <w:t xml:space="preserve"> that Columbia will meet with the Commission’s Gas Safety Division and other parties to identify increasing state, county and municipal requirements that exceed the Pennsylvania Department of Transportation restoration standards and add to the cost of pipeline replacements in an effort to develop coordinated potential responses to such requirements.  </w:t>
      </w:r>
      <w:r>
        <w:t xml:space="preserve">The Settlement also requires </w:t>
      </w:r>
      <w:r w:rsidRPr="00924EC0">
        <w:t xml:space="preserve">Columbia </w:t>
      </w:r>
      <w:r>
        <w:t xml:space="preserve">to </w:t>
      </w:r>
      <w:r w:rsidRPr="00924EC0">
        <w:t xml:space="preserve">undertake audits of the restoration costs for its 10 largest projects in the prior year, identifying costs incurred in excess of the Pennsylvania Department of Transportation restoration standards for paving, sidewalk repair and permitting fees.  Further, </w:t>
      </w:r>
      <w:r>
        <w:t xml:space="preserve">in the Settlement, </w:t>
      </w:r>
      <w:r w:rsidRPr="00924EC0">
        <w:t>Columbia agrees to continue its efforts to reduce restoration costs, through efforts including, but not limited to, coordinating pipe replacement projects with other street projects, and replacing pipe using trenchless construction techniques where technically and economically feasible.</w:t>
      </w:r>
      <w:r w:rsidR="007748FA">
        <w:t xml:space="preserve">  BI&amp;E St. in Support, pp. 14-15.  </w:t>
      </w:r>
    </w:p>
    <w:p w:rsidR="007748FA" w:rsidRDefault="007748FA" w:rsidP="007748FA">
      <w:pPr>
        <w:pStyle w:val="ListNumber"/>
        <w:numPr>
          <w:ilvl w:val="0"/>
          <w:numId w:val="0"/>
        </w:numPr>
        <w:spacing w:line="360" w:lineRule="auto"/>
        <w:ind w:firstLine="1440"/>
      </w:pPr>
    </w:p>
    <w:p w:rsidR="00924EC0" w:rsidRDefault="007748FA" w:rsidP="007748FA">
      <w:pPr>
        <w:pStyle w:val="ListNumber"/>
        <w:numPr>
          <w:ilvl w:val="0"/>
          <w:numId w:val="0"/>
        </w:numPr>
        <w:spacing w:line="360" w:lineRule="auto"/>
        <w:ind w:firstLine="1440"/>
      </w:pPr>
      <w:r>
        <w:t xml:space="preserve">BI&amp;E submits that </w:t>
      </w:r>
      <w:r w:rsidR="00924EC0" w:rsidRPr="00924EC0">
        <w:t>utility rates must be just and reasonable, expenses must be necessary for the provision of safe and reliable service, and only rate base that is used and useful in the provision of public utility service is permitted to be included in rate base.</w:t>
      </w:r>
      <w:r w:rsidR="00924EC0" w:rsidRPr="00924EC0">
        <w:rPr>
          <w:rStyle w:val="FootnoteReference"/>
        </w:rPr>
        <w:footnoteReference w:id="22"/>
      </w:r>
      <w:r w:rsidR="00924EC0" w:rsidRPr="00924EC0">
        <w:t xml:space="preserve">  </w:t>
      </w:r>
      <w:r>
        <w:t>BI&amp;E asserts that t</w:t>
      </w:r>
      <w:r w:rsidR="00924EC0" w:rsidRPr="00924EC0">
        <w:t xml:space="preserve">he information that Columbia will provide through the </w:t>
      </w:r>
      <w:r>
        <w:t>S</w:t>
      </w:r>
      <w:r w:rsidR="00924EC0" w:rsidRPr="00924EC0">
        <w:t xml:space="preserve">ettlement will help ensure that these fundamental ratemaking principles are being adhered to by assisting </w:t>
      </w:r>
      <w:r>
        <w:t>B</w:t>
      </w:r>
      <w:r w:rsidR="00924EC0" w:rsidRPr="00924EC0">
        <w:t>I&amp;E in determining whether and to what extent municipalities are seeking recovery of construction costs from Columbia ratepayers that are unrelated to the provision of safe and reliable gas service.</w:t>
      </w:r>
      <w:r w:rsidR="00924EC0" w:rsidRPr="00924EC0">
        <w:rPr>
          <w:rStyle w:val="FootnoteReference"/>
        </w:rPr>
        <w:t xml:space="preserve"> </w:t>
      </w:r>
      <w:r w:rsidR="00924EC0" w:rsidRPr="00924EC0">
        <w:rPr>
          <w:rStyle w:val="FootnoteReference"/>
        </w:rPr>
        <w:footnoteReference w:id="23"/>
      </w:r>
      <w:r>
        <w:t xml:space="preserve">  BI&amp;E St. in Support, p. 15.</w:t>
      </w:r>
      <w:r w:rsidR="00924EC0" w:rsidRPr="00924EC0">
        <w:t xml:space="preserve">   </w:t>
      </w:r>
    </w:p>
    <w:p w:rsidR="00B460E3" w:rsidRDefault="00B460E3" w:rsidP="00B460E3">
      <w:pPr>
        <w:pStyle w:val="ListNumber"/>
        <w:numPr>
          <w:ilvl w:val="0"/>
          <w:numId w:val="0"/>
        </w:numPr>
        <w:spacing w:line="360" w:lineRule="auto"/>
      </w:pPr>
    </w:p>
    <w:p w:rsidR="00B460E3" w:rsidRDefault="00B460E3" w:rsidP="009B3BC3">
      <w:pPr>
        <w:tabs>
          <w:tab w:val="left" w:pos="720"/>
          <w:tab w:val="left" w:pos="1440"/>
          <w:tab w:val="num" w:pos="2160"/>
        </w:tabs>
        <w:spacing w:line="360" w:lineRule="auto"/>
        <w:rPr>
          <w:sz w:val="26"/>
          <w:szCs w:val="26"/>
        </w:rPr>
      </w:pPr>
      <w:r>
        <w:tab/>
      </w:r>
      <w:r>
        <w:tab/>
        <w:t>c.</w:t>
      </w:r>
      <w:r>
        <w:tab/>
      </w:r>
      <w:r w:rsidRPr="00B460E3">
        <w:rPr>
          <w:u w:val="single"/>
        </w:rPr>
        <w:t>WarmWise</w:t>
      </w:r>
      <w:r w:rsidRPr="00B460E3">
        <w:rPr>
          <w:u w:val="single"/>
          <w:vertAlign w:val="superscript"/>
        </w:rPr>
        <w:t>®</w:t>
      </w:r>
      <w:r>
        <w:rPr>
          <w:u w:val="single"/>
        </w:rPr>
        <w:t xml:space="preserve"> LIURP Funding</w:t>
      </w:r>
      <w:r w:rsidRPr="0093783C">
        <w:rPr>
          <w:sz w:val="26"/>
          <w:szCs w:val="26"/>
        </w:rPr>
        <w:t xml:space="preserve"> </w:t>
      </w:r>
    </w:p>
    <w:p w:rsidR="009B3BC3" w:rsidRPr="0093783C" w:rsidRDefault="009B3BC3" w:rsidP="009B3BC3">
      <w:pPr>
        <w:tabs>
          <w:tab w:val="left" w:pos="720"/>
          <w:tab w:val="left" w:pos="1440"/>
          <w:tab w:val="num" w:pos="2160"/>
        </w:tabs>
        <w:rPr>
          <w:sz w:val="26"/>
          <w:szCs w:val="26"/>
        </w:rPr>
      </w:pPr>
    </w:p>
    <w:p w:rsidR="00B460E3" w:rsidRDefault="00B460E3" w:rsidP="00B460E3">
      <w:pPr>
        <w:tabs>
          <w:tab w:val="left" w:pos="720"/>
        </w:tabs>
        <w:spacing w:line="360" w:lineRule="auto"/>
        <w:ind w:firstLine="1440"/>
      </w:pPr>
      <w:r w:rsidRPr="00B460E3">
        <w:t>Paragraph 40 the Settlement permits the Company to increase its annual WarmWise</w:t>
      </w:r>
      <w:r w:rsidRPr="00B460E3">
        <w:rPr>
          <w:b/>
          <w:vertAlign w:val="superscript"/>
        </w:rPr>
        <w:t>®</w:t>
      </w:r>
      <w:r w:rsidRPr="00B460E3">
        <w:t xml:space="preserve"> LIURP funding from $4,500,000 to $4,750,000.  The</w:t>
      </w:r>
      <w:r w:rsidRPr="00B460E3">
        <w:rPr>
          <w:rFonts w:eastAsia="Calibri"/>
        </w:rPr>
        <w:t xml:space="preserve"> </w:t>
      </w:r>
      <w:r w:rsidRPr="00B460E3">
        <w:t xml:space="preserve">Coalition for Affordable Utility Services and Energy Efficiency in Pennsylvania (CAUSE-PA) proposed that Columbia’s LIURP penetration levels be increased from the projected 600 households per year to 1000 households per year.  Although CAUSE-PA did not identify a dollar increase associated with the 400 household LIURP penetration increase, </w:t>
      </w:r>
      <w:r>
        <w:t>B</w:t>
      </w:r>
      <w:r w:rsidRPr="00B460E3">
        <w:t>I&amp;E calculated an estimated increase of $2,330,000 using the 2012 average cost per weatherization.</w:t>
      </w:r>
      <w:r w:rsidRPr="00B460E3">
        <w:rPr>
          <w:rStyle w:val="FootnoteReference"/>
        </w:rPr>
        <w:footnoteReference w:id="24"/>
      </w:r>
      <w:r w:rsidRPr="00B460E3">
        <w:t xml:space="preserve"> </w:t>
      </w:r>
      <w:r>
        <w:t xml:space="preserve"> BI&amp;E St. in Support, p.</w:t>
      </w:r>
      <w:r w:rsidR="00E91105">
        <w:t xml:space="preserve"> </w:t>
      </w:r>
      <w:r>
        <w:t xml:space="preserve">15.  </w:t>
      </w:r>
    </w:p>
    <w:p w:rsidR="00B460E3" w:rsidRDefault="00B460E3" w:rsidP="00B460E3">
      <w:pPr>
        <w:tabs>
          <w:tab w:val="left" w:pos="720"/>
        </w:tabs>
        <w:spacing w:line="360" w:lineRule="auto"/>
        <w:ind w:firstLine="1440"/>
      </w:pPr>
    </w:p>
    <w:p w:rsidR="00B460E3" w:rsidRDefault="00B460E3" w:rsidP="00B460E3">
      <w:pPr>
        <w:tabs>
          <w:tab w:val="left" w:pos="720"/>
        </w:tabs>
        <w:spacing w:line="360" w:lineRule="auto"/>
        <w:ind w:firstLine="1440"/>
      </w:pPr>
      <w:r>
        <w:t>B</w:t>
      </w:r>
      <w:r w:rsidRPr="00B460E3">
        <w:t>I&amp;E opposed CAUSE-PA’s requested LIURP increase and recommended that Columbia’s LIURP funding remain at the current $4,500,000.</w:t>
      </w:r>
      <w:r w:rsidRPr="00B460E3">
        <w:rPr>
          <w:rStyle w:val="FootnoteReference"/>
        </w:rPr>
        <w:footnoteReference w:id="25"/>
      </w:r>
      <w:r w:rsidRPr="00B460E3">
        <w:t xml:space="preserve">  </w:t>
      </w:r>
      <w:r>
        <w:t>Accor</w:t>
      </w:r>
      <w:r w:rsidR="00621504">
        <w:t>d</w:t>
      </w:r>
      <w:r>
        <w:t>ing to BI&amp;E, its</w:t>
      </w:r>
      <w:r w:rsidRPr="00B460E3">
        <w:t xml:space="preserve"> concern stems from the fact that Columbia’s low-income programs are funded almost entirely by residential ratepayers.  Because residential customers substantially bear the cost of these low-income programs, </w:t>
      </w:r>
      <w:r>
        <w:t>B</w:t>
      </w:r>
      <w:r w:rsidRPr="00B460E3">
        <w:t xml:space="preserve">I&amp;E was concerned about the added burden CAUSE-PA’s requested LIURP increase would have on residential ratepayers who are compelled to pay for this funding through rates.  </w:t>
      </w:r>
      <w:r>
        <w:t xml:space="preserve">BI&amp;E asserts that the </w:t>
      </w:r>
      <w:r w:rsidRPr="00B460E3">
        <w:t xml:space="preserve">Settlement balances </w:t>
      </w:r>
      <w:r>
        <w:t>its</w:t>
      </w:r>
      <w:r w:rsidRPr="00B460E3">
        <w:t xml:space="preserve"> concerns with CAUSE-PA’s proposal by containing a $250,000 increase to LIURP funding and an </w:t>
      </w:r>
      <w:r w:rsidRPr="00B460E3">
        <w:rPr>
          <w:rFonts w:eastAsia="Calibri"/>
        </w:rPr>
        <w:t xml:space="preserve">agreement that parties will not propose any further change to LIURP funding for a period of three years commencing with the effective date of the rates in this proceeding.  </w:t>
      </w:r>
      <w:r>
        <w:rPr>
          <w:rFonts w:eastAsia="Calibri"/>
        </w:rPr>
        <w:t>BI&amp;E concludes these</w:t>
      </w:r>
      <w:r w:rsidRPr="00B460E3">
        <w:rPr>
          <w:rFonts w:eastAsia="Calibri"/>
        </w:rPr>
        <w:t xml:space="preserve"> terms are </w:t>
      </w:r>
      <w:r w:rsidRPr="00B460E3">
        <w:t xml:space="preserve">in the public interest because the Company will continue to provide energy reduction services to its low income customers, while at the same time the Settlement moderates the amount recovered from ratepayers and ensures that the amount will not increase for three years. </w:t>
      </w:r>
      <w:r>
        <w:t xml:space="preserve"> BI&amp;E St. in</w:t>
      </w:r>
      <w:r w:rsidR="009B216C">
        <w:t xml:space="preserve"> Su</w:t>
      </w:r>
      <w:r>
        <w:t>pport,</w:t>
      </w:r>
      <w:r w:rsidR="00E36485">
        <w:t xml:space="preserve"> </w:t>
      </w:r>
      <w:r w:rsidR="009B216C">
        <w:t>p. </w:t>
      </w:r>
      <w:r>
        <w:t>16.</w:t>
      </w:r>
    </w:p>
    <w:p w:rsidR="00B460E3" w:rsidRDefault="00B460E3" w:rsidP="00B460E3">
      <w:pPr>
        <w:tabs>
          <w:tab w:val="left" w:pos="720"/>
        </w:tabs>
        <w:spacing w:line="360" w:lineRule="auto"/>
      </w:pPr>
    </w:p>
    <w:p w:rsidR="00B460E3" w:rsidRPr="00B460E3" w:rsidRDefault="00B460E3" w:rsidP="00B460E3">
      <w:pPr>
        <w:tabs>
          <w:tab w:val="left" w:pos="720"/>
        </w:tabs>
        <w:spacing w:line="360" w:lineRule="auto"/>
      </w:pPr>
      <w:r>
        <w:t>C.</w:t>
      </w:r>
      <w:r>
        <w:tab/>
      </w:r>
      <w:r>
        <w:rPr>
          <w:u w:val="single"/>
        </w:rPr>
        <w:t>OCA’s Position</w:t>
      </w:r>
      <w:r w:rsidRPr="00B460E3">
        <w:t xml:space="preserve"> </w:t>
      </w:r>
    </w:p>
    <w:p w:rsidR="00B460E3" w:rsidRDefault="00B460E3" w:rsidP="00B460E3">
      <w:pPr>
        <w:pStyle w:val="ListNumber"/>
        <w:numPr>
          <w:ilvl w:val="0"/>
          <w:numId w:val="0"/>
        </w:numPr>
        <w:spacing w:line="360" w:lineRule="auto"/>
        <w:rPr>
          <w:u w:val="single"/>
        </w:rPr>
      </w:pPr>
    </w:p>
    <w:p w:rsidR="0072718D" w:rsidRDefault="0072718D" w:rsidP="0072718D">
      <w:pPr>
        <w:spacing w:line="360" w:lineRule="auto"/>
        <w:ind w:firstLine="1440"/>
        <w:rPr>
          <w:snapToGrid w:val="0"/>
          <w:spacing w:val="-3"/>
        </w:rPr>
      </w:pPr>
      <w:r>
        <w:rPr>
          <w:snapToGrid w:val="0"/>
          <w:spacing w:val="-3"/>
        </w:rPr>
        <w:t>T</w:t>
      </w:r>
      <w:r w:rsidRPr="00274035">
        <w:rPr>
          <w:snapToGrid w:val="0"/>
          <w:spacing w:val="-3"/>
        </w:rPr>
        <w:t>he Office of Consumer Advocate submits that terms and conditions of the proposed Settlement are in the public interest and the interest of Columbia</w:t>
      </w:r>
      <w:r>
        <w:rPr>
          <w:snapToGrid w:val="0"/>
          <w:spacing w:val="-3"/>
        </w:rPr>
        <w:t xml:space="preserve">’s </w:t>
      </w:r>
      <w:r w:rsidRPr="00274035">
        <w:rPr>
          <w:snapToGrid w:val="0"/>
          <w:spacing w:val="-3"/>
        </w:rPr>
        <w:t>ratepayers and should be approved.</w:t>
      </w:r>
    </w:p>
    <w:p w:rsidR="0072718D" w:rsidRDefault="0072718D" w:rsidP="0072718D">
      <w:pPr>
        <w:spacing w:line="360" w:lineRule="auto"/>
        <w:rPr>
          <w:snapToGrid w:val="0"/>
          <w:spacing w:val="-3"/>
        </w:rPr>
      </w:pPr>
    </w:p>
    <w:p w:rsidR="0072718D" w:rsidRDefault="0072718D" w:rsidP="0072718D">
      <w:pPr>
        <w:spacing w:line="360" w:lineRule="auto"/>
        <w:rPr>
          <w:snapToGrid w:val="0"/>
          <w:spacing w:val="-3"/>
        </w:rPr>
      </w:pPr>
      <w:r>
        <w:rPr>
          <w:snapToGrid w:val="0"/>
          <w:spacing w:val="-3"/>
        </w:rPr>
        <w:tab/>
        <w:t>1.</w:t>
      </w:r>
      <w:r>
        <w:rPr>
          <w:snapToGrid w:val="0"/>
          <w:spacing w:val="-3"/>
        </w:rPr>
        <w:tab/>
      </w:r>
      <w:r>
        <w:rPr>
          <w:snapToGrid w:val="0"/>
          <w:spacing w:val="-3"/>
          <w:u w:val="single"/>
        </w:rPr>
        <w:t>Revenue Requirement</w:t>
      </w:r>
    </w:p>
    <w:p w:rsidR="0072718D" w:rsidRDefault="0072718D" w:rsidP="0072718D">
      <w:pPr>
        <w:spacing w:line="360" w:lineRule="auto"/>
        <w:rPr>
          <w:snapToGrid w:val="0"/>
          <w:spacing w:val="-3"/>
        </w:rPr>
      </w:pPr>
    </w:p>
    <w:p w:rsidR="00C45B2D" w:rsidRDefault="0072718D" w:rsidP="00C45B2D">
      <w:pPr>
        <w:pStyle w:val="BodyText"/>
        <w:spacing w:after="0" w:line="360" w:lineRule="auto"/>
        <w:ind w:firstLine="1440"/>
      </w:pPr>
      <w:r w:rsidRPr="00CF29AD">
        <w:t>The proposed Settlement provides for an overall distribution base rate increase of $</w:t>
      </w:r>
      <w:r>
        <w:t>32.5</w:t>
      </w:r>
      <w:r w:rsidRPr="00CF29AD">
        <w:t xml:space="preserve"> million, about $22 million less than the rate increase amount originall</w:t>
      </w:r>
      <w:r>
        <w:t>y requested by Columbia of $54.1 million.</w:t>
      </w:r>
      <w:r w:rsidRPr="00CF29AD">
        <w:t xml:space="preserve"> This rate increase reflects an increase in overall revenues of </w:t>
      </w:r>
      <w:r w:rsidRPr="00072F10">
        <w:t xml:space="preserve">approximately </w:t>
      </w:r>
      <w:r>
        <w:t>6.66</w:t>
      </w:r>
      <w:r w:rsidRPr="00072F10">
        <w:t>% as</w:t>
      </w:r>
      <w:r w:rsidRPr="00CF29AD">
        <w:t xml:space="preserve"> compared to the Compa</w:t>
      </w:r>
      <w:r>
        <w:t xml:space="preserve">ny’s original request for an </w:t>
      </w:r>
      <w:r w:rsidRPr="00623EC6">
        <w:t>11.09</w:t>
      </w:r>
      <w:r w:rsidRPr="00CF29AD">
        <w:t xml:space="preserve">% increase in overall revenues. </w:t>
      </w:r>
      <w:r>
        <w:t xml:space="preserve"> </w:t>
      </w:r>
      <w:r w:rsidRPr="00CF29AD">
        <w:t>Even if the Settlement is approved sooner, its terms provide that the increase w</w:t>
      </w:r>
      <w:r>
        <w:t>ill</w:t>
      </w:r>
      <w:r w:rsidRPr="00CF29AD">
        <w:t xml:space="preserve"> not go</w:t>
      </w:r>
      <w:r>
        <w:t xml:space="preserve"> into effect before December 20, 2014, the end of the suspension period</w:t>
      </w:r>
      <w:r w:rsidRPr="00CF29AD">
        <w:t>.</w:t>
      </w:r>
      <w:r>
        <w:t xml:space="preserve">  OCA St. </w:t>
      </w:r>
      <w:r w:rsidR="00C45B2D">
        <w:t>i</w:t>
      </w:r>
      <w:r>
        <w:t>n Support, p.</w:t>
      </w:r>
      <w:r w:rsidR="00C45B2D">
        <w:t xml:space="preserve"> 4.  </w:t>
      </w:r>
    </w:p>
    <w:p w:rsidR="00C45B2D" w:rsidRDefault="00C45B2D" w:rsidP="00C45B2D">
      <w:pPr>
        <w:pStyle w:val="BodyText"/>
        <w:spacing w:after="0" w:line="360" w:lineRule="auto"/>
        <w:ind w:firstLine="1440"/>
      </w:pPr>
    </w:p>
    <w:p w:rsidR="00C45B2D" w:rsidRDefault="0072718D" w:rsidP="00C45B2D">
      <w:pPr>
        <w:pStyle w:val="BodyText"/>
        <w:spacing w:after="0" w:line="360" w:lineRule="auto"/>
        <w:ind w:firstLine="1440"/>
      </w:pPr>
      <w:r w:rsidRPr="00CF29AD">
        <w:t xml:space="preserve">Based on the OCA’s analysis of the Company’s filings, testimony by all parties, and discovery responses received, </w:t>
      </w:r>
      <w:r w:rsidR="00C45B2D">
        <w:t xml:space="preserve">the OCA submits that </w:t>
      </w:r>
      <w:r w:rsidRPr="00CF29AD">
        <w:t xml:space="preserve">the rate increase under the proposed Settlement represents a result that would be within the range of likely outcomes in the event of full litigation of the case.  </w:t>
      </w:r>
      <w:r w:rsidR="00C45B2D">
        <w:t>The OCA concludes that t</w:t>
      </w:r>
      <w:r w:rsidRPr="00CF29AD">
        <w:t>he increase is appropriate and, when accompanied by other important conditions contained in the Settlement, yields a result that is just and reasonable.</w:t>
      </w:r>
      <w:r w:rsidR="00C45B2D">
        <w:t xml:space="preserve"> </w:t>
      </w:r>
      <w:r w:rsidR="0078687B">
        <w:t xml:space="preserve"> </w:t>
      </w:r>
      <w:r w:rsidR="00C45B2D">
        <w:t xml:space="preserve">OCA St. in Support, p. 4.  </w:t>
      </w:r>
    </w:p>
    <w:p w:rsidR="00C45B2D" w:rsidRDefault="00C45B2D" w:rsidP="00C45B2D">
      <w:pPr>
        <w:pStyle w:val="BodyText"/>
        <w:spacing w:after="0" w:line="360" w:lineRule="auto"/>
      </w:pPr>
    </w:p>
    <w:p w:rsidR="00C45B2D" w:rsidRDefault="00C45B2D" w:rsidP="00C45B2D">
      <w:pPr>
        <w:pStyle w:val="BodyText"/>
        <w:spacing w:after="0" w:line="360" w:lineRule="auto"/>
      </w:pPr>
      <w:r>
        <w:tab/>
        <w:t>2.</w:t>
      </w:r>
      <w:r>
        <w:tab/>
      </w:r>
      <w:r>
        <w:rPr>
          <w:u w:val="single"/>
        </w:rPr>
        <w:t>Residential Customer Charge</w:t>
      </w:r>
    </w:p>
    <w:p w:rsidR="00C45B2D" w:rsidRDefault="00C45B2D" w:rsidP="00C45B2D">
      <w:pPr>
        <w:pStyle w:val="BodyText"/>
        <w:spacing w:after="0" w:line="360" w:lineRule="auto"/>
      </w:pPr>
    </w:p>
    <w:p w:rsidR="00C45B2D" w:rsidRDefault="00C45B2D" w:rsidP="00C45B2D">
      <w:pPr>
        <w:pStyle w:val="BodyText"/>
        <w:spacing w:after="0" w:line="360" w:lineRule="auto"/>
        <w:ind w:firstLine="1440"/>
      </w:pPr>
      <w:r>
        <w:t xml:space="preserve">In its filing, Columbia proposed to increase the residential customer charge </w:t>
      </w:r>
      <w:r w:rsidRPr="00BA7F4C">
        <w:t>by 34% from $16.75 to $22.50</w:t>
      </w:r>
      <w:r>
        <w:t xml:space="preserve"> per month.  The OCA opposed any increase to the customer charge.  Consistent with the OCA’s position, under the terms of the proposed Settlement, the r</w:t>
      </w:r>
      <w:r w:rsidRPr="00E12D5F">
        <w:t>esidential cu</w:t>
      </w:r>
      <w:r>
        <w:t xml:space="preserve">stomer charge will remain at the current level of $16.75 per </w:t>
      </w:r>
      <w:r w:rsidRPr="00E12D5F">
        <w:t>month.</w:t>
      </w:r>
      <w:r>
        <w:t xml:space="preserve">  The OCA asserts that a</w:t>
      </w:r>
      <w:r>
        <w:rPr>
          <w:bCs/>
          <w:kern w:val="32"/>
        </w:rPr>
        <w:t xml:space="preserve">pplying 100% of the rate increase to the volumetric charges </w:t>
      </w:r>
      <w:r w:rsidDel="00EE31E4">
        <w:rPr>
          <w:bCs/>
          <w:kern w:val="32"/>
        </w:rPr>
        <w:t xml:space="preserve">will </w:t>
      </w:r>
      <w:r w:rsidRPr="00CF29AD" w:rsidDel="00EE31E4">
        <w:rPr>
          <w:bCs/>
          <w:kern w:val="32"/>
        </w:rPr>
        <w:t xml:space="preserve">help to </w:t>
      </w:r>
      <w:r w:rsidDel="00EE31E4">
        <w:rPr>
          <w:bCs/>
          <w:kern w:val="32"/>
        </w:rPr>
        <w:t xml:space="preserve">offset the impact of the </w:t>
      </w:r>
      <w:r w:rsidR="002643CB">
        <w:rPr>
          <w:bCs/>
          <w:kern w:val="32"/>
        </w:rPr>
        <w:t>weather normalization adjustment (“</w:t>
      </w:r>
      <w:r w:rsidDel="00EE31E4">
        <w:rPr>
          <w:bCs/>
          <w:kern w:val="32"/>
        </w:rPr>
        <w:t>WNA</w:t>
      </w:r>
      <w:r w:rsidR="002643CB">
        <w:rPr>
          <w:bCs/>
          <w:kern w:val="32"/>
        </w:rPr>
        <w:t>”)</w:t>
      </w:r>
      <w:r w:rsidDel="00EE31E4">
        <w:rPr>
          <w:bCs/>
          <w:kern w:val="32"/>
        </w:rPr>
        <w:t xml:space="preserve"> on</w:t>
      </w:r>
      <w:r w:rsidRPr="00CF29AD" w:rsidDel="00EE31E4">
        <w:rPr>
          <w:bCs/>
          <w:kern w:val="32"/>
        </w:rPr>
        <w:t xml:space="preserve"> price signals</w:t>
      </w:r>
      <w:r w:rsidDel="00EE31E4">
        <w:rPr>
          <w:bCs/>
          <w:kern w:val="32"/>
        </w:rPr>
        <w:t xml:space="preserve"> and allow customers</w:t>
      </w:r>
      <w:r>
        <w:rPr>
          <w:bCs/>
          <w:kern w:val="32"/>
        </w:rPr>
        <w:t xml:space="preserve"> – and low income customers, particularly –</w:t>
      </w:r>
      <w:r w:rsidDel="00EE31E4">
        <w:rPr>
          <w:bCs/>
          <w:kern w:val="32"/>
        </w:rPr>
        <w:t xml:space="preserve"> to control the volumetric portion of their distribution bill through conservation</w:t>
      </w:r>
      <w:r w:rsidRPr="00CF29AD" w:rsidDel="00EE31E4">
        <w:rPr>
          <w:bCs/>
          <w:kern w:val="32"/>
        </w:rPr>
        <w:t>.</w:t>
      </w:r>
      <w:r>
        <w:rPr>
          <w:bCs/>
          <w:kern w:val="32"/>
        </w:rPr>
        <w:t xml:space="preserve">  According to the OCA, maintaining the current customer charge also recognizes that Columbia has other mechanisms to address risk, in particular, the WNA, the DSIC and a fully-forecasted future test year.  In the OCA’s view, maintaining the existing charge also recognizes that </w:t>
      </w:r>
      <w:r w:rsidRPr="00010393">
        <w:t xml:space="preserve">during the last four years the customer charge </w:t>
      </w:r>
      <w:r>
        <w:t xml:space="preserve">already </w:t>
      </w:r>
      <w:r w:rsidRPr="00010393">
        <w:t>increased f</w:t>
      </w:r>
      <w:r>
        <w:t xml:space="preserve">rom $11.50 to $16.75, or by 46%, and that </w:t>
      </w:r>
      <w:r w:rsidRPr="00010393">
        <w:t>analysis of the costs of connecting and maintaining a customer’s account do not support an</w:t>
      </w:r>
      <w:r>
        <w:t>y</w:t>
      </w:r>
      <w:r w:rsidRPr="00010393">
        <w:t xml:space="preserve"> increase to fixed monthly customer charges.  </w:t>
      </w:r>
      <w:r>
        <w:t xml:space="preserve">(OCA Statement No. 3, pp. 30-32); OCA St. in Support, pp. 4-5.  </w:t>
      </w:r>
    </w:p>
    <w:p w:rsidR="001C368F" w:rsidRDefault="001C368F" w:rsidP="001C368F">
      <w:pPr>
        <w:pStyle w:val="BodyText"/>
        <w:spacing w:after="0" w:line="360" w:lineRule="auto"/>
      </w:pPr>
    </w:p>
    <w:p w:rsidR="001C368F" w:rsidRDefault="001C368F" w:rsidP="001C368F">
      <w:pPr>
        <w:pStyle w:val="BodyText"/>
        <w:spacing w:after="0" w:line="360" w:lineRule="auto"/>
      </w:pPr>
      <w:r>
        <w:tab/>
        <w:t>3.</w:t>
      </w:r>
      <w:r>
        <w:tab/>
      </w:r>
      <w:r>
        <w:rPr>
          <w:u w:val="single"/>
        </w:rPr>
        <w:t>Revenue Allocation</w:t>
      </w:r>
    </w:p>
    <w:p w:rsidR="001C368F" w:rsidRDefault="001C368F" w:rsidP="001C368F">
      <w:pPr>
        <w:pStyle w:val="BodyText"/>
        <w:spacing w:after="0" w:line="360" w:lineRule="auto"/>
      </w:pPr>
    </w:p>
    <w:p w:rsidR="001C368F" w:rsidRDefault="001C368F" w:rsidP="001C368F">
      <w:pPr>
        <w:pStyle w:val="BodyText"/>
        <w:spacing w:after="0" w:line="360" w:lineRule="auto"/>
        <w:ind w:firstLine="1440"/>
      </w:pPr>
      <w:r w:rsidRPr="006277AD">
        <w:t>The Settlement provides that the Company may increase base rates by a</w:t>
      </w:r>
      <w:r>
        <w:t>mounts designed to produce a $32.5</w:t>
      </w:r>
      <w:r w:rsidRPr="006277AD">
        <w:t xml:space="preserve"> million increase in annual operating revenues, </w:t>
      </w:r>
      <w:r>
        <w:t>in lieu of the increase of $54.1</w:t>
      </w:r>
      <w:r w:rsidRPr="006277AD">
        <w:t xml:space="preserve"> million originally proposed by the Company in th</w:t>
      </w:r>
      <w:r>
        <w:t>is proceeding.</w:t>
      </w:r>
      <w:r w:rsidRPr="006277AD">
        <w:t xml:space="preserve">  Under the revenue allocation agreed to by the Joint Petitioners, the Columbia residential class would</w:t>
      </w:r>
      <w:r>
        <w:t xml:space="preserve"> experience an increase of $24.41 million.  </w:t>
      </w:r>
      <w:r w:rsidRPr="006277AD">
        <w:t xml:space="preserve">Under the proposed Settlement, the average total monthly bill for a Columbia residential customer using </w:t>
      </w:r>
      <w:r w:rsidRPr="00900D21">
        <w:t>72 therms per month would rise from $87.12 to $92.74</w:t>
      </w:r>
      <w:r>
        <w:t>,</w:t>
      </w:r>
      <w:r w:rsidRPr="00900D21">
        <w:t xml:space="preserve"> or by 6.45%.</w:t>
      </w:r>
      <w:r>
        <w:t xml:space="preserve">  OCA St. in Support, p. 5.</w:t>
      </w:r>
    </w:p>
    <w:p w:rsidR="001C368F" w:rsidRDefault="001C368F" w:rsidP="001C368F">
      <w:pPr>
        <w:pStyle w:val="BodyText"/>
        <w:spacing w:after="0" w:line="360" w:lineRule="auto"/>
        <w:ind w:firstLine="1440"/>
      </w:pPr>
    </w:p>
    <w:p w:rsidR="001C368F" w:rsidRDefault="001C368F" w:rsidP="001C368F">
      <w:pPr>
        <w:pStyle w:val="BodyText"/>
        <w:spacing w:after="0" w:line="360" w:lineRule="auto"/>
        <w:ind w:firstLine="1440"/>
      </w:pPr>
      <w:r w:rsidRPr="006277AD">
        <w:t xml:space="preserve">Based on the OCA’s analysis of the Company’s filing and discovery responses received, the </w:t>
      </w:r>
      <w:r>
        <w:t xml:space="preserve">OCA concludes that the </w:t>
      </w:r>
      <w:r w:rsidRPr="006277AD">
        <w:t xml:space="preserve">revenue allocation under the proposed Settlement represents a result that would be within the range of likely outcomes in the event of full litigation of the case. </w:t>
      </w:r>
      <w:r w:rsidR="00530CF0">
        <w:t xml:space="preserve"> </w:t>
      </w:r>
      <w:r>
        <w:t>The OCA points out that s</w:t>
      </w:r>
      <w:r w:rsidRPr="006277AD">
        <w:t xml:space="preserve">everal parties, including the OCA, OSBA, </w:t>
      </w:r>
      <w:r>
        <w:t xml:space="preserve">CII, PSU </w:t>
      </w:r>
      <w:r w:rsidRPr="006277AD">
        <w:t xml:space="preserve">and the Company, provided proposed varied revenue allocations, and this figure represents a compromise of a contentious issue. </w:t>
      </w:r>
      <w:r w:rsidR="00530CF0">
        <w:t xml:space="preserve"> </w:t>
      </w:r>
      <w:r>
        <w:t>The OCA contends that t</w:t>
      </w:r>
      <w:r w:rsidRPr="006277AD">
        <w:t>he revenue allocation yields a result that is just and reasonable under the circumstances of this case.</w:t>
      </w:r>
      <w:r>
        <w:t xml:space="preserve">  OCA St. in Support, p. 5.</w:t>
      </w:r>
    </w:p>
    <w:p w:rsidR="001C368F" w:rsidRDefault="001C368F" w:rsidP="001C368F">
      <w:pPr>
        <w:pStyle w:val="BodyText"/>
        <w:spacing w:after="0" w:line="360" w:lineRule="auto"/>
      </w:pPr>
      <w:r>
        <w:tab/>
        <w:t>4.</w:t>
      </w:r>
      <w:r>
        <w:tab/>
      </w:r>
      <w:r>
        <w:rPr>
          <w:u w:val="single"/>
        </w:rPr>
        <w:t>Distribution System Improvement Charge (DSIC)</w:t>
      </w:r>
    </w:p>
    <w:p w:rsidR="001C368F" w:rsidRDefault="001C368F" w:rsidP="001C368F">
      <w:pPr>
        <w:pStyle w:val="BodyText"/>
        <w:spacing w:after="0" w:line="360" w:lineRule="auto"/>
      </w:pPr>
    </w:p>
    <w:p w:rsidR="001C368F" w:rsidRDefault="001C368F" w:rsidP="001C368F">
      <w:pPr>
        <w:pStyle w:val="BodyText"/>
        <w:spacing w:after="0" w:line="360" w:lineRule="auto"/>
        <w:ind w:firstLine="1440"/>
      </w:pPr>
      <w:r>
        <w:t>The Settlement provides that, as of the effective date of rates in this proceeding, Columbia will be eligible to include plant additions in the DSIC once eligible account balances exceed the levels projected by Columbia at December 31, 2015, the end of the fully forecasted future test year.  The foregoing provision is included solely for purposes of calculating the DSIC, and is not determinative for future ratemaking purposes of the projected additions to be included in rate base in a Fully Projected Future Test Year filing.</w:t>
      </w:r>
      <w:r w:rsidR="00E810BF">
        <w:t xml:space="preserve">  OCA St. in Support, pp. 5-6.</w:t>
      </w:r>
      <w:r w:rsidRPr="00995BE3">
        <w:t xml:space="preserve"> </w:t>
      </w:r>
    </w:p>
    <w:p w:rsidR="001C368F" w:rsidRDefault="001C368F" w:rsidP="001C368F">
      <w:pPr>
        <w:pStyle w:val="BodyText"/>
        <w:spacing w:after="0" w:line="360" w:lineRule="auto"/>
        <w:ind w:firstLine="1440"/>
      </w:pPr>
      <w:r>
        <w:t xml:space="preserve"> </w:t>
      </w:r>
    </w:p>
    <w:p w:rsidR="00E810BF" w:rsidRDefault="001C368F" w:rsidP="00E810BF">
      <w:pPr>
        <w:pStyle w:val="BodyText"/>
        <w:spacing w:after="0" w:line="360" w:lineRule="auto"/>
        <w:ind w:firstLine="1440"/>
      </w:pPr>
      <w:r>
        <w:t xml:space="preserve">In its testimony, the OCA recommended using an average rather than year-end balance </w:t>
      </w:r>
      <w:r w:rsidRPr="00173E5C">
        <w:t>to determine the test year rate b</w:t>
      </w:r>
      <w:r>
        <w:t>ase.  OCA St. 1 at 5-9; OCA St. 1</w:t>
      </w:r>
      <w:r w:rsidR="0062383B">
        <w:t>-</w:t>
      </w:r>
      <w:r>
        <w:t xml:space="preserve">S at 2-5.  </w:t>
      </w:r>
      <w:r w:rsidR="00E810BF">
        <w:t>The OCA contends that, b</w:t>
      </w:r>
      <w:r>
        <w:t xml:space="preserve">ecause the revenue requirement was settled, ratepayers benefit from using the year-end balance because the Company must realize a higher level of plant investment </w:t>
      </w:r>
      <w:r w:rsidRPr="00173E5C">
        <w:t>before any incremental expenditures can be recovered through a DSIC.</w:t>
      </w:r>
      <w:r w:rsidR="00E810BF">
        <w:t xml:space="preserve">  OCA St. in Support, p. 6.</w:t>
      </w:r>
    </w:p>
    <w:p w:rsidR="00E810BF" w:rsidRDefault="00E810BF" w:rsidP="00E810BF">
      <w:pPr>
        <w:pStyle w:val="BodyText"/>
        <w:spacing w:after="0" w:line="360" w:lineRule="auto"/>
      </w:pPr>
    </w:p>
    <w:p w:rsidR="00E810BF" w:rsidRDefault="00E810BF" w:rsidP="00E810BF">
      <w:pPr>
        <w:pStyle w:val="BodyText"/>
        <w:spacing w:after="0" w:line="360" w:lineRule="auto"/>
      </w:pPr>
      <w:r>
        <w:tab/>
        <w:t>5.</w:t>
      </w:r>
      <w:r>
        <w:tab/>
      </w:r>
      <w:r>
        <w:rPr>
          <w:u w:val="single"/>
        </w:rPr>
        <w:t>Normalization Period for Tax Repairs Deduction</w:t>
      </w:r>
    </w:p>
    <w:p w:rsidR="00E810BF" w:rsidRDefault="00E810BF" w:rsidP="00E810BF">
      <w:pPr>
        <w:pStyle w:val="BodyText"/>
        <w:spacing w:after="0" w:line="360" w:lineRule="auto"/>
      </w:pPr>
    </w:p>
    <w:p w:rsidR="00E810BF" w:rsidRDefault="00E810BF" w:rsidP="00E810BF">
      <w:pPr>
        <w:pStyle w:val="BodyText"/>
        <w:spacing w:after="0" w:line="360" w:lineRule="auto"/>
        <w:ind w:firstLine="1440"/>
      </w:pPr>
      <w:r>
        <w:t>With regard to the $37.4 million tax refund previously received by Columbia (attributable to the change in method for the repairs deduction), the proposed Settlement provides that the remaining amount of $2,044,714</w:t>
      </w:r>
      <w:r w:rsidR="009E7E5A">
        <w:t xml:space="preserve"> </w:t>
      </w:r>
      <w:r>
        <w:t xml:space="preserve">shall be amortized over 18 months commencing January 1, 2015.  In its filing, the Company proposed to amortize the remaining amount over 24 months but later agreed with the OCA’s witness that 18 months is consistent with the </w:t>
      </w:r>
      <w:r w:rsidRPr="00B85C2E">
        <w:t xml:space="preserve">Company’s proposed normalization of rate </w:t>
      </w:r>
      <w:r>
        <w:t>case costs.  (OCA Statement No. 1, p. 30).  The OCA submits this proposed settlement term is consistent with the OCA’s testimony and benefits ratepayers by returning a larger amount to customers over a shorter period.  OCA St. in Support, p. 6.</w:t>
      </w:r>
    </w:p>
    <w:p w:rsidR="00E810BF" w:rsidRDefault="00E810BF" w:rsidP="00E810BF">
      <w:pPr>
        <w:pStyle w:val="BodyText"/>
        <w:spacing w:after="0" w:line="360" w:lineRule="auto"/>
      </w:pPr>
    </w:p>
    <w:p w:rsidR="00E810BF" w:rsidRDefault="00E810BF" w:rsidP="00D171FD">
      <w:pPr>
        <w:pStyle w:val="BodyText"/>
        <w:spacing w:after="0" w:line="360" w:lineRule="auto"/>
        <w:rPr>
          <w:u w:val="single"/>
        </w:rPr>
      </w:pPr>
      <w:r>
        <w:tab/>
        <w:t>6.</w:t>
      </w:r>
      <w:r>
        <w:tab/>
      </w:r>
      <w:r w:rsidRPr="00E810BF">
        <w:rPr>
          <w:u w:val="single"/>
        </w:rPr>
        <w:t xml:space="preserve">WarmWise® </w:t>
      </w:r>
      <w:r w:rsidR="00CA46C3">
        <w:rPr>
          <w:u w:val="single"/>
        </w:rPr>
        <w:t>Audits and Rebates (</w:t>
      </w:r>
      <w:r w:rsidRPr="00E810BF">
        <w:rPr>
          <w:u w:val="single"/>
        </w:rPr>
        <w:t>A&amp;R</w:t>
      </w:r>
      <w:r w:rsidR="00CA46C3">
        <w:rPr>
          <w:u w:val="single"/>
        </w:rPr>
        <w:t>)</w:t>
      </w:r>
      <w:r w:rsidRPr="00E810BF">
        <w:rPr>
          <w:u w:val="single"/>
        </w:rPr>
        <w:t xml:space="preserve"> Program</w:t>
      </w:r>
    </w:p>
    <w:p w:rsidR="00D171FD" w:rsidRPr="00E810BF" w:rsidRDefault="00D171FD" w:rsidP="00D171FD">
      <w:pPr>
        <w:pStyle w:val="BodyText"/>
        <w:spacing w:after="0" w:line="360" w:lineRule="auto"/>
        <w:rPr>
          <w:u w:val="single"/>
        </w:rPr>
      </w:pPr>
    </w:p>
    <w:p w:rsidR="00CA46C3" w:rsidRDefault="00E810BF" w:rsidP="00CA46C3">
      <w:pPr>
        <w:pStyle w:val="BodyText"/>
        <w:spacing w:after="0" w:line="360" w:lineRule="auto"/>
        <w:ind w:firstLine="1440"/>
      </w:pPr>
      <w:r>
        <w:t>Pursuant to the proposed Settlement, within six months of the effective date of the rates in this proceeding, the Company will convene a stakeholder meeting, inviting representatives from the electric distribution companies with overlapping service territories who have multi</w:t>
      </w:r>
      <w:r w:rsidR="006F53CD">
        <w:t>-</w:t>
      </w:r>
      <w:r>
        <w:t>family programs as a part of the their Act 129 portfolio, and interested parties to this proceeding, to examine how its Warm Wise® Audits and Rebates program can be utilized to serve multi</w:t>
      </w:r>
      <w:r w:rsidR="006F53CD">
        <w:t>-</w:t>
      </w:r>
      <w:r>
        <w:t xml:space="preserve">family housing units.  </w:t>
      </w:r>
      <w:r w:rsidR="00CA46C3">
        <w:t>The OCA believes t</w:t>
      </w:r>
      <w:r>
        <w:t>his will help to ensure better coordination of the gas and electric programs as well as the sharing of best practices.</w:t>
      </w:r>
      <w:r w:rsidR="00CA46C3">
        <w:t xml:space="preserve">  OCA St. in Support, pp.</w:t>
      </w:r>
      <w:r w:rsidR="00370E55">
        <w:t> </w:t>
      </w:r>
      <w:r w:rsidR="00CA46C3">
        <w:t>6-7.</w:t>
      </w:r>
      <w:r>
        <w:t xml:space="preserve"> </w:t>
      </w:r>
      <w:r w:rsidR="00CA46C3">
        <w:t xml:space="preserve"> </w:t>
      </w:r>
    </w:p>
    <w:p w:rsidR="00CA46C3" w:rsidRDefault="00CA46C3" w:rsidP="00CA46C3">
      <w:pPr>
        <w:pStyle w:val="BodyText"/>
        <w:spacing w:after="0" w:line="360" w:lineRule="auto"/>
        <w:ind w:firstLine="1440"/>
      </w:pPr>
    </w:p>
    <w:p w:rsidR="00CA46C3" w:rsidRDefault="00E810BF" w:rsidP="00CA46C3">
      <w:pPr>
        <w:pStyle w:val="BodyText"/>
        <w:spacing w:after="0" w:line="360" w:lineRule="auto"/>
        <w:ind w:firstLine="1440"/>
      </w:pPr>
      <w:r>
        <w:t xml:space="preserve">The OCA also raised a concern in its testimony that, in a master-metered building, where the natural gas bill is included in rent, the building is commercial in nature.  </w:t>
      </w:r>
      <w:r w:rsidR="00CA46C3">
        <w:t>The OCA opined that t</w:t>
      </w:r>
      <w:r>
        <w:t xml:space="preserve">reating these buildings with energy efficiency will not redound to the benefit of the low-income tenant or to residential ratepayers, but rather to the benefit of the building owner/manager.  The OCA submitted that it would be inappropriate to use residential ratepayer dollars to treat multi-family buildings in these circumstances.  </w:t>
      </w:r>
      <w:proofErr w:type="gramStart"/>
      <w:r w:rsidR="00CA46C3">
        <w:t>(</w:t>
      </w:r>
      <w:r>
        <w:t>OCA St</w:t>
      </w:r>
      <w:r w:rsidR="00CA46C3">
        <w:t xml:space="preserve">atement No. </w:t>
      </w:r>
      <w:r>
        <w:t>4</w:t>
      </w:r>
      <w:r w:rsidR="00CA46C3">
        <w:t xml:space="preserve">, pp. </w:t>
      </w:r>
      <w:r>
        <w:t>3-5</w:t>
      </w:r>
      <w:r w:rsidR="0060398A">
        <w:t>.</w:t>
      </w:r>
      <w:r w:rsidR="00CA46C3">
        <w:t>)</w:t>
      </w:r>
      <w:proofErr w:type="gramEnd"/>
      <w:r>
        <w:t xml:space="preserve">  The proposed </w:t>
      </w:r>
      <w:r w:rsidR="00CA46C3">
        <w:t xml:space="preserve">Settlement addresses the OCA’s </w:t>
      </w:r>
      <w:r>
        <w:t>concern by providing that any efficiency measures undertaken in multi</w:t>
      </w:r>
      <w:r w:rsidR="00BA0E33">
        <w:t>-</w:t>
      </w:r>
      <w:r>
        <w:t xml:space="preserve">family housing units as part of Columbia’s Warm Wise® Audits and Rebate program will be exclusively in individually-metered units.  </w:t>
      </w:r>
      <w:r w:rsidR="00CA46C3">
        <w:t xml:space="preserve">The OCA believes this will </w:t>
      </w:r>
      <w:r>
        <w:t xml:space="preserve">ensure that residential ratepayer dollars </w:t>
      </w:r>
      <w:r w:rsidR="00CA46C3">
        <w:t>are</w:t>
      </w:r>
      <w:r>
        <w:t xml:space="preserve"> used to benefit residential customers.</w:t>
      </w:r>
      <w:r w:rsidR="00CA46C3">
        <w:t xml:space="preserve">  OCA St. in Support, p. 7.</w:t>
      </w:r>
    </w:p>
    <w:p w:rsidR="00CA46C3" w:rsidRDefault="00CA46C3" w:rsidP="00CA46C3">
      <w:pPr>
        <w:pStyle w:val="BodyText"/>
        <w:spacing w:after="0" w:line="360" w:lineRule="auto"/>
      </w:pPr>
    </w:p>
    <w:p w:rsidR="00CA46C3" w:rsidRDefault="00CA46C3" w:rsidP="00CA46C3">
      <w:pPr>
        <w:pStyle w:val="BodyText"/>
        <w:spacing w:after="0" w:line="360" w:lineRule="auto"/>
      </w:pPr>
      <w:r>
        <w:tab/>
        <w:t>7.</w:t>
      </w:r>
      <w:r>
        <w:tab/>
      </w:r>
      <w:r>
        <w:rPr>
          <w:u w:val="single"/>
        </w:rPr>
        <w:t>New Area Service (NAS) Rider</w:t>
      </w:r>
    </w:p>
    <w:p w:rsidR="00CA46C3" w:rsidRDefault="00CA46C3" w:rsidP="00CA46C3">
      <w:pPr>
        <w:pStyle w:val="BodyText"/>
        <w:spacing w:after="0" w:line="360" w:lineRule="auto"/>
      </w:pPr>
    </w:p>
    <w:p w:rsidR="00CA46C3" w:rsidRDefault="00CA46C3" w:rsidP="00CA46C3">
      <w:pPr>
        <w:pStyle w:val="BodyText"/>
        <w:spacing w:after="0" w:line="360" w:lineRule="auto"/>
        <w:ind w:firstLine="1440"/>
      </w:pPr>
      <w:r w:rsidRPr="007137C0">
        <w:rPr>
          <w:snapToGrid w:val="0"/>
          <w:spacing w:val="-3"/>
        </w:rPr>
        <w:t>Columbia</w:t>
      </w:r>
      <w:r>
        <w:rPr>
          <w:snapToGrid w:val="0"/>
          <w:spacing w:val="-3"/>
        </w:rPr>
        <w:t xml:space="preserve"> has a </w:t>
      </w:r>
      <w:r w:rsidRPr="007137C0">
        <w:rPr>
          <w:snapToGrid w:val="0"/>
          <w:spacing w:val="-3"/>
        </w:rPr>
        <w:t>Tariff Supplement pending before the Commission at Docket No. R</w:t>
      </w:r>
      <w:r w:rsidR="00BA1806">
        <w:rPr>
          <w:snapToGrid w:val="0"/>
          <w:spacing w:val="-3"/>
        </w:rPr>
        <w:noBreakHyphen/>
      </w:r>
      <w:r w:rsidRPr="007137C0">
        <w:rPr>
          <w:snapToGrid w:val="0"/>
          <w:spacing w:val="-3"/>
        </w:rPr>
        <w:t>2014-2407345</w:t>
      </w:r>
      <w:r>
        <w:rPr>
          <w:snapToGrid w:val="0"/>
          <w:spacing w:val="-3"/>
        </w:rPr>
        <w:t xml:space="preserve">, which proposes </w:t>
      </w:r>
      <w:r w:rsidRPr="007137C0">
        <w:rPr>
          <w:snapToGrid w:val="0"/>
          <w:spacing w:val="-3"/>
        </w:rPr>
        <w:t xml:space="preserve">a pilot and voluntary New Area Service (NAS) rider that would be applicable only to new residential customers.  </w:t>
      </w:r>
      <w:r>
        <w:rPr>
          <w:snapToGrid w:val="0"/>
          <w:spacing w:val="-3"/>
        </w:rPr>
        <w:t>In his testimony in this proceeding, OCA witness</w:t>
      </w:r>
      <w:r w:rsidR="00EC6FF5">
        <w:rPr>
          <w:snapToGrid w:val="0"/>
          <w:spacing w:val="-3"/>
        </w:rPr>
        <w:t xml:space="preserve"> Glenn A. </w:t>
      </w:r>
      <w:r>
        <w:rPr>
          <w:snapToGrid w:val="0"/>
          <w:spacing w:val="-3"/>
        </w:rPr>
        <w:t xml:space="preserve">Watkins noted that he is participating in the NAS Rider case and proposed certain modifications related to main extensions in the pilot program.  Mr. Watkins recommended one change in this proceeding to Tariff Rule 8.2.1.  </w:t>
      </w:r>
      <w:r>
        <w:t xml:space="preserve">OCA St. in Support, p. 7.  </w:t>
      </w:r>
    </w:p>
    <w:p w:rsidR="00CA46C3" w:rsidRDefault="00CA46C3" w:rsidP="00CA46C3">
      <w:pPr>
        <w:pStyle w:val="BodyText"/>
        <w:spacing w:after="0" w:line="360" w:lineRule="auto"/>
        <w:ind w:firstLine="1440"/>
      </w:pPr>
    </w:p>
    <w:p w:rsidR="00CA46C3" w:rsidRDefault="00CA46C3" w:rsidP="00CA46C3">
      <w:pPr>
        <w:pStyle w:val="BodyText"/>
        <w:spacing w:after="0" w:line="360" w:lineRule="auto"/>
        <w:ind w:firstLine="1440"/>
      </w:pPr>
      <w:r>
        <w:rPr>
          <w:snapToGrid w:val="0"/>
          <w:spacing w:val="-3"/>
        </w:rPr>
        <w:t>Specifically, t</w:t>
      </w:r>
      <w:r w:rsidRPr="009C089D">
        <w:rPr>
          <w:snapToGrid w:val="0"/>
          <w:spacing w:val="-3"/>
        </w:rPr>
        <w:t>he DCF model used by Columbia in its extension calculations incorporate a tax deductible provision for interest expense within the determination of expected future discounting of cash flows</w:t>
      </w:r>
      <w:r>
        <w:rPr>
          <w:snapToGrid w:val="0"/>
          <w:spacing w:val="-3"/>
        </w:rPr>
        <w:t xml:space="preserve"> provision.  Mr. Watkins proposed that Tariff Rule 8.2.1 reflect this provision.  </w:t>
      </w:r>
      <w:r w:rsidRPr="007137C0">
        <w:rPr>
          <w:snapToGrid w:val="0"/>
          <w:spacing w:val="-3"/>
        </w:rPr>
        <w:t xml:space="preserve">The OCA submits that </w:t>
      </w:r>
      <w:r>
        <w:rPr>
          <w:snapToGrid w:val="0"/>
          <w:spacing w:val="-3"/>
        </w:rPr>
        <w:t>this</w:t>
      </w:r>
      <w:r w:rsidRPr="007137C0">
        <w:rPr>
          <w:snapToGrid w:val="0"/>
          <w:spacing w:val="-3"/>
        </w:rPr>
        <w:t xml:space="preserve"> change will assist the Company in calculating appropriate deposit requirements for line extensions. </w:t>
      </w:r>
      <w:r>
        <w:rPr>
          <w:snapToGrid w:val="0"/>
          <w:spacing w:val="-3"/>
        </w:rPr>
        <w:t xml:space="preserve"> </w:t>
      </w:r>
      <w:proofErr w:type="gramStart"/>
      <w:r w:rsidR="00EC6FF5">
        <w:rPr>
          <w:snapToGrid w:val="0"/>
          <w:spacing w:val="-3"/>
        </w:rPr>
        <w:t>(</w:t>
      </w:r>
      <w:r>
        <w:rPr>
          <w:snapToGrid w:val="0"/>
          <w:spacing w:val="-3"/>
        </w:rPr>
        <w:t>OCA St</w:t>
      </w:r>
      <w:r w:rsidR="00EC6FF5">
        <w:rPr>
          <w:snapToGrid w:val="0"/>
          <w:spacing w:val="-3"/>
        </w:rPr>
        <w:t xml:space="preserve">atement No. 3, pp. </w:t>
      </w:r>
      <w:r>
        <w:rPr>
          <w:snapToGrid w:val="0"/>
          <w:spacing w:val="-3"/>
        </w:rPr>
        <w:t>33-34</w:t>
      </w:r>
      <w:r w:rsidR="008918D2">
        <w:rPr>
          <w:snapToGrid w:val="0"/>
          <w:spacing w:val="-3"/>
        </w:rPr>
        <w:t>.</w:t>
      </w:r>
      <w:r w:rsidR="00EC6FF5">
        <w:rPr>
          <w:snapToGrid w:val="0"/>
          <w:spacing w:val="-3"/>
        </w:rPr>
        <w:t>)</w:t>
      </w:r>
      <w:proofErr w:type="gramEnd"/>
      <w:r>
        <w:rPr>
          <w:snapToGrid w:val="0"/>
          <w:spacing w:val="-3"/>
        </w:rPr>
        <w:t xml:space="preserve">  In rebuttal, the Company a</w:t>
      </w:r>
      <w:r w:rsidRPr="009C089D">
        <w:rPr>
          <w:snapToGrid w:val="0"/>
          <w:spacing w:val="-3"/>
        </w:rPr>
        <w:t>gree</w:t>
      </w:r>
      <w:r>
        <w:rPr>
          <w:snapToGrid w:val="0"/>
          <w:spacing w:val="-3"/>
        </w:rPr>
        <w:t>d that the modification makes sense and should be a</w:t>
      </w:r>
      <w:r w:rsidRPr="009C089D">
        <w:rPr>
          <w:snapToGrid w:val="0"/>
          <w:spacing w:val="-3"/>
        </w:rPr>
        <w:t xml:space="preserve"> permanent update in the DCF model. </w:t>
      </w:r>
      <w:r>
        <w:rPr>
          <w:snapToGrid w:val="0"/>
          <w:spacing w:val="-3"/>
        </w:rPr>
        <w:t xml:space="preserve"> The Settlement provision reflects that agreement.  </w:t>
      </w:r>
      <w:r>
        <w:t xml:space="preserve">OCA St. in Support, pp. 7-8.  </w:t>
      </w:r>
    </w:p>
    <w:p w:rsidR="00CA46C3" w:rsidRDefault="00CA46C3" w:rsidP="00CA46C3">
      <w:pPr>
        <w:pStyle w:val="BodyText"/>
        <w:spacing w:after="0" w:line="360" w:lineRule="auto"/>
        <w:ind w:firstLine="1440"/>
      </w:pPr>
    </w:p>
    <w:p w:rsidR="0072718D" w:rsidRPr="0072718D" w:rsidRDefault="00CA46C3" w:rsidP="00E15CA2">
      <w:pPr>
        <w:pStyle w:val="BodyText"/>
        <w:spacing w:after="0" w:line="360" w:lineRule="auto"/>
        <w:ind w:firstLine="1440"/>
        <w:rPr>
          <w:snapToGrid w:val="0"/>
          <w:spacing w:val="-3"/>
        </w:rPr>
      </w:pPr>
      <w:r>
        <w:rPr>
          <w:snapToGrid w:val="0"/>
          <w:spacing w:val="-3"/>
        </w:rPr>
        <w:t>As to the issues being litigated in the Rider NAS context, the</w:t>
      </w:r>
      <w:r w:rsidRPr="009B5231">
        <w:rPr>
          <w:snapToGrid w:val="0"/>
          <w:spacing w:val="-3"/>
        </w:rPr>
        <w:t xml:space="preserve"> </w:t>
      </w:r>
      <w:r w:rsidR="00EC6FF5">
        <w:rPr>
          <w:snapToGrid w:val="0"/>
          <w:spacing w:val="-3"/>
        </w:rPr>
        <w:t xml:space="preserve">Joint Petitioners </w:t>
      </w:r>
      <w:r w:rsidRPr="009B5231">
        <w:rPr>
          <w:snapToGrid w:val="0"/>
          <w:spacing w:val="-3"/>
        </w:rPr>
        <w:t>agree</w:t>
      </w:r>
      <w:r>
        <w:rPr>
          <w:snapToGrid w:val="0"/>
          <w:spacing w:val="-3"/>
        </w:rPr>
        <w:t>d</w:t>
      </w:r>
      <w:r w:rsidRPr="009B5231">
        <w:rPr>
          <w:snapToGrid w:val="0"/>
          <w:spacing w:val="-3"/>
        </w:rPr>
        <w:t xml:space="preserve"> that the DCF model that results from the Rider NAS proceeding will be used by Columbia for </w:t>
      </w:r>
      <w:r w:rsidRPr="003E60E7">
        <w:rPr>
          <w:snapToGrid w:val="0"/>
          <w:spacing w:val="-3"/>
        </w:rPr>
        <w:t xml:space="preserve">all residential main extensions until the next base rate proceeding.  In the next base rate proceeding, all parties reserve their right to propose changes to the DCF model. </w:t>
      </w:r>
      <w:r w:rsidRPr="00EB079F">
        <w:rPr>
          <w:snapToGrid w:val="0"/>
          <w:spacing w:val="-3"/>
        </w:rPr>
        <w:t xml:space="preserve"> </w:t>
      </w:r>
      <w:r w:rsidR="00EC6FF5">
        <w:rPr>
          <w:snapToGrid w:val="0"/>
          <w:spacing w:val="-3"/>
        </w:rPr>
        <w:t>The OCA contends that t</w:t>
      </w:r>
      <w:r>
        <w:rPr>
          <w:snapToGrid w:val="0"/>
          <w:spacing w:val="-3"/>
        </w:rPr>
        <w:t xml:space="preserve">his Settlement provision will benefit customers by avoiding the expense of litigating the overlapping issues twice and will result in the Company applying one DCF model, rather than two, after the NAS proceeding concludes.  </w:t>
      </w:r>
      <w:r>
        <w:t>OCA St. in Support, p. 8.</w:t>
      </w:r>
    </w:p>
    <w:p w:rsidR="0072718D" w:rsidRPr="00B460E3" w:rsidRDefault="0072718D" w:rsidP="00B460E3">
      <w:pPr>
        <w:pStyle w:val="ListNumber"/>
        <w:numPr>
          <w:ilvl w:val="0"/>
          <w:numId w:val="0"/>
        </w:numPr>
        <w:spacing w:line="360" w:lineRule="auto"/>
        <w:rPr>
          <w:u w:val="single"/>
        </w:rPr>
      </w:pPr>
    </w:p>
    <w:p w:rsidR="00924EC0" w:rsidRDefault="0072718D" w:rsidP="00924EC0">
      <w:pPr>
        <w:pStyle w:val="ListNumber"/>
        <w:numPr>
          <w:ilvl w:val="0"/>
          <w:numId w:val="0"/>
        </w:numPr>
        <w:spacing w:line="360" w:lineRule="auto"/>
      </w:pPr>
      <w:r>
        <w:t>D.</w:t>
      </w:r>
      <w:r>
        <w:tab/>
      </w:r>
      <w:r>
        <w:rPr>
          <w:u w:val="single"/>
        </w:rPr>
        <w:t>OSBA’s Position</w:t>
      </w:r>
    </w:p>
    <w:p w:rsidR="0072718D" w:rsidRDefault="0072718D" w:rsidP="00924EC0">
      <w:pPr>
        <w:pStyle w:val="ListNumber"/>
        <w:numPr>
          <w:ilvl w:val="0"/>
          <w:numId w:val="0"/>
        </w:numPr>
        <w:spacing w:line="360" w:lineRule="auto"/>
      </w:pPr>
    </w:p>
    <w:p w:rsidR="0041519D" w:rsidRDefault="0041519D" w:rsidP="00924EC0">
      <w:pPr>
        <w:pStyle w:val="ListNumber"/>
        <w:numPr>
          <w:ilvl w:val="0"/>
          <w:numId w:val="0"/>
        </w:numPr>
        <w:spacing w:line="360" w:lineRule="auto"/>
      </w:pPr>
      <w:r>
        <w:tab/>
      </w:r>
      <w:r>
        <w:tab/>
        <w:t>In its testimony, the OSBA noted its concern with the fact that Columbia’s revenue allocation proposal did not match up with its cost allocation results, assigning an above system average rate increase to small business customers, despite the fact that small business customers exhibited an above average class rate of return in all of Columbia’s cost allocation studies.  The OSBA offered an alternative revenue allocation recommendation that it believed was consistent with the Company’s cost allocation analysis.  Further, the OSBA claimed that Columbia’s calculation of the customer-related costs in its cost allocation studies was arithmetically incorrect.  The OSBA asserted that this error contributed to Columbia’s proposal to assign an excessive customer charge increase to small business customers in the SGS/SGDS rate class.  The OSBA recommended that a more moderate customer charge increase be applied.</w:t>
      </w:r>
      <w:r w:rsidR="007657F5">
        <w:t xml:space="preserve">  OSBA St. in Support, pp. 2-3.</w:t>
      </w:r>
      <w:r>
        <w:t xml:space="preserve">  </w:t>
      </w:r>
    </w:p>
    <w:p w:rsidR="0041519D" w:rsidRDefault="0041519D" w:rsidP="00924EC0">
      <w:pPr>
        <w:pStyle w:val="ListNumber"/>
        <w:numPr>
          <w:ilvl w:val="0"/>
          <w:numId w:val="0"/>
        </w:numPr>
        <w:spacing w:line="360" w:lineRule="auto"/>
      </w:pPr>
    </w:p>
    <w:p w:rsidR="0041519D" w:rsidRDefault="0041519D" w:rsidP="00924EC0">
      <w:pPr>
        <w:pStyle w:val="ListNumber"/>
        <w:numPr>
          <w:ilvl w:val="0"/>
          <w:numId w:val="0"/>
        </w:numPr>
        <w:spacing w:line="360" w:lineRule="auto"/>
      </w:pPr>
      <w:r>
        <w:tab/>
      </w:r>
      <w:r>
        <w:tab/>
        <w:t>The OSBA submits that the issues raised above and contained in the OSBA’s testimony were resolved to the OSBA’s satisfaction in the Settlement.  The revenue allocation</w:t>
      </w:r>
      <w:r w:rsidR="007657F5">
        <w:t xml:space="preserve"> (Appendix “A” attached to the Settlement)</w:t>
      </w:r>
      <w:r>
        <w:t xml:space="preserve"> issues and the resulting rate design alleviated the OSBA’s concern regarding the above system average increase initially assigned to the small business class </w:t>
      </w:r>
      <w:r w:rsidR="007657F5">
        <w:t xml:space="preserve">by substantially lowering the amount of that increase.  Further, the OSBA claims that the error leading to the excessive customer charge was corrected, resulting in a more moderate increase to the SSGS/SGDS class customer charge in the Settlement.  OSBA St. in Support, p. 3.   </w:t>
      </w:r>
    </w:p>
    <w:p w:rsidR="007657F5" w:rsidRDefault="007657F5" w:rsidP="00924EC0">
      <w:pPr>
        <w:pStyle w:val="ListNumber"/>
        <w:numPr>
          <w:ilvl w:val="0"/>
          <w:numId w:val="0"/>
        </w:numPr>
        <w:spacing w:line="360" w:lineRule="auto"/>
      </w:pPr>
    </w:p>
    <w:p w:rsidR="007657F5" w:rsidRDefault="007657F5" w:rsidP="00924EC0">
      <w:pPr>
        <w:pStyle w:val="ListNumber"/>
        <w:numPr>
          <w:ilvl w:val="0"/>
          <w:numId w:val="0"/>
        </w:numPr>
        <w:spacing w:line="360" w:lineRule="auto"/>
      </w:pPr>
      <w:r>
        <w:t>E.</w:t>
      </w:r>
      <w:r>
        <w:tab/>
      </w:r>
      <w:r>
        <w:rPr>
          <w:u w:val="single"/>
        </w:rPr>
        <w:t>Columbia Industrial Intervenors</w:t>
      </w:r>
      <w:r w:rsidR="008F213F">
        <w:rPr>
          <w:u w:val="single"/>
        </w:rPr>
        <w:t>’</w:t>
      </w:r>
      <w:r>
        <w:rPr>
          <w:u w:val="single"/>
        </w:rPr>
        <w:t xml:space="preserve"> Position</w:t>
      </w:r>
    </w:p>
    <w:p w:rsidR="007657F5" w:rsidRDefault="007657F5" w:rsidP="00924EC0">
      <w:pPr>
        <w:pStyle w:val="ListNumber"/>
        <w:numPr>
          <w:ilvl w:val="0"/>
          <w:numId w:val="0"/>
        </w:numPr>
        <w:spacing w:line="360" w:lineRule="auto"/>
      </w:pPr>
    </w:p>
    <w:p w:rsidR="009234EE" w:rsidRDefault="009234EE" w:rsidP="009234EE">
      <w:pPr>
        <w:tabs>
          <w:tab w:val="left" w:pos="1440"/>
        </w:tabs>
        <w:spacing w:line="360" w:lineRule="auto"/>
        <w:ind w:firstLine="1440"/>
      </w:pPr>
      <w:r>
        <w:t xml:space="preserve">The CII conclude that the Settlement is in the public interest for the following reasons: </w:t>
      </w:r>
    </w:p>
    <w:p w:rsidR="009234EE" w:rsidRDefault="009234EE" w:rsidP="009234EE">
      <w:pPr>
        <w:numPr>
          <w:ilvl w:val="0"/>
          <w:numId w:val="10"/>
        </w:numPr>
        <w:tabs>
          <w:tab w:val="left" w:pos="1800"/>
        </w:tabs>
        <w:ind w:right="1440" w:firstLine="0"/>
      </w:pPr>
      <w:r>
        <w:t>As a result of the Joint Petition, expenses incurred by the Joint Petitioners and the Commission for completing this proceeding will be less than they would have been if the proceeding had been fully litigated.</w:t>
      </w:r>
    </w:p>
    <w:p w:rsidR="009234EE" w:rsidRDefault="009234EE" w:rsidP="009234EE">
      <w:pPr>
        <w:tabs>
          <w:tab w:val="left" w:pos="1800"/>
        </w:tabs>
        <w:ind w:left="1440" w:right="1440"/>
      </w:pPr>
    </w:p>
    <w:p w:rsidR="009234EE" w:rsidRDefault="009234EE" w:rsidP="009234EE">
      <w:pPr>
        <w:numPr>
          <w:ilvl w:val="0"/>
          <w:numId w:val="10"/>
        </w:numPr>
        <w:tabs>
          <w:tab w:val="left" w:pos="1800"/>
        </w:tabs>
        <w:ind w:right="1440" w:firstLine="0"/>
      </w:pPr>
      <w:r>
        <w:t>Uncertainties regarding further expenses associated with possible appeals from the Final Order of the Commission are avoided as a result of the Joint Petition.</w:t>
      </w:r>
    </w:p>
    <w:p w:rsidR="009234EE" w:rsidRDefault="009234EE" w:rsidP="009234EE">
      <w:pPr>
        <w:pStyle w:val="ListParagraph"/>
        <w:ind w:left="1440" w:right="1440"/>
      </w:pPr>
    </w:p>
    <w:p w:rsidR="009234EE" w:rsidRDefault="009234EE" w:rsidP="009234EE">
      <w:pPr>
        <w:numPr>
          <w:ilvl w:val="0"/>
          <w:numId w:val="10"/>
        </w:numPr>
        <w:tabs>
          <w:tab w:val="left" w:pos="1800"/>
        </w:tabs>
        <w:ind w:right="1440" w:firstLine="0"/>
      </w:pPr>
      <w:r>
        <w:t>The Joint Petition results in an increase in Columbia</w:t>
      </w:r>
      <w:r w:rsidR="002F539E">
        <w:t>’</w:t>
      </w:r>
      <w:r>
        <w:t>s rates by $32.5 million, which is approximately 60.1% of the Company's original request of $54.1 million.</w:t>
      </w:r>
    </w:p>
    <w:p w:rsidR="009234EE" w:rsidRDefault="009234EE" w:rsidP="009234EE">
      <w:pPr>
        <w:pStyle w:val="ListParagraph"/>
        <w:ind w:left="1440" w:right="1440"/>
      </w:pPr>
    </w:p>
    <w:p w:rsidR="009234EE" w:rsidRDefault="009234EE" w:rsidP="009234EE">
      <w:pPr>
        <w:numPr>
          <w:ilvl w:val="0"/>
          <w:numId w:val="10"/>
        </w:numPr>
        <w:tabs>
          <w:tab w:val="left" w:pos="1800"/>
        </w:tabs>
        <w:ind w:right="1440" w:firstLine="0"/>
      </w:pPr>
      <w:r>
        <w:t>The Joint Petition provides a just and reasonable means by which to allocate the resulting increase.</w:t>
      </w:r>
    </w:p>
    <w:p w:rsidR="009234EE" w:rsidRDefault="009234EE" w:rsidP="009234EE">
      <w:pPr>
        <w:pStyle w:val="ListParagraph"/>
        <w:ind w:left="1440" w:right="1440"/>
      </w:pPr>
    </w:p>
    <w:p w:rsidR="009234EE" w:rsidRDefault="009234EE" w:rsidP="009234EE">
      <w:pPr>
        <w:numPr>
          <w:ilvl w:val="0"/>
          <w:numId w:val="10"/>
        </w:numPr>
        <w:tabs>
          <w:tab w:val="left" w:pos="1800"/>
        </w:tabs>
        <w:ind w:right="1440" w:firstLine="0"/>
      </w:pPr>
      <w:r>
        <w:t xml:space="preserve">The Joint Petition reflects compromises on all sides presented without prejudice to any position any Joint Petitioner may have advanced so far in this proceeding.  Similarly, the Joint Petition is presented without prejudice to any position any party may advance in future proceedings involving the Company. </w:t>
      </w:r>
    </w:p>
    <w:p w:rsidR="009234EE" w:rsidRDefault="009234EE" w:rsidP="009234EE">
      <w:pPr>
        <w:pStyle w:val="ListParagraph"/>
      </w:pPr>
    </w:p>
    <w:p w:rsidR="009234EE" w:rsidRDefault="009234EE" w:rsidP="009234EE">
      <w:pPr>
        <w:tabs>
          <w:tab w:val="left" w:pos="1440"/>
        </w:tabs>
        <w:spacing w:line="360" w:lineRule="auto"/>
      </w:pPr>
      <w:r>
        <w:t xml:space="preserve">CII St. in Support, p. 4.  </w:t>
      </w:r>
    </w:p>
    <w:p w:rsidR="009234EE" w:rsidRDefault="009234EE" w:rsidP="009234EE">
      <w:pPr>
        <w:tabs>
          <w:tab w:val="left" w:pos="1440"/>
        </w:tabs>
        <w:spacing w:line="360" w:lineRule="auto"/>
      </w:pPr>
    </w:p>
    <w:p w:rsidR="009234EE" w:rsidRDefault="009234EE" w:rsidP="00A6276E">
      <w:pPr>
        <w:tabs>
          <w:tab w:val="left" w:pos="1440"/>
        </w:tabs>
        <w:spacing w:line="360" w:lineRule="auto"/>
        <w:ind w:firstLine="1440"/>
      </w:pPr>
      <w:r>
        <w:t xml:space="preserve">In addition, according to CII, the Settlement specifically satisfies the concerns of CII by:  (1) lowering the revenue increase amount by approximately 39.9%; (2) reasonably allocating the proposed increase among the customer classes; and (3) eliminating the proposed Choice Administration Charge (“CAC”).  CII St. in Support, p. 4.  </w:t>
      </w:r>
    </w:p>
    <w:p w:rsidR="004207B0" w:rsidRDefault="004207B0" w:rsidP="004207B0">
      <w:pPr>
        <w:tabs>
          <w:tab w:val="left" w:pos="1440"/>
        </w:tabs>
        <w:spacing w:line="360" w:lineRule="auto"/>
      </w:pPr>
    </w:p>
    <w:p w:rsidR="004207B0" w:rsidRPr="004207B0" w:rsidRDefault="004207B0" w:rsidP="004207B0">
      <w:pPr>
        <w:spacing w:line="360" w:lineRule="auto"/>
      </w:pPr>
      <w:r>
        <w:t>F.</w:t>
      </w:r>
      <w:r>
        <w:tab/>
      </w:r>
      <w:r>
        <w:rPr>
          <w:u w:val="single"/>
        </w:rPr>
        <w:t>NGS Parties</w:t>
      </w:r>
      <w:r w:rsidR="002C14ED">
        <w:rPr>
          <w:u w:val="single"/>
        </w:rPr>
        <w:t>’</w:t>
      </w:r>
      <w:r>
        <w:rPr>
          <w:u w:val="single"/>
        </w:rPr>
        <w:t xml:space="preserve"> Position</w:t>
      </w:r>
    </w:p>
    <w:p w:rsidR="00217085" w:rsidRDefault="00217085" w:rsidP="00217085">
      <w:pPr>
        <w:tabs>
          <w:tab w:val="left" w:pos="1440"/>
        </w:tabs>
        <w:spacing w:line="360" w:lineRule="auto"/>
      </w:pPr>
    </w:p>
    <w:p w:rsidR="00217085" w:rsidRDefault="00217085" w:rsidP="00217085">
      <w:pPr>
        <w:spacing w:line="360" w:lineRule="auto"/>
        <w:ind w:firstLine="1440"/>
      </w:pPr>
      <w:r>
        <w:t xml:space="preserve">The NGS Parties submit that the Settlement is reasonable and in the public interest because it presents an incrementally improved gas procurement charge (“GPC”), one that moves towards representing a closer estimate of the portion of the GPC incurred by the Company in the provision of supplier of last resort service to customers who choose not to shop.  According to the NGS Parties, this additional unbundling, even though less robust than that proposed by the NGS Parties, more appropriately assigns costs required to procure the natural gas commodity for bundled </w:t>
      </w:r>
      <w:r w:rsidR="00943D77">
        <w:t>s</w:t>
      </w:r>
      <w:r>
        <w:t xml:space="preserve">ales customers to </w:t>
      </w:r>
      <w:proofErr w:type="gramStart"/>
      <w:r>
        <w:t>the  Price</w:t>
      </w:r>
      <w:proofErr w:type="gramEnd"/>
      <w:r>
        <w:t xml:space="preserve">-to-Compare (“PTC”), thus allowing for a default service rate that more accurately reflects the costs of providing a retail natural gas service in the marketplace.  The NGS Parties assert that competitive parity is essential for robust natural gas competition to develop in Pennsylvania and for customers to receive the full benefits of competition.  NGS Parties St. in Support, p. 3.  </w:t>
      </w:r>
    </w:p>
    <w:p w:rsidR="00217085" w:rsidRDefault="00217085" w:rsidP="00217085">
      <w:pPr>
        <w:spacing w:line="360" w:lineRule="auto"/>
        <w:ind w:firstLine="1440"/>
      </w:pPr>
    </w:p>
    <w:p w:rsidR="005529BD" w:rsidRDefault="00217085" w:rsidP="005529BD">
      <w:pPr>
        <w:spacing w:line="360" w:lineRule="auto"/>
        <w:ind w:firstLine="1440"/>
      </w:pPr>
      <w:r>
        <w:t xml:space="preserve">Moreover, </w:t>
      </w:r>
      <w:r w:rsidR="005529BD">
        <w:t xml:space="preserve">the NGS Parties contend that </w:t>
      </w:r>
      <w:r>
        <w:t>the absence of a choice administrative charge (“CAC”)(a proposed anti-competitive charge that is not authorized by statute or Commission regulation</w:t>
      </w:r>
      <w:r w:rsidR="005529BD">
        <w:t>, according to the NGS Parties</w:t>
      </w:r>
      <w:r>
        <w:t>) is in the public interest because it does not further distort competition.</w:t>
      </w:r>
      <w:r w:rsidR="005529BD">
        <w:t xml:space="preserve">  NGS Parties St. in Support, p. 3.  </w:t>
      </w:r>
    </w:p>
    <w:p w:rsidR="005529BD" w:rsidRDefault="005529BD" w:rsidP="005529BD">
      <w:pPr>
        <w:spacing w:line="360" w:lineRule="auto"/>
        <w:ind w:firstLine="1440"/>
      </w:pPr>
    </w:p>
    <w:p w:rsidR="005529BD" w:rsidRDefault="00217085" w:rsidP="005529BD">
      <w:pPr>
        <w:spacing w:line="360" w:lineRule="auto"/>
        <w:ind w:firstLine="1440"/>
      </w:pPr>
      <w:r>
        <w:t xml:space="preserve">Finally, </w:t>
      </w:r>
      <w:r w:rsidR="005529BD">
        <w:t xml:space="preserve">the NGS Parties conclude that </w:t>
      </w:r>
      <w:r>
        <w:t>Columbia’s option to require suppliers to provide proof of firm capacity in emergency situations, while likely unnecessary, could potentially benefit all customers in emergency situations, and thus is in the public interest.</w:t>
      </w:r>
      <w:r w:rsidR="005529BD">
        <w:t xml:space="preserve">  NGS Parties St. in Support, p. 3.  </w:t>
      </w:r>
    </w:p>
    <w:p w:rsidR="005529BD" w:rsidRDefault="005529BD" w:rsidP="005529BD">
      <w:pPr>
        <w:spacing w:line="360" w:lineRule="auto"/>
        <w:ind w:firstLine="1440"/>
      </w:pPr>
    </w:p>
    <w:p w:rsidR="00082767" w:rsidRDefault="00217085" w:rsidP="00082767">
      <w:pPr>
        <w:spacing w:line="360" w:lineRule="auto"/>
        <w:ind w:firstLine="1440"/>
      </w:pPr>
      <w:r>
        <w:t>For all of these reasons, and because this case has been resolved in an acceptable fashion without the need for litigation and the incurrence of additional costs, the NGS Parties believe that th</w:t>
      </w:r>
      <w:r w:rsidR="005529BD">
        <w:t>e</w:t>
      </w:r>
      <w:r>
        <w:t xml:space="preserve"> Settlement is in the best interest of all the </w:t>
      </w:r>
      <w:r w:rsidR="005529BD">
        <w:t>p</w:t>
      </w:r>
      <w:r>
        <w:t xml:space="preserve">arties, is in the public interest, and is just and reasonable.  The NGS Parties </w:t>
      </w:r>
      <w:r w:rsidR="005529BD">
        <w:t>s</w:t>
      </w:r>
      <w:r>
        <w:t xml:space="preserve">ubmit that </w:t>
      </w:r>
      <w:r w:rsidR="005529BD">
        <w:t>the Settlement</w:t>
      </w:r>
      <w:r>
        <w:t xml:space="preserve"> should be approved as presented.</w:t>
      </w:r>
      <w:r w:rsidR="005529BD">
        <w:t xml:space="preserve"> </w:t>
      </w:r>
      <w:r w:rsidR="00082767">
        <w:t xml:space="preserve"> NGS Parties St. in Support, p. 3.  </w:t>
      </w:r>
    </w:p>
    <w:p w:rsidR="002C14ED" w:rsidRDefault="002C14ED" w:rsidP="002C14ED">
      <w:pPr>
        <w:spacing w:line="360" w:lineRule="auto"/>
      </w:pPr>
    </w:p>
    <w:p w:rsidR="002C14ED" w:rsidRPr="002C14ED" w:rsidRDefault="002C14ED" w:rsidP="002C14ED">
      <w:pPr>
        <w:spacing w:line="360" w:lineRule="auto"/>
        <w:rPr>
          <w:u w:val="single"/>
        </w:rPr>
      </w:pPr>
      <w:r>
        <w:t>G.</w:t>
      </w:r>
      <w:r>
        <w:tab/>
      </w:r>
      <w:r>
        <w:rPr>
          <w:u w:val="single"/>
        </w:rPr>
        <w:t>PSU’s Position</w:t>
      </w:r>
    </w:p>
    <w:p w:rsidR="009234EE" w:rsidRDefault="009234EE" w:rsidP="00217085">
      <w:pPr>
        <w:tabs>
          <w:tab w:val="left" w:pos="1440"/>
        </w:tabs>
        <w:spacing w:line="360" w:lineRule="auto"/>
      </w:pPr>
    </w:p>
    <w:p w:rsidR="003A5D41" w:rsidRDefault="002C14ED" w:rsidP="003A5D41">
      <w:pPr>
        <w:spacing w:line="360" w:lineRule="auto"/>
        <w:ind w:firstLine="1440"/>
      </w:pPr>
      <w:r w:rsidRPr="00800918">
        <w:t>PSU is a major customer of Columbia for natural gas service for a number of separate accounts.  Primary service is taken under the LDS (Large Distribution Service) class but it also takes service under the SDS (Small Distribution Service); SGSS (Small General Sales Service); and RSS (Residential Sales Service) classes.</w:t>
      </w:r>
      <w:r w:rsidR="003A5D41">
        <w:t xml:space="preserve">  PSU St. in Support, p. 2.  </w:t>
      </w:r>
    </w:p>
    <w:p w:rsidR="003A5D41" w:rsidRDefault="003A5D41" w:rsidP="003A5D41">
      <w:pPr>
        <w:spacing w:line="360" w:lineRule="auto"/>
        <w:ind w:firstLine="1440"/>
      </w:pPr>
    </w:p>
    <w:p w:rsidR="003A5D41" w:rsidRDefault="003A5D41" w:rsidP="003A5D41">
      <w:pPr>
        <w:spacing w:line="360" w:lineRule="auto"/>
        <w:ind w:firstLine="1440"/>
      </w:pPr>
      <w:r>
        <w:t>PSU asserts that, i</w:t>
      </w:r>
      <w:r w:rsidR="002C14ED" w:rsidRPr="00800918">
        <w:t xml:space="preserve">n the Settlement, the Joint Petitioners have proposed that rates be designed to produce an additional $32.5 million in annual base rate operating revenues instead of the Company’s filed increase request of approximately $54.1 million.  The increase to the LDS class is $1,500,000 which is lower than the originally proposed increase by the Company.  PSU supports the </w:t>
      </w:r>
      <w:r>
        <w:t>S</w:t>
      </w:r>
      <w:r w:rsidR="002C14ED" w:rsidRPr="00800918">
        <w:t xml:space="preserve">ettlement because it eliminates the volumetric </w:t>
      </w:r>
      <w:r>
        <w:t xml:space="preserve">CAC </w:t>
      </w:r>
      <w:r w:rsidR="002C14ED" w:rsidRPr="00800918">
        <w:t>proposed by the Company which PSU believes conflicts with the Commission’s regulations and ratemaking principles.</w:t>
      </w:r>
      <w:r>
        <w:t xml:space="preserve">  PSU St. in Support, p. 2.  </w:t>
      </w:r>
    </w:p>
    <w:p w:rsidR="003A5D41" w:rsidRDefault="003A5D41" w:rsidP="003A5D41">
      <w:pPr>
        <w:spacing w:line="360" w:lineRule="auto"/>
        <w:ind w:firstLine="1440"/>
      </w:pPr>
    </w:p>
    <w:p w:rsidR="003A5D41" w:rsidRDefault="002C14ED" w:rsidP="003A5D41">
      <w:pPr>
        <w:spacing w:line="360" w:lineRule="auto"/>
        <w:ind w:firstLine="1440"/>
      </w:pPr>
      <w:r w:rsidRPr="00800918">
        <w:t xml:space="preserve">The terms in the Settlement were reached after numerous hours of negotiations among </w:t>
      </w:r>
      <w:r w:rsidR="003A5D41">
        <w:t xml:space="preserve">the Joint Petitioners that </w:t>
      </w:r>
      <w:r w:rsidRPr="00800918">
        <w:t xml:space="preserve">included the subject of cost of service studies and the allocation of the overall increase among the various rate classes and, in particular, to the LDS rate class.  While PSU continues to be concerned about attempts by certain parties to favor outdated cost of service methodologies that incorrectly treat customers or customer classes with superior load factors the same as customers or customer classes with poor load factors or fail to recognize the benefit of Flex service to all customers and allocated it as such, it supports the </w:t>
      </w:r>
      <w:r w:rsidR="003A5D41">
        <w:t>S</w:t>
      </w:r>
      <w:r w:rsidRPr="00800918">
        <w:t>ettlement as a compromise of competing positions.</w:t>
      </w:r>
      <w:r w:rsidR="003A5D41">
        <w:t xml:space="preserve">  PSU St. in Support, pp. 2-3.    </w:t>
      </w:r>
    </w:p>
    <w:p w:rsidR="003A5D41" w:rsidRDefault="003A5D41" w:rsidP="003A5D41">
      <w:pPr>
        <w:spacing w:line="360" w:lineRule="auto"/>
        <w:ind w:firstLine="1440"/>
      </w:pPr>
    </w:p>
    <w:p w:rsidR="003A5D41" w:rsidRDefault="002C14ED" w:rsidP="003A5D41">
      <w:pPr>
        <w:spacing w:line="360" w:lineRule="auto"/>
        <w:ind w:firstLine="1440"/>
      </w:pPr>
      <w:r w:rsidRPr="00800918">
        <w:t xml:space="preserve">The Settlement is also without prejudice or admission to any position any party, including PSU, may take in any subsequent or different proceeding.  In addition, </w:t>
      </w:r>
      <w:r w:rsidR="003A5D41">
        <w:t xml:space="preserve">according to PSU, </w:t>
      </w:r>
      <w:r w:rsidRPr="00800918">
        <w:t>the Settlement will enable the parties to avoid the expenditure of significant additional time and expense that would have been necessary to fully litigate this proceeding to a conclusion.  This will result in significant savings to all Parties, as well as Columbia’s customers.</w:t>
      </w:r>
      <w:r w:rsidR="003A5D41">
        <w:t xml:space="preserve">  </w:t>
      </w:r>
      <w:r w:rsidRPr="00800918">
        <w:t>For all of these reasons, PSU believes that the Settlement is in the public interest and requests that the Commission approve the Settlement as presented</w:t>
      </w:r>
      <w:r w:rsidR="003A5D41">
        <w:t xml:space="preserve">.  PSU St. in Support, p. 3.   </w:t>
      </w:r>
      <w:r w:rsidRPr="00800918">
        <w:t xml:space="preserve">  </w:t>
      </w:r>
    </w:p>
    <w:p w:rsidR="003A5D41" w:rsidRDefault="003A5D41" w:rsidP="003A5D41">
      <w:pPr>
        <w:spacing w:line="360" w:lineRule="auto"/>
      </w:pPr>
    </w:p>
    <w:p w:rsidR="003A5D41" w:rsidRDefault="003A5D41" w:rsidP="003A5D41">
      <w:pPr>
        <w:spacing w:line="360" w:lineRule="auto"/>
      </w:pPr>
      <w:r>
        <w:t>H.</w:t>
      </w:r>
      <w:r>
        <w:tab/>
      </w:r>
      <w:r>
        <w:rPr>
          <w:u w:val="single"/>
        </w:rPr>
        <w:t>CAUSE-PA’s Position</w:t>
      </w:r>
    </w:p>
    <w:p w:rsidR="003A5D41" w:rsidRDefault="003A5D41" w:rsidP="003A5D41">
      <w:pPr>
        <w:spacing w:line="360" w:lineRule="auto"/>
      </w:pPr>
    </w:p>
    <w:p w:rsidR="009E25B0" w:rsidRDefault="009E25B0" w:rsidP="009E25B0">
      <w:pPr>
        <w:pStyle w:val="BodyText2"/>
        <w:spacing w:line="360" w:lineRule="auto"/>
        <w:ind w:firstLine="1440"/>
        <w:jc w:val="left"/>
      </w:pPr>
      <w:r w:rsidRPr="006207D1">
        <w:t xml:space="preserve">CAUSE-PA </w:t>
      </w:r>
      <w:r>
        <w:t xml:space="preserve">intervened in this proceeding </w:t>
      </w:r>
      <w:r w:rsidRPr="006207D1">
        <w:t>to address, among oth</w:t>
      </w:r>
      <w:r>
        <w:t>er issues, whether the proposed rate increase would detrimentally impact the ability of Columbia’s</w:t>
      </w:r>
      <w:r w:rsidR="001C31A5">
        <w:t xml:space="preserve"> </w:t>
      </w:r>
      <w:r>
        <w:t>low-income customers to be able to continue to afford service under reasonable terms and conditions. Specifically, CAUSE-PA asserted that any rate increase should be partially offset with additional weatherization resources targeting Columbia’s most economically vulnerable customers.</w:t>
      </w:r>
      <w:r w:rsidR="00BA2467">
        <w:t xml:space="preserve"> </w:t>
      </w:r>
      <w:r>
        <w:t xml:space="preserve"> Among other provisions, the Settlement provides for an increase in rates designed to produce </w:t>
      </w:r>
      <w:r w:rsidRPr="00F53F4F">
        <w:t>$</w:t>
      </w:r>
      <w:r>
        <w:t>32.</w:t>
      </w:r>
      <w:r w:rsidRPr="00F53F4F">
        <w:t>5 million in annual base rate operating revenues</w:t>
      </w:r>
      <w:r>
        <w:t xml:space="preserve">, and further provides for an additional $250,000 in increased funding for the Company’s WarmWise® Low Income Usage Reduction Program (“LIURP”).  CAUSE-PA St. in Support, pp. 1-2.  </w:t>
      </w:r>
    </w:p>
    <w:p w:rsidR="009E25B0" w:rsidRDefault="009E25B0" w:rsidP="009E25B0">
      <w:pPr>
        <w:pStyle w:val="BodyText2"/>
        <w:spacing w:line="360" w:lineRule="auto"/>
        <w:ind w:firstLine="1440"/>
        <w:jc w:val="left"/>
      </w:pPr>
    </w:p>
    <w:p w:rsidR="009E25B0" w:rsidRDefault="009E25B0" w:rsidP="009E25B0">
      <w:pPr>
        <w:pStyle w:val="BodyText2"/>
        <w:spacing w:line="360" w:lineRule="auto"/>
        <w:ind w:firstLine="1440"/>
        <w:jc w:val="left"/>
      </w:pPr>
      <w:r>
        <w:t xml:space="preserve">Although not all of CAUSE-PA’s positions have been fully adopted, CAUSE-PA maintains that the Settlement was arrived at through good faith negotiation by all parties. </w:t>
      </w:r>
      <w:r w:rsidR="006C6AD0">
        <w:t xml:space="preserve"> </w:t>
      </w:r>
      <w:r>
        <w:t xml:space="preserve">The Settlement is in the public interest, according to CAUSE-PA, because it addresses issues of concern to CAUSE-PA, balances the interests of the parties, and resolves a number of important issues fairly. </w:t>
      </w:r>
      <w:r w:rsidR="00024855">
        <w:t xml:space="preserve"> </w:t>
      </w:r>
      <w:r>
        <w:t xml:space="preserve">Substantial litigation and associated costs will be avoided; and if approved, the Settlement will eliminate the possibility of further Commission litigation and appeals, along with their attendant costs.  CAUSE-PA St. in Support, p. 2.  </w:t>
      </w:r>
    </w:p>
    <w:p w:rsidR="009E25B0" w:rsidRDefault="009E25B0" w:rsidP="009E25B0">
      <w:pPr>
        <w:pStyle w:val="BodyText2"/>
        <w:spacing w:line="360" w:lineRule="auto"/>
        <w:ind w:firstLine="1440"/>
        <w:jc w:val="left"/>
      </w:pPr>
    </w:p>
    <w:p w:rsidR="006044D7" w:rsidRDefault="009E25B0" w:rsidP="006044D7">
      <w:pPr>
        <w:pStyle w:val="BodyText2"/>
        <w:spacing w:line="360" w:lineRule="auto"/>
        <w:ind w:firstLine="1440"/>
        <w:jc w:val="left"/>
      </w:pPr>
      <w:r>
        <w:t xml:space="preserve">According to CAUSE-PA, </w:t>
      </w:r>
      <w:r w:rsidR="006044D7">
        <w:t>p</w:t>
      </w:r>
      <w:r w:rsidRPr="00D873BB">
        <w:t xml:space="preserve">aragraph 40 of the Settlement confirms that there will be an increase in annual Warm Wise® LIURP funding from $4.5 million to $4.75 million, commencing with the effective date of rates in this proceeding. </w:t>
      </w:r>
      <w:r w:rsidRPr="005B5701">
        <w:rPr>
          <w:rFonts w:ascii="Georgia" w:hAnsi="Georgia"/>
        </w:rPr>
        <w:t xml:space="preserve"> </w:t>
      </w:r>
      <w:r w:rsidRPr="00A22D70">
        <w:t xml:space="preserve">Any resulting unspent balance in the designated LIURP funding account shall carry over and shall remain in that account. </w:t>
      </w:r>
      <w:r w:rsidR="00E47884">
        <w:t xml:space="preserve"> </w:t>
      </w:r>
      <w:r w:rsidRPr="00AA148A">
        <w:t xml:space="preserve">The </w:t>
      </w:r>
      <w:r w:rsidR="006044D7">
        <w:t xml:space="preserve">Joint Petitioners </w:t>
      </w:r>
      <w:r w:rsidRPr="00AA148A">
        <w:t>agree</w:t>
      </w:r>
      <w:r w:rsidR="006044D7">
        <w:t>d</w:t>
      </w:r>
      <w:r w:rsidRPr="00AA148A">
        <w:t xml:space="preserve"> to not propose any further change to LIURP funding for a period of three</w:t>
      </w:r>
      <w:r w:rsidR="001B3698">
        <w:t> </w:t>
      </w:r>
      <w:r w:rsidRPr="00AA148A">
        <w:t>years commencing with the effective date of the rates in this proceeding.</w:t>
      </w:r>
      <w:r w:rsidR="006044D7">
        <w:t xml:space="preserve">  CAUSE-PA St. in Support, pp. 2-3.  </w:t>
      </w:r>
    </w:p>
    <w:p w:rsidR="006044D7" w:rsidRDefault="006044D7" w:rsidP="006044D7">
      <w:pPr>
        <w:pStyle w:val="BodyText2"/>
        <w:spacing w:line="360" w:lineRule="auto"/>
        <w:ind w:firstLine="1440"/>
        <w:jc w:val="left"/>
      </w:pPr>
    </w:p>
    <w:p w:rsidR="006044D7" w:rsidRDefault="006044D7" w:rsidP="006044D7">
      <w:pPr>
        <w:pStyle w:val="BodyText2"/>
        <w:spacing w:line="360" w:lineRule="auto"/>
        <w:ind w:firstLine="1440"/>
        <w:jc w:val="left"/>
      </w:pPr>
      <w:r>
        <w:t>CAUSE-PA asserts that t</w:t>
      </w:r>
      <w:r w:rsidR="009E25B0">
        <w:t xml:space="preserve">his increase is well justified. </w:t>
      </w:r>
      <w:r w:rsidR="003A187A">
        <w:t xml:space="preserve"> </w:t>
      </w:r>
      <w:r w:rsidR="009E25B0">
        <w:t>In his Direct Testimony, CAUSE-PA witness Mitchell Miller documented that h</w:t>
      </w:r>
      <w:r w:rsidR="009E25B0" w:rsidRPr="00FF63E9">
        <w:t>ouseholds at or below 150% of the federal poverty guidelines simply lack sufficient income to pay for all of their essential needs.</w:t>
      </w:r>
      <w:r w:rsidR="009E25B0">
        <w:t xml:space="preserve">  An increase in fixed costs could result in increased unaffordability and termination of service. </w:t>
      </w:r>
      <w:proofErr w:type="gramStart"/>
      <w:r>
        <w:t xml:space="preserve">(CAUSE-PA Statement No. 1, p. </w:t>
      </w:r>
      <w:r w:rsidR="009E25B0">
        <w:t>7</w:t>
      </w:r>
      <w:r w:rsidR="00014F3F">
        <w:t>.</w:t>
      </w:r>
      <w:r w:rsidR="009E25B0">
        <w:t>)</w:t>
      </w:r>
      <w:proofErr w:type="gramEnd"/>
      <w:r w:rsidR="009E25B0">
        <w:t xml:space="preserve"> </w:t>
      </w:r>
      <w:r w:rsidR="00CA6D24">
        <w:t xml:space="preserve"> </w:t>
      </w:r>
      <w:r w:rsidR="009E25B0">
        <w:t>In response to Columbia’s requested rate increase, Mr.</w:t>
      </w:r>
      <w:r w:rsidR="00CA6D24">
        <w:t> </w:t>
      </w:r>
      <w:r w:rsidR="009E25B0">
        <w:t>Miller recommended that Columbia significantly increase its LIURP penetration levels among its low-income customers.</w:t>
      </w:r>
      <w:r w:rsidR="009E25B0" w:rsidRPr="00540C64">
        <w:t xml:space="preserve"> </w:t>
      </w:r>
      <w:proofErr w:type="gramStart"/>
      <w:r w:rsidR="009E25B0">
        <w:t>(CAUSE-PA Statement No. 1</w:t>
      </w:r>
      <w:r>
        <w:t xml:space="preserve">, p. </w:t>
      </w:r>
      <w:r w:rsidR="009E25B0">
        <w:t>10</w:t>
      </w:r>
      <w:r w:rsidR="00014F3F">
        <w:t>.</w:t>
      </w:r>
      <w:r w:rsidR="009E25B0">
        <w:t>)</w:t>
      </w:r>
      <w:proofErr w:type="gramEnd"/>
      <w:r w:rsidR="00014F3F">
        <w:t xml:space="preserve">  </w:t>
      </w:r>
      <w:r w:rsidR="009E25B0">
        <w:t xml:space="preserve">Mr. Miller documented in his testimony that Columbia’s LIURP program is efficiently run and produces tangible results that assist low-income households in reducing their energy use and their bills. </w:t>
      </w:r>
      <w:r w:rsidR="00B0540A">
        <w:t xml:space="preserve"> </w:t>
      </w:r>
      <w:r w:rsidR="009E25B0">
        <w:t xml:space="preserve">Specifically, Columbia’s LIURP yields energy reductions of almost 30%.  </w:t>
      </w:r>
      <w:proofErr w:type="gramStart"/>
      <w:r w:rsidR="009E25B0">
        <w:t>(CAUSE-PA Statement No. 1</w:t>
      </w:r>
      <w:r>
        <w:t>, p.</w:t>
      </w:r>
      <w:r w:rsidR="00BD7FE2">
        <w:t> </w:t>
      </w:r>
      <w:r w:rsidR="009E25B0">
        <w:t>11</w:t>
      </w:r>
      <w:r w:rsidR="008C7DE2">
        <w:t>.</w:t>
      </w:r>
      <w:r w:rsidR="009E25B0">
        <w:t>)</w:t>
      </w:r>
      <w:proofErr w:type="gramEnd"/>
      <w:r w:rsidR="009E25B0">
        <w:t xml:space="preserve"> </w:t>
      </w:r>
      <w:r w:rsidR="00D07E4C">
        <w:t xml:space="preserve"> </w:t>
      </w:r>
      <w:r w:rsidR="009E25B0">
        <w:t xml:space="preserve">Despite these impressive gains, Mr. Miller pointed out that Columbia’s LIURP budget was insufficient to meet the extensive need in its service territory as there were </w:t>
      </w:r>
      <w:r w:rsidR="009E25B0">
        <w:rPr>
          <w:iCs/>
        </w:rPr>
        <w:t>31,735</w:t>
      </w:r>
      <w:r w:rsidR="009E25B0" w:rsidRPr="000D3902">
        <w:rPr>
          <w:iCs/>
        </w:rPr>
        <w:t xml:space="preserve"> customers who presently meet LIURP eligibility criteria and have not received weatherization treatment in their homes.  </w:t>
      </w:r>
      <w:r w:rsidR="009E25B0">
        <w:t>(CAUSE-PA Statement No. 1</w:t>
      </w:r>
      <w:r>
        <w:t>, p.</w:t>
      </w:r>
      <w:r w:rsidR="009E25B0">
        <w:t xml:space="preserve"> 12)</w:t>
      </w:r>
      <w:r>
        <w:t xml:space="preserve">; CAUSE-PA St. in Support, p. 3.  </w:t>
      </w:r>
    </w:p>
    <w:p w:rsidR="006044D7" w:rsidRDefault="006044D7" w:rsidP="006044D7">
      <w:pPr>
        <w:pStyle w:val="BodyText2"/>
        <w:spacing w:line="360" w:lineRule="auto"/>
        <w:ind w:firstLine="1440"/>
        <w:jc w:val="left"/>
      </w:pPr>
    </w:p>
    <w:p w:rsidR="006044D7" w:rsidRDefault="006044D7" w:rsidP="006044D7">
      <w:pPr>
        <w:pStyle w:val="BodyText2"/>
        <w:spacing w:line="360" w:lineRule="auto"/>
        <w:ind w:firstLine="1440"/>
        <w:jc w:val="left"/>
      </w:pPr>
      <w:r>
        <w:t>Through the negotiated S</w:t>
      </w:r>
      <w:r w:rsidR="009E25B0">
        <w:t xml:space="preserve">ettlement agreed to by </w:t>
      </w:r>
      <w:r>
        <w:t xml:space="preserve">the Joint Petitioners, </w:t>
      </w:r>
      <w:r w:rsidR="009E25B0">
        <w:t xml:space="preserve">Columbia’s LIURP budget will be increased from $4.5 million per year to $4.75 million per year. </w:t>
      </w:r>
      <w:r w:rsidR="00924E7E">
        <w:t xml:space="preserve"> </w:t>
      </w:r>
      <w:r>
        <w:t>CAUSE-PA opines that t</w:t>
      </w:r>
      <w:r w:rsidR="009E25B0">
        <w:t>his increase, while not fully meeting the unmet need within Columbia’s service territory, ensures that many more households will receive access to proven weatherization measures that will significantly reduce their usage, their bills, and the costs on other ratepayers who are assisting these households th</w:t>
      </w:r>
      <w:r w:rsidR="00306EA5">
        <w:t>r</w:t>
      </w:r>
      <w:r w:rsidR="009E25B0">
        <w:t>ough Columbia’s CAP program.</w:t>
      </w:r>
      <w:r>
        <w:t xml:space="preserve">  CAUSE-PA St. in Support, p. 3. </w:t>
      </w:r>
    </w:p>
    <w:p w:rsidR="006044D7" w:rsidRDefault="006044D7" w:rsidP="006044D7">
      <w:pPr>
        <w:pStyle w:val="BodyText2"/>
        <w:spacing w:line="360" w:lineRule="auto"/>
        <w:ind w:firstLine="1440"/>
        <w:jc w:val="left"/>
      </w:pPr>
    </w:p>
    <w:p w:rsidR="006044D7" w:rsidRDefault="006044D7" w:rsidP="006044D7">
      <w:pPr>
        <w:pStyle w:val="BodyText2"/>
        <w:spacing w:line="360" w:lineRule="auto"/>
        <w:ind w:firstLine="1440"/>
        <w:jc w:val="left"/>
      </w:pPr>
      <w:r>
        <w:t>M</w:t>
      </w:r>
      <w:r w:rsidR="009E25B0">
        <w:t xml:space="preserve">oreover, </w:t>
      </w:r>
      <w:r>
        <w:t xml:space="preserve">according to CAUSE-PA, </w:t>
      </w:r>
      <w:r w:rsidR="009E25B0">
        <w:t xml:space="preserve">the Settlement term which requires that any unused funds in one LIURP year will be carried over to the next ensures that the designated LIURP funding will be used for its ultimate purpose and not lost as a result of temporary work reductions due to unforeseen weather or other factors within any given year. </w:t>
      </w:r>
      <w:r w:rsidR="00864760">
        <w:t xml:space="preserve"> </w:t>
      </w:r>
      <w:r>
        <w:t>CAUSE-PA believes this</w:t>
      </w:r>
      <w:r w:rsidR="009E25B0">
        <w:t xml:space="preserve"> carryover will enable Columbia to deliver the needed usage reduction services to a household, regardless of the LIURP budget year. </w:t>
      </w:r>
      <w:r w:rsidR="004366BF">
        <w:t xml:space="preserve"> </w:t>
      </w:r>
      <w:r w:rsidR="009E25B0">
        <w:t xml:space="preserve">Finally, </w:t>
      </w:r>
      <w:r>
        <w:t xml:space="preserve">CAUSE-PA asserts that </w:t>
      </w:r>
      <w:r w:rsidR="009E25B0">
        <w:t xml:space="preserve">the agreement in the Settlement that the </w:t>
      </w:r>
      <w:r w:rsidR="009E25B0" w:rsidRPr="00AA148A">
        <w:t>parties not propose any further change to LIURP funding for a period of three years commencing with the effective date of the rates in this proceeding</w:t>
      </w:r>
      <w:r w:rsidR="009E25B0">
        <w:t xml:space="preserve"> will permit Columbia time to ramp up its program while continuing to provide effective results.</w:t>
      </w:r>
      <w:r>
        <w:t xml:space="preserve">  CAUSE-PA St. in Support, pp. 3-4.  </w:t>
      </w:r>
    </w:p>
    <w:p w:rsidR="006044D7" w:rsidRDefault="006044D7" w:rsidP="006044D7">
      <w:pPr>
        <w:pStyle w:val="BodyText2"/>
        <w:spacing w:line="360" w:lineRule="auto"/>
        <w:ind w:firstLine="1440"/>
        <w:jc w:val="left"/>
      </w:pPr>
    </w:p>
    <w:p w:rsidR="006044D7" w:rsidRDefault="009E25B0" w:rsidP="006044D7">
      <w:pPr>
        <w:pStyle w:val="BodyText2"/>
        <w:spacing w:line="360" w:lineRule="auto"/>
        <w:ind w:firstLine="1440"/>
        <w:jc w:val="left"/>
      </w:pPr>
      <w:r w:rsidRPr="001C2F82">
        <w:t xml:space="preserve">In addition to an increase in LIURP funding, the Settlement provides </w:t>
      </w:r>
      <w:r w:rsidR="006044D7">
        <w:t>in p</w:t>
      </w:r>
      <w:r w:rsidRPr="001C2F82">
        <w:t>aragraph</w:t>
      </w:r>
      <w:r w:rsidR="00EF1E41">
        <w:t> </w:t>
      </w:r>
      <w:r w:rsidRPr="001C2F82">
        <w:t xml:space="preserve">41 that the income eligibility threshold floor of 151% of </w:t>
      </w:r>
      <w:r w:rsidR="00EF1E41">
        <w:t xml:space="preserve">the </w:t>
      </w:r>
      <w:r w:rsidRPr="001C2F82">
        <w:t xml:space="preserve">Federal Poverty Level will be eliminated for the Company’s Warm Wise® Audits and Rebate program.  Within six months of the effective date of the rates in this proceeding, the Company will convene a stakeholder meeting, inviting representatives from the electric distribution companies with overlapping service territories </w:t>
      </w:r>
      <w:r>
        <w:t>that</w:t>
      </w:r>
      <w:r w:rsidRPr="001C2F82">
        <w:t xml:space="preserve"> have programs </w:t>
      </w:r>
      <w:r>
        <w:t xml:space="preserve">addressing </w:t>
      </w:r>
      <w:r w:rsidRPr="001C2F82">
        <w:t>multi</w:t>
      </w:r>
      <w:r w:rsidR="00682965">
        <w:t>-</w:t>
      </w:r>
      <w:r w:rsidRPr="001C2F82">
        <w:t>family</w:t>
      </w:r>
      <w:r>
        <w:t xml:space="preserve"> housing</w:t>
      </w:r>
      <w:r w:rsidRPr="001C2F82">
        <w:t xml:space="preserve"> as a part of their Act 129 portfolio, and interested parties to this proceeding, to examine how its Warm Wise® Audits and Rebates program can be utilized to serve multi</w:t>
      </w:r>
      <w:r w:rsidR="00B101BC">
        <w:t>-</w:t>
      </w:r>
      <w:r w:rsidRPr="001C2F82">
        <w:t>family housing units.</w:t>
      </w:r>
      <w:r w:rsidR="006044D7">
        <w:t xml:space="preserve">  Addressing energy efficiency in multi</w:t>
      </w:r>
      <w:r w:rsidR="00F7368F">
        <w:t>-</w:t>
      </w:r>
      <w:r w:rsidR="006044D7">
        <w:t>family housing within Columbia’s service territory is in the public interest and supported by CAUSE-PA.</w:t>
      </w:r>
      <w:r w:rsidR="006044D7" w:rsidRPr="001C2F82">
        <w:t xml:space="preserve"> </w:t>
      </w:r>
      <w:r w:rsidR="006044D7">
        <w:t xml:space="preserve"> CAUSE-PA St. in Support, p. 4.  </w:t>
      </w:r>
    </w:p>
    <w:p w:rsidR="006044D7" w:rsidRDefault="006044D7" w:rsidP="006044D7">
      <w:pPr>
        <w:pStyle w:val="BodyText2"/>
        <w:spacing w:line="360" w:lineRule="auto"/>
        <w:ind w:firstLine="1440"/>
        <w:jc w:val="left"/>
      </w:pPr>
    </w:p>
    <w:p w:rsidR="00396920" w:rsidRPr="006C103F" w:rsidRDefault="009E25B0" w:rsidP="00513B8D">
      <w:pPr>
        <w:pStyle w:val="BodyText2"/>
        <w:spacing w:line="360" w:lineRule="auto"/>
        <w:ind w:firstLine="1440"/>
        <w:jc w:val="left"/>
        <w:rPr>
          <w:highlight w:val="yellow"/>
        </w:rPr>
      </w:pPr>
      <w:r>
        <w:t>In his testimony, Mr. Miller recommended that Columbia expand its Warm Wise</w:t>
      </w:r>
      <w:r w:rsidR="00633028">
        <w:t>®</w:t>
      </w:r>
      <w:r>
        <w:t xml:space="preserve"> Audit and Rebate program to focus on multi-family buildings housed within its service territory.  </w:t>
      </w:r>
      <w:r w:rsidR="00513B8D">
        <w:t>CAUSE-PA believes e</w:t>
      </w:r>
      <w:r w:rsidRPr="000571FD">
        <w:t>nergy efficiency upgrades in multi</w:t>
      </w:r>
      <w:r>
        <w:t>-</w:t>
      </w:r>
      <w:r w:rsidRPr="000571FD">
        <w:t>family rental housing are a cost-effective means to reduce energy consumption, maintain housing affordability, and create healthier, more comfortable living environments for moderate-</w:t>
      </w:r>
      <w:r w:rsidR="00A52165">
        <w:t>income</w:t>
      </w:r>
      <w:r w:rsidRPr="000571FD">
        <w:t xml:space="preserve"> and low-income families.</w:t>
      </w:r>
      <w:r w:rsidRPr="001A6342">
        <w:t xml:space="preserve"> </w:t>
      </w:r>
      <w:proofErr w:type="gramStart"/>
      <w:r>
        <w:t>(CAUSE-PA Statement No. 1</w:t>
      </w:r>
      <w:r w:rsidR="00513B8D">
        <w:t xml:space="preserve">, p. </w:t>
      </w:r>
      <w:r>
        <w:t>13</w:t>
      </w:r>
      <w:r w:rsidR="006D626A">
        <w:t>.</w:t>
      </w:r>
      <w:r>
        <w:t>)</w:t>
      </w:r>
      <w:proofErr w:type="gramEnd"/>
      <w:r>
        <w:t xml:space="preserve"> </w:t>
      </w:r>
      <w:r w:rsidR="007360E8">
        <w:t xml:space="preserve"> </w:t>
      </w:r>
      <w:r>
        <w:t xml:space="preserve">He further testified that Columbia could utilize the </w:t>
      </w:r>
      <w:r w:rsidRPr="001C2F82">
        <w:t xml:space="preserve">Warm Wise® Audits and Rebates program </w:t>
      </w:r>
      <w:r>
        <w:t>in multi</w:t>
      </w:r>
      <w:r w:rsidR="00A6485C">
        <w:t>-</w:t>
      </w:r>
      <w:r>
        <w:t xml:space="preserve">family housing through effective working relationships with the </w:t>
      </w:r>
      <w:r w:rsidR="00513B8D">
        <w:t>electric d</w:t>
      </w:r>
      <w:r>
        <w:t xml:space="preserve">istribution </w:t>
      </w:r>
      <w:r w:rsidR="00513B8D">
        <w:t>c</w:t>
      </w:r>
      <w:r>
        <w:t xml:space="preserve">ompanies (EDCs) with overlapping service territories, specifically the First Energy Companies and Duquesne Light.  </w:t>
      </w:r>
      <w:r w:rsidR="00513B8D">
        <w:t>According to CAUSE-PA, e</w:t>
      </w:r>
      <w:r>
        <w:t>ach of these EDCs has multi-family energy efficiency projects that are a part of their Act 129 programs.</w:t>
      </w:r>
      <w:r w:rsidR="00D779B4">
        <w:t xml:space="preserve"> </w:t>
      </w:r>
      <w:r w:rsidRPr="0022252F">
        <w:t xml:space="preserve"> </w:t>
      </w:r>
      <w:proofErr w:type="gramStart"/>
      <w:r>
        <w:t>(CAUSE-PA Statement No. 1</w:t>
      </w:r>
      <w:r w:rsidR="00513B8D">
        <w:t xml:space="preserve">, p. </w:t>
      </w:r>
      <w:r>
        <w:t>14</w:t>
      </w:r>
      <w:r w:rsidR="006D626A">
        <w:t>.</w:t>
      </w:r>
      <w:r>
        <w:t>)</w:t>
      </w:r>
      <w:proofErr w:type="gramEnd"/>
      <w:r w:rsidR="00513B8D">
        <w:t xml:space="preserve">  CAUSE-PA believes t</w:t>
      </w:r>
      <w:r>
        <w:t>he convening of a stakeholder meeting by Columbia, consisting of representatives of these electric distribution companies and other interested stakeholders, will provide a needed first step in focusing the company toward examining energy efficiency in multi</w:t>
      </w:r>
      <w:r w:rsidR="001465A5">
        <w:t>-</w:t>
      </w:r>
      <w:r>
        <w:t>family housing.</w:t>
      </w:r>
      <w:r w:rsidR="00513B8D">
        <w:t xml:space="preserve">  CAUSE-PA St. in Support, pp. 4-5.  </w:t>
      </w:r>
      <w:r>
        <w:t xml:space="preserve"> </w:t>
      </w:r>
    </w:p>
    <w:p w:rsidR="00290BC4" w:rsidRDefault="00290BC4" w:rsidP="00290BC4">
      <w:pPr>
        <w:spacing w:line="360" w:lineRule="auto"/>
        <w:ind w:firstLine="1440"/>
      </w:pPr>
    </w:p>
    <w:p w:rsidR="005A0D31" w:rsidRPr="009C6D70" w:rsidRDefault="00513B8D" w:rsidP="005A0D31">
      <w:pPr>
        <w:spacing w:line="360" w:lineRule="auto"/>
        <w:rPr>
          <w:u w:val="single"/>
        </w:rPr>
      </w:pPr>
      <w:r>
        <w:t>I</w:t>
      </w:r>
      <w:r w:rsidR="005A0D31" w:rsidRPr="009C6D70">
        <w:t>.</w:t>
      </w:r>
      <w:r w:rsidR="005A0D31" w:rsidRPr="009C6D70">
        <w:tab/>
      </w:r>
      <w:r w:rsidR="005A0D31" w:rsidRPr="009C6D70">
        <w:rPr>
          <w:u w:val="single"/>
        </w:rPr>
        <w:t>Recommendation</w:t>
      </w:r>
    </w:p>
    <w:p w:rsidR="005A0D31" w:rsidRPr="009C6D70" w:rsidRDefault="005A0D31" w:rsidP="005A0D31">
      <w:pPr>
        <w:spacing w:line="360" w:lineRule="auto"/>
      </w:pPr>
    </w:p>
    <w:p w:rsidR="005A0D31" w:rsidRPr="009C6D70" w:rsidRDefault="005A0D31" w:rsidP="005A0D31">
      <w:pPr>
        <w:tabs>
          <w:tab w:val="left" w:pos="0"/>
        </w:tabs>
        <w:spacing w:line="360" w:lineRule="auto"/>
      </w:pPr>
      <w:r w:rsidRPr="009C6D70">
        <w:tab/>
      </w:r>
      <w:r w:rsidRPr="009C6D70">
        <w:tab/>
        <w:t xml:space="preserve">The Joint Petitioners in this proceeding represent many interests.  </w:t>
      </w:r>
      <w:r w:rsidR="00513B8D">
        <w:t>B</w:t>
      </w:r>
      <w:r w:rsidR="00E2103D">
        <w:t xml:space="preserve">I&amp;E, </w:t>
      </w:r>
      <w:r w:rsidR="009E6258">
        <w:t xml:space="preserve">the </w:t>
      </w:r>
      <w:r w:rsidRPr="009C6D70">
        <w:t xml:space="preserve">OCA and </w:t>
      </w:r>
      <w:r w:rsidR="009E6258">
        <w:t xml:space="preserve">the </w:t>
      </w:r>
      <w:r w:rsidRPr="009C6D70">
        <w:t xml:space="preserve">OSBA represent the public interest, the interests of residential customers and the interests of small business customers, respectively.  In addition, the Joint Petitioners include </w:t>
      </w:r>
      <w:r w:rsidR="00585BAB">
        <w:t>C</w:t>
      </w:r>
      <w:r w:rsidR="00873ED3" w:rsidRPr="009C6D70">
        <w:t>II,</w:t>
      </w:r>
      <w:r w:rsidR="006552C0">
        <w:t xml:space="preserve"> CAUSE-PA, NGS</w:t>
      </w:r>
      <w:r w:rsidR="00513B8D">
        <w:t xml:space="preserve"> Parties</w:t>
      </w:r>
      <w:r w:rsidR="00614796">
        <w:t xml:space="preserve"> and PSU.  </w:t>
      </w:r>
      <w:r w:rsidRPr="009C6D70">
        <w:t xml:space="preserve">To reach a settlement of all issues with the aforementioned parties in such a base rate case is unusual.  It represents hours of negotiation and a great deal of cooperation.  The Settlement addresses, or takes off the table, every contested issue in this proceeding.  Because all of the diverse interests represented by the Joint Petitioners have been satisfied, the Settlement benefits </w:t>
      </w:r>
      <w:r w:rsidR="00E2103D">
        <w:t>Columbia’s</w:t>
      </w:r>
      <w:r w:rsidRPr="009C6D70">
        <w:t xml:space="preserve"> customers.  It saves the parties and the Commission the time and expense of fully litigating this matter.  The parties have avoided the need to prepare for and participate in</w:t>
      </w:r>
      <w:r w:rsidR="00AC14B3" w:rsidRPr="009C6D70">
        <w:t xml:space="preserve"> extensive, contentious </w:t>
      </w:r>
      <w:r w:rsidRPr="009C6D70">
        <w:t xml:space="preserve">hearings, prepare briefs, reply briefs, exceptions, replies to exceptions and possible appellate litigation.  </w:t>
      </w:r>
      <w:r w:rsidR="00E2103D">
        <w:t>Columbia’s</w:t>
      </w:r>
      <w:r w:rsidR="00AC14B3" w:rsidRPr="009C6D70">
        <w:t xml:space="preserve"> </w:t>
      </w:r>
      <w:r w:rsidRPr="009C6D70">
        <w:t>customers benefit from this cost savings.</w:t>
      </w:r>
    </w:p>
    <w:p w:rsidR="005A0D31" w:rsidRPr="009C6D70" w:rsidRDefault="005A0D31" w:rsidP="005A0D31">
      <w:pPr>
        <w:tabs>
          <w:tab w:val="left" w:pos="0"/>
        </w:tabs>
        <w:spacing w:line="360" w:lineRule="auto"/>
      </w:pPr>
    </w:p>
    <w:p w:rsidR="005A0D31" w:rsidRPr="009C6D70" w:rsidRDefault="005A0D31" w:rsidP="005A0D31">
      <w:pPr>
        <w:tabs>
          <w:tab w:val="left" w:pos="0"/>
        </w:tabs>
        <w:spacing w:line="360" w:lineRule="auto"/>
      </w:pPr>
      <w:r w:rsidRPr="009C6D70">
        <w:tab/>
      </w:r>
      <w:r w:rsidRPr="009C6D70">
        <w:tab/>
        <w:t>The Joint Petition for Settlement</w:t>
      </w:r>
      <w:r w:rsidR="00513B8D">
        <w:t xml:space="preserve"> </w:t>
      </w:r>
      <w:r w:rsidRPr="009C6D70">
        <w:t>was served on all non-signatory parties to this base rate case.  Objections to the proposed Settlement were to have been filed on or before 4:30</w:t>
      </w:r>
      <w:r w:rsidR="0039194F">
        <w:t> </w:t>
      </w:r>
      <w:r w:rsidRPr="009C6D70">
        <w:t xml:space="preserve">p.m. on </w:t>
      </w:r>
      <w:r w:rsidR="00513B8D">
        <w:t>September 23, 2014.</w:t>
      </w:r>
      <w:r w:rsidR="00AC14B3" w:rsidRPr="009C6D70">
        <w:t xml:space="preserve">  </w:t>
      </w:r>
      <w:r w:rsidRPr="009C6D70">
        <w:t>No objections were filed.</w:t>
      </w:r>
    </w:p>
    <w:p w:rsidR="005A0D31" w:rsidRPr="009C6D70" w:rsidRDefault="005A0D31" w:rsidP="005A0D31">
      <w:pPr>
        <w:spacing w:line="360" w:lineRule="auto"/>
      </w:pPr>
    </w:p>
    <w:p w:rsidR="005A0D31" w:rsidRDefault="005A0D31" w:rsidP="005A0D31">
      <w:pPr>
        <w:spacing w:line="360" w:lineRule="auto"/>
      </w:pPr>
      <w:r w:rsidRPr="009C6D70">
        <w:tab/>
      </w:r>
      <w:r w:rsidRPr="009C6D70">
        <w:tab/>
        <w:t>Upon due consideration of the terms and conditions of the Joint Petition for Settlement</w:t>
      </w:r>
      <w:r w:rsidR="00513B8D">
        <w:t xml:space="preserve">, </w:t>
      </w:r>
      <w:r w:rsidRPr="009C6D70">
        <w:t>including the statements of the Joint Petitioners, this Settlement constitutes a fair, just and reasonable resolution of the Commission’s investigation.  Therefore, the Joint Petition for Settlement is in the public interest and should be approved.</w:t>
      </w:r>
    </w:p>
    <w:p w:rsidR="000F7CE1" w:rsidRDefault="000F7CE1" w:rsidP="005A0D31">
      <w:pPr>
        <w:spacing w:line="360" w:lineRule="auto"/>
      </w:pPr>
    </w:p>
    <w:p w:rsidR="00BA1806" w:rsidRDefault="00BA1806" w:rsidP="005A0D31">
      <w:pPr>
        <w:spacing w:line="360" w:lineRule="auto"/>
      </w:pPr>
    </w:p>
    <w:p w:rsidR="00BA1806" w:rsidRDefault="00BA1806" w:rsidP="005A0D31">
      <w:pPr>
        <w:spacing w:line="360" w:lineRule="auto"/>
      </w:pPr>
    </w:p>
    <w:p w:rsidR="000F7CE1" w:rsidRPr="009C6D70" w:rsidRDefault="000F7CE1" w:rsidP="000F7CE1">
      <w:pPr>
        <w:spacing w:line="360" w:lineRule="auto"/>
        <w:jc w:val="center"/>
      </w:pPr>
      <w:r>
        <w:t>I</w:t>
      </w:r>
      <w:r w:rsidRPr="009C6D70">
        <w:t>V.</w:t>
      </w:r>
      <w:r w:rsidRPr="009C6D70">
        <w:tab/>
      </w:r>
      <w:r w:rsidRPr="009C6D70">
        <w:rPr>
          <w:u w:val="single"/>
        </w:rPr>
        <w:t>CONCLUSIONS OF LAW</w:t>
      </w:r>
    </w:p>
    <w:p w:rsidR="000F7CE1" w:rsidRPr="009C6D70" w:rsidRDefault="000F7CE1" w:rsidP="000F7CE1">
      <w:pPr>
        <w:spacing w:line="360" w:lineRule="auto"/>
      </w:pPr>
    </w:p>
    <w:p w:rsidR="000F7CE1" w:rsidRDefault="000F7CE1" w:rsidP="00291135">
      <w:pPr>
        <w:numPr>
          <w:ilvl w:val="0"/>
          <w:numId w:val="2"/>
        </w:numPr>
        <w:tabs>
          <w:tab w:val="clear" w:pos="720"/>
          <w:tab w:val="num" w:pos="0"/>
        </w:tabs>
        <w:spacing w:line="360" w:lineRule="auto"/>
        <w:ind w:left="0" w:firstLine="1440"/>
      </w:pPr>
      <w:r w:rsidRPr="009C6D70">
        <w:t xml:space="preserve">The Commission has jurisdiction over the subject matter and the parties to this proceeding.  </w:t>
      </w:r>
      <w:proofErr w:type="gramStart"/>
      <w:r w:rsidRPr="009C6D70">
        <w:t>66 Pa.C.S.</w:t>
      </w:r>
      <w:proofErr w:type="gramEnd"/>
      <w:r w:rsidRPr="009C6D70">
        <w:t xml:space="preserve"> §§</w:t>
      </w:r>
      <w:r w:rsidR="00183BB4">
        <w:t xml:space="preserve"> </w:t>
      </w:r>
      <w:r w:rsidRPr="009C6D70">
        <w:t xml:space="preserve">501, </w:t>
      </w:r>
      <w:r w:rsidRPr="009C6D70">
        <w:rPr>
          <w:i/>
        </w:rPr>
        <w:t>et seq</w:t>
      </w:r>
      <w:r w:rsidRPr="009C6D70">
        <w:t>.</w:t>
      </w:r>
    </w:p>
    <w:p w:rsidR="000F7CE1" w:rsidRDefault="000F7CE1" w:rsidP="000F7CE1">
      <w:pPr>
        <w:spacing w:line="360" w:lineRule="auto"/>
        <w:ind w:left="1440"/>
      </w:pPr>
    </w:p>
    <w:p w:rsidR="000F7CE1" w:rsidRDefault="000F7CE1" w:rsidP="00291135">
      <w:pPr>
        <w:numPr>
          <w:ilvl w:val="0"/>
          <w:numId w:val="2"/>
        </w:numPr>
        <w:tabs>
          <w:tab w:val="clear" w:pos="720"/>
          <w:tab w:val="num" w:pos="0"/>
        </w:tabs>
        <w:spacing w:line="360" w:lineRule="auto"/>
        <w:ind w:left="0" w:firstLine="1440"/>
      </w:pPr>
      <w:r w:rsidRPr="009C6D70">
        <w:t>The Commission has jurisdiction</w:t>
      </w:r>
      <w:r>
        <w:t xml:space="preserve"> to employ the concept of a Fully Projected Future Test Year (F</w:t>
      </w:r>
      <w:r w:rsidR="00037651">
        <w:t>P</w:t>
      </w:r>
      <w:r>
        <w:t xml:space="preserve">FTY) as authorized by Act 11 of 2012. </w:t>
      </w:r>
      <w:r w:rsidR="001C0C20">
        <w:t xml:space="preserve"> </w:t>
      </w:r>
      <w:r>
        <w:t>As amended under Act</w:t>
      </w:r>
      <w:r w:rsidR="00B740A9">
        <w:t> </w:t>
      </w:r>
      <w:r>
        <w:t xml:space="preserve">11, Section 315 of the Public Utility Code allows a utility to project investment, and correspondingly include it in the utility’s claimed revenue requirement, through the twelve month period beginning with the first month that the new rates will be placed in effect.  </w:t>
      </w:r>
      <w:proofErr w:type="gramStart"/>
      <w:r w:rsidRPr="009C6D70">
        <w:t>66</w:t>
      </w:r>
      <w:r w:rsidR="00B740A9">
        <w:t> </w:t>
      </w:r>
      <w:r w:rsidRPr="009C6D70">
        <w:t>Pa.C.S.</w:t>
      </w:r>
      <w:proofErr w:type="gramEnd"/>
      <w:r w:rsidRPr="009C6D70">
        <w:t xml:space="preserve"> §§</w:t>
      </w:r>
      <w:r w:rsidR="00183BB4">
        <w:t xml:space="preserve"> </w:t>
      </w:r>
      <w:r>
        <w:t>308</w:t>
      </w:r>
      <w:r w:rsidRPr="009C6D70">
        <w:t xml:space="preserve">, </w:t>
      </w:r>
      <w:r w:rsidRPr="00221817">
        <w:rPr>
          <w:i/>
        </w:rPr>
        <w:t>et</w:t>
      </w:r>
      <w:r w:rsidR="00183BB4">
        <w:rPr>
          <w:i/>
        </w:rPr>
        <w:t> </w:t>
      </w:r>
      <w:r w:rsidRPr="00221817">
        <w:rPr>
          <w:i/>
        </w:rPr>
        <w:t>seq</w:t>
      </w:r>
      <w:r w:rsidRPr="009C6D70">
        <w:t>.</w:t>
      </w:r>
      <w:r>
        <w:t xml:space="preserve">  </w:t>
      </w:r>
    </w:p>
    <w:p w:rsidR="000F7CE1" w:rsidRDefault="000F7CE1" w:rsidP="0074519B">
      <w:pPr>
        <w:pStyle w:val="ListParagraph"/>
        <w:spacing w:line="360" w:lineRule="auto"/>
      </w:pPr>
    </w:p>
    <w:p w:rsidR="000F7CE1" w:rsidRDefault="000F7CE1" w:rsidP="00291135">
      <w:pPr>
        <w:numPr>
          <w:ilvl w:val="0"/>
          <w:numId w:val="2"/>
        </w:numPr>
        <w:tabs>
          <w:tab w:val="clear" w:pos="720"/>
          <w:tab w:val="num" w:pos="0"/>
        </w:tabs>
        <w:spacing w:line="360" w:lineRule="auto"/>
        <w:ind w:left="0" w:firstLine="1440"/>
      </w:pPr>
      <w:r w:rsidRPr="009C6D70">
        <w:t xml:space="preserve">The Joint Petition for Settlement is in the public interest and is consistent with the requirements contained in </w:t>
      </w:r>
      <w:r w:rsidRPr="000F7CE1">
        <w:rPr>
          <w:i/>
        </w:rPr>
        <w:t>Lloyd v. Pa. P</w:t>
      </w:r>
      <w:r w:rsidR="00BA1806">
        <w:rPr>
          <w:i/>
        </w:rPr>
        <w:t>ub. Util. Comm’n</w:t>
      </w:r>
      <w:r w:rsidRPr="009C6D70">
        <w:t>, 904 A.2d 1010 (Pa.Cmwlth. 2006).</w:t>
      </w:r>
    </w:p>
    <w:p w:rsidR="003B02F6" w:rsidRDefault="003B02F6" w:rsidP="000F7CE1">
      <w:pPr>
        <w:spacing w:line="360" w:lineRule="auto"/>
      </w:pPr>
    </w:p>
    <w:p w:rsidR="000F7CE1" w:rsidRDefault="000F7CE1" w:rsidP="003B02F6">
      <w:pPr>
        <w:spacing w:line="360" w:lineRule="auto"/>
        <w:jc w:val="center"/>
        <w:rPr>
          <w:u w:val="single"/>
        </w:rPr>
      </w:pPr>
      <w:r w:rsidRPr="009C6D70">
        <w:t>V.</w:t>
      </w:r>
      <w:r w:rsidRPr="009C6D70">
        <w:tab/>
      </w:r>
      <w:r w:rsidRPr="009C6D70">
        <w:rPr>
          <w:u w:val="single"/>
        </w:rPr>
        <w:t>ORDER</w:t>
      </w:r>
    </w:p>
    <w:p w:rsidR="00BA1806" w:rsidRPr="009C6D70" w:rsidRDefault="00BA1806" w:rsidP="003B02F6">
      <w:pPr>
        <w:spacing w:line="360" w:lineRule="auto"/>
        <w:jc w:val="center"/>
      </w:pP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THEREFORE,</w:t>
      </w: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IT IS RECOMMENDED:</w:t>
      </w:r>
    </w:p>
    <w:p w:rsidR="000F7CE1" w:rsidRPr="009C6D70" w:rsidRDefault="000F7CE1" w:rsidP="000F7CE1">
      <w:pPr>
        <w:spacing w:line="360" w:lineRule="auto"/>
      </w:pPr>
    </w:p>
    <w:p w:rsidR="000F7CE1" w:rsidRPr="009C6D70" w:rsidRDefault="000F7CE1" w:rsidP="00291135">
      <w:pPr>
        <w:numPr>
          <w:ilvl w:val="0"/>
          <w:numId w:val="1"/>
        </w:numPr>
        <w:tabs>
          <w:tab w:val="clear" w:pos="720"/>
        </w:tabs>
        <w:spacing w:line="360" w:lineRule="auto"/>
        <w:ind w:left="0" w:firstLine="1440"/>
      </w:pPr>
      <w:r w:rsidRPr="009C6D70">
        <w:t xml:space="preserve">That the Joint Petition for Settlement that </w:t>
      </w:r>
      <w:r>
        <w:t>the Bureau of Investigation and Enforcement of the Pennsylvania Public Utility Commission, the Office of Consumer Advocate</w:t>
      </w:r>
      <w:proofErr w:type="gramStart"/>
      <w:r>
        <w:t>,  the</w:t>
      </w:r>
      <w:proofErr w:type="gramEnd"/>
      <w:r>
        <w:t xml:space="preserve"> Office of Small Business Advocate,  Columbia Industrial Intervenors, </w:t>
      </w:r>
      <w:r w:rsidR="00037651">
        <w:t>the NGS Parties</w:t>
      </w:r>
      <w:r>
        <w:t>, the Pennsylvania State University, the Coalition for Affordable Utility Services and Energy Efficiency in Pennsylvania, and Colu</w:t>
      </w:r>
      <w:r w:rsidR="00037651">
        <w:t xml:space="preserve">mbia Gas of Pennsylvania, Inc. </w:t>
      </w:r>
      <w:r w:rsidRPr="009C6D70">
        <w:t xml:space="preserve">have </w:t>
      </w:r>
      <w:r w:rsidR="00037651">
        <w:t xml:space="preserve">filed </w:t>
      </w:r>
      <w:r w:rsidRPr="009C6D70">
        <w:t>at Docket No. R</w:t>
      </w:r>
      <w:r w:rsidRPr="009C6D70">
        <w:noBreakHyphen/>
        <w:t>201</w:t>
      </w:r>
      <w:r w:rsidR="00037651">
        <w:t>4-2406274</w:t>
      </w:r>
      <w:r w:rsidRPr="009C6D70">
        <w:t xml:space="preserve">, including all terms and conditions stated therein, </w:t>
      </w:r>
      <w:r>
        <w:t>be</w:t>
      </w:r>
      <w:r w:rsidRPr="009C6D70">
        <w:t xml:space="preserve"> approved without modification.  </w:t>
      </w:r>
    </w:p>
    <w:p w:rsidR="000F7CE1" w:rsidRDefault="000F7CE1" w:rsidP="00291135">
      <w:pPr>
        <w:numPr>
          <w:ilvl w:val="0"/>
          <w:numId w:val="1"/>
        </w:numPr>
        <w:tabs>
          <w:tab w:val="clear" w:pos="720"/>
          <w:tab w:val="num" w:pos="0"/>
        </w:tabs>
        <w:spacing w:line="360" w:lineRule="auto"/>
        <w:ind w:left="0" w:firstLine="1440"/>
      </w:pPr>
      <w:r w:rsidRPr="009C6D70">
        <w:t xml:space="preserve">That </w:t>
      </w:r>
      <w:r>
        <w:t xml:space="preserve">Columbia Gas of Pennsylvania, Inc., shall be permitted to file a tariff supplement incorporating the terms of the </w:t>
      </w:r>
      <w:r w:rsidR="006F6923">
        <w:t xml:space="preserve">Joint Petition for </w:t>
      </w:r>
      <w:r>
        <w:t xml:space="preserve">Settlement and changes to rates, rules and regulations as set forth in </w:t>
      </w:r>
      <w:r w:rsidRPr="009C6D70">
        <w:t xml:space="preserve">Appendix </w:t>
      </w:r>
      <w:r>
        <w:t>C</w:t>
      </w:r>
      <w:r w:rsidRPr="009C6D70">
        <w:t xml:space="preserve"> </w:t>
      </w:r>
      <w:r>
        <w:t>of</w:t>
      </w:r>
      <w:r w:rsidRPr="009C6D70">
        <w:t xml:space="preserve"> the Joint Petition for Settlement, </w:t>
      </w:r>
      <w:r>
        <w:t>to become</w:t>
      </w:r>
      <w:r w:rsidRPr="009C6D70">
        <w:t xml:space="preserve"> effect</w:t>
      </w:r>
      <w:r>
        <w:t>ive</w:t>
      </w:r>
      <w:r w:rsidRPr="009C6D70">
        <w:t xml:space="preserve"> </w:t>
      </w:r>
      <w:r>
        <w:t xml:space="preserve">upon one day’s notice after entry of the Commission’s Order approving the </w:t>
      </w:r>
      <w:r w:rsidR="006F6923">
        <w:t xml:space="preserve">Joint Petition for </w:t>
      </w:r>
      <w:r>
        <w:t>Settlement, for service rendered on and</w:t>
      </w:r>
      <w:r w:rsidRPr="009C6D70">
        <w:t xml:space="preserve"> after </w:t>
      </w:r>
      <w:r w:rsidR="00037651">
        <w:t>December 20, 2014</w:t>
      </w:r>
      <w:r>
        <w:t xml:space="preserve">, which tariff supplement increases Columbia Gas of Pennsylvania, Inc.’s rates so as to produce an annual increase in </w:t>
      </w:r>
      <w:r w:rsidR="00037651" w:rsidRPr="00F53F4F">
        <w:t xml:space="preserve">base rate operating revenues </w:t>
      </w:r>
      <w:r>
        <w:t>of not more than $</w:t>
      </w:r>
      <w:r w:rsidR="00037651">
        <w:t>32,500,000.</w:t>
      </w:r>
      <w:r>
        <w:t xml:space="preserve"> </w:t>
      </w:r>
      <w:r w:rsidR="00037651">
        <w:t xml:space="preserve"> </w:t>
      </w:r>
    </w:p>
    <w:p w:rsidR="000F7CE1" w:rsidRDefault="000F7CE1" w:rsidP="00300E1B">
      <w:pPr>
        <w:pStyle w:val="ListParagraph"/>
        <w:spacing w:line="360" w:lineRule="auto"/>
      </w:pPr>
    </w:p>
    <w:p w:rsidR="000F7CE1" w:rsidRPr="009C6D70" w:rsidRDefault="000F7CE1" w:rsidP="00B7275D">
      <w:pPr>
        <w:pStyle w:val="ListNumber"/>
        <w:numPr>
          <w:ilvl w:val="0"/>
          <w:numId w:val="1"/>
        </w:numPr>
        <w:tabs>
          <w:tab w:val="clear" w:pos="720"/>
          <w:tab w:val="num" w:pos="0"/>
        </w:tabs>
        <w:spacing w:line="360" w:lineRule="auto"/>
        <w:ind w:left="0" w:firstLine="1440"/>
      </w:pPr>
      <w:r w:rsidRPr="009C6D70">
        <w:t>That the following complaints consolidated with the Commission’s investigation at Docket No. R-201</w:t>
      </w:r>
      <w:r w:rsidR="00B63C3C">
        <w:t xml:space="preserve">4-2406274 </w:t>
      </w:r>
      <w:r>
        <w:t>be</w:t>
      </w:r>
      <w:r w:rsidR="006F6923">
        <w:t xml:space="preserve"> granted and denied consistent with tariff supplement incorporating the terms of the Joint Petition for Settlement and changes to rates, rules and regulations as set forth in </w:t>
      </w:r>
      <w:r w:rsidR="006F6923" w:rsidRPr="009C6D70">
        <w:t xml:space="preserve">Appendix </w:t>
      </w:r>
      <w:r w:rsidR="006F6923">
        <w:t>C</w:t>
      </w:r>
      <w:r w:rsidR="006F6923" w:rsidRPr="009C6D70">
        <w:t xml:space="preserve"> </w:t>
      </w:r>
      <w:r w:rsidR="006F6923">
        <w:t>of</w:t>
      </w:r>
      <w:r w:rsidR="006F6923" w:rsidRPr="009C6D70">
        <w:t xml:space="preserve"> the Joint Petition for Settlement</w:t>
      </w:r>
      <w:r w:rsidRPr="009C6D70">
        <w:t>: the Office of Small Business Advocate,</w:t>
      </w:r>
      <w:r w:rsidR="006F6923">
        <w:t xml:space="preserve"> C-2014-2417238</w:t>
      </w:r>
      <w:r>
        <w:t xml:space="preserve">; the </w:t>
      </w:r>
      <w:r w:rsidRPr="009C6D70">
        <w:t xml:space="preserve">Office of Consumer Advocate, </w:t>
      </w:r>
      <w:r w:rsidR="006F6923">
        <w:t>C</w:t>
      </w:r>
      <w:r w:rsidR="006F6923">
        <w:noBreakHyphen/>
        <w:t>2014-2413419</w:t>
      </w:r>
      <w:r>
        <w:t xml:space="preserve">; </w:t>
      </w:r>
      <w:r w:rsidR="006F6923">
        <w:t>Columbia Industrial Intervenors, C-2014-2418801; Ronald Vanetta, C</w:t>
      </w:r>
      <w:r w:rsidR="006F6923">
        <w:noBreakHyphen/>
        <w:t>2014-2416868, John S. Smith</w:t>
      </w:r>
      <w:r w:rsidR="008102E2">
        <w:t xml:space="preserve">, </w:t>
      </w:r>
      <w:r w:rsidR="006F6923">
        <w:t>C</w:t>
      </w:r>
      <w:r w:rsidR="006F6923">
        <w:noBreakHyphen/>
        <w:t>2014-2416873, Peter Kaczmarek</w:t>
      </w:r>
      <w:r w:rsidR="008102E2">
        <w:t xml:space="preserve">, </w:t>
      </w:r>
      <w:r w:rsidR="006F6923">
        <w:t>C-2014-2422692, James G. Reedy</w:t>
      </w:r>
      <w:r w:rsidR="008102E2">
        <w:t xml:space="preserve">, </w:t>
      </w:r>
      <w:r w:rsidR="006F6923">
        <w:t>C-2014-2422693, and G. Thomas Smeltzer</w:t>
      </w:r>
      <w:r w:rsidR="008102E2">
        <w:t xml:space="preserve">, </w:t>
      </w:r>
      <w:r w:rsidR="006F6923">
        <w:t>C-2014-2429053.</w:t>
      </w:r>
    </w:p>
    <w:p w:rsidR="000F7CE1" w:rsidRPr="009C6D70" w:rsidRDefault="000F7CE1" w:rsidP="000F7CE1">
      <w:pPr>
        <w:spacing w:line="360" w:lineRule="auto"/>
      </w:pPr>
    </w:p>
    <w:p w:rsidR="000F7CE1" w:rsidRPr="009C6D70" w:rsidRDefault="000F7CE1" w:rsidP="000F47A8">
      <w:pPr>
        <w:pStyle w:val="ListNumber"/>
        <w:numPr>
          <w:ilvl w:val="0"/>
          <w:numId w:val="1"/>
        </w:numPr>
        <w:tabs>
          <w:tab w:val="clear" w:pos="720"/>
          <w:tab w:val="num" w:pos="0"/>
        </w:tabs>
        <w:spacing w:line="360" w:lineRule="auto"/>
        <w:ind w:left="0" w:firstLine="1440"/>
      </w:pPr>
      <w:r w:rsidRPr="009C6D70">
        <w:t>That the Commission’s investigation at Docket No. R-201</w:t>
      </w:r>
      <w:r w:rsidR="00B63C3C">
        <w:t>4-2406274 and the formal complaints at Docket Nos.</w:t>
      </w:r>
      <w:r w:rsidR="008102E2">
        <w:t xml:space="preserve"> C-2014-2417238, C</w:t>
      </w:r>
      <w:r w:rsidR="008102E2">
        <w:noBreakHyphen/>
        <w:t>2014-2413419, C-2014-2418801, C</w:t>
      </w:r>
      <w:r w:rsidR="008102E2">
        <w:noBreakHyphen/>
        <w:t>2014-2416868, C</w:t>
      </w:r>
      <w:r w:rsidR="008102E2">
        <w:noBreakHyphen/>
        <w:t xml:space="preserve">2014-2416873, C-2014-2422692, C-2014-2422693, and C-2014-2429053, </w:t>
      </w:r>
      <w:r>
        <w:t>be</w:t>
      </w:r>
      <w:r w:rsidRPr="009C6D70">
        <w:t xml:space="preserve"> marked closed.</w:t>
      </w:r>
    </w:p>
    <w:p w:rsidR="007210F1" w:rsidRDefault="007210F1" w:rsidP="003B02F6">
      <w:pPr>
        <w:spacing w:line="360" w:lineRule="auto"/>
        <w:ind w:left="1440"/>
      </w:pPr>
    </w:p>
    <w:p w:rsidR="00B7275D" w:rsidRDefault="00B7275D" w:rsidP="003B02F6">
      <w:pPr>
        <w:spacing w:line="360" w:lineRule="auto"/>
        <w:ind w:left="1440"/>
      </w:pPr>
    </w:p>
    <w:p w:rsidR="00B7275D" w:rsidRDefault="00B7275D" w:rsidP="003B02F6">
      <w:pPr>
        <w:spacing w:line="360" w:lineRule="auto"/>
        <w:ind w:left="1440"/>
      </w:pPr>
    </w:p>
    <w:p w:rsidR="00183641" w:rsidRDefault="00595E5F" w:rsidP="00183641">
      <w:r w:rsidRPr="009C6D70">
        <w:t xml:space="preserve">Date:  </w:t>
      </w:r>
      <w:r w:rsidR="00B63C3C">
        <w:rPr>
          <w:u w:val="single"/>
        </w:rPr>
        <w:t>October 8, 2014</w:t>
      </w:r>
      <w:r w:rsidRPr="009C6D70">
        <w:tab/>
      </w:r>
      <w:r w:rsidRPr="009C6D70">
        <w:tab/>
      </w:r>
      <w:r w:rsidRPr="009C6D70">
        <w:tab/>
      </w:r>
      <w:r w:rsidR="003B02F6">
        <w:tab/>
      </w:r>
      <w:r w:rsidR="00183641">
        <w:tab/>
      </w:r>
      <w:r w:rsidR="00183641">
        <w:rPr>
          <w:u w:val="single"/>
        </w:rPr>
        <w:tab/>
      </w:r>
      <w:r w:rsidR="00183641">
        <w:rPr>
          <w:u w:val="single"/>
        </w:rPr>
        <w:tab/>
        <w:t>/s/</w:t>
      </w:r>
      <w:r w:rsidR="00183641">
        <w:rPr>
          <w:u w:val="single"/>
        </w:rPr>
        <w:tab/>
      </w:r>
      <w:r w:rsidR="00183641">
        <w:rPr>
          <w:u w:val="single"/>
        </w:rPr>
        <w:tab/>
      </w:r>
      <w:r w:rsidR="00183641">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Mark A. Hoyer</w:t>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Administrative Law Judge</w:t>
      </w:r>
    </w:p>
    <w:p w:rsidR="00595E5F" w:rsidRDefault="00595E5F" w:rsidP="00595E5F"/>
    <w:sectPr w:rsidR="00595E5F" w:rsidSect="009F7EA4">
      <w:pgSz w:w="12240" w:h="15840" w:code="1"/>
      <w:pgMar w:top="1440" w:right="1440" w:bottom="1440" w:left="1440" w:header="1440" w:footer="144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09" w:rsidRDefault="00674509">
      <w:r>
        <w:separator/>
      </w:r>
    </w:p>
  </w:endnote>
  <w:endnote w:type="continuationSeparator" w:id="0">
    <w:p w:rsidR="00674509" w:rsidRDefault="0067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E6" w:rsidRDefault="007D58E6" w:rsidP="00B1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8E6" w:rsidRDefault="007D5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066097"/>
      <w:docPartObj>
        <w:docPartGallery w:val="Page Numbers (Bottom of Page)"/>
        <w:docPartUnique/>
      </w:docPartObj>
    </w:sdtPr>
    <w:sdtEndPr>
      <w:rPr>
        <w:noProof/>
        <w:sz w:val="20"/>
        <w:szCs w:val="20"/>
      </w:rPr>
    </w:sdtEndPr>
    <w:sdtContent>
      <w:p w:rsidR="004917AB" w:rsidRPr="00E25CC2" w:rsidRDefault="004917AB">
        <w:pPr>
          <w:pStyle w:val="Footer"/>
          <w:jc w:val="center"/>
          <w:rPr>
            <w:sz w:val="20"/>
            <w:szCs w:val="20"/>
          </w:rPr>
        </w:pPr>
        <w:r w:rsidRPr="00E25CC2">
          <w:rPr>
            <w:sz w:val="20"/>
            <w:szCs w:val="20"/>
          </w:rPr>
          <w:fldChar w:fldCharType="begin"/>
        </w:r>
        <w:r w:rsidRPr="00E25CC2">
          <w:rPr>
            <w:sz w:val="20"/>
            <w:szCs w:val="20"/>
          </w:rPr>
          <w:instrText xml:space="preserve"> PAGE   \* MERGEFORMAT </w:instrText>
        </w:r>
        <w:r w:rsidRPr="00E25CC2">
          <w:rPr>
            <w:sz w:val="20"/>
            <w:szCs w:val="20"/>
          </w:rPr>
          <w:fldChar w:fldCharType="separate"/>
        </w:r>
        <w:r w:rsidR="00FB7DE5">
          <w:rPr>
            <w:noProof/>
            <w:sz w:val="20"/>
            <w:szCs w:val="20"/>
          </w:rPr>
          <w:t>54</w:t>
        </w:r>
        <w:r w:rsidRPr="00E25CC2">
          <w:rPr>
            <w:noProof/>
            <w:sz w:val="20"/>
            <w:szCs w:val="20"/>
          </w:rPr>
          <w:fldChar w:fldCharType="end"/>
        </w:r>
      </w:p>
    </w:sdtContent>
  </w:sdt>
  <w:p w:rsidR="002C4CE4" w:rsidRDefault="002C4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E6" w:rsidRDefault="007D58E6" w:rsidP="00717DF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E4" w:rsidRDefault="002C4CE4">
    <w:pPr>
      <w:pStyle w:val="Footer"/>
      <w:jc w:val="center"/>
    </w:pPr>
  </w:p>
  <w:p w:rsidR="007D58E6" w:rsidRPr="00F2188C" w:rsidRDefault="007D58E6" w:rsidP="00717DF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09" w:rsidRDefault="00674509">
      <w:r>
        <w:separator/>
      </w:r>
    </w:p>
  </w:footnote>
  <w:footnote w:type="continuationSeparator" w:id="0">
    <w:p w:rsidR="00674509" w:rsidRDefault="00674509">
      <w:r>
        <w:continuationSeparator/>
      </w:r>
    </w:p>
  </w:footnote>
  <w:footnote w:id="1">
    <w:p w:rsidR="007D58E6" w:rsidRDefault="007D58E6" w:rsidP="00720762">
      <w:pPr>
        <w:pStyle w:val="FootnoteText"/>
      </w:pPr>
      <w:r>
        <w:tab/>
      </w:r>
      <w:r>
        <w:rPr>
          <w:rStyle w:val="FootnoteReference"/>
        </w:rPr>
        <w:footnoteRef/>
      </w:r>
      <w:r>
        <w:tab/>
      </w:r>
      <w:r w:rsidRPr="004051A3">
        <w:t xml:space="preserve">Members of the CII include the following: </w:t>
      </w:r>
      <w:r>
        <w:t xml:space="preserve"> </w:t>
      </w:r>
      <w:r w:rsidRPr="004051A3">
        <w:t>Glen-</w:t>
      </w:r>
      <w:proofErr w:type="spellStart"/>
      <w:r w:rsidRPr="004051A3">
        <w:t>Gery</w:t>
      </w:r>
      <w:proofErr w:type="spellEnd"/>
      <w:r w:rsidRPr="004051A3">
        <w:t xml:space="preserve"> Corporation</w:t>
      </w:r>
      <w:r>
        <w:t xml:space="preserve">, </w:t>
      </w:r>
      <w:proofErr w:type="spellStart"/>
      <w:r w:rsidRPr="004051A3">
        <w:t>Knouse</w:t>
      </w:r>
      <w:proofErr w:type="spellEnd"/>
      <w:r w:rsidRPr="004051A3">
        <w:t xml:space="preserve"> Foods Cooperative, Inc.</w:t>
      </w:r>
      <w:r>
        <w:t>, Harley Davidson Motor Company, Inc. and World Kitchen, LLC.</w:t>
      </w:r>
    </w:p>
  </w:footnote>
  <w:footnote w:id="2">
    <w:p w:rsidR="007D58E6" w:rsidRDefault="007D58E6" w:rsidP="006163AA">
      <w:pPr>
        <w:pStyle w:val="FootnoteText"/>
      </w:pPr>
      <w:r>
        <w:tab/>
      </w:r>
      <w:r>
        <w:rPr>
          <w:rStyle w:val="FootnoteReference"/>
        </w:rPr>
        <w:footnoteRef/>
      </w:r>
      <w:r>
        <w:tab/>
        <w:t>The signatory parties to the Joint Petition are as follows:  Columbia, BI&amp;E, OCA, OSBA, CII, NGS Parties, PSU, and CAUSE-PA.  Hereafter, these parties may be collectively referred to as the “Joint Petitioners.”</w:t>
      </w:r>
    </w:p>
    <w:p w:rsidR="007D58E6" w:rsidRDefault="007D58E6" w:rsidP="006163AA">
      <w:pPr>
        <w:pStyle w:val="FootnoteText"/>
      </w:pPr>
      <w:r>
        <w:t xml:space="preserve">    </w:t>
      </w:r>
    </w:p>
  </w:footnote>
  <w:footnote w:id="3">
    <w:p w:rsidR="007D58E6" w:rsidRDefault="007D58E6" w:rsidP="006163AA">
      <w:pPr>
        <w:pStyle w:val="FootnoteText"/>
      </w:pPr>
      <w:r>
        <w:tab/>
      </w:r>
      <w:r>
        <w:rPr>
          <w:rStyle w:val="FootnoteReference"/>
        </w:rPr>
        <w:footnoteRef/>
      </w:r>
      <w:r>
        <w:tab/>
        <w:t>The Joint Petition, including the appendices, is not attached to this Recommended Decision.</w:t>
      </w:r>
    </w:p>
    <w:p w:rsidR="007D58E6" w:rsidRDefault="007D58E6" w:rsidP="006163AA">
      <w:pPr>
        <w:pStyle w:val="FootnoteText"/>
      </w:pPr>
    </w:p>
  </w:footnote>
  <w:footnote w:id="4">
    <w:p w:rsidR="007D58E6" w:rsidRPr="000C4FD8" w:rsidRDefault="007D58E6" w:rsidP="000C4FD8">
      <w:pPr>
        <w:pStyle w:val="FootnoteText"/>
      </w:pPr>
      <w:r>
        <w:rPr>
          <w:rFonts w:ascii="Georgia" w:hAnsi="Georgia"/>
        </w:rPr>
        <w:tab/>
      </w:r>
      <w:r w:rsidRPr="00195CC8">
        <w:rPr>
          <w:rStyle w:val="FootnoteReference"/>
        </w:rPr>
        <w:footnoteRef/>
      </w:r>
      <w:r>
        <w:rPr>
          <w:rFonts w:ascii="Georgia" w:hAnsi="Georgia"/>
        </w:rPr>
        <w:tab/>
      </w:r>
      <w:r w:rsidRPr="000C4FD8">
        <w:t xml:space="preserve">In addition to the $32.5 million increase in base rate revenues, the Settlement also provides for an increase of $250,000 in Low Income Usage Reduction Program (“LIURP”) spending, which will be recovered through the Company’s Universal Service Program (“USP”) Rider. </w:t>
      </w:r>
    </w:p>
  </w:footnote>
  <w:footnote w:id="5">
    <w:p w:rsidR="007D58E6" w:rsidRPr="007C1C36" w:rsidRDefault="007D58E6" w:rsidP="00BD2038">
      <w:pPr>
        <w:pStyle w:val="FootnoteText"/>
      </w:pPr>
      <w:r>
        <w:tab/>
      </w:r>
      <w:r w:rsidRPr="007C1C36">
        <w:rPr>
          <w:rStyle w:val="FootnoteReference"/>
        </w:rPr>
        <w:footnoteRef/>
      </w:r>
      <w:r>
        <w:tab/>
      </w:r>
      <w:r w:rsidRPr="007C1C36">
        <w:t xml:space="preserve">The Order has been appealed by the OCA. </w:t>
      </w:r>
    </w:p>
  </w:footnote>
  <w:footnote w:id="6">
    <w:p w:rsidR="007D58E6" w:rsidRPr="00C5492F" w:rsidRDefault="007D58E6" w:rsidP="00C5492F">
      <w:pPr>
        <w:pStyle w:val="FootnoteText"/>
        <w:jc w:val="both"/>
      </w:pPr>
      <w:r>
        <w:tab/>
      </w:r>
      <w:r w:rsidRPr="00C5492F">
        <w:rPr>
          <w:rStyle w:val="FootnoteReference"/>
        </w:rPr>
        <w:footnoteRef/>
      </w:r>
      <w:r>
        <w:tab/>
      </w:r>
      <w:proofErr w:type="spellStart"/>
      <w:r w:rsidRPr="00C5492F">
        <w:t>NiFiT</w:t>
      </w:r>
      <w:proofErr w:type="spellEnd"/>
      <w:r w:rsidRPr="00C5492F">
        <w:t xml:space="preserve"> is a project designed to upgrade financial processes and information systems across all of the NiSource companies, including Columbia.</w:t>
      </w:r>
    </w:p>
  </w:footnote>
  <w:footnote w:id="7">
    <w:p w:rsidR="007D58E6" w:rsidRPr="00E46346" w:rsidRDefault="007D58E6" w:rsidP="00880F9D">
      <w:pPr>
        <w:pStyle w:val="FootnoteText"/>
      </w:pPr>
      <w:r>
        <w:tab/>
      </w:r>
      <w:r w:rsidRPr="00E46346">
        <w:rPr>
          <w:rStyle w:val="FootnoteReference"/>
        </w:rPr>
        <w:footnoteRef/>
      </w:r>
      <w:r>
        <w:tab/>
      </w:r>
      <w:r w:rsidRPr="00E46346">
        <w:t>Columbia Statement No. 3, p. 21.</w:t>
      </w:r>
    </w:p>
    <w:p w:rsidR="007D58E6" w:rsidRPr="00880F9D" w:rsidRDefault="007D58E6" w:rsidP="00880F9D">
      <w:pPr>
        <w:pStyle w:val="FootnoteText"/>
      </w:pPr>
    </w:p>
  </w:footnote>
  <w:footnote w:id="8">
    <w:p w:rsidR="007D58E6" w:rsidRPr="00880F9D" w:rsidRDefault="007D58E6" w:rsidP="00880F9D">
      <w:pPr>
        <w:pStyle w:val="FootnoteText"/>
      </w:pPr>
      <w:r>
        <w:tab/>
      </w:r>
      <w:r w:rsidRPr="00880F9D">
        <w:rPr>
          <w:rStyle w:val="FootnoteReference"/>
        </w:rPr>
        <w:footnoteRef/>
      </w:r>
      <w:r>
        <w:tab/>
      </w:r>
      <w:r w:rsidRPr="00880F9D">
        <w:t>Columbia Statement No. 3, p. 21.</w:t>
      </w:r>
    </w:p>
  </w:footnote>
  <w:footnote w:id="9">
    <w:p w:rsidR="007D58E6" w:rsidRPr="009F64C6" w:rsidRDefault="007D58E6" w:rsidP="00830A0A">
      <w:pPr>
        <w:pStyle w:val="FootnoteText"/>
      </w:pPr>
      <w:r>
        <w:rPr>
          <w:i/>
        </w:rPr>
        <w:tab/>
      </w:r>
      <w:r w:rsidRPr="009F64C6">
        <w:rPr>
          <w:rStyle w:val="FootnoteReference"/>
        </w:rPr>
        <w:footnoteRef/>
      </w:r>
      <w:r>
        <w:rPr>
          <w:i/>
        </w:rPr>
        <w:tab/>
      </w:r>
      <w:r w:rsidRPr="009F64C6">
        <w:rPr>
          <w:i/>
        </w:rPr>
        <w:t>Pa. P</w:t>
      </w:r>
      <w:r>
        <w:rPr>
          <w:i/>
        </w:rPr>
        <w:t>ub. Util. Comm’n</w:t>
      </w:r>
      <w:r w:rsidRPr="009F64C6">
        <w:rPr>
          <w:i/>
        </w:rPr>
        <w:t xml:space="preserve"> v. Peoples TWP LLC</w:t>
      </w:r>
      <w:r w:rsidRPr="009F64C6">
        <w:t>, Docket No. R-2013-2355886, p. 28 (Order entered December 19, 2013).</w:t>
      </w:r>
    </w:p>
    <w:p w:rsidR="007D58E6" w:rsidRPr="009F64C6" w:rsidRDefault="007D58E6" w:rsidP="00830A0A">
      <w:pPr>
        <w:pStyle w:val="FootnoteText"/>
      </w:pPr>
    </w:p>
  </w:footnote>
  <w:footnote w:id="10">
    <w:p w:rsidR="007D58E6" w:rsidRDefault="007D58E6" w:rsidP="00830A0A">
      <w:pPr>
        <w:pStyle w:val="FootnoteText"/>
      </w:pPr>
      <w:r>
        <w:tab/>
      </w:r>
      <w:r w:rsidRPr="009F64C6">
        <w:rPr>
          <w:rStyle w:val="FootnoteReference"/>
        </w:rPr>
        <w:footnoteRef/>
      </w:r>
      <w:r w:rsidRPr="009F64C6">
        <w:t xml:space="preserve"> </w:t>
      </w:r>
      <w:r w:rsidRPr="009F64C6">
        <w:tab/>
      </w:r>
      <w:r w:rsidRPr="009F64C6">
        <w:rPr>
          <w:i/>
        </w:rPr>
        <w:t>Pa. P</w:t>
      </w:r>
      <w:r>
        <w:rPr>
          <w:i/>
        </w:rPr>
        <w:t xml:space="preserve">ub. </w:t>
      </w:r>
      <w:proofErr w:type="gramStart"/>
      <w:r>
        <w:rPr>
          <w:i/>
        </w:rPr>
        <w:t>Util. Comm’n</w:t>
      </w:r>
      <w:r w:rsidRPr="009F64C6">
        <w:rPr>
          <w:i/>
        </w:rPr>
        <w:t xml:space="preserve"> v. CS Water and Sewer Associates</w:t>
      </w:r>
      <w:r w:rsidRPr="009F64C6">
        <w:t>, 74 Pa. PUC 767, 771 (1991).</w:t>
      </w:r>
      <w:proofErr w:type="gramEnd"/>
    </w:p>
    <w:p w:rsidR="007D58E6" w:rsidRPr="009F64C6" w:rsidRDefault="007D58E6" w:rsidP="00830A0A">
      <w:pPr>
        <w:pStyle w:val="FootnoteText"/>
      </w:pPr>
    </w:p>
  </w:footnote>
  <w:footnote w:id="11">
    <w:p w:rsidR="007D58E6" w:rsidRPr="009F64C6" w:rsidRDefault="007D58E6" w:rsidP="003855D3">
      <w:pPr>
        <w:pStyle w:val="FootnoteText"/>
        <w:jc w:val="both"/>
      </w:pPr>
      <w:r>
        <w:tab/>
      </w:r>
      <w:r w:rsidRPr="009F64C6">
        <w:rPr>
          <w:rStyle w:val="FootnoteReference"/>
        </w:rPr>
        <w:footnoteRef/>
      </w:r>
      <w:r w:rsidRPr="009F64C6">
        <w:t xml:space="preserve"> </w:t>
      </w:r>
      <w:r w:rsidRPr="009F64C6">
        <w:tab/>
      </w:r>
      <w:proofErr w:type="gramStart"/>
      <w:r w:rsidRPr="009F64C6">
        <w:t>66 Pa.C.S.</w:t>
      </w:r>
      <w:proofErr w:type="gramEnd"/>
      <w:r w:rsidRPr="009F64C6">
        <w:t xml:space="preserve"> §§ 308, 315, 1307, 1350-1360.</w:t>
      </w:r>
    </w:p>
  </w:footnote>
  <w:footnote w:id="12">
    <w:p w:rsidR="007D58E6" w:rsidRDefault="007D58E6" w:rsidP="003855D3">
      <w:pPr>
        <w:pStyle w:val="FootnoteText"/>
      </w:pPr>
      <w:r>
        <w:tab/>
      </w:r>
      <w:r w:rsidRPr="009F64C6">
        <w:rPr>
          <w:rStyle w:val="FootnoteReference"/>
        </w:rPr>
        <w:footnoteRef/>
      </w:r>
      <w:r>
        <w:t xml:space="preserve"> </w:t>
      </w:r>
      <w:r>
        <w:tab/>
        <w:t>B</w:t>
      </w:r>
      <w:r w:rsidRPr="009F64C6">
        <w:t>I&amp;E Statement No. 3, p. 10.</w:t>
      </w:r>
    </w:p>
    <w:p w:rsidR="007D58E6" w:rsidRPr="009F64C6" w:rsidRDefault="007D58E6" w:rsidP="003855D3">
      <w:pPr>
        <w:pStyle w:val="FootnoteText"/>
      </w:pPr>
    </w:p>
  </w:footnote>
  <w:footnote w:id="13">
    <w:p w:rsidR="007D58E6" w:rsidRPr="009F64C6" w:rsidRDefault="007D58E6" w:rsidP="002971C2">
      <w:pPr>
        <w:pStyle w:val="FootnoteText"/>
        <w:jc w:val="both"/>
      </w:pPr>
      <w:r>
        <w:tab/>
      </w:r>
      <w:r w:rsidRPr="009F64C6">
        <w:rPr>
          <w:rStyle w:val="FootnoteReference"/>
        </w:rPr>
        <w:footnoteRef/>
      </w:r>
      <w:r>
        <w:tab/>
        <w:t>B</w:t>
      </w:r>
      <w:r w:rsidRPr="009F64C6">
        <w:t>I&amp;E Statement No. 3, p. 7.</w:t>
      </w:r>
    </w:p>
  </w:footnote>
  <w:footnote w:id="14">
    <w:p w:rsidR="007D58E6" w:rsidRPr="009F64C6" w:rsidRDefault="007D58E6" w:rsidP="002971C2">
      <w:pPr>
        <w:pStyle w:val="FootnoteText"/>
        <w:jc w:val="both"/>
      </w:pPr>
      <w:r>
        <w:tab/>
      </w:r>
      <w:r w:rsidRPr="009F64C6">
        <w:rPr>
          <w:rStyle w:val="FootnoteReference"/>
        </w:rPr>
        <w:footnoteRef/>
      </w:r>
      <w:r>
        <w:tab/>
        <w:t>B</w:t>
      </w:r>
      <w:r w:rsidRPr="009F64C6">
        <w:t>I&amp;E Statement No. 3, pp. 19-20.</w:t>
      </w:r>
    </w:p>
  </w:footnote>
  <w:footnote w:id="15">
    <w:p w:rsidR="007D58E6" w:rsidRPr="009F64C6" w:rsidRDefault="007D58E6" w:rsidP="00A236B7">
      <w:pPr>
        <w:pStyle w:val="FootnoteText"/>
        <w:jc w:val="both"/>
      </w:pPr>
      <w:r>
        <w:tab/>
      </w:r>
      <w:r w:rsidRPr="009F64C6">
        <w:rPr>
          <w:rStyle w:val="FootnoteReference"/>
        </w:rPr>
        <w:footnoteRef/>
      </w:r>
      <w:r>
        <w:tab/>
        <w:t>B</w:t>
      </w:r>
      <w:r w:rsidRPr="009F64C6">
        <w:t>I&amp;E St</w:t>
      </w:r>
      <w:r>
        <w:t>atement</w:t>
      </w:r>
      <w:r w:rsidRPr="009F64C6">
        <w:t xml:space="preserve"> No. 1, pp. 12-14.</w:t>
      </w:r>
    </w:p>
  </w:footnote>
  <w:footnote w:id="16">
    <w:p w:rsidR="007D58E6" w:rsidRDefault="007D58E6" w:rsidP="002D765E">
      <w:pPr>
        <w:pStyle w:val="FootnoteText"/>
        <w:jc w:val="both"/>
      </w:pPr>
      <w:r>
        <w:tab/>
      </w:r>
      <w:r w:rsidRPr="009F64C6">
        <w:rPr>
          <w:rStyle w:val="FootnoteReference"/>
        </w:rPr>
        <w:footnoteRef/>
      </w:r>
      <w:r w:rsidRPr="009F64C6">
        <w:t xml:space="preserve"> </w:t>
      </w:r>
      <w:r w:rsidRPr="009F64C6">
        <w:tab/>
      </w:r>
      <w:r>
        <w:t>B</w:t>
      </w:r>
      <w:r w:rsidRPr="009F64C6">
        <w:t>I&amp;E Statement No. 3, p. 50.</w:t>
      </w:r>
    </w:p>
    <w:p w:rsidR="007D58E6" w:rsidRPr="009F64C6" w:rsidRDefault="007D58E6" w:rsidP="002D765E">
      <w:pPr>
        <w:pStyle w:val="FootnoteText"/>
        <w:jc w:val="both"/>
      </w:pPr>
    </w:p>
  </w:footnote>
  <w:footnote w:id="17">
    <w:p w:rsidR="007D58E6" w:rsidRPr="009F64C6" w:rsidRDefault="007D58E6" w:rsidP="002D765E">
      <w:pPr>
        <w:pStyle w:val="FootnoteText"/>
      </w:pPr>
      <w:r>
        <w:tab/>
      </w:r>
      <w:r w:rsidRPr="009F64C6">
        <w:rPr>
          <w:rStyle w:val="FootnoteReference"/>
        </w:rPr>
        <w:footnoteRef/>
      </w:r>
      <w:r w:rsidRPr="009F64C6">
        <w:t xml:space="preserve"> </w:t>
      </w:r>
      <w:r w:rsidRPr="009F64C6">
        <w:tab/>
      </w:r>
      <w:proofErr w:type="gramStart"/>
      <w:r>
        <w:t>B</w:t>
      </w:r>
      <w:r w:rsidRPr="009F64C6">
        <w:t>I&amp;E Statement No. 3, pp. 46, 50.</w:t>
      </w:r>
      <w:proofErr w:type="gramEnd"/>
    </w:p>
  </w:footnote>
  <w:footnote w:id="18">
    <w:p w:rsidR="007D58E6" w:rsidRDefault="007D58E6" w:rsidP="00924EC0">
      <w:pPr>
        <w:pStyle w:val="FootnoteText"/>
      </w:pPr>
      <w:r>
        <w:tab/>
      </w:r>
      <w:r w:rsidRPr="009F64C6">
        <w:rPr>
          <w:rStyle w:val="FootnoteReference"/>
        </w:rPr>
        <w:footnoteRef/>
      </w:r>
      <w:r w:rsidRPr="009F64C6">
        <w:t xml:space="preserve"> </w:t>
      </w:r>
      <w:r w:rsidRPr="009F64C6">
        <w:tab/>
      </w:r>
      <w:r>
        <w:t>B</w:t>
      </w:r>
      <w:r w:rsidRPr="009F64C6">
        <w:t xml:space="preserve">I&amp;E Statement No. 2, pp. 3-7.  </w:t>
      </w:r>
    </w:p>
    <w:p w:rsidR="007D58E6" w:rsidRPr="009F64C6" w:rsidRDefault="007D58E6" w:rsidP="00924EC0">
      <w:pPr>
        <w:pStyle w:val="FootnoteText"/>
      </w:pPr>
    </w:p>
  </w:footnote>
  <w:footnote w:id="19">
    <w:p w:rsidR="007D58E6" w:rsidRPr="009F64C6" w:rsidRDefault="007D58E6" w:rsidP="00924EC0">
      <w:pPr>
        <w:pStyle w:val="FootnoteText"/>
      </w:pPr>
      <w:r>
        <w:tab/>
      </w:r>
      <w:r w:rsidRPr="009F64C6">
        <w:rPr>
          <w:rStyle w:val="FootnoteReference"/>
        </w:rPr>
        <w:footnoteRef/>
      </w:r>
      <w:r w:rsidRPr="009F64C6">
        <w:t xml:space="preserve"> </w:t>
      </w:r>
      <w:r w:rsidRPr="009F64C6">
        <w:tab/>
      </w:r>
      <w:r>
        <w:t>B</w:t>
      </w:r>
      <w:r w:rsidRPr="009F64C6">
        <w:t xml:space="preserve">I&amp;E Statement No. 6, p. 3. </w:t>
      </w:r>
    </w:p>
  </w:footnote>
  <w:footnote w:id="20">
    <w:p w:rsidR="007D58E6" w:rsidRDefault="007D58E6" w:rsidP="00924EC0">
      <w:pPr>
        <w:pStyle w:val="FootnoteText"/>
      </w:pPr>
      <w:r>
        <w:tab/>
      </w:r>
      <w:r w:rsidRPr="009F64C6">
        <w:rPr>
          <w:rStyle w:val="FootnoteReference"/>
        </w:rPr>
        <w:footnoteRef/>
      </w:r>
      <w:r w:rsidRPr="009F64C6">
        <w:t xml:space="preserve"> </w:t>
      </w:r>
      <w:r w:rsidRPr="009F64C6">
        <w:tab/>
      </w:r>
      <w:proofErr w:type="gramStart"/>
      <w:r>
        <w:t>B</w:t>
      </w:r>
      <w:r w:rsidRPr="009F64C6">
        <w:t>I&amp;E Statement No. 6, pp. 3, 5.</w:t>
      </w:r>
      <w:proofErr w:type="gramEnd"/>
    </w:p>
    <w:p w:rsidR="007D58E6" w:rsidRPr="009F64C6" w:rsidRDefault="007D58E6" w:rsidP="00924EC0">
      <w:pPr>
        <w:pStyle w:val="FootnoteText"/>
      </w:pPr>
    </w:p>
  </w:footnote>
  <w:footnote w:id="21">
    <w:p w:rsidR="007D58E6" w:rsidRDefault="007D58E6" w:rsidP="00924EC0">
      <w:pPr>
        <w:pStyle w:val="FootnoteText"/>
      </w:pPr>
      <w:r>
        <w:tab/>
      </w:r>
      <w:r w:rsidRPr="009F64C6">
        <w:rPr>
          <w:rStyle w:val="FootnoteReference"/>
        </w:rPr>
        <w:footnoteRef/>
      </w:r>
      <w:r w:rsidRPr="009F64C6">
        <w:t xml:space="preserve"> </w:t>
      </w:r>
      <w:r w:rsidRPr="009F64C6">
        <w:tab/>
      </w:r>
      <w:r>
        <w:t>B</w:t>
      </w:r>
      <w:r w:rsidRPr="009F64C6">
        <w:t xml:space="preserve">I&amp;E Statement No. 6, pp. 4, 9-10. </w:t>
      </w:r>
    </w:p>
    <w:p w:rsidR="007D58E6" w:rsidRPr="009F64C6" w:rsidRDefault="007D58E6" w:rsidP="00924EC0">
      <w:pPr>
        <w:pStyle w:val="FootnoteText"/>
      </w:pPr>
    </w:p>
  </w:footnote>
  <w:footnote w:id="22">
    <w:p w:rsidR="007D58E6" w:rsidRPr="009F64C6" w:rsidRDefault="007D58E6" w:rsidP="00924EC0">
      <w:pPr>
        <w:pStyle w:val="FootnoteText"/>
      </w:pPr>
      <w:r>
        <w:tab/>
      </w:r>
      <w:r w:rsidRPr="009F64C6">
        <w:rPr>
          <w:rStyle w:val="FootnoteReference"/>
        </w:rPr>
        <w:footnoteRef/>
      </w:r>
      <w:r w:rsidRPr="009F64C6">
        <w:t xml:space="preserve"> </w:t>
      </w:r>
      <w:r w:rsidRPr="009F64C6">
        <w:tab/>
      </w:r>
      <w:proofErr w:type="gramStart"/>
      <w:r>
        <w:t>B</w:t>
      </w:r>
      <w:r w:rsidRPr="009F64C6">
        <w:t>I&amp;E Statement No. 7.</w:t>
      </w:r>
      <w:proofErr w:type="gramEnd"/>
      <w:r w:rsidRPr="009F64C6">
        <w:t xml:space="preserve"> </w:t>
      </w:r>
    </w:p>
  </w:footnote>
  <w:footnote w:id="23">
    <w:p w:rsidR="007D58E6" w:rsidRDefault="007D58E6" w:rsidP="00924EC0">
      <w:pPr>
        <w:pStyle w:val="FootnoteText"/>
      </w:pPr>
      <w:r>
        <w:tab/>
      </w:r>
      <w:r w:rsidRPr="009F64C6">
        <w:rPr>
          <w:rStyle w:val="FootnoteReference"/>
        </w:rPr>
        <w:footnoteRef/>
      </w:r>
      <w:r>
        <w:t xml:space="preserve"> </w:t>
      </w:r>
      <w:r>
        <w:tab/>
      </w:r>
      <w:proofErr w:type="gramStart"/>
      <w:r>
        <w:t>B</w:t>
      </w:r>
      <w:r w:rsidRPr="009F64C6">
        <w:t>I&amp;E Statement No. 6.</w:t>
      </w:r>
      <w:proofErr w:type="gramEnd"/>
      <w:r w:rsidRPr="009F64C6">
        <w:t xml:space="preserve"> </w:t>
      </w:r>
      <w:proofErr w:type="gramStart"/>
      <w:r w:rsidRPr="009F64C6">
        <w:t>p. 4.</w:t>
      </w:r>
      <w:proofErr w:type="gramEnd"/>
    </w:p>
    <w:p w:rsidR="007D58E6" w:rsidRPr="009F64C6" w:rsidRDefault="007D58E6" w:rsidP="00924EC0">
      <w:pPr>
        <w:pStyle w:val="FootnoteText"/>
      </w:pPr>
    </w:p>
  </w:footnote>
  <w:footnote w:id="24">
    <w:p w:rsidR="007D58E6" w:rsidRDefault="007D58E6" w:rsidP="00B460E3">
      <w:pPr>
        <w:pStyle w:val="FootnoteText"/>
      </w:pPr>
      <w:r>
        <w:tab/>
      </w:r>
      <w:r w:rsidRPr="009F64C6">
        <w:rPr>
          <w:rStyle w:val="FootnoteReference"/>
        </w:rPr>
        <w:footnoteRef/>
      </w:r>
      <w:r>
        <w:t xml:space="preserve"> </w:t>
      </w:r>
      <w:r>
        <w:tab/>
        <w:t>B</w:t>
      </w:r>
      <w:r w:rsidRPr="009F64C6">
        <w:t xml:space="preserve">I&amp;E Statement No. 4-R, p. 3.  </w:t>
      </w:r>
    </w:p>
    <w:p w:rsidR="007D58E6" w:rsidRPr="009F64C6" w:rsidRDefault="007D58E6" w:rsidP="00B460E3">
      <w:pPr>
        <w:pStyle w:val="FootnoteText"/>
      </w:pPr>
      <w:r>
        <w:tab/>
      </w:r>
    </w:p>
  </w:footnote>
  <w:footnote w:id="25">
    <w:p w:rsidR="007D58E6" w:rsidRPr="009F64C6" w:rsidRDefault="007D58E6" w:rsidP="00B460E3">
      <w:pPr>
        <w:pStyle w:val="FootnoteText"/>
      </w:pPr>
      <w:r>
        <w:tab/>
      </w:r>
      <w:r w:rsidRPr="009F64C6">
        <w:rPr>
          <w:rStyle w:val="FootnoteReference"/>
        </w:rPr>
        <w:footnoteRef/>
      </w:r>
      <w:r>
        <w:t xml:space="preserve"> </w:t>
      </w:r>
      <w:r>
        <w:tab/>
        <w:t>B</w:t>
      </w:r>
      <w:r w:rsidRPr="009F64C6">
        <w:t>I&amp;E Statement No. 4-R, p.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341540"/>
    <w:lvl w:ilvl="0">
      <w:start w:val="1"/>
      <w:numFmt w:val="decimal"/>
      <w:pStyle w:val="ListNumber"/>
      <w:lvlText w:val="%1."/>
      <w:lvlJc w:val="left"/>
      <w:pPr>
        <w:tabs>
          <w:tab w:val="num" w:pos="450"/>
        </w:tabs>
        <w:ind w:left="450" w:hanging="360"/>
      </w:pPr>
    </w:lvl>
  </w:abstractNum>
  <w:abstractNum w:abstractNumId="1">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2">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7003883"/>
    <w:multiLevelType w:val="hybridMultilevel"/>
    <w:tmpl w:val="B372B52E"/>
    <w:lvl w:ilvl="0" w:tplc="EB4C6D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8F70F82"/>
    <w:multiLevelType w:val="hybridMultilevel"/>
    <w:tmpl w:val="EED0230C"/>
    <w:lvl w:ilvl="0" w:tplc="1EC60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5851F4"/>
    <w:multiLevelType w:val="hybridMultilevel"/>
    <w:tmpl w:val="2A902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71FB0"/>
    <w:multiLevelType w:val="hybridMultilevel"/>
    <w:tmpl w:val="91F2727C"/>
    <w:lvl w:ilvl="0" w:tplc="4B10FEEE">
      <w:start w:val="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043612"/>
    <w:multiLevelType w:val="hybridMultilevel"/>
    <w:tmpl w:val="3FA070AE"/>
    <w:lvl w:ilvl="0" w:tplc="C7C8D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C390F"/>
    <w:multiLevelType w:val="hybridMultilevel"/>
    <w:tmpl w:val="9B70BD2A"/>
    <w:lvl w:ilvl="0" w:tplc="5AAE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010AAF"/>
    <w:multiLevelType w:val="hybridMultilevel"/>
    <w:tmpl w:val="8AA8B944"/>
    <w:lvl w:ilvl="0" w:tplc="60E2330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BF36B0"/>
    <w:multiLevelType w:val="hybridMultilevel"/>
    <w:tmpl w:val="55C613A2"/>
    <w:lvl w:ilvl="0" w:tplc="138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642A5"/>
    <w:multiLevelType w:val="hybridMultilevel"/>
    <w:tmpl w:val="47CE2B20"/>
    <w:lvl w:ilvl="0" w:tplc="F38E4C84">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FAF5364"/>
    <w:multiLevelType w:val="hybridMultilevel"/>
    <w:tmpl w:val="E0385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AD7537"/>
    <w:multiLevelType w:val="hybridMultilevel"/>
    <w:tmpl w:val="B7EA410A"/>
    <w:lvl w:ilvl="0" w:tplc="2D8CA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5D1A17"/>
    <w:multiLevelType w:val="hybridMultilevel"/>
    <w:tmpl w:val="D5C47B12"/>
    <w:lvl w:ilvl="0" w:tplc="A21221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E140B87"/>
    <w:multiLevelType w:val="hybridMultilevel"/>
    <w:tmpl w:val="B1546E46"/>
    <w:lvl w:ilvl="0" w:tplc="4D542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9E4788"/>
    <w:multiLevelType w:val="hybridMultilevel"/>
    <w:tmpl w:val="21C011DE"/>
    <w:lvl w:ilvl="0" w:tplc="46408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43405D8"/>
    <w:multiLevelType w:val="hybridMultilevel"/>
    <w:tmpl w:val="390E5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50BC2"/>
    <w:multiLevelType w:val="hybridMultilevel"/>
    <w:tmpl w:val="FC981676"/>
    <w:lvl w:ilvl="0" w:tplc="A57402D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195EFE"/>
    <w:multiLevelType w:val="hybridMultilevel"/>
    <w:tmpl w:val="7FB845AE"/>
    <w:lvl w:ilvl="0" w:tplc="35149BB8">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3A21BA0"/>
    <w:multiLevelType w:val="hybridMultilevel"/>
    <w:tmpl w:val="8AD6BF54"/>
    <w:lvl w:ilvl="0" w:tplc="5AF82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613B8C"/>
    <w:multiLevelType w:val="hybridMultilevel"/>
    <w:tmpl w:val="EF8A2A1A"/>
    <w:lvl w:ilvl="0" w:tplc="901853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664F4076"/>
    <w:multiLevelType w:val="hybridMultilevel"/>
    <w:tmpl w:val="557E31C2"/>
    <w:lvl w:ilvl="0" w:tplc="412CC06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21965"/>
    <w:multiLevelType w:val="hybridMultilevel"/>
    <w:tmpl w:val="182A7B34"/>
    <w:lvl w:ilvl="0" w:tplc="71287D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27">
    <w:nsid w:val="75783B69"/>
    <w:multiLevelType w:val="hybridMultilevel"/>
    <w:tmpl w:val="1D7C930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C8427A"/>
    <w:multiLevelType w:val="hybridMultilevel"/>
    <w:tmpl w:val="28907186"/>
    <w:lvl w:ilvl="0" w:tplc="5064951C">
      <w:start w:val="1"/>
      <w:numFmt w:val="decimal"/>
      <w:lvlText w:val="%1."/>
      <w:lvlJc w:val="left"/>
      <w:pPr>
        <w:ind w:left="1440" w:hanging="360"/>
      </w:pPr>
      <w:rPr>
        <w:rFonts w:ascii="Georgia" w:hAnsi="Georgia"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0A7F72"/>
    <w:multiLevelType w:val="hybridMultilevel"/>
    <w:tmpl w:val="803C1140"/>
    <w:lvl w:ilvl="0" w:tplc="1A441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B01A9B"/>
    <w:multiLevelType w:val="hybridMultilevel"/>
    <w:tmpl w:val="E0F0F304"/>
    <w:lvl w:ilvl="0" w:tplc="0EDA1F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DFC78C1"/>
    <w:multiLevelType w:val="hybridMultilevel"/>
    <w:tmpl w:val="711E1E1E"/>
    <w:lvl w:ilvl="0" w:tplc="E190FE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E152C7A"/>
    <w:multiLevelType w:val="hybridMultilevel"/>
    <w:tmpl w:val="494C8068"/>
    <w:lvl w:ilvl="0" w:tplc="AE0237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E79332C"/>
    <w:multiLevelType w:val="hybridMultilevel"/>
    <w:tmpl w:val="D7A673B2"/>
    <w:lvl w:ilvl="0" w:tplc="66100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5"/>
  </w:num>
  <w:num w:numId="3">
    <w:abstractNumId w:val="0"/>
  </w:num>
  <w:num w:numId="4">
    <w:abstractNumId w:val="2"/>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
    <w:abstractNumId w:val="26"/>
  </w:num>
  <w:num w:numId="6">
    <w:abstractNumId w:val="5"/>
  </w:num>
  <w:num w:numId="7">
    <w:abstractNumId w:val="14"/>
  </w:num>
  <w:num w:numId="8">
    <w:abstractNumId w:val="17"/>
  </w:num>
  <w:num w:numId="9">
    <w:abstractNumId w:val="33"/>
  </w:num>
  <w:num w:numId="10">
    <w:abstractNumId w:val="13"/>
  </w:num>
  <w:num w:numId="11">
    <w:abstractNumId w:val="25"/>
  </w:num>
  <w:num w:numId="12">
    <w:abstractNumId w:val="11"/>
  </w:num>
  <w:num w:numId="13">
    <w:abstractNumId w:val="9"/>
  </w:num>
  <w:num w:numId="14">
    <w:abstractNumId w:val="29"/>
  </w:num>
  <w:num w:numId="15">
    <w:abstractNumId w:val="12"/>
  </w:num>
  <w:num w:numId="16">
    <w:abstractNumId w:val="22"/>
  </w:num>
  <w:num w:numId="17">
    <w:abstractNumId w:val="28"/>
  </w:num>
  <w:num w:numId="18">
    <w:abstractNumId w:val="1"/>
  </w:num>
  <w:num w:numId="19">
    <w:abstractNumId w:val="27"/>
  </w:num>
  <w:num w:numId="20">
    <w:abstractNumId w:val="24"/>
  </w:num>
  <w:num w:numId="21">
    <w:abstractNumId w:val="19"/>
  </w:num>
  <w:num w:numId="22">
    <w:abstractNumId w:val="6"/>
  </w:num>
  <w:num w:numId="23">
    <w:abstractNumId w:val="10"/>
  </w:num>
  <w:num w:numId="24">
    <w:abstractNumId w:val="32"/>
  </w:num>
  <w:num w:numId="25">
    <w:abstractNumId w:val="20"/>
  </w:num>
  <w:num w:numId="26">
    <w:abstractNumId w:val="30"/>
  </w:num>
  <w:num w:numId="27">
    <w:abstractNumId w:val="23"/>
  </w:num>
  <w:num w:numId="28">
    <w:abstractNumId w:val="31"/>
  </w:num>
  <w:num w:numId="29">
    <w:abstractNumId w:val="16"/>
  </w:num>
  <w:num w:numId="30">
    <w:abstractNumId w:val="18"/>
  </w:num>
  <w:num w:numId="31">
    <w:abstractNumId w:val="3"/>
  </w:num>
  <w:num w:numId="32">
    <w:abstractNumId w:val="21"/>
  </w:num>
  <w:num w:numId="33">
    <w:abstractNumId w:val="4"/>
  </w:num>
  <w:num w:numId="3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707680"/>
  </w:docVars>
  <w:rsids>
    <w:rsidRoot w:val="00F40AF4"/>
    <w:rsid w:val="00001D5E"/>
    <w:rsid w:val="00002E71"/>
    <w:rsid w:val="00007A6A"/>
    <w:rsid w:val="00010E60"/>
    <w:rsid w:val="00011EAD"/>
    <w:rsid w:val="00011F9D"/>
    <w:rsid w:val="00012D29"/>
    <w:rsid w:val="0001444C"/>
    <w:rsid w:val="00014F3F"/>
    <w:rsid w:val="000158F5"/>
    <w:rsid w:val="00015C87"/>
    <w:rsid w:val="00017247"/>
    <w:rsid w:val="000200B5"/>
    <w:rsid w:val="00022031"/>
    <w:rsid w:val="00022664"/>
    <w:rsid w:val="00024223"/>
    <w:rsid w:val="00024855"/>
    <w:rsid w:val="00024AA5"/>
    <w:rsid w:val="00026A27"/>
    <w:rsid w:val="00026A77"/>
    <w:rsid w:val="00027740"/>
    <w:rsid w:val="00027E4C"/>
    <w:rsid w:val="00030657"/>
    <w:rsid w:val="000307B4"/>
    <w:rsid w:val="00030CA2"/>
    <w:rsid w:val="00031D10"/>
    <w:rsid w:val="00035127"/>
    <w:rsid w:val="00035D88"/>
    <w:rsid w:val="00035F60"/>
    <w:rsid w:val="00036DA6"/>
    <w:rsid w:val="00037651"/>
    <w:rsid w:val="00037773"/>
    <w:rsid w:val="00037AF8"/>
    <w:rsid w:val="000404B5"/>
    <w:rsid w:val="00040CC9"/>
    <w:rsid w:val="00041943"/>
    <w:rsid w:val="00042860"/>
    <w:rsid w:val="000443C4"/>
    <w:rsid w:val="00044944"/>
    <w:rsid w:val="0004498A"/>
    <w:rsid w:val="000477D1"/>
    <w:rsid w:val="000479C9"/>
    <w:rsid w:val="00051B0F"/>
    <w:rsid w:val="00052673"/>
    <w:rsid w:val="0005471E"/>
    <w:rsid w:val="0005554B"/>
    <w:rsid w:val="0006554F"/>
    <w:rsid w:val="00066663"/>
    <w:rsid w:val="000666F6"/>
    <w:rsid w:val="00070D98"/>
    <w:rsid w:val="000716B7"/>
    <w:rsid w:val="00073FC3"/>
    <w:rsid w:val="00074135"/>
    <w:rsid w:val="000767FF"/>
    <w:rsid w:val="0008135A"/>
    <w:rsid w:val="00082767"/>
    <w:rsid w:val="00082E5C"/>
    <w:rsid w:val="000849DC"/>
    <w:rsid w:val="000860A1"/>
    <w:rsid w:val="00087CC5"/>
    <w:rsid w:val="0009005C"/>
    <w:rsid w:val="00091519"/>
    <w:rsid w:val="000921BC"/>
    <w:rsid w:val="000925B9"/>
    <w:rsid w:val="000927E9"/>
    <w:rsid w:val="000929D9"/>
    <w:rsid w:val="000950CA"/>
    <w:rsid w:val="0009584A"/>
    <w:rsid w:val="00096994"/>
    <w:rsid w:val="00096F74"/>
    <w:rsid w:val="000A094E"/>
    <w:rsid w:val="000A11EB"/>
    <w:rsid w:val="000A220E"/>
    <w:rsid w:val="000A510C"/>
    <w:rsid w:val="000A7EFE"/>
    <w:rsid w:val="000B3322"/>
    <w:rsid w:val="000B4290"/>
    <w:rsid w:val="000B629F"/>
    <w:rsid w:val="000B67E1"/>
    <w:rsid w:val="000B6D95"/>
    <w:rsid w:val="000C04BD"/>
    <w:rsid w:val="000C1A6B"/>
    <w:rsid w:val="000C269C"/>
    <w:rsid w:val="000C4FD8"/>
    <w:rsid w:val="000C5510"/>
    <w:rsid w:val="000C598F"/>
    <w:rsid w:val="000C6B18"/>
    <w:rsid w:val="000C71B2"/>
    <w:rsid w:val="000D1336"/>
    <w:rsid w:val="000D3CB5"/>
    <w:rsid w:val="000D42AC"/>
    <w:rsid w:val="000D587E"/>
    <w:rsid w:val="000D5CA1"/>
    <w:rsid w:val="000D763A"/>
    <w:rsid w:val="000D7906"/>
    <w:rsid w:val="000E0C64"/>
    <w:rsid w:val="000E111C"/>
    <w:rsid w:val="000E20B9"/>
    <w:rsid w:val="000E2DCB"/>
    <w:rsid w:val="000E3D69"/>
    <w:rsid w:val="000E4184"/>
    <w:rsid w:val="000E63AA"/>
    <w:rsid w:val="000E6C36"/>
    <w:rsid w:val="000E7B3F"/>
    <w:rsid w:val="000F0CB0"/>
    <w:rsid w:val="000F1E2C"/>
    <w:rsid w:val="000F22AD"/>
    <w:rsid w:val="000F47A8"/>
    <w:rsid w:val="000F4E4B"/>
    <w:rsid w:val="000F7CE1"/>
    <w:rsid w:val="00101813"/>
    <w:rsid w:val="001022EE"/>
    <w:rsid w:val="00102B62"/>
    <w:rsid w:val="00105690"/>
    <w:rsid w:val="001059C3"/>
    <w:rsid w:val="0010611E"/>
    <w:rsid w:val="00106881"/>
    <w:rsid w:val="001068AE"/>
    <w:rsid w:val="0011005B"/>
    <w:rsid w:val="00112325"/>
    <w:rsid w:val="00113811"/>
    <w:rsid w:val="00114446"/>
    <w:rsid w:val="0011497C"/>
    <w:rsid w:val="00114A5C"/>
    <w:rsid w:val="00114D69"/>
    <w:rsid w:val="00115E17"/>
    <w:rsid w:val="001163B8"/>
    <w:rsid w:val="00116960"/>
    <w:rsid w:val="00116EA8"/>
    <w:rsid w:val="0012099C"/>
    <w:rsid w:val="0012210B"/>
    <w:rsid w:val="0012337D"/>
    <w:rsid w:val="00124DF6"/>
    <w:rsid w:val="00125631"/>
    <w:rsid w:val="00126555"/>
    <w:rsid w:val="001266C6"/>
    <w:rsid w:val="001278D6"/>
    <w:rsid w:val="00130995"/>
    <w:rsid w:val="00130EC8"/>
    <w:rsid w:val="00131C14"/>
    <w:rsid w:val="00132B39"/>
    <w:rsid w:val="001336B2"/>
    <w:rsid w:val="0013517D"/>
    <w:rsid w:val="00135CF2"/>
    <w:rsid w:val="00136AC2"/>
    <w:rsid w:val="00137084"/>
    <w:rsid w:val="001375AC"/>
    <w:rsid w:val="00140A3D"/>
    <w:rsid w:val="001465A5"/>
    <w:rsid w:val="001465C5"/>
    <w:rsid w:val="0014695E"/>
    <w:rsid w:val="00150F38"/>
    <w:rsid w:val="00151110"/>
    <w:rsid w:val="00151828"/>
    <w:rsid w:val="001534FA"/>
    <w:rsid w:val="00154ED9"/>
    <w:rsid w:val="001551FE"/>
    <w:rsid w:val="001608E4"/>
    <w:rsid w:val="00162236"/>
    <w:rsid w:val="00162882"/>
    <w:rsid w:val="00163667"/>
    <w:rsid w:val="00166BB4"/>
    <w:rsid w:val="0017098A"/>
    <w:rsid w:val="00171BA7"/>
    <w:rsid w:val="00171CF4"/>
    <w:rsid w:val="00174444"/>
    <w:rsid w:val="001760EF"/>
    <w:rsid w:val="0017663E"/>
    <w:rsid w:val="00177C22"/>
    <w:rsid w:val="00180B41"/>
    <w:rsid w:val="00180FEC"/>
    <w:rsid w:val="0018206C"/>
    <w:rsid w:val="0018232A"/>
    <w:rsid w:val="00183641"/>
    <w:rsid w:val="00183770"/>
    <w:rsid w:val="001838DA"/>
    <w:rsid w:val="00183BB4"/>
    <w:rsid w:val="00184ED9"/>
    <w:rsid w:val="0018502A"/>
    <w:rsid w:val="0018543E"/>
    <w:rsid w:val="0018569C"/>
    <w:rsid w:val="0019010C"/>
    <w:rsid w:val="00190B52"/>
    <w:rsid w:val="001912D9"/>
    <w:rsid w:val="00192F81"/>
    <w:rsid w:val="001948E6"/>
    <w:rsid w:val="00195CC8"/>
    <w:rsid w:val="00197214"/>
    <w:rsid w:val="00197FE7"/>
    <w:rsid w:val="001A1C19"/>
    <w:rsid w:val="001A2B3D"/>
    <w:rsid w:val="001A3DC2"/>
    <w:rsid w:val="001A3FD3"/>
    <w:rsid w:val="001A517C"/>
    <w:rsid w:val="001A7A8F"/>
    <w:rsid w:val="001B1593"/>
    <w:rsid w:val="001B3698"/>
    <w:rsid w:val="001B37F9"/>
    <w:rsid w:val="001B389A"/>
    <w:rsid w:val="001B5278"/>
    <w:rsid w:val="001B6251"/>
    <w:rsid w:val="001B669F"/>
    <w:rsid w:val="001B6840"/>
    <w:rsid w:val="001B7B44"/>
    <w:rsid w:val="001B7C95"/>
    <w:rsid w:val="001C0646"/>
    <w:rsid w:val="001C0C20"/>
    <w:rsid w:val="001C1DA4"/>
    <w:rsid w:val="001C2410"/>
    <w:rsid w:val="001C31A5"/>
    <w:rsid w:val="001C368F"/>
    <w:rsid w:val="001C614D"/>
    <w:rsid w:val="001D15D2"/>
    <w:rsid w:val="001D2D9A"/>
    <w:rsid w:val="001D2DE1"/>
    <w:rsid w:val="001D30C8"/>
    <w:rsid w:val="001D664C"/>
    <w:rsid w:val="001D74F8"/>
    <w:rsid w:val="001D7878"/>
    <w:rsid w:val="001E0024"/>
    <w:rsid w:val="001E13F6"/>
    <w:rsid w:val="001E2738"/>
    <w:rsid w:val="001E2D99"/>
    <w:rsid w:val="001E2E99"/>
    <w:rsid w:val="001E3811"/>
    <w:rsid w:val="001E606E"/>
    <w:rsid w:val="001E6679"/>
    <w:rsid w:val="001E66BF"/>
    <w:rsid w:val="001E6948"/>
    <w:rsid w:val="001E6AC2"/>
    <w:rsid w:val="001E70AB"/>
    <w:rsid w:val="001E796B"/>
    <w:rsid w:val="001F4294"/>
    <w:rsid w:val="001F5D45"/>
    <w:rsid w:val="001F5E84"/>
    <w:rsid w:val="001F6D5C"/>
    <w:rsid w:val="002002ED"/>
    <w:rsid w:val="00200C7A"/>
    <w:rsid w:val="00200E45"/>
    <w:rsid w:val="00202271"/>
    <w:rsid w:val="00205676"/>
    <w:rsid w:val="00205758"/>
    <w:rsid w:val="0020725F"/>
    <w:rsid w:val="0020746B"/>
    <w:rsid w:val="002107F3"/>
    <w:rsid w:val="0021129B"/>
    <w:rsid w:val="0021205C"/>
    <w:rsid w:val="002129B2"/>
    <w:rsid w:val="00212F85"/>
    <w:rsid w:val="0021472B"/>
    <w:rsid w:val="0021589B"/>
    <w:rsid w:val="00216054"/>
    <w:rsid w:val="00217085"/>
    <w:rsid w:val="00217A9A"/>
    <w:rsid w:val="0022082F"/>
    <w:rsid w:val="00221630"/>
    <w:rsid w:val="00221E39"/>
    <w:rsid w:val="00221ED7"/>
    <w:rsid w:val="002231E7"/>
    <w:rsid w:val="00223B61"/>
    <w:rsid w:val="00224D6C"/>
    <w:rsid w:val="00224F44"/>
    <w:rsid w:val="00225417"/>
    <w:rsid w:val="0022623F"/>
    <w:rsid w:val="0022697C"/>
    <w:rsid w:val="002270C7"/>
    <w:rsid w:val="00227A7F"/>
    <w:rsid w:val="0023014D"/>
    <w:rsid w:val="00231C3E"/>
    <w:rsid w:val="00231DCB"/>
    <w:rsid w:val="00232870"/>
    <w:rsid w:val="00234986"/>
    <w:rsid w:val="00235782"/>
    <w:rsid w:val="0023594C"/>
    <w:rsid w:val="00237F95"/>
    <w:rsid w:val="00242787"/>
    <w:rsid w:val="00244773"/>
    <w:rsid w:val="00244DC3"/>
    <w:rsid w:val="002470D3"/>
    <w:rsid w:val="002509C3"/>
    <w:rsid w:val="00250B66"/>
    <w:rsid w:val="00253DA3"/>
    <w:rsid w:val="00254AC4"/>
    <w:rsid w:val="0025505D"/>
    <w:rsid w:val="0025568C"/>
    <w:rsid w:val="002557DF"/>
    <w:rsid w:val="0025624A"/>
    <w:rsid w:val="002569D2"/>
    <w:rsid w:val="00256F15"/>
    <w:rsid w:val="00257E68"/>
    <w:rsid w:val="00262108"/>
    <w:rsid w:val="00263DBC"/>
    <w:rsid w:val="002640B5"/>
    <w:rsid w:val="002643CB"/>
    <w:rsid w:val="002654C5"/>
    <w:rsid w:val="002659C1"/>
    <w:rsid w:val="00267123"/>
    <w:rsid w:val="002705F3"/>
    <w:rsid w:val="002715D6"/>
    <w:rsid w:val="00272171"/>
    <w:rsid w:val="00273113"/>
    <w:rsid w:val="002772C3"/>
    <w:rsid w:val="00282E72"/>
    <w:rsid w:val="0028373F"/>
    <w:rsid w:val="00286013"/>
    <w:rsid w:val="00286E18"/>
    <w:rsid w:val="002878E1"/>
    <w:rsid w:val="0029076D"/>
    <w:rsid w:val="00290BC4"/>
    <w:rsid w:val="00291135"/>
    <w:rsid w:val="00292413"/>
    <w:rsid w:val="002942CE"/>
    <w:rsid w:val="00295BB9"/>
    <w:rsid w:val="00296A30"/>
    <w:rsid w:val="00296A74"/>
    <w:rsid w:val="00297007"/>
    <w:rsid w:val="002971C2"/>
    <w:rsid w:val="002A08AE"/>
    <w:rsid w:val="002A12FA"/>
    <w:rsid w:val="002A39F2"/>
    <w:rsid w:val="002A5634"/>
    <w:rsid w:val="002A5DF8"/>
    <w:rsid w:val="002B07F2"/>
    <w:rsid w:val="002B080D"/>
    <w:rsid w:val="002B2E5E"/>
    <w:rsid w:val="002B3616"/>
    <w:rsid w:val="002B43C8"/>
    <w:rsid w:val="002B6BF1"/>
    <w:rsid w:val="002C0A83"/>
    <w:rsid w:val="002C14ED"/>
    <w:rsid w:val="002C1B02"/>
    <w:rsid w:val="002C2DC5"/>
    <w:rsid w:val="002C2EE0"/>
    <w:rsid w:val="002C4CE4"/>
    <w:rsid w:val="002C5195"/>
    <w:rsid w:val="002C6736"/>
    <w:rsid w:val="002C6EA0"/>
    <w:rsid w:val="002C7F85"/>
    <w:rsid w:val="002D1EA6"/>
    <w:rsid w:val="002D2D2C"/>
    <w:rsid w:val="002D3212"/>
    <w:rsid w:val="002D46AD"/>
    <w:rsid w:val="002D50E8"/>
    <w:rsid w:val="002D61BE"/>
    <w:rsid w:val="002D684D"/>
    <w:rsid w:val="002D765E"/>
    <w:rsid w:val="002E13C9"/>
    <w:rsid w:val="002E3531"/>
    <w:rsid w:val="002E3EEC"/>
    <w:rsid w:val="002E414F"/>
    <w:rsid w:val="002E5D73"/>
    <w:rsid w:val="002E62AE"/>
    <w:rsid w:val="002E75AB"/>
    <w:rsid w:val="002E7CBD"/>
    <w:rsid w:val="002F0988"/>
    <w:rsid w:val="002F32B5"/>
    <w:rsid w:val="002F4C42"/>
    <w:rsid w:val="002F539E"/>
    <w:rsid w:val="002F63D2"/>
    <w:rsid w:val="002F78A6"/>
    <w:rsid w:val="003009B5"/>
    <w:rsid w:val="00300C1A"/>
    <w:rsid w:val="00300E1B"/>
    <w:rsid w:val="00302904"/>
    <w:rsid w:val="00303125"/>
    <w:rsid w:val="00303D93"/>
    <w:rsid w:val="003063FE"/>
    <w:rsid w:val="00306801"/>
    <w:rsid w:val="00306C1D"/>
    <w:rsid w:val="00306EA5"/>
    <w:rsid w:val="0030792D"/>
    <w:rsid w:val="00307B85"/>
    <w:rsid w:val="003105EB"/>
    <w:rsid w:val="00311A50"/>
    <w:rsid w:val="003137EE"/>
    <w:rsid w:val="00314634"/>
    <w:rsid w:val="00315E63"/>
    <w:rsid w:val="00315F13"/>
    <w:rsid w:val="00317481"/>
    <w:rsid w:val="0032184B"/>
    <w:rsid w:val="00322AAB"/>
    <w:rsid w:val="00323CE9"/>
    <w:rsid w:val="0032476D"/>
    <w:rsid w:val="00324FB2"/>
    <w:rsid w:val="0032536B"/>
    <w:rsid w:val="00327015"/>
    <w:rsid w:val="003307FD"/>
    <w:rsid w:val="003367D1"/>
    <w:rsid w:val="00336E01"/>
    <w:rsid w:val="00337596"/>
    <w:rsid w:val="00340085"/>
    <w:rsid w:val="003421C2"/>
    <w:rsid w:val="00342F59"/>
    <w:rsid w:val="003435CC"/>
    <w:rsid w:val="00343DF7"/>
    <w:rsid w:val="00344BBD"/>
    <w:rsid w:val="00346B39"/>
    <w:rsid w:val="0035364E"/>
    <w:rsid w:val="003549EE"/>
    <w:rsid w:val="00355C7E"/>
    <w:rsid w:val="003560A1"/>
    <w:rsid w:val="0036055F"/>
    <w:rsid w:val="00362D30"/>
    <w:rsid w:val="00362D3B"/>
    <w:rsid w:val="00363113"/>
    <w:rsid w:val="00363FC4"/>
    <w:rsid w:val="00365A4E"/>
    <w:rsid w:val="00366EBA"/>
    <w:rsid w:val="003679E6"/>
    <w:rsid w:val="00367E9A"/>
    <w:rsid w:val="00370D4C"/>
    <w:rsid w:val="00370E55"/>
    <w:rsid w:val="00371F35"/>
    <w:rsid w:val="00372822"/>
    <w:rsid w:val="00372BCE"/>
    <w:rsid w:val="00373050"/>
    <w:rsid w:val="003756FC"/>
    <w:rsid w:val="00375FC7"/>
    <w:rsid w:val="00376FD2"/>
    <w:rsid w:val="00377219"/>
    <w:rsid w:val="0037769A"/>
    <w:rsid w:val="0038154F"/>
    <w:rsid w:val="00382711"/>
    <w:rsid w:val="003834CD"/>
    <w:rsid w:val="00383E9E"/>
    <w:rsid w:val="003855D3"/>
    <w:rsid w:val="0038584B"/>
    <w:rsid w:val="003868BE"/>
    <w:rsid w:val="00386EC2"/>
    <w:rsid w:val="00387C55"/>
    <w:rsid w:val="003914A1"/>
    <w:rsid w:val="0039194F"/>
    <w:rsid w:val="00391A4D"/>
    <w:rsid w:val="003928FD"/>
    <w:rsid w:val="00394624"/>
    <w:rsid w:val="00396920"/>
    <w:rsid w:val="00397341"/>
    <w:rsid w:val="003A02D8"/>
    <w:rsid w:val="003A05D0"/>
    <w:rsid w:val="003A187A"/>
    <w:rsid w:val="003A18EE"/>
    <w:rsid w:val="003A32DF"/>
    <w:rsid w:val="003A51FD"/>
    <w:rsid w:val="003A57E2"/>
    <w:rsid w:val="003A5D41"/>
    <w:rsid w:val="003A7731"/>
    <w:rsid w:val="003B0091"/>
    <w:rsid w:val="003B02F6"/>
    <w:rsid w:val="003B0F7E"/>
    <w:rsid w:val="003B2E04"/>
    <w:rsid w:val="003B3093"/>
    <w:rsid w:val="003B4935"/>
    <w:rsid w:val="003B5554"/>
    <w:rsid w:val="003B585E"/>
    <w:rsid w:val="003B67C3"/>
    <w:rsid w:val="003B7FB4"/>
    <w:rsid w:val="003C0EC8"/>
    <w:rsid w:val="003C0F08"/>
    <w:rsid w:val="003C1CFD"/>
    <w:rsid w:val="003C3A99"/>
    <w:rsid w:val="003C49C9"/>
    <w:rsid w:val="003C7B70"/>
    <w:rsid w:val="003D00C1"/>
    <w:rsid w:val="003D0E27"/>
    <w:rsid w:val="003D15D0"/>
    <w:rsid w:val="003D38F7"/>
    <w:rsid w:val="003D4E61"/>
    <w:rsid w:val="003D5D49"/>
    <w:rsid w:val="003D6481"/>
    <w:rsid w:val="003D6830"/>
    <w:rsid w:val="003D7545"/>
    <w:rsid w:val="003E1405"/>
    <w:rsid w:val="003E15B6"/>
    <w:rsid w:val="003E4DDA"/>
    <w:rsid w:val="003E5527"/>
    <w:rsid w:val="003E5628"/>
    <w:rsid w:val="003E5903"/>
    <w:rsid w:val="003E5D1E"/>
    <w:rsid w:val="003F0F58"/>
    <w:rsid w:val="003F21EA"/>
    <w:rsid w:val="003F2AEA"/>
    <w:rsid w:val="003F347A"/>
    <w:rsid w:val="003F69C5"/>
    <w:rsid w:val="003F7475"/>
    <w:rsid w:val="003F7D0F"/>
    <w:rsid w:val="00400060"/>
    <w:rsid w:val="0040046D"/>
    <w:rsid w:val="00401755"/>
    <w:rsid w:val="00402468"/>
    <w:rsid w:val="00403B49"/>
    <w:rsid w:val="00403F28"/>
    <w:rsid w:val="0040436B"/>
    <w:rsid w:val="0040464B"/>
    <w:rsid w:val="0040535D"/>
    <w:rsid w:val="00407E2D"/>
    <w:rsid w:val="004104D7"/>
    <w:rsid w:val="00411D0C"/>
    <w:rsid w:val="004127CC"/>
    <w:rsid w:val="00414D79"/>
    <w:rsid w:val="00415060"/>
    <w:rsid w:val="0041519D"/>
    <w:rsid w:val="0041758B"/>
    <w:rsid w:val="00417A48"/>
    <w:rsid w:val="00417ABA"/>
    <w:rsid w:val="004207B0"/>
    <w:rsid w:val="00422E70"/>
    <w:rsid w:val="004255AD"/>
    <w:rsid w:val="004262C8"/>
    <w:rsid w:val="004266A4"/>
    <w:rsid w:val="00427446"/>
    <w:rsid w:val="004275DC"/>
    <w:rsid w:val="00427731"/>
    <w:rsid w:val="00430968"/>
    <w:rsid w:val="00430F4A"/>
    <w:rsid w:val="00431ED9"/>
    <w:rsid w:val="0043213F"/>
    <w:rsid w:val="00432D7B"/>
    <w:rsid w:val="0043388C"/>
    <w:rsid w:val="00434040"/>
    <w:rsid w:val="004345F2"/>
    <w:rsid w:val="004366BF"/>
    <w:rsid w:val="00441E8C"/>
    <w:rsid w:val="00443FC3"/>
    <w:rsid w:val="004444FF"/>
    <w:rsid w:val="00444C99"/>
    <w:rsid w:val="00444F84"/>
    <w:rsid w:val="00447047"/>
    <w:rsid w:val="00447DAD"/>
    <w:rsid w:val="00450D55"/>
    <w:rsid w:val="0045436C"/>
    <w:rsid w:val="004563F9"/>
    <w:rsid w:val="0045733E"/>
    <w:rsid w:val="004610DD"/>
    <w:rsid w:val="004621F5"/>
    <w:rsid w:val="00466111"/>
    <w:rsid w:val="004665FC"/>
    <w:rsid w:val="00466707"/>
    <w:rsid w:val="00466EEB"/>
    <w:rsid w:val="00466F80"/>
    <w:rsid w:val="00470730"/>
    <w:rsid w:val="00470BD1"/>
    <w:rsid w:val="00473103"/>
    <w:rsid w:val="00473B3D"/>
    <w:rsid w:val="00474D92"/>
    <w:rsid w:val="004758B7"/>
    <w:rsid w:val="004763CF"/>
    <w:rsid w:val="00476406"/>
    <w:rsid w:val="004801CF"/>
    <w:rsid w:val="004825BA"/>
    <w:rsid w:val="00484BB5"/>
    <w:rsid w:val="0048731E"/>
    <w:rsid w:val="0048741D"/>
    <w:rsid w:val="00490024"/>
    <w:rsid w:val="00491485"/>
    <w:rsid w:val="004917AB"/>
    <w:rsid w:val="004921A2"/>
    <w:rsid w:val="00492902"/>
    <w:rsid w:val="004933DD"/>
    <w:rsid w:val="00495679"/>
    <w:rsid w:val="004979A7"/>
    <w:rsid w:val="004A0D2F"/>
    <w:rsid w:val="004A16D5"/>
    <w:rsid w:val="004A3A17"/>
    <w:rsid w:val="004A4379"/>
    <w:rsid w:val="004A4472"/>
    <w:rsid w:val="004A45F3"/>
    <w:rsid w:val="004A52A9"/>
    <w:rsid w:val="004A5F2D"/>
    <w:rsid w:val="004A5F6F"/>
    <w:rsid w:val="004B0C6B"/>
    <w:rsid w:val="004B1125"/>
    <w:rsid w:val="004B1E4E"/>
    <w:rsid w:val="004B29B1"/>
    <w:rsid w:val="004B2B1A"/>
    <w:rsid w:val="004B45D8"/>
    <w:rsid w:val="004B4763"/>
    <w:rsid w:val="004B4793"/>
    <w:rsid w:val="004B506A"/>
    <w:rsid w:val="004B58A0"/>
    <w:rsid w:val="004B66CC"/>
    <w:rsid w:val="004B77E2"/>
    <w:rsid w:val="004C10B1"/>
    <w:rsid w:val="004C1105"/>
    <w:rsid w:val="004C1ADF"/>
    <w:rsid w:val="004C2586"/>
    <w:rsid w:val="004C3351"/>
    <w:rsid w:val="004C6258"/>
    <w:rsid w:val="004C66B6"/>
    <w:rsid w:val="004C6ACC"/>
    <w:rsid w:val="004D1AF6"/>
    <w:rsid w:val="004D1E01"/>
    <w:rsid w:val="004D26B3"/>
    <w:rsid w:val="004D3CF4"/>
    <w:rsid w:val="004D52C8"/>
    <w:rsid w:val="004D5571"/>
    <w:rsid w:val="004D6A84"/>
    <w:rsid w:val="004D7AC2"/>
    <w:rsid w:val="004D7EE2"/>
    <w:rsid w:val="004E0DC8"/>
    <w:rsid w:val="004E2DEE"/>
    <w:rsid w:val="004E3916"/>
    <w:rsid w:val="004E48B8"/>
    <w:rsid w:val="004E55A0"/>
    <w:rsid w:val="004E56E5"/>
    <w:rsid w:val="004F1873"/>
    <w:rsid w:val="004F1BE5"/>
    <w:rsid w:val="004F205C"/>
    <w:rsid w:val="004F3674"/>
    <w:rsid w:val="004F4B2A"/>
    <w:rsid w:val="004F52CA"/>
    <w:rsid w:val="004F55F3"/>
    <w:rsid w:val="00500E04"/>
    <w:rsid w:val="00501290"/>
    <w:rsid w:val="005013B7"/>
    <w:rsid w:val="00501579"/>
    <w:rsid w:val="00503B65"/>
    <w:rsid w:val="005049D0"/>
    <w:rsid w:val="005049DA"/>
    <w:rsid w:val="00504E02"/>
    <w:rsid w:val="00505418"/>
    <w:rsid w:val="005055FD"/>
    <w:rsid w:val="00507DE5"/>
    <w:rsid w:val="0051001A"/>
    <w:rsid w:val="005103AE"/>
    <w:rsid w:val="00510BCD"/>
    <w:rsid w:val="005115B0"/>
    <w:rsid w:val="00512CA6"/>
    <w:rsid w:val="00512F18"/>
    <w:rsid w:val="00513A0D"/>
    <w:rsid w:val="00513B8D"/>
    <w:rsid w:val="00513E78"/>
    <w:rsid w:val="00514F6E"/>
    <w:rsid w:val="00515E12"/>
    <w:rsid w:val="005167FD"/>
    <w:rsid w:val="00517044"/>
    <w:rsid w:val="00520842"/>
    <w:rsid w:val="00520B4D"/>
    <w:rsid w:val="005235D3"/>
    <w:rsid w:val="005245B1"/>
    <w:rsid w:val="00526125"/>
    <w:rsid w:val="005261C2"/>
    <w:rsid w:val="0052693F"/>
    <w:rsid w:val="005309CA"/>
    <w:rsid w:val="00530CF0"/>
    <w:rsid w:val="005319D7"/>
    <w:rsid w:val="00532AF4"/>
    <w:rsid w:val="00534944"/>
    <w:rsid w:val="00540318"/>
    <w:rsid w:val="005452F4"/>
    <w:rsid w:val="005463A9"/>
    <w:rsid w:val="00546F57"/>
    <w:rsid w:val="005474D6"/>
    <w:rsid w:val="005500F1"/>
    <w:rsid w:val="005529BD"/>
    <w:rsid w:val="00552ED0"/>
    <w:rsid w:val="00561977"/>
    <w:rsid w:val="00562BF1"/>
    <w:rsid w:val="005630B3"/>
    <w:rsid w:val="00567867"/>
    <w:rsid w:val="00567DE1"/>
    <w:rsid w:val="00570EC9"/>
    <w:rsid w:val="00573658"/>
    <w:rsid w:val="005756F9"/>
    <w:rsid w:val="00575B38"/>
    <w:rsid w:val="00576844"/>
    <w:rsid w:val="005773BD"/>
    <w:rsid w:val="00584382"/>
    <w:rsid w:val="00584762"/>
    <w:rsid w:val="00585BAB"/>
    <w:rsid w:val="005868E8"/>
    <w:rsid w:val="0059057B"/>
    <w:rsid w:val="00590615"/>
    <w:rsid w:val="005937CF"/>
    <w:rsid w:val="005945F6"/>
    <w:rsid w:val="00594DC4"/>
    <w:rsid w:val="00595C07"/>
    <w:rsid w:val="00595E5F"/>
    <w:rsid w:val="005963C4"/>
    <w:rsid w:val="005A0D31"/>
    <w:rsid w:val="005A2758"/>
    <w:rsid w:val="005A2AEA"/>
    <w:rsid w:val="005A338D"/>
    <w:rsid w:val="005A54F0"/>
    <w:rsid w:val="005A560D"/>
    <w:rsid w:val="005A6B6E"/>
    <w:rsid w:val="005B04D0"/>
    <w:rsid w:val="005B4EAA"/>
    <w:rsid w:val="005B760F"/>
    <w:rsid w:val="005B7B0C"/>
    <w:rsid w:val="005C02C1"/>
    <w:rsid w:val="005C10DE"/>
    <w:rsid w:val="005C1128"/>
    <w:rsid w:val="005C5138"/>
    <w:rsid w:val="005C5ED9"/>
    <w:rsid w:val="005C68BD"/>
    <w:rsid w:val="005D141F"/>
    <w:rsid w:val="005D45C9"/>
    <w:rsid w:val="005D4F69"/>
    <w:rsid w:val="005D5D54"/>
    <w:rsid w:val="005D7C72"/>
    <w:rsid w:val="005E159E"/>
    <w:rsid w:val="005E1F85"/>
    <w:rsid w:val="005E3D7C"/>
    <w:rsid w:val="005E5064"/>
    <w:rsid w:val="005E6C7E"/>
    <w:rsid w:val="005E7A75"/>
    <w:rsid w:val="005F0F61"/>
    <w:rsid w:val="005F1BB9"/>
    <w:rsid w:val="005F274A"/>
    <w:rsid w:val="005F2A35"/>
    <w:rsid w:val="005F2B4C"/>
    <w:rsid w:val="005F2D4F"/>
    <w:rsid w:val="005F5585"/>
    <w:rsid w:val="0060218C"/>
    <w:rsid w:val="0060255E"/>
    <w:rsid w:val="00603426"/>
    <w:rsid w:val="0060398A"/>
    <w:rsid w:val="00603FCF"/>
    <w:rsid w:val="006044D7"/>
    <w:rsid w:val="006051A4"/>
    <w:rsid w:val="0060697D"/>
    <w:rsid w:val="00610120"/>
    <w:rsid w:val="006104AA"/>
    <w:rsid w:val="00613DA8"/>
    <w:rsid w:val="00614796"/>
    <w:rsid w:val="00614B07"/>
    <w:rsid w:val="006151A3"/>
    <w:rsid w:val="00615A16"/>
    <w:rsid w:val="006163AA"/>
    <w:rsid w:val="00616EF1"/>
    <w:rsid w:val="0062040F"/>
    <w:rsid w:val="00621504"/>
    <w:rsid w:val="00622936"/>
    <w:rsid w:val="0062383B"/>
    <w:rsid w:val="0062391C"/>
    <w:rsid w:val="006252B8"/>
    <w:rsid w:val="0063177A"/>
    <w:rsid w:val="00633028"/>
    <w:rsid w:val="00636172"/>
    <w:rsid w:val="00637038"/>
    <w:rsid w:val="00640136"/>
    <w:rsid w:val="0064016B"/>
    <w:rsid w:val="006412BB"/>
    <w:rsid w:val="00641CF5"/>
    <w:rsid w:val="00642AB1"/>
    <w:rsid w:val="006471CE"/>
    <w:rsid w:val="00650F88"/>
    <w:rsid w:val="00651517"/>
    <w:rsid w:val="006521FA"/>
    <w:rsid w:val="00652277"/>
    <w:rsid w:val="0065351C"/>
    <w:rsid w:val="00654BDD"/>
    <w:rsid w:val="0065509C"/>
    <w:rsid w:val="006550A6"/>
    <w:rsid w:val="006552C0"/>
    <w:rsid w:val="0065674E"/>
    <w:rsid w:val="006568DF"/>
    <w:rsid w:val="00657F07"/>
    <w:rsid w:val="0066057A"/>
    <w:rsid w:val="00661B4E"/>
    <w:rsid w:val="00662C19"/>
    <w:rsid w:val="00662E19"/>
    <w:rsid w:val="00663F11"/>
    <w:rsid w:val="00665577"/>
    <w:rsid w:val="00666420"/>
    <w:rsid w:val="00670398"/>
    <w:rsid w:val="0067080A"/>
    <w:rsid w:val="00670B1B"/>
    <w:rsid w:val="006729FF"/>
    <w:rsid w:val="006734EC"/>
    <w:rsid w:val="00674509"/>
    <w:rsid w:val="00674F22"/>
    <w:rsid w:val="00675F41"/>
    <w:rsid w:val="00676400"/>
    <w:rsid w:val="00676ECB"/>
    <w:rsid w:val="0068098C"/>
    <w:rsid w:val="0068234A"/>
    <w:rsid w:val="00682965"/>
    <w:rsid w:val="00684C7B"/>
    <w:rsid w:val="0069134A"/>
    <w:rsid w:val="00691F89"/>
    <w:rsid w:val="006922F4"/>
    <w:rsid w:val="00692D9A"/>
    <w:rsid w:val="00694954"/>
    <w:rsid w:val="00694B2E"/>
    <w:rsid w:val="0069726D"/>
    <w:rsid w:val="006972B1"/>
    <w:rsid w:val="006A422B"/>
    <w:rsid w:val="006A4740"/>
    <w:rsid w:val="006A64F2"/>
    <w:rsid w:val="006A67AE"/>
    <w:rsid w:val="006A6A40"/>
    <w:rsid w:val="006B3EFB"/>
    <w:rsid w:val="006B52D8"/>
    <w:rsid w:val="006B6735"/>
    <w:rsid w:val="006B690F"/>
    <w:rsid w:val="006C103F"/>
    <w:rsid w:val="006C245A"/>
    <w:rsid w:val="006C245B"/>
    <w:rsid w:val="006C3295"/>
    <w:rsid w:val="006C3B29"/>
    <w:rsid w:val="006C5DA4"/>
    <w:rsid w:val="006C6489"/>
    <w:rsid w:val="006C6AD0"/>
    <w:rsid w:val="006C6F08"/>
    <w:rsid w:val="006C7836"/>
    <w:rsid w:val="006D491B"/>
    <w:rsid w:val="006D4A8D"/>
    <w:rsid w:val="006D626A"/>
    <w:rsid w:val="006D72FC"/>
    <w:rsid w:val="006D7B01"/>
    <w:rsid w:val="006E1783"/>
    <w:rsid w:val="006E1DF2"/>
    <w:rsid w:val="006E324E"/>
    <w:rsid w:val="006E57E8"/>
    <w:rsid w:val="006E5DEC"/>
    <w:rsid w:val="006E73E3"/>
    <w:rsid w:val="006F08AE"/>
    <w:rsid w:val="006F08CA"/>
    <w:rsid w:val="006F178E"/>
    <w:rsid w:val="006F2ACE"/>
    <w:rsid w:val="006F53CD"/>
    <w:rsid w:val="006F593A"/>
    <w:rsid w:val="006F6660"/>
    <w:rsid w:val="006F6923"/>
    <w:rsid w:val="006F6C06"/>
    <w:rsid w:val="006F79BB"/>
    <w:rsid w:val="007000FB"/>
    <w:rsid w:val="007002F0"/>
    <w:rsid w:val="00700552"/>
    <w:rsid w:val="007008E0"/>
    <w:rsid w:val="007036D6"/>
    <w:rsid w:val="007050B0"/>
    <w:rsid w:val="00705235"/>
    <w:rsid w:val="007107AD"/>
    <w:rsid w:val="00713DCE"/>
    <w:rsid w:val="00715CCA"/>
    <w:rsid w:val="0071638A"/>
    <w:rsid w:val="0071661A"/>
    <w:rsid w:val="00717DF2"/>
    <w:rsid w:val="00720762"/>
    <w:rsid w:val="007210F1"/>
    <w:rsid w:val="0072189B"/>
    <w:rsid w:val="007234E4"/>
    <w:rsid w:val="007244AB"/>
    <w:rsid w:val="007261CF"/>
    <w:rsid w:val="00726644"/>
    <w:rsid w:val="0072718D"/>
    <w:rsid w:val="0072729B"/>
    <w:rsid w:val="00727A57"/>
    <w:rsid w:val="00727A76"/>
    <w:rsid w:val="0073264E"/>
    <w:rsid w:val="00732658"/>
    <w:rsid w:val="007333D4"/>
    <w:rsid w:val="00735001"/>
    <w:rsid w:val="007360E8"/>
    <w:rsid w:val="0073635E"/>
    <w:rsid w:val="007375AF"/>
    <w:rsid w:val="00742C25"/>
    <w:rsid w:val="00743300"/>
    <w:rsid w:val="00744FCC"/>
    <w:rsid w:val="0074519B"/>
    <w:rsid w:val="00745364"/>
    <w:rsid w:val="00745EDE"/>
    <w:rsid w:val="00747A6F"/>
    <w:rsid w:val="00750070"/>
    <w:rsid w:val="007520AB"/>
    <w:rsid w:val="00752308"/>
    <w:rsid w:val="00753406"/>
    <w:rsid w:val="00755150"/>
    <w:rsid w:val="00757E9D"/>
    <w:rsid w:val="00760397"/>
    <w:rsid w:val="00763043"/>
    <w:rsid w:val="00763224"/>
    <w:rsid w:val="00764828"/>
    <w:rsid w:val="007653B8"/>
    <w:rsid w:val="007657F5"/>
    <w:rsid w:val="00766C21"/>
    <w:rsid w:val="007674BB"/>
    <w:rsid w:val="0077010C"/>
    <w:rsid w:val="0077058E"/>
    <w:rsid w:val="00770F98"/>
    <w:rsid w:val="0077122A"/>
    <w:rsid w:val="00772CBB"/>
    <w:rsid w:val="007731F4"/>
    <w:rsid w:val="0077478B"/>
    <w:rsid w:val="007748FA"/>
    <w:rsid w:val="00780E4B"/>
    <w:rsid w:val="00780F82"/>
    <w:rsid w:val="00781BAD"/>
    <w:rsid w:val="00783061"/>
    <w:rsid w:val="007841E7"/>
    <w:rsid w:val="00784D93"/>
    <w:rsid w:val="00785E80"/>
    <w:rsid w:val="00786812"/>
    <w:rsid w:val="0078687B"/>
    <w:rsid w:val="00787B82"/>
    <w:rsid w:val="007902C3"/>
    <w:rsid w:val="00794193"/>
    <w:rsid w:val="00794EF5"/>
    <w:rsid w:val="00795B64"/>
    <w:rsid w:val="007964AA"/>
    <w:rsid w:val="00796F08"/>
    <w:rsid w:val="007A1A4C"/>
    <w:rsid w:val="007A1BB1"/>
    <w:rsid w:val="007A204B"/>
    <w:rsid w:val="007A4181"/>
    <w:rsid w:val="007A46A0"/>
    <w:rsid w:val="007A7939"/>
    <w:rsid w:val="007B08D2"/>
    <w:rsid w:val="007B0FC5"/>
    <w:rsid w:val="007B139F"/>
    <w:rsid w:val="007B21DD"/>
    <w:rsid w:val="007B430A"/>
    <w:rsid w:val="007B442A"/>
    <w:rsid w:val="007B5630"/>
    <w:rsid w:val="007C01F0"/>
    <w:rsid w:val="007C0BAC"/>
    <w:rsid w:val="007C0F73"/>
    <w:rsid w:val="007C13D5"/>
    <w:rsid w:val="007C1C36"/>
    <w:rsid w:val="007C3E3C"/>
    <w:rsid w:val="007C4BA6"/>
    <w:rsid w:val="007C5570"/>
    <w:rsid w:val="007C611C"/>
    <w:rsid w:val="007D2137"/>
    <w:rsid w:val="007D2E70"/>
    <w:rsid w:val="007D58E6"/>
    <w:rsid w:val="007D67D1"/>
    <w:rsid w:val="007E004A"/>
    <w:rsid w:val="007E0E8A"/>
    <w:rsid w:val="007E1C31"/>
    <w:rsid w:val="007E2A88"/>
    <w:rsid w:val="007E39DB"/>
    <w:rsid w:val="007E426A"/>
    <w:rsid w:val="007E451E"/>
    <w:rsid w:val="007E5D49"/>
    <w:rsid w:val="007E6676"/>
    <w:rsid w:val="007E6AE2"/>
    <w:rsid w:val="007E6C65"/>
    <w:rsid w:val="007E6D75"/>
    <w:rsid w:val="007E7CF8"/>
    <w:rsid w:val="007F03D1"/>
    <w:rsid w:val="007F0A09"/>
    <w:rsid w:val="007F3DB6"/>
    <w:rsid w:val="007F7857"/>
    <w:rsid w:val="007F7E28"/>
    <w:rsid w:val="008038A5"/>
    <w:rsid w:val="008046A7"/>
    <w:rsid w:val="00805519"/>
    <w:rsid w:val="00807ABE"/>
    <w:rsid w:val="008102E2"/>
    <w:rsid w:val="00812F13"/>
    <w:rsid w:val="008161F8"/>
    <w:rsid w:val="0082072C"/>
    <w:rsid w:val="008208F3"/>
    <w:rsid w:val="008210E6"/>
    <w:rsid w:val="008211B6"/>
    <w:rsid w:val="008215F2"/>
    <w:rsid w:val="00821DC6"/>
    <w:rsid w:val="00822EEA"/>
    <w:rsid w:val="008251FA"/>
    <w:rsid w:val="00826AB3"/>
    <w:rsid w:val="00830A0A"/>
    <w:rsid w:val="008311D0"/>
    <w:rsid w:val="00831EDA"/>
    <w:rsid w:val="00833FF2"/>
    <w:rsid w:val="0083482E"/>
    <w:rsid w:val="008363BD"/>
    <w:rsid w:val="00837226"/>
    <w:rsid w:val="008417CC"/>
    <w:rsid w:val="00842293"/>
    <w:rsid w:val="0084233D"/>
    <w:rsid w:val="008433EA"/>
    <w:rsid w:val="00843D72"/>
    <w:rsid w:val="00844152"/>
    <w:rsid w:val="0084419E"/>
    <w:rsid w:val="008443D6"/>
    <w:rsid w:val="00847619"/>
    <w:rsid w:val="00850F7F"/>
    <w:rsid w:val="008527AF"/>
    <w:rsid w:val="00853982"/>
    <w:rsid w:val="0085796E"/>
    <w:rsid w:val="00860B56"/>
    <w:rsid w:val="0086208C"/>
    <w:rsid w:val="00862DD6"/>
    <w:rsid w:val="00863319"/>
    <w:rsid w:val="00864760"/>
    <w:rsid w:val="008659C3"/>
    <w:rsid w:val="00865E1F"/>
    <w:rsid w:val="00870E3F"/>
    <w:rsid w:val="00872FDD"/>
    <w:rsid w:val="008739F3"/>
    <w:rsid w:val="00873C98"/>
    <w:rsid w:val="00873E3A"/>
    <w:rsid w:val="00873ED3"/>
    <w:rsid w:val="00874963"/>
    <w:rsid w:val="00874F7D"/>
    <w:rsid w:val="00875888"/>
    <w:rsid w:val="00877335"/>
    <w:rsid w:val="008779F9"/>
    <w:rsid w:val="00877F40"/>
    <w:rsid w:val="00877F89"/>
    <w:rsid w:val="00880F9D"/>
    <w:rsid w:val="00881A7C"/>
    <w:rsid w:val="00881D0D"/>
    <w:rsid w:val="00882478"/>
    <w:rsid w:val="00883C2D"/>
    <w:rsid w:val="00883D57"/>
    <w:rsid w:val="00883E28"/>
    <w:rsid w:val="00885412"/>
    <w:rsid w:val="00886291"/>
    <w:rsid w:val="00887BD6"/>
    <w:rsid w:val="0089092B"/>
    <w:rsid w:val="00890FD6"/>
    <w:rsid w:val="0089104A"/>
    <w:rsid w:val="008918D2"/>
    <w:rsid w:val="008938E8"/>
    <w:rsid w:val="00895B38"/>
    <w:rsid w:val="0089619E"/>
    <w:rsid w:val="008A53F1"/>
    <w:rsid w:val="008A5CC6"/>
    <w:rsid w:val="008B4536"/>
    <w:rsid w:val="008B4F4B"/>
    <w:rsid w:val="008B629C"/>
    <w:rsid w:val="008C0A8C"/>
    <w:rsid w:val="008C1CCC"/>
    <w:rsid w:val="008C1EEA"/>
    <w:rsid w:val="008C3426"/>
    <w:rsid w:val="008C387F"/>
    <w:rsid w:val="008C3E88"/>
    <w:rsid w:val="008C4B08"/>
    <w:rsid w:val="008C6C90"/>
    <w:rsid w:val="008C6CD3"/>
    <w:rsid w:val="008C6F74"/>
    <w:rsid w:val="008C7DE2"/>
    <w:rsid w:val="008D25CC"/>
    <w:rsid w:val="008D3E8B"/>
    <w:rsid w:val="008E0D6A"/>
    <w:rsid w:val="008E0FA9"/>
    <w:rsid w:val="008E121E"/>
    <w:rsid w:val="008E1FBF"/>
    <w:rsid w:val="008E3C17"/>
    <w:rsid w:val="008E4487"/>
    <w:rsid w:val="008E73F7"/>
    <w:rsid w:val="008F190D"/>
    <w:rsid w:val="008F213F"/>
    <w:rsid w:val="008F2375"/>
    <w:rsid w:val="008F257B"/>
    <w:rsid w:val="008F31AE"/>
    <w:rsid w:val="008F3642"/>
    <w:rsid w:val="008F39E0"/>
    <w:rsid w:val="008F42CE"/>
    <w:rsid w:val="008F46F1"/>
    <w:rsid w:val="008F5E2B"/>
    <w:rsid w:val="008F7441"/>
    <w:rsid w:val="00900048"/>
    <w:rsid w:val="00900165"/>
    <w:rsid w:val="00901FC3"/>
    <w:rsid w:val="00904091"/>
    <w:rsid w:val="009044B7"/>
    <w:rsid w:val="00904D93"/>
    <w:rsid w:val="00904E5E"/>
    <w:rsid w:val="00906166"/>
    <w:rsid w:val="00906E26"/>
    <w:rsid w:val="00907C81"/>
    <w:rsid w:val="00910329"/>
    <w:rsid w:val="00912360"/>
    <w:rsid w:val="00912546"/>
    <w:rsid w:val="00913DB0"/>
    <w:rsid w:val="00914472"/>
    <w:rsid w:val="009179A5"/>
    <w:rsid w:val="00917AE9"/>
    <w:rsid w:val="0092089F"/>
    <w:rsid w:val="00921B0A"/>
    <w:rsid w:val="00921DA9"/>
    <w:rsid w:val="009221A8"/>
    <w:rsid w:val="0092220D"/>
    <w:rsid w:val="009234EE"/>
    <w:rsid w:val="00924E7E"/>
    <w:rsid w:val="00924EC0"/>
    <w:rsid w:val="0092569D"/>
    <w:rsid w:val="00927382"/>
    <w:rsid w:val="00930D93"/>
    <w:rsid w:val="00933019"/>
    <w:rsid w:val="00933C18"/>
    <w:rsid w:val="009357B8"/>
    <w:rsid w:val="0093626D"/>
    <w:rsid w:val="00936FDA"/>
    <w:rsid w:val="00937D7C"/>
    <w:rsid w:val="009404E9"/>
    <w:rsid w:val="00940C6E"/>
    <w:rsid w:val="0094137F"/>
    <w:rsid w:val="00941BFF"/>
    <w:rsid w:val="00941E0A"/>
    <w:rsid w:val="0094214A"/>
    <w:rsid w:val="00942B3C"/>
    <w:rsid w:val="00943ADC"/>
    <w:rsid w:val="00943C45"/>
    <w:rsid w:val="00943D77"/>
    <w:rsid w:val="00943FF3"/>
    <w:rsid w:val="00947132"/>
    <w:rsid w:val="00947187"/>
    <w:rsid w:val="00947A6E"/>
    <w:rsid w:val="00951681"/>
    <w:rsid w:val="00951893"/>
    <w:rsid w:val="00951BC4"/>
    <w:rsid w:val="00954A70"/>
    <w:rsid w:val="00957FE3"/>
    <w:rsid w:val="009603C9"/>
    <w:rsid w:val="00960B87"/>
    <w:rsid w:val="00962AAD"/>
    <w:rsid w:val="009635AB"/>
    <w:rsid w:val="00964C04"/>
    <w:rsid w:val="00964ECF"/>
    <w:rsid w:val="00971A09"/>
    <w:rsid w:val="00975E03"/>
    <w:rsid w:val="00976AD3"/>
    <w:rsid w:val="00976B27"/>
    <w:rsid w:val="00976E44"/>
    <w:rsid w:val="0097786E"/>
    <w:rsid w:val="00980566"/>
    <w:rsid w:val="00982B72"/>
    <w:rsid w:val="00982F45"/>
    <w:rsid w:val="00983C51"/>
    <w:rsid w:val="00985D2D"/>
    <w:rsid w:val="0098641B"/>
    <w:rsid w:val="00986732"/>
    <w:rsid w:val="00986ECD"/>
    <w:rsid w:val="009903E3"/>
    <w:rsid w:val="0099152D"/>
    <w:rsid w:val="0099176B"/>
    <w:rsid w:val="00994325"/>
    <w:rsid w:val="0099459B"/>
    <w:rsid w:val="00994B27"/>
    <w:rsid w:val="009972E5"/>
    <w:rsid w:val="00997729"/>
    <w:rsid w:val="009A1208"/>
    <w:rsid w:val="009A17C6"/>
    <w:rsid w:val="009A2737"/>
    <w:rsid w:val="009A2A70"/>
    <w:rsid w:val="009A3BF3"/>
    <w:rsid w:val="009A3D45"/>
    <w:rsid w:val="009A7D1A"/>
    <w:rsid w:val="009B216C"/>
    <w:rsid w:val="009B2249"/>
    <w:rsid w:val="009B3268"/>
    <w:rsid w:val="009B3324"/>
    <w:rsid w:val="009B3415"/>
    <w:rsid w:val="009B355A"/>
    <w:rsid w:val="009B3BC3"/>
    <w:rsid w:val="009B3FBE"/>
    <w:rsid w:val="009B5FBB"/>
    <w:rsid w:val="009B6175"/>
    <w:rsid w:val="009B6B49"/>
    <w:rsid w:val="009B6CD7"/>
    <w:rsid w:val="009C027C"/>
    <w:rsid w:val="009C14CA"/>
    <w:rsid w:val="009C4BA5"/>
    <w:rsid w:val="009C4EA8"/>
    <w:rsid w:val="009C6580"/>
    <w:rsid w:val="009C69FB"/>
    <w:rsid w:val="009C6D70"/>
    <w:rsid w:val="009C7CDC"/>
    <w:rsid w:val="009D00D7"/>
    <w:rsid w:val="009D0659"/>
    <w:rsid w:val="009D119A"/>
    <w:rsid w:val="009D3ECA"/>
    <w:rsid w:val="009D440B"/>
    <w:rsid w:val="009D4E15"/>
    <w:rsid w:val="009D53FE"/>
    <w:rsid w:val="009D6721"/>
    <w:rsid w:val="009E025F"/>
    <w:rsid w:val="009E0743"/>
    <w:rsid w:val="009E0762"/>
    <w:rsid w:val="009E16BB"/>
    <w:rsid w:val="009E232E"/>
    <w:rsid w:val="009E25B0"/>
    <w:rsid w:val="009E2ECE"/>
    <w:rsid w:val="009E3469"/>
    <w:rsid w:val="009E3575"/>
    <w:rsid w:val="009E4DD5"/>
    <w:rsid w:val="009E57B9"/>
    <w:rsid w:val="009E6258"/>
    <w:rsid w:val="009E63AB"/>
    <w:rsid w:val="009E6878"/>
    <w:rsid w:val="009E7E5A"/>
    <w:rsid w:val="009F07ED"/>
    <w:rsid w:val="009F11E1"/>
    <w:rsid w:val="009F17FE"/>
    <w:rsid w:val="009F23BF"/>
    <w:rsid w:val="009F3398"/>
    <w:rsid w:val="009F34A1"/>
    <w:rsid w:val="009F3F30"/>
    <w:rsid w:val="009F4617"/>
    <w:rsid w:val="009F47A7"/>
    <w:rsid w:val="009F707B"/>
    <w:rsid w:val="009F7990"/>
    <w:rsid w:val="009F7A6D"/>
    <w:rsid w:val="009F7EA4"/>
    <w:rsid w:val="00A009D4"/>
    <w:rsid w:val="00A01B68"/>
    <w:rsid w:val="00A07831"/>
    <w:rsid w:val="00A11885"/>
    <w:rsid w:val="00A12944"/>
    <w:rsid w:val="00A14EFC"/>
    <w:rsid w:val="00A15C72"/>
    <w:rsid w:val="00A15DFA"/>
    <w:rsid w:val="00A1618D"/>
    <w:rsid w:val="00A1696D"/>
    <w:rsid w:val="00A2091A"/>
    <w:rsid w:val="00A22BE0"/>
    <w:rsid w:val="00A236B7"/>
    <w:rsid w:val="00A23AFA"/>
    <w:rsid w:val="00A24C4F"/>
    <w:rsid w:val="00A26FCB"/>
    <w:rsid w:val="00A2719F"/>
    <w:rsid w:val="00A27480"/>
    <w:rsid w:val="00A312B8"/>
    <w:rsid w:val="00A315F9"/>
    <w:rsid w:val="00A32C82"/>
    <w:rsid w:val="00A33A9C"/>
    <w:rsid w:val="00A34581"/>
    <w:rsid w:val="00A34CA4"/>
    <w:rsid w:val="00A35315"/>
    <w:rsid w:val="00A35702"/>
    <w:rsid w:val="00A3641B"/>
    <w:rsid w:val="00A378E2"/>
    <w:rsid w:val="00A42954"/>
    <w:rsid w:val="00A42FB5"/>
    <w:rsid w:val="00A442C3"/>
    <w:rsid w:val="00A449D3"/>
    <w:rsid w:val="00A4502E"/>
    <w:rsid w:val="00A4523E"/>
    <w:rsid w:val="00A474D4"/>
    <w:rsid w:val="00A52165"/>
    <w:rsid w:val="00A52CD8"/>
    <w:rsid w:val="00A537F8"/>
    <w:rsid w:val="00A56354"/>
    <w:rsid w:val="00A57335"/>
    <w:rsid w:val="00A57FFA"/>
    <w:rsid w:val="00A60BE2"/>
    <w:rsid w:val="00A60C3E"/>
    <w:rsid w:val="00A6276E"/>
    <w:rsid w:val="00A63BFC"/>
    <w:rsid w:val="00A6485C"/>
    <w:rsid w:val="00A64BCE"/>
    <w:rsid w:val="00A653DC"/>
    <w:rsid w:val="00A66FC3"/>
    <w:rsid w:val="00A7014D"/>
    <w:rsid w:val="00A71047"/>
    <w:rsid w:val="00A77698"/>
    <w:rsid w:val="00A83596"/>
    <w:rsid w:val="00A835FF"/>
    <w:rsid w:val="00A83846"/>
    <w:rsid w:val="00A83E30"/>
    <w:rsid w:val="00A870B8"/>
    <w:rsid w:val="00A901DA"/>
    <w:rsid w:val="00A916E8"/>
    <w:rsid w:val="00A91C93"/>
    <w:rsid w:val="00A92349"/>
    <w:rsid w:val="00A92F77"/>
    <w:rsid w:val="00A937FA"/>
    <w:rsid w:val="00A944BC"/>
    <w:rsid w:val="00A97F3E"/>
    <w:rsid w:val="00AA1CCA"/>
    <w:rsid w:val="00AA2232"/>
    <w:rsid w:val="00AA31D4"/>
    <w:rsid w:val="00AA4C9C"/>
    <w:rsid w:val="00AB07B5"/>
    <w:rsid w:val="00AB0B25"/>
    <w:rsid w:val="00AB1D8F"/>
    <w:rsid w:val="00AB20B4"/>
    <w:rsid w:val="00AB5A09"/>
    <w:rsid w:val="00AC1103"/>
    <w:rsid w:val="00AC14B3"/>
    <w:rsid w:val="00AC26E2"/>
    <w:rsid w:val="00AC4481"/>
    <w:rsid w:val="00AC54FF"/>
    <w:rsid w:val="00AC7A91"/>
    <w:rsid w:val="00AC7B96"/>
    <w:rsid w:val="00AD066A"/>
    <w:rsid w:val="00AD069F"/>
    <w:rsid w:val="00AD1100"/>
    <w:rsid w:val="00AD16E8"/>
    <w:rsid w:val="00AD3E7D"/>
    <w:rsid w:val="00AD78F0"/>
    <w:rsid w:val="00AE0F52"/>
    <w:rsid w:val="00AE150A"/>
    <w:rsid w:val="00AE21E5"/>
    <w:rsid w:val="00AE236B"/>
    <w:rsid w:val="00AE315A"/>
    <w:rsid w:val="00AE3450"/>
    <w:rsid w:val="00AE6923"/>
    <w:rsid w:val="00AE699D"/>
    <w:rsid w:val="00AF092A"/>
    <w:rsid w:val="00AF1477"/>
    <w:rsid w:val="00AF23B5"/>
    <w:rsid w:val="00AF33FC"/>
    <w:rsid w:val="00AF4C7A"/>
    <w:rsid w:val="00AF5461"/>
    <w:rsid w:val="00AF5CE0"/>
    <w:rsid w:val="00AF6AE2"/>
    <w:rsid w:val="00B003A5"/>
    <w:rsid w:val="00B00AA3"/>
    <w:rsid w:val="00B0111A"/>
    <w:rsid w:val="00B01DC8"/>
    <w:rsid w:val="00B02278"/>
    <w:rsid w:val="00B02770"/>
    <w:rsid w:val="00B03CB4"/>
    <w:rsid w:val="00B042A9"/>
    <w:rsid w:val="00B0540A"/>
    <w:rsid w:val="00B072ED"/>
    <w:rsid w:val="00B0740E"/>
    <w:rsid w:val="00B07D2A"/>
    <w:rsid w:val="00B101BC"/>
    <w:rsid w:val="00B10501"/>
    <w:rsid w:val="00B1144E"/>
    <w:rsid w:val="00B1170E"/>
    <w:rsid w:val="00B131FA"/>
    <w:rsid w:val="00B1361D"/>
    <w:rsid w:val="00B13AF7"/>
    <w:rsid w:val="00B14A97"/>
    <w:rsid w:val="00B14CCC"/>
    <w:rsid w:val="00B15030"/>
    <w:rsid w:val="00B150FA"/>
    <w:rsid w:val="00B1617D"/>
    <w:rsid w:val="00B17E85"/>
    <w:rsid w:val="00B20520"/>
    <w:rsid w:val="00B20CC1"/>
    <w:rsid w:val="00B20D8C"/>
    <w:rsid w:val="00B20EE3"/>
    <w:rsid w:val="00B21B7C"/>
    <w:rsid w:val="00B22AC5"/>
    <w:rsid w:val="00B23D51"/>
    <w:rsid w:val="00B24C6D"/>
    <w:rsid w:val="00B26BBE"/>
    <w:rsid w:val="00B272DA"/>
    <w:rsid w:val="00B273CB"/>
    <w:rsid w:val="00B313C8"/>
    <w:rsid w:val="00B31971"/>
    <w:rsid w:val="00B323F0"/>
    <w:rsid w:val="00B32DC1"/>
    <w:rsid w:val="00B37A3F"/>
    <w:rsid w:val="00B37E41"/>
    <w:rsid w:val="00B40D3A"/>
    <w:rsid w:val="00B42CD9"/>
    <w:rsid w:val="00B43305"/>
    <w:rsid w:val="00B445DE"/>
    <w:rsid w:val="00B460E3"/>
    <w:rsid w:val="00B47304"/>
    <w:rsid w:val="00B47709"/>
    <w:rsid w:val="00B47C3D"/>
    <w:rsid w:val="00B50794"/>
    <w:rsid w:val="00B50EE6"/>
    <w:rsid w:val="00B51C9C"/>
    <w:rsid w:val="00B547CD"/>
    <w:rsid w:val="00B565CE"/>
    <w:rsid w:val="00B56F52"/>
    <w:rsid w:val="00B5729B"/>
    <w:rsid w:val="00B5789D"/>
    <w:rsid w:val="00B610FF"/>
    <w:rsid w:val="00B61DEE"/>
    <w:rsid w:val="00B63C3C"/>
    <w:rsid w:val="00B67637"/>
    <w:rsid w:val="00B7275D"/>
    <w:rsid w:val="00B72BEA"/>
    <w:rsid w:val="00B740A9"/>
    <w:rsid w:val="00B757FB"/>
    <w:rsid w:val="00B763C7"/>
    <w:rsid w:val="00B76AE9"/>
    <w:rsid w:val="00B77E31"/>
    <w:rsid w:val="00B77E3B"/>
    <w:rsid w:val="00B816DD"/>
    <w:rsid w:val="00B81A18"/>
    <w:rsid w:val="00B81D8F"/>
    <w:rsid w:val="00B82AC2"/>
    <w:rsid w:val="00B83235"/>
    <w:rsid w:val="00B83B3D"/>
    <w:rsid w:val="00B83C4A"/>
    <w:rsid w:val="00B87A0A"/>
    <w:rsid w:val="00B914C2"/>
    <w:rsid w:val="00B93583"/>
    <w:rsid w:val="00B9411C"/>
    <w:rsid w:val="00B955B3"/>
    <w:rsid w:val="00B95C1A"/>
    <w:rsid w:val="00BA0E33"/>
    <w:rsid w:val="00BA1806"/>
    <w:rsid w:val="00BA2467"/>
    <w:rsid w:val="00BA3333"/>
    <w:rsid w:val="00BA36B3"/>
    <w:rsid w:val="00BA3AF2"/>
    <w:rsid w:val="00BA4E68"/>
    <w:rsid w:val="00BA577F"/>
    <w:rsid w:val="00BA5B1F"/>
    <w:rsid w:val="00BA66B1"/>
    <w:rsid w:val="00BA68C6"/>
    <w:rsid w:val="00BA74E5"/>
    <w:rsid w:val="00BB0985"/>
    <w:rsid w:val="00BB1638"/>
    <w:rsid w:val="00BB4BAF"/>
    <w:rsid w:val="00BB4EF1"/>
    <w:rsid w:val="00BB5FEA"/>
    <w:rsid w:val="00BB6E06"/>
    <w:rsid w:val="00BB7BBE"/>
    <w:rsid w:val="00BB7E8B"/>
    <w:rsid w:val="00BC1C98"/>
    <w:rsid w:val="00BC1DCF"/>
    <w:rsid w:val="00BC346D"/>
    <w:rsid w:val="00BC34EF"/>
    <w:rsid w:val="00BC35D4"/>
    <w:rsid w:val="00BC3D16"/>
    <w:rsid w:val="00BC66DF"/>
    <w:rsid w:val="00BD17F8"/>
    <w:rsid w:val="00BD2038"/>
    <w:rsid w:val="00BD3E57"/>
    <w:rsid w:val="00BD3FCD"/>
    <w:rsid w:val="00BD4DFB"/>
    <w:rsid w:val="00BD7FE2"/>
    <w:rsid w:val="00BE16EE"/>
    <w:rsid w:val="00BE2DE0"/>
    <w:rsid w:val="00BE3510"/>
    <w:rsid w:val="00BE4071"/>
    <w:rsid w:val="00BE42E2"/>
    <w:rsid w:val="00BE4BA6"/>
    <w:rsid w:val="00BE6C86"/>
    <w:rsid w:val="00BE761E"/>
    <w:rsid w:val="00BF0827"/>
    <w:rsid w:val="00BF1860"/>
    <w:rsid w:val="00BF2208"/>
    <w:rsid w:val="00BF2F4A"/>
    <w:rsid w:val="00BF3093"/>
    <w:rsid w:val="00BF3C89"/>
    <w:rsid w:val="00BF43D9"/>
    <w:rsid w:val="00BF4912"/>
    <w:rsid w:val="00BF4D9C"/>
    <w:rsid w:val="00BF4EB8"/>
    <w:rsid w:val="00BF75BB"/>
    <w:rsid w:val="00BF761D"/>
    <w:rsid w:val="00C00BA8"/>
    <w:rsid w:val="00C01334"/>
    <w:rsid w:val="00C01528"/>
    <w:rsid w:val="00C04531"/>
    <w:rsid w:val="00C04558"/>
    <w:rsid w:val="00C04EA1"/>
    <w:rsid w:val="00C07784"/>
    <w:rsid w:val="00C11AAF"/>
    <w:rsid w:val="00C11EFF"/>
    <w:rsid w:val="00C12370"/>
    <w:rsid w:val="00C124E6"/>
    <w:rsid w:val="00C12BAE"/>
    <w:rsid w:val="00C12DB3"/>
    <w:rsid w:val="00C12F53"/>
    <w:rsid w:val="00C13F83"/>
    <w:rsid w:val="00C15167"/>
    <w:rsid w:val="00C15382"/>
    <w:rsid w:val="00C15A52"/>
    <w:rsid w:val="00C15ECA"/>
    <w:rsid w:val="00C16531"/>
    <w:rsid w:val="00C1705F"/>
    <w:rsid w:val="00C1764C"/>
    <w:rsid w:val="00C20E93"/>
    <w:rsid w:val="00C222F3"/>
    <w:rsid w:val="00C23BF2"/>
    <w:rsid w:val="00C24004"/>
    <w:rsid w:val="00C24455"/>
    <w:rsid w:val="00C24695"/>
    <w:rsid w:val="00C254F0"/>
    <w:rsid w:val="00C26F54"/>
    <w:rsid w:val="00C328D7"/>
    <w:rsid w:val="00C33EB2"/>
    <w:rsid w:val="00C37799"/>
    <w:rsid w:val="00C37CD0"/>
    <w:rsid w:val="00C405C2"/>
    <w:rsid w:val="00C411DB"/>
    <w:rsid w:val="00C4210E"/>
    <w:rsid w:val="00C43D56"/>
    <w:rsid w:val="00C44018"/>
    <w:rsid w:val="00C45B2D"/>
    <w:rsid w:val="00C45BA3"/>
    <w:rsid w:val="00C46557"/>
    <w:rsid w:val="00C46D59"/>
    <w:rsid w:val="00C46DC6"/>
    <w:rsid w:val="00C4789A"/>
    <w:rsid w:val="00C51603"/>
    <w:rsid w:val="00C5492F"/>
    <w:rsid w:val="00C55401"/>
    <w:rsid w:val="00C55A2D"/>
    <w:rsid w:val="00C574B0"/>
    <w:rsid w:val="00C5777B"/>
    <w:rsid w:val="00C612DD"/>
    <w:rsid w:val="00C6172C"/>
    <w:rsid w:val="00C61F76"/>
    <w:rsid w:val="00C62EC7"/>
    <w:rsid w:val="00C6750A"/>
    <w:rsid w:val="00C679CE"/>
    <w:rsid w:val="00C7079F"/>
    <w:rsid w:val="00C71E83"/>
    <w:rsid w:val="00C72533"/>
    <w:rsid w:val="00C72589"/>
    <w:rsid w:val="00C81090"/>
    <w:rsid w:val="00C82321"/>
    <w:rsid w:val="00C832E4"/>
    <w:rsid w:val="00C8389C"/>
    <w:rsid w:val="00C84FCE"/>
    <w:rsid w:val="00C852A9"/>
    <w:rsid w:val="00C8745C"/>
    <w:rsid w:val="00C9312F"/>
    <w:rsid w:val="00C93740"/>
    <w:rsid w:val="00C94D9D"/>
    <w:rsid w:val="00C9582E"/>
    <w:rsid w:val="00C9609F"/>
    <w:rsid w:val="00C961E7"/>
    <w:rsid w:val="00C96DE4"/>
    <w:rsid w:val="00CA06B1"/>
    <w:rsid w:val="00CA06FD"/>
    <w:rsid w:val="00CA0796"/>
    <w:rsid w:val="00CA1E61"/>
    <w:rsid w:val="00CA46C3"/>
    <w:rsid w:val="00CA635B"/>
    <w:rsid w:val="00CA6B55"/>
    <w:rsid w:val="00CA6D24"/>
    <w:rsid w:val="00CA7E2B"/>
    <w:rsid w:val="00CB2242"/>
    <w:rsid w:val="00CB291F"/>
    <w:rsid w:val="00CB2B08"/>
    <w:rsid w:val="00CB2F62"/>
    <w:rsid w:val="00CB39C7"/>
    <w:rsid w:val="00CB6300"/>
    <w:rsid w:val="00CB6FCC"/>
    <w:rsid w:val="00CB709D"/>
    <w:rsid w:val="00CB7B6B"/>
    <w:rsid w:val="00CB7E04"/>
    <w:rsid w:val="00CC0BE8"/>
    <w:rsid w:val="00CC300E"/>
    <w:rsid w:val="00CC32DD"/>
    <w:rsid w:val="00CC3396"/>
    <w:rsid w:val="00CC3CE6"/>
    <w:rsid w:val="00CC3E11"/>
    <w:rsid w:val="00CC5944"/>
    <w:rsid w:val="00CC6700"/>
    <w:rsid w:val="00CC69FC"/>
    <w:rsid w:val="00CC6D89"/>
    <w:rsid w:val="00CC6F63"/>
    <w:rsid w:val="00CD00F4"/>
    <w:rsid w:val="00CD02F6"/>
    <w:rsid w:val="00CD1278"/>
    <w:rsid w:val="00CD20F8"/>
    <w:rsid w:val="00CD34E9"/>
    <w:rsid w:val="00CD3EF6"/>
    <w:rsid w:val="00CD4A99"/>
    <w:rsid w:val="00CD53F0"/>
    <w:rsid w:val="00CD798E"/>
    <w:rsid w:val="00CE116F"/>
    <w:rsid w:val="00CE1403"/>
    <w:rsid w:val="00CE2FD5"/>
    <w:rsid w:val="00CE452F"/>
    <w:rsid w:val="00CE5B10"/>
    <w:rsid w:val="00CE7902"/>
    <w:rsid w:val="00CE7F8F"/>
    <w:rsid w:val="00CF15F2"/>
    <w:rsid w:val="00CF1A8C"/>
    <w:rsid w:val="00CF3126"/>
    <w:rsid w:val="00CF35E9"/>
    <w:rsid w:val="00CF43F2"/>
    <w:rsid w:val="00CF464C"/>
    <w:rsid w:val="00CF4B8D"/>
    <w:rsid w:val="00CF512C"/>
    <w:rsid w:val="00CF644A"/>
    <w:rsid w:val="00D00AB4"/>
    <w:rsid w:val="00D02312"/>
    <w:rsid w:val="00D0333B"/>
    <w:rsid w:val="00D0406D"/>
    <w:rsid w:val="00D06CF4"/>
    <w:rsid w:val="00D06F41"/>
    <w:rsid w:val="00D07E4C"/>
    <w:rsid w:val="00D1088E"/>
    <w:rsid w:val="00D113CD"/>
    <w:rsid w:val="00D162BC"/>
    <w:rsid w:val="00D16631"/>
    <w:rsid w:val="00D167BB"/>
    <w:rsid w:val="00D171FD"/>
    <w:rsid w:val="00D205BA"/>
    <w:rsid w:val="00D20805"/>
    <w:rsid w:val="00D20EF1"/>
    <w:rsid w:val="00D21838"/>
    <w:rsid w:val="00D24B74"/>
    <w:rsid w:val="00D25882"/>
    <w:rsid w:val="00D25F59"/>
    <w:rsid w:val="00D267A9"/>
    <w:rsid w:val="00D3025A"/>
    <w:rsid w:val="00D31B84"/>
    <w:rsid w:val="00D3255C"/>
    <w:rsid w:val="00D3420E"/>
    <w:rsid w:val="00D34779"/>
    <w:rsid w:val="00D356CF"/>
    <w:rsid w:val="00D4206A"/>
    <w:rsid w:val="00D4291E"/>
    <w:rsid w:val="00D42D30"/>
    <w:rsid w:val="00D44393"/>
    <w:rsid w:val="00D446FE"/>
    <w:rsid w:val="00D447C5"/>
    <w:rsid w:val="00D45CA2"/>
    <w:rsid w:val="00D50135"/>
    <w:rsid w:val="00D50C61"/>
    <w:rsid w:val="00D53926"/>
    <w:rsid w:val="00D53B6D"/>
    <w:rsid w:val="00D5467A"/>
    <w:rsid w:val="00D5467C"/>
    <w:rsid w:val="00D55B35"/>
    <w:rsid w:val="00D56EED"/>
    <w:rsid w:val="00D6141B"/>
    <w:rsid w:val="00D61E41"/>
    <w:rsid w:val="00D6438C"/>
    <w:rsid w:val="00D648E8"/>
    <w:rsid w:val="00D6498B"/>
    <w:rsid w:val="00D65AC8"/>
    <w:rsid w:val="00D65C12"/>
    <w:rsid w:val="00D65EC9"/>
    <w:rsid w:val="00D66805"/>
    <w:rsid w:val="00D7008E"/>
    <w:rsid w:val="00D70BC1"/>
    <w:rsid w:val="00D723DB"/>
    <w:rsid w:val="00D72F00"/>
    <w:rsid w:val="00D73383"/>
    <w:rsid w:val="00D7641A"/>
    <w:rsid w:val="00D779B4"/>
    <w:rsid w:val="00D77E01"/>
    <w:rsid w:val="00D807D1"/>
    <w:rsid w:val="00D81489"/>
    <w:rsid w:val="00D81AED"/>
    <w:rsid w:val="00D81DC6"/>
    <w:rsid w:val="00D82B6F"/>
    <w:rsid w:val="00D8395C"/>
    <w:rsid w:val="00D84E2D"/>
    <w:rsid w:val="00D867F5"/>
    <w:rsid w:val="00D87BEB"/>
    <w:rsid w:val="00D91676"/>
    <w:rsid w:val="00D9281D"/>
    <w:rsid w:val="00D957AB"/>
    <w:rsid w:val="00D9695C"/>
    <w:rsid w:val="00DA0270"/>
    <w:rsid w:val="00DA04D6"/>
    <w:rsid w:val="00DA0675"/>
    <w:rsid w:val="00DA06FC"/>
    <w:rsid w:val="00DA313B"/>
    <w:rsid w:val="00DA487D"/>
    <w:rsid w:val="00DA50A3"/>
    <w:rsid w:val="00DA56F0"/>
    <w:rsid w:val="00DA5A83"/>
    <w:rsid w:val="00DA5F0B"/>
    <w:rsid w:val="00DA729C"/>
    <w:rsid w:val="00DB0F38"/>
    <w:rsid w:val="00DB4C8D"/>
    <w:rsid w:val="00DB58AA"/>
    <w:rsid w:val="00DB5F13"/>
    <w:rsid w:val="00DB645E"/>
    <w:rsid w:val="00DB6B07"/>
    <w:rsid w:val="00DB7DBD"/>
    <w:rsid w:val="00DC014B"/>
    <w:rsid w:val="00DC159F"/>
    <w:rsid w:val="00DC2236"/>
    <w:rsid w:val="00DC3338"/>
    <w:rsid w:val="00DC4551"/>
    <w:rsid w:val="00DC46E5"/>
    <w:rsid w:val="00DC5B32"/>
    <w:rsid w:val="00DD40C0"/>
    <w:rsid w:val="00DD6F9B"/>
    <w:rsid w:val="00DE0A87"/>
    <w:rsid w:val="00DE11FA"/>
    <w:rsid w:val="00DE27F3"/>
    <w:rsid w:val="00DE2FEA"/>
    <w:rsid w:val="00DE3B4F"/>
    <w:rsid w:val="00DE41A5"/>
    <w:rsid w:val="00DE5630"/>
    <w:rsid w:val="00DE5FF0"/>
    <w:rsid w:val="00DE6E83"/>
    <w:rsid w:val="00DF0EC6"/>
    <w:rsid w:val="00DF1AE0"/>
    <w:rsid w:val="00DF26E7"/>
    <w:rsid w:val="00DF372E"/>
    <w:rsid w:val="00DF6DBF"/>
    <w:rsid w:val="00DF6EF9"/>
    <w:rsid w:val="00E023C4"/>
    <w:rsid w:val="00E02CC4"/>
    <w:rsid w:val="00E04585"/>
    <w:rsid w:val="00E049A4"/>
    <w:rsid w:val="00E051E1"/>
    <w:rsid w:val="00E061CA"/>
    <w:rsid w:val="00E061FF"/>
    <w:rsid w:val="00E07531"/>
    <w:rsid w:val="00E107AD"/>
    <w:rsid w:val="00E1233F"/>
    <w:rsid w:val="00E125AF"/>
    <w:rsid w:val="00E12F39"/>
    <w:rsid w:val="00E13082"/>
    <w:rsid w:val="00E13119"/>
    <w:rsid w:val="00E1342A"/>
    <w:rsid w:val="00E14388"/>
    <w:rsid w:val="00E14ED6"/>
    <w:rsid w:val="00E15CA2"/>
    <w:rsid w:val="00E1687C"/>
    <w:rsid w:val="00E2103D"/>
    <w:rsid w:val="00E21788"/>
    <w:rsid w:val="00E22831"/>
    <w:rsid w:val="00E242D3"/>
    <w:rsid w:val="00E24CA4"/>
    <w:rsid w:val="00E25CC2"/>
    <w:rsid w:val="00E263EE"/>
    <w:rsid w:val="00E27CA7"/>
    <w:rsid w:val="00E30D11"/>
    <w:rsid w:val="00E32889"/>
    <w:rsid w:val="00E32DD2"/>
    <w:rsid w:val="00E32F41"/>
    <w:rsid w:val="00E348CA"/>
    <w:rsid w:val="00E36485"/>
    <w:rsid w:val="00E36C6E"/>
    <w:rsid w:val="00E37FA1"/>
    <w:rsid w:val="00E4066A"/>
    <w:rsid w:val="00E414F8"/>
    <w:rsid w:val="00E41B63"/>
    <w:rsid w:val="00E42757"/>
    <w:rsid w:val="00E42C19"/>
    <w:rsid w:val="00E4363B"/>
    <w:rsid w:val="00E43954"/>
    <w:rsid w:val="00E43A15"/>
    <w:rsid w:val="00E4472A"/>
    <w:rsid w:val="00E46346"/>
    <w:rsid w:val="00E46C04"/>
    <w:rsid w:val="00E47077"/>
    <w:rsid w:val="00E476A4"/>
    <w:rsid w:val="00E47884"/>
    <w:rsid w:val="00E5179A"/>
    <w:rsid w:val="00E52101"/>
    <w:rsid w:val="00E52653"/>
    <w:rsid w:val="00E53C53"/>
    <w:rsid w:val="00E5427E"/>
    <w:rsid w:val="00E5497F"/>
    <w:rsid w:val="00E5575C"/>
    <w:rsid w:val="00E56ADF"/>
    <w:rsid w:val="00E6165E"/>
    <w:rsid w:val="00E641A6"/>
    <w:rsid w:val="00E66ADB"/>
    <w:rsid w:val="00E6703E"/>
    <w:rsid w:val="00E6714F"/>
    <w:rsid w:val="00E705D3"/>
    <w:rsid w:val="00E70D89"/>
    <w:rsid w:val="00E71C74"/>
    <w:rsid w:val="00E73146"/>
    <w:rsid w:val="00E7317F"/>
    <w:rsid w:val="00E73276"/>
    <w:rsid w:val="00E75C9B"/>
    <w:rsid w:val="00E76ACE"/>
    <w:rsid w:val="00E807BA"/>
    <w:rsid w:val="00E810BF"/>
    <w:rsid w:val="00E83755"/>
    <w:rsid w:val="00E84012"/>
    <w:rsid w:val="00E84480"/>
    <w:rsid w:val="00E860CF"/>
    <w:rsid w:val="00E861DA"/>
    <w:rsid w:val="00E86F6F"/>
    <w:rsid w:val="00E8795E"/>
    <w:rsid w:val="00E90358"/>
    <w:rsid w:val="00E904E5"/>
    <w:rsid w:val="00E909F3"/>
    <w:rsid w:val="00E91105"/>
    <w:rsid w:val="00E913E3"/>
    <w:rsid w:val="00E94752"/>
    <w:rsid w:val="00E94E50"/>
    <w:rsid w:val="00E959E8"/>
    <w:rsid w:val="00E96A0E"/>
    <w:rsid w:val="00EA0C62"/>
    <w:rsid w:val="00EA3CAE"/>
    <w:rsid w:val="00EA3FE7"/>
    <w:rsid w:val="00EA4268"/>
    <w:rsid w:val="00EA7897"/>
    <w:rsid w:val="00EB1779"/>
    <w:rsid w:val="00EB1B66"/>
    <w:rsid w:val="00EB208A"/>
    <w:rsid w:val="00EB2FB3"/>
    <w:rsid w:val="00EB4959"/>
    <w:rsid w:val="00EB4B99"/>
    <w:rsid w:val="00EB4DB6"/>
    <w:rsid w:val="00EB64E7"/>
    <w:rsid w:val="00EB6E31"/>
    <w:rsid w:val="00EC11E4"/>
    <w:rsid w:val="00EC1AE7"/>
    <w:rsid w:val="00EC5E91"/>
    <w:rsid w:val="00EC6FF5"/>
    <w:rsid w:val="00EC7970"/>
    <w:rsid w:val="00EC7FD4"/>
    <w:rsid w:val="00ED0053"/>
    <w:rsid w:val="00ED0115"/>
    <w:rsid w:val="00ED08CD"/>
    <w:rsid w:val="00ED157F"/>
    <w:rsid w:val="00ED1EC3"/>
    <w:rsid w:val="00ED2F45"/>
    <w:rsid w:val="00ED4012"/>
    <w:rsid w:val="00ED415A"/>
    <w:rsid w:val="00ED4625"/>
    <w:rsid w:val="00ED464E"/>
    <w:rsid w:val="00ED55A2"/>
    <w:rsid w:val="00EE010A"/>
    <w:rsid w:val="00EE143D"/>
    <w:rsid w:val="00EE157C"/>
    <w:rsid w:val="00EE3249"/>
    <w:rsid w:val="00EE358E"/>
    <w:rsid w:val="00EE3CF9"/>
    <w:rsid w:val="00EE4A0B"/>
    <w:rsid w:val="00EE5074"/>
    <w:rsid w:val="00EE7050"/>
    <w:rsid w:val="00EF12CB"/>
    <w:rsid w:val="00EF1E41"/>
    <w:rsid w:val="00EF4AF0"/>
    <w:rsid w:val="00EF4F0C"/>
    <w:rsid w:val="00EF7056"/>
    <w:rsid w:val="00F0033E"/>
    <w:rsid w:val="00F02A7A"/>
    <w:rsid w:val="00F02CEA"/>
    <w:rsid w:val="00F02D29"/>
    <w:rsid w:val="00F03624"/>
    <w:rsid w:val="00F05FE8"/>
    <w:rsid w:val="00F06057"/>
    <w:rsid w:val="00F10EF3"/>
    <w:rsid w:val="00F134D1"/>
    <w:rsid w:val="00F14251"/>
    <w:rsid w:val="00F1463E"/>
    <w:rsid w:val="00F15A09"/>
    <w:rsid w:val="00F15C41"/>
    <w:rsid w:val="00F16DB4"/>
    <w:rsid w:val="00F205BC"/>
    <w:rsid w:val="00F21321"/>
    <w:rsid w:val="00F2188C"/>
    <w:rsid w:val="00F22455"/>
    <w:rsid w:val="00F24439"/>
    <w:rsid w:val="00F27259"/>
    <w:rsid w:val="00F3014C"/>
    <w:rsid w:val="00F32882"/>
    <w:rsid w:val="00F353CE"/>
    <w:rsid w:val="00F361D0"/>
    <w:rsid w:val="00F3651B"/>
    <w:rsid w:val="00F37163"/>
    <w:rsid w:val="00F407C9"/>
    <w:rsid w:val="00F40AF4"/>
    <w:rsid w:val="00F435F1"/>
    <w:rsid w:val="00F4448E"/>
    <w:rsid w:val="00F45F9D"/>
    <w:rsid w:val="00F47958"/>
    <w:rsid w:val="00F47DD6"/>
    <w:rsid w:val="00F50A8A"/>
    <w:rsid w:val="00F51224"/>
    <w:rsid w:val="00F53D10"/>
    <w:rsid w:val="00F54BF1"/>
    <w:rsid w:val="00F5541C"/>
    <w:rsid w:val="00F57BBB"/>
    <w:rsid w:val="00F64092"/>
    <w:rsid w:val="00F6446F"/>
    <w:rsid w:val="00F65411"/>
    <w:rsid w:val="00F67181"/>
    <w:rsid w:val="00F702E0"/>
    <w:rsid w:val="00F710FC"/>
    <w:rsid w:val="00F71711"/>
    <w:rsid w:val="00F7368F"/>
    <w:rsid w:val="00F73E58"/>
    <w:rsid w:val="00F7406E"/>
    <w:rsid w:val="00F74249"/>
    <w:rsid w:val="00F75473"/>
    <w:rsid w:val="00F75C7C"/>
    <w:rsid w:val="00F7795D"/>
    <w:rsid w:val="00F77DD7"/>
    <w:rsid w:val="00F77F1B"/>
    <w:rsid w:val="00F80C2C"/>
    <w:rsid w:val="00F838BA"/>
    <w:rsid w:val="00F8408F"/>
    <w:rsid w:val="00F84751"/>
    <w:rsid w:val="00F85075"/>
    <w:rsid w:val="00F90A6B"/>
    <w:rsid w:val="00F937B0"/>
    <w:rsid w:val="00F93E48"/>
    <w:rsid w:val="00F95169"/>
    <w:rsid w:val="00F956E4"/>
    <w:rsid w:val="00F96C07"/>
    <w:rsid w:val="00FA1909"/>
    <w:rsid w:val="00FA2073"/>
    <w:rsid w:val="00FA521B"/>
    <w:rsid w:val="00FA6ABB"/>
    <w:rsid w:val="00FA7E0A"/>
    <w:rsid w:val="00FB0CB0"/>
    <w:rsid w:val="00FB1797"/>
    <w:rsid w:val="00FB2652"/>
    <w:rsid w:val="00FB7DE5"/>
    <w:rsid w:val="00FC12FF"/>
    <w:rsid w:val="00FC27B4"/>
    <w:rsid w:val="00FC4AD5"/>
    <w:rsid w:val="00FC60C1"/>
    <w:rsid w:val="00FD241B"/>
    <w:rsid w:val="00FD27D9"/>
    <w:rsid w:val="00FD2ADF"/>
    <w:rsid w:val="00FD6E5F"/>
    <w:rsid w:val="00FD732C"/>
    <w:rsid w:val="00FD7A82"/>
    <w:rsid w:val="00FD7A96"/>
    <w:rsid w:val="00FE0A6D"/>
    <w:rsid w:val="00FE15BD"/>
    <w:rsid w:val="00FE2301"/>
    <w:rsid w:val="00FE3202"/>
    <w:rsid w:val="00FE3976"/>
    <w:rsid w:val="00FE4274"/>
    <w:rsid w:val="00FE5327"/>
    <w:rsid w:val="00FE5D1D"/>
    <w:rsid w:val="00FE6FF7"/>
    <w:rsid w:val="00FF0B92"/>
    <w:rsid w:val="00FF515A"/>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 w:id="1878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3064-4638-4F96-B2DC-029467F0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59</Pages>
  <Words>17312</Words>
  <Characters>98681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345</cp:revision>
  <cp:lastPrinted>2014-10-07T17:28:00Z</cp:lastPrinted>
  <dcterms:created xsi:type="dcterms:W3CDTF">2014-10-06T13:53:00Z</dcterms:created>
  <dcterms:modified xsi:type="dcterms:W3CDTF">2014-10-17T15:13:00Z</dcterms:modified>
</cp:coreProperties>
</file>