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2D5" w:rsidRDefault="00315FCA" w:rsidP="00315FCA">
      <w:pPr>
        <w:spacing w:after="0" w:line="240" w:lineRule="auto"/>
        <w:ind w:firstLine="0"/>
        <w:jc w:val="center"/>
        <w:rPr>
          <w:b/>
        </w:rPr>
      </w:pPr>
      <w:r>
        <w:rPr>
          <w:b/>
        </w:rPr>
        <w:t>BEFORE THE</w:t>
      </w:r>
    </w:p>
    <w:p w:rsidR="00315FCA" w:rsidRPr="00315FCA" w:rsidRDefault="00315FCA" w:rsidP="00315FCA">
      <w:pPr>
        <w:spacing w:after="0" w:line="240" w:lineRule="auto"/>
        <w:ind w:firstLine="0"/>
        <w:jc w:val="center"/>
        <w:rPr>
          <w:b/>
        </w:rPr>
      </w:pPr>
      <w:r>
        <w:rPr>
          <w:b/>
        </w:rPr>
        <w:t>PENNSYLVANIA PUBLIC UTILITY COMMISSION</w:t>
      </w:r>
    </w:p>
    <w:p w:rsidR="005612D5" w:rsidRDefault="005612D5" w:rsidP="005612D5">
      <w:pPr>
        <w:spacing w:after="0" w:line="240" w:lineRule="auto"/>
        <w:ind w:firstLine="0"/>
      </w:pPr>
    </w:p>
    <w:p w:rsidR="005612D5" w:rsidRDefault="005612D5" w:rsidP="005612D5">
      <w:pPr>
        <w:spacing w:after="0" w:line="240" w:lineRule="auto"/>
        <w:ind w:firstLine="0"/>
      </w:pPr>
    </w:p>
    <w:p w:rsidR="00315FCA" w:rsidRDefault="00315FCA" w:rsidP="005612D5">
      <w:pPr>
        <w:spacing w:after="0" w:line="240" w:lineRule="auto"/>
        <w:ind w:firstLine="0"/>
      </w:pPr>
    </w:p>
    <w:p w:rsidR="005612D5" w:rsidRDefault="005612D5" w:rsidP="005612D5">
      <w:pPr>
        <w:spacing w:after="0" w:line="240" w:lineRule="auto"/>
        <w:ind w:firstLine="0"/>
      </w:pPr>
      <w:r>
        <w:t xml:space="preserve">John </w:t>
      </w:r>
      <w:proofErr w:type="spellStart"/>
      <w:r>
        <w:t>Ombres</w:t>
      </w:r>
      <w:proofErr w:type="spellEnd"/>
      <w:r>
        <w:t xml:space="preserve"> </w:t>
      </w:r>
      <w:r>
        <w:tab/>
      </w:r>
      <w:r>
        <w:tab/>
      </w:r>
      <w:r>
        <w:tab/>
      </w:r>
      <w:r>
        <w:tab/>
      </w:r>
      <w:r>
        <w:tab/>
      </w:r>
      <w:r>
        <w:tab/>
        <w:t>:</w:t>
      </w:r>
      <w:r>
        <w:tab/>
      </w:r>
      <w:r>
        <w:tab/>
      </w:r>
    </w:p>
    <w:p w:rsidR="005612D5" w:rsidRPr="00560DC5" w:rsidRDefault="005612D5" w:rsidP="005612D5">
      <w:pPr>
        <w:spacing w:after="0" w:line="240" w:lineRule="auto"/>
        <w:ind w:firstLine="0"/>
      </w:pPr>
      <w:r>
        <w:tab/>
      </w:r>
      <w:r>
        <w:tab/>
      </w:r>
      <w:r>
        <w:tab/>
      </w:r>
      <w:r>
        <w:tab/>
      </w:r>
      <w:r>
        <w:tab/>
      </w:r>
      <w:r>
        <w:tab/>
      </w:r>
      <w:r>
        <w:tab/>
        <w:t>:</w:t>
      </w:r>
    </w:p>
    <w:p w:rsidR="005612D5" w:rsidRDefault="005612D5" w:rsidP="005612D5">
      <w:pPr>
        <w:spacing w:after="0" w:line="240" w:lineRule="auto"/>
        <w:ind w:firstLine="0"/>
      </w:pPr>
      <w:r>
        <w:tab/>
        <w:t>v.</w:t>
      </w:r>
      <w:r>
        <w:tab/>
      </w:r>
      <w:r>
        <w:tab/>
      </w:r>
      <w:r>
        <w:tab/>
      </w:r>
      <w:r>
        <w:tab/>
      </w:r>
      <w:r>
        <w:tab/>
      </w:r>
      <w:r>
        <w:tab/>
      </w:r>
      <w:r w:rsidRPr="00560DC5">
        <w:t>:</w:t>
      </w:r>
      <w:r>
        <w:rPr>
          <w:b/>
        </w:rPr>
        <w:tab/>
      </w:r>
      <w:r>
        <w:rPr>
          <w:b/>
        </w:rPr>
        <w:tab/>
      </w:r>
      <w:r>
        <w:t>C-2013-2393183</w:t>
      </w:r>
    </w:p>
    <w:p w:rsidR="005612D5" w:rsidRPr="00560DC5" w:rsidRDefault="005612D5" w:rsidP="005612D5">
      <w:pPr>
        <w:spacing w:after="0" w:line="240" w:lineRule="auto"/>
        <w:ind w:firstLine="0"/>
      </w:pPr>
      <w:r>
        <w:tab/>
      </w:r>
      <w:r>
        <w:tab/>
      </w:r>
      <w:r>
        <w:tab/>
      </w:r>
      <w:r>
        <w:tab/>
      </w:r>
      <w:r>
        <w:tab/>
      </w:r>
      <w:r>
        <w:tab/>
      </w:r>
      <w:r>
        <w:tab/>
      </w:r>
      <w:r w:rsidRPr="00560DC5">
        <w:t>:</w:t>
      </w:r>
    </w:p>
    <w:p w:rsidR="005612D5" w:rsidRDefault="005612D5" w:rsidP="005612D5">
      <w:pPr>
        <w:spacing w:after="0" w:line="240" w:lineRule="auto"/>
        <w:ind w:firstLine="0"/>
      </w:pPr>
      <w:proofErr w:type="gramStart"/>
      <w:r>
        <w:t>Columbia Gas of Pennsylvania, Inc.</w:t>
      </w:r>
      <w:proofErr w:type="gramEnd"/>
      <w:r>
        <w:tab/>
      </w:r>
      <w:r>
        <w:tab/>
      </w:r>
      <w:r>
        <w:tab/>
      </w:r>
      <w:r w:rsidRPr="00560DC5">
        <w:t>:</w:t>
      </w:r>
    </w:p>
    <w:p w:rsidR="00792796" w:rsidRDefault="00792796"/>
    <w:p w:rsidR="005612D5" w:rsidRDefault="005612D5"/>
    <w:p w:rsidR="00DE1EED" w:rsidRPr="00DE1EED" w:rsidRDefault="00DE1EED" w:rsidP="00630009">
      <w:pPr>
        <w:spacing w:after="0" w:line="240" w:lineRule="auto"/>
        <w:ind w:firstLine="0"/>
        <w:jc w:val="center"/>
        <w:rPr>
          <w:b/>
          <w:u w:val="single"/>
        </w:rPr>
      </w:pPr>
      <w:r w:rsidRPr="00DE1EED">
        <w:rPr>
          <w:b/>
          <w:u w:val="single"/>
        </w:rPr>
        <w:t>INITIAL DECISION</w:t>
      </w:r>
    </w:p>
    <w:p w:rsidR="005612D5" w:rsidRDefault="005612D5" w:rsidP="005612D5">
      <w:pPr>
        <w:ind w:firstLine="0"/>
      </w:pPr>
    </w:p>
    <w:p w:rsidR="00DE1EED" w:rsidRDefault="00DE1EED" w:rsidP="00DE1EED">
      <w:pPr>
        <w:spacing w:after="0" w:line="240" w:lineRule="auto"/>
        <w:ind w:firstLine="0"/>
        <w:jc w:val="center"/>
      </w:pPr>
      <w:r>
        <w:t>Before</w:t>
      </w:r>
    </w:p>
    <w:p w:rsidR="00DE1EED" w:rsidRDefault="00DE1EED" w:rsidP="00DE1EED">
      <w:pPr>
        <w:spacing w:after="0" w:line="240" w:lineRule="auto"/>
        <w:ind w:firstLine="0"/>
        <w:jc w:val="center"/>
      </w:pPr>
      <w:r>
        <w:t>Mary D. Long</w:t>
      </w:r>
    </w:p>
    <w:p w:rsidR="00DE1EED" w:rsidRDefault="00DE1EED" w:rsidP="00DE1EED">
      <w:pPr>
        <w:spacing w:after="0" w:line="240" w:lineRule="auto"/>
        <w:ind w:firstLine="0"/>
        <w:jc w:val="center"/>
      </w:pPr>
      <w:r>
        <w:t>Administrative Law Judge</w:t>
      </w:r>
    </w:p>
    <w:p w:rsidR="00DE1EED" w:rsidRDefault="00DE1EED" w:rsidP="005612D5">
      <w:pPr>
        <w:ind w:firstLine="0"/>
      </w:pPr>
    </w:p>
    <w:p w:rsidR="00DE1EED" w:rsidRDefault="00DE1EED" w:rsidP="00407789">
      <w:pPr>
        <w:spacing w:after="0"/>
        <w:ind w:firstLine="0"/>
      </w:pPr>
      <w:r>
        <w:tab/>
      </w:r>
      <w:r>
        <w:tab/>
        <w:t xml:space="preserve">A request to withdraw a formal complaint is granted. </w:t>
      </w:r>
      <w:r w:rsidR="00407789">
        <w:t xml:space="preserve"> </w:t>
      </w:r>
      <w:r>
        <w:t xml:space="preserve">The </w:t>
      </w:r>
      <w:r w:rsidR="00407789">
        <w:t>C</w:t>
      </w:r>
      <w:r>
        <w:t>omplainant represented that he no longer wished to pursue his complaint.</w:t>
      </w:r>
    </w:p>
    <w:p w:rsidR="00407789" w:rsidRDefault="00407789" w:rsidP="00407789">
      <w:pPr>
        <w:spacing w:after="0"/>
        <w:ind w:firstLine="0"/>
      </w:pPr>
    </w:p>
    <w:p w:rsidR="00DE1EED" w:rsidRDefault="00DE1EED" w:rsidP="00407789">
      <w:pPr>
        <w:spacing w:after="0"/>
        <w:ind w:firstLine="0"/>
        <w:jc w:val="center"/>
        <w:rPr>
          <w:u w:val="single"/>
        </w:rPr>
      </w:pPr>
      <w:r w:rsidRPr="00DE1EED">
        <w:rPr>
          <w:u w:val="single"/>
        </w:rPr>
        <w:t>HISTORY OF THE PROCEEDINGS</w:t>
      </w:r>
    </w:p>
    <w:p w:rsidR="00407789" w:rsidRPr="00DE1EED" w:rsidRDefault="00407789" w:rsidP="00407789">
      <w:pPr>
        <w:spacing w:after="0"/>
        <w:ind w:firstLine="0"/>
        <w:jc w:val="center"/>
        <w:rPr>
          <w:u w:val="single"/>
        </w:rPr>
      </w:pPr>
    </w:p>
    <w:p w:rsidR="005612D5" w:rsidRDefault="005612D5" w:rsidP="00A81410">
      <w:pPr>
        <w:spacing w:after="0"/>
      </w:pPr>
      <w:r>
        <w:t>On November 15, 2013, John Ombres (Complainant) filed a formal complaint against Columbia Gas of Pennsylvania, Inc. (Columbia), which challenged a notification from Columbia stating that he could no longer receive gas service at his property from both Columbia and a well located on his property.  By answer dated December 6, 2013, Columbia admitted that it had sent the Complainant a notice that his Columbia gas service would be terminated unless he elected to receive all of his gas service from Columbia</w:t>
      </w:r>
      <w:r w:rsidR="00315FCA">
        <w:t>.</w:t>
      </w:r>
      <w:r>
        <w:t xml:space="preserve">  According to Columbia, the </w:t>
      </w:r>
      <w:r w:rsidR="00315FCA">
        <w:t>“</w:t>
      </w:r>
      <w:r>
        <w:t>dual feed</w:t>
      </w:r>
      <w:r w:rsidR="00315FCA">
        <w:t>”</w:t>
      </w:r>
      <w:r>
        <w:t xml:space="preserve"> service was a hazard and Columbia was authorized by its tariff to discontinue service in these circumstances.</w:t>
      </w:r>
    </w:p>
    <w:p w:rsidR="00A81410" w:rsidRDefault="00A81410" w:rsidP="00A81410">
      <w:pPr>
        <w:spacing w:after="0"/>
      </w:pPr>
    </w:p>
    <w:p w:rsidR="005612D5" w:rsidRDefault="005612D5" w:rsidP="00A81410">
      <w:pPr>
        <w:spacing w:after="0"/>
      </w:pPr>
      <w:r>
        <w:t>This matter was assigned to me along with several other complaints which raised similar claims regarding Columbia’s treatment of dual f</w:t>
      </w:r>
      <w:r w:rsidR="00214B0A">
        <w:t>eed</w:t>
      </w:r>
      <w:r>
        <w:t xml:space="preserve"> service.  By hearing notice dated </w:t>
      </w:r>
      <w:r>
        <w:lastRenderedPageBreak/>
        <w:t>January 30, 2014, a prehearing conference was scheduled on</w:t>
      </w:r>
      <w:r w:rsidR="00563A31">
        <w:t xml:space="preserve"> February 25, 2014.  Columbia filed a motion for summary judgment on January 31, 2014, which sought dismissal of the complaint.</w:t>
      </w:r>
    </w:p>
    <w:p w:rsidR="00A81410" w:rsidRDefault="00A81410" w:rsidP="00A81410">
      <w:pPr>
        <w:spacing w:after="0"/>
      </w:pPr>
    </w:p>
    <w:p w:rsidR="00563A31" w:rsidRDefault="00563A31" w:rsidP="00A81410">
      <w:pPr>
        <w:spacing w:after="0"/>
      </w:pPr>
      <w:r>
        <w:t xml:space="preserve">The prehearing conference was held as scheduled.  The Complainant requested permission to file a response to the motion for summary judgment which was not opposed by Columbia.  By Interim Order dated February 26, 2014, the Complainant was permitted to file a late response to the motion on or before March 14, 2014.  That response was filed on March 7, 2014.  </w:t>
      </w:r>
      <w:r w:rsidR="00DE1EED">
        <w:t>By order dated March 28, 2014, the motion was denied.</w:t>
      </w:r>
    </w:p>
    <w:p w:rsidR="00A81410" w:rsidRDefault="00A81410" w:rsidP="00A81410">
      <w:pPr>
        <w:spacing w:after="0"/>
      </w:pPr>
    </w:p>
    <w:p w:rsidR="00DE1EED" w:rsidRDefault="00DE1EED" w:rsidP="00A81410">
      <w:pPr>
        <w:spacing w:after="0"/>
      </w:pPr>
      <w:r>
        <w:t>On July 25, 2014, the Complainant filed a request to withdraw the complaint.   He stated that he no longer wished to pursue the complaint.</w:t>
      </w:r>
      <w:r w:rsidR="004E4F74">
        <w:t xml:space="preserve">  Columbia did not object to the withdrawal.</w:t>
      </w:r>
    </w:p>
    <w:p w:rsidR="00A81410" w:rsidRDefault="00A81410" w:rsidP="00A81410">
      <w:pPr>
        <w:spacing w:after="0"/>
      </w:pPr>
    </w:p>
    <w:p w:rsidR="00DE1EED" w:rsidRDefault="00DE1EED" w:rsidP="00A81410">
      <w:pPr>
        <w:spacing w:after="0"/>
        <w:ind w:firstLine="0"/>
        <w:jc w:val="center"/>
        <w:rPr>
          <w:u w:val="single"/>
        </w:rPr>
      </w:pPr>
      <w:r w:rsidRPr="00DE1EED">
        <w:rPr>
          <w:u w:val="single"/>
        </w:rPr>
        <w:t>DISCUSSION</w:t>
      </w:r>
    </w:p>
    <w:p w:rsidR="00A81410" w:rsidRPr="00DE1EED" w:rsidRDefault="00A81410" w:rsidP="00A81410">
      <w:pPr>
        <w:spacing w:after="0"/>
        <w:ind w:firstLine="0"/>
        <w:jc w:val="center"/>
        <w:rPr>
          <w:u w:val="single"/>
        </w:rPr>
      </w:pPr>
    </w:p>
    <w:p w:rsidR="00DE1EED" w:rsidRPr="00C46148" w:rsidRDefault="00DE1EED" w:rsidP="00DE1EED">
      <w:r w:rsidRPr="00C46148">
        <w:t>The withdrawal of formal complaints filed before the Commission in contested proceedings is governed by Section 5.94 of the Commission’s regulations:</w:t>
      </w:r>
    </w:p>
    <w:p w:rsidR="00DE1EED" w:rsidRDefault="00DE1EED" w:rsidP="00DE1EED">
      <w:pPr>
        <w:pStyle w:val="NormalWeb"/>
        <w:spacing w:before="0" w:beforeAutospacing="0" w:after="0" w:afterAutospacing="0"/>
        <w:ind w:left="1440" w:right="1440"/>
      </w:pPr>
      <w: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r>
        <w:rPr>
          <w:rStyle w:val="FootnoteReference"/>
        </w:rPr>
        <w:footnoteReference w:id="1"/>
      </w:r>
      <w:r>
        <w:t xml:space="preserve"> </w:t>
      </w:r>
    </w:p>
    <w:p w:rsidR="00DE1EED" w:rsidRDefault="00DE1EED" w:rsidP="00DE1EED">
      <w:pPr>
        <w:pStyle w:val="NormalWeb"/>
        <w:spacing w:before="0" w:beforeAutospacing="0" w:after="0" w:afterAutospacing="0"/>
        <w:ind w:left="1440" w:right="1440"/>
      </w:pPr>
      <w:r>
        <w:t xml:space="preserve"> </w:t>
      </w:r>
    </w:p>
    <w:p w:rsidR="00DE1EED" w:rsidRDefault="00DE1EED" w:rsidP="00DE1EED">
      <w:pPr>
        <w:pStyle w:val="NormalWeb"/>
        <w:spacing w:before="0" w:beforeAutospacing="0" w:after="0" w:afterAutospacing="0"/>
        <w:ind w:left="1440" w:right="1440"/>
      </w:pPr>
    </w:p>
    <w:p w:rsidR="00DE1EED" w:rsidRDefault="00DE1EED" w:rsidP="00DE1EED">
      <w:pPr>
        <w:tabs>
          <w:tab w:val="left" w:pos="1530"/>
        </w:tabs>
      </w:pPr>
      <w:r w:rsidRPr="00C46148">
        <w:t>In this matter the Complainant’s request</w:t>
      </w:r>
      <w:r>
        <w:t xml:space="preserve"> to withdraw his complaint</w:t>
      </w:r>
      <w:r w:rsidRPr="00C46148">
        <w:t xml:space="preserve"> </w:t>
      </w:r>
      <w:r>
        <w:t xml:space="preserve">sufficiently </w:t>
      </w:r>
      <w:r w:rsidRPr="00C46148">
        <w:t>complies with the regulation.  The Company did not object to the withdrawal.</w:t>
      </w:r>
      <w:r>
        <w:t xml:space="preserve">  There </w:t>
      </w:r>
      <w:r w:rsidRPr="00C46148">
        <w:t>is no negative impact on the public interest by permitting the withdrawal.  The request to withdraw is granted.</w:t>
      </w:r>
    </w:p>
    <w:p w:rsidR="00DE1EED" w:rsidRDefault="00DE1EED" w:rsidP="00DE1EED">
      <w:pPr>
        <w:tabs>
          <w:tab w:val="left" w:pos="1530"/>
        </w:tabs>
        <w:ind w:firstLine="0"/>
        <w:jc w:val="center"/>
        <w:rPr>
          <w:u w:val="single"/>
        </w:rPr>
      </w:pPr>
      <w:bookmarkStart w:id="0" w:name="_GoBack"/>
      <w:bookmarkEnd w:id="0"/>
      <w:r w:rsidRPr="00C46148">
        <w:rPr>
          <w:u w:val="single"/>
        </w:rPr>
        <w:lastRenderedPageBreak/>
        <w:t>CONCLUSIONS OF LAW</w:t>
      </w:r>
    </w:p>
    <w:p w:rsidR="00DE1EED" w:rsidRPr="00C46148" w:rsidRDefault="00DE1EED" w:rsidP="007D6E6D">
      <w:pPr>
        <w:tabs>
          <w:tab w:val="left" w:pos="1530"/>
        </w:tabs>
        <w:spacing w:after="0"/>
        <w:rPr>
          <w:u w:val="single"/>
        </w:rPr>
      </w:pPr>
    </w:p>
    <w:p w:rsidR="00DE1EED" w:rsidRDefault="00DE1EED" w:rsidP="00610660">
      <w:pPr>
        <w:tabs>
          <w:tab w:val="left" w:pos="720"/>
        </w:tabs>
        <w:ind w:firstLine="720"/>
      </w:pPr>
      <w:r w:rsidRPr="00C46148">
        <w:tab/>
        <w:t>1.</w:t>
      </w:r>
      <w:r w:rsidRPr="00C46148">
        <w:tab/>
        <w:t xml:space="preserve">The Commission’s regulations permit the withdrawal of a formal complaint filed in a contested proceeding after consideration of the petition, any objections by the </w:t>
      </w:r>
      <w:r>
        <w:t xml:space="preserve">parties and the public interest.  </w:t>
      </w:r>
      <w:proofErr w:type="gramStart"/>
      <w:r w:rsidRPr="00C46148">
        <w:t>5</w:t>
      </w:r>
      <w:r>
        <w:t>2</w:t>
      </w:r>
      <w:r w:rsidRPr="00C46148">
        <w:t xml:space="preserve"> Pa.Code § 5.94(a).</w:t>
      </w:r>
      <w:proofErr w:type="gramEnd"/>
      <w:r w:rsidRPr="00C46148">
        <w:tab/>
      </w:r>
    </w:p>
    <w:p w:rsidR="007D6E6D" w:rsidRDefault="007D6E6D" w:rsidP="007D6E6D">
      <w:pPr>
        <w:tabs>
          <w:tab w:val="left" w:pos="1530"/>
        </w:tabs>
        <w:spacing w:after="0"/>
      </w:pPr>
    </w:p>
    <w:p w:rsidR="00DE1EED" w:rsidRDefault="00DE1EED" w:rsidP="00DE1EED">
      <w:pPr>
        <w:tabs>
          <w:tab w:val="left" w:pos="1530"/>
        </w:tabs>
        <w:rPr>
          <w:u w:val="single"/>
        </w:rPr>
      </w:pPr>
      <w:r w:rsidRPr="00C46148">
        <w:t>2.</w:t>
      </w:r>
      <w:r w:rsidRPr="00C46148">
        <w:tab/>
        <w:t xml:space="preserve">It is in the public interest to permit the Complainant to withdraw </w:t>
      </w:r>
      <w:r>
        <w:t>the</w:t>
      </w:r>
      <w:r w:rsidRPr="00C46148">
        <w:t xml:space="preserve"> formal complaint.</w:t>
      </w:r>
    </w:p>
    <w:p w:rsidR="00DE1EED" w:rsidRDefault="00DE1EED" w:rsidP="00AE646F">
      <w:pPr>
        <w:tabs>
          <w:tab w:val="left" w:pos="1530"/>
        </w:tabs>
        <w:spacing w:after="0"/>
      </w:pPr>
    </w:p>
    <w:p w:rsidR="007D6E6D" w:rsidRDefault="007D6E6D" w:rsidP="007D6E6D">
      <w:pPr>
        <w:tabs>
          <w:tab w:val="left" w:pos="1440"/>
        </w:tabs>
        <w:ind w:firstLine="0"/>
        <w:jc w:val="center"/>
        <w:rPr>
          <w:u w:val="single"/>
        </w:rPr>
      </w:pPr>
      <w:r w:rsidRPr="007D6E6D">
        <w:rPr>
          <w:u w:val="single"/>
        </w:rPr>
        <w:t>ORDER</w:t>
      </w:r>
    </w:p>
    <w:p w:rsidR="007D6E6D" w:rsidRPr="007D6E6D" w:rsidRDefault="007D6E6D" w:rsidP="007D6E6D">
      <w:pPr>
        <w:tabs>
          <w:tab w:val="left" w:pos="1440"/>
        </w:tabs>
        <w:ind w:firstLine="0"/>
        <w:jc w:val="center"/>
        <w:rPr>
          <w:u w:val="single"/>
        </w:rPr>
      </w:pPr>
    </w:p>
    <w:p w:rsidR="007E41A7" w:rsidRDefault="007E41A7" w:rsidP="007D6E6D">
      <w:pPr>
        <w:spacing w:after="0"/>
      </w:pPr>
      <w:r>
        <w:t>THEREFORE</w:t>
      </w:r>
      <w:r w:rsidR="007D6E6D">
        <w:t>,</w:t>
      </w:r>
    </w:p>
    <w:p w:rsidR="007D6E6D" w:rsidRDefault="007D6E6D" w:rsidP="007D6E6D">
      <w:pPr>
        <w:spacing w:after="0"/>
      </w:pPr>
    </w:p>
    <w:p w:rsidR="007E41A7" w:rsidRDefault="007E41A7" w:rsidP="005612D5">
      <w:r>
        <w:t>IT IS ORDERED:</w:t>
      </w:r>
    </w:p>
    <w:p w:rsidR="007D6E6D" w:rsidRDefault="007D6E6D" w:rsidP="007D6E6D">
      <w:pPr>
        <w:spacing w:after="0"/>
      </w:pPr>
    </w:p>
    <w:p w:rsidR="007E41A7" w:rsidRDefault="007E41A7" w:rsidP="00397AC6">
      <w:r>
        <w:t>1.</w:t>
      </w:r>
      <w:r>
        <w:tab/>
      </w:r>
      <w:r w:rsidR="00397AC6">
        <w:t xml:space="preserve">That request of John </w:t>
      </w:r>
      <w:proofErr w:type="spellStart"/>
      <w:r w:rsidR="00397AC6">
        <w:t>Ombres</w:t>
      </w:r>
      <w:proofErr w:type="spellEnd"/>
      <w:r w:rsidR="00397AC6">
        <w:t xml:space="preserve"> to withdraw his complaint against Columbia Gas of Pennsylvania, Inc. at Docket No. C-2013-2393183 is granted.</w:t>
      </w:r>
    </w:p>
    <w:p w:rsidR="007D6E6D" w:rsidRDefault="007D6E6D" w:rsidP="007D6E6D">
      <w:pPr>
        <w:spacing w:after="0"/>
      </w:pPr>
    </w:p>
    <w:p w:rsidR="00397AC6" w:rsidRDefault="00397AC6" w:rsidP="00397AC6">
      <w:r>
        <w:t>2.</w:t>
      </w:r>
      <w:r>
        <w:tab/>
        <w:t>That the docket shall be marked closed.</w:t>
      </w:r>
    </w:p>
    <w:p w:rsidR="00072D98" w:rsidRDefault="00072D98" w:rsidP="00397AC6"/>
    <w:p w:rsidR="00072D98" w:rsidRDefault="00072D98" w:rsidP="00397AC6"/>
    <w:p w:rsidR="00072D98" w:rsidRDefault="00072D98" w:rsidP="00072D98">
      <w:pPr>
        <w:spacing w:after="0" w:line="240" w:lineRule="auto"/>
        <w:ind w:firstLine="0"/>
      </w:pPr>
      <w:r>
        <w:t xml:space="preserve">Date:  </w:t>
      </w:r>
      <w:r w:rsidRPr="00072D98">
        <w:rPr>
          <w:u w:val="single"/>
        </w:rPr>
        <w:t>October 8, 2014</w:t>
      </w:r>
      <w:r>
        <w:tab/>
      </w:r>
      <w:r>
        <w:tab/>
      </w:r>
      <w:r>
        <w:tab/>
      </w:r>
      <w:r>
        <w:tab/>
      </w:r>
      <w:r>
        <w:tab/>
      </w:r>
      <w:r>
        <w:rPr>
          <w:u w:val="single"/>
        </w:rPr>
        <w:tab/>
      </w:r>
      <w:r>
        <w:rPr>
          <w:u w:val="single"/>
        </w:rPr>
        <w:tab/>
        <w:t>/s/</w:t>
      </w:r>
      <w:r>
        <w:rPr>
          <w:u w:val="single"/>
        </w:rPr>
        <w:tab/>
      </w:r>
      <w:r>
        <w:rPr>
          <w:u w:val="single"/>
        </w:rPr>
        <w:tab/>
      </w:r>
      <w:r>
        <w:rPr>
          <w:u w:val="single"/>
        </w:rPr>
        <w:tab/>
      </w:r>
    </w:p>
    <w:p w:rsidR="00072D98" w:rsidRDefault="00072D98" w:rsidP="00072D98">
      <w:pPr>
        <w:spacing w:after="0" w:line="240" w:lineRule="auto"/>
      </w:pPr>
      <w:r>
        <w:tab/>
      </w:r>
      <w:r>
        <w:tab/>
      </w:r>
      <w:r>
        <w:tab/>
      </w:r>
      <w:r>
        <w:tab/>
      </w:r>
      <w:r>
        <w:tab/>
      </w:r>
      <w:r>
        <w:tab/>
        <w:t>Mary D. Long</w:t>
      </w:r>
    </w:p>
    <w:p w:rsidR="00072D98" w:rsidRDefault="00072D98" w:rsidP="00072D98">
      <w:pPr>
        <w:spacing w:line="240" w:lineRule="auto"/>
      </w:pPr>
      <w:r>
        <w:tab/>
      </w:r>
      <w:r>
        <w:tab/>
      </w:r>
      <w:r>
        <w:tab/>
      </w:r>
      <w:r>
        <w:tab/>
      </w:r>
      <w:r>
        <w:tab/>
      </w:r>
      <w:r>
        <w:tab/>
        <w:t>Administrative Law Judge</w:t>
      </w:r>
    </w:p>
    <w:p w:rsidR="00072D98" w:rsidRPr="00513286" w:rsidRDefault="00072D98" w:rsidP="00397AC6"/>
    <w:sectPr w:rsidR="00072D98" w:rsidRPr="00513286" w:rsidSect="005A0F1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8CB" w:rsidRDefault="00B148CB" w:rsidP="005A0F15">
      <w:pPr>
        <w:spacing w:after="0" w:line="240" w:lineRule="auto"/>
      </w:pPr>
      <w:r>
        <w:separator/>
      </w:r>
    </w:p>
  </w:endnote>
  <w:endnote w:type="continuationSeparator" w:id="0">
    <w:p w:rsidR="00B148CB" w:rsidRDefault="00B148CB" w:rsidP="005A0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032810"/>
      <w:docPartObj>
        <w:docPartGallery w:val="Page Numbers (Bottom of Page)"/>
        <w:docPartUnique/>
      </w:docPartObj>
    </w:sdtPr>
    <w:sdtEndPr>
      <w:rPr>
        <w:noProof/>
        <w:sz w:val="20"/>
      </w:rPr>
    </w:sdtEndPr>
    <w:sdtContent>
      <w:p w:rsidR="005A0F15" w:rsidRPr="00EE1167" w:rsidRDefault="005A0F15" w:rsidP="005A0F15">
        <w:pPr>
          <w:pStyle w:val="Footer"/>
          <w:ind w:firstLine="0"/>
          <w:jc w:val="center"/>
          <w:rPr>
            <w:sz w:val="20"/>
          </w:rPr>
        </w:pPr>
        <w:r w:rsidRPr="00EE1167">
          <w:rPr>
            <w:sz w:val="20"/>
          </w:rPr>
          <w:fldChar w:fldCharType="begin"/>
        </w:r>
        <w:r w:rsidRPr="00EE1167">
          <w:rPr>
            <w:sz w:val="20"/>
          </w:rPr>
          <w:instrText xml:space="preserve"> PAGE   \* MERGEFORMAT </w:instrText>
        </w:r>
        <w:r w:rsidRPr="00EE1167">
          <w:rPr>
            <w:sz w:val="20"/>
          </w:rPr>
          <w:fldChar w:fldCharType="separate"/>
        </w:r>
        <w:r w:rsidR="00395ACF">
          <w:rPr>
            <w:noProof/>
            <w:sz w:val="20"/>
          </w:rPr>
          <w:t>3</w:t>
        </w:r>
        <w:r w:rsidRPr="00EE1167">
          <w:rPr>
            <w:noProof/>
            <w:sz w:val="20"/>
          </w:rPr>
          <w:fldChar w:fldCharType="end"/>
        </w:r>
      </w:p>
    </w:sdtContent>
  </w:sdt>
  <w:p w:rsidR="005A0F15" w:rsidRDefault="005A0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8CB" w:rsidRDefault="00B148CB" w:rsidP="00742FB5">
      <w:pPr>
        <w:spacing w:after="0" w:line="240" w:lineRule="auto"/>
        <w:ind w:firstLine="0"/>
      </w:pPr>
      <w:r>
        <w:separator/>
      </w:r>
    </w:p>
  </w:footnote>
  <w:footnote w:type="continuationSeparator" w:id="0">
    <w:p w:rsidR="00B148CB" w:rsidRDefault="00B148CB" w:rsidP="005A0F15">
      <w:pPr>
        <w:spacing w:after="0" w:line="240" w:lineRule="auto"/>
      </w:pPr>
      <w:r>
        <w:continuationSeparator/>
      </w:r>
    </w:p>
  </w:footnote>
  <w:footnote w:id="1">
    <w:p w:rsidR="00DE1EED" w:rsidRPr="00A81410" w:rsidRDefault="00DE1EED" w:rsidP="00DE1EED">
      <w:pPr>
        <w:pStyle w:val="FootnoteText"/>
        <w:spacing w:after="0"/>
        <w:ind w:firstLine="720"/>
        <w:rPr>
          <w:sz w:val="20"/>
        </w:rPr>
      </w:pPr>
      <w:r w:rsidRPr="00A81410">
        <w:rPr>
          <w:rStyle w:val="FootnoteReference"/>
          <w:sz w:val="20"/>
        </w:rPr>
        <w:footnoteRef/>
      </w:r>
      <w:r w:rsidRPr="00A81410">
        <w:rPr>
          <w:sz w:val="20"/>
        </w:rPr>
        <w:t xml:space="preserve">  </w:t>
      </w:r>
      <w:r w:rsidRPr="00A81410">
        <w:rPr>
          <w:sz w:val="20"/>
        </w:rPr>
        <w:tab/>
      </w:r>
      <w:proofErr w:type="gramStart"/>
      <w:r w:rsidRPr="00A81410">
        <w:rPr>
          <w:sz w:val="20"/>
        </w:rPr>
        <w:t>52 Pa.Code § 5.94(a).</w:t>
      </w:r>
      <w:proofErr w:type="gramEnd"/>
    </w:p>
    <w:p w:rsidR="00DE1EED" w:rsidRPr="00A81410" w:rsidRDefault="00DE1EED" w:rsidP="00DE1EED">
      <w:pPr>
        <w:pStyle w:val="FootnoteText"/>
        <w:spacing w:after="0"/>
        <w:ind w:firstLine="720"/>
        <w:rPr>
          <w:sz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8AC4007"/>
    <w:multiLevelType w:val="hybridMultilevel"/>
    <w:tmpl w:val="4524D50A"/>
    <w:lvl w:ilvl="0" w:tplc="57E460E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D5"/>
    <w:rsid w:val="00004C37"/>
    <w:rsid w:val="0003137E"/>
    <w:rsid w:val="00072D98"/>
    <w:rsid w:val="0009730E"/>
    <w:rsid w:val="001B1CBA"/>
    <w:rsid w:val="001D0B80"/>
    <w:rsid w:val="00213167"/>
    <w:rsid w:val="00214B0A"/>
    <w:rsid w:val="00281589"/>
    <w:rsid w:val="00284037"/>
    <w:rsid w:val="00315FCA"/>
    <w:rsid w:val="00323943"/>
    <w:rsid w:val="003719D6"/>
    <w:rsid w:val="00374D85"/>
    <w:rsid w:val="00393C92"/>
    <w:rsid w:val="00395ACF"/>
    <w:rsid w:val="00397AC6"/>
    <w:rsid w:val="003C33D0"/>
    <w:rsid w:val="00407789"/>
    <w:rsid w:val="00413E47"/>
    <w:rsid w:val="0044028F"/>
    <w:rsid w:val="004501A9"/>
    <w:rsid w:val="004D523C"/>
    <w:rsid w:val="004E4F74"/>
    <w:rsid w:val="00513286"/>
    <w:rsid w:val="005612D5"/>
    <w:rsid w:val="00563A31"/>
    <w:rsid w:val="005A0F15"/>
    <w:rsid w:val="005E2586"/>
    <w:rsid w:val="00610660"/>
    <w:rsid w:val="0061775F"/>
    <w:rsid w:val="00630009"/>
    <w:rsid w:val="006475D4"/>
    <w:rsid w:val="0071301C"/>
    <w:rsid w:val="00742FB5"/>
    <w:rsid w:val="00743969"/>
    <w:rsid w:val="007834E0"/>
    <w:rsid w:val="00792796"/>
    <w:rsid w:val="007D6E6D"/>
    <w:rsid w:val="007E41A7"/>
    <w:rsid w:val="007E6779"/>
    <w:rsid w:val="008529D2"/>
    <w:rsid w:val="008642F8"/>
    <w:rsid w:val="008E5C5A"/>
    <w:rsid w:val="009102B4"/>
    <w:rsid w:val="009B02AE"/>
    <w:rsid w:val="00A27E27"/>
    <w:rsid w:val="00A55E9A"/>
    <w:rsid w:val="00A81410"/>
    <w:rsid w:val="00AB4C73"/>
    <w:rsid w:val="00AE2C29"/>
    <w:rsid w:val="00AE646F"/>
    <w:rsid w:val="00AE6F47"/>
    <w:rsid w:val="00B148CB"/>
    <w:rsid w:val="00B23971"/>
    <w:rsid w:val="00B30BC0"/>
    <w:rsid w:val="00CC2CFF"/>
    <w:rsid w:val="00CF4F92"/>
    <w:rsid w:val="00D42364"/>
    <w:rsid w:val="00D867B9"/>
    <w:rsid w:val="00DD5C37"/>
    <w:rsid w:val="00DD614B"/>
    <w:rsid w:val="00DE1EED"/>
    <w:rsid w:val="00E11F36"/>
    <w:rsid w:val="00EE1167"/>
    <w:rsid w:val="00F4101A"/>
    <w:rsid w:val="00F5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D5"/>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544E1"/>
    <w:pPr>
      <w:numPr>
        <w:numId w:val="4"/>
      </w:numPr>
      <w:tabs>
        <w:tab w:val="left" w:pos="1440"/>
      </w:tabs>
    </w:pPr>
  </w:style>
  <w:style w:type="paragraph" w:styleId="FootnoteText">
    <w:name w:val="footnote text"/>
    <w:link w:val="FootnoteTextChar"/>
    <w:autoRedefine/>
    <w:uiPriority w:val="99"/>
    <w:unhideWhenUsed/>
    <w:qFormat/>
    <w:rsid w:val="00374D85"/>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rsid w:val="00374D85"/>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unhideWhenUsed/>
    <w:rsid w:val="005A0F15"/>
    <w:rPr>
      <w:rFonts w:ascii="Times New Roman" w:hAnsi="Times New Roman"/>
      <w:sz w:val="24"/>
      <w:vertAlign w:val="superscript"/>
    </w:rPr>
  </w:style>
  <w:style w:type="paragraph" w:styleId="Header">
    <w:name w:val="header"/>
    <w:basedOn w:val="Normal"/>
    <w:link w:val="HeaderChar"/>
    <w:uiPriority w:val="99"/>
    <w:unhideWhenUsed/>
    <w:rsid w:val="005A0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F15"/>
    <w:rPr>
      <w:rFonts w:ascii="Times New Roman" w:hAnsi="Times New Roman" w:cs="Times New Roman"/>
      <w:sz w:val="24"/>
      <w:szCs w:val="20"/>
    </w:rPr>
  </w:style>
  <w:style w:type="paragraph" w:styleId="Footer">
    <w:name w:val="footer"/>
    <w:basedOn w:val="Normal"/>
    <w:link w:val="FooterChar"/>
    <w:uiPriority w:val="99"/>
    <w:unhideWhenUsed/>
    <w:rsid w:val="005A0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F15"/>
    <w:rPr>
      <w:rFonts w:ascii="Times New Roman" w:hAnsi="Times New Roman" w:cs="Times New Roman"/>
      <w:sz w:val="24"/>
      <w:szCs w:val="20"/>
    </w:rPr>
  </w:style>
  <w:style w:type="paragraph" w:styleId="NormalWeb">
    <w:name w:val="Normal (Web)"/>
    <w:basedOn w:val="Normal"/>
    <w:uiPriority w:val="99"/>
    <w:unhideWhenUsed/>
    <w:rsid w:val="00DE1EED"/>
    <w:pPr>
      <w:spacing w:before="100" w:beforeAutospacing="1" w:after="100" w:afterAutospacing="1" w:line="240" w:lineRule="auto"/>
      <w:ind w:firstLine="0"/>
    </w:pPr>
    <w:rPr>
      <w:szCs w:val="24"/>
    </w:rPr>
  </w:style>
  <w:style w:type="paragraph" w:styleId="BalloonText">
    <w:name w:val="Balloon Text"/>
    <w:basedOn w:val="Normal"/>
    <w:link w:val="BalloonTextChar"/>
    <w:uiPriority w:val="99"/>
    <w:semiHidden/>
    <w:unhideWhenUsed/>
    <w:rsid w:val="00B23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9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D5"/>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544E1"/>
    <w:pPr>
      <w:numPr>
        <w:numId w:val="4"/>
      </w:numPr>
      <w:tabs>
        <w:tab w:val="left" w:pos="1440"/>
      </w:tabs>
    </w:pPr>
  </w:style>
  <w:style w:type="paragraph" w:styleId="FootnoteText">
    <w:name w:val="footnote text"/>
    <w:link w:val="FootnoteTextChar"/>
    <w:autoRedefine/>
    <w:uiPriority w:val="99"/>
    <w:unhideWhenUsed/>
    <w:qFormat/>
    <w:rsid w:val="00374D85"/>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rsid w:val="00374D85"/>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unhideWhenUsed/>
    <w:rsid w:val="005A0F15"/>
    <w:rPr>
      <w:rFonts w:ascii="Times New Roman" w:hAnsi="Times New Roman"/>
      <w:sz w:val="24"/>
      <w:vertAlign w:val="superscript"/>
    </w:rPr>
  </w:style>
  <w:style w:type="paragraph" w:styleId="Header">
    <w:name w:val="header"/>
    <w:basedOn w:val="Normal"/>
    <w:link w:val="HeaderChar"/>
    <w:uiPriority w:val="99"/>
    <w:unhideWhenUsed/>
    <w:rsid w:val="005A0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F15"/>
    <w:rPr>
      <w:rFonts w:ascii="Times New Roman" w:hAnsi="Times New Roman" w:cs="Times New Roman"/>
      <w:sz w:val="24"/>
      <w:szCs w:val="20"/>
    </w:rPr>
  </w:style>
  <w:style w:type="paragraph" w:styleId="Footer">
    <w:name w:val="footer"/>
    <w:basedOn w:val="Normal"/>
    <w:link w:val="FooterChar"/>
    <w:uiPriority w:val="99"/>
    <w:unhideWhenUsed/>
    <w:rsid w:val="005A0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F15"/>
    <w:rPr>
      <w:rFonts w:ascii="Times New Roman" w:hAnsi="Times New Roman" w:cs="Times New Roman"/>
      <w:sz w:val="24"/>
      <w:szCs w:val="20"/>
    </w:rPr>
  </w:style>
  <w:style w:type="paragraph" w:styleId="NormalWeb">
    <w:name w:val="Normal (Web)"/>
    <w:basedOn w:val="Normal"/>
    <w:uiPriority w:val="99"/>
    <w:unhideWhenUsed/>
    <w:rsid w:val="00DE1EED"/>
    <w:pPr>
      <w:spacing w:before="100" w:beforeAutospacing="1" w:after="100" w:afterAutospacing="1" w:line="240" w:lineRule="auto"/>
      <w:ind w:firstLine="0"/>
    </w:pPr>
    <w:rPr>
      <w:szCs w:val="24"/>
    </w:rPr>
  </w:style>
  <w:style w:type="paragraph" w:styleId="BalloonText">
    <w:name w:val="Balloon Text"/>
    <w:basedOn w:val="Normal"/>
    <w:link w:val="BalloonTextChar"/>
    <w:uiPriority w:val="99"/>
    <w:semiHidden/>
    <w:unhideWhenUsed/>
    <w:rsid w:val="00B23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9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408FA-AA73-4905-9FB7-20484382C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14</cp:revision>
  <cp:lastPrinted>2014-10-21T17:44:00Z</cp:lastPrinted>
  <dcterms:created xsi:type="dcterms:W3CDTF">2014-10-08T19:48:00Z</dcterms:created>
  <dcterms:modified xsi:type="dcterms:W3CDTF">2014-10-21T17:47:00Z</dcterms:modified>
</cp:coreProperties>
</file>