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rsidRPr="00A01DB2">
        <w:trPr>
          <w:trHeight w:val="990"/>
        </w:trPr>
        <w:tc>
          <w:tcPr>
            <w:tcW w:w="1363" w:type="dxa"/>
          </w:tcPr>
          <w:p w:rsidR="00C74A51" w:rsidRPr="00A01DB2" w:rsidRDefault="00E23926">
            <w:pPr>
              <w:rPr>
                <w:sz w:val="24"/>
              </w:rPr>
            </w:pPr>
            <w:r w:rsidRPr="00A01DB2">
              <w:rPr>
                <w:noProof/>
                <w:spacing w:val="-2"/>
              </w:rPr>
              <w:drawing>
                <wp:inline distT="0" distB="0" distL="0" distR="0" wp14:anchorId="34267BCA" wp14:editId="4367B9F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Pr="009A308C" w:rsidRDefault="00C74A51">
            <w:pPr>
              <w:suppressAutoHyphens/>
              <w:spacing w:line="204" w:lineRule="auto"/>
              <w:jc w:val="center"/>
              <w:rPr>
                <w:color w:val="000080"/>
                <w:spacing w:val="-3"/>
                <w:sz w:val="26"/>
              </w:rPr>
            </w:pPr>
          </w:p>
          <w:p w:rsidR="00C74A51" w:rsidRPr="00746BEC" w:rsidRDefault="00C74A51">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746BEC">
                  <w:rPr>
                    <w:rFonts w:ascii="Arial" w:hAnsi="Arial" w:cs="Arial"/>
                    <w:color w:val="000080"/>
                    <w:spacing w:val="-3"/>
                    <w:sz w:val="26"/>
                  </w:rPr>
                  <w:t>COMMONWEALTH</w:t>
                </w:r>
              </w:smartTag>
              <w:r w:rsidRPr="00746BEC">
                <w:rPr>
                  <w:rFonts w:ascii="Arial" w:hAnsi="Arial" w:cs="Arial"/>
                  <w:color w:val="000080"/>
                  <w:spacing w:val="-3"/>
                  <w:sz w:val="26"/>
                </w:rPr>
                <w:t xml:space="preserve"> OF </w:t>
              </w:r>
              <w:smartTag w:uri="urn:schemas-microsoft-com:office:smarttags" w:element="PlaceName">
                <w:r w:rsidRPr="00746BEC">
                  <w:rPr>
                    <w:rFonts w:ascii="Arial" w:hAnsi="Arial" w:cs="Arial"/>
                    <w:color w:val="000080"/>
                    <w:spacing w:val="-3"/>
                    <w:sz w:val="26"/>
                  </w:rPr>
                  <w:t>PENNSYLVANIA</w:t>
                </w:r>
              </w:smartTag>
            </w:smartTag>
          </w:p>
          <w:p w:rsidR="00C74A51" w:rsidRPr="00746BEC" w:rsidRDefault="00C74A51">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746BEC">
                  <w:rPr>
                    <w:rFonts w:ascii="Arial" w:hAnsi="Arial" w:cs="Arial"/>
                    <w:color w:val="000080"/>
                    <w:spacing w:val="-3"/>
                    <w:sz w:val="26"/>
                  </w:rPr>
                  <w:t>PENNSYLVANIA</w:t>
                </w:r>
              </w:smartTag>
            </w:smartTag>
            <w:r w:rsidRPr="00746BEC">
              <w:rPr>
                <w:rFonts w:ascii="Arial" w:hAnsi="Arial" w:cs="Arial"/>
                <w:color w:val="000080"/>
                <w:spacing w:val="-3"/>
                <w:sz w:val="26"/>
              </w:rPr>
              <w:t xml:space="preserve"> PUBLIC UTILITY COMMISSION</w:t>
            </w:r>
          </w:p>
          <w:p w:rsidR="00C74A51" w:rsidRPr="009A308C" w:rsidRDefault="00C74A51" w:rsidP="00320F11">
            <w:pPr>
              <w:jc w:val="center"/>
              <w:rPr>
                <w:sz w:val="12"/>
              </w:rPr>
            </w:pPr>
            <w:r w:rsidRPr="00746BEC">
              <w:rPr>
                <w:rFonts w:ascii="Arial" w:hAnsi="Arial" w:cs="Arial"/>
                <w:color w:val="000080"/>
                <w:spacing w:val="-3"/>
                <w:sz w:val="26"/>
              </w:rPr>
              <w:t>P.O. BOX 3265, HARRISBURG, PA 17105-326</w:t>
            </w:r>
            <w:r w:rsidR="00320F11" w:rsidRPr="00746BEC">
              <w:rPr>
                <w:rFonts w:ascii="Arial" w:hAnsi="Arial" w:cs="Arial"/>
                <w:color w:val="000080"/>
                <w:spacing w:val="-3"/>
                <w:sz w:val="26"/>
              </w:rPr>
              <w:t>5</w:t>
            </w:r>
          </w:p>
        </w:tc>
        <w:tc>
          <w:tcPr>
            <w:tcW w:w="1440" w:type="dxa"/>
          </w:tcPr>
          <w:p w:rsidR="00C74A51" w:rsidRPr="009A308C" w:rsidRDefault="00C74A51">
            <w:pPr>
              <w:rPr>
                <w:sz w:val="12"/>
              </w:rPr>
            </w:pPr>
          </w:p>
          <w:p w:rsidR="00C74A51" w:rsidRPr="009A308C" w:rsidRDefault="00C74A51">
            <w:pPr>
              <w:rPr>
                <w:sz w:val="12"/>
              </w:rPr>
            </w:pPr>
          </w:p>
          <w:p w:rsidR="00C74A51" w:rsidRPr="00746BEC" w:rsidRDefault="00C74A51">
            <w:pPr>
              <w:jc w:val="right"/>
              <w:rPr>
                <w:rFonts w:ascii="Arial" w:hAnsi="Arial" w:cs="Arial"/>
                <w:b/>
                <w:spacing w:val="-1"/>
                <w:sz w:val="12"/>
              </w:rPr>
            </w:pPr>
            <w:r w:rsidRPr="00746BEC">
              <w:rPr>
                <w:rFonts w:ascii="Arial" w:hAnsi="Arial" w:cs="Arial"/>
                <w:b/>
                <w:spacing w:val="-1"/>
                <w:sz w:val="12"/>
              </w:rPr>
              <w:t>IN REPLY PLEASE REFER TO OUR FILE</w:t>
            </w:r>
          </w:p>
          <w:p w:rsidR="003569E8" w:rsidRPr="009A308C" w:rsidRDefault="00266590" w:rsidP="00266590">
            <w:pPr>
              <w:jc w:val="right"/>
              <w:rPr>
                <w:sz w:val="16"/>
                <w:szCs w:val="16"/>
              </w:rPr>
            </w:pPr>
            <w:r>
              <w:rPr>
                <w:sz w:val="16"/>
                <w:szCs w:val="16"/>
              </w:rPr>
              <w:t>P</w:t>
            </w:r>
            <w:r w:rsidR="00E23926" w:rsidRPr="00A01DB2">
              <w:rPr>
                <w:sz w:val="16"/>
                <w:szCs w:val="16"/>
              </w:rPr>
              <w:noBreakHyphen/>
              <w:t>20</w:t>
            </w:r>
            <w:r w:rsidR="00280D84">
              <w:rPr>
                <w:sz w:val="16"/>
                <w:szCs w:val="16"/>
              </w:rPr>
              <w:t>14</w:t>
            </w:r>
            <w:r w:rsidR="00FC7B5D" w:rsidRPr="00A01DB2">
              <w:rPr>
                <w:sz w:val="16"/>
                <w:szCs w:val="16"/>
              </w:rPr>
              <w:t>-</w:t>
            </w:r>
            <w:r w:rsidR="00280D84">
              <w:rPr>
                <w:sz w:val="16"/>
                <w:szCs w:val="16"/>
              </w:rPr>
              <w:t>24</w:t>
            </w:r>
            <w:r>
              <w:rPr>
                <w:sz w:val="16"/>
                <w:szCs w:val="16"/>
              </w:rPr>
              <w:t>45072</w:t>
            </w:r>
          </w:p>
        </w:tc>
      </w:tr>
    </w:tbl>
    <w:p w:rsidR="00FA0E37" w:rsidRPr="00A01DB2" w:rsidRDefault="000368F5" w:rsidP="00FA0E37">
      <w:pPr>
        <w:jc w:val="center"/>
        <w:rPr>
          <w:b/>
          <w:sz w:val="26"/>
          <w:szCs w:val="26"/>
        </w:rPr>
      </w:pPr>
      <w:r>
        <w:rPr>
          <w:b/>
          <w:sz w:val="26"/>
          <w:szCs w:val="26"/>
        </w:rPr>
        <w:t>October 23, 2014</w:t>
      </w:r>
    </w:p>
    <w:p w:rsidR="001E1BF3" w:rsidRDefault="001E1BF3" w:rsidP="00FA0E37">
      <w:pPr>
        <w:jc w:val="center"/>
        <w:rPr>
          <w:b/>
          <w:sz w:val="26"/>
          <w:szCs w:val="26"/>
        </w:rPr>
      </w:pPr>
    </w:p>
    <w:p w:rsidR="00805EA6" w:rsidRPr="00A01DB2" w:rsidRDefault="00805EA6" w:rsidP="00FA0E37">
      <w:pPr>
        <w:jc w:val="center"/>
        <w:rPr>
          <w:b/>
          <w:sz w:val="26"/>
          <w:szCs w:val="26"/>
        </w:rPr>
      </w:pPr>
    </w:p>
    <w:p w:rsidR="004813FD" w:rsidRPr="00805EA6" w:rsidRDefault="004813FD" w:rsidP="00280D84">
      <w:pPr>
        <w:rPr>
          <w:sz w:val="26"/>
          <w:szCs w:val="26"/>
        </w:rPr>
      </w:pPr>
      <w:r w:rsidRPr="00805EA6">
        <w:rPr>
          <w:sz w:val="26"/>
          <w:szCs w:val="26"/>
        </w:rPr>
        <w:t>David B. MacGregor</w:t>
      </w:r>
    </w:p>
    <w:p w:rsidR="004813FD" w:rsidRPr="00805EA6" w:rsidRDefault="004813FD" w:rsidP="00280D84">
      <w:pPr>
        <w:rPr>
          <w:sz w:val="26"/>
          <w:szCs w:val="26"/>
        </w:rPr>
      </w:pPr>
      <w:r w:rsidRPr="00805EA6">
        <w:rPr>
          <w:sz w:val="26"/>
          <w:szCs w:val="26"/>
        </w:rPr>
        <w:t>Christopher T. Wright</w:t>
      </w:r>
    </w:p>
    <w:p w:rsidR="004813FD" w:rsidRPr="00805EA6" w:rsidRDefault="004813FD" w:rsidP="00280D84">
      <w:pPr>
        <w:rPr>
          <w:sz w:val="26"/>
          <w:szCs w:val="26"/>
        </w:rPr>
      </w:pPr>
      <w:r w:rsidRPr="00805EA6">
        <w:rPr>
          <w:sz w:val="26"/>
          <w:szCs w:val="26"/>
        </w:rPr>
        <w:t>Post &amp; Shell, P.C.</w:t>
      </w:r>
    </w:p>
    <w:p w:rsidR="004813FD" w:rsidRPr="00805EA6" w:rsidRDefault="004813FD" w:rsidP="00280D84">
      <w:pPr>
        <w:rPr>
          <w:sz w:val="26"/>
          <w:szCs w:val="26"/>
        </w:rPr>
      </w:pPr>
      <w:r w:rsidRPr="00805EA6">
        <w:rPr>
          <w:sz w:val="26"/>
          <w:szCs w:val="26"/>
        </w:rPr>
        <w:t>17 North Second Street</w:t>
      </w:r>
    </w:p>
    <w:p w:rsidR="004813FD" w:rsidRPr="00805EA6" w:rsidRDefault="004813FD" w:rsidP="00280D84">
      <w:pPr>
        <w:rPr>
          <w:sz w:val="26"/>
          <w:szCs w:val="26"/>
        </w:rPr>
      </w:pPr>
      <w:r w:rsidRPr="00805EA6">
        <w:rPr>
          <w:sz w:val="26"/>
          <w:szCs w:val="26"/>
        </w:rPr>
        <w:t>12</w:t>
      </w:r>
      <w:r w:rsidRPr="00805EA6">
        <w:rPr>
          <w:sz w:val="26"/>
          <w:szCs w:val="26"/>
          <w:vertAlign w:val="superscript"/>
        </w:rPr>
        <w:t>th</w:t>
      </w:r>
      <w:r w:rsidRPr="00805EA6">
        <w:rPr>
          <w:sz w:val="26"/>
          <w:szCs w:val="26"/>
        </w:rPr>
        <w:t xml:space="preserve"> Floor</w:t>
      </w:r>
    </w:p>
    <w:p w:rsidR="004813FD" w:rsidRPr="00805EA6" w:rsidRDefault="004813FD" w:rsidP="00280D84">
      <w:pPr>
        <w:rPr>
          <w:sz w:val="26"/>
          <w:szCs w:val="26"/>
        </w:rPr>
      </w:pPr>
      <w:r w:rsidRPr="00805EA6">
        <w:rPr>
          <w:sz w:val="26"/>
          <w:szCs w:val="26"/>
        </w:rPr>
        <w:t>Harrisburg, PA 17101-1601</w:t>
      </w:r>
    </w:p>
    <w:p w:rsidR="00710DBE" w:rsidRPr="00805EA6" w:rsidRDefault="004813FD" w:rsidP="00280D84">
      <w:pPr>
        <w:rPr>
          <w:sz w:val="26"/>
          <w:szCs w:val="26"/>
        </w:rPr>
      </w:pPr>
      <w:r w:rsidRPr="00805EA6">
        <w:rPr>
          <w:sz w:val="26"/>
          <w:szCs w:val="26"/>
        </w:rPr>
        <w:t>Counsel for PPL Electric Utilities Corp.</w:t>
      </w:r>
      <w:r w:rsidR="00710DBE" w:rsidRPr="00805EA6">
        <w:rPr>
          <w:sz w:val="26"/>
          <w:szCs w:val="26"/>
        </w:rPr>
        <w:t>:</w:t>
      </w:r>
    </w:p>
    <w:p w:rsidR="00805EA6" w:rsidRPr="00805EA6" w:rsidRDefault="00805EA6" w:rsidP="00280D84">
      <w:pPr>
        <w:rPr>
          <w:sz w:val="26"/>
          <w:szCs w:val="26"/>
        </w:rPr>
      </w:pPr>
    </w:p>
    <w:p w:rsidR="00710DBE" w:rsidRPr="00805EA6" w:rsidRDefault="00307364" w:rsidP="00280D84">
      <w:pPr>
        <w:ind w:left="1440" w:hanging="720"/>
        <w:rPr>
          <w:sz w:val="26"/>
          <w:szCs w:val="26"/>
        </w:rPr>
      </w:pPr>
      <w:r w:rsidRPr="00805EA6">
        <w:rPr>
          <w:sz w:val="26"/>
          <w:szCs w:val="26"/>
        </w:rPr>
        <w:t>Re:</w:t>
      </w:r>
      <w:r w:rsidRPr="00805EA6">
        <w:rPr>
          <w:sz w:val="26"/>
          <w:szCs w:val="26"/>
        </w:rPr>
        <w:tab/>
      </w:r>
      <w:r w:rsidR="00266590" w:rsidRPr="00805EA6">
        <w:rPr>
          <w:sz w:val="26"/>
          <w:szCs w:val="26"/>
        </w:rPr>
        <w:t>Petition of PPL Electric Utilities Corp. for Temporary Waivers from Certain Technical Requirements of 52 Pa. Code §§ 57.174 and 57.179</w:t>
      </w:r>
    </w:p>
    <w:p w:rsidR="00710DBE" w:rsidRPr="00805EA6" w:rsidRDefault="00710DBE" w:rsidP="00280D84">
      <w:pPr>
        <w:ind w:left="1440" w:hanging="720"/>
        <w:rPr>
          <w:sz w:val="26"/>
          <w:szCs w:val="26"/>
        </w:rPr>
      </w:pPr>
      <w:r w:rsidRPr="00805EA6">
        <w:rPr>
          <w:sz w:val="26"/>
          <w:szCs w:val="26"/>
        </w:rPr>
        <w:tab/>
        <w:t>Docket No.</w:t>
      </w:r>
      <w:r w:rsidR="006B307C" w:rsidRPr="00805EA6">
        <w:rPr>
          <w:sz w:val="26"/>
          <w:szCs w:val="26"/>
        </w:rPr>
        <w:t xml:space="preserve"> </w:t>
      </w:r>
      <w:r w:rsidR="00266590" w:rsidRPr="00805EA6">
        <w:rPr>
          <w:sz w:val="26"/>
          <w:szCs w:val="26"/>
        </w:rPr>
        <w:t>P</w:t>
      </w:r>
      <w:r w:rsidR="006B307C" w:rsidRPr="00805EA6">
        <w:rPr>
          <w:sz w:val="26"/>
          <w:szCs w:val="26"/>
        </w:rPr>
        <w:t>-201</w:t>
      </w:r>
      <w:r w:rsidR="00280D84" w:rsidRPr="00805EA6">
        <w:rPr>
          <w:sz w:val="26"/>
          <w:szCs w:val="26"/>
        </w:rPr>
        <w:t>4-24</w:t>
      </w:r>
      <w:r w:rsidR="00266590" w:rsidRPr="00805EA6">
        <w:rPr>
          <w:sz w:val="26"/>
          <w:szCs w:val="26"/>
        </w:rPr>
        <w:t>45072</w:t>
      </w:r>
    </w:p>
    <w:p w:rsidR="00805EA6" w:rsidRPr="00805EA6" w:rsidRDefault="00805EA6" w:rsidP="00280D84">
      <w:pPr>
        <w:rPr>
          <w:sz w:val="26"/>
          <w:szCs w:val="26"/>
        </w:rPr>
      </w:pPr>
    </w:p>
    <w:p w:rsidR="00B2425B" w:rsidRPr="00805EA6" w:rsidRDefault="00710DBE" w:rsidP="00280D84">
      <w:pPr>
        <w:rPr>
          <w:sz w:val="26"/>
          <w:szCs w:val="26"/>
        </w:rPr>
      </w:pPr>
      <w:r w:rsidRPr="00805EA6">
        <w:rPr>
          <w:sz w:val="26"/>
          <w:szCs w:val="26"/>
        </w:rPr>
        <w:tab/>
      </w:r>
      <w:r w:rsidR="00A01DB2" w:rsidRPr="00805EA6">
        <w:rPr>
          <w:rStyle w:val="st1"/>
          <w:sz w:val="26"/>
          <w:szCs w:val="26"/>
        </w:rPr>
        <w:t xml:space="preserve">On </w:t>
      </w:r>
      <w:r w:rsidR="00266590" w:rsidRPr="00805EA6">
        <w:rPr>
          <w:rStyle w:val="st1"/>
          <w:sz w:val="26"/>
          <w:szCs w:val="26"/>
        </w:rPr>
        <w:t>September</w:t>
      </w:r>
      <w:r w:rsidR="00A01DB2" w:rsidRPr="00805EA6">
        <w:rPr>
          <w:rStyle w:val="st1"/>
          <w:sz w:val="26"/>
          <w:szCs w:val="26"/>
        </w:rPr>
        <w:t xml:space="preserve"> </w:t>
      </w:r>
      <w:r w:rsidR="00266590" w:rsidRPr="00805EA6">
        <w:rPr>
          <w:rStyle w:val="st1"/>
          <w:sz w:val="26"/>
          <w:szCs w:val="26"/>
        </w:rPr>
        <w:t>2</w:t>
      </w:r>
      <w:r w:rsidR="00A01DB2" w:rsidRPr="00805EA6">
        <w:rPr>
          <w:rStyle w:val="st1"/>
          <w:sz w:val="26"/>
          <w:szCs w:val="26"/>
        </w:rPr>
        <w:t>5, 20</w:t>
      </w:r>
      <w:r w:rsidR="00266590" w:rsidRPr="00805EA6">
        <w:rPr>
          <w:rStyle w:val="st1"/>
          <w:sz w:val="26"/>
          <w:szCs w:val="26"/>
        </w:rPr>
        <w:t>14</w:t>
      </w:r>
      <w:r w:rsidR="00A01DB2" w:rsidRPr="00805EA6">
        <w:rPr>
          <w:rStyle w:val="st1"/>
          <w:sz w:val="26"/>
          <w:szCs w:val="26"/>
        </w:rPr>
        <w:t xml:space="preserve">, </w:t>
      </w:r>
      <w:r w:rsidR="00266590" w:rsidRPr="00805EA6">
        <w:rPr>
          <w:rStyle w:val="st1"/>
          <w:sz w:val="26"/>
          <w:szCs w:val="26"/>
        </w:rPr>
        <w:t>PPL Electric Utilities Corp</w:t>
      </w:r>
      <w:r w:rsidR="0006619B" w:rsidRPr="00805EA6">
        <w:rPr>
          <w:sz w:val="26"/>
          <w:szCs w:val="26"/>
        </w:rPr>
        <w:t>.</w:t>
      </w:r>
      <w:r w:rsidR="00266590" w:rsidRPr="00805EA6">
        <w:rPr>
          <w:sz w:val="26"/>
          <w:szCs w:val="26"/>
        </w:rPr>
        <w:t xml:space="preserve"> (PPL) filed a Petition seeking a temporary waiver of certain technical requirements of 52 Pa. Code §§ 57.174 and 57.179 from December 15, 2014 through Ju</w:t>
      </w:r>
      <w:r w:rsidR="00536FDF" w:rsidRPr="00805EA6">
        <w:rPr>
          <w:sz w:val="26"/>
          <w:szCs w:val="26"/>
        </w:rPr>
        <w:t>ly</w:t>
      </w:r>
      <w:r w:rsidR="00266590" w:rsidRPr="00805EA6">
        <w:rPr>
          <w:sz w:val="26"/>
          <w:szCs w:val="26"/>
        </w:rPr>
        <w:t xml:space="preserve"> 3</w:t>
      </w:r>
      <w:r w:rsidR="00536FDF" w:rsidRPr="00805EA6">
        <w:rPr>
          <w:sz w:val="26"/>
          <w:szCs w:val="26"/>
        </w:rPr>
        <w:t>1</w:t>
      </w:r>
      <w:r w:rsidR="00266590" w:rsidRPr="00805EA6">
        <w:rPr>
          <w:sz w:val="26"/>
          <w:szCs w:val="26"/>
        </w:rPr>
        <w:t xml:space="preserve">, 2015.  </w:t>
      </w:r>
      <w:r w:rsidR="00B2425B" w:rsidRPr="00805EA6">
        <w:rPr>
          <w:sz w:val="26"/>
          <w:szCs w:val="26"/>
        </w:rPr>
        <w:t>Specifically, PPL seeks the following temporary waivers:  (i) a waiver of the requirement for metered account multiple off-cycle switching for the period of December 15, 2014 through July 31, 2015; (ii) a waiver of the requirement for non-metered account multiple off-cycle switching for the period of December 15, 2014 through September 30, 2015; and (iii) a limited waiver of the requirement to preserve all records regarding unauthorized switches for three years for the period of December 15, 2014 through June 30, 2015.</w:t>
      </w:r>
      <w:r w:rsidR="00B2425B" w:rsidRPr="00805EA6">
        <w:rPr>
          <w:rStyle w:val="FootnoteReference"/>
          <w:sz w:val="26"/>
          <w:szCs w:val="26"/>
        </w:rPr>
        <w:footnoteReference w:id="1"/>
      </w:r>
    </w:p>
    <w:p w:rsidR="00B2425B" w:rsidRPr="00805EA6" w:rsidRDefault="00B2425B" w:rsidP="00280D84">
      <w:pPr>
        <w:rPr>
          <w:sz w:val="26"/>
          <w:szCs w:val="26"/>
        </w:rPr>
      </w:pPr>
    </w:p>
    <w:p w:rsidR="00710DBE" w:rsidRPr="00805EA6" w:rsidRDefault="00266590" w:rsidP="00805EA6">
      <w:pPr>
        <w:ind w:firstLine="720"/>
        <w:rPr>
          <w:sz w:val="26"/>
          <w:szCs w:val="26"/>
        </w:rPr>
      </w:pPr>
      <w:r w:rsidRPr="00805EA6">
        <w:rPr>
          <w:sz w:val="26"/>
          <w:szCs w:val="26"/>
        </w:rPr>
        <w:t>During the interim period,</w:t>
      </w:r>
      <w:r w:rsidR="00B2425B" w:rsidRPr="00805EA6">
        <w:rPr>
          <w:sz w:val="26"/>
          <w:szCs w:val="26"/>
        </w:rPr>
        <w:t xml:space="preserve"> December 15, 2014 through July 31, 2015, </w:t>
      </w:r>
      <w:r w:rsidRPr="00805EA6">
        <w:rPr>
          <w:sz w:val="26"/>
          <w:szCs w:val="26"/>
        </w:rPr>
        <w:t>PPL proposes to implement an interim switching measure that will allow every metered shopping customer to:  (i) make a single off-cycle three-business day switch within a single billing period to either a new EGS or default service; (ii) after one off-cycle switch has been made for a single billing cycle, make an on cycle switch to either a new EGS or default service with service to become effective for the next billing period; and (iii) upon verbal request from the customer, make one additional manual off-cycle switch within a single billing period to be returned to default service within three business days.</w:t>
      </w:r>
      <w:r w:rsidR="00536FDF" w:rsidRPr="00805EA6">
        <w:rPr>
          <w:rStyle w:val="FootnoteReference"/>
          <w:sz w:val="26"/>
          <w:szCs w:val="26"/>
        </w:rPr>
        <w:footnoteReference w:id="2"/>
      </w:r>
      <w:r w:rsidR="00536FDF" w:rsidRPr="00805EA6">
        <w:rPr>
          <w:sz w:val="26"/>
          <w:szCs w:val="26"/>
        </w:rPr>
        <w:t xml:space="preserve">  PPL Electric submits that this interim metered account switching measure is consistent with the spirit and stated purposes of the new accelerated switching regulations and the Final-Omitted Rulemaking Order at Docket No. L-2014-2409383.</w:t>
      </w:r>
    </w:p>
    <w:p w:rsidR="00FE3C85" w:rsidRPr="00805EA6" w:rsidRDefault="00FE3C85" w:rsidP="00805EA6">
      <w:pPr>
        <w:ind w:firstLine="720"/>
        <w:rPr>
          <w:sz w:val="26"/>
          <w:szCs w:val="26"/>
        </w:rPr>
      </w:pPr>
    </w:p>
    <w:p w:rsidR="00FE3C85" w:rsidRPr="00805EA6" w:rsidRDefault="00FE3C85" w:rsidP="00805EA6">
      <w:pPr>
        <w:ind w:firstLine="720"/>
        <w:rPr>
          <w:sz w:val="26"/>
          <w:szCs w:val="26"/>
        </w:rPr>
      </w:pPr>
      <w:r w:rsidRPr="00805EA6">
        <w:rPr>
          <w:sz w:val="26"/>
          <w:szCs w:val="26"/>
        </w:rPr>
        <w:lastRenderedPageBreak/>
        <w:t>On October 15, 2014, the Office of Consumer Advocate (OCA) filed an Answer to PPL’s Petition for Temporary Waiver.  In its answer, the OCA states that it supports approval of the requested temporary modifications, insofar as they provide customers with two meaningful avenues to mo</w:t>
      </w:r>
      <w:r w:rsidR="0001760B" w:rsidRPr="00805EA6">
        <w:rPr>
          <w:sz w:val="26"/>
          <w:szCs w:val="26"/>
        </w:rPr>
        <w:t>v</w:t>
      </w:r>
      <w:r w:rsidRPr="00805EA6">
        <w:rPr>
          <w:sz w:val="26"/>
          <w:szCs w:val="26"/>
        </w:rPr>
        <w:t>e off of potentially expensive EGS service on an off-cycle basis.</w:t>
      </w:r>
      <w:r w:rsidR="009F550C" w:rsidRPr="00805EA6">
        <w:rPr>
          <w:sz w:val="26"/>
          <w:szCs w:val="26"/>
        </w:rPr>
        <w:t xml:space="preserve">  The OCA, however, states that PPL should be required to demonstrate that the costs for implementing the interim measure are reasonable and justified if PPL seeks recovery of such costs.</w:t>
      </w:r>
      <w:r w:rsidR="009F550C" w:rsidRPr="00805EA6">
        <w:rPr>
          <w:rStyle w:val="FootnoteReference"/>
          <w:sz w:val="26"/>
          <w:szCs w:val="26"/>
        </w:rPr>
        <w:footnoteReference w:id="3"/>
      </w:r>
    </w:p>
    <w:p w:rsidR="00536FDF" w:rsidRPr="00805EA6" w:rsidRDefault="00536FDF" w:rsidP="00280D84">
      <w:pPr>
        <w:rPr>
          <w:sz w:val="26"/>
          <w:szCs w:val="26"/>
        </w:rPr>
      </w:pPr>
    </w:p>
    <w:p w:rsidR="004920CF" w:rsidRPr="00805EA6" w:rsidRDefault="00536FDF" w:rsidP="00280D84">
      <w:pPr>
        <w:rPr>
          <w:sz w:val="26"/>
          <w:szCs w:val="26"/>
        </w:rPr>
      </w:pPr>
      <w:r w:rsidRPr="00805EA6">
        <w:rPr>
          <w:sz w:val="26"/>
          <w:szCs w:val="26"/>
        </w:rPr>
        <w:tab/>
        <w:t xml:space="preserve">With this Secretarial Letter, the Commission approves PPL’s interim switching measure for every metered customer and directs PPL to implement this interim switching measure on or before December 15, 2014.  </w:t>
      </w:r>
      <w:r w:rsidR="009F550C" w:rsidRPr="00805EA6">
        <w:rPr>
          <w:sz w:val="26"/>
          <w:szCs w:val="26"/>
        </w:rPr>
        <w:t xml:space="preserve">Specifically, the Commission directs PPL to implement, on or before December 15, 2014, an interim switching measure that does the following:  (i) make a single off-cycle three-business day switch within a single billing period </w:t>
      </w:r>
      <w:r w:rsidR="004920CF" w:rsidRPr="00805EA6">
        <w:rPr>
          <w:sz w:val="26"/>
          <w:szCs w:val="26"/>
        </w:rPr>
        <w:t xml:space="preserve">from either default service or an EGS </w:t>
      </w:r>
      <w:r w:rsidR="009F550C" w:rsidRPr="00805EA6">
        <w:rPr>
          <w:sz w:val="26"/>
          <w:szCs w:val="26"/>
        </w:rPr>
        <w:t xml:space="preserve">to either a new EGS or default service; (ii) after one off-cycle switch has been made for a single billing cycle, make an on cycle switch to either a new EGS or default service with service to become effective for the next billing period; and (iii) upon verbal request from the customer, make one additional manual off-cycle switch within a single billing period to be returned to default service within three business days.  </w:t>
      </w:r>
    </w:p>
    <w:p w:rsidR="004920CF" w:rsidRPr="00805EA6" w:rsidRDefault="004920CF" w:rsidP="00280D84">
      <w:pPr>
        <w:rPr>
          <w:sz w:val="26"/>
          <w:szCs w:val="26"/>
        </w:rPr>
      </w:pPr>
    </w:p>
    <w:p w:rsidR="00536FDF" w:rsidRPr="00805EA6" w:rsidRDefault="00020AEB" w:rsidP="00805EA6">
      <w:pPr>
        <w:ind w:firstLine="720"/>
        <w:rPr>
          <w:sz w:val="26"/>
          <w:szCs w:val="26"/>
        </w:rPr>
      </w:pPr>
      <w:r w:rsidRPr="00805EA6">
        <w:rPr>
          <w:sz w:val="26"/>
          <w:szCs w:val="26"/>
        </w:rPr>
        <w:t xml:space="preserve">The Commission agrees with PPL that while not fully compliant with the switching regulations, this interim switching measure is a significant improvement over the current switching timeframes and will help reduce the financial burdens of shopping customers by allowing them to </w:t>
      </w:r>
      <w:r w:rsidR="008D4817" w:rsidRPr="00805EA6">
        <w:rPr>
          <w:sz w:val="26"/>
          <w:szCs w:val="26"/>
        </w:rPr>
        <w:t>quickly move from an unsatisfactory product</w:t>
      </w:r>
      <w:r w:rsidRPr="00805EA6">
        <w:rPr>
          <w:sz w:val="26"/>
          <w:szCs w:val="26"/>
        </w:rPr>
        <w:t xml:space="preserve"> and to minimize the adverse impacts caused by slamming.  The Commission also notes that having this interim switching measure in place on or before December 15, 2014, is timely as it will provide these benefits du</w:t>
      </w:r>
      <w:r w:rsidR="007D7C84" w:rsidRPr="00805EA6">
        <w:rPr>
          <w:sz w:val="26"/>
          <w:szCs w:val="26"/>
        </w:rPr>
        <w:t>ring the critical winter heating season.  The Commission also agrees with PPL in that this interim switching measure is just, reasonable and consistent with the purpose of the new accelerated switching regulations and our Final-Omitted Rulemaking Order.</w:t>
      </w:r>
    </w:p>
    <w:p w:rsidR="007D7C84" w:rsidRPr="00805EA6" w:rsidRDefault="007D7C84" w:rsidP="00280D84">
      <w:pPr>
        <w:rPr>
          <w:sz w:val="26"/>
          <w:szCs w:val="26"/>
        </w:rPr>
      </w:pPr>
    </w:p>
    <w:p w:rsidR="00805EA6" w:rsidRPr="00805EA6" w:rsidRDefault="007D7C84" w:rsidP="007D7C84">
      <w:pPr>
        <w:rPr>
          <w:sz w:val="26"/>
          <w:szCs w:val="26"/>
        </w:rPr>
      </w:pPr>
      <w:r w:rsidRPr="00805EA6">
        <w:rPr>
          <w:sz w:val="26"/>
          <w:szCs w:val="26"/>
        </w:rPr>
        <w:tab/>
        <w:t xml:space="preserve">This approval of the proposed interim switching measure does not constitute approval of any other aspect of PPL’s Petition for Waiver, </w:t>
      </w:r>
      <w:r w:rsidR="00B2425B" w:rsidRPr="00805EA6">
        <w:rPr>
          <w:sz w:val="26"/>
          <w:szCs w:val="26"/>
        </w:rPr>
        <w:t>such as</w:t>
      </w:r>
      <w:r w:rsidR="00FE3C85" w:rsidRPr="00805EA6">
        <w:rPr>
          <w:sz w:val="26"/>
          <w:szCs w:val="26"/>
        </w:rPr>
        <w:t>, but not limited to,</w:t>
      </w:r>
      <w:r w:rsidR="00B2425B" w:rsidRPr="00805EA6">
        <w:rPr>
          <w:sz w:val="26"/>
          <w:szCs w:val="26"/>
        </w:rPr>
        <w:t xml:space="preserve"> the length of the waiver, when </w:t>
      </w:r>
      <w:r w:rsidR="00FE3C85" w:rsidRPr="00805EA6">
        <w:rPr>
          <w:sz w:val="26"/>
          <w:szCs w:val="26"/>
        </w:rPr>
        <w:t xml:space="preserve">full implementation will be required and any specific terms and conditions of the waivers, </w:t>
      </w:r>
      <w:r w:rsidRPr="00805EA6">
        <w:rPr>
          <w:sz w:val="26"/>
          <w:szCs w:val="26"/>
        </w:rPr>
        <w:t xml:space="preserve">which will be addressed in </w:t>
      </w:r>
      <w:r w:rsidR="00FE3C85" w:rsidRPr="00805EA6">
        <w:rPr>
          <w:sz w:val="26"/>
          <w:szCs w:val="26"/>
        </w:rPr>
        <w:t xml:space="preserve">their </w:t>
      </w:r>
      <w:r w:rsidRPr="00805EA6">
        <w:rPr>
          <w:sz w:val="26"/>
          <w:szCs w:val="26"/>
        </w:rPr>
        <w:t xml:space="preserve">entirety </w:t>
      </w:r>
      <w:r w:rsidR="00FE3C85" w:rsidRPr="00805EA6">
        <w:rPr>
          <w:sz w:val="26"/>
          <w:szCs w:val="26"/>
        </w:rPr>
        <w:t xml:space="preserve">in a subsequent Commission action.  In addition, this Secretarial Letter does not constitute </w:t>
      </w:r>
      <w:r w:rsidR="009F550C" w:rsidRPr="00805EA6">
        <w:rPr>
          <w:sz w:val="26"/>
          <w:szCs w:val="26"/>
        </w:rPr>
        <w:t>a determination that the associated costs or expenses are reasonable or prudent for the purposes of cost recovery.  These issues will be addressed by the Commission in any appropriate cost recovery proceeding.  T</w:t>
      </w:r>
      <w:r w:rsidRPr="00805EA6">
        <w:rPr>
          <w:sz w:val="26"/>
          <w:szCs w:val="26"/>
        </w:rPr>
        <w:t xml:space="preserve">he Commission </w:t>
      </w:r>
      <w:r w:rsidR="009F550C" w:rsidRPr="00805EA6">
        <w:rPr>
          <w:sz w:val="26"/>
          <w:szCs w:val="26"/>
        </w:rPr>
        <w:t xml:space="preserve">will rule on PPL’s entire waiver request soon after we have </w:t>
      </w:r>
      <w:r w:rsidRPr="00805EA6">
        <w:rPr>
          <w:sz w:val="26"/>
          <w:szCs w:val="26"/>
        </w:rPr>
        <w:t xml:space="preserve">had time to fully consider the Petition and </w:t>
      </w:r>
      <w:r w:rsidR="009F550C" w:rsidRPr="00805EA6">
        <w:rPr>
          <w:sz w:val="26"/>
          <w:szCs w:val="26"/>
        </w:rPr>
        <w:t xml:space="preserve">all </w:t>
      </w:r>
      <w:r w:rsidRPr="00805EA6">
        <w:rPr>
          <w:sz w:val="26"/>
          <w:szCs w:val="26"/>
        </w:rPr>
        <w:t xml:space="preserve">responses.  </w:t>
      </w:r>
    </w:p>
    <w:p w:rsidR="00805EA6" w:rsidRPr="00805EA6" w:rsidRDefault="00805EA6" w:rsidP="007D7C84">
      <w:pPr>
        <w:rPr>
          <w:sz w:val="26"/>
          <w:szCs w:val="26"/>
        </w:rPr>
      </w:pPr>
    </w:p>
    <w:p w:rsidR="00325403" w:rsidRPr="00805EA6" w:rsidRDefault="00A20C12" w:rsidP="00805EA6">
      <w:pPr>
        <w:ind w:firstLine="720"/>
        <w:rPr>
          <w:sz w:val="26"/>
          <w:szCs w:val="26"/>
        </w:rPr>
      </w:pPr>
      <w:r w:rsidRPr="00805EA6">
        <w:rPr>
          <w:sz w:val="26"/>
          <w:szCs w:val="26"/>
        </w:rPr>
        <w:lastRenderedPageBreak/>
        <w:t xml:space="preserve">If you have any questions regarding this </w:t>
      </w:r>
      <w:r w:rsidR="0071761F" w:rsidRPr="00805EA6">
        <w:rPr>
          <w:sz w:val="26"/>
          <w:szCs w:val="26"/>
        </w:rPr>
        <w:t>Secretarial Letter</w:t>
      </w:r>
      <w:r w:rsidRPr="00805EA6">
        <w:rPr>
          <w:sz w:val="26"/>
          <w:szCs w:val="26"/>
        </w:rPr>
        <w:t xml:space="preserve">, please contact </w:t>
      </w:r>
      <w:r w:rsidR="007D7C84" w:rsidRPr="00805EA6">
        <w:rPr>
          <w:sz w:val="26"/>
          <w:szCs w:val="26"/>
        </w:rPr>
        <w:t>Kriss Brown</w:t>
      </w:r>
      <w:r w:rsidR="00325403" w:rsidRPr="00805EA6">
        <w:rPr>
          <w:sz w:val="26"/>
          <w:szCs w:val="26"/>
        </w:rPr>
        <w:t xml:space="preserve"> </w:t>
      </w:r>
      <w:r w:rsidRPr="00805EA6">
        <w:rPr>
          <w:sz w:val="26"/>
          <w:szCs w:val="26"/>
        </w:rPr>
        <w:t>at 717-</w:t>
      </w:r>
      <w:r w:rsidR="007D7C84" w:rsidRPr="00805EA6">
        <w:rPr>
          <w:sz w:val="26"/>
          <w:szCs w:val="26"/>
        </w:rPr>
        <w:t>787</w:t>
      </w:r>
      <w:r w:rsidR="002E2175" w:rsidRPr="00805EA6">
        <w:rPr>
          <w:sz w:val="26"/>
          <w:szCs w:val="26"/>
        </w:rPr>
        <w:t>-</w:t>
      </w:r>
      <w:r w:rsidR="007D7C84" w:rsidRPr="00805EA6">
        <w:rPr>
          <w:sz w:val="26"/>
          <w:szCs w:val="26"/>
        </w:rPr>
        <w:t>4</w:t>
      </w:r>
      <w:r w:rsidR="002E2175" w:rsidRPr="00805EA6">
        <w:rPr>
          <w:sz w:val="26"/>
          <w:szCs w:val="26"/>
        </w:rPr>
        <w:t>5</w:t>
      </w:r>
      <w:r w:rsidR="007D7C84" w:rsidRPr="00805EA6">
        <w:rPr>
          <w:sz w:val="26"/>
          <w:szCs w:val="26"/>
        </w:rPr>
        <w:t>1</w:t>
      </w:r>
      <w:r w:rsidR="002E2175" w:rsidRPr="00805EA6">
        <w:rPr>
          <w:sz w:val="26"/>
          <w:szCs w:val="26"/>
        </w:rPr>
        <w:t>8</w:t>
      </w:r>
      <w:r w:rsidRPr="00805EA6">
        <w:rPr>
          <w:sz w:val="26"/>
          <w:szCs w:val="26"/>
        </w:rPr>
        <w:t xml:space="preserve"> o</w:t>
      </w:r>
      <w:r w:rsidR="002E2175" w:rsidRPr="00805EA6">
        <w:rPr>
          <w:sz w:val="26"/>
          <w:szCs w:val="26"/>
        </w:rPr>
        <w:t>r</w:t>
      </w:r>
      <w:r w:rsidR="00805EA6" w:rsidRPr="00805EA6">
        <w:rPr>
          <w:sz w:val="26"/>
          <w:szCs w:val="26"/>
        </w:rPr>
        <w:t xml:space="preserve"> </w:t>
      </w:r>
      <w:hyperlink r:id="rId10" w:history="1">
        <w:r w:rsidR="00805EA6" w:rsidRPr="00805EA6">
          <w:rPr>
            <w:rStyle w:val="Hyperlink"/>
            <w:sz w:val="26"/>
            <w:szCs w:val="26"/>
          </w:rPr>
          <w:t>kribrown@pa.gov</w:t>
        </w:r>
      </w:hyperlink>
      <w:r w:rsidR="00805EA6" w:rsidRPr="00805EA6">
        <w:rPr>
          <w:sz w:val="26"/>
          <w:szCs w:val="26"/>
        </w:rPr>
        <w:t>.</w:t>
      </w:r>
    </w:p>
    <w:p w:rsidR="00A20C12" w:rsidRPr="00805EA6" w:rsidRDefault="00A20C12" w:rsidP="00280D84">
      <w:pPr>
        <w:ind w:firstLine="360"/>
        <w:rPr>
          <w:sz w:val="26"/>
          <w:szCs w:val="26"/>
        </w:rPr>
      </w:pPr>
      <w:r w:rsidRPr="00805EA6">
        <w:rPr>
          <w:sz w:val="26"/>
          <w:szCs w:val="26"/>
        </w:rPr>
        <w:t xml:space="preserve">   </w:t>
      </w:r>
    </w:p>
    <w:p w:rsidR="004D2698" w:rsidRPr="00805EA6" w:rsidRDefault="00C77F29" w:rsidP="00BE4A72">
      <w:pPr>
        <w:rPr>
          <w:sz w:val="26"/>
          <w:szCs w:val="26"/>
        </w:rPr>
      </w:pPr>
      <w:r w:rsidRPr="00805EA6">
        <w:rPr>
          <w:sz w:val="26"/>
          <w:szCs w:val="26"/>
        </w:rPr>
        <w:t xml:space="preserve"> </w:t>
      </w:r>
    </w:p>
    <w:p w:rsidR="00BE4A72" w:rsidRPr="00805EA6" w:rsidRDefault="000368F5" w:rsidP="00BE4A72">
      <w:pPr>
        <w:ind w:left="3600"/>
        <w:rPr>
          <w:sz w:val="26"/>
          <w:szCs w:val="26"/>
        </w:rPr>
      </w:pPr>
      <w:bookmarkStart w:id="0" w:name="_GoBack"/>
      <w:r>
        <w:rPr>
          <w:noProof/>
        </w:rPr>
        <w:drawing>
          <wp:anchor distT="0" distB="0" distL="114300" distR="114300" simplePos="0" relativeHeight="251658240" behindDoc="1" locked="0" layoutInCell="1" allowOverlap="1" wp14:anchorId="22593BD4" wp14:editId="5458FF78">
            <wp:simplePos x="0" y="0"/>
            <wp:positionH relativeFrom="column">
              <wp:posOffset>2331720</wp:posOffset>
            </wp:positionH>
            <wp:positionV relativeFrom="paragraph">
              <wp:posOffset>92710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BE4A72" w:rsidRPr="00805EA6">
        <w:rPr>
          <w:sz w:val="26"/>
          <w:szCs w:val="26"/>
        </w:rPr>
        <w:tab/>
        <w:t>Sincerely,</w:t>
      </w:r>
    </w:p>
    <w:p w:rsidR="00BE4A72" w:rsidRPr="00805EA6" w:rsidRDefault="00BE4A72" w:rsidP="00BE4A72">
      <w:pPr>
        <w:ind w:left="3600"/>
        <w:rPr>
          <w:sz w:val="26"/>
          <w:szCs w:val="26"/>
        </w:rPr>
      </w:pPr>
    </w:p>
    <w:p w:rsidR="00BE4A72" w:rsidRPr="00805EA6" w:rsidRDefault="00BE4A72" w:rsidP="00BE4A72">
      <w:pPr>
        <w:ind w:left="3600"/>
        <w:rPr>
          <w:sz w:val="26"/>
          <w:szCs w:val="26"/>
        </w:rPr>
      </w:pPr>
    </w:p>
    <w:p w:rsidR="00325403" w:rsidRPr="00805EA6" w:rsidRDefault="00325403" w:rsidP="00BE4A72">
      <w:pPr>
        <w:ind w:left="3600"/>
        <w:rPr>
          <w:sz w:val="26"/>
          <w:szCs w:val="26"/>
        </w:rPr>
      </w:pPr>
    </w:p>
    <w:p w:rsidR="002B37D7" w:rsidRPr="00805EA6" w:rsidRDefault="00C77F29" w:rsidP="002B37D7">
      <w:pPr>
        <w:jc w:val="both"/>
        <w:rPr>
          <w:color w:val="000000"/>
          <w:sz w:val="26"/>
          <w:szCs w:val="26"/>
        </w:rPr>
      </w:pPr>
      <w:r w:rsidRPr="00805EA6">
        <w:rPr>
          <w:sz w:val="26"/>
          <w:szCs w:val="26"/>
        </w:rPr>
        <w:tab/>
      </w:r>
      <w:r w:rsidR="002B37D7" w:rsidRPr="00805EA6">
        <w:rPr>
          <w:sz w:val="26"/>
          <w:szCs w:val="26"/>
        </w:rPr>
        <w:tab/>
      </w:r>
      <w:r w:rsidR="002B37D7" w:rsidRPr="00805EA6">
        <w:rPr>
          <w:sz w:val="26"/>
          <w:szCs w:val="26"/>
        </w:rPr>
        <w:tab/>
      </w:r>
      <w:r w:rsidR="002B37D7" w:rsidRPr="00805EA6">
        <w:rPr>
          <w:sz w:val="26"/>
          <w:szCs w:val="26"/>
        </w:rPr>
        <w:tab/>
      </w:r>
      <w:r w:rsidR="002B37D7" w:rsidRPr="00805EA6">
        <w:rPr>
          <w:sz w:val="26"/>
          <w:szCs w:val="26"/>
        </w:rPr>
        <w:tab/>
      </w:r>
      <w:r w:rsidR="002B37D7" w:rsidRPr="00805EA6">
        <w:rPr>
          <w:sz w:val="26"/>
          <w:szCs w:val="26"/>
        </w:rPr>
        <w:tab/>
      </w:r>
      <w:r w:rsidR="002B37D7" w:rsidRPr="00805EA6">
        <w:rPr>
          <w:color w:val="000000"/>
          <w:sz w:val="26"/>
          <w:szCs w:val="26"/>
        </w:rPr>
        <w:t>Rosemary Chiavetta</w:t>
      </w:r>
    </w:p>
    <w:p w:rsidR="002B37D7" w:rsidRPr="00805EA6" w:rsidRDefault="002B37D7" w:rsidP="002B37D7">
      <w:pPr>
        <w:jc w:val="both"/>
        <w:rPr>
          <w:color w:val="000000"/>
          <w:sz w:val="26"/>
          <w:szCs w:val="26"/>
        </w:rPr>
      </w:pPr>
      <w:r w:rsidRPr="00805EA6">
        <w:rPr>
          <w:color w:val="000000"/>
          <w:sz w:val="26"/>
          <w:szCs w:val="26"/>
        </w:rPr>
        <w:tab/>
      </w:r>
      <w:r w:rsidRPr="00805EA6">
        <w:rPr>
          <w:color w:val="000000"/>
          <w:sz w:val="26"/>
          <w:szCs w:val="26"/>
        </w:rPr>
        <w:tab/>
      </w:r>
      <w:r w:rsidRPr="00805EA6">
        <w:rPr>
          <w:color w:val="000000"/>
          <w:sz w:val="26"/>
          <w:szCs w:val="26"/>
        </w:rPr>
        <w:tab/>
      </w:r>
      <w:r w:rsidRPr="00805EA6">
        <w:rPr>
          <w:color w:val="000000"/>
          <w:sz w:val="26"/>
          <w:szCs w:val="26"/>
        </w:rPr>
        <w:tab/>
      </w:r>
      <w:r w:rsidRPr="00805EA6">
        <w:rPr>
          <w:color w:val="000000"/>
          <w:sz w:val="26"/>
          <w:szCs w:val="26"/>
        </w:rPr>
        <w:tab/>
      </w:r>
      <w:r w:rsidRPr="00805EA6">
        <w:rPr>
          <w:color w:val="000000"/>
          <w:sz w:val="26"/>
          <w:szCs w:val="26"/>
        </w:rPr>
        <w:tab/>
        <w:t>Secretary</w:t>
      </w:r>
    </w:p>
    <w:p w:rsidR="002B37D7" w:rsidRPr="00805EA6" w:rsidRDefault="002B37D7" w:rsidP="002B37D7">
      <w:pPr>
        <w:jc w:val="both"/>
        <w:rPr>
          <w:sz w:val="26"/>
          <w:szCs w:val="26"/>
        </w:rPr>
      </w:pPr>
    </w:p>
    <w:p w:rsidR="002B37D7" w:rsidRPr="00805EA6" w:rsidRDefault="002B37D7" w:rsidP="00280D84">
      <w:pPr>
        <w:rPr>
          <w:sz w:val="26"/>
          <w:szCs w:val="26"/>
        </w:rPr>
      </w:pPr>
      <w:r w:rsidRPr="00805EA6">
        <w:rPr>
          <w:sz w:val="26"/>
          <w:szCs w:val="26"/>
        </w:rPr>
        <w:t>cc:</w:t>
      </w:r>
      <w:r w:rsidRPr="00805EA6">
        <w:rPr>
          <w:sz w:val="26"/>
          <w:szCs w:val="26"/>
        </w:rPr>
        <w:tab/>
        <w:t>Chairman’s Office</w:t>
      </w:r>
      <w:r w:rsidR="00F8563A" w:rsidRPr="00805EA6">
        <w:rPr>
          <w:sz w:val="26"/>
          <w:szCs w:val="26"/>
        </w:rPr>
        <w:t xml:space="preserve">  </w:t>
      </w:r>
    </w:p>
    <w:p w:rsidR="002B37D7" w:rsidRPr="00805EA6" w:rsidRDefault="002B37D7" w:rsidP="00280D84">
      <w:pPr>
        <w:rPr>
          <w:sz w:val="26"/>
          <w:szCs w:val="26"/>
        </w:rPr>
      </w:pPr>
      <w:r w:rsidRPr="00805EA6">
        <w:rPr>
          <w:sz w:val="26"/>
          <w:szCs w:val="26"/>
        </w:rPr>
        <w:tab/>
        <w:t>Vice Chairman’s Office</w:t>
      </w:r>
    </w:p>
    <w:p w:rsidR="002B37D7" w:rsidRPr="00805EA6" w:rsidRDefault="002B37D7" w:rsidP="00280D84">
      <w:pPr>
        <w:rPr>
          <w:sz w:val="26"/>
          <w:szCs w:val="26"/>
        </w:rPr>
      </w:pPr>
      <w:r w:rsidRPr="00805EA6">
        <w:rPr>
          <w:sz w:val="26"/>
          <w:szCs w:val="26"/>
        </w:rPr>
        <w:tab/>
        <w:t>Commissioners’ Office</w:t>
      </w:r>
      <w:r w:rsidR="00280D84" w:rsidRPr="00805EA6">
        <w:rPr>
          <w:sz w:val="26"/>
          <w:szCs w:val="26"/>
        </w:rPr>
        <w:t>s</w:t>
      </w:r>
    </w:p>
    <w:p w:rsidR="00C55BE6" w:rsidRPr="00805EA6" w:rsidRDefault="00C55BE6" w:rsidP="00280D84">
      <w:pPr>
        <w:rPr>
          <w:sz w:val="26"/>
          <w:szCs w:val="26"/>
        </w:rPr>
      </w:pPr>
      <w:r w:rsidRPr="00805EA6">
        <w:rPr>
          <w:sz w:val="26"/>
          <w:szCs w:val="26"/>
        </w:rPr>
        <w:tab/>
        <w:t>Jan Freeman, Executive Director</w:t>
      </w:r>
    </w:p>
    <w:p w:rsidR="002B37D7" w:rsidRPr="00805EA6" w:rsidRDefault="002B37D7" w:rsidP="00280D84">
      <w:pPr>
        <w:rPr>
          <w:sz w:val="26"/>
          <w:szCs w:val="26"/>
        </w:rPr>
      </w:pPr>
      <w:r w:rsidRPr="00805EA6">
        <w:rPr>
          <w:sz w:val="26"/>
          <w:szCs w:val="26"/>
        </w:rPr>
        <w:tab/>
      </w:r>
      <w:r w:rsidR="00280D84" w:rsidRPr="00805EA6">
        <w:rPr>
          <w:sz w:val="26"/>
          <w:szCs w:val="26"/>
        </w:rPr>
        <w:t>Mary Beth Osborne</w:t>
      </w:r>
      <w:r w:rsidRPr="00805EA6">
        <w:rPr>
          <w:sz w:val="26"/>
          <w:szCs w:val="26"/>
        </w:rPr>
        <w:t xml:space="preserve">, Director of </w:t>
      </w:r>
      <w:r w:rsidR="00C55BE6" w:rsidRPr="00805EA6">
        <w:rPr>
          <w:sz w:val="26"/>
          <w:szCs w:val="26"/>
        </w:rPr>
        <w:t xml:space="preserve">Regulatory </w:t>
      </w:r>
      <w:r w:rsidR="00280D84" w:rsidRPr="00805EA6">
        <w:rPr>
          <w:sz w:val="26"/>
          <w:szCs w:val="26"/>
        </w:rPr>
        <w:t>Affairs</w:t>
      </w:r>
    </w:p>
    <w:p w:rsidR="002B37D7" w:rsidRPr="00805EA6" w:rsidRDefault="002B37D7" w:rsidP="00280D84">
      <w:pPr>
        <w:rPr>
          <w:sz w:val="26"/>
          <w:szCs w:val="26"/>
        </w:rPr>
      </w:pPr>
      <w:r w:rsidRPr="00805EA6">
        <w:rPr>
          <w:sz w:val="26"/>
          <w:szCs w:val="26"/>
        </w:rPr>
        <w:tab/>
      </w:r>
      <w:r w:rsidR="00280D84" w:rsidRPr="00805EA6">
        <w:rPr>
          <w:sz w:val="26"/>
          <w:szCs w:val="26"/>
        </w:rPr>
        <w:t>Bohdan</w:t>
      </w:r>
      <w:r w:rsidRPr="00805EA6">
        <w:rPr>
          <w:sz w:val="26"/>
          <w:szCs w:val="26"/>
        </w:rPr>
        <w:t xml:space="preserve"> Pankiw, Chief Counsel</w:t>
      </w:r>
    </w:p>
    <w:p w:rsidR="002B37D7" w:rsidRPr="00805EA6" w:rsidRDefault="00280D84" w:rsidP="00280D84">
      <w:pPr>
        <w:rPr>
          <w:sz w:val="26"/>
          <w:szCs w:val="26"/>
        </w:rPr>
      </w:pPr>
      <w:r w:rsidRPr="00805EA6">
        <w:rPr>
          <w:sz w:val="26"/>
          <w:szCs w:val="26"/>
        </w:rPr>
        <w:tab/>
        <w:t xml:space="preserve">Robert </w:t>
      </w:r>
      <w:r w:rsidR="002B37D7" w:rsidRPr="00805EA6">
        <w:rPr>
          <w:sz w:val="26"/>
          <w:szCs w:val="26"/>
        </w:rPr>
        <w:t>Young, Deputy Chief Counsel</w:t>
      </w:r>
    </w:p>
    <w:p w:rsidR="00280D84" w:rsidRPr="00805EA6" w:rsidRDefault="00280D84" w:rsidP="00280D84">
      <w:pPr>
        <w:rPr>
          <w:sz w:val="26"/>
          <w:szCs w:val="26"/>
        </w:rPr>
      </w:pPr>
      <w:r w:rsidRPr="00805EA6">
        <w:rPr>
          <w:sz w:val="26"/>
          <w:szCs w:val="26"/>
        </w:rPr>
        <w:tab/>
        <w:t>Kriss Brown, Assistant Counsel</w:t>
      </w:r>
    </w:p>
    <w:p w:rsidR="004813FD" w:rsidRPr="00805EA6" w:rsidRDefault="004813FD" w:rsidP="00280D84">
      <w:pPr>
        <w:rPr>
          <w:sz w:val="26"/>
          <w:szCs w:val="26"/>
        </w:rPr>
      </w:pPr>
      <w:r w:rsidRPr="00805EA6">
        <w:rPr>
          <w:sz w:val="26"/>
          <w:szCs w:val="26"/>
        </w:rPr>
        <w:tab/>
        <w:t>H. Kirk House, Director, Office of Competitive Market Oversight</w:t>
      </w:r>
    </w:p>
    <w:p w:rsidR="004813FD" w:rsidRPr="00805EA6" w:rsidRDefault="002B37D7" w:rsidP="004813FD">
      <w:pPr>
        <w:rPr>
          <w:sz w:val="26"/>
          <w:szCs w:val="26"/>
        </w:rPr>
      </w:pPr>
      <w:r w:rsidRPr="00805EA6">
        <w:rPr>
          <w:sz w:val="26"/>
          <w:szCs w:val="26"/>
        </w:rPr>
        <w:tab/>
      </w:r>
      <w:r w:rsidR="004813FD" w:rsidRPr="00805EA6">
        <w:rPr>
          <w:sz w:val="26"/>
          <w:szCs w:val="26"/>
        </w:rPr>
        <w:t>Johnnie E. Simms, Director, Bureau of Investigation &amp; Enforcement</w:t>
      </w:r>
    </w:p>
    <w:p w:rsidR="004813FD" w:rsidRPr="00805EA6" w:rsidRDefault="004813FD" w:rsidP="004813FD">
      <w:pPr>
        <w:rPr>
          <w:sz w:val="26"/>
          <w:szCs w:val="26"/>
        </w:rPr>
      </w:pPr>
      <w:r w:rsidRPr="00805EA6">
        <w:rPr>
          <w:sz w:val="26"/>
          <w:szCs w:val="26"/>
        </w:rPr>
        <w:tab/>
        <w:t>The Office of Consumer Advocate</w:t>
      </w:r>
    </w:p>
    <w:p w:rsidR="004813FD" w:rsidRPr="00805EA6" w:rsidRDefault="004813FD" w:rsidP="004813FD">
      <w:pPr>
        <w:rPr>
          <w:sz w:val="26"/>
          <w:szCs w:val="26"/>
        </w:rPr>
      </w:pPr>
      <w:r w:rsidRPr="00805EA6">
        <w:rPr>
          <w:sz w:val="26"/>
          <w:szCs w:val="26"/>
        </w:rPr>
        <w:tab/>
        <w:t>The Office of Small Business Advocate</w:t>
      </w:r>
    </w:p>
    <w:p w:rsidR="004813FD" w:rsidRPr="00805EA6" w:rsidRDefault="004813FD" w:rsidP="004813FD">
      <w:pPr>
        <w:rPr>
          <w:sz w:val="26"/>
          <w:szCs w:val="26"/>
        </w:rPr>
      </w:pPr>
      <w:r w:rsidRPr="00805EA6">
        <w:rPr>
          <w:sz w:val="26"/>
          <w:szCs w:val="26"/>
        </w:rPr>
        <w:tab/>
      </w:r>
    </w:p>
    <w:p w:rsidR="00280D84" w:rsidRPr="00805EA6" w:rsidRDefault="00280D84" w:rsidP="00280D84">
      <w:pPr>
        <w:rPr>
          <w:sz w:val="26"/>
          <w:szCs w:val="26"/>
        </w:rPr>
      </w:pPr>
    </w:p>
    <w:sectPr w:rsidR="00280D84" w:rsidRPr="00805EA6" w:rsidSect="00EF002D">
      <w:footerReference w:type="even" r:id="rId12"/>
      <w:footerReference w:type="default" r:id="rId1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99" w:rsidRDefault="00E37699">
      <w:r>
        <w:separator/>
      </w:r>
    </w:p>
  </w:endnote>
  <w:endnote w:type="continuationSeparator" w:id="0">
    <w:p w:rsidR="00E37699" w:rsidRDefault="00E3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09" w:rsidRDefault="000D71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D7109" w:rsidRDefault="000D7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1812345"/>
      <w:docPartObj>
        <w:docPartGallery w:val="Page Numbers (Bottom of Page)"/>
        <w:docPartUnique/>
      </w:docPartObj>
    </w:sdtPr>
    <w:sdtEndPr/>
    <w:sdtContent>
      <w:p w:rsidR="000D7109" w:rsidRPr="00643E2B" w:rsidRDefault="000D7109">
        <w:pPr>
          <w:pStyle w:val="Footer"/>
          <w:jc w:val="center"/>
          <w:rPr>
            <w:sz w:val="24"/>
            <w:szCs w:val="24"/>
          </w:rPr>
        </w:pPr>
        <w:r w:rsidRPr="00643E2B">
          <w:rPr>
            <w:sz w:val="24"/>
            <w:szCs w:val="24"/>
          </w:rPr>
          <w:fldChar w:fldCharType="begin"/>
        </w:r>
        <w:r w:rsidRPr="00643E2B">
          <w:rPr>
            <w:sz w:val="24"/>
            <w:szCs w:val="24"/>
          </w:rPr>
          <w:instrText xml:space="preserve"> PAGE   \* MERGEFORMAT </w:instrText>
        </w:r>
        <w:r w:rsidRPr="00643E2B">
          <w:rPr>
            <w:sz w:val="24"/>
            <w:szCs w:val="24"/>
          </w:rPr>
          <w:fldChar w:fldCharType="separate"/>
        </w:r>
        <w:r w:rsidR="000368F5">
          <w:rPr>
            <w:noProof/>
            <w:sz w:val="24"/>
            <w:szCs w:val="24"/>
          </w:rPr>
          <w:t>2</w:t>
        </w:r>
        <w:r w:rsidRPr="00643E2B">
          <w:rPr>
            <w:sz w:val="24"/>
            <w:szCs w:val="24"/>
          </w:rPr>
          <w:fldChar w:fldCharType="end"/>
        </w:r>
      </w:p>
    </w:sdtContent>
  </w:sdt>
  <w:p w:rsidR="000D7109" w:rsidRPr="00643E2B" w:rsidRDefault="000D7109">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99" w:rsidRDefault="00E37699">
      <w:r>
        <w:separator/>
      </w:r>
    </w:p>
  </w:footnote>
  <w:footnote w:type="continuationSeparator" w:id="0">
    <w:p w:rsidR="00E37699" w:rsidRDefault="00E37699">
      <w:r>
        <w:continuationSeparator/>
      </w:r>
    </w:p>
  </w:footnote>
  <w:footnote w:id="1">
    <w:p w:rsidR="00B2425B" w:rsidRPr="00805EA6" w:rsidRDefault="00B2425B">
      <w:pPr>
        <w:pStyle w:val="FootnoteText"/>
        <w:rPr>
          <w:sz w:val="22"/>
          <w:szCs w:val="22"/>
        </w:rPr>
      </w:pPr>
      <w:r w:rsidRPr="00805EA6">
        <w:rPr>
          <w:rStyle w:val="FootnoteReference"/>
          <w:sz w:val="22"/>
          <w:szCs w:val="22"/>
        </w:rPr>
        <w:footnoteRef/>
      </w:r>
      <w:r w:rsidRPr="00805EA6">
        <w:rPr>
          <w:sz w:val="22"/>
          <w:szCs w:val="22"/>
        </w:rPr>
        <w:t xml:space="preserve"> PPL Petition at 2.</w:t>
      </w:r>
    </w:p>
  </w:footnote>
  <w:footnote w:id="2">
    <w:p w:rsidR="00536FDF" w:rsidRDefault="00536FDF">
      <w:pPr>
        <w:pStyle w:val="FootnoteText"/>
      </w:pPr>
      <w:r w:rsidRPr="00805EA6">
        <w:rPr>
          <w:rStyle w:val="FootnoteReference"/>
          <w:sz w:val="22"/>
          <w:szCs w:val="22"/>
        </w:rPr>
        <w:footnoteRef/>
      </w:r>
      <w:r w:rsidRPr="00805EA6">
        <w:rPr>
          <w:sz w:val="22"/>
          <w:szCs w:val="22"/>
        </w:rPr>
        <w:t xml:space="preserve"> PPL Petition at </w:t>
      </w:r>
      <w:r w:rsidR="00020AEB" w:rsidRPr="00805EA6">
        <w:rPr>
          <w:sz w:val="22"/>
          <w:szCs w:val="22"/>
        </w:rPr>
        <w:t>12-14</w:t>
      </w:r>
      <w:r w:rsidRPr="00805EA6">
        <w:rPr>
          <w:sz w:val="22"/>
          <w:szCs w:val="22"/>
        </w:rPr>
        <w:t>.</w:t>
      </w:r>
    </w:p>
  </w:footnote>
  <w:footnote w:id="3">
    <w:p w:rsidR="009F550C" w:rsidRPr="00805EA6" w:rsidRDefault="009F550C">
      <w:pPr>
        <w:pStyle w:val="FootnoteText"/>
        <w:rPr>
          <w:sz w:val="22"/>
          <w:szCs w:val="22"/>
        </w:rPr>
      </w:pPr>
      <w:r w:rsidRPr="00805EA6">
        <w:rPr>
          <w:rStyle w:val="FootnoteReference"/>
          <w:sz w:val="22"/>
          <w:szCs w:val="22"/>
        </w:rPr>
        <w:footnoteRef/>
      </w:r>
      <w:r w:rsidRPr="00805EA6">
        <w:rPr>
          <w:sz w:val="22"/>
          <w:szCs w:val="22"/>
        </w:rPr>
        <w:t xml:space="preserve"> OCA Answer at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D63E1E"/>
    <w:multiLevelType w:val="hybridMultilevel"/>
    <w:tmpl w:val="73DA0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CE5F3A"/>
    <w:multiLevelType w:val="hybridMultilevel"/>
    <w:tmpl w:val="F38E0F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FFC2F37"/>
    <w:multiLevelType w:val="hybridMultilevel"/>
    <w:tmpl w:val="FF9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D709F"/>
    <w:multiLevelType w:val="hybridMultilevel"/>
    <w:tmpl w:val="AC1EAD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9C3DB8"/>
    <w:multiLevelType w:val="hybridMultilevel"/>
    <w:tmpl w:val="E4729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D024B0"/>
    <w:multiLevelType w:val="hybridMultilevel"/>
    <w:tmpl w:val="5DAAC0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BA77FD9"/>
    <w:multiLevelType w:val="hybridMultilevel"/>
    <w:tmpl w:val="EFC88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4"/>
  </w:num>
  <w:num w:numId="3">
    <w:abstractNumId w:val="4"/>
  </w:num>
  <w:num w:numId="4">
    <w:abstractNumId w:val="8"/>
  </w:num>
  <w:num w:numId="5">
    <w:abstractNumId w:val="20"/>
  </w:num>
  <w:num w:numId="6">
    <w:abstractNumId w:val="6"/>
  </w:num>
  <w:num w:numId="7">
    <w:abstractNumId w:val="21"/>
  </w:num>
  <w:num w:numId="8">
    <w:abstractNumId w:val="19"/>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9"/>
  </w:num>
  <w:num w:numId="15">
    <w:abstractNumId w:val="16"/>
  </w:num>
  <w:num w:numId="16">
    <w:abstractNumId w:val="3"/>
  </w:num>
  <w:num w:numId="17">
    <w:abstractNumId w:val="7"/>
  </w:num>
  <w:num w:numId="18">
    <w:abstractNumId w:val="2"/>
  </w:num>
  <w:num w:numId="19">
    <w:abstractNumId w:val="10"/>
  </w:num>
  <w:num w:numId="20">
    <w:abstractNumId w:val="5"/>
  </w:num>
  <w:num w:numId="21">
    <w:abstractNumId w:val="11"/>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16C43"/>
    <w:rsid w:val="0001760B"/>
    <w:rsid w:val="00020AEB"/>
    <w:rsid w:val="00021147"/>
    <w:rsid w:val="00025E21"/>
    <w:rsid w:val="00026B9B"/>
    <w:rsid w:val="000315CB"/>
    <w:rsid w:val="00031795"/>
    <w:rsid w:val="000368F5"/>
    <w:rsid w:val="0006619B"/>
    <w:rsid w:val="000A4073"/>
    <w:rsid w:val="000C0BE0"/>
    <w:rsid w:val="000C7752"/>
    <w:rsid w:val="000D54BC"/>
    <w:rsid w:val="000D7109"/>
    <w:rsid w:val="000E6ACE"/>
    <w:rsid w:val="000F097A"/>
    <w:rsid w:val="000F5F50"/>
    <w:rsid w:val="001023B1"/>
    <w:rsid w:val="001048C8"/>
    <w:rsid w:val="00110158"/>
    <w:rsid w:val="001110A3"/>
    <w:rsid w:val="00111D7A"/>
    <w:rsid w:val="001209F1"/>
    <w:rsid w:val="00121CB7"/>
    <w:rsid w:val="00126434"/>
    <w:rsid w:val="00126702"/>
    <w:rsid w:val="00134A78"/>
    <w:rsid w:val="00142748"/>
    <w:rsid w:val="00146EB6"/>
    <w:rsid w:val="0015126D"/>
    <w:rsid w:val="00162876"/>
    <w:rsid w:val="00162D58"/>
    <w:rsid w:val="00163A25"/>
    <w:rsid w:val="0019426D"/>
    <w:rsid w:val="00195546"/>
    <w:rsid w:val="001A2DCD"/>
    <w:rsid w:val="001A4102"/>
    <w:rsid w:val="001B2C6D"/>
    <w:rsid w:val="001C77FC"/>
    <w:rsid w:val="001E1BF3"/>
    <w:rsid w:val="001E3A60"/>
    <w:rsid w:val="001F5AD8"/>
    <w:rsid w:val="001F7863"/>
    <w:rsid w:val="002008CA"/>
    <w:rsid w:val="002229C3"/>
    <w:rsid w:val="002326FD"/>
    <w:rsid w:val="002615BE"/>
    <w:rsid w:val="00266590"/>
    <w:rsid w:val="00275C42"/>
    <w:rsid w:val="002775AC"/>
    <w:rsid w:val="00280D84"/>
    <w:rsid w:val="00281228"/>
    <w:rsid w:val="0028699F"/>
    <w:rsid w:val="002874B9"/>
    <w:rsid w:val="0029471C"/>
    <w:rsid w:val="002A2B4A"/>
    <w:rsid w:val="002A43DC"/>
    <w:rsid w:val="002B37D7"/>
    <w:rsid w:val="002B5158"/>
    <w:rsid w:val="002B618E"/>
    <w:rsid w:val="002C4503"/>
    <w:rsid w:val="002E2175"/>
    <w:rsid w:val="002E5123"/>
    <w:rsid w:val="002F0138"/>
    <w:rsid w:val="002F1CB8"/>
    <w:rsid w:val="00304047"/>
    <w:rsid w:val="003049AB"/>
    <w:rsid w:val="00307364"/>
    <w:rsid w:val="00307AD1"/>
    <w:rsid w:val="00310263"/>
    <w:rsid w:val="003106B5"/>
    <w:rsid w:val="00320F11"/>
    <w:rsid w:val="00325403"/>
    <w:rsid w:val="00326D2A"/>
    <w:rsid w:val="00351925"/>
    <w:rsid w:val="003569E8"/>
    <w:rsid w:val="00361704"/>
    <w:rsid w:val="00386D26"/>
    <w:rsid w:val="003878A0"/>
    <w:rsid w:val="003A6101"/>
    <w:rsid w:val="003B35CF"/>
    <w:rsid w:val="003C6DD3"/>
    <w:rsid w:val="003E7239"/>
    <w:rsid w:val="003F79A7"/>
    <w:rsid w:val="00411BEC"/>
    <w:rsid w:val="00413702"/>
    <w:rsid w:val="004245F3"/>
    <w:rsid w:val="00427AD9"/>
    <w:rsid w:val="00442D19"/>
    <w:rsid w:val="00447966"/>
    <w:rsid w:val="00447D68"/>
    <w:rsid w:val="00467782"/>
    <w:rsid w:val="00472043"/>
    <w:rsid w:val="00475E4A"/>
    <w:rsid w:val="004813FD"/>
    <w:rsid w:val="00487FAD"/>
    <w:rsid w:val="004920CF"/>
    <w:rsid w:val="00495FC5"/>
    <w:rsid w:val="0049749C"/>
    <w:rsid w:val="004A5F4E"/>
    <w:rsid w:val="004B02CF"/>
    <w:rsid w:val="004B61C1"/>
    <w:rsid w:val="004B7A97"/>
    <w:rsid w:val="004C5EA9"/>
    <w:rsid w:val="004D2698"/>
    <w:rsid w:val="0050362A"/>
    <w:rsid w:val="005044E1"/>
    <w:rsid w:val="0051639C"/>
    <w:rsid w:val="0052665A"/>
    <w:rsid w:val="00536FDF"/>
    <w:rsid w:val="0053714C"/>
    <w:rsid w:val="005424F7"/>
    <w:rsid w:val="00553472"/>
    <w:rsid w:val="00557565"/>
    <w:rsid w:val="00567746"/>
    <w:rsid w:val="0057207C"/>
    <w:rsid w:val="00573B21"/>
    <w:rsid w:val="0057487F"/>
    <w:rsid w:val="00575806"/>
    <w:rsid w:val="00590DCB"/>
    <w:rsid w:val="005B0327"/>
    <w:rsid w:val="005B7295"/>
    <w:rsid w:val="005C2839"/>
    <w:rsid w:val="005E25C5"/>
    <w:rsid w:val="00617CEC"/>
    <w:rsid w:val="006333CC"/>
    <w:rsid w:val="006354F1"/>
    <w:rsid w:val="00643DCA"/>
    <w:rsid w:val="00643E2B"/>
    <w:rsid w:val="006538B5"/>
    <w:rsid w:val="006678F2"/>
    <w:rsid w:val="0067310F"/>
    <w:rsid w:val="006755C0"/>
    <w:rsid w:val="00681A8B"/>
    <w:rsid w:val="006843D3"/>
    <w:rsid w:val="00694301"/>
    <w:rsid w:val="00694838"/>
    <w:rsid w:val="00697209"/>
    <w:rsid w:val="006B307C"/>
    <w:rsid w:val="006B4889"/>
    <w:rsid w:val="006E00A9"/>
    <w:rsid w:val="006E3B45"/>
    <w:rsid w:val="006F1347"/>
    <w:rsid w:val="006F614A"/>
    <w:rsid w:val="006F6A30"/>
    <w:rsid w:val="007012F3"/>
    <w:rsid w:val="00710DBE"/>
    <w:rsid w:val="0071761F"/>
    <w:rsid w:val="0073272F"/>
    <w:rsid w:val="00733109"/>
    <w:rsid w:val="00746BEC"/>
    <w:rsid w:val="00746F33"/>
    <w:rsid w:val="00750EF6"/>
    <w:rsid w:val="007617B1"/>
    <w:rsid w:val="00774136"/>
    <w:rsid w:val="00775A19"/>
    <w:rsid w:val="007762F7"/>
    <w:rsid w:val="0078658C"/>
    <w:rsid w:val="007D7C84"/>
    <w:rsid w:val="007E132D"/>
    <w:rsid w:val="007E3F38"/>
    <w:rsid w:val="007E5AA6"/>
    <w:rsid w:val="007E6ACB"/>
    <w:rsid w:val="007F0050"/>
    <w:rsid w:val="00805EA6"/>
    <w:rsid w:val="0080690D"/>
    <w:rsid w:val="00813B38"/>
    <w:rsid w:val="008241DB"/>
    <w:rsid w:val="008266BF"/>
    <w:rsid w:val="00831D49"/>
    <w:rsid w:val="008427B0"/>
    <w:rsid w:val="00846A98"/>
    <w:rsid w:val="008554B6"/>
    <w:rsid w:val="00865A3B"/>
    <w:rsid w:val="00881B7D"/>
    <w:rsid w:val="00892409"/>
    <w:rsid w:val="008C246C"/>
    <w:rsid w:val="008D3AB2"/>
    <w:rsid w:val="008D4817"/>
    <w:rsid w:val="008D6944"/>
    <w:rsid w:val="00902959"/>
    <w:rsid w:val="009131B3"/>
    <w:rsid w:val="00935E57"/>
    <w:rsid w:val="009376B4"/>
    <w:rsid w:val="00942E5E"/>
    <w:rsid w:val="00944B47"/>
    <w:rsid w:val="00945DEF"/>
    <w:rsid w:val="00952DD5"/>
    <w:rsid w:val="0095434D"/>
    <w:rsid w:val="0096632A"/>
    <w:rsid w:val="00977B3F"/>
    <w:rsid w:val="009930D2"/>
    <w:rsid w:val="009A2415"/>
    <w:rsid w:val="009A308C"/>
    <w:rsid w:val="009A5243"/>
    <w:rsid w:val="009B0CBC"/>
    <w:rsid w:val="009B23D8"/>
    <w:rsid w:val="009C571F"/>
    <w:rsid w:val="009D1A9E"/>
    <w:rsid w:val="009D1C20"/>
    <w:rsid w:val="009E40EC"/>
    <w:rsid w:val="009F550C"/>
    <w:rsid w:val="009F5F66"/>
    <w:rsid w:val="009F6C04"/>
    <w:rsid w:val="00A01138"/>
    <w:rsid w:val="00A01991"/>
    <w:rsid w:val="00A01DB2"/>
    <w:rsid w:val="00A20C12"/>
    <w:rsid w:val="00A254D2"/>
    <w:rsid w:val="00A33AAF"/>
    <w:rsid w:val="00A374EE"/>
    <w:rsid w:val="00A42B51"/>
    <w:rsid w:val="00A46963"/>
    <w:rsid w:val="00A5263D"/>
    <w:rsid w:val="00A72D60"/>
    <w:rsid w:val="00A74877"/>
    <w:rsid w:val="00A753B3"/>
    <w:rsid w:val="00A777B5"/>
    <w:rsid w:val="00A8516D"/>
    <w:rsid w:val="00A85A00"/>
    <w:rsid w:val="00A94E60"/>
    <w:rsid w:val="00AA1AEC"/>
    <w:rsid w:val="00AA30E9"/>
    <w:rsid w:val="00AB490E"/>
    <w:rsid w:val="00AB497F"/>
    <w:rsid w:val="00AB53D2"/>
    <w:rsid w:val="00AD0506"/>
    <w:rsid w:val="00AD0A9B"/>
    <w:rsid w:val="00AE0537"/>
    <w:rsid w:val="00AE3480"/>
    <w:rsid w:val="00AE6CA2"/>
    <w:rsid w:val="00B04B8D"/>
    <w:rsid w:val="00B2133D"/>
    <w:rsid w:val="00B2425B"/>
    <w:rsid w:val="00B27A7E"/>
    <w:rsid w:val="00B35953"/>
    <w:rsid w:val="00B61CDD"/>
    <w:rsid w:val="00BB79A9"/>
    <w:rsid w:val="00BC011F"/>
    <w:rsid w:val="00BC6BC9"/>
    <w:rsid w:val="00BC7E75"/>
    <w:rsid w:val="00BD4A39"/>
    <w:rsid w:val="00BD600D"/>
    <w:rsid w:val="00BE1D69"/>
    <w:rsid w:val="00BE4A72"/>
    <w:rsid w:val="00BE5119"/>
    <w:rsid w:val="00BF57A2"/>
    <w:rsid w:val="00C0420C"/>
    <w:rsid w:val="00C07570"/>
    <w:rsid w:val="00C12EFD"/>
    <w:rsid w:val="00C3654A"/>
    <w:rsid w:val="00C45DCB"/>
    <w:rsid w:val="00C46EDA"/>
    <w:rsid w:val="00C51E4C"/>
    <w:rsid w:val="00C55BE6"/>
    <w:rsid w:val="00C74A51"/>
    <w:rsid w:val="00C77F29"/>
    <w:rsid w:val="00C90506"/>
    <w:rsid w:val="00CA0D15"/>
    <w:rsid w:val="00CA2448"/>
    <w:rsid w:val="00CA358F"/>
    <w:rsid w:val="00CB5738"/>
    <w:rsid w:val="00CC0368"/>
    <w:rsid w:val="00CD0FDC"/>
    <w:rsid w:val="00CE1EAB"/>
    <w:rsid w:val="00CE34EC"/>
    <w:rsid w:val="00CF047C"/>
    <w:rsid w:val="00CF55DF"/>
    <w:rsid w:val="00CF7635"/>
    <w:rsid w:val="00D079C0"/>
    <w:rsid w:val="00D21397"/>
    <w:rsid w:val="00D31A74"/>
    <w:rsid w:val="00D351A3"/>
    <w:rsid w:val="00D47C63"/>
    <w:rsid w:val="00D53F6A"/>
    <w:rsid w:val="00D5472C"/>
    <w:rsid w:val="00D55A7A"/>
    <w:rsid w:val="00D62E64"/>
    <w:rsid w:val="00D77B80"/>
    <w:rsid w:val="00DC06D2"/>
    <w:rsid w:val="00DC7B54"/>
    <w:rsid w:val="00DD5A6B"/>
    <w:rsid w:val="00E20419"/>
    <w:rsid w:val="00E23926"/>
    <w:rsid w:val="00E30726"/>
    <w:rsid w:val="00E349DA"/>
    <w:rsid w:val="00E37699"/>
    <w:rsid w:val="00E42E96"/>
    <w:rsid w:val="00E62236"/>
    <w:rsid w:val="00E63D4A"/>
    <w:rsid w:val="00E67B87"/>
    <w:rsid w:val="00E70A5C"/>
    <w:rsid w:val="00E726D6"/>
    <w:rsid w:val="00E73061"/>
    <w:rsid w:val="00E83E92"/>
    <w:rsid w:val="00EA4C08"/>
    <w:rsid w:val="00EB2540"/>
    <w:rsid w:val="00EB3C30"/>
    <w:rsid w:val="00EC246D"/>
    <w:rsid w:val="00EC4487"/>
    <w:rsid w:val="00EC75EB"/>
    <w:rsid w:val="00EC7D0E"/>
    <w:rsid w:val="00ED3D93"/>
    <w:rsid w:val="00EE1D60"/>
    <w:rsid w:val="00EF002D"/>
    <w:rsid w:val="00F004AC"/>
    <w:rsid w:val="00F1131E"/>
    <w:rsid w:val="00F30804"/>
    <w:rsid w:val="00F3099A"/>
    <w:rsid w:val="00F309A9"/>
    <w:rsid w:val="00F4578D"/>
    <w:rsid w:val="00F47A16"/>
    <w:rsid w:val="00F51C5E"/>
    <w:rsid w:val="00F5640A"/>
    <w:rsid w:val="00F63D91"/>
    <w:rsid w:val="00F66053"/>
    <w:rsid w:val="00F7094C"/>
    <w:rsid w:val="00F7123D"/>
    <w:rsid w:val="00F75EE4"/>
    <w:rsid w:val="00F8563A"/>
    <w:rsid w:val="00FA0E37"/>
    <w:rsid w:val="00FB5B4F"/>
    <w:rsid w:val="00FC30B5"/>
    <w:rsid w:val="00FC7B5D"/>
    <w:rsid w:val="00FD48E7"/>
    <w:rsid w:val="00FE0D00"/>
    <w:rsid w:val="00FE3C85"/>
    <w:rsid w:val="00FE4266"/>
    <w:rsid w:val="00FE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A01DB2"/>
  </w:style>
  <w:style w:type="paragraph" w:styleId="Revision">
    <w:name w:val="Revision"/>
    <w:hidden/>
    <w:uiPriority w:val="99"/>
    <w:semiHidden/>
    <w:rsid w:val="009A3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A01DB2"/>
  </w:style>
  <w:style w:type="paragraph" w:styleId="Revision">
    <w:name w:val="Revision"/>
    <w:hidden/>
    <w:uiPriority w:val="99"/>
    <w:semiHidden/>
    <w:rsid w:val="009A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ribrown@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2817C-5293-4EBE-BC7C-7C82AB11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4</cp:revision>
  <cp:lastPrinted>2014-10-23T11:29:00Z</cp:lastPrinted>
  <dcterms:created xsi:type="dcterms:W3CDTF">2014-10-22T14:04:00Z</dcterms:created>
  <dcterms:modified xsi:type="dcterms:W3CDTF">2014-10-23T11:29:00Z</dcterms:modified>
</cp:coreProperties>
</file>