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0044DC">
      <w:pPr>
        <w:widowControl/>
        <w:tabs>
          <w:tab w:val="center" w:pos="4680"/>
        </w:tabs>
        <w:suppressAutoHyphens/>
        <w:jc w:val="center"/>
        <w:rPr>
          <w:b/>
          <w:sz w:val="26"/>
          <w:szCs w:val="26"/>
        </w:rPr>
      </w:pPr>
      <w:r w:rsidRPr="00F514FB">
        <w:rPr>
          <w:b/>
          <w:sz w:val="26"/>
          <w:szCs w:val="26"/>
        </w:rPr>
        <w:t>PENNSYLVANIA</w:t>
      </w:r>
    </w:p>
    <w:p w:rsidR="00F514FB" w:rsidRPr="00F514FB" w:rsidRDefault="00F514FB" w:rsidP="000044DC">
      <w:pPr>
        <w:widowControl/>
        <w:tabs>
          <w:tab w:val="center" w:pos="4680"/>
        </w:tabs>
        <w:suppressAutoHyphens/>
        <w:jc w:val="center"/>
        <w:rPr>
          <w:sz w:val="26"/>
          <w:szCs w:val="26"/>
        </w:rPr>
      </w:pPr>
      <w:r w:rsidRPr="00F514FB">
        <w:rPr>
          <w:b/>
          <w:sz w:val="26"/>
          <w:szCs w:val="26"/>
        </w:rPr>
        <w:t>PUBLIC UTILITY COMMISSION</w:t>
      </w:r>
    </w:p>
    <w:p w:rsidR="00F514FB" w:rsidRPr="00F514FB" w:rsidRDefault="00F514FB" w:rsidP="000044DC">
      <w:pPr>
        <w:widowControl/>
        <w:tabs>
          <w:tab w:val="center" w:pos="4680"/>
        </w:tabs>
        <w:suppressAutoHyphens/>
        <w:jc w:val="center"/>
        <w:rPr>
          <w:sz w:val="26"/>
          <w:szCs w:val="26"/>
        </w:rPr>
      </w:pPr>
      <w:r w:rsidRPr="00F514FB">
        <w:rPr>
          <w:b/>
          <w:sz w:val="26"/>
          <w:szCs w:val="26"/>
        </w:rPr>
        <w:t>Harrisburg, PA 17105-3265</w:t>
      </w:r>
    </w:p>
    <w:p w:rsidR="00F514FB" w:rsidRPr="00F514FB" w:rsidRDefault="00F514FB" w:rsidP="000044DC">
      <w:pPr>
        <w:widowControl/>
        <w:tabs>
          <w:tab w:val="left" w:pos="-720"/>
        </w:tabs>
        <w:suppressAutoHyphens/>
        <w:rPr>
          <w:sz w:val="26"/>
          <w:szCs w:val="26"/>
        </w:rPr>
      </w:pPr>
    </w:p>
    <w:p w:rsidR="00F514FB" w:rsidRPr="00F514FB" w:rsidRDefault="00F514FB" w:rsidP="000044DC">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F514FB" w:rsidTr="00DE25AC">
        <w:tc>
          <w:tcPr>
            <w:tcW w:w="5058" w:type="dxa"/>
          </w:tcPr>
          <w:p w:rsidR="00F514FB" w:rsidRPr="00F514FB" w:rsidRDefault="00F514FB" w:rsidP="000044DC">
            <w:pPr>
              <w:widowControl/>
              <w:rPr>
                <w:sz w:val="26"/>
                <w:szCs w:val="26"/>
              </w:rPr>
            </w:pPr>
          </w:p>
        </w:tc>
        <w:tc>
          <w:tcPr>
            <w:tcW w:w="4428" w:type="dxa"/>
          </w:tcPr>
          <w:p w:rsidR="00F514FB" w:rsidRPr="00F514FB" w:rsidRDefault="00865F6B" w:rsidP="000044DC">
            <w:pPr>
              <w:widowControl/>
              <w:jc w:val="right"/>
              <w:rPr>
                <w:sz w:val="26"/>
                <w:szCs w:val="26"/>
              </w:rPr>
            </w:pPr>
            <w:r>
              <w:rPr>
                <w:sz w:val="26"/>
                <w:szCs w:val="26"/>
              </w:rPr>
              <w:t xml:space="preserve">Public Meeting held </w:t>
            </w:r>
            <w:r w:rsidR="007F017F">
              <w:rPr>
                <w:sz w:val="26"/>
                <w:szCs w:val="26"/>
              </w:rPr>
              <w:t>October 2</w:t>
            </w:r>
            <w:r w:rsidR="00452211">
              <w:rPr>
                <w:sz w:val="26"/>
                <w:szCs w:val="26"/>
              </w:rPr>
              <w:t>3</w:t>
            </w:r>
            <w:r>
              <w:rPr>
                <w:sz w:val="26"/>
                <w:szCs w:val="26"/>
              </w:rPr>
              <w:t>, 2014</w:t>
            </w:r>
          </w:p>
          <w:p w:rsidR="00F514FB" w:rsidRPr="00F514FB" w:rsidRDefault="00F514FB" w:rsidP="000044DC">
            <w:pPr>
              <w:widowControl/>
              <w:jc w:val="right"/>
              <w:rPr>
                <w:sz w:val="26"/>
                <w:szCs w:val="26"/>
              </w:rPr>
            </w:pPr>
          </w:p>
          <w:p w:rsidR="00F514FB" w:rsidRPr="00F514FB" w:rsidRDefault="00F514FB" w:rsidP="000044DC">
            <w:pPr>
              <w:widowControl/>
              <w:jc w:val="right"/>
              <w:rPr>
                <w:sz w:val="26"/>
                <w:szCs w:val="26"/>
              </w:rPr>
            </w:pPr>
          </w:p>
        </w:tc>
      </w:tr>
      <w:tr w:rsidR="00F514FB" w:rsidRPr="00F514FB" w:rsidTr="007F017F">
        <w:tc>
          <w:tcPr>
            <w:tcW w:w="5058" w:type="dxa"/>
          </w:tcPr>
          <w:p w:rsidR="00F514FB" w:rsidRPr="00F514FB" w:rsidRDefault="00F514FB" w:rsidP="000044DC">
            <w:pPr>
              <w:widowControl/>
              <w:rPr>
                <w:sz w:val="26"/>
                <w:szCs w:val="26"/>
              </w:rPr>
            </w:pPr>
            <w:r w:rsidRPr="00F514FB">
              <w:rPr>
                <w:sz w:val="26"/>
                <w:szCs w:val="26"/>
              </w:rPr>
              <w:t>Commissioners Present:</w:t>
            </w:r>
          </w:p>
          <w:p w:rsidR="00F514FB" w:rsidRPr="00F514FB" w:rsidRDefault="00F514FB" w:rsidP="000044DC">
            <w:pPr>
              <w:widowControl/>
              <w:rPr>
                <w:sz w:val="26"/>
                <w:szCs w:val="26"/>
              </w:rPr>
            </w:pPr>
          </w:p>
          <w:p w:rsidR="00731444" w:rsidRPr="008516FF" w:rsidRDefault="00731444" w:rsidP="000044DC">
            <w:pPr>
              <w:widowControl/>
              <w:tabs>
                <w:tab w:val="left" w:pos="705"/>
              </w:tabs>
              <w:ind w:firstLine="720"/>
              <w:contextualSpacing/>
              <w:rPr>
                <w:sz w:val="26"/>
                <w:szCs w:val="26"/>
              </w:rPr>
            </w:pPr>
            <w:r w:rsidRPr="008516FF">
              <w:rPr>
                <w:sz w:val="26"/>
                <w:szCs w:val="26"/>
              </w:rPr>
              <w:t>Robert F. Powelson, Chairman</w:t>
            </w:r>
          </w:p>
          <w:p w:rsidR="00731444" w:rsidRPr="008516FF" w:rsidRDefault="00731444" w:rsidP="000044DC">
            <w:pPr>
              <w:widowControl/>
              <w:tabs>
                <w:tab w:val="left" w:pos="705"/>
              </w:tabs>
              <w:ind w:firstLine="720"/>
              <w:contextualSpacing/>
              <w:rPr>
                <w:sz w:val="26"/>
                <w:szCs w:val="26"/>
              </w:rPr>
            </w:pPr>
            <w:r w:rsidRPr="008516FF">
              <w:rPr>
                <w:sz w:val="26"/>
                <w:szCs w:val="26"/>
              </w:rPr>
              <w:t>John F. Coleman, Jr., Vice Chairman</w:t>
            </w:r>
          </w:p>
          <w:p w:rsidR="00731444" w:rsidRPr="008516FF" w:rsidRDefault="00731444" w:rsidP="000044DC">
            <w:pPr>
              <w:widowControl/>
              <w:tabs>
                <w:tab w:val="left" w:pos="705"/>
              </w:tabs>
              <w:ind w:firstLine="720"/>
              <w:contextualSpacing/>
              <w:rPr>
                <w:sz w:val="26"/>
                <w:szCs w:val="26"/>
              </w:rPr>
            </w:pPr>
            <w:r w:rsidRPr="008516FF">
              <w:rPr>
                <w:sz w:val="26"/>
                <w:szCs w:val="26"/>
              </w:rPr>
              <w:t xml:space="preserve">James H. </w:t>
            </w:r>
            <w:proofErr w:type="spellStart"/>
            <w:r w:rsidRPr="008516FF">
              <w:rPr>
                <w:sz w:val="26"/>
                <w:szCs w:val="26"/>
              </w:rPr>
              <w:t>Cawley</w:t>
            </w:r>
            <w:proofErr w:type="spellEnd"/>
          </w:p>
          <w:p w:rsidR="00731444" w:rsidRDefault="00731444" w:rsidP="000044DC">
            <w:pPr>
              <w:widowControl/>
              <w:tabs>
                <w:tab w:val="left" w:pos="705"/>
              </w:tabs>
              <w:ind w:firstLine="720"/>
              <w:contextualSpacing/>
              <w:rPr>
                <w:sz w:val="26"/>
                <w:szCs w:val="26"/>
              </w:rPr>
            </w:pPr>
            <w:r w:rsidRPr="008516FF">
              <w:rPr>
                <w:sz w:val="26"/>
                <w:szCs w:val="26"/>
              </w:rPr>
              <w:t xml:space="preserve">Pamela A. </w:t>
            </w:r>
            <w:proofErr w:type="spellStart"/>
            <w:r w:rsidRPr="008516FF">
              <w:rPr>
                <w:sz w:val="26"/>
                <w:szCs w:val="26"/>
              </w:rPr>
              <w:t>Witmer</w:t>
            </w:r>
            <w:proofErr w:type="spellEnd"/>
          </w:p>
          <w:p w:rsidR="00731444" w:rsidRPr="008516FF" w:rsidRDefault="00731444" w:rsidP="000044DC">
            <w:pPr>
              <w:widowControl/>
              <w:tabs>
                <w:tab w:val="left" w:pos="705"/>
              </w:tabs>
              <w:ind w:firstLine="720"/>
              <w:contextualSpacing/>
              <w:rPr>
                <w:sz w:val="26"/>
                <w:szCs w:val="26"/>
              </w:rPr>
            </w:pPr>
            <w:r>
              <w:rPr>
                <w:sz w:val="26"/>
                <w:szCs w:val="26"/>
              </w:rPr>
              <w:t>Gladys M. Brown</w:t>
            </w:r>
          </w:p>
          <w:p w:rsidR="00F514FB" w:rsidRPr="00F514FB" w:rsidRDefault="00F514FB" w:rsidP="000044DC">
            <w:pPr>
              <w:widowControl/>
              <w:rPr>
                <w:sz w:val="26"/>
                <w:szCs w:val="26"/>
              </w:rPr>
            </w:pPr>
          </w:p>
          <w:p w:rsidR="00F514FB" w:rsidRPr="00F514FB" w:rsidRDefault="00F514FB" w:rsidP="000044DC">
            <w:pPr>
              <w:widowControl/>
              <w:rPr>
                <w:sz w:val="26"/>
                <w:szCs w:val="26"/>
              </w:rPr>
            </w:pPr>
          </w:p>
        </w:tc>
        <w:tc>
          <w:tcPr>
            <w:tcW w:w="4428" w:type="dxa"/>
          </w:tcPr>
          <w:p w:rsidR="00F514FB" w:rsidRPr="00F514FB" w:rsidRDefault="00F514FB" w:rsidP="000044DC">
            <w:pPr>
              <w:widowControl/>
              <w:jc w:val="right"/>
              <w:rPr>
                <w:sz w:val="26"/>
                <w:szCs w:val="26"/>
              </w:rPr>
            </w:pPr>
          </w:p>
          <w:p w:rsidR="00F514FB" w:rsidRPr="00F514FB" w:rsidRDefault="00F514FB" w:rsidP="000044DC">
            <w:pPr>
              <w:widowControl/>
              <w:jc w:val="right"/>
              <w:rPr>
                <w:sz w:val="26"/>
                <w:szCs w:val="26"/>
              </w:rPr>
            </w:pPr>
          </w:p>
        </w:tc>
      </w:tr>
      <w:tr w:rsidR="00F514FB" w:rsidRPr="00F514FB" w:rsidTr="00DE25AC">
        <w:tc>
          <w:tcPr>
            <w:tcW w:w="5058" w:type="dxa"/>
          </w:tcPr>
          <w:p w:rsidR="00F514FB" w:rsidRPr="00F514FB" w:rsidRDefault="007F017F" w:rsidP="000044DC">
            <w:pPr>
              <w:widowControl/>
              <w:rPr>
                <w:sz w:val="26"/>
                <w:szCs w:val="26"/>
              </w:rPr>
            </w:pPr>
            <w:r>
              <w:rPr>
                <w:sz w:val="26"/>
                <w:szCs w:val="26"/>
              </w:rPr>
              <w:t>LeRoy Scott</w:t>
            </w:r>
          </w:p>
          <w:p w:rsidR="00F514FB" w:rsidRPr="00F514FB" w:rsidRDefault="00F514FB" w:rsidP="000044DC">
            <w:pPr>
              <w:widowControl/>
              <w:rPr>
                <w:sz w:val="26"/>
                <w:szCs w:val="26"/>
              </w:rPr>
            </w:pPr>
          </w:p>
        </w:tc>
        <w:tc>
          <w:tcPr>
            <w:tcW w:w="4428" w:type="dxa"/>
          </w:tcPr>
          <w:p w:rsidR="00F514FB" w:rsidRPr="00F514FB" w:rsidRDefault="007F017F" w:rsidP="007F017F">
            <w:pPr>
              <w:widowControl/>
              <w:jc w:val="right"/>
              <w:rPr>
                <w:sz w:val="26"/>
                <w:szCs w:val="26"/>
              </w:rPr>
            </w:pPr>
            <w:r>
              <w:rPr>
                <w:sz w:val="26"/>
                <w:szCs w:val="26"/>
              </w:rPr>
              <w:t>F-2013-2388439</w:t>
            </w:r>
          </w:p>
        </w:tc>
      </w:tr>
      <w:tr w:rsidR="00F514FB" w:rsidRPr="00F514FB" w:rsidTr="00DE25AC">
        <w:tc>
          <w:tcPr>
            <w:tcW w:w="5058" w:type="dxa"/>
          </w:tcPr>
          <w:p w:rsidR="00F514FB" w:rsidRPr="00F514FB" w:rsidRDefault="00F514FB" w:rsidP="000044DC">
            <w:pPr>
              <w:widowControl/>
              <w:ind w:firstLine="1440"/>
              <w:rPr>
                <w:sz w:val="26"/>
                <w:szCs w:val="26"/>
              </w:rPr>
            </w:pPr>
            <w:proofErr w:type="gramStart"/>
            <w:r w:rsidRPr="00F514FB">
              <w:rPr>
                <w:sz w:val="26"/>
                <w:szCs w:val="26"/>
              </w:rPr>
              <w:t>v</w:t>
            </w:r>
            <w:proofErr w:type="gramEnd"/>
            <w:r w:rsidRPr="00F514FB">
              <w:rPr>
                <w:sz w:val="26"/>
                <w:szCs w:val="26"/>
              </w:rPr>
              <w:t>.</w:t>
            </w:r>
          </w:p>
          <w:p w:rsidR="00F514FB" w:rsidRPr="00F514FB" w:rsidRDefault="00F514FB" w:rsidP="000044DC">
            <w:pPr>
              <w:widowControl/>
              <w:ind w:firstLine="1440"/>
              <w:rPr>
                <w:sz w:val="26"/>
                <w:szCs w:val="26"/>
              </w:rPr>
            </w:pPr>
          </w:p>
        </w:tc>
        <w:tc>
          <w:tcPr>
            <w:tcW w:w="4428" w:type="dxa"/>
          </w:tcPr>
          <w:p w:rsidR="00F514FB" w:rsidRPr="00F514FB" w:rsidRDefault="00F514FB" w:rsidP="000044DC">
            <w:pPr>
              <w:widowControl/>
              <w:rPr>
                <w:sz w:val="26"/>
                <w:szCs w:val="26"/>
              </w:rPr>
            </w:pPr>
          </w:p>
        </w:tc>
      </w:tr>
      <w:tr w:rsidR="00F514FB" w:rsidRPr="00F514FB" w:rsidTr="007F017F">
        <w:tc>
          <w:tcPr>
            <w:tcW w:w="5058" w:type="dxa"/>
          </w:tcPr>
          <w:p w:rsidR="00F514FB" w:rsidRPr="00F514FB" w:rsidRDefault="00865F6B" w:rsidP="000044DC">
            <w:pPr>
              <w:widowControl/>
              <w:rPr>
                <w:sz w:val="26"/>
                <w:szCs w:val="26"/>
              </w:rPr>
            </w:pPr>
            <w:r>
              <w:rPr>
                <w:sz w:val="26"/>
                <w:szCs w:val="26"/>
              </w:rPr>
              <w:t>PECO Energy Company</w:t>
            </w:r>
          </w:p>
        </w:tc>
        <w:tc>
          <w:tcPr>
            <w:tcW w:w="4428" w:type="dxa"/>
          </w:tcPr>
          <w:p w:rsidR="00F514FB" w:rsidRPr="00F514FB" w:rsidRDefault="00F514FB" w:rsidP="000044DC">
            <w:pPr>
              <w:widowControl/>
              <w:rPr>
                <w:sz w:val="26"/>
                <w:szCs w:val="26"/>
              </w:rPr>
            </w:pPr>
          </w:p>
        </w:tc>
      </w:tr>
    </w:tbl>
    <w:p w:rsidR="00F514FB" w:rsidRPr="00F514FB" w:rsidRDefault="00F514FB" w:rsidP="000044DC">
      <w:pPr>
        <w:widowControl/>
        <w:rPr>
          <w:sz w:val="26"/>
          <w:szCs w:val="26"/>
        </w:rPr>
      </w:pPr>
    </w:p>
    <w:p w:rsidR="00F514FB" w:rsidRPr="00F514FB" w:rsidRDefault="00F514FB" w:rsidP="000044DC">
      <w:pPr>
        <w:widowControl/>
        <w:rPr>
          <w:sz w:val="26"/>
          <w:szCs w:val="26"/>
        </w:rPr>
      </w:pPr>
    </w:p>
    <w:p w:rsidR="00F514FB" w:rsidRPr="00F514FB" w:rsidRDefault="00F514FB" w:rsidP="000044DC">
      <w:pPr>
        <w:widowControl/>
        <w:jc w:val="center"/>
        <w:rPr>
          <w:b/>
          <w:sz w:val="26"/>
          <w:szCs w:val="26"/>
        </w:rPr>
      </w:pPr>
      <w:r w:rsidRPr="00F514FB">
        <w:rPr>
          <w:b/>
          <w:sz w:val="26"/>
          <w:szCs w:val="26"/>
        </w:rPr>
        <w:t>OPINION AND ORDER</w:t>
      </w:r>
    </w:p>
    <w:p w:rsidR="00F514FB" w:rsidRPr="00F514FB" w:rsidRDefault="00F514FB" w:rsidP="000044DC">
      <w:pPr>
        <w:widowControl/>
        <w:jc w:val="center"/>
        <w:rPr>
          <w:b/>
          <w:sz w:val="26"/>
          <w:szCs w:val="26"/>
        </w:rPr>
      </w:pPr>
    </w:p>
    <w:p w:rsidR="00F514FB" w:rsidRPr="00F514FB" w:rsidRDefault="00F514FB" w:rsidP="000044DC">
      <w:pPr>
        <w:widowControl/>
        <w:jc w:val="center"/>
        <w:rPr>
          <w:b/>
          <w:sz w:val="26"/>
          <w:szCs w:val="26"/>
        </w:rPr>
      </w:pPr>
    </w:p>
    <w:p w:rsidR="00F514FB" w:rsidRPr="00F514FB" w:rsidRDefault="00F514FB" w:rsidP="000044DC">
      <w:pPr>
        <w:widowControl/>
        <w:rPr>
          <w:b/>
          <w:sz w:val="26"/>
          <w:szCs w:val="26"/>
        </w:rPr>
      </w:pPr>
      <w:r w:rsidRPr="00F514FB">
        <w:rPr>
          <w:b/>
          <w:sz w:val="26"/>
          <w:szCs w:val="26"/>
        </w:rPr>
        <w:t>BY THE COMMISSION:</w:t>
      </w:r>
    </w:p>
    <w:p w:rsidR="00F514FB" w:rsidRPr="00F514FB" w:rsidRDefault="00F514FB" w:rsidP="000044DC">
      <w:pPr>
        <w:widowControl/>
        <w:rPr>
          <w:sz w:val="26"/>
          <w:szCs w:val="26"/>
        </w:rPr>
      </w:pPr>
    </w:p>
    <w:p w:rsidR="00F514FB" w:rsidRPr="00F514FB" w:rsidRDefault="00F514FB" w:rsidP="000044DC">
      <w:pPr>
        <w:widowControl/>
        <w:rPr>
          <w:sz w:val="26"/>
          <w:szCs w:val="26"/>
        </w:rPr>
      </w:pPr>
    </w:p>
    <w:p w:rsidR="00AB41CD" w:rsidRDefault="00CA43A5" w:rsidP="000044DC">
      <w:pPr>
        <w:widowControl/>
        <w:spacing w:line="360" w:lineRule="auto"/>
        <w:ind w:firstLine="1440"/>
        <w:rPr>
          <w:sz w:val="26"/>
          <w:szCs w:val="26"/>
        </w:rPr>
      </w:pPr>
      <w:r w:rsidRPr="00CA43A5">
        <w:rPr>
          <w:sz w:val="26"/>
          <w:szCs w:val="26"/>
        </w:rPr>
        <w:t xml:space="preserve">Before the Pennsylvania Public Utility Commission (Commission) for consideration and disposition </w:t>
      </w:r>
      <w:r w:rsidR="00671E4C">
        <w:rPr>
          <w:color w:val="000000"/>
          <w:sz w:val="26"/>
        </w:rPr>
        <w:t>are the Exceptions</w:t>
      </w:r>
      <w:r w:rsidR="00E13593">
        <w:rPr>
          <w:color w:val="000000"/>
          <w:sz w:val="26"/>
        </w:rPr>
        <w:t xml:space="preserve"> (Exceptions) of </w:t>
      </w:r>
      <w:r w:rsidR="007F017F">
        <w:rPr>
          <w:color w:val="000000"/>
          <w:sz w:val="26"/>
        </w:rPr>
        <w:t>LeRoy Scott</w:t>
      </w:r>
      <w:r w:rsidR="00671E4C">
        <w:rPr>
          <w:color w:val="000000"/>
          <w:sz w:val="26"/>
        </w:rPr>
        <w:t xml:space="preserve"> </w:t>
      </w:r>
      <w:r w:rsidR="00E13593">
        <w:rPr>
          <w:color w:val="000000"/>
          <w:sz w:val="26"/>
        </w:rPr>
        <w:t>(Complainant</w:t>
      </w:r>
      <w:r w:rsidR="00E36BD4">
        <w:rPr>
          <w:color w:val="000000"/>
          <w:sz w:val="26"/>
        </w:rPr>
        <w:t xml:space="preserve">) filed on </w:t>
      </w:r>
      <w:r w:rsidR="007F017F">
        <w:rPr>
          <w:color w:val="000000"/>
          <w:sz w:val="26"/>
        </w:rPr>
        <w:t>May 23</w:t>
      </w:r>
      <w:r w:rsidR="00E36BD4">
        <w:rPr>
          <w:color w:val="000000"/>
          <w:sz w:val="26"/>
        </w:rPr>
        <w:t>, 2014</w:t>
      </w:r>
      <w:r w:rsidR="00671E4C">
        <w:rPr>
          <w:color w:val="000000"/>
          <w:sz w:val="26"/>
        </w:rPr>
        <w:t>,</w:t>
      </w:r>
      <w:r w:rsidR="007F017F">
        <w:rPr>
          <w:rStyle w:val="FootnoteReference"/>
          <w:color w:val="000000"/>
          <w:sz w:val="26"/>
        </w:rPr>
        <w:footnoteReference w:id="1"/>
      </w:r>
      <w:r w:rsidR="00671E4C">
        <w:rPr>
          <w:color w:val="000000"/>
          <w:sz w:val="26"/>
        </w:rPr>
        <w:t xml:space="preserve"> to the Initial Decision (I.D.) of Administrative </w:t>
      </w:r>
      <w:r w:rsidR="00E13593">
        <w:rPr>
          <w:color w:val="000000"/>
          <w:sz w:val="26"/>
        </w:rPr>
        <w:t xml:space="preserve">Law Judge (ALJ) </w:t>
      </w:r>
      <w:r w:rsidR="00C256C7">
        <w:rPr>
          <w:color w:val="000000"/>
          <w:sz w:val="26"/>
        </w:rPr>
        <w:t>Christopher P. Pell</w:t>
      </w:r>
      <w:r w:rsidR="00671E4C">
        <w:rPr>
          <w:color w:val="000000"/>
          <w:sz w:val="26"/>
        </w:rPr>
        <w:t>, w</w:t>
      </w:r>
      <w:r w:rsidR="00E13593">
        <w:rPr>
          <w:color w:val="000000"/>
          <w:sz w:val="26"/>
        </w:rPr>
        <w:t xml:space="preserve">hich was issued on </w:t>
      </w:r>
      <w:r w:rsidR="00C256C7">
        <w:rPr>
          <w:color w:val="000000"/>
          <w:sz w:val="26"/>
        </w:rPr>
        <w:t xml:space="preserve">May </w:t>
      </w:r>
      <w:r w:rsidR="00E13593">
        <w:rPr>
          <w:color w:val="000000"/>
          <w:sz w:val="26"/>
        </w:rPr>
        <w:t>6, 201</w:t>
      </w:r>
      <w:r w:rsidR="00C256C7">
        <w:rPr>
          <w:color w:val="000000"/>
          <w:sz w:val="26"/>
        </w:rPr>
        <w:t>4</w:t>
      </w:r>
      <w:r w:rsidR="00671E4C">
        <w:rPr>
          <w:color w:val="000000"/>
          <w:sz w:val="26"/>
        </w:rPr>
        <w:t>, in</w:t>
      </w:r>
      <w:r w:rsidR="0030295D">
        <w:rPr>
          <w:color w:val="000000"/>
          <w:sz w:val="26"/>
        </w:rPr>
        <w:t xml:space="preserve"> the above-</w:t>
      </w:r>
      <w:r w:rsidR="0030295D">
        <w:rPr>
          <w:color w:val="000000"/>
          <w:sz w:val="26"/>
        </w:rPr>
        <w:lastRenderedPageBreak/>
        <w:t>captioned proceeding</w:t>
      </w:r>
      <w:r w:rsidR="00671E4C">
        <w:rPr>
          <w:color w:val="000000"/>
          <w:sz w:val="26"/>
        </w:rPr>
        <w:t>.  Replies to Exceptio</w:t>
      </w:r>
      <w:r w:rsidR="00E13593">
        <w:rPr>
          <w:color w:val="000000"/>
          <w:sz w:val="26"/>
        </w:rPr>
        <w:t>ns were filed by PEC</w:t>
      </w:r>
      <w:r w:rsidR="006951A9">
        <w:rPr>
          <w:color w:val="000000"/>
          <w:sz w:val="26"/>
        </w:rPr>
        <w:t>O Energy Company (PECO</w:t>
      </w:r>
      <w:r w:rsidR="00671E4C">
        <w:rPr>
          <w:color w:val="000000"/>
          <w:sz w:val="26"/>
        </w:rPr>
        <w:t>) on</w:t>
      </w:r>
      <w:r w:rsidR="00E36BD4">
        <w:rPr>
          <w:color w:val="000000"/>
          <w:sz w:val="26"/>
        </w:rPr>
        <w:t xml:space="preserve"> </w:t>
      </w:r>
      <w:r w:rsidR="00C256C7">
        <w:rPr>
          <w:color w:val="000000"/>
          <w:sz w:val="26"/>
        </w:rPr>
        <w:t>June 2</w:t>
      </w:r>
      <w:r w:rsidR="00E36BD4">
        <w:rPr>
          <w:color w:val="000000"/>
          <w:sz w:val="26"/>
        </w:rPr>
        <w:t>, 2014</w:t>
      </w:r>
      <w:r w:rsidR="00671E4C">
        <w:rPr>
          <w:color w:val="000000"/>
          <w:sz w:val="26"/>
        </w:rPr>
        <w:t>.</w:t>
      </w:r>
      <w:r w:rsidR="007F017F">
        <w:rPr>
          <w:color w:val="000000"/>
          <w:sz w:val="26"/>
        </w:rPr>
        <w:t xml:space="preserve"> </w:t>
      </w:r>
      <w:r w:rsidR="00671E4C">
        <w:rPr>
          <w:color w:val="000000"/>
          <w:sz w:val="26"/>
        </w:rPr>
        <w:t xml:space="preserve"> </w:t>
      </w:r>
      <w:r w:rsidRPr="00CA43A5">
        <w:rPr>
          <w:sz w:val="26"/>
          <w:szCs w:val="26"/>
        </w:rPr>
        <w:t>For the reason</w:t>
      </w:r>
      <w:r w:rsidR="00E13593">
        <w:rPr>
          <w:sz w:val="26"/>
          <w:szCs w:val="26"/>
        </w:rPr>
        <w:t>s stated below, we will deny the Exceptions and adopt the ALJ’s Initial Decision</w:t>
      </w:r>
      <w:r w:rsidRPr="00CA43A5">
        <w:rPr>
          <w:sz w:val="26"/>
          <w:szCs w:val="26"/>
        </w:rPr>
        <w:t>.</w:t>
      </w:r>
    </w:p>
    <w:p w:rsidR="00E36BD4" w:rsidRDefault="00E36BD4" w:rsidP="000044DC">
      <w:pPr>
        <w:widowControl/>
        <w:spacing w:line="360" w:lineRule="auto"/>
        <w:ind w:firstLine="1440"/>
        <w:rPr>
          <w:sz w:val="26"/>
          <w:szCs w:val="26"/>
        </w:rPr>
      </w:pPr>
    </w:p>
    <w:p w:rsidR="00CA43A5" w:rsidRDefault="00CA43A5" w:rsidP="000044DC">
      <w:pPr>
        <w:widowControl/>
        <w:spacing w:line="360" w:lineRule="auto"/>
        <w:jc w:val="center"/>
        <w:rPr>
          <w:b/>
          <w:sz w:val="26"/>
          <w:szCs w:val="26"/>
        </w:rPr>
      </w:pPr>
      <w:bookmarkStart w:id="0" w:name="OLE_LINK1"/>
      <w:bookmarkStart w:id="1" w:name="OLE_LINK2"/>
      <w:r w:rsidRPr="00CA43A5">
        <w:rPr>
          <w:b/>
          <w:sz w:val="26"/>
          <w:szCs w:val="26"/>
        </w:rPr>
        <w:t>History of the Proceeding</w:t>
      </w:r>
    </w:p>
    <w:p w:rsidR="00BF5C31" w:rsidRDefault="00BF5C31" w:rsidP="000044DC">
      <w:pPr>
        <w:widowControl/>
        <w:spacing w:line="360" w:lineRule="auto"/>
        <w:jc w:val="center"/>
        <w:rPr>
          <w:b/>
          <w:sz w:val="26"/>
          <w:szCs w:val="26"/>
        </w:rPr>
      </w:pPr>
    </w:p>
    <w:p w:rsidR="00D93EA4" w:rsidRDefault="00F32174" w:rsidP="000044DC">
      <w:pPr>
        <w:widowControl/>
        <w:spacing w:line="360" w:lineRule="auto"/>
        <w:rPr>
          <w:kern w:val="24"/>
          <w:sz w:val="26"/>
          <w:szCs w:val="24"/>
        </w:rPr>
      </w:pPr>
      <w:r>
        <w:rPr>
          <w:sz w:val="26"/>
          <w:szCs w:val="26"/>
        </w:rPr>
        <w:tab/>
      </w:r>
      <w:r>
        <w:rPr>
          <w:sz w:val="26"/>
          <w:szCs w:val="26"/>
        </w:rPr>
        <w:tab/>
      </w:r>
      <w:r w:rsidRPr="00F32174">
        <w:rPr>
          <w:sz w:val="26"/>
          <w:szCs w:val="26"/>
        </w:rPr>
        <w:t>O</w:t>
      </w:r>
      <w:r>
        <w:rPr>
          <w:sz w:val="26"/>
          <w:szCs w:val="26"/>
        </w:rPr>
        <w:t xml:space="preserve">n </w:t>
      </w:r>
      <w:r w:rsidR="002E1455">
        <w:rPr>
          <w:sz w:val="26"/>
          <w:szCs w:val="26"/>
        </w:rPr>
        <w:t>September 30</w:t>
      </w:r>
      <w:r>
        <w:rPr>
          <w:sz w:val="26"/>
          <w:szCs w:val="26"/>
        </w:rPr>
        <w:t>, 2013, the Complainant</w:t>
      </w:r>
      <w:r w:rsidRPr="00F32174">
        <w:rPr>
          <w:sz w:val="26"/>
          <w:szCs w:val="26"/>
        </w:rPr>
        <w:t xml:space="preserve"> filed a </w:t>
      </w:r>
      <w:r>
        <w:rPr>
          <w:sz w:val="26"/>
          <w:szCs w:val="26"/>
        </w:rPr>
        <w:t>Formal C</w:t>
      </w:r>
      <w:r w:rsidRPr="00F32174">
        <w:rPr>
          <w:sz w:val="26"/>
          <w:szCs w:val="26"/>
        </w:rPr>
        <w:t>omplai</w:t>
      </w:r>
      <w:r w:rsidR="0049375E">
        <w:rPr>
          <w:sz w:val="26"/>
          <w:szCs w:val="26"/>
        </w:rPr>
        <w:t xml:space="preserve">nt </w:t>
      </w:r>
      <w:r w:rsidR="003B37AA">
        <w:rPr>
          <w:sz w:val="26"/>
          <w:szCs w:val="26"/>
        </w:rPr>
        <w:t xml:space="preserve">(Complaint) </w:t>
      </w:r>
      <w:r w:rsidR="0049375E">
        <w:rPr>
          <w:sz w:val="26"/>
          <w:szCs w:val="26"/>
        </w:rPr>
        <w:t>with the Commission against PECO</w:t>
      </w:r>
      <w:r>
        <w:rPr>
          <w:sz w:val="26"/>
          <w:szCs w:val="26"/>
        </w:rPr>
        <w:t>.</w:t>
      </w:r>
      <w:r>
        <w:rPr>
          <w:rStyle w:val="FootnoteReference"/>
          <w:sz w:val="26"/>
          <w:szCs w:val="26"/>
        </w:rPr>
        <w:footnoteReference w:id="2"/>
      </w:r>
      <w:r w:rsidR="00747E07">
        <w:rPr>
          <w:sz w:val="26"/>
          <w:szCs w:val="26"/>
        </w:rPr>
        <w:t xml:space="preserve">  In h</w:t>
      </w:r>
      <w:r w:rsidR="00D93EA4">
        <w:rPr>
          <w:sz w:val="26"/>
          <w:szCs w:val="26"/>
        </w:rPr>
        <w:t xml:space="preserve">is Complaint, </w:t>
      </w:r>
      <w:r w:rsidR="00747E07">
        <w:rPr>
          <w:sz w:val="26"/>
          <w:szCs w:val="26"/>
        </w:rPr>
        <w:t xml:space="preserve">he alleged </w:t>
      </w:r>
      <w:r w:rsidR="00747E07" w:rsidRPr="00D93EA4">
        <w:rPr>
          <w:sz w:val="26"/>
          <w:szCs w:val="26"/>
        </w:rPr>
        <w:t>that</w:t>
      </w:r>
      <w:r w:rsidRPr="00D93EA4">
        <w:rPr>
          <w:sz w:val="26"/>
          <w:szCs w:val="26"/>
        </w:rPr>
        <w:t xml:space="preserve"> </w:t>
      </w:r>
      <w:r w:rsidR="00D93EA4" w:rsidRPr="00D93EA4">
        <w:rPr>
          <w:kern w:val="24"/>
          <w:sz w:val="26"/>
          <w:szCs w:val="24"/>
        </w:rPr>
        <w:t xml:space="preserve">there were incorrect charges on his bill; that he was having a reliability, safety or quality problem; and that PECO accused him of meter tampering.  The Complainant averred that, although he requested discontinuance of service at his previous address, PECO continued to bill him for service at that address.  The Complainant also denied the accusation of meter tampering.  </w:t>
      </w:r>
      <w:r w:rsidR="00D93EA4">
        <w:rPr>
          <w:kern w:val="24"/>
          <w:sz w:val="26"/>
          <w:szCs w:val="24"/>
        </w:rPr>
        <w:t>As relief, the Complainant wanted his account corrected.  A</w:t>
      </w:r>
      <w:r w:rsidR="00D93EA4" w:rsidRPr="00D93EA4">
        <w:rPr>
          <w:kern w:val="24"/>
          <w:sz w:val="26"/>
          <w:szCs w:val="24"/>
        </w:rPr>
        <w:t xml:space="preserve">lso, </w:t>
      </w:r>
      <w:r w:rsidR="00D93EA4">
        <w:rPr>
          <w:kern w:val="24"/>
          <w:sz w:val="26"/>
          <w:szCs w:val="24"/>
        </w:rPr>
        <w:t>he</w:t>
      </w:r>
      <w:r w:rsidR="00D93EA4" w:rsidRPr="00D93EA4">
        <w:rPr>
          <w:kern w:val="24"/>
          <w:sz w:val="26"/>
          <w:szCs w:val="24"/>
        </w:rPr>
        <w:t xml:space="preserve"> requested a payment </w:t>
      </w:r>
      <w:r w:rsidR="00D93EA4">
        <w:rPr>
          <w:kern w:val="24"/>
          <w:sz w:val="26"/>
          <w:szCs w:val="24"/>
        </w:rPr>
        <w:t>arrangement</w:t>
      </w:r>
      <w:r w:rsidR="00D93EA4" w:rsidRPr="00D93EA4">
        <w:rPr>
          <w:kern w:val="24"/>
          <w:sz w:val="26"/>
          <w:szCs w:val="24"/>
        </w:rPr>
        <w:t>.</w:t>
      </w:r>
    </w:p>
    <w:p w:rsidR="00D93EA4" w:rsidRDefault="00D93EA4" w:rsidP="000044DC">
      <w:pPr>
        <w:widowControl/>
        <w:spacing w:line="360" w:lineRule="auto"/>
        <w:rPr>
          <w:kern w:val="24"/>
          <w:szCs w:val="24"/>
        </w:rPr>
      </w:pPr>
    </w:p>
    <w:p w:rsidR="00F32174" w:rsidRPr="00F32174" w:rsidRDefault="00D903B9" w:rsidP="006E69B0">
      <w:pPr>
        <w:widowControl/>
        <w:spacing w:line="360" w:lineRule="auto"/>
        <w:ind w:firstLine="1440"/>
        <w:rPr>
          <w:sz w:val="26"/>
          <w:szCs w:val="26"/>
        </w:rPr>
      </w:pPr>
      <w:r>
        <w:rPr>
          <w:sz w:val="26"/>
          <w:szCs w:val="26"/>
        </w:rPr>
        <w:t xml:space="preserve">PECO filed an Answer </w:t>
      </w:r>
      <w:r w:rsidR="00F32174" w:rsidRPr="00F32174">
        <w:rPr>
          <w:sz w:val="26"/>
          <w:szCs w:val="26"/>
        </w:rPr>
        <w:t xml:space="preserve">on </w:t>
      </w:r>
      <w:r w:rsidR="006C2B88">
        <w:rPr>
          <w:sz w:val="26"/>
          <w:szCs w:val="26"/>
        </w:rPr>
        <w:t>October 23</w:t>
      </w:r>
      <w:r w:rsidR="00F32174" w:rsidRPr="00F32174">
        <w:rPr>
          <w:sz w:val="26"/>
          <w:szCs w:val="26"/>
        </w:rPr>
        <w:t>, 2013</w:t>
      </w:r>
      <w:r w:rsidR="003B37AA">
        <w:rPr>
          <w:sz w:val="26"/>
          <w:szCs w:val="26"/>
        </w:rPr>
        <w:t>, in which it a</w:t>
      </w:r>
      <w:r w:rsidR="00F32174" w:rsidRPr="00F32174">
        <w:rPr>
          <w:sz w:val="26"/>
          <w:szCs w:val="26"/>
        </w:rPr>
        <w:t>dmit</w:t>
      </w:r>
      <w:r w:rsidR="00A93455">
        <w:rPr>
          <w:sz w:val="26"/>
          <w:szCs w:val="26"/>
        </w:rPr>
        <w:t xml:space="preserve">ted that </w:t>
      </w:r>
      <w:r w:rsidR="003B37AA">
        <w:rPr>
          <w:sz w:val="26"/>
          <w:szCs w:val="26"/>
        </w:rPr>
        <w:t>it</w:t>
      </w:r>
      <w:r w:rsidR="00A93455">
        <w:rPr>
          <w:sz w:val="26"/>
          <w:szCs w:val="26"/>
        </w:rPr>
        <w:t xml:space="preserve"> </w:t>
      </w:r>
      <w:r w:rsidR="008E42B1">
        <w:rPr>
          <w:sz w:val="26"/>
          <w:szCs w:val="26"/>
        </w:rPr>
        <w:t>provided</w:t>
      </w:r>
      <w:r w:rsidR="00F32174" w:rsidRPr="00F32174">
        <w:rPr>
          <w:sz w:val="26"/>
          <w:szCs w:val="26"/>
        </w:rPr>
        <w:t xml:space="preserve"> service to the Complainant at the addres</w:t>
      </w:r>
      <w:r w:rsidR="008E42B1">
        <w:rPr>
          <w:sz w:val="26"/>
          <w:szCs w:val="26"/>
        </w:rPr>
        <w:t>s shown on the C</w:t>
      </w:r>
      <w:r>
        <w:rPr>
          <w:sz w:val="26"/>
          <w:szCs w:val="26"/>
        </w:rPr>
        <w:t>omplaint</w:t>
      </w:r>
      <w:r w:rsidR="00C553B2">
        <w:rPr>
          <w:sz w:val="26"/>
          <w:szCs w:val="26"/>
        </w:rPr>
        <w:t xml:space="preserve">.  </w:t>
      </w:r>
      <w:r w:rsidR="003B37AA">
        <w:rPr>
          <w:sz w:val="26"/>
          <w:szCs w:val="26"/>
        </w:rPr>
        <w:t xml:space="preserve">PECO </w:t>
      </w:r>
      <w:r w:rsidR="00160F98">
        <w:rPr>
          <w:sz w:val="26"/>
          <w:szCs w:val="26"/>
        </w:rPr>
        <w:t xml:space="preserve">averred </w:t>
      </w:r>
      <w:r w:rsidR="008E42B1">
        <w:rPr>
          <w:sz w:val="26"/>
          <w:szCs w:val="26"/>
        </w:rPr>
        <w:t>that the Complainant’s bills were</w:t>
      </w:r>
      <w:r w:rsidR="00160F98">
        <w:rPr>
          <w:sz w:val="26"/>
          <w:szCs w:val="26"/>
        </w:rPr>
        <w:t xml:space="preserve"> correct as rendered</w:t>
      </w:r>
      <w:r w:rsidR="00D577B0">
        <w:rPr>
          <w:sz w:val="26"/>
          <w:szCs w:val="26"/>
        </w:rPr>
        <w:t>,</w:t>
      </w:r>
      <w:r w:rsidR="00160F98">
        <w:rPr>
          <w:sz w:val="26"/>
          <w:szCs w:val="26"/>
        </w:rPr>
        <w:t xml:space="preserve"> and that</w:t>
      </w:r>
      <w:r w:rsidR="00A93455">
        <w:rPr>
          <w:sz w:val="26"/>
          <w:szCs w:val="26"/>
        </w:rPr>
        <w:t xml:space="preserve"> PECO properly assessed the tampering fee.  </w:t>
      </w:r>
      <w:r w:rsidR="00E8003F">
        <w:rPr>
          <w:sz w:val="26"/>
          <w:szCs w:val="26"/>
        </w:rPr>
        <w:t xml:space="preserve">PECO requested that the Complaint be dismissed. </w:t>
      </w:r>
    </w:p>
    <w:p w:rsidR="00F32174" w:rsidRPr="00F32174" w:rsidRDefault="00F32174" w:rsidP="000044DC">
      <w:pPr>
        <w:widowControl/>
        <w:spacing w:line="360" w:lineRule="auto"/>
        <w:rPr>
          <w:sz w:val="26"/>
          <w:szCs w:val="26"/>
        </w:rPr>
      </w:pPr>
    </w:p>
    <w:p w:rsidR="001A309C" w:rsidRDefault="00E8003F" w:rsidP="000044DC">
      <w:pPr>
        <w:widowControl/>
        <w:spacing w:line="360" w:lineRule="auto"/>
        <w:rPr>
          <w:sz w:val="26"/>
          <w:szCs w:val="26"/>
        </w:rPr>
      </w:pPr>
      <w:r>
        <w:rPr>
          <w:sz w:val="26"/>
          <w:szCs w:val="26"/>
        </w:rPr>
        <w:tab/>
      </w:r>
      <w:r>
        <w:rPr>
          <w:sz w:val="26"/>
          <w:szCs w:val="26"/>
        </w:rPr>
        <w:tab/>
        <w:t>The ALJ convened</w:t>
      </w:r>
      <w:r w:rsidR="00F32174" w:rsidRPr="00F32174">
        <w:rPr>
          <w:sz w:val="26"/>
          <w:szCs w:val="26"/>
        </w:rPr>
        <w:t xml:space="preserve"> a hearing on </w:t>
      </w:r>
      <w:r w:rsidR="001A309C">
        <w:rPr>
          <w:sz w:val="26"/>
          <w:szCs w:val="26"/>
        </w:rPr>
        <w:t>January 27, 2014</w:t>
      </w:r>
      <w:r w:rsidR="00F32174" w:rsidRPr="00F32174">
        <w:rPr>
          <w:sz w:val="26"/>
          <w:szCs w:val="26"/>
        </w:rPr>
        <w:t xml:space="preserve">.  The Complainant appeared </w:t>
      </w:r>
      <w:r w:rsidR="00F32174" w:rsidRPr="00E8003F">
        <w:rPr>
          <w:i/>
          <w:sz w:val="26"/>
          <w:szCs w:val="26"/>
        </w:rPr>
        <w:t>pro se</w:t>
      </w:r>
      <w:r w:rsidR="00F32174" w:rsidRPr="00F32174">
        <w:rPr>
          <w:sz w:val="26"/>
          <w:szCs w:val="26"/>
        </w:rPr>
        <w:t xml:space="preserve"> and presented testimony.  </w:t>
      </w:r>
      <w:r>
        <w:rPr>
          <w:sz w:val="26"/>
          <w:szCs w:val="26"/>
        </w:rPr>
        <w:t xml:space="preserve">PECO </w:t>
      </w:r>
      <w:r w:rsidR="009B7BFC">
        <w:rPr>
          <w:sz w:val="26"/>
          <w:szCs w:val="26"/>
        </w:rPr>
        <w:t>was</w:t>
      </w:r>
      <w:r>
        <w:rPr>
          <w:sz w:val="26"/>
          <w:szCs w:val="26"/>
        </w:rPr>
        <w:t xml:space="preserve"> represented</w:t>
      </w:r>
      <w:r w:rsidR="009B7BFC">
        <w:rPr>
          <w:sz w:val="26"/>
          <w:szCs w:val="26"/>
        </w:rPr>
        <w:t xml:space="preserve"> by counsel</w:t>
      </w:r>
      <w:r>
        <w:rPr>
          <w:sz w:val="26"/>
          <w:szCs w:val="26"/>
        </w:rPr>
        <w:t xml:space="preserve"> and</w:t>
      </w:r>
      <w:r w:rsidR="00F32174" w:rsidRPr="00F32174">
        <w:rPr>
          <w:sz w:val="26"/>
          <w:szCs w:val="26"/>
        </w:rPr>
        <w:t xml:space="preserve"> presented </w:t>
      </w:r>
      <w:r w:rsidR="001A309C">
        <w:rPr>
          <w:sz w:val="26"/>
          <w:szCs w:val="26"/>
        </w:rPr>
        <w:t>one witnesses who sponsored eight</w:t>
      </w:r>
      <w:r>
        <w:rPr>
          <w:sz w:val="26"/>
          <w:szCs w:val="26"/>
        </w:rPr>
        <w:t xml:space="preserve"> exhibits</w:t>
      </w:r>
      <w:r w:rsidR="009B7BFC">
        <w:rPr>
          <w:sz w:val="26"/>
          <w:szCs w:val="26"/>
        </w:rPr>
        <w:t>,</w:t>
      </w:r>
      <w:r>
        <w:rPr>
          <w:sz w:val="26"/>
          <w:szCs w:val="26"/>
        </w:rPr>
        <w:t xml:space="preserve"> which were</w:t>
      </w:r>
      <w:r w:rsidR="00F32174" w:rsidRPr="00F32174">
        <w:rPr>
          <w:sz w:val="26"/>
          <w:szCs w:val="26"/>
        </w:rPr>
        <w:t xml:space="preserve"> admitted into the record.  The record closed on </w:t>
      </w:r>
      <w:r w:rsidR="001A309C">
        <w:rPr>
          <w:sz w:val="26"/>
          <w:szCs w:val="26"/>
        </w:rPr>
        <w:t>February 28, 2014</w:t>
      </w:r>
      <w:r>
        <w:rPr>
          <w:sz w:val="26"/>
          <w:szCs w:val="26"/>
        </w:rPr>
        <w:t xml:space="preserve">.  </w:t>
      </w:r>
    </w:p>
    <w:p w:rsidR="001A309C" w:rsidRDefault="001A309C" w:rsidP="000044DC">
      <w:pPr>
        <w:widowControl/>
        <w:spacing w:line="360" w:lineRule="auto"/>
        <w:rPr>
          <w:sz w:val="26"/>
          <w:szCs w:val="26"/>
        </w:rPr>
      </w:pPr>
    </w:p>
    <w:p w:rsidR="00E75E1C" w:rsidRDefault="001A309C" w:rsidP="001A309C">
      <w:pPr>
        <w:widowControl/>
        <w:spacing w:line="360" w:lineRule="auto"/>
        <w:rPr>
          <w:sz w:val="26"/>
          <w:szCs w:val="26"/>
        </w:rPr>
      </w:pPr>
      <w:r>
        <w:rPr>
          <w:sz w:val="26"/>
          <w:szCs w:val="26"/>
        </w:rPr>
        <w:tab/>
      </w:r>
      <w:r>
        <w:rPr>
          <w:sz w:val="26"/>
          <w:szCs w:val="26"/>
        </w:rPr>
        <w:tab/>
      </w:r>
      <w:r w:rsidR="00E8003F">
        <w:rPr>
          <w:sz w:val="26"/>
          <w:szCs w:val="26"/>
        </w:rPr>
        <w:t xml:space="preserve">On </w:t>
      </w:r>
      <w:r>
        <w:rPr>
          <w:sz w:val="26"/>
          <w:szCs w:val="26"/>
        </w:rPr>
        <w:t>May 6, 2014</w:t>
      </w:r>
      <w:r w:rsidR="00E8003F">
        <w:rPr>
          <w:sz w:val="26"/>
          <w:szCs w:val="26"/>
        </w:rPr>
        <w:t>, the ALJ</w:t>
      </w:r>
      <w:r w:rsidR="00AE157C">
        <w:rPr>
          <w:sz w:val="26"/>
          <w:szCs w:val="26"/>
        </w:rPr>
        <w:t>’s</w:t>
      </w:r>
      <w:r w:rsidR="00E8003F">
        <w:rPr>
          <w:sz w:val="26"/>
          <w:szCs w:val="26"/>
        </w:rPr>
        <w:t xml:space="preserve"> Initial Decision</w:t>
      </w:r>
      <w:r w:rsidR="004805BB">
        <w:rPr>
          <w:sz w:val="26"/>
          <w:szCs w:val="26"/>
        </w:rPr>
        <w:t xml:space="preserve"> was issued</w:t>
      </w:r>
      <w:r w:rsidR="00AE157C">
        <w:rPr>
          <w:sz w:val="26"/>
          <w:szCs w:val="26"/>
        </w:rPr>
        <w:t>.  In the Initial Decision, the ALJ</w:t>
      </w:r>
      <w:r w:rsidR="00E8003F">
        <w:rPr>
          <w:sz w:val="26"/>
          <w:szCs w:val="26"/>
        </w:rPr>
        <w:t xml:space="preserve"> found that the Complainant’s bills wer</w:t>
      </w:r>
      <w:r>
        <w:rPr>
          <w:sz w:val="26"/>
          <w:szCs w:val="26"/>
        </w:rPr>
        <w:t>e correct as rendered</w:t>
      </w:r>
      <w:r w:rsidR="00B01E46">
        <w:rPr>
          <w:sz w:val="26"/>
          <w:szCs w:val="26"/>
        </w:rPr>
        <w:t>,</w:t>
      </w:r>
      <w:r>
        <w:rPr>
          <w:sz w:val="26"/>
          <w:szCs w:val="26"/>
        </w:rPr>
        <w:t xml:space="preserve"> and that </w:t>
      </w:r>
      <w:r w:rsidR="00E8003F">
        <w:rPr>
          <w:sz w:val="26"/>
          <w:szCs w:val="26"/>
        </w:rPr>
        <w:lastRenderedPageBreak/>
        <w:t>he was entitled to a</w:t>
      </w:r>
      <w:r>
        <w:rPr>
          <w:sz w:val="26"/>
          <w:szCs w:val="26"/>
        </w:rPr>
        <w:t xml:space="preserve"> Commission-issued</w:t>
      </w:r>
      <w:r w:rsidR="00B53B3B">
        <w:rPr>
          <w:sz w:val="26"/>
          <w:szCs w:val="26"/>
        </w:rPr>
        <w:t xml:space="preserve"> payment arrangement </w:t>
      </w:r>
      <w:r>
        <w:rPr>
          <w:sz w:val="26"/>
          <w:szCs w:val="26"/>
        </w:rPr>
        <w:t xml:space="preserve">on his outstanding balance.  As previously </w:t>
      </w:r>
      <w:r w:rsidR="00AE157C">
        <w:rPr>
          <w:sz w:val="26"/>
          <w:szCs w:val="26"/>
        </w:rPr>
        <w:t>noted</w:t>
      </w:r>
      <w:r>
        <w:rPr>
          <w:sz w:val="26"/>
          <w:szCs w:val="26"/>
        </w:rPr>
        <w:t>, the Complainant filed Exceptions on May 23, 2014.  PECO filed Replies to Exceptions on June 2, 2014.</w:t>
      </w:r>
    </w:p>
    <w:p w:rsidR="009B7BFC" w:rsidRDefault="009B7BFC" w:rsidP="000044DC">
      <w:pPr>
        <w:widowControl/>
        <w:spacing w:line="360" w:lineRule="auto"/>
        <w:rPr>
          <w:sz w:val="26"/>
          <w:szCs w:val="26"/>
        </w:rPr>
      </w:pPr>
    </w:p>
    <w:bookmarkEnd w:id="0"/>
    <w:bookmarkEnd w:id="1"/>
    <w:p w:rsidR="00CA43A5" w:rsidRPr="00CA43A5" w:rsidRDefault="00CA43A5" w:rsidP="000044DC">
      <w:pPr>
        <w:widowControl/>
        <w:spacing w:line="360" w:lineRule="auto"/>
        <w:jc w:val="center"/>
        <w:rPr>
          <w:sz w:val="26"/>
          <w:szCs w:val="26"/>
        </w:rPr>
      </w:pPr>
      <w:r w:rsidRPr="00CA43A5">
        <w:rPr>
          <w:b/>
          <w:sz w:val="26"/>
          <w:szCs w:val="26"/>
        </w:rPr>
        <w:t>Discussion</w:t>
      </w:r>
    </w:p>
    <w:p w:rsidR="009B7BFC" w:rsidRDefault="009B7BFC" w:rsidP="000044DC">
      <w:pPr>
        <w:widowControl/>
        <w:spacing w:line="360" w:lineRule="auto"/>
        <w:contextualSpacing/>
        <w:rPr>
          <w:b/>
          <w:sz w:val="26"/>
          <w:szCs w:val="26"/>
        </w:rPr>
      </w:pPr>
    </w:p>
    <w:p w:rsidR="007F7270" w:rsidRPr="00D36748" w:rsidRDefault="007F7270" w:rsidP="000044DC">
      <w:pPr>
        <w:widowControl/>
        <w:spacing w:line="360" w:lineRule="auto"/>
        <w:contextualSpacing/>
        <w:rPr>
          <w:b/>
          <w:sz w:val="26"/>
          <w:szCs w:val="26"/>
        </w:rPr>
      </w:pPr>
      <w:r w:rsidRPr="00D36748">
        <w:rPr>
          <w:b/>
          <w:sz w:val="26"/>
          <w:szCs w:val="26"/>
        </w:rPr>
        <w:t>Legal Standards</w:t>
      </w:r>
    </w:p>
    <w:p w:rsidR="0043592C" w:rsidRDefault="0043592C" w:rsidP="000044DC">
      <w:pPr>
        <w:widowControl/>
        <w:spacing w:line="360" w:lineRule="auto"/>
        <w:rPr>
          <w:sz w:val="26"/>
          <w:szCs w:val="26"/>
        </w:rPr>
      </w:pPr>
    </w:p>
    <w:p w:rsidR="002738C4" w:rsidRPr="002738C4" w:rsidRDefault="002738C4" w:rsidP="000044DC">
      <w:pPr>
        <w:widowControl/>
        <w:spacing w:line="360" w:lineRule="auto"/>
        <w:ind w:firstLine="1440"/>
        <w:rPr>
          <w:sz w:val="26"/>
          <w:szCs w:val="26"/>
        </w:rPr>
      </w:pPr>
      <w:r w:rsidRPr="002738C4">
        <w:rPr>
          <w:sz w:val="26"/>
          <w:szCs w:val="26"/>
        </w:rPr>
        <w:t xml:space="preserve">As the proponent of a rule or order, the Complainant in this proceeding bears the burden of proof pursuant to Section 332(a) of the Public Utility Code (Code).  </w:t>
      </w:r>
      <w:proofErr w:type="gramStart"/>
      <w:r w:rsidRPr="002738C4">
        <w:rPr>
          <w:sz w:val="26"/>
          <w:szCs w:val="26"/>
        </w:rPr>
        <w:t>66 Pa. C.S. § 332(a).</w:t>
      </w:r>
      <w:proofErr w:type="gramEnd"/>
      <w:r w:rsidRPr="002738C4">
        <w:rPr>
          <w:sz w:val="26"/>
          <w:szCs w:val="26"/>
        </w:rPr>
        <w:t xml:space="preserve">  To establish a sufficient case and satisfy the burden of proof, the Complainant must show that the Respondent is responsible or accountable for the problem described in the Complaint.  </w:t>
      </w:r>
      <w:proofErr w:type="gramStart"/>
      <w:r w:rsidRPr="002738C4">
        <w:rPr>
          <w:i/>
          <w:sz w:val="26"/>
          <w:szCs w:val="26"/>
        </w:rPr>
        <w:t>Patterson v.</w:t>
      </w:r>
      <w:proofErr w:type="gramEnd"/>
      <w:r w:rsidRPr="002738C4">
        <w:rPr>
          <w:i/>
          <w:sz w:val="26"/>
          <w:szCs w:val="26"/>
        </w:rPr>
        <w:t xml:space="preserve"> </w:t>
      </w:r>
      <w:proofErr w:type="gramStart"/>
      <w:r w:rsidRPr="002738C4">
        <w:rPr>
          <w:i/>
          <w:sz w:val="26"/>
          <w:szCs w:val="26"/>
        </w:rPr>
        <w:t>The Bell Telephone Company of Pennsylvania</w:t>
      </w:r>
      <w:r w:rsidRPr="002738C4">
        <w:rPr>
          <w:sz w:val="26"/>
          <w:szCs w:val="26"/>
        </w:rPr>
        <w:t>, 72 Pa. P.U.C. 196 (1990).</w:t>
      </w:r>
      <w:proofErr w:type="gramEnd"/>
      <w:r w:rsidRPr="002738C4">
        <w:rPr>
          <w:sz w:val="26"/>
          <w:szCs w:val="26"/>
        </w:rPr>
        <w:t xml:space="preserve">  Such a showing must be by a preponderance of the evidence.  </w:t>
      </w:r>
      <w:proofErr w:type="gramStart"/>
      <w:r w:rsidRPr="002738C4">
        <w:rPr>
          <w:i/>
          <w:iCs/>
          <w:sz w:val="26"/>
          <w:szCs w:val="26"/>
        </w:rPr>
        <w:t xml:space="preserve">Samuel J. </w:t>
      </w:r>
      <w:proofErr w:type="spellStart"/>
      <w:r w:rsidRPr="002738C4">
        <w:rPr>
          <w:i/>
          <w:iCs/>
          <w:sz w:val="26"/>
          <w:szCs w:val="26"/>
        </w:rPr>
        <w:t>Lansberry</w:t>
      </w:r>
      <w:proofErr w:type="spellEnd"/>
      <w:r w:rsidRPr="002738C4">
        <w:rPr>
          <w:i/>
          <w:iCs/>
          <w:sz w:val="26"/>
          <w:szCs w:val="26"/>
        </w:rPr>
        <w:t>, Inc. v. Pa. PUC</w:t>
      </w:r>
      <w:r w:rsidRPr="002738C4">
        <w:rPr>
          <w:sz w:val="26"/>
          <w:szCs w:val="26"/>
        </w:rPr>
        <w:t xml:space="preserve">, 578 A.2d 600 (Pa. </w:t>
      </w:r>
      <w:proofErr w:type="spellStart"/>
      <w:r w:rsidRPr="002738C4">
        <w:rPr>
          <w:sz w:val="26"/>
          <w:szCs w:val="26"/>
        </w:rPr>
        <w:t>Cmwlth</w:t>
      </w:r>
      <w:proofErr w:type="spellEnd"/>
      <w:r w:rsidRPr="002738C4">
        <w:rPr>
          <w:sz w:val="26"/>
          <w:szCs w:val="26"/>
        </w:rPr>
        <w:t xml:space="preserve">. 1990), </w:t>
      </w:r>
      <w:proofErr w:type="spellStart"/>
      <w:r w:rsidRPr="002738C4">
        <w:rPr>
          <w:i/>
          <w:sz w:val="26"/>
          <w:szCs w:val="26"/>
        </w:rPr>
        <w:t>alloc</w:t>
      </w:r>
      <w:proofErr w:type="spellEnd"/>
      <w:r w:rsidRPr="002738C4">
        <w:rPr>
          <w:i/>
          <w:sz w:val="26"/>
          <w:szCs w:val="26"/>
        </w:rPr>
        <w:t>.</w:t>
      </w:r>
      <w:proofErr w:type="gramEnd"/>
      <w:r w:rsidRPr="002738C4">
        <w:rPr>
          <w:i/>
          <w:sz w:val="26"/>
          <w:szCs w:val="26"/>
        </w:rPr>
        <w:t xml:space="preserve"> </w:t>
      </w:r>
      <w:proofErr w:type="gramStart"/>
      <w:r w:rsidRPr="002738C4">
        <w:rPr>
          <w:i/>
          <w:sz w:val="26"/>
          <w:szCs w:val="26"/>
        </w:rPr>
        <w:t>denied</w:t>
      </w:r>
      <w:proofErr w:type="gramEnd"/>
      <w:r w:rsidRPr="002738C4">
        <w:rPr>
          <w:i/>
          <w:sz w:val="26"/>
          <w:szCs w:val="26"/>
        </w:rPr>
        <w:t>,</w:t>
      </w:r>
      <w:r w:rsidRPr="002738C4">
        <w:rPr>
          <w:sz w:val="26"/>
          <w:szCs w:val="26"/>
        </w:rPr>
        <w:t xml:space="preserve"> 529 Pa. 654, 602 A.2d 863 (1992).  That is, the Complainant’s evidence must be more convincing, by even the smallest amount, than that presented by the Respondent.  </w:t>
      </w:r>
      <w:proofErr w:type="gramStart"/>
      <w:r w:rsidRPr="002738C4">
        <w:rPr>
          <w:i/>
          <w:sz w:val="26"/>
          <w:szCs w:val="26"/>
        </w:rPr>
        <w:t>Se-Ling Hosiery, Inc. v. Margulies</w:t>
      </w:r>
      <w:r w:rsidRPr="002738C4">
        <w:rPr>
          <w:sz w:val="26"/>
          <w:szCs w:val="26"/>
        </w:rPr>
        <w:t>, 364 Pa. 45, 70 A.2d 854 (1950).</w:t>
      </w:r>
      <w:proofErr w:type="gramEnd"/>
      <w:r w:rsidRPr="002738C4">
        <w:rPr>
          <w:sz w:val="26"/>
          <w:szCs w:val="26"/>
        </w:rPr>
        <w:t xml:space="preserve">  Additionally, this Commission’s decision must be supported by substantial evidence in the record.  More is required than a mere trace of evidence or a suspicion of the existence of a fact sought to be established.  </w:t>
      </w:r>
      <w:proofErr w:type="gramStart"/>
      <w:r w:rsidRPr="002738C4">
        <w:rPr>
          <w:i/>
          <w:sz w:val="26"/>
          <w:szCs w:val="26"/>
        </w:rPr>
        <w:t xml:space="preserve">Norfolk &amp; Western Ry. Co. v. Pa. PUC, </w:t>
      </w:r>
      <w:r w:rsidRPr="002738C4">
        <w:rPr>
          <w:sz w:val="26"/>
          <w:szCs w:val="26"/>
        </w:rPr>
        <w:t>489 Pa. 109, 413 A.2d 1037 (1980).</w:t>
      </w:r>
      <w:proofErr w:type="gramEnd"/>
    </w:p>
    <w:p w:rsidR="002738C4" w:rsidRPr="002738C4" w:rsidRDefault="002738C4" w:rsidP="000044DC">
      <w:pPr>
        <w:widowControl/>
        <w:spacing w:line="360" w:lineRule="auto"/>
        <w:ind w:firstLine="1440"/>
        <w:rPr>
          <w:sz w:val="26"/>
          <w:szCs w:val="26"/>
        </w:rPr>
      </w:pPr>
    </w:p>
    <w:p w:rsidR="002738C4" w:rsidRPr="002738C4" w:rsidRDefault="002738C4" w:rsidP="000044DC">
      <w:pPr>
        <w:widowControl/>
        <w:spacing w:line="360" w:lineRule="auto"/>
        <w:ind w:firstLine="1440"/>
        <w:rPr>
          <w:i/>
          <w:sz w:val="26"/>
          <w:szCs w:val="26"/>
        </w:rPr>
      </w:pPr>
      <w:r w:rsidRPr="002738C4">
        <w:rPr>
          <w:sz w:val="26"/>
          <w:szCs w:val="26"/>
        </w:rPr>
        <w:t xml:space="preserve">Upon the presentation by the Complainant of evidence sufficient to initially satisfy the burden of proof, the burden of going forward with the evidence to rebut the evidence of the </w:t>
      </w:r>
      <w:r w:rsidR="008C053E">
        <w:rPr>
          <w:sz w:val="26"/>
          <w:szCs w:val="26"/>
        </w:rPr>
        <w:t>C</w:t>
      </w:r>
      <w:r w:rsidRPr="002738C4">
        <w:rPr>
          <w:sz w:val="26"/>
          <w:szCs w:val="26"/>
        </w:rPr>
        <w:t xml:space="preserve">omplainant shifts to the Respondent.  If the evidence presented by the Respondent is of co-equal value or “weight,” the burden of proof has not been satisfied. The Complainant now has to provide some additional evidence to rebut that of the </w:t>
      </w:r>
      <w:r w:rsidRPr="002738C4">
        <w:rPr>
          <w:sz w:val="26"/>
          <w:szCs w:val="26"/>
        </w:rPr>
        <w:lastRenderedPageBreak/>
        <w:t xml:space="preserve">Respondent. </w:t>
      </w:r>
      <w:r w:rsidRPr="002738C4">
        <w:rPr>
          <w:iCs/>
          <w:sz w:val="26"/>
          <w:szCs w:val="26"/>
        </w:rPr>
        <w:t xml:space="preserve"> </w:t>
      </w:r>
      <w:r w:rsidRPr="002738C4">
        <w:rPr>
          <w:i/>
          <w:iCs/>
          <w:sz w:val="26"/>
          <w:szCs w:val="26"/>
        </w:rPr>
        <w:t>Burleson v. Pa. PUC,</w:t>
      </w:r>
      <w:r w:rsidRPr="002738C4">
        <w:rPr>
          <w:iCs/>
          <w:sz w:val="26"/>
          <w:szCs w:val="26"/>
        </w:rPr>
        <w:t xml:space="preserve"> 443 A.2d 1373 (Pa. </w:t>
      </w:r>
      <w:proofErr w:type="spellStart"/>
      <w:r w:rsidRPr="002738C4">
        <w:rPr>
          <w:iCs/>
          <w:sz w:val="26"/>
          <w:szCs w:val="26"/>
        </w:rPr>
        <w:t>Cmwlth</w:t>
      </w:r>
      <w:proofErr w:type="spellEnd"/>
      <w:r w:rsidRPr="002738C4">
        <w:rPr>
          <w:iCs/>
          <w:sz w:val="26"/>
          <w:szCs w:val="26"/>
        </w:rPr>
        <w:t xml:space="preserve">. 1982), </w:t>
      </w:r>
      <w:proofErr w:type="spellStart"/>
      <w:r w:rsidRPr="002738C4">
        <w:rPr>
          <w:i/>
          <w:iCs/>
          <w:sz w:val="26"/>
          <w:szCs w:val="26"/>
        </w:rPr>
        <w:t>aff’d</w:t>
      </w:r>
      <w:proofErr w:type="spellEnd"/>
      <w:r w:rsidRPr="002738C4">
        <w:rPr>
          <w:i/>
          <w:iCs/>
          <w:sz w:val="26"/>
          <w:szCs w:val="26"/>
        </w:rPr>
        <w:t>,</w:t>
      </w:r>
      <w:r w:rsidRPr="002738C4">
        <w:rPr>
          <w:iCs/>
          <w:sz w:val="26"/>
          <w:szCs w:val="26"/>
        </w:rPr>
        <w:t xml:space="preserve"> 501 Pa. 433, 461 A.2d 1234 (1983).</w:t>
      </w:r>
    </w:p>
    <w:p w:rsidR="002738C4" w:rsidRPr="002738C4" w:rsidRDefault="002738C4" w:rsidP="000044DC">
      <w:pPr>
        <w:widowControl/>
        <w:spacing w:line="360" w:lineRule="auto"/>
        <w:ind w:firstLine="1440"/>
        <w:rPr>
          <w:sz w:val="26"/>
          <w:szCs w:val="26"/>
        </w:rPr>
      </w:pPr>
    </w:p>
    <w:p w:rsidR="002738C4" w:rsidRPr="002738C4" w:rsidRDefault="002738C4" w:rsidP="000044DC">
      <w:pPr>
        <w:widowControl/>
        <w:spacing w:line="360" w:lineRule="auto"/>
        <w:ind w:firstLine="1440"/>
        <w:rPr>
          <w:i/>
          <w:sz w:val="26"/>
          <w:szCs w:val="26"/>
        </w:rPr>
      </w:pPr>
      <w:r w:rsidRPr="002738C4">
        <w:rPr>
          <w:sz w:val="26"/>
          <w:szCs w:val="26"/>
        </w:rPr>
        <w:t xml:space="preserve">While the burden of going forward with the evidence may shift back and forth during a proceeding, the burden of proof never shifts. </w:t>
      </w:r>
      <w:r w:rsidR="00F91282">
        <w:rPr>
          <w:sz w:val="26"/>
          <w:szCs w:val="26"/>
        </w:rPr>
        <w:t xml:space="preserve"> </w:t>
      </w:r>
      <w:r w:rsidRPr="002738C4">
        <w:rPr>
          <w:sz w:val="26"/>
          <w:szCs w:val="26"/>
        </w:rPr>
        <w:t xml:space="preserve">The burden of proof always remains on the party seeking affirmative relief from the Commission.  </w:t>
      </w:r>
      <w:proofErr w:type="spellStart"/>
      <w:proofErr w:type="gramStart"/>
      <w:r w:rsidRPr="002738C4">
        <w:rPr>
          <w:i/>
          <w:sz w:val="26"/>
          <w:szCs w:val="26"/>
        </w:rPr>
        <w:t>Milkie</w:t>
      </w:r>
      <w:proofErr w:type="spellEnd"/>
      <w:r w:rsidRPr="002738C4">
        <w:rPr>
          <w:i/>
          <w:sz w:val="26"/>
          <w:szCs w:val="26"/>
        </w:rPr>
        <w:t xml:space="preserve"> v. Pa. PUC, </w:t>
      </w:r>
      <w:r w:rsidRPr="002738C4">
        <w:rPr>
          <w:sz w:val="26"/>
          <w:szCs w:val="26"/>
        </w:rPr>
        <w:t xml:space="preserve">768 A.2d 1217 (Pa. </w:t>
      </w:r>
      <w:proofErr w:type="spellStart"/>
      <w:r w:rsidRPr="002738C4">
        <w:rPr>
          <w:sz w:val="26"/>
          <w:szCs w:val="26"/>
        </w:rPr>
        <w:t>Cmwlth</w:t>
      </w:r>
      <w:proofErr w:type="spellEnd"/>
      <w:r w:rsidRPr="002738C4">
        <w:rPr>
          <w:sz w:val="26"/>
          <w:szCs w:val="26"/>
        </w:rPr>
        <w:t>. 2001).</w:t>
      </w:r>
      <w:proofErr w:type="gramEnd"/>
    </w:p>
    <w:p w:rsidR="002738C4" w:rsidRPr="002738C4" w:rsidRDefault="002738C4" w:rsidP="000044DC">
      <w:pPr>
        <w:widowControl/>
        <w:spacing w:line="360" w:lineRule="auto"/>
        <w:ind w:firstLine="1440"/>
        <w:rPr>
          <w:sz w:val="26"/>
          <w:szCs w:val="26"/>
        </w:rPr>
      </w:pPr>
    </w:p>
    <w:p w:rsidR="00006F35" w:rsidRDefault="002738C4" w:rsidP="000044DC">
      <w:pPr>
        <w:widowControl/>
        <w:spacing w:line="360" w:lineRule="auto"/>
        <w:ind w:firstLine="1440"/>
        <w:rPr>
          <w:sz w:val="26"/>
          <w:szCs w:val="26"/>
        </w:rPr>
      </w:pPr>
      <w:r w:rsidRPr="002738C4">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proofErr w:type="gramStart"/>
      <w:r w:rsidRPr="002738C4">
        <w:rPr>
          <w:i/>
          <w:iCs/>
          <w:sz w:val="26"/>
          <w:szCs w:val="26"/>
        </w:rPr>
        <w:t xml:space="preserve">Consolidated Rail Corp. v. Pa. PUC, </w:t>
      </w:r>
      <w:r w:rsidRPr="002738C4">
        <w:rPr>
          <w:sz w:val="26"/>
          <w:szCs w:val="26"/>
        </w:rPr>
        <w:t xml:space="preserve">625 A.2d 741 (Pa. </w:t>
      </w:r>
      <w:proofErr w:type="spellStart"/>
      <w:r w:rsidRPr="002738C4">
        <w:rPr>
          <w:sz w:val="26"/>
          <w:szCs w:val="26"/>
        </w:rPr>
        <w:t>Cmwlth</w:t>
      </w:r>
      <w:proofErr w:type="spellEnd"/>
      <w:r w:rsidRPr="002738C4">
        <w:rPr>
          <w:sz w:val="26"/>
          <w:szCs w:val="26"/>
        </w:rPr>
        <w:t xml:space="preserve">. 1993); </w:t>
      </w:r>
      <w:r w:rsidRPr="002738C4">
        <w:rPr>
          <w:i/>
          <w:sz w:val="26"/>
          <w:szCs w:val="26"/>
        </w:rPr>
        <w:t xml:space="preserve">also </w:t>
      </w:r>
      <w:r w:rsidRPr="002738C4">
        <w:rPr>
          <w:i/>
          <w:iCs/>
          <w:sz w:val="26"/>
          <w:szCs w:val="26"/>
        </w:rPr>
        <w:t>see, generally, University of Pennsylvania v. Pa. PUC</w:t>
      </w:r>
      <w:r w:rsidRPr="002738C4">
        <w:rPr>
          <w:sz w:val="26"/>
          <w:szCs w:val="26"/>
        </w:rPr>
        <w:t xml:space="preserve">, 485 A.2d 1217 (Pa. </w:t>
      </w:r>
      <w:proofErr w:type="spellStart"/>
      <w:r w:rsidRPr="002738C4">
        <w:rPr>
          <w:sz w:val="26"/>
          <w:szCs w:val="26"/>
        </w:rPr>
        <w:t>Cmwlth</w:t>
      </w:r>
      <w:proofErr w:type="spellEnd"/>
      <w:r w:rsidRPr="002738C4">
        <w:rPr>
          <w:sz w:val="26"/>
          <w:szCs w:val="26"/>
        </w:rPr>
        <w:t>. 1984).</w:t>
      </w:r>
      <w:proofErr w:type="gramEnd"/>
    </w:p>
    <w:p w:rsidR="002738C4" w:rsidRDefault="002738C4" w:rsidP="000044DC">
      <w:pPr>
        <w:widowControl/>
        <w:spacing w:line="360" w:lineRule="auto"/>
        <w:ind w:firstLine="1440"/>
        <w:rPr>
          <w:sz w:val="26"/>
          <w:szCs w:val="26"/>
        </w:rPr>
      </w:pPr>
    </w:p>
    <w:p w:rsidR="00006F35" w:rsidRDefault="00802E4F" w:rsidP="000044DC">
      <w:pPr>
        <w:widowControl/>
        <w:spacing w:line="360" w:lineRule="auto"/>
        <w:rPr>
          <w:b/>
          <w:sz w:val="26"/>
          <w:szCs w:val="26"/>
        </w:rPr>
      </w:pPr>
      <w:r>
        <w:rPr>
          <w:b/>
          <w:sz w:val="26"/>
          <w:szCs w:val="26"/>
        </w:rPr>
        <w:t>ALJ’s Initial Decision</w:t>
      </w:r>
    </w:p>
    <w:p w:rsidR="00802E4F" w:rsidRDefault="00802E4F" w:rsidP="000044DC">
      <w:pPr>
        <w:widowControl/>
        <w:spacing w:line="360" w:lineRule="auto"/>
        <w:ind w:firstLine="1440"/>
        <w:rPr>
          <w:b/>
          <w:sz w:val="26"/>
          <w:szCs w:val="26"/>
        </w:rPr>
      </w:pPr>
    </w:p>
    <w:p w:rsidR="007E03C5" w:rsidRDefault="00E514AC" w:rsidP="000044DC">
      <w:pPr>
        <w:widowControl/>
        <w:spacing w:line="360" w:lineRule="auto"/>
        <w:ind w:firstLine="1440"/>
        <w:rPr>
          <w:sz w:val="26"/>
          <w:szCs w:val="26"/>
        </w:rPr>
      </w:pPr>
      <w:r>
        <w:rPr>
          <w:sz w:val="26"/>
          <w:szCs w:val="26"/>
        </w:rPr>
        <w:t xml:space="preserve">The </w:t>
      </w:r>
      <w:r w:rsidR="00F91282">
        <w:rPr>
          <w:sz w:val="26"/>
          <w:szCs w:val="26"/>
        </w:rPr>
        <w:t xml:space="preserve">ALJ made </w:t>
      </w:r>
      <w:r>
        <w:rPr>
          <w:sz w:val="26"/>
          <w:szCs w:val="26"/>
        </w:rPr>
        <w:t>twenty</w:t>
      </w:r>
      <w:r w:rsidR="00802E4F" w:rsidRPr="00CA43A5">
        <w:rPr>
          <w:sz w:val="26"/>
          <w:szCs w:val="26"/>
        </w:rPr>
        <w:t xml:space="preserve"> Findings of Fact </w:t>
      </w:r>
      <w:r>
        <w:rPr>
          <w:sz w:val="26"/>
          <w:szCs w:val="26"/>
        </w:rPr>
        <w:t>and reached six</w:t>
      </w:r>
      <w:r w:rsidR="00802E4F" w:rsidRPr="00CA43A5">
        <w:rPr>
          <w:sz w:val="26"/>
          <w:szCs w:val="26"/>
        </w:rPr>
        <w:t xml:space="preserve"> Conclusions of Law.  </w:t>
      </w:r>
      <w:r w:rsidR="007E03C5">
        <w:rPr>
          <w:sz w:val="26"/>
          <w:szCs w:val="26"/>
        </w:rPr>
        <w:t xml:space="preserve">I.D. at </w:t>
      </w:r>
      <w:r>
        <w:rPr>
          <w:sz w:val="26"/>
          <w:szCs w:val="26"/>
        </w:rPr>
        <w:t>2</w:t>
      </w:r>
      <w:r w:rsidR="007E03C5">
        <w:rPr>
          <w:sz w:val="26"/>
          <w:szCs w:val="26"/>
        </w:rPr>
        <w:t>-</w:t>
      </w:r>
      <w:r>
        <w:rPr>
          <w:sz w:val="26"/>
          <w:szCs w:val="26"/>
        </w:rPr>
        <w:t>5</w:t>
      </w:r>
      <w:r w:rsidR="005B47A8">
        <w:rPr>
          <w:sz w:val="26"/>
          <w:szCs w:val="26"/>
        </w:rPr>
        <w:t xml:space="preserve"> and</w:t>
      </w:r>
      <w:r w:rsidR="007E03C5">
        <w:rPr>
          <w:sz w:val="26"/>
          <w:szCs w:val="26"/>
        </w:rPr>
        <w:t xml:space="preserve"> </w:t>
      </w:r>
      <w:r>
        <w:rPr>
          <w:sz w:val="26"/>
          <w:szCs w:val="26"/>
        </w:rPr>
        <w:t>9-10</w:t>
      </w:r>
      <w:r w:rsidR="007E03C5">
        <w:rPr>
          <w:sz w:val="26"/>
          <w:szCs w:val="26"/>
        </w:rPr>
        <w:t xml:space="preserve">.  </w:t>
      </w:r>
      <w:r w:rsidR="00802E4F" w:rsidRPr="00CA43A5">
        <w:rPr>
          <w:sz w:val="26"/>
          <w:szCs w:val="26"/>
        </w:rPr>
        <w:t>The Findings of Fact and Conclusions of Law are incorporated herein by reference and are adopted without comment unless they are either expressly or by necessary implication rejected or modified by this Opinion and Order.</w:t>
      </w:r>
    </w:p>
    <w:p w:rsidR="008F54C3" w:rsidRDefault="008F54C3" w:rsidP="000044DC">
      <w:pPr>
        <w:widowControl/>
        <w:spacing w:line="360" w:lineRule="auto"/>
        <w:ind w:firstLine="1440"/>
        <w:rPr>
          <w:sz w:val="26"/>
          <w:szCs w:val="26"/>
        </w:rPr>
      </w:pPr>
    </w:p>
    <w:p w:rsidR="007B09D5" w:rsidRDefault="00961A3C" w:rsidP="000044DC">
      <w:pPr>
        <w:widowControl/>
        <w:spacing w:line="360" w:lineRule="auto"/>
        <w:ind w:firstLine="1440"/>
        <w:rPr>
          <w:sz w:val="26"/>
          <w:szCs w:val="26"/>
        </w:rPr>
      </w:pPr>
      <w:r>
        <w:rPr>
          <w:sz w:val="26"/>
          <w:szCs w:val="26"/>
        </w:rPr>
        <w:t>At the start of the hearing, t</w:t>
      </w:r>
      <w:r w:rsidR="007B09D5">
        <w:rPr>
          <w:sz w:val="26"/>
          <w:szCs w:val="26"/>
        </w:rPr>
        <w:t xml:space="preserve">he ALJ was informed that PECO would credit the Complainant’s account for the $920.00 meter tampering fee assessed against his account for the alleged meter-tampering at his previous address.  The </w:t>
      </w:r>
      <w:r w:rsidR="007572B2">
        <w:rPr>
          <w:sz w:val="26"/>
          <w:szCs w:val="26"/>
        </w:rPr>
        <w:t xml:space="preserve">Complainant advised the </w:t>
      </w:r>
      <w:r w:rsidR="007B09D5">
        <w:rPr>
          <w:sz w:val="26"/>
          <w:szCs w:val="26"/>
        </w:rPr>
        <w:t xml:space="preserve">ALJ that since the meter-tampering issue had been resolved, he only wanted to address his claims of incorrect charges, and his request for a payment agreement.  </w:t>
      </w:r>
      <w:proofErr w:type="gramStart"/>
      <w:r w:rsidR="007B09D5">
        <w:rPr>
          <w:sz w:val="26"/>
          <w:szCs w:val="26"/>
        </w:rPr>
        <w:t>I.D.</w:t>
      </w:r>
      <w:r w:rsidR="007572B2">
        <w:rPr>
          <w:sz w:val="26"/>
          <w:szCs w:val="26"/>
        </w:rPr>
        <w:t> </w:t>
      </w:r>
      <w:r w:rsidR="007B09D5">
        <w:rPr>
          <w:sz w:val="26"/>
          <w:szCs w:val="26"/>
        </w:rPr>
        <w:t>at 6.</w:t>
      </w:r>
      <w:proofErr w:type="gramEnd"/>
    </w:p>
    <w:p w:rsidR="007B09D5" w:rsidRDefault="007B09D5" w:rsidP="000044DC">
      <w:pPr>
        <w:widowControl/>
        <w:spacing w:line="360" w:lineRule="auto"/>
        <w:ind w:firstLine="1440"/>
        <w:rPr>
          <w:sz w:val="26"/>
          <w:szCs w:val="26"/>
        </w:rPr>
      </w:pPr>
    </w:p>
    <w:p w:rsidR="00483EFD" w:rsidRPr="00EC3E80" w:rsidRDefault="00483EFD" w:rsidP="00483EFD">
      <w:pPr>
        <w:spacing w:line="360" w:lineRule="auto"/>
        <w:rPr>
          <w:i/>
          <w:sz w:val="26"/>
          <w:szCs w:val="26"/>
        </w:rPr>
      </w:pPr>
      <w:r>
        <w:rPr>
          <w:sz w:val="26"/>
          <w:szCs w:val="26"/>
        </w:rPr>
        <w:lastRenderedPageBreak/>
        <w:tab/>
      </w:r>
      <w:r>
        <w:rPr>
          <w:sz w:val="26"/>
          <w:szCs w:val="26"/>
        </w:rPr>
        <w:tab/>
      </w:r>
      <w:r w:rsidR="007572B2">
        <w:rPr>
          <w:sz w:val="26"/>
          <w:szCs w:val="26"/>
        </w:rPr>
        <w:t>T</w:t>
      </w:r>
      <w:r>
        <w:rPr>
          <w:sz w:val="26"/>
          <w:szCs w:val="26"/>
        </w:rPr>
        <w:t xml:space="preserve">he ALJ determined that the instant Complaint should be sustained, in part, and dismissed, in part.  </w:t>
      </w:r>
      <w:proofErr w:type="gramStart"/>
      <w:r>
        <w:rPr>
          <w:sz w:val="26"/>
          <w:szCs w:val="26"/>
        </w:rPr>
        <w:t>I.D. at 10.</w:t>
      </w:r>
      <w:proofErr w:type="gramEnd"/>
      <w:r>
        <w:rPr>
          <w:sz w:val="26"/>
          <w:szCs w:val="26"/>
        </w:rPr>
        <w:t xml:space="preserve">  Specifically, the ALJ found that the Complainant was eligible for one Commission-issued payment arrangement.  The ALJ stated that, even though the Complainant has a generally poor payment history and has already defaulted on a company-issued payment arrangement, he had never received a Commission-issued payment arrangement.  </w:t>
      </w:r>
      <w:r w:rsidRPr="006152F3">
        <w:rPr>
          <w:i/>
          <w:sz w:val="26"/>
          <w:szCs w:val="26"/>
        </w:rPr>
        <w:t>Id.</w:t>
      </w:r>
      <w:r>
        <w:rPr>
          <w:sz w:val="26"/>
          <w:szCs w:val="26"/>
        </w:rPr>
        <w:t xml:space="preserve"> at 8-9.  After applying the relevant statutory law and Commission precedent to the record, the ALJ determined that the Complainant should be given twenty-four months to pay the portion of the outstanding balance accrued on his account.  </w:t>
      </w:r>
      <w:r w:rsidR="00EC3E80">
        <w:rPr>
          <w:i/>
          <w:sz w:val="26"/>
          <w:szCs w:val="26"/>
        </w:rPr>
        <w:t>Id.</w:t>
      </w:r>
    </w:p>
    <w:p w:rsidR="00483EFD" w:rsidRDefault="00483EFD" w:rsidP="00483EFD">
      <w:pPr>
        <w:spacing w:line="360" w:lineRule="auto"/>
        <w:rPr>
          <w:sz w:val="26"/>
          <w:szCs w:val="26"/>
        </w:rPr>
      </w:pPr>
    </w:p>
    <w:p w:rsidR="00626F14" w:rsidRDefault="00483EFD" w:rsidP="009F7DBA">
      <w:pPr>
        <w:spacing w:line="360" w:lineRule="auto"/>
        <w:rPr>
          <w:sz w:val="26"/>
          <w:szCs w:val="26"/>
        </w:rPr>
      </w:pPr>
      <w:r>
        <w:rPr>
          <w:sz w:val="26"/>
          <w:szCs w:val="26"/>
        </w:rPr>
        <w:tab/>
      </w:r>
      <w:r>
        <w:rPr>
          <w:sz w:val="26"/>
          <w:szCs w:val="26"/>
        </w:rPr>
        <w:tab/>
      </w:r>
      <w:r w:rsidR="009F7DBA">
        <w:rPr>
          <w:sz w:val="26"/>
          <w:szCs w:val="26"/>
        </w:rPr>
        <w:t xml:space="preserve">The ALJ also recommended that the Complaint be dismissed, in part, because </w:t>
      </w:r>
      <w:r w:rsidR="00715F1D">
        <w:rPr>
          <w:sz w:val="26"/>
          <w:szCs w:val="26"/>
        </w:rPr>
        <w:t>the Comp</w:t>
      </w:r>
      <w:r w:rsidR="00693DA2">
        <w:rPr>
          <w:sz w:val="26"/>
          <w:szCs w:val="26"/>
        </w:rPr>
        <w:t>lainant failed to prove</w:t>
      </w:r>
      <w:r w:rsidR="00715F1D">
        <w:rPr>
          <w:sz w:val="26"/>
          <w:szCs w:val="26"/>
        </w:rPr>
        <w:t xml:space="preserve"> h</w:t>
      </w:r>
      <w:r w:rsidR="00E514AC">
        <w:rPr>
          <w:sz w:val="26"/>
          <w:szCs w:val="26"/>
        </w:rPr>
        <w:t>is</w:t>
      </w:r>
      <w:r w:rsidR="00715F1D">
        <w:rPr>
          <w:sz w:val="26"/>
          <w:szCs w:val="26"/>
        </w:rPr>
        <w:t xml:space="preserve"> bills were inaccurate</w:t>
      </w:r>
      <w:r w:rsidR="002D14E9">
        <w:rPr>
          <w:sz w:val="26"/>
          <w:szCs w:val="26"/>
        </w:rPr>
        <w:t xml:space="preserve">.  </w:t>
      </w:r>
      <w:r w:rsidR="009F7DBA">
        <w:rPr>
          <w:sz w:val="26"/>
          <w:szCs w:val="26"/>
        </w:rPr>
        <w:t>The ALJ concluded</w:t>
      </w:r>
      <w:r w:rsidR="00715F1D">
        <w:rPr>
          <w:sz w:val="26"/>
          <w:szCs w:val="26"/>
        </w:rPr>
        <w:t xml:space="preserve"> that the bills were correct as rendered</w:t>
      </w:r>
      <w:r w:rsidR="00E514AC">
        <w:rPr>
          <w:sz w:val="26"/>
          <w:szCs w:val="26"/>
        </w:rPr>
        <w:t xml:space="preserve">.  The ALJ </w:t>
      </w:r>
      <w:r w:rsidR="00BC3E0D">
        <w:rPr>
          <w:sz w:val="26"/>
          <w:szCs w:val="26"/>
        </w:rPr>
        <w:t>reasoned</w:t>
      </w:r>
      <w:r w:rsidR="00715F1D">
        <w:rPr>
          <w:sz w:val="26"/>
          <w:szCs w:val="26"/>
        </w:rPr>
        <w:t xml:space="preserve"> </w:t>
      </w:r>
      <w:r w:rsidR="00BC3E0D">
        <w:rPr>
          <w:sz w:val="26"/>
          <w:szCs w:val="26"/>
        </w:rPr>
        <w:t>that the</w:t>
      </w:r>
      <w:r w:rsidR="00E514AC">
        <w:rPr>
          <w:sz w:val="26"/>
          <w:szCs w:val="26"/>
        </w:rPr>
        <w:t xml:space="preserve"> outstanding balance on the </w:t>
      </w:r>
      <w:r w:rsidR="00626F14">
        <w:rPr>
          <w:sz w:val="26"/>
          <w:szCs w:val="26"/>
        </w:rPr>
        <w:t>Complainant</w:t>
      </w:r>
      <w:r w:rsidR="00E514AC">
        <w:rPr>
          <w:sz w:val="26"/>
          <w:szCs w:val="26"/>
        </w:rPr>
        <w:t xml:space="preserve"> account </w:t>
      </w:r>
      <w:r w:rsidR="009F7DBA">
        <w:rPr>
          <w:sz w:val="26"/>
          <w:szCs w:val="26"/>
        </w:rPr>
        <w:t>wa</w:t>
      </w:r>
      <w:r w:rsidR="00E514AC">
        <w:rPr>
          <w:sz w:val="26"/>
          <w:szCs w:val="26"/>
        </w:rPr>
        <w:t xml:space="preserve">s due, in </w:t>
      </w:r>
      <w:proofErr w:type="gramStart"/>
      <w:r w:rsidR="00E514AC">
        <w:rPr>
          <w:sz w:val="26"/>
          <w:szCs w:val="26"/>
        </w:rPr>
        <w:t>part,</w:t>
      </w:r>
      <w:proofErr w:type="gramEnd"/>
      <w:r w:rsidR="00E514AC">
        <w:rPr>
          <w:sz w:val="26"/>
          <w:szCs w:val="26"/>
        </w:rPr>
        <w:t xml:space="preserve"> to the unpaid balance he was properly billed for </w:t>
      </w:r>
      <w:r w:rsidR="009F7DBA">
        <w:rPr>
          <w:sz w:val="26"/>
          <w:szCs w:val="26"/>
        </w:rPr>
        <w:t>and</w:t>
      </w:r>
      <w:r w:rsidR="00E514AC">
        <w:rPr>
          <w:sz w:val="26"/>
          <w:szCs w:val="26"/>
        </w:rPr>
        <w:t xml:space="preserve"> carried over from his previous address.  The outstanding balance was also due to missed and late payments on his account for service at his subsequent address.</w:t>
      </w:r>
      <w:r w:rsidR="00626F14">
        <w:rPr>
          <w:sz w:val="26"/>
          <w:szCs w:val="26"/>
        </w:rPr>
        <w:t xml:space="preserve"> </w:t>
      </w:r>
      <w:r w:rsidR="009F28C9">
        <w:rPr>
          <w:sz w:val="26"/>
          <w:szCs w:val="26"/>
        </w:rPr>
        <w:t xml:space="preserve"> </w:t>
      </w:r>
      <w:proofErr w:type="gramStart"/>
      <w:r w:rsidR="00626F14">
        <w:rPr>
          <w:sz w:val="26"/>
          <w:szCs w:val="26"/>
        </w:rPr>
        <w:t xml:space="preserve">I.D. at </w:t>
      </w:r>
      <w:r w:rsidR="00E514AC">
        <w:rPr>
          <w:sz w:val="26"/>
          <w:szCs w:val="26"/>
        </w:rPr>
        <w:t>7</w:t>
      </w:r>
      <w:r w:rsidR="007572B2">
        <w:rPr>
          <w:sz w:val="26"/>
          <w:szCs w:val="26"/>
        </w:rPr>
        <w:noBreakHyphen/>
      </w:r>
      <w:r w:rsidR="00E514AC">
        <w:rPr>
          <w:sz w:val="26"/>
          <w:szCs w:val="26"/>
        </w:rPr>
        <w:t>8</w:t>
      </w:r>
      <w:r w:rsidR="00626F14">
        <w:rPr>
          <w:sz w:val="26"/>
          <w:szCs w:val="26"/>
        </w:rPr>
        <w:t>.</w:t>
      </w:r>
      <w:proofErr w:type="gramEnd"/>
      <w:r w:rsidR="00626F14">
        <w:rPr>
          <w:sz w:val="26"/>
          <w:szCs w:val="26"/>
        </w:rPr>
        <w:t xml:space="preserve"> </w:t>
      </w:r>
    </w:p>
    <w:p w:rsidR="00626F14" w:rsidRDefault="00626F14" w:rsidP="000044DC">
      <w:pPr>
        <w:widowControl/>
        <w:spacing w:line="360" w:lineRule="auto"/>
        <w:ind w:firstLine="1440"/>
        <w:rPr>
          <w:sz w:val="26"/>
          <w:szCs w:val="26"/>
        </w:rPr>
      </w:pPr>
    </w:p>
    <w:p w:rsidR="007B2AEC" w:rsidRDefault="00804BE4" w:rsidP="000044DC">
      <w:pPr>
        <w:widowControl/>
        <w:spacing w:line="360" w:lineRule="auto"/>
        <w:contextualSpacing/>
        <w:rPr>
          <w:b/>
          <w:sz w:val="26"/>
          <w:szCs w:val="26"/>
        </w:rPr>
      </w:pPr>
      <w:r>
        <w:rPr>
          <w:b/>
          <w:sz w:val="26"/>
          <w:szCs w:val="26"/>
        </w:rPr>
        <w:t>Exceptions</w:t>
      </w:r>
      <w:r w:rsidR="00A27F75">
        <w:rPr>
          <w:b/>
          <w:sz w:val="26"/>
          <w:szCs w:val="26"/>
        </w:rPr>
        <w:t xml:space="preserve"> and </w:t>
      </w:r>
      <w:r>
        <w:rPr>
          <w:b/>
          <w:sz w:val="26"/>
          <w:szCs w:val="26"/>
        </w:rPr>
        <w:t>Replies</w:t>
      </w:r>
    </w:p>
    <w:p w:rsidR="007B2AEC" w:rsidRDefault="007B2AEC" w:rsidP="000044DC">
      <w:pPr>
        <w:widowControl/>
        <w:spacing w:line="360" w:lineRule="auto"/>
        <w:contextualSpacing/>
        <w:rPr>
          <w:b/>
          <w:sz w:val="26"/>
          <w:szCs w:val="26"/>
        </w:rPr>
      </w:pPr>
    </w:p>
    <w:p w:rsidR="00E37C09" w:rsidRDefault="007B2AEC" w:rsidP="000044DC">
      <w:pPr>
        <w:widowControl/>
        <w:spacing w:line="360" w:lineRule="auto"/>
        <w:contextualSpacing/>
        <w:rPr>
          <w:sz w:val="26"/>
          <w:szCs w:val="26"/>
        </w:rPr>
      </w:pPr>
      <w:r>
        <w:rPr>
          <w:b/>
          <w:sz w:val="26"/>
          <w:szCs w:val="26"/>
        </w:rPr>
        <w:tab/>
      </w:r>
      <w:r>
        <w:rPr>
          <w:b/>
          <w:sz w:val="26"/>
          <w:szCs w:val="26"/>
        </w:rPr>
        <w:tab/>
      </w:r>
      <w:r>
        <w:rPr>
          <w:sz w:val="26"/>
          <w:szCs w:val="26"/>
        </w:rPr>
        <w:t>In h</w:t>
      </w:r>
      <w:r w:rsidR="00E37C09">
        <w:rPr>
          <w:sz w:val="26"/>
          <w:szCs w:val="26"/>
        </w:rPr>
        <w:t>is</w:t>
      </w:r>
      <w:r>
        <w:rPr>
          <w:sz w:val="26"/>
          <w:szCs w:val="26"/>
        </w:rPr>
        <w:t xml:space="preserve"> </w:t>
      </w:r>
      <w:r w:rsidR="00C17154">
        <w:rPr>
          <w:sz w:val="26"/>
          <w:szCs w:val="26"/>
        </w:rPr>
        <w:t>Exception</w:t>
      </w:r>
      <w:r>
        <w:rPr>
          <w:sz w:val="26"/>
          <w:szCs w:val="26"/>
        </w:rPr>
        <w:t xml:space="preserve">s, the Complainant states that </w:t>
      </w:r>
      <w:r w:rsidR="00E37C09">
        <w:rPr>
          <w:sz w:val="26"/>
          <w:szCs w:val="26"/>
        </w:rPr>
        <w:t xml:space="preserve">his </w:t>
      </w:r>
      <w:r w:rsidR="00EC3E80">
        <w:rPr>
          <w:sz w:val="26"/>
          <w:szCs w:val="26"/>
        </w:rPr>
        <w:t>C</w:t>
      </w:r>
      <w:r w:rsidR="00E37C09">
        <w:rPr>
          <w:sz w:val="26"/>
          <w:szCs w:val="26"/>
        </w:rPr>
        <w:t xml:space="preserve">omplaint was about the unfair bill practice and overcharges.  The Complainant </w:t>
      </w:r>
      <w:r w:rsidR="001B6DC4">
        <w:rPr>
          <w:sz w:val="26"/>
          <w:szCs w:val="26"/>
        </w:rPr>
        <w:t xml:space="preserve">does not agree that he owes PECO $957.55.  </w:t>
      </w:r>
      <w:r w:rsidR="007572B2">
        <w:rPr>
          <w:sz w:val="26"/>
          <w:szCs w:val="26"/>
        </w:rPr>
        <w:t>Rather, h</w:t>
      </w:r>
      <w:r w:rsidR="001B6DC4">
        <w:rPr>
          <w:sz w:val="26"/>
          <w:szCs w:val="26"/>
        </w:rPr>
        <w:t>e avers that he owes</w:t>
      </w:r>
      <w:r w:rsidR="00045082">
        <w:rPr>
          <w:sz w:val="26"/>
          <w:szCs w:val="26"/>
        </w:rPr>
        <w:t xml:space="preserve"> an outstanding balance of</w:t>
      </w:r>
      <w:r w:rsidR="001B6DC4">
        <w:rPr>
          <w:sz w:val="26"/>
          <w:szCs w:val="26"/>
        </w:rPr>
        <w:t xml:space="preserve"> $266.94</w:t>
      </w:r>
      <w:r w:rsidR="00045082">
        <w:rPr>
          <w:sz w:val="26"/>
          <w:szCs w:val="26"/>
        </w:rPr>
        <w:t xml:space="preserve"> because he thought his hearing was only about the billing to his previous address</w:t>
      </w:r>
      <w:r w:rsidR="001B6DC4">
        <w:rPr>
          <w:sz w:val="26"/>
          <w:szCs w:val="26"/>
        </w:rPr>
        <w:t xml:space="preserve">.  </w:t>
      </w:r>
      <w:r w:rsidR="00E37C09">
        <w:rPr>
          <w:sz w:val="26"/>
          <w:szCs w:val="26"/>
        </w:rPr>
        <w:t xml:space="preserve">He adds that he </w:t>
      </w:r>
      <w:r w:rsidR="001E7730">
        <w:rPr>
          <w:sz w:val="26"/>
          <w:szCs w:val="26"/>
        </w:rPr>
        <w:t xml:space="preserve">had </w:t>
      </w:r>
      <w:r w:rsidR="00E37C09">
        <w:rPr>
          <w:sz w:val="26"/>
          <w:szCs w:val="26"/>
        </w:rPr>
        <w:t>agreed to a payment agreement with PECO, but</w:t>
      </w:r>
      <w:r w:rsidR="001E7730">
        <w:rPr>
          <w:sz w:val="26"/>
          <w:szCs w:val="26"/>
        </w:rPr>
        <w:t xml:space="preserve"> because</w:t>
      </w:r>
      <w:r w:rsidR="00E37C09">
        <w:rPr>
          <w:sz w:val="26"/>
          <w:szCs w:val="26"/>
        </w:rPr>
        <w:t xml:space="preserve"> he disagreed on the amount to pay because it included the meter tampering fee</w:t>
      </w:r>
      <w:r w:rsidR="001E7730">
        <w:rPr>
          <w:sz w:val="26"/>
          <w:szCs w:val="26"/>
        </w:rPr>
        <w:t>, he did not uphold the payment agreement.</w:t>
      </w:r>
      <w:r w:rsidR="00E37C09">
        <w:rPr>
          <w:sz w:val="26"/>
          <w:szCs w:val="26"/>
        </w:rPr>
        <w:t xml:space="preserve">  Exc. at 1-2.</w:t>
      </w:r>
    </w:p>
    <w:p w:rsidR="00E37C09" w:rsidRDefault="00E37C09" w:rsidP="000044DC">
      <w:pPr>
        <w:widowControl/>
        <w:spacing w:line="360" w:lineRule="auto"/>
        <w:contextualSpacing/>
        <w:rPr>
          <w:sz w:val="26"/>
          <w:szCs w:val="26"/>
        </w:rPr>
      </w:pPr>
    </w:p>
    <w:p w:rsidR="001B6DC4" w:rsidRDefault="003B39E2" w:rsidP="000044DC">
      <w:pPr>
        <w:widowControl/>
        <w:spacing w:line="360" w:lineRule="auto"/>
        <w:contextualSpacing/>
        <w:rPr>
          <w:sz w:val="26"/>
          <w:szCs w:val="26"/>
        </w:rPr>
      </w:pPr>
      <w:r>
        <w:rPr>
          <w:sz w:val="26"/>
          <w:szCs w:val="26"/>
        </w:rPr>
        <w:lastRenderedPageBreak/>
        <w:tab/>
      </w:r>
      <w:r>
        <w:rPr>
          <w:sz w:val="26"/>
          <w:szCs w:val="26"/>
        </w:rPr>
        <w:tab/>
        <w:t>In its Replies, PECO</w:t>
      </w:r>
      <w:r w:rsidR="0099433E">
        <w:rPr>
          <w:sz w:val="26"/>
          <w:szCs w:val="26"/>
        </w:rPr>
        <w:t xml:space="preserve"> </w:t>
      </w:r>
      <w:r w:rsidR="007B2AEC">
        <w:rPr>
          <w:sz w:val="26"/>
          <w:szCs w:val="26"/>
        </w:rPr>
        <w:t>contends</w:t>
      </w:r>
      <w:r w:rsidR="009A507C">
        <w:rPr>
          <w:sz w:val="26"/>
          <w:szCs w:val="26"/>
        </w:rPr>
        <w:t xml:space="preserve"> that the Complainant</w:t>
      </w:r>
      <w:r w:rsidR="007B2AEC">
        <w:rPr>
          <w:sz w:val="26"/>
          <w:szCs w:val="26"/>
        </w:rPr>
        <w:t xml:space="preserve"> </w:t>
      </w:r>
      <w:r w:rsidR="009A507C">
        <w:rPr>
          <w:sz w:val="26"/>
          <w:szCs w:val="26"/>
        </w:rPr>
        <w:t>failed to meet h</w:t>
      </w:r>
      <w:r w:rsidR="001B6DC4">
        <w:rPr>
          <w:sz w:val="26"/>
          <w:szCs w:val="26"/>
        </w:rPr>
        <w:t>is</w:t>
      </w:r>
      <w:r w:rsidR="009A507C">
        <w:rPr>
          <w:sz w:val="26"/>
          <w:szCs w:val="26"/>
        </w:rPr>
        <w:t xml:space="preserve"> burden of proof.  </w:t>
      </w:r>
      <w:r w:rsidR="001B6DC4">
        <w:rPr>
          <w:sz w:val="26"/>
          <w:szCs w:val="26"/>
        </w:rPr>
        <w:t>PECO contends that the record clearly demonstrates that the Complainant owes a balance of $957.55, which is comprised of usage charges from his previous address</w:t>
      </w:r>
      <w:r w:rsidR="001E7730">
        <w:rPr>
          <w:sz w:val="26"/>
          <w:szCs w:val="26"/>
        </w:rPr>
        <w:t>,</w:t>
      </w:r>
      <w:r w:rsidR="001B6DC4">
        <w:rPr>
          <w:sz w:val="26"/>
          <w:szCs w:val="26"/>
        </w:rPr>
        <w:t xml:space="preserve"> as well as his subsequent address.  R. Exc. at 3.</w:t>
      </w:r>
    </w:p>
    <w:p w:rsidR="002738C4" w:rsidRDefault="002738C4" w:rsidP="000044DC">
      <w:pPr>
        <w:widowControl/>
        <w:spacing w:line="360" w:lineRule="auto"/>
        <w:contextualSpacing/>
        <w:rPr>
          <w:sz w:val="26"/>
          <w:szCs w:val="26"/>
        </w:rPr>
      </w:pPr>
    </w:p>
    <w:p w:rsidR="00A27F75" w:rsidRDefault="00A27F75" w:rsidP="000044DC">
      <w:pPr>
        <w:widowControl/>
        <w:spacing w:line="360" w:lineRule="auto"/>
        <w:contextualSpacing/>
        <w:rPr>
          <w:sz w:val="26"/>
          <w:szCs w:val="26"/>
        </w:rPr>
      </w:pPr>
      <w:r>
        <w:rPr>
          <w:b/>
          <w:sz w:val="26"/>
          <w:szCs w:val="26"/>
        </w:rPr>
        <w:t>Disposition</w:t>
      </w:r>
    </w:p>
    <w:p w:rsidR="00A27F75" w:rsidRDefault="00A27F75" w:rsidP="000044DC">
      <w:pPr>
        <w:widowControl/>
        <w:spacing w:line="360" w:lineRule="auto"/>
        <w:contextualSpacing/>
        <w:rPr>
          <w:sz w:val="26"/>
          <w:szCs w:val="26"/>
        </w:rPr>
      </w:pPr>
    </w:p>
    <w:p w:rsidR="004B669E" w:rsidRDefault="002738C4" w:rsidP="004B669E">
      <w:pPr>
        <w:widowControl/>
        <w:spacing w:line="360" w:lineRule="auto"/>
        <w:contextualSpacing/>
        <w:rPr>
          <w:sz w:val="26"/>
          <w:szCs w:val="26"/>
        </w:rPr>
      </w:pPr>
      <w:r>
        <w:rPr>
          <w:sz w:val="26"/>
          <w:szCs w:val="26"/>
        </w:rPr>
        <w:tab/>
      </w:r>
      <w:r>
        <w:rPr>
          <w:sz w:val="26"/>
          <w:szCs w:val="26"/>
        </w:rPr>
        <w:tab/>
      </w:r>
      <w:r w:rsidR="004B669E" w:rsidRPr="00A876D7">
        <w:rPr>
          <w:sz w:val="26"/>
          <w:szCs w:val="26"/>
        </w:rPr>
        <w:t xml:space="preserve">Based upon </w:t>
      </w:r>
      <w:r w:rsidR="004B669E" w:rsidRPr="000147AA">
        <w:rPr>
          <w:sz w:val="26"/>
          <w:szCs w:val="26"/>
        </w:rPr>
        <w:t xml:space="preserve">our review of the record in this proceeding, we will deny the Complainant’s Exceptions.  First, </w:t>
      </w:r>
      <w:r w:rsidR="004B669E">
        <w:rPr>
          <w:sz w:val="26"/>
          <w:szCs w:val="26"/>
        </w:rPr>
        <w:t xml:space="preserve">the record demonstrates that the Complainant established service at his previous address and did not discontinue service until May 10, 2011.  Accordingly, the Complainant owes all usage charges up through that date.  At his previous address, the Complainant accrued </w:t>
      </w:r>
      <w:proofErr w:type="spellStart"/>
      <w:r w:rsidR="004B669E">
        <w:rPr>
          <w:sz w:val="26"/>
          <w:szCs w:val="26"/>
        </w:rPr>
        <w:t>a</w:t>
      </w:r>
      <w:r w:rsidR="00F2605F">
        <w:rPr>
          <w:sz w:val="26"/>
          <w:szCs w:val="26"/>
        </w:rPr>
        <w:t>n</w:t>
      </w:r>
      <w:proofErr w:type="spellEnd"/>
      <w:r w:rsidR="004B669E">
        <w:rPr>
          <w:sz w:val="26"/>
          <w:szCs w:val="26"/>
        </w:rPr>
        <w:t xml:space="preserve"> unpaid balance, which was transferred to his new service address when service was activated in October 2012. </w:t>
      </w:r>
      <w:r w:rsidR="006E3CDE">
        <w:rPr>
          <w:sz w:val="26"/>
          <w:szCs w:val="26"/>
        </w:rPr>
        <w:t xml:space="preserve">  </w:t>
      </w:r>
      <w:proofErr w:type="gramStart"/>
      <w:r w:rsidR="006E3CDE">
        <w:rPr>
          <w:sz w:val="26"/>
          <w:szCs w:val="26"/>
        </w:rPr>
        <w:t xml:space="preserve">PECO </w:t>
      </w:r>
      <w:proofErr w:type="spellStart"/>
      <w:r w:rsidR="006E3CDE">
        <w:rPr>
          <w:sz w:val="26"/>
          <w:szCs w:val="26"/>
        </w:rPr>
        <w:t>Exh</w:t>
      </w:r>
      <w:proofErr w:type="spellEnd"/>
      <w:r w:rsidR="006E3CDE">
        <w:rPr>
          <w:sz w:val="26"/>
          <w:szCs w:val="26"/>
        </w:rPr>
        <w:t>.</w:t>
      </w:r>
      <w:proofErr w:type="gramEnd"/>
      <w:r w:rsidR="006E3CDE">
        <w:rPr>
          <w:sz w:val="26"/>
          <w:szCs w:val="26"/>
        </w:rPr>
        <w:t xml:space="preserve"> 2.  </w:t>
      </w:r>
      <w:r w:rsidR="004B669E">
        <w:rPr>
          <w:sz w:val="26"/>
          <w:szCs w:val="26"/>
        </w:rPr>
        <w:t>The record shows that the Complainant made minimal payments o</w:t>
      </w:r>
      <w:r w:rsidR="00F05580">
        <w:rPr>
          <w:sz w:val="26"/>
          <w:szCs w:val="26"/>
        </w:rPr>
        <w:t>n</w:t>
      </w:r>
      <w:r w:rsidR="004B669E">
        <w:rPr>
          <w:sz w:val="26"/>
          <w:szCs w:val="26"/>
        </w:rPr>
        <w:t xml:space="preserve"> his account after October 2012.  </w:t>
      </w:r>
      <w:r w:rsidR="00B8466F">
        <w:rPr>
          <w:sz w:val="26"/>
          <w:szCs w:val="26"/>
        </w:rPr>
        <w:t>The ALJ correctly found that the Complainant’s outstanding balance of $1,877.55 is due to missed and late payments from his previous and subsequent addresses</w:t>
      </w:r>
      <w:r w:rsidR="00F2605F">
        <w:rPr>
          <w:sz w:val="26"/>
          <w:szCs w:val="26"/>
        </w:rPr>
        <w:t>,</w:t>
      </w:r>
      <w:r w:rsidR="00B8466F">
        <w:rPr>
          <w:sz w:val="26"/>
          <w:szCs w:val="26"/>
        </w:rPr>
        <w:t xml:space="preserve"> as well as the $920.00 tampering fee that was imposed by PECO.</w:t>
      </w:r>
      <w:r w:rsidR="006E3CDE">
        <w:rPr>
          <w:sz w:val="26"/>
          <w:szCs w:val="26"/>
        </w:rPr>
        <w:t xml:space="preserve">  </w:t>
      </w:r>
      <w:proofErr w:type="gramStart"/>
      <w:r w:rsidR="006E3CDE">
        <w:rPr>
          <w:sz w:val="26"/>
          <w:szCs w:val="26"/>
        </w:rPr>
        <w:t xml:space="preserve">PECO </w:t>
      </w:r>
      <w:proofErr w:type="spellStart"/>
      <w:r w:rsidR="006E3CDE">
        <w:rPr>
          <w:sz w:val="26"/>
          <w:szCs w:val="26"/>
        </w:rPr>
        <w:t>Exh</w:t>
      </w:r>
      <w:proofErr w:type="spellEnd"/>
      <w:r w:rsidR="006E3CDE">
        <w:rPr>
          <w:sz w:val="26"/>
          <w:szCs w:val="26"/>
        </w:rPr>
        <w:t>.</w:t>
      </w:r>
      <w:proofErr w:type="gramEnd"/>
      <w:r w:rsidR="007572B2">
        <w:rPr>
          <w:sz w:val="26"/>
          <w:szCs w:val="26"/>
        </w:rPr>
        <w:t> </w:t>
      </w:r>
      <w:r w:rsidR="006E3CDE">
        <w:rPr>
          <w:sz w:val="26"/>
          <w:szCs w:val="26"/>
        </w:rPr>
        <w:t xml:space="preserve">1.  </w:t>
      </w:r>
      <w:r w:rsidR="00F2605F">
        <w:rPr>
          <w:sz w:val="26"/>
          <w:szCs w:val="26"/>
        </w:rPr>
        <w:t xml:space="preserve">Prior to the hearing, </w:t>
      </w:r>
      <w:r w:rsidR="00B8466F">
        <w:rPr>
          <w:sz w:val="26"/>
          <w:szCs w:val="26"/>
        </w:rPr>
        <w:t>PECO agreed to credit the $920.00 tampering fee</w:t>
      </w:r>
      <w:r w:rsidR="007572B2">
        <w:rPr>
          <w:sz w:val="26"/>
          <w:szCs w:val="26"/>
        </w:rPr>
        <w:t>;</w:t>
      </w:r>
      <w:r w:rsidR="00B8466F">
        <w:rPr>
          <w:sz w:val="26"/>
          <w:szCs w:val="26"/>
        </w:rPr>
        <w:t xml:space="preserve"> therefore the balance due is $957.55.</w:t>
      </w:r>
      <w:r w:rsidR="006E3CDE">
        <w:rPr>
          <w:sz w:val="26"/>
          <w:szCs w:val="26"/>
        </w:rPr>
        <w:t xml:space="preserve">  Tr. at 28-29; 37-38.</w:t>
      </w:r>
      <w:r w:rsidR="00F05580">
        <w:rPr>
          <w:sz w:val="26"/>
          <w:szCs w:val="26"/>
        </w:rPr>
        <w:t xml:space="preserve">  The Complainant failed to meet his burden of proof and his testimony was successfully rebutted by PECO.  </w:t>
      </w:r>
    </w:p>
    <w:p w:rsidR="00B46477" w:rsidRDefault="00B46477" w:rsidP="004B669E">
      <w:pPr>
        <w:widowControl/>
        <w:spacing w:line="360" w:lineRule="auto"/>
        <w:contextualSpacing/>
        <w:rPr>
          <w:sz w:val="26"/>
          <w:szCs w:val="26"/>
        </w:rPr>
      </w:pPr>
    </w:p>
    <w:p w:rsidR="004B669E" w:rsidRDefault="00B46477" w:rsidP="004B669E">
      <w:pPr>
        <w:widowControl/>
        <w:spacing w:line="360" w:lineRule="auto"/>
        <w:contextualSpacing/>
        <w:rPr>
          <w:sz w:val="26"/>
          <w:szCs w:val="26"/>
        </w:rPr>
      </w:pPr>
      <w:r>
        <w:rPr>
          <w:sz w:val="26"/>
          <w:szCs w:val="26"/>
        </w:rPr>
        <w:tab/>
      </w:r>
      <w:r>
        <w:rPr>
          <w:sz w:val="26"/>
          <w:szCs w:val="26"/>
        </w:rPr>
        <w:tab/>
      </w:r>
      <w:r w:rsidR="00F05580">
        <w:rPr>
          <w:sz w:val="26"/>
          <w:szCs w:val="26"/>
        </w:rPr>
        <w:t>The Complainant did not except t</w:t>
      </w:r>
      <w:r w:rsidR="00DB69AE">
        <w:rPr>
          <w:sz w:val="26"/>
          <w:szCs w:val="26"/>
        </w:rPr>
        <w:t>o the ALJ’s proposed Commission-</w:t>
      </w:r>
      <w:r w:rsidR="00F05580">
        <w:rPr>
          <w:sz w:val="26"/>
          <w:szCs w:val="26"/>
        </w:rPr>
        <w:t xml:space="preserve">issued payment arrangement.   </w:t>
      </w:r>
      <w:r w:rsidR="007572B2">
        <w:rPr>
          <w:sz w:val="26"/>
          <w:szCs w:val="26"/>
        </w:rPr>
        <w:t>W</w:t>
      </w:r>
      <w:r w:rsidR="00F05580">
        <w:rPr>
          <w:sz w:val="26"/>
          <w:szCs w:val="26"/>
        </w:rPr>
        <w:t xml:space="preserve">e </w:t>
      </w:r>
      <w:r w:rsidR="008B6E32">
        <w:rPr>
          <w:sz w:val="26"/>
          <w:szCs w:val="26"/>
        </w:rPr>
        <w:t xml:space="preserve">also agree with the ALJ’s Initial Decision to </w:t>
      </w:r>
      <w:r w:rsidR="00F05580">
        <w:rPr>
          <w:sz w:val="26"/>
          <w:szCs w:val="26"/>
        </w:rPr>
        <w:t xml:space="preserve">issue a payment agreement on the Complainant’s outstanding balance.  </w:t>
      </w:r>
      <w:r w:rsidR="008B6E32">
        <w:rPr>
          <w:sz w:val="26"/>
          <w:szCs w:val="26"/>
        </w:rPr>
        <w:t>Accordingly, consistent with the ALJ’s determination, i</w:t>
      </w:r>
      <w:r w:rsidR="00F05580">
        <w:rPr>
          <w:sz w:val="26"/>
          <w:szCs w:val="26"/>
        </w:rPr>
        <w:t xml:space="preserve">n addition to paying his regular monthly bills, the Complainant must pay one twenty-fourth of the outstanding balance accrued on his account to settle his outstanding debt.  </w:t>
      </w:r>
      <w:proofErr w:type="gramStart"/>
      <w:r w:rsidR="00B013C6">
        <w:rPr>
          <w:sz w:val="26"/>
          <w:szCs w:val="26"/>
        </w:rPr>
        <w:t>I.D. at 9; I.D. Ordering Paragraph No. 2 at 10.</w:t>
      </w:r>
      <w:proofErr w:type="gramEnd"/>
      <w:r w:rsidR="00B013C6">
        <w:rPr>
          <w:sz w:val="26"/>
          <w:szCs w:val="26"/>
        </w:rPr>
        <w:t xml:space="preserve">  </w:t>
      </w:r>
      <w:r w:rsidR="00F05580">
        <w:rPr>
          <w:sz w:val="26"/>
          <w:szCs w:val="26"/>
        </w:rPr>
        <w:t>As long as the Complai</w:t>
      </w:r>
      <w:r w:rsidR="00897BD1">
        <w:rPr>
          <w:sz w:val="26"/>
          <w:szCs w:val="26"/>
        </w:rPr>
        <w:t>nant keeps the payment schedule, PECO shall not suspend or terminate his utility service except for valid safety o</w:t>
      </w:r>
      <w:r w:rsidR="004B71A5">
        <w:rPr>
          <w:sz w:val="26"/>
          <w:szCs w:val="26"/>
        </w:rPr>
        <w:t>r</w:t>
      </w:r>
      <w:r w:rsidR="00897BD1">
        <w:rPr>
          <w:sz w:val="26"/>
          <w:szCs w:val="26"/>
        </w:rPr>
        <w:t xml:space="preserve"> emergency reasons, nor assess late payments or finance </w:t>
      </w:r>
      <w:r w:rsidR="00897BD1">
        <w:rPr>
          <w:sz w:val="26"/>
          <w:szCs w:val="26"/>
        </w:rPr>
        <w:lastRenderedPageBreak/>
        <w:t>charges against his account.  However, if the Complainant does not keep his payment schedule, PECO is authorized to suspend or terminate his utility service in accordance with the Commission’s statute and regulations.</w:t>
      </w:r>
      <w:r w:rsidR="00B013C6">
        <w:rPr>
          <w:sz w:val="26"/>
          <w:szCs w:val="26"/>
        </w:rPr>
        <w:t xml:space="preserve">  </w:t>
      </w:r>
      <w:proofErr w:type="gramStart"/>
      <w:r w:rsidR="00B013C6">
        <w:rPr>
          <w:sz w:val="26"/>
          <w:szCs w:val="26"/>
        </w:rPr>
        <w:t>I.D. at 9; I.D. Ordering Paragraph Nos. 3 and 4 at 10.</w:t>
      </w:r>
      <w:proofErr w:type="gramEnd"/>
    </w:p>
    <w:p w:rsidR="0087743F" w:rsidRDefault="0087743F" w:rsidP="004B669E">
      <w:pPr>
        <w:widowControl/>
        <w:spacing w:line="360" w:lineRule="auto"/>
        <w:contextualSpacing/>
        <w:rPr>
          <w:sz w:val="26"/>
          <w:szCs w:val="26"/>
        </w:rPr>
      </w:pPr>
    </w:p>
    <w:p w:rsidR="00CA43A5" w:rsidRDefault="00CA43A5" w:rsidP="000044DC">
      <w:pPr>
        <w:widowControl/>
        <w:spacing w:line="360" w:lineRule="auto"/>
        <w:jc w:val="center"/>
        <w:rPr>
          <w:b/>
          <w:sz w:val="26"/>
          <w:szCs w:val="26"/>
        </w:rPr>
      </w:pPr>
      <w:r w:rsidRPr="00CA43A5">
        <w:rPr>
          <w:b/>
          <w:sz w:val="26"/>
          <w:szCs w:val="26"/>
        </w:rPr>
        <w:t>Conclusion</w:t>
      </w:r>
    </w:p>
    <w:p w:rsidR="0087743F" w:rsidRPr="00CA43A5" w:rsidRDefault="0087743F" w:rsidP="000044DC">
      <w:pPr>
        <w:widowControl/>
        <w:spacing w:line="360" w:lineRule="auto"/>
        <w:jc w:val="center"/>
        <w:rPr>
          <w:b/>
          <w:sz w:val="26"/>
          <w:szCs w:val="26"/>
        </w:rPr>
      </w:pPr>
    </w:p>
    <w:p w:rsidR="00DC7860" w:rsidRPr="00F313BB" w:rsidRDefault="00DC7860" w:rsidP="00DC7860">
      <w:pPr>
        <w:keepNext/>
        <w:widowControl/>
        <w:spacing w:line="360" w:lineRule="auto"/>
        <w:ind w:firstLine="1440"/>
        <w:rPr>
          <w:sz w:val="26"/>
          <w:szCs w:val="26"/>
        </w:rPr>
      </w:pPr>
      <w:r>
        <w:rPr>
          <w:sz w:val="26"/>
          <w:szCs w:val="26"/>
        </w:rPr>
        <w:t>Based upon the foregoing</w:t>
      </w:r>
      <w:r w:rsidRPr="00F313BB">
        <w:rPr>
          <w:sz w:val="26"/>
          <w:szCs w:val="26"/>
        </w:rPr>
        <w:t xml:space="preserve"> discussion, we shall:  (1) deny the Complainant’s Exceptions; (2) adopt the I</w:t>
      </w:r>
      <w:r>
        <w:rPr>
          <w:sz w:val="26"/>
          <w:szCs w:val="26"/>
        </w:rPr>
        <w:t>nitial Decision</w:t>
      </w:r>
      <w:r w:rsidRPr="00F313BB">
        <w:rPr>
          <w:sz w:val="26"/>
          <w:szCs w:val="26"/>
        </w:rPr>
        <w:t>; and (3)</w:t>
      </w:r>
      <w:r w:rsidR="0087743F" w:rsidRPr="0087743F">
        <w:rPr>
          <w:sz w:val="26"/>
          <w:szCs w:val="26"/>
        </w:rPr>
        <w:t xml:space="preserve"> </w:t>
      </w:r>
      <w:r w:rsidR="0087743F">
        <w:rPr>
          <w:sz w:val="26"/>
          <w:szCs w:val="26"/>
        </w:rPr>
        <w:t xml:space="preserve">deny in part, and sustain in part, </w:t>
      </w:r>
      <w:r w:rsidRPr="00F313BB">
        <w:rPr>
          <w:sz w:val="26"/>
          <w:szCs w:val="26"/>
        </w:rPr>
        <w:t xml:space="preserve">the Complaint; </w:t>
      </w:r>
      <w:r w:rsidRPr="00F313BB">
        <w:rPr>
          <w:b/>
          <w:sz w:val="26"/>
          <w:szCs w:val="26"/>
        </w:rPr>
        <w:t>THEREFORE,</w:t>
      </w:r>
      <w:r w:rsidRPr="00F313BB">
        <w:rPr>
          <w:sz w:val="26"/>
          <w:szCs w:val="26"/>
        </w:rPr>
        <w:t xml:space="preserve"> </w:t>
      </w:r>
    </w:p>
    <w:p w:rsidR="00CA43A5" w:rsidRPr="00CA43A5" w:rsidRDefault="00CA43A5" w:rsidP="000044DC">
      <w:pPr>
        <w:widowControl/>
        <w:spacing w:line="360" w:lineRule="auto"/>
        <w:ind w:firstLine="1440"/>
        <w:rPr>
          <w:sz w:val="26"/>
          <w:szCs w:val="26"/>
        </w:rPr>
      </w:pPr>
    </w:p>
    <w:p w:rsidR="00CA43A5" w:rsidRPr="00CA43A5" w:rsidRDefault="00CA43A5" w:rsidP="006E69B0">
      <w:pPr>
        <w:widowControl/>
        <w:spacing w:line="360" w:lineRule="auto"/>
        <w:ind w:firstLine="1440"/>
        <w:rPr>
          <w:b/>
          <w:sz w:val="26"/>
          <w:szCs w:val="26"/>
        </w:rPr>
      </w:pPr>
      <w:r w:rsidRPr="00CA43A5">
        <w:rPr>
          <w:b/>
          <w:sz w:val="26"/>
          <w:szCs w:val="26"/>
        </w:rPr>
        <w:t>IT IS ORDERED:</w:t>
      </w:r>
    </w:p>
    <w:p w:rsidR="00CA43A5" w:rsidRPr="00CA43A5" w:rsidRDefault="00CA43A5" w:rsidP="000044DC">
      <w:pPr>
        <w:widowControl/>
        <w:rPr>
          <w:sz w:val="26"/>
          <w:szCs w:val="26"/>
        </w:rPr>
      </w:pPr>
    </w:p>
    <w:p w:rsidR="009155F7" w:rsidRDefault="009155F7" w:rsidP="000044DC">
      <w:pPr>
        <w:widowControl/>
        <w:numPr>
          <w:ilvl w:val="0"/>
          <w:numId w:val="1"/>
        </w:numPr>
        <w:tabs>
          <w:tab w:val="clear" w:pos="2160"/>
          <w:tab w:val="num" w:pos="0"/>
        </w:tabs>
        <w:spacing w:line="360" w:lineRule="auto"/>
        <w:ind w:left="0" w:firstLine="1440"/>
        <w:rPr>
          <w:sz w:val="26"/>
          <w:szCs w:val="26"/>
        </w:rPr>
      </w:pPr>
      <w:r>
        <w:rPr>
          <w:sz w:val="26"/>
          <w:szCs w:val="26"/>
        </w:rPr>
        <w:t xml:space="preserve">That the </w:t>
      </w:r>
      <w:r w:rsidR="0013006D">
        <w:rPr>
          <w:sz w:val="26"/>
          <w:szCs w:val="26"/>
        </w:rPr>
        <w:t xml:space="preserve">Exceptions of </w:t>
      </w:r>
      <w:proofErr w:type="gramStart"/>
      <w:r w:rsidR="00DC7860">
        <w:rPr>
          <w:sz w:val="26"/>
          <w:szCs w:val="26"/>
        </w:rPr>
        <w:t>LeRoy</w:t>
      </w:r>
      <w:proofErr w:type="gramEnd"/>
      <w:r w:rsidR="00DC7860">
        <w:rPr>
          <w:sz w:val="26"/>
          <w:szCs w:val="26"/>
        </w:rPr>
        <w:t xml:space="preserve"> Scott</w:t>
      </w:r>
      <w:r w:rsidR="00676FEA">
        <w:rPr>
          <w:sz w:val="26"/>
          <w:szCs w:val="26"/>
        </w:rPr>
        <w:t>,</w:t>
      </w:r>
      <w:r w:rsidR="0013006D">
        <w:rPr>
          <w:sz w:val="26"/>
          <w:szCs w:val="26"/>
        </w:rPr>
        <w:t xml:space="preserve"> filed on</w:t>
      </w:r>
      <w:r w:rsidR="0013006D" w:rsidRPr="0013006D">
        <w:rPr>
          <w:color w:val="000000"/>
          <w:sz w:val="26"/>
        </w:rPr>
        <w:t xml:space="preserve"> </w:t>
      </w:r>
      <w:r w:rsidR="00DC7860">
        <w:rPr>
          <w:sz w:val="26"/>
          <w:szCs w:val="26"/>
        </w:rPr>
        <w:t>May 23</w:t>
      </w:r>
      <w:r w:rsidR="0013006D" w:rsidRPr="0013006D">
        <w:rPr>
          <w:sz w:val="26"/>
          <w:szCs w:val="26"/>
        </w:rPr>
        <w:t>, 2014</w:t>
      </w:r>
      <w:r w:rsidR="0013006D">
        <w:rPr>
          <w:sz w:val="26"/>
          <w:szCs w:val="26"/>
        </w:rPr>
        <w:t>, are denied</w:t>
      </w:r>
      <w:r w:rsidR="003F51F4">
        <w:rPr>
          <w:sz w:val="26"/>
          <w:szCs w:val="26"/>
        </w:rPr>
        <w:t xml:space="preserve">, consistent with this Opinion </w:t>
      </w:r>
      <w:r w:rsidR="00B80C43">
        <w:rPr>
          <w:sz w:val="26"/>
          <w:szCs w:val="26"/>
        </w:rPr>
        <w:t>and Order</w:t>
      </w:r>
      <w:r>
        <w:rPr>
          <w:sz w:val="26"/>
          <w:szCs w:val="26"/>
        </w:rPr>
        <w:t>.</w:t>
      </w:r>
    </w:p>
    <w:p w:rsidR="003F51F4" w:rsidRDefault="003F51F4" w:rsidP="000044DC">
      <w:pPr>
        <w:widowControl/>
        <w:spacing w:line="360" w:lineRule="auto"/>
        <w:ind w:left="1440"/>
        <w:rPr>
          <w:sz w:val="26"/>
          <w:szCs w:val="26"/>
        </w:rPr>
      </w:pPr>
    </w:p>
    <w:p w:rsidR="0013006D" w:rsidRDefault="0013006D" w:rsidP="000044DC">
      <w:pPr>
        <w:widowControl/>
        <w:numPr>
          <w:ilvl w:val="0"/>
          <w:numId w:val="1"/>
        </w:numPr>
        <w:tabs>
          <w:tab w:val="clear" w:pos="2160"/>
          <w:tab w:val="num" w:pos="0"/>
        </w:tabs>
        <w:spacing w:line="360" w:lineRule="auto"/>
        <w:ind w:left="0" w:firstLine="1440"/>
        <w:rPr>
          <w:sz w:val="26"/>
          <w:szCs w:val="26"/>
        </w:rPr>
      </w:pPr>
      <w:r w:rsidRPr="0013006D">
        <w:rPr>
          <w:sz w:val="26"/>
          <w:szCs w:val="26"/>
        </w:rPr>
        <w:t>That the Initial Decision of Administrat</w:t>
      </w:r>
      <w:r>
        <w:rPr>
          <w:sz w:val="26"/>
          <w:szCs w:val="26"/>
        </w:rPr>
        <w:t xml:space="preserve">ive Law </w:t>
      </w:r>
      <w:r w:rsidR="00676FEA">
        <w:rPr>
          <w:sz w:val="26"/>
          <w:szCs w:val="26"/>
        </w:rPr>
        <w:t xml:space="preserve">Judge </w:t>
      </w:r>
      <w:r w:rsidR="00DC7860">
        <w:rPr>
          <w:sz w:val="26"/>
          <w:szCs w:val="26"/>
        </w:rPr>
        <w:t>Christopher P. Pell</w:t>
      </w:r>
      <w:r w:rsidRPr="0013006D">
        <w:rPr>
          <w:sz w:val="26"/>
          <w:szCs w:val="26"/>
        </w:rPr>
        <w:t xml:space="preserve">, issued on </w:t>
      </w:r>
      <w:r w:rsidR="00DC7860">
        <w:rPr>
          <w:sz w:val="26"/>
          <w:szCs w:val="26"/>
        </w:rPr>
        <w:t xml:space="preserve">May </w:t>
      </w:r>
      <w:r w:rsidRPr="0013006D">
        <w:rPr>
          <w:sz w:val="26"/>
          <w:szCs w:val="26"/>
        </w:rPr>
        <w:t>6, 201</w:t>
      </w:r>
      <w:r w:rsidR="00DC7860">
        <w:rPr>
          <w:sz w:val="26"/>
          <w:szCs w:val="26"/>
        </w:rPr>
        <w:t>4</w:t>
      </w:r>
      <w:r w:rsidRPr="0013006D">
        <w:rPr>
          <w:sz w:val="26"/>
          <w:szCs w:val="26"/>
        </w:rPr>
        <w:t>, is adopted, consistent with this Opinion and Order.</w:t>
      </w:r>
    </w:p>
    <w:p w:rsidR="00DC7860" w:rsidRDefault="00DC7860" w:rsidP="00DC7860">
      <w:pPr>
        <w:widowControl/>
        <w:spacing w:line="360" w:lineRule="auto"/>
        <w:rPr>
          <w:sz w:val="26"/>
          <w:szCs w:val="26"/>
        </w:rPr>
      </w:pPr>
    </w:p>
    <w:p w:rsidR="00DC7860" w:rsidRDefault="00DC7860" w:rsidP="00DC7860">
      <w:pPr>
        <w:widowControl/>
        <w:spacing w:line="360" w:lineRule="auto"/>
        <w:rPr>
          <w:sz w:val="26"/>
          <w:szCs w:val="26"/>
        </w:rPr>
      </w:pPr>
      <w:r>
        <w:rPr>
          <w:sz w:val="26"/>
          <w:szCs w:val="26"/>
        </w:rPr>
        <w:tab/>
      </w:r>
      <w:r>
        <w:rPr>
          <w:sz w:val="26"/>
          <w:szCs w:val="26"/>
        </w:rPr>
        <w:tab/>
        <w:t>3.</w:t>
      </w:r>
      <w:r>
        <w:rPr>
          <w:sz w:val="26"/>
          <w:szCs w:val="26"/>
        </w:rPr>
        <w:tab/>
        <w:t>That LeRoy Scott shall make monthly payments consisting of his current bill plus one twenty-fourth (1/24</w:t>
      </w:r>
      <w:r w:rsidRPr="00DC7860">
        <w:rPr>
          <w:sz w:val="26"/>
          <w:szCs w:val="26"/>
          <w:vertAlign w:val="superscript"/>
        </w:rPr>
        <w:t>th</w:t>
      </w:r>
      <w:r>
        <w:rPr>
          <w:sz w:val="26"/>
          <w:szCs w:val="26"/>
        </w:rPr>
        <w:t>) of the $975.55 balance, beginning with the first billing due date following the entry of this Order.</w:t>
      </w:r>
    </w:p>
    <w:p w:rsidR="00DC7860" w:rsidRDefault="00DC7860" w:rsidP="00DC7860">
      <w:pPr>
        <w:widowControl/>
        <w:spacing w:line="360" w:lineRule="auto"/>
        <w:rPr>
          <w:sz w:val="26"/>
          <w:szCs w:val="26"/>
        </w:rPr>
      </w:pPr>
    </w:p>
    <w:p w:rsidR="00DC7860" w:rsidRDefault="00DC7860" w:rsidP="00DC7860">
      <w:pPr>
        <w:widowControl/>
        <w:spacing w:line="360" w:lineRule="auto"/>
        <w:rPr>
          <w:sz w:val="26"/>
          <w:szCs w:val="26"/>
        </w:rPr>
      </w:pPr>
      <w:r>
        <w:rPr>
          <w:sz w:val="26"/>
          <w:szCs w:val="26"/>
        </w:rPr>
        <w:tab/>
      </w:r>
      <w:r>
        <w:rPr>
          <w:sz w:val="26"/>
          <w:szCs w:val="26"/>
        </w:rPr>
        <w:tab/>
        <w:t>4.</w:t>
      </w:r>
      <w:r>
        <w:rPr>
          <w:sz w:val="26"/>
          <w:szCs w:val="26"/>
        </w:rPr>
        <w:tab/>
        <w:t xml:space="preserve">That as long as LeRoy Scott keeps the payment schedule stated in this Order, PECO Energy Company shall not suspend or terminate his utility service except for a </w:t>
      </w:r>
      <w:r w:rsidR="003E4E8A">
        <w:rPr>
          <w:sz w:val="26"/>
          <w:szCs w:val="26"/>
        </w:rPr>
        <w:t>valid safety or emergency reason, nor assess late payments or finance charges against his account.</w:t>
      </w:r>
    </w:p>
    <w:p w:rsidR="003E4E8A" w:rsidRDefault="003E4E8A" w:rsidP="00DC7860">
      <w:pPr>
        <w:widowControl/>
        <w:spacing w:line="360" w:lineRule="auto"/>
        <w:rPr>
          <w:sz w:val="26"/>
          <w:szCs w:val="26"/>
        </w:rPr>
      </w:pPr>
    </w:p>
    <w:p w:rsidR="003E4E8A" w:rsidRDefault="003E4E8A" w:rsidP="00DC7860">
      <w:pPr>
        <w:widowControl/>
        <w:spacing w:line="360" w:lineRule="auto"/>
        <w:rPr>
          <w:sz w:val="26"/>
          <w:szCs w:val="26"/>
        </w:rPr>
      </w:pPr>
      <w:r>
        <w:rPr>
          <w:sz w:val="26"/>
          <w:szCs w:val="26"/>
        </w:rPr>
        <w:lastRenderedPageBreak/>
        <w:tab/>
      </w:r>
      <w:r>
        <w:rPr>
          <w:sz w:val="26"/>
          <w:szCs w:val="26"/>
        </w:rPr>
        <w:tab/>
        <w:t>5.</w:t>
      </w:r>
      <w:r>
        <w:rPr>
          <w:sz w:val="26"/>
          <w:szCs w:val="26"/>
        </w:rPr>
        <w:tab/>
        <w:t xml:space="preserve"> That should LeRoy Scott fail to keep the payment schedule stated in this Order, PECO Energy Company is authorized to suspend or terminate his utility service in accordance with the Commission’s regulations.</w:t>
      </w:r>
    </w:p>
    <w:p w:rsidR="0013006D" w:rsidRDefault="0013006D" w:rsidP="000044DC">
      <w:pPr>
        <w:pStyle w:val="ListParagraph"/>
        <w:widowControl/>
        <w:rPr>
          <w:sz w:val="26"/>
          <w:szCs w:val="26"/>
        </w:rPr>
      </w:pPr>
    </w:p>
    <w:p w:rsidR="0013006D" w:rsidRDefault="003E4E8A" w:rsidP="003E4E8A">
      <w:pPr>
        <w:widowControl/>
        <w:spacing w:line="360" w:lineRule="auto"/>
        <w:rPr>
          <w:sz w:val="26"/>
          <w:szCs w:val="26"/>
        </w:rPr>
      </w:pPr>
      <w:r>
        <w:rPr>
          <w:sz w:val="26"/>
          <w:szCs w:val="26"/>
        </w:rPr>
        <w:tab/>
      </w:r>
      <w:r>
        <w:rPr>
          <w:sz w:val="26"/>
          <w:szCs w:val="26"/>
        </w:rPr>
        <w:tab/>
        <w:t xml:space="preserve">6.  </w:t>
      </w:r>
      <w:r>
        <w:rPr>
          <w:sz w:val="26"/>
          <w:szCs w:val="26"/>
        </w:rPr>
        <w:tab/>
      </w:r>
      <w:r w:rsidR="0013006D" w:rsidRPr="0013006D">
        <w:rPr>
          <w:sz w:val="26"/>
          <w:szCs w:val="26"/>
        </w:rPr>
        <w:t>That the Formal C</w:t>
      </w:r>
      <w:r w:rsidR="0013006D">
        <w:rPr>
          <w:sz w:val="26"/>
          <w:szCs w:val="26"/>
        </w:rPr>
        <w:t xml:space="preserve">omplaint filed by </w:t>
      </w:r>
      <w:r>
        <w:rPr>
          <w:sz w:val="26"/>
          <w:szCs w:val="26"/>
        </w:rPr>
        <w:t>LeRoy Scott</w:t>
      </w:r>
      <w:r w:rsidR="0013006D" w:rsidRPr="0013006D">
        <w:rPr>
          <w:sz w:val="26"/>
          <w:szCs w:val="26"/>
        </w:rPr>
        <w:t xml:space="preserve"> on </w:t>
      </w:r>
      <w:r>
        <w:rPr>
          <w:sz w:val="26"/>
          <w:szCs w:val="26"/>
        </w:rPr>
        <w:t>September 30</w:t>
      </w:r>
      <w:r w:rsidR="0013006D" w:rsidRPr="0013006D">
        <w:rPr>
          <w:sz w:val="26"/>
          <w:szCs w:val="26"/>
        </w:rPr>
        <w:t>, 2013,</w:t>
      </w:r>
      <w:r w:rsidR="0013006D">
        <w:rPr>
          <w:sz w:val="26"/>
          <w:szCs w:val="26"/>
        </w:rPr>
        <w:t xml:space="preserve"> against PECO Energy Company</w:t>
      </w:r>
      <w:r w:rsidR="0013006D" w:rsidRPr="0013006D">
        <w:rPr>
          <w:sz w:val="26"/>
          <w:szCs w:val="26"/>
        </w:rPr>
        <w:t xml:space="preserve">, is </w:t>
      </w:r>
      <w:r w:rsidR="00DA6798">
        <w:rPr>
          <w:sz w:val="26"/>
          <w:szCs w:val="26"/>
        </w:rPr>
        <w:t>denied in part, and sustained in part</w:t>
      </w:r>
      <w:r w:rsidR="004261A1">
        <w:rPr>
          <w:sz w:val="26"/>
          <w:szCs w:val="26"/>
        </w:rPr>
        <w:t>,</w:t>
      </w:r>
      <w:r w:rsidR="0013006D" w:rsidRPr="0013006D">
        <w:rPr>
          <w:sz w:val="26"/>
          <w:szCs w:val="26"/>
        </w:rPr>
        <w:t xml:space="preserve"> consistent with this Opinion and Order.</w:t>
      </w:r>
    </w:p>
    <w:p w:rsidR="005C473E" w:rsidRPr="0013006D" w:rsidRDefault="005C473E" w:rsidP="003E4E8A">
      <w:pPr>
        <w:widowControl/>
        <w:spacing w:line="360" w:lineRule="auto"/>
        <w:rPr>
          <w:sz w:val="26"/>
          <w:szCs w:val="26"/>
        </w:rPr>
      </w:pPr>
    </w:p>
    <w:p w:rsidR="0013006D" w:rsidRPr="0013006D" w:rsidRDefault="003E4E8A" w:rsidP="003E4E8A">
      <w:pPr>
        <w:widowControl/>
        <w:spacing w:line="360" w:lineRule="auto"/>
        <w:ind w:left="1440"/>
        <w:rPr>
          <w:sz w:val="26"/>
          <w:szCs w:val="26"/>
        </w:rPr>
      </w:pPr>
      <w:r>
        <w:rPr>
          <w:sz w:val="26"/>
          <w:szCs w:val="26"/>
        </w:rPr>
        <w:t>7.</w:t>
      </w:r>
      <w:r>
        <w:rPr>
          <w:sz w:val="26"/>
          <w:szCs w:val="26"/>
        </w:rPr>
        <w:tab/>
      </w:r>
      <w:r w:rsidR="0013006D" w:rsidRPr="0013006D">
        <w:rPr>
          <w:sz w:val="26"/>
          <w:szCs w:val="26"/>
        </w:rPr>
        <w:t>That the proceeding docketed at</w:t>
      </w:r>
      <w:r w:rsidR="00DF657D" w:rsidRPr="00DF657D">
        <w:rPr>
          <w:sz w:val="26"/>
          <w:szCs w:val="26"/>
        </w:rPr>
        <w:t xml:space="preserve"> F-2013-23</w:t>
      </w:r>
      <w:r>
        <w:rPr>
          <w:sz w:val="26"/>
          <w:szCs w:val="26"/>
        </w:rPr>
        <w:t>88439</w:t>
      </w:r>
      <w:r w:rsidR="0013006D" w:rsidRPr="0013006D">
        <w:rPr>
          <w:sz w:val="26"/>
          <w:szCs w:val="26"/>
        </w:rPr>
        <w:t>, be marked closed.</w:t>
      </w:r>
    </w:p>
    <w:p w:rsidR="00CA43A5" w:rsidRPr="00CA43A5" w:rsidRDefault="001368F8" w:rsidP="006E69B0">
      <w:pPr>
        <w:widowControl/>
        <w:spacing w:line="360" w:lineRule="auto"/>
        <w:rPr>
          <w:sz w:val="26"/>
          <w:szCs w:val="26"/>
        </w:rPr>
      </w:pPr>
      <w:bookmarkStart w:id="2" w:name="_GoBack"/>
      <w:r>
        <w:rPr>
          <w:noProof/>
        </w:rPr>
        <w:drawing>
          <wp:anchor distT="0" distB="0" distL="114300" distR="114300" simplePos="0" relativeHeight="251659264" behindDoc="1" locked="0" layoutInCell="1" allowOverlap="1" wp14:anchorId="6B993BAA" wp14:editId="7092E031">
            <wp:simplePos x="0" y="0"/>
            <wp:positionH relativeFrom="column">
              <wp:posOffset>2870200</wp:posOffset>
            </wp:positionH>
            <wp:positionV relativeFrom="paragraph">
              <wp:posOffset>257175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p>
    <w:p w:rsidR="00CA43A5" w:rsidRPr="00CA43A5" w:rsidRDefault="00CA43A5" w:rsidP="000044DC">
      <w:pPr>
        <w:widowControl/>
        <w:tabs>
          <w:tab w:val="left" w:pos="-720"/>
        </w:tabs>
        <w:ind w:firstLine="5040"/>
        <w:rPr>
          <w:sz w:val="26"/>
          <w:szCs w:val="26"/>
        </w:rPr>
      </w:pPr>
      <w:r w:rsidRPr="00CA43A5">
        <w:rPr>
          <w:b/>
          <w:sz w:val="26"/>
          <w:szCs w:val="26"/>
        </w:rPr>
        <w:t>BY THE COMMISSION,</w:t>
      </w:r>
    </w:p>
    <w:p w:rsidR="00CA43A5" w:rsidRPr="00CA43A5" w:rsidRDefault="00CA43A5" w:rsidP="000044DC">
      <w:pPr>
        <w:widowControl/>
        <w:tabs>
          <w:tab w:val="left" w:pos="-720"/>
        </w:tabs>
        <w:rPr>
          <w:sz w:val="26"/>
          <w:szCs w:val="26"/>
        </w:rPr>
      </w:pPr>
    </w:p>
    <w:p w:rsidR="00CA43A5" w:rsidRPr="00CA43A5" w:rsidRDefault="00CA43A5" w:rsidP="000044DC">
      <w:pPr>
        <w:widowControl/>
        <w:tabs>
          <w:tab w:val="left" w:pos="-720"/>
        </w:tabs>
        <w:rPr>
          <w:sz w:val="26"/>
          <w:szCs w:val="26"/>
        </w:rPr>
      </w:pPr>
    </w:p>
    <w:p w:rsidR="00CA43A5" w:rsidRPr="00CA43A5" w:rsidRDefault="00CA43A5" w:rsidP="000044DC">
      <w:pPr>
        <w:widowControl/>
        <w:tabs>
          <w:tab w:val="left" w:pos="-720"/>
        </w:tabs>
        <w:rPr>
          <w:sz w:val="26"/>
          <w:szCs w:val="26"/>
        </w:rPr>
      </w:pPr>
    </w:p>
    <w:p w:rsidR="00CA43A5" w:rsidRPr="00CA43A5" w:rsidRDefault="00564565" w:rsidP="000044DC">
      <w:pPr>
        <w:widowControl/>
        <w:tabs>
          <w:tab w:val="left" w:pos="-720"/>
        </w:tabs>
        <w:ind w:firstLine="5040"/>
        <w:rPr>
          <w:b/>
          <w:sz w:val="26"/>
          <w:szCs w:val="26"/>
        </w:rPr>
      </w:pPr>
      <w:r>
        <w:rPr>
          <w:sz w:val="26"/>
          <w:szCs w:val="26"/>
        </w:rPr>
        <w:t>Rosemary Chiavetta</w:t>
      </w:r>
    </w:p>
    <w:p w:rsidR="00CA43A5" w:rsidRPr="00CA43A5" w:rsidRDefault="00CA43A5" w:rsidP="000044DC">
      <w:pPr>
        <w:widowControl/>
        <w:tabs>
          <w:tab w:val="left" w:pos="-720"/>
        </w:tabs>
        <w:ind w:firstLine="5040"/>
        <w:rPr>
          <w:sz w:val="26"/>
          <w:szCs w:val="26"/>
        </w:rPr>
      </w:pPr>
      <w:r w:rsidRPr="00CA43A5">
        <w:rPr>
          <w:sz w:val="26"/>
          <w:szCs w:val="26"/>
        </w:rPr>
        <w:t>Secretary</w:t>
      </w:r>
    </w:p>
    <w:p w:rsidR="00CA43A5" w:rsidRPr="00CA43A5" w:rsidRDefault="00CA43A5" w:rsidP="000044DC">
      <w:pPr>
        <w:widowControl/>
        <w:tabs>
          <w:tab w:val="left" w:pos="-720"/>
        </w:tabs>
        <w:rPr>
          <w:sz w:val="26"/>
          <w:szCs w:val="26"/>
        </w:rPr>
      </w:pPr>
    </w:p>
    <w:p w:rsidR="00CA43A5" w:rsidRPr="00CA43A5" w:rsidRDefault="00CA43A5" w:rsidP="000044DC">
      <w:pPr>
        <w:widowControl/>
        <w:tabs>
          <w:tab w:val="left" w:pos="-720"/>
        </w:tabs>
        <w:rPr>
          <w:sz w:val="26"/>
          <w:szCs w:val="26"/>
        </w:rPr>
      </w:pPr>
      <w:r w:rsidRPr="00CA43A5">
        <w:rPr>
          <w:sz w:val="26"/>
          <w:szCs w:val="26"/>
        </w:rPr>
        <w:t>(SEAL)</w:t>
      </w:r>
    </w:p>
    <w:p w:rsidR="00CA43A5" w:rsidRPr="00CA43A5" w:rsidRDefault="00CA43A5" w:rsidP="000044DC">
      <w:pPr>
        <w:widowControl/>
        <w:tabs>
          <w:tab w:val="left" w:pos="-720"/>
        </w:tabs>
        <w:rPr>
          <w:sz w:val="26"/>
          <w:szCs w:val="26"/>
        </w:rPr>
      </w:pPr>
    </w:p>
    <w:p w:rsidR="00CA43A5" w:rsidRPr="00CA43A5" w:rsidRDefault="009868C0" w:rsidP="000044DC">
      <w:pPr>
        <w:widowControl/>
        <w:tabs>
          <w:tab w:val="left" w:pos="-720"/>
        </w:tabs>
        <w:rPr>
          <w:sz w:val="26"/>
          <w:szCs w:val="26"/>
        </w:rPr>
      </w:pPr>
      <w:r>
        <w:rPr>
          <w:sz w:val="26"/>
          <w:szCs w:val="26"/>
        </w:rPr>
        <w:t xml:space="preserve">ORDER ADOPTED: </w:t>
      </w:r>
      <w:r w:rsidR="003E4E8A">
        <w:rPr>
          <w:sz w:val="26"/>
          <w:szCs w:val="26"/>
        </w:rPr>
        <w:t>October 23, 2014</w:t>
      </w:r>
    </w:p>
    <w:p w:rsidR="00857172" w:rsidRDefault="00857172" w:rsidP="000044DC">
      <w:pPr>
        <w:widowControl/>
        <w:tabs>
          <w:tab w:val="left" w:pos="-720"/>
        </w:tabs>
        <w:rPr>
          <w:sz w:val="26"/>
          <w:szCs w:val="26"/>
        </w:rPr>
      </w:pPr>
    </w:p>
    <w:p w:rsidR="00CA43A5" w:rsidRPr="00CA43A5" w:rsidRDefault="00CA43A5" w:rsidP="000044DC">
      <w:pPr>
        <w:widowControl/>
        <w:tabs>
          <w:tab w:val="left" w:pos="-720"/>
        </w:tabs>
        <w:rPr>
          <w:sz w:val="26"/>
          <w:szCs w:val="26"/>
        </w:rPr>
      </w:pPr>
      <w:r w:rsidRPr="00CA43A5">
        <w:rPr>
          <w:sz w:val="26"/>
          <w:szCs w:val="26"/>
        </w:rPr>
        <w:t xml:space="preserve">ORDER ENTERED:  </w:t>
      </w:r>
      <w:r w:rsidR="001368F8">
        <w:rPr>
          <w:sz w:val="26"/>
          <w:szCs w:val="26"/>
        </w:rPr>
        <w:t>October 23, 2014</w:t>
      </w:r>
    </w:p>
    <w:p w:rsidR="00344804" w:rsidRPr="00CA43A5" w:rsidRDefault="00344804" w:rsidP="000044DC">
      <w:pPr>
        <w:widowControl/>
        <w:ind w:right="360"/>
        <w:rPr>
          <w:sz w:val="26"/>
          <w:szCs w:val="26"/>
        </w:rPr>
      </w:pPr>
    </w:p>
    <w:sectPr w:rsidR="00344804" w:rsidRPr="00CA43A5" w:rsidSect="00FA522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543" w:rsidRDefault="00466543" w:rsidP="00F32174">
      <w:r>
        <w:separator/>
      </w:r>
    </w:p>
  </w:endnote>
  <w:endnote w:type="continuationSeparator" w:id="0">
    <w:p w:rsidR="00466543" w:rsidRDefault="00466543" w:rsidP="00F32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107753"/>
      <w:docPartObj>
        <w:docPartGallery w:val="Page Numbers (Bottom of Page)"/>
        <w:docPartUnique/>
      </w:docPartObj>
    </w:sdtPr>
    <w:sdtEndPr>
      <w:rPr>
        <w:noProof/>
        <w:sz w:val="26"/>
        <w:szCs w:val="26"/>
      </w:rPr>
    </w:sdtEndPr>
    <w:sdtContent>
      <w:p w:rsidR="007F017F" w:rsidRPr="00F91282" w:rsidRDefault="007F017F">
        <w:pPr>
          <w:pStyle w:val="Footer"/>
          <w:jc w:val="center"/>
          <w:rPr>
            <w:sz w:val="26"/>
            <w:szCs w:val="26"/>
          </w:rPr>
        </w:pPr>
        <w:r w:rsidRPr="00F91282">
          <w:rPr>
            <w:sz w:val="26"/>
            <w:szCs w:val="26"/>
          </w:rPr>
          <w:fldChar w:fldCharType="begin"/>
        </w:r>
        <w:r w:rsidRPr="00F91282">
          <w:rPr>
            <w:sz w:val="26"/>
            <w:szCs w:val="26"/>
          </w:rPr>
          <w:instrText xml:space="preserve"> PAGE   \* MERGEFORMAT </w:instrText>
        </w:r>
        <w:r w:rsidRPr="00F91282">
          <w:rPr>
            <w:sz w:val="26"/>
            <w:szCs w:val="26"/>
          </w:rPr>
          <w:fldChar w:fldCharType="separate"/>
        </w:r>
        <w:r w:rsidR="001368F8">
          <w:rPr>
            <w:noProof/>
            <w:sz w:val="26"/>
            <w:szCs w:val="26"/>
          </w:rPr>
          <w:t>8</w:t>
        </w:r>
        <w:r w:rsidRPr="00F91282">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543" w:rsidRDefault="00466543" w:rsidP="00F32174">
      <w:r>
        <w:separator/>
      </w:r>
    </w:p>
  </w:footnote>
  <w:footnote w:type="continuationSeparator" w:id="0">
    <w:p w:rsidR="00466543" w:rsidRDefault="00466543" w:rsidP="00F32174">
      <w:r>
        <w:continuationSeparator/>
      </w:r>
    </w:p>
  </w:footnote>
  <w:footnote w:id="1">
    <w:p w:rsidR="007F017F" w:rsidRPr="007F017F" w:rsidRDefault="007F017F">
      <w:pPr>
        <w:pStyle w:val="FootnoteText"/>
        <w:rPr>
          <w:sz w:val="26"/>
        </w:rPr>
      </w:pPr>
      <w:r>
        <w:rPr>
          <w:sz w:val="26"/>
        </w:rPr>
        <w:tab/>
      </w:r>
      <w:r w:rsidRPr="007F017F">
        <w:rPr>
          <w:rStyle w:val="FootnoteReference"/>
          <w:sz w:val="26"/>
        </w:rPr>
        <w:footnoteRef/>
      </w:r>
      <w:r w:rsidRPr="007F017F">
        <w:rPr>
          <w:sz w:val="26"/>
        </w:rPr>
        <w:t xml:space="preserve"> </w:t>
      </w:r>
      <w:r>
        <w:rPr>
          <w:sz w:val="26"/>
        </w:rPr>
        <w:tab/>
        <w:t>The Exceptions that were filed with the Secretary’s Bureau on May 23, 2014, did not include a Certificate of Service.  As such, by letter dated May 23, 2014, the Secretary’s Bureau provided a copy of the Exceptions to all Parties in the case noting that although the Complainant filed timely Exceptions, he failed to serve a copy of the Exceptions on the Parties.  In order to avoid prejudice to any Party who may have wanted to file Replies to Exceptions, May 23, 2014, was deemed to be the filing date for the Exceptions.</w:t>
      </w:r>
    </w:p>
  </w:footnote>
  <w:footnote w:id="2">
    <w:p w:rsidR="007F017F" w:rsidRPr="00F32174" w:rsidRDefault="007F017F">
      <w:pPr>
        <w:pStyle w:val="FootnoteText"/>
        <w:rPr>
          <w:sz w:val="26"/>
          <w:szCs w:val="26"/>
        </w:rPr>
      </w:pPr>
      <w:r>
        <w:tab/>
      </w:r>
      <w:r w:rsidRPr="00F32174">
        <w:rPr>
          <w:rStyle w:val="FootnoteReference"/>
          <w:sz w:val="26"/>
          <w:szCs w:val="26"/>
        </w:rPr>
        <w:footnoteRef/>
      </w:r>
      <w:r w:rsidRPr="00F32174">
        <w:rPr>
          <w:sz w:val="26"/>
          <w:szCs w:val="26"/>
        </w:rPr>
        <w:t xml:space="preserve"> </w:t>
      </w:r>
      <w:r w:rsidRPr="00F32174">
        <w:rPr>
          <w:sz w:val="26"/>
          <w:szCs w:val="26"/>
        </w:rPr>
        <w:tab/>
        <w:t>The C</w:t>
      </w:r>
      <w:r>
        <w:rPr>
          <w:sz w:val="26"/>
          <w:szCs w:val="26"/>
        </w:rPr>
        <w:t>omplaint is a</w:t>
      </w:r>
      <w:r w:rsidR="004A6A4F">
        <w:rPr>
          <w:sz w:val="26"/>
          <w:szCs w:val="26"/>
        </w:rPr>
        <w:t xml:space="preserve">n </w:t>
      </w:r>
      <w:r w:rsidRPr="00F32174">
        <w:rPr>
          <w:sz w:val="26"/>
          <w:szCs w:val="26"/>
        </w:rPr>
        <w:t>appeal of the Commission’s Bu</w:t>
      </w:r>
      <w:r>
        <w:rPr>
          <w:sz w:val="26"/>
          <w:szCs w:val="26"/>
        </w:rPr>
        <w:t>reau of Consumer Services</w:t>
      </w:r>
      <w:r w:rsidR="00257682">
        <w:rPr>
          <w:sz w:val="26"/>
          <w:szCs w:val="26"/>
        </w:rPr>
        <w:t xml:space="preserve"> (BCS)</w:t>
      </w:r>
      <w:r>
        <w:rPr>
          <w:sz w:val="26"/>
          <w:szCs w:val="26"/>
        </w:rPr>
        <w:t xml:space="preserve"> </w:t>
      </w:r>
      <w:r w:rsidR="00257682">
        <w:rPr>
          <w:sz w:val="26"/>
          <w:szCs w:val="26"/>
        </w:rPr>
        <w:t>decision</w:t>
      </w:r>
      <w:r w:rsidRPr="00F32174">
        <w:rPr>
          <w:sz w:val="26"/>
          <w:szCs w:val="26"/>
        </w:rPr>
        <w:t xml:space="preserve"> at BCS No. 30</w:t>
      </w:r>
      <w:r w:rsidR="00257682">
        <w:rPr>
          <w:sz w:val="26"/>
          <w:szCs w:val="26"/>
        </w:rPr>
        <w:t>9</w:t>
      </w:r>
      <w:r w:rsidRPr="00F32174">
        <w:rPr>
          <w:sz w:val="26"/>
          <w:szCs w:val="26"/>
        </w:rPr>
        <w:t>01</w:t>
      </w:r>
      <w:r w:rsidR="00257682">
        <w:rPr>
          <w:sz w:val="26"/>
          <w:szCs w:val="26"/>
        </w:rPr>
        <w:t>32</w:t>
      </w:r>
      <w:r>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FC8"/>
    <w:rsid w:val="000044DC"/>
    <w:rsid w:val="00006685"/>
    <w:rsid w:val="00006F35"/>
    <w:rsid w:val="00016D57"/>
    <w:rsid w:val="00017852"/>
    <w:rsid w:val="00021E46"/>
    <w:rsid w:val="00022B74"/>
    <w:rsid w:val="0002524C"/>
    <w:rsid w:val="00025F3F"/>
    <w:rsid w:val="00026CD2"/>
    <w:rsid w:val="000316DC"/>
    <w:rsid w:val="00040A8E"/>
    <w:rsid w:val="00040AEA"/>
    <w:rsid w:val="00045082"/>
    <w:rsid w:val="00047874"/>
    <w:rsid w:val="00047F4A"/>
    <w:rsid w:val="000523D1"/>
    <w:rsid w:val="00052B8F"/>
    <w:rsid w:val="00054612"/>
    <w:rsid w:val="0005572E"/>
    <w:rsid w:val="00056286"/>
    <w:rsid w:val="000612FD"/>
    <w:rsid w:val="000642AA"/>
    <w:rsid w:val="000649EC"/>
    <w:rsid w:val="0006687A"/>
    <w:rsid w:val="00066EE5"/>
    <w:rsid w:val="00067260"/>
    <w:rsid w:val="000704EB"/>
    <w:rsid w:val="00072808"/>
    <w:rsid w:val="00076F35"/>
    <w:rsid w:val="00084573"/>
    <w:rsid w:val="00084AF9"/>
    <w:rsid w:val="000918D4"/>
    <w:rsid w:val="00093164"/>
    <w:rsid w:val="0009612D"/>
    <w:rsid w:val="00097504"/>
    <w:rsid w:val="000A365D"/>
    <w:rsid w:val="000B216D"/>
    <w:rsid w:val="000B2755"/>
    <w:rsid w:val="000B4EAE"/>
    <w:rsid w:val="000B5238"/>
    <w:rsid w:val="000B607A"/>
    <w:rsid w:val="000B6B15"/>
    <w:rsid w:val="000C2AE3"/>
    <w:rsid w:val="000C709A"/>
    <w:rsid w:val="000D43F4"/>
    <w:rsid w:val="000E0EEF"/>
    <w:rsid w:val="000E47D1"/>
    <w:rsid w:val="000F179E"/>
    <w:rsid w:val="000F4307"/>
    <w:rsid w:val="00100FE7"/>
    <w:rsid w:val="0010158F"/>
    <w:rsid w:val="00101F51"/>
    <w:rsid w:val="001026CA"/>
    <w:rsid w:val="00104D9B"/>
    <w:rsid w:val="00106AD6"/>
    <w:rsid w:val="001108DE"/>
    <w:rsid w:val="00117CB2"/>
    <w:rsid w:val="00120341"/>
    <w:rsid w:val="00120B39"/>
    <w:rsid w:val="001238E5"/>
    <w:rsid w:val="00123A2E"/>
    <w:rsid w:val="00124071"/>
    <w:rsid w:val="001267D4"/>
    <w:rsid w:val="0013006D"/>
    <w:rsid w:val="00135972"/>
    <w:rsid w:val="001360FC"/>
    <w:rsid w:val="001368F8"/>
    <w:rsid w:val="00141CB1"/>
    <w:rsid w:val="001439B6"/>
    <w:rsid w:val="001447A0"/>
    <w:rsid w:val="0014497F"/>
    <w:rsid w:val="00146DDD"/>
    <w:rsid w:val="00146E58"/>
    <w:rsid w:val="00147145"/>
    <w:rsid w:val="00150096"/>
    <w:rsid w:val="001508E4"/>
    <w:rsid w:val="0015380A"/>
    <w:rsid w:val="00154CB6"/>
    <w:rsid w:val="001558AD"/>
    <w:rsid w:val="00160F98"/>
    <w:rsid w:val="00164DA4"/>
    <w:rsid w:val="00166298"/>
    <w:rsid w:val="001663C8"/>
    <w:rsid w:val="00174D3D"/>
    <w:rsid w:val="00182478"/>
    <w:rsid w:val="00186A97"/>
    <w:rsid w:val="0019530E"/>
    <w:rsid w:val="00195F2E"/>
    <w:rsid w:val="001A309C"/>
    <w:rsid w:val="001B1DB4"/>
    <w:rsid w:val="001B6DC4"/>
    <w:rsid w:val="001C4978"/>
    <w:rsid w:val="001D0ED2"/>
    <w:rsid w:val="001E0B61"/>
    <w:rsid w:val="001E1276"/>
    <w:rsid w:val="001E7730"/>
    <w:rsid w:val="001F285E"/>
    <w:rsid w:val="001F6FFF"/>
    <w:rsid w:val="00202524"/>
    <w:rsid w:val="00210736"/>
    <w:rsid w:val="00210F81"/>
    <w:rsid w:val="00211622"/>
    <w:rsid w:val="00214B3E"/>
    <w:rsid w:val="0022698E"/>
    <w:rsid w:val="00227912"/>
    <w:rsid w:val="002311EE"/>
    <w:rsid w:val="002370F5"/>
    <w:rsid w:val="002375CB"/>
    <w:rsid w:val="00240ACA"/>
    <w:rsid w:val="00240D7B"/>
    <w:rsid w:val="00241299"/>
    <w:rsid w:val="00255462"/>
    <w:rsid w:val="00257682"/>
    <w:rsid w:val="00260957"/>
    <w:rsid w:val="00264646"/>
    <w:rsid w:val="0027232D"/>
    <w:rsid w:val="002738C4"/>
    <w:rsid w:val="00274D0F"/>
    <w:rsid w:val="00277500"/>
    <w:rsid w:val="00281A5F"/>
    <w:rsid w:val="00291F68"/>
    <w:rsid w:val="002A060A"/>
    <w:rsid w:val="002A4450"/>
    <w:rsid w:val="002A6750"/>
    <w:rsid w:val="002B2296"/>
    <w:rsid w:val="002B4407"/>
    <w:rsid w:val="002B67B7"/>
    <w:rsid w:val="002C0429"/>
    <w:rsid w:val="002C19E4"/>
    <w:rsid w:val="002C6CC4"/>
    <w:rsid w:val="002D13C4"/>
    <w:rsid w:val="002D14E9"/>
    <w:rsid w:val="002D275E"/>
    <w:rsid w:val="002D5D81"/>
    <w:rsid w:val="002D6357"/>
    <w:rsid w:val="002D7584"/>
    <w:rsid w:val="002E1455"/>
    <w:rsid w:val="002E3026"/>
    <w:rsid w:val="002E3F06"/>
    <w:rsid w:val="002E64F7"/>
    <w:rsid w:val="002E6FFA"/>
    <w:rsid w:val="002E7F8F"/>
    <w:rsid w:val="002F3F04"/>
    <w:rsid w:val="002F41BA"/>
    <w:rsid w:val="003018AA"/>
    <w:rsid w:val="0030295D"/>
    <w:rsid w:val="00303B99"/>
    <w:rsid w:val="0030714F"/>
    <w:rsid w:val="003073E2"/>
    <w:rsid w:val="00307DDF"/>
    <w:rsid w:val="00314A43"/>
    <w:rsid w:val="00322040"/>
    <w:rsid w:val="003240B8"/>
    <w:rsid w:val="00325422"/>
    <w:rsid w:val="0033344B"/>
    <w:rsid w:val="00333FDA"/>
    <w:rsid w:val="003340DE"/>
    <w:rsid w:val="00340D19"/>
    <w:rsid w:val="00344804"/>
    <w:rsid w:val="003518C8"/>
    <w:rsid w:val="003533B5"/>
    <w:rsid w:val="00356511"/>
    <w:rsid w:val="003622CA"/>
    <w:rsid w:val="00363030"/>
    <w:rsid w:val="0036462C"/>
    <w:rsid w:val="00364A42"/>
    <w:rsid w:val="003755FB"/>
    <w:rsid w:val="0037577C"/>
    <w:rsid w:val="00385502"/>
    <w:rsid w:val="00386A6C"/>
    <w:rsid w:val="00391A43"/>
    <w:rsid w:val="003B0611"/>
    <w:rsid w:val="003B37AA"/>
    <w:rsid w:val="003B39E2"/>
    <w:rsid w:val="003B42D9"/>
    <w:rsid w:val="003C3140"/>
    <w:rsid w:val="003C3E02"/>
    <w:rsid w:val="003C3FE8"/>
    <w:rsid w:val="003C73F9"/>
    <w:rsid w:val="003D5F07"/>
    <w:rsid w:val="003D6AB5"/>
    <w:rsid w:val="003E3FF5"/>
    <w:rsid w:val="003E4E8A"/>
    <w:rsid w:val="003E5354"/>
    <w:rsid w:val="003E6304"/>
    <w:rsid w:val="003F51F4"/>
    <w:rsid w:val="003F52C6"/>
    <w:rsid w:val="003F558E"/>
    <w:rsid w:val="00400738"/>
    <w:rsid w:val="004032E2"/>
    <w:rsid w:val="00403D6E"/>
    <w:rsid w:val="00407AC0"/>
    <w:rsid w:val="00410FD5"/>
    <w:rsid w:val="00412E30"/>
    <w:rsid w:val="004170AF"/>
    <w:rsid w:val="004261A1"/>
    <w:rsid w:val="00432BB7"/>
    <w:rsid w:val="004331E9"/>
    <w:rsid w:val="00433E8D"/>
    <w:rsid w:val="0043592C"/>
    <w:rsid w:val="004411B9"/>
    <w:rsid w:val="00441207"/>
    <w:rsid w:val="004422CA"/>
    <w:rsid w:val="00443807"/>
    <w:rsid w:val="004462F7"/>
    <w:rsid w:val="00452211"/>
    <w:rsid w:val="0046019D"/>
    <w:rsid w:val="00464536"/>
    <w:rsid w:val="0046514E"/>
    <w:rsid w:val="0046623C"/>
    <w:rsid w:val="00466543"/>
    <w:rsid w:val="00467739"/>
    <w:rsid w:val="00470D0C"/>
    <w:rsid w:val="00474E22"/>
    <w:rsid w:val="0047608F"/>
    <w:rsid w:val="00476554"/>
    <w:rsid w:val="00476CF1"/>
    <w:rsid w:val="004805BB"/>
    <w:rsid w:val="004813D4"/>
    <w:rsid w:val="00481D42"/>
    <w:rsid w:val="00483EFD"/>
    <w:rsid w:val="00484CFE"/>
    <w:rsid w:val="00491D91"/>
    <w:rsid w:val="0049375E"/>
    <w:rsid w:val="0049580C"/>
    <w:rsid w:val="0049768F"/>
    <w:rsid w:val="004A04E5"/>
    <w:rsid w:val="004A1495"/>
    <w:rsid w:val="004A2165"/>
    <w:rsid w:val="004A5F74"/>
    <w:rsid w:val="004A60B1"/>
    <w:rsid w:val="004A6A4F"/>
    <w:rsid w:val="004B1052"/>
    <w:rsid w:val="004B669E"/>
    <w:rsid w:val="004B6B14"/>
    <w:rsid w:val="004B71A5"/>
    <w:rsid w:val="004C2678"/>
    <w:rsid w:val="004D62DB"/>
    <w:rsid w:val="004E47EC"/>
    <w:rsid w:val="004E514F"/>
    <w:rsid w:val="004E737F"/>
    <w:rsid w:val="004F03DE"/>
    <w:rsid w:val="004F22DA"/>
    <w:rsid w:val="00501FDC"/>
    <w:rsid w:val="00502165"/>
    <w:rsid w:val="00504834"/>
    <w:rsid w:val="00504C7A"/>
    <w:rsid w:val="00505AEE"/>
    <w:rsid w:val="0050632E"/>
    <w:rsid w:val="0050752D"/>
    <w:rsid w:val="00511EF3"/>
    <w:rsid w:val="00514507"/>
    <w:rsid w:val="00521350"/>
    <w:rsid w:val="005245C6"/>
    <w:rsid w:val="00532F1B"/>
    <w:rsid w:val="005351B9"/>
    <w:rsid w:val="00535906"/>
    <w:rsid w:val="00536011"/>
    <w:rsid w:val="0054336B"/>
    <w:rsid w:val="00550B79"/>
    <w:rsid w:val="0055150B"/>
    <w:rsid w:val="005532F9"/>
    <w:rsid w:val="0055440B"/>
    <w:rsid w:val="0055708D"/>
    <w:rsid w:val="005574C6"/>
    <w:rsid w:val="00561CA6"/>
    <w:rsid w:val="00564565"/>
    <w:rsid w:val="005647BE"/>
    <w:rsid w:val="00566299"/>
    <w:rsid w:val="0056700C"/>
    <w:rsid w:val="005725F6"/>
    <w:rsid w:val="00575559"/>
    <w:rsid w:val="00577B8A"/>
    <w:rsid w:val="00586817"/>
    <w:rsid w:val="00586D92"/>
    <w:rsid w:val="00587507"/>
    <w:rsid w:val="00596A0B"/>
    <w:rsid w:val="00596E05"/>
    <w:rsid w:val="00596F85"/>
    <w:rsid w:val="005970FA"/>
    <w:rsid w:val="005A0176"/>
    <w:rsid w:val="005A088E"/>
    <w:rsid w:val="005A2298"/>
    <w:rsid w:val="005A28C1"/>
    <w:rsid w:val="005A72FC"/>
    <w:rsid w:val="005B0388"/>
    <w:rsid w:val="005B109A"/>
    <w:rsid w:val="005B47A8"/>
    <w:rsid w:val="005C2FD5"/>
    <w:rsid w:val="005C473E"/>
    <w:rsid w:val="005C5378"/>
    <w:rsid w:val="005D2AB9"/>
    <w:rsid w:val="005D34E2"/>
    <w:rsid w:val="005D496E"/>
    <w:rsid w:val="005D7C20"/>
    <w:rsid w:val="005E6960"/>
    <w:rsid w:val="005E7EB8"/>
    <w:rsid w:val="005F18D6"/>
    <w:rsid w:val="005F65ED"/>
    <w:rsid w:val="00603024"/>
    <w:rsid w:val="006116E3"/>
    <w:rsid w:val="00624400"/>
    <w:rsid w:val="00624E51"/>
    <w:rsid w:val="00626162"/>
    <w:rsid w:val="00626F14"/>
    <w:rsid w:val="00634719"/>
    <w:rsid w:val="006503E8"/>
    <w:rsid w:val="00654A4A"/>
    <w:rsid w:val="006550A1"/>
    <w:rsid w:val="0065545A"/>
    <w:rsid w:val="006661CF"/>
    <w:rsid w:val="00670BFD"/>
    <w:rsid w:val="00671E4C"/>
    <w:rsid w:val="00674295"/>
    <w:rsid w:val="00676FEA"/>
    <w:rsid w:val="006818A8"/>
    <w:rsid w:val="00681A51"/>
    <w:rsid w:val="00682469"/>
    <w:rsid w:val="00683D97"/>
    <w:rsid w:val="00684FCA"/>
    <w:rsid w:val="00686B5C"/>
    <w:rsid w:val="00693DA2"/>
    <w:rsid w:val="006951A9"/>
    <w:rsid w:val="00696997"/>
    <w:rsid w:val="006A758C"/>
    <w:rsid w:val="006B3ACE"/>
    <w:rsid w:val="006C1EEC"/>
    <w:rsid w:val="006C2B88"/>
    <w:rsid w:val="006C3FEA"/>
    <w:rsid w:val="006C69E7"/>
    <w:rsid w:val="006D10AE"/>
    <w:rsid w:val="006D29F2"/>
    <w:rsid w:val="006D7CA2"/>
    <w:rsid w:val="006E065B"/>
    <w:rsid w:val="006E09D3"/>
    <w:rsid w:val="006E1E6C"/>
    <w:rsid w:val="006E3CDE"/>
    <w:rsid w:val="006E5505"/>
    <w:rsid w:val="006E69B0"/>
    <w:rsid w:val="006F240A"/>
    <w:rsid w:val="006F2FB3"/>
    <w:rsid w:val="006F531B"/>
    <w:rsid w:val="006F62BC"/>
    <w:rsid w:val="00702493"/>
    <w:rsid w:val="00714F3B"/>
    <w:rsid w:val="00715F1D"/>
    <w:rsid w:val="007166F7"/>
    <w:rsid w:val="00716AEF"/>
    <w:rsid w:val="00717076"/>
    <w:rsid w:val="00717296"/>
    <w:rsid w:val="00727370"/>
    <w:rsid w:val="00731444"/>
    <w:rsid w:val="00732AB3"/>
    <w:rsid w:val="00735D9E"/>
    <w:rsid w:val="0074109C"/>
    <w:rsid w:val="00742335"/>
    <w:rsid w:val="00742842"/>
    <w:rsid w:val="00747E07"/>
    <w:rsid w:val="00753376"/>
    <w:rsid w:val="007543B0"/>
    <w:rsid w:val="007568A9"/>
    <w:rsid w:val="007572B2"/>
    <w:rsid w:val="00761514"/>
    <w:rsid w:val="00763CE7"/>
    <w:rsid w:val="00764650"/>
    <w:rsid w:val="00772177"/>
    <w:rsid w:val="00775C65"/>
    <w:rsid w:val="0077639A"/>
    <w:rsid w:val="0078100C"/>
    <w:rsid w:val="0078157F"/>
    <w:rsid w:val="00786F48"/>
    <w:rsid w:val="0078772C"/>
    <w:rsid w:val="007878E4"/>
    <w:rsid w:val="00790F51"/>
    <w:rsid w:val="007963BD"/>
    <w:rsid w:val="007A0505"/>
    <w:rsid w:val="007A0AA5"/>
    <w:rsid w:val="007A4783"/>
    <w:rsid w:val="007A5191"/>
    <w:rsid w:val="007B0500"/>
    <w:rsid w:val="007B09D5"/>
    <w:rsid w:val="007B111B"/>
    <w:rsid w:val="007B2AEC"/>
    <w:rsid w:val="007B3AE8"/>
    <w:rsid w:val="007B4418"/>
    <w:rsid w:val="007B5F62"/>
    <w:rsid w:val="007B66B3"/>
    <w:rsid w:val="007B7077"/>
    <w:rsid w:val="007C3003"/>
    <w:rsid w:val="007C6B60"/>
    <w:rsid w:val="007C6F85"/>
    <w:rsid w:val="007D3AA0"/>
    <w:rsid w:val="007D3FE2"/>
    <w:rsid w:val="007D5690"/>
    <w:rsid w:val="007D69FA"/>
    <w:rsid w:val="007E03C5"/>
    <w:rsid w:val="007E1600"/>
    <w:rsid w:val="007F017F"/>
    <w:rsid w:val="007F7270"/>
    <w:rsid w:val="00802E4F"/>
    <w:rsid w:val="00804BE4"/>
    <w:rsid w:val="00810603"/>
    <w:rsid w:val="00814283"/>
    <w:rsid w:val="00817030"/>
    <w:rsid w:val="00820209"/>
    <w:rsid w:val="00820F35"/>
    <w:rsid w:val="00820FEC"/>
    <w:rsid w:val="0082393D"/>
    <w:rsid w:val="00831768"/>
    <w:rsid w:val="0083324D"/>
    <w:rsid w:val="00841733"/>
    <w:rsid w:val="00844D38"/>
    <w:rsid w:val="00844D85"/>
    <w:rsid w:val="008524BE"/>
    <w:rsid w:val="00853BC2"/>
    <w:rsid w:val="00854278"/>
    <w:rsid w:val="00856063"/>
    <w:rsid w:val="00857172"/>
    <w:rsid w:val="0086236A"/>
    <w:rsid w:val="00865F6B"/>
    <w:rsid w:val="0087035A"/>
    <w:rsid w:val="0087347D"/>
    <w:rsid w:val="0087743F"/>
    <w:rsid w:val="00882DAD"/>
    <w:rsid w:val="00885263"/>
    <w:rsid w:val="0089216B"/>
    <w:rsid w:val="00892DA5"/>
    <w:rsid w:val="008949B1"/>
    <w:rsid w:val="0089713E"/>
    <w:rsid w:val="00897BD1"/>
    <w:rsid w:val="008A10F3"/>
    <w:rsid w:val="008A5C0F"/>
    <w:rsid w:val="008B1596"/>
    <w:rsid w:val="008B6E32"/>
    <w:rsid w:val="008C053E"/>
    <w:rsid w:val="008C09C4"/>
    <w:rsid w:val="008C1F44"/>
    <w:rsid w:val="008C646F"/>
    <w:rsid w:val="008E36D6"/>
    <w:rsid w:val="008E3E4B"/>
    <w:rsid w:val="008E42B1"/>
    <w:rsid w:val="008E4EF9"/>
    <w:rsid w:val="008E6DFC"/>
    <w:rsid w:val="008E7710"/>
    <w:rsid w:val="008F54C3"/>
    <w:rsid w:val="00900D4D"/>
    <w:rsid w:val="00903F34"/>
    <w:rsid w:val="00905C0A"/>
    <w:rsid w:val="009122F8"/>
    <w:rsid w:val="00915520"/>
    <w:rsid w:val="009155F7"/>
    <w:rsid w:val="00916B6F"/>
    <w:rsid w:val="00921131"/>
    <w:rsid w:val="009247F5"/>
    <w:rsid w:val="00926AB2"/>
    <w:rsid w:val="009407FE"/>
    <w:rsid w:val="00942436"/>
    <w:rsid w:val="00957603"/>
    <w:rsid w:val="00957A1D"/>
    <w:rsid w:val="00957BC0"/>
    <w:rsid w:val="00961A3C"/>
    <w:rsid w:val="0096487B"/>
    <w:rsid w:val="00974F15"/>
    <w:rsid w:val="009757D1"/>
    <w:rsid w:val="00980754"/>
    <w:rsid w:val="00981535"/>
    <w:rsid w:val="009825C8"/>
    <w:rsid w:val="0098409F"/>
    <w:rsid w:val="00985537"/>
    <w:rsid w:val="009868C0"/>
    <w:rsid w:val="00991698"/>
    <w:rsid w:val="00991C17"/>
    <w:rsid w:val="0099257C"/>
    <w:rsid w:val="00992D1E"/>
    <w:rsid w:val="0099433E"/>
    <w:rsid w:val="00997EB2"/>
    <w:rsid w:val="009A0557"/>
    <w:rsid w:val="009A06F5"/>
    <w:rsid w:val="009A0788"/>
    <w:rsid w:val="009A0E92"/>
    <w:rsid w:val="009A17EC"/>
    <w:rsid w:val="009A507C"/>
    <w:rsid w:val="009B03DF"/>
    <w:rsid w:val="009B6AF0"/>
    <w:rsid w:val="009B7BFC"/>
    <w:rsid w:val="009C14AF"/>
    <w:rsid w:val="009C292D"/>
    <w:rsid w:val="009C5F0C"/>
    <w:rsid w:val="009C67C0"/>
    <w:rsid w:val="009D1035"/>
    <w:rsid w:val="009D13D0"/>
    <w:rsid w:val="009D2068"/>
    <w:rsid w:val="009D664B"/>
    <w:rsid w:val="009D7D33"/>
    <w:rsid w:val="009E3FDD"/>
    <w:rsid w:val="009E433C"/>
    <w:rsid w:val="009E4DD4"/>
    <w:rsid w:val="009E4E3F"/>
    <w:rsid w:val="009E698B"/>
    <w:rsid w:val="009F1547"/>
    <w:rsid w:val="009F28C9"/>
    <w:rsid w:val="009F4ABA"/>
    <w:rsid w:val="009F7DBA"/>
    <w:rsid w:val="00A066AE"/>
    <w:rsid w:val="00A10DD9"/>
    <w:rsid w:val="00A12C6B"/>
    <w:rsid w:val="00A14117"/>
    <w:rsid w:val="00A149FA"/>
    <w:rsid w:val="00A17DF0"/>
    <w:rsid w:val="00A20F78"/>
    <w:rsid w:val="00A218F1"/>
    <w:rsid w:val="00A27DEE"/>
    <w:rsid w:val="00A27F75"/>
    <w:rsid w:val="00A31B93"/>
    <w:rsid w:val="00A375EF"/>
    <w:rsid w:val="00A528C2"/>
    <w:rsid w:val="00A52C3D"/>
    <w:rsid w:val="00A54AFD"/>
    <w:rsid w:val="00A54E69"/>
    <w:rsid w:val="00A61B06"/>
    <w:rsid w:val="00A62113"/>
    <w:rsid w:val="00A65A39"/>
    <w:rsid w:val="00A6759C"/>
    <w:rsid w:val="00A67923"/>
    <w:rsid w:val="00A67F69"/>
    <w:rsid w:val="00A713ED"/>
    <w:rsid w:val="00A714B8"/>
    <w:rsid w:val="00A74901"/>
    <w:rsid w:val="00A75733"/>
    <w:rsid w:val="00A76308"/>
    <w:rsid w:val="00A77C08"/>
    <w:rsid w:val="00A81527"/>
    <w:rsid w:val="00A82058"/>
    <w:rsid w:val="00A839F2"/>
    <w:rsid w:val="00A84AE7"/>
    <w:rsid w:val="00A869B0"/>
    <w:rsid w:val="00A9289F"/>
    <w:rsid w:val="00A92C1D"/>
    <w:rsid w:val="00A93455"/>
    <w:rsid w:val="00AA0C77"/>
    <w:rsid w:val="00AA1D27"/>
    <w:rsid w:val="00AA204C"/>
    <w:rsid w:val="00AA2D57"/>
    <w:rsid w:val="00AA3941"/>
    <w:rsid w:val="00AA56D0"/>
    <w:rsid w:val="00AB0C9F"/>
    <w:rsid w:val="00AB143A"/>
    <w:rsid w:val="00AB2FC9"/>
    <w:rsid w:val="00AB41CD"/>
    <w:rsid w:val="00AC003C"/>
    <w:rsid w:val="00AC0103"/>
    <w:rsid w:val="00AC1404"/>
    <w:rsid w:val="00AC34B6"/>
    <w:rsid w:val="00AC6B91"/>
    <w:rsid w:val="00AD039F"/>
    <w:rsid w:val="00AD3902"/>
    <w:rsid w:val="00AD6010"/>
    <w:rsid w:val="00AE157C"/>
    <w:rsid w:val="00AE33FF"/>
    <w:rsid w:val="00AF06D5"/>
    <w:rsid w:val="00AF09DD"/>
    <w:rsid w:val="00AF30C0"/>
    <w:rsid w:val="00AF3E05"/>
    <w:rsid w:val="00B013C6"/>
    <w:rsid w:val="00B01E46"/>
    <w:rsid w:val="00B02655"/>
    <w:rsid w:val="00B05102"/>
    <w:rsid w:val="00B1059B"/>
    <w:rsid w:val="00B16A34"/>
    <w:rsid w:val="00B1701E"/>
    <w:rsid w:val="00B25453"/>
    <w:rsid w:val="00B31B9C"/>
    <w:rsid w:val="00B34D6C"/>
    <w:rsid w:val="00B46477"/>
    <w:rsid w:val="00B51BD7"/>
    <w:rsid w:val="00B53B3B"/>
    <w:rsid w:val="00B5544F"/>
    <w:rsid w:val="00B55E5D"/>
    <w:rsid w:val="00B60A36"/>
    <w:rsid w:val="00B66867"/>
    <w:rsid w:val="00B66994"/>
    <w:rsid w:val="00B71AFB"/>
    <w:rsid w:val="00B71F3A"/>
    <w:rsid w:val="00B73C97"/>
    <w:rsid w:val="00B76340"/>
    <w:rsid w:val="00B80C43"/>
    <w:rsid w:val="00B8466F"/>
    <w:rsid w:val="00B90AE7"/>
    <w:rsid w:val="00B94786"/>
    <w:rsid w:val="00BA78B6"/>
    <w:rsid w:val="00BB083F"/>
    <w:rsid w:val="00BB26AD"/>
    <w:rsid w:val="00BB79BD"/>
    <w:rsid w:val="00BC3E0D"/>
    <w:rsid w:val="00BC7208"/>
    <w:rsid w:val="00BD0B48"/>
    <w:rsid w:val="00BD2A0A"/>
    <w:rsid w:val="00BD5D0F"/>
    <w:rsid w:val="00BD7C68"/>
    <w:rsid w:val="00BE1CBC"/>
    <w:rsid w:val="00BE29DC"/>
    <w:rsid w:val="00BF5C31"/>
    <w:rsid w:val="00BF697A"/>
    <w:rsid w:val="00BF6ADB"/>
    <w:rsid w:val="00BF7C46"/>
    <w:rsid w:val="00C03776"/>
    <w:rsid w:val="00C13821"/>
    <w:rsid w:val="00C14051"/>
    <w:rsid w:val="00C15F73"/>
    <w:rsid w:val="00C17154"/>
    <w:rsid w:val="00C2037B"/>
    <w:rsid w:val="00C22FF7"/>
    <w:rsid w:val="00C256C7"/>
    <w:rsid w:val="00C27F76"/>
    <w:rsid w:val="00C30DA4"/>
    <w:rsid w:val="00C4080C"/>
    <w:rsid w:val="00C44719"/>
    <w:rsid w:val="00C47110"/>
    <w:rsid w:val="00C50108"/>
    <w:rsid w:val="00C553B2"/>
    <w:rsid w:val="00C6572C"/>
    <w:rsid w:val="00C70CFF"/>
    <w:rsid w:val="00C70D4E"/>
    <w:rsid w:val="00C75655"/>
    <w:rsid w:val="00C837C3"/>
    <w:rsid w:val="00C84497"/>
    <w:rsid w:val="00C868F6"/>
    <w:rsid w:val="00C9137C"/>
    <w:rsid w:val="00C91644"/>
    <w:rsid w:val="00C91665"/>
    <w:rsid w:val="00C95C7A"/>
    <w:rsid w:val="00C9663B"/>
    <w:rsid w:val="00CA43A5"/>
    <w:rsid w:val="00CA7530"/>
    <w:rsid w:val="00CA7C0B"/>
    <w:rsid w:val="00CB5C78"/>
    <w:rsid w:val="00CB6E2B"/>
    <w:rsid w:val="00CB6FF7"/>
    <w:rsid w:val="00CB7302"/>
    <w:rsid w:val="00CC0229"/>
    <w:rsid w:val="00CC1E9F"/>
    <w:rsid w:val="00CC5896"/>
    <w:rsid w:val="00CE0C35"/>
    <w:rsid w:val="00CE3810"/>
    <w:rsid w:val="00CE52B4"/>
    <w:rsid w:val="00CE5DCD"/>
    <w:rsid w:val="00CE701C"/>
    <w:rsid w:val="00CE7599"/>
    <w:rsid w:val="00CF414A"/>
    <w:rsid w:val="00CF4FF0"/>
    <w:rsid w:val="00CF5B47"/>
    <w:rsid w:val="00D104F9"/>
    <w:rsid w:val="00D14323"/>
    <w:rsid w:val="00D16008"/>
    <w:rsid w:val="00D166D4"/>
    <w:rsid w:val="00D23AAD"/>
    <w:rsid w:val="00D30254"/>
    <w:rsid w:val="00D33768"/>
    <w:rsid w:val="00D33D87"/>
    <w:rsid w:val="00D35077"/>
    <w:rsid w:val="00D35A6E"/>
    <w:rsid w:val="00D408A8"/>
    <w:rsid w:val="00D46DAE"/>
    <w:rsid w:val="00D51C8F"/>
    <w:rsid w:val="00D5204B"/>
    <w:rsid w:val="00D54C10"/>
    <w:rsid w:val="00D55191"/>
    <w:rsid w:val="00D55CD0"/>
    <w:rsid w:val="00D57544"/>
    <w:rsid w:val="00D577B0"/>
    <w:rsid w:val="00D57973"/>
    <w:rsid w:val="00D57AD4"/>
    <w:rsid w:val="00D60CE2"/>
    <w:rsid w:val="00D612EC"/>
    <w:rsid w:val="00D6153E"/>
    <w:rsid w:val="00D623C4"/>
    <w:rsid w:val="00D722DF"/>
    <w:rsid w:val="00D767B5"/>
    <w:rsid w:val="00D84675"/>
    <w:rsid w:val="00D8526A"/>
    <w:rsid w:val="00D86252"/>
    <w:rsid w:val="00D903B9"/>
    <w:rsid w:val="00D917F3"/>
    <w:rsid w:val="00D93BF4"/>
    <w:rsid w:val="00D93EA4"/>
    <w:rsid w:val="00D97BAA"/>
    <w:rsid w:val="00DA3AF3"/>
    <w:rsid w:val="00DA5455"/>
    <w:rsid w:val="00DA5C2B"/>
    <w:rsid w:val="00DA6798"/>
    <w:rsid w:val="00DB48B1"/>
    <w:rsid w:val="00DB5EFB"/>
    <w:rsid w:val="00DB69AE"/>
    <w:rsid w:val="00DB6EF1"/>
    <w:rsid w:val="00DC19BB"/>
    <w:rsid w:val="00DC6404"/>
    <w:rsid w:val="00DC7860"/>
    <w:rsid w:val="00DD7FDF"/>
    <w:rsid w:val="00DE1703"/>
    <w:rsid w:val="00DE25AC"/>
    <w:rsid w:val="00DF568D"/>
    <w:rsid w:val="00DF657D"/>
    <w:rsid w:val="00E00CCB"/>
    <w:rsid w:val="00E042C7"/>
    <w:rsid w:val="00E0781A"/>
    <w:rsid w:val="00E11475"/>
    <w:rsid w:val="00E13593"/>
    <w:rsid w:val="00E175A7"/>
    <w:rsid w:val="00E20168"/>
    <w:rsid w:val="00E20740"/>
    <w:rsid w:val="00E20E92"/>
    <w:rsid w:val="00E245DA"/>
    <w:rsid w:val="00E24645"/>
    <w:rsid w:val="00E31BCB"/>
    <w:rsid w:val="00E32963"/>
    <w:rsid w:val="00E337BC"/>
    <w:rsid w:val="00E350CD"/>
    <w:rsid w:val="00E36BD4"/>
    <w:rsid w:val="00E372A9"/>
    <w:rsid w:val="00E37C09"/>
    <w:rsid w:val="00E4001B"/>
    <w:rsid w:val="00E41192"/>
    <w:rsid w:val="00E44BA7"/>
    <w:rsid w:val="00E514AC"/>
    <w:rsid w:val="00E51FDE"/>
    <w:rsid w:val="00E534B2"/>
    <w:rsid w:val="00E5525E"/>
    <w:rsid w:val="00E56B66"/>
    <w:rsid w:val="00E579AF"/>
    <w:rsid w:val="00E705B7"/>
    <w:rsid w:val="00E7086E"/>
    <w:rsid w:val="00E70C9D"/>
    <w:rsid w:val="00E70ECC"/>
    <w:rsid w:val="00E71A89"/>
    <w:rsid w:val="00E75E1C"/>
    <w:rsid w:val="00E77197"/>
    <w:rsid w:val="00E8003F"/>
    <w:rsid w:val="00E81B1A"/>
    <w:rsid w:val="00E84FB3"/>
    <w:rsid w:val="00E87037"/>
    <w:rsid w:val="00EA0F03"/>
    <w:rsid w:val="00EA1EF9"/>
    <w:rsid w:val="00EA2CA0"/>
    <w:rsid w:val="00EA7237"/>
    <w:rsid w:val="00EB055B"/>
    <w:rsid w:val="00EB112A"/>
    <w:rsid w:val="00EB1983"/>
    <w:rsid w:val="00EC1212"/>
    <w:rsid w:val="00EC1D3D"/>
    <w:rsid w:val="00EC3331"/>
    <w:rsid w:val="00EC3E80"/>
    <w:rsid w:val="00EC677E"/>
    <w:rsid w:val="00EC7E67"/>
    <w:rsid w:val="00ED5B5C"/>
    <w:rsid w:val="00ED70BD"/>
    <w:rsid w:val="00EE0B3E"/>
    <w:rsid w:val="00EE37BB"/>
    <w:rsid w:val="00EF08EC"/>
    <w:rsid w:val="00EF2281"/>
    <w:rsid w:val="00EF4099"/>
    <w:rsid w:val="00EF6BDC"/>
    <w:rsid w:val="00F01C4C"/>
    <w:rsid w:val="00F02786"/>
    <w:rsid w:val="00F0434F"/>
    <w:rsid w:val="00F05580"/>
    <w:rsid w:val="00F0670F"/>
    <w:rsid w:val="00F07FA6"/>
    <w:rsid w:val="00F11BB3"/>
    <w:rsid w:val="00F13036"/>
    <w:rsid w:val="00F15804"/>
    <w:rsid w:val="00F17E67"/>
    <w:rsid w:val="00F21D1A"/>
    <w:rsid w:val="00F22865"/>
    <w:rsid w:val="00F24D75"/>
    <w:rsid w:val="00F2605F"/>
    <w:rsid w:val="00F261E3"/>
    <w:rsid w:val="00F32174"/>
    <w:rsid w:val="00F34B2F"/>
    <w:rsid w:val="00F34F33"/>
    <w:rsid w:val="00F36D1F"/>
    <w:rsid w:val="00F3769E"/>
    <w:rsid w:val="00F40F06"/>
    <w:rsid w:val="00F42669"/>
    <w:rsid w:val="00F4749B"/>
    <w:rsid w:val="00F514FB"/>
    <w:rsid w:val="00F56CE9"/>
    <w:rsid w:val="00F57E57"/>
    <w:rsid w:val="00F61151"/>
    <w:rsid w:val="00F623E0"/>
    <w:rsid w:val="00F64ECE"/>
    <w:rsid w:val="00F67B6E"/>
    <w:rsid w:val="00F77765"/>
    <w:rsid w:val="00F77EC3"/>
    <w:rsid w:val="00F85E98"/>
    <w:rsid w:val="00F91282"/>
    <w:rsid w:val="00FA522D"/>
    <w:rsid w:val="00FA7C8B"/>
    <w:rsid w:val="00FB0249"/>
    <w:rsid w:val="00FB793A"/>
    <w:rsid w:val="00FC5915"/>
    <w:rsid w:val="00FC5D6D"/>
    <w:rsid w:val="00FD6657"/>
    <w:rsid w:val="00FE6FA5"/>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32174"/>
  </w:style>
  <w:style w:type="character" w:customStyle="1" w:styleId="FootnoteTextChar">
    <w:name w:val="Footnote Text Char"/>
    <w:basedOn w:val="DefaultParagraphFont"/>
    <w:link w:val="FootnoteText"/>
    <w:uiPriority w:val="99"/>
    <w:semiHidden/>
    <w:rsid w:val="00F3217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A522D"/>
    <w:pPr>
      <w:tabs>
        <w:tab w:val="center" w:pos="4680"/>
        <w:tab w:val="right" w:pos="9360"/>
      </w:tabs>
    </w:pPr>
  </w:style>
  <w:style w:type="character" w:customStyle="1" w:styleId="HeaderChar">
    <w:name w:val="Header Char"/>
    <w:basedOn w:val="DefaultParagraphFont"/>
    <w:link w:val="Header"/>
    <w:uiPriority w:val="99"/>
    <w:rsid w:val="00FA52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A522D"/>
    <w:pPr>
      <w:tabs>
        <w:tab w:val="center" w:pos="4680"/>
        <w:tab w:val="right" w:pos="9360"/>
      </w:tabs>
    </w:pPr>
  </w:style>
  <w:style w:type="character" w:customStyle="1" w:styleId="FooterChar">
    <w:name w:val="Footer Char"/>
    <w:basedOn w:val="DefaultParagraphFont"/>
    <w:link w:val="Footer"/>
    <w:uiPriority w:val="99"/>
    <w:rsid w:val="00FA522D"/>
    <w:rPr>
      <w:rFonts w:ascii="Times New Roman" w:eastAsia="Times New Roman" w:hAnsi="Times New Roman" w:cs="Times New Roman"/>
      <w:sz w:val="20"/>
      <w:szCs w:val="20"/>
    </w:rPr>
  </w:style>
  <w:style w:type="paragraph" w:styleId="ListParagraph">
    <w:name w:val="List Paragraph"/>
    <w:basedOn w:val="Normal"/>
    <w:uiPriority w:val="34"/>
    <w:qFormat/>
    <w:rsid w:val="0013006D"/>
    <w:pPr>
      <w:ind w:left="720"/>
      <w:contextualSpacing/>
    </w:pPr>
  </w:style>
  <w:style w:type="character" w:styleId="CommentReference">
    <w:name w:val="annotation reference"/>
    <w:basedOn w:val="DefaultParagraphFont"/>
    <w:uiPriority w:val="99"/>
    <w:semiHidden/>
    <w:unhideWhenUsed/>
    <w:rsid w:val="004261A1"/>
    <w:rPr>
      <w:sz w:val="16"/>
      <w:szCs w:val="16"/>
    </w:rPr>
  </w:style>
  <w:style w:type="paragraph" w:styleId="CommentText">
    <w:name w:val="annotation text"/>
    <w:basedOn w:val="Normal"/>
    <w:link w:val="CommentTextChar"/>
    <w:uiPriority w:val="99"/>
    <w:semiHidden/>
    <w:unhideWhenUsed/>
    <w:rsid w:val="004261A1"/>
  </w:style>
  <w:style w:type="character" w:customStyle="1" w:styleId="CommentTextChar">
    <w:name w:val="Comment Text Char"/>
    <w:basedOn w:val="DefaultParagraphFont"/>
    <w:link w:val="CommentText"/>
    <w:uiPriority w:val="99"/>
    <w:semiHidden/>
    <w:rsid w:val="004261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1A1"/>
    <w:rPr>
      <w:b/>
      <w:bCs/>
    </w:rPr>
  </w:style>
  <w:style w:type="character" w:customStyle="1" w:styleId="CommentSubjectChar">
    <w:name w:val="Comment Subject Char"/>
    <w:basedOn w:val="CommentTextChar"/>
    <w:link w:val="CommentSubject"/>
    <w:uiPriority w:val="99"/>
    <w:semiHidden/>
    <w:rsid w:val="004261A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F32174"/>
  </w:style>
  <w:style w:type="character" w:customStyle="1" w:styleId="FootnoteTextChar">
    <w:name w:val="Footnote Text Char"/>
    <w:basedOn w:val="DefaultParagraphFont"/>
    <w:link w:val="FootnoteText"/>
    <w:uiPriority w:val="99"/>
    <w:semiHidden/>
    <w:rsid w:val="00F3217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A522D"/>
    <w:pPr>
      <w:tabs>
        <w:tab w:val="center" w:pos="4680"/>
        <w:tab w:val="right" w:pos="9360"/>
      </w:tabs>
    </w:pPr>
  </w:style>
  <w:style w:type="character" w:customStyle="1" w:styleId="HeaderChar">
    <w:name w:val="Header Char"/>
    <w:basedOn w:val="DefaultParagraphFont"/>
    <w:link w:val="Header"/>
    <w:uiPriority w:val="99"/>
    <w:rsid w:val="00FA522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A522D"/>
    <w:pPr>
      <w:tabs>
        <w:tab w:val="center" w:pos="4680"/>
        <w:tab w:val="right" w:pos="9360"/>
      </w:tabs>
    </w:pPr>
  </w:style>
  <w:style w:type="character" w:customStyle="1" w:styleId="FooterChar">
    <w:name w:val="Footer Char"/>
    <w:basedOn w:val="DefaultParagraphFont"/>
    <w:link w:val="Footer"/>
    <w:uiPriority w:val="99"/>
    <w:rsid w:val="00FA522D"/>
    <w:rPr>
      <w:rFonts w:ascii="Times New Roman" w:eastAsia="Times New Roman" w:hAnsi="Times New Roman" w:cs="Times New Roman"/>
      <w:sz w:val="20"/>
      <w:szCs w:val="20"/>
    </w:rPr>
  </w:style>
  <w:style w:type="paragraph" w:styleId="ListParagraph">
    <w:name w:val="List Paragraph"/>
    <w:basedOn w:val="Normal"/>
    <w:uiPriority w:val="34"/>
    <w:qFormat/>
    <w:rsid w:val="0013006D"/>
    <w:pPr>
      <w:ind w:left="720"/>
      <w:contextualSpacing/>
    </w:pPr>
  </w:style>
  <w:style w:type="character" w:styleId="CommentReference">
    <w:name w:val="annotation reference"/>
    <w:basedOn w:val="DefaultParagraphFont"/>
    <w:uiPriority w:val="99"/>
    <w:semiHidden/>
    <w:unhideWhenUsed/>
    <w:rsid w:val="004261A1"/>
    <w:rPr>
      <w:sz w:val="16"/>
      <w:szCs w:val="16"/>
    </w:rPr>
  </w:style>
  <w:style w:type="paragraph" w:styleId="CommentText">
    <w:name w:val="annotation text"/>
    <w:basedOn w:val="Normal"/>
    <w:link w:val="CommentTextChar"/>
    <w:uiPriority w:val="99"/>
    <w:semiHidden/>
    <w:unhideWhenUsed/>
    <w:rsid w:val="004261A1"/>
  </w:style>
  <w:style w:type="character" w:customStyle="1" w:styleId="CommentTextChar">
    <w:name w:val="Comment Text Char"/>
    <w:basedOn w:val="DefaultParagraphFont"/>
    <w:link w:val="CommentText"/>
    <w:uiPriority w:val="99"/>
    <w:semiHidden/>
    <w:rsid w:val="004261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61A1"/>
    <w:rPr>
      <w:b/>
      <w:bCs/>
    </w:rPr>
  </w:style>
  <w:style w:type="character" w:customStyle="1" w:styleId="CommentSubjectChar">
    <w:name w:val="Comment Subject Char"/>
    <w:basedOn w:val="CommentTextChar"/>
    <w:link w:val="CommentSubject"/>
    <w:uiPriority w:val="99"/>
    <w:semiHidden/>
    <w:rsid w:val="004261A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53670-3549-40A2-9EF6-FA983316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Farner, Joyce</cp:lastModifiedBy>
  <cp:revision>7</cp:revision>
  <cp:lastPrinted>2014-10-23T11:45:00Z</cp:lastPrinted>
  <dcterms:created xsi:type="dcterms:W3CDTF">2014-10-07T14:33:00Z</dcterms:created>
  <dcterms:modified xsi:type="dcterms:W3CDTF">2014-10-23T11:45:00Z</dcterms:modified>
</cp:coreProperties>
</file>