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0175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15E9B7" wp14:editId="74B3FAA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 w:rsidSect="007D7BAC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E528E4" w:rsidRPr="00E354D8" w:rsidRDefault="00E354D8" w:rsidP="00E354D8">
      <w:pPr>
        <w:ind w:right="-72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F-2013-2389261</w:t>
      </w:r>
    </w:p>
    <w:p w:rsidR="00AB6A72" w:rsidRDefault="008C1300" w:rsidP="00140417">
      <w:pPr>
        <w:spacing w:after="58"/>
        <w:ind w:left="720" w:hanging="720"/>
        <w:jc w:val="center"/>
        <w:rPr>
          <w:sz w:val="26"/>
          <w:szCs w:val="26"/>
        </w:rPr>
      </w:pPr>
      <w:r>
        <w:rPr>
          <w:sz w:val="26"/>
          <w:szCs w:val="26"/>
        </w:rPr>
        <w:t>October 24, 2014</w:t>
      </w:r>
    </w:p>
    <w:p w:rsidR="00F86217" w:rsidRDefault="00F86217" w:rsidP="00140417">
      <w:pPr>
        <w:spacing w:after="58"/>
        <w:ind w:left="720" w:hanging="720"/>
        <w:jc w:val="center"/>
        <w:rPr>
          <w:sz w:val="26"/>
          <w:szCs w:val="26"/>
        </w:rPr>
      </w:pPr>
    </w:p>
    <w:p w:rsidR="00F86217" w:rsidRDefault="00F86217" w:rsidP="00140417">
      <w:pPr>
        <w:spacing w:after="58"/>
        <w:ind w:left="720" w:hanging="720"/>
        <w:jc w:val="center"/>
        <w:rPr>
          <w:sz w:val="26"/>
          <w:szCs w:val="26"/>
        </w:rPr>
      </w:pPr>
    </w:p>
    <w:p w:rsidR="00F86217" w:rsidRDefault="00F86217" w:rsidP="00140417">
      <w:pPr>
        <w:spacing w:after="58"/>
        <w:ind w:left="720" w:hanging="720"/>
        <w:jc w:val="center"/>
        <w:rPr>
          <w:sz w:val="26"/>
          <w:szCs w:val="26"/>
        </w:rPr>
      </w:pPr>
    </w:p>
    <w:p w:rsidR="008640ED" w:rsidRDefault="00E528E4" w:rsidP="008640ED">
      <w:pPr>
        <w:spacing w:after="58"/>
        <w:ind w:left="720" w:hanging="720"/>
        <w:rPr>
          <w:bCs/>
          <w:sz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976A79">
        <w:rPr>
          <w:b/>
          <w:sz w:val="26"/>
          <w:szCs w:val="26"/>
        </w:rPr>
        <w:t xml:space="preserve">Steve Atuahene v. </w:t>
      </w:r>
      <w:r w:rsidR="00E354D8">
        <w:rPr>
          <w:b/>
          <w:sz w:val="26"/>
          <w:szCs w:val="26"/>
        </w:rPr>
        <w:t>Philadelphia Gas Works</w:t>
      </w:r>
    </w:p>
    <w:p w:rsidR="008640ED" w:rsidRPr="008640ED" w:rsidRDefault="008640ED" w:rsidP="008640ED">
      <w:pPr>
        <w:spacing w:after="58"/>
        <w:ind w:left="720"/>
        <w:rPr>
          <w:bCs/>
          <w:sz w:val="26"/>
        </w:rPr>
      </w:pPr>
    </w:p>
    <w:p w:rsidR="00E229FE" w:rsidRPr="00D12C93" w:rsidRDefault="00E229FE" w:rsidP="00E528E4">
      <w:pPr>
        <w:rPr>
          <w:sz w:val="26"/>
          <w:szCs w:val="26"/>
        </w:rPr>
      </w:pPr>
    </w:p>
    <w:p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:rsidR="006B6701" w:rsidRDefault="006B6701" w:rsidP="006B6701">
      <w:pPr>
        <w:ind w:firstLine="1440"/>
        <w:rPr>
          <w:sz w:val="26"/>
          <w:szCs w:val="26"/>
        </w:rPr>
      </w:pPr>
    </w:p>
    <w:p w:rsidR="00D2516F" w:rsidRDefault="00D17649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E354D8">
        <w:rPr>
          <w:sz w:val="26"/>
          <w:szCs w:val="26"/>
        </w:rPr>
        <w:t>April 18, 2014</w:t>
      </w:r>
      <w:r w:rsidR="00F32FC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the Commission served all Parties to this proceeding with the Initial Decision of Administrative Law </w:t>
      </w:r>
      <w:r w:rsidR="00591B3C">
        <w:rPr>
          <w:sz w:val="26"/>
          <w:szCs w:val="26"/>
        </w:rPr>
        <w:t>Judge</w:t>
      </w:r>
      <w:r w:rsidR="00D2516F">
        <w:rPr>
          <w:sz w:val="26"/>
          <w:szCs w:val="26"/>
        </w:rPr>
        <w:t xml:space="preserve"> </w:t>
      </w:r>
      <w:r w:rsidR="00E354D8">
        <w:rPr>
          <w:sz w:val="26"/>
          <w:szCs w:val="26"/>
        </w:rPr>
        <w:t>Christopher P. Pell</w:t>
      </w:r>
      <w:r w:rsidR="00105E0E">
        <w:rPr>
          <w:sz w:val="26"/>
          <w:szCs w:val="26"/>
        </w:rPr>
        <w:t xml:space="preserve">.  </w:t>
      </w:r>
      <w:r w:rsidR="00F32FC2">
        <w:rPr>
          <w:sz w:val="26"/>
          <w:szCs w:val="26"/>
        </w:rPr>
        <w:t xml:space="preserve">Exceptions were due on or before </w:t>
      </w:r>
      <w:r w:rsidR="00E354D8">
        <w:rPr>
          <w:sz w:val="26"/>
          <w:szCs w:val="26"/>
        </w:rPr>
        <w:t>May 8, 2014</w:t>
      </w:r>
      <w:r w:rsidR="00F32FC2">
        <w:rPr>
          <w:sz w:val="26"/>
          <w:szCs w:val="26"/>
        </w:rPr>
        <w:t xml:space="preserve">.  </w:t>
      </w:r>
      <w:r w:rsidR="00591B3C">
        <w:rPr>
          <w:sz w:val="26"/>
          <w:szCs w:val="26"/>
        </w:rPr>
        <w:t>No Exceptions were filed, and the Initial Decision became the final action of the Commission by operation of law, although no final order has yet been served.</w:t>
      </w:r>
    </w:p>
    <w:p w:rsidR="00D2516F" w:rsidRDefault="00D2516F" w:rsidP="006B6701">
      <w:pPr>
        <w:ind w:firstLine="1440"/>
        <w:rPr>
          <w:sz w:val="26"/>
          <w:szCs w:val="26"/>
        </w:rPr>
      </w:pPr>
    </w:p>
    <w:p w:rsidR="001D3BD2" w:rsidRDefault="00F32FC2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E354D8">
        <w:rPr>
          <w:sz w:val="26"/>
          <w:szCs w:val="26"/>
        </w:rPr>
        <w:t>May 12, 2014</w:t>
      </w:r>
      <w:r>
        <w:rPr>
          <w:sz w:val="26"/>
          <w:szCs w:val="26"/>
        </w:rPr>
        <w:t xml:space="preserve">, </w:t>
      </w:r>
      <w:r w:rsidR="001D3BD2">
        <w:rPr>
          <w:sz w:val="26"/>
          <w:szCs w:val="26"/>
        </w:rPr>
        <w:t>Steve Atuahene (</w:t>
      </w:r>
      <w:r>
        <w:rPr>
          <w:sz w:val="26"/>
          <w:szCs w:val="26"/>
        </w:rPr>
        <w:t>Complainant</w:t>
      </w:r>
      <w:r w:rsidR="00154FCD">
        <w:rPr>
          <w:sz w:val="26"/>
          <w:szCs w:val="26"/>
        </w:rPr>
        <w:t xml:space="preserve"> or Mr. Atuahene</w:t>
      </w:r>
      <w:r w:rsidR="001D3BD2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750CFC">
        <w:rPr>
          <w:sz w:val="26"/>
          <w:szCs w:val="26"/>
        </w:rPr>
        <w:t>filed a Motion for Enlargement of Time to File Exceptions</w:t>
      </w:r>
      <w:r w:rsidR="00920CD0">
        <w:rPr>
          <w:sz w:val="26"/>
          <w:szCs w:val="26"/>
        </w:rPr>
        <w:t xml:space="preserve"> (Motion)</w:t>
      </w:r>
      <w:r w:rsidR="00750CFC">
        <w:rPr>
          <w:sz w:val="26"/>
          <w:szCs w:val="26"/>
        </w:rPr>
        <w:t xml:space="preserve">.  </w:t>
      </w:r>
      <w:r w:rsidR="001D3BD2">
        <w:rPr>
          <w:sz w:val="26"/>
          <w:szCs w:val="26"/>
        </w:rPr>
        <w:t>Mr. Atuahene allege</w:t>
      </w:r>
      <w:r w:rsidR="00D7775B">
        <w:rPr>
          <w:sz w:val="26"/>
          <w:szCs w:val="26"/>
        </w:rPr>
        <w:t>d</w:t>
      </w:r>
      <w:r w:rsidR="001D3BD2">
        <w:rPr>
          <w:sz w:val="26"/>
          <w:szCs w:val="26"/>
        </w:rPr>
        <w:t xml:space="preserve"> that he did not receive the Initial Decision until </w:t>
      </w:r>
      <w:r w:rsidR="00ED27A3">
        <w:rPr>
          <w:sz w:val="26"/>
          <w:szCs w:val="26"/>
        </w:rPr>
        <w:t>May 8, 2014</w:t>
      </w:r>
      <w:r w:rsidR="001D3BD2">
        <w:rPr>
          <w:sz w:val="26"/>
          <w:szCs w:val="26"/>
        </w:rPr>
        <w:t xml:space="preserve">.  He </w:t>
      </w:r>
      <w:r w:rsidR="00ED27A3">
        <w:rPr>
          <w:sz w:val="26"/>
          <w:szCs w:val="26"/>
        </w:rPr>
        <w:t>contend</w:t>
      </w:r>
      <w:r w:rsidR="00D7775B">
        <w:rPr>
          <w:sz w:val="26"/>
          <w:szCs w:val="26"/>
        </w:rPr>
        <w:t>ed</w:t>
      </w:r>
      <w:r w:rsidR="001D3BD2">
        <w:rPr>
          <w:sz w:val="26"/>
          <w:szCs w:val="26"/>
        </w:rPr>
        <w:t xml:space="preserve"> that, </w:t>
      </w:r>
      <w:r w:rsidR="00ED27A3">
        <w:rPr>
          <w:sz w:val="26"/>
          <w:szCs w:val="26"/>
        </w:rPr>
        <w:t>at the time of the attempted delivery of the I</w:t>
      </w:r>
      <w:r w:rsidR="00D2516F">
        <w:rPr>
          <w:sz w:val="26"/>
          <w:szCs w:val="26"/>
        </w:rPr>
        <w:t xml:space="preserve">nitial </w:t>
      </w:r>
      <w:r w:rsidR="00ED27A3">
        <w:rPr>
          <w:sz w:val="26"/>
          <w:szCs w:val="26"/>
        </w:rPr>
        <w:t>D</w:t>
      </w:r>
      <w:r w:rsidR="00D2516F">
        <w:rPr>
          <w:sz w:val="26"/>
          <w:szCs w:val="26"/>
        </w:rPr>
        <w:t>ecision</w:t>
      </w:r>
      <w:r w:rsidR="00ED27A3">
        <w:rPr>
          <w:sz w:val="26"/>
          <w:szCs w:val="26"/>
        </w:rPr>
        <w:t xml:space="preserve"> by Certified Mail on April 21, 2014, he was in Alexandria, V</w:t>
      </w:r>
      <w:r w:rsidR="00D2516F">
        <w:rPr>
          <w:sz w:val="26"/>
          <w:szCs w:val="26"/>
        </w:rPr>
        <w:t>irginia</w:t>
      </w:r>
      <w:r w:rsidR="00ED27A3">
        <w:rPr>
          <w:sz w:val="26"/>
          <w:szCs w:val="26"/>
        </w:rPr>
        <w:t xml:space="preserve">, attending to a dying family member.  </w:t>
      </w:r>
      <w:r w:rsidR="00154FCD">
        <w:rPr>
          <w:sz w:val="26"/>
          <w:szCs w:val="26"/>
        </w:rPr>
        <w:t xml:space="preserve">The family member subsequently died and the funeral took place on May 3-4, 2014.  </w:t>
      </w:r>
      <w:r w:rsidR="00ED27A3">
        <w:rPr>
          <w:sz w:val="26"/>
          <w:szCs w:val="26"/>
        </w:rPr>
        <w:t>He claim</w:t>
      </w:r>
      <w:r w:rsidR="00D7775B">
        <w:rPr>
          <w:sz w:val="26"/>
          <w:szCs w:val="26"/>
        </w:rPr>
        <w:t xml:space="preserve">ed that </w:t>
      </w:r>
      <w:r w:rsidR="00ED27A3">
        <w:rPr>
          <w:sz w:val="26"/>
          <w:szCs w:val="26"/>
        </w:rPr>
        <w:t>his wife returned from Virginia on May 8, 2014, and received the Certified Mail</w:t>
      </w:r>
      <w:r w:rsidR="00154FCD">
        <w:rPr>
          <w:sz w:val="26"/>
          <w:szCs w:val="26"/>
        </w:rPr>
        <w:t xml:space="preserve"> from the Commission.  According to Mr. Atuahene</w:t>
      </w:r>
      <w:r w:rsidR="00ED27A3">
        <w:rPr>
          <w:sz w:val="26"/>
          <w:szCs w:val="26"/>
        </w:rPr>
        <w:t xml:space="preserve">, </w:t>
      </w:r>
      <w:r w:rsidR="007F2A5B">
        <w:rPr>
          <w:sz w:val="26"/>
          <w:szCs w:val="26"/>
        </w:rPr>
        <w:t>he</w:t>
      </w:r>
      <w:r w:rsidR="004C4874">
        <w:rPr>
          <w:sz w:val="26"/>
          <w:szCs w:val="26"/>
        </w:rPr>
        <w:t xml:space="preserve"> </w:t>
      </w:r>
      <w:r w:rsidR="00154FCD">
        <w:rPr>
          <w:sz w:val="26"/>
          <w:szCs w:val="26"/>
        </w:rPr>
        <w:t>returned from Virginia on May 9, 2014.  The Complainant argue</w:t>
      </w:r>
      <w:r w:rsidR="00D7775B">
        <w:rPr>
          <w:sz w:val="26"/>
          <w:szCs w:val="26"/>
        </w:rPr>
        <w:t>d</w:t>
      </w:r>
      <w:r w:rsidR="00154FCD">
        <w:rPr>
          <w:sz w:val="26"/>
          <w:szCs w:val="26"/>
        </w:rPr>
        <w:t xml:space="preserve"> that due process requires </w:t>
      </w:r>
      <w:r w:rsidR="00D2516F">
        <w:rPr>
          <w:sz w:val="26"/>
          <w:szCs w:val="26"/>
        </w:rPr>
        <w:t xml:space="preserve">that he be given </w:t>
      </w:r>
      <w:r w:rsidR="00154FCD">
        <w:rPr>
          <w:sz w:val="26"/>
          <w:szCs w:val="26"/>
        </w:rPr>
        <w:t xml:space="preserve">additional time to file Exceptions because of circumstances beyond his control.  Motion at 1-3.  </w:t>
      </w:r>
      <w:r w:rsidR="001D3BD2">
        <w:rPr>
          <w:sz w:val="26"/>
          <w:szCs w:val="26"/>
        </w:rPr>
        <w:t xml:space="preserve">   </w:t>
      </w:r>
    </w:p>
    <w:p w:rsidR="001D3BD2" w:rsidRDefault="001D3BD2" w:rsidP="006B6701">
      <w:pPr>
        <w:ind w:firstLine="1440"/>
        <w:rPr>
          <w:sz w:val="26"/>
          <w:szCs w:val="26"/>
        </w:rPr>
      </w:pPr>
    </w:p>
    <w:p w:rsidR="00261373" w:rsidRDefault="001D3BD2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154FCD">
        <w:rPr>
          <w:sz w:val="26"/>
          <w:szCs w:val="26"/>
        </w:rPr>
        <w:t>May 16, 2014</w:t>
      </w:r>
      <w:r>
        <w:rPr>
          <w:sz w:val="26"/>
          <w:szCs w:val="26"/>
        </w:rPr>
        <w:t xml:space="preserve">, </w:t>
      </w:r>
      <w:r w:rsidR="00154FCD">
        <w:rPr>
          <w:sz w:val="26"/>
          <w:szCs w:val="26"/>
        </w:rPr>
        <w:t>Philadelphia Gas Works</w:t>
      </w:r>
      <w:r>
        <w:rPr>
          <w:sz w:val="26"/>
          <w:szCs w:val="26"/>
        </w:rPr>
        <w:t xml:space="preserve"> (</w:t>
      </w:r>
      <w:r w:rsidR="00801751">
        <w:rPr>
          <w:sz w:val="26"/>
          <w:szCs w:val="26"/>
        </w:rPr>
        <w:t xml:space="preserve">PGW or </w:t>
      </w:r>
      <w:r>
        <w:rPr>
          <w:sz w:val="26"/>
          <w:szCs w:val="26"/>
        </w:rPr>
        <w:t xml:space="preserve">Respondent) filed a response </w:t>
      </w:r>
      <w:r w:rsidR="00920CD0">
        <w:rPr>
          <w:sz w:val="26"/>
          <w:szCs w:val="26"/>
        </w:rPr>
        <w:t xml:space="preserve">(Response) </w:t>
      </w:r>
      <w:r>
        <w:rPr>
          <w:sz w:val="26"/>
          <w:szCs w:val="26"/>
        </w:rPr>
        <w:t>objecting to the Motion</w:t>
      </w:r>
      <w:r w:rsidR="00261373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3F35A4">
        <w:rPr>
          <w:sz w:val="26"/>
          <w:szCs w:val="26"/>
        </w:rPr>
        <w:t xml:space="preserve">The </w:t>
      </w:r>
      <w:r>
        <w:rPr>
          <w:sz w:val="26"/>
          <w:szCs w:val="26"/>
        </w:rPr>
        <w:t>Respondent</w:t>
      </w:r>
      <w:r w:rsidR="00154FCD">
        <w:rPr>
          <w:sz w:val="26"/>
          <w:szCs w:val="26"/>
        </w:rPr>
        <w:t xml:space="preserve"> argue</w:t>
      </w:r>
      <w:r w:rsidR="00D7775B">
        <w:rPr>
          <w:sz w:val="26"/>
          <w:szCs w:val="26"/>
        </w:rPr>
        <w:t>d</w:t>
      </w:r>
      <w:r w:rsidR="00154FCD">
        <w:rPr>
          <w:sz w:val="26"/>
          <w:szCs w:val="26"/>
        </w:rPr>
        <w:t xml:space="preserve"> that the Motion lack</w:t>
      </w:r>
      <w:r w:rsidR="00D7775B">
        <w:rPr>
          <w:sz w:val="26"/>
          <w:szCs w:val="26"/>
        </w:rPr>
        <w:t>ed</w:t>
      </w:r>
      <w:r w:rsidR="00154FCD">
        <w:rPr>
          <w:sz w:val="26"/>
          <w:szCs w:val="26"/>
        </w:rPr>
        <w:t xml:space="preserve"> supporting documentation and there </w:t>
      </w:r>
      <w:r w:rsidR="00D7775B">
        <w:rPr>
          <w:sz w:val="26"/>
          <w:szCs w:val="26"/>
        </w:rPr>
        <w:t>was</w:t>
      </w:r>
      <w:r w:rsidR="00154FCD">
        <w:rPr>
          <w:sz w:val="26"/>
          <w:szCs w:val="26"/>
        </w:rPr>
        <w:t xml:space="preserve"> nothing to indicate that Exceptions could not have been filed in a timely manner.  Further, the Respondent contend</w:t>
      </w:r>
      <w:r w:rsidR="00D7775B">
        <w:rPr>
          <w:sz w:val="26"/>
          <w:szCs w:val="26"/>
        </w:rPr>
        <w:t>ed</w:t>
      </w:r>
      <w:r w:rsidR="00154FCD">
        <w:rPr>
          <w:sz w:val="26"/>
          <w:szCs w:val="26"/>
        </w:rPr>
        <w:t xml:space="preserve"> there </w:t>
      </w:r>
      <w:r w:rsidR="00D7775B">
        <w:rPr>
          <w:sz w:val="26"/>
          <w:szCs w:val="26"/>
        </w:rPr>
        <w:t>were</w:t>
      </w:r>
      <w:r w:rsidR="00154FCD">
        <w:rPr>
          <w:sz w:val="26"/>
          <w:szCs w:val="26"/>
        </w:rPr>
        <w:t xml:space="preserve"> no dates in the Motion to indicate the period of time during which the Complainant was in Alexandria.  Additionally, the Respondent note</w:t>
      </w:r>
      <w:r w:rsidR="00D7775B">
        <w:rPr>
          <w:sz w:val="26"/>
          <w:szCs w:val="26"/>
        </w:rPr>
        <w:t>d</w:t>
      </w:r>
      <w:r w:rsidR="00154FCD">
        <w:rPr>
          <w:sz w:val="26"/>
          <w:szCs w:val="26"/>
        </w:rPr>
        <w:t xml:space="preserve"> that the Motion </w:t>
      </w:r>
      <w:r w:rsidR="00D7775B">
        <w:rPr>
          <w:sz w:val="26"/>
          <w:szCs w:val="26"/>
        </w:rPr>
        <w:t>was</w:t>
      </w:r>
      <w:r w:rsidR="00154FCD">
        <w:rPr>
          <w:sz w:val="26"/>
          <w:szCs w:val="26"/>
        </w:rPr>
        <w:t xml:space="preserve"> unaccompanied by an</w:t>
      </w:r>
      <w:r w:rsidR="00AB6A72">
        <w:rPr>
          <w:sz w:val="26"/>
          <w:szCs w:val="26"/>
        </w:rPr>
        <w:t>y</w:t>
      </w:r>
      <w:r w:rsidR="00154FCD">
        <w:rPr>
          <w:sz w:val="26"/>
          <w:szCs w:val="26"/>
        </w:rPr>
        <w:t xml:space="preserve"> actual Exceptions</w:t>
      </w:r>
      <w:r w:rsidR="00801751">
        <w:rPr>
          <w:sz w:val="26"/>
          <w:szCs w:val="26"/>
        </w:rPr>
        <w:t xml:space="preserve"> to which PGW could make a reply.</w:t>
      </w:r>
      <w:r w:rsidR="004C4874">
        <w:rPr>
          <w:sz w:val="26"/>
          <w:szCs w:val="26"/>
        </w:rPr>
        <w:t xml:space="preserve">  Response at 2.  </w:t>
      </w:r>
    </w:p>
    <w:p w:rsidR="00D7775B" w:rsidRDefault="00D7775B" w:rsidP="006B6701">
      <w:pPr>
        <w:ind w:firstLine="1440"/>
        <w:rPr>
          <w:sz w:val="26"/>
          <w:szCs w:val="26"/>
        </w:rPr>
      </w:pPr>
    </w:p>
    <w:p w:rsidR="00D7775B" w:rsidRDefault="00D7775B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By Secretarial Letter dated August 22, 2014 (</w:t>
      </w:r>
      <w:r w:rsidRPr="00D7775B">
        <w:rPr>
          <w:i/>
          <w:sz w:val="26"/>
          <w:szCs w:val="26"/>
        </w:rPr>
        <w:t>Secretarial Letter</w:t>
      </w:r>
      <w:r>
        <w:rPr>
          <w:sz w:val="26"/>
          <w:szCs w:val="26"/>
        </w:rPr>
        <w:t>), the Commission rescinded the May 8, 2014</w:t>
      </w:r>
      <w:r w:rsidR="00487462">
        <w:rPr>
          <w:sz w:val="26"/>
          <w:szCs w:val="26"/>
        </w:rPr>
        <w:t>,</w:t>
      </w:r>
      <w:r>
        <w:rPr>
          <w:sz w:val="26"/>
          <w:szCs w:val="26"/>
        </w:rPr>
        <w:t xml:space="preserve"> final action in this case and granted the Motion, giving </w:t>
      </w:r>
      <w:r w:rsidR="006C5E2B">
        <w:rPr>
          <w:sz w:val="26"/>
          <w:szCs w:val="26"/>
        </w:rPr>
        <w:t xml:space="preserve">the </w:t>
      </w:r>
      <w:r>
        <w:rPr>
          <w:sz w:val="26"/>
          <w:szCs w:val="26"/>
        </w:rPr>
        <w:t xml:space="preserve">Parties an additional twenty days in which to file Exceptions.  As a result, Exceptions were due on or before September 11, 2014.  Replies to Exceptions were due within ten (10) days of the date that Exceptions were due </w:t>
      </w:r>
    </w:p>
    <w:p w:rsidR="00D7775B" w:rsidRDefault="00D7775B" w:rsidP="006B6701">
      <w:pPr>
        <w:ind w:firstLine="1440"/>
        <w:rPr>
          <w:sz w:val="26"/>
          <w:szCs w:val="26"/>
        </w:rPr>
      </w:pPr>
    </w:p>
    <w:p w:rsidR="00D7775B" w:rsidRDefault="00D7775B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In the </w:t>
      </w:r>
      <w:r w:rsidRPr="00D7775B">
        <w:rPr>
          <w:i/>
          <w:sz w:val="26"/>
          <w:szCs w:val="26"/>
        </w:rPr>
        <w:t>Secretarial Letter</w:t>
      </w:r>
      <w:r w:rsidR="008A64D2">
        <w:rPr>
          <w:sz w:val="26"/>
          <w:szCs w:val="26"/>
        </w:rPr>
        <w:t>,</w:t>
      </w:r>
      <w:r>
        <w:rPr>
          <w:sz w:val="26"/>
          <w:szCs w:val="26"/>
        </w:rPr>
        <w:t xml:space="preserve"> we explained that </w:t>
      </w:r>
      <w:r w:rsidR="00591B3C">
        <w:rPr>
          <w:sz w:val="26"/>
          <w:szCs w:val="26"/>
        </w:rPr>
        <w:t xml:space="preserve">52 Pa. Code § 1.15 permits the Commission to extend the time for performing an act, after the expiration of the specified period, “where reasonable grounds are shown for the failure to act.”  </w:t>
      </w:r>
      <w:r>
        <w:rPr>
          <w:sz w:val="26"/>
          <w:szCs w:val="26"/>
        </w:rPr>
        <w:t>Although the Motion wa</w:t>
      </w:r>
      <w:r w:rsidR="00AB6A72">
        <w:rPr>
          <w:sz w:val="26"/>
          <w:szCs w:val="26"/>
        </w:rPr>
        <w:t>s not clear as to when th</w:t>
      </w:r>
      <w:r w:rsidR="00CD4C58">
        <w:rPr>
          <w:sz w:val="26"/>
          <w:szCs w:val="26"/>
        </w:rPr>
        <w:t xml:space="preserve">e </w:t>
      </w:r>
      <w:r w:rsidR="009F7212">
        <w:rPr>
          <w:sz w:val="26"/>
          <w:szCs w:val="26"/>
        </w:rPr>
        <w:t xml:space="preserve">Complainant </w:t>
      </w:r>
      <w:r w:rsidR="00AB6A72">
        <w:rPr>
          <w:sz w:val="26"/>
          <w:szCs w:val="26"/>
        </w:rPr>
        <w:t>left for Alexandria to be with</w:t>
      </w:r>
      <w:r w:rsidR="00D77D01">
        <w:rPr>
          <w:sz w:val="26"/>
          <w:szCs w:val="26"/>
        </w:rPr>
        <w:t xml:space="preserve"> his dying family member</w:t>
      </w:r>
      <w:r>
        <w:rPr>
          <w:sz w:val="26"/>
          <w:szCs w:val="26"/>
        </w:rPr>
        <w:t xml:space="preserve">, we determined not to </w:t>
      </w:r>
      <w:r w:rsidR="00CD4C58">
        <w:rPr>
          <w:sz w:val="26"/>
          <w:szCs w:val="26"/>
        </w:rPr>
        <w:t xml:space="preserve">further delay this matter by </w:t>
      </w:r>
      <w:r w:rsidR="009F7212">
        <w:rPr>
          <w:sz w:val="26"/>
          <w:szCs w:val="26"/>
        </w:rPr>
        <w:t>holding a</w:t>
      </w:r>
      <w:r w:rsidR="00CD4C58">
        <w:rPr>
          <w:sz w:val="26"/>
          <w:szCs w:val="26"/>
        </w:rPr>
        <w:t>n evidentiary hearing</w:t>
      </w:r>
      <w:r w:rsidR="009F7212">
        <w:rPr>
          <w:sz w:val="26"/>
          <w:szCs w:val="26"/>
        </w:rPr>
        <w:t xml:space="preserve"> on the Motion</w:t>
      </w:r>
      <w:r w:rsidR="00CD4C58">
        <w:rPr>
          <w:sz w:val="26"/>
          <w:szCs w:val="26"/>
        </w:rPr>
        <w:t xml:space="preserve">.  </w:t>
      </w:r>
      <w:r w:rsidR="00920CD0">
        <w:rPr>
          <w:sz w:val="26"/>
          <w:szCs w:val="26"/>
        </w:rPr>
        <w:t>In</w:t>
      </w:r>
      <w:r w:rsidR="00CD4C58">
        <w:rPr>
          <w:sz w:val="26"/>
          <w:szCs w:val="26"/>
        </w:rPr>
        <w:t>stead, in</w:t>
      </w:r>
      <w:r w:rsidR="00920CD0">
        <w:rPr>
          <w:sz w:val="26"/>
          <w:szCs w:val="26"/>
        </w:rPr>
        <w:t xml:space="preserve"> the interest of securing the just, speedy and inexpensive determination of cases, 52 Pa. Code § 1.2(a), </w:t>
      </w:r>
      <w:r w:rsidR="00CD4C58">
        <w:rPr>
          <w:sz w:val="26"/>
          <w:szCs w:val="26"/>
        </w:rPr>
        <w:t xml:space="preserve">we </w:t>
      </w:r>
      <w:r w:rsidR="00591B3C">
        <w:rPr>
          <w:sz w:val="26"/>
          <w:szCs w:val="26"/>
        </w:rPr>
        <w:t>rescind</w:t>
      </w:r>
      <w:r>
        <w:rPr>
          <w:sz w:val="26"/>
          <w:szCs w:val="26"/>
        </w:rPr>
        <w:t>ed</w:t>
      </w:r>
      <w:r w:rsidR="00591B3C">
        <w:rPr>
          <w:sz w:val="26"/>
          <w:szCs w:val="26"/>
        </w:rPr>
        <w:t xml:space="preserve"> the final action in this case and </w:t>
      </w:r>
      <w:r w:rsidR="00CD4C58">
        <w:rPr>
          <w:sz w:val="26"/>
          <w:szCs w:val="26"/>
        </w:rPr>
        <w:t>grant</w:t>
      </w:r>
      <w:r>
        <w:rPr>
          <w:sz w:val="26"/>
          <w:szCs w:val="26"/>
        </w:rPr>
        <w:t>ed</w:t>
      </w:r>
      <w:r w:rsidR="00CD4C58">
        <w:rPr>
          <w:sz w:val="26"/>
          <w:szCs w:val="26"/>
        </w:rPr>
        <w:t xml:space="preserve"> the Parties a brief</w:t>
      </w:r>
      <w:r w:rsidR="00920CD0">
        <w:rPr>
          <w:sz w:val="26"/>
          <w:szCs w:val="26"/>
        </w:rPr>
        <w:t xml:space="preserve"> extension of time in which to file Exceptions</w:t>
      </w:r>
      <w:r>
        <w:rPr>
          <w:sz w:val="26"/>
          <w:szCs w:val="26"/>
        </w:rPr>
        <w:t xml:space="preserve"> and Replies to Exceptions as noted above</w:t>
      </w:r>
      <w:r w:rsidR="00920CD0">
        <w:rPr>
          <w:sz w:val="26"/>
          <w:szCs w:val="26"/>
        </w:rPr>
        <w:t xml:space="preserve">. </w:t>
      </w:r>
    </w:p>
    <w:p w:rsidR="00D7775B" w:rsidRDefault="00D7775B" w:rsidP="006B6701">
      <w:pPr>
        <w:ind w:firstLine="1440"/>
        <w:rPr>
          <w:sz w:val="26"/>
          <w:szCs w:val="26"/>
        </w:rPr>
      </w:pPr>
    </w:p>
    <w:p w:rsidR="00032D05" w:rsidRDefault="00D7775B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Commission mailed the </w:t>
      </w:r>
      <w:r w:rsidRPr="00D7775B">
        <w:rPr>
          <w:i/>
          <w:sz w:val="26"/>
          <w:szCs w:val="26"/>
        </w:rPr>
        <w:t>Secretarial Letter</w:t>
      </w:r>
      <w:r>
        <w:rPr>
          <w:sz w:val="26"/>
          <w:szCs w:val="26"/>
        </w:rPr>
        <w:t xml:space="preserve"> to the Parties at their address</w:t>
      </w:r>
      <w:r w:rsidR="00487462">
        <w:rPr>
          <w:sz w:val="26"/>
          <w:szCs w:val="26"/>
        </w:rPr>
        <w:t>es</w:t>
      </w:r>
      <w:r>
        <w:rPr>
          <w:sz w:val="26"/>
          <w:szCs w:val="26"/>
        </w:rPr>
        <w:t xml:space="preserve"> of record.  At th</w:t>
      </w:r>
      <w:r w:rsidR="000C2D3D">
        <w:rPr>
          <w:sz w:val="26"/>
          <w:szCs w:val="26"/>
        </w:rPr>
        <w:t>e time of mailing</w:t>
      </w:r>
      <w:r>
        <w:rPr>
          <w:sz w:val="26"/>
          <w:szCs w:val="26"/>
        </w:rPr>
        <w:t xml:space="preserve">, the Complainant’s address of record was the same address that the Complainant included in his Motion.  The Complainant had not notified the Commission of a new address, although he is required to apprise the Commission of any address changes during the course of a proceeding.  52 Pa. Code </w:t>
      </w:r>
      <w:r w:rsidR="006C5E2B">
        <w:rPr>
          <w:sz w:val="26"/>
          <w:szCs w:val="26"/>
        </w:rPr>
        <w:br/>
      </w:r>
      <w:r>
        <w:rPr>
          <w:sz w:val="26"/>
          <w:szCs w:val="26"/>
        </w:rPr>
        <w:t xml:space="preserve">§ 1.53(d).  </w:t>
      </w:r>
      <w:r w:rsidR="00AB31B7">
        <w:rPr>
          <w:sz w:val="26"/>
          <w:szCs w:val="26"/>
        </w:rPr>
        <w:t xml:space="preserve">The </w:t>
      </w:r>
      <w:r w:rsidR="00AB31B7" w:rsidRPr="00AB31B7">
        <w:rPr>
          <w:i/>
          <w:sz w:val="26"/>
          <w:szCs w:val="26"/>
        </w:rPr>
        <w:t>Secretarial Letter</w:t>
      </w:r>
      <w:r w:rsidR="00AB31B7">
        <w:rPr>
          <w:sz w:val="26"/>
          <w:szCs w:val="26"/>
        </w:rPr>
        <w:t xml:space="preserve"> addressed to the Complainant was subsequently </w:t>
      </w:r>
      <w:r>
        <w:rPr>
          <w:sz w:val="26"/>
          <w:szCs w:val="26"/>
        </w:rPr>
        <w:t>returned to the Commission</w:t>
      </w:r>
      <w:r w:rsidR="00AB31B7">
        <w:rPr>
          <w:sz w:val="26"/>
          <w:szCs w:val="26"/>
        </w:rPr>
        <w:t xml:space="preserve"> with a “Return to Sender” label.  </w:t>
      </w:r>
    </w:p>
    <w:p w:rsidR="00032D05" w:rsidRDefault="00032D05" w:rsidP="006B6701">
      <w:pPr>
        <w:ind w:firstLine="1440"/>
        <w:rPr>
          <w:sz w:val="26"/>
          <w:szCs w:val="26"/>
        </w:rPr>
      </w:pPr>
    </w:p>
    <w:p w:rsidR="00D7775B" w:rsidRDefault="00AB31B7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September 30, 2014, </w:t>
      </w:r>
      <w:r w:rsidR="000C2D3D">
        <w:rPr>
          <w:sz w:val="26"/>
          <w:szCs w:val="26"/>
        </w:rPr>
        <w:t>Commission staff attempted to contact the Complainant by telephone to verify his address.  The Complainant returned the call on September 30, 2014, and provided a new address of 5800 N. 17</w:t>
      </w:r>
      <w:r w:rsidR="000C2D3D" w:rsidRPr="000C2D3D">
        <w:rPr>
          <w:sz w:val="26"/>
          <w:szCs w:val="26"/>
          <w:vertAlign w:val="superscript"/>
        </w:rPr>
        <w:t>th</w:t>
      </w:r>
      <w:r w:rsidR="000C2D3D">
        <w:rPr>
          <w:sz w:val="26"/>
          <w:szCs w:val="26"/>
        </w:rPr>
        <w:t xml:space="preserve"> Street, Philadelphia, PA 19141.  </w:t>
      </w:r>
      <w:r w:rsidR="00B91DA3">
        <w:rPr>
          <w:sz w:val="26"/>
          <w:szCs w:val="26"/>
        </w:rPr>
        <w:t>The Parties should update their records accordingly.</w:t>
      </w:r>
    </w:p>
    <w:p w:rsidR="00032D05" w:rsidRDefault="00032D05" w:rsidP="006B6701">
      <w:pPr>
        <w:ind w:firstLine="1440"/>
        <w:rPr>
          <w:sz w:val="26"/>
          <w:szCs w:val="26"/>
        </w:rPr>
      </w:pPr>
    </w:p>
    <w:p w:rsidR="0013139E" w:rsidRDefault="00032D05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Because the Complainant </w:t>
      </w:r>
      <w:r w:rsidR="006C5E2B">
        <w:rPr>
          <w:sz w:val="26"/>
          <w:szCs w:val="26"/>
        </w:rPr>
        <w:t xml:space="preserve">did not receive the </w:t>
      </w:r>
      <w:r w:rsidR="006C5E2B" w:rsidRPr="00D7775B">
        <w:rPr>
          <w:i/>
          <w:sz w:val="26"/>
          <w:szCs w:val="26"/>
        </w:rPr>
        <w:t>Secretarial Letter</w:t>
      </w:r>
      <w:r w:rsidR="006C5E2B">
        <w:rPr>
          <w:sz w:val="26"/>
          <w:szCs w:val="26"/>
        </w:rPr>
        <w:t xml:space="preserve"> advising him of the opportunity to file Exceptions, and </w:t>
      </w:r>
      <w:r>
        <w:rPr>
          <w:sz w:val="26"/>
          <w:szCs w:val="26"/>
        </w:rPr>
        <w:t>provided the Commission with a new address of record, we extend</w:t>
      </w:r>
      <w:r w:rsidR="00BC3370">
        <w:rPr>
          <w:sz w:val="26"/>
          <w:szCs w:val="26"/>
        </w:rPr>
        <w:t>ed</w:t>
      </w:r>
      <w:r>
        <w:rPr>
          <w:sz w:val="26"/>
          <w:szCs w:val="26"/>
        </w:rPr>
        <w:t xml:space="preserve"> the due date for filing </w:t>
      </w:r>
      <w:r w:rsidR="00920CD0">
        <w:rPr>
          <w:sz w:val="26"/>
          <w:szCs w:val="26"/>
        </w:rPr>
        <w:t xml:space="preserve">Exceptions </w:t>
      </w:r>
      <w:r>
        <w:rPr>
          <w:sz w:val="26"/>
          <w:szCs w:val="26"/>
        </w:rPr>
        <w:t>to</w:t>
      </w:r>
      <w:r w:rsidR="00920CD0">
        <w:rPr>
          <w:sz w:val="26"/>
          <w:szCs w:val="26"/>
        </w:rPr>
        <w:t xml:space="preserve"> </w:t>
      </w:r>
      <w:r w:rsidR="00BC3370">
        <w:rPr>
          <w:sz w:val="26"/>
          <w:szCs w:val="26"/>
        </w:rPr>
        <w:t xml:space="preserve">October 23, 2014, pursuant to a subsequent Secretarial Letter dated October 3, 2014.  We also extended the due date for any </w:t>
      </w:r>
      <w:r w:rsidR="00920CD0">
        <w:rPr>
          <w:sz w:val="26"/>
          <w:szCs w:val="26"/>
        </w:rPr>
        <w:t xml:space="preserve">Replies </w:t>
      </w:r>
      <w:r w:rsidR="009619B2">
        <w:rPr>
          <w:sz w:val="26"/>
          <w:szCs w:val="26"/>
        </w:rPr>
        <w:t xml:space="preserve">to Exceptions </w:t>
      </w:r>
      <w:r w:rsidR="00BC3370">
        <w:rPr>
          <w:sz w:val="26"/>
          <w:szCs w:val="26"/>
        </w:rPr>
        <w:t>to November 3, 2014.  However, the Secretarial Letter</w:t>
      </w:r>
      <w:r w:rsidR="0013139E">
        <w:rPr>
          <w:sz w:val="26"/>
          <w:szCs w:val="26"/>
        </w:rPr>
        <w:t>, dated October 3, 2014,</w:t>
      </w:r>
      <w:r w:rsidR="00BC3370">
        <w:rPr>
          <w:sz w:val="26"/>
          <w:szCs w:val="26"/>
        </w:rPr>
        <w:t xml:space="preserve"> was inadvertently sent to Mr. Atuahene’s former address</w:t>
      </w:r>
      <w:r w:rsidR="0013139E">
        <w:rPr>
          <w:sz w:val="26"/>
          <w:szCs w:val="26"/>
        </w:rPr>
        <w:t xml:space="preserve"> and was returned as undeliverable.  </w:t>
      </w:r>
    </w:p>
    <w:p w:rsidR="0013139E" w:rsidRDefault="0013139E" w:rsidP="006B6701">
      <w:pPr>
        <w:ind w:firstLine="1440"/>
        <w:rPr>
          <w:sz w:val="26"/>
          <w:szCs w:val="26"/>
        </w:rPr>
      </w:pPr>
    </w:p>
    <w:p w:rsidR="00920CD0" w:rsidRDefault="0013139E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Accordingly, we </w:t>
      </w:r>
      <w:r w:rsidR="00920CD0">
        <w:rPr>
          <w:sz w:val="26"/>
          <w:szCs w:val="26"/>
        </w:rPr>
        <w:t xml:space="preserve">will </w:t>
      </w:r>
      <w:r>
        <w:rPr>
          <w:sz w:val="26"/>
          <w:szCs w:val="26"/>
        </w:rPr>
        <w:t>extend the due date for filing the Exceptions to twenty (20) days from the date of this letter</w:t>
      </w:r>
      <w:r w:rsidR="00284554">
        <w:rPr>
          <w:sz w:val="26"/>
          <w:szCs w:val="26"/>
        </w:rPr>
        <w:t>,</w:t>
      </w:r>
      <w:r>
        <w:rPr>
          <w:sz w:val="26"/>
          <w:szCs w:val="26"/>
        </w:rPr>
        <w:t xml:space="preserve"> set forth above.  In addition, Replies to Exceptions will be due within ten (10) days of the date Exceptions are due</w:t>
      </w:r>
      <w:r w:rsidR="009619B2">
        <w:rPr>
          <w:sz w:val="26"/>
          <w:szCs w:val="26"/>
        </w:rPr>
        <w:t xml:space="preserve">.  The Parties should consult the Secretary’s Letter dated </w:t>
      </w:r>
      <w:r w:rsidR="00AB6A72">
        <w:rPr>
          <w:sz w:val="26"/>
          <w:szCs w:val="26"/>
        </w:rPr>
        <w:t>April 18, 2014,</w:t>
      </w:r>
      <w:r w:rsidR="009619B2">
        <w:rPr>
          <w:sz w:val="26"/>
          <w:szCs w:val="26"/>
        </w:rPr>
        <w:t xml:space="preserve"> for instructions on filing Exceptions and Replies to Exceptions.  </w:t>
      </w:r>
    </w:p>
    <w:p w:rsidR="00032D05" w:rsidRDefault="00032D05" w:rsidP="006B6701">
      <w:pPr>
        <w:ind w:firstLine="1440"/>
        <w:rPr>
          <w:sz w:val="26"/>
          <w:szCs w:val="26"/>
        </w:rPr>
      </w:pPr>
    </w:p>
    <w:p w:rsidR="00032D05" w:rsidRDefault="008A64D2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Additionally, we remind Mr. Atuahene of his duty to notify the Commission of any </w:t>
      </w:r>
      <w:r w:rsidR="00BE412D">
        <w:rPr>
          <w:sz w:val="26"/>
          <w:szCs w:val="26"/>
        </w:rPr>
        <w:t xml:space="preserve">further </w:t>
      </w:r>
      <w:r>
        <w:rPr>
          <w:sz w:val="26"/>
          <w:szCs w:val="26"/>
        </w:rPr>
        <w:t xml:space="preserve">address changes during the course of this proceeding and any future failure to comply with 52 Pa. Code § 1.53(d) </w:t>
      </w:r>
      <w:r w:rsidR="006C5E2B">
        <w:rPr>
          <w:sz w:val="26"/>
          <w:szCs w:val="26"/>
        </w:rPr>
        <w:t>could</w:t>
      </w:r>
      <w:r>
        <w:rPr>
          <w:sz w:val="26"/>
          <w:szCs w:val="26"/>
        </w:rPr>
        <w:t xml:space="preserve"> result in the denial of any further Motions for </w:t>
      </w:r>
      <w:r w:rsidR="00487462">
        <w:rPr>
          <w:sz w:val="26"/>
          <w:szCs w:val="26"/>
        </w:rPr>
        <w:t>Enlargement of Time</w:t>
      </w:r>
      <w:r>
        <w:rPr>
          <w:sz w:val="26"/>
          <w:szCs w:val="26"/>
        </w:rPr>
        <w:t xml:space="preserve">.  </w:t>
      </w:r>
    </w:p>
    <w:p w:rsidR="00495711" w:rsidRDefault="00495711" w:rsidP="006B6701">
      <w:pPr>
        <w:ind w:firstLine="1440"/>
        <w:rPr>
          <w:sz w:val="26"/>
          <w:szCs w:val="26"/>
        </w:rPr>
      </w:pPr>
    </w:p>
    <w:p w:rsidR="008B17CB" w:rsidRDefault="00450DD6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br/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B17CB">
        <w:rPr>
          <w:sz w:val="26"/>
          <w:szCs w:val="26"/>
        </w:rPr>
        <w:t>Any questions regarding this correspondence should be addressed to Jonathan Nase in the Office of Special Assistants at (717)</w:t>
      </w:r>
      <w:r w:rsidR="00133019">
        <w:rPr>
          <w:sz w:val="26"/>
          <w:szCs w:val="26"/>
        </w:rPr>
        <w:t xml:space="preserve"> </w:t>
      </w:r>
      <w:r w:rsidR="008B17CB">
        <w:rPr>
          <w:sz w:val="26"/>
          <w:szCs w:val="26"/>
        </w:rPr>
        <w:t xml:space="preserve">787-3490, or </w:t>
      </w:r>
      <w:hyperlink r:id="rId10" w:history="1">
        <w:r w:rsidR="008B17CB" w:rsidRPr="00F2667F">
          <w:rPr>
            <w:rStyle w:val="Hyperlink"/>
            <w:sz w:val="26"/>
            <w:szCs w:val="26"/>
          </w:rPr>
          <w:t>jnase@pa.gov</w:t>
        </w:r>
      </w:hyperlink>
      <w:r w:rsidR="008B17CB">
        <w:rPr>
          <w:sz w:val="26"/>
          <w:szCs w:val="26"/>
        </w:rPr>
        <w:t>.</w:t>
      </w:r>
    </w:p>
    <w:p w:rsidR="00284554" w:rsidRDefault="00284554" w:rsidP="006B6701">
      <w:pPr>
        <w:ind w:firstLine="1440"/>
        <w:rPr>
          <w:sz w:val="26"/>
          <w:szCs w:val="26"/>
        </w:rPr>
      </w:pPr>
    </w:p>
    <w:p w:rsidR="00D17649" w:rsidRDefault="00540F47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A072B" w:rsidRPr="00D12C93" w:rsidRDefault="008C1300" w:rsidP="00EB6F1D">
      <w:pPr>
        <w:ind w:firstLine="4320"/>
        <w:rPr>
          <w:sz w:val="26"/>
          <w:szCs w:val="26"/>
        </w:rPr>
      </w:pPr>
      <w:bookmarkStart w:id="0" w:name="_GoBack"/>
      <w:r w:rsidRPr="00D43764">
        <w:rPr>
          <w:noProof/>
        </w:rPr>
        <w:drawing>
          <wp:anchor distT="0" distB="0" distL="114300" distR="114300" simplePos="0" relativeHeight="251659264" behindDoc="1" locked="0" layoutInCell="1" allowOverlap="1" wp14:anchorId="02FD90BC" wp14:editId="54A62AFA">
            <wp:simplePos x="0" y="0"/>
            <wp:positionH relativeFrom="column">
              <wp:posOffset>2446020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072B" w:rsidRPr="00D12C93">
        <w:rPr>
          <w:sz w:val="26"/>
          <w:szCs w:val="26"/>
        </w:rPr>
        <w:t>Very truly yours,</w:t>
      </w:r>
    </w:p>
    <w:p w:rsidR="003A072B" w:rsidRDefault="003A072B" w:rsidP="00E528E4">
      <w:pPr>
        <w:rPr>
          <w:sz w:val="26"/>
          <w:szCs w:val="26"/>
        </w:rPr>
      </w:pPr>
    </w:p>
    <w:p w:rsidR="00D77D01" w:rsidRDefault="00D77D01" w:rsidP="00E528E4">
      <w:pPr>
        <w:rPr>
          <w:sz w:val="26"/>
          <w:szCs w:val="26"/>
        </w:rPr>
      </w:pPr>
    </w:p>
    <w:p w:rsidR="003C00DF" w:rsidRDefault="003C00DF" w:rsidP="00EB6F1D">
      <w:pPr>
        <w:ind w:firstLine="4320"/>
        <w:rPr>
          <w:sz w:val="26"/>
          <w:szCs w:val="26"/>
        </w:rPr>
      </w:pPr>
    </w:p>
    <w:p w:rsidR="003A072B" w:rsidRPr="00D12C93" w:rsidRDefault="00EB6F1D" w:rsidP="00EB6F1D">
      <w:pPr>
        <w:ind w:firstLine="432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5B5AA7" w:rsidRPr="00D12C93" w:rsidRDefault="003A072B" w:rsidP="00C24900">
      <w:pPr>
        <w:ind w:firstLine="432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 w:rsidSect="00597A05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5B" w:rsidRDefault="00E1215B">
      <w:r>
        <w:separator/>
      </w:r>
    </w:p>
  </w:endnote>
  <w:endnote w:type="continuationSeparator" w:id="0">
    <w:p w:rsidR="00E1215B" w:rsidRDefault="00E1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70" w:rsidRPr="00495711" w:rsidRDefault="00BC3370">
    <w:pPr>
      <w:pStyle w:val="Footer"/>
      <w:jc w:val="center"/>
      <w:rPr>
        <w:sz w:val="26"/>
        <w:szCs w:val="26"/>
      </w:rPr>
    </w:pPr>
    <w:r w:rsidRPr="00495711">
      <w:rPr>
        <w:sz w:val="26"/>
        <w:szCs w:val="26"/>
      </w:rPr>
      <w:fldChar w:fldCharType="begin"/>
    </w:r>
    <w:r w:rsidRPr="00495711">
      <w:rPr>
        <w:sz w:val="26"/>
        <w:szCs w:val="26"/>
      </w:rPr>
      <w:instrText xml:space="preserve"> PAGE   \* MERGEFORMAT </w:instrText>
    </w:r>
    <w:r w:rsidRPr="00495711">
      <w:rPr>
        <w:sz w:val="26"/>
        <w:szCs w:val="26"/>
      </w:rPr>
      <w:fldChar w:fldCharType="separate"/>
    </w:r>
    <w:r w:rsidR="008C1300">
      <w:rPr>
        <w:noProof/>
        <w:sz w:val="26"/>
        <w:szCs w:val="26"/>
      </w:rPr>
      <w:t>3</w:t>
    </w:r>
    <w:r w:rsidRPr="00495711">
      <w:rPr>
        <w:noProof/>
        <w:sz w:val="26"/>
        <w:szCs w:val="26"/>
      </w:rPr>
      <w:fldChar w:fldCharType="end"/>
    </w:r>
  </w:p>
  <w:p w:rsidR="00BC3370" w:rsidRDefault="00BC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5B" w:rsidRDefault="00E1215B">
      <w:r>
        <w:separator/>
      </w:r>
    </w:p>
  </w:footnote>
  <w:footnote w:type="continuationSeparator" w:id="0">
    <w:p w:rsidR="00E1215B" w:rsidRDefault="00E1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4D77"/>
    <w:rsid w:val="00016793"/>
    <w:rsid w:val="00032D05"/>
    <w:rsid w:val="000354A6"/>
    <w:rsid w:val="000638ED"/>
    <w:rsid w:val="000A5ADF"/>
    <w:rsid w:val="000A659E"/>
    <w:rsid w:val="000C2D3D"/>
    <w:rsid w:val="000D020B"/>
    <w:rsid w:val="000D26F3"/>
    <w:rsid w:val="000D6753"/>
    <w:rsid w:val="000E32E1"/>
    <w:rsid w:val="000E3737"/>
    <w:rsid w:val="000F03BA"/>
    <w:rsid w:val="00105E0E"/>
    <w:rsid w:val="001209F1"/>
    <w:rsid w:val="0013139E"/>
    <w:rsid w:val="00133019"/>
    <w:rsid w:val="001352D9"/>
    <w:rsid w:val="00136BAB"/>
    <w:rsid w:val="00140417"/>
    <w:rsid w:val="00145471"/>
    <w:rsid w:val="00154FCD"/>
    <w:rsid w:val="00157590"/>
    <w:rsid w:val="001737A8"/>
    <w:rsid w:val="0018285B"/>
    <w:rsid w:val="001C1E78"/>
    <w:rsid w:val="001D3BD2"/>
    <w:rsid w:val="00201518"/>
    <w:rsid w:val="0021794B"/>
    <w:rsid w:val="002229C3"/>
    <w:rsid w:val="002462B6"/>
    <w:rsid w:val="00261373"/>
    <w:rsid w:val="00262E51"/>
    <w:rsid w:val="0026602D"/>
    <w:rsid w:val="00271249"/>
    <w:rsid w:val="00280392"/>
    <w:rsid w:val="00280CC0"/>
    <w:rsid w:val="00284554"/>
    <w:rsid w:val="00287550"/>
    <w:rsid w:val="0029471C"/>
    <w:rsid w:val="00295B24"/>
    <w:rsid w:val="002C0783"/>
    <w:rsid w:val="002D695B"/>
    <w:rsid w:val="002E28AA"/>
    <w:rsid w:val="003267D4"/>
    <w:rsid w:val="0033738E"/>
    <w:rsid w:val="0034399B"/>
    <w:rsid w:val="003677ED"/>
    <w:rsid w:val="00391858"/>
    <w:rsid w:val="003A072B"/>
    <w:rsid w:val="003A3D25"/>
    <w:rsid w:val="003A50C3"/>
    <w:rsid w:val="003C00DF"/>
    <w:rsid w:val="003C5852"/>
    <w:rsid w:val="003D2057"/>
    <w:rsid w:val="003E3BF1"/>
    <w:rsid w:val="003F35A4"/>
    <w:rsid w:val="00402592"/>
    <w:rsid w:val="00430047"/>
    <w:rsid w:val="00430574"/>
    <w:rsid w:val="004446DC"/>
    <w:rsid w:val="00450DD6"/>
    <w:rsid w:val="00466663"/>
    <w:rsid w:val="00487462"/>
    <w:rsid w:val="00495711"/>
    <w:rsid w:val="004C4874"/>
    <w:rsid w:val="004E7F64"/>
    <w:rsid w:val="00501CC5"/>
    <w:rsid w:val="00540F47"/>
    <w:rsid w:val="00591B3C"/>
    <w:rsid w:val="00597A05"/>
    <w:rsid w:val="005A37A2"/>
    <w:rsid w:val="005B5AA7"/>
    <w:rsid w:val="005E25C5"/>
    <w:rsid w:val="0060010C"/>
    <w:rsid w:val="00601B8D"/>
    <w:rsid w:val="00636D03"/>
    <w:rsid w:val="006430DB"/>
    <w:rsid w:val="006755C0"/>
    <w:rsid w:val="00683D7A"/>
    <w:rsid w:val="006A1B5E"/>
    <w:rsid w:val="006A4E56"/>
    <w:rsid w:val="006A70C9"/>
    <w:rsid w:val="006B0DE7"/>
    <w:rsid w:val="006B6701"/>
    <w:rsid w:val="006C5E2B"/>
    <w:rsid w:val="006D0288"/>
    <w:rsid w:val="006D2C48"/>
    <w:rsid w:val="006D3665"/>
    <w:rsid w:val="00706FBE"/>
    <w:rsid w:val="00726821"/>
    <w:rsid w:val="00750CFC"/>
    <w:rsid w:val="00762E1D"/>
    <w:rsid w:val="007702E3"/>
    <w:rsid w:val="007726C0"/>
    <w:rsid w:val="00795CC5"/>
    <w:rsid w:val="007C31AA"/>
    <w:rsid w:val="007D0C58"/>
    <w:rsid w:val="007D1483"/>
    <w:rsid w:val="007D663A"/>
    <w:rsid w:val="007D7BAC"/>
    <w:rsid w:val="007F2A5B"/>
    <w:rsid w:val="00801751"/>
    <w:rsid w:val="00807300"/>
    <w:rsid w:val="008640ED"/>
    <w:rsid w:val="008733C0"/>
    <w:rsid w:val="00887C03"/>
    <w:rsid w:val="00895AF3"/>
    <w:rsid w:val="008A64D2"/>
    <w:rsid w:val="008B17CB"/>
    <w:rsid w:val="008C1300"/>
    <w:rsid w:val="008C645A"/>
    <w:rsid w:val="008D17D5"/>
    <w:rsid w:val="008E3D93"/>
    <w:rsid w:val="00914D71"/>
    <w:rsid w:val="00920CD0"/>
    <w:rsid w:val="00951F75"/>
    <w:rsid w:val="009520ED"/>
    <w:rsid w:val="009619B2"/>
    <w:rsid w:val="00976A79"/>
    <w:rsid w:val="00986A3C"/>
    <w:rsid w:val="009A2D51"/>
    <w:rsid w:val="009F5F66"/>
    <w:rsid w:val="009F7212"/>
    <w:rsid w:val="009F723A"/>
    <w:rsid w:val="00A16BD8"/>
    <w:rsid w:val="00A37179"/>
    <w:rsid w:val="00AA618A"/>
    <w:rsid w:val="00AB31B7"/>
    <w:rsid w:val="00AB6A72"/>
    <w:rsid w:val="00AD689F"/>
    <w:rsid w:val="00B172C3"/>
    <w:rsid w:val="00B23734"/>
    <w:rsid w:val="00B3131B"/>
    <w:rsid w:val="00B54C9E"/>
    <w:rsid w:val="00B91DA3"/>
    <w:rsid w:val="00B939A4"/>
    <w:rsid w:val="00BC2FB9"/>
    <w:rsid w:val="00BC3334"/>
    <w:rsid w:val="00BC3370"/>
    <w:rsid w:val="00BD1065"/>
    <w:rsid w:val="00BE412D"/>
    <w:rsid w:val="00BE5119"/>
    <w:rsid w:val="00BF2F0E"/>
    <w:rsid w:val="00BF689F"/>
    <w:rsid w:val="00C013A1"/>
    <w:rsid w:val="00C24900"/>
    <w:rsid w:val="00C402A0"/>
    <w:rsid w:val="00C74A51"/>
    <w:rsid w:val="00CA50D1"/>
    <w:rsid w:val="00CA5B9C"/>
    <w:rsid w:val="00CA6C33"/>
    <w:rsid w:val="00CB5738"/>
    <w:rsid w:val="00CB640F"/>
    <w:rsid w:val="00CD4B72"/>
    <w:rsid w:val="00CD4C58"/>
    <w:rsid w:val="00CF73EC"/>
    <w:rsid w:val="00D12C93"/>
    <w:rsid w:val="00D17649"/>
    <w:rsid w:val="00D238F4"/>
    <w:rsid w:val="00D2516F"/>
    <w:rsid w:val="00D26C3C"/>
    <w:rsid w:val="00D62DCF"/>
    <w:rsid w:val="00D7775B"/>
    <w:rsid w:val="00D77D01"/>
    <w:rsid w:val="00DB2119"/>
    <w:rsid w:val="00DB6D5A"/>
    <w:rsid w:val="00DD04C0"/>
    <w:rsid w:val="00DE4157"/>
    <w:rsid w:val="00E06CDF"/>
    <w:rsid w:val="00E1215B"/>
    <w:rsid w:val="00E229FE"/>
    <w:rsid w:val="00E32378"/>
    <w:rsid w:val="00E354D8"/>
    <w:rsid w:val="00E528E4"/>
    <w:rsid w:val="00E57330"/>
    <w:rsid w:val="00E63F99"/>
    <w:rsid w:val="00E64C0F"/>
    <w:rsid w:val="00E70913"/>
    <w:rsid w:val="00E87F23"/>
    <w:rsid w:val="00E9038A"/>
    <w:rsid w:val="00E90D5D"/>
    <w:rsid w:val="00E928F1"/>
    <w:rsid w:val="00EB13E4"/>
    <w:rsid w:val="00EB6F1D"/>
    <w:rsid w:val="00EC7F84"/>
    <w:rsid w:val="00ED27A3"/>
    <w:rsid w:val="00EE7EB6"/>
    <w:rsid w:val="00EF3FBF"/>
    <w:rsid w:val="00EF7F10"/>
    <w:rsid w:val="00F04CF8"/>
    <w:rsid w:val="00F10506"/>
    <w:rsid w:val="00F32FC2"/>
    <w:rsid w:val="00F42C1D"/>
    <w:rsid w:val="00F43060"/>
    <w:rsid w:val="00F4349A"/>
    <w:rsid w:val="00F50FDD"/>
    <w:rsid w:val="00F649C8"/>
    <w:rsid w:val="00F65AE7"/>
    <w:rsid w:val="00F7094C"/>
    <w:rsid w:val="00F756FA"/>
    <w:rsid w:val="00F8037B"/>
    <w:rsid w:val="00F86217"/>
    <w:rsid w:val="00F90E04"/>
    <w:rsid w:val="00F912E6"/>
    <w:rsid w:val="00F9452A"/>
    <w:rsid w:val="00F9546C"/>
    <w:rsid w:val="00FA2411"/>
    <w:rsid w:val="00FA7D17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95711"/>
  </w:style>
  <w:style w:type="character" w:styleId="CommentReference">
    <w:name w:val="annotation reference"/>
    <w:basedOn w:val="DefaultParagraphFont"/>
    <w:rsid w:val="007702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2E3"/>
  </w:style>
  <w:style w:type="character" w:customStyle="1" w:styleId="CommentTextChar">
    <w:name w:val="Comment Text Char"/>
    <w:basedOn w:val="DefaultParagraphFont"/>
    <w:link w:val="CommentText"/>
    <w:rsid w:val="007702E3"/>
  </w:style>
  <w:style w:type="paragraph" w:styleId="CommentSubject">
    <w:name w:val="annotation subject"/>
    <w:basedOn w:val="CommentText"/>
    <w:next w:val="CommentText"/>
    <w:link w:val="CommentSubjectChar"/>
    <w:rsid w:val="0077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95711"/>
  </w:style>
  <w:style w:type="character" w:styleId="CommentReference">
    <w:name w:val="annotation reference"/>
    <w:basedOn w:val="DefaultParagraphFont"/>
    <w:rsid w:val="007702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2E3"/>
  </w:style>
  <w:style w:type="character" w:customStyle="1" w:styleId="CommentTextChar">
    <w:name w:val="Comment Text Char"/>
    <w:basedOn w:val="DefaultParagraphFont"/>
    <w:link w:val="CommentText"/>
    <w:rsid w:val="007702E3"/>
  </w:style>
  <w:style w:type="paragraph" w:styleId="CommentSubject">
    <w:name w:val="annotation subject"/>
    <w:basedOn w:val="CommentText"/>
    <w:next w:val="CommentText"/>
    <w:link w:val="CommentSubjectChar"/>
    <w:rsid w:val="0077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jnase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5433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</dc:creator>
  <cp:lastModifiedBy>Farner, Joyce</cp:lastModifiedBy>
  <cp:revision>6</cp:revision>
  <cp:lastPrinted>2014-10-27T16:49:00Z</cp:lastPrinted>
  <dcterms:created xsi:type="dcterms:W3CDTF">2014-10-24T14:59:00Z</dcterms:created>
  <dcterms:modified xsi:type="dcterms:W3CDTF">2014-10-27T16:49:00Z</dcterms:modified>
</cp:coreProperties>
</file>