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45" w:rsidRPr="004D72DF" w:rsidRDefault="00FF7A45" w:rsidP="00FF7A45">
      <w:pPr>
        <w:jc w:val="center"/>
        <w:rPr>
          <w:b/>
          <w:sz w:val="24"/>
          <w:szCs w:val="24"/>
        </w:rPr>
      </w:pPr>
      <w:r w:rsidRPr="004D72DF">
        <w:rPr>
          <w:b/>
          <w:sz w:val="24"/>
          <w:szCs w:val="24"/>
        </w:rPr>
        <w:t>BEFORE THE</w:t>
      </w:r>
    </w:p>
    <w:p w:rsidR="00FF7A45" w:rsidRPr="004D72DF" w:rsidRDefault="00FF7A45" w:rsidP="00FF7A45">
      <w:pPr>
        <w:jc w:val="center"/>
        <w:rPr>
          <w:sz w:val="24"/>
          <w:szCs w:val="24"/>
        </w:rPr>
      </w:pPr>
      <w:r w:rsidRPr="004D72DF">
        <w:rPr>
          <w:b/>
          <w:sz w:val="24"/>
          <w:szCs w:val="24"/>
        </w:rPr>
        <w:t>PENNSYLVANIA PUBLIC UTILITY COMMISSION</w:t>
      </w:r>
    </w:p>
    <w:p w:rsidR="00FF7A45" w:rsidRPr="004D72DF" w:rsidRDefault="00FF7A45" w:rsidP="00FF7A45">
      <w:pPr>
        <w:jc w:val="center"/>
        <w:rPr>
          <w:sz w:val="24"/>
          <w:szCs w:val="24"/>
        </w:rPr>
      </w:pPr>
    </w:p>
    <w:p w:rsidR="00FF7A45" w:rsidRPr="004D72DF" w:rsidRDefault="00FF7A45" w:rsidP="00FF7A45">
      <w:pPr>
        <w:jc w:val="center"/>
        <w:rPr>
          <w:sz w:val="24"/>
          <w:szCs w:val="24"/>
        </w:rPr>
      </w:pPr>
    </w:p>
    <w:p w:rsidR="00FF7A45" w:rsidRPr="004D72DF" w:rsidRDefault="008755B1" w:rsidP="00FF7A45">
      <w:pPr>
        <w:jc w:val="both"/>
        <w:rPr>
          <w:sz w:val="24"/>
          <w:szCs w:val="24"/>
        </w:rPr>
      </w:pPr>
      <w:r w:rsidRPr="004D72DF">
        <w:rPr>
          <w:sz w:val="24"/>
          <w:szCs w:val="24"/>
        </w:rPr>
        <w:t>Joseph Rebitz</w:t>
      </w:r>
      <w:r w:rsidR="00DC0857" w:rsidRPr="004D72DF">
        <w:rPr>
          <w:sz w:val="24"/>
          <w:szCs w:val="24"/>
        </w:rPr>
        <w:tab/>
      </w:r>
      <w:r w:rsidR="003E1A5A" w:rsidRPr="004D72DF">
        <w:rPr>
          <w:sz w:val="24"/>
          <w:szCs w:val="24"/>
        </w:rPr>
        <w:t xml:space="preserve"> </w:t>
      </w:r>
      <w:r w:rsidR="00FF7A45" w:rsidRPr="004D72DF">
        <w:rPr>
          <w:sz w:val="24"/>
          <w:szCs w:val="24"/>
        </w:rPr>
        <w:tab/>
      </w:r>
      <w:r w:rsidR="00972D20" w:rsidRPr="004D72DF">
        <w:rPr>
          <w:sz w:val="24"/>
          <w:szCs w:val="24"/>
        </w:rPr>
        <w:tab/>
      </w:r>
      <w:r w:rsidR="00972D20" w:rsidRPr="004D72DF">
        <w:rPr>
          <w:sz w:val="24"/>
          <w:szCs w:val="24"/>
        </w:rPr>
        <w:tab/>
      </w:r>
      <w:r w:rsidR="00972D20" w:rsidRPr="004D72DF">
        <w:rPr>
          <w:sz w:val="24"/>
          <w:szCs w:val="24"/>
        </w:rPr>
        <w:tab/>
      </w:r>
      <w:r w:rsidR="00972D20" w:rsidRPr="004D72DF">
        <w:rPr>
          <w:sz w:val="24"/>
          <w:szCs w:val="24"/>
        </w:rPr>
        <w:tab/>
      </w:r>
      <w:r w:rsidR="00FF7A45" w:rsidRPr="004D72DF">
        <w:rPr>
          <w:sz w:val="24"/>
          <w:szCs w:val="24"/>
        </w:rPr>
        <w:t>:</w:t>
      </w:r>
    </w:p>
    <w:p w:rsidR="00FF7A45" w:rsidRPr="004D72DF" w:rsidRDefault="00FF7A45" w:rsidP="00FF7A45">
      <w:pPr>
        <w:jc w:val="both"/>
        <w:rPr>
          <w:sz w:val="24"/>
          <w:szCs w:val="24"/>
        </w:rPr>
      </w:pP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t>:</w:t>
      </w:r>
    </w:p>
    <w:p w:rsidR="00FF7A45" w:rsidRPr="004D72DF" w:rsidRDefault="00FF7A45" w:rsidP="00FF7A45">
      <w:pPr>
        <w:jc w:val="both"/>
        <w:rPr>
          <w:sz w:val="24"/>
          <w:szCs w:val="24"/>
        </w:rPr>
      </w:pPr>
      <w:r w:rsidRPr="004D72DF">
        <w:rPr>
          <w:sz w:val="24"/>
          <w:szCs w:val="24"/>
        </w:rPr>
        <w:t xml:space="preserve">      v.</w:t>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t>:</w:t>
      </w:r>
      <w:r w:rsidRPr="004D72DF">
        <w:rPr>
          <w:sz w:val="24"/>
          <w:szCs w:val="24"/>
        </w:rPr>
        <w:tab/>
      </w:r>
      <w:r w:rsidRPr="004D72DF">
        <w:rPr>
          <w:sz w:val="24"/>
          <w:szCs w:val="24"/>
        </w:rPr>
        <w:tab/>
      </w:r>
      <w:r w:rsidR="003E1A5A" w:rsidRPr="004D72DF">
        <w:rPr>
          <w:sz w:val="24"/>
          <w:szCs w:val="24"/>
        </w:rPr>
        <w:t>C</w:t>
      </w:r>
      <w:r w:rsidR="00972D20" w:rsidRPr="004D72DF">
        <w:rPr>
          <w:sz w:val="24"/>
          <w:szCs w:val="24"/>
        </w:rPr>
        <w:t>-201</w:t>
      </w:r>
      <w:r w:rsidR="008755B1" w:rsidRPr="004D72DF">
        <w:rPr>
          <w:sz w:val="24"/>
          <w:szCs w:val="24"/>
        </w:rPr>
        <w:t>4-2444250</w:t>
      </w:r>
    </w:p>
    <w:p w:rsidR="00FF7A45" w:rsidRPr="004D72DF" w:rsidRDefault="00FF7A45" w:rsidP="00FF7A45">
      <w:pPr>
        <w:jc w:val="both"/>
        <w:rPr>
          <w:sz w:val="24"/>
          <w:szCs w:val="24"/>
        </w:rPr>
      </w:pP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t>:</w:t>
      </w:r>
    </w:p>
    <w:p w:rsidR="00FF7A45" w:rsidRPr="004D72DF" w:rsidRDefault="008755B1" w:rsidP="00FF7A45">
      <w:pPr>
        <w:jc w:val="both"/>
        <w:rPr>
          <w:sz w:val="24"/>
          <w:szCs w:val="24"/>
        </w:rPr>
      </w:pPr>
      <w:r w:rsidRPr="004D72DF">
        <w:rPr>
          <w:sz w:val="24"/>
          <w:szCs w:val="24"/>
        </w:rPr>
        <w:t xml:space="preserve">PECO Energy </w:t>
      </w:r>
      <w:r w:rsidR="00972D20" w:rsidRPr="004D72DF">
        <w:rPr>
          <w:sz w:val="24"/>
          <w:szCs w:val="24"/>
        </w:rPr>
        <w:t>Company</w:t>
      </w:r>
      <w:r w:rsidR="00FF7A45" w:rsidRPr="004D72DF">
        <w:rPr>
          <w:sz w:val="24"/>
          <w:szCs w:val="24"/>
        </w:rPr>
        <w:tab/>
      </w:r>
      <w:r w:rsidR="00FF7A45" w:rsidRPr="004D72DF">
        <w:rPr>
          <w:sz w:val="24"/>
          <w:szCs w:val="24"/>
        </w:rPr>
        <w:tab/>
      </w:r>
      <w:r w:rsidR="00FF7A45" w:rsidRPr="004D72DF">
        <w:rPr>
          <w:sz w:val="24"/>
          <w:szCs w:val="24"/>
        </w:rPr>
        <w:tab/>
      </w:r>
      <w:r w:rsidRPr="004D72DF">
        <w:rPr>
          <w:sz w:val="24"/>
          <w:szCs w:val="24"/>
        </w:rPr>
        <w:tab/>
      </w:r>
      <w:r w:rsidR="00FF7A45" w:rsidRPr="004D72DF">
        <w:rPr>
          <w:sz w:val="24"/>
          <w:szCs w:val="24"/>
        </w:rPr>
        <w:t>:</w:t>
      </w:r>
    </w:p>
    <w:p w:rsidR="00FF7A45" w:rsidRPr="004D72DF" w:rsidRDefault="001E0BD2" w:rsidP="00FF7A45">
      <w:pPr>
        <w:jc w:val="both"/>
        <w:rPr>
          <w:sz w:val="24"/>
          <w:szCs w:val="24"/>
        </w:rPr>
      </w:pP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t>:</w:t>
      </w:r>
    </w:p>
    <w:p w:rsidR="008755B1" w:rsidRPr="004D72DF" w:rsidRDefault="008755B1" w:rsidP="008755B1">
      <w:pPr>
        <w:jc w:val="both"/>
        <w:rPr>
          <w:sz w:val="24"/>
          <w:szCs w:val="24"/>
        </w:rPr>
      </w:pPr>
      <w:r w:rsidRPr="004D72DF">
        <w:rPr>
          <w:sz w:val="24"/>
          <w:szCs w:val="24"/>
        </w:rPr>
        <w:t>Joseph Rebitz</w:t>
      </w:r>
      <w:r w:rsidR="00DC0857" w:rsidRPr="004D72DF">
        <w:rPr>
          <w:sz w:val="24"/>
          <w:szCs w:val="24"/>
        </w:rPr>
        <w:tab/>
      </w:r>
      <w:r w:rsidRPr="004D72DF">
        <w:rPr>
          <w:sz w:val="24"/>
          <w:szCs w:val="24"/>
        </w:rPr>
        <w:t xml:space="preserve"> </w:t>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t>:</w:t>
      </w:r>
    </w:p>
    <w:p w:rsidR="008755B1" w:rsidRPr="004D72DF" w:rsidRDefault="008755B1" w:rsidP="008755B1">
      <w:pPr>
        <w:jc w:val="both"/>
        <w:rPr>
          <w:sz w:val="24"/>
          <w:szCs w:val="24"/>
        </w:rPr>
      </w:pP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t>:</w:t>
      </w:r>
    </w:p>
    <w:p w:rsidR="008755B1" w:rsidRPr="004D72DF" w:rsidRDefault="008755B1" w:rsidP="008755B1">
      <w:pPr>
        <w:jc w:val="both"/>
        <w:rPr>
          <w:sz w:val="24"/>
          <w:szCs w:val="24"/>
        </w:rPr>
      </w:pPr>
      <w:r w:rsidRPr="004D72DF">
        <w:rPr>
          <w:sz w:val="24"/>
          <w:szCs w:val="24"/>
        </w:rPr>
        <w:t xml:space="preserve">      v.</w:t>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t>:</w:t>
      </w:r>
      <w:r w:rsidRPr="004D72DF">
        <w:rPr>
          <w:sz w:val="24"/>
          <w:szCs w:val="24"/>
        </w:rPr>
        <w:tab/>
      </w:r>
      <w:r w:rsidRPr="004D72DF">
        <w:rPr>
          <w:sz w:val="24"/>
          <w:szCs w:val="24"/>
        </w:rPr>
        <w:tab/>
        <w:t>F-2014-2445738</w:t>
      </w:r>
    </w:p>
    <w:p w:rsidR="008755B1" w:rsidRPr="004D72DF" w:rsidRDefault="008755B1" w:rsidP="008755B1">
      <w:pPr>
        <w:jc w:val="both"/>
        <w:rPr>
          <w:sz w:val="24"/>
          <w:szCs w:val="24"/>
        </w:rPr>
      </w:pP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t>:</w:t>
      </w:r>
    </w:p>
    <w:p w:rsidR="008755B1" w:rsidRPr="004D72DF" w:rsidRDefault="008755B1" w:rsidP="008755B1">
      <w:pPr>
        <w:jc w:val="both"/>
        <w:rPr>
          <w:sz w:val="24"/>
          <w:szCs w:val="24"/>
        </w:rPr>
      </w:pPr>
      <w:r w:rsidRPr="004D72DF">
        <w:rPr>
          <w:sz w:val="24"/>
          <w:szCs w:val="24"/>
        </w:rPr>
        <w:t>PECO Energy Company</w:t>
      </w:r>
      <w:r w:rsidRPr="004D72DF">
        <w:rPr>
          <w:sz w:val="24"/>
          <w:szCs w:val="24"/>
        </w:rPr>
        <w:tab/>
      </w:r>
      <w:r w:rsidRPr="004D72DF">
        <w:rPr>
          <w:sz w:val="24"/>
          <w:szCs w:val="24"/>
        </w:rPr>
        <w:tab/>
      </w:r>
      <w:r w:rsidRPr="004D72DF">
        <w:rPr>
          <w:sz w:val="24"/>
          <w:szCs w:val="24"/>
        </w:rPr>
        <w:tab/>
      </w:r>
      <w:r w:rsidRPr="004D72DF">
        <w:rPr>
          <w:sz w:val="24"/>
          <w:szCs w:val="24"/>
        </w:rPr>
        <w:tab/>
        <w:t>:</w:t>
      </w:r>
    </w:p>
    <w:p w:rsidR="008755B1" w:rsidRPr="004D72DF" w:rsidRDefault="008755B1" w:rsidP="008755B1">
      <w:pPr>
        <w:jc w:val="both"/>
        <w:rPr>
          <w:sz w:val="24"/>
          <w:szCs w:val="24"/>
        </w:rPr>
      </w:pP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r>
      <w:r w:rsidRPr="004D72DF">
        <w:rPr>
          <w:sz w:val="24"/>
          <w:szCs w:val="24"/>
        </w:rPr>
        <w:tab/>
        <w:t>:</w:t>
      </w:r>
    </w:p>
    <w:p w:rsidR="0003534D" w:rsidRPr="004D72DF" w:rsidRDefault="0003534D" w:rsidP="0003534D">
      <w:pPr>
        <w:ind w:left="360"/>
        <w:jc w:val="both"/>
        <w:rPr>
          <w:sz w:val="24"/>
          <w:szCs w:val="24"/>
        </w:rPr>
      </w:pPr>
      <w:r w:rsidRPr="004D72DF">
        <w:rPr>
          <w:sz w:val="24"/>
          <w:szCs w:val="24"/>
        </w:rPr>
        <w:tab/>
      </w:r>
    </w:p>
    <w:p w:rsidR="00FF7A45" w:rsidRPr="004D72DF" w:rsidRDefault="00FF7A45" w:rsidP="00533710">
      <w:pPr>
        <w:spacing w:line="360" w:lineRule="auto"/>
        <w:jc w:val="both"/>
        <w:rPr>
          <w:sz w:val="24"/>
          <w:szCs w:val="24"/>
        </w:rPr>
      </w:pPr>
    </w:p>
    <w:p w:rsidR="00FF7A45" w:rsidRPr="004D72DF" w:rsidRDefault="00A6070B" w:rsidP="00533710">
      <w:pPr>
        <w:spacing w:line="360" w:lineRule="auto"/>
        <w:jc w:val="center"/>
        <w:rPr>
          <w:b/>
          <w:sz w:val="24"/>
          <w:szCs w:val="24"/>
          <w:u w:val="single"/>
        </w:rPr>
      </w:pPr>
      <w:r w:rsidRPr="004D72DF">
        <w:rPr>
          <w:b/>
          <w:sz w:val="24"/>
          <w:szCs w:val="24"/>
          <w:u w:val="single"/>
        </w:rPr>
        <w:t>ORDER CONSOLIDATING PROCEEDINGS</w:t>
      </w:r>
    </w:p>
    <w:p w:rsidR="00533710" w:rsidRPr="004D72DF" w:rsidRDefault="00533710" w:rsidP="00533710">
      <w:pPr>
        <w:spacing w:line="360" w:lineRule="auto"/>
        <w:ind w:firstLine="1440"/>
        <w:rPr>
          <w:sz w:val="24"/>
          <w:szCs w:val="24"/>
        </w:rPr>
      </w:pPr>
    </w:p>
    <w:p w:rsidR="000B1DD9" w:rsidRPr="004D72DF" w:rsidRDefault="00FF7A45" w:rsidP="00533710">
      <w:pPr>
        <w:spacing w:line="360" w:lineRule="auto"/>
        <w:ind w:firstLine="1440"/>
        <w:rPr>
          <w:sz w:val="24"/>
          <w:szCs w:val="24"/>
        </w:rPr>
      </w:pPr>
      <w:r w:rsidRPr="004D72DF">
        <w:rPr>
          <w:sz w:val="24"/>
          <w:szCs w:val="24"/>
        </w:rPr>
        <w:t xml:space="preserve">On </w:t>
      </w:r>
      <w:r w:rsidR="00DC0857" w:rsidRPr="004D72DF">
        <w:rPr>
          <w:sz w:val="24"/>
          <w:szCs w:val="24"/>
        </w:rPr>
        <w:t>September 10, 2014</w:t>
      </w:r>
      <w:r w:rsidR="00D93BEE" w:rsidRPr="004D72DF">
        <w:rPr>
          <w:sz w:val="24"/>
          <w:szCs w:val="24"/>
        </w:rPr>
        <w:t xml:space="preserve">, </w:t>
      </w:r>
      <w:r w:rsidR="00DC0857" w:rsidRPr="004D72DF">
        <w:rPr>
          <w:sz w:val="24"/>
          <w:szCs w:val="24"/>
        </w:rPr>
        <w:t>Joseph Rebitz</w:t>
      </w:r>
      <w:r w:rsidR="001E1E25" w:rsidRPr="004D72DF">
        <w:rPr>
          <w:sz w:val="24"/>
          <w:szCs w:val="24"/>
        </w:rPr>
        <w:t xml:space="preserve"> (</w:t>
      </w:r>
      <w:r w:rsidR="00972D20" w:rsidRPr="004D72DF">
        <w:rPr>
          <w:sz w:val="24"/>
          <w:szCs w:val="24"/>
        </w:rPr>
        <w:t>Complainant</w:t>
      </w:r>
      <w:r w:rsidR="001E1E25" w:rsidRPr="004D72DF">
        <w:rPr>
          <w:sz w:val="24"/>
          <w:szCs w:val="24"/>
        </w:rPr>
        <w:t xml:space="preserve">) filed a </w:t>
      </w:r>
      <w:r w:rsidR="00D93BEE" w:rsidRPr="004D72DF">
        <w:rPr>
          <w:sz w:val="24"/>
          <w:szCs w:val="24"/>
        </w:rPr>
        <w:t>c</w:t>
      </w:r>
      <w:r w:rsidR="001E1E25" w:rsidRPr="004D72DF">
        <w:rPr>
          <w:sz w:val="24"/>
          <w:szCs w:val="24"/>
        </w:rPr>
        <w:t xml:space="preserve">omplaint </w:t>
      </w:r>
      <w:r w:rsidR="00E76E50" w:rsidRPr="004D72DF">
        <w:rPr>
          <w:sz w:val="24"/>
          <w:szCs w:val="24"/>
        </w:rPr>
        <w:t xml:space="preserve">with the Pennsylvania Public </w:t>
      </w:r>
      <w:r w:rsidR="00885F05" w:rsidRPr="004D72DF">
        <w:rPr>
          <w:sz w:val="24"/>
          <w:szCs w:val="24"/>
        </w:rPr>
        <w:t xml:space="preserve">Utility </w:t>
      </w:r>
      <w:r w:rsidR="00E76E50" w:rsidRPr="004D72DF">
        <w:rPr>
          <w:sz w:val="24"/>
          <w:szCs w:val="24"/>
        </w:rPr>
        <w:t>Commission (Commission)</w:t>
      </w:r>
      <w:r w:rsidR="00833B0D" w:rsidRPr="004D72DF">
        <w:rPr>
          <w:sz w:val="24"/>
          <w:szCs w:val="24"/>
        </w:rPr>
        <w:t xml:space="preserve"> </w:t>
      </w:r>
      <w:r w:rsidR="001E1E25" w:rsidRPr="004D72DF">
        <w:rPr>
          <w:sz w:val="24"/>
          <w:szCs w:val="24"/>
        </w:rPr>
        <w:t xml:space="preserve">against </w:t>
      </w:r>
      <w:r w:rsidR="00DC0857" w:rsidRPr="004D72DF">
        <w:rPr>
          <w:sz w:val="24"/>
          <w:szCs w:val="24"/>
        </w:rPr>
        <w:t xml:space="preserve">PECO Electric </w:t>
      </w:r>
      <w:r w:rsidR="00972D20" w:rsidRPr="004D72DF">
        <w:rPr>
          <w:sz w:val="24"/>
          <w:szCs w:val="24"/>
        </w:rPr>
        <w:t>Company</w:t>
      </w:r>
      <w:r w:rsidR="002F2F6A" w:rsidRPr="004D72DF">
        <w:rPr>
          <w:sz w:val="24"/>
          <w:szCs w:val="24"/>
        </w:rPr>
        <w:t xml:space="preserve"> </w:t>
      </w:r>
      <w:r w:rsidR="00E76E50" w:rsidRPr="004D72DF">
        <w:rPr>
          <w:sz w:val="24"/>
          <w:szCs w:val="24"/>
        </w:rPr>
        <w:t>(</w:t>
      </w:r>
      <w:r w:rsidR="00D93BEE" w:rsidRPr="004D72DF">
        <w:rPr>
          <w:sz w:val="24"/>
          <w:szCs w:val="24"/>
        </w:rPr>
        <w:t>R</w:t>
      </w:r>
      <w:r w:rsidR="00E76E50" w:rsidRPr="004D72DF">
        <w:rPr>
          <w:sz w:val="24"/>
          <w:szCs w:val="24"/>
        </w:rPr>
        <w:t>espondent)</w:t>
      </w:r>
      <w:r w:rsidR="00D93BEE" w:rsidRPr="004D72DF">
        <w:rPr>
          <w:sz w:val="24"/>
          <w:szCs w:val="24"/>
        </w:rPr>
        <w:t xml:space="preserve">.  </w:t>
      </w:r>
      <w:r w:rsidR="002326E9" w:rsidRPr="004D72DF">
        <w:rPr>
          <w:sz w:val="24"/>
          <w:szCs w:val="24"/>
        </w:rPr>
        <w:t xml:space="preserve">The Commission docketed this complaint at </w:t>
      </w:r>
      <w:r w:rsidR="00DC0857" w:rsidRPr="004D72DF">
        <w:rPr>
          <w:sz w:val="24"/>
          <w:szCs w:val="24"/>
        </w:rPr>
        <w:t>C-2014-2444250</w:t>
      </w:r>
      <w:r w:rsidR="002326E9" w:rsidRPr="004D72DF">
        <w:rPr>
          <w:sz w:val="24"/>
          <w:szCs w:val="24"/>
        </w:rPr>
        <w:t xml:space="preserve">.  </w:t>
      </w:r>
      <w:r w:rsidR="00677A4F" w:rsidRPr="004D72DF">
        <w:rPr>
          <w:sz w:val="24"/>
          <w:szCs w:val="24"/>
        </w:rPr>
        <w:t xml:space="preserve">The complaint alleges that </w:t>
      </w:r>
      <w:r w:rsidR="0059106D" w:rsidRPr="004D72DF">
        <w:rPr>
          <w:sz w:val="24"/>
          <w:szCs w:val="24"/>
        </w:rPr>
        <w:t>the</w:t>
      </w:r>
      <w:r w:rsidR="00DC0857" w:rsidRPr="004D72DF">
        <w:rPr>
          <w:sz w:val="24"/>
          <w:szCs w:val="24"/>
        </w:rPr>
        <w:t xml:space="preserve"> Complainant has a past due balance of $3,059.43 and requests a payment arrangement.</w:t>
      </w:r>
      <w:r w:rsidR="00B50CC1" w:rsidRPr="004D72DF">
        <w:rPr>
          <w:sz w:val="24"/>
          <w:szCs w:val="24"/>
        </w:rPr>
        <w:t xml:space="preserve"> </w:t>
      </w:r>
    </w:p>
    <w:p w:rsidR="000B1DD9" w:rsidRPr="004D72DF" w:rsidRDefault="000B1DD9" w:rsidP="00FF7A45">
      <w:pPr>
        <w:spacing w:line="360" w:lineRule="auto"/>
        <w:ind w:firstLine="1440"/>
        <w:rPr>
          <w:sz w:val="24"/>
          <w:szCs w:val="24"/>
        </w:rPr>
      </w:pPr>
    </w:p>
    <w:p w:rsidR="0059106D" w:rsidRPr="004D72DF" w:rsidRDefault="000B1DD9" w:rsidP="00FF7A45">
      <w:pPr>
        <w:spacing w:line="360" w:lineRule="auto"/>
        <w:ind w:firstLine="1440"/>
        <w:rPr>
          <w:sz w:val="24"/>
          <w:szCs w:val="24"/>
        </w:rPr>
      </w:pPr>
      <w:r w:rsidRPr="004D72DF">
        <w:rPr>
          <w:sz w:val="24"/>
          <w:szCs w:val="24"/>
        </w:rPr>
        <w:t xml:space="preserve">On </w:t>
      </w:r>
      <w:r w:rsidR="002D3FFE" w:rsidRPr="004D72DF">
        <w:rPr>
          <w:sz w:val="24"/>
          <w:szCs w:val="24"/>
        </w:rPr>
        <w:t>October 7, 2014</w:t>
      </w:r>
      <w:r w:rsidRPr="004D72DF">
        <w:rPr>
          <w:sz w:val="24"/>
          <w:szCs w:val="24"/>
        </w:rPr>
        <w:t xml:space="preserve">, the Respondent filed an answer </w:t>
      </w:r>
      <w:r w:rsidR="0059106D" w:rsidRPr="004D72DF">
        <w:rPr>
          <w:sz w:val="24"/>
          <w:szCs w:val="24"/>
        </w:rPr>
        <w:t xml:space="preserve">with new matter </w:t>
      </w:r>
      <w:r w:rsidRPr="004D72DF">
        <w:rPr>
          <w:sz w:val="24"/>
          <w:szCs w:val="24"/>
        </w:rPr>
        <w:t>to the complaint</w:t>
      </w:r>
      <w:r w:rsidR="002326E9" w:rsidRPr="004D72DF">
        <w:rPr>
          <w:sz w:val="24"/>
          <w:szCs w:val="24"/>
        </w:rPr>
        <w:t xml:space="preserve"> at </w:t>
      </w:r>
      <w:r w:rsidR="002D3FFE" w:rsidRPr="004D72DF">
        <w:rPr>
          <w:sz w:val="24"/>
          <w:szCs w:val="24"/>
        </w:rPr>
        <w:t>C-2014-2444250</w:t>
      </w:r>
      <w:r w:rsidRPr="004D72DF">
        <w:rPr>
          <w:sz w:val="24"/>
          <w:szCs w:val="24"/>
        </w:rPr>
        <w:t>.</w:t>
      </w:r>
      <w:r w:rsidR="002326E9" w:rsidRPr="004D72DF">
        <w:rPr>
          <w:sz w:val="24"/>
          <w:szCs w:val="24"/>
        </w:rPr>
        <w:t xml:space="preserve">  </w:t>
      </w:r>
      <w:r w:rsidRPr="004D72DF">
        <w:rPr>
          <w:sz w:val="24"/>
          <w:szCs w:val="24"/>
        </w:rPr>
        <w:t xml:space="preserve">The answer </w:t>
      </w:r>
      <w:r w:rsidR="002D3FFE" w:rsidRPr="004D72DF">
        <w:rPr>
          <w:sz w:val="24"/>
          <w:szCs w:val="24"/>
        </w:rPr>
        <w:t xml:space="preserve">admits that the Respondent provides service to the Complainant at the address shown on the complaint.  </w:t>
      </w:r>
      <w:r w:rsidR="002D3FFE" w:rsidRPr="004D72DF">
        <w:rPr>
          <w:sz w:val="24"/>
        </w:rPr>
        <w:t>Attached to the answer is a document marked as Exhibit 1 which is a copy of the Complainant’s account history.</w:t>
      </w:r>
      <w:r w:rsidR="002D3FFE" w:rsidRPr="004D72DF">
        <w:rPr>
          <w:sz w:val="24"/>
          <w:szCs w:val="24"/>
        </w:rPr>
        <w:t xml:space="preserve">  </w:t>
      </w:r>
    </w:p>
    <w:p w:rsidR="007739F5" w:rsidRPr="004D72DF" w:rsidRDefault="007739F5" w:rsidP="00FF7A45">
      <w:pPr>
        <w:spacing w:line="360" w:lineRule="auto"/>
        <w:ind w:firstLine="1440"/>
        <w:rPr>
          <w:sz w:val="24"/>
          <w:szCs w:val="24"/>
        </w:rPr>
      </w:pPr>
    </w:p>
    <w:p w:rsidR="007739F5" w:rsidRPr="004D72DF" w:rsidRDefault="007739F5" w:rsidP="00FF7A45">
      <w:pPr>
        <w:spacing w:line="360" w:lineRule="auto"/>
        <w:ind w:firstLine="1440"/>
        <w:rPr>
          <w:sz w:val="24"/>
          <w:szCs w:val="24"/>
        </w:rPr>
      </w:pPr>
      <w:r w:rsidRPr="004D72DF">
        <w:rPr>
          <w:sz w:val="24"/>
        </w:rPr>
        <w:t xml:space="preserve">The answer asserts that the Complainant was initially enrolled in the Respondent’s CAP on October 13, 2008.  The answer states that the Complainant was recertified in the CAP on July 14, 2010.  According to the answer, the Complainant was removed from the CAP on January 15, 2013 for failing to recertify in the CAP.  The Complainant was re-enrolled in the CAP on July 24, 2013.  The Complainant is actively enrolled in the CAP.  Attached to the answer is a document marked as Exhibit 2 which is a copy of the Complainant’s CAP history.  </w:t>
      </w:r>
    </w:p>
    <w:p w:rsidR="007739F5" w:rsidRPr="004D72DF" w:rsidRDefault="007739F5" w:rsidP="007739F5">
      <w:pPr>
        <w:pStyle w:val="ParaTab1"/>
        <w:spacing w:line="360" w:lineRule="auto"/>
        <w:rPr>
          <w:rFonts w:ascii="Times New Roman" w:hAnsi="Times New Roman" w:cs="Times New Roman"/>
        </w:rPr>
      </w:pPr>
      <w:r w:rsidRPr="004D72DF">
        <w:rPr>
          <w:rFonts w:ascii="Times New Roman" w:hAnsi="Times New Roman" w:cs="Times New Roman"/>
        </w:rPr>
        <w:lastRenderedPageBreak/>
        <w:t>The answer states that the Complainant’s current balance is $3,300.25, which is comprised entirely of CAP arrears.  Since the $3,300.25 account balance consists of CAP arrears, the answer contends that the Complainant is not entitled to a payment arrangement.</w:t>
      </w:r>
    </w:p>
    <w:p w:rsidR="007739F5" w:rsidRPr="004D72DF" w:rsidRDefault="007739F5" w:rsidP="007739F5">
      <w:pPr>
        <w:pStyle w:val="ParaTab1"/>
        <w:spacing w:line="360" w:lineRule="auto"/>
        <w:rPr>
          <w:rFonts w:ascii="Times New Roman" w:hAnsi="Times New Roman" w:cs="Times New Roman"/>
        </w:rPr>
      </w:pPr>
    </w:p>
    <w:p w:rsidR="007739F5" w:rsidRPr="004D72DF" w:rsidRDefault="007739F5" w:rsidP="007739F5">
      <w:pPr>
        <w:pStyle w:val="ParaTab1"/>
        <w:spacing w:line="360" w:lineRule="auto"/>
        <w:rPr>
          <w:rFonts w:ascii="Times New Roman" w:hAnsi="Times New Roman" w:cs="Times New Roman"/>
        </w:rPr>
      </w:pPr>
      <w:r w:rsidRPr="004D72DF">
        <w:rPr>
          <w:rFonts w:ascii="Times New Roman" w:hAnsi="Times New Roman" w:cs="Times New Roman"/>
        </w:rPr>
        <w:t xml:space="preserve">The new matter reiterates the assertions in the answer that the Complainant is enrolled in the Respondent’s CAP and that his arrearages consist entirely of CAP arrears.  The new matter asserts that, pursuant to 66 Pa.C.S. § 1405(c), CAP arrearages are not subject to payment agreements.  The answer and new matter request that the Commission dismiss the complaint.  As of the date of this </w:t>
      </w:r>
      <w:r w:rsidR="00925C70">
        <w:rPr>
          <w:rFonts w:ascii="Times New Roman" w:hAnsi="Times New Roman" w:cs="Times New Roman"/>
        </w:rPr>
        <w:t>order</w:t>
      </w:r>
      <w:r w:rsidRPr="004D72DF">
        <w:rPr>
          <w:rFonts w:ascii="Times New Roman" w:hAnsi="Times New Roman" w:cs="Times New Roman"/>
        </w:rPr>
        <w:t>, the Complainant has not filed an answer to the Respondent’s new matter.</w:t>
      </w:r>
    </w:p>
    <w:p w:rsidR="00DF4A1A" w:rsidRPr="004D72DF" w:rsidRDefault="00DF4A1A" w:rsidP="00FF7A45">
      <w:pPr>
        <w:spacing w:line="360" w:lineRule="auto"/>
        <w:ind w:firstLine="1440"/>
        <w:rPr>
          <w:sz w:val="24"/>
          <w:szCs w:val="24"/>
        </w:rPr>
      </w:pPr>
    </w:p>
    <w:p w:rsidR="00E149DB" w:rsidRPr="004D72DF" w:rsidRDefault="00B822D8" w:rsidP="00E149DB">
      <w:pPr>
        <w:pStyle w:val="ParaTab1"/>
        <w:tabs>
          <w:tab w:val="left" w:pos="2070"/>
        </w:tabs>
        <w:spacing w:line="360" w:lineRule="auto"/>
        <w:rPr>
          <w:rFonts w:ascii="Times New Roman" w:hAnsi="Times New Roman"/>
        </w:rPr>
      </w:pPr>
      <w:r w:rsidRPr="004D72DF">
        <w:rPr>
          <w:rFonts w:ascii="Times New Roman" w:hAnsi="Times New Roman"/>
        </w:rPr>
        <w:t xml:space="preserve">On </w:t>
      </w:r>
      <w:r w:rsidR="009B3D82" w:rsidRPr="004D72DF">
        <w:rPr>
          <w:rFonts w:ascii="Times New Roman" w:hAnsi="Times New Roman"/>
        </w:rPr>
        <w:t xml:space="preserve">September 25, 2014, </w:t>
      </w:r>
      <w:r w:rsidRPr="004D72DF">
        <w:rPr>
          <w:rFonts w:ascii="Times New Roman" w:hAnsi="Times New Roman"/>
        </w:rPr>
        <w:t xml:space="preserve">the Complainant filed another complaint with the Commission against </w:t>
      </w:r>
      <w:r w:rsidR="00B36E83" w:rsidRPr="004D72DF">
        <w:rPr>
          <w:rFonts w:ascii="Times New Roman" w:hAnsi="Times New Roman"/>
        </w:rPr>
        <w:t xml:space="preserve">the </w:t>
      </w:r>
      <w:r w:rsidRPr="004D72DF">
        <w:rPr>
          <w:rFonts w:ascii="Times New Roman" w:hAnsi="Times New Roman"/>
        </w:rPr>
        <w:t xml:space="preserve">Respondent.  The Commission docketed this complaint at </w:t>
      </w:r>
      <w:r w:rsidR="00AA1C7F" w:rsidRPr="004D72DF">
        <w:rPr>
          <w:rFonts w:ascii="Times New Roman" w:hAnsi="Times New Roman"/>
        </w:rPr>
        <w:t>F-201</w:t>
      </w:r>
      <w:r w:rsidR="009B3D82" w:rsidRPr="004D72DF">
        <w:rPr>
          <w:rFonts w:ascii="Times New Roman" w:hAnsi="Times New Roman"/>
        </w:rPr>
        <w:t>4-2445738</w:t>
      </w:r>
      <w:r w:rsidRPr="004D72DF">
        <w:rPr>
          <w:rFonts w:ascii="Times New Roman" w:hAnsi="Times New Roman"/>
        </w:rPr>
        <w:t>.</w:t>
      </w:r>
      <w:r w:rsidR="009B3D82" w:rsidRPr="004D72DF">
        <w:rPr>
          <w:rFonts w:ascii="Times New Roman" w:hAnsi="Times New Roman"/>
        </w:rPr>
        <w:t xml:space="preserve">  </w:t>
      </w:r>
      <w:r w:rsidR="009B3D82" w:rsidRPr="004D72DF">
        <w:rPr>
          <w:rFonts w:ascii="Times New Roman" w:hAnsi="Times New Roman" w:cs="Times New Roman"/>
        </w:rPr>
        <w:t>The complaint is a timely appeal of the Commission’s Bureau of Consumer Services (BCS) decision, dated August 28, 2014, at BCS No. 3276969, that dismissed the Complainant’s informal complaint.</w:t>
      </w:r>
      <w:r w:rsidR="00E149DB" w:rsidRPr="004D72DF">
        <w:rPr>
          <w:rFonts w:ascii="Times New Roman" w:hAnsi="Times New Roman" w:cs="Times New Roman"/>
        </w:rPr>
        <w:t xml:space="preserve">  </w:t>
      </w:r>
      <w:r w:rsidR="00E149DB" w:rsidRPr="004D72DF">
        <w:rPr>
          <w:rFonts w:ascii="Times New Roman" w:hAnsi="Times New Roman"/>
        </w:rPr>
        <w:t>The complaint alleges that the Respondent has terminated the Complainant’s utility service</w:t>
      </w:r>
      <w:r w:rsidR="002D01D6" w:rsidRPr="004D72DF">
        <w:rPr>
          <w:rFonts w:ascii="Times New Roman" w:hAnsi="Times New Roman"/>
        </w:rPr>
        <w:t xml:space="preserve"> and</w:t>
      </w:r>
      <w:r w:rsidR="00E149DB" w:rsidRPr="004D72DF">
        <w:rPr>
          <w:rFonts w:ascii="Times New Roman" w:hAnsi="Times New Roman"/>
        </w:rPr>
        <w:t xml:space="preserve"> that the Complainant has a past due balance</w:t>
      </w:r>
      <w:r w:rsidR="002D01D6" w:rsidRPr="004D72DF">
        <w:rPr>
          <w:rFonts w:ascii="Times New Roman" w:hAnsi="Times New Roman"/>
        </w:rPr>
        <w:t xml:space="preserve">.  The complaint </w:t>
      </w:r>
      <w:r w:rsidR="00E149DB" w:rsidRPr="004D72DF">
        <w:rPr>
          <w:rFonts w:ascii="Times New Roman" w:hAnsi="Times New Roman"/>
        </w:rPr>
        <w:t xml:space="preserve">requests a payment arrangement. </w:t>
      </w:r>
    </w:p>
    <w:p w:rsidR="00AA1C7F" w:rsidRPr="004D72DF" w:rsidRDefault="00AA1C7F" w:rsidP="007C7579">
      <w:pPr>
        <w:spacing w:line="360" w:lineRule="auto"/>
        <w:ind w:firstLine="1440"/>
        <w:rPr>
          <w:sz w:val="24"/>
          <w:szCs w:val="24"/>
        </w:rPr>
      </w:pPr>
    </w:p>
    <w:p w:rsidR="00E149DB" w:rsidRPr="004D72DF" w:rsidRDefault="00926D2B" w:rsidP="00E149DB">
      <w:pPr>
        <w:spacing w:line="360" w:lineRule="auto"/>
        <w:ind w:firstLine="1440"/>
        <w:rPr>
          <w:sz w:val="24"/>
        </w:rPr>
      </w:pPr>
      <w:r w:rsidRPr="004D72DF">
        <w:rPr>
          <w:sz w:val="24"/>
          <w:szCs w:val="24"/>
        </w:rPr>
        <w:t xml:space="preserve">On </w:t>
      </w:r>
      <w:r w:rsidR="00E149DB" w:rsidRPr="004D72DF">
        <w:rPr>
          <w:sz w:val="24"/>
          <w:szCs w:val="24"/>
        </w:rPr>
        <w:t>October 7, 2014</w:t>
      </w:r>
      <w:r w:rsidRPr="004D72DF">
        <w:rPr>
          <w:sz w:val="24"/>
          <w:szCs w:val="24"/>
        </w:rPr>
        <w:t xml:space="preserve">, the Respondent filed an answer </w:t>
      </w:r>
      <w:r w:rsidR="002C3865" w:rsidRPr="004D72DF">
        <w:rPr>
          <w:sz w:val="24"/>
          <w:szCs w:val="24"/>
        </w:rPr>
        <w:t xml:space="preserve">with new matter </w:t>
      </w:r>
      <w:r w:rsidRPr="004D72DF">
        <w:rPr>
          <w:sz w:val="24"/>
          <w:szCs w:val="24"/>
        </w:rPr>
        <w:t xml:space="preserve">to the complaint at </w:t>
      </w:r>
      <w:r w:rsidR="00E149DB" w:rsidRPr="004D72DF">
        <w:rPr>
          <w:sz w:val="24"/>
        </w:rPr>
        <w:t>F-2014-2445738</w:t>
      </w:r>
      <w:r w:rsidRPr="004D72DF">
        <w:rPr>
          <w:sz w:val="24"/>
          <w:szCs w:val="24"/>
        </w:rPr>
        <w:t xml:space="preserve">.  </w:t>
      </w:r>
      <w:r w:rsidR="00E149DB" w:rsidRPr="004D72DF">
        <w:rPr>
          <w:sz w:val="24"/>
          <w:szCs w:val="24"/>
        </w:rPr>
        <w:t xml:space="preserve">The answer admits that the Respondent provides service to the Complainant at the address shown on the complaint.  </w:t>
      </w:r>
      <w:r w:rsidR="00E149DB" w:rsidRPr="004D72DF">
        <w:rPr>
          <w:sz w:val="24"/>
        </w:rPr>
        <w:t>Attached to the answer is a document marked as Exhibit 1 which is a copy of the Complainant’s account history.</w:t>
      </w:r>
    </w:p>
    <w:p w:rsidR="00E149DB" w:rsidRPr="004D72DF" w:rsidRDefault="00E149DB" w:rsidP="00E149DB">
      <w:pPr>
        <w:spacing w:line="360" w:lineRule="auto"/>
        <w:ind w:firstLine="1440"/>
        <w:rPr>
          <w:sz w:val="24"/>
        </w:rPr>
      </w:pPr>
    </w:p>
    <w:p w:rsidR="00E149DB" w:rsidRPr="004D72DF" w:rsidRDefault="00E149DB" w:rsidP="00E149DB">
      <w:pPr>
        <w:spacing w:line="360" w:lineRule="auto"/>
        <w:ind w:firstLine="1440"/>
        <w:rPr>
          <w:sz w:val="24"/>
          <w:szCs w:val="24"/>
        </w:rPr>
      </w:pPr>
      <w:r w:rsidRPr="004D72DF">
        <w:rPr>
          <w:sz w:val="24"/>
        </w:rPr>
        <w:t xml:space="preserve">The answer asserts that the Complainant was initially enrolled in the Respondent’s CAP on October 13, 2008.  The answer states that the Complainant was recertified in the CAP on July 14, 2010.  According to the answer, the Complainant was removed from the CAP on January 15, 2013 for failing to recertify in the CAP.  The Complainant was re-enrolled in the CAP on July 24, 2013.  The Complainant is actively enrolled in the CAP.  Attached to the answer is a document marked as Exhibit 2 which is a copy of the Complainant’s CAP history.  </w:t>
      </w:r>
    </w:p>
    <w:p w:rsidR="00E149DB" w:rsidRPr="004D72DF" w:rsidRDefault="00E149DB" w:rsidP="00E149DB">
      <w:pPr>
        <w:spacing w:line="360" w:lineRule="auto"/>
        <w:ind w:firstLine="1440"/>
        <w:rPr>
          <w:sz w:val="24"/>
          <w:szCs w:val="24"/>
        </w:rPr>
      </w:pPr>
    </w:p>
    <w:p w:rsidR="00E149DB" w:rsidRPr="004D72DF" w:rsidRDefault="00E149DB" w:rsidP="00E149DB">
      <w:pPr>
        <w:pStyle w:val="ParaTab1"/>
        <w:spacing w:line="360" w:lineRule="auto"/>
        <w:rPr>
          <w:rFonts w:ascii="Times New Roman" w:hAnsi="Times New Roman" w:cs="Times New Roman"/>
        </w:rPr>
      </w:pPr>
      <w:r w:rsidRPr="004D72DF">
        <w:rPr>
          <w:rFonts w:ascii="Times New Roman" w:hAnsi="Times New Roman" w:cs="Times New Roman"/>
        </w:rPr>
        <w:lastRenderedPageBreak/>
        <w:t>The answer states that the Complainant’s current balance is $3,300.25, which is comprised entirely of CAP arrears.  Since the $3,300.25 account balance consists of CAP arrears, the answer contends that the Complainant is not entitled to a payment arrangement.</w:t>
      </w:r>
    </w:p>
    <w:p w:rsidR="00E149DB" w:rsidRPr="004D72DF" w:rsidRDefault="00E149DB" w:rsidP="00E149DB">
      <w:pPr>
        <w:pStyle w:val="ParaTab1"/>
        <w:spacing w:line="360" w:lineRule="auto"/>
        <w:rPr>
          <w:rFonts w:ascii="Times New Roman" w:hAnsi="Times New Roman" w:cs="Times New Roman"/>
        </w:rPr>
      </w:pPr>
    </w:p>
    <w:p w:rsidR="00E149DB" w:rsidRPr="004D72DF" w:rsidRDefault="00E149DB" w:rsidP="00E149DB">
      <w:pPr>
        <w:pStyle w:val="ParaTab1"/>
        <w:spacing w:line="360" w:lineRule="auto"/>
        <w:rPr>
          <w:rFonts w:ascii="Times New Roman" w:hAnsi="Times New Roman" w:cs="Times New Roman"/>
        </w:rPr>
      </w:pPr>
      <w:r w:rsidRPr="004D72DF">
        <w:rPr>
          <w:rFonts w:ascii="Times New Roman" w:hAnsi="Times New Roman" w:cs="Times New Roman"/>
        </w:rPr>
        <w:t xml:space="preserve">The new matter reiterates the assertions in the answer that the Complainant is enrolled in the Respondent’s CAP and that his arrearages consist entirely of CAP arrears.  The new matter asserts that, pursuant to 66 Pa.C.S. § 1405(c), CAP arrearages are not subject to payment agreements.  The answer and new matter request that the Commission dismiss the complaint.  As of the date of this </w:t>
      </w:r>
      <w:r w:rsidR="00925C70">
        <w:rPr>
          <w:rFonts w:ascii="Times New Roman" w:hAnsi="Times New Roman" w:cs="Times New Roman"/>
        </w:rPr>
        <w:t>order</w:t>
      </w:r>
      <w:r w:rsidRPr="004D72DF">
        <w:rPr>
          <w:rFonts w:ascii="Times New Roman" w:hAnsi="Times New Roman" w:cs="Times New Roman"/>
        </w:rPr>
        <w:t>, the Complainant has not filed an answer to the Respondent’s new matter.</w:t>
      </w:r>
    </w:p>
    <w:p w:rsidR="00E149DB" w:rsidRPr="004D72DF" w:rsidRDefault="00E149DB" w:rsidP="00E149DB">
      <w:pPr>
        <w:spacing w:line="360" w:lineRule="auto"/>
        <w:ind w:firstLine="1440"/>
        <w:rPr>
          <w:sz w:val="24"/>
          <w:szCs w:val="24"/>
        </w:rPr>
      </w:pPr>
    </w:p>
    <w:p w:rsidR="005573E7" w:rsidRPr="004D72DF" w:rsidRDefault="00E149DB" w:rsidP="00883EBB">
      <w:pPr>
        <w:spacing w:line="360" w:lineRule="auto"/>
        <w:ind w:firstLine="1440"/>
        <w:rPr>
          <w:sz w:val="24"/>
          <w:szCs w:val="24"/>
        </w:rPr>
      </w:pPr>
      <w:r w:rsidRPr="004D72DF">
        <w:rPr>
          <w:sz w:val="24"/>
          <w:szCs w:val="24"/>
        </w:rPr>
        <w:t>Also on October 7, 2014</w:t>
      </w:r>
      <w:r w:rsidR="00B32C73" w:rsidRPr="004D72DF">
        <w:rPr>
          <w:sz w:val="24"/>
          <w:szCs w:val="24"/>
        </w:rPr>
        <w:t>, the Respondent filed a motion to consolidate the two complaints</w:t>
      </w:r>
      <w:r w:rsidRPr="004D72DF">
        <w:rPr>
          <w:sz w:val="24"/>
          <w:szCs w:val="24"/>
        </w:rPr>
        <w:t>, pursuant to 52 Pa.Code § 5.81(a)</w:t>
      </w:r>
      <w:r w:rsidR="00B32C73" w:rsidRPr="004D72DF">
        <w:rPr>
          <w:sz w:val="24"/>
          <w:szCs w:val="24"/>
        </w:rPr>
        <w:t xml:space="preserve">.  The motion alleges that the two complaints involve the same </w:t>
      </w:r>
      <w:r w:rsidR="004B0C14" w:rsidRPr="004D72DF">
        <w:rPr>
          <w:sz w:val="24"/>
          <w:szCs w:val="24"/>
        </w:rPr>
        <w:t xml:space="preserve">customer, the same </w:t>
      </w:r>
      <w:r w:rsidR="00B32C73" w:rsidRPr="004D72DF">
        <w:rPr>
          <w:sz w:val="24"/>
          <w:szCs w:val="24"/>
        </w:rPr>
        <w:t xml:space="preserve">service address and same customer account.  In addition, </w:t>
      </w:r>
      <w:r w:rsidR="008854A4" w:rsidRPr="004D72DF">
        <w:rPr>
          <w:sz w:val="24"/>
          <w:szCs w:val="24"/>
        </w:rPr>
        <w:t xml:space="preserve">the complaints both </w:t>
      </w:r>
      <w:r w:rsidR="002D01D6" w:rsidRPr="004D72DF">
        <w:rPr>
          <w:sz w:val="24"/>
          <w:szCs w:val="24"/>
        </w:rPr>
        <w:t>request a payment arrangement.</w:t>
      </w:r>
      <w:r w:rsidR="008854A4" w:rsidRPr="004D72DF">
        <w:rPr>
          <w:sz w:val="24"/>
          <w:szCs w:val="24"/>
        </w:rPr>
        <w:t xml:space="preserve">  The motion requests that the Commission enter an order consolidating the </w:t>
      </w:r>
      <w:r w:rsidR="00883EBB" w:rsidRPr="004D72DF">
        <w:rPr>
          <w:sz w:val="24"/>
          <w:szCs w:val="24"/>
        </w:rPr>
        <w:t>two complaints.</w:t>
      </w:r>
    </w:p>
    <w:p w:rsidR="00883EBB" w:rsidRPr="004D72DF" w:rsidRDefault="00883EBB" w:rsidP="00883EBB">
      <w:pPr>
        <w:spacing w:line="360" w:lineRule="auto"/>
        <w:ind w:firstLine="1440"/>
        <w:rPr>
          <w:sz w:val="24"/>
          <w:szCs w:val="24"/>
        </w:rPr>
      </w:pPr>
    </w:p>
    <w:p w:rsidR="00883EBB" w:rsidRPr="004D72DF" w:rsidRDefault="00266D96" w:rsidP="00883EBB">
      <w:pPr>
        <w:spacing w:line="360" w:lineRule="auto"/>
        <w:ind w:firstLine="1440"/>
        <w:rPr>
          <w:sz w:val="24"/>
          <w:szCs w:val="24"/>
        </w:rPr>
      </w:pPr>
      <w:r w:rsidRPr="004D72DF">
        <w:rPr>
          <w:sz w:val="24"/>
        </w:rPr>
        <w:t xml:space="preserve">By notice dated October 20, 2014, the Commission notified the parties that it had assigned the case to me as motion judge.  </w:t>
      </w:r>
      <w:r w:rsidR="000C5DE3" w:rsidRPr="004D72DF">
        <w:rPr>
          <w:sz w:val="24"/>
          <w:szCs w:val="24"/>
        </w:rPr>
        <w:t xml:space="preserve">As of the date of this order, the Complainant has not filed an answer to the Respondent’s motion to consolidate.  </w:t>
      </w:r>
      <w:r w:rsidR="00C90EF5" w:rsidRPr="004D72DF">
        <w:rPr>
          <w:sz w:val="24"/>
          <w:szCs w:val="24"/>
        </w:rPr>
        <w:t>The motion to consolidate is ready for decision.</w:t>
      </w:r>
      <w:r w:rsidR="00883EBB" w:rsidRPr="004D72DF">
        <w:rPr>
          <w:sz w:val="24"/>
          <w:szCs w:val="24"/>
        </w:rPr>
        <w:t xml:space="preserve">  For the reasons set forth below, I will grant the motion.</w:t>
      </w:r>
    </w:p>
    <w:p w:rsidR="005573E7" w:rsidRPr="004D72DF" w:rsidRDefault="005573E7" w:rsidP="00FF7A45">
      <w:pPr>
        <w:spacing w:line="360" w:lineRule="auto"/>
        <w:ind w:firstLine="1440"/>
        <w:rPr>
          <w:sz w:val="24"/>
          <w:szCs w:val="24"/>
        </w:rPr>
      </w:pPr>
    </w:p>
    <w:p w:rsidR="005573E7" w:rsidRPr="004D72DF" w:rsidRDefault="005573E7" w:rsidP="00FF7A45">
      <w:pPr>
        <w:spacing w:line="360" w:lineRule="auto"/>
        <w:ind w:firstLine="1440"/>
        <w:rPr>
          <w:sz w:val="24"/>
          <w:szCs w:val="24"/>
        </w:rPr>
      </w:pPr>
      <w:r w:rsidRPr="004D72DF">
        <w:rPr>
          <w:sz w:val="24"/>
          <w:szCs w:val="24"/>
        </w:rPr>
        <w:t xml:space="preserve">The Commission’s regulations pertaining to </w:t>
      </w:r>
      <w:r w:rsidR="00883EBB" w:rsidRPr="004D72DF">
        <w:rPr>
          <w:sz w:val="24"/>
          <w:szCs w:val="24"/>
        </w:rPr>
        <w:t>c</w:t>
      </w:r>
      <w:r w:rsidRPr="004D72DF">
        <w:rPr>
          <w:sz w:val="24"/>
          <w:szCs w:val="24"/>
        </w:rPr>
        <w:t>onsolidation appear at 52 Pa. Code § 5.81, and state in relevant part:</w:t>
      </w:r>
    </w:p>
    <w:p w:rsidR="00116B43" w:rsidRPr="004D72DF" w:rsidRDefault="00116B43" w:rsidP="00FF7A45">
      <w:pPr>
        <w:spacing w:line="360" w:lineRule="auto"/>
        <w:ind w:firstLine="1440"/>
        <w:rPr>
          <w:sz w:val="24"/>
          <w:szCs w:val="24"/>
        </w:rPr>
      </w:pPr>
    </w:p>
    <w:p w:rsidR="00116B43" w:rsidRPr="004D72DF" w:rsidRDefault="00116B43" w:rsidP="00B20E68">
      <w:pPr>
        <w:ind w:left="720" w:firstLine="720"/>
        <w:rPr>
          <w:color w:val="000000"/>
          <w:sz w:val="24"/>
          <w:szCs w:val="24"/>
        </w:rPr>
      </w:pPr>
      <w:r w:rsidRPr="004D72DF">
        <w:rPr>
          <w:b/>
          <w:color w:val="000000"/>
          <w:sz w:val="24"/>
          <w:szCs w:val="24"/>
        </w:rPr>
        <w:t>§ 5.81. Consolidation</w:t>
      </w:r>
      <w:r w:rsidRPr="004D72DF">
        <w:rPr>
          <w:color w:val="000000"/>
          <w:sz w:val="24"/>
          <w:szCs w:val="24"/>
        </w:rPr>
        <w:t>.</w:t>
      </w:r>
    </w:p>
    <w:p w:rsidR="00116B43" w:rsidRPr="004D72DF" w:rsidRDefault="00116B43" w:rsidP="00B20E68">
      <w:pPr>
        <w:ind w:left="1440"/>
        <w:rPr>
          <w:color w:val="000000"/>
          <w:sz w:val="24"/>
          <w:szCs w:val="24"/>
        </w:rPr>
      </w:pPr>
      <w:r w:rsidRPr="004D72DF">
        <w:rPr>
          <w:color w:val="000000"/>
          <w:sz w:val="24"/>
          <w:szCs w:val="24"/>
        </w:rPr>
        <w:br/>
      </w:r>
      <w:bookmarkStart w:id="0" w:name="IN;1"/>
      <w:bookmarkStart w:id="1" w:name="IN;2"/>
      <w:bookmarkEnd w:id="0"/>
      <w:bookmarkEnd w:id="1"/>
      <w:r w:rsidRPr="004D72DF">
        <w:rPr>
          <w:color w:val="000000"/>
          <w:sz w:val="24"/>
          <w:szCs w:val="24"/>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FB10E3" w:rsidRPr="004D72DF" w:rsidRDefault="00FB10E3" w:rsidP="00FB10E3">
      <w:pPr>
        <w:spacing w:line="360" w:lineRule="auto"/>
        <w:ind w:left="1440"/>
        <w:rPr>
          <w:color w:val="000000"/>
          <w:sz w:val="24"/>
          <w:szCs w:val="24"/>
        </w:rPr>
      </w:pPr>
    </w:p>
    <w:p w:rsidR="00173C54" w:rsidRPr="004D72DF" w:rsidRDefault="005F6906" w:rsidP="00FB10E3">
      <w:pPr>
        <w:spacing w:line="360" w:lineRule="auto"/>
        <w:ind w:firstLine="1440"/>
        <w:rPr>
          <w:color w:val="000000"/>
          <w:sz w:val="24"/>
          <w:szCs w:val="24"/>
        </w:rPr>
      </w:pPr>
      <w:r w:rsidRPr="004D72DF">
        <w:rPr>
          <w:color w:val="000000"/>
          <w:sz w:val="24"/>
          <w:szCs w:val="24"/>
        </w:rPr>
        <w:lastRenderedPageBreak/>
        <w:t>Whether to consolidate particular cases</w:t>
      </w:r>
      <w:r w:rsidR="00173C54" w:rsidRPr="004D72DF">
        <w:rPr>
          <w:color w:val="000000"/>
          <w:sz w:val="24"/>
          <w:szCs w:val="24"/>
        </w:rPr>
        <w:t xml:space="preserve"> is left to the sound discretion of the Commission or the presiding officer.</w:t>
      </w:r>
    </w:p>
    <w:p w:rsidR="00173C54" w:rsidRPr="004D72DF" w:rsidRDefault="00173C54" w:rsidP="00116B43">
      <w:pPr>
        <w:spacing w:line="360" w:lineRule="auto"/>
        <w:ind w:firstLine="1440"/>
        <w:rPr>
          <w:color w:val="000000"/>
          <w:sz w:val="24"/>
          <w:szCs w:val="24"/>
        </w:rPr>
      </w:pPr>
    </w:p>
    <w:p w:rsidR="00EE3455" w:rsidRPr="004D72DF" w:rsidRDefault="005F6906" w:rsidP="00116B43">
      <w:pPr>
        <w:spacing w:line="360" w:lineRule="auto"/>
        <w:ind w:firstLine="1440"/>
        <w:rPr>
          <w:color w:val="000000"/>
          <w:sz w:val="24"/>
          <w:szCs w:val="24"/>
        </w:rPr>
      </w:pPr>
      <w:r w:rsidRPr="004D72DF">
        <w:rPr>
          <w:color w:val="000000"/>
          <w:sz w:val="24"/>
          <w:szCs w:val="24"/>
        </w:rPr>
        <w:t xml:space="preserve">The Commission or presiding officer </w:t>
      </w:r>
      <w:r w:rsidR="00173C54" w:rsidRPr="004D72DF">
        <w:rPr>
          <w:color w:val="000000"/>
          <w:sz w:val="24"/>
          <w:szCs w:val="24"/>
        </w:rPr>
        <w:t xml:space="preserve">have </w:t>
      </w:r>
      <w:r w:rsidR="00EE3455" w:rsidRPr="004D72DF">
        <w:rPr>
          <w:color w:val="000000"/>
          <w:sz w:val="24"/>
          <w:szCs w:val="24"/>
        </w:rPr>
        <w:t xml:space="preserve">consolidated </w:t>
      </w:r>
      <w:r w:rsidRPr="004D72DF">
        <w:rPr>
          <w:color w:val="000000"/>
          <w:sz w:val="24"/>
          <w:szCs w:val="24"/>
        </w:rPr>
        <w:t xml:space="preserve">cases </w:t>
      </w:r>
      <w:r w:rsidR="00EE3455" w:rsidRPr="004D72DF">
        <w:rPr>
          <w:color w:val="000000"/>
          <w:sz w:val="24"/>
          <w:szCs w:val="24"/>
        </w:rPr>
        <w:t xml:space="preserve">for adjudication; </w:t>
      </w:r>
      <w:r w:rsidR="00EE3455" w:rsidRPr="004D72DF">
        <w:rPr>
          <w:color w:val="000000"/>
          <w:sz w:val="24"/>
          <w:szCs w:val="24"/>
          <w:u w:val="single"/>
        </w:rPr>
        <w:t>Re</w:t>
      </w:r>
      <w:r w:rsidR="005109EC" w:rsidRPr="004D72DF">
        <w:rPr>
          <w:color w:val="000000"/>
          <w:sz w:val="24"/>
          <w:szCs w:val="24"/>
          <w:u w:val="single"/>
        </w:rPr>
        <w:t>:</w:t>
      </w:r>
      <w:r w:rsidR="00EE3455" w:rsidRPr="004D72DF">
        <w:rPr>
          <w:color w:val="000000"/>
          <w:sz w:val="24"/>
          <w:szCs w:val="24"/>
          <w:u w:val="single"/>
        </w:rPr>
        <w:t xml:space="preserve"> Middletown </w:t>
      </w:r>
      <w:r w:rsidR="00855529" w:rsidRPr="004D72DF">
        <w:rPr>
          <w:color w:val="000000"/>
          <w:sz w:val="24"/>
          <w:szCs w:val="24"/>
          <w:u w:val="single"/>
        </w:rPr>
        <w:t>T</w:t>
      </w:r>
      <w:r w:rsidR="00EE3455" w:rsidRPr="004D72DF">
        <w:rPr>
          <w:color w:val="000000"/>
          <w:sz w:val="24"/>
          <w:szCs w:val="24"/>
          <w:u w:val="single"/>
        </w:rPr>
        <w:t>axi Company</w:t>
      </w:r>
      <w:r w:rsidR="00EE3455" w:rsidRPr="004D72DF">
        <w:rPr>
          <w:color w:val="000000"/>
          <w:sz w:val="24"/>
          <w:szCs w:val="24"/>
        </w:rPr>
        <w:t>, 50 P</w:t>
      </w:r>
      <w:r w:rsidR="00925C70">
        <w:rPr>
          <w:color w:val="000000"/>
          <w:sz w:val="24"/>
          <w:szCs w:val="24"/>
        </w:rPr>
        <w:t>a.</w:t>
      </w:r>
      <w:r w:rsidR="00EE3455" w:rsidRPr="004D72DF">
        <w:rPr>
          <w:color w:val="000000"/>
          <w:sz w:val="24"/>
          <w:szCs w:val="24"/>
        </w:rPr>
        <w:t xml:space="preserve"> PUC 263 (1976), for hearing; </w:t>
      </w:r>
      <w:r w:rsidR="00EE3455" w:rsidRPr="004D72DF">
        <w:rPr>
          <w:color w:val="000000"/>
          <w:sz w:val="24"/>
          <w:szCs w:val="24"/>
          <w:u w:val="single"/>
        </w:rPr>
        <w:t xml:space="preserve">City of York v. York </w:t>
      </w:r>
      <w:r w:rsidR="00855529" w:rsidRPr="004D72DF">
        <w:rPr>
          <w:color w:val="000000"/>
          <w:sz w:val="24"/>
          <w:szCs w:val="24"/>
          <w:u w:val="single"/>
        </w:rPr>
        <w:t>T</w:t>
      </w:r>
      <w:r w:rsidR="00EE3455" w:rsidRPr="004D72DF">
        <w:rPr>
          <w:color w:val="000000"/>
          <w:sz w:val="24"/>
          <w:szCs w:val="24"/>
          <w:u w:val="single"/>
        </w:rPr>
        <w:t>elephone and Telegraph Co</w:t>
      </w:r>
      <w:r w:rsidR="00EE3455" w:rsidRPr="004D72DF">
        <w:rPr>
          <w:color w:val="000000"/>
          <w:sz w:val="24"/>
          <w:szCs w:val="24"/>
        </w:rPr>
        <w:t>., 43 Pa</w:t>
      </w:r>
      <w:r w:rsidR="00925C70">
        <w:rPr>
          <w:color w:val="000000"/>
          <w:sz w:val="24"/>
          <w:szCs w:val="24"/>
        </w:rPr>
        <w:t>.</w:t>
      </w:r>
      <w:r w:rsidR="00EE3455" w:rsidRPr="004D72DF">
        <w:rPr>
          <w:color w:val="000000"/>
          <w:sz w:val="24"/>
          <w:szCs w:val="24"/>
        </w:rPr>
        <w:t xml:space="preserve"> PUC 240 (1967), </w:t>
      </w:r>
      <w:r w:rsidR="005109EC" w:rsidRPr="004D72DF">
        <w:rPr>
          <w:color w:val="000000"/>
          <w:sz w:val="24"/>
          <w:szCs w:val="24"/>
        </w:rPr>
        <w:t xml:space="preserve">and </w:t>
      </w:r>
      <w:r w:rsidR="00EE3455" w:rsidRPr="004D72DF">
        <w:rPr>
          <w:color w:val="000000"/>
          <w:sz w:val="24"/>
          <w:szCs w:val="24"/>
        </w:rPr>
        <w:t xml:space="preserve">for briefing; </w:t>
      </w:r>
      <w:r w:rsidR="00EE3455" w:rsidRPr="004D72DF">
        <w:rPr>
          <w:color w:val="000000"/>
          <w:sz w:val="24"/>
          <w:szCs w:val="24"/>
          <w:u w:val="single"/>
        </w:rPr>
        <w:t xml:space="preserve">Clepper </w:t>
      </w:r>
      <w:r w:rsidR="00855529" w:rsidRPr="004D72DF">
        <w:rPr>
          <w:color w:val="000000"/>
          <w:sz w:val="24"/>
          <w:szCs w:val="24"/>
          <w:u w:val="single"/>
        </w:rPr>
        <w:t>F</w:t>
      </w:r>
      <w:r w:rsidR="00EE3455" w:rsidRPr="004D72DF">
        <w:rPr>
          <w:color w:val="000000"/>
          <w:sz w:val="24"/>
          <w:szCs w:val="24"/>
          <w:u w:val="single"/>
        </w:rPr>
        <w:t>arms, Inc. v. Grantham Water Co</w:t>
      </w:r>
      <w:r w:rsidR="00EE3455" w:rsidRPr="004D72DF">
        <w:rPr>
          <w:color w:val="000000"/>
          <w:sz w:val="24"/>
          <w:szCs w:val="24"/>
        </w:rPr>
        <w:t>., 41 Pa</w:t>
      </w:r>
      <w:r w:rsidR="00925C70">
        <w:rPr>
          <w:color w:val="000000"/>
          <w:sz w:val="24"/>
          <w:szCs w:val="24"/>
        </w:rPr>
        <w:t>.</w:t>
      </w:r>
      <w:r w:rsidR="00EE3455" w:rsidRPr="004D72DF">
        <w:rPr>
          <w:color w:val="000000"/>
          <w:sz w:val="24"/>
          <w:szCs w:val="24"/>
        </w:rPr>
        <w:t xml:space="preserve"> PUC 749 (1965)</w:t>
      </w:r>
      <w:r w:rsidR="00925C70">
        <w:rPr>
          <w:color w:val="000000"/>
          <w:sz w:val="24"/>
          <w:szCs w:val="24"/>
        </w:rPr>
        <w:t>.</w:t>
      </w:r>
      <w:r w:rsidR="00EE3455" w:rsidRPr="004D72DF">
        <w:rPr>
          <w:color w:val="000000"/>
          <w:sz w:val="24"/>
          <w:szCs w:val="24"/>
        </w:rPr>
        <w:t xml:space="preserve"> </w:t>
      </w:r>
      <w:r w:rsidR="00925C70">
        <w:rPr>
          <w:color w:val="000000"/>
          <w:sz w:val="24"/>
          <w:szCs w:val="24"/>
        </w:rPr>
        <w:t xml:space="preserve"> </w:t>
      </w:r>
      <w:r w:rsidR="005109EC" w:rsidRPr="004D72DF">
        <w:rPr>
          <w:color w:val="000000"/>
          <w:sz w:val="24"/>
          <w:szCs w:val="24"/>
        </w:rPr>
        <w:t xml:space="preserve">The Commission or presiding </w:t>
      </w:r>
      <w:proofErr w:type="gramStart"/>
      <w:r w:rsidR="005109EC" w:rsidRPr="004D72DF">
        <w:rPr>
          <w:color w:val="000000"/>
          <w:sz w:val="24"/>
          <w:szCs w:val="24"/>
        </w:rPr>
        <w:t xml:space="preserve">officer </w:t>
      </w:r>
      <w:r w:rsidR="00EE3455" w:rsidRPr="004D72DF">
        <w:rPr>
          <w:color w:val="000000"/>
          <w:sz w:val="24"/>
          <w:szCs w:val="24"/>
        </w:rPr>
        <w:t>have</w:t>
      </w:r>
      <w:proofErr w:type="gramEnd"/>
      <w:r w:rsidR="00EE3455" w:rsidRPr="004D72DF">
        <w:rPr>
          <w:color w:val="000000"/>
          <w:sz w:val="24"/>
          <w:szCs w:val="24"/>
        </w:rPr>
        <w:t xml:space="preserve"> </w:t>
      </w:r>
      <w:r w:rsidR="005109EC" w:rsidRPr="004D72DF">
        <w:rPr>
          <w:color w:val="000000"/>
          <w:sz w:val="24"/>
          <w:szCs w:val="24"/>
        </w:rPr>
        <w:t>refused to consolidate cases for any purpose.</w:t>
      </w:r>
      <w:r w:rsidR="00EE3455" w:rsidRPr="004D72DF">
        <w:rPr>
          <w:color w:val="000000"/>
          <w:sz w:val="24"/>
          <w:szCs w:val="24"/>
        </w:rPr>
        <w:t xml:space="preserve"> </w:t>
      </w:r>
      <w:r w:rsidR="005109EC" w:rsidRPr="004D72DF">
        <w:rPr>
          <w:color w:val="000000"/>
          <w:sz w:val="24"/>
          <w:szCs w:val="24"/>
        </w:rPr>
        <w:t xml:space="preserve"> </w:t>
      </w:r>
      <w:proofErr w:type="gramStart"/>
      <w:r w:rsidR="00EE3455" w:rsidRPr="004D72DF">
        <w:rPr>
          <w:color w:val="000000"/>
          <w:sz w:val="24"/>
          <w:szCs w:val="24"/>
          <w:u w:val="single"/>
        </w:rPr>
        <w:t>Dopp v. Williamsburg Borough Dept. of Water and Sewer</w:t>
      </w:r>
      <w:r w:rsidR="00EE3455" w:rsidRPr="004D72DF">
        <w:rPr>
          <w:color w:val="000000"/>
          <w:sz w:val="24"/>
          <w:szCs w:val="24"/>
        </w:rPr>
        <w:t>, 59 Pa</w:t>
      </w:r>
      <w:r w:rsidR="00925C70">
        <w:rPr>
          <w:color w:val="000000"/>
          <w:sz w:val="24"/>
          <w:szCs w:val="24"/>
        </w:rPr>
        <w:t>.</w:t>
      </w:r>
      <w:r w:rsidR="00EE3455" w:rsidRPr="004D72DF">
        <w:rPr>
          <w:color w:val="000000"/>
          <w:sz w:val="24"/>
          <w:szCs w:val="24"/>
        </w:rPr>
        <w:t xml:space="preserve"> PUC 25 (1984).</w:t>
      </w:r>
      <w:proofErr w:type="gramEnd"/>
    </w:p>
    <w:p w:rsidR="00EE3455" w:rsidRPr="004D72DF" w:rsidRDefault="00EE3455" w:rsidP="00116B43">
      <w:pPr>
        <w:spacing w:line="360" w:lineRule="auto"/>
        <w:ind w:firstLine="1440"/>
        <w:rPr>
          <w:color w:val="000000"/>
          <w:sz w:val="24"/>
          <w:szCs w:val="24"/>
        </w:rPr>
      </w:pPr>
    </w:p>
    <w:p w:rsidR="00EE3455" w:rsidRPr="004D72DF" w:rsidRDefault="00EE3455" w:rsidP="00116B43">
      <w:pPr>
        <w:spacing w:line="360" w:lineRule="auto"/>
        <w:ind w:firstLine="1440"/>
        <w:rPr>
          <w:color w:val="000000"/>
          <w:sz w:val="24"/>
          <w:szCs w:val="24"/>
        </w:rPr>
      </w:pPr>
      <w:r w:rsidRPr="004D72DF">
        <w:rPr>
          <w:color w:val="000000"/>
          <w:sz w:val="24"/>
          <w:szCs w:val="24"/>
        </w:rPr>
        <w:t xml:space="preserve">In </w:t>
      </w:r>
      <w:r w:rsidR="005109EC" w:rsidRPr="004D72DF">
        <w:rPr>
          <w:color w:val="000000"/>
          <w:sz w:val="24"/>
          <w:szCs w:val="24"/>
        </w:rPr>
        <w:t>deciding whether to consolidate certain cases, the Commission or presiding officer</w:t>
      </w:r>
      <w:r w:rsidR="00D7185A" w:rsidRPr="004D72DF">
        <w:rPr>
          <w:color w:val="000000"/>
          <w:sz w:val="24"/>
          <w:szCs w:val="24"/>
        </w:rPr>
        <w:t xml:space="preserve"> must first determine</w:t>
      </w:r>
      <w:r w:rsidRPr="004D72DF">
        <w:rPr>
          <w:color w:val="000000"/>
          <w:sz w:val="24"/>
          <w:szCs w:val="24"/>
        </w:rPr>
        <w:t xml:space="preserve"> that </w:t>
      </w:r>
      <w:r w:rsidR="00797810" w:rsidRPr="004D72DF">
        <w:rPr>
          <w:color w:val="000000"/>
          <w:sz w:val="24"/>
          <w:szCs w:val="24"/>
        </w:rPr>
        <w:t>the</w:t>
      </w:r>
      <w:r w:rsidRPr="004D72DF">
        <w:rPr>
          <w:color w:val="000000"/>
          <w:sz w:val="24"/>
          <w:szCs w:val="24"/>
        </w:rPr>
        <w:t xml:space="preserve"> proceedings involve a common question of law or fact. </w:t>
      </w:r>
      <w:r w:rsidR="002F2F6A" w:rsidRPr="004D72DF">
        <w:rPr>
          <w:color w:val="000000"/>
          <w:sz w:val="24"/>
          <w:szCs w:val="24"/>
        </w:rPr>
        <w:t xml:space="preserve"> </w:t>
      </w:r>
      <w:proofErr w:type="gramStart"/>
      <w:r w:rsidR="00D7185A" w:rsidRPr="004D72DF">
        <w:rPr>
          <w:color w:val="000000"/>
          <w:sz w:val="24"/>
          <w:szCs w:val="24"/>
        </w:rPr>
        <w:t>I</w:t>
      </w:r>
      <w:r w:rsidRPr="004D72DF">
        <w:rPr>
          <w:color w:val="000000"/>
          <w:sz w:val="24"/>
          <w:szCs w:val="24"/>
        </w:rPr>
        <w:t xml:space="preserve">n such cases as </w:t>
      </w:r>
      <w:r w:rsidRPr="004D72DF">
        <w:rPr>
          <w:color w:val="000000"/>
          <w:sz w:val="24"/>
          <w:szCs w:val="24"/>
          <w:u w:val="single"/>
        </w:rPr>
        <w:t>Application of Philadelphia Electric Co.</w:t>
      </w:r>
      <w:r w:rsidRPr="004D72DF">
        <w:rPr>
          <w:color w:val="000000"/>
          <w:sz w:val="24"/>
          <w:szCs w:val="24"/>
        </w:rPr>
        <w:t>, 43 P</w:t>
      </w:r>
      <w:r w:rsidR="00925C70">
        <w:rPr>
          <w:color w:val="000000"/>
          <w:sz w:val="24"/>
          <w:szCs w:val="24"/>
        </w:rPr>
        <w:t>a.</w:t>
      </w:r>
      <w:r w:rsidRPr="004D72DF">
        <w:rPr>
          <w:color w:val="000000"/>
          <w:sz w:val="24"/>
          <w:szCs w:val="24"/>
        </w:rPr>
        <w:t xml:space="preserve"> PUC 781 (1968), </w:t>
      </w:r>
      <w:r w:rsidRPr="004D72DF">
        <w:rPr>
          <w:color w:val="000000"/>
          <w:sz w:val="24"/>
          <w:szCs w:val="24"/>
          <w:u w:val="single"/>
        </w:rPr>
        <w:t>Pa</w:t>
      </w:r>
      <w:r w:rsidR="00AF7578" w:rsidRPr="004D72DF">
        <w:rPr>
          <w:color w:val="000000"/>
          <w:sz w:val="24"/>
          <w:szCs w:val="24"/>
          <w:u w:val="single"/>
        </w:rPr>
        <w:t>.</w:t>
      </w:r>
      <w:r w:rsidRPr="004D72DF">
        <w:rPr>
          <w:color w:val="000000"/>
          <w:sz w:val="24"/>
          <w:szCs w:val="24"/>
          <w:u w:val="single"/>
        </w:rPr>
        <w:t xml:space="preserve"> Pub</w:t>
      </w:r>
      <w:r w:rsidR="002D01D6" w:rsidRPr="004D72DF">
        <w:rPr>
          <w:color w:val="000000"/>
          <w:sz w:val="24"/>
          <w:szCs w:val="24"/>
          <w:u w:val="single"/>
        </w:rPr>
        <w:t>.</w:t>
      </w:r>
      <w:proofErr w:type="gramEnd"/>
      <w:r w:rsidR="002D01D6" w:rsidRPr="004D72DF">
        <w:rPr>
          <w:color w:val="000000"/>
          <w:sz w:val="24"/>
          <w:szCs w:val="24"/>
          <w:u w:val="single"/>
        </w:rPr>
        <w:t xml:space="preserve"> </w:t>
      </w:r>
      <w:proofErr w:type="gramStart"/>
      <w:r w:rsidRPr="004D72DF">
        <w:rPr>
          <w:color w:val="000000"/>
          <w:sz w:val="24"/>
          <w:szCs w:val="24"/>
          <w:u w:val="single"/>
        </w:rPr>
        <w:t>Util</w:t>
      </w:r>
      <w:r w:rsidR="002D01D6" w:rsidRPr="004D72DF">
        <w:rPr>
          <w:color w:val="000000"/>
          <w:sz w:val="24"/>
          <w:szCs w:val="24"/>
          <w:u w:val="single"/>
        </w:rPr>
        <w:t>.</w:t>
      </w:r>
      <w:r w:rsidRPr="004D72DF">
        <w:rPr>
          <w:color w:val="000000"/>
          <w:sz w:val="24"/>
          <w:szCs w:val="24"/>
          <w:u w:val="single"/>
        </w:rPr>
        <w:t xml:space="preserve"> Comm’n v. </w:t>
      </w:r>
      <w:r w:rsidR="00855529" w:rsidRPr="004D72DF">
        <w:rPr>
          <w:color w:val="000000"/>
          <w:sz w:val="24"/>
          <w:szCs w:val="24"/>
          <w:u w:val="single"/>
        </w:rPr>
        <w:t>B</w:t>
      </w:r>
      <w:r w:rsidRPr="004D72DF">
        <w:rPr>
          <w:color w:val="000000"/>
          <w:sz w:val="24"/>
          <w:szCs w:val="24"/>
          <w:u w:val="single"/>
        </w:rPr>
        <w:t xml:space="preserve">ell </w:t>
      </w:r>
      <w:r w:rsidR="00855529" w:rsidRPr="004D72DF">
        <w:rPr>
          <w:color w:val="000000"/>
          <w:sz w:val="24"/>
          <w:szCs w:val="24"/>
          <w:u w:val="single"/>
        </w:rPr>
        <w:t>T</w:t>
      </w:r>
      <w:r w:rsidRPr="004D72DF">
        <w:rPr>
          <w:color w:val="000000"/>
          <w:sz w:val="24"/>
          <w:szCs w:val="24"/>
          <w:u w:val="single"/>
        </w:rPr>
        <w:t>elephone Co. of Pennsylvania</w:t>
      </w:r>
      <w:r w:rsidRPr="004D72DF">
        <w:rPr>
          <w:color w:val="000000"/>
          <w:sz w:val="24"/>
          <w:szCs w:val="24"/>
        </w:rPr>
        <w:t>, 46 P</w:t>
      </w:r>
      <w:r w:rsidR="00925C70">
        <w:rPr>
          <w:color w:val="000000"/>
          <w:sz w:val="24"/>
          <w:szCs w:val="24"/>
        </w:rPr>
        <w:t>a.</w:t>
      </w:r>
      <w:r w:rsidRPr="004D72DF">
        <w:rPr>
          <w:color w:val="000000"/>
          <w:sz w:val="24"/>
          <w:szCs w:val="24"/>
        </w:rPr>
        <w:t xml:space="preserve"> PUC 568 (1973) and </w:t>
      </w:r>
      <w:r w:rsidRPr="004D72DF">
        <w:rPr>
          <w:color w:val="000000"/>
          <w:sz w:val="24"/>
          <w:szCs w:val="24"/>
          <w:u w:val="single"/>
        </w:rPr>
        <w:t>Pa. Pub</w:t>
      </w:r>
      <w:r w:rsidR="002D01D6" w:rsidRPr="004D72DF">
        <w:rPr>
          <w:color w:val="000000"/>
          <w:sz w:val="24"/>
          <w:szCs w:val="24"/>
          <w:u w:val="single"/>
        </w:rPr>
        <w:t>.</w:t>
      </w:r>
      <w:proofErr w:type="gramEnd"/>
      <w:r w:rsidRPr="004D72DF">
        <w:rPr>
          <w:color w:val="000000"/>
          <w:sz w:val="24"/>
          <w:szCs w:val="24"/>
          <w:u w:val="single"/>
        </w:rPr>
        <w:t xml:space="preserve"> Util</w:t>
      </w:r>
      <w:r w:rsidR="002D01D6" w:rsidRPr="004D72DF">
        <w:rPr>
          <w:color w:val="000000"/>
          <w:sz w:val="24"/>
          <w:szCs w:val="24"/>
          <w:u w:val="single"/>
        </w:rPr>
        <w:t xml:space="preserve">. </w:t>
      </w:r>
      <w:r w:rsidRPr="004D72DF">
        <w:rPr>
          <w:color w:val="000000"/>
          <w:sz w:val="24"/>
          <w:szCs w:val="24"/>
          <w:u w:val="single"/>
        </w:rPr>
        <w:t xml:space="preserve">Comm’n v. </w:t>
      </w:r>
      <w:r w:rsidR="00855529" w:rsidRPr="004D72DF">
        <w:rPr>
          <w:color w:val="000000"/>
          <w:sz w:val="24"/>
          <w:szCs w:val="24"/>
          <w:u w:val="single"/>
        </w:rPr>
        <w:t>B</w:t>
      </w:r>
      <w:r w:rsidRPr="004D72DF">
        <w:rPr>
          <w:color w:val="000000"/>
          <w:sz w:val="24"/>
          <w:szCs w:val="24"/>
          <w:u w:val="single"/>
        </w:rPr>
        <w:t>utler Twp. Water Co.</w:t>
      </w:r>
      <w:r w:rsidRPr="004D72DF">
        <w:rPr>
          <w:color w:val="000000"/>
          <w:sz w:val="24"/>
          <w:szCs w:val="24"/>
        </w:rPr>
        <w:t>, 52 P</w:t>
      </w:r>
      <w:r w:rsidR="00925C70">
        <w:rPr>
          <w:color w:val="000000"/>
          <w:sz w:val="24"/>
          <w:szCs w:val="24"/>
        </w:rPr>
        <w:t>a.</w:t>
      </w:r>
      <w:r w:rsidRPr="004D72DF">
        <w:rPr>
          <w:color w:val="000000"/>
          <w:sz w:val="24"/>
          <w:szCs w:val="24"/>
        </w:rPr>
        <w:t xml:space="preserve"> PUC 4</w:t>
      </w:r>
      <w:r w:rsidR="00D7185A" w:rsidRPr="004D72DF">
        <w:rPr>
          <w:color w:val="000000"/>
          <w:sz w:val="24"/>
          <w:szCs w:val="24"/>
        </w:rPr>
        <w:t>4</w:t>
      </w:r>
      <w:r w:rsidRPr="004D72DF">
        <w:rPr>
          <w:color w:val="000000"/>
          <w:sz w:val="24"/>
          <w:szCs w:val="24"/>
        </w:rPr>
        <w:t>2 (1978), as well as those cited above,</w:t>
      </w:r>
      <w:r w:rsidR="00D7185A" w:rsidRPr="004D72DF">
        <w:rPr>
          <w:color w:val="000000"/>
          <w:sz w:val="24"/>
          <w:szCs w:val="24"/>
        </w:rPr>
        <w:t xml:space="preserve"> the Commission has established </w:t>
      </w:r>
      <w:r w:rsidRPr="004D72DF">
        <w:rPr>
          <w:color w:val="000000"/>
          <w:sz w:val="24"/>
          <w:szCs w:val="24"/>
        </w:rPr>
        <w:t xml:space="preserve">that </w:t>
      </w:r>
      <w:r w:rsidR="004427BC" w:rsidRPr="004D72DF">
        <w:rPr>
          <w:color w:val="000000"/>
          <w:sz w:val="24"/>
          <w:szCs w:val="24"/>
        </w:rPr>
        <w:t xml:space="preserve">the Commission or presiding officer should evaluate </w:t>
      </w:r>
      <w:r w:rsidRPr="004D72DF">
        <w:rPr>
          <w:color w:val="000000"/>
          <w:sz w:val="24"/>
          <w:szCs w:val="24"/>
        </w:rPr>
        <w:t>considerations in addition to the presence of common questions of law or fact</w:t>
      </w:r>
      <w:r w:rsidR="00D7185A" w:rsidRPr="004D72DF">
        <w:rPr>
          <w:color w:val="000000"/>
          <w:sz w:val="24"/>
          <w:szCs w:val="24"/>
        </w:rPr>
        <w:t xml:space="preserve"> </w:t>
      </w:r>
      <w:r w:rsidRPr="004D72DF">
        <w:rPr>
          <w:color w:val="000000"/>
          <w:sz w:val="24"/>
          <w:szCs w:val="24"/>
        </w:rPr>
        <w:t xml:space="preserve">in ruling on a </w:t>
      </w:r>
      <w:r w:rsidR="00D7185A" w:rsidRPr="004D72DF">
        <w:rPr>
          <w:color w:val="000000"/>
          <w:sz w:val="24"/>
          <w:szCs w:val="24"/>
        </w:rPr>
        <w:t>motion to consolidate</w:t>
      </w:r>
      <w:r w:rsidRPr="004D72DF">
        <w:rPr>
          <w:color w:val="000000"/>
          <w:sz w:val="24"/>
          <w:szCs w:val="24"/>
        </w:rPr>
        <w:t xml:space="preserve">.  These other considerations </w:t>
      </w:r>
      <w:r w:rsidR="00D7185A" w:rsidRPr="004D72DF">
        <w:rPr>
          <w:color w:val="000000"/>
          <w:sz w:val="24"/>
          <w:szCs w:val="24"/>
        </w:rPr>
        <w:t>include</w:t>
      </w:r>
      <w:r w:rsidRPr="004D72DF">
        <w:rPr>
          <w:color w:val="000000"/>
          <w:sz w:val="24"/>
          <w:szCs w:val="24"/>
        </w:rPr>
        <w:t>:</w:t>
      </w:r>
    </w:p>
    <w:p w:rsidR="00266D96" w:rsidRPr="004D72DF" w:rsidRDefault="00266D96" w:rsidP="00266D96">
      <w:pPr>
        <w:spacing w:line="360" w:lineRule="auto"/>
        <w:ind w:firstLine="1440"/>
        <w:rPr>
          <w:color w:val="000000"/>
          <w:sz w:val="24"/>
        </w:rPr>
      </w:pPr>
    </w:p>
    <w:p w:rsidR="00266D96" w:rsidRPr="004D72DF" w:rsidRDefault="00266D96" w:rsidP="00266D96">
      <w:pPr>
        <w:ind w:left="1440"/>
        <w:rPr>
          <w:color w:val="000000"/>
          <w:sz w:val="24"/>
        </w:rPr>
      </w:pPr>
      <w:r w:rsidRPr="004D72DF">
        <w:rPr>
          <w:color w:val="000000"/>
          <w:sz w:val="24"/>
        </w:rPr>
        <w:t>1.</w:t>
      </w:r>
      <w:r w:rsidRPr="004D72DF">
        <w:rPr>
          <w:color w:val="000000"/>
          <w:sz w:val="24"/>
        </w:rPr>
        <w:tab/>
        <w:t>Will the presence of additional issues cloud a determination of the common issues?</w:t>
      </w:r>
    </w:p>
    <w:p w:rsidR="00266D96" w:rsidRPr="004D72DF" w:rsidRDefault="00266D96" w:rsidP="00266D96">
      <w:pPr>
        <w:ind w:left="1440"/>
        <w:rPr>
          <w:color w:val="000000"/>
          <w:sz w:val="24"/>
        </w:rPr>
      </w:pPr>
    </w:p>
    <w:p w:rsidR="00266D96" w:rsidRPr="004D72DF" w:rsidRDefault="00266D96" w:rsidP="00266D96">
      <w:pPr>
        <w:ind w:left="1440"/>
        <w:rPr>
          <w:color w:val="000000"/>
          <w:sz w:val="24"/>
        </w:rPr>
      </w:pPr>
      <w:r w:rsidRPr="004D72DF">
        <w:rPr>
          <w:color w:val="000000"/>
          <w:sz w:val="24"/>
        </w:rPr>
        <w:t>2.</w:t>
      </w:r>
      <w:r w:rsidRPr="004D72DF">
        <w:rPr>
          <w:color w:val="000000"/>
          <w:sz w:val="24"/>
        </w:rPr>
        <w:tab/>
        <w:t>Will consolidation result in reduced costs of litigation and decision-making for the parties and the Commission?</w:t>
      </w:r>
    </w:p>
    <w:p w:rsidR="00266D96" w:rsidRPr="004D72DF" w:rsidRDefault="00266D96" w:rsidP="00266D96">
      <w:pPr>
        <w:ind w:left="1440"/>
        <w:rPr>
          <w:color w:val="000000"/>
          <w:sz w:val="24"/>
        </w:rPr>
      </w:pPr>
    </w:p>
    <w:p w:rsidR="00266D96" w:rsidRPr="004D72DF" w:rsidRDefault="00266D96" w:rsidP="00266D96">
      <w:pPr>
        <w:ind w:left="1440"/>
        <w:rPr>
          <w:color w:val="000000"/>
          <w:sz w:val="24"/>
        </w:rPr>
      </w:pPr>
      <w:r w:rsidRPr="004D72DF">
        <w:rPr>
          <w:color w:val="000000"/>
          <w:sz w:val="24"/>
        </w:rPr>
        <w:t>3.</w:t>
      </w:r>
      <w:r w:rsidRPr="004D72DF">
        <w:rPr>
          <w:color w:val="000000"/>
          <w:sz w:val="24"/>
        </w:rPr>
        <w:tab/>
        <w:t>Do issues in one proceeding go to the heart of an issue in the other proceeding?</w:t>
      </w:r>
    </w:p>
    <w:p w:rsidR="00266D96" w:rsidRPr="004D72DF" w:rsidRDefault="00266D96" w:rsidP="00266D96">
      <w:pPr>
        <w:ind w:left="1080"/>
        <w:rPr>
          <w:color w:val="000000"/>
          <w:sz w:val="24"/>
        </w:rPr>
      </w:pPr>
    </w:p>
    <w:p w:rsidR="00266D96" w:rsidRPr="004D72DF" w:rsidRDefault="00266D96" w:rsidP="00266D96">
      <w:pPr>
        <w:ind w:left="1440"/>
        <w:rPr>
          <w:color w:val="000000"/>
          <w:sz w:val="24"/>
        </w:rPr>
      </w:pPr>
      <w:r w:rsidRPr="004D72DF">
        <w:rPr>
          <w:color w:val="000000"/>
          <w:sz w:val="24"/>
        </w:rPr>
        <w:t>4.</w:t>
      </w:r>
      <w:r w:rsidRPr="004D72DF">
        <w:rPr>
          <w:color w:val="000000"/>
          <w:sz w:val="24"/>
        </w:rPr>
        <w:tab/>
        <w:t>Will consolidation unduly protract the hearing, or produce a disorderly and unwieldy record?</w:t>
      </w:r>
    </w:p>
    <w:p w:rsidR="00266D96" w:rsidRPr="004D72DF" w:rsidRDefault="00266D96" w:rsidP="00266D96">
      <w:pPr>
        <w:ind w:left="1440"/>
        <w:rPr>
          <w:color w:val="000000"/>
          <w:sz w:val="24"/>
        </w:rPr>
      </w:pPr>
    </w:p>
    <w:p w:rsidR="00266D96" w:rsidRPr="004D72DF" w:rsidRDefault="00266D96" w:rsidP="00266D96">
      <w:pPr>
        <w:ind w:left="1080" w:firstLine="360"/>
        <w:rPr>
          <w:color w:val="000000"/>
          <w:sz w:val="24"/>
        </w:rPr>
      </w:pPr>
      <w:r w:rsidRPr="004D72DF">
        <w:rPr>
          <w:color w:val="000000"/>
          <w:sz w:val="24"/>
        </w:rPr>
        <w:t>5.</w:t>
      </w:r>
      <w:r w:rsidRPr="004D72DF">
        <w:rPr>
          <w:color w:val="000000"/>
          <w:sz w:val="24"/>
        </w:rPr>
        <w:tab/>
        <w:t>Will different statutory and legal issues be involved?</w:t>
      </w:r>
    </w:p>
    <w:p w:rsidR="00266D96" w:rsidRPr="004D72DF" w:rsidRDefault="00266D96" w:rsidP="00266D96">
      <w:pPr>
        <w:ind w:left="1080"/>
        <w:rPr>
          <w:color w:val="000000"/>
          <w:sz w:val="24"/>
        </w:rPr>
      </w:pPr>
    </w:p>
    <w:p w:rsidR="00266D96" w:rsidRPr="004D72DF" w:rsidRDefault="00266D96" w:rsidP="00266D96">
      <w:pPr>
        <w:ind w:left="1080" w:firstLine="360"/>
        <w:rPr>
          <w:color w:val="000000"/>
          <w:sz w:val="24"/>
        </w:rPr>
      </w:pPr>
      <w:r w:rsidRPr="004D72DF">
        <w:rPr>
          <w:color w:val="000000"/>
          <w:sz w:val="24"/>
        </w:rPr>
        <w:t>6.</w:t>
      </w:r>
      <w:r w:rsidRPr="004D72DF">
        <w:rPr>
          <w:color w:val="000000"/>
          <w:sz w:val="24"/>
        </w:rPr>
        <w:tab/>
        <w:t>Does the party with the burden of proof differ in the proceedings?</w:t>
      </w:r>
    </w:p>
    <w:p w:rsidR="00266D96" w:rsidRPr="004D72DF" w:rsidRDefault="00266D96" w:rsidP="00266D96">
      <w:pPr>
        <w:ind w:left="1080" w:firstLine="360"/>
        <w:rPr>
          <w:color w:val="000000"/>
          <w:sz w:val="24"/>
        </w:rPr>
      </w:pPr>
    </w:p>
    <w:p w:rsidR="00266D96" w:rsidRPr="004D72DF" w:rsidRDefault="00266D96" w:rsidP="00266D96">
      <w:pPr>
        <w:ind w:left="1080" w:firstLine="360"/>
        <w:rPr>
          <w:color w:val="000000"/>
          <w:sz w:val="24"/>
        </w:rPr>
      </w:pPr>
      <w:r w:rsidRPr="004D72DF">
        <w:rPr>
          <w:color w:val="000000"/>
          <w:sz w:val="24"/>
        </w:rPr>
        <w:t>7.</w:t>
      </w:r>
      <w:r w:rsidRPr="004D72DF">
        <w:rPr>
          <w:color w:val="000000"/>
          <w:sz w:val="24"/>
        </w:rPr>
        <w:tab/>
        <w:t>Will consolidation unduly delay the resolution of one the proceedings?</w:t>
      </w:r>
    </w:p>
    <w:p w:rsidR="00266D96" w:rsidRPr="004D72DF" w:rsidRDefault="00266D96" w:rsidP="00266D96">
      <w:pPr>
        <w:ind w:left="1080"/>
        <w:rPr>
          <w:color w:val="000000"/>
          <w:sz w:val="24"/>
        </w:rPr>
      </w:pPr>
    </w:p>
    <w:p w:rsidR="00266D96" w:rsidRPr="004D72DF" w:rsidRDefault="00266D96" w:rsidP="00266D96">
      <w:pPr>
        <w:ind w:left="1080" w:firstLine="360"/>
        <w:rPr>
          <w:color w:val="000000"/>
          <w:sz w:val="24"/>
        </w:rPr>
      </w:pPr>
      <w:r w:rsidRPr="004D72DF">
        <w:rPr>
          <w:color w:val="000000"/>
          <w:sz w:val="24"/>
        </w:rPr>
        <w:lastRenderedPageBreak/>
        <w:t>8.</w:t>
      </w:r>
      <w:r w:rsidRPr="004D72DF">
        <w:rPr>
          <w:color w:val="000000"/>
          <w:sz w:val="24"/>
        </w:rPr>
        <w:tab/>
        <w:t>Will supporting data in both proceedings be repetitive?</w:t>
      </w:r>
    </w:p>
    <w:p w:rsidR="003D471A" w:rsidRPr="004D72DF" w:rsidRDefault="003D471A" w:rsidP="00116B43">
      <w:pPr>
        <w:spacing w:line="360" w:lineRule="auto"/>
        <w:ind w:firstLine="1440"/>
        <w:rPr>
          <w:color w:val="000000"/>
          <w:sz w:val="24"/>
          <w:szCs w:val="24"/>
        </w:rPr>
      </w:pPr>
    </w:p>
    <w:p w:rsidR="003D471A" w:rsidRPr="004D72DF" w:rsidRDefault="003D471A" w:rsidP="00116B43">
      <w:pPr>
        <w:spacing w:line="360" w:lineRule="auto"/>
        <w:ind w:firstLine="1440"/>
        <w:rPr>
          <w:color w:val="000000"/>
          <w:sz w:val="24"/>
          <w:szCs w:val="24"/>
        </w:rPr>
      </w:pPr>
      <w:r w:rsidRPr="004D72DF">
        <w:rPr>
          <w:color w:val="000000"/>
          <w:sz w:val="24"/>
          <w:szCs w:val="24"/>
        </w:rPr>
        <w:t>No single consideration</w:t>
      </w:r>
      <w:r w:rsidR="0055768F" w:rsidRPr="004D72DF">
        <w:rPr>
          <w:color w:val="000000"/>
          <w:sz w:val="24"/>
          <w:szCs w:val="24"/>
        </w:rPr>
        <w:t xml:space="preserve"> </w:t>
      </w:r>
      <w:r w:rsidRPr="004D72DF">
        <w:rPr>
          <w:color w:val="000000"/>
          <w:sz w:val="24"/>
          <w:szCs w:val="24"/>
        </w:rPr>
        <w:t>or group of considerations</w:t>
      </w:r>
      <w:r w:rsidR="0055768F" w:rsidRPr="004D72DF">
        <w:rPr>
          <w:color w:val="000000"/>
          <w:sz w:val="24"/>
          <w:szCs w:val="24"/>
        </w:rPr>
        <w:t xml:space="preserve"> or the presence of a common question of law or fact </w:t>
      </w:r>
      <w:r w:rsidRPr="004D72DF">
        <w:rPr>
          <w:color w:val="000000"/>
          <w:sz w:val="24"/>
          <w:szCs w:val="24"/>
        </w:rPr>
        <w:t xml:space="preserve">is dispositive </w:t>
      </w:r>
      <w:r w:rsidR="00D7185A" w:rsidRPr="004D72DF">
        <w:rPr>
          <w:color w:val="000000"/>
          <w:sz w:val="24"/>
          <w:szCs w:val="24"/>
        </w:rPr>
        <w:t>in determining</w:t>
      </w:r>
      <w:r w:rsidR="00660F71" w:rsidRPr="004D72DF">
        <w:rPr>
          <w:color w:val="000000"/>
          <w:sz w:val="24"/>
          <w:szCs w:val="24"/>
        </w:rPr>
        <w:t xml:space="preserve"> whether</w:t>
      </w:r>
      <w:r w:rsidR="00241663" w:rsidRPr="004D72DF">
        <w:rPr>
          <w:color w:val="000000"/>
          <w:sz w:val="24"/>
          <w:szCs w:val="24"/>
        </w:rPr>
        <w:t xml:space="preserve"> to </w:t>
      </w:r>
      <w:r w:rsidRPr="004D72DF">
        <w:rPr>
          <w:color w:val="000000"/>
          <w:sz w:val="24"/>
          <w:szCs w:val="24"/>
        </w:rPr>
        <w:t>consolidat</w:t>
      </w:r>
      <w:r w:rsidR="00241663" w:rsidRPr="004D72DF">
        <w:rPr>
          <w:color w:val="000000"/>
          <w:sz w:val="24"/>
          <w:szCs w:val="24"/>
        </w:rPr>
        <w:t>e proceedings</w:t>
      </w:r>
      <w:r w:rsidR="0055768F" w:rsidRPr="004D72DF">
        <w:rPr>
          <w:color w:val="000000"/>
          <w:sz w:val="24"/>
          <w:szCs w:val="24"/>
        </w:rPr>
        <w:t>.</w:t>
      </w:r>
      <w:r w:rsidRPr="004D72DF">
        <w:rPr>
          <w:color w:val="000000"/>
          <w:sz w:val="24"/>
          <w:szCs w:val="24"/>
        </w:rPr>
        <w:t xml:space="preserve"> </w:t>
      </w:r>
      <w:r w:rsidR="002F2F6A" w:rsidRPr="004D72DF">
        <w:rPr>
          <w:color w:val="000000"/>
          <w:sz w:val="24"/>
          <w:szCs w:val="24"/>
        </w:rPr>
        <w:t xml:space="preserve"> </w:t>
      </w:r>
      <w:r w:rsidRPr="004D72DF">
        <w:rPr>
          <w:color w:val="000000"/>
          <w:sz w:val="24"/>
          <w:szCs w:val="24"/>
        </w:rPr>
        <w:t xml:space="preserve">Rather, the </w:t>
      </w:r>
      <w:r w:rsidR="0055768F" w:rsidRPr="004D72DF">
        <w:rPr>
          <w:color w:val="000000"/>
          <w:sz w:val="24"/>
          <w:szCs w:val="24"/>
        </w:rPr>
        <w:t xml:space="preserve">Commission or presiding officer must </w:t>
      </w:r>
      <w:r w:rsidRPr="004D72DF">
        <w:rPr>
          <w:color w:val="000000"/>
          <w:sz w:val="24"/>
          <w:szCs w:val="24"/>
        </w:rPr>
        <w:t>evaluat</w:t>
      </w:r>
      <w:r w:rsidR="0055768F" w:rsidRPr="004D72DF">
        <w:rPr>
          <w:color w:val="000000"/>
          <w:sz w:val="24"/>
          <w:szCs w:val="24"/>
        </w:rPr>
        <w:t>e</w:t>
      </w:r>
      <w:r w:rsidRPr="004D72DF">
        <w:rPr>
          <w:color w:val="000000"/>
          <w:sz w:val="24"/>
          <w:szCs w:val="24"/>
        </w:rPr>
        <w:t xml:space="preserve"> all of the</w:t>
      </w:r>
      <w:r w:rsidR="00660F71" w:rsidRPr="004D72DF">
        <w:rPr>
          <w:color w:val="000000"/>
          <w:sz w:val="24"/>
          <w:szCs w:val="24"/>
        </w:rPr>
        <w:t xml:space="preserve">se considerations </w:t>
      </w:r>
      <w:r w:rsidRPr="004D72DF">
        <w:rPr>
          <w:color w:val="000000"/>
          <w:sz w:val="24"/>
          <w:szCs w:val="24"/>
        </w:rPr>
        <w:t>and balanc</w:t>
      </w:r>
      <w:r w:rsidR="0055768F" w:rsidRPr="004D72DF">
        <w:rPr>
          <w:color w:val="000000"/>
          <w:sz w:val="24"/>
          <w:szCs w:val="24"/>
        </w:rPr>
        <w:t>e</w:t>
      </w:r>
      <w:r w:rsidRPr="004D72DF">
        <w:rPr>
          <w:color w:val="000000"/>
          <w:sz w:val="24"/>
          <w:szCs w:val="24"/>
        </w:rPr>
        <w:t xml:space="preserve"> those favoring </w:t>
      </w:r>
      <w:r w:rsidR="0055768F" w:rsidRPr="004D72DF">
        <w:rPr>
          <w:color w:val="000000"/>
          <w:sz w:val="24"/>
          <w:szCs w:val="24"/>
        </w:rPr>
        <w:t xml:space="preserve">versus those </w:t>
      </w:r>
      <w:r w:rsidRPr="004D72DF">
        <w:rPr>
          <w:color w:val="000000"/>
          <w:sz w:val="24"/>
          <w:szCs w:val="24"/>
        </w:rPr>
        <w:t>disfavoring consolidat</w:t>
      </w:r>
      <w:r w:rsidR="00B326D4" w:rsidRPr="004D72DF">
        <w:rPr>
          <w:color w:val="000000"/>
          <w:sz w:val="24"/>
          <w:szCs w:val="24"/>
        </w:rPr>
        <w:t>ing the proceedings</w:t>
      </w:r>
      <w:r w:rsidRPr="004D72DF">
        <w:rPr>
          <w:color w:val="000000"/>
          <w:sz w:val="24"/>
          <w:szCs w:val="24"/>
        </w:rPr>
        <w:t>.</w:t>
      </w:r>
    </w:p>
    <w:p w:rsidR="003D471A" w:rsidRPr="004D72DF" w:rsidRDefault="003D471A" w:rsidP="00116B43">
      <w:pPr>
        <w:spacing w:line="360" w:lineRule="auto"/>
        <w:ind w:firstLine="1440"/>
        <w:rPr>
          <w:color w:val="000000"/>
          <w:sz w:val="24"/>
          <w:szCs w:val="24"/>
        </w:rPr>
      </w:pPr>
    </w:p>
    <w:p w:rsidR="00AD1035" w:rsidRPr="004D72DF" w:rsidRDefault="00241663" w:rsidP="00AF7578">
      <w:pPr>
        <w:spacing w:line="360" w:lineRule="auto"/>
        <w:ind w:firstLine="1440"/>
        <w:rPr>
          <w:sz w:val="24"/>
          <w:szCs w:val="24"/>
          <w:u w:val="single"/>
        </w:rPr>
      </w:pPr>
      <w:r w:rsidRPr="004D72DF">
        <w:rPr>
          <w:color w:val="000000"/>
          <w:sz w:val="24"/>
          <w:szCs w:val="24"/>
        </w:rPr>
        <w:t xml:space="preserve">After reviewing these considerations, </w:t>
      </w:r>
      <w:r w:rsidR="001D4B6E" w:rsidRPr="004D72DF">
        <w:rPr>
          <w:color w:val="000000"/>
          <w:sz w:val="24"/>
          <w:szCs w:val="24"/>
        </w:rPr>
        <w:t xml:space="preserve">I conclude that </w:t>
      </w:r>
      <w:r w:rsidRPr="004D72DF">
        <w:rPr>
          <w:color w:val="000000"/>
          <w:sz w:val="24"/>
          <w:szCs w:val="24"/>
        </w:rPr>
        <w:t>consolidating the two complaints here is appropriate</w:t>
      </w:r>
      <w:r w:rsidR="00B326D4" w:rsidRPr="004D72DF">
        <w:rPr>
          <w:color w:val="000000"/>
          <w:sz w:val="24"/>
          <w:szCs w:val="24"/>
        </w:rPr>
        <w:t>.  Consolidating these two complaints will reduce the costs of litigating the proceedings for the parties and the Commission.</w:t>
      </w:r>
      <w:r w:rsidR="00BD1BC8" w:rsidRPr="004D72DF">
        <w:rPr>
          <w:color w:val="000000"/>
          <w:sz w:val="24"/>
          <w:szCs w:val="24"/>
        </w:rPr>
        <w:t xml:space="preserve">  Consolidating these complaints will eliminate </w:t>
      </w:r>
      <w:r w:rsidR="00A931CC" w:rsidRPr="004D72DF">
        <w:rPr>
          <w:color w:val="000000"/>
          <w:sz w:val="24"/>
          <w:szCs w:val="24"/>
        </w:rPr>
        <w:t xml:space="preserve">the need to present the same facts and legal arguments in two separate proceedings.  </w:t>
      </w:r>
      <w:r w:rsidR="00DB0D16" w:rsidRPr="004D72DF">
        <w:rPr>
          <w:color w:val="000000"/>
          <w:sz w:val="24"/>
          <w:szCs w:val="24"/>
        </w:rPr>
        <w:t>The common fact</w:t>
      </w:r>
      <w:r w:rsidR="005C275D" w:rsidRPr="004D72DF">
        <w:rPr>
          <w:color w:val="000000"/>
          <w:sz w:val="24"/>
          <w:szCs w:val="24"/>
        </w:rPr>
        <w:t>s</w:t>
      </w:r>
      <w:r w:rsidR="00DB0D16" w:rsidRPr="004D72DF">
        <w:rPr>
          <w:color w:val="000000"/>
          <w:sz w:val="24"/>
          <w:szCs w:val="24"/>
        </w:rPr>
        <w:t xml:space="preserve"> between the two </w:t>
      </w:r>
      <w:r w:rsidR="005C275D" w:rsidRPr="004D72DF">
        <w:rPr>
          <w:color w:val="000000"/>
          <w:sz w:val="24"/>
          <w:szCs w:val="24"/>
        </w:rPr>
        <w:t>c</w:t>
      </w:r>
      <w:r w:rsidR="00DB0D16" w:rsidRPr="004D72DF">
        <w:rPr>
          <w:color w:val="000000"/>
          <w:sz w:val="24"/>
          <w:szCs w:val="24"/>
        </w:rPr>
        <w:t xml:space="preserve">omplaints </w:t>
      </w:r>
      <w:r w:rsidR="001D4B6E" w:rsidRPr="004D72DF">
        <w:rPr>
          <w:color w:val="000000"/>
          <w:sz w:val="24"/>
          <w:szCs w:val="24"/>
        </w:rPr>
        <w:t xml:space="preserve">here </w:t>
      </w:r>
      <w:r w:rsidR="005C275D" w:rsidRPr="004D72DF">
        <w:rPr>
          <w:color w:val="000000"/>
          <w:sz w:val="24"/>
          <w:szCs w:val="24"/>
        </w:rPr>
        <w:t>are that they involve the same</w:t>
      </w:r>
      <w:r w:rsidR="00665B05" w:rsidRPr="004D72DF">
        <w:rPr>
          <w:color w:val="000000"/>
          <w:sz w:val="24"/>
          <w:szCs w:val="24"/>
        </w:rPr>
        <w:t xml:space="preserve"> customer, the same</w:t>
      </w:r>
      <w:r w:rsidR="005C275D" w:rsidRPr="004D72DF">
        <w:rPr>
          <w:color w:val="000000"/>
          <w:sz w:val="24"/>
          <w:szCs w:val="24"/>
        </w:rPr>
        <w:t xml:space="preserve"> service address and the same service account.  The common question of law </w:t>
      </w:r>
      <w:r w:rsidR="00266D96" w:rsidRPr="004D72DF">
        <w:rPr>
          <w:color w:val="000000"/>
          <w:sz w:val="24"/>
          <w:szCs w:val="24"/>
        </w:rPr>
        <w:t>is whether the Complainant is entitled to a payment arrangement.</w:t>
      </w:r>
      <w:r w:rsidR="004427BC" w:rsidRPr="004D72DF">
        <w:rPr>
          <w:sz w:val="24"/>
          <w:szCs w:val="24"/>
        </w:rPr>
        <w:t xml:space="preserve"> </w:t>
      </w:r>
      <w:r w:rsidR="0081483F" w:rsidRPr="004D72DF">
        <w:rPr>
          <w:color w:val="000000"/>
          <w:sz w:val="24"/>
          <w:szCs w:val="24"/>
        </w:rPr>
        <w:t xml:space="preserve"> </w:t>
      </w:r>
      <w:r w:rsidR="00665B05" w:rsidRPr="004D72DF">
        <w:rPr>
          <w:color w:val="000000"/>
          <w:sz w:val="24"/>
          <w:szCs w:val="24"/>
        </w:rPr>
        <w:t xml:space="preserve"> </w:t>
      </w:r>
      <w:r w:rsidR="00A75FBE" w:rsidRPr="004D72DF">
        <w:rPr>
          <w:color w:val="000000"/>
          <w:sz w:val="24"/>
          <w:szCs w:val="24"/>
        </w:rPr>
        <w:t xml:space="preserve">Consolidation of the two complaints will not delay the resolution of either complaint.  </w:t>
      </w:r>
      <w:r w:rsidR="00DB0D16" w:rsidRPr="004D72DF">
        <w:rPr>
          <w:color w:val="000000"/>
          <w:sz w:val="24"/>
          <w:szCs w:val="24"/>
        </w:rPr>
        <w:t>For all of the</w:t>
      </w:r>
      <w:r w:rsidR="0081483F" w:rsidRPr="004D72DF">
        <w:rPr>
          <w:color w:val="000000"/>
          <w:sz w:val="24"/>
          <w:szCs w:val="24"/>
        </w:rPr>
        <w:t>se</w:t>
      </w:r>
      <w:r w:rsidR="00DB0D16" w:rsidRPr="004D72DF">
        <w:rPr>
          <w:color w:val="000000"/>
          <w:sz w:val="24"/>
          <w:szCs w:val="24"/>
        </w:rPr>
        <w:t xml:space="preserve"> reasons, consolidati</w:t>
      </w:r>
      <w:r w:rsidR="0081483F" w:rsidRPr="004D72DF">
        <w:rPr>
          <w:color w:val="000000"/>
          <w:sz w:val="24"/>
          <w:szCs w:val="24"/>
        </w:rPr>
        <w:t>ng</w:t>
      </w:r>
      <w:r w:rsidR="00DB0D16" w:rsidRPr="004D72DF">
        <w:rPr>
          <w:color w:val="000000"/>
          <w:sz w:val="24"/>
          <w:szCs w:val="24"/>
        </w:rPr>
        <w:t xml:space="preserve"> these </w:t>
      </w:r>
      <w:r w:rsidR="0081483F" w:rsidRPr="004D72DF">
        <w:rPr>
          <w:color w:val="000000"/>
          <w:sz w:val="24"/>
          <w:szCs w:val="24"/>
        </w:rPr>
        <w:t xml:space="preserve">complaints </w:t>
      </w:r>
      <w:r w:rsidR="00DB0D16" w:rsidRPr="004D72DF">
        <w:rPr>
          <w:color w:val="000000"/>
          <w:sz w:val="24"/>
          <w:szCs w:val="24"/>
        </w:rPr>
        <w:t>for hearing and decision is warranted.</w:t>
      </w:r>
      <w:r w:rsidR="00796E78" w:rsidRPr="004D72DF">
        <w:rPr>
          <w:color w:val="000000"/>
          <w:sz w:val="24"/>
          <w:szCs w:val="24"/>
        </w:rPr>
        <w:t xml:space="preserve">  I will issue the following order.</w:t>
      </w:r>
    </w:p>
    <w:p w:rsidR="00AD1035" w:rsidRPr="004D72DF" w:rsidRDefault="00AD1035" w:rsidP="00FF7A45">
      <w:pPr>
        <w:spacing w:line="360" w:lineRule="auto"/>
        <w:jc w:val="center"/>
        <w:rPr>
          <w:sz w:val="24"/>
          <w:szCs w:val="24"/>
          <w:u w:val="single"/>
        </w:rPr>
      </w:pPr>
    </w:p>
    <w:p w:rsidR="00FF7A45" w:rsidRPr="004D72DF" w:rsidRDefault="00FF7A45" w:rsidP="00FF7A45">
      <w:pPr>
        <w:spacing w:line="360" w:lineRule="auto"/>
        <w:jc w:val="center"/>
        <w:rPr>
          <w:sz w:val="24"/>
          <w:szCs w:val="24"/>
        </w:rPr>
      </w:pPr>
      <w:r w:rsidRPr="004D72DF">
        <w:rPr>
          <w:sz w:val="24"/>
          <w:szCs w:val="24"/>
          <w:u w:val="single"/>
        </w:rPr>
        <w:t>ORDER</w:t>
      </w:r>
    </w:p>
    <w:p w:rsidR="002F2F6A" w:rsidRPr="004D72DF" w:rsidRDefault="002F2F6A" w:rsidP="00FF7A45">
      <w:pPr>
        <w:spacing w:line="360" w:lineRule="auto"/>
        <w:ind w:firstLine="1440"/>
        <w:rPr>
          <w:sz w:val="24"/>
          <w:szCs w:val="24"/>
        </w:rPr>
      </w:pPr>
    </w:p>
    <w:p w:rsidR="00FF7A45" w:rsidRPr="004D72DF" w:rsidRDefault="00FF7A45" w:rsidP="00FF7A45">
      <w:pPr>
        <w:spacing w:line="360" w:lineRule="auto"/>
        <w:ind w:firstLine="1440"/>
        <w:rPr>
          <w:sz w:val="24"/>
          <w:szCs w:val="24"/>
        </w:rPr>
      </w:pPr>
      <w:r w:rsidRPr="004D72DF">
        <w:rPr>
          <w:sz w:val="24"/>
          <w:szCs w:val="24"/>
        </w:rPr>
        <w:t>THEREFORE,</w:t>
      </w:r>
    </w:p>
    <w:p w:rsidR="00FF7A45" w:rsidRPr="004D72DF" w:rsidRDefault="00FF7A45" w:rsidP="00FF7A45">
      <w:pPr>
        <w:tabs>
          <w:tab w:val="left" w:pos="2205"/>
        </w:tabs>
        <w:spacing w:line="360" w:lineRule="auto"/>
        <w:ind w:firstLine="1440"/>
        <w:rPr>
          <w:sz w:val="24"/>
          <w:szCs w:val="24"/>
        </w:rPr>
      </w:pPr>
      <w:r w:rsidRPr="004D72DF">
        <w:rPr>
          <w:sz w:val="24"/>
          <w:szCs w:val="24"/>
        </w:rPr>
        <w:tab/>
      </w:r>
    </w:p>
    <w:p w:rsidR="00FF7A45" w:rsidRPr="004D72DF" w:rsidRDefault="00FF7A45" w:rsidP="00FF7A45">
      <w:pPr>
        <w:spacing w:line="360" w:lineRule="auto"/>
        <w:ind w:firstLine="1440"/>
        <w:rPr>
          <w:sz w:val="24"/>
          <w:szCs w:val="24"/>
        </w:rPr>
      </w:pPr>
      <w:r w:rsidRPr="004D72DF">
        <w:rPr>
          <w:sz w:val="24"/>
          <w:szCs w:val="24"/>
        </w:rPr>
        <w:t>IT IS ORDERED:</w:t>
      </w:r>
    </w:p>
    <w:p w:rsidR="00FF7A45" w:rsidRPr="004D72DF" w:rsidRDefault="00FF7A45" w:rsidP="00FF7A45">
      <w:pPr>
        <w:spacing w:line="360" w:lineRule="auto"/>
        <w:ind w:firstLine="1440"/>
        <w:rPr>
          <w:sz w:val="24"/>
          <w:szCs w:val="24"/>
        </w:rPr>
      </w:pPr>
    </w:p>
    <w:p w:rsidR="00FF7A45" w:rsidRPr="004D72DF" w:rsidRDefault="00FF7A45" w:rsidP="00FF7A45">
      <w:pPr>
        <w:spacing w:line="360" w:lineRule="auto"/>
        <w:ind w:firstLine="1440"/>
        <w:rPr>
          <w:sz w:val="24"/>
          <w:szCs w:val="24"/>
        </w:rPr>
      </w:pPr>
      <w:r w:rsidRPr="004D72DF">
        <w:rPr>
          <w:sz w:val="24"/>
          <w:szCs w:val="24"/>
        </w:rPr>
        <w:t>1.</w:t>
      </w:r>
      <w:r w:rsidRPr="004D72DF">
        <w:rPr>
          <w:sz w:val="24"/>
          <w:szCs w:val="24"/>
        </w:rPr>
        <w:tab/>
        <w:t xml:space="preserve"> </w:t>
      </w:r>
      <w:r w:rsidR="0003534D" w:rsidRPr="004D72DF">
        <w:rPr>
          <w:sz w:val="24"/>
          <w:szCs w:val="24"/>
        </w:rPr>
        <w:t>That t</w:t>
      </w:r>
      <w:r w:rsidRPr="004D72DF">
        <w:rPr>
          <w:sz w:val="24"/>
          <w:szCs w:val="24"/>
        </w:rPr>
        <w:t xml:space="preserve">he </w:t>
      </w:r>
      <w:r w:rsidR="00E61B97" w:rsidRPr="004D72DF">
        <w:rPr>
          <w:sz w:val="24"/>
          <w:szCs w:val="24"/>
        </w:rPr>
        <w:t>complaint</w:t>
      </w:r>
      <w:r w:rsidR="00C2605C" w:rsidRPr="004D72DF">
        <w:rPr>
          <w:sz w:val="24"/>
          <w:szCs w:val="24"/>
        </w:rPr>
        <w:t>s</w:t>
      </w:r>
      <w:r w:rsidR="00E61B97" w:rsidRPr="004D72DF">
        <w:rPr>
          <w:sz w:val="24"/>
          <w:szCs w:val="24"/>
        </w:rPr>
        <w:t xml:space="preserve"> filed by </w:t>
      </w:r>
      <w:r w:rsidR="00266D96" w:rsidRPr="004D72DF">
        <w:rPr>
          <w:sz w:val="24"/>
          <w:szCs w:val="24"/>
        </w:rPr>
        <w:t xml:space="preserve">Joseph Rebitz </w:t>
      </w:r>
      <w:r w:rsidR="004427BC" w:rsidRPr="004D72DF">
        <w:rPr>
          <w:sz w:val="24"/>
          <w:szCs w:val="24"/>
        </w:rPr>
        <w:t xml:space="preserve">against </w:t>
      </w:r>
      <w:r w:rsidR="00266D96" w:rsidRPr="004D72DF">
        <w:rPr>
          <w:sz w:val="24"/>
          <w:szCs w:val="24"/>
        </w:rPr>
        <w:t>PECO Energy Company</w:t>
      </w:r>
      <w:r w:rsidR="00C2605C" w:rsidRPr="004D72DF">
        <w:rPr>
          <w:sz w:val="24"/>
          <w:szCs w:val="24"/>
        </w:rPr>
        <w:t xml:space="preserve"> </w:t>
      </w:r>
      <w:r w:rsidR="00E61B97" w:rsidRPr="004D72DF">
        <w:rPr>
          <w:sz w:val="24"/>
          <w:szCs w:val="24"/>
        </w:rPr>
        <w:t>at Docket No</w:t>
      </w:r>
      <w:r w:rsidR="00C2605C" w:rsidRPr="004D72DF">
        <w:rPr>
          <w:sz w:val="24"/>
          <w:szCs w:val="24"/>
        </w:rPr>
        <w:t>s</w:t>
      </w:r>
      <w:r w:rsidR="00E61B97" w:rsidRPr="004D72DF">
        <w:rPr>
          <w:sz w:val="24"/>
          <w:szCs w:val="24"/>
        </w:rPr>
        <w:t>.</w:t>
      </w:r>
      <w:r w:rsidR="00C2605C" w:rsidRPr="004D72DF">
        <w:rPr>
          <w:sz w:val="24"/>
          <w:szCs w:val="24"/>
        </w:rPr>
        <w:t xml:space="preserve"> </w:t>
      </w:r>
      <w:r w:rsidR="004427BC" w:rsidRPr="004D72DF">
        <w:rPr>
          <w:sz w:val="24"/>
          <w:szCs w:val="24"/>
        </w:rPr>
        <w:t>C-201</w:t>
      </w:r>
      <w:r w:rsidR="00266D96" w:rsidRPr="004D72DF">
        <w:rPr>
          <w:sz w:val="24"/>
          <w:szCs w:val="24"/>
        </w:rPr>
        <w:t>4-2444250</w:t>
      </w:r>
      <w:r w:rsidR="00C2605C" w:rsidRPr="004D72DF">
        <w:rPr>
          <w:sz w:val="24"/>
          <w:szCs w:val="24"/>
        </w:rPr>
        <w:t xml:space="preserve"> and F-201</w:t>
      </w:r>
      <w:r w:rsidR="00266D96" w:rsidRPr="004D72DF">
        <w:rPr>
          <w:sz w:val="24"/>
          <w:szCs w:val="24"/>
        </w:rPr>
        <w:t>4</w:t>
      </w:r>
      <w:r w:rsidR="00C2605C" w:rsidRPr="004D72DF">
        <w:rPr>
          <w:sz w:val="24"/>
          <w:szCs w:val="24"/>
        </w:rPr>
        <w:t>-</w:t>
      </w:r>
      <w:r w:rsidR="00266D96" w:rsidRPr="004D72DF">
        <w:rPr>
          <w:sz w:val="24"/>
          <w:szCs w:val="24"/>
        </w:rPr>
        <w:t>2445738</w:t>
      </w:r>
      <w:r w:rsidR="008B558C" w:rsidRPr="004D72DF">
        <w:rPr>
          <w:sz w:val="24"/>
          <w:szCs w:val="24"/>
        </w:rPr>
        <w:t xml:space="preserve"> </w:t>
      </w:r>
      <w:r w:rsidR="0003534D" w:rsidRPr="004D72DF">
        <w:rPr>
          <w:sz w:val="24"/>
          <w:szCs w:val="24"/>
        </w:rPr>
        <w:t xml:space="preserve">are consolidated for purposes </w:t>
      </w:r>
      <w:r w:rsidR="00797810" w:rsidRPr="004D72DF">
        <w:rPr>
          <w:sz w:val="24"/>
          <w:szCs w:val="24"/>
        </w:rPr>
        <w:t>of</w:t>
      </w:r>
      <w:r w:rsidR="0003534D" w:rsidRPr="004D72DF">
        <w:rPr>
          <w:sz w:val="24"/>
          <w:szCs w:val="24"/>
        </w:rPr>
        <w:t xml:space="preserve"> hearing and decision</w:t>
      </w:r>
      <w:r w:rsidR="00AF7578" w:rsidRPr="004D72DF">
        <w:rPr>
          <w:sz w:val="24"/>
          <w:szCs w:val="24"/>
        </w:rPr>
        <w:t>,</w:t>
      </w:r>
      <w:r w:rsidR="008B558C" w:rsidRPr="004D72DF">
        <w:rPr>
          <w:sz w:val="24"/>
          <w:szCs w:val="24"/>
        </w:rPr>
        <w:t xml:space="preserve"> pursuant to 52 Pa. Code §5.81</w:t>
      </w:r>
      <w:r w:rsidRPr="004D72DF">
        <w:rPr>
          <w:sz w:val="24"/>
          <w:szCs w:val="24"/>
        </w:rPr>
        <w:t>.</w:t>
      </w:r>
    </w:p>
    <w:p w:rsidR="00FF7A45" w:rsidRDefault="00FF7A45" w:rsidP="00FF7A45">
      <w:pPr>
        <w:spacing w:line="360" w:lineRule="auto"/>
        <w:rPr>
          <w:sz w:val="24"/>
          <w:szCs w:val="24"/>
        </w:rPr>
      </w:pPr>
    </w:p>
    <w:p w:rsidR="00925C70" w:rsidRPr="004D72DF" w:rsidRDefault="00925C70" w:rsidP="00FF7A45">
      <w:pPr>
        <w:spacing w:line="360" w:lineRule="auto"/>
        <w:rPr>
          <w:sz w:val="24"/>
          <w:szCs w:val="24"/>
        </w:rPr>
      </w:pPr>
    </w:p>
    <w:p w:rsidR="00B20E68" w:rsidRPr="004D72DF" w:rsidRDefault="00B20E68" w:rsidP="00B20E68">
      <w:pPr>
        <w:pStyle w:val="ParaTab1"/>
        <w:tabs>
          <w:tab w:val="clear" w:pos="-720"/>
          <w:tab w:val="left" w:pos="720"/>
          <w:tab w:val="left" w:pos="5040"/>
        </w:tabs>
        <w:ind w:firstLine="0"/>
        <w:rPr>
          <w:rFonts w:ascii="Times New Roman" w:hAnsi="Times New Roman" w:cs="Times New Roman"/>
          <w:spacing w:val="-3"/>
        </w:rPr>
      </w:pPr>
      <w:r w:rsidRPr="004D72DF">
        <w:rPr>
          <w:rFonts w:ascii="Times New Roman" w:hAnsi="Times New Roman" w:cs="Times New Roman"/>
          <w:spacing w:val="-3"/>
        </w:rPr>
        <w:t>Date:</w:t>
      </w:r>
      <w:r w:rsidRPr="004D72DF">
        <w:rPr>
          <w:rFonts w:ascii="Times New Roman" w:hAnsi="Times New Roman" w:cs="Times New Roman"/>
          <w:spacing w:val="-3"/>
        </w:rPr>
        <w:tab/>
      </w:r>
      <w:r w:rsidR="00266D96" w:rsidRPr="004D72DF">
        <w:rPr>
          <w:rFonts w:ascii="Times New Roman" w:hAnsi="Times New Roman" w:cs="Times New Roman"/>
          <w:spacing w:val="-3"/>
          <w:u w:val="single"/>
        </w:rPr>
        <w:t>October 2</w:t>
      </w:r>
      <w:r w:rsidR="004D72DF">
        <w:rPr>
          <w:rFonts w:ascii="Times New Roman" w:hAnsi="Times New Roman" w:cs="Times New Roman"/>
          <w:spacing w:val="-3"/>
          <w:u w:val="single"/>
        </w:rPr>
        <w:t>9</w:t>
      </w:r>
      <w:r w:rsidR="00266D96" w:rsidRPr="004D72DF">
        <w:rPr>
          <w:rFonts w:ascii="Times New Roman" w:hAnsi="Times New Roman" w:cs="Times New Roman"/>
          <w:spacing w:val="-3"/>
          <w:u w:val="single"/>
        </w:rPr>
        <w:t>, 2014</w:t>
      </w:r>
      <w:r w:rsidRPr="004D72DF">
        <w:rPr>
          <w:rFonts w:ascii="Times New Roman" w:hAnsi="Times New Roman" w:cs="Times New Roman"/>
          <w:spacing w:val="-3"/>
        </w:rPr>
        <w:tab/>
        <w:t>_______________________</w:t>
      </w:r>
    </w:p>
    <w:p w:rsidR="00B20E68" w:rsidRPr="004D72DF" w:rsidRDefault="00B20E68" w:rsidP="00B20E68">
      <w:pPr>
        <w:pStyle w:val="ParaTab1"/>
        <w:tabs>
          <w:tab w:val="clear" w:pos="-720"/>
          <w:tab w:val="left" w:pos="720"/>
          <w:tab w:val="left" w:pos="5040"/>
        </w:tabs>
        <w:ind w:firstLine="0"/>
        <w:rPr>
          <w:rFonts w:ascii="Times New Roman" w:hAnsi="Times New Roman" w:cs="Times New Roman"/>
          <w:spacing w:val="-3"/>
        </w:rPr>
      </w:pPr>
      <w:r w:rsidRPr="004D72DF">
        <w:rPr>
          <w:rFonts w:ascii="Times New Roman" w:hAnsi="Times New Roman" w:cs="Times New Roman"/>
          <w:spacing w:val="-3"/>
        </w:rPr>
        <w:tab/>
      </w:r>
      <w:r w:rsidRPr="004D72DF">
        <w:rPr>
          <w:rFonts w:ascii="Times New Roman" w:hAnsi="Times New Roman" w:cs="Times New Roman"/>
          <w:spacing w:val="-3"/>
        </w:rPr>
        <w:tab/>
        <w:t>David A. Salapa</w:t>
      </w:r>
    </w:p>
    <w:p w:rsidR="00DF2D25" w:rsidRDefault="00B20E68" w:rsidP="00266D96">
      <w:pPr>
        <w:pStyle w:val="ParaTab1"/>
        <w:tabs>
          <w:tab w:val="clear" w:pos="-720"/>
          <w:tab w:val="left" w:pos="720"/>
          <w:tab w:val="left" w:pos="5040"/>
        </w:tabs>
        <w:ind w:firstLine="0"/>
        <w:rPr>
          <w:rFonts w:ascii="Times New Roman" w:hAnsi="Times New Roman"/>
        </w:rPr>
        <w:sectPr w:rsidR="00DF2D25" w:rsidSect="00DF2D25">
          <w:footerReference w:type="even" r:id="rId9"/>
          <w:footerReference w:type="default" r:id="rId10"/>
          <w:pgSz w:w="12240" w:h="15840"/>
          <w:pgMar w:top="1440" w:right="1440" w:bottom="1440" w:left="1440" w:header="720" w:footer="720" w:gutter="0"/>
          <w:cols w:space="720"/>
          <w:titlePg/>
          <w:docGrid w:linePitch="360"/>
        </w:sectPr>
      </w:pPr>
      <w:r w:rsidRPr="004D72DF">
        <w:rPr>
          <w:rFonts w:ascii="Times New Roman" w:hAnsi="Times New Roman"/>
        </w:rPr>
        <w:tab/>
      </w:r>
      <w:r w:rsidRPr="004D72DF">
        <w:rPr>
          <w:rFonts w:ascii="Times New Roman" w:hAnsi="Times New Roman"/>
        </w:rPr>
        <w:tab/>
        <w:t>Administrative Law Judge</w:t>
      </w:r>
    </w:p>
    <w:p w:rsidR="00DF2D25" w:rsidRPr="00DF2D25" w:rsidRDefault="00DF2D25" w:rsidP="00DF2D25">
      <w:pPr>
        <w:contextualSpacing/>
        <w:rPr>
          <w:rFonts w:asciiTheme="minorHAnsi" w:eastAsiaTheme="minorEastAsia" w:hAnsiTheme="minorHAnsi" w:cstheme="minorBidi"/>
          <w:sz w:val="22"/>
          <w:szCs w:val="22"/>
        </w:rPr>
      </w:pPr>
      <w:r w:rsidRPr="00DF2D25">
        <w:rPr>
          <w:rFonts w:ascii="Microsoft Sans Serif" w:eastAsiaTheme="minorEastAsia" w:hAnsiTheme="minorHAnsi" w:cstheme="minorBidi"/>
          <w:b/>
          <w:sz w:val="24"/>
          <w:szCs w:val="22"/>
          <w:u w:val="single"/>
        </w:rPr>
        <w:lastRenderedPageBreak/>
        <w:t xml:space="preserve">C-2014-2444250; F-2014-2445738 - JOSEPH </w:t>
      </w:r>
      <w:proofErr w:type="gramStart"/>
      <w:r w:rsidRPr="00DF2D25">
        <w:rPr>
          <w:rFonts w:ascii="Microsoft Sans Serif" w:eastAsiaTheme="minorEastAsia" w:hAnsiTheme="minorHAnsi" w:cstheme="minorBidi"/>
          <w:b/>
          <w:sz w:val="24"/>
          <w:szCs w:val="22"/>
          <w:u w:val="single"/>
        </w:rPr>
        <w:t>REBITZ  v</w:t>
      </w:r>
      <w:proofErr w:type="gramEnd"/>
      <w:r w:rsidRPr="00DF2D25">
        <w:rPr>
          <w:rFonts w:ascii="Microsoft Sans Serif" w:eastAsiaTheme="minorEastAsia" w:hAnsiTheme="minorHAnsi" w:cstheme="minorBidi"/>
          <w:b/>
          <w:sz w:val="24"/>
          <w:szCs w:val="22"/>
          <w:u w:val="single"/>
        </w:rPr>
        <w:t>. PECO ENERGY</w:t>
      </w:r>
      <w:r w:rsidRPr="00DF2D25">
        <w:rPr>
          <w:rFonts w:ascii="Microsoft Sans Serif" w:eastAsiaTheme="minorEastAsia" w:hAnsiTheme="minorHAnsi" w:cstheme="minorBidi"/>
          <w:b/>
          <w:sz w:val="24"/>
          <w:szCs w:val="22"/>
          <w:u w:val="single"/>
        </w:rPr>
        <w:cr/>
      </w:r>
      <w:r w:rsidRPr="00DF2D25">
        <w:rPr>
          <w:rFonts w:ascii="Microsoft Sans Serif" w:eastAsiaTheme="minorEastAsia" w:hAnsiTheme="minorHAnsi" w:cstheme="minorBidi"/>
          <w:b/>
          <w:sz w:val="24"/>
          <w:szCs w:val="22"/>
          <w:u w:val="single"/>
        </w:rPr>
        <w:cr/>
      </w:r>
      <w:r w:rsidRPr="00DF2D25">
        <w:rPr>
          <w:rFonts w:ascii="Microsoft Sans Serif" w:eastAsiaTheme="minorEastAsia" w:hAnsiTheme="minorHAnsi" w:cstheme="minorBidi"/>
          <w:sz w:val="24"/>
          <w:szCs w:val="22"/>
        </w:rPr>
        <w:t xml:space="preserve"> </w:t>
      </w:r>
      <w:r w:rsidRPr="00DF2D25">
        <w:rPr>
          <w:rFonts w:ascii="Microsoft Sans Serif" w:eastAsiaTheme="minorEastAsia" w:hAnsiTheme="minorHAnsi" w:cstheme="minorBidi"/>
          <w:sz w:val="24"/>
          <w:szCs w:val="22"/>
        </w:rPr>
        <w:cr/>
      </w:r>
      <w:bookmarkStart w:id="2" w:name="_GoBack"/>
      <w:r w:rsidRPr="00DF2D25">
        <w:rPr>
          <w:rFonts w:ascii="Microsoft Sans Serif" w:eastAsiaTheme="minorEastAsia" w:hAnsiTheme="minorHAnsi" w:cstheme="minorBidi"/>
          <w:sz w:val="24"/>
          <w:szCs w:val="22"/>
        </w:rPr>
        <w:t>JOSEPH REBITZ</w:t>
      </w:r>
      <w:r w:rsidRPr="00DF2D25">
        <w:rPr>
          <w:rFonts w:ascii="Microsoft Sans Serif" w:eastAsiaTheme="minorEastAsia" w:hAnsiTheme="minorHAnsi" w:cstheme="minorBidi"/>
          <w:sz w:val="24"/>
          <w:szCs w:val="22"/>
        </w:rPr>
        <w:cr/>
        <w:t>546 JEFFERSON AVE</w:t>
      </w:r>
      <w:r w:rsidRPr="00DF2D25">
        <w:rPr>
          <w:rFonts w:ascii="Microsoft Sans Serif" w:eastAsiaTheme="minorEastAsia" w:hAnsiTheme="minorHAnsi" w:cstheme="minorBidi"/>
          <w:sz w:val="24"/>
          <w:szCs w:val="22"/>
        </w:rPr>
        <w:cr/>
        <w:t>CHELTENHAM PA  19012</w:t>
      </w:r>
      <w:r w:rsidRPr="00DF2D25">
        <w:rPr>
          <w:rFonts w:ascii="Microsoft Sans Serif" w:eastAsiaTheme="minorEastAsia" w:hAnsiTheme="minorHAnsi" w:cstheme="minorBidi"/>
          <w:sz w:val="24"/>
          <w:szCs w:val="22"/>
        </w:rPr>
        <w:cr/>
      </w:r>
      <w:bookmarkEnd w:id="2"/>
      <w:r w:rsidRPr="00DF2D25">
        <w:rPr>
          <w:rFonts w:ascii="Microsoft Sans Serif" w:eastAsiaTheme="minorEastAsia" w:hAnsiTheme="minorHAnsi" w:cstheme="minorBidi"/>
          <w:sz w:val="24"/>
          <w:szCs w:val="22"/>
        </w:rPr>
        <w:t>215.970.3324</w:t>
      </w:r>
      <w:r w:rsidRPr="00DF2D25">
        <w:rPr>
          <w:rFonts w:ascii="Microsoft Sans Serif" w:eastAsiaTheme="minorEastAsia" w:hAnsiTheme="minorHAnsi" w:cstheme="minorBidi"/>
          <w:sz w:val="24"/>
          <w:szCs w:val="22"/>
        </w:rPr>
        <w:cr/>
      </w:r>
    </w:p>
    <w:p w:rsidR="00DF2D25" w:rsidRPr="00DF2D25" w:rsidRDefault="00DF2D25" w:rsidP="00DF2D25">
      <w:pPr>
        <w:contextualSpacing/>
        <w:rPr>
          <w:rFonts w:asciiTheme="minorHAnsi" w:eastAsiaTheme="minorEastAsia" w:hAnsiTheme="minorHAnsi" w:cstheme="minorBidi"/>
          <w:b/>
          <w:i/>
          <w:sz w:val="22"/>
          <w:szCs w:val="22"/>
          <w:u w:val="single"/>
        </w:rPr>
      </w:pPr>
      <w:r w:rsidRPr="00DF2D25">
        <w:rPr>
          <w:rFonts w:ascii="Microsoft Sans Serif" w:eastAsiaTheme="minorEastAsia" w:hAnsiTheme="minorHAnsi" w:cstheme="minorBidi"/>
          <w:sz w:val="24"/>
          <w:szCs w:val="22"/>
        </w:rPr>
        <w:t>SHAWANE L LEE ESQUIRE</w:t>
      </w:r>
      <w:r w:rsidRPr="00DF2D25">
        <w:rPr>
          <w:rFonts w:ascii="Microsoft Sans Serif" w:eastAsiaTheme="minorEastAsia" w:hAnsiTheme="minorHAnsi" w:cstheme="minorBidi"/>
          <w:sz w:val="24"/>
          <w:szCs w:val="22"/>
        </w:rPr>
        <w:cr/>
        <w:t>EXELON BUSINESS SERVICES</w:t>
      </w:r>
      <w:r w:rsidRPr="00DF2D25">
        <w:rPr>
          <w:rFonts w:ascii="Microsoft Sans Serif" w:eastAsiaTheme="minorEastAsia" w:hAnsiTheme="minorHAnsi" w:cstheme="minorBidi"/>
          <w:sz w:val="24"/>
          <w:szCs w:val="22"/>
        </w:rPr>
        <w:cr/>
        <w:t>2301 MARKET STREET S23-1</w:t>
      </w:r>
      <w:r w:rsidRPr="00DF2D25">
        <w:rPr>
          <w:rFonts w:ascii="Microsoft Sans Serif" w:eastAsiaTheme="minorEastAsia" w:hAnsiTheme="minorHAnsi" w:cstheme="minorBidi"/>
          <w:sz w:val="24"/>
          <w:szCs w:val="22"/>
        </w:rPr>
        <w:cr/>
        <w:t>PHILADELPHIA PA  19103</w:t>
      </w:r>
      <w:r w:rsidRPr="00DF2D25">
        <w:rPr>
          <w:rFonts w:ascii="Microsoft Sans Serif" w:eastAsiaTheme="minorEastAsia" w:hAnsiTheme="minorHAnsi" w:cstheme="minorBidi"/>
          <w:sz w:val="24"/>
          <w:szCs w:val="22"/>
        </w:rPr>
        <w:cr/>
        <w:t>215.841.6841</w:t>
      </w:r>
      <w:r w:rsidRPr="00DF2D25">
        <w:rPr>
          <w:rFonts w:ascii="Microsoft Sans Serif" w:eastAsiaTheme="minorEastAsia" w:hAnsiTheme="minorHAnsi" w:cstheme="minorBidi"/>
          <w:sz w:val="24"/>
          <w:szCs w:val="22"/>
        </w:rPr>
        <w:cr/>
      </w:r>
      <w:r w:rsidRPr="00DF2D25">
        <w:rPr>
          <w:rFonts w:ascii="Microsoft Sans Serif" w:eastAsiaTheme="minorEastAsia" w:hAnsiTheme="minorHAnsi" w:cstheme="minorBidi"/>
          <w:b/>
          <w:i/>
          <w:sz w:val="24"/>
          <w:szCs w:val="22"/>
          <w:u w:val="single"/>
        </w:rPr>
        <w:t>-ACCEPTS ELECTRONIC SERVICE-</w:t>
      </w:r>
    </w:p>
    <w:p w:rsidR="00B20E68" w:rsidRPr="004D72DF" w:rsidRDefault="00B20E68" w:rsidP="00266D96">
      <w:pPr>
        <w:pStyle w:val="ParaTab1"/>
        <w:tabs>
          <w:tab w:val="clear" w:pos="-720"/>
          <w:tab w:val="left" w:pos="720"/>
          <w:tab w:val="left" w:pos="5040"/>
        </w:tabs>
        <w:ind w:firstLine="0"/>
        <w:rPr>
          <w:rFonts w:ascii="Times New Roman" w:hAnsi="Times New Roman"/>
        </w:rPr>
      </w:pPr>
    </w:p>
    <w:sectPr w:rsidR="00B20E68" w:rsidRPr="004D72D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AF9" w:rsidRDefault="002F1AF9">
      <w:r>
        <w:separator/>
      </w:r>
    </w:p>
  </w:endnote>
  <w:endnote w:type="continuationSeparator" w:id="0">
    <w:p w:rsidR="002F1AF9" w:rsidRDefault="002F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D96" w:rsidRDefault="00266D96" w:rsidP="002F2F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6D96" w:rsidRDefault="00266D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D96" w:rsidRDefault="00266D96" w:rsidP="002F2F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D25">
      <w:rPr>
        <w:rStyle w:val="PageNumber"/>
        <w:noProof/>
      </w:rPr>
      <w:t>5</w:t>
    </w:r>
    <w:r>
      <w:rPr>
        <w:rStyle w:val="PageNumber"/>
      </w:rPr>
      <w:fldChar w:fldCharType="end"/>
    </w:r>
  </w:p>
  <w:p w:rsidR="00266D96" w:rsidRDefault="00266D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D25" w:rsidRDefault="00DF2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AF9" w:rsidRDefault="002F1AF9">
      <w:r>
        <w:separator/>
      </w:r>
    </w:p>
  </w:footnote>
  <w:footnote w:type="continuationSeparator" w:id="0">
    <w:p w:rsidR="002F1AF9" w:rsidRDefault="002F1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3707404E"/>
    <w:multiLevelType w:val="hybridMultilevel"/>
    <w:tmpl w:val="09BA6614"/>
    <w:lvl w:ilvl="0" w:tplc="25B034AC">
      <w:start w:val="5"/>
      <w:numFmt w:val="lowerRoman"/>
      <w:lvlText w:val="%1."/>
      <w:lvlJc w:val="left"/>
      <w:pPr>
        <w:tabs>
          <w:tab w:val="num" w:pos="5100"/>
        </w:tabs>
        <w:ind w:left="5100" w:hanging="474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62023F60"/>
    <w:multiLevelType w:val="hybridMultilevel"/>
    <w:tmpl w:val="EADED0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A45"/>
    <w:rsid w:val="000232EA"/>
    <w:rsid w:val="00030CC7"/>
    <w:rsid w:val="000347E5"/>
    <w:rsid w:val="0003534D"/>
    <w:rsid w:val="000370A7"/>
    <w:rsid w:val="00042FCD"/>
    <w:rsid w:val="00061197"/>
    <w:rsid w:val="00063A51"/>
    <w:rsid w:val="000723C9"/>
    <w:rsid w:val="00075FA0"/>
    <w:rsid w:val="000B1DD9"/>
    <w:rsid w:val="000B5B35"/>
    <w:rsid w:val="000C0F84"/>
    <w:rsid w:val="000C5DE3"/>
    <w:rsid w:val="000D0343"/>
    <w:rsid w:val="000D6258"/>
    <w:rsid w:val="00107D02"/>
    <w:rsid w:val="00116B43"/>
    <w:rsid w:val="001341C0"/>
    <w:rsid w:val="001374E4"/>
    <w:rsid w:val="0015596A"/>
    <w:rsid w:val="0016007B"/>
    <w:rsid w:val="00170FF7"/>
    <w:rsid w:val="00172746"/>
    <w:rsid w:val="00173C54"/>
    <w:rsid w:val="00194095"/>
    <w:rsid w:val="001A63DC"/>
    <w:rsid w:val="001A7579"/>
    <w:rsid w:val="001C11FC"/>
    <w:rsid w:val="001D08F2"/>
    <w:rsid w:val="001D4B6E"/>
    <w:rsid w:val="001E0BD2"/>
    <w:rsid w:val="001E1E25"/>
    <w:rsid w:val="001E4376"/>
    <w:rsid w:val="001E4797"/>
    <w:rsid w:val="002004EA"/>
    <w:rsid w:val="00214908"/>
    <w:rsid w:val="00215B25"/>
    <w:rsid w:val="002326E9"/>
    <w:rsid w:val="00237D06"/>
    <w:rsid w:val="00241663"/>
    <w:rsid w:val="00266D96"/>
    <w:rsid w:val="002823FB"/>
    <w:rsid w:val="002C152A"/>
    <w:rsid w:val="002C3865"/>
    <w:rsid w:val="002D01D6"/>
    <w:rsid w:val="002D3FFE"/>
    <w:rsid w:val="002D468C"/>
    <w:rsid w:val="002E1AF1"/>
    <w:rsid w:val="002F1AF9"/>
    <w:rsid w:val="002F2F6A"/>
    <w:rsid w:val="00303009"/>
    <w:rsid w:val="00322911"/>
    <w:rsid w:val="00326FD8"/>
    <w:rsid w:val="003441A3"/>
    <w:rsid w:val="00350D22"/>
    <w:rsid w:val="00364908"/>
    <w:rsid w:val="003715EE"/>
    <w:rsid w:val="00371EE8"/>
    <w:rsid w:val="00382FF9"/>
    <w:rsid w:val="003835D8"/>
    <w:rsid w:val="00386419"/>
    <w:rsid w:val="00391221"/>
    <w:rsid w:val="00392659"/>
    <w:rsid w:val="003962FB"/>
    <w:rsid w:val="003A4B31"/>
    <w:rsid w:val="003A7CA6"/>
    <w:rsid w:val="003B3798"/>
    <w:rsid w:val="003C25C2"/>
    <w:rsid w:val="003D32D6"/>
    <w:rsid w:val="003D471A"/>
    <w:rsid w:val="003E1A5A"/>
    <w:rsid w:val="003F6BFE"/>
    <w:rsid w:val="00400548"/>
    <w:rsid w:val="004039D4"/>
    <w:rsid w:val="004254F9"/>
    <w:rsid w:val="004427BC"/>
    <w:rsid w:val="00443D82"/>
    <w:rsid w:val="00447BE1"/>
    <w:rsid w:val="004570BF"/>
    <w:rsid w:val="00466E1C"/>
    <w:rsid w:val="004708B5"/>
    <w:rsid w:val="004938B3"/>
    <w:rsid w:val="00496CE5"/>
    <w:rsid w:val="004B0C14"/>
    <w:rsid w:val="004B26FA"/>
    <w:rsid w:val="004B44D7"/>
    <w:rsid w:val="004C79A2"/>
    <w:rsid w:val="004C7F6B"/>
    <w:rsid w:val="004D72DF"/>
    <w:rsid w:val="004F623D"/>
    <w:rsid w:val="0050713F"/>
    <w:rsid w:val="005109EC"/>
    <w:rsid w:val="00511E45"/>
    <w:rsid w:val="00520E3A"/>
    <w:rsid w:val="00533710"/>
    <w:rsid w:val="00534FC5"/>
    <w:rsid w:val="0054396D"/>
    <w:rsid w:val="00545E1A"/>
    <w:rsid w:val="00555291"/>
    <w:rsid w:val="005573E7"/>
    <w:rsid w:val="0055768F"/>
    <w:rsid w:val="00560419"/>
    <w:rsid w:val="00560B89"/>
    <w:rsid w:val="0059106D"/>
    <w:rsid w:val="005B3E4A"/>
    <w:rsid w:val="005C275D"/>
    <w:rsid w:val="005C2CE1"/>
    <w:rsid w:val="005C63D1"/>
    <w:rsid w:val="005D5A1B"/>
    <w:rsid w:val="005E0488"/>
    <w:rsid w:val="005F052C"/>
    <w:rsid w:val="005F370B"/>
    <w:rsid w:val="005F6906"/>
    <w:rsid w:val="0061161F"/>
    <w:rsid w:val="006262F9"/>
    <w:rsid w:val="00657BF6"/>
    <w:rsid w:val="00660F71"/>
    <w:rsid w:val="00665B05"/>
    <w:rsid w:val="00674D65"/>
    <w:rsid w:val="00677A4F"/>
    <w:rsid w:val="006811A9"/>
    <w:rsid w:val="006813F3"/>
    <w:rsid w:val="00685D7C"/>
    <w:rsid w:val="006B24F0"/>
    <w:rsid w:val="006F0AB5"/>
    <w:rsid w:val="006F4706"/>
    <w:rsid w:val="006F4FE7"/>
    <w:rsid w:val="00701F7F"/>
    <w:rsid w:val="007061AB"/>
    <w:rsid w:val="00712062"/>
    <w:rsid w:val="00714BAC"/>
    <w:rsid w:val="00716E98"/>
    <w:rsid w:val="00717033"/>
    <w:rsid w:val="0076323A"/>
    <w:rsid w:val="00770385"/>
    <w:rsid w:val="007739F5"/>
    <w:rsid w:val="00777723"/>
    <w:rsid w:val="00796E78"/>
    <w:rsid w:val="00797810"/>
    <w:rsid w:val="007A13D8"/>
    <w:rsid w:val="007C0768"/>
    <w:rsid w:val="007C1B6F"/>
    <w:rsid w:val="007C7579"/>
    <w:rsid w:val="007D2940"/>
    <w:rsid w:val="008135B6"/>
    <w:rsid w:val="0081483F"/>
    <w:rsid w:val="00820C42"/>
    <w:rsid w:val="0082128C"/>
    <w:rsid w:val="00821B9B"/>
    <w:rsid w:val="00833B0D"/>
    <w:rsid w:val="00855529"/>
    <w:rsid w:val="0087554D"/>
    <w:rsid w:val="008755B1"/>
    <w:rsid w:val="00876F95"/>
    <w:rsid w:val="00883EBB"/>
    <w:rsid w:val="008854A4"/>
    <w:rsid w:val="00885F05"/>
    <w:rsid w:val="008A1C63"/>
    <w:rsid w:val="008A6557"/>
    <w:rsid w:val="008B558C"/>
    <w:rsid w:val="008C0C3F"/>
    <w:rsid w:val="008F1571"/>
    <w:rsid w:val="008F5FB5"/>
    <w:rsid w:val="00904E9E"/>
    <w:rsid w:val="009110F9"/>
    <w:rsid w:val="0091754D"/>
    <w:rsid w:val="00920E35"/>
    <w:rsid w:val="00925C70"/>
    <w:rsid w:val="00926D2B"/>
    <w:rsid w:val="0093520F"/>
    <w:rsid w:val="00950576"/>
    <w:rsid w:val="0095288F"/>
    <w:rsid w:val="0097160D"/>
    <w:rsid w:val="0097278D"/>
    <w:rsid w:val="00972D20"/>
    <w:rsid w:val="009752CC"/>
    <w:rsid w:val="009909B2"/>
    <w:rsid w:val="00990F35"/>
    <w:rsid w:val="009A613E"/>
    <w:rsid w:val="009B0B93"/>
    <w:rsid w:val="009B3D82"/>
    <w:rsid w:val="009D32FC"/>
    <w:rsid w:val="009F3ED2"/>
    <w:rsid w:val="00A03AA8"/>
    <w:rsid w:val="00A049D7"/>
    <w:rsid w:val="00A07938"/>
    <w:rsid w:val="00A14529"/>
    <w:rsid w:val="00A15153"/>
    <w:rsid w:val="00A2387E"/>
    <w:rsid w:val="00A339CA"/>
    <w:rsid w:val="00A5334F"/>
    <w:rsid w:val="00A6070B"/>
    <w:rsid w:val="00A75FBE"/>
    <w:rsid w:val="00A80210"/>
    <w:rsid w:val="00A808E0"/>
    <w:rsid w:val="00A931CC"/>
    <w:rsid w:val="00A9483D"/>
    <w:rsid w:val="00A94CCE"/>
    <w:rsid w:val="00AA1C7F"/>
    <w:rsid w:val="00AB5561"/>
    <w:rsid w:val="00AC2F9C"/>
    <w:rsid w:val="00AD1035"/>
    <w:rsid w:val="00AE4FE5"/>
    <w:rsid w:val="00AF5A52"/>
    <w:rsid w:val="00AF7578"/>
    <w:rsid w:val="00B00182"/>
    <w:rsid w:val="00B10672"/>
    <w:rsid w:val="00B108D0"/>
    <w:rsid w:val="00B20E68"/>
    <w:rsid w:val="00B326D4"/>
    <w:rsid w:val="00B32C73"/>
    <w:rsid w:val="00B36E83"/>
    <w:rsid w:val="00B425A3"/>
    <w:rsid w:val="00B5026A"/>
    <w:rsid w:val="00B50CC1"/>
    <w:rsid w:val="00B80EF9"/>
    <w:rsid w:val="00B822D8"/>
    <w:rsid w:val="00B95BA5"/>
    <w:rsid w:val="00BA394D"/>
    <w:rsid w:val="00BD0CEC"/>
    <w:rsid w:val="00BD1BC8"/>
    <w:rsid w:val="00BD6CAA"/>
    <w:rsid w:val="00BD7384"/>
    <w:rsid w:val="00BF1ED7"/>
    <w:rsid w:val="00C14406"/>
    <w:rsid w:val="00C17F72"/>
    <w:rsid w:val="00C239BE"/>
    <w:rsid w:val="00C2605C"/>
    <w:rsid w:val="00C43AD7"/>
    <w:rsid w:val="00C474E6"/>
    <w:rsid w:val="00C52564"/>
    <w:rsid w:val="00C7369F"/>
    <w:rsid w:val="00C8100C"/>
    <w:rsid w:val="00C82987"/>
    <w:rsid w:val="00C90EF5"/>
    <w:rsid w:val="00C9158F"/>
    <w:rsid w:val="00CA47C7"/>
    <w:rsid w:val="00CB2242"/>
    <w:rsid w:val="00CB6822"/>
    <w:rsid w:val="00CC4A93"/>
    <w:rsid w:val="00CD4FB8"/>
    <w:rsid w:val="00CE5DCA"/>
    <w:rsid w:val="00CF5D64"/>
    <w:rsid w:val="00D02E7B"/>
    <w:rsid w:val="00D06915"/>
    <w:rsid w:val="00D10697"/>
    <w:rsid w:val="00D30638"/>
    <w:rsid w:val="00D40AD1"/>
    <w:rsid w:val="00D7185A"/>
    <w:rsid w:val="00D82B0E"/>
    <w:rsid w:val="00D83201"/>
    <w:rsid w:val="00D8360A"/>
    <w:rsid w:val="00D93BEE"/>
    <w:rsid w:val="00D95B8E"/>
    <w:rsid w:val="00DA06F3"/>
    <w:rsid w:val="00DA07AE"/>
    <w:rsid w:val="00DB0D16"/>
    <w:rsid w:val="00DC0857"/>
    <w:rsid w:val="00DC572F"/>
    <w:rsid w:val="00DE3152"/>
    <w:rsid w:val="00DE48F2"/>
    <w:rsid w:val="00DF05EF"/>
    <w:rsid w:val="00DF2D25"/>
    <w:rsid w:val="00DF4A1A"/>
    <w:rsid w:val="00E149DB"/>
    <w:rsid w:val="00E247EF"/>
    <w:rsid w:val="00E37352"/>
    <w:rsid w:val="00E61B97"/>
    <w:rsid w:val="00E6418D"/>
    <w:rsid w:val="00E76E50"/>
    <w:rsid w:val="00E7711D"/>
    <w:rsid w:val="00E82BCE"/>
    <w:rsid w:val="00E90E75"/>
    <w:rsid w:val="00EC0638"/>
    <w:rsid w:val="00EC73FD"/>
    <w:rsid w:val="00ED1577"/>
    <w:rsid w:val="00ED3FFB"/>
    <w:rsid w:val="00ED40A2"/>
    <w:rsid w:val="00EE3455"/>
    <w:rsid w:val="00EE6268"/>
    <w:rsid w:val="00EF62DA"/>
    <w:rsid w:val="00F10E35"/>
    <w:rsid w:val="00F1149D"/>
    <w:rsid w:val="00F11D5C"/>
    <w:rsid w:val="00F1317A"/>
    <w:rsid w:val="00F154DF"/>
    <w:rsid w:val="00F21E92"/>
    <w:rsid w:val="00F821E7"/>
    <w:rsid w:val="00FA4384"/>
    <w:rsid w:val="00FB10E3"/>
    <w:rsid w:val="00FB3CCF"/>
    <w:rsid w:val="00FC793C"/>
    <w:rsid w:val="00FD31B2"/>
    <w:rsid w:val="00FE13C2"/>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A45"/>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F7A45"/>
    <w:rPr>
      <w:sz w:val="20"/>
      <w:szCs w:val="20"/>
    </w:rPr>
  </w:style>
  <w:style w:type="character" w:styleId="FootnoteReference">
    <w:name w:val="footnote reference"/>
    <w:semiHidden/>
    <w:rsid w:val="00FF7A45"/>
    <w:rPr>
      <w:vertAlign w:val="superscript"/>
    </w:rPr>
  </w:style>
  <w:style w:type="paragraph" w:styleId="CommentText">
    <w:name w:val="annotation text"/>
    <w:basedOn w:val="Normal"/>
    <w:semiHidden/>
    <w:rsid w:val="00FF7A45"/>
    <w:rPr>
      <w:sz w:val="20"/>
      <w:szCs w:val="20"/>
    </w:rPr>
  </w:style>
  <w:style w:type="paragraph" w:styleId="Footer">
    <w:name w:val="footer"/>
    <w:basedOn w:val="Normal"/>
    <w:rsid w:val="00FF7A45"/>
    <w:pPr>
      <w:tabs>
        <w:tab w:val="center" w:pos="4320"/>
        <w:tab w:val="right" w:pos="8640"/>
      </w:tabs>
    </w:pPr>
  </w:style>
  <w:style w:type="character" w:styleId="PageNumber">
    <w:name w:val="page number"/>
    <w:basedOn w:val="DefaultParagraphFont"/>
    <w:rsid w:val="00FF7A45"/>
  </w:style>
  <w:style w:type="character" w:customStyle="1" w:styleId="documentbody1">
    <w:name w:val="documentbody1"/>
    <w:rsid w:val="00116B43"/>
    <w:rPr>
      <w:rFonts w:ascii="Verdana" w:hAnsi="Verdana" w:hint="default"/>
      <w:sz w:val="19"/>
      <w:szCs w:val="19"/>
    </w:rPr>
  </w:style>
  <w:style w:type="paragraph" w:customStyle="1" w:styleId="ParaTab1">
    <w:name w:val="ParaTab 1"/>
    <w:rsid w:val="00B20E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4D72DF"/>
    <w:rPr>
      <w:rFonts w:ascii="Tahoma" w:hAnsi="Tahoma" w:cs="Tahoma"/>
      <w:sz w:val="16"/>
      <w:szCs w:val="16"/>
    </w:rPr>
  </w:style>
  <w:style w:type="character" w:customStyle="1" w:styleId="BalloonTextChar">
    <w:name w:val="Balloon Text Char"/>
    <w:basedOn w:val="DefaultParagraphFont"/>
    <w:link w:val="BalloonText"/>
    <w:rsid w:val="004D72DF"/>
    <w:rPr>
      <w:rFonts w:ascii="Tahoma" w:hAnsi="Tahoma" w:cs="Tahoma"/>
      <w:sz w:val="16"/>
      <w:szCs w:val="16"/>
    </w:rPr>
  </w:style>
  <w:style w:type="paragraph" w:styleId="Header">
    <w:name w:val="header"/>
    <w:basedOn w:val="Normal"/>
    <w:link w:val="HeaderChar"/>
    <w:rsid w:val="00DF2D25"/>
    <w:pPr>
      <w:tabs>
        <w:tab w:val="center" w:pos="4680"/>
        <w:tab w:val="right" w:pos="9360"/>
      </w:tabs>
    </w:pPr>
  </w:style>
  <w:style w:type="character" w:customStyle="1" w:styleId="HeaderChar">
    <w:name w:val="Header Char"/>
    <w:basedOn w:val="DefaultParagraphFont"/>
    <w:link w:val="Header"/>
    <w:rsid w:val="00DF2D25"/>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A45"/>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F7A45"/>
    <w:rPr>
      <w:sz w:val="20"/>
      <w:szCs w:val="20"/>
    </w:rPr>
  </w:style>
  <w:style w:type="character" w:styleId="FootnoteReference">
    <w:name w:val="footnote reference"/>
    <w:semiHidden/>
    <w:rsid w:val="00FF7A45"/>
    <w:rPr>
      <w:vertAlign w:val="superscript"/>
    </w:rPr>
  </w:style>
  <w:style w:type="paragraph" w:styleId="CommentText">
    <w:name w:val="annotation text"/>
    <w:basedOn w:val="Normal"/>
    <w:semiHidden/>
    <w:rsid w:val="00FF7A45"/>
    <w:rPr>
      <w:sz w:val="20"/>
      <w:szCs w:val="20"/>
    </w:rPr>
  </w:style>
  <w:style w:type="paragraph" w:styleId="Footer">
    <w:name w:val="footer"/>
    <w:basedOn w:val="Normal"/>
    <w:rsid w:val="00FF7A45"/>
    <w:pPr>
      <w:tabs>
        <w:tab w:val="center" w:pos="4320"/>
        <w:tab w:val="right" w:pos="8640"/>
      </w:tabs>
    </w:pPr>
  </w:style>
  <w:style w:type="character" w:styleId="PageNumber">
    <w:name w:val="page number"/>
    <w:basedOn w:val="DefaultParagraphFont"/>
    <w:rsid w:val="00FF7A45"/>
  </w:style>
  <w:style w:type="character" w:customStyle="1" w:styleId="documentbody1">
    <w:name w:val="documentbody1"/>
    <w:rsid w:val="00116B43"/>
    <w:rPr>
      <w:rFonts w:ascii="Verdana" w:hAnsi="Verdana" w:hint="default"/>
      <w:sz w:val="19"/>
      <w:szCs w:val="19"/>
    </w:rPr>
  </w:style>
  <w:style w:type="paragraph" w:customStyle="1" w:styleId="ParaTab1">
    <w:name w:val="ParaTab 1"/>
    <w:rsid w:val="00B20E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4D72DF"/>
    <w:rPr>
      <w:rFonts w:ascii="Tahoma" w:hAnsi="Tahoma" w:cs="Tahoma"/>
      <w:sz w:val="16"/>
      <w:szCs w:val="16"/>
    </w:rPr>
  </w:style>
  <w:style w:type="character" w:customStyle="1" w:styleId="BalloonTextChar">
    <w:name w:val="Balloon Text Char"/>
    <w:basedOn w:val="DefaultParagraphFont"/>
    <w:link w:val="BalloonText"/>
    <w:rsid w:val="004D72DF"/>
    <w:rPr>
      <w:rFonts w:ascii="Tahoma" w:hAnsi="Tahoma" w:cs="Tahoma"/>
      <w:sz w:val="16"/>
      <w:szCs w:val="16"/>
    </w:rPr>
  </w:style>
  <w:style w:type="paragraph" w:styleId="Header">
    <w:name w:val="header"/>
    <w:basedOn w:val="Normal"/>
    <w:link w:val="HeaderChar"/>
    <w:rsid w:val="00DF2D25"/>
    <w:pPr>
      <w:tabs>
        <w:tab w:val="center" w:pos="4680"/>
        <w:tab w:val="right" w:pos="9360"/>
      </w:tabs>
    </w:pPr>
  </w:style>
  <w:style w:type="character" w:customStyle="1" w:styleId="HeaderChar">
    <w:name w:val="Header Char"/>
    <w:basedOn w:val="DefaultParagraphFont"/>
    <w:link w:val="Header"/>
    <w:rsid w:val="00DF2D25"/>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05779">
      <w:bodyDiv w:val="1"/>
      <w:marLeft w:val="32"/>
      <w:marRight w:val="32"/>
      <w:marTop w:val="32"/>
      <w:marBottom w:val="32"/>
      <w:divBdr>
        <w:top w:val="none" w:sz="0" w:space="0" w:color="auto"/>
        <w:left w:val="none" w:sz="0" w:space="0" w:color="auto"/>
        <w:bottom w:val="none" w:sz="0" w:space="0" w:color="auto"/>
        <w:right w:val="none" w:sz="0" w:space="0" w:color="auto"/>
      </w:divBdr>
      <w:divsChild>
        <w:div w:id="202445818">
          <w:marLeft w:val="0"/>
          <w:marRight w:val="0"/>
          <w:marTop w:val="0"/>
          <w:marBottom w:val="0"/>
          <w:divBdr>
            <w:top w:val="none" w:sz="0" w:space="0" w:color="auto"/>
            <w:left w:val="none" w:sz="0" w:space="0" w:color="auto"/>
            <w:bottom w:val="none" w:sz="0" w:space="0" w:color="auto"/>
            <w:right w:val="none" w:sz="0" w:space="0" w:color="auto"/>
          </w:divBdr>
          <w:divsChild>
            <w:div w:id="929123844">
              <w:marLeft w:val="47"/>
              <w:marRight w:val="47"/>
              <w:marTop w:val="47"/>
              <w:marBottom w:val="47"/>
              <w:divBdr>
                <w:top w:val="none" w:sz="0" w:space="0" w:color="auto"/>
                <w:left w:val="none" w:sz="0" w:space="0" w:color="auto"/>
                <w:bottom w:val="none" w:sz="0" w:space="0" w:color="auto"/>
                <w:right w:val="none" w:sz="0" w:space="0" w:color="auto"/>
              </w:divBdr>
              <w:divsChild>
                <w:div w:id="709690236">
                  <w:marLeft w:val="0"/>
                  <w:marRight w:val="0"/>
                  <w:marTop w:val="0"/>
                  <w:marBottom w:val="0"/>
                  <w:divBdr>
                    <w:top w:val="none" w:sz="0" w:space="0" w:color="auto"/>
                    <w:left w:val="none" w:sz="0" w:space="0" w:color="auto"/>
                    <w:bottom w:val="none" w:sz="0" w:space="0" w:color="auto"/>
                    <w:right w:val="none" w:sz="0" w:space="0" w:color="auto"/>
                  </w:divBdr>
                  <w:divsChild>
                    <w:div w:id="7400635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F1D74-2234-4741-BBFA-9AFC3221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davalexand</dc:creator>
  <cp:lastModifiedBy>Leonard, Allyson</cp:lastModifiedBy>
  <cp:revision>3</cp:revision>
  <cp:lastPrinted>2014-10-29T13:47:00Z</cp:lastPrinted>
  <dcterms:created xsi:type="dcterms:W3CDTF">2014-10-29T13:44:00Z</dcterms:created>
  <dcterms:modified xsi:type="dcterms:W3CDTF">2014-10-29T13:52:00Z</dcterms:modified>
</cp:coreProperties>
</file>